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40"/>
          <w:szCs w:val="40"/>
          <w:lang w:eastAsia="zh-CN"/>
        </w:rPr>
      </w:pPr>
      <w:bookmarkStart w:id="0" w:name="_Hlt101843627"/>
      <w:bookmarkEnd w:id="0"/>
      <w:bookmarkStart w:id="1" w:name="_Hlt101233737"/>
      <w:bookmarkEnd w:id="1"/>
    </w:p>
    <w:p>
      <w:pPr>
        <w:jc w:val="center"/>
        <w:rPr>
          <w:rFonts w:hint="eastAsia" w:ascii="宋体" w:hAnsi="宋体" w:eastAsia="宋体" w:cs="宋体"/>
          <w:b/>
          <w:bCs/>
          <w:color w:val="auto"/>
          <w:sz w:val="40"/>
          <w:szCs w:val="40"/>
        </w:rPr>
      </w:pPr>
      <w:r>
        <w:rPr>
          <w:rFonts w:hint="eastAsia" w:ascii="宋体" w:hAnsi="宋体" w:eastAsia="宋体" w:cs="宋体"/>
          <w:b/>
          <w:color w:val="auto"/>
          <w:sz w:val="40"/>
          <w:szCs w:val="40"/>
        </w:rPr>
        <w:t xml:space="preserve"> </w:t>
      </w:r>
    </w:p>
    <w:p>
      <w:pPr>
        <w:jc w:val="center"/>
        <w:rPr>
          <w:rFonts w:hint="eastAsia" w:ascii="宋体" w:hAnsi="宋体" w:eastAsia="宋体" w:cs="宋体"/>
          <w:b/>
          <w:bCs/>
          <w:color w:val="auto"/>
          <w:sz w:val="40"/>
          <w:szCs w:val="40"/>
          <w:lang w:eastAsia="zh-CN"/>
        </w:rPr>
      </w:pPr>
    </w:p>
    <w:p>
      <w:pPr>
        <w:jc w:val="center"/>
        <w:rPr>
          <w:rFonts w:hint="eastAsia" w:ascii="宋体" w:hAnsi="宋体" w:eastAsia="宋体" w:cs="宋体"/>
          <w:b/>
          <w:color w:val="auto"/>
          <w:sz w:val="144"/>
          <w:szCs w:val="144"/>
        </w:rPr>
      </w:pPr>
      <w:r>
        <w:rPr>
          <w:rFonts w:hint="eastAsia" w:ascii="宋体" w:hAnsi="宋体" w:eastAsia="宋体" w:cs="宋体"/>
          <w:b/>
          <w:color w:val="auto"/>
          <w:sz w:val="112"/>
          <w:szCs w:val="112"/>
        </w:rPr>
        <w:t>竞争性磋商文件</w:t>
      </w:r>
    </w:p>
    <w:p>
      <w:pPr>
        <w:tabs>
          <w:tab w:val="left" w:pos="0"/>
        </w:tabs>
        <w:autoSpaceDE w:val="0"/>
        <w:autoSpaceDN w:val="0"/>
        <w:adjustRightInd w:val="0"/>
        <w:spacing w:line="480" w:lineRule="auto"/>
        <w:ind w:right="94" w:rightChars="45"/>
        <w:jc w:val="left"/>
        <w:rPr>
          <w:rFonts w:hint="eastAsia" w:ascii="宋体" w:hAnsi="宋体" w:eastAsia="宋体" w:cs="宋体"/>
          <w:b/>
          <w:color w:val="auto"/>
          <w:kern w:val="0"/>
          <w:sz w:val="28"/>
          <w:szCs w:val="28"/>
          <w:lang w:val="en-US" w:eastAsia="zh-CN"/>
        </w:rPr>
      </w:pPr>
      <w:r>
        <w:rPr>
          <w:rFonts w:hint="eastAsia" w:ascii="宋体" w:hAnsi="宋体" w:eastAsia="宋体" w:cs="宋体"/>
          <w:b/>
          <w:color w:val="auto"/>
          <w:kern w:val="0"/>
          <w:sz w:val="28"/>
          <w:szCs w:val="28"/>
          <w:lang w:val="en-US" w:eastAsia="zh-CN"/>
        </w:rPr>
        <w:t xml:space="preserve">                                                                         </w:t>
      </w:r>
    </w:p>
    <w:p>
      <w:pPr>
        <w:pStyle w:val="2"/>
        <w:rPr>
          <w:rFonts w:hint="eastAsia" w:ascii="宋体" w:hAnsi="宋体" w:eastAsia="宋体" w:cs="宋体"/>
          <w:color w:val="auto"/>
        </w:rPr>
      </w:pPr>
    </w:p>
    <w:p>
      <w:pPr>
        <w:tabs>
          <w:tab w:val="left" w:pos="0"/>
        </w:tabs>
        <w:autoSpaceDE w:val="0"/>
        <w:autoSpaceDN w:val="0"/>
        <w:adjustRightInd w:val="0"/>
        <w:spacing w:line="480" w:lineRule="auto"/>
        <w:ind w:firstLine="643" w:firstLineChars="200"/>
        <w:jc w:val="left"/>
        <w:rPr>
          <w:rFonts w:hint="eastAsia" w:ascii="宋体" w:hAnsi="宋体" w:eastAsia="宋体" w:cs="宋体"/>
          <w:b/>
          <w:color w:val="auto"/>
          <w:kern w:val="0"/>
          <w:sz w:val="32"/>
          <w:szCs w:val="32"/>
        </w:rPr>
      </w:pPr>
    </w:p>
    <w:p>
      <w:pPr>
        <w:tabs>
          <w:tab w:val="left" w:pos="0"/>
        </w:tabs>
        <w:autoSpaceDE w:val="0"/>
        <w:autoSpaceDN w:val="0"/>
        <w:adjustRightInd w:val="0"/>
        <w:spacing w:line="480" w:lineRule="auto"/>
        <w:ind w:firstLine="643" w:firstLineChars="200"/>
        <w:jc w:val="left"/>
        <w:rPr>
          <w:rFonts w:hint="eastAsia" w:ascii="宋体" w:hAnsi="宋体" w:eastAsia="宋体" w:cs="宋体"/>
          <w:b/>
          <w:color w:val="auto"/>
          <w:kern w:val="0"/>
          <w:sz w:val="32"/>
          <w:szCs w:val="32"/>
          <w:u w:val="single"/>
          <w:lang w:val="en-US" w:eastAsia="zh-CN"/>
        </w:rPr>
      </w:pPr>
      <w:r>
        <w:rPr>
          <w:rFonts w:hint="eastAsia" w:ascii="宋体" w:hAnsi="宋体" w:eastAsia="宋体" w:cs="宋体"/>
          <w:b/>
          <w:color w:val="auto"/>
          <w:kern w:val="0"/>
          <w:sz w:val="32"/>
          <w:szCs w:val="32"/>
        </w:rPr>
        <w:t>项目编号：</w:t>
      </w:r>
      <w:r>
        <w:rPr>
          <w:rFonts w:hint="eastAsia" w:ascii="宋体" w:hAnsi="宋体" w:eastAsia="宋体" w:cs="宋体"/>
          <w:b/>
          <w:color w:val="auto"/>
          <w:kern w:val="0"/>
          <w:sz w:val="32"/>
          <w:szCs w:val="32"/>
          <w:u w:val="single"/>
          <w:lang w:val="en-US" w:eastAsia="zh-CN"/>
        </w:rPr>
        <w:t xml:space="preserve">          具体项目编号详见采购公告                    </w:t>
      </w:r>
    </w:p>
    <w:p>
      <w:pPr>
        <w:tabs>
          <w:tab w:val="left" w:pos="0"/>
        </w:tabs>
        <w:autoSpaceDE w:val="0"/>
        <w:autoSpaceDN w:val="0"/>
        <w:adjustRightInd w:val="0"/>
        <w:spacing w:line="480" w:lineRule="auto"/>
        <w:ind w:left="2244" w:leftChars="304" w:hanging="1606" w:hangingChars="500"/>
        <w:jc w:val="left"/>
        <w:rPr>
          <w:rFonts w:hint="eastAsia" w:ascii="宋体" w:hAnsi="宋体" w:eastAsia="宋体" w:cs="宋体"/>
          <w:b/>
          <w:color w:val="auto"/>
          <w:kern w:val="0"/>
          <w:sz w:val="32"/>
          <w:szCs w:val="32"/>
          <w:u w:val="single"/>
        </w:rPr>
      </w:pPr>
      <w:r>
        <w:rPr>
          <w:rFonts w:hint="eastAsia" w:ascii="宋体" w:hAnsi="宋体" w:eastAsia="宋体" w:cs="宋体"/>
          <w:b/>
          <w:color w:val="auto"/>
          <w:kern w:val="0"/>
          <w:sz w:val="32"/>
          <w:szCs w:val="32"/>
        </w:rPr>
        <w:t>项目名称</w:t>
      </w:r>
      <w:r>
        <w:rPr>
          <w:rFonts w:hint="eastAsia" w:ascii="宋体" w:hAnsi="宋体" w:eastAsia="宋体" w:cs="宋体"/>
          <w:b/>
          <w:bCs/>
          <w:color w:val="auto"/>
          <w:kern w:val="0"/>
          <w:sz w:val="32"/>
          <w:szCs w:val="32"/>
        </w:rPr>
        <w:t>:</w:t>
      </w:r>
      <w:r>
        <w:rPr>
          <w:rFonts w:hint="eastAsia" w:ascii="宋体" w:hAnsi="宋体" w:eastAsia="宋体" w:cs="宋体"/>
          <w:b/>
          <w:bCs/>
          <w:color w:val="auto"/>
          <w:kern w:val="0"/>
          <w:sz w:val="32"/>
          <w:szCs w:val="32"/>
          <w:u w:val="single" w:color="FFFFFF" w:themeColor="background1"/>
        </w:rPr>
        <w:t xml:space="preserve"> </w:t>
      </w:r>
      <w:r>
        <w:rPr>
          <w:rFonts w:hint="eastAsia" w:ascii="宋体" w:hAnsi="宋体" w:eastAsia="宋体" w:cs="宋体"/>
          <w:b/>
          <w:bCs/>
          <w:color w:val="auto"/>
          <w:sz w:val="32"/>
          <w:szCs w:val="32"/>
          <w:u w:val="single"/>
          <w:lang w:eastAsia="zh-CN"/>
        </w:rPr>
        <w:t>成都东部新区石盘街道办事处农村道路桥梁维护巡查服务采购</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pPr>
        <w:spacing w:line="480" w:lineRule="auto"/>
        <w:ind w:left="2244" w:leftChars="304" w:hanging="1606" w:hangingChars="500"/>
        <w:jc w:val="left"/>
        <w:rPr>
          <w:rFonts w:hint="eastAsia" w:ascii="宋体" w:hAnsi="宋体" w:eastAsia="宋体" w:cs="宋体"/>
          <w:b/>
          <w:color w:val="auto"/>
          <w:kern w:val="0"/>
          <w:sz w:val="32"/>
          <w:szCs w:val="32"/>
          <w:u w:val="single"/>
          <w:lang w:val="en-US" w:eastAsia="zh-CN"/>
        </w:rPr>
      </w:pPr>
      <w:r>
        <w:rPr>
          <w:rFonts w:hint="eastAsia" w:ascii="宋体" w:hAnsi="宋体" w:eastAsia="宋体" w:cs="宋体"/>
          <w:b/>
          <w:color w:val="auto"/>
          <w:kern w:val="0"/>
          <w:sz w:val="32"/>
          <w:szCs w:val="32"/>
        </w:rPr>
        <w:t>采 购 人</w:t>
      </w:r>
      <w:r>
        <w:rPr>
          <w:rFonts w:hint="eastAsia" w:ascii="宋体" w:hAnsi="宋体" w:eastAsia="宋体" w:cs="宋体"/>
          <w:b/>
          <w:bCs/>
          <w:color w:val="auto"/>
          <w:kern w:val="0"/>
          <w:sz w:val="32"/>
          <w:szCs w:val="32"/>
        </w:rPr>
        <w:t xml:space="preserve">: </w:t>
      </w:r>
      <w:r>
        <w:rPr>
          <w:rFonts w:hint="eastAsia" w:ascii="宋体" w:hAnsi="宋体" w:eastAsia="宋体" w:cs="宋体"/>
          <w:b/>
          <w:bCs/>
          <w:color w:val="auto"/>
          <w:kern w:val="0"/>
          <w:sz w:val="32"/>
          <w:szCs w:val="32"/>
          <w:u w:val="single"/>
          <w:lang w:val="en-US" w:eastAsia="zh-CN"/>
        </w:rPr>
        <w:t xml:space="preserve">         </w:t>
      </w:r>
      <w:r>
        <w:rPr>
          <w:rFonts w:hint="eastAsia" w:ascii="宋体" w:hAnsi="宋体" w:eastAsia="宋体" w:cs="宋体"/>
          <w:b/>
          <w:color w:val="auto"/>
          <w:kern w:val="0"/>
          <w:sz w:val="32"/>
          <w:szCs w:val="32"/>
          <w:u w:val="single"/>
          <w:lang w:eastAsia="zh-CN"/>
        </w:rPr>
        <w:t>成都东部新区石盘街道办事处</w:t>
      </w:r>
      <w:r>
        <w:rPr>
          <w:rFonts w:hint="eastAsia" w:ascii="宋体" w:hAnsi="宋体" w:eastAsia="宋体" w:cs="宋体"/>
          <w:b/>
          <w:color w:val="auto"/>
          <w:kern w:val="0"/>
          <w:sz w:val="32"/>
          <w:szCs w:val="32"/>
          <w:u w:val="single"/>
        </w:rPr>
        <w:t xml:space="preserve"> </w:t>
      </w:r>
      <w:r>
        <w:rPr>
          <w:rFonts w:hint="eastAsia" w:ascii="宋体" w:hAnsi="宋体" w:eastAsia="宋体" w:cs="宋体"/>
          <w:b/>
          <w:color w:val="auto"/>
          <w:kern w:val="0"/>
          <w:sz w:val="32"/>
          <w:szCs w:val="32"/>
          <w:u w:val="single"/>
          <w:lang w:val="en-US" w:eastAsia="zh-CN"/>
        </w:rPr>
        <w:t xml:space="preserve">               </w:t>
      </w:r>
    </w:p>
    <w:p>
      <w:pPr>
        <w:tabs>
          <w:tab w:val="left" w:pos="0"/>
          <w:tab w:val="left" w:pos="4773"/>
        </w:tabs>
        <w:autoSpaceDE w:val="0"/>
        <w:autoSpaceDN w:val="0"/>
        <w:adjustRightInd w:val="0"/>
        <w:spacing w:line="480" w:lineRule="auto"/>
        <w:ind w:firstLine="643" w:firstLineChars="200"/>
        <w:jc w:val="left"/>
        <w:rPr>
          <w:rFonts w:hint="eastAsia" w:ascii="宋体" w:hAnsi="宋体" w:eastAsia="宋体" w:cs="宋体"/>
          <w:color w:val="auto"/>
          <w:kern w:val="0"/>
          <w:sz w:val="32"/>
          <w:szCs w:val="32"/>
          <w:lang w:val="en-US" w:eastAsia="zh-CN"/>
        </w:rPr>
      </w:pPr>
      <w:r>
        <w:rPr>
          <w:rFonts w:hint="eastAsia" w:ascii="宋体" w:hAnsi="宋体" w:eastAsia="宋体" w:cs="宋体"/>
          <w:b/>
          <w:color w:val="auto"/>
          <w:kern w:val="0"/>
          <w:sz w:val="32"/>
          <w:szCs w:val="32"/>
        </w:rPr>
        <w:t>采购代理机构</w:t>
      </w:r>
      <w:r>
        <w:rPr>
          <w:rFonts w:hint="eastAsia" w:ascii="宋体" w:hAnsi="宋体" w:eastAsia="宋体" w:cs="宋体"/>
          <w:b/>
          <w:bCs/>
          <w:color w:val="auto"/>
          <w:kern w:val="0"/>
          <w:sz w:val="32"/>
          <w:szCs w:val="32"/>
        </w:rPr>
        <w:t>:</w:t>
      </w:r>
      <w:r>
        <w:rPr>
          <w:rFonts w:hint="eastAsia" w:ascii="宋体" w:hAnsi="宋体" w:eastAsia="宋体" w:cs="宋体"/>
          <w:b/>
          <w:bCs/>
          <w:color w:val="auto"/>
          <w:kern w:val="0"/>
          <w:sz w:val="32"/>
          <w:szCs w:val="32"/>
          <w:u w:val="single"/>
        </w:rPr>
        <w:t xml:space="preserve"> </w:t>
      </w:r>
      <w:r>
        <w:rPr>
          <w:rFonts w:hint="eastAsia" w:ascii="宋体" w:hAnsi="宋体" w:eastAsia="宋体" w:cs="宋体"/>
          <w:b/>
          <w:bCs/>
          <w:color w:val="auto"/>
          <w:kern w:val="0"/>
          <w:sz w:val="32"/>
          <w:szCs w:val="32"/>
          <w:u w:val="single"/>
          <w:lang w:val="en-US" w:eastAsia="zh-CN"/>
        </w:rPr>
        <w:t xml:space="preserve">     </w:t>
      </w:r>
      <w:r>
        <w:rPr>
          <w:rFonts w:hint="eastAsia" w:ascii="宋体" w:hAnsi="宋体" w:eastAsia="宋体" w:cs="宋体"/>
          <w:b/>
          <w:color w:val="auto"/>
          <w:kern w:val="0"/>
          <w:sz w:val="32"/>
          <w:szCs w:val="32"/>
          <w:u w:val="single"/>
          <w:lang w:eastAsia="zh-CN"/>
        </w:rPr>
        <w:t>四川东来印象招标代理有限公司</w:t>
      </w:r>
      <w:r>
        <w:rPr>
          <w:rFonts w:hint="eastAsia" w:ascii="宋体" w:hAnsi="宋体" w:eastAsia="宋体" w:cs="宋体"/>
          <w:b/>
          <w:color w:val="auto"/>
          <w:kern w:val="0"/>
          <w:sz w:val="32"/>
          <w:szCs w:val="32"/>
          <w:u w:val="single"/>
        </w:rPr>
        <w:t xml:space="preserve">  </w:t>
      </w:r>
      <w:r>
        <w:rPr>
          <w:rFonts w:hint="eastAsia" w:ascii="宋体" w:hAnsi="宋体" w:eastAsia="宋体" w:cs="宋体"/>
          <w:b/>
          <w:color w:val="auto"/>
          <w:kern w:val="0"/>
          <w:sz w:val="32"/>
          <w:szCs w:val="32"/>
          <w:u w:val="single"/>
          <w:lang w:val="en-US" w:eastAsia="zh-CN"/>
        </w:rPr>
        <w:t xml:space="preserve">        </w:t>
      </w:r>
    </w:p>
    <w:p>
      <w:pPr>
        <w:rPr>
          <w:rFonts w:hint="eastAsia" w:ascii="宋体" w:hAnsi="宋体" w:eastAsia="宋体" w:cs="宋体"/>
          <w:color w:val="auto"/>
        </w:rPr>
      </w:pPr>
    </w:p>
    <w:p>
      <w:pPr>
        <w:spacing w:line="500" w:lineRule="exact"/>
        <w:ind w:firstLine="640"/>
        <w:jc w:val="center"/>
        <w:rPr>
          <w:rFonts w:hint="eastAsia" w:ascii="宋体" w:hAnsi="宋体" w:eastAsia="宋体" w:cs="宋体"/>
          <w:b/>
          <w:color w:val="auto"/>
          <w:sz w:val="32"/>
          <w:szCs w:val="40"/>
        </w:rPr>
      </w:pPr>
    </w:p>
    <w:p>
      <w:pPr>
        <w:tabs>
          <w:tab w:val="left" w:pos="0"/>
          <w:tab w:val="left" w:pos="4773"/>
        </w:tabs>
        <w:autoSpaceDE w:val="0"/>
        <w:autoSpaceDN w:val="0"/>
        <w:adjustRightInd w:val="0"/>
        <w:spacing w:line="480" w:lineRule="auto"/>
        <w:ind w:right="94" w:rightChars="45"/>
        <w:rPr>
          <w:rFonts w:hint="eastAsia" w:ascii="宋体" w:hAnsi="宋体" w:eastAsia="宋体" w:cs="宋体"/>
          <w:color w:val="auto"/>
          <w:kern w:val="0"/>
          <w:sz w:val="24"/>
        </w:rPr>
      </w:pPr>
    </w:p>
    <w:p>
      <w:pPr>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四川·成都</w:t>
      </w:r>
    </w:p>
    <w:p>
      <w:pPr>
        <w:pStyle w:val="2"/>
        <w:spacing w:line="360" w:lineRule="auto"/>
        <w:jc w:val="center"/>
        <w:rPr>
          <w:rFonts w:hint="eastAsia" w:ascii="宋体" w:hAnsi="宋体" w:eastAsia="宋体" w:cs="宋体"/>
          <w:color w:val="auto"/>
          <w:sz w:val="30"/>
          <w:szCs w:val="30"/>
          <w:u w:val="single" w:color="FFFFFF" w:themeColor="background1"/>
          <w:lang w:eastAsia="zh-CN"/>
        </w:rPr>
      </w:pPr>
      <w:r>
        <w:rPr>
          <w:rFonts w:hint="eastAsia" w:ascii="宋体" w:hAnsi="宋体" w:eastAsia="宋体" w:cs="宋体"/>
          <w:b/>
          <w:color w:val="auto"/>
          <w:kern w:val="0"/>
          <w:sz w:val="30"/>
          <w:szCs w:val="30"/>
          <w:u w:val="single" w:color="FFFFFF" w:themeColor="background1"/>
          <w:lang w:eastAsia="zh-CN"/>
        </w:rPr>
        <w:t>成都东部新区石盘街道办事处</w:t>
      </w:r>
    </w:p>
    <w:p>
      <w:pPr>
        <w:pStyle w:val="2"/>
        <w:spacing w:line="360" w:lineRule="auto"/>
        <w:jc w:val="center"/>
        <w:rPr>
          <w:rFonts w:hint="eastAsia" w:ascii="宋体" w:hAnsi="宋体" w:eastAsia="宋体" w:cs="宋体"/>
          <w:b/>
          <w:color w:val="auto"/>
          <w:kern w:val="0"/>
          <w:sz w:val="30"/>
          <w:szCs w:val="30"/>
          <w:u w:val="single" w:color="FFFFFF" w:themeColor="background1"/>
          <w:lang w:eastAsia="zh-CN"/>
        </w:rPr>
      </w:pPr>
      <w:r>
        <w:rPr>
          <w:rFonts w:hint="eastAsia" w:ascii="宋体" w:hAnsi="宋体" w:eastAsia="宋体" w:cs="宋体"/>
          <w:b/>
          <w:color w:val="auto"/>
          <w:kern w:val="0"/>
          <w:sz w:val="30"/>
          <w:szCs w:val="30"/>
          <w:u w:val="single" w:color="FFFFFF" w:themeColor="background1"/>
          <w:lang w:eastAsia="zh-CN"/>
        </w:rPr>
        <w:t>四川东来印象招标代理有限公司</w:t>
      </w:r>
    </w:p>
    <w:p>
      <w:pPr>
        <w:pStyle w:val="2"/>
        <w:spacing w:line="360" w:lineRule="auto"/>
        <w:jc w:val="center"/>
        <w:rPr>
          <w:rFonts w:hint="eastAsia" w:ascii="宋体" w:hAnsi="宋体" w:eastAsia="宋体" w:cs="宋体"/>
          <w:b/>
          <w:color w:val="auto"/>
          <w:kern w:val="0"/>
          <w:sz w:val="30"/>
          <w:szCs w:val="30"/>
          <w:u w:val="single" w:color="FFFFFF" w:themeColor="background1"/>
        </w:rPr>
      </w:pPr>
      <w:r>
        <w:rPr>
          <w:rFonts w:hint="eastAsia" w:ascii="宋体" w:hAnsi="宋体" w:eastAsia="宋体" w:cs="宋体"/>
          <w:b/>
          <w:color w:val="auto"/>
          <w:kern w:val="0"/>
          <w:sz w:val="30"/>
          <w:szCs w:val="30"/>
          <w:u w:val="single" w:color="FFFFFF" w:themeColor="background1"/>
        </w:rPr>
        <w:t>由采购人和采购代理机构共同编制</w:t>
      </w:r>
    </w:p>
    <w:p>
      <w:pPr>
        <w:pStyle w:val="2"/>
        <w:spacing w:line="360" w:lineRule="auto"/>
        <w:jc w:val="center"/>
        <w:rPr>
          <w:rFonts w:hint="eastAsia" w:ascii="宋体" w:hAnsi="宋体" w:eastAsia="宋体" w:cs="宋体"/>
          <w:b/>
          <w:color w:val="auto"/>
          <w:kern w:val="0"/>
          <w:sz w:val="30"/>
          <w:szCs w:val="30"/>
          <w:u w:val="single" w:color="FFFFFF" w:themeColor="background1"/>
        </w:rPr>
      </w:pPr>
    </w:p>
    <w:p>
      <w:pPr>
        <w:jc w:val="center"/>
        <w:rPr>
          <w:rStyle w:val="24"/>
          <w:rFonts w:hint="eastAsia" w:ascii="宋体" w:hAnsi="宋体" w:eastAsia="宋体" w:cs="宋体"/>
          <w:color w:val="auto"/>
        </w:rPr>
        <w:sectPr>
          <w:headerReference r:id="rId3" w:type="default"/>
          <w:pgSz w:w="11906" w:h="16838"/>
          <w:pgMar w:top="1440" w:right="1080" w:bottom="1440" w:left="1080" w:header="851" w:footer="992" w:gutter="0"/>
          <w:pgNumType w:start="1"/>
          <w:cols w:space="425" w:num="1"/>
          <w:docGrid w:type="lines" w:linePitch="312" w:charSpace="0"/>
        </w:sectPr>
      </w:pPr>
      <w:r>
        <w:rPr>
          <w:rFonts w:hint="eastAsia" w:ascii="宋体" w:hAnsi="宋体" w:eastAsia="宋体" w:cs="宋体"/>
          <w:b/>
          <w:bCs/>
          <w:color w:val="auto"/>
          <w:sz w:val="32"/>
          <w:szCs w:val="40"/>
        </w:rPr>
        <w:t>二〇二一年</w:t>
      </w:r>
      <w:r>
        <w:rPr>
          <w:rFonts w:hint="eastAsia" w:ascii="宋体" w:hAnsi="宋体" w:eastAsia="宋体" w:cs="宋体"/>
          <w:b/>
          <w:bCs/>
          <w:color w:val="auto"/>
          <w:sz w:val="32"/>
          <w:szCs w:val="40"/>
          <w:lang w:eastAsia="zh-CN"/>
        </w:rPr>
        <w:t>十</w:t>
      </w:r>
      <w:r>
        <w:rPr>
          <w:rFonts w:hint="eastAsia" w:ascii="宋体" w:hAnsi="宋体" w:eastAsia="宋体" w:cs="宋体"/>
          <w:b/>
          <w:bCs/>
          <w:color w:val="auto"/>
          <w:sz w:val="32"/>
          <w:szCs w:val="40"/>
        </w:rPr>
        <w:t>月</w:t>
      </w:r>
    </w:p>
    <w:p>
      <w:pPr>
        <w:spacing w:line="360" w:lineRule="auto"/>
        <w:jc w:val="center"/>
        <w:outlineLvl w:val="0"/>
        <w:rPr>
          <w:rStyle w:val="24"/>
          <w:rFonts w:hint="eastAsia" w:ascii="宋体" w:hAnsi="宋体" w:eastAsia="宋体" w:cs="宋体"/>
          <w:color w:val="auto"/>
        </w:rPr>
      </w:pPr>
      <w:bookmarkStart w:id="2" w:name="_Toc1085"/>
      <w:r>
        <w:rPr>
          <w:rStyle w:val="24"/>
          <w:rFonts w:hint="eastAsia" w:ascii="宋体" w:hAnsi="宋体" w:eastAsia="宋体" w:cs="宋体"/>
          <w:color w:val="auto"/>
        </w:rPr>
        <w:t>目 录</w:t>
      </w:r>
      <w:bookmarkEnd w:id="2"/>
    </w:p>
    <w:p>
      <w:pPr>
        <w:pStyle w:val="12"/>
        <w:tabs>
          <w:tab w:val="right" w:leader="dot" w:pos="8306"/>
        </w:tabs>
        <w:spacing w:line="336" w:lineRule="auto"/>
        <w:rPr>
          <w:rFonts w:hint="eastAsia" w:ascii="宋体" w:hAnsi="宋体" w:eastAsia="宋体" w:cs="宋体"/>
          <w:b/>
          <w:bCs/>
          <w:color w:val="auto"/>
          <w:sz w:val="24"/>
        </w:rPr>
      </w:pPr>
    </w:p>
    <w:p>
      <w:pPr>
        <w:pStyle w:val="12"/>
        <w:tabs>
          <w:tab w:val="right" w:leader="dot" w:pos="8250"/>
        </w:tabs>
        <w:rPr>
          <w:rFonts w:hint="eastAsia" w:ascii="宋体" w:hAnsi="宋体" w:eastAsia="宋体" w:cs="宋体"/>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"1-3" \h \u </w:instrText>
      </w:r>
      <w:r>
        <w:rPr>
          <w:rFonts w:hint="eastAsia" w:ascii="宋体" w:hAnsi="宋体" w:eastAsia="宋体" w:cs="宋体"/>
          <w:b/>
          <w:bCs/>
          <w:color w:val="auto"/>
          <w:sz w:val="28"/>
          <w:szCs w:val="28"/>
        </w:rPr>
        <w:fldChar w:fldCharType="separate"/>
      </w:r>
      <w:r>
        <w:rPr>
          <w:rFonts w:hint="eastAsia" w:ascii="宋体" w:hAnsi="宋体" w:eastAsia="宋体" w:cs="宋体"/>
          <w:bCs/>
          <w:color w:val="auto"/>
          <w:sz w:val="28"/>
          <w:szCs w:val="28"/>
        </w:rPr>
        <w:fldChar w:fldCharType="begin"/>
      </w:r>
      <w:r>
        <w:rPr>
          <w:rFonts w:hint="eastAsia" w:ascii="宋体" w:hAnsi="宋体" w:eastAsia="宋体" w:cs="宋体"/>
          <w:bCs/>
          <w:color w:val="auto"/>
          <w:sz w:val="28"/>
          <w:szCs w:val="28"/>
        </w:rPr>
        <w:instrText xml:space="preserve"> HYPERLINK \l _Toc1085 </w:instrText>
      </w:r>
      <w:r>
        <w:rPr>
          <w:rFonts w:hint="eastAsia" w:ascii="宋体" w:hAnsi="宋体" w:eastAsia="宋体" w:cs="宋体"/>
          <w:bCs/>
          <w:color w:val="auto"/>
          <w:sz w:val="28"/>
          <w:szCs w:val="28"/>
        </w:rPr>
        <w:fldChar w:fldCharType="separate"/>
      </w:r>
      <w:r>
        <w:rPr>
          <w:rFonts w:hint="eastAsia" w:ascii="宋体" w:hAnsi="宋体" w:eastAsia="宋体" w:cs="宋体"/>
          <w:color w:val="auto"/>
          <w:sz w:val="28"/>
          <w:szCs w:val="28"/>
        </w:rPr>
        <w:t>目 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_Toc1085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bCs/>
          <w:color w:val="auto"/>
          <w:sz w:val="28"/>
          <w:szCs w:val="28"/>
        </w:rPr>
        <w:fldChar w:fldCharType="end"/>
      </w:r>
    </w:p>
    <w:p>
      <w:pPr>
        <w:pStyle w:val="12"/>
        <w:tabs>
          <w:tab w:val="right" w:leader="dot" w:pos="825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_Toc2198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第一章  磋商邀请</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_Toc2198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2"/>
        <w:tabs>
          <w:tab w:val="right" w:leader="dot" w:pos="825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_Toc16593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第二章  磋商须知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_Toc16593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2"/>
        <w:tabs>
          <w:tab w:val="right" w:leader="dot" w:pos="825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_Toc17301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第三章  供应商资格条件要求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_Toc17301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2"/>
        <w:tabs>
          <w:tab w:val="right" w:leader="dot" w:pos="825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_Toc25605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第四章  供应商资格证明材料</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_Toc25605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2"/>
        <w:tabs>
          <w:tab w:val="right" w:leader="dot" w:pos="825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_Toc5547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 xml:space="preserve">第五章 </w:t>
      </w:r>
      <w:r>
        <w:rPr>
          <w:rFonts w:hint="eastAsia" w:ascii="宋体" w:hAnsi="宋体" w:eastAsia="宋体" w:cs="宋体"/>
          <w:color w:val="auto"/>
          <w:sz w:val="28"/>
          <w:szCs w:val="28"/>
          <w:highlight w:val="none"/>
        </w:rPr>
        <w:t>采购项目技术、服务及商务要求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_Toc5547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2"/>
        <w:tabs>
          <w:tab w:val="right" w:leader="dot" w:pos="825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_Toc30215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 xml:space="preserve">第六章 </w:t>
      </w:r>
      <w:r>
        <w:rPr>
          <w:rFonts w:hint="eastAsia" w:ascii="宋体" w:hAnsi="宋体" w:eastAsia="宋体" w:cs="宋体"/>
          <w:color w:val="auto"/>
          <w:sz w:val="28"/>
          <w:szCs w:val="28"/>
          <w:highlight w:val="none"/>
        </w:rPr>
        <w:t>磋商内容、磋商过程中可实质性变动的内容</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_Toc30215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2"/>
        <w:tabs>
          <w:tab w:val="right" w:leader="dot" w:pos="825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_Toc10873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第七章  响应文件格式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_Toc10873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2"/>
        <w:tabs>
          <w:tab w:val="right" w:leader="dot" w:pos="825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_Toc11591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第八章  评审方法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_Toc11591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2"/>
        <w:tabs>
          <w:tab w:val="right" w:leader="dot" w:pos="825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_Toc18464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第九章  政府采购合同（草案、仅供参考）</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_Toc18464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bidi w:val="0"/>
        <w:rPr>
          <w:rFonts w:hint="eastAsia" w:ascii="宋体" w:hAnsi="宋体" w:eastAsia="宋体" w:cs="宋体"/>
          <w:color w:val="auto"/>
        </w:rPr>
      </w:pPr>
      <w:r>
        <w:rPr>
          <w:rFonts w:hint="eastAsia" w:ascii="宋体" w:hAnsi="宋体" w:eastAsia="宋体" w:cs="宋体"/>
          <w:color w:val="auto"/>
          <w:sz w:val="28"/>
          <w:szCs w:val="28"/>
        </w:rPr>
        <w:fldChar w:fldCharType="end"/>
      </w:r>
      <w:bookmarkStart w:id="3" w:name="_Toc8198"/>
      <w:bookmarkStart w:id="4" w:name="_Toc2198"/>
    </w:p>
    <w:p>
      <w:pPr>
        <w:rPr>
          <w:rFonts w:hint="eastAsia" w:ascii="宋体" w:hAnsi="宋体" w:eastAsia="宋体" w:cs="宋体"/>
          <w:color w:val="auto"/>
          <w:szCs w:val="24"/>
        </w:rPr>
      </w:pPr>
      <w:r>
        <w:rPr>
          <w:rFonts w:hint="eastAsia" w:ascii="宋体" w:hAnsi="宋体" w:eastAsia="宋体" w:cs="宋体"/>
          <w:color w:val="auto"/>
          <w:szCs w:val="24"/>
        </w:rPr>
        <w:br w:type="page"/>
      </w:r>
    </w:p>
    <w:p>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第一章  磋商邀请</w:t>
      </w:r>
      <w:bookmarkEnd w:id="3"/>
      <w:bookmarkEnd w:id="4"/>
    </w:p>
    <w:p>
      <w:pPr>
        <w:keepNext w:val="0"/>
        <w:keepLines w:val="0"/>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rPr>
      </w:pPr>
      <w:r>
        <w:rPr>
          <w:rFonts w:hint="eastAsia" w:ascii="宋体" w:hAnsi="宋体" w:eastAsia="宋体" w:cs="宋体"/>
          <w:b/>
          <w:bCs/>
          <w:color w:val="auto"/>
          <w:sz w:val="24"/>
          <w:u w:val="single"/>
          <w:lang w:eastAsia="zh-CN"/>
        </w:rPr>
        <w:t>四川东来印象招标代理有限公司</w:t>
      </w:r>
      <w:r>
        <w:rPr>
          <w:rFonts w:hint="eastAsia" w:ascii="宋体" w:hAnsi="宋体" w:eastAsia="宋体" w:cs="宋体"/>
          <w:color w:val="auto"/>
          <w:sz w:val="24"/>
        </w:rPr>
        <w:t>（采购代理机构）受</w:t>
      </w:r>
      <w:r>
        <w:rPr>
          <w:rFonts w:hint="eastAsia" w:ascii="宋体" w:hAnsi="宋体" w:eastAsia="宋体" w:cs="宋体"/>
          <w:b/>
          <w:color w:val="auto"/>
          <w:sz w:val="24"/>
          <w:u w:val="single"/>
          <w:lang w:eastAsia="zh-CN"/>
        </w:rPr>
        <w:t>成都东部新区石盘街道办事处</w:t>
      </w:r>
      <w:r>
        <w:rPr>
          <w:rFonts w:hint="eastAsia" w:ascii="宋体" w:hAnsi="宋体" w:eastAsia="宋体" w:cs="宋体"/>
          <w:bCs/>
          <w:color w:val="auto"/>
          <w:sz w:val="24"/>
        </w:rPr>
        <w:t>（采购人）</w:t>
      </w:r>
      <w:r>
        <w:rPr>
          <w:rFonts w:hint="eastAsia" w:ascii="宋体" w:hAnsi="宋体" w:eastAsia="宋体" w:cs="宋体"/>
          <w:color w:val="auto"/>
          <w:sz w:val="24"/>
        </w:rPr>
        <w:t>委托，拟对</w:t>
      </w:r>
      <w:r>
        <w:rPr>
          <w:rFonts w:hint="eastAsia" w:ascii="宋体" w:hAnsi="宋体" w:eastAsia="宋体" w:cs="宋体"/>
          <w:b/>
          <w:bCs/>
          <w:color w:val="auto"/>
          <w:sz w:val="24"/>
          <w:u w:val="single"/>
          <w:lang w:eastAsia="zh-CN"/>
        </w:rPr>
        <w:t>成都东部新区石盘街道办事处农村道路桥梁维护巡查服务采购</w:t>
      </w:r>
      <w:r>
        <w:rPr>
          <w:rFonts w:hint="eastAsia" w:ascii="宋体" w:hAnsi="宋体" w:eastAsia="宋体" w:cs="宋体"/>
          <w:color w:val="auto"/>
          <w:sz w:val="24"/>
        </w:rPr>
        <w:t>采用竞争性磋商方式进行采购，特邀请符合本次采购要求的供应商参加本项目的竞争性磋商。</w:t>
      </w:r>
    </w:p>
    <w:p>
      <w:pPr>
        <w:keepNext w:val="0"/>
        <w:keepLines w:val="0"/>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一、采购项目基本情况</w:t>
      </w:r>
    </w:p>
    <w:p>
      <w:pPr>
        <w:keepNext w:val="0"/>
        <w:keepLines w:val="0"/>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1.项目编号：</w:t>
      </w:r>
      <w:r>
        <w:rPr>
          <w:rFonts w:hint="eastAsia" w:ascii="宋体" w:hAnsi="宋体" w:eastAsia="宋体" w:cs="宋体"/>
          <w:b/>
          <w:bCs/>
          <w:color w:val="auto"/>
          <w:sz w:val="24"/>
          <w:lang w:eastAsia="zh-CN"/>
        </w:rPr>
        <w:t>具体项目编号详见采购公告</w:t>
      </w:r>
      <w:r>
        <w:rPr>
          <w:rFonts w:hint="eastAsia" w:ascii="宋体" w:hAnsi="宋体" w:eastAsia="宋体" w:cs="宋体"/>
          <w:color w:val="auto"/>
          <w:sz w:val="24"/>
        </w:rPr>
        <w:t>。</w:t>
      </w:r>
    </w:p>
    <w:p>
      <w:pPr>
        <w:keepNext w:val="0"/>
        <w:keepLines w:val="0"/>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2.项目名称：</w:t>
      </w:r>
      <w:r>
        <w:rPr>
          <w:rFonts w:hint="eastAsia" w:ascii="宋体" w:hAnsi="宋体" w:eastAsia="宋体" w:cs="宋体"/>
          <w:b/>
          <w:bCs/>
          <w:color w:val="auto"/>
          <w:sz w:val="24"/>
          <w:lang w:eastAsia="zh-CN"/>
        </w:rPr>
        <w:t>成都东部新区石盘街道办事处农村道路桥梁维护巡查服务采购</w:t>
      </w:r>
      <w:r>
        <w:rPr>
          <w:rFonts w:hint="eastAsia" w:ascii="宋体" w:hAnsi="宋体" w:eastAsia="宋体" w:cs="宋体"/>
          <w:color w:val="auto"/>
          <w:sz w:val="24"/>
        </w:rPr>
        <w:t>。</w:t>
      </w:r>
    </w:p>
    <w:p>
      <w:pPr>
        <w:keepNext w:val="0"/>
        <w:keepLines w:val="0"/>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3.采购人：</w:t>
      </w:r>
      <w:r>
        <w:rPr>
          <w:rFonts w:hint="eastAsia" w:ascii="宋体" w:hAnsi="宋体" w:eastAsia="宋体" w:cs="宋体"/>
          <w:b/>
          <w:color w:val="auto"/>
          <w:sz w:val="24"/>
          <w:lang w:eastAsia="zh-CN"/>
        </w:rPr>
        <w:t>成都东部新区石盘街道办事处</w:t>
      </w:r>
      <w:r>
        <w:rPr>
          <w:rFonts w:hint="eastAsia" w:ascii="宋体" w:hAnsi="宋体" w:eastAsia="宋体" w:cs="宋体"/>
          <w:color w:val="auto"/>
          <w:sz w:val="24"/>
        </w:rPr>
        <w:t>。</w:t>
      </w:r>
    </w:p>
    <w:p>
      <w:pPr>
        <w:keepNext w:val="0"/>
        <w:keepLines w:val="0"/>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4.采购代理机构：</w:t>
      </w:r>
      <w:r>
        <w:rPr>
          <w:rFonts w:hint="eastAsia" w:ascii="宋体" w:hAnsi="宋体" w:eastAsia="宋体" w:cs="宋体"/>
          <w:b/>
          <w:bCs/>
          <w:color w:val="auto"/>
          <w:sz w:val="24"/>
          <w:lang w:eastAsia="zh-CN"/>
        </w:rPr>
        <w:t>四川东来印象招标代理有限公司</w:t>
      </w:r>
      <w:r>
        <w:rPr>
          <w:rFonts w:hint="eastAsia" w:ascii="宋体" w:hAnsi="宋体" w:eastAsia="宋体" w:cs="宋体"/>
          <w:color w:val="auto"/>
          <w:sz w:val="24"/>
        </w:rPr>
        <w:t>。</w:t>
      </w:r>
    </w:p>
    <w:p>
      <w:pPr>
        <w:keepNext w:val="0"/>
        <w:keepLines w:val="0"/>
        <w:pageBreakBefore w:val="0"/>
        <w:widowControl w:val="0"/>
        <w:tabs>
          <w:tab w:val="left" w:pos="360"/>
        </w:tabs>
        <w:kinsoku/>
        <w:wordWrap w:val="0"/>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
          <w:color w:val="auto"/>
          <w:sz w:val="24"/>
        </w:rPr>
        <w:t>二、资金情况</w:t>
      </w:r>
      <w:r>
        <w:rPr>
          <w:rFonts w:hint="eastAsia" w:ascii="宋体" w:hAnsi="宋体" w:eastAsia="宋体" w:cs="宋体"/>
          <w:b/>
          <w:bCs w:val="0"/>
          <w:color w:val="auto"/>
          <w:sz w:val="24"/>
        </w:rPr>
        <w:t>：</w:t>
      </w:r>
      <w:r>
        <w:rPr>
          <w:rFonts w:hint="eastAsia" w:ascii="宋体" w:hAnsi="宋体" w:eastAsia="宋体" w:cs="宋体"/>
          <w:b w:val="0"/>
          <w:bCs/>
          <w:color w:val="auto"/>
          <w:sz w:val="24"/>
          <w:szCs w:val="24"/>
          <w:highlight w:val="none"/>
          <w:lang w:eastAsia="zh-CN"/>
        </w:rPr>
        <w:t>财政资金，已落实。本项目采购预算为</w:t>
      </w:r>
      <w:r>
        <w:rPr>
          <w:rFonts w:hint="eastAsia" w:ascii="宋体" w:hAnsi="宋体" w:eastAsia="宋体" w:cs="宋体"/>
          <w:color w:val="auto"/>
          <w:sz w:val="24"/>
          <w:lang w:eastAsia="zh-CN"/>
        </w:rPr>
        <w:t>1074700.00</w:t>
      </w:r>
      <w:r>
        <w:rPr>
          <w:rFonts w:hint="eastAsia" w:ascii="宋体" w:hAnsi="宋体" w:eastAsia="宋体" w:cs="宋体"/>
          <w:b w:val="0"/>
          <w:bCs/>
          <w:color w:val="auto"/>
          <w:sz w:val="24"/>
          <w:szCs w:val="24"/>
          <w:highlight w:val="none"/>
          <w:lang w:eastAsia="zh-CN"/>
        </w:rPr>
        <w:t>元</w:t>
      </w:r>
      <w:r>
        <w:rPr>
          <w:rFonts w:hint="eastAsia" w:ascii="宋体" w:hAnsi="宋体" w:eastAsia="宋体" w:cs="宋体"/>
          <w:b w:val="0"/>
          <w:bCs/>
          <w:color w:val="auto"/>
          <w:sz w:val="24"/>
          <w:highlight w:val="none"/>
          <w:lang w:val="en-US" w:eastAsia="zh-CN"/>
        </w:rPr>
        <w:t>，最高限价：本项目按照单价折扣率进行报价，折扣率超过100.00%的报价无效，备案号：2021（0610）</w:t>
      </w:r>
      <w:r>
        <w:rPr>
          <w:rFonts w:hint="eastAsia" w:ascii="宋体" w:hAnsi="宋体" w:eastAsia="宋体" w:cs="宋体"/>
          <w:b w:val="0"/>
          <w:bCs/>
          <w:color w:val="auto"/>
          <w:sz w:val="24"/>
          <w:highlight w:val="none"/>
          <w:u w:val="none"/>
          <w:lang w:val="en-US" w:eastAsia="zh-CN"/>
        </w:rPr>
        <w:t>号</w:t>
      </w:r>
      <w:r>
        <w:rPr>
          <w:rFonts w:hint="eastAsia" w:ascii="宋体" w:hAnsi="宋体" w:eastAsia="宋体" w:cs="宋体"/>
          <w:b/>
          <w:bCs w:val="0"/>
          <w:color w:val="auto"/>
          <w:sz w:val="24"/>
          <w:lang w:eastAsia="zh-CN"/>
        </w:rPr>
        <w:t>。</w:t>
      </w:r>
    </w:p>
    <w:p>
      <w:pPr>
        <w:keepNext w:val="0"/>
        <w:keepLines w:val="0"/>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三、采购项目简介</w:t>
      </w:r>
    </w:p>
    <w:tbl>
      <w:tblPr>
        <w:tblStyle w:val="19"/>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9"/>
        <w:gridCol w:w="1855"/>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采购内容</w:t>
            </w:r>
          </w:p>
        </w:tc>
        <w:tc>
          <w:tcPr>
            <w:tcW w:w="185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采购预算（元）</w:t>
            </w:r>
          </w:p>
        </w:tc>
        <w:tc>
          <w:tcPr>
            <w:tcW w:w="2936"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365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成都东部新区石盘街道办事处农村道路桥梁维护巡查服务采购</w:t>
            </w:r>
          </w:p>
        </w:tc>
        <w:tc>
          <w:tcPr>
            <w:tcW w:w="185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1074700.00</w:t>
            </w:r>
          </w:p>
        </w:tc>
        <w:tc>
          <w:tcPr>
            <w:tcW w:w="2936"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lang w:eastAsia="zh-CN"/>
              </w:rPr>
            </w:pPr>
            <w:r>
              <w:rPr>
                <w:rFonts w:hint="eastAsia" w:ascii="宋体" w:hAnsi="宋体" w:eastAsia="宋体" w:cs="宋体"/>
                <w:b w:val="0"/>
                <w:bCs/>
                <w:color w:val="auto"/>
                <w:sz w:val="24"/>
                <w:highlight w:val="none"/>
                <w:lang w:val="en-US" w:eastAsia="zh-CN"/>
              </w:rPr>
              <w:t>本项目按照单价折扣率进行报价，折扣率超过100.00%的报价无效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450" w:type="dxa"/>
            <w:gridSpan w:val="3"/>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具体内容详见磋商文件第五章</w:t>
            </w:r>
          </w:p>
        </w:tc>
      </w:tr>
    </w:tbl>
    <w:p>
      <w:pPr>
        <w:keepNext w:val="0"/>
        <w:keepLines w:val="0"/>
        <w:pageBreakBefore w:val="0"/>
        <w:kinsoku/>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四、供应商邀请方式</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公告方式：本次竞争性磋商邀请在</w:t>
      </w:r>
      <w:r>
        <w:rPr>
          <w:rFonts w:hint="eastAsia" w:ascii="宋体" w:hAnsi="宋体" w:eastAsia="宋体" w:cs="宋体"/>
          <w:color w:val="auto"/>
          <w:kern w:val="0"/>
          <w:sz w:val="24"/>
          <w:lang w:eastAsia="zh-CN"/>
        </w:rPr>
        <w:t>四川政府采购网（http://www.ccgp-sichuan.gov.cn）</w:t>
      </w:r>
      <w:r>
        <w:rPr>
          <w:rFonts w:hint="eastAsia" w:ascii="宋体" w:hAnsi="宋体" w:eastAsia="宋体" w:cs="宋体"/>
          <w:color w:val="auto"/>
          <w:kern w:val="0"/>
          <w:sz w:val="24"/>
        </w:rPr>
        <w:t>上以公告形式发布。</w:t>
      </w:r>
    </w:p>
    <w:p>
      <w:pPr>
        <w:keepNext w:val="0"/>
        <w:keepLines w:val="0"/>
        <w:pageBreakBefore w:val="0"/>
        <w:numPr>
          <w:ilvl w:val="0"/>
          <w:numId w:val="2"/>
        </w:numPr>
        <w:kinsoku/>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供应商参加本次政府采购活动应具备下列条件</w:t>
      </w:r>
    </w:p>
    <w:p>
      <w:pPr>
        <w:keepNext w:val="0"/>
        <w:keepLines w:val="0"/>
        <w:pageBreakBefore w:val="0"/>
        <w:widowControl/>
        <w:shd w:val="clear" w:color="auto" w:fill="FFFFFF"/>
        <w:kinsoku/>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（一）《中华人民共和国政府采购法》第二十二条第一款规定的条件：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1.具有独立承担民事责任的能力；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2.具有良好的商业信誉和健全的财务会计制度；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3.具有履行合同所必需的设备和专业技术能力；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4.具有依法缴纳税收和社会保障资金的良好记录；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5.参加本次采购活动前三年内，在经营活动中没有重大违法记录；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6.法律、行政法规规定的其他条件。</w:t>
      </w:r>
    </w:p>
    <w:p>
      <w:pPr>
        <w:keepNext w:val="0"/>
        <w:keepLines w:val="0"/>
        <w:pageBreakBefore w:val="0"/>
        <w:widowControl/>
        <w:kinsoku/>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（二）落实政府采购政策需满足的资格条件：</w:t>
      </w:r>
      <w:r>
        <w:rPr>
          <w:rFonts w:hint="eastAsia" w:ascii="宋体" w:hAnsi="宋体" w:eastAsia="宋体" w:cs="宋体"/>
          <w:b w:val="0"/>
          <w:color w:val="auto"/>
          <w:spacing w:val="0"/>
          <w:kern w:val="0"/>
          <w:sz w:val="24"/>
          <w:szCs w:val="24"/>
          <w:highlight w:val="none"/>
          <w:lang w:eastAsia="zh-CN"/>
        </w:rPr>
        <w:t>本项目为专门面向中小企业采购的项目。供应商为中型企业、小型企业或微型企业，监狱企业或残疾人福利性单位视同为小微企业</w:t>
      </w:r>
      <w:r>
        <w:rPr>
          <w:rFonts w:hint="eastAsia" w:ascii="宋体" w:hAnsi="宋体" w:eastAsia="宋体" w:cs="宋体"/>
          <w:color w:val="auto"/>
          <w:kern w:val="2"/>
          <w:sz w:val="24"/>
          <w:szCs w:val="24"/>
          <w:highlight w:val="none"/>
          <w:lang w:val="en-US" w:eastAsia="zh-CN" w:bidi="ar-SA"/>
        </w:rPr>
        <w:t>。</w:t>
      </w:r>
      <w:bookmarkStart w:id="430" w:name="_GoBack"/>
      <w:bookmarkEnd w:id="430"/>
    </w:p>
    <w:p>
      <w:pPr>
        <w:keepNext w:val="0"/>
        <w:keepLines w:val="0"/>
        <w:pageBreakBefore w:val="0"/>
        <w:widowControl/>
        <w:kinsoku/>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（三）根据采购项目提出的特殊条件：</w:t>
      </w:r>
    </w:p>
    <w:p>
      <w:pPr>
        <w:keepNext w:val="0"/>
        <w:keepLines w:val="0"/>
        <w:pageBreakBefore w:val="0"/>
        <w:widowControl/>
        <w:kinsoku/>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kern w:val="0"/>
          <w:sz w:val="24"/>
        </w:rPr>
        <w:t>1</w:t>
      </w:r>
      <w:r>
        <w:rPr>
          <w:rFonts w:hint="eastAsia" w:ascii="宋体" w:hAnsi="宋体" w:eastAsia="宋体" w:cs="宋体"/>
          <w:color w:val="auto"/>
          <w:sz w:val="24"/>
        </w:rPr>
        <w:t>、参加本次采购活动的供应商、法定代表人、主要负责人在2018年至今不得具有行贿犯罪记录；</w:t>
      </w:r>
    </w:p>
    <w:p>
      <w:pPr>
        <w:pStyle w:val="2"/>
        <w:keepNext w:val="0"/>
        <w:keepLines w:val="0"/>
        <w:pageBreakBefore w:val="0"/>
        <w:kinsoku/>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2、本项目不接受联合体参加磋商；</w:t>
      </w:r>
    </w:p>
    <w:p>
      <w:pPr>
        <w:pStyle w:val="2"/>
        <w:keepNext w:val="0"/>
        <w:keepLines w:val="0"/>
        <w:pageBreakBefore w:val="0"/>
        <w:kinsoku/>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3、具有行政主管部门颁发的市政公用工程施工总承包三级及以上资质。</w:t>
      </w:r>
    </w:p>
    <w:p>
      <w:pPr>
        <w:pStyle w:val="2"/>
        <w:keepNext w:val="0"/>
        <w:keepLines w:val="0"/>
        <w:pageBreakBefore w:val="0"/>
        <w:kinsoku/>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、具有行政主管部门颁发的有效的安全生产许可证。    </w:t>
      </w:r>
    </w:p>
    <w:p>
      <w:pPr>
        <w:pStyle w:val="2"/>
        <w:keepNext w:val="0"/>
        <w:keepLines w:val="0"/>
        <w:pageBreakBefore w:val="0"/>
        <w:kinsoku/>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四川省省外企业需具有行政主管部门颁发的《四川省省外建筑企业入川承揽业务验证登记证》或行政主管部门颁发的《四川省省外施工、监理企业入川承揽业务信息录入证》或行政主管部门颁发的《四川省省外建筑企业入川信息电子登记表》。</w:t>
      </w:r>
    </w:p>
    <w:p>
      <w:pPr>
        <w:keepNext w:val="0"/>
        <w:keepLines w:val="0"/>
        <w:pageBreakBefore w:val="0"/>
        <w:kinsoku/>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六、禁止参加本次采购活动的供应商</w:t>
      </w:r>
    </w:p>
    <w:p>
      <w:pPr>
        <w:pStyle w:val="25"/>
        <w:keepNext w:val="0"/>
        <w:keepLines w:val="0"/>
        <w:pageBreakBefore w:val="0"/>
        <w:kinsoku/>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1.根据《关于在政府采购活动中查询及使用信用记录有关问题的通知》（财库〔2016〕125号）的要求，采购代理机构将通过“信用中国”网站（www.creditchina.gov.cn）、“</w:t>
      </w:r>
      <w:r>
        <w:rPr>
          <w:rFonts w:hint="eastAsia" w:ascii="宋体" w:hAnsi="宋体" w:eastAsia="宋体" w:cs="宋体"/>
          <w:color w:val="auto"/>
          <w:sz w:val="24"/>
          <w:lang w:eastAsia="zh-CN"/>
        </w:rPr>
        <w:t>四川政府采购网</w:t>
      </w:r>
      <w:r>
        <w:rPr>
          <w:rFonts w:hint="eastAsia" w:ascii="宋体" w:hAnsi="宋体" w:eastAsia="宋体" w:cs="宋体"/>
          <w:color w:val="auto"/>
          <w:sz w:val="24"/>
        </w:rPr>
        <w:t>”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pStyle w:val="25"/>
        <w:keepNext w:val="0"/>
        <w:keepLines w:val="0"/>
        <w:pageBreakBefore w:val="0"/>
        <w:kinsoku/>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kinsoku/>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七、磋商文件获取方式、时间、地点：</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239" w:leftChars="114" w:right="0" w:rightChars="0" w:firstLine="307" w:firstLineChars="128"/>
        <w:textAlignment w:val="auto"/>
        <w:outlineLvl w:val="9"/>
        <w:rPr>
          <w:rFonts w:hint="eastAsia" w:ascii="宋体" w:hAnsi="宋体" w:eastAsia="宋体" w:cs="宋体"/>
          <w:b w:val="0"/>
          <w:color w:val="auto"/>
          <w:kern w:val="2"/>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.磋商文件</w:t>
      </w:r>
      <w:r>
        <w:rPr>
          <w:rFonts w:hint="eastAsia" w:ascii="宋体" w:hAnsi="宋体" w:eastAsia="宋体" w:cs="宋体"/>
          <w:color w:val="auto"/>
          <w:sz w:val="24"/>
          <w:szCs w:val="24"/>
          <w:highlight w:val="none"/>
          <w:lang w:eastAsia="zh-CN"/>
        </w:rPr>
        <w:t>的获取时间：</w:t>
      </w:r>
      <w:r>
        <w:rPr>
          <w:rFonts w:hint="eastAsia" w:ascii="宋体" w:hAnsi="宋体" w:eastAsia="宋体" w:cs="宋体"/>
          <w:color w:val="auto"/>
          <w:sz w:val="24"/>
          <w:szCs w:val="24"/>
          <w:highlight w:val="none"/>
          <w:shd w:val="clear" w:color="auto" w:fill="auto"/>
        </w:rPr>
        <w:t>磋商文件自</w:t>
      </w:r>
      <w:r>
        <w:rPr>
          <w:rFonts w:hint="eastAsia" w:ascii="宋体" w:hAnsi="宋体" w:eastAsia="宋体" w:cs="宋体"/>
          <w:color w:val="auto"/>
          <w:sz w:val="24"/>
          <w:szCs w:val="24"/>
          <w:highlight w:val="none"/>
          <w:shd w:val="clear" w:color="auto" w:fill="auto"/>
          <w:lang w:val="en-US" w:eastAsia="zh-CN"/>
        </w:rPr>
        <w:t>2021年10</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shd w:val="clear" w:color="auto" w:fill="auto"/>
          <w:lang w:val="en-US" w:eastAsia="zh-CN"/>
        </w:rPr>
        <w:t>21</w:t>
      </w:r>
      <w:r>
        <w:rPr>
          <w:rFonts w:hint="eastAsia" w:ascii="宋体" w:hAnsi="宋体" w:eastAsia="宋体" w:cs="宋体"/>
          <w:color w:val="auto"/>
          <w:sz w:val="24"/>
          <w:szCs w:val="24"/>
          <w:highlight w:val="none"/>
          <w:shd w:val="clear" w:color="auto" w:fill="auto"/>
        </w:rPr>
        <w:t>日至</w:t>
      </w:r>
      <w:r>
        <w:rPr>
          <w:rFonts w:hint="eastAsia" w:ascii="宋体" w:hAnsi="宋体" w:eastAsia="宋体" w:cs="宋体"/>
          <w:color w:val="auto"/>
          <w:sz w:val="24"/>
          <w:szCs w:val="24"/>
          <w:highlight w:val="none"/>
          <w:shd w:val="clear" w:color="auto" w:fill="auto"/>
          <w:lang w:val="en-US" w:eastAsia="zh-CN"/>
        </w:rPr>
        <w:t>2021</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shd w:val="clear" w:color="auto" w:fill="auto"/>
          <w:lang w:val="en-US" w:eastAsia="zh-CN"/>
        </w:rPr>
        <w:t>10月</w:t>
      </w:r>
      <w:r>
        <w:rPr>
          <w:rFonts w:hint="eastAsia" w:ascii="宋体" w:hAnsi="宋体" w:eastAsia="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日</w:t>
      </w:r>
      <w:r>
        <w:rPr>
          <w:rFonts w:hint="eastAsia" w:ascii="宋体" w:hAnsi="宋体" w:eastAsia="宋体" w:cs="宋体"/>
          <w:b w:val="0"/>
          <w:color w:val="auto"/>
          <w:kern w:val="2"/>
          <w:sz w:val="24"/>
          <w:szCs w:val="24"/>
          <w:highlight w:val="none"/>
          <w:shd w:val="clear" w:color="auto" w:fill="auto"/>
          <w:lang w:val="en-US" w:eastAsia="zh-CN"/>
        </w:rPr>
        <w:t>0</w:t>
      </w:r>
      <w:r>
        <w:rPr>
          <w:rFonts w:hint="eastAsia" w:ascii="宋体" w:hAnsi="宋体" w:eastAsia="宋体" w:cs="宋体"/>
          <w:b w:val="0"/>
          <w:color w:val="auto"/>
          <w:kern w:val="2"/>
          <w:sz w:val="24"/>
          <w:szCs w:val="24"/>
          <w:highlight w:val="none"/>
          <w:shd w:val="clear" w:color="auto" w:fill="auto"/>
          <w:lang w:val="en-US"/>
        </w:rPr>
        <w:t>:</w:t>
      </w:r>
      <w:r>
        <w:rPr>
          <w:rFonts w:hint="eastAsia" w:ascii="宋体" w:hAnsi="宋体" w:eastAsia="宋体" w:cs="宋体"/>
          <w:b w:val="0"/>
          <w:color w:val="auto"/>
          <w:kern w:val="2"/>
          <w:sz w:val="24"/>
          <w:szCs w:val="24"/>
          <w:highlight w:val="none"/>
          <w:shd w:val="clear" w:color="auto" w:fill="auto"/>
          <w:lang w:val="en-US" w:eastAsia="zh-CN"/>
        </w:rPr>
        <w:t>00</w:t>
      </w:r>
      <w:r>
        <w:rPr>
          <w:rFonts w:hint="eastAsia" w:ascii="宋体" w:hAnsi="宋体" w:eastAsia="宋体" w:cs="宋体"/>
          <w:b w:val="0"/>
          <w:color w:val="auto"/>
          <w:kern w:val="2"/>
          <w:sz w:val="24"/>
          <w:szCs w:val="24"/>
          <w:highlight w:val="none"/>
          <w:shd w:val="clear" w:color="auto" w:fill="auto"/>
          <w:lang w:val="en-US"/>
        </w:rPr>
        <w:t>-</w:t>
      </w:r>
      <w:r>
        <w:rPr>
          <w:rFonts w:hint="eastAsia" w:ascii="宋体" w:hAnsi="宋体" w:eastAsia="宋体" w:cs="宋体"/>
          <w:b w:val="0"/>
          <w:color w:val="auto"/>
          <w:kern w:val="2"/>
          <w:sz w:val="24"/>
          <w:szCs w:val="24"/>
          <w:highlight w:val="none"/>
          <w:shd w:val="clear" w:color="auto" w:fill="auto"/>
          <w:lang w:val="en-US" w:eastAsia="zh-CN"/>
        </w:rPr>
        <w:t>24</w:t>
      </w:r>
      <w:r>
        <w:rPr>
          <w:rFonts w:hint="eastAsia" w:ascii="宋体" w:hAnsi="宋体" w:eastAsia="宋体" w:cs="宋体"/>
          <w:b w:val="0"/>
          <w:color w:val="auto"/>
          <w:kern w:val="2"/>
          <w:sz w:val="24"/>
          <w:szCs w:val="24"/>
          <w:highlight w:val="none"/>
          <w:shd w:val="clear" w:color="auto" w:fill="auto"/>
          <w:lang w:val="en-US"/>
        </w:rPr>
        <w:t>:00（北京时间，法定节假日除外）</w:t>
      </w:r>
      <w:r>
        <w:rPr>
          <w:rFonts w:hint="eastAsia" w:ascii="宋体" w:hAnsi="宋体" w:eastAsia="宋体" w:cs="宋体"/>
          <w:b w:val="0"/>
          <w:color w:val="auto"/>
          <w:kern w:val="2"/>
          <w:sz w:val="24"/>
          <w:szCs w:val="24"/>
          <w:highlight w:val="none"/>
          <w:shd w:val="clear" w:color="auto" w:fill="auto"/>
          <w:lang w:val="en-US" w:eastAsia="zh-CN"/>
        </w:rPr>
        <w:t>。</w:t>
      </w:r>
    </w:p>
    <w:p>
      <w:pPr>
        <w:pStyle w:val="2"/>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kern w:val="2"/>
          <w:sz w:val="24"/>
          <w:szCs w:val="24"/>
          <w:highlight w:val="none"/>
          <w:shd w:val="clear" w:color="auto" w:fill="auto"/>
          <w:lang w:val="en-US" w:eastAsia="zh-CN"/>
        </w:rPr>
      </w:pPr>
      <w:r>
        <w:rPr>
          <w:rFonts w:hint="eastAsia" w:ascii="宋体" w:hAnsi="宋体" w:eastAsia="宋体" w:cs="宋体"/>
          <w:b w:val="0"/>
          <w:color w:val="auto"/>
          <w:kern w:val="2"/>
          <w:sz w:val="24"/>
          <w:szCs w:val="24"/>
          <w:highlight w:val="none"/>
          <w:shd w:val="clear" w:color="auto" w:fill="auto"/>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b w:val="0"/>
          <w:color w:val="auto"/>
          <w:kern w:val="2"/>
          <w:sz w:val="24"/>
          <w:szCs w:val="24"/>
          <w:highlight w:val="none"/>
          <w:shd w:val="clear" w:color="auto" w:fill="auto"/>
          <w:lang w:val="en-US" w:eastAsia="zh-CN"/>
        </w:rPr>
        <w:t xml:space="preserve">磋商文件的获取方式：磋商文件在政府采购云平台(https://www.zcygov.cn)网络获取。 磋商文件售价：人民币0元/份（磋商文件售后不退, 磋商资格不能转让）。 获取方式：供应商从“政府采购云平台”获取采购文件（网址：https://www.zcygov.cn）。 </w:t>
      </w:r>
    </w:p>
    <w:p>
      <w:pPr>
        <w:pStyle w:val="2"/>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val="0"/>
          <w:color w:val="auto"/>
          <w:kern w:val="2"/>
          <w:sz w:val="24"/>
          <w:szCs w:val="24"/>
          <w:highlight w:val="none"/>
          <w:shd w:val="clear" w:color="auto" w:fill="auto"/>
          <w:lang w:val="en-US" w:eastAsia="zh-CN"/>
        </w:rPr>
      </w:pPr>
      <w:r>
        <w:rPr>
          <w:rFonts w:hint="eastAsia" w:ascii="宋体" w:hAnsi="宋体" w:eastAsia="宋体" w:cs="宋体"/>
          <w:b w:val="0"/>
          <w:color w:val="auto"/>
          <w:kern w:val="2"/>
          <w:sz w:val="24"/>
          <w:szCs w:val="24"/>
          <w:highlight w:val="none"/>
          <w:shd w:val="clear" w:color="auto" w:fill="auto"/>
          <w:lang w:val="en-US" w:eastAsia="zh-CN"/>
        </w:rPr>
        <w:t xml:space="preserve">提示：（1）本项目采购文件免费获取。 </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color w:val="auto"/>
          <w:kern w:val="2"/>
          <w:sz w:val="24"/>
          <w:szCs w:val="24"/>
          <w:highlight w:val="none"/>
          <w:shd w:val="clear" w:color="auto" w:fill="auto"/>
          <w:lang w:val="en-US" w:eastAsia="zh-CN"/>
        </w:rPr>
      </w:pPr>
      <w:r>
        <w:rPr>
          <w:rFonts w:hint="eastAsia" w:ascii="宋体" w:hAnsi="宋体" w:eastAsia="宋体" w:cs="宋体"/>
          <w:b w:val="0"/>
          <w:color w:val="auto"/>
          <w:kern w:val="2"/>
          <w:sz w:val="24"/>
          <w:szCs w:val="24"/>
          <w:highlight w:val="none"/>
          <w:shd w:val="clear" w:color="auto" w:fill="auto"/>
          <w:lang w:val="en-US" w:eastAsia="zh-CN"/>
        </w:rPr>
        <w:t xml:space="preserve">（2）采购公告附件文件仅供下载阅览使用，供应商只有在“政府采购云平台”完成相关流程后才视作依法参与本项目。如未在“政府采购云平台”内完成相关流程，引起的响应无效责任自负。 </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shd w:val="clear" w:color="auto" w:fill="auto"/>
          <w:lang w:val="en-US" w:eastAsia="zh-CN"/>
        </w:rPr>
        <w:t>（3）供应商参与本项目凡涉及系统操作请详见《成都市全流程电子化采购系统操作指南——供应商版》（操作指南请登录政府采购云平台后，点击“前台大厅—操作指南—项目采购供应商”处下载查看）。</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color w:val="auto"/>
          <w:kern w:val="2"/>
          <w:sz w:val="24"/>
          <w:szCs w:val="24"/>
          <w:highlight w:val="none"/>
          <w:shd w:val="clear" w:color="auto" w:fill="auto"/>
          <w:lang w:val="en-US" w:eastAsia="zh-CN"/>
        </w:rPr>
      </w:pPr>
      <w:r>
        <w:rPr>
          <w:rFonts w:hint="eastAsia" w:ascii="宋体" w:hAnsi="宋体" w:eastAsia="宋体" w:cs="宋体"/>
          <w:b w:val="0"/>
          <w:color w:val="auto"/>
          <w:kern w:val="2"/>
          <w:sz w:val="24"/>
          <w:szCs w:val="24"/>
          <w:highlight w:val="none"/>
          <w:shd w:val="clear" w:color="auto" w:fill="auto"/>
          <w:lang w:val="en-US" w:eastAsia="zh-CN"/>
        </w:rPr>
        <w:t>（4）“政府采购云平台”供应商注册地址：</w:t>
      </w:r>
      <w:r>
        <w:rPr>
          <w:rFonts w:hint="eastAsia" w:ascii="宋体" w:hAnsi="宋体" w:eastAsia="宋体" w:cs="宋体"/>
          <w:b/>
          <w:bCs/>
          <w:color w:val="auto"/>
          <w:kern w:val="2"/>
          <w:sz w:val="24"/>
          <w:szCs w:val="24"/>
          <w:highlight w:val="none"/>
          <w:shd w:val="clear" w:color="auto" w:fill="auto"/>
          <w:lang w:val="en-US" w:eastAsia="zh-CN"/>
        </w:rPr>
        <w:fldChar w:fldCharType="begin"/>
      </w:r>
      <w:r>
        <w:rPr>
          <w:rFonts w:hint="eastAsia" w:ascii="宋体" w:hAnsi="宋体" w:eastAsia="宋体" w:cs="宋体"/>
          <w:b/>
          <w:bCs/>
          <w:color w:val="auto"/>
          <w:kern w:val="2"/>
          <w:sz w:val="24"/>
          <w:szCs w:val="24"/>
          <w:highlight w:val="none"/>
          <w:shd w:val="clear" w:color="auto" w:fill="auto"/>
          <w:lang w:val="en-US" w:eastAsia="zh-CN"/>
        </w:rPr>
        <w:instrText xml:space="preserve"> HYPERLINK "https://middle.zcygov.cn/v-settle-front/registry?settleCategory=1&amp;entranceType=119&amp;utm=a0017.b1347.cl50.3.c0de9400b91b11eb870ad7da87d69c97。" </w:instrText>
      </w:r>
      <w:r>
        <w:rPr>
          <w:rFonts w:hint="eastAsia" w:ascii="宋体" w:hAnsi="宋体" w:eastAsia="宋体" w:cs="宋体"/>
          <w:b/>
          <w:bCs/>
          <w:color w:val="auto"/>
          <w:kern w:val="2"/>
          <w:sz w:val="24"/>
          <w:szCs w:val="24"/>
          <w:highlight w:val="none"/>
          <w:shd w:val="clear" w:color="auto" w:fill="auto"/>
          <w:lang w:val="en-US" w:eastAsia="zh-CN"/>
        </w:rPr>
        <w:fldChar w:fldCharType="separate"/>
      </w:r>
      <w:r>
        <w:rPr>
          <w:rStyle w:val="21"/>
          <w:rFonts w:hint="eastAsia" w:ascii="宋体" w:hAnsi="宋体" w:eastAsia="宋体" w:cs="宋体"/>
          <w:b/>
          <w:bCs/>
          <w:color w:val="auto"/>
          <w:kern w:val="2"/>
          <w:sz w:val="24"/>
          <w:szCs w:val="24"/>
          <w:highlight w:val="none"/>
          <w:shd w:val="clear" w:color="auto" w:fill="auto"/>
          <w:lang w:val="en-US" w:eastAsia="zh-CN"/>
        </w:rPr>
        <w:t>https://middle.zcygov.cn/v-settle-front/registry?settleCategory=1&amp;entranceType=119&amp;utm=a0017.b1347.cl50.3.c0de9400b91b11eb870ad7da87d69c97。</w:t>
      </w:r>
      <w:r>
        <w:rPr>
          <w:rFonts w:hint="eastAsia" w:ascii="宋体" w:hAnsi="宋体" w:eastAsia="宋体" w:cs="宋体"/>
          <w:b/>
          <w:bCs/>
          <w:color w:val="auto"/>
          <w:kern w:val="2"/>
          <w:sz w:val="24"/>
          <w:szCs w:val="24"/>
          <w:highlight w:val="none"/>
          <w:shd w:val="clear" w:color="auto" w:fill="auto"/>
          <w:lang w:val="en-US" w:eastAsia="zh-CN"/>
        </w:rPr>
        <w:fldChar w:fldCharType="end"/>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报名咨询电话：</w:t>
      </w:r>
      <w:r>
        <w:rPr>
          <w:rFonts w:hint="eastAsia" w:ascii="宋体" w:hAnsi="宋体" w:eastAsia="宋体" w:cs="宋体"/>
          <w:color w:val="auto"/>
          <w:kern w:val="0"/>
          <w:sz w:val="24"/>
          <w:szCs w:val="24"/>
          <w:highlight w:val="none"/>
          <w:lang w:val="en-US" w:eastAsia="zh-CN" w:bidi="ar"/>
        </w:rPr>
        <w:t>028-86981015、15196691603。</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b/>
          <w:color w:val="auto"/>
          <w:sz w:val="24"/>
        </w:rPr>
        <w:t>八、递交响应文件截止时间：</w:t>
      </w:r>
      <w:r>
        <w:rPr>
          <w:rFonts w:hint="eastAsia" w:ascii="宋体" w:hAnsi="宋体" w:eastAsia="宋体" w:cs="宋体"/>
          <w:color w:val="auto"/>
          <w:sz w:val="24"/>
        </w:rPr>
        <w:t>2021年</w:t>
      </w:r>
      <w:r>
        <w:rPr>
          <w:rFonts w:hint="eastAsia" w:ascii="宋体" w:hAnsi="宋体" w:eastAsia="宋体" w:cs="宋体"/>
          <w:color w:val="auto"/>
          <w:sz w:val="24"/>
          <w:lang w:val="en-US" w:eastAsia="zh-CN"/>
        </w:rPr>
        <w:t>11</w:t>
      </w:r>
      <w:r>
        <w:rPr>
          <w:rFonts w:hint="eastAsia" w:ascii="宋体" w:hAnsi="宋体" w:eastAsia="宋体" w:cs="宋体"/>
          <w:color w:val="auto"/>
          <w:sz w:val="24"/>
        </w:rPr>
        <w:t>月</w:t>
      </w:r>
      <w:r>
        <w:rPr>
          <w:rFonts w:hint="eastAsia" w:ascii="宋体" w:hAnsi="宋体" w:eastAsia="宋体" w:cs="宋体"/>
          <w:color w:val="auto"/>
          <w:sz w:val="24"/>
          <w:lang w:val="en-US" w:eastAsia="zh-CN"/>
        </w:rPr>
        <w:t>01</w:t>
      </w:r>
      <w:r>
        <w:rPr>
          <w:rFonts w:hint="eastAsia" w:ascii="宋体" w:hAnsi="宋体" w:eastAsia="宋体" w:cs="宋体"/>
          <w:color w:val="auto"/>
          <w:sz w:val="24"/>
        </w:rPr>
        <w:t>日</w:t>
      </w:r>
      <w:r>
        <w:rPr>
          <w:rFonts w:hint="eastAsia" w:ascii="宋体" w:hAnsi="宋体" w:eastAsia="宋体" w:cs="宋体"/>
          <w:bCs/>
          <w:color w:val="auto"/>
          <w:sz w:val="24"/>
          <w:lang w:val="en-US" w:eastAsia="zh-CN"/>
        </w:rPr>
        <w:t>13</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30</w:t>
      </w:r>
      <w:r>
        <w:rPr>
          <w:rFonts w:hint="eastAsia" w:ascii="宋体" w:hAnsi="宋体" w:eastAsia="宋体" w:cs="宋体"/>
          <w:color w:val="auto"/>
          <w:sz w:val="24"/>
        </w:rPr>
        <w:t>（北京时间）。</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bCs/>
          <w:color w:val="auto"/>
          <w:sz w:val="24"/>
        </w:rPr>
      </w:pPr>
      <w:r>
        <w:rPr>
          <w:rFonts w:hint="eastAsia" w:ascii="宋体" w:hAnsi="宋体" w:eastAsia="宋体" w:cs="宋体"/>
          <w:b/>
          <w:color w:val="auto"/>
          <w:sz w:val="24"/>
        </w:rPr>
        <w:t>九、递交响应文件地点：</w:t>
      </w:r>
      <w:r>
        <w:rPr>
          <w:rFonts w:hint="eastAsia" w:ascii="宋体" w:hAnsi="宋体" w:eastAsia="宋体" w:cs="宋体"/>
          <w:color w:val="auto"/>
          <w:sz w:val="24"/>
        </w:rPr>
        <w:t>响应文件必须在递交响应文件截止时间前送达磋商地点。逾期送达、密封和标注错误的响应文件，采购代理机构恕不接收。</w:t>
      </w:r>
      <w:r>
        <w:rPr>
          <w:rFonts w:hint="eastAsia" w:ascii="宋体" w:hAnsi="宋体" w:eastAsia="宋体" w:cs="宋体"/>
          <w:b/>
          <w:bCs/>
          <w:color w:val="auto"/>
          <w:sz w:val="24"/>
        </w:rPr>
        <w:t>本次采购不接收邮寄的响应文件。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请供应商按时参与本项目的开标，供应商未参加开标的，视同认可开标结果。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b/>
          <w:color w:val="auto"/>
          <w:sz w:val="24"/>
        </w:rPr>
        <w:t>十、响应文件开启时间：</w:t>
      </w:r>
      <w:r>
        <w:rPr>
          <w:rFonts w:hint="eastAsia" w:ascii="宋体" w:hAnsi="宋体" w:eastAsia="宋体" w:cs="宋体"/>
          <w:color w:val="auto"/>
          <w:sz w:val="24"/>
        </w:rPr>
        <w:t>2021年</w:t>
      </w:r>
      <w:r>
        <w:rPr>
          <w:rFonts w:hint="eastAsia" w:ascii="宋体" w:hAnsi="宋体" w:eastAsia="宋体" w:cs="宋体"/>
          <w:color w:val="auto"/>
          <w:sz w:val="24"/>
          <w:lang w:val="en-US" w:eastAsia="zh-CN"/>
        </w:rPr>
        <w:t>11</w:t>
      </w:r>
      <w:r>
        <w:rPr>
          <w:rFonts w:hint="eastAsia" w:ascii="宋体" w:hAnsi="宋体" w:eastAsia="宋体" w:cs="宋体"/>
          <w:color w:val="auto"/>
          <w:sz w:val="24"/>
        </w:rPr>
        <w:t>月</w:t>
      </w:r>
      <w:r>
        <w:rPr>
          <w:rFonts w:hint="eastAsia" w:ascii="宋体" w:hAnsi="宋体" w:eastAsia="宋体" w:cs="宋体"/>
          <w:color w:val="auto"/>
          <w:sz w:val="24"/>
          <w:lang w:val="en-US" w:eastAsia="zh-CN"/>
        </w:rPr>
        <w:t>01</w:t>
      </w:r>
      <w:r>
        <w:rPr>
          <w:rFonts w:hint="eastAsia" w:ascii="宋体" w:hAnsi="宋体" w:eastAsia="宋体" w:cs="宋体"/>
          <w:color w:val="auto"/>
          <w:sz w:val="24"/>
        </w:rPr>
        <w:t>日</w:t>
      </w:r>
      <w:r>
        <w:rPr>
          <w:rFonts w:hint="eastAsia" w:ascii="宋体" w:hAnsi="宋体" w:eastAsia="宋体" w:cs="宋体"/>
          <w:bCs/>
          <w:color w:val="auto"/>
          <w:sz w:val="24"/>
          <w:lang w:val="en-US" w:eastAsia="zh-CN"/>
        </w:rPr>
        <w:t>13</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30</w:t>
      </w:r>
      <w:r>
        <w:rPr>
          <w:rFonts w:hint="eastAsia" w:ascii="宋体" w:hAnsi="宋体" w:eastAsia="宋体" w:cs="宋体"/>
          <w:color w:val="auto"/>
          <w:sz w:val="24"/>
        </w:rPr>
        <w:t>（北京时间）在磋商地点开启。</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color w:val="auto"/>
          <w:sz w:val="24"/>
        </w:rPr>
      </w:pPr>
      <w:r>
        <w:rPr>
          <w:rFonts w:hint="eastAsia" w:ascii="宋体" w:hAnsi="宋体" w:eastAsia="宋体" w:cs="宋体"/>
          <w:b/>
          <w:color w:val="auto"/>
          <w:sz w:val="24"/>
        </w:rPr>
        <w:t>十一、磋商地点：</w:t>
      </w:r>
      <w:r>
        <w:rPr>
          <w:rFonts w:hint="eastAsia" w:ascii="宋体" w:hAnsi="宋体" w:eastAsia="宋体" w:cs="宋体"/>
          <w:bCs/>
          <w:color w:val="auto"/>
          <w:sz w:val="24"/>
          <w:lang w:eastAsia="zh-CN"/>
        </w:rPr>
        <w:t>成都市锦江区驿都西路316号绿地468中心锦峰2207</w:t>
      </w:r>
      <w:r>
        <w:rPr>
          <w:rFonts w:hint="eastAsia" w:ascii="宋体" w:hAnsi="宋体" w:eastAsia="宋体" w:cs="宋体"/>
          <w:bCs/>
          <w:color w:val="auto"/>
          <w:sz w:val="24"/>
        </w:rPr>
        <w:t>（</w:t>
      </w:r>
      <w:r>
        <w:rPr>
          <w:rFonts w:hint="eastAsia" w:ascii="宋体" w:hAnsi="宋体" w:eastAsia="宋体" w:cs="宋体"/>
          <w:bCs/>
          <w:color w:val="auto"/>
          <w:sz w:val="24"/>
          <w:lang w:eastAsia="zh-CN"/>
        </w:rPr>
        <w:t>四川东来印象招标代理有限公司</w:t>
      </w:r>
      <w:r>
        <w:rPr>
          <w:rFonts w:hint="eastAsia" w:ascii="宋体" w:hAnsi="宋体" w:eastAsia="宋体" w:cs="宋体"/>
          <w:bCs/>
          <w:color w:val="auto"/>
          <w:sz w:val="24"/>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十二、联系方式</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bCs/>
          <w:color w:val="auto"/>
          <w:sz w:val="24"/>
          <w:lang w:eastAsia="zh-CN"/>
        </w:rPr>
      </w:pPr>
      <w:r>
        <w:rPr>
          <w:rFonts w:hint="eastAsia" w:ascii="宋体" w:hAnsi="宋体" w:eastAsia="宋体" w:cs="宋体"/>
          <w:b/>
          <w:color w:val="auto"/>
          <w:sz w:val="24"/>
        </w:rPr>
        <w:t>采购人：</w:t>
      </w:r>
      <w:r>
        <w:rPr>
          <w:rFonts w:hint="eastAsia" w:ascii="宋体" w:hAnsi="宋体" w:eastAsia="宋体" w:cs="宋体"/>
          <w:bCs/>
          <w:color w:val="auto"/>
          <w:sz w:val="24"/>
          <w:lang w:eastAsia="zh-CN"/>
        </w:rPr>
        <w:t>成都东部新区石盘街道办事处</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kern w:val="0"/>
          <w:sz w:val="24"/>
          <w:highlight w:val="none"/>
          <w:lang w:eastAsia="zh-CN"/>
        </w:rPr>
        <w:t>成都东部新区石盘街道</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eastAsia="zh-CN"/>
        </w:rPr>
        <w:t>谢诗明</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color w:val="auto"/>
          <w:sz w:val="24"/>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15308386338</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u w:val="single"/>
          <w:lang w:eastAsia="zh-CN"/>
        </w:rPr>
      </w:pPr>
      <w:r>
        <w:rPr>
          <w:rFonts w:hint="eastAsia" w:ascii="宋体" w:hAnsi="宋体" w:eastAsia="宋体" w:cs="宋体"/>
          <w:b/>
          <w:color w:val="auto"/>
          <w:sz w:val="24"/>
        </w:rPr>
        <w:t>采购代理机构</w:t>
      </w:r>
      <w:r>
        <w:rPr>
          <w:rFonts w:hint="eastAsia" w:ascii="宋体" w:hAnsi="宋体" w:eastAsia="宋体" w:cs="宋体"/>
          <w:bCs/>
          <w:color w:val="auto"/>
          <w:sz w:val="24"/>
        </w:rPr>
        <w:t>：</w:t>
      </w:r>
      <w:r>
        <w:rPr>
          <w:rFonts w:hint="eastAsia" w:ascii="宋体" w:hAnsi="宋体" w:eastAsia="宋体" w:cs="宋体"/>
          <w:color w:val="auto"/>
          <w:sz w:val="24"/>
          <w:lang w:eastAsia="zh-CN"/>
        </w:rPr>
        <w:t>四川东来印象招标代理有限公司</w:t>
      </w:r>
    </w:p>
    <w:p>
      <w:pPr>
        <w:pStyle w:val="2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rPr>
        <w:t>地    址</w:t>
      </w:r>
      <w:r>
        <w:rPr>
          <w:rFonts w:hint="eastAsia" w:ascii="宋体" w:hAnsi="宋体" w:eastAsia="宋体" w:cs="宋体"/>
          <w:b/>
          <w:color w:val="auto"/>
          <w:sz w:val="24"/>
        </w:rPr>
        <w:t>：</w:t>
      </w:r>
      <w:r>
        <w:rPr>
          <w:rFonts w:hint="eastAsia" w:ascii="宋体" w:hAnsi="宋体" w:eastAsia="宋体" w:cs="宋体"/>
          <w:bCs/>
          <w:color w:val="auto"/>
          <w:sz w:val="24"/>
          <w:lang w:eastAsia="zh-CN"/>
        </w:rPr>
        <w:t>成都市锦江区驿都西路316号绿地468中心锦峰1507</w:t>
      </w:r>
    </w:p>
    <w:p>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rPr>
        <w:t>联 系 人：</w:t>
      </w:r>
      <w:r>
        <w:rPr>
          <w:rFonts w:hint="eastAsia" w:ascii="宋体" w:hAnsi="宋体" w:eastAsia="宋体" w:cs="宋体"/>
          <w:bCs/>
          <w:color w:val="auto"/>
          <w:sz w:val="24"/>
          <w:lang w:eastAsia="zh-CN"/>
        </w:rPr>
        <w:t>曾雨杰</w:t>
      </w:r>
    </w:p>
    <w:p>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lang w:eastAsia="zh-CN"/>
        </w:rPr>
      </w:pPr>
      <w:r>
        <w:rPr>
          <w:rFonts w:hint="eastAsia" w:ascii="宋体" w:hAnsi="宋体" w:eastAsia="宋体" w:cs="宋体"/>
          <w:color w:val="auto"/>
          <w:sz w:val="24"/>
        </w:rPr>
        <w:t>联系</w:t>
      </w:r>
      <w:r>
        <w:rPr>
          <w:rFonts w:hint="eastAsia" w:ascii="宋体" w:hAnsi="宋体" w:eastAsia="宋体" w:cs="宋体"/>
          <w:color w:val="auto"/>
          <w:kern w:val="0"/>
          <w:sz w:val="24"/>
          <w:lang w:bidi="ar"/>
        </w:rPr>
        <w:t>电话：</w:t>
      </w:r>
      <w:r>
        <w:rPr>
          <w:rFonts w:hint="eastAsia" w:ascii="宋体" w:hAnsi="宋体" w:eastAsia="宋体" w:cs="宋体"/>
          <w:color w:val="auto"/>
          <w:kern w:val="0"/>
          <w:sz w:val="24"/>
          <w:lang w:eastAsia="zh-CN" w:bidi="ar"/>
        </w:rPr>
        <w:t>028-86981015、15196691603</w:t>
      </w:r>
    </w:p>
    <w:p>
      <w:pPr>
        <w:pStyle w:val="7"/>
        <w:keepNext w:val="0"/>
        <w:keepLines w:val="0"/>
        <w:pageBreakBefore w:val="0"/>
        <w:widowControl w:val="0"/>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kern w:val="0"/>
          <w:sz w:val="24"/>
          <w:lang w:bidi="ar"/>
        </w:rPr>
      </w:pPr>
      <w:r>
        <w:rPr>
          <w:rFonts w:hint="eastAsia" w:ascii="宋体" w:hAnsi="宋体" w:eastAsia="宋体" w:cs="宋体"/>
          <w:color w:val="auto"/>
          <w:sz w:val="24"/>
        </w:rPr>
        <w:t>2021年</w:t>
      </w:r>
      <w:r>
        <w:rPr>
          <w:rFonts w:hint="eastAsia" w:ascii="宋体" w:hAnsi="宋体" w:eastAsia="宋体" w:cs="宋体"/>
          <w:color w:val="auto"/>
          <w:sz w:val="24"/>
          <w:lang w:val="en-US" w:eastAsia="zh-CN"/>
        </w:rPr>
        <w:t>10</w:t>
      </w:r>
      <w:r>
        <w:rPr>
          <w:rFonts w:hint="eastAsia" w:ascii="宋体" w:hAnsi="宋体" w:eastAsia="宋体" w:cs="宋体"/>
          <w:color w:val="auto"/>
          <w:sz w:val="24"/>
        </w:rPr>
        <w:t>月</w:t>
      </w:r>
      <w:r>
        <w:rPr>
          <w:rFonts w:hint="eastAsia" w:ascii="宋体" w:hAnsi="宋体" w:eastAsia="宋体" w:cs="宋体"/>
          <w:color w:val="auto"/>
          <w:sz w:val="24"/>
          <w:lang w:val="en-US" w:eastAsia="zh-CN"/>
        </w:rPr>
        <w:t>20</w:t>
      </w:r>
      <w:r>
        <w:rPr>
          <w:rFonts w:hint="eastAsia" w:ascii="宋体" w:hAnsi="宋体" w:eastAsia="宋体" w:cs="宋体"/>
          <w:color w:val="auto"/>
          <w:sz w:val="24"/>
        </w:rPr>
        <w:t>日</w:t>
      </w:r>
    </w:p>
    <w:p>
      <w:pPr>
        <w:rPr>
          <w:rStyle w:val="24"/>
          <w:rFonts w:hint="eastAsia" w:ascii="宋体" w:hAnsi="宋体" w:eastAsia="宋体" w:cs="宋体"/>
          <w:color w:val="auto"/>
        </w:rPr>
      </w:pPr>
      <w:bookmarkStart w:id="5" w:name="_Toc213396759"/>
      <w:bookmarkStart w:id="6" w:name="_Toc213396945"/>
      <w:bookmarkStart w:id="7" w:name="_Toc213496267"/>
      <w:bookmarkStart w:id="8" w:name="_Toc1263"/>
      <w:bookmarkStart w:id="9" w:name="_Toc217446031"/>
      <w:bookmarkStart w:id="10" w:name="_Toc213397009"/>
      <w:r>
        <w:rPr>
          <w:rStyle w:val="24"/>
          <w:rFonts w:hint="eastAsia" w:ascii="宋体" w:hAnsi="宋体" w:eastAsia="宋体" w:cs="宋体"/>
          <w:color w:val="auto"/>
        </w:rPr>
        <w:br w:type="page"/>
      </w:r>
    </w:p>
    <w:p>
      <w:pPr>
        <w:keepNext/>
        <w:keepLines/>
        <w:pageBreakBefore w:val="0"/>
        <w:widowControl w:val="0"/>
        <w:kinsoku/>
        <w:wordWrap/>
        <w:overflowPunct/>
        <w:topLinePunct w:val="0"/>
        <w:autoSpaceDE/>
        <w:autoSpaceDN/>
        <w:bidi w:val="0"/>
        <w:adjustRightInd/>
        <w:snapToGrid/>
        <w:spacing w:before="160" w:after="160" w:line="240" w:lineRule="auto"/>
        <w:jc w:val="center"/>
        <w:textAlignment w:val="auto"/>
        <w:outlineLvl w:val="0"/>
        <w:rPr>
          <w:rStyle w:val="24"/>
          <w:rFonts w:hint="eastAsia" w:ascii="宋体" w:hAnsi="宋体" w:eastAsia="宋体" w:cs="宋体"/>
          <w:color w:val="auto"/>
        </w:rPr>
      </w:pPr>
      <w:bookmarkStart w:id="11" w:name="_Toc16593"/>
      <w:r>
        <w:rPr>
          <w:rStyle w:val="24"/>
          <w:rFonts w:hint="eastAsia" w:ascii="宋体" w:hAnsi="宋体" w:eastAsia="宋体" w:cs="宋体"/>
          <w:color w:val="auto"/>
        </w:rPr>
        <w:t>第二章  磋商须知</w:t>
      </w:r>
      <w:bookmarkEnd w:id="5"/>
      <w:bookmarkEnd w:id="6"/>
      <w:bookmarkEnd w:id="7"/>
      <w:bookmarkEnd w:id="8"/>
      <w:bookmarkEnd w:id="9"/>
      <w:bookmarkEnd w:id="10"/>
      <w:bookmarkEnd w:id="11"/>
    </w:p>
    <w:p>
      <w:pPr>
        <w:pStyle w:val="4"/>
        <w:keepNext w:val="0"/>
        <w:keepLines w:val="0"/>
        <w:pageBreakBefore w:val="0"/>
        <w:widowControl w:val="0"/>
        <w:kinsoku/>
        <w:wordWrap/>
        <w:overflowPunct/>
        <w:topLinePunct w:val="0"/>
        <w:autoSpaceDE/>
        <w:autoSpaceDN/>
        <w:bidi w:val="0"/>
        <w:adjustRightInd/>
        <w:snapToGrid/>
        <w:spacing w:before="160" w:after="160" w:line="240" w:lineRule="auto"/>
        <w:jc w:val="center"/>
        <w:textAlignment w:val="auto"/>
        <w:rPr>
          <w:rFonts w:hint="eastAsia" w:ascii="宋体" w:hAnsi="宋体" w:eastAsia="宋体" w:cs="宋体"/>
          <w:color w:val="auto"/>
        </w:rPr>
      </w:pPr>
      <w:bookmarkStart w:id="12" w:name="_Toc30333"/>
      <w:bookmarkStart w:id="13" w:name="_Toc19980"/>
      <w:bookmarkStart w:id="14" w:name="_Toc7994"/>
      <w:bookmarkStart w:id="15" w:name="_Toc138"/>
      <w:bookmarkStart w:id="16" w:name="_Toc1218"/>
      <w:r>
        <w:rPr>
          <w:rFonts w:hint="eastAsia" w:ascii="宋体" w:hAnsi="宋体" w:eastAsia="宋体" w:cs="宋体"/>
          <w:color w:val="auto"/>
        </w:rPr>
        <w:t>一、供应商须知附表</w:t>
      </w:r>
      <w:bookmarkEnd w:id="12"/>
      <w:bookmarkEnd w:id="13"/>
      <w:bookmarkEnd w:id="14"/>
      <w:bookmarkEnd w:id="15"/>
      <w:bookmarkEnd w:id="16"/>
    </w:p>
    <w:tbl>
      <w:tblPr>
        <w:tblStyle w:val="18"/>
        <w:tblW w:w="922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10"/>
        <w:gridCol w:w="1854"/>
        <w:gridCol w:w="665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6" w:space="0"/>
              <w:right w:val="single" w:color="auto" w:sz="6" w:space="0"/>
            </w:tcBorders>
            <w:vAlign w:val="center"/>
          </w:tcPr>
          <w:p>
            <w:pPr>
              <w:keepNext w:val="0"/>
              <w:keepLines w:val="0"/>
              <w:pageBreakBefore w:val="0"/>
              <w:tabs>
                <w:tab w:val="left" w:pos="7665"/>
              </w:tabs>
              <w:kinsoku/>
              <w:overflowPunct/>
              <w:topLinePunct w:val="0"/>
              <w:bidi w:val="0"/>
              <w:spacing w:line="312"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1854" w:type="dxa"/>
            <w:tcBorders>
              <w:left w:val="single" w:color="auto" w:sz="6" w:space="0"/>
              <w:bottom w:val="single" w:color="auto" w:sz="6" w:space="0"/>
              <w:right w:val="single" w:color="auto" w:sz="6" w:space="0"/>
            </w:tcBorders>
            <w:vAlign w:val="center"/>
          </w:tcPr>
          <w:p>
            <w:pPr>
              <w:keepNext w:val="0"/>
              <w:keepLines w:val="0"/>
              <w:pageBreakBefore w:val="0"/>
              <w:tabs>
                <w:tab w:val="left" w:pos="7665"/>
              </w:tabs>
              <w:kinsoku/>
              <w:overflowPunct/>
              <w:topLinePunct w:val="0"/>
              <w:bidi w:val="0"/>
              <w:spacing w:line="312"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条款名称</w:t>
            </w:r>
          </w:p>
        </w:tc>
        <w:tc>
          <w:tcPr>
            <w:tcW w:w="6656" w:type="dxa"/>
            <w:tcBorders>
              <w:left w:val="single" w:color="auto" w:sz="6" w:space="0"/>
              <w:bottom w:val="single" w:color="auto" w:sz="6" w:space="0"/>
            </w:tcBorders>
            <w:vAlign w:val="center"/>
          </w:tcPr>
          <w:p>
            <w:pPr>
              <w:keepNext w:val="0"/>
              <w:keepLines w:val="0"/>
              <w:pageBreakBefore w:val="0"/>
              <w:tabs>
                <w:tab w:val="left" w:pos="7665"/>
              </w:tabs>
              <w:kinsoku/>
              <w:overflowPunct/>
              <w:topLinePunct w:val="0"/>
              <w:bidi w:val="0"/>
              <w:spacing w:line="312"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restart"/>
            <w:tcBorders>
              <w:top w:val="single" w:color="auto" w:sz="6" w:space="0"/>
              <w:right w:val="single" w:color="auto" w:sz="6" w:space="0"/>
            </w:tcBorders>
            <w:vAlign w:val="center"/>
          </w:tcPr>
          <w:p>
            <w:pPr>
              <w:pStyle w:val="26"/>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854" w:type="dxa"/>
            <w:tcBorders>
              <w:top w:val="single" w:color="auto" w:sz="6" w:space="0"/>
              <w:left w:val="single" w:color="auto" w:sz="6" w:space="0"/>
              <w:bottom w:val="single" w:color="auto" w:sz="6" w:space="0"/>
              <w:right w:val="single" w:color="auto" w:sz="6" w:space="0"/>
            </w:tcBorders>
            <w:vAlign w:val="center"/>
          </w:tcPr>
          <w:p>
            <w:pPr>
              <w:pStyle w:val="26"/>
              <w:keepNext w:val="0"/>
              <w:keepLines w:val="0"/>
              <w:pageBreakBefore w:val="0"/>
              <w:kinsoku/>
              <w:overflowPunct/>
              <w:topLinePunct w:val="0"/>
              <w:bidi w:val="0"/>
              <w:spacing w:line="312" w:lineRule="auto"/>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确定邀请磋商的供应商数量和方式</w:t>
            </w:r>
          </w:p>
        </w:tc>
        <w:tc>
          <w:tcPr>
            <w:tcW w:w="6656" w:type="dxa"/>
            <w:tcBorders>
              <w:top w:val="single" w:color="auto" w:sz="6" w:space="0"/>
              <w:left w:val="single" w:color="auto" w:sz="6" w:space="0"/>
              <w:bottom w:val="single" w:color="auto" w:sz="6" w:space="0"/>
            </w:tcBorders>
            <w:vAlign w:val="center"/>
          </w:tcPr>
          <w:p>
            <w:pPr>
              <w:pStyle w:val="26"/>
              <w:keepNext w:val="0"/>
              <w:keepLines w:val="0"/>
              <w:pageBreakBefore w:val="0"/>
              <w:kinsoku/>
              <w:wordWrap w:val="0"/>
              <w:overflowPunct/>
              <w:topLinePunct w:val="0"/>
              <w:bidi w:val="0"/>
              <w:spacing w:line="312"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本次磋商邀请的供应商数量：不限制。</w:t>
            </w:r>
          </w:p>
          <w:p>
            <w:pPr>
              <w:pStyle w:val="26"/>
              <w:keepNext w:val="0"/>
              <w:keepLines w:val="0"/>
              <w:pageBreakBefore w:val="0"/>
              <w:kinsoku/>
              <w:wordWrap w:val="0"/>
              <w:overflowPunct/>
              <w:topLinePunct w:val="0"/>
              <w:bidi w:val="0"/>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本次采购采取发布公告的方式邀请参加磋商的供应商。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continue"/>
            <w:tcBorders>
              <w:right w:val="single" w:color="auto" w:sz="6" w:space="0"/>
            </w:tcBorders>
            <w:vAlign w:val="center"/>
          </w:tcPr>
          <w:p>
            <w:pPr>
              <w:pStyle w:val="26"/>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lang w:val="zh-CN"/>
              </w:rPr>
            </w:pPr>
          </w:p>
        </w:tc>
        <w:tc>
          <w:tcPr>
            <w:tcW w:w="1854" w:type="dxa"/>
            <w:tcBorders>
              <w:top w:val="single" w:color="auto" w:sz="6" w:space="0"/>
              <w:left w:val="single" w:color="auto" w:sz="6" w:space="0"/>
              <w:bottom w:val="single" w:color="auto" w:sz="6" w:space="0"/>
              <w:right w:val="single" w:color="auto" w:sz="6" w:space="0"/>
            </w:tcBorders>
            <w:vAlign w:val="center"/>
          </w:tcPr>
          <w:p>
            <w:pPr>
              <w:pStyle w:val="26"/>
              <w:keepNext w:val="0"/>
              <w:keepLines w:val="0"/>
              <w:pageBreakBefore w:val="0"/>
              <w:kinsoku/>
              <w:overflowPunct/>
              <w:topLinePunct w:val="0"/>
              <w:bidi w:val="0"/>
              <w:snapToGrid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采购预算</w:t>
            </w:r>
          </w:p>
          <w:p>
            <w:pPr>
              <w:pStyle w:val="26"/>
              <w:keepNext w:val="0"/>
              <w:keepLines w:val="0"/>
              <w:pageBreakBefore w:val="0"/>
              <w:kinsoku/>
              <w:overflowPunct/>
              <w:topLinePunct w:val="0"/>
              <w:bidi w:val="0"/>
              <w:snapToGrid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实质性要求）</w:t>
            </w:r>
          </w:p>
        </w:tc>
        <w:tc>
          <w:tcPr>
            <w:tcW w:w="6656" w:type="dxa"/>
            <w:tcBorders>
              <w:top w:val="single" w:color="auto" w:sz="6" w:space="0"/>
              <w:left w:val="single" w:color="auto" w:sz="6" w:space="0"/>
              <w:bottom w:val="single" w:color="auto" w:sz="6" w:space="0"/>
            </w:tcBorders>
            <w:vAlign w:val="center"/>
          </w:tcPr>
          <w:p>
            <w:pPr>
              <w:pStyle w:val="26"/>
              <w:keepNext w:val="0"/>
              <w:keepLines w:val="0"/>
              <w:pageBreakBefore w:val="0"/>
              <w:kinsoku/>
              <w:overflowPunct/>
              <w:topLinePunct w:val="0"/>
              <w:bidi w:val="0"/>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eastAsia="zh-CN"/>
              </w:rPr>
              <w:t>1074700.00</w:t>
            </w:r>
            <w:r>
              <w:rPr>
                <w:rFonts w:hint="eastAsia" w:ascii="宋体" w:hAnsi="宋体" w:eastAsia="宋体" w:cs="宋体"/>
                <w:color w:val="auto"/>
                <w:kern w:val="2"/>
                <w:sz w:val="24"/>
                <w:szCs w:val="24"/>
              </w:rPr>
              <w:t>元(大写：</w:t>
            </w:r>
            <w:r>
              <w:rPr>
                <w:rFonts w:hint="eastAsia" w:ascii="宋体" w:hAnsi="宋体" w:eastAsia="宋体" w:cs="宋体"/>
                <w:color w:val="auto"/>
                <w:kern w:val="2"/>
                <w:sz w:val="24"/>
                <w:szCs w:val="24"/>
                <w:lang w:eastAsia="zh-CN"/>
              </w:rPr>
              <w:t>壹佰零柒万肆仟柒佰</w:t>
            </w:r>
            <w:r>
              <w:rPr>
                <w:rFonts w:hint="eastAsia" w:ascii="宋体" w:hAnsi="宋体" w:eastAsia="宋体" w:cs="宋体"/>
                <w:color w:val="auto"/>
                <w:kern w:val="2"/>
                <w:sz w:val="24"/>
                <w:szCs w:val="24"/>
              </w:rPr>
              <w:t>元整）。</w:t>
            </w:r>
          </w:p>
          <w:p>
            <w:pPr>
              <w:pStyle w:val="26"/>
              <w:keepNext w:val="0"/>
              <w:keepLines w:val="0"/>
              <w:pageBreakBefore w:val="0"/>
              <w:kinsoku/>
              <w:overflowPunct/>
              <w:topLinePunct w:val="0"/>
              <w:bidi w:val="0"/>
              <w:spacing w:line="312"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超过采购预算的报价无效。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32" w:hRule="atLeast"/>
          <w:jc w:val="center"/>
        </w:trPr>
        <w:tc>
          <w:tcPr>
            <w:tcW w:w="710" w:type="dxa"/>
            <w:vMerge w:val="continue"/>
            <w:tcBorders>
              <w:right w:val="single" w:color="auto" w:sz="6" w:space="0"/>
            </w:tcBorders>
            <w:vAlign w:val="center"/>
          </w:tcPr>
          <w:p>
            <w:pPr>
              <w:pStyle w:val="26"/>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lang w:val="zh-CN"/>
              </w:rPr>
            </w:pPr>
          </w:p>
        </w:tc>
        <w:tc>
          <w:tcPr>
            <w:tcW w:w="1854" w:type="dxa"/>
            <w:vMerge w:val="restart"/>
            <w:tcBorders>
              <w:top w:val="single" w:color="auto" w:sz="6" w:space="0"/>
              <w:left w:val="single" w:color="auto" w:sz="6" w:space="0"/>
              <w:right w:val="single" w:color="auto" w:sz="6" w:space="0"/>
            </w:tcBorders>
            <w:vAlign w:val="center"/>
          </w:tcPr>
          <w:p>
            <w:pPr>
              <w:pStyle w:val="26"/>
              <w:keepNext w:val="0"/>
              <w:keepLines w:val="0"/>
              <w:pageBreakBefore w:val="0"/>
              <w:kinsoku/>
              <w:overflowPunct/>
              <w:topLinePunct w:val="0"/>
              <w:bidi w:val="0"/>
              <w:snapToGrid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最高限价</w:t>
            </w:r>
          </w:p>
          <w:p>
            <w:pPr>
              <w:pStyle w:val="26"/>
              <w:keepNext w:val="0"/>
              <w:keepLines w:val="0"/>
              <w:pageBreakBefore w:val="0"/>
              <w:kinsoku/>
              <w:overflowPunct/>
              <w:topLinePunct w:val="0"/>
              <w:bidi w:val="0"/>
              <w:snapToGrid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实质性要求）</w:t>
            </w:r>
          </w:p>
        </w:tc>
        <w:tc>
          <w:tcPr>
            <w:tcW w:w="6656" w:type="dxa"/>
            <w:vMerge w:val="restart"/>
            <w:tcBorders>
              <w:top w:val="single" w:color="auto" w:sz="6" w:space="0"/>
              <w:left w:val="single" w:color="auto" w:sz="6" w:space="0"/>
            </w:tcBorders>
            <w:vAlign w:val="center"/>
          </w:tcPr>
          <w:p>
            <w:pPr>
              <w:pStyle w:val="26"/>
              <w:keepNext w:val="0"/>
              <w:keepLines w:val="0"/>
              <w:pageBreakBefore w:val="0"/>
              <w:kinsoku/>
              <w:overflowPunct/>
              <w:topLinePunct w:val="0"/>
              <w:bidi w:val="0"/>
              <w:spacing w:line="312" w:lineRule="auto"/>
              <w:ind w:firstLine="480" w:firstLineChars="200"/>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本项目按照单价折扣率进行报价。</w:t>
            </w:r>
          </w:p>
          <w:p>
            <w:pPr>
              <w:pStyle w:val="26"/>
              <w:keepNext w:val="0"/>
              <w:keepLines w:val="0"/>
              <w:pageBreakBefore w:val="0"/>
              <w:kinsoku/>
              <w:wordWrap w:val="0"/>
              <w:overflowPunct/>
              <w:topLinePunct w:val="0"/>
              <w:bidi w:val="0"/>
              <w:snapToGrid w:val="0"/>
              <w:spacing w:line="312" w:lineRule="auto"/>
              <w:ind w:firstLine="480" w:firstLineChars="200"/>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折扣率超过100.00%的报价无效。</w:t>
            </w:r>
          </w:p>
          <w:p>
            <w:pPr>
              <w:pStyle w:val="26"/>
              <w:keepNext w:val="0"/>
              <w:keepLines w:val="0"/>
              <w:pageBreakBefore w:val="0"/>
              <w:kinsoku/>
              <w:wordWrap w:val="0"/>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供应商最后报价超过本项目最高限价的作无效报价处理，不允许进入综合评审。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6" w:space="0"/>
              <w:right w:val="single" w:color="auto" w:sz="6" w:space="0"/>
            </w:tcBorders>
            <w:vAlign w:val="center"/>
          </w:tcPr>
          <w:p>
            <w:pPr>
              <w:pStyle w:val="26"/>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lang w:val="zh-CN"/>
              </w:rPr>
            </w:pPr>
          </w:p>
        </w:tc>
        <w:tc>
          <w:tcPr>
            <w:tcW w:w="1854" w:type="dxa"/>
            <w:vMerge w:val="continue"/>
            <w:tcBorders>
              <w:left w:val="single" w:color="auto" w:sz="6" w:space="0"/>
              <w:bottom w:val="single" w:color="auto" w:sz="6" w:space="0"/>
              <w:right w:val="single" w:color="auto" w:sz="6" w:space="0"/>
            </w:tcBorders>
            <w:vAlign w:val="center"/>
          </w:tcPr>
          <w:p>
            <w:pPr>
              <w:pStyle w:val="26"/>
              <w:keepNext w:val="0"/>
              <w:keepLines w:val="0"/>
              <w:pageBreakBefore w:val="0"/>
              <w:kinsoku/>
              <w:overflowPunct/>
              <w:topLinePunct w:val="0"/>
              <w:bidi w:val="0"/>
              <w:snapToGrid w:val="0"/>
              <w:spacing w:line="312" w:lineRule="auto"/>
              <w:jc w:val="center"/>
              <w:textAlignment w:val="auto"/>
              <w:rPr>
                <w:rFonts w:hint="eastAsia" w:ascii="宋体" w:hAnsi="宋体" w:eastAsia="宋体" w:cs="宋体"/>
                <w:color w:val="auto"/>
                <w:sz w:val="24"/>
                <w:szCs w:val="24"/>
                <w:lang w:val="zh-CN"/>
              </w:rPr>
            </w:pPr>
          </w:p>
        </w:tc>
        <w:tc>
          <w:tcPr>
            <w:tcW w:w="6656" w:type="dxa"/>
            <w:vMerge w:val="continue"/>
            <w:tcBorders>
              <w:left w:val="single" w:color="auto" w:sz="6" w:space="0"/>
              <w:bottom w:val="single" w:color="auto" w:sz="6" w:space="0"/>
            </w:tcBorders>
            <w:vAlign w:val="center"/>
          </w:tcPr>
          <w:p>
            <w:pPr>
              <w:pStyle w:val="26"/>
              <w:keepNext w:val="0"/>
              <w:keepLines w:val="0"/>
              <w:pageBreakBefore w:val="0"/>
              <w:kinsoku/>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1" w:hRule="atLeast"/>
          <w:jc w:val="center"/>
        </w:trPr>
        <w:tc>
          <w:tcPr>
            <w:tcW w:w="710" w:type="dxa"/>
            <w:tcBorders>
              <w:bottom w:val="single" w:color="auto" w:sz="6" w:space="0"/>
              <w:right w:val="single" w:color="auto" w:sz="6" w:space="0"/>
            </w:tcBorders>
            <w:vAlign w:val="center"/>
          </w:tcPr>
          <w:p>
            <w:pPr>
              <w:pStyle w:val="26"/>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854" w:type="dxa"/>
            <w:tcBorders>
              <w:top w:val="single" w:color="auto" w:sz="6" w:space="0"/>
              <w:left w:val="single" w:color="auto" w:sz="6" w:space="0"/>
              <w:bottom w:val="single" w:color="auto" w:sz="6" w:space="0"/>
              <w:right w:val="single" w:color="auto" w:sz="6" w:space="0"/>
            </w:tcBorders>
            <w:vAlign w:val="center"/>
          </w:tcPr>
          <w:p>
            <w:pPr>
              <w:pStyle w:val="26"/>
              <w:keepNext w:val="0"/>
              <w:keepLines w:val="0"/>
              <w:pageBreakBefore w:val="0"/>
              <w:kinsoku/>
              <w:overflowPunct/>
              <w:topLinePunct w:val="0"/>
              <w:bidi w:val="0"/>
              <w:snapToGrid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是否允许分包</w:t>
            </w:r>
          </w:p>
          <w:p>
            <w:pPr>
              <w:pStyle w:val="26"/>
              <w:keepNext w:val="0"/>
              <w:keepLines w:val="0"/>
              <w:pageBreakBefore w:val="0"/>
              <w:kinsoku/>
              <w:overflowPunct/>
              <w:topLinePunct w:val="0"/>
              <w:bidi w:val="0"/>
              <w:snapToGrid w:val="0"/>
              <w:spacing w:line="312" w:lineRule="auto"/>
              <w:jc w:val="center"/>
              <w:textAlignment w:val="auto"/>
              <w:rPr>
                <w:rFonts w:hint="eastAsia" w:ascii="宋体" w:hAnsi="宋体" w:eastAsia="宋体" w:cs="宋体"/>
                <w:color w:val="auto"/>
                <w:sz w:val="24"/>
                <w:szCs w:val="24"/>
                <w:lang w:val="zh-CN" w:eastAsia="zh-CN" w:bidi="ar-SA"/>
              </w:rPr>
            </w:pP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实质性要求）</w:t>
            </w:r>
          </w:p>
        </w:tc>
        <w:tc>
          <w:tcPr>
            <w:tcW w:w="6656" w:type="dxa"/>
            <w:tcBorders>
              <w:top w:val="single" w:color="auto" w:sz="6" w:space="0"/>
              <w:left w:val="single" w:color="auto" w:sz="6" w:space="0"/>
              <w:bottom w:val="single" w:color="auto" w:sz="6" w:space="0"/>
            </w:tcBorders>
            <w:vAlign w:val="center"/>
          </w:tcPr>
          <w:p>
            <w:pPr>
              <w:pStyle w:val="26"/>
              <w:keepNext w:val="0"/>
              <w:keepLines w:val="0"/>
              <w:pageBreakBefore w:val="0"/>
              <w:kinsoku/>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6" w:space="0"/>
              <w:right w:val="single" w:color="auto" w:sz="6" w:space="0"/>
            </w:tcBorders>
            <w:vAlign w:val="center"/>
          </w:tcPr>
          <w:p>
            <w:pPr>
              <w:pStyle w:val="26"/>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1854" w:type="dxa"/>
            <w:tcBorders>
              <w:top w:val="single" w:color="auto" w:sz="6" w:space="0"/>
              <w:left w:val="single" w:color="auto" w:sz="6" w:space="0"/>
              <w:bottom w:val="single" w:color="auto" w:sz="6" w:space="0"/>
              <w:right w:val="single" w:color="auto" w:sz="6" w:space="0"/>
            </w:tcBorders>
            <w:vAlign w:val="center"/>
          </w:tcPr>
          <w:p>
            <w:pPr>
              <w:pStyle w:val="26"/>
              <w:keepNext w:val="0"/>
              <w:keepLines w:val="0"/>
              <w:pageBreakBefore w:val="0"/>
              <w:numPr>
                <w:ilvl w:val="1"/>
                <w:numId w:val="0"/>
              </w:numPr>
              <w:kinsoku/>
              <w:wordWrap/>
              <w:overflowPunct/>
              <w:topLinePunct w:val="0"/>
              <w:bidi w:val="0"/>
              <w:spacing w:line="312" w:lineRule="auto"/>
              <w:ind w:left="38"/>
              <w:jc w:val="center"/>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低于成本价不正当竞争预防措施</w:t>
            </w:r>
          </w:p>
          <w:p>
            <w:pPr>
              <w:pStyle w:val="26"/>
              <w:keepNext w:val="0"/>
              <w:keepLines w:val="0"/>
              <w:pageBreakBefore w:val="0"/>
              <w:numPr>
                <w:ilvl w:val="1"/>
                <w:numId w:val="0"/>
              </w:numPr>
              <w:kinsoku/>
              <w:wordWrap/>
              <w:overflowPunct/>
              <w:topLinePunct w:val="0"/>
              <w:bidi w:val="0"/>
              <w:spacing w:line="312" w:lineRule="auto"/>
              <w:ind w:left="38" w:leftChars="0"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实质性要求）</w:t>
            </w:r>
          </w:p>
        </w:tc>
        <w:tc>
          <w:tcPr>
            <w:tcW w:w="6656" w:type="dxa"/>
            <w:tcBorders>
              <w:top w:val="single" w:color="auto" w:sz="6" w:space="0"/>
              <w:left w:val="single" w:color="auto" w:sz="6" w:space="0"/>
              <w:bottom w:val="single" w:color="auto" w:sz="6" w:space="0"/>
            </w:tcBorders>
            <w:vAlign w:val="center"/>
          </w:tcPr>
          <w:p>
            <w:pPr>
              <w:pStyle w:val="15"/>
              <w:keepNext w:val="0"/>
              <w:keepLines w:val="0"/>
              <w:pageBreakBefore w:val="0"/>
              <w:kinsoku/>
              <w:wordWrap/>
              <w:overflowPunct/>
              <w:topLinePunct w:val="0"/>
              <w:bidi w:val="0"/>
              <w:snapToGrid/>
              <w:spacing w:before="0" w:beforeAutospacing="0" w:after="0" w:afterAutospacing="0" w:line="312"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在评审过程中，供应商报价有可能影响产品质量或者不能诚信履约的，磋商小组应当要求其在磋商现场合理的时间内提供书面说明，并提交相关证明材料，供应商不能证明其报价合理性的，磋商小组应当将其作为无效处理。</w:t>
            </w:r>
          </w:p>
          <w:p>
            <w:pPr>
              <w:pStyle w:val="15"/>
              <w:keepNext w:val="0"/>
              <w:keepLines w:val="0"/>
              <w:pageBreakBefore w:val="0"/>
              <w:kinsoku/>
              <w:wordWrap/>
              <w:overflowPunct/>
              <w:topLinePunct w:val="0"/>
              <w:bidi w:val="0"/>
              <w:snapToGrid/>
              <w:spacing w:before="0" w:beforeAutospacing="0" w:after="0" w:afterAutospacing="0" w:line="312"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供应商的书面说明材料应当按照国家财务会计制度的规定要求，逐项就供应商提供的货物和服务的主营业务成本、税金及附加、销售费用、管理费用、财务费用等成本构成事项详细陈述）。</w:t>
            </w:r>
          </w:p>
          <w:p>
            <w:pPr>
              <w:pStyle w:val="15"/>
              <w:keepNext w:val="0"/>
              <w:keepLines w:val="0"/>
              <w:pageBreakBefore w:val="0"/>
              <w:kinsoku/>
              <w:wordWrap/>
              <w:overflowPunct/>
              <w:topLinePunct w:val="0"/>
              <w:bidi w:val="0"/>
              <w:snapToGrid/>
              <w:spacing w:before="0" w:beforeAutospacing="0" w:after="0" w:afterAutospacing="0" w:line="312"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 xml:space="preserve">供应商书面说明应当签字确认或者加盖公章，否则无效。书面说明的签字确认，由其法定代表人或者其授权代表签字确认。 </w:t>
            </w:r>
          </w:p>
          <w:p>
            <w:pPr>
              <w:pStyle w:val="26"/>
              <w:keepNext w:val="0"/>
              <w:keepLines w:val="0"/>
              <w:pageBreakBefore w:val="0"/>
              <w:numPr>
                <w:ilvl w:val="1"/>
                <w:numId w:val="0"/>
              </w:numPr>
              <w:kinsoku/>
              <w:wordWrap/>
              <w:overflowPunct/>
              <w:topLinePunct w:val="0"/>
              <w:bidi w:val="0"/>
              <w:snapToGrid/>
              <w:spacing w:line="312"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restart"/>
            <w:tcBorders>
              <w:right w:val="single" w:color="auto" w:sz="6" w:space="0"/>
            </w:tcBorders>
            <w:vAlign w:val="center"/>
          </w:tcPr>
          <w:p>
            <w:pPr>
              <w:pStyle w:val="26"/>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1854" w:type="dxa"/>
            <w:vMerge w:val="restart"/>
            <w:tcBorders>
              <w:top w:val="single" w:color="auto" w:sz="6" w:space="0"/>
              <w:left w:val="single" w:color="auto" w:sz="6" w:space="0"/>
              <w:right w:val="single" w:color="auto" w:sz="6" w:space="0"/>
            </w:tcBorders>
            <w:vAlign w:val="center"/>
          </w:tcPr>
          <w:p>
            <w:pPr>
              <w:pStyle w:val="26"/>
              <w:keepNext w:val="0"/>
              <w:keepLines w:val="0"/>
              <w:pageBreakBefore w:val="0"/>
              <w:kinsoku/>
              <w:overflowPunct/>
              <w:topLinePunct w:val="0"/>
              <w:bidi w:val="0"/>
              <w:spacing w:line="312" w:lineRule="auto"/>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小微企业（监狱企业、残疾人福利性单位视同小微企业）价格扣除和失信企业报价加成</w:t>
            </w:r>
          </w:p>
          <w:p>
            <w:pPr>
              <w:pStyle w:val="26"/>
              <w:keepNext w:val="0"/>
              <w:keepLines w:val="0"/>
              <w:pageBreakBefore w:val="0"/>
              <w:kinsoku/>
              <w:overflowPunct/>
              <w:topLinePunct w:val="0"/>
              <w:bidi w:val="0"/>
              <w:snapToGrid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（实质性要求）</w:t>
            </w:r>
          </w:p>
        </w:tc>
        <w:tc>
          <w:tcPr>
            <w:tcW w:w="6656" w:type="dxa"/>
            <w:tcBorders>
              <w:top w:val="single" w:color="auto" w:sz="6" w:space="0"/>
              <w:left w:val="single" w:color="auto" w:sz="6" w:space="0"/>
              <w:bottom w:val="single" w:color="auto" w:sz="6" w:space="0"/>
            </w:tcBorders>
            <w:vAlign w:val="top"/>
          </w:tcPr>
          <w:p>
            <w:pPr>
              <w:keepNext w:val="0"/>
              <w:keepLines w:val="0"/>
              <w:pageBreakBefore w:val="0"/>
              <w:widowControl/>
              <w:suppressLineNumbers w:val="0"/>
              <w:kinsoku/>
              <w:wordWrap w:val="0"/>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本项目是专门面向中小企业采购</w:t>
            </w:r>
            <w:r>
              <w:rPr>
                <w:rFonts w:hint="eastAsia" w:ascii="宋体" w:hAnsi="宋体" w:eastAsia="宋体" w:cs="宋体"/>
                <w:b/>
                <w:color w:val="auto"/>
                <w:kern w:val="0"/>
                <w:sz w:val="24"/>
                <w:szCs w:val="24"/>
                <w:highlight w:val="none"/>
                <w:lang w:val="en-US" w:eastAsia="zh-CN" w:bidi="ar-SA"/>
              </w:rPr>
              <w:t>(实质性要求)</w:t>
            </w:r>
            <w:r>
              <w:rPr>
                <w:rFonts w:hint="eastAsia" w:ascii="宋体" w:hAnsi="宋体" w:eastAsia="宋体" w:cs="宋体"/>
                <w:color w:val="auto"/>
                <w:kern w:val="0"/>
                <w:sz w:val="24"/>
                <w:szCs w:val="24"/>
                <w:highlight w:val="none"/>
                <w:lang w:val="en-US" w:eastAsia="zh-CN" w:bidi="ar-SA"/>
              </w:rPr>
              <w:t xml:space="preserve">。 </w:t>
            </w:r>
          </w:p>
          <w:p>
            <w:pPr>
              <w:keepNext w:val="0"/>
              <w:keepLines w:val="0"/>
              <w:pageBreakBefore w:val="0"/>
              <w:widowControl/>
              <w:suppressLineNumbers w:val="0"/>
              <w:kinsoku/>
              <w:wordWrap w:val="0"/>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备注：监狱企业、残疾人福利性单位视同小微企业。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continue"/>
            <w:tcBorders>
              <w:right w:val="single" w:color="auto" w:sz="6" w:space="0"/>
            </w:tcBorders>
            <w:vAlign w:val="center"/>
          </w:tcPr>
          <w:p>
            <w:pPr>
              <w:pStyle w:val="26"/>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lang w:val="zh-CN"/>
              </w:rPr>
            </w:pPr>
          </w:p>
        </w:tc>
        <w:tc>
          <w:tcPr>
            <w:tcW w:w="1854" w:type="dxa"/>
            <w:vMerge w:val="continue"/>
            <w:tcBorders>
              <w:left w:val="single" w:color="auto" w:sz="6" w:space="0"/>
              <w:right w:val="single" w:color="auto" w:sz="6" w:space="0"/>
            </w:tcBorders>
            <w:vAlign w:val="center"/>
          </w:tcPr>
          <w:p>
            <w:pPr>
              <w:pStyle w:val="26"/>
              <w:keepNext w:val="0"/>
              <w:keepLines w:val="0"/>
              <w:pageBreakBefore w:val="0"/>
              <w:kinsoku/>
              <w:overflowPunct/>
              <w:topLinePunct w:val="0"/>
              <w:bidi w:val="0"/>
              <w:snapToGrid w:val="0"/>
              <w:spacing w:line="312" w:lineRule="auto"/>
              <w:jc w:val="center"/>
              <w:textAlignment w:val="auto"/>
              <w:rPr>
                <w:rFonts w:hint="eastAsia" w:ascii="宋体" w:hAnsi="宋体" w:eastAsia="宋体" w:cs="宋体"/>
                <w:b/>
                <w:bCs/>
                <w:color w:val="auto"/>
                <w:sz w:val="24"/>
                <w:szCs w:val="24"/>
                <w:lang w:val="zh-CN"/>
              </w:rPr>
            </w:pPr>
          </w:p>
        </w:tc>
        <w:tc>
          <w:tcPr>
            <w:tcW w:w="6656" w:type="dxa"/>
            <w:tcBorders>
              <w:top w:val="single" w:color="auto" w:sz="6" w:space="0"/>
              <w:left w:val="single" w:color="auto" w:sz="6" w:space="0"/>
              <w:bottom w:val="single" w:color="auto" w:sz="6" w:space="0"/>
            </w:tcBorders>
            <w:vAlign w:val="top"/>
          </w:tcPr>
          <w:p>
            <w:pPr>
              <w:keepNext w:val="0"/>
              <w:keepLines w:val="0"/>
              <w:pageBreakBefore w:val="0"/>
              <w:widowControl/>
              <w:suppressLineNumbers w:val="0"/>
              <w:kinsoku/>
              <w:wordWrap w:val="0"/>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行业类别:</w:t>
            </w:r>
            <w:r>
              <w:rPr>
                <w:rFonts w:hint="eastAsia" w:ascii="宋体" w:hAnsi="宋体" w:eastAsia="宋体" w:cs="宋体"/>
                <w:i w:val="0"/>
                <w:iCs w:val="0"/>
                <w:caps w:val="0"/>
                <w:color w:val="auto"/>
                <w:spacing w:val="0"/>
                <w:sz w:val="24"/>
                <w:szCs w:val="24"/>
                <w:shd w:val="clear" w:fill="FFFFFF"/>
                <w:lang w:eastAsia="zh-CN"/>
              </w:rPr>
              <w:t>其他未列明行业</w:t>
            </w:r>
            <w:r>
              <w:rPr>
                <w:rFonts w:hint="eastAsia" w:ascii="宋体" w:hAnsi="宋体" w:eastAsia="宋体" w:cs="宋体"/>
                <w:b w:val="0"/>
                <w:bCs w:val="0"/>
                <w:i w:val="0"/>
                <w:iCs w:val="0"/>
                <w:caps w:val="0"/>
                <w:color w:val="auto"/>
                <w:spacing w:val="0"/>
                <w:sz w:val="24"/>
                <w:szCs w:val="24"/>
                <w:shd w:val="clear" w:fill="FFFFFF"/>
                <w:lang w:val="en-US" w:eastAsia="zh-CN"/>
              </w:rPr>
              <w:t>,</w:t>
            </w:r>
            <w:r>
              <w:rPr>
                <w:rFonts w:hint="eastAsia" w:ascii="宋体" w:hAnsi="宋体" w:eastAsia="宋体" w:cs="宋体"/>
                <w:color w:val="auto"/>
                <w:kern w:val="0"/>
                <w:sz w:val="24"/>
                <w:szCs w:val="24"/>
                <w:highlight w:val="none"/>
                <w:lang w:val="en-US" w:eastAsia="zh-CN" w:bidi="ar-SA"/>
              </w:rPr>
              <w:t>企业划型标准依据《工业和信息化部、国家统计局、国家发展和改革委员 会、财政部关于印发中小企业划型标准规定的通知》（工信部联企业〔2011〕300 号）规定的划分。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continue"/>
            <w:tcBorders>
              <w:bottom w:val="single" w:color="auto" w:sz="6" w:space="0"/>
              <w:right w:val="single" w:color="auto" w:sz="6" w:space="0"/>
            </w:tcBorders>
            <w:vAlign w:val="center"/>
          </w:tcPr>
          <w:p>
            <w:pPr>
              <w:pStyle w:val="26"/>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lang w:val="zh-CN"/>
              </w:rPr>
            </w:pPr>
          </w:p>
        </w:tc>
        <w:tc>
          <w:tcPr>
            <w:tcW w:w="1854" w:type="dxa"/>
            <w:vMerge w:val="continue"/>
            <w:tcBorders>
              <w:left w:val="single" w:color="auto" w:sz="6" w:space="0"/>
              <w:bottom w:val="single" w:color="auto" w:sz="6" w:space="0"/>
              <w:right w:val="single" w:color="auto" w:sz="6" w:space="0"/>
            </w:tcBorders>
            <w:vAlign w:val="center"/>
          </w:tcPr>
          <w:p>
            <w:pPr>
              <w:pStyle w:val="26"/>
              <w:keepNext w:val="0"/>
              <w:keepLines w:val="0"/>
              <w:pageBreakBefore w:val="0"/>
              <w:kinsoku/>
              <w:overflowPunct/>
              <w:topLinePunct w:val="0"/>
              <w:bidi w:val="0"/>
              <w:snapToGrid w:val="0"/>
              <w:spacing w:line="312" w:lineRule="auto"/>
              <w:jc w:val="center"/>
              <w:textAlignment w:val="auto"/>
              <w:rPr>
                <w:rFonts w:hint="eastAsia" w:ascii="宋体" w:hAnsi="宋体" w:eastAsia="宋体" w:cs="宋体"/>
                <w:b/>
                <w:bCs/>
                <w:color w:val="auto"/>
                <w:sz w:val="24"/>
                <w:szCs w:val="24"/>
                <w:lang w:val="zh-CN"/>
              </w:rPr>
            </w:pPr>
          </w:p>
        </w:tc>
        <w:tc>
          <w:tcPr>
            <w:tcW w:w="6656" w:type="dxa"/>
            <w:tcBorders>
              <w:top w:val="single" w:color="auto" w:sz="6" w:space="0"/>
              <w:left w:val="single" w:color="auto" w:sz="6" w:space="0"/>
              <w:bottom w:val="single" w:color="auto" w:sz="6" w:space="0"/>
            </w:tcBorders>
            <w:vAlign w:val="top"/>
          </w:tcPr>
          <w:p>
            <w:pPr>
              <w:keepNext w:val="0"/>
              <w:keepLines w:val="0"/>
              <w:pageBreakBefore w:val="0"/>
              <w:widowControl/>
              <w:suppressLineNumbers w:val="0"/>
              <w:kinsoku/>
              <w:wordWrap w:val="0"/>
              <w:overflowPunct/>
              <w:topLinePunct w:val="0"/>
              <w:bidi w:val="0"/>
              <w:spacing w:line="312"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一、对于非专门面向中小企业的项目或采购包，小微企业（监狱企业、残疾人福利性单位视同小微企业）价格扣除规定如下：</w:t>
            </w:r>
          </w:p>
          <w:p>
            <w:pPr>
              <w:keepNext w:val="0"/>
              <w:keepLines w:val="0"/>
              <w:pageBreakBefore w:val="0"/>
              <w:widowControl/>
              <w:suppressLineNumbers w:val="0"/>
              <w:kinsoku/>
              <w:wordWrap w:val="0"/>
              <w:overflowPunct/>
              <w:topLinePunct w:val="0"/>
              <w:bidi w:val="0"/>
              <w:spacing w:line="312"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1．根据《政府采购促进中小企业发展管理办法》（财库[2020]46 号）的规定，对小型和微型企业产品的价格给予 10%的价格扣除，用扣除后的价格参与评审。参加政府采购活动的中小企业应当提供《中小企业声明函》原件； </w:t>
            </w:r>
          </w:p>
          <w:p>
            <w:pPr>
              <w:keepNext w:val="0"/>
              <w:keepLines w:val="0"/>
              <w:pageBreakBefore w:val="0"/>
              <w:widowControl/>
              <w:suppressLineNumbers w:val="0"/>
              <w:kinsoku/>
              <w:wordWrap w:val="0"/>
              <w:overflowPunct/>
              <w:topLinePunct w:val="0"/>
              <w:bidi w:val="0"/>
              <w:spacing w:line="312"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2．根据《财政部、司法部关于政府采购支持 监狱企业发展有关问题的通知》（财库〔2014〕68 号）的规定，监狱企业视同小微企业，参加政府采购活动的监狱企业应当提供省级以上监狱管理局、戒毒管理局（含新疆生产建设兵团）出具的属于监狱企业的证明文件。 </w:t>
            </w:r>
          </w:p>
          <w:p>
            <w:pPr>
              <w:keepNext w:val="0"/>
              <w:keepLines w:val="0"/>
              <w:pageBreakBefore w:val="0"/>
              <w:widowControl/>
              <w:suppressLineNumbers w:val="0"/>
              <w:kinsoku/>
              <w:wordWrap w:val="0"/>
              <w:overflowPunct/>
              <w:topLinePunct w:val="0"/>
              <w:bidi w:val="0"/>
              <w:spacing w:line="312"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3．根据《三部门联合发布关于促进残疾人就业政府采购政策的通知》（财库〔2017〕141 号）的规定，残疾人福利性单位属于小型、微型企业的，不重复享受政策。参加政府采购活动的残疾人福利性单位应当提供《残疾人福利性单位声明函》原件（本项目成交供应商属于残疾人福利性单位的，在结果公告中将同时公示其声明函）。 </w:t>
            </w:r>
          </w:p>
          <w:p>
            <w:pPr>
              <w:keepNext w:val="0"/>
              <w:keepLines w:val="0"/>
              <w:pageBreakBefore w:val="0"/>
              <w:widowControl/>
              <w:suppressLineNumbers w:val="0"/>
              <w:kinsoku/>
              <w:wordWrap w:val="0"/>
              <w:overflowPunct/>
              <w:topLinePunct w:val="0"/>
              <w:bidi w:val="0"/>
              <w:spacing w:line="312"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4.供应商在参加政府采购活动时，提供以上虚假声明或证明材料的，按《中华人民共和国政府采购法》第七十七条规定处理。 </w:t>
            </w:r>
          </w:p>
          <w:p>
            <w:pPr>
              <w:keepNext w:val="0"/>
              <w:keepLines w:val="0"/>
              <w:pageBreakBefore w:val="0"/>
              <w:widowControl/>
              <w:suppressLineNumbers w:val="0"/>
              <w:kinsoku/>
              <w:wordWrap w:val="0"/>
              <w:overflowPunct/>
              <w:topLinePunct w:val="0"/>
              <w:bidi w:val="0"/>
              <w:spacing w:line="312"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5.大中型企业和其他自然人、法人或者其他组织与小型、微型企业组成联合体共同参加非专门面向中小企业的政府采购活动的，联合体投标协议中约定，小型、微型企业的协议合同金额占到联合体投标协议合同总金额 30%以上的，可给予联合体 3%的价格扣除。 </w:t>
            </w:r>
          </w:p>
          <w:p>
            <w:pPr>
              <w:keepNext w:val="0"/>
              <w:keepLines w:val="0"/>
              <w:pageBreakBefore w:val="0"/>
              <w:widowControl/>
              <w:suppressLineNumbers w:val="0"/>
              <w:kinsoku/>
              <w:wordWrap w:val="0"/>
              <w:overflowPunct/>
              <w:topLinePunct w:val="0"/>
              <w:bidi w:val="0"/>
              <w:spacing w:line="312"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6.联合体各方均为小型、微型企业的，联合体视同为小型、微型企业享受规定的扶持政策。组成联合体的大中型企业和其他自然人、法人或者其他组织，与小型、微型企业之间不得存在投资关系。 </w:t>
            </w:r>
          </w:p>
          <w:p>
            <w:pPr>
              <w:keepNext w:val="0"/>
              <w:keepLines w:val="0"/>
              <w:pageBreakBefore w:val="0"/>
              <w:widowControl/>
              <w:suppressLineNumbers w:val="0"/>
              <w:kinsoku/>
              <w:wordWrap w:val="0"/>
              <w:overflowPunct/>
              <w:topLinePunct w:val="0"/>
              <w:bidi w:val="0"/>
              <w:spacing w:line="312"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二、失信企业报价加成或者扣分 </w:t>
            </w:r>
          </w:p>
          <w:p>
            <w:pPr>
              <w:keepNext w:val="0"/>
              <w:keepLines w:val="0"/>
              <w:pageBreakBefore w:val="0"/>
              <w:kinsoku/>
              <w:overflowPunct/>
              <w:topLinePunct w:val="0"/>
              <w:bidi w:val="0"/>
              <w:spacing w:line="312" w:lineRule="auto"/>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1.对记入诚信档案且在有效期内的失信供应商，参加政府</w:t>
            </w:r>
            <w:r>
              <w:rPr>
                <w:rFonts w:hint="eastAsia" w:ascii="宋体" w:hAnsi="宋体" w:eastAsia="宋体" w:cs="宋体"/>
                <w:color w:val="auto"/>
                <w:sz w:val="24"/>
                <w:szCs w:val="24"/>
                <w:lang w:eastAsia="zh-CN"/>
              </w:rPr>
              <w:t>采购活动按照10%的报价加成，以加成后报价作为该供应商报价参与评审。供应商失信行为惩戒实行无限制累加制，因其失信行为进行报价加成惩戒后报价超过政府采购预算的，其响应文件按照无效处理。</w:t>
            </w:r>
            <w:r>
              <w:rPr>
                <w:rFonts w:hint="eastAsia" w:ascii="宋体" w:hAnsi="宋体" w:eastAsia="宋体" w:cs="宋体"/>
                <w:color w:val="auto"/>
                <w:kern w:val="0"/>
                <w:sz w:val="24"/>
                <w:szCs w:val="24"/>
                <w:lang w:val="en-US" w:eastAsia="zh-CN" w:bidi="ar-SA"/>
              </w:rPr>
              <w:t xml:space="preserve"> </w:t>
            </w:r>
          </w:p>
          <w:p>
            <w:pPr>
              <w:keepNext w:val="0"/>
              <w:keepLines w:val="0"/>
              <w:pageBreakBefore w:val="0"/>
              <w:widowControl/>
              <w:suppressLineNumbers w:val="0"/>
              <w:kinsoku/>
              <w:wordWrap w:val="0"/>
              <w:overflowPunct/>
              <w:topLinePunct w:val="0"/>
              <w:bidi w:val="0"/>
              <w:spacing w:line="312"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2.供应商参加政府采购活动时，应当就自己的诚信情况在响应文件中进行承诺。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54" w:type="dxa"/>
            <w:tcBorders>
              <w:top w:val="single" w:color="auto" w:sz="6" w:space="0"/>
              <w:left w:val="single" w:color="auto" w:sz="6" w:space="0"/>
              <w:bottom w:val="single" w:color="auto" w:sz="6" w:space="0"/>
              <w:right w:val="single" w:color="auto" w:sz="6" w:space="0"/>
            </w:tcBorders>
            <w:vAlign w:val="center"/>
          </w:tcPr>
          <w:p>
            <w:pPr>
              <w:pStyle w:val="26"/>
              <w:keepNext w:val="0"/>
              <w:keepLines w:val="0"/>
              <w:pageBreakBefore w:val="0"/>
              <w:kinsoku/>
              <w:overflowPunct/>
              <w:topLinePunct w:val="0"/>
              <w:bidi w:val="0"/>
              <w:snapToGrid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采购方式</w:t>
            </w:r>
          </w:p>
        </w:tc>
        <w:tc>
          <w:tcPr>
            <w:tcW w:w="6656" w:type="dxa"/>
            <w:tcBorders>
              <w:top w:val="single" w:color="auto" w:sz="6" w:space="0"/>
              <w:left w:val="single" w:color="auto" w:sz="6" w:space="0"/>
              <w:bottom w:val="single" w:color="auto" w:sz="6" w:space="0"/>
            </w:tcBorders>
            <w:vAlign w:val="center"/>
          </w:tcPr>
          <w:p>
            <w:pPr>
              <w:pStyle w:val="26"/>
              <w:keepNext w:val="0"/>
              <w:keepLines w:val="0"/>
              <w:pageBreakBefore w:val="0"/>
              <w:kinsoku/>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5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评标方法</w:t>
            </w:r>
          </w:p>
        </w:tc>
        <w:tc>
          <w:tcPr>
            <w:tcW w:w="6656" w:type="dxa"/>
            <w:tcBorders>
              <w:top w:val="single" w:color="auto" w:sz="6" w:space="0"/>
              <w:left w:val="single" w:color="auto" w:sz="6" w:space="0"/>
              <w:bottom w:val="single" w:color="auto" w:sz="6" w:space="0"/>
            </w:tcBorders>
            <w:vAlign w:val="center"/>
          </w:tcPr>
          <w:p>
            <w:pPr>
              <w:keepNext w:val="0"/>
              <w:keepLines w:val="0"/>
              <w:pageBreakBefore w:val="0"/>
              <w:kinsoku/>
              <w:overflowPunct/>
              <w:topLinePunct w:val="0"/>
              <w:bidi w:val="0"/>
              <w:spacing w:line="312"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综合评分法。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54" w:type="dxa"/>
            <w:tcBorders>
              <w:top w:val="single" w:color="auto" w:sz="6" w:space="0"/>
              <w:left w:val="single" w:color="auto" w:sz="6" w:space="0"/>
              <w:bottom w:val="single" w:color="auto" w:sz="6" w:space="0"/>
              <w:right w:val="single" w:color="auto" w:sz="6" w:space="0"/>
            </w:tcBorders>
            <w:vAlign w:val="center"/>
          </w:tcPr>
          <w:p>
            <w:pPr>
              <w:pStyle w:val="26"/>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联合体投标</w:t>
            </w:r>
          </w:p>
          <w:p>
            <w:pPr>
              <w:pStyle w:val="26"/>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（实质性要求）</w:t>
            </w:r>
          </w:p>
        </w:tc>
        <w:tc>
          <w:tcPr>
            <w:tcW w:w="6656" w:type="dxa"/>
            <w:tcBorders>
              <w:top w:val="single" w:color="auto" w:sz="6" w:space="0"/>
              <w:left w:val="single" w:color="auto" w:sz="6" w:space="0"/>
              <w:bottom w:val="single" w:color="auto" w:sz="6" w:space="0"/>
            </w:tcBorders>
            <w:vAlign w:val="center"/>
          </w:tcPr>
          <w:p>
            <w:pPr>
              <w:pStyle w:val="26"/>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本项目不允许联合体参与磋商。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54" w:type="dxa"/>
            <w:tcBorders>
              <w:top w:val="single" w:color="auto" w:sz="6" w:space="0"/>
              <w:left w:val="single" w:color="auto" w:sz="6" w:space="0"/>
              <w:bottom w:val="single" w:color="auto" w:sz="6" w:space="0"/>
              <w:right w:val="single" w:color="auto" w:sz="6" w:space="0"/>
            </w:tcBorders>
            <w:vAlign w:val="center"/>
          </w:tcPr>
          <w:p>
            <w:pPr>
              <w:pStyle w:val="26"/>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进口产品</w:t>
            </w:r>
          </w:p>
          <w:p>
            <w:pPr>
              <w:pStyle w:val="26"/>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实质性要求）</w:t>
            </w:r>
          </w:p>
        </w:tc>
        <w:tc>
          <w:tcPr>
            <w:tcW w:w="6656" w:type="dxa"/>
            <w:tcBorders>
              <w:top w:val="single" w:color="auto" w:sz="6" w:space="0"/>
              <w:left w:val="single" w:color="auto" w:sz="6" w:space="0"/>
              <w:bottom w:val="single" w:color="auto" w:sz="6" w:space="0"/>
            </w:tcBorders>
            <w:vAlign w:val="center"/>
          </w:tcPr>
          <w:p>
            <w:pPr>
              <w:pStyle w:val="26"/>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本项目不涉及。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54" w:type="dxa"/>
            <w:tcBorders>
              <w:top w:val="single" w:color="auto" w:sz="6" w:space="0"/>
              <w:left w:val="single" w:color="auto" w:sz="6" w:space="0"/>
              <w:bottom w:val="single" w:color="auto" w:sz="6" w:space="0"/>
              <w:right w:val="single" w:color="auto" w:sz="6" w:space="0"/>
            </w:tcBorders>
            <w:vAlign w:val="center"/>
          </w:tcPr>
          <w:p>
            <w:pPr>
              <w:pStyle w:val="26"/>
              <w:keepNext w:val="0"/>
              <w:keepLines w:val="0"/>
              <w:pageBreakBefore w:val="0"/>
              <w:widowControl w:val="0"/>
              <w:kinsoku/>
              <w:wordWrap/>
              <w:overflowPunct/>
              <w:topLinePunct w:val="0"/>
              <w:bidi w:val="0"/>
              <w:snapToGrid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国家规定的优先、强制采购范围（节能、环保）</w:t>
            </w:r>
          </w:p>
        </w:tc>
        <w:tc>
          <w:tcPr>
            <w:tcW w:w="6656" w:type="dxa"/>
            <w:tcBorders>
              <w:top w:val="single" w:color="auto" w:sz="6" w:space="0"/>
              <w:left w:val="single" w:color="auto" w:sz="6" w:space="0"/>
              <w:bottom w:val="single" w:color="auto" w:sz="6" w:space="0"/>
            </w:tcBorders>
            <w:vAlign w:val="center"/>
          </w:tcPr>
          <w:p>
            <w:pPr>
              <w:pStyle w:val="26"/>
              <w:keepNext w:val="0"/>
              <w:keepLines w:val="0"/>
              <w:pageBreakBefore w:val="0"/>
              <w:widowControl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详见磋商文件第六章。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54" w:type="dxa"/>
            <w:tcBorders>
              <w:top w:val="single" w:color="auto" w:sz="6" w:space="0"/>
              <w:left w:val="single" w:color="auto" w:sz="6" w:space="0"/>
              <w:bottom w:val="single" w:color="auto" w:sz="6" w:space="0"/>
              <w:right w:val="single" w:color="auto" w:sz="6" w:space="0"/>
            </w:tcBorders>
            <w:vAlign w:val="center"/>
          </w:tcPr>
          <w:p>
            <w:pPr>
              <w:pStyle w:val="26"/>
              <w:keepNext w:val="0"/>
              <w:keepLines w:val="0"/>
              <w:pageBreakBefore w:val="0"/>
              <w:widowControl w:val="0"/>
              <w:kinsoku/>
              <w:wordWrap/>
              <w:overflowPunct/>
              <w:topLinePunct w:val="0"/>
              <w:bidi w:val="0"/>
              <w:snapToGrid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构成磋商文件的</w:t>
            </w:r>
          </w:p>
          <w:p>
            <w:pPr>
              <w:pStyle w:val="26"/>
              <w:keepNext w:val="0"/>
              <w:keepLines w:val="0"/>
              <w:pageBreakBefore w:val="0"/>
              <w:widowControl w:val="0"/>
              <w:kinsoku/>
              <w:wordWrap/>
              <w:overflowPunct/>
              <w:topLinePunct w:val="0"/>
              <w:bidi w:val="0"/>
              <w:snapToGrid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其他文件</w:t>
            </w:r>
          </w:p>
        </w:tc>
        <w:tc>
          <w:tcPr>
            <w:tcW w:w="6656" w:type="dxa"/>
            <w:tcBorders>
              <w:top w:val="single" w:color="auto" w:sz="6" w:space="0"/>
              <w:left w:val="single" w:color="auto" w:sz="6" w:space="0"/>
              <w:bottom w:val="single" w:color="auto" w:sz="6" w:space="0"/>
            </w:tcBorders>
            <w:vAlign w:val="center"/>
          </w:tcPr>
          <w:p>
            <w:pPr>
              <w:pStyle w:val="26"/>
              <w:keepNext w:val="0"/>
              <w:keepLines w:val="0"/>
              <w:pageBreakBefore w:val="0"/>
              <w:widowControl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磋商文件的澄清、修改书及有关补充通知为磋商文件的有效组成部分。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854" w:type="dxa"/>
            <w:tcBorders>
              <w:top w:val="single" w:color="auto" w:sz="6" w:space="0"/>
              <w:left w:val="single" w:color="auto" w:sz="6" w:space="0"/>
              <w:bottom w:val="single" w:color="auto" w:sz="6" w:space="0"/>
              <w:right w:val="single" w:color="auto" w:sz="6" w:space="0"/>
            </w:tcBorders>
            <w:vAlign w:val="center"/>
          </w:tcPr>
          <w:p>
            <w:pPr>
              <w:pStyle w:val="26"/>
              <w:keepNext w:val="0"/>
              <w:keepLines w:val="0"/>
              <w:pageBreakBefore w:val="0"/>
              <w:widowControl w:val="0"/>
              <w:kinsoku/>
              <w:wordWrap/>
              <w:overflowPunct/>
              <w:topLinePunct w:val="0"/>
              <w:bidi w:val="0"/>
              <w:snapToGrid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考察现场标前答疑会</w:t>
            </w:r>
          </w:p>
        </w:tc>
        <w:tc>
          <w:tcPr>
            <w:tcW w:w="6656" w:type="dxa"/>
            <w:tcBorders>
              <w:top w:val="single" w:color="auto" w:sz="6" w:space="0"/>
              <w:left w:val="single" w:color="auto" w:sz="6" w:space="0"/>
              <w:bottom w:val="single" w:color="auto" w:sz="6" w:space="0"/>
            </w:tcBorders>
            <w:vAlign w:val="center"/>
          </w:tcPr>
          <w:p>
            <w:pPr>
              <w:pStyle w:val="26"/>
              <w:keepNext w:val="0"/>
              <w:keepLines w:val="0"/>
              <w:pageBreakBefore w:val="0"/>
              <w:widowControl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详见磋商须知二、12。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854" w:type="dxa"/>
            <w:tcBorders>
              <w:top w:val="single" w:color="auto" w:sz="6" w:space="0"/>
              <w:left w:val="single" w:color="auto" w:sz="6" w:space="0"/>
              <w:bottom w:val="single" w:color="auto" w:sz="6" w:space="0"/>
              <w:right w:val="single" w:color="auto" w:sz="6" w:space="0"/>
            </w:tcBorders>
            <w:vAlign w:val="center"/>
          </w:tcPr>
          <w:p>
            <w:pPr>
              <w:pStyle w:val="8"/>
              <w:keepNext w:val="0"/>
              <w:keepLines w:val="0"/>
              <w:pageBreakBefore w:val="0"/>
              <w:widowControl w:val="0"/>
              <w:kinsoku/>
              <w:wordWrap/>
              <w:overflowPunct/>
              <w:topLinePunct w:val="0"/>
              <w:bidi w:val="0"/>
              <w:spacing w:line="312" w:lineRule="auto"/>
              <w:ind w:firstLine="0"/>
              <w:jc w:val="center"/>
              <w:textAlignment w:val="auto"/>
              <w:rPr>
                <w:rFonts w:hint="eastAsia" w:ascii="宋体" w:hAnsi="宋体" w:eastAsia="宋体" w:cs="宋体"/>
                <w:b/>
                <w:color w:val="auto"/>
                <w:sz w:val="24"/>
                <w:szCs w:val="24"/>
              </w:rPr>
            </w:pPr>
            <w:r>
              <w:rPr>
                <w:rFonts w:hint="eastAsia" w:ascii="宋体" w:hAnsi="宋体" w:eastAsia="宋体" w:cs="宋体"/>
                <w:b w:val="0"/>
                <w:bCs/>
                <w:color w:val="auto"/>
                <w:sz w:val="24"/>
                <w:szCs w:val="24"/>
              </w:rPr>
              <w:t>磋商保证金</w:t>
            </w:r>
          </w:p>
          <w:p>
            <w:pPr>
              <w:pStyle w:val="8"/>
              <w:keepNext w:val="0"/>
              <w:keepLines w:val="0"/>
              <w:pageBreakBefore w:val="0"/>
              <w:widowControl w:val="0"/>
              <w:kinsoku/>
              <w:wordWrap/>
              <w:overflowPunct/>
              <w:topLinePunct w:val="0"/>
              <w:bidi w:val="0"/>
              <w:spacing w:line="312" w:lineRule="auto"/>
              <w:ind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（实质性要求）</w:t>
            </w:r>
          </w:p>
        </w:tc>
        <w:tc>
          <w:tcPr>
            <w:tcW w:w="6656" w:type="dxa"/>
            <w:tcBorders>
              <w:top w:val="single" w:color="auto" w:sz="6" w:space="0"/>
              <w:left w:val="single" w:color="auto" w:sz="6" w:space="0"/>
              <w:bottom w:val="single" w:color="auto" w:sz="6" w:space="0"/>
            </w:tcBorders>
            <w:vAlign w:val="center"/>
          </w:tcPr>
          <w:p>
            <w:pPr>
              <w:pStyle w:val="27"/>
              <w:keepNext w:val="0"/>
              <w:keepLines w:val="0"/>
              <w:pageBreakBefore w:val="0"/>
              <w:widowControl w:val="0"/>
              <w:kinsoku/>
              <w:wordWrap/>
              <w:overflowPunct/>
              <w:topLinePunct w:val="0"/>
              <w:bidi w:val="0"/>
              <w:snapToGrid w:val="0"/>
              <w:spacing w:line="312"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本项目不涉及</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854" w:type="dxa"/>
            <w:tcBorders>
              <w:top w:val="single" w:color="auto" w:sz="6" w:space="0"/>
              <w:left w:val="single" w:color="auto" w:sz="6" w:space="0"/>
              <w:bottom w:val="single" w:color="auto" w:sz="6" w:space="0"/>
              <w:right w:val="single" w:color="auto" w:sz="6" w:space="0"/>
            </w:tcBorders>
            <w:vAlign w:val="center"/>
          </w:tcPr>
          <w:p>
            <w:pPr>
              <w:pStyle w:val="8"/>
              <w:keepNext w:val="0"/>
              <w:keepLines w:val="0"/>
              <w:pageBreakBefore w:val="0"/>
              <w:widowControl w:val="0"/>
              <w:kinsoku/>
              <w:wordWrap/>
              <w:overflowPunct/>
              <w:topLinePunct w:val="0"/>
              <w:bidi w:val="0"/>
              <w:spacing w:line="312" w:lineRule="auto"/>
              <w:ind w:firstLine="0"/>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投标有效期</w:t>
            </w:r>
          </w:p>
          <w:p>
            <w:pPr>
              <w:pStyle w:val="8"/>
              <w:keepNext w:val="0"/>
              <w:keepLines w:val="0"/>
              <w:pageBreakBefore w:val="0"/>
              <w:widowControl w:val="0"/>
              <w:kinsoku/>
              <w:wordWrap/>
              <w:overflowPunct/>
              <w:topLinePunct w:val="0"/>
              <w:bidi w:val="0"/>
              <w:spacing w:line="312" w:lineRule="auto"/>
              <w:ind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（实质性要求）</w:t>
            </w:r>
          </w:p>
        </w:tc>
        <w:tc>
          <w:tcPr>
            <w:tcW w:w="6656" w:type="dxa"/>
            <w:tcBorders>
              <w:top w:val="single" w:color="auto" w:sz="6" w:space="0"/>
              <w:left w:val="single" w:color="auto" w:sz="6" w:space="0"/>
              <w:bottom w:val="single" w:color="auto" w:sz="6" w:space="0"/>
            </w:tcBorders>
            <w:vAlign w:val="center"/>
          </w:tcPr>
          <w:p>
            <w:pPr>
              <w:pStyle w:val="26"/>
              <w:keepNext w:val="0"/>
              <w:keepLines w:val="0"/>
              <w:pageBreakBefore w:val="0"/>
              <w:widowControl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递交磋商响应文件截止之日起90天</w:t>
            </w:r>
            <w:r>
              <w:rPr>
                <w:rFonts w:hint="eastAsia" w:ascii="宋体" w:hAnsi="宋体" w:eastAsia="宋体" w:cs="宋体"/>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85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询问、质疑</w:t>
            </w:r>
          </w:p>
        </w:tc>
        <w:tc>
          <w:tcPr>
            <w:tcW w:w="6656" w:type="dxa"/>
            <w:tcBorders>
              <w:top w:val="single" w:color="auto" w:sz="6" w:space="0"/>
              <w:left w:val="single" w:color="auto" w:sz="6" w:space="0"/>
              <w:bottom w:val="single" w:color="auto" w:sz="6" w:space="0"/>
            </w:tcBorders>
            <w:vAlign w:val="center"/>
          </w:tcPr>
          <w:p>
            <w:pPr>
              <w:pStyle w:val="26"/>
              <w:keepNext w:val="0"/>
              <w:keepLines w:val="0"/>
              <w:pageBreakBefore w:val="0"/>
              <w:widowControl w:val="0"/>
              <w:kinsoku/>
              <w:wordWrap/>
              <w:overflowPunct/>
              <w:topLinePunct w:val="0"/>
              <w:bidi w:val="0"/>
              <w:snapToGrid w:val="0"/>
              <w:spacing w:line="312"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1.对磋商文件技术指标、参数、资质要求、评分办法的</w:t>
            </w:r>
            <w:r>
              <w:rPr>
                <w:rFonts w:hint="eastAsia" w:ascii="宋体" w:hAnsi="宋体" w:eastAsia="宋体" w:cs="宋体"/>
                <w:color w:val="auto"/>
                <w:sz w:val="24"/>
                <w:szCs w:val="24"/>
              </w:rPr>
              <w:t>询问、</w:t>
            </w:r>
            <w:r>
              <w:rPr>
                <w:rFonts w:hint="eastAsia" w:ascii="宋体" w:hAnsi="宋体" w:eastAsia="宋体" w:cs="宋体"/>
                <w:color w:val="auto"/>
                <w:sz w:val="24"/>
                <w:szCs w:val="24"/>
                <w:lang w:val="zh-CN"/>
              </w:rPr>
              <w:t xml:space="preserve">质疑：                                                            </w:t>
            </w:r>
          </w:p>
          <w:p>
            <w:pPr>
              <w:pStyle w:val="26"/>
              <w:keepNext w:val="0"/>
              <w:keepLines w:val="0"/>
              <w:pageBreakBefore w:val="0"/>
              <w:widowControl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向采购代理机构提出，采购人已授权采购代理机构，由采购代理机构按相关规定做出答复。</w:t>
            </w:r>
          </w:p>
          <w:p>
            <w:pPr>
              <w:pStyle w:val="26"/>
              <w:keepNext w:val="0"/>
              <w:keepLines w:val="0"/>
              <w:pageBreakBefore w:val="0"/>
              <w:widowControl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质疑时间：购买磋商文件之日起七个工作日内。</w:t>
            </w:r>
          </w:p>
          <w:p>
            <w:pPr>
              <w:pStyle w:val="26"/>
              <w:keepNext w:val="0"/>
              <w:keepLines w:val="0"/>
              <w:pageBreakBefore w:val="0"/>
              <w:widowControl w:val="0"/>
              <w:kinsoku/>
              <w:wordWrap/>
              <w:overflowPunct/>
              <w:topLinePunct w:val="0"/>
              <w:bidi w:val="0"/>
              <w:snapToGrid w:val="0"/>
              <w:spacing w:line="312" w:lineRule="auto"/>
              <w:textAlignment w:val="auto"/>
              <w:rPr>
                <w:rFonts w:hint="eastAsia" w:ascii="宋体" w:hAnsi="宋体" w:eastAsia="宋体" w:cs="宋体"/>
                <w:color w:val="auto"/>
                <w:kern w:val="2"/>
                <w:sz w:val="24"/>
                <w:szCs w:val="24"/>
              </w:rPr>
            </w:pPr>
            <w:r>
              <w:rPr>
                <w:rFonts w:hint="eastAsia" w:ascii="宋体" w:hAnsi="宋体" w:eastAsia="宋体" w:cs="宋体"/>
                <w:color w:val="auto"/>
                <w:sz w:val="24"/>
                <w:szCs w:val="24"/>
                <w:lang w:val="zh-CN"/>
              </w:rPr>
              <w:t>2.</w:t>
            </w:r>
            <w:r>
              <w:rPr>
                <w:rFonts w:hint="eastAsia" w:ascii="宋体" w:hAnsi="宋体" w:eastAsia="宋体" w:cs="宋体"/>
                <w:color w:val="auto"/>
                <w:kern w:val="2"/>
                <w:sz w:val="24"/>
                <w:szCs w:val="24"/>
              </w:rPr>
              <w:t>对采购过程和采购结果的询问、质疑：</w:t>
            </w:r>
          </w:p>
          <w:p>
            <w:pPr>
              <w:pStyle w:val="26"/>
              <w:keepNext w:val="0"/>
              <w:keepLines w:val="0"/>
              <w:pageBreakBefore w:val="0"/>
              <w:widowControl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向采购代理机构提出，并由采购代理机构按相关规定作出答复。</w:t>
            </w:r>
          </w:p>
          <w:p>
            <w:pPr>
              <w:pStyle w:val="26"/>
              <w:keepNext w:val="0"/>
              <w:keepLines w:val="0"/>
              <w:pageBreakBefore w:val="0"/>
              <w:widowControl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对采购过程质疑时间为：各采购程序环节结束之日起七个工作日内。</w:t>
            </w:r>
          </w:p>
          <w:p>
            <w:pPr>
              <w:pStyle w:val="26"/>
              <w:keepNext w:val="0"/>
              <w:keepLines w:val="0"/>
              <w:pageBreakBefore w:val="0"/>
              <w:widowControl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对采购结果提出质疑时间为：成交结果公告期限界满之日起七个工作日内。</w:t>
            </w:r>
          </w:p>
          <w:p>
            <w:pPr>
              <w:pStyle w:val="7"/>
              <w:keepNext w:val="0"/>
              <w:keepLines w:val="0"/>
              <w:pageBreakBefore w:val="0"/>
              <w:widowControl w:val="0"/>
              <w:kinsoku/>
              <w:wordWrap/>
              <w:overflowPunct/>
              <w:topLinePunct w:val="0"/>
              <w:bidi w:val="0"/>
              <w:spacing w:line="312" w:lineRule="auto"/>
              <w:ind w:firstLine="48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联系人：</w:t>
            </w:r>
            <w:r>
              <w:rPr>
                <w:rFonts w:hint="eastAsia" w:ascii="宋体" w:hAnsi="宋体" w:eastAsia="宋体" w:cs="宋体"/>
                <w:bCs/>
                <w:color w:val="auto"/>
                <w:sz w:val="24"/>
                <w:szCs w:val="24"/>
                <w:lang w:eastAsia="zh-CN"/>
              </w:rPr>
              <w:t>曾雨杰</w:t>
            </w:r>
          </w:p>
          <w:p>
            <w:pPr>
              <w:pStyle w:val="7"/>
              <w:keepNext w:val="0"/>
              <w:keepLines w:val="0"/>
              <w:pageBreakBefore w:val="0"/>
              <w:widowControl w:val="0"/>
              <w:kinsoku/>
              <w:wordWrap/>
              <w:overflowPunct/>
              <w:topLinePunct w:val="0"/>
              <w:bidi w:val="0"/>
              <w:spacing w:line="312"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w:t>
            </w:r>
            <w:r>
              <w:rPr>
                <w:rFonts w:hint="eastAsia" w:ascii="宋体" w:hAnsi="宋体" w:eastAsia="宋体" w:cs="宋体"/>
                <w:color w:val="auto"/>
                <w:kern w:val="0"/>
                <w:sz w:val="24"/>
                <w:szCs w:val="24"/>
                <w:lang w:bidi="ar"/>
              </w:rPr>
              <w:t>电话：</w:t>
            </w:r>
            <w:r>
              <w:rPr>
                <w:rFonts w:hint="eastAsia" w:ascii="宋体" w:hAnsi="宋体" w:eastAsia="宋体" w:cs="宋体"/>
                <w:color w:val="auto"/>
                <w:kern w:val="0"/>
                <w:sz w:val="24"/>
                <w:szCs w:val="24"/>
                <w:lang w:eastAsia="zh-CN" w:bidi="ar"/>
              </w:rPr>
              <w:t>028-86981015、15196691603</w:t>
            </w:r>
          </w:p>
          <w:p>
            <w:pPr>
              <w:pStyle w:val="26"/>
              <w:keepNext w:val="0"/>
              <w:keepLines w:val="0"/>
              <w:pageBreakBefore w:val="0"/>
              <w:widowControl w:val="0"/>
              <w:numPr>
                <w:ilvl w:val="0"/>
                <w:numId w:val="3"/>
              </w:numPr>
              <w:kinsoku/>
              <w:wordWrap/>
              <w:overflowPunct/>
              <w:topLinePunct w:val="0"/>
              <w:bidi w:val="0"/>
              <w:snapToGrid w:val="0"/>
              <w:spacing w:line="312"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询问、质疑必须以书面形式(原件)提出，以其他形式提出的询问、质疑均不接受和回复。</w:t>
            </w:r>
          </w:p>
          <w:p>
            <w:pPr>
              <w:pStyle w:val="26"/>
              <w:keepNext w:val="0"/>
              <w:keepLines w:val="0"/>
              <w:pageBreakBefore w:val="0"/>
              <w:widowControl w:val="0"/>
              <w:numPr>
                <w:ilvl w:val="0"/>
                <w:numId w:val="0"/>
              </w:numPr>
              <w:kinsoku/>
              <w:wordWrap/>
              <w:overflowPunct/>
              <w:topLinePunct w:val="0"/>
              <w:bidi w:val="0"/>
              <w:snapToGrid w:val="0"/>
              <w:spacing w:line="312"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注：根据《中华人民共和国政府采购法》等规定，供应商质疑不得超出采购文件、采购过程、采购结果的范围,供应商针对同一采购程序环节的质疑应在法定质疑期内一次性提出。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15</w:t>
            </w:r>
          </w:p>
        </w:tc>
        <w:tc>
          <w:tcPr>
            <w:tcW w:w="1854" w:type="dxa"/>
            <w:tcBorders>
              <w:top w:val="single" w:color="auto" w:sz="6" w:space="0"/>
              <w:left w:val="single" w:color="auto" w:sz="6" w:space="0"/>
              <w:bottom w:val="single" w:color="auto" w:sz="6" w:space="0"/>
              <w:right w:val="single" w:color="auto" w:sz="6" w:space="0"/>
            </w:tcBorders>
            <w:vAlign w:val="center"/>
          </w:tcPr>
          <w:p>
            <w:pPr>
              <w:pStyle w:val="26"/>
              <w:keepNext w:val="0"/>
              <w:keepLines w:val="0"/>
              <w:pageBreakBefore w:val="0"/>
              <w:kinsoku/>
              <w:overflowPunct/>
              <w:topLinePunct w:val="0"/>
              <w:bidi w:val="0"/>
              <w:spacing w:line="312"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rPr>
              <w:t>供应商投诉</w:t>
            </w:r>
          </w:p>
        </w:tc>
        <w:tc>
          <w:tcPr>
            <w:tcW w:w="6656" w:type="dxa"/>
            <w:tcBorders>
              <w:top w:val="single" w:color="auto" w:sz="6" w:space="0"/>
              <w:left w:val="single" w:color="auto" w:sz="6" w:space="0"/>
              <w:bottom w:val="single" w:color="auto" w:sz="6" w:space="0"/>
            </w:tcBorders>
            <w:vAlign w:val="center"/>
          </w:tcPr>
          <w:p>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投诉受理单位：本项目同级财政部门，即成都东部新区党工委管委会(成都市东部新城办)财政金融局。</w:t>
            </w:r>
          </w:p>
          <w:p>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联系电话：028-86360129</w:t>
            </w:r>
          </w:p>
          <w:p>
            <w:pPr>
              <w:pStyle w:val="26"/>
              <w:keepNext w:val="0"/>
              <w:keepLines w:val="0"/>
              <w:pageBreakBefore w:val="0"/>
              <w:kinsoku/>
              <w:overflowPunct/>
              <w:topLinePunct w:val="0"/>
              <w:bidi w:val="0"/>
              <w:spacing w:line="312" w:lineRule="auto"/>
              <w:ind w:firstLine="480" w:firstLineChars="200"/>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lang w:val="zh-CN"/>
              </w:rPr>
              <w:t>注：根据《中华人民共和国政府采购法实施条例》的规定，供应商投诉事项不得超出已质疑事项的范围。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854" w:type="dxa"/>
            <w:tcBorders>
              <w:top w:val="single" w:color="auto" w:sz="6" w:space="0"/>
              <w:left w:val="single" w:color="auto" w:sz="6" w:space="0"/>
              <w:bottom w:val="single" w:color="auto" w:sz="6" w:space="0"/>
              <w:right w:val="single" w:color="auto" w:sz="6" w:space="0"/>
            </w:tcBorders>
            <w:vAlign w:val="center"/>
          </w:tcPr>
          <w:p>
            <w:pPr>
              <w:pStyle w:val="26"/>
              <w:keepNext w:val="0"/>
              <w:keepLines w:val="0"/>
              <w:pageBreakBefore w:val="0"/>
              <w:kinsoku/>
              <w:overflowPunct/>
              <w:topLinePunct w:val="0"/>
              <w:bidi w:val="0"/>
              <w:spacing w:line="312"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rPr>
              <w:t>政府采购合同备案</w:t>
            </w:r>
          </w:p>
        </w:tc>
        <w:tc>
          <w:tcPr>
            <w:tcW w:w="6656" w:type="dxa"/>
            <w:tcBorders>
              <w:top w:val="single" w:color="auto" w:sz="6" w:space="0"/>
              <w:left w:val="single" w:color="auto" w:sz="6" w:space="0"/>
              <w:bottom w:val="single" w:color="auto" w:sz="6" w:space="0"/>
            </w:tcBorders>
            <w:vAlign w:val="center"/>
          </w:tcPr>
          <w:p>
            <w:pPr>
              <w:pStyle w:val="26"/>
              <w:keepNext w:val="0"/>
              <w:keepLines w:val="0"/>
              <w:pageBreakBefore w:val="0"/>
              <w:kinsoku/>
              <w:overflowPunct/>
              <w:topLinePunct w:val="0"/>
              <w:bidi w:val="0"/>
              <w:spacing w:line="312" w:lineRule="auto"/>
              <w:ind w:firstLine="480" w:firstLineChars="200"/>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rPr>
              <w:t>政府采购合同签订之日起2个工作日内，政府采购合同将在四川政府采购网公告；政府采购合同签订之日起七个工作日内，政府采购合同将向采购项目同级财政部门备案。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17</w:t>
            </w:r>
          </w:p>
        </w:tc>
        <w:tc>
          <w:tcPr>
            <w:tcW w:w="1854" w:type="dxa"/>
            <w:tcBorders>
              <w:top w:val="single" w:color="auto" w:sz="6" w:space="0"/>
              <w:left w:val="single" w:color="auto" w:sz="6" w:space="0"/>
              <w:bottom w:val="single" w:color="auto" w:sz="6" w:space="0"/>
              <w:right w:val="single" w:color="auto" w:sz="6" w:space="0"/>
            </w:tcBorders>
            <w:vAlign w:val="center"/>
          </w:tcPr>
          <w:p>
            <w:pPr>
              <w:pStyle w:val="8"/>
              <w:keepNext w:val="0"/>
              <w:keepLines w:val="0"/>
              <w:pageBreakBefore w:val="0"/>
              <w:kinsoku/>
              <w:overflowPunct/>
              <w:topLinePunct w:val="0"/>
              <w:bidi w:val="0"/>
              <w:spacing w:line="312"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评审情况的公告</w:t>
            </w:r>
          </w:p>
        </w:tc>
        <w:tc>
          <w:tcPr>
            <w:tcW w:w="6656" w:type="dxa"/>
            <w:tcBorders>
              <w:top w:val="single" w:color="auto" w:sz="6" w:space="0"/>
              <w:left w:val="single" w:color="auto" w:sz="6" w:space="0"/>
              <w:bottom w:val="single" w:color="auto" w:sz="6" w:space="0"/>
            </w:tcBorders>
            <w:vAlign w:val="center"/>
          </w:tcPr>
          <w:p>
            <w:pPr>
              <w:pStyle w:val="26"/>
              <w:keepNext w:val="0"/>
              <w:keepLines w:val="0"/>
              <w:pageBreakBefore w:val="0"/>
              <w:kinsoku/>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1.所有供应商响应文件资格性、符合性审查情况，采用综合评分法时的总得分和分项汇总得分情况、评审结果等将在“</w:t>
            </w:r>
            <w:r>
              <w:rPr>
                <w:rFonts w:hint="eastAsia" w:ascii="宋体" w:hAnsi="宋体" w:eastAsia="宋体" w:cs="宋体"/>
                <w:color w:val="auto"/>
                <w:sz w:val="24"/>
                <w:szCs w:val="24"/>
                <w:lang w:eastAsia="zh-CN"/>
              </w:rPr>
              <w:t>四川政府采购网</w:t>
            </w:r>
            <w:r>
              <w:rPr>
                <w:rFonts w:hint="eastAsia" w:ascii="宋体" w:hAnsi="宋体" w:eastAsia="宋体" w:cs="宋体"/>
                <w:color w:val="auto"/>
                <w:sz w:val="24"/>
                <w:szCs w:val="24"/>
              </w:rPr>
              <w:t>”上采购结果公告附件中予以公告。</w:t>
            </w:r>
          </w:p>
          <w:p>
            <w:pPr>
              <w:pStyle w:val="26"/>
              <w:keepNext w:val="0"/>
              <w:keepLines w:val="0"/>
              <w:pageBreakBefore w:val="0"/>
              <w:kinsoku/>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2.根据《中华人民共和国政府采购法实施条例》第四十三条的规定，公告内容应当包括主要中标或者成交标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18</w:t>
            </w:r>
          </w:p>
        </w:tc>
        <w:tc>
          <w:tcPr>
            <w:tcW w:w="1854" w:type="dxa"/>
            <w:tcBorders>
              <w:top w:val="single" w:color="auto" w:sz="6" w:space="0"/>
              <w:left w:val="single" w:color="auto" w:sz="6" w:space="0"/>
              <w:bottom w:val="single" w:color="auto" w:sz="6" w:space="0"/>
              <w:right w:val="single" w:color="auto" w:sz="6" w:space="0"/>
            </w:tcBorders>
            <w:vAlign w:val="center"/>
          </w:tcPr>
          <w:p>
            <w:pPr>
              <w:pStyle w:val="26"/>
              <w:keepNext w:val="0"/>
              <w:keepLines w:val="0"/>
              <w:pageBreakBefore w:val="0"/>
              <w:kinsoku/>
              <w:overflowPunct/>
              <w:topLinePunct w:val="0"/>
              <w:bidi w:val="0"/>
              <w:snapToGrid w:val="0"/>
              <w:spacing w:line="312" w:lineRule="auto"/>
              <w:jc w:val="center"/>
              <w:textAlignment w:val="auto"/>
              <w:rPr>
                <w:rFonts w:hint="eastAsia" w:ascii="宋体" w:hAnsi="宋体" w:eastAsia="宋体" w:cs="宋体"/>
                <w:b/>
                <w:color w:val="auto"/>
                <w:kern w:val="2"/>
                <w:sz w:val="24"/>
                <w:szCs w:val="24"/>
              </w:rPr>
            </w:pPr>
            <w:r>
              <w:rPr>
                <w:rFonts w:hint="eastAsia" w:ascii="宋体" w:hAnsi="宋体" w:eastAsia="宋体" w:cs="宋体"/>
                <w:color w:val="auto"/>
                <w:sz w:val="24"/>
                <w:szCs w:val="24"/>
                <w:lang w:val="zh-CN"/>
              </w:rPr>
              <w:t>履约保证金</w:t>
            </w:r>
          </w:p>
        </w:tc>
        <w:tc>
          <w:tcPr>
            <w:tcW w:w="6656" w:type="dxa"/>
            <w:tcBorders>
              <w:top w:val="single" w:color="auto" w:sz="6" w:space="0"/>
              <w:left w:val="single" w:color="auto" w:sz="6" w:space="0"/>
              <w:bottom w:val="single" w:color="auto" w:sz="6" w:space="0"/>
            </w:tcBorders>
            <w:vAlign w:val="center"/>
          </w:tcPr>
          <w:p>
            <w:pPr>
              <w:pStyle w:val="27"/>
              <w:keepNext w:val="0"/>
              <w:keepLines w:val="0"/>
              <w:pageBreakBefore w:val="0"/>
              <w:kinsoku/>
              <w:overflowPunct/>
              <w:topLinePunct w:val="0"/>
              <w:bidi w:val="0"/>
              <w:snapToGrid w:val="0"/>
              <w:spacing w:line="312" w:lineRule="auto"/>
              <w:ind w:firstLine="480" w:firstLineChars="20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rPr>
              <w:t>本项目不涉及</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19</w:t>
            </w:r>
          </w:p>
        </w:tc>
        <w:tc>
          <w:tcPr>
            <w:tcW w:w="185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招标代理服务费（实质性要求）</w:t>
            </w:r>
          </w:p>
        </w:tc>
        <w:tc>
          <w:tcPr>
            <w:tcW w:w="6656" w:type="dxa"/>
            <w:tcBorders>
              <w:top w:val="single" w:color="auto" w:sz="6" w:space="0"/>
              <w:left w:val="single" w:color="auto" w:sz="6" w:space="0"/>
              <w:bottom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本磋商文件约定，招标代理服务费由成交供应商向采购代理机构支付。</w:t>
            </w:r>
            <w:r>
              <w:rPr>
                <w:rFonts w:hint="eastAsia" w:ascii="宋体" w:hAnsi="宋体" w:eastAsia="宋体" w:cs="宋体"/>
                <w:color w:val="auto"/>
                <w:sz w:val="24"/>
                <w:szCs w:val="24"/>
                <w:lang w:val="en-US" w:eastAsia="zh-CN"/>
              </w:rPr>
              <w:t>支付按国家计委关于印发《招标代理服务收费管理暂行办法》的通知（计价格〔2002〕1980号）定额收取12000.00（大写：壹万贰仟元整）。</w:t>
            </w:r>
          </w:p>
          <w:p>
            <w:pPr>
              <w:pStyle w:val="2"/>
              <w:keepNext w:val="0"/>
              <w:keepLines w:val="0"/>
              <w:pageBreakBefore w:val="0"/>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成交供应商</w:t>
            </w:r>
            <w:r>
              <w:rPr>
                <w:rFonts w:hint="eastAsia" w:ascii="宋体" w:hAnsi="宋体" w:eastAsia="宋体" w:cs="宋体"/>
                <w:color w:val="auto"/>
                <w:sz w:val="24"/>
                <w:szCs w:val="24"/>
              </w:rPr>
              <w:t>在领取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通知书前应按规定缴纳招标代理服务费，可使用银行转账或采购代理机构认可的方式支付。</w:t>
            </w:r>
          </w:p>
          <w:p>
            <w:pPr>
              <w:pStyle w:val="2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rPr>
              <w:t>收款单位：四川东来印象招标代理有限公司</w:t>
            </w:r>
          </w:p>
          <w:p>
            <w:pPr>
              <w:pStyle w:val="2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开户名称：四川东来印象招标代理有限公司</w:t>
            </w:r>
          </w:p>
          <w:p>
            <w:pPr>
              <w:pStyle w:val="2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zh-CN"/>
              </w:rPr>
              <w:t>开户银行：</w:t>
            </w:r>
            <w:r>
              <w:rPr>
                <w:rFonts w:hint="eastAsia" w:ascii="宋体" w:hAnsi="宋体" w:eastAsia="宋体" w:cs="宋体"/>
                <w:b w:val="0"/>
                <w:bCs w:val="0"/>
                <w:color w:val="auto"/>
                <w:sz w:val="24"/>
                <w:szCs w:val="24"/>
                <w:highlight w:val="none"/>
                <w:lang w:val="en-US" w:eastAsia="zh-CN"/>
              </w:rPr>
              <w:t>成都银行股份有限公司成都简阳支行</w:t>
            </w:r>
          </w:p>
          <w:p>
            <w:pPr>
              <w:pStyle w:val="16"/>
              <w:spacing w:line="360" w:lineRule="auto"/>
              <w:ind w:firstLine="480" w:firstLineChars="200"/>
              <w:rPr>
                <w:rFonts w:hint="eastAsia" w:ascii="宋体" w:hAnsi="宋体" w:eastAsia="宋体" w:cs="宋体"/>
                <w:color w:val="auto"/>
                <w:lang w:val="zh-CN"/>
              </w:rPr>
            </w:pPr>
            <w:r>
              <w:rPr>
                <w:rFonts w:hint="eastAsia" w:ascii="宋体" w:hAnsi="宋体" w:eastAsia="宋体" w:cs="宋体"/>
                <w:b w:val="0"/>
                <w:bCs w:val="0"/>
                <w:color w:val="auto"/>
                <w:sz w:val="24"/>
                <w:szCs w:val="24"/>
                <w:highlight w:val="none"/>
                <w:lang w:val="zh-CN" w:eastAsia="zh-CN"/>
              </w:rPr>
              <w:t>帐    号：</w:t>
            </w:r>
            <w:r>
              <w:rPr>
                <w:rFonts w:hint="eastAsia" w:ascii="宋体" w:hAnsi="宋体" w:eastAsia="宋体" w:cs="宋体"/>
                <w:b w:val="0"/>
                <w:bCs w:val="0"/>
                <w:color w:val="auto"/>
                <w:sz w:val="24"/>
                <w:szCs w:val="24"/>
                <w:highlight w:val="none"/>
                <w:lang w:val="en-US" w:eastAsia="zh-CN"/>
              </w:rPr>
              <w:t>1001300000624150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854" w:type="dxa"/>
            <w:tcBorders>
              <w:top w:val="single" w:color="auto" w:sz="6" w:space="0"/>
              <w:left w:val="single" w:color="auto" w:sz="6" w:space="0"/>
              <w:bottom w:val="single" w:color="auto" w:sz="6" w:space="0"/>
              <w:right w:val="single" w:color="auto" w:sz="6" w:space="0"/>
            </w:tcBorders>
            <w:vAlign w:val="center"/>
          </w:tcPr>
          <w:p>
            <w:pPr>
              <w:pStyle w:val="26"/>
              <w:keepNext w:val="0"/>
              <w:keepLines w:val="0"/>
              <w:pageBreakBefore w:val="0"/>
              <w:kinsoku/>
              <w:overflowPunct/>
              <w:topLinePunct w:val="0"/>
              <w:bidi w:val="0"/>
              <w:spacing w:line="312" w:lineRule="auto"/>
              <w:ind w:left="96"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rPr>
              <w:t>政府采购信用融资政策</w:t>
            </w:r>
          </w:p>
        </w:tc>
        <w:tc>
          <w:tcPr>
            <w:tcW w:w="6656" w:type="dxa"/>
            <w:tcBorders>
              <w:top w:val="single" w:color="auto" w:sz="6" w:space="0"/>
              <w:left w:val="single" w:color="auto" w:sz="6" w:space="0"/>
              <w:bottom w:val="single" w:color="auto" w:sz="6" w:space="0"/>
            </w:tcBorders>
            <w:vAlign w:val="center"/>
          </w:tcPr>
          <w:p>
            <w:pPr>
              <w:keepNext w:val="0"/>
              <w:keepLines w:val="0"/>
              <w:pageBreakBefore w:val="0"/>
              <w:widowControl/>
              <w:suppressLineNumbers w:val="0"/>
              <w:kinsoku/>
              <w:wordWrap w:val="0"/>
              <w:overflowPunct/>
              <w:topLinePunct w:val="0"/>
              <w:bidi w:val="0"/>
              <w:spacing w:line="312" w:lineRule="auto"/>
              <w:ind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 xml:space="preserve">1.政府采购供应商信用融资，是指银行以政府采购供应商信用审查和政府采购 信誉为基础，依托政府采购合同，按优于一般企业的贷款程序和利率，直接向申请贷款的供应商发放无财产抵押贷款的一种融资模式。 </w:t>
            </w:r>
          </w:p>
          <w:p>
            <w:pPr>
              <w:pStyle w:val="26"/>
              <w:keepNext w:val="0"/>
              <w:keepLines w:val="0"/>
              <w:pageBreakBefore w:val="0"/>
              <w:kinsoku/>
              <w:overflowPunct/>
              <w:topLinePunct w:val="0"/>
              <w:bidi w:val="0"/>
              <w:spacing w:line="312"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四川省正在推进政府采购供应商信用融资工作，相关要求详见《四川省财政厅关于推进四川省政府采购供应商信用融资工作的通知》（川财采〔2018〕123号）、《成都市中小企业政府采购信用融资暂行办法》（成财采〔2019〕17 号） 等有关规定，上述文件请在四川政府采购网查询。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21</w:t>
            </w:r>
          </w:p>
        </w:tc>
        <w:tc>
          <w:tcPr>
            <w:tcW w:w="185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成交通知书领取</w:t>
            </w:r>
          </w:p>
        </w:tc>
        <w:tc>
          <w:tcPr>
            <w:tcW w:w="6656" w:type="dxa"/>
            <w:tcBorders>
              <w:top w:val="single" w:color="auto" w:sz="6" w:space="0"/>
              <w:left w:val="single" w:color="auto" w:sz="6" w:space="0"/>
              <w:bottom w:val="single" w:color="auto" w:sz="6" w:space="0"/>
            </w:tcBorders>
            <w:vAlign w:val="center"/>
          </w:tcPr>
          <w:p>
            <w:pPr>
              <w:pStyle w:val="26"/>
              <w:keepNext w:val="0"/>
              <w:keepLines w:val="0"/>
              <w:pageBreakBefore w:val="0"/>
              <w:kinsoku/>
              <w:overflowPunct/>
              <w:topLinePunct w:val="0"/>
              <w:autoSpaceDE/>
              <w:autoSpaceDN/>
              <w:bidi w:val="0"/>
              <w:adjustRightInd/>
              <w:spacing w:line="312"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接采购代理机构通知后，成交供应商应凭有效身份证明证件及招标代理服务费交纳凭证到</w:t>
            </w:r>
            <w:r>
              <w:rPr>
                <w:rFonts w:hint="eastAsia" w:ascii="宋体" w:hAnsi="宋体" w:eastAsia="宋体" w:cs="宋体"/>
                <w:color w:val="auto"/>
                <w:sz w:val="24"/>
                <w:szCs w:val="24"/>
                <w:lang w:eastAsia="zh-CN"/>
              </w:rPr>
              <w:t>四川东来印象招标代理有限公司</w:t>
            </w:r>
            <w:r>
              <w:rPr>
                <w:rFonts w:hint="eastAsia" w:ascii="宋体" w:hAnsi="宋体" w:eastAsia="宋体" w:cs="宋体"/>
                <w:color w:val="auto"/>
                <w:sz w:val="24"/>
                <w:szCs w:val="24"/>
                <w:lang w:val="zh-CN"/>
              </w:rPr>
              <w:t>领取成交通知书。</w:t>
            </w:r>
          </w:p>
          <w:p>
            <w:pPr>
              <w:pStyle w:val="26"/>
              <w:keepNext w:val="0"/>
              <w:keepLines w:val="0"/>
              <w:pageBreakBefore w:val="0"/>
              <w:kinsoku/>
              <w:overflowPunct/>
              <w:topLinePunct w:val="0"/>
              <w:autoSpaceDE/>
              <w:autoSpaceDN/>
              <w:bidi w:val="0"/>
              <w:adjustRightInd/>
              <w:spacing w:line="312"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联系人：曾雨杰</w:t>
            </w:r>
          </w:p>
          <w:p>
            <w:pPr>
              <w:pStyle w:val="26"/>
              <w:keepNext w:val="0"/>
              <w:keepLines w:val="0"/>
              <w:pageBreakBefore w:val="0"/>
              <w:kinsoku/>
              <w:overflowPunct/>
              <w:topLinePunct w:val="0"/>
              <w:autoSpaceDE/>
              <w:autoSpaceDN/>
              <w:bidi w:val="0"/>
              <w:adjustRightInd/>
              <w:spacing w:line="312"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lang w:eastAsia="zh-CN" w:bidi="ar"/>
              </w:rPr>
              <w:t>028-86981015、15196691603</w:t>
            </w:r>
          </w:p>
          <w:p>
            <w:pPr>
              <w:pStyle w:val="25"/>
              <w:keepNext w:val="0"/>
              <w:keepLines w:val="0"/>
              <w:pageBreakBefore w:val="0"/>
              <w:kinsoku/>
              <w:overflowPunct/>
              <w:topLinePunct w:val="0"/>
              <w:bidi w:val="0"/>
              <w:spacing w:line="312"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地址：</w:t>
            </w:r>
            <w:r>
              <w:rPr>
                <w:rFonts w:hint="eastAsia" w:ascii="宋体" w:hAnsi="宋体" w:eastAsia="宋体" w:cs="宋体"/>
                <w:bCs/>
                <w:color w:val="auto"/>
                <w:sz w:val="24"/>
                <w:szCs w:val="24"/>
                <w:lang w:eastAsia="zh-CN"/>
              </w:rPr>
              <w:t>成都市锦江区驿都西路316号绿地468中心锦峰1507</w:t>
            </w:r>
            <w:r>
              <w:rPr>
                <w:rFonts w:hint="eastAsia" w:ascii="宋体" w:hAnsi="宋体" w:eastAsia="宋体" w:cs="宋体"/>
                <w:bCs/>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185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overflowPunct/>
              <w:topLinePunct w:val="0"/>
              <w:bidi w:val="0"/>
              <w:spacing w:line="312"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履约验收 </w:t>
            </w:r>
          </w:p>
          <w:p>
            <w:pPr>
              <w:keepNext w:val="0"/>
              <w:keepLines w:val="0"/>
              <w:pageBreakBefore w:val="0"/>
              <w:widowControl/>
              <w:suppressLineNumbers w:val="0"/>
              <w:kinsoku/>
              <w:overflowPunct/>
              <w:topLinePunct w:val="0"/>
              <w:bidi w:val="0"/>
              <w:spacing w:line="312"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标准和要求</w:t>
            </w:r>
          </w:p>
          <w:p>
            <w:pPr>
              <w:keepNext w:val="0"/>
              <w:keepLines w:val="0"/>
              <w:pageBreakBefore w:val="0"/>
              <w:widowControl/>
              <w:suppressLineNumbers w:val="0"/>
              <w:kinsoku/>
              <w:overflowPunct/>
              <w:topLinePunct w:val="0"/>
              <w:bidi w:val="0"/>
              <w:spacing w:line="312" w:lineRule="auto"/>
              <w:jc w:val="center"/>
              <w:textAlignment w:val="auto"/>
              <w:rPr>
                <w:rFonts w:hint="eastAsia" w:ascii="宋体" w:hAnsi="宋体" w:eastAsia="宋体" w:cs="宋体"/>
                <w:color w:val="auto"/>
                <w:kern w:val="0"/>
                <w:sz w:val="24"/>
                <w:szCs w:val="24"/>
                <w:highlight w:val="none"/>
                <w:lang w:val="zh-CN" w:eastAsia="zh-CN" w:bidi="ar"/>
              </w:rPr>
            </w:pPr>
          </w:p>
        </w:tc>
        <w:tc>
          <w:tcPr>
            <w:tcW w:w="6656" w:type="dxa"/>
            <w:tcBorders>
              <w:top w:val="single" w:color="auto" w:sz="6" w:space="0"/>
              <w:left w:val="single" w:color="auto" w:sz="6" w:space="0"/>
              <w:bottom w:val="single" w:color="auto" w:sz="6" w:space="0"/>
            </w:tcBorders>
            <w:vAlign w:val="center"/>
          </w:tcPr>
          <w:p>
            <w:pPr>
              <w:keepNext w:val="0"/>
              <w:keepLines w:val="0"/>
              <w:pageBreakBefore w:val="0"/>
              <w:widowControl/>
              <w:suppressLineNumbers w:val="0"/>
              <w:kinsoku/>
              <w:wordWrap w:val="0"/>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本项目严格将按照</w:t>
            </w:r>
            <w:r>
              <w:rPr>
                <w:rFonts w:hint="eastAsia" w:ascii="宋体" w:hAnsi="宋体" w:eastAsia="宋体" w:cs="宋体"/>
                <w:color w:val="auto"/>
                <w:kern w:val="0"/>
                <w:sz w:val="24"/>
                <w:szCs w:val="24"/>
              </w:rPr>
              <w:t>《财政部关于进一步加强政府采购需求和履约验收管理的指导意见》财库〔2016〕205号</w:t>
            </w:r>
            <w:r>
              <w:rPr>
                <w:rFonts w:hint="eastAsia" w:ascii="宋体" w:hAnsi="宋体" w:eastAsia="宋体" w:cs="宋体"/>
                <w:color w:val="auto"/>
                <w:kern w:val="0"/>
                <w:sz w:val="24"/>
                <w:szCs w:val="24"/>
                <w:highlight w:val="none"/>
                <w:lang w:val="en-US" w:eastAsia="zh-CN" w:bidi="ar"/>
              </w:rPr>
              <w:t xml:space="preserve">的要求进行验收，并结合本项目的磋商文件、响应文件及澄清（变更）文件的约定执行。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23</w:t>
            </w:r>
          </w:p>
        </w:tc>
        <w:tc>
          <w:tcPr>
            <w:tcW w:w="1854"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产品强制认证</w:t>
            </w:r>
            <w:r>
              <w:rPr>
                <w:rFonts w:hint="eastAsia" w:ascii="宋体" w:hAnsi="宋体" w:eastAsia="宋体" w:cs="宋体"/>
                <w:b/>
                <w:bCs/>
                <w:color w:val="auto"/>
                <w:kern w:val="0"/>
                <w:sz w:val="24"/>
                <w:szCs w:val="24"/>
                <w:lang w:val="zh-CN"/>
              </w:rPr>
              <w:t>（实质性要求）</w:t>
            </w:r>
          </w:p>
          <w:p>
            <w:pPr>
              <w:pStyle w:val="34"/>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（如涉及）</w:t>
            </w:r>
          </w:p>
        </w:tc>
        <w:tc>
          <w:tcPr>
            <w:tcW w:w="6656" w:type="dxa"/>
            <w:tcBorders>
              <w:top w:val="single" w:color="auto" w:sz="6" w:space="0"/>
              <w:left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按照《强制性产品认证管理规定》，如供应商所投产品属于国家质检总局、国家认监委联合发布强制性产品认证最新目录，则必须在响应文件中提供所投产品有效期内的产品强制认证证书。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24</w:t>
            </w:r>
          </w:p>
        </w:tc>
        <w:tc>
          <w:tcPr>
            <w:tcW w:w="1854"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强制节能采购</w:t>
            </w:r>
          </w:p>
          <w:p>
            <w:pPr>
              <w:pStyle w:val="34"/>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（实质性要求）</w:t>
            </w:r>
          </w:p>
          <w:p>
            <w:pPr>
              <w:pStyle w:val="34"/>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（如涉及）</w:t>
            </w:r>
          </w:p>
        </w:tc>
        <w:tc>
          <w:tcPr>
            <w:tcW w:w="6656" w:type="dxa"/>
            <w:tcBorders>
              <w:top w:val="single" w:color="auto" w:sz="6" w:space="0"/>
              <w:left w:val="single" w:color="auto" w:sz="6" w:space="0"/>
              <w:bottom w:val="single" w:color="auto" w:sz="6" w:space="0"/>
            </w:tcBorders>
            <w:vAlign w:val="center"/>
          </w:tcPr>
          <w:p>
            <w:pPr>
              <w:pStyle w:val="34"/>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根据财政部发布的《财政部 发展改革委 生态环境部市场监管总局关于调整优化节能产品、环境标志产品政府采购执行机制的通知》（财库〔2019〕9号）的规定，财政部、发展改革委、生态环境部等部门根据产品节能环保性能、技术水平和市场成熟程度等因素，确定实施强制采购的产品类别及所依据的相关标准规范的品目清单，如供应商销售的产品的品目属于政府采购强制节能品目清单，则必须在投标（响应）文件中提供依据国家确定的认证机构出具的、处于有效期之内的强制节能产品认证证书复印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w:t>
            </w:r>
          </w:p>
        </w:tc>
        <w:tc>
          <w:tcPr>
            <w:tcW w:w="1854" w:type="dxa"/>
            <w:tcBorders>
              <w:top w:val="single" w:color="auto" w:sz="6" w:space="0"/>
              <w:left w:val="single" w:color="auto" w:sz="6" w:space="0"/>
              <w:bottom w:val="single" w:color="auto" w:sz="6" w:space="0"/>
              <w:right w:val="single" w:color="auto" w:sz="6" w:space="0"/>
            </w:tcBorders>
            <w:vAlign w:val="center"/>
          </w:tcPr>
          <w:p>
            <w:pPr>
              <w:pStyle w:val="26"/>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扶持不发达地区 和少数民族地区</w:t>
            </w:r>
          </w:p>
        </w:tc>
        <w:tc>
          <w:tcPr>
            <w:tcW w:w="6656" w:type="dxa"/>
            <w:tcBorders>
              <w:top w:val="single" w:color="auto" w:sz="6" w:space="0"/>
              <w:left w:val="single" w:color="auto" w:sz="6" w:space="0"/>
              <w:bottom w:val="single" w:color="auto" w:sz="6" w:space="0"/>
            </w:tcBorders>
            <w:vAlign w:val="center"/>
          </w:tcPr>
          <w:p>
            <w:pPr>
              <w:pStyle w:val="26"/>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本采购项目落实扶持不发达地区和少数民族地区的政府采购政策。</w:t>
            </w:r>
          </w:p>
          <w:p>
            <w:pPr>
              <w:pStyle w:val="26"/>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highlight w:val="none"/>
                <w:lang w:val="zh-CN"/>
              </w:rPr>
              <w:t>本采购项目采用综合评分法，若有三家及以上供应商响应文件满足竞争性磋文件全部实质性要求且按照竞争性磋商文件规定的评审因素的量化指标评审得分相同的情形下（小型和微型企业（监狱企业、残疾人福利性单位）已按照竞争性磋商文件政策要求进行价格扣除后参与评审），若注册地为不发达地区或少数民族地区的供应商优先排名；若上述供应商注册地均为不发达地区或少数民族地区，则由采购人在评审现场按照公平、合理、供应商认可的方式随机确定排名顺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185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声明承诺提醒</w:t>
            </w:r>
          </w:p>
        </w:tc>
        <w:tc>
          <w:tcPr>
            <w:tcW w:w="6656" w:type="dxa"/>
            <w:tcBorders>
              <w:top w:val="single" w:color="auto" w:sz="6" w:space="0"/>
              <w:left w:val="single" w:color="auto" w:sz="6" w:space="0"/>
              <w:bottom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en-US" w:eastAsia="zh-CN" w:bidi="ar"/>
              </w:rPr>
              <w:t xml:space="preserve">供应商响应文件中提供的各种声明和承诺应当真实有效，无效声明和承诺、虚假声明和承诺将由供应商自己承担由此带来的任何不利后果，虚假声明和承诺还将报告监管部门追究法律责任。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vAlign w:val="center"/>
          </w:tcPr>
          <w:p>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185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overflowPunct/>
              <w:topLinePunct w:val="0"/>
              <w:bidi w:val="0"/>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关于磋商文件规定的时间释义</w:t>
            </w:r>
          </w:p>
        </w:tc>
        <w:tc>
          <w:tcPr>
            <w:tcW w:w="6656" w:type="dxa"/>
            <w:tcBorders>
              <w:top w:val="single" w:color="auto" w:sz="6" w:space="0"/>
              <w:left w:val="single" w:color="auto" w:sz="6" w:space="0"/>
              <w:bottom w:val="single" w:color="auto" w:sz="6" w:space="0"/>
            </w:tcBorders>
            <w:vAlign w:val="center"/>
          </w:tcPr>
          <w:p>
            <w:pPr>
              <w:keepNext w:val="0"/>
              <w:keepLines w:val="0"/>
              <w:pageBreakBefore w:val="0"/>
              <w:widowControl/>
              <w:suppressLineNumbers w:val="0"/>
              <w:kinsoku/>
              <w:overflowPunct/>
              <w:topLinePunct w:val="0"/>
              <w:bidi w:val="0"/>
              <w:spacing w:line="312"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本项目磋商文件中规定的时间均以北京时间为准。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6" w:hRule="atLeast"/>
          <w:jc w:val="center"/>
        </w:trPr>
        <w:tc>
          <w:tcPr>
            <w:tcW w:w="9220" w:type="dxa"/>
            <w:gridSpan w:val="3"/>
            <w:tcBorders>
              <w:top w:val="single" w:color="auto" w:sz="4" w:space="0"/>
              <w:bottom w:val="single" w:color="auto" w:sz="4" w:space="0"/>
            </w:tcBorders>
            <w:vAlign w:val="center"/>
          </w:tcPr>
          <w:p>
            <w:pPr>
              <w:pStyle w:val="26"/>
              <w:keepNext w:val="0"/>
              <w:keepLines w:val="0"/>
              <w:pageBreakBefore w:val="0"/>
              <w:kinsoku/>
              <w:overflowPunct/>
              <w:topLinePunct w:val="0"/>
              <w:autoSpaceDE/>
              <w:autoSpaceDN/>
              <w:bidi w:val="0"/>
              <w:adjustRightInd/>
              <w:spacing w:line="312"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备注：若磋商文件中其他内容与供应商须知附表内容不一致的，以供应商须知附表为准。</w:t>
            </w:r>
          </w:p>
        </w:tc>
      </w:tr>
    </w:tbl>
    <w:p>
      <w:pPr>
        <w:rPr>
          <w:rFonts w:hint="eastAsia" w:ascii="宋体" w:hAnsi="宋体" w:eastAsia="宋体" w:cs="宋体"/>
          <w:bCs w:val="0"/>
          <w:color w:val="auto"/>
        </w:rPr>
      </w:pPr>
      <w:bookmarkStart w:id="17" w:name="_Toc15100"/>
      <w:bookmarkStart w:id="18" w:name="_Toc555"/>
      <w:bookmarkStart w:id="19" w:name="_Toc19093"/>
      <w:bookmarkStart w:id="20" w:name="_Toc447"/>
      <w:r>
        <w:rPr>
          <w:rFonts w:hint="eastAsia" w:ascii="宋体" w:hAnsi="宋体" w:eastAsia="宋体" w:cs="宋体"/>
          <w:bCs w:val="0"/>
          <w:color w:val="auto"/>
        </w:rPr>
        <w:br w:type="page"/>
      </w:r>
    </w:p>
    <w:p>
      <w:pPr>
        <w:pStyle w:val="4"/>
        <w:keepNext w:val="0"/>
        <w:keepLines w:val="0"/>
        <w:spacing w:before="0" w:after="0" w:line="400" w:lineRule="exact"/>
        <w:jc w:val="center"/>
        <w:rPr>
          <w:rFonts w:hint="eastAsia" w:ascii="宋体" w:hAnsi="宋体" w:eastAsia="宋体" w:cs="宋体"/>
          <w:bCs w:val="0"/>
          <w:color w:val="auto"/>
        </w:rPr>
      </w:pPr>
      <w:bookmarkStart w:id="21" w:name="_Toc32180"/>
      <w:r>
        <w:rPr>
          <w:rFonts w:hint="eastAsia" w:ascii="宋体" w:hAnsi="宋体" w:eastAsia="宋体" w:cs="宋体"/>
          <w:bCs w:val="0"/>
          <w:color w:val="auto"/>
        </w:rPr>
        <w:t>二、总  则</w:t>
      </w:r>
      <w:bookmarkEnd w:id="17"/>
      <w:bookmarkEnd w:id="18"/>
      <w:bookmarkEnd w:id="19"/>
      <w:bookmarkEnd w:id="20"/>
      <w:bookmarkEnd w:id="21"/>
    </w:p>
    <w:p>
      <w:pPr>
        <w:rPr>
          <w:rFonts w:hint="eastAsia" w:ascii="宋体" w:hAnsi="宋体" w:eastAsia="宋体" w:cs="宋体"/>
          <w:color w:val="auto"/>
        </w:rPr>
      </w:pPr>
      <w:bookmarkStart w:id="22" w:name="_Toc183582205"/>
      <w:bookmarkStart w:id="23" w:name="_Toc183682342"/>
      <w:bookmarkStart w:id="24" w:name="_Toc217446034"/>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1.</w:t>
      </w:r>
      <w:bookmarkEnd w:id="22"/>
      <w:bookmarkEnd w:id="23"/>
      <w:r>
        <w:rPr>
          <w:rFonts w:hint="eastAsia" w:ascii="宋体" w:hAnsi="宋体" w:eastAsia="宋体" w:cs="宋体"/>
          <w:b/>
          <w:bCs/>
          <w:color w:val="auto"/>
          <w:sz w:val="24"/>
        </w:rPr>
        <w:t>适用范围</w:t>
      </w:r>
      <w:bookmarkEnd w:id="24"/>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 本磋商文件仅适用于本次磋商采购项目。</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 本磋商文件的解释权归采购人和采购代理机构所有。</w:t>
      </w:r>
    </w:p>
    <w:p>
      <w:pPr>
        <w:tabs>
          <w:tab w:val="left" w:pos="7665"/>
        </w:tabs>
        <w:spacing w:line="400" w:lineRule="exact"/>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b/>
          <w:bCs/>
          <w:color w:val="auto"/>
          <w:sz w:val="24"/>
        </w:rPr>
      </w:pPr>
      <w:bookmarkStart w:id="25" w:name="_Toc183582206"/>
      <w:bookmarkStart w:id="26" w:name="_Toc217446035"/>
      <w:bookmarkStart w:id="27" w:name="_Toc183682343"/>
      <w:r>
        <w:rPr>
          <w:rFonts w:hint="eastAsia" w:ascii="宋体" w:hAnsi="宋体" w:eastAsia="宋体" w:cs="宋体"/>
          <w:b/>
          <w:bCs/>
          <w:color w:val="auto"/>
          <w:sz w:val="24"/>
        </w:rPr>
        <w:t>2.</w:t>
      </w:r>
      <w:bookmarkEnd w:id="25"/>
      <w:bookmarkEnd w:id="26"/>
      <w:bookmarkEnd w:id="27"/>
      <w:r>
        <w:rPr>
          <w:rFonts w:hint="eastAsia" w:ascii="宋体" w:hAnsi="宋体" w:eastAsia="宋体" w:cs="宋体"/>
          <w:b/>
          <w:bCs/>
          <w:color w:val="auto"/>
          <w:sz w:val="24"/>
        </w:rPr>
        <w:t>采购主体</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本次磋商的采购人是</w:t>
      </w:r>
      <w:r>
        <w:rPr>
          <w:rFonts w:hint="eastAsia" w:ascii="宋体" w:hAnsi="宋体" w:eastAsia="宋体" w:cs="宋体"/>
          <w:color w:val="auto"/>
          <w:sz w:val="24"/>
          <w:u w:val="single"/>
          <w:lang w:eastAsia="zh-CN"/>
        </w:rPr>
        <w:t>成都东部新区石盘街道办事处</w:t>
      </w:r>
      <w:r>
        <w:rPr>
          <w:rFonts w:hint="eastAsia" w:ascii="宋体" w:hAnsi="宋体" w:eastAsia="宋体" w:cs="宋体"/>
          <w:color w:val="auto"/>
          <w:sz w:val="24"/>
        </w:rPr>
        <w:t>。</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本次磋商的采购代理机构是</w:t>
      </w:r>
      <w:r>
        <w:rPr>
          <w:rFonts w:hint="eastAsia" w:ascii="宋体" w:hAnsi="宋体" w:eastAsia="宋体" w:cs="宋体"/>
          <w:color w:val="auto"/>
          <w:sz w:val="24"/>
          <w:u w:val="single"/>
          <w:lang w:eastAsia="zh-CN"/>
        </w:rPr>
        <w:t>四川东来印象招标代理有限公司</w:t>
      </w:r>
      <w:r>
        <w:rPr>
          <w:rFonts w:hint="eastAsia" w:ascii="宋体" w:hAnsi="宋体" w:eastAsia="宋体" w:cs="宋体"/>
          <w:color w:val="auto"/>
          <w:sz w:val="24"/>
        </w:rPr>
        <w:t>。</w:t>
      </w:r>
    </w:p>
    <w:p>
      <w:pPr>
        <w:tabs>
          <w:tab w:val="left" w:pos="7665"/>
        </w:tabs>
        <w:spacing w:line="400" w:lineRule="exact"/>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b/>
          <w:bCs/>
          <w:color w:val="auto"/>
          <w:sz w:val="24"/>
        </w:rPr>
      </w:pPr>
      <w:bookmarkStart w:id="28" w:name="_Toc183682344"/>
      <w:bookmarkStart w:id="29" w:name="_Toc217446036"/>
      <w:bookmarkStart w:id="30" w:name="_Toc217390843"/>
      <w:bookmarkStart w:id="31" w:name="_Toc183582207"/>
      <w:r>
        <w:rPr>
          <w:rFonts w:hint="eastAsia" w:ascii="宋体" w:hAnsi="宋体" w:eastAsia="宋体" w:cs="宋体"/>
          <w:b/>
          <w:bCs/>
          <w:color w:val="auto"/>
          <w:sz w:val="24"/>
        </w:rPr>
        <w:t>3. 合格</w:t>
      </w:r>
      <w:bookmarkEnd w:id="28"/>
      <w:bookmarkEnd w:id="29"/>
      <w:bookmarkEnd w:id="30"/>
      <w:bookmarkEnd w:id="31"/>
      <w:r>
        <w:rPr>
          <w:rFonts w:hint="eastAsia" w:ascii="宋体" w:hAnsi="宋体" w:eastAsia="宋体" w:cs="宋体"/>
          <w:b/>
          <w:bCs/>
          <w:color w:val="auto"/>
          <w:sz w:val="24"/>
        </w:rPr>
        <w:t>供应商（实质性要求）</w:t>
      </w:r>
    </w:p>
    <w:p>
      <w:pPr>
        <w:tabs>
          <w:tab w:val="left" w:pos="7665"/>
        </w:tabs>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    </w:t>
      </w:r>
      <w:r>
        <w:rPr>
          <w:rFonts w:hint="eastAsia" w:ascii="宋体" w:hAnsi="宋体" w:eastAsia="宋体" w:cs="宋体"/>
          <w:color w:val="auto"/>
          <w:sz w:val="24"/>
        </w:rPr>
        <w:t>合格供应商应具备以下条件：</w:t>
      </w:r>
    </w:p>
    <w:p>
      <w:pPr>
        <w:tabs>
          <w:tab w:val="left" w:pos="7665"/>
        </w:tabs>
        <w:spacing w:line="360" w:lineRule="auto"/>
        <w:ind w:firstLine="480" w:firstLineChars="200"/>
        <w:rPr>
          <w:rFonts w:hint="eastAsia" w:ascii="宋体" w:hAnsi="宋体" w:eastAsia="宋体" w:cs="宋体"/>
          <w:color w:val="auto"/>
          <w:spacing w:val="-4"/>
          <w:sz w:val="24"/>
        </w:rPr>
      </w:pPr>
      <w:r>
        <w:rPr>
          <w:rFonts w:hint="eastAsia" w:ascii="宋体" w:hAnsi="宋体" w:eastAsia="宋体" w:cs="宋体"/>
          <w:color w:val="auto"/>
          <w:sz w:val="24"/>
        </w:rPr>
        <w:t>3.1 具备法律法规和本采购文件规定的资格条件</w:t>
      </w:r>
      <w:r>
        <w:rPr>
          <w:rFonts w:hint="eastAsia" w:ascii="宋体" w:hAnsi="宋体" w:eastAsia="宋体" w:cs="宋体"/>
          <w:color w:val="auto"/>
          <w:spacing w:val="-4"/>
          <w:sz w:val="24"/>
        </w:rPr>
        <w:t xml:space="preserve">；  </w:t>
      </w:r>
    </w:p>
    <w:p>
      <w:pPr>
        <w:tabs>
          <w:tab w:val="left" w:pos="7665"/>
        </w:tabs>
        <w:spacing w:line="360" w:lineRule="auto"/>
        <w:ind w:firstLine="464" w:firstLineChars="200"/>
        <w:rPr>
          <w:rFonts w:hint="eastAsia" w:ascii="宋体" w:hAnsi="宋体" w:eastAsia="宋体" w:cs="宋体"/>
          <w:color w:val="auto"/>
          <w:spacing w:val="-4"/>
          <w:sz w:val="24"/>
        </w:rPr>
      </w:pPr>
      <w:r>
        <w:rPr>
          <w:rFonts w:hint="eastAsia" w:ascii="宋体" w:hAnsi="宋体" w:eastAsia="宋体" w:cs="宋体"/>
          <w:color w:val="auto"/>
          <w:spacing w:val="-4"/>
          <w:sz w:val="24"/>
        </w:rPr>
        <w:t>3.2 不属于禁止参加本项目采购活动的供应商；</w:t>
      </w:r>
    </w:p>
    <w:p>
      <w:pPr>
        <w:tabs>
          <w:tab w:val="left" w:pos="7665"/>
        </w:tabs>
        <w:spacing w:line="360" w:lineRule="auto"/>
        <w:ind w:firstLine="464" w:firstLineChars="200"/>
        <w:rPr>
          <w:rFonts w:hint="eastAsia" w:ascii="宋体" w:hAnsi="宋体" w:eastAsia="宋体" w:cs="宋体"/>
          <w:color w:val="auto"/>
          <w:spacing w:val="-4"/>
          <w:sz w:val="24"/>
        </w:rPr>
      </w:pPr>
      <w:r>
        <w:rPr>
          <w:rFonts w:hint="eastAsia" w:ascii="宋体" w:hAnsi="宋体" w:eastAsia="宋体" w:cs="宋体"/>
          <w:color w:val="auto"/>
          <w:spacing w:val="-4"/>
          <w:sz w:val="24"/>
        </w:rPr>
        <w:t>3.3 按照规定</w:t>
      </w:r>
      <w:r>
        <w:rPr>
          <w:rFonts w:hint="eastAsia" w:ascii="宋体" w:hAnsi="宋体" w:eastAsia="宋体" w:cs="宋体"/>
          <w:color w:val="auto"/>
          <w:sz w:val="24"/>
        </w:rPr>
        <w:t>获取了磋商文件，属于实质性参加政府采购活动的供应商。</w:t>
      </w:r>
    </w:p>
    <w:p>
      <w:pPr>
        <w:rPr>
          <w:rFonts w:hint="eastAsia" w:ascii="宋体" w:hAnsi="宋体" w:eastAsia="宋体" w:cs="宋体"/>
          <w:color w:val="auto"/>
        </w:rPr>
      </w:pPr>
      <w:bookmarkStart w:id="32" w:name="_Toc217446037"/>
      <w:bookmarkStart w:id="33" w:name="_Toc183582208"/>
      <w:bookmarkStart w:id="34" w:name="_Toc183682345"/>
    </w:p>
    <w:p>
      <w:pPr>
        <w:spacing w:line="400" w:lineRule="exact"/>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4. 磋商费用</w:t>
      </w:r>
      <w:bookmarkEnd w:id="32"/>
      <w:bookmarkEnd w:id="33"/>
      <w:bookmarkEnd w:id="34"/>
    </w:p>
    <w:p>
      <w:pPr>
        <w:tabs>
          <w:tab w:val="left" w:pos="7665"/>
        </w:tabs>
        <w:spacing w:line="400" w:lineRule="exact"/>
        <w:ind w:firstLine="480"/>
        <w:rPr>
          <w:rFonts w:hint="eastAsia" w:ascii="宋体" w:hAnsi="宋体" w:eastAsia="宋体" w:cs="宋体"/>
          <w:color w:val="auto"/>
          <w:sz w:val="24"/>
        </w:rPr>
      </w:pPr>
      <w:r>
        <w:rPr>
          <w:rFonts w:hint="eastAsia" w:ascii="宋体" w:hAnsi="宋体" w:eastAsia="宋体" w:cs="宋体"/>
          <w:color w:val="auto"/>
          <w:sz w:val="24"/>
        </w:rPr>
        <w:t>供应商应自行承担参加磋商活动的全部费用。</w:t>
      </w:r>
    </w:p>
    <w:p>
      <w:pPr>
        <w:rPr>
          <w:rFonts w:hint="eastAsia" w:ascii="宋体" w:hAnsi="宋体" w:eastAsia="宋体" w:cs="宋体"/>
          <w:color w:val="auto"/>
        </w:rPr>
      </w:pPr>
    </w:p>
    <w:p>
      <w:pPr>
        <w:pStyle w:val="28"/>
        <w:spacing w:line="360" w:lineRule="auto"/>
        <w:ind w:firstLine="480" w:firstLineChars="200"/>
        <w:rPr>
          <w:rFonts w:hint="eastAsia" w:ascii="宋体" w:hAnsi="宋体" w:eastAsia="宋体" w:cs="宋体"/>
          <w:b/>
          <w:color w:val="auto"/>
          <w:sz w:val="24"/>
        </w:rPr>
      </w:pPr>
      <w:r>
        <w:rPr>
          <w:rFonts w:hint="eastAsia" w:ascii="宋体" w:hAnsi="宋体" w:eastAsia="宋体" w:cs="宋体"/>
          <w:b/>
          <w:color w:val="auto"/>
          <w:sz w:val="24"/>
        </w:rPr>
        <w:t>5.充分、公平竞争保障措施（实质性要求）</w:t>
      </w:r>
    </w:p>
    <w:p>
      <w:pPr>
        <w:pStyle w:val="28"/>
        <w:spacing w:line="360" w:lineRule="auto"/>
        <w:ind w:firstLine="480" w:firstLineChars="200"/>
        <w:rPr>
          <w:rFonts w:hint="eastAsia" w:ascii="宋体" w:hAnsi="宋体" w:eastAsia="宋体" w:cs="宋体"/>
          <w:color w:val="auto"/>
          <w:sz w:val="28"/>
          <w:szCs w:val="28"/>
        </w:rPr>
      </w:pPr>
      <w:r>
        <w:rPr>
          <w:rFonts w:hint="eastAsia" w:ascii="宋体" w:hAnsi="宋体" w:eastAsia="宋体" w:cs="宋体"/>
          <w:color w:val="auto"/>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8"/>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pStyle w:val="28"/>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5"/>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35"/>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b/>
          <w:bCs/>
          <w:color w:val="auto"/>
          <w:sz w:val="24"/>
          <w:highlight w:val="red"/>
        </w:rPr>
      </w:pPr>
      <w:r>
        <w:rPr>
          <w:rFonts w:hint="eastAsia" w:ascii="宋体" w:hAnsi="宋体" w:eastAsia="宋体" w:cs="宋体"/>
          <w:color w:val="auto"/>
          <w:sz w:val="24"/>
        </w:rPr>
        <w:t>非单一产品采购项目中，多家供应商提供的部分或所有核心产品品牌相同的，视为提供相同品牌产品。</w:t>
      </w:r>
    </w:p>
    <w:p>
      <w:pPr>
        <w:pStyle w:val="28"/>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val="en-US" w:eastAsia="zh-CN"/>
        </w:rPr>
        <w:t>5</w:t>
      </w:r>
      <w:r>
        <w:rPr>
          <w:rFonts w:hint="eastAsia" w:ascii="宋体" w:hAnsi="宋体" w:eastAsia="宋体" w:cs="宋体"/>
          <w:color w:val="auto"/>
          <w:sz w:val="24"/>
        </w:rPr>
        <w:t>供应商实际控制人或者中高级管理人员，同时是采购代理机构工作人员，不得参与本项目政府采购活动。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val="en-US" w:eastAsia="zh-CN"/>
        </w:rPr>
        <w:t>6</w:t>
      </w:r>
      <w:r>
        <w:rPr>
          <w:rFonts w:hint="eastAsia" w:ascii="宋体" w:hAnsi="宋体" w:eastAsia="宋体" w:cs="宋体"/>
          <w:color w:val="auto"/>
          <w:sz w:val="24"/>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val="en-US" w:eastAsia="zh-CN"/>
        </w:rPr>
        <w:t>7</w:t>
      </w:r>
      <w:r>
        <w:rPr>
          <w:rFonts w:hint="eastAsia" w:ascii="宋体" w:hAnsi="宋体" w:eastAsia="宋体" w:cs="宋体"/>
          <w:color w:val="auto"/>
          <w:sz w:val="24"/>
        </w:rPr>
        <w:t>供应商与采购代理机构存在关联关系，或者是采购代理机构的母公司或子公司，不得参加本项目政府采购活动。</w:t>
      </w:r>
    </w:p>
    <w:p>
      <w:pPr>
        <w:pStyle w:val="28"/>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val="en-US" w:eastAsia="zh-CN"/>
        </w:rPr>
        <w:t>8</w:t>
      </w:r>
      <w:r>
        <w:rPr>
          <w:rFonts w:hint="eastAsia" w:ascii="宋体" w:hAnsi="宋体" w:eastAsia="宋体" w:cs="宋体"/>
          <w:color w:val="auto"/>
          <w:sz w:val="24"/>
        </w:rPr>
        <w:t>回避。政府采购活动中，采购人员及相关人员与供应商有下列利害关系之一的，应当回避：</w:t>
      </w:r>
    </w:p>
    <w:p>
      <w:pPr>
        <w:pStyle w:val="28"/>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（1）参加采购活动前3年内与供应商存在劳动关系；</w:t>
      </w:r>
    </w:p>
    <w:p>
      <w:pPr>
        <w:pStyle w:val="28"/>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（2）参加采购活动前3年内担任供应商的董事、监事；</w:t>
      </w:r>
    </w:p>
    <w:p>
      <w:pPr>
        <w:pStyle w:val="28"/>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（3）参加采购活动前3年内是供应商的控股股东或者实际控制人；</w:t>
      </w:r>
    </w:p>
    <w:p>
      <w:pPr>
        <w:pStyle w:val="28"/>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（4）与供应商的法定代表人或者负责人有夫妻、直系血亲、三代以内旁系血亲或者近姻亲关系；</w:t>
      </w:r>
    </w:p>
    <w:p>
      <w:pPr>
        <w:pStyle w:val="28"/>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（5）与供应商有其他可能影响政府采购活动公平、公正进行的关系。</w:t>
      </w:r>
    </w:p>
    <w:p>
      <w:pPr>
        <w:pStyle w:val="28"/>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28"/>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8"/>
        <w:spacing w:line="348" w:lineRule="auto"/>
        <w:ind w:firstLine="480" w:firstLineChars="200"/>
        <w:rPr>
          <w:rFonts w:hint="eastAsia" w:ascii="宋体" w:hAnsi="宋体" w:eastAsia="宋体" w:cs="宋体"/>
          <w:color w:val="auto"/>
          <w:sz w:val="24"/>
        </w:rPr>
      </w:pPr>
    </w:p>
    <w:p>
      <w:pPr>
        <w:pStyle w:val="28"/>
        <w:spacing w:line="360" w:lineRule="auto"/>
        <w:ind w:left="1" w:firstLine="480" w:firstLineChars="200"/>
        <w:rPr>
          <w:rFonts w:hint="eastAsia" w:ascii="宋体" w:hAnsi="宋体" w:eastAsia="宋体" w:cs="宋体"/>
          <w:b/>
          <w:color w:val="auto"/>
          <w:sz w:val="24"/>
        </w:rPr>
      </w:pPr>
      <w:r>
        <w:rPr>
          <w:rFonts w:hint="eastAsia" w:ascii="宋体" w:hAnsi="宋体" w:eastAsia="宋体" w:cs="宋体"/>
          <w:b/>
          <w:color w:val="auto"/>
          <w:sz w:val="24"/>
        </w:rPr>
        <w:t>6.联合体竞争性磋商（实质性要求）</w:t>
      </w:r>
    </w:p>
    <w:p>
      <w:pPr>
        <w:pStyle w:val="28"/>
        <w:spacing w:line="360" w:lineRule="auto"/>
        <w:ind w:left="1" w:firstLine="480" w:firstLineChars="200"/>
        <w:rPr>
          <w:rFonts w:hint="eastAsia" w:ascii="宋体" w:hAnsi="宋体" w:eastAsia="宋体" w:cs="宋体"/>
          <w:color w:val="auto"/>
          <w:sz w:val="24"/>
        </w:rPr>
      </w:pPr>
      <w:r>
        <w:rPr>
          <w:rFonts w:hint="eastAsia" w:ascii="宋体" w:hAnsi="宋体" w:eastAsia="宋体" w:cs="宋体"/>
          <w:color w:val="auto"/>
          <w:sz w:val="24"/>
        </w:rPr>
        <w:t>本项目不接受联合体参与磋商采购活动。</w:t>
      </w:r>
    </w:p>
    <w:p>
      <w:pPr>
        <w:pStyle w:val="28"/>
        <w:spacing w:line="360" w:lineRule="auto"/>
        <w:ind w:left="1" w:firstLine="480" w:firstLineChars="200"/>
        <w:rPr>
          <w:rFonts w:hint="eastAsia" w:ascii="宋体" w:hAnsi="宋体" w:eastAsia="宋体" w:cs="宋体"/>
          <w:color w:val="auto"/>
          <w:sz w:val="24"/>
        </w:rPr>
      </w:pPr>
    </w:p>
    <w:p>
      <w:pPr>
        <w:pStyle w:val="28"/>
        <w:spacing w:line="360" w:lineRule="auto"/>
        <w:ind w:left="1" w:firstLine="480" w:firstLineChars="200"/>
        <w:rPr>
          <w:rFonts w:hint="eastAsia" w:ascii="宋体" w:hAnsi="宋体" w:eastAsia="宋体" w:cs="宋体"/>
          <w:b/>
          <w:color w:val="auto"/>
          <w:sz w:val="24"/>
        </w:rPr>
      </w:pPr>
      <w:r>
        <w:rPr>
          <w:rFonts w:hint="eastAsia" w:ascii="宋体" w:hAnsi="宋体" w:eastAsia="宋体" w:cs="宋体"/>
          <w:b/>
          <w:color w:val="auto"/>
          <w:sz w:val="24"/>
        </w:rPr>
        <w:t>7.磋商保证金（实质性要求）</w:t>
      </w:r>
    </w:p>
    <w:p>
      <w:pPr>
        <w:spacing w:line="360" w:lineRule="auto"/>
        <w:ind w:firstLine="470" w:firstLineChars="196"/>
        <w:rPr>
          <w:rFonts w:hint="eastAsia" w:ascii="宋体" w:hAnsi="宋体" w:eastAsia="宋体" w:cs="宋体"/>
          <w:color w:val="auto"/>
          <w:sz w:val="24"/>
          <w:lang w:eastAsia="zh-CN"/>
        </w:rPr>
      </w:pPr>
      <w:r>
        <w:rPr>
          <w:rFonts w:hint="eastAsia" w:ascii="宋体" w:hAnsi="宋体" w:eastAsia="宋体" w:cs="宋体"/>
          <w:color w:val="auto"/>
          <w:sz w:val="24"/>
        </w:rPr>
        <w:t>本项目</w:t>
      </w:r>
      <w:r>
        <w:rPr>
          <w:rFonts w:hint="eastAsia" w:ascii="宋体" w:hAnsi="宋体" w:eastAsia="宋体" w:cs="宋体"/>
          <w:color w:val="auto"/>
          <w:sz w:val="24"/>
          <w:lang w:eastAsia="zh-CN"/>
        </w:rPr>
        <w:t>不涉及。</w:t>
      </w:r>
    </w:p>
    <w:p>
      <w:pPr>
        <w:pStyle w:val="2"/>
        <w:rPr>
          <w:rFonts w:hint="eastAsia" w:ascii="宋体" w:hAnsi="宋体" w:eastAsia="宋体" w:cs="宋体"/>
          <w:color w:val="auto"/>
          <w:lang w:eastAsia="zh-CN"/>
        </w:rPr>
      </w:pPr>
    </w:p>
    <w:p>
      <w:pPr>
        <w:spacing w:line="360" w:lineRule="auto"/>
        <w:ind w:firstLine="470" w:firstLineChars="196"/>
        <w:rPr>
          <w:rFonts w:hint="eastAsia" w:ascii="宋体" w:hAnsi="宋体" w:eastAsia="宋体" w:cs="宋体"/>
          <w:b/>
          <w:color w:val="auto"/>
          <w:sz w:val="24"/>
        </w:rPr>
      </w:pPr>
      <w:r>
        <w:rPr>
          <w:rFonts w:hint="eastAsia" w:ascii="宋体" w:hAnsi="宋体" w:eastAsia="宋体" w:cs="宋体"/>
          <w:b/>
          <w:color w:val="auto"/>
          <w:sz w:val="24"/>
        </w:rPr>
        <w:t>8.响应文件有效期（实质性要求）</w:t>
      </w:r>
    </w:p>
    <w:p>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本项目响应文件有效期为</w:t>
      </w:r>
      <w:r>
        <w:rPr>
          <w:rFonts w:hint="eastAsia" w:ascii="宋体" w:hAnsi="宋体" w:eastAsia="宋体" w:cs="宋体"/>
          <w:b/>
          <w:bCs/>
          <w:color w:val="auto"/>
          <w:sz w:val="24"/>
        </w:rPr>
        <w:t>递交磋商响应文件截止之日起90天</w:t>
      </w:r>
      <w:r>
        <w:rPr>
          <w:rFonts w:hint="eastAsia" w:ascii="宋体" w:hAnsi="宋体" w:eastAsia="宋体" w:cs="宋体"/>
          <w:color w:val="auto"/>
          <w:sz w:val="24"/>
        </w:rPr>
        <w:t>。供应商响应文件中必须载明响应文件有效期，响应文件中载明的响应文件有效期可以长于磋商文件规定的期限，但不得短于磋商文件规定的期限。否则，其响应文件将作为无效处理。</w:t>
      </w:r>
    </w:p>
    <w:p>
      <w:pPr>
        <w:spacing w:line="360" w:lineRule="auto"/>
        <w:ind w:firstLine="470" w:firstLineChars="196"/>
        <w:rPr>
          <w:rFonts w:hint="eastAsia" w:ascii="宋体" w:hAnsi="宋体" w:eastAsia="宋体" w:cs="宋体"/>
          <w:color w:val="auto"/>
          <w:sz w:val="24"/>
        </w:rPr>
      </w:pPr>
    </w:p>
    <w:p>
      <w:pPr>
        <w:spacing w:line="360" w:lineRule="auto"/>
        <w:ind w:firstLine="470" w:firstLineChars="196"/>
        <w:rPr>
          <w:rFonts w:hint="eastAsia" w:ascii="宋体" w:hAnsi="宋体" w:eastAsia="宋体" w:cs="宋体"/>
          <w:b/>
          <w:bCs/>
          <w:color w:val="auto"/>
          <w:sz w:val="24"/>
        </w:rPr>
      </w:pPr>
      <w:r>
        <w:rPr>
          <w:rFonts w:hint="eastAsia" w:ascii="宋体" w:hAnsi="宋体" w:eastAsia="宋体" w:cs="宋体"/>
          <w:b/>
          <w:color w:val="auto"/>
          <w:sz w:val="24"/>
        </w:rPr>
        <w:t>9.</w:t>
      </w:r>
      <w:r>
        <w:rPr>
          <w:rFonts w:hint="eastAsia" w:ascii="宋体" w:hAnsi="宋体" w:eastAsia="宋体" w:cs="宋体"/>
          <w:b/>
          <w:bCs/>
          <w:color w:val="auto"/>
          <w:sz w:val="24"/>
        </w:rPr>
        <w:t>知识产权（实质性要求）</w:t>
      </w:r>
    </w:p>
    <w:p>
      <w:pPr>
        <w:pStyle w:val="8"/>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rPr>
        <w:t>供应商</w:t>
      </w:r>
      <w:r>
        <w:rPr>
          <w:rFonts w:hint="eastAsia" w:ascii="宋体" w:hAnsi="宋体" w:eastAsia="宋体" w:cs="宋体"/>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eastAsia="宋体" w:cs="宋体"/>
          <w:color w:val="auto"/>
          <w:sz w:val="24"/>
        </w:rPr>
        <w:t>供应商</w:t>
      </w:r>
      <w:r>
        <w:rPr>
          <w:rFonts w:hint="eastAsia" w:ascii="宋体" w:hAnsi="宋体" w:eastAsia="宋体" w:cs="宋体"/>
          <w:color w:val="auto"/>
          <w:sz w:val="24"/>
          <w:szCs w:val="24"/>
        </w:rPr>
        <w:t>承担所有相关责任。</w:t>
      </w:r>
    </w:p>
    <w:p>
      <w:pPr>
        <w:pStyle w:val="8"/>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 除非磋商文件特别规定，采购人享有本项目实施过程中产生的知识成果及知识产权。</w:t>
      </w:r>
    </w:p>
    <w:p>
      <w:pPr>
        <w:spacing w:line="360" w:lineRule="auto"/>
        <w:ind w:firstLine="480" w:firstLineChars="200"/>
        <w:rPr>
          <w:rFonts w:hint="eastAsia" w:ascii="宋体" w:hAnsi="宋体" w:eastAsia="宋体" w:cs="宋体"/>
          <w:color w:val="auto"/>
          <w:sz w:val="32"/>
          <w:szCs w:val="32"/>
        </w:rPr>
      </w:pPr>
      <w:r>
        <w:rPr>
          <w:rFonts w:hint="eastAsia" w:ascii="宋体" w:hAnsi="宋体" w:eastAsia="宋体" w:cs="宋体"/>
          <w:color w:val="auto"/>
          <w:sz w:val="24"/>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9.4 如采用供应商所不拥有的知识产权，则在报价中必须包括合法获取该知识产权的相关费用。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9.5</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以上条款须供应商在响应文件中进行承诺，否则按无效投标处理。</w:t>
      </w:r>
      <w:bookmarkStart w:id="35" w:name="_Toc77400779"/>
      <w:bookmarkStart w:id="36" w:name="_Toc183682346"/>
      <w:bookmarkStart w:id="37" w:name="_Toc217446038"/>
      <w:bookmarkStart w:id="38" w:name="_Toc89075875"/>
      <w:bookmarkStart w:id="39" w:name="_Toc183582209"/>
    </w:p>
    <w:p>
      <w:pPr>
        <w:spacing w:line="360" w:lineRule="auto"/>
        <w:jc w:val="center"/>
        <w:rPr>
          <w:rFonts w:hint="eastAsia" w:ascii="宋体" w:hAnsi="宋体" w:eastAsia="宋体" w:cs="宋体"/>
          <w:color w:val="auto"/>
        </w:rPr>
      </w:pPr>
      <w:bookmarkStart w:id="40" w:name="_Toc4808"/>
    </w:p>
    <w:p>
      <w:pPr>
        <w:pStyle w:val="4"/>
        <w:keepNext w:val="0"/>
        <w:keepLines w:val="0"/>
        <w:spacing w:before="0" w:after="0" w:line="360" w:lineRule="auto"/>
        <w:jc w:val="center"/>
        <w:rPr>
          <w:rFonts w:hint="eastAsia" w:ascii="宋体" w:hAnsi="宋体" w:eastAsia="宋体" w:cs="宋体"/>
          <w:bCs w:val="0"/>
          <w:color w:val="auto"/>
        </w:rPr>
      </w:pPr>
      <w:bookmarkStart w:id="41" w:name="_Toc18965"/>
      <w:bookmarkStart w:id="42" w:name="_Toc21095"/>
      <w:bookmarkStart w:id="43" w:name="_Toc12416"/>
      <w:bookmarkStart w:id="44" w:name="_Toc25720"/>
      <w:r>
        <w:rPr>
          <w:rFonts w:hint="eastAsia" w:ascii="宋体" w:hAnsi="宋体" w:eastAsia="宋体" w:cs="宋体"/>
          <w:bCs w:val="0"/>
          <w:color w:val="auto"/>
        </w:rPr>
        <w:t>三、磋商文件</w:t>
      </w:r>
      <w:bookmarkEnd w:id="35"/>
      <w:bookmarkEnd w:id="36"/>
      <w:bookmarkEnd w:id="37"/>
      <w:bookmarkEnd w:id="38"/>
      <w:bookmarkEnd w:id="39"/>
      <w:bookmarkEnd w:id="40"/>
      <w:bookmarkEnd w:id="41"/>
      <w:bookmarkEnd w:id="42"/>
      <w:bookmarkEnd w:id="43"/>
      <w:bookmarkEnd w:id="44"/>
    </w:p>
    <w:p>
      <w:pPr>
        <w:spacing w:line="360" w:lineRule="auto"/>
        <w:rPr>
          <w:rFonts w:hint="eastAsia" w:ascii="宋体" w:hAnsi="宋体" w:eastAsia="宋体" w:cs="宋体"/>
          <w:color w:val="auto"/>
        </w:rPr>
      </w:pPr>
      <w:bookmarkStart w:id="45" w:name="_Toc217446039"/>
      <w:bookmarkStart w:id="46" w:name="_Toc183582210"/>
      <w:bookmarkStart w:id="47" w:name="_Toc183682347"/>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10．磋商文件的构成</w:t>
      </w:r>
      <w:bookmarkEnd w:id="45"/>
      <w:bookmarkEnd w:id="46"/>
      <w:bookmarkEnd w:id="47"/>
      <w:r>
        <w:rPr>
          <w:rFonts w:hint="eastAsia" w:ascii="宋体" w:hAnsi="宋体" w:eastAsia="宋体" w:cs="宋体"/>
          <w:b/>
          <w:bCs/>
          <w:color w:val="auto"/>
          <w:sz w:val="24"/>
        </w:rPr>
        <w:t>（实质性要求）</w:t>
      </w:r>
    </w:p>
    <w:p>
      <w:pPr>
        <w:tabs>
          <w:tab w:val="left" w:pos="72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w:t>
      </w:r>
      <w:r>
        <w:rPr>
          <w:rFonts w:hint="eastAsia" w:ascii="宋体" w:hAnsi="宋体" w:eastAsia="宋体" w:cs="宋体"/>
          <w:b/>
          <w:bCs/>
          <w:color w:val="auto"/>
          <w:sz w:val="24"/>
        </w:rPr>
        <w:t>.</w:t>
      </w:r>
      <w:r>
        <w:rPr>
          <w:rFonts w:hint="eastAsia" w:ascii="宋体" w:hAnsi="宋体" w:eastAsia="宋体" w:cs="宋体"/>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w:t>
      </w:r>
      <w:r>
        <w:rPr>
          <w:rFonts w:hint="eastAsia" w:ascii="宋体" w:hAnsi="宋体" w:eastAsia="宋体" w:cs="宋体"/>
          <w:b/>
          <w:bCs/>
          <w:color w:val="auto"/>
          <w:sz w:val="24"/>
        </w:rPr>
        <w:t>.</w:t>
      </w:r>
      <w:r>
        <w:rPr>
          <w:rFonts w:hint="eastAsia" w:ascii="宋体" w:hAnsi="宋体" w:eastAsia="宋体" w:cs="宋体"/>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360" w:lineRule="auto"/>
        <w:rPr>
          <w:rFonts w:hint="eastAsia" w:ascii="宋体" w:hAnsi="宋体" w:eastAsia="宋体" w:cs="宋体"/>
          <w:color w:val="auto"/>
        </w:rPr>
      </w:pPr>
      <w:bookmarkStart w:id="48" w:name="_Toc183582211"/>
      <w:bookmarkStart w:id="49" w:name="_Toc183682348"/>
      <w:bookmarkStart w:id="50" w:name="_Toc217446040"/>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11. 磋商文件的澄清</w:t>
      </w:r>
      <w:bookmarkEnd w:id="48"/>
      <w:bookmarkEnd w:id="49"/>
      <w:r>
        <w:rPr>
          <w:rFonts w:hint="eastAsia" w:ascii="宋体" w:hAnsi="宋体" w:eastAsia="宋体" w:cs="宋体"/>
          <w:b/>
          <w:bCs/>
          <w:color w:val="auto"/>
          <w:sz w:val="24"/>
        </w:rPr>
        <w:t>和修改</w:t>
      </w:r>
      <w:bookmarkEnd w:id="50"/>
    </w:p>
    <w:p>
      <w:pPr>
        <w:tabs>
          <w:tab w:val="left" w:pos="72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 在递交响应文件截止时间前，采购人、采购代理机构可以对磋商文件进行澄清或者修改。</w:t>
      </w:r>
    </w:p>
    <w:p>
      <w:pPr>
        <w:tabs>
          <w:tab w:val="left" w:pos="72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 采购代理机构对已发出的磋商文件进行澄清或者修改，应当以书面形式将澄清或者修改的内容通知所有购买了磋商文件的供应商，同时在</w:t>
      </w:r>
      <w:r>
        <w:rPr>
          <w:rFonts w:hint="eastAsia" w:ascii="宋体" w:hAnsi="宋体" w:eastAsia="宋体" w:cs="宋体"/>
          <w:bCs/>
          <w:color w:val="auto"/>
          <w:sz w:val="24"/>
          <w:lang w:eastAsia="zh-CN"/>
        </w:rPr>
        <w:t>四川政府采购网</w:t>
      </w:r>
      <w:r>
        <w:rPr>
          <w:rFonts w:hint="eastAsia" w:ascii="宋体" w:hAnsi="宋体" w:eastAsia="宋体" w:cs="宋体"/>
          <w:bCs/>
          <w:color w:val="auto"/>
          <w:sz w:val="24"/>
        </w:rPr>
        <w:t>上</w:t>
      </w:r>
      <w:r>
        <w:rPr>
          <w:rFonts w:hint="eastAsia" w:ascii="宋体" w:hAnsi="宋体" w:eastAsia="宋体" w:cs="宋体"/>
          <w:color w:val="auto"/>
          <w:sz w:val="24"/>
        </w:rPr>
        <w:t>发布更正公告。该澄清或者修改的内容为磋商文件的组成部分，澄清或者修改的内容可能影响响应文件编制的，采购人或者采购代理机构发布公告并书面通知供应商的时间，应当在提交首次响应文件截止之日起</w:t>
      </w:r>
      <w:r>
        <w:rPr>
          <w:rFonts w:hint="eastAsia" w:ascii="宋体" w:hAnsi="宋体" w:eastAsia="宋体" w:cs="宋体"/>
          <w:color w:val="auto"/>
          <w:sz w:val="24"/>
          <w:lang w:val="en-US" w:eastAsia="zh-CN"/>
        </w:rPr>
        <w:t>5</w:t>
      </w:r>
      <w:r>
        <w:rPr>
          <w:rFonts w:hint="eastAsia" w:ascii="宋体" w:hAnsi="宋体" w:eastAsia="宋体" w:cs="宋体"/>
          <w:color w:val="auto"/>
          <w:sz w:val="24"/>
        </w:rPr>
        <w:t>日前；不足上述时间的，应当顺延递交响应文件的截止时间。</w:t>
      </w:r>
    </w:p>
    <w:p>
      <w:pPr>
        <w:tabs>
          <w:tab w:val="left" w:pos="72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11.3供应商要求对磋商文件进行澄清的，均应按磋商文件中的联系方式，以书面形式向采购人或者采购代理机构提出申请，但采购人或者采购代理机构可以决定是否采纳供应商的申请事项。</w:t>
      </w:r>
    </w:p>
    <w:p>
      <w:pPr>
        <w:spacing w:line="336" w:lineRule="auto"/>
        <w:ind w:firstLine="480" w:firstLineChars="200"/>
        <w:rPr>
          <w:rFonts w:hint="eastAsia" w:ascii="宋体" w:hAnsi="宋体" w:eastAsia="宋体" w:cs="宋体"/>
          <w:b/>
          <w:bCs/>
          <w:color w:val="auto"/>
          <w:sz w:val="24"/>
        </w:rPr>
      </w:pPr>
      <w:bookmarkStart w:id="51" w:name="_Toc217446041"/>
      <w:bookmarkStart w:id="52" w:name="_Toc208848971"/>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12. 答疑会和现场考察</w:t>
      </w:r>
      <w:bookmarkEnd w:id="51"/>
      <w:bookmarkEnd w:id="52"/>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12.1根据采购项目和具体情况，采购人、采购代理机构认为有必要，可以在磋商文件提供期限截止后响应文件提交截止前，组织已获取磋商文件的潜在供应商现场考察或者召开答疑会。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12.3 供应商考察现场或者参加答疑会所发生的一切费用由供应商自己承担。</w:t>
      </w:r>
      <w:bookmarkStart w:id="53" w:name="_Toc183582214"/>
      <w:bookmarkStart w:id="54" w:name="_Toc89075876"/>
      <w:bookmarkStart w:id="55" w:name="_Toc183682351"/>
      <w:bookmarkStart w:id="56" w:name="_Toc77400780"/>
      <w:bookmarkStart w:id="57" w:name="_Toc217446042"/>
    </w:p>
    <w:p>
      <w:pPr>
        <w:spacing w:line="400" w:lineRule="exact"/>
        <w:jc w:val="center"/>
        <w:rPr>
          <w:rFonts w:hint="eastAsia" w:ascii="宋体" w:hAnsi="宋体" w:eastAsia="宋体" w:cs="宋体"/>
          <w:color w:val="auto"/>
        </w:rPr>
      </w:pPr>
      <w:bookmarkStart w:id="58" w:name="_Toc30252"/>
    </w:p>
    <w:p>
      <w:pPr>
        <w:pStyle w:val="4"/>
        <w:keepNext w:val="0"/>
        <w:keepLines w:val="0"/>
        <w:spacing w:before="0" w:after="0" w:line="400" w:lineRule="exact"/>
        <w:jc w:val="center"/>
        <w:rPr>
          <w:rFonts w:hint="eastAsia" w:ascii="宋体" w:hAnsi="宋体" w:eastAsia="宋体" w:cs="宋体"/>
          <w:bCs w:val="0"/>
          <w:color w:val="auto"/>
        </w:rPr>
      </w:pPr>
      <w:bookmarkStart w:id="59" w:name="_Toc21941"/>
      <w:bookmarkStart w:id="60" w:name="_Toc9165"/>
      <w:bookmarkStart w:id="61" w:name="_Toc14205"/>
      <w:bookmarkStart w:id="62" w:name="_Toc7054"/>
      <w:r>
        <w:rPr>
          <w:rFonts w:hint="eastAsia" w:ascii="宋体" w:hAnsi="宋体" w:eastAsia="宋体" w:cs="宋体"/>
          <w:bCs w:val="0"/>
          <w:color w:val="auto"/>
        </w:rPr>
        <w:t>四、响应文件</w:t>
      </w:r>
      <w:bookmarkEnd w:id="53"/>
      <w:bookmarkEnd w:id="54"/>
      <w:bookmarkEnd w:id="55"/>
      <w:bookmarkEnd w:id="56"/>
      <w:bookmarkEnd w:id="57"/>
      <w:bookmarkEnd w:id="58"/>
      <w:bookmarkEnd w:id="59"/>
      <w:bookmarkEnd w:id="60"/>
      <w:bookmarkEnd w:id="61"/>
      <w:bookmarkEnd w:id="62"/>
    </w:p>
    <w:p>
      <w:pPr>
        <w:rPr>
          <w:rFonts w:hint="eastAsia" w:ascii="宋体" w:hAnsi="宋体" w:eastAsia="宋体" w:cs="宋体"/>
          <w:color w:val="auto"/>
        </w:rPr>
      </w:pPr>
    </w:p>
    <w:p>
      <w:pPr>
        <w:spacing w:line="348" w:lineRule="auto"/>
        <w:ind w:firstLine="480" w:firstLineChars="200"/>
        <w:rPr>
          <w:rFonts w:hint="eastAsia" w:ascii="宋体" w:hAnsi="宋体" w:eastAsia="宋体" w:cs="宋体"/>
          <w:b/>
          <w:bCs/>
          <w:color w:val="auto"/>
          <w:sz w:val="24"/>
        </w:rPr>
      </w:pPr>
      <w:bookmarkStart w:id="63" w:name="_Toc183582215"/>
      <w:bookmarkStart w:id="64" w:name="_Toc183682352"/>
      <w:bookmarkStart w:id="65" w:name="_Toc217446043"/>
      <w:r>
        <w:rPr>
          <w:rFonts w:hint="eastAsia" w:ascii="宋体" w:hAnsi="宋体" w:eastAsia="宋体" w:cs="宋体"/>
          <w:b/>
          <w:bCs/>
          <w:color w:val="auto"/>
          <w:sz w:val="24"/>
        </w:rPr>
        <w:t>13.响应文件的组成（实质性要求）</w:t>
      </w:r>
    </w:p>
    <w:p>
      <w:pPr>
        <w:spacing w:line="348" w:lineRule="auto"/>
        <w:ind w:left="2" w:leftChars="1" w:firstLine="480" w:firstLineChars="200"/>
        <w:rPr>
          <w:rFonts w:hint="eastAsia" w:ascii="宋体" w:hAnsi="宋体" w:eastAsia="宋体" w:cs="宋体"/>
          <w:color w:val="auto"/>
          <w:sz w:val="24"/>
        </w:rPr>
      </w:pPr>
      <w:r>
        <w:rPr>
          <w:rFonts w:hint="eastAsia" w:ascii="宋体" w:hAnsi="宋体" w:eastAsia="宋体" w:cs="宋体"/>
          <w:color w:val="auto"/>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48" w:lineRule="auto"/>
        <w:rPr>
          <w:rFonts w:hint="eastAsia" w:ascii="宋体" w:hAnsi="宋体" w:eastAsia="宋体" w:cs="宋体"/>
          <w:color w:val="auto"/>
        </w:rPr>
      </w:pPr>
    </w:p>
    <w:p>
      <w:pPr>
        <w:spacing w:line="348" w:lineRule="auto"/>
        <w:ind w:firstLine="480" w:firstLineChars="200"/>
        <w:rPr>
          <w:rFonts w:hint="eastAsia" w:ascii="宋体" w:hAnsi="宋体" w:eastAsia="宋体" w:cs="宋体"/>
          <w:b/>
          <w:color w:val="auto"/>
          <w:sz w:val="24"/>
        </w:rPr>
      </w:pPr>
      <w:r>
        <w:rPr>
          <w:rFonts w:hint="eastAsia" w:ascii="宋体" w:hAnsi="宋体" w:eastAsia="宋体" w:cs="宋体"/>
          <w:b/>
          <w:color w:val="auto"/>
          <w:sz w:val="24"/>
        </w:rPr>
        <w:t>14.响应文件的语言</w:t>
      </w:r>
      <w:bookmarkEnd w:id="63"/>
      <w:bookmarkEnd w:id="64"/>
      <w:bookmarkEnd w:id="65"/>
      <w:r>
        <w:rPr>
          <w:rFonts w:hint="eastAsia" w:ascii="宋体" w:hAnsi="宋体" w:eastAsia="宋体" w:cs="宋体"/>
          <w:b/>
          <w:color w:val="auto"/>
          <w:sz w:val="24"/>
        </w:rPr>
        <w:t>（实质性要求）</w:t>
      </w:r>
    </w:p>
    <w:p>
      <w:pPr>
        <w:spacing w:line="348"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48"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14.2 翻译的中文资料与外文资料如果出现差异和矛盾，以中文为准。但不能故意错误翻译，否则，供应商的响应文件将作为无效处理。</w:t>
      </w:r>
    </w:p>
    <w:p>
      <w:pPr>
        <w:spacing w:line="400" w:lineRule="exact"/>
        <w:ind w:firstLine="480" w:firstLineChars="200"/>
        <w:rPr>
          <w:rFonts w:hint="eastAsia" w:ascii="宋体" w:hAnsi="宋体" w:eastAsia="宋体" w:cs="宋体"/>
          <w:b/>
          <w:bCs/>
          <w:color w:val="auto"/>
          <w:sz w:val="24"/>
        </w:rPr>
      </w:pPr>
      <w:bookmarkStart w:id="66" w:name="_Toc183582216"/>
      <w:bookmarkStart w:id="67" w:name="_Toc217446044"/>
      <w:bookmarkStart w:id="68" w:name="_Toc183682353"/>
    </w:p>
    <w:p>
      <w:pPr>
        <w:spacing w:line="400" w:lineRule="exact"/>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15．计量单位</w:t>
      </w:r>
      <w:bookmarkEnd w:id="66"/>
      <w:bookmarkEnd w:id="67"/>
      <w:bookmarkEnd w:id="68"/>
      <w:r>
        <w:rPr>
          <w:rFonts w:hint="eastAsia" w:ascii="宋体" w:hAnsi="宋体" w:eastAsia="宋体" w:cs="宋体"/>
          <w:b/>
          <w:bCs/>
          <w:color w:val="auto"/>
          <w:sz w:val="24"/>
        </w:rPr>
        <w:t>（实质性要求）</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除磋商文件中另有规定外，本次采购项目所有合同项下的报价均采用国家法定的计量单位。</w:t>
      </w:r>
    </w:p>
    <w:p>
      <w:pPr>
        <w:spacing w:line="400" w:lineRule="exact"/>
        <w:ind w:firstLine="468" w:firstLineChars="195"/>
        <w:rPr>
          <w:rFonts w:hint="eastAsia" w:ascii="宋体" w:hAnsi="宋体" w:eastAsia="宋体" w:cs="宋体"/>
          <w:b/>
          <w:bCs/>
          <w:color w:val="auto"/>
          <w:sz w:val="24"/>
        </w:rPr>
      </w:pPr>
      <w:r>
        <w:rPr>
          <w:rFonts w:hint="eastAsia" w:ascii="宋体" w:hAnsi="宋体" w:eastAsia="宋体" w:cs="宋体"/>
          <w:color w:val="auto"/>
          <w:sz w:val="24"/>
        </w:rPr>
        <w:t xml:space="preserve"> </w:t>
      </w:r>
      <w:bookmarkStart w:id="69" w:name="_Toc217446045"/>
      <w:r>
        <w:rPr>
          <w:rFonts w:hint="eastAsia" w:ascii="宋体" w:hAnsi="宋体" w:eastAsia="宋体" w:cs="宋体"/>
          <w:color w:val="auto"/>
          <w:sz w:val="24"/>
        </w:rPr>
        <w:t xml:space="preserve">  </w:t>
      </w:r>
    </w:p>
    <w:p>
      <w:pPr>
        <w:numPr>
          <w:ilvl w:val="0"/>
          <w:numId w:val="4"/>
        </w:numPr>
        <w:spacing w:line="400" w:lineRule="exact"/>
        <w:ind w:firstLine="468" w:firstLineChars="195"/>
        <w:rPr>
          <w:rFonts w:hint="eastAsia" w:ascii="宋体" w:hAnsi="宋体" w:eastAsia="宋体" w:cs="宋体"/>
          <w:b/>
          <w:bCs/>
          <w:color w:val="auto"/>
          <w:sz w:val="24"/>
        </w:rPr>
      </w:pPr>
      <w:r>
        <w:rPr>
          <w:rFonts w:hint="eastAsia" w:ascii="宋体" w:hAnsi="宋体" w:eastAsia="宋体" w:cs="宋体"/>
          <w:b/>
          <w:color w:val="auto"/>
          <w:sz w:val="24"/>
        </w:rPr>
        <w:t>报价</w:t>
      </w:r>
      <w:r>
        <w:rPr>
          <w:rFonts w:hint="eastAsia" w:ascii="宋体" w:hAnsi="宋体" w:eastAsia="宋体" w:cs="宋体"/>
          <w:b/>
          <w:bCs/>
          <w:color w:val="auto"/>
          <w:sz w:val="24"/>
        </w:rPr>
        <w:t>要求</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 xml:space="preserve">16.1 </w:t>
      </w:r>
      <w:r>
        <w:rPr>
          <w:rFonts w:hint="eastAsia" w:ascii="宋体" w:hAnsi="宋体" w:eastAsia="宋体" w:cs="宋体"/>
          <w:bCs/>
          <w:color w:val="auto"/>
          <w:sz w:val="24"/>
        </w:rPr>
        <w:t>按磋商文件规定的内容，供应商应按磋商文件的要求报价</w:t>
      </w:r>
      <w:r>
        <w:rPr>
          <w:rFonts w:hint="eastAsia" w:ascii="宋体" w:hAnsi="宋体" w:eastAsia="宋体" w:cs="宋体"/>
          <w:color w:val="auto"/>
          <w:sz w:val="24"/>
          <w:szCs w:val="28"/>
        </w:rPr>
        <w:t>。</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 xml:space="preserve">16.2 </w:t>
      </w:r>
      <w:r>
        <w:rPr>
          <w:rFonts w:hint="eastAsia" w:ascii="宋体" w:hAnsi="宋体" w:eastAsia="宋体" w:cs="宋体"/>
          <w:bCs/>
          <w:color w:val="auto"/>
          <w:sz w:val="24"/>
        </w:rPr>
        <w:t>供应商应按照磋商文件规定的商务、合同和技术责任进行报价。</w:t>
      </w:r>
    </w:p>
    <w:p>
      <w:pPr>
        <w:tabs>
          <w:tab w:val="left" w:pos="1620"/>
        </w:tabs>
        <w:autoSpaceDE w:val="0"/>
        <w:autoSpaceDN w:val="0"/>
        <w:adjustRightInd w:val="0"/>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color w:val="auto"/>
          <w:sz w:val="24"/>
          <w:szCs w:val="28"/>
        </w:rPr>
        <w:t xml:space="preserve">16.3 </w:t>
      </w:r>
      <w:r>
        <w:rPr>
          <w:rFonts w:hint="eastAsia" w:ascii="宋体" w:hAnsi="宋体" w:eastAsia="宋体" w:cs="宋体"/>
          <w:bCs/>
          <w:color w:val="auto"/>
          <w:sz w:val="24"/>
        </w:rPr>
        <w:t>磋商价格应是所述项目的全部内容的报价。</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16.4 所有报价币种为人民币，单位：元。</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
          <w:color w:val="auto"/>
          <w:sz w:val="24"/>
          <w:szCs w:val="28"/>
        </w:rPr>
        <w:t xml:space="preserve"> 最终报价要求:</w:t>
      </w:r>
      <w:r>
        <w:rPr>
          <w:rFonts w:hint="eastAsia" w:ascii="宋体" w:hAnsi="宋体" w:eastAsia="宋体" w:cs="宋体"/>
          <w:color w:val="auto"/>
          <w:sz w:val="24"/>
          <w:szCs w:val="28"/>
        </w:rPr>
        <w:t>在磋商结束后，供应商的最终报价以“首轮报价”为基础进行填写报价。</w:t>
      </w:r>
    </w:p>
    <w:bookmarkEnd w:id="69"/>
    <w:p>
      <w:pPr>
        <w:spacing w:line="400" w:lineRule="exact"/>
        <w:ind w:left="2" w:leftChars="1" w:firstLine="480" w:firstLineChars="200"/>
        <w:rPr>
          <w:rFonts w:hint="eastAsia" w:ascii="宋体" w:hAnsi="宋体" w:eastAsia="宋体" w:cs="宋体"/>
          <w:b/>
          <w:bCs/>
          <w:color w:val="auto"/>
          <w:sz w:val="24"/>
        </w:rPr>
      </w:pPr>
    </w:p>
    <w:p>
      <w:pPr>
        <w:spacing w:line="400" w:lineRule="exact"/>
        <w:ind w:left="2" w:leftChars="1"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17.响应文件格式</w:t>
      </w:r>
    </w:p>
    <w:p>
      <w:pPr>
        <w:spacing w:line="400" w:lineRule="exact"/>
        <w:ind w:left="2" w:leftChars="1" w:firstLine="480" w:firstLineChars="200"/>
        <w:rPr>
          <w:rFonts w:hint="eastAsia" w:ascii="宋体" w:hAnsi="宋体" w:eastAsia="宋体" w:cs="宋体"/>
          <w:bCs/>
          <w:color w:val="auto"/>
          <w:sz w:val="24"/>
        </w:rPr>
      </w:pPr>
      <w:r>
        <w:rPr>
          <w:rFonts w:hint="eastAsia" w:ascii="宋体" w:hAnsi="宋体" w:eastAsia="宋体" w:cs="宋体"/>
          <w:bCs/>
          <w:color w:val="auto"/>
          <w:sz w:val="24"/>
        </w:rPr>
        <w:t>17.1 供应商应执行磋商文件第七章的规定要求。</w:t>
      </w:r>
    </w:p>
    <w:p>
      <w:pPr>
        <w:spacing w:line="400" w:lineRule="exact"/>
        <w:ind w:left="2" w:leftChars="1" w:firstLine="480" w:firstLineChars="200"/>
        <w:rPr>
          <w:rFonts w:hint="eastAsia" w:ascii="宋体" w:hAnsi="宋体" w:eastAsia="宋体" w:cs="宋体"/>
          <w:color w:val="auto"/>
          <w:sz w:val="24"/>
        </w:rPr>
      </w:pPr>
      <w:r>
        <w:rPr>
          <w:rFonts w:hint="eastAsia" w:ascii="宋体" w:hAnsi="宋体" w:eastAsia="宋体" w:cs="宋体"/>
          <w:color w:val="auto"/>
          <w:sz w:val="24"/>
        </w:rPr>
        <w:t>17.2 对于没有格式要求的磋商文件由供应商自行编写。</w:t>
      </w:r>
    </w:p>
    <w:p>
      <w:pPr>
        <w:spacing w:line="400" w:lineRule="exact"/>
        <w:ind w:firstLine="470" w:firstLineChars="196"/>
        <w:rPr>
          <w:rFonts w:hint="eastAsia" w:ascii="宋体" w:hAnsi="宋体" w:eastAsia="宋体" w:cs="宋体"/>
          <w:color w:val="auto"/>
          <w:sz w:val="24"/>
        </w:rPr>
      </w:pPr>
      <w:bookmarkStart w:id="70" w:name="_Toc217446051"/>
      <w:bookmarkStart w:id="71" w:name="_Toc183682361"/>
      <w:bookmarkStart w:id="72" w:name="_Toc183582224"/>
    </w:p>
    <w:p>
      <w:pPr>
        <w:spacing w:line="360" w:lineRule="auto"/>
        <w:ind w:firstLine="470" w:firstLineChars="196"/>
        <w:rPr>
          <w:rFonts w:hint="eastAsia" w:ascii="宋体" w:hAnsi="宋体" w:eastAsia="宋体" w:cs="宋体"/>
          <w:b/>
          <w:color w:val="auto"/>
          <w:sz w:val="24"/>
        </w:rPr>
      </w:pPr>
      <w:r>
        <w:rPr>
          <w:rFonts w:hint="eastAsia" w:ascii="宋体" w:hAnsi="宋体" w:eastAsia="宋体" w:cs="宋体"/>
          <w:b/>
          <w:color w:val="auto"/>
          <w:sz w:val="24"/>
        </w:rPr>
        <w:t>18.响应文件的编制和签署</w:t>
      </w:r>
    </w:p>
    <w:bookmarkEnd w:id="70"/>
    <w:bookmarkEnd w:id="71"/>
    <w:bookmarkEnd w:id="72"/>
    <w:p>
      <w:pPr>
        <w:spacing w:line="360" w:lineRule="auto"/>
        <w:ind w:firstLine="468" w:firstLineChars="195"/>
        <w:rPr>
          <w:rFonts w:hint="eastAsia" w:ascii="宋体" w:hAnsi="宋体" w:eastAsia="宋体" w:cs="宋体"/>
          <w:bCs/>
          <w:color w:val="auto"/>
          <w:sz w:val="24"/>
        </w:rPr>
      </w:pPr>
      <w:bookmarkStart w:id="73" w:name="_Toc183682363"/>
      <w:bookmarkStart w:id="74" w:name="_Toc77400781"/>
      <w:bookmarkStart w:id="75" w:name="_Toc89075877"/>
      <w:bookmarkStart w:id="76" w:name="_Toc217446053"/>
      <w:bookmarkStart w:id="77" w:name="_Toc183582226"/>
      <w:r>
        <w:rPr>
          <w:rFonts w:hint="eastAsia" w:ascii="宋体" w:hAnsi="宋体" w:eastAsia="宋体" w:cs="宋体"/>
          <w:color w:val="auto"/>
          <w:sz w:val="24"/>
        </w:rPr>
        <w:t>18.1 资格性响应文件正本1份、副本2份</w:t>
      </w:r>
      <w:r>
        <w:rPr>
          <w:rFonts w:hint="eastAsia" w:ascii="宋体" w:hAnsi="宋体" w:eastAsia="宋体" w:cs="宋体"/>
          <w:bCs/>
          <w:color w:val="auto"/>
          <w:sz w:val="24"/>
        </w:rPr>
        <w:t>，并在其封面上清楚地标明资格性响应文件、项目名称、项目编号、包件号及名称（若有）、供应商名称以及“正本”或“副本”字样。若正本和副本有不一致的内容，以正本书面响应文件为准。</w:t>
      </w:r>
    </w:p>
    <w:p>
      <w:pPr>
        <w:spacing w:line="360" w:lineRule="auto"/>
        <w:ind w:firstLine="468" w:firstLineChars="195"/>
        <w:rPr>
          <w:rFonts w:hint="eastAsia" w:ascii="宋体" w:hAnsi="宋体" w:eastAsia="宋体" w:cs="宋体"/>
          <w:bCs/>
          <w:color w:val="auto"/>
          <w:sz w:val="24"/>
        </w:rPr>
      </w:pPr>
      <w:r>
        <w:rPr>
          <w:rFonts w:hint="eastAsia" w:ascii="宋体" w:hAnsi="宋体" w:eastAsia="宋体" w:cs="宋体"/>
          <w:bCs/>
          <w:color w:val="auto"/>
          <w:sz w:val="24"/>
        </w:rPr>
        <w:t>18.2 其他响应文件正本1份、副本2份，并在其封面上清楚地标明其他响应文件、项目名称、项目编号、包件号及名称（若有）、供应商名称以及“正本”或“副本”字样。若正本和副本有不一致的内容，以正本书面响应文件为准。</w:t>
      </w:r>
    </w:p>
    <w:p>
      <w:pPr>
        <w:spacing w:line="360" w:lineRule="auto"/>
        <w:ind w:firstLine="468" w:firstLineChars="195"/>
        <w:rPr>
          <w:rFonts w:hint="eastAsia" w:ascii="宋体" w:hAnsi="宋体" w:eastAsia="宋体" w:cs="宋体"/>
          <w:bCs/>
          <w:color w:val="auto"/>
          <w:sz w:val="24"/>
        </w:rPr>
      </w:pPr>
      <w:r>
        <w:rPr>
          <w:rFonts w:hint="eastAsia" w:ascii="宋体" w:hAnsi="宋体" w:eastAsia="宋体" w:cs="宋体"/>
          <w:bCs/>
          <w:color w:val="auto"/>
          <w:sz w:val="24"/>
        </w:rPr>
        <w:t>18.3 电子文档1份，采用U盘制作。</w:t>
      </w:r>
    </w:p>
    <w:p>
      <w:pPr>
        <w:spacing w:line="360" w:lineRule="auto"/>
        <w:ind w:firstLine="468" w:firstLineChars="195"/>
        <w:rPr>
          <w:rFonts w:hint="eastAsia" w:ascii="宋体" w:hAnsi="宋体" w:eastAsia="宋体" w:cs="宋体"/>
          <w:bCs/>
          <w:color w:val="auto"/>
          <w:sz w:val="24"/>
        </w:rPr>
      </w:pPr>
      <w:r>
        <w:rPr>
          <w:rFonts w:hint="eastAsia" w:ascii="宋体" w:hAnsi="宋体" w:eastAsia="宋体" w:cs="宋体"/>
          <w:bCs/>
          <w:color w:val="auto"/>
          <w:sz w:val="24"/>
        </w:rPr>
        <w:t>18.4</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响应文件正本和副本均需在规定签章处签字和盖章。响应文件副本可采用正本的复印件。响应文件的打印和书写应清楚工整，任何行间插字、涂改或增删，必须由供应商的法定代表人或其授权代表签字并盖供应商公章。</w:t>
      </w:r>
    </w:p>
    <w:p>
      <w:pPr>
        <w:spacing w:line="360" w:lineRule="auto"/>
        <w:ind w:firstLine="468" w:firstLineChars="195"/>
        <w:rPr>
          <w:rFonts w:hint="eastAsia" w:ascii="宋体" w:hAnsi="宋体" w:eastAsia="宋体" w:cs="宋体"/>
          <w:bCs/>
          <w:color w:val="auto"/>
          <w:sz w:val="24"/>
        </w:rPr>
      </w:pPr>
      <w:r>
        <w:rPr>
          <w:rFonts w:hint="eastAsia" w:ascii="宋体" w:hAnsi="宋体" w:eastAsia="宋体" w:cs="宋体"/>
          <w:bCs/>
          <w:color w:val="auto"/>
          <w:sz w:val="24"/>
        </w:rPr>
        <w:t>18.5</w:t>
      </w:r>
      <w:r>
        <w:rPr>
          <w:rFonts w:hint="eastAsia" w:ascii="宋体" w:hAnsi="宋体" w:eastAsia="宋体" w:cs="宋体"/>
          <w:b/>
          <w:color w:val="auto"/>
          <w:sz w:val="24"/>
        </w:rPr>
        <w:t>（实质性要求）</w:t>
      </w:r>
      <w:r>
        <w:rPr>
          <w:rFonts w:hint="eastAsia" w:ascii="宋体" w:hAnsi="宋体" w:eastAsia="宋体" w:cs="宋体"/>
          <w:bCs/>
          <w:color w:val="auto"/>
          <w:sz w:val="24"/>
        </w:rPr>
        <w:t>响应文件应由供应商法定代表人/主要负责人/本人或其授权代表在响应文件要求的地方签字，要求加盖公章的地方加盖单位公章，不得使用专用章（如经济合同章、投标专用章等）或下属单位印章代替。响应文件封面须加盖供应商公章，并在骑缝处加盖供应商公章。</w:t>
      </w:r>
    </w:p>
    <w:p>
      <w:pPr>
        <w:spacing w:line="360" w:lineRule="auto"/>
        <w:ind w:firstLine="468" w:firstLineChars="195"/>
        <w:rPr>
          <w:rFonts w:hint="eastAsia" w:ascii="宋体" w:hAnsi="宋体" w:eastAsia="宋体" w:cs="宋体"/>
          <w:bCs/>
          <w:color w:val="auto"/>
          <w:sz w:val="24"/>
        </w:rPr>
      </w:pPr>
      <w:r>
        <w:rPr>
          <w:rFonts w:hint="eastAsia" w:ascii="宋体" w:hAnsi="宋体" w:eastAsia="宋体" w:cs="宋体"/>
          <w:bCs/>
          <w:color w:val="auto"/>
          <w:sz w:val="24"/>
        </w:rPr>
        <w:t>18.6响应文件正本和副本需要逐页编码。</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18.7响应文件正本和副本应当采用胶装方式装订成册，不得散装或者合页装订。</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18.8响应文件应根据磋商文件的要求制作，签署、盖章。（按照《四川省政府采购评审工作规程（修订）》规范）</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18.9响应文件统一用A4幅面纸印制，除另有规定外。</w:t>
      </w:r>
    </w:p>
    <w:p>
      <w:pPr>
        <w:tabs>
          <w:tab w:val="left" w:pos="1080"/>
        </w:tabs>
        <w:spacing w:line="360" w:lineRule="auto"/>
        <w:ind w:firstLine="460" w:firstLineChars="192"/>
        <w:rPr>
          <w:rFonts w:hint="eastAsia" w:ascii="宋体" w:hAnsi="宋体" w:eastAsia="宋体" w:cs="宋体"/>
          <w:b/>
          <w:color w:val="auto"/>
          <w:sz w:val="24"/>
        </w:rPr>
      </w:pPr>
      <w:r>
        <w:rPr>
          <w:rFonts w:hint="eastAsia" w:ascii="宋体" w:hAnsi="宋体" w:eastAsia="宋体" w:cs="宋体"/>
          <w:color w:val="auto"/>
          <w:sz w:val="24"/>
        </w:rPr>
        <w:t xml:space="preserve">18.10 </w:t>
      </w:r>
      <w:r>
        <w:rPr>
          <w:rFonts w:hint="eastAsia" w:ascii="宋体" w:hAnsi="宋体" w:eastAsia="宋体" w:cs="宋体"/>
          <w:b/>
          <w:bCs/>
          <w:color w:val="auto"/>
          <w:sz w:val="24"/>
        </w:rPr>
        <w:t>未按以上要求进行</w:t>
      </w:r>
      <w:r>
        <w:rPr>
          <w:rFonts w:hint="eastAsia" w:ascii="宋体" w:hAnsi="宋体" w:eastAsia="宋体" w:cs="宋体"/>
          <w:b/>
          <w:color w:val="auto"/>
          <w:sz w:val="24"/>
        </w:rPr>
        <w:t>编制和签署</w:t>
      </w:r>
      <w:r>
        <w:rPr>
          <w:rFonts w:hint="eastAsia" w:ascii="宋体" w:hAnsi="宋体" w:eastAsia="宋体" w:cs="宋体"/>
          <w:b/>
          <w:bCs/>
          <w:color w:val="auto"/>
          <w:sz w:val="24"/>
        </w:rPr>
        <w:t>的响应文件,采购人、采购代理机构应当拒收。</w:t>
      </w:r>
    </w:p>
    <w:p>
      <w:pPr>
        <w:tabs>
          <w:tab w:val="left" w:pos="1080"/>
        </w:tabs>
        <w:spacing w:line="324" w:lineRule="auto"/>
        <w:ind w:firstLine="460" w:firstLineChars="192"/>
        <w:rPr>
          <w:rFonts w:hint="eastAsia" w:ascii="宋体" w:hAnsi="宋体" w:eastAsia="宋体" w:cs="宋体"/>
          <w:b/>
          <w:color w:val="auto"/>
          <w:sz w:val="24"/>
        </w:rPr>
      </w:pPr>
    </w:p>
    <w:p>
      <w:pPr>
        <w:tabs>
          <w:tab w:val="left" w:pos="1080"/>
        </w:tabs>
        <w:spacing w:line="360" w:lineRule="auto"/>
        <w:ind w:firstLine="460" w:firstLineChars="192"/>
        <w:rPr>
          <w:rFonts w:hint="eastAsia" w:ascii="宋体" w:hAnsi="宋体" w:eastAsia="宋体" w:cs="宋体"/>
          <w:b/>
          <w:color w:val="auto"/>
          <w:sz w:val="24"/>
        </w:rPr>
      </w:pPr>
      <w:r>
        <w:rPr>
          <w:rFonts w:hint="eastAsia" w:ascii="宋体" w:hAnsi="宋体" w:eastAsia="宋体" w:cs="宋体"/>
          <w:b/>
          <w:color w:val="auto"/>
          <w:sz w:val="24"/>
        </w:rPr>
        <w:t>19.响应文件的密封和标注（不属于本项目磋商小组评审范畴，由采购人、采购代理机构在接收响应文件时及时处理）</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19.1  响应文件密封为正本1袋，副本1袋；电子U盘随正本密封在一起。</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19.2 响应文件密封袋的最外层应清楚地标明项目名称、项目编号、包件号及名称（若有）、供应商名称。</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 xml:space="preserve">19.3 </w:t>
      </w:r>
      <w:r>
        <w:rPr>
          <w:rFonts w:hint="eastAsia" w:ascii="宋体" w:hAnsi="宋体" w:eastAsia="宋体" w:cs="宋体"/>
          <w:b/>
          <w:bCs/>
          <w:color w:val="auto"/>
          <w:sz w:val="24"/>
        </w:rPr>
        <w:t>（实质性要求）</w:t>
      </w:r>
      <w:r>
        <w:rPr>
          <w:rFonts w:hint="eastAsia" w:ascii="宋体" w:hAnsi="宋体" w:eastAsia="宋体" w:cs="宋体"/>
          <w:color w:val="auto"/>
          <w:sz w:val="24"/>
        </w:rPr>
        <w:t>所有外层密封袋的封口处应粘贴牢固，并加盖密封章（</w:t>
      </w:r>
      <w:r>
        <w:rPr>
          <w:rFonts w:hint="eastAsia" w:ascii="宋体" w:hAnsi="宋体" w:eastAsia="宋体" w:cs="宋体"/>
          <w:bCs/>
          <w:color w:val="auto"/>
          <w:sz w:val="24"/>
        </w:rPr>
        <w:t>供应商公章</w:t>
      </w:r>
      <w:r>
        <w:rPr>
          <w:rFonts w:hint="eastAsia" w:ascii="宋体" w:hAnsi="宋体" w:eastAsia="宋体" w:cs="宋体"/>
          <w:color w:val="auto"/>
          <w:sz w:val="24"/>
        </w:rPr>
        <w:t>）。</w:t>
      </w:r>
    </w:p>
    <w:p>
      <w:pPr>
        <w:tabs>
          <w:tab w:val="left" w:pos="1080"/>
        </w:tabs>
        <w:spacing w:line="360" w:lineRule="auto"/>
        <w:ind w:firstLine="460" w:firstLineChars="192"/>
        <w:rPr>
          <w:rFonts w:hint="eastAsia" w:ascii="宋体" w:hAnsi="宋体" w:eastAsia="宋体" w:cs="宋体"/>
          <w:b/>
          <w:bCs/>
          <w:color w:val="auto"/>
          <w:sz w:val="24"/>
        </w:rPr>
      </w:pPr>
      <w:r>
        <w:rPr>
          <w:rFonts w:hint="eastAsia" w:ascii="宋体" w:hAnsi="宋体" w:eastAsia="宋体" w:cs="宋体"/>
          <w:color w:val="auto"/>
          <w:sz w:val="24"/>
        </w:rPr>
        <w:t xml:space="preserve">19.4 </w:t>
      </w:r>
      <w:r>
        <w:rPr>
          <w:rFonts w:hint="eastAsia" w:ascii="宋体" w:hAnsi="宋体" w:eastAsia="宋体" w:cs="宋体"/>
          <w:b/>
          <w:bCs/>
          <w:color w:val="auto"/>
          <w:sz w:val="24"/>
        </w:rPr>
        <w:t>未按以上要求进行密封和标注的响应文件,采购人、采购代理机构应当拒收。</w:t>
      </w:r>
    </w:p>
    <w:p>
      <w:pPr>
        <w:pStyle w:val="2"/>
        <w:rPr>
          <w:rFonts w:hint="eastAsia" w:ascii="宋体" w:hAnsi="宋体" w:eastAsia="宋体" w:cs="宋体"/>
          <w:color w:val="auto"/>
        </w:rPr>
      </w:pPr>
    </w:p>
    <w:p>
      <w:pPr>
        <w:tabs>
          <w:tab w:val="left" w:pos="1080"/>
        </w:tabs>
        <w:spacing w:line="360" w:lineRule="auto"/>
        <w:ind w:firstLine="460" w:firstLineChars="192"/>
        <w:rPr>
          <w:rFonts w:hint="eastAsia" w:ascii="宋体" w:hAnsi="宋体" w:eastAsia="宋体" w:cs="宋体"/>
          <w:b/>
          <w:color w:val="auto"/>
          <w:sz w:val="24"/>
        </w:rPr>
      </w:pPr>
      <w:r>
        <w:rPr>
          <w:rFonts w:hint="eastAsia" w:ascii="宋体" w:hAnsi="宋体" w:eastAsia="宋体" w:cs="宋体"/>
          <w:b/>
          <w:color w:val="auto"/>
          <w:sz w:val="24"/>
        </w:rPr>
        <w:t>20.响应文件的递交</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20.1 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20.2 采购代理机构将向通过资格审查的供应商发出磋商邀请；告知未通过资格审查的供应商未通过的原因。</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20.3 报价表在磋商后，磋商小组要求供应商进行最后报价时递交。</w:t>
      </w:r>
    </w:p>
    <w:p>
      <w:pPr>
        <w:tabs>
          <w:tab w:val="left" w:pos="1080"/>
        </w:tabs>
        <w:spacing w:line="360" w:lineRule="auto"/>
        <w:ind w:firstLine="460" w:firstLineChars="192"/>
        <w:rPr>
          <w:rFonts w:hint="eastAsia" w:ascii="宋体" w:hAnsi="宋体" w:eastAsia="宋体" w:cs="宋体"/>
          <w:color w:val="auto"/>
          <w:sz w:val="24"/>
        </w:rPr>
      </w:pPr>
      <w:r>
        <w:rPr>
          <w:rFonts w:hint="eastAsia" w:ascii="宋体" w:hAnsi="宋体" w:eastAsia="宋体" w:cs="宋体"/>
          <w:color w:val="auto"/>
          <w:sz w:val="24"/>
        </w:rPr>
        <w:t>20.4 本次采购不接收邮寄的响应文件。</w:t>
      </w:r>
    </w:p>
    <w:bookmarkEnd w:id="73"/>
    <w:bookmarkEnd w:id="74"/>
    <w:bookmarkEnd w:id="75"/>
    <w:bookmarkEnd w:id="76"/>
    <w:bookmarkEnd w:id="77"/>
    <w:p>
      <w:pPr>
        <w:tabs>
          <w:tab w:val="left" w:pos="1080"/>
        </w:tabs>
        <w:spacing w:line="400" w:lineRule="exact"/>
        <w:ind w:firstLine="460" w:firstLineChars="192"/>
        <w:rPr>
          <w:rFonts w:hint="eastAsia" w:ascii="宋体" w:hAnsi="宋体" w:eastAsia="宋体" w:cs="宋体"/>
          <w:b/>
          <w:color w:val="auto"/>
          <w:sz w:val="24"/>
        </w:rPr>
      </w:pPr>
      <w:bookmarkStart w:id="78" w:name="_Toc183582228"/>
      <w:bookmarkStart w:id="79" w:name="_Toc183682365"/>
      <w:bookmarkStart w:id="80" w:name="_Toc217446055"/>
    </w:p>
    <w:p>
      <w:pPr>
        <w:tabs>
          <w:tab w:val="left" w:pos="1080"/>
        </w:tabs>
        <w:spacing w:line="336" w:lineRule="auto"/>
        <w:ind w:firstLine="460" w:firstLineChars="192"/>
        <w:rPr>
          <w:rFonts w:hint="eastAsia" w:ascii="宋体" w:hAnsi="宋体" w:eastAsia="宋体" w:cs="宋体"/>
          <w:b/>
          <w:color w:val="auto"/>
          <w:sz w:val="24"/>
        </w:rPr>
      </w:pPr>
      <w:r>
        <w:rPr>
          <w:rFonts w:hint="eastAsia" w:ascii="宋体" w:hAnsi="宋体" w:eastAsia="宋体" w:cs="宋体"/>
          <w:b/>
          <w:color w:val="auto"/>
          <w:sz w:val="24"/>
        </w:rPr>
        <w:t>21.响应文件的修改和撤回（补充、修改响应文件的密封和标注按照本章“19.响应文件的密封和标注”规定处理）</w:t>
      </w:r>
    </w:p>
    <w:p>
      <w:pPr>
        <w:pStyle w:val="7"/>
        <w:spacing w:line="336" w:lineRule="auto"/>
        <w:ind w:firstLine="480"/>
        <w:rPr>
          <w:rFonts w:hint="eastAsia" w:ascii="宋体" w:hAnsi="宋体" w:eastAsia="宋体" w:cs="宋体"/>
          <w:color w:val="auto"/>
          <w:sz w:val="24"/>
        </w:rPr>
      </w:pPr>
      <w:r>
        <w:rPr>
          <w:rFonts w:hint="eastAsia" w:ascii="宋体" w:hAnsi="宋体" w:eastAsia="宋体" w:cs="宋体"/>
          <w:color w:val="auto"/>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21.2供应商对响应文件修改的书面材料或撤回的通知应该按规定进行编写、密封、标注和递送，并注明“修改响应文件”字样。</w:t>
      </w:r>
    </w:p>
    <w:p>
      <w:pPr>
        <w:adjustRightInd w:val="0"/>
        <w:snapToGrid w:val="0"/>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21.3供应商不得在递交截止时间起至响应文件有效期期满前撤销其响应文件。</w:t>
      </w:r>
    </w:p>
    <w:p>
      <w:pPr>
        <w:spacing w:line="336" w:lineRule="auto"/>
        <w:ind w:firstLine="480"/>
        <w:rPr>
          <w:rFonts w:hint="eastAsia" w:ascii="宋体" w:hAnsi="宋体" w:eastAsia="宋体" w:cs="宋体"/>
          <w:color w:val="auto"/>
          <w:sz w:val="24"/>
        </w:rPr>
      </w:pPr>
      <w:r>
        <w:rPr>
          <w:rFonts w:hint="eastAsia" w:ascii="宋体" w:hAnsi="宋体" w:eastAsia="宋体" w:cs="宋体"/>
          <w:color w:val="auto"/>
          <w:sz w:val="24"/>
        </w:rPr>
        <w:t>21.4 响应文件中报价如果出现下列不一致的，可按以下原则进行修改：</w:t>
      </w:r>
    </w:p>
    <w:p>
      <w:pPr>
        <w:spacing w:line="336" w:lineRule="auto"/>
        <w:ind w:firstLine="480"/>
        <w:rPr>
          <w:rFonts w:hint="eastAsia" w:ascii="宋体" w:hAnsi="宋体" w:eastAsia="宋体" w:cs="宋体"/>
          <w:color w:val="auto"/>
          <w:sz w:val="24"/>
        </w:rPr>
      </w:pPr>
      <w:r>
        <w:rPr>
          <w:rFonts w:hint="eastAsia" w:ascii="宋体" w:hAnsi="宋体" w:eastAsia="宋体" w:cs="宋体"/>
          <w:color w:val="auto"/>
          <w:sz w:val="24"/>
        </w:rPr>
        <w:t>（一）</w:t>
      </w:r>
      <w:r>
        <w:rPr>
          <w:rFonts w:hint="eastAsia" w:ascii="宋体" w:hAnsi="宋体" w:eastAsia="宋体" w:cs="宋体"/>
          <w:color w:val="auto"/>
          <w:kern w:val="0"/>
          <w:sz w:val="24"/>
        </w:rPr>
        <w:t>大写金额和小写金额不一致的，以大写金额为准</w:t>
      </w:r>
      <w:r>
        <w:rPr>
          <w:rFonts w:hint="eastAsia" w:ascii="宋体" w:hAnsi="宋体" w:eastAsia="宋体" w:cs="宋体"/>
          <w:color w:val="auto"/>
          <w:sz w:val="24"/>
        </w:rPr>
        <w:t>，但大写金额文字存在错误的，应当先对大写金额的文字错误进行澄清、说明或者更正，再行修正。</w:t>
      </w:r>
    </w:p>
    <w:p>
      <w:pPr>
        <w:spacing w:line="336" w:lineRule="auto"/>
        <w:ind w:firstLine="480"/>
        <w:rPr>
          <w:rFonts w:hint="eastAsia" w:ascii="宋体" w:hAnsi="宋体" w:eastAsia="宋体" w:cs="宋体"/>
          <w:color w:val="auto"/>
          <w:sz w:val="24"/>
        </w:rPr>
      </w:pPr>
      <w:r>
        <w:rPr>
          <w:rFonts w:hint="eastAsia" w:ascii="宋体" w:hAnsi="宋体" w:eastAsia="宋体" w:cs="宋体"/>
          <w:color w:val="auto"/>
          <w:sz w:val="24"/>
        </w:rPr>
        <w:t>（二）</w:t>
      </w:r>
      <w:r>
        <w:rPr>
          <w:rFonts w:hint="eastAsia" w:ascii="宋体" w:hAnsi="宋体" w:eastAsia="宋体" w:cs="宋体"/>
          <w:color w:val="auto"/>
          <w:kern w:val="0"/>
          <w:sz w:val="24"/>
        </w:rPr>
        <w:t>总价金额与按单价汇总金额不一致的，以单价金额计算结果为准，</w:t>
      </w:r>
      <w:r>
        <w:rPr>
          <w:rFonts w:hint="eastAsia" w:ascii="宋体" w:hAnsi="宋体" w:eastAsia="宋体" w:cs="宋体"/>
          <w:color w:val="auto"/>
          <w:sz w:val="24"/>
        </w:rPr>
        <w:t>但</w:t>
      </w:r>
      <w:r>
        <w:rPr>
          <w:rFonts w:hint="eastAsia" w:ascii="宋体" w:hAnsi="宋体" w:eastAsia="宋体" w:cs="宋体"/>
          <w:color w:val="auto"/>
          <w:kern w:val="0"/>
          <w:sz w:val="24"/>
        </w:rPr>
        <w:t>单价或者单价汇总金额存在数字或者</w:t>
      </w:r>
      <w:r>
        <w:rPr>
          <w:rFonts w:hint="eastAsia" w:ascii="宋体" w:hAnsi="宋体" w:eastAsia="宋体" w:cs="宋体"/>
          <w:color w:val="auto"/>
          <w:sz w:val="24"/>
        </w:rPr>
        <w:t>文字错误的，应当先对</w:t>
      </w:r>
      <w:r>
        <w:rPr>
          <w:rFonts w:hint="eastAsia" w:ascii="宋体" w:hAnsi="宋体" w:eastAsia="宋体" w:cs="宋体"/>
          <w:color w:val="auto"/>
          <w:kern w:val="0"/>
          <w:sz w:val="24"/>
        </w:rPr>
        <w:t>数字或者</w:t>
      </w:r>
      <w:r>
        <w:rPr>
          <w:rFonts w:hint="eastAsia" w:ascii="宋体" w:hAnsi="宋体" w:eastAsia="宋体" w:cs="宋体"/>
          <w:color w:val="auto"/>
          <w:sz w:val="24"/>
        </w:rPr>
        <w:t>文字错误进行澄清、说明或者更正，再行修正。</w:t>
      </w:r>
    </w:p>
    <w:p>
      <w:pPr>
        <w:spacing w:line="336" w:lineRule="auto"/>
        <w:ind w:firstLine="480"/>
        <w:rPr>
          <w:rFonts w:hint="eastAsia" w:ascii="宋体" w:hAnsi="宋体" w:eastAsia="宋体" w:cs="宋体"/>
          <w:color w:val="auto"/>
          <w:sz w:val="24"/>
        </w:rPr>
      </w:pPr>
      <w:r>
        <w:rPr>
          <w:rFonts w:hint="eastAsia" w:ascii="宋体" w:hAnsi="宋体" w:eastAsia="宋体" w:cs="宋体"/>
          <w:color w:val="auto"/>
          <w:sz w:val="24"/>
        </w:rPr>
        <w:t>（三）单价金额小数点</w:t>
      </w:r>
      <w:r>
        <w:rPr>
          <w:rFonts w:hint="eastAsia" w:ascii="宋体" w:hAnsi="宋体" w:eastAsia="宋体" w:cs="宋体"/>
          <w:color w:val="auto"/>
          <w:kern w:val="0"/>
          <w:sz w:val="24"/>
        </w:rPr>
        <w:t>或者百分比有明显错位的</w:t>
      </w:r>
      <w:r>
        <w:rPr>
          <w:rFonts w:hint="eastAsia" w:ascii="宋体" w:hAnsi="宋体" w:eastAsia="宋体" w:cs="宋体"/>
          <w:color w:val="auto"/>
          <w:sz w:val="24"/>
        </w:rPr>
        <w:t>，以总价为准，修正单价。</w:t>
      </w:r>
    </w:p>
    <w:p>
      <w:pPr>
        <w:spacing w:line="336"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36" w:lineRule="auto"/>
        <w:ind w:firstLine="480"/>
        <w:rPr>
          <w:rFonts w:hint="eastAsia" w:ascii="宋体" w:hAnsi="宋体" w:eastAsia="宋体" w:cs="宋体"/>
          <w:color w:val="auto"/>
        </w:rPr>
      </w:pPr>
      <w:r>
        <w:rPr>
          <w:rFonts w:hint="eastAsia" w:ascii="宋体" w:hAnsi="宋体" w:eastAsia="宋体" w:cs="宋体"/>
          <w:color w:val="auto"/>
          <w:sz w:val="24"/>
        </w:rPr>
        <w:t>21.5供应商对其提交的响应文件的真实性、合法性承担法律责任。</w:t>
      </w:r>
      <w:bookmarkEnd w:id="78"/>
      <w:bookmarkEnd w:id="79"/>
      <w:bookmarkEnd w:id="80"/>
    </w:p>
    <w:p>
      <w:pPr>
        <w:pStyle w:val="4"/>
        <w:keepNext w:val="0"/>
        <w:keepLines w:val="0"/>
        <w:spacing w:line="400" w:lineRule="exact"/>
        <w:jc w:val="center"/>
        <w:rPr>
          <w:rFonts w:hint="eastAsia" w:ascii="宋体" w:hAnsi="宋体" w:eastAsia="宋体" w:cs="宋体"/>
          <w:color w:val="auto"/>
        </w:rPr>
      </w:pPr>
      <w:bookmarkStart w:id="81" w:name="_Toc6189"/>
      <w:bookmarkStart w:id="82" w:name="_Toc19222"/>
      <w:bookmarkStart w:id="83" w:name="_Toc21876"/>
      <w:bookmarkStart w:id="84" w:name="_Toc26165"/>
      <w:bookmarkStart w:id="85" w:name="_Toc21402"/>
      <w:bookmarkStart w:id="86" w:name="_Toc89075878"/>
      <w:bookmarkStart w:id="87" w:name="_Toc217446056"/>
      <w:bookmarkStart w:id="88" w:name="_Toc183682368"/>
      <w:bookmarkStart w:id="89" w:name="_Toc183582231"/>
      <w:bookmarkStart w:id="90" w:name="_Toc77400782"/>
      <w:r>
        <w:rPr>
          <w:rFonts w:hint="eastAsia" w:ascii="宋体" w:hAnsi="宋体" w:eastAsia="宋体" w:cs="宋体"/>
          <w:color w:val="auto"/>
        </w:rPr>
        <w:t>五、评审</w:t>
      </w:r>
      <w:bookmarkEnd w:id="81"/>
      <w:bookmarkEnd w:id="82"/>
      <w:bookmarkEnd w:id="83"/>
      <w:bookmarkEnd w:id="84"/>
      <w:bookmarkEnd w:id="85"/>
    </w:p>
    <w:p>
      <w:pPr>
        <w:spacing w:before="260" w:after="260" w:line="400" w:lineRule="exact"/>
        <w:ind w:firstLine="480" w:firstLineChars="200"/>
        <w:rPr>
          <w:rFonts w:hint="eastAsia" w:ascii="宋体" w:hAnsi="宋体" w:eastAsia="宋体" w:cs="宋体"/>
          <w:color w:val="auto"/>
        </w:rPr>
      </w:pPr>
      <w:r>
        <w:rPr>
          <w:rFonts w:hint="eastAsia" w:ascii="宋体" w:hAnsi="宋体" w:eastAsia="宋体" w:cs="宋体"/>
          <w:color w:val="auto"/>
          <w:sz w:val="24"/>
        </w:rPr>
        <w:t>22.磋商小组的组建及其评审工作按照有关法律制度和本文件第八章的规定进行。</w:t>
      </w:r>
    </w:p>
    <w:p>
      <w:pPr>
        <w:pStyle w:val="4"/>
        <w:keepNext w:val="0"/>
        <w:keepLines w:val="0"/>
        <w:spacing w:line="400" w:lineRule="exact"/>
        <w:jc w:val="center"/>
        <w:rPr>
          <w:rFonts w:hint="eastAsia" w:ascii="宋体" w:hAnsi="宋体" w:eastAsia="宋体" w:cs="宋体"/>
          <w:color w:val="auto"/>
        </w:rPr>
      </w:pPr>
      <w:bookmarkStart w:id="91" w:name="_Toc22196"/>
      <w:bookmarkStart w:id="92" w:name="_Toc28073"/>
      <w:bookmarkStart w:id="93" w:name="_Toc12907"/>
      <w:bookmarkStart w:id="94" w:name="_Toc20682"/>
      <w:bookmarkStart w:id="95" w:name="_Toc30017"/>
      <w:r>
        <w:rPr>
          <w:rFonts w:hint="eastAsia" w:ascii="宋体" w:hAnsi="宋体" w:eastAsia="宋体" w:cs="宋体"/>
          <w:color w:val="auto"/>
        </w:rPr>
        <w:t>六、成交事项</w:t>
      </w:r>
      <w:bookmarkEnd w:id="91"/>
      <w:bookmarkEnd w:id="92"/>
      <w:bookmarkEnd w:id="93"/>
      <w:bookmarkEnd w:id="94"/>
      <w:bookmarkEnd w:id="95"/>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23.确定成交供应商</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采购人将按磋商小组推荐的成交候选供应商顺序确定成交供应商。</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23.1采购代理机构自评审结束后2个工作日内将磋商报告及有关资料送交采购人确定成交供应商。</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23.3采购人确定成交供应商过程中，发现成交候选供应商有下列情形之一的，应当不予确定其为成交供应商：</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（1）发现成交候选供应商存在禁止参加本项目采购活动的违法行为的；</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（2）成交候选供应商因不可抗力，不能继续参加政府采购活动；</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（3）成交候选供应商无偿赠与或者低于成本价竞争；</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（4）成交候选供应商提供虚假材料；</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（5）成交候选供应商恶意串通。</w:t>
      </w:r>
    </w:p>
    <w:p>
      <w:pPr>
        <w:spacing w:line="360" w:lineRule="auto"/>
        <w:ind w:firstLine="480" w:firstLineChars="200"/>
        <w:rPr>
          <w:rFonts w:hint="eastAsia" w:ascii="宋体" w:hAnsi="宋体" w:eastAsia="宋体" w:cs="宋体"/>
          <w:color w:val="auto"/>
        </w:rPr>
      </w:pPr>
      <w:r>
        <w:rPr>
          <w:rFonts w:hint="eastAsia" w:ascii="宋体" w:hAnsi="宋体" w:eastAsia="宋体" w:cs="宋体"/>
          <w:bCs/>
          <w:color w:val="auto"/>
          <w:sz w:val="24"/>
        </w:rPr>
        <w:t>成交候选供应商有本条情形之一的，采购人可以确定后一位成交候选供应商为成交供应商，依次类推。无法确定成交供应商的，应当重新组织采购。</w:t>
      </w:r>
    </w:p>
    <w:p>
      <w:pPr>
        <w:spacing w:line="400" w:lineRule="exact"/>
        <w:ind w:firstLine="480" w:firstLineChars="200"/>
        <w:rPr>
          <w:rFonts w:hint="eastAsia" w:ascii="宋体" w:hAnsi="宋体" w:eastAsia="宋体" w:cs="宋体"/>
          <w:b/>
          <w:bCs/>
          <w:color w:val="auto"/>
          <w:sz w:val="24"/>
        </w:rPr>
      </w:pPr>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24.行贿犯罪档案</w:t>
      </w:r>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bCs/>
          <w:color w:val="auto"/>
          <w:sz w:val="24"/>
        </w:rPr>
        <w:t>24.1成交候选供应商应提交单位及其现任法定代表人、主要负责人是否存在行贿犯罪记录的承诺函。</w:t>
      </w:r>
    </w:p>
    <w:p>
      <w:pPr>
        <w:spacing w:line="400" w:lineRule="exact"/>
        <w:ind w:firstLine="480" w:firstLineChars="200"/>
        <w:rPr>
          <w:rFonts w:hint="eastAsia" w:ascii="宋体" w:hAnsi="宋体" w:eastAsia="宋体" w:cs="宋体"/>
          <w:b/>
          <w:bCs/>
          <w:color w:val="auto"/>
          <w:sz w:val="24"/>
        </w:rPr>
      </w:pPr>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25.成交结果</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bCs/>
          <w:color w:val="auto"/>
          <w:sz w:val="24"/>
        </w:rPr>
        <w:t>25.1采购人确定成交供应商后，将及时书面通知采购代理机构，发出成交通知书并发布成交结果公告</w:t>
      </w:r>
      <w:r>
        <w:rPr>
          <w:rFonts w:hint="eastAsia" w:ascii="宋体" w:hAnsi="宋体" w:eastAsia="宋体" w:cs="宋体"/>
          <w:b/>
          <w:color w:val="auto"/>
          <w:sz w:val="24"/>
        </w:rPr>
        <w:t>。</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25.2成交供应商应当及时领取成交通知书。本项目需要交纳履约保证金的，成交供应商应当及时向采购人交纳。</w:t>
      </w:r>
    </w:p>
    <w:p>
      <w:pPr>
        <w:spacing w:line="360" w:lineRule="auto"/>
        <w:ind w:firstLine="465"/>
        <w:rPr>
          <w:rFonts w:hint="eastAsia" w:ascii="宋体" w:hAnsi="宋体" w:eastAsia="宋体" w:cs="宋体"/>
          <w:bCs/>
          <w:color w:val="auto"/>
          <w:sz w:val="24"/>
        </w:rPr>
      </w:pPr>
      <w:r>
        <w:rPr>
          <w:rFonts w:hint="eastAsia" w:ascii="宋体" w:hAnsi="宋体" w:eastAsia="宋体" w:cs="宋体"/>
          <w:bCs/>
          <w:color w:val="auto"/>
          <w:sz w:val="24"/>
        </w:rPr>
        <w:t>25.3成交供应商不能及时领取成交通知书，采购代理机应当通过邮寄、快递等方式将项目成交通知书送达成交供应商。</w:t>
      </w:r>
    </w:p>
    <w:p>
      <w:pPr>
        <w:spacing w:line="360" w:lineRule="auto"/>
        <w:ind w:firstLine="480" w:firstLineChars="200"/>
        <w:rPr>
          <w:rFonts w:hint="eastAsia" w:ascii="宋体" w:hAnsi="宋体" w:eastAsia="宋体" w:cs="宋体"/>
          <w:b/>
          <w:bCs/>
          <w:color w:val="auto"/>
          <w:sz w:val="24"/>
        </w:rPr>
      </w:pPr>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26.成交通知书</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26.1成交通知书为签订政府采购合同的依据之一，是合同的有效组成部分。</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26.3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pStyle w:val="4"/>
        <w:keepNext w:val="0"/>
        <w:keepLines w:val="0"/>
        <w:spacing w:line="400" w:lineRule="exact"/>
        <w:jc w:val="center"/>
        <w:rPr>
          <w:rFonts w:hint="eastAsia" w:ascii="宋体" w:hAnsi="宋体" w:eastAsia="宋体" w:cs="宋体"/>
          <w:color w:val="auto"/>
          <w:highlight w:val="none"/>
        </w:rPr>
      </w:pPr>
      <w:bookmarkStart w:id="96" w:name="_Toc27977"/>
      <w:bookmarkStart w:id="97" w:name="_Toc22885"/>
      <w:bookmarkStart w:id="98" w:name="_Toc15476"/>
      <w:bookmarkStart w:id="99" w:name="_Toc19933"/>
      <w:r>
        <w:rPr>
          <w:rFonts w:hint="eastAsia" w:ascii="宋体" w:hAnsi="宋体" w:eastAsia="宋体" w:cs="宋体"/>
          <w:color w:val="auto"/>
          <w:highlight w:val="none"/>
        </w:rPr>
        <w:t>七、合同事项</w:t>
      </w:r>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32"/>
          <w:highlight w:val="none"/>
        </w:rPr>
      </w:pPr>
      <w:bookmarkStart w:id="100" w:name="_Toc101174151"/>
      <w:bookmarkStart w:id="101" w:name="_Toc430773927"/>
      <w:bookmarkStart w:id="102" w:name="_Toc209847069"/>
      <w:bookmarkStart w:id="103" w:name="_Toc101250646"/>
      <w:bookmarkStart w:id="104" w:name="_Toc101338364"/>
      <w:r>
        <w:rPr>
          <w:rFonts w:hint="eastAsia" w:ascii="宋体" w:hAnsi="宋体" w:eastAsia="宋体" w:cs="宋体"/>
          <w:b/>
          <w:bCs/>
          <w:color w:val="auto"/>
          <w:sz w:val="24"/>
          <w:szCs w:val="32"/>
          <w:highlight w:val="none"/>
        </w:rPr>
        <w:t>27.签订合同</w:t>
      </w:r>
      <w:bookmarkEnd w:id="100"/>
      <w:bookmarkEnd w:id="101"/>
      <w:bookmarkEnd w:id="102"/>
      <w:bookmarkEnd w:id="103"/>
      <w:bookmarkEnd w:id="10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成交供应商应在成交通知书发出之日起</w:t>
      </w:r>
      <w:r>
        <w:rPr>
          <w:rFonts w:hint="eastAsia" w:ascii="宋体" w:hAnsi="宋体" w:eastAsia="宋体" w:cs="宋体"/>
          <w:color w:val="auto"/>
          <w:sz w:val="24"/>
          <w:highlight w:val="none"/>
          <w:lang w:eastAsia="zh-CN"/>
        </w:rPr>
        <w:t>三十</w:t>
      </w:r>
      <w:r>
        <w:rPr>
          <w:rFonts w:hint="eastAsia" w:ascii="宋体" w:hAnsi="宋体" w:eastAsia="宋体" w:cs="宋体"/>
          <w:color w:val="auto"/>
          <w:sz w:val="24"/>
          <w:highlight w:val="none"/>
        </w:rPr>
        <w:t>日内与采购人签订采购合同。由于成交供应商的原因逾期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在成交通知书发出之日起</w:t>
      </w:r>
      <w:r>
        <w:rPr>
          <w:rFonts w:hint="eastAsia" w:ascii="宋体" w:hAnsi="宋体" w:eastAsia="宋体" w:cs="宋体"/>
          <w:color w:val="auto"/>
          <w:sz w:val="24"/>
          <w:highlight w:val="none"/>
          <w:lang w:eastAsia="zh-CN"/>
        </w:rPr>
        <w:t>三十</w:t>
      </w:r>
      <w:r>
        <w:rPr>
          <w:rFonts w:hint="eastAsia" w:ascii="宋体" w:hAnsi="宋体" w:eastAsia="宋体" w:cs="宋体"/>
          <w:color w:val="auto"/>
          <w:sz w:val="24"/>
          <w:highlight w:val="none"/>
        </w:rPr>
        <w:t>日内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未与采购人签订采购合同的，将视为放弃成交，取消其成交资格并将按相关规定进行处理。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磋商文件、成交供应商的响应文件及双方确认的澄清文件等，均为有法律约束力的合同组成部分。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27.5竞争性磋商文件、成交供应商提交的响应文件、磋商中的最后报价、成交供应商承诺书、成交通知书等均称为有法律约束力的合同组成内容。</w:t>
      </w:r>
    </w:p>
    <w:p>
      <w:pPr>
        <w:spacing w:line="400" w:lineRule="exact"/>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28.合同分包（实质性要求）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采购合同实行分包履行的，成交供应商就采购项目和分包项目向采购人负责，分包供应商就分包项目承担责任。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29.合同转包（实质性要求）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成交供应商转包的，视同拒绝履行政府采购合同义务，将依法追究法律责任。</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30.补充合同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rPr>
          <w:rFonts w:hint="eastAsia" w:ascii="宋体" w:hAnsi="宋体" w:eastAsia="宋体" w:cs="宋体"/>
          <w:color w:val="auto"/>
          <w:sz w:val="24"/>
          <w:highlight w:val="none"/>
        </w:rPr>
      </w:pPr>
    </w:p>
    <w:p>
      <w:pPr>
        <w:spacing w:line="400" w:lineRule="exact"/>
        <w:ind w:firstLine="480"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31.履约保证金（实质性要求）</w:t>
      </w:r>
      <w:r>
        <w:rPr>
          <w:rFonts w:hint="eastAsia" w:ascii="宋体" w:hAnsi="宋体" w:eastAsia="宋体" w:cs="宋体"/>
          <w:b/>
          <w:color w:val="auto"/>
          <w:sz w:val="24"/>
          <w:highlight w:val="none"/>
          <w:lang w:eastAsia="zh-CN"/>
        </w:rPr>
        <w:t>（如涉及）</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 成交供应商应在合同签订之前交纳采购文件规定数额的履约保证金。</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 如果成交供应商在规定的合同签订时间内，没有按照采购文件的规定交纳履约保证金，且又无正当理由的，将视为放弃成交。</w:t>
      </w:r>
    </w:p>
    <w:p>
      <w:pPr>
        <w:spacing w:line="400" w:lineRule="exact"/>
        <w:rPr>
          <w:rFonts w:hint="eastAsia" w:ascii="宋体" w:hAnsi="宋体" w:eastAsia="宋体" w:cs="宋体"/>
          <w:color w:val="auto"/>
          <w:sz w:val="24"/>
          <w:highlight w:val="none"/>
        </w:rPr>
      </w:pPr>
    </w:p>
    <w:p>
      <w:pPr>
        <w:spacing w:line="400" w:lineRule="exact"/>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32.合同公告</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采购人应当自政府采购合同签订（双方当事人均已签字盖章）之日起2个工作日，将政府采购合同在四川政府采购网上公告，但政府采购合同中涉及国家秘密、商业秘密的内容除外。</w:t>
      </w:r>
    </w:p>
    <w:p>
      <w:pPr>
        <w:spacing w:line="360" w:lineRule="auto"/>
        <w:ind w:firstLine="480" w:firstLineChars="200"/>
        <w:rPr>
          <w:rFonts w:hint="eastAsia" w:ascii="宋体" w:hAnsi="宋体" w:eastAsia="宋体" w:cs="宋体"/>
          <w:b/>
          <w:color w:val="auto"/>
          <w:sz w:val="24"/>
          <w:highlight w:val="none"/>
        </w:rPr>
      </w:pP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33.合同备案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采购人应当将政府采购合同副本自签订（双方当事人均已签字盖章）之日起七个工作日内报同级财政部门备案。</w:t>
      </w:r>
    </w:p>
    <w:p>
      <w:pPr>
        <w:spacing w:line="400" w:lineRule="exact"/>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34.履行合同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成交供应商与采购人签订合同后，合同双方应严格执行合同条款，履行合同规定的义务，保证合同的顺利完成。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 在合同履行过程中，如发生合同纠纷，合同双方应按照《合同法》的有关规定进行处理。</w:t>
      </w:r>
    </w:p>
    <w:p>
      <w:pPr>
        <w:spacing w:line="400" w:lineRule="exact"/>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35.验收</w:t>
      </w:r>
    </w:p>
    <w:p>
      <w:pPr>
        <w:keepNext w:val="0"/>
        <w:keepLines w:val="0"/>
        <w:widowControl/>
        <w:suppressLineNumbers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rPr>
        <w:t>本项目采购人及其委托的采购代理机构将严格参照《财政部关于进一步加强政府采购需求和履约验收管理的指导意见》财库〔2016〕205号等政府采购相关法律法规的要求进行验收</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36.资金支付</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color w:val="auto"/>
          <w:kern w:val="2"/>
          <w:sz w:val="24"/>
          <w:szCs w:val="24"/>
          <w:highlight w:val="none"/>
          <w:lang w:val="en-US"/>
        </w:rPr>
      </w:pPr>
      <w:r>
        <w:rPr>
          <w:rFonts w:hint="eastAsia" w:ascii="宋体" w:hAnsi="宋体" w:eastAsia="宋体" w:cs="宋体"/>
          <w:b w:val="0"/>
          <w:color w:val="auto"/>
          <w:kern w:val="2"/>
          <w:sz w:val="24"/>
          <w:szCs w:val="24"/>
          <w:highlight w:val="none"/>
          <w:lang w:val="en-US"/>
        </w:rPr>
        <w:t>采购人将按照政府采购合同规定，及时向</w:t>
      </w:r>
      <w:r>
        <w:rPr>
          <w:rFonts w:hint="eastAsia" w:ascii="宋体" w:hAnsi="宋体" w:eastAsia="宋体" w:cs="宋体"/>
          <w:b w:val="0"/>
          <w:color w:val="auto"/>
          <w:kern w:val="2"/>
          <w:sz w:val="24"/>
          <w:szCs w:val="24"/>
          <w:highlight w:val="none"/>
          <w:lang w:val="en-US" w:eastAsia="zh-CN"/>
        </w:rPr>
        <w:t>成交供应商</w:t>
      </w:r>
      <w:r>
        <w:rPr>
          <w:rFonts w:hint="eastAsia" w:ascii="宋体" w:hAnsi="宋体" w:eastAsia="宋体" w:cs="宋体"/>
          <w:b w:val="0"/>
          <w:color w:val="auto"/>
          <w:kern w:val="2"/>
          <w:sz w:val="24"/>
          <w:szCs w:val="24"/>
          <w:highlight w:val="none"/>
          <w:lang w:val="en-US"/>
        </w:rPr>
        <w:t>支付采购资金。</w:t>
      </w: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4"/>
        <w:keepNext w:val="0"/>
        <w:keepLines w:val="0"/>
        <w:spacing w:before="0" w:after="0" w:line="360" w:lineRule="auto"/>
        <w:jc w:val="center"/>
        <w:rPr>
          <w:rFonts w:hint="eastAsia" w:ascii="宋体" w:hAnsi="宋体" w:eastAsia="宋体" w:cs="宋体"/>
          <w:color w:val="auto"/>
          <w:sz w:val="24"/>
        </w:rPr>
      </w:pPr>
      <w:bookmarkStart w:id="105" w:name="_Toc7725"/>
      <w:bookmarkStart w:id="106" w:name="_Toc16350"/>
      <w:bookmarkStart w:id="107" w:name="_Toc28956"/>
      <w:bookmarkStart w:id="108" w:name="_Toc17604"/>
      <w:bookmarkStart w:id="109" w:name="_Toc31362"/>
      <w:r>
        <w:rPr>
          <w:rFonts w:hint="eastAsia" w:ascii="宋体" w:hAnsi="宋体" w:eastAsia="宋体" w:cs="宋体"/>
          <w:color w:val="auto"/>
        </w:rPr>
        <w:t>八、磋商纪律要求</w:t>
      </w:r>
      <w:bookmarkEnd w:id="105"/>
      <w:bookmarkEnd w:id="106"/>
      <w:bookmarkEnd w:id="107"/>
      <w:bookmarkEnd w:id="108"/>
      <w:bookmarkEnd w:id="109"/>
    </w:p>
    <w:p>
      <w:pPr>
        <w:tabs>
          <w:tab w:val="left" w:pos="851"/>
        </w:tabs>
        <w:spacing w:line="360" w:lineRule="auto"/>
        <w:ind w:firstLine="480"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37</w:t>
      </w:r>
      <w:r>
        <w:rPr>
          <w:rFonts w:hint="eastAsia" w:ascii="宋体" w:hAnsi="宋体" w:eastAsia="宋体" w:cs="宋体"/>
          <w:b/>
          <w:color w:val="auto"/>
          <w:sz w:val="24"/>
        </w:rPr>
        <w:t>.供应商不得具有的情形</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供应商参加本项目磋商不得有下列情形：</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（1）提供虚假材料谋取成交；</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（2）采取不正当手段诋毁、排挤其他供应商；</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（3）与采购人、采购代理机构、或其他供应商恶意串通；</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（4）向采购人、采购代理机构、磋商小组成员行贿或者提供其他不正当利益；</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（5）在磋商过程中与采购人、采购代理机构进行协商；</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（6）成交后无正当理由拒不与采购人签订政府采购合同；</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（7）未按照磋商文件确定的事项签订政府采购合同；</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（8）将政府采购合同转包或者违规分包；</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（9）提供假冒伪劣产品；</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（10）擅自变更、中止或者终止政府采购合同；</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（12）法律法规规定的其他情形。</w:t>
      </w:r>
    </w:p>
    <w:p>
      <w:pPr>
        <w:tabs>
          <w:tab w:val="left" w:pos="851"/>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供应商有上述情形的，按照规定追究法律责任，具备（1）-（10）条情形之一的，同时将取消被确认为成交供应商的资格或者认定成交无效。</w:t>
      </w:r>
    </w:p>
    <w:p>
      <w:pPr>
        <w:pStyle w:val="2"/>
        <w:spacing w:line="360" w:lineRule="auto"/>
        <w:rPr>
          <w:rFonts w:hint="eastAsia" w:ascii="宋体" w:hAnsi="宋体" w:eastAsia="宋体" w:cs="宋体"/>
          <w:color w:val="auto"/>
        </w:rPr>
      </w:pPr>
    </w:p>
    <w:p>
      <w:pPr>
        <w:tabs>
          <w:tab w:val="left" w:pos="851"/>
        </w:tabs>
        <w:spacing w:line="360" w:lineRule="auto"/>
        <w:jc w:val="center"/>
        <w:rPr>
          <w:rFonts w:hint="eastAsia" w:ascii="宋体" w:hAnsi="宋体" w:eastAsia="宋体" w:cs="宋体"/>
          <w:color w:val="auto"/>
          <w:sz w:val="24"/>
        </w:rPr>
      </w:pPr>
      <w:r>
        <w:rPr>
          <w:rFonts w:hint="eastAsia" w:ascii="宋体" w:hAnsi="宋体" w:eastAsia="宋体" w:cs="宋体"/>
          <w:b/>
          <w:color w:val="auto"/>
          <w:sz w:val="32"/>
          <w:szCs w:val="32"/>
        </w:rPr>
        <w:t>九、询问、质疑</w:t>
      </w:r>
    </w:p>
    <w:p>
      <w:pPr>
        <w:tabs>
          <w:tab w:val="left" w:pos="851"/>
        </w:tabs>
        <w:spacing w:line="360" w:lineRule="auto"/>
        <w:ind w:firstLine="495"/>
        <w:rPr>
          <w:rFonts w:hint="eastAsia" w:ascii="宋体" w:hAnsi="宋体" w:eastAsia="宋体" w:cs="宋体"/>
          <w:color w:val="auto"/>
          <w:sz w:val="24"/>
        </w:rPr>
      </w:pPr>
      <w:r>
        <w:rPr>
          <w:rFonts w:hint="eastAsia" w:ascii="宋体" w:hAnsi="宋体" w:eastAsia="宋体" w:cs="宋体"/>
          <w:color w:val="auto"/>
          <w:sz w:val="24"/>
          <w:lang w:val="en-US" w:eastAsia="zh-CN"/>
        </w:rPr>
        <w:t>38</w:t>
      </w:r>
      <w:r>
        <w:rPr>
          <w:rFonts w:hint="eastAsia" w:ascii="宋体" w:hAnsi="宋体" w:eastAsia="宋体" w:cs="宋体"/>
          <w:color w:val="auto"/>
          <w:sz w:val="24"/>
        </w:rPr>
        <w:t>.询问、质疑、投诉的接收和处理严格按照《中华人共和国政府采购法》、《中华人民共和国政府采购法实施条例》、《财政部关于加强政府采购供应商投诉受理审查工作的通知》和四川省的有关规定办理（详细规定请在中国政府采购网政策法规模块查询）。</w:t>
      </w:r>
    </w:p>
    <w:p>
      <w:pPr>
        <w:pStyle w:val="2"/>
        <w:rPr>
          <w:rFonts w:hint="eastAsia" w:ascii="宋体" w:hAnsi="宋体" w:eastAsia="宋体" w:cs="宋体"/>
          <w:color w:val="auto"/>
        </w:rPr>
      </w:pPr>
    </w:p>
    <w:p>
      <w:pPr>
        <w:tabs>
          <w:tab w:val="left" w:pos="851"/>
        </w:tabs>
        <w:spacing w:line="360" w:lineRule="auto"/>
        <w:jc w:val="center"/>
        <w:rPr>
          <w:rFonts w:hint="eastAsia" w:ascii="宋体" w:hAnsi="宋体" w:eastAsia="宋体" w:cs="宋体"/>
          <w:color w:val="auto"/>
          <w:sz w:val="24"/>
        </w:rPr>
      </w:pPr>
      <w:r>
        <w:rPr>
          <w:rFonts w:hint="eastAsia" w:ascii="宋体" w:hAnsi="宋体" w:eastAsia="宋体" w:cs="宋体"/>
          <w:b/>
          <w:color w:val="auto"/>
          <w:sz w:val="32"/>
          <w:szCs w:val="32"/>
        </w:rPr>
        <w:t>十、其  他</w:t>
      </w:r>
    </w:p>
    <w:p>
      <w:pPr>
        <w:tabs>
          <w:tab w:val="left" w:pos="851"/>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39</w:t>
      </w:r>
      <w:r>
        <w:rPr>
          <w:rFonts w:hint="eastAsia" w:ascii="宋体" w:hAnsi="宋体" w:eastAsia="宋体" w:cs="宋体"/>
          <w:color w:val="auto"/>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2"/>
        <w:spacing w:line="360" w:lineRule="auto"/>
        <w:ind w:firstLine="480" w:firstLineChars="200"/>
        <w:rPr>
          <w:rFonts w:hint="eastAsia" w:ascii="宋体" w:hAnsi="宋体" w:eastAsia="宋体" w:cs="宋体"/>
          <w:color w:val="auto"/>
        </w:rPr>
      </w:pPr>
      <w:r>
        <w:rPr>
          <w:rFonts w:hint="eastAsia" w:ascii="宋体" w:hAnsi="宋体" w:eastAsia="宋体" w:cs="宋体"/>
          <w:b w:val="0"/>
          <w:bCs/>
          <w:color w:val="auto"/>
          <w:sz w:val="24"/>
          <w:highlight w:val="none"/>
          <w:lang w:val="en-US" w:eastAsia="zh-CN"/>
        </w:rPr>
        <w:t>40.</w:t>
      </w:r>
      <w:r>
        <w:rPr>
          <w:rFonts w:hint="eastAsia" w:ascii="宋体" w:hAnsi="宋体" w:eastAsia="宋体" w:cs="宋体"/>
          <w:b/>
          <w:color w:val="auto"/>
          <w:sz w:val="24"/>
          <w:highlight w:val="none"/>
        </w:rPr>
        <w:t>（实质性要求）</w:t>
      </w:r>
      <w:r>
        <w:rPr>
          <w:rFonts w:hint="eastAsia" w:ascii="宋体" w:hAnsi="宋体" w:eastAsia="宋体" w:cs="宋体"/>
          <w:color w:val="auto"/>
          <w:sz w:val="24"/>
          <w:highlight w:val="none"/>
        </w:rPr>
        <w:t>在本次递交</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文件之前一周年内，供应商本次磋商中</w:t>
      </w:r>
      <w:r>
        <w:rPr>
          <w:rFonts w:hint="eastAsia" w:ascii="宋体" w:hAnsi="宋体" w:eastAsia="宋体" w:cs="宋体"/>
          <w:color w:val="auto"/>
          <w:sz w:val="24"/>
          <w:highlight w:val="none"/>
          <w:lang w:eastAsia="zh-CN"/>
        </w:rPr>
        <w:t>的服务</w:t>
      </w:r>
      <w:r>
        <w:rPr>
          <w:rFonts w:hint="eastAsia" w:ascii="宋体" w:hAnsi="宋体" w:eastAsia="宋体" w:cs="宋体"/>
          <w:color w:val="auto"/>
          <w:sz w:val="24"/>
          <w:highlight w:val="none"/>
        </w:rPr>
        <w:t>报价与其在中国境内其他地方的最低报价相比不得高于</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lang w:eastAsia="zh-CN"/>
        </w:rPr>
        <w:t>（供应商在投标时需要对此项做出承诺）</w:t>
      </w:r>
      <w:r>
        <w:rPr>
          <w:rFonts w:hint="eastAsia" w:ascii="宋体" w:hAnsi="宋体" w:eastAsia="宋体" w:cs="宋体"/>
          <w:color w:val="auto"/>
          <w:sz w:val="24"/>
          <w:highlight w:val="none"/>
          <w:lang w:eastAsia="zh-CN"/>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41</w:t>
      </w:r>
      <w:r>
        <w:rPr>
          <w:rFonts w:hint="eastAsia" w:ascii="宋体" w:hAnsi="宋体" w:eastAsia="宋体" w:cs="宋体"/>
          <w:color w:val="auto"/>
          <w:sz w:val="24"/>
        </w:rPr>
        <w:t>.</w:t>
      </w:r>
      <w:r>
        <w:rPr>
          <w:rFonts w:hint="eastAsia" w:ascii="宋体" w:hAnsi="宋体" w:eastAsia="宋体" w:cs="宋体"/>
          <w:b/>
          <w:color w:val="auto"/>
          <w:sz w:val="24"/>
        </w:rPr>
        <w:t>（实质性要求）</w:t>
      </w:r>
      <w:r>
        <w:rPr>
          <w:rFonts w:hint="eastAsia" w:ascii="宋体" w:hAnsi="宋体" w:eastAsia="宋体" w:cs="宋体"/>
          <w:color w:val="auto"/>
          <w:sz w:val="24"/>
        </w:rPr>
        <w:t>国家或行业主管部门对供应商和采购产品的技术标准、质量标准和资格资质条件等有强制性规定的，必须符合其要求。</w:t>
      </w:r>
      <w:r>
        <w:rPr>
          <w:rFonts w:hint="eastAsia" w:ascii="宋体" w:hAnsi="宋体" w:eastAsia="宋体" w:cs="宋体"/>
          <w:b/>
          <w:bCs/>
          <w:color w:val="auto"/>
          <w:sz w:val="24"/>
        </w:rPr>
        <w:t>（供应商在投标时需对此项做出承诺）</w:t>
      </w:r>
      <w:r>
        <w:rPr>
          <w:rFonts w:hint="eastAsia" w:ascii="宋体" w:hAnsi="宋体" w:eastAsia="宋体" w:cs="宋体"/>
          <w:color w:val="auto"/>
          <w:sz w:val="24"/>
        </w:rPr>
        <w:t>。</w:t>
      </w:r>
    </w:p>
    <w:p>
      <w:pPr>
        <w:widowControl/>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sz w:val="24"/>
          <w:lang w:val="en-US" w:eastAsia="zh-CN"/>
        </w:rPr>
        <w:t>42</w:t>
      </w:r>
      <w:r>
        <w:rPr>
          <w:rFonts w:hint="eastAsia" w:ascii="宋体" w:hAnsi="宋体" w:eastAsia="宋体" w:cs="宋体"/>
          <w:color w:val="auto"/>
          <w:sz w:val="24"/>
        </w:rPr>
        <w:t>.</w:t>
      </w:r>
      <w:r>
        <w:rPr>
          <w:rFonts w:hint="eastAsia" w:ascii="宋体" w:hAnsi="宋体" w:eastAsia="宋体" w:cs="宋体"/>
          <w:color w:val="auto"/>
          <w:kern w:val="0"/>
          <w:sz w:val="24"/>
          <w:lang w:bidi="ar"/>
        </w:rPr>
        <w:t>磋商文件中采购代理机构编制的内容前后有矛盾或不一致，有时间先后 顺序的，以时间在后的修改、澄清或补正文件为准；没有时间先后顺序的，按有利于供应商的原则进行处理。</w:t>
      </w:r>
    </w:p>
    <w:p>
      <w:pPr>
        <w:tabs>
          <w:tab w:val="left" w:pos="851"/>
        </w:tabs>
        <w:spacing w:line="360" w:lineRule="auto"/>
        <w:ind w:firstLine="720" w:firstLineChars="200"/>
        <w:jc w:val="center"/>
        <w:outlineLvl w:val="0"/>
        <w:rPr>
          <w:rFonts w:hint="eastAsia" w:ascii="宋体" w:hAnsi="宋体" w:eastAsia="宋体" w:cs="宋体"/>
          <w:b/>
          <w:bCs/>
          <w:color w:val="auto"/>
          <w:sz w:val="24"/>
        </w:rPr>
      </w:pPr>
      <w:bookmarkStart w:id="110" w:name="_Toc21450"/>
      <w:bookmarkStart w:id="111" w:name="_Toc17301"/>
      <w:r>
        <w:rPr>
          <w:rStyle w:val="24"/>
          <w:rFonts w:hint="eastAsia" w:ascii="宋体" w:hAnsi="宋体" w:eastAsia="宋体" w:cs="宋体"/>
          <w:color w:val="auto"/>
        </w:rPr>
        <w:t>第三章  供应商资格条件要求</w:t>
      </w:r>
      <w:bookmarkEnd w:id="110"/>
      <w:bookmarkEnd w:id="111"/>
    </w:p>
    <w:p>
      <w:pPr>
        <w:spacing w:line="360" w:lineRule="auto"/>
        <w:rPr>
          <w:rFonts w:hint="eastAsia" w:ascii="宋体" w:hAnsi="宋体" w:eastAsia="宋体" w:cs="宋体"/>
          <w:b/>
          <w:color w:val="auto"/>
          <w:sz w:val="28"/>
          <w:szCs w:val="28"/>
        </w:rPr>
      </w:pPr>
      <w:r>
        <w:rPr>
          <w:rFonts w:hint="eastAsia" w:ascii="宋体" w:hAnsi="宋体" w:eastAsia="宋体" w:cs="宋体"/>
          <w:b/>
          <w:bCs/>
          <w:color w:val="auto"/>
          <w:sz w:val="28"/>
          <w:szCs w:val="28"/>
        </w:rPr>
        <w:t>参加磋商的供应商应具备下列资格条件：</w:t>
      </w:r>
    </w:p>
    <w:p>
      <w:pPr>
        <w:widowControl/>
        <w:shd w:val="clear" w:color="auto" w:fill="FFFFFF"/>
        <w:spacing w:line="360" w:lineRule="auto"/>
        <w:ind w:firstLine="480" w:firstLineChars="200"/>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（一）《中华人民共和国政府采购法》第二十二条第一款规定的条件：</w:t>
      </w:r>
    </w:p>
    <w:p>
      <w:pPr>
        <w:widowControl/>
        <w:shd w:val="clear" w:color="auto" w:fill="FFFFFF"/>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1、具有独立承担民事责任的能力；</w:t>
      </w:r>
    </w:p>
    <w:p>
      <w:pPr>
        <w:widowControl/>
        <w:shd w:val="clear" w:color="auto" w:fill="FFFFFF"/>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2、具有良好的商业信誉和健全的财务会计制度；</w:t>
      </w:r>
    </w:p>
    <w:p>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3、具有履行合同所必需的设备和专业技术能力；</w:t>
      </w:r>
    </w:p>
    <w:p>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4、具有依法缴纳税收和社会保障资金的良好记录；</w:t>
      </w:r>
    </w:p>
    <w:p>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5、参加本次采购活动前三年内，在经营活动中没有重大违法记录；</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6、法律、行政法规规定的其他条件。</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bCs/>
          <w:color w:val="auto"/>
          <w:spacing w:val="0"/>
          <w:kern w:val="0"/>
          <w:sz w:val="24"/>
          <w:szCs w:val="24"/>
          <w:highlight w:val="none"/>
          <w:lang w:eastAsia="zh-CN"/>
        </w:rPr>
        <w:t>（二）落实政府采购政策需满足的资格条件：</w:t>
      </w:r>
      <w:r>
        <w:rPr>
          <w:rFonts w:hint="eastAsia" w:ascii="宋体" w:hAnsi="宋体" w:eastAsia="宋体" w:cs="宋体"/>
          <w:b w:val="0"/>
          <w:color w:val="auto"/>
          <w:spacing w:val="0"/>
          <w:kern w:val="0"/>
          <w:sz w:val="24"/>
          <w:szCs w:val="24"/>
          <w:highlight w:val="none"/>
          <w:lang w:eastAsia="zh-CN"/>
        </w:rPr>
        <w:t>本项目为专门面向中小企业采购的项目。供应商为中型企业、小型企业或微型企业，监狱企业或残疾人福利性单位视同为小微企业。</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）根据采购项目提出的特殊条件：</w:t>
      </w:r>
    </w:p>
    <w:p>
      <w:pPr>
        <w:keepNext w:val="0"/>
        <w:keepLines w:val="0"/>
        <w:pageBreakBefore w:val="0"/>
        <w:widowControl/>
        <w:kinsoku/>
        <w:overflowPunct/>
        <w:topLinePunct w:val="0"/>
        <w:autoSpaceDE/>
        <w:autoSpaceDN/>
        <w:bidi w:val="0"/>
        <w:adjustRightInd/>
        <w:snapToGrid/>
        <w:spacing w:line="336"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eastAsia="zh-CN"/>
        </w:rPr>
        <w:t>、</w:t>
      </w:r>
      <w:r>
        <w:rPr>
          <w:rFonts w:hint="eastAsia" w:ascii="宋体" w:hAnsi="宋体" w:eastAsia="宋体" w:cs="宋体"/>
          <w:color w:val="auto"/>
          <w:sz w:val="24"/>
        </w:rPr>
        <w:t>参加本次采购活动的供应商、法定代表人、主要负责人在2018年至今不得具有行贿犯罪记录；</w:t>
      </w:r>
    </w:p>
    <w:p>
      <w:pPr>
        <w:pStyle w:val="2"/>
        <w:keepNext w:val="0"/>
        <w:keepLines w:val="0"/>
        <w:pageBreakBefore w:val="0"/>
        <w:kinsoku/>
        <w:overflowPunct/>
        <w:topLinePunct w:val="0"/>
        <w:autoSpaceDE/>
        <w:autoSpaceDN/>
        <w:bidi w:val="0"/>
        <w:adjustRightInd/>
        <w:snapToGrid/>
        <w:spacing w:line="336"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本项目不接受联合体参加磋商；</w:t>
      </w:r>
    </w:p>
    <w:p>
      <w:pPr>
        <w:pStyle w:val="2"/>
        <w:keepNext w:val="0"/>
        <w:keepLines w:val="0"/>
        <w:pageBreakBefore w:val="0"/>
        <w:kinsoku/>
        <w:overflowPunct/>
        <w:topLinePunct w:val="0"/>
        <w:autoSpaceDE/>
        <w:autoSpaceDN/>
        <w:bidi w:val="0"/>
        <w:adjustRightInd/>
        <w:snapToGrid/>
        <w:spacing w:line="336"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3、具有行政主管部门颁发的市政公用工程施工总承包三级及以上资质。</w:t>
      </w:r>
    </w:p>
    <w:p>
      <w:pPr>
        <w:pStyle w:val="2"/>
        <w:keepNext w:val="0"/>
        <w:keepLines w:val="0"/>
        <w:pageBreakBefore w:val="0"/>
        <w:kinsoku/>
        <w:overflowPunct/>
        <w:topLinePunct w:val="0"/>
        <w:autoSpaceDE/>
        <w:autoSpaceDN/>
        <w:bidi w:val="0"/>
        <w:adjustRightInd/>
        <w:snapToGrid/>
        <w:spacing w:line="336"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、具有行政主管部门颁发的有效的安全生产许可证。    </w:t>
      </w:r>
    </w:p>
    <w:p>
      <w:pPr>
        <w:pStyle w:val="2"/>
        <w:keepNext w:val="0"/>
        <w:keepLines w:val="0"/>
        <w:pageBreakBefore w:val="0"/>
        <w:kinsoku/>
        <w:overflowPunct/>
        <w:topLinePunct w:val="0"/>
        <w:autoSpaceDE/>
        <w:autoSpaceDN/>
        <w:bidi w:val="0"/>
        <w:adjustRightInd/>
        <w:snapToGrid/>
        <w:spacing w:line="336" w:lineRule="auto"/>
        <w:ind w:left="0" w:firstLine="480" w:firstLineChars="200"/>
        <w:jc w:val="left"/>
        <w:textAlignment w:val="auto"/>
        <w:rPr>
          <w:rFonts w:hint="eastAsia" w:ascii="宋体" w:hAnsi="宋体" w:eastAsia="宋体" w:cs="宋体"/>
          <w:color w:val="auto"/>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四川省省外企业需具有行政主管部门颁发的《四川省省外建筑企业入川承揽业务验证登记证》或行政主管部门颁发的《四川省省外施工、监理企业入川承揽业务信息录入证》或行政主管部门颁发的《四川省省外建筑企业入川信息电子登记表》。</w:t>
      </w:r>
    </w:p>
    <w:p>
      <w:pPr>
        <w:widowControl/>
        <w:spacing w:line="360" w:lineRule="auto"/>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eastAsia="zh-CN"/>
        </w:rPr>
        <w:t>四</w:t>
      </w:r>
      <w:r>
        <w:rPr>
          <w:rFonts w:hint="eastAsia" w:ascii="宋体" w:hAnsi="宋体" w:eastAsia="宋体" w:cs="宋体"/>
          <w:b/>
          <w:bCs/>
          <w:color w:val="auto"/>
          <w:sz w:val="24"/>
        </w:rPr>
        <w:t>）其他类似效力要求</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1、企业法定代表人授权书（原件）；</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2、法定代表人的身份证复印件；</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3、被授权代理人的身份证复印件；</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4、提供承诺函（原件）。</w:t>
      </w:r>
    </w:p>
    <w:p>
      <w:pPr>
        <w:widowControl/>
        <w:spacing w:line="360" w:lineRule="auto"/>
        <w:ind w:firstLine="48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highlight w:val="none"/>
        </w:rPr>
      </w:pPr>
      <w:bookmarkStart w:id="112" w:name="_Toc20069"/>
      <w:r>
        <w:rPr>
          <w:rFonts w:hint="eastAsia" w:ascii="宋体" w:hAnsi="宋体" w:eastAsia="宋体" w:cs="宋体"/>
          <w:color w:val="auto"/>
          <w:sz w:val="24"/>
          <w:highlight w:val="none"/>
        </w:rPr>
        <w:t>注：1、重大违法记录是指供应商因违法经营受到刑事处罚或者责令停产停业、吊销许可证成者执照、较大数额罚款等行政处罚。供应商在参加政府采购活动前3年内因违法经营被禁止在一定期限内参加政府采购活动,期限届满的,可以参加政府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若提供虚假承诺将被视为虚假响应,取消成交资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spacing w:line="360" w:lineRule="auto"/>
        <w:jc w:val="left"/>
        <w:rPr>
          <w:rStyle w:val="24"/>
          <w:rFonts w:hint="eastAsia" w:ascii="宋体" w:hAnsi="宋体" w:eastAsia="宋体" w:cs="宋体"/>
          <w:color w:val="auto"/>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4、供应商应对其所提供的资格证明材料来源的合法性、真实性承担法律责任。</w:t>
      </w:r>
    </w:p>
    <w:p>
      <w:pPr>
        <w:spacing w:line="360" w:lineRule="auto"/>
        <w:jc w:val="center"/>
        <w:rPr>
          <w:rStyle w:val="24"/>
          <w:rFonts w:hint="eastAsia" w:ascii="宋体" w:hAnsi="宋体" w:eastAsia="宋体" w:cs="宋体"/>
          <w:color w:val="auto"/>
        </w:rPr>
      </w:pPr>
    </w:p>
    <w:p>
      <w:pPr>
        <w:rPr>
          <w:rStyle w:val="24"/>
          <w:rFonts w:hint="eastAsia" w:ascii="宋体" w:hAnsi="宋体" w:eastAsia="宋体" w:cs="宋体"/>
          <w:color w:val="auto"/>
        </w:rPr>
      </w:pPr>
      <w:r>
        <w:rPr>
          <w:rStyle w:val="24"/>
          <w:rFonts w:hint="eastAsia" w:ascii="宋体" w:hAnsi="宋体" w:eastAsia="宋体" w:cs="宋体"/>
          <w:color w:val="auto"/>
        </w:rPr>
        <w:br w:type="page"/>
      </w:r>
    </w:p>
    <w:p>
      <w:pPr>
        <w:spacing w:line="360" w:lineRule="auto"/>
        <w:jc w:val="center"/>
        <w:outlineLvl w:val="0"/>
        <w:rPr>
          <w:rFonts w:hint="eastAsia" w:ascii="宋体" w:hAnsi="宋体" w:eastAsia="宋体" w:cs="宋体"/>
          <w:b/>
          <w:bCs/>
          <w:color w:val="auto"/>
          <w:sz w:val="24"/>
        </w:rPr>
      </w:pPr>
      <w:bookmarkStart w:id="113" w:name="_Toc25605"/>
      <w:r>
        <w:rPr>
          <w:rStyle w:val="24"/>
          <w:rFonts w:hint="eastAsia" w:ascii="宋体" w:hAnsi="宋体" w:eastAsia="宋体" w:cs="宋体"/>
          <w:color w:val="auto"/>
        </w:rPr>
        <w:t>第四章  供应商资格证明材料</w:t>
      </w:r>
      <w:bookmarkEnd w:id="112"/>
      <w:bookmarkEnd w:id="113"/>
    </w:p>
    <w:p>
      <w:pPr>
        <w:widowControl/>
        <w:spacing w:line="360" w:lineRule="auto"/>
        <w:rPr>
          <w:rFonts w:hint="eastAsia" w:ascii="宋体" w:hAnsi="宋体" w:eastAsia="宋体" w:cs="宋体"/>
          <w:b/>
          <w:bCs/>
          <w:color w:val="auto"/>
          <w:sz w:val="24"/>
        </w:rPr>
      </w:pPr>
    </w:p>
    <w:p>
      <w:pPr>
        <w:widowControl/>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（一）《中华人民共和国政府采购法》第二十二条第一款第（一）项至第（六）项规定的条件相关证明材料：</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1）企业法人：提供“统一社会信用代码营业执照”复印件；（2）事业法人：提供“统一社会信用代码法人登记证书”复印件；（3）其他组织：提供“统一社会信用代码社会团体法人登记证书”复印件或“统一社会信用代码民办非企业单位登记证书”复印件或“统一社会信用代码基金会法人登记证书”复印件；（4）个体工商户：提供“统一社会信用代码营业执照”复印件 或“营业执照、税务登记证”复印件。</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注：以上证件提供正/副本均可。</w:t>
      </w:r>
    </w:p>
    <w:p>
      <w:pPr>
        <w:widowControl/>
        <w:numPr>
          <w:ilvl w:val="0"/>
          <w:numId w:val="5"/>
        </w:num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具有良好的商业信誉和健全的财务会计制度：</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具有良好的商业信誉提供：具有良好的商业信誉承诺函（原件、格式自拟)(说明：供应商在参加本次采购活动前，被纳入法院、工商行政管理部门、税务部门、银行认定的失信人名单且在有效期内，或者在前三年采购合同履约过程中及其他经营活动履约过程中未依法履约被有关部门处理的，不能认定为具有良好的商业信誉）；</w:t>
      </w:r>
    </w:p>
    <w:p>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2.2具有健全的财务会计制度提供：（1）财务状况报告可提供</w:t>
      </w:r>
      <w:r>
        <w:rPr>
          <w:rFonts w:hint="eastAsia" w:ascii="宋体" w:hAnsi="宋体" w:eastAsia="宋体" w:cs="宋体"/>
          <w:color w:val="auto"/>
          <w:sz w:val="24"/>
          <w:highlight w:val="none"/>
          <w:lang w:val="en-US" w:eastAsia="zh-CN"/>
        </w:rPr>
        <w:t>2020年度</w:t>
      </w:r>
      <w:r>
        <w:rPr>
          <w:rFonts w:hint="eastAsia" w:ascii="宋体" w:hAnsi="宋体" w:eastAsia="宋体" w:cs="宋体"/>
          <w:color w:val="auto"/>
          <w:sz w:val="24"/>
          <w:highlight w:val="none"/>
        </w:rPr>
        <w:t>经审计的财务报告复印件（包含审计报告和审计报告中所涉及的财务报表和报表附注）；（2）</w:t>
      </w:r>
      <w:r>
        <w:rPr>
          <w:rFonts w:hint="eastAsia" w:ascii="宋体" w:hAnsi="宋体" w:eastAsia="宋体" w:cs="宋体"/>
          <w:color w:val="auto"/>
          <w:sz w:val="24"/>
          <w:highlight w:val="none"/>
          <w:lang w:val="en-US" w:eastAsia="zh-CN"/>
        </w:rPr>
        <w:t>也</w:t>
      </w:r>
      <w:r>
        <w:rPr>
          <w:rFonts w:hint="eastAsia" w:ascii="宋体" w:hAnsi="宋体" w:eastAsia="宋体" w:cs="宋体"/>
          <w:color w:val="auto"/>
          <w:sz w:val="24"/>
          <w:szCs w:val="24"/>
          <w:highlight w:val="none"/>
        </w:rPr>
        <w:t>可提供</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年度供应商内部的财务报表复印件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至少包含资产负债表</w:t>
      </w:r>
      <w:r>
        <w:rPr>
          <w:rFonts w:hint="eastAsia" w:ascii="宋体" w:hAnsi="宋体" w:eastAsia="宋体" w:cs="宋体"/>
          <w:color w:val="auto"/>
          <w:sz w:val="24"/>
          <w:szCs w:val="24"/>
          <w:highlight w:val="none"/>
          <w:lang w:eastAsia="zh-CN"/>
        </w:rPr>
        <w:t>、现金流量表、利润表）；</w:t>
      </w:r>
      <w:r>
        <w:rPr>
          <w:rFonts w:hint="eastAsia" w:ascii="宋体" w:hAnsi="宋体" w:eastAsia="宋体" w:cs="宋体"/>
          <w:color w:val="auto"/>
          <w:sz w:val="24"/>
          <w:highlight w:val="none"/>
        </w:rPr>
        <w:t>（3）银行资信证明须为响应文件递交截止日前3个月内由供应商所开立账户的银行开具的复印件；（4）供应商注册时间截至响应文件递交截止日不足一年的，也可提供在工商备案的公司章程复印件；以上材料（1）、（2）、（3）、（4）具有同等效力，提供任一项均可。</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3、具有履行合同所必须的设备和专业技术能力提供：供应商具有履行合同所必需的设备和专业技术能力的证明材料复印件或承诺函（格式自拟）；</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4、具有依法缴纳税收和社会保障资金的良好记录：（1）提供202</w:t>
      </w:r>
      <w:r>
        <w:rPr>
          <w:rFonts w:hint="eastAsia" w:ascii="宋体" w:hAnsi="宋体" w:eastAsia="宋体" w:cs="宋体"/>
          <w:color w:val="auto"/>
          <w:sz w:val="24"/>
          <w:lang w:val="en-US" w:eastAsia="zh-CN"/>
        </w:rPr>
        <w:t>1</w:t>
      </w:r>
      <w:r>
        <w:rPr>
          <w:rFonts w:hint="eastAsia" w:ascii="宋体" w:hAnsi="宋体" w:eastAsia="宋体" w:cs="宋体"/>
          <w:color w:val="auto"/>
          <w:sz w:val="24"/>
        </w:rPr>
        <w:t>年以来（任意一个月）的缴纳税收和社保的银行缴款凭证复印件或税务、社保部门出具的证明材料复印件。（2）或提供具有依法缴纳税收和社会保障资金良好记录的承诺函原件（格式自拟）。（说明：税收可提供税务部门开具的收据或网银转帐回执单等有效证明材料；社保资金可提供社保部门开具的收据、网银转帐回执单或社保部门出具的已缴费证明等有效证明材料。</w:t>
      </w:r>
      <w:r>
        <w:rPr>
          <w:rFonts w:hint="eastAsia" w:ascii="宋体" w:hAnsi="宋体" w:eastAsia="宋体" w:cs="宋体"/>
          <w:color w:val="auto"/>
          <w:sz w:val="24"/>
          <w:lang w:val="zh-CN"/>
        </w:rPr>
        <w:t>依法免税或不需要缴纳社会保障资金的供应商，应提供相应文件证明其依法免税或不需要缴纳社会保障资金</w:t>
      </w:r>
      <w:r>
        <w:rPr>
          <w:rFonts w:hint="eastAsia" w:ascii="宋体" w:hAnsi="宋体" w:eastAsia="宋体" w:cs="宋体"/>
          <w:color w:val="auto"/>
          <w:sz w:val="24"/>
        </w:rPr>
        <w:t>）；</w:t>
      </w:r>
    </w:p>
    <w:p>
      <w:pPr>
        <w:widowControl/>
        <w:numPr>
          <w:ilvl w:val="0"/>
          <w:numId w:val="6"/>
        </w:numPr>
        <w:spacing w:line="360" w:lineRule="auto"/>
        <w:ind w:firstLine="482"/>
        <w:rPr>
          <w:rFonts w:hint="eastAsia" w:ascii="宋体" w:hAnsi="宋体" w:eastAsia="宋体" w:cs="宋体"/>
          <w:color w:val="auto"/>
          <w:sz w:val="24"/>
        </w:rPr>
      </w:pPr>
      <w:r>
        <w:rPr>
          <w:rFonts w:hint="eastAsia" w:ascii="宋体" w:hAnsi="宋体" w:eastAsia="宋体" w:cs="宋体"/>
          <w:color w:val="auto"/>
          <w:sz w:val="24"/>
        </w:rPr>
        <w:t>参加本次采购活动前三年内，在经营活动中没有重大违法记录：提供承诺函（原件，格式自拟。说明：1、供应商在参加政府采购活动前3年内因违法经营被禁止在一定期限内参加政府采购活动，期限届满的，可以参加政府采购活动，但供应商应提供相关证明材料复印件并加盖供应商公章；2、较大数额罚款的具体金额标准以本项目行业行政主管的明文规定或四川省人民政府规定的行政处罚听证标准为准）；</w:t>
      </w:r>
    </w:p>
    <w:p>
      <w:pPr>
        <w:widowControl/>
        <w:numPr>
          <w:ilvl w:val="0"/>
          <w:numId w:val="6"/>
        </w:numPr>
        <w:spacing w:line="360" w:lineRule="auto"/>
        <w:ind w:firstLine="482"/>
        <w:rPr>
          <w:rFonts w:hint="eastAsia" w:ascii="宋体" w:hAnsi="宋体" w:eastAsia="宋体" w:cs="宋体"/>
          <w:color w:val="auto"/>
          <w:sz w:val="24"/>
        </w:rPr>
      </w:pPr>
      <w:r>
        <w:rPr>
          <w:rFonts w:hint="eastAsia" w:ascii="宋体" w:hAnsi="宋体" w:eastAsia="宋体" w:cs="宋体"/>
          <w:color w:val="auto"/>
          <w:sz w:val="24"/>
        </w:rPr>
        <w:t>具备法律、行政法规规定的其他条件（提供承诺函原件，格式自拟）。</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bCs/>
          <w:color w:val="auto"/>
          <w:spacing w:val="0"/>
          <w:kern w:val="0"/>
          <w:sz w:val="24"/>
          <w:szCs w:val="24"/>
          <w:highlight w:val="none"/>
          <w:lang w:eastAsia="zh-CN"/>
        </w:rPr>
        <w:t>（二）落实政府采购政策需满足的资格条件：</w:t>
      </w:r>
      <w:r>
        <w:rPr>
          <w:rFonts w:hint="eastAsia" w:ascii="宋体" w:hAnsi="宋体" w:eastAsia="宋体" w:cs="宋体"/>
          <w:b w:val="0"/>
          <w:color w:val="auto"/>
          <w:spacing w:val="0"/>
          <w:kern w:val="0"/>
          <w:sz w:val="24"/>
          <w:szCs w:val="24"/>
          <w:highlight w:val="none"/>
          <w:lang w:eastAsia="zh-CN"/>
        </w:rPr>
        <w:t>本项目为专门面向中小企业采购的项目。供应商为中型企业、小型企业或微型企业，监狱企业或残疾人福利性单位视同为小微企业。</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）根据采购项目提出的特殊条件：</w:t>
      </w:r>
    </w:p>
    <w:p>
      <w:pPr>
        <w:keepNext w:val="0"/>
        <w:keepLines w:val="0"/>
        <w:pageBreakBefore w:val="0"/>
        <w:widowControl/>
        <w:kinsoku/>
        <w:overflowPunct/>
        <w:topLinePunct w:val="0"/>
        <w:autoSpaceDE/>
        <w:autoSpaceDN/>
        <w:bidi w:val="0"/>
        <w:adjustRightInd/>
        <w:snapToGrid/>
        <w:spacing w:line="336"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eastAsia="zh-CN"/>
        </w:rPr>
        <w:t>、</w:t>
      </w:r>
      <w:r>
        <w:rPr>
          <w:rFonts w:hint="eastAsia" w:ascii="宋体" w:hAnsi="宋体" w:eastAsia="宋体" w:cs="宋体"/>
          <w:color w:val="auto"/>
          <w:sz w:val="24"/>
        </w:rPr>
        <w:t>参加本次采购活动的供应商、法定代表人、主要负责人在2018年至今不得具有行贿犯罪记录（提供承诺函原件，格式自拟）；</w:t>
      </w:r>
    </w:p>
    <w:p>
      <w:pPr>
        <w:pStyle w:val="2"/>
        <w:keepNext w:val="0"/>
        <w:keepLines w:val="0"/>
        <w:pageBreakBefore w:val="0"/>
        <w:kinsoku/>
        <w:overflowPunct/>
        <w:topLinePunct w:val="0"/>
        <w:autoSpaceDE/>
        <w:autoSpaceDN/>
        <w:bidi w:val="0"/>
        <w:adjustRightInd/>
        <w:snapToGrid/>
        <w:spacing w:line="336"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本项目不接受联合体参加磋商（提供承诺函原件，格式自拟）；</w:t>
      </w:r>
    </w:p>
    <w:p>
      <w:pPr>
        <w:pStyle w:val="2"/>
        <w:keepNext w:val="0"/>
        <w:keepLines w:val="0"/>
        <w:pageBreakBefore w:val="0"/>
        <w:kinsoku/>
        <w:overflowPunct/>
        <w:topLinePunct w:val="0"/>
        <w:autoSpaceDE/>
        <w:autoSpaceDN/>
        <w:bidi w:val="0"/>
        <w:adjustRightInd/>
        <w:snapToGrid/>
        <w:spacing w:line="336"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3、具有行政主管部门颁发的市政公用工程施工总承包三级及以上资质</w:t>
      </w:r>
      <w:r>
        <w:rPr>
          <w:rFonts w:hint="eastAsia" w:ascii="宋体" w:hAnsi="宋体" w:eastAsia="宋体" w:cs="宋体"/>
          <w:color w:val="auto"/>
          <w:sz w:val="24"/>
          <w:lang w:eastAsia="zh-CN"/>
        </w:rPr>
        <w:t>（提供资质复印件）</w:t>
      </w:r>
      <w:r>
        <w:rPr>
          <w:rFonts w:hint="eastAsia" w:ascii="宋体" w:hAnsi="宋体" w:eastAsia="宋体" w:cs="宋体"/>
          <w:color w:val="auto"/>
          <w:sz w:val="24"/>
        </w:rPr>
        <w:t>。</w:t>
      </w:r>
    </w:p>
    <w:p>
      <w:pPr>
        <w:pStyle w:val="2"/>
        <w:keepNext w:val="0"/>
        <w:keepLines w:val="0"/>
        <w:pageBreakBefore w:val="0"/>
        <w:kinsoku/>
        <w:overflowPunct/>
        <w:topLinePunct w:val="0"/>
        <w:autoSpaceDE/>
        <w:autoSpaceDN/>
        <w:bidi w:val="0"/>
        <w:adjustRightInd/>
        <w:snapToGrid/>
        <w:spacing w:line="336"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、具有行政主管部门颁发的有效的安全生产许可证</w:t>
      </w:r>
      <w:r>
        <w:rPr>
          <w:rFonts w:hint="eastAsia" w:ascii="宋体" w:hAnsi="宋体" w:eastAsia="宋体" w:cs="宋体"/>
          <w:color w:val="auto"/>
          <w:sz w:val="24"/>
          <w:lang w:eastAsia="zh-CN"/>
        </w:rPr>
        <w:t>（提供资质复印件）</w:t>
      </w:r>
      <w:r>
        <w:rPr>
          <w:rFonts w:hint="eastAsia" w:ascii="宋体" w:hAnsi="宋体" w:eastAsia="宋体" w:cs="宋体"/>
          <w:color w:val="auto"/>
          <w:sz w:val="24"/>
        </w:rPr>
        <w:t xml:space="preserve">。    </w:t>
      </w:r>
    </w:p>
    <w:p>
      <w:pPr>
        <w:pStyle w:val="2"/>
        <w:keepNext w:val="0"/>
        <w:keepLines w:val="0"/>
        <w:pageBreakBefore w:val="0"/>
        <w:kinsoku/>
        <w:overflowPunct/>
        <w:topLinePunct w:val="0"/>
        <w:autoSpaceDE/>
        <w:autoSpaceDN/>
        <w:bidi w:val="0"/>
        <w:adjustRightInd/>
        <w:snapToGrid/>
        <w:spacing w:line="336" w:lineRule="auto"/>
        <w:ind w:left="0" w:firstLine="480" w:firstLineChars="200"/>
        <w:jc w:val="left"/>
        <w:textAlignment w:val="auto"/>
        <w:rPr>
          <w:rFonts w:hint="eastAsia" w:ascii="宋体" w:hAnsi="宋体" w:eastAsia="宋体" w:cs="宋体"/>
          <w:color w:val="auto"/>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四川省省外企业需具有行政主管部门颁发的《四川省省外建筑企业入川承揽业务验证登记证》或行政主管部门颁发的《四川省省外施工、监理企业入川承揽业务信息录入证》或行政主管部门颁发的《四川省省外建筑企业入川信息电子登记表》。</w:t>
      </w:r>
    </w:p>
    <w:p>
      <w:pPr>
        <w:widowControl/>
        <w:spacing w:line="360" w:lineRule="auto"/>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eastAsia="zh-CN"/>
        </w:rPr>
        <w:t>四</w:t>
      </w:r>
      <w:r>
        <w:rPr>
          <w:rFonts w:hint="eastAsia" w:ascii="宋体" w:hAnsi="宋体" w:eastAsia="宋体" w:cs="宋体"/>
          <w:b/>
          <w:bCs/>
          <w:color w:val="auto"/>
          <w:sz w:val="24"/>
        </w:rPr>
        <w:t>）其他类似效力要求：</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1、企业法定代表人授权书（原件）；</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2、法定代表人的身份证复印件；</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3、被授权代理人的身份证复印件；</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4、提供承诺函原件（格式详见资格性响应文件:一、承诺函）。</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numPr>
          <w:ilvl w:val="0"/>
          <w:numId w:val="7"/>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本章要求提供的相关证明材料应当结合采购项目具体情况和供应商的组织机构性质确定，不得一概而论。</w:t>
      </w:r>
    </w:p>
    <w:p>
      <w:pPr>
        <w:numPr>
          <w:ilvl w:val="0"/>
          <w:numId w:val="7"/>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以上文件均需加盖供应商公章并在签字处签字。</w:t>
      </w:r>
    </w:p>
    <w:p>
      <w:pPr>
        <w:spacing w:line="348" w:lineRule="auto"/>
        <w:rPr>
          <w:rFonts w:hint="eastAsia" w:ascii="宋体" w:hAnsi="宋体" w:eastAsia="宋体" w:cs="宋体"/>
          <w:color w:val="auto"/>
          <w:sz w:val="24"/>
        </w:rPr>
      </w:pPr>
      <w:r>
        <w:rPr>
          <w:rFonts w:hint="eastAsia" w:ascii="宋体" w:hAnsi="宋体" w:eastAsia="宋体" w:cs="宋体"/>
          <w:color w:val="auto"/>
          <w:sz w:val="24"/>
        </w:rPr>
        <w:br w:type="page"/>
      </w:r>
    </w:p>
    <w:p>
      <w:pPr>
        <w:pStyle w:val="3"/>
        <w:numPr>
          <w:ilvl w:val="0"/>
          <w:numId w:val="8"/>
        </w:numPr>
        <w:rPr>
          <w:rFonts w:hint="eastAsia" w:ascii="宋体" w:hAnsi="宋体" w:eastAsia="宋体" w:cs="宋体"/>
          <w:color w:val="auto"/>
          <w:highlight w:val="none"/>
        </w:rPr>
      </w:pPr>
      <w:bookmarkStart w:id="114" w:name="_Toc18756"/>
      <w:r>
        <w:rPr>
          <w:rFonts w:hint="eastAsia" w:ascii="宋体" w:hAnsi="宋体" w:eastAsia="宋体" w:cs="宋体"/>
          <w:color w:val="auto"/>
          <w:highlight w:val="none"/>
        </w:rPr>
        <w:t xml:space="preserve">  </w:t>
      </w:r>
      <w:bookmarkStart w:id="115" w:name="_Toc5547"/>
      <w:r>
        <w:rPr>
          <w:rFonts w:hint="eastAsia" w:ascii="宋体" w:hAnsi="宋体" w:eastAsia="宋体" w:cs="宋体"/>
          <w:color w:val="auto"/>
          <w:highlight w:val="none"/>
        </w:rPr>
        <w:t>采购项目技术、服务及商务要求</w:t>
      </w:r>
      <w:bookmarkEnd w:id="86"/>
      <w:bookmarkEnd w:id="87"/>
      <w:bookmarkEnd w:id="88"/>
      <w:bookmarkEnd w:id="89"/>
      <w:bookmarkEnd w:id="90"/>
      <w:bookmarkEnd w:id="114"/>
      <w:bookmarkEnd w:id="115"/>
      <w:bookmarkStart w:id="116" w:name="_Toc8289"/>
      <w:bookmarkStart w:id="117" w:name="_Toc141"/>
      <w:bookmarkStart w:id="118" w:name="_Toc22437"/>
      <w:bookmarkStart w:id="119" w:name="_Toc25378"/>
      <w:bookmarkStart w:id="120" w:name="_Toc3568"/>
      <w:bookmarkStart w:id="121" w:name="_Toc183682369"/>
      <w:bookmarkStart w:id="122" w:name="_Toc183582232"/>
      <w:bookmarkStart w:id="123" w:name="_Toc217446057"/>
    </w:p>
    <w:bookmarkEnd w:id="116"/>
    <w:bookmarkEnd w:id="117"/>
    <w:bookmarkEnd w:id="118"/>
    <w:bookmarkEnd w:id="119"/>
    <w:bookmarkEnd w:id="120"/>
    <w:p>
      <w:pPr>
        <w:spacing w:line="360" w:lineRule="auto"/>
        <w:jc w:val="left"/>
        <w:rPr>
          <w:rFonts w:hint="eastAsia" w:ascii="宋体" w:hAnsi="宋体" w:eastAsia="宋体" w:cs="宋体"/>
          <w:b/>
          <w:bCs/>
          <w:color w:val="auto"/>
          <w:sz w:val="32"/>
          <w:szCs w:val="32"/>
        </w:rPr>
      </w:pPr>
      <w:bookmarkStart w:id="124" w:name="_Toc30724"/>
      <w:r>
        <w:rPr>
          <w:rFonts w:hint="eastAsia" w:ascii="宋体" w:hAnsi="宋体" w:eastAsia="宋体" w:cs="宋体"/>
          <w:b/>
          <w:bCs/>
          <w:color w:val="auto"/>
          <w:sz w:val="32"/>
          <w:szCs w:val="32"/>
        </w:rPr>
        <w:t>一、项目概况</w:t>
      </w:r>
    </w:p>
    <w:p>
      <w:pPr>
        <w:pStyle w:val="2"/>
        <w:spacing w:line="360" w:lineRule="auto"/>
        <w:ind w:left="420" w:leftChars="2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项目名称</w:t>
      </w:r>
      <w:r>
        <w:rPr>
          <w:rFonts w:hint="eastAsia" w:ascii="宋体" w:hAnsi="宋体" w:eastAsia="宋体" w:cs="宋体"/>
          <w:color w:val="auto"/>
          <w:sz w:val="24"/>
        </w:rPr>
        <w:t>：</w:t>
      </w:r>
      <w:r>
        <w:rPr>
          <w:rFonts w:hint="eastAsia" w:ascii="宋体" w:hAnsi="宋体" w:eastAsia="宋体" w:cs="宋体"/>
          <w:color w:val="auto"/>
          <w:sz w:val="24"/>
          <w:szCs w:val="24"/>
          <w:highlight w:val="none"/>
          <w:lang w:val="en-US" w:eastAsia="zh-CN"/>
        </w:rPr>
        <w:t>本项目为成都东部新区石盘街道办事处农村道路桥梁维护巡查服务采购，共一个包</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 xml:space="preserve">2、采购预算金额：   </w:t>
      </w:r>
      <w:r>
        <w:rPr>
          <w:rFonts w:hint="eastAsia" w:ascii="宋体" w:hAnsi="宋体" w:eastAsia="宋体" w:cs="宋体"/>
          <w:b/>
          <w:bCs/>
          <w:color w:val="auto"/>
          <w:kern w:val="2"/>
          <w:sz w:val="24"/>
          <w:szCs w:val="24"/>
          <w:highlight w:val="none"/>
          <w:lang w:val="en-US" w:eastAsia="zh-CN" w:bidi="ar-SA"/>
        </w:rPr>
        <w:t xml:space="preserve"> </w:t>
      </w:r>
    </w:p>
    <w:p>
      <w:pPr>
        <w:widowControl/>
        <w:spacing w:line="360" w:lineRule="auto"/>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二、项目技术、服务要求</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（一）安全管理</w:t>
      </w:r>
    </w:p>
    <w:p>
      <w:pPr>
        <w:pageBreakBefore w:val="0"/>
        <w:widowControl w:val="0"/>
        <w:tabs>
          <w:tab w:val="left" w:pos="7665"/>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人员要求：养护人员实施养护作业，应按《中华人民共和国公路法》及《农村公路养护安全管理办法》等有关规定执行。养护单位应对养护作业人员进行安全教育，使其熟知并严格遵守各项安全技术操作规程，对于从事电焊、车辆驾驶、试验等特殊工种的人员应持证上岗，并经上岗前培训后，执证上岗作业。</w:t>
      </w:r>
    </w:p>
    <w:p>
      <w:pPr>
        <w:pageBreakBefore w:val="0"/>
        <w:widowControl w:val="0"/>
        <w:tabs>
          <w:tab w:val="left" w:pos="7665"/>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施工要求：养护作业应具备快速性、高效性、安全性，作业现场必须按规定设置施工安全警告标志、限速标志、导向标识和必要的安全设施，并随时保持路容整洁。各种交通标志的设置应符合国标《道路交通标志和标线》（GB5768-1999）和交通部颁发的《公路养护技术规范》的有关规定，上路作业车辆应喷涂警示颜色或加装警示闪灯，作业人员穿安全标志服，以保证行车安全和施工人员自身安全。施工前，施工单位应做好充分的各项准备，尽量缩短路上施工时间。施工中影响或干扰交通时应做好交通疏导工作，保障行车的快速、安全、舒适和通畅。作业完毕必须清理路障，恢复正常交通。</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（二）安全、文明施工及应急措施</w:t>
      </w:r>
    </w:p>
    <w:p>
      <w:pPr>
        <w:pageBreakBefore w:val="0"/>
        <w:widowControl w:val="0"/>
        <w:tabs>
          <w:tab w:val="left" w:pos="7665"/>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雨季防汛和冬季防滑应坚持预防性养护的原则，根据道路结构标准及实际情况提前制定防汛、防滑计划，并纳入年度养护计划管理，按计划要求提前备齐，备足防汛、防滑物资器具，对雨、雷等自然灾害造成的抢修和修复工程按“急事急办”的原则立即安排抢修单位进行抢修，以保障道路安全通畅。同时需采取有效措施，防止养护作业污染沿线环境。为确保施工人员以及其他行人安全，供应商需提供作业时安全施工、文明施工以及应急措施等与实际情况符合的方案。</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（三）质量控制</w:t>
      </w:r>
    </w:p>
    <w:p>
      <w:pPr>
        <w:pageBreakBefore w:val="0"/>
        <w:widowControl w:val="0"/>
        <w:tabs>
          <w:tab w:val="left" w:pos="7665"/>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质量要求：路基养护应保持路基坚实，边坡稳定，排水通畅，符合设计要求，公路线性顺适，通过养护管理，使其质量不低于设计标准；路面养护必须保证路面的平整度完好、适度，具有足够的强度和抗滑性能，确保路面行驶性能，延长使用寿命；桥涵养护应首先符合载重等级要求，保障车辆安全通行，做到桥涵各部处于完好状态，适时疏导河床确保河流水流畅通；沿线设施应做到及时清洁和修复局部缺损，使其处于良好技术状态。</w:t>
      </w:r>
    </w:p>
    <w:p>
      <w:pPr>
        <w:pageBreakBefore w:val="0"/>
        <w:widowControl w:val="0"/>
        <w:tabs>
          <w:tab w:val="left" w:pos="7665"/>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2.质量监督：养护工程应加强质量监督管理，分项养护考核，工程质量应符合《公路养护质量检查评定标准》的要求。</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（四）服务范围</w:t>
      </w:r>
    </w:p>
    <w:p>
      <w:pPr>
        <w:widowControl/>
        <w:spacing w:line="360" w:lineRule="auto"/>
        <w:ind w:firstLine="480" w:firstLineChars="200"/>
        <w:jc w:val="both"/>
        <w:rPr>
          <w:rFonts w:hint="eastAsia" w:ascii="宋体" w:hAnsi="宋体" w:eastAsia="宋体" w:cs="宋体"/>
          <w:color w:val="auto"/>
          <w:kern w:val="0"/>
          <w:sz w:val="24"/>
          <w:lang w:val="en-US" w:eastAsia="zh-CN"/>
        </w:rPr>
      </w:pPr>
      <w:r>
        <w:rPr>
          <w:rFonts w:hint="eastAsia" w:ascii="宋体" w:hAnsi="宋体" w:eastAsia="宋体" w:cs="宋体"/>
          <w:color w:val="auto"/>
          <w:sz w:val="24"/>
        </w:rPr>
        <w:t>实际服务范围和内容以采购人实际需求为准，成交单位签订采购合同后应按采购人实际需求提供服务</w:t>
      </w:r>
      <w:r>
        <w:rPr>
          <w:rFonts w:hint="eastAsia" w:ascii="宋体" w:hAnsi="宋体" w:eastAsia="宋体" w:cs="宋体"/>
          <w:color w:val="auto"/>
          <w:kern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五</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拟服务清单</w:t>
      </w:r>
    </w:p>
    <w:tbl>
      <w:tblPr>
        <w:tblStyle w:val="18"/>
        <w:tblW w:w="4966" w:type="pct"/>
        <w:jc w:val="center"/>
        <w:tblLayout w:type="fixed"/>
        <w:tblCellMar>
          <w:top w:w="0" w:type="dxa"/>
          <w:left w:w="0" w:type="dxa"/>
          <w:bottom w:w="0" w:type="dxa"/>
          <w:right w:w="0" w:type="dxa"/>
        </w:tblCellMar>
      </w:tblPr>
      <w:tblGrid>
        <w:gridCol w:w="427"/>
        <w:gridCol w:w="1681"/>
        <w:gridCol w:w="1107"/>
        <w:gridCol w:w="719"/>
        <w:gridCol w:w="970"/>
        <w:gridCol w:w="3320"/>
      </w:tblGrid>
      <w:tr>
        <w:tblPrEx>
          <w:tblCellMar>
            <w:top w:w="0" w:type="dxa"/>
            <w:left w:w="0" w:type="dxa"/>
            <w:bottom w:w="0" w:type="dxa"/>
            <w:right w:w="0" w:type="dxa"/>
          </w:tblCellMar>
        </w:tblPrEx>
        <w:trPr>
          <w:trHeight w:val="522"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工程名称</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单位</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工程量</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单价限价（元）</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备注</w:t>
            </w:r>
          </w:p>
        </w:tc>
      </w:tr>
      <w:tr>
        <w:tblPrEx>
          <w:tblCellMar>
            <w:top w:w="0" w:type="dxa"/>
            <w:left w:w="0" w:type="dxa"/>
            <w:bottom w:w="0" w:type="dxa"/>
            <w:right w:w="0" w:type="dxa"/>
          </w:tblCellMar>
        </w:tblPrEx>
        <w:trPr>
          <w:trHeight w:val="282"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rPr>
              <w:t>一</w:t>
            </w:r>
          </w:p>
        </w:tc>
        <w:tc>
          <w:tcPr>
            <w:tcW w:w="1022"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rPr>
              <w:t>日常保养</w:t>
            </w:r>
          </w:p>
        </w:tc>
        <w:tc>
          <w:tcPr>
            <w:tcW w:w="673"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jc w:val="center"/>
              <w:rPr>
                <w:rFonts w:hint="eastAsia" w:ascii="宋体" w:hAnsi="宋体" w:eastAsia="宋体" w:cs="宋体"/>
                <w:b/>
                <w:color w:val="auto"/>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jc w:val="center"/>
              <w:rPr>
                <w:rFonts w:hint="eastAsia" w:ascii="宋体" w:hAnsi="宋体" w:eastAsia="宋体" w:cs="宋体"/>
                <w:b/>
                <w:color w:val="auto"/>
                <w:szCs w:val="21"/>
              </w:rPr>
            </w:pPr>
          </w:p>
        </w:tc>
        <w:tc>
          <w:tcPr>
            <w:tcW w:w="589"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jc w:val="center"/>
              <w:rPr>
                <w:rFonts w:hint="eastAsia" w:ascii="宋体" w:hAnsi="宋体" w:eastAsia="宋体" w:cs="宋体"/>
                <w:b/>
                <w:color w:val="auto"/>
                <w:szCs w:val="21"/>
              </w:rPr>
            </w:pPr>
          </w:p>
        </w:tc>
        <w:tc>
          <w:tcPr>
            <w:tcW w:w="2018"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48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日常巡查检查</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公里·次</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8.89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宋体" w:hAnsi="宋体" w:eastAsia="宋体" w:cs="宋体"/>
                <w:color w:val="auto"/>
                <w:szCs w:val="21"/>
              </w:rPr>
            </w:pPr>
            <w:r>
              <w:rPr>
                <w:rFonts w:hint="eastAsia" w:ascii="宋体" w:hAnsi="宋体" w:eastAsia="宋体" w:cs="宋体"/>
                <w:color w:val="auto"/>
                <w:kern w:val="0"/>
                <w:szCs w:val="21"/>
              </w:rPr>
              <w:t>按要求每日进行日常巡查，按公里·次计量。</w:t>
            </w:r>
          </w:p>
        </w:tc>
      </w:tr>
      <w:tr>
        <w:tblPrEx>
          <w:tblCellMar>
            <w:top w:w="0" w:type="dxa"/>
            <w:left w:w="0" w:type="dxa"/>
            <w:bottom w:w="0" w:type="dxa"/>
            <w:right w:w="0" w:type="dxa"/>
          </w:tblCellMar>
        </w:tblPrEx>
        <w:trPr>
          <w:trHeight w:val="72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路况检查评定</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公里·次</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10.19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宋体" w:hAnsi="宋体" w:eastAsia="宋体" w:cs="宋体"/>
                <w:color w:val="auto"/>
                <w:szCs w:val="21"/>
              </w:rPr>
            </w:pPr>
            <w:r>
              <w:rPr>
                <w:rFonts w:hint="eastAsia" w:ascii="宋体" w:hAnsi="宋体" w:eastAsia="宋体" w:cs="宋体"/>
                <w:color w:val="auto"/>
                <w:kern w:val="0"/>
                <w:szCs w:val="21"/>
              </w:rPr>
              <w:t>路基调查评定，安全隐患排查及各种专项调查，按公里·次计量。</w:t>
            </w:r>
          </w:p>
        </w:tc>
      </w:tr>
      <w:tr>
        <w:tblPrEx>
          <w:tblCellMar>
            <w:top w:w="0" w:type="dxa"/>
            <w:left w:w="0" w:type="dxa"/>
            <w:bottom w:w="0" w:type="dxa"/>
            <w:right w:w="0" w:type="dxa"/>
          </w:tblCellMar>
        </w:tblPrEx>
        <w:trPr>
          <w:trHeight w:val="96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整理路缘带、路肩、边坡</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km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265.83</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宋体" w:hAnsi="宋体" w:eastAsia="宋体" w:cs="宋体"/>
                <w:color w:val="auto"/>
                <w:szCs w:val="21"/>
              </w:rPr>
            </w:pPr>
            <w:r>
              <w:rPr>
                <w:rFonts w:hint="eastAsia" w:ascii="宋体" w:hAnsi="宋体" w:eastAsia="宋体" w:cs="宋体"/>
                <w:color w:val="auto"/>
                <w:kern w:val="0"/>
                <w:szCs w:val="21"/>
              </w:rPr>
              <w:t>整理路缘带修、路肩、边坡，修剪路肩、分隔带草木、清除杂草，清除杂物，保持路容整洁。</w:t>
            </w:r>
          </w:p>
        </w:tc>
      </w:tr>
      <w:tr>
        <w:tblPrEx>
          <w:tblCellMar>
            <w:top w:w="0" w:type="dxa"/>
            <w:left w:w="0" w:type="dxa"/>
            <w:bottom w:w="0" w:type="dxa"/>
            <w:right w:w="0" w:type="dxa"/>
          </w:tblCellMar>
        </w:tblPrEx>
        <w:trPr>
          <w:trHeight w:val="48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边沟清淤</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km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1752.46</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宋体" w:hAnsi="宋体" w:eastAsia="宋体" w:cs="宋体"/>
                <w:color w:val="auto"/>
                <w:szCs w:val="21"/>
              </w:rPr>
            </w:pPr>
            <w:r>
              <w:rPr>
                <w:rFonts w:hint="eastAsia" w:ascii="宋体" w:hAnsi="宋体" w:eastAsia="宋体" w:cs="宋体"/>
                <w:color w:val="auto"/>
                <w:kern w:val="0"/>
                <w:szCs w:val="21"/>
              </w:rPr>
              <w:t>疏通边沟，</w:t>
            </w:r>
            <w:r>
              <w:rPr>
                <w:rFonts w:hint="eastAsia" w:ascii="宋体" w:hAnsi="宋体" w:eastAsia="宋体" w:cs="宋体"/>
                <w:color w:val="auto"/>
                <w:kern w:val="0"/>
                <w:szCs w:val="21"/>
                <w:highlight w:val="yellow"/>
              </w:rPr>
              <w:t>人工清澈深10cm，宽40cm</w:t>
            </w:r>
            <w:r>
              <w:rPr>
                <w:rFonts w:hint="eastAsia" w:ascii="宋体" w:hAnsi="宋体" w:eastAsia="宋体" w:cs="宋体"/>
                <w:color w:val="auto"/>
                <w:kern w:val="0"/>
                <w:szCs w:val="21"/>
              </w:rPr>
              <w:t>保持挂水系统通畅。</w:t>
            </w:r>
          </w:p>
        </w:tc>
      </w:tr>
      <w:tr>
        <w:tblPrEx>
          <w:tblCellMar>
            <w:top w:w="0" w:type="dxa"/>
            <w:left w:w="0" w:type="dxa"/>
            <w:bottom w:w="0" w:type="dxa"/>
            <w:right w:w="0" w:type="dxa"/>
          </w:tblCellMar>
        </w:tblPrEx>
        <w:trPr>
          <w:trHeight w:val="48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路面清扫</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公顷</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宋体" w:hAnsi="宋体" w:eastAsia="宋体" w:cs="宋体"/>
                <w:color w:val="auto"/>
                <w:kern w:val="0"/>
                <w:szCs w:val="21"/>
              </w:rPr>
            </w:pPr>
          </w:p>
        </w:tc>
      </w:tr>
      <w:tr>
        <w:tblPrEx>
          <w:tblCellMar>
            <w:top w:w="0" w:type="dxa"/>
            <w:left w:w="0" w:type="dxa"/>
            <w:bottom w:w="0" w:type="dxa"/>
            <w:right w:w="0" w:type="dxa"/>
          </w:tblCellMar>
        </w:tblPrEx>
        <w:trPr>
          <w:trHeight w:val="48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路面除冰除雪</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0.05</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宋体" w:hAnsi="宋体" w:eastAsia="宋体" w:cs="宋体"/>
                <w:color w:val="auto"/>
                <w:szCs w:val="21"/>
              </w:rPr>
            </w:pPr>
            <w:r>
              <w:rPr>
                <w:rFonts w:hint="eastAsia" w:ascii="宋体" w:hAnsi="宋体" w:eastAsia="宋体" w:cs="宋体"/>
                <w:color w:val="auto"/>
                <w:kern w:val="0"/>
                <w:szCs w:val="21"/>
              </w:rPr>
              <w:t>排除路面积雪，冰铺防滑料维持交通。</w:t>
            </w:r>
          </w:p>
        </w:tc>
      </w:tr>
      <w:tr>
        <w:tblPrEx>
          <w:tblCellMar>
            <w:top w:w="0" w:type="dxa"/>
            <w:left w:w="0" w:type="dxa"/>
            <w:bottom w:w="0" w:type="dxa"/>
            <w:right w:w="0" w:type="dxa"/>
          </w:tblCellMar>
        </w:tblPrEx>
        <w:trPr>
          <w:trHeight w:val="48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涵洞经常性检查</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延米</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3.74</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宋体" w:hAnsi="宋体" w:eastAsia="宋体" w:cs="宋体"/>
                <w:color w:val="auto"/>
                <w:szCs w:val="21"/>
              </w:rPr>
            </w:pPr>
            <w:r>
              <w:rPr>
                <w:rFonts w:hint="eastAsia" w:ascii="宋体" w:hAnsi="宋体" w:eastAsia="宋体" w:cs="宋体"/>
                <w:color w:val="auto"/>
                <w:kern w:val="0"/>
                <w:szCs w:val="21"/>
              </w:rPr>
              <w:t>按要求每月进行桥涵、隧道的经常性检查。</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涵洞清淤</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93.00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宋体" w:hAnsi="宋体" w:eastAsia="宋体" w:cs="宋体"/>
                <w:color w:val="auto"/>
                <w:szCs w:val="21"/>
              </w:rPr>
            </w:pPr>
            <w:r>
              <w:rPr>
                <w:rFonts w:hint="eastAsia" w:ascii="宋体" w:hAnsi="宋体" w:eastAsia="宋体" w:cs="宋体"/>
                <w:color w:val="auto"/>
                <w:kern w:val="0"/>
                <w:szCs w:val="21"/>
              </w:rPr>
              <w:t>疏通涵洞，疏导桥下河槽。</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桥面泄水孔疏通</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个</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1.63</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隧道边墙冲洗</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0.67</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伸缩缝清理</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1.30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扫水降尘</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1km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清洗护栏</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1km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kern w:val="0"/>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悬臂式</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个</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195.33</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门架式</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个</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278.37</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szCs w:val="21"/>
              </w:rPr>
              <w:t>二</w:t>
            </w:r>
          </w:p>
        </w:tc>
        <w:tc>
          <w:tcPr>
            <w:tcW w:w="1022"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rPr>
              <w:t>路基工程</w:t>
            </w:r>
          </w:p>
        </w:tc>
        <w:tc>
          <w:tcPr>
            <w:tcW w:w="673"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jc w:val="center"/>
              <w:rPr>
                <w:rFonts w:hint="eastAsia" w:ascii="宋体" w:hAnsi="宋体" w:eastAsia="宋体" w:cs="宋体"/>
                <w:b/>
                <w:color w:val="auto"/>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jc w:val="center"/>
              <w:rPr>
                <w:rFonts w:hint="eastAsia" w:ascii="宋体" w:hAnsi="宋体" w:eastAsia="宋体" w:cs="宋体"/>
                <w:b/>
                <w:color w:val="auto"/>
                <w:szCs w:val="21"/>
              </w:rPr>
            </w:pPr>
          </w:p>
        </w:tc>
        <w:tc>
          <w:tcPr>
            <w:tcW w:w="589"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jc w:val="center"/>
              <w:rPr>
                <w:rFonts w:hint="eastAsia" w:ascii="宋体" w:hAnsi="宋体" w:eastAsia="宋体" w:cs="宋体"/>
                <w:b/>
                <w:color w:val="auto"/>
                <w:szCs w:val="21"/>
              </w:rPr>
            </w:pPr>
          </w:p>
        </w:tc>
        <w:tc>
          <w:tcPr>
            <w:tcW w:w="2018"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402"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小段边沟、截水沟、排水沟开挖</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40.82</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宋体" w:hAnsi="宋体" w:eastAsia="宋体" w:cs="宋体"/>
                <w:color w:val="auto"/>
                <w:szCs w:val="21"/>
              </w:rPr>
            </w:pPr>
            <w:r>
              <w:rPr>
                <w:rFonts w:hint="eastAsia" w:ascii="宋体" w:hAnsi="宋体" w:eastAsia="宋体" w:cs="宋体"/>
                <w:color w:val="auto"/>
                <w:kern w:val="0"/>
                <w:szCs w:val="21"/>
              </w:rPr>
              <w:t>新增或改建</w:t>
            </w:r>
          </w:p>
        </w:tc>
      </w:tr>
      <w:tr>
        <w:tblPrEx>
          <w:tblCellMar>
            <w:top w:w="0" w:type="dxa"/>
            <w:left w:w="0" w:type="dxa"/>
            <w:bottom w:w="0" w:type="dxa"/>
            <w:right w:w="0" w:type="dxa"/>
          </w:tblCellMar>
        </w:tblPrEx>
        <w:trPr>
          <w:trHeight w:val="9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浆砌片石铺砌边沟、截水沟、排水沟</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330.90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lang w:val="en-US" w:eastAsia="zh-CN"/>
              </w:rPr>
            </w:pPr>
            <w:r>
              <w:rPr>
                <w:rFonts w:hint="eastAsia" w:ascii="宋体" w:hAnsi="宋体" w:eastAsia="宋体" w:cs="宋体"/>
                <w:color w:val="auto"/>
                <w:szCs w:val="21"/>
                <w:highlight w:val="green"/>
                <w:lang w:val="en-US" w:eastAsia="zh-CN"/>
              </w:rPr>
              <w:t>沟尺寸</w:t>
            </w:r>
          </w:p>
        </w:tc>
      </w:tr>
      <w:tr>
        <w:tblPrEx>
          <w:tblCellMar>
            <w:top w:w="0" w:type="dxa"/>
            <w:left w:w="0" w:type="dxa"/>
            <w:bottom w:w="0" w:type="dxa"/>
            <w:right w:w="0" w:type="dxa"/>
          </w:tblCellMar>
        </w:tblPrEx>
        <w:trPr>
          <w:trHeight w:val="48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清除塌方</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21.73</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宋体" w:hAnsi="宋体" w:eastAsia="宋体" w:cs="宋体"/>
                <w:color w:val="auto"/>
                <w:szCs w:val="21"/>
              </w:rPr>
            </w:pPr>
            <w:r>
              <w:rPr>
                <w:rFonts w:hint="eastAsia" w:ascii="宋体" w:hAnsi="宋体" w:eastAsia="宋体" w:cs="宋体"/>
                <w:color w:val="auto"/>
                <w:kern w:val="0"/>
                <w:szCs w:val="21"/>
              </w:rPr>
              <w:t>包括路面上被倾倒的建渣、泥土等。</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土石方挖运</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11.91</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砂砾石填方</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highlight w:val="green"/>
              </w:rPr>
              <w:t>180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rPr>
            </w:pPr>
            <w:r>
              <w:rPr>
                <w:rFonts w:hint="eastAsia" w:ascii="宋体" w:hAnsi="宋体" w:eastAsia="宋体" w:cs="宋体"/>
                <w:color w:val="auto"/>
                <w:highlight w:val="yellow"/>
              </w:rPr>
              <w:t>包括材料及人工机械</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yellow"/>
              </w:rPr>
            </w:pPr>
            <w:r>
              <w:rPr>
                <w:rFonts w:hint="eastAsia" w:ascii="宋体" w:hAnsi="宋体" w:eastAsia="宋体" w:cs="宋体"/>
                <w:color w:val="auto"/>
                <w:kern w:val="0"/>
                <w:szCs w:val="21"/>
                <w:highlight w:val="yellow"/>
              </w:rPr>
              <w:t>片石路基</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yellow"/>
              </w:rPr>
            </w:pPr>
            <w:r>
              <w:rPr>
                <w:rFonts w:hint="eastAsia" w:ascii="宋体" w:hAnsi="宋体" w:eastAsia="宋体" w:cs="宋体"/>
                <w:color w:val="auto"/>
                <w:kern w:val="0"/>
                <w:szCs w:val="21"/>
                <w:highlight w:val="yellow"/>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yellow"/>
              </w:rPr>
            </w:pPr>
            <w:r>
              <w:rPr>
                <w:rFonts w:hint="eastAsia" w:ascii="宋体" w:hAnsi="宋体" w:eastAsia="宋体" w:cs="宋体"/>
                <w:color w:val="auto"/>
                <w:kern w:val="0"/>
                <w:szCs w:val="21"/>
                <w:highlight w:val="yellow"/>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yellow"/>
              </w:rPr>
            </w:pPr>
            <w:r>
              <w:rPr>
                <w:rFonts w:hint="eastAsia" w:ascii="宋体" w:hAnsi="宋体" w:eastAsia="宋体" w:cs="宋体"/>
                <w:color w:val="auto"/>
                <w:highlight w:val="green"/>
              </w:rPr>
              <w:t>176</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highlight w:val="yellow"/>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浆砌条石防护工程</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highlight w:val="green"/>
              </w:rPr>
              <w:t>465</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eastAsia="宋体" w:cs="宋体"/>
                <w:color w:val="auto"/>
                <w:szCs w:val="21"/>
              </w:rPr>
            </w:pPr>
            <w:r>
              <w:rPr>
                <w:rFonts w:hint="eastAsia" w:ascii="宋体" w:hAnsi="宋体" w:eastAsia="宋体" w:cs="宋体"/>
                <w:color w:val="auto"/>
                <w:highlight w:val="yellow"/>
              </w:rPr>
              <w:t>包括材料及人工机械</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highlight w:val="yellow"/>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yellow"/>
              </w:rPr>
            </w:pPr>
            <w:r>
              <w:rPr>
                <w:rFonts w:hint="eastAsia" w:ascii="宋体" w:hAnsi="宋体" w:eastAsia="宋体" w:cs="宋体"/>
                <w:color w:val="auto"/>
                <w:kern w:val="0"/>
                <w:szCs w:val="21"/>
                <w:highlight w:val="yellow"/>
              </w:rPr>
              <w:t>C25混凝土保坎</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yellow"/>
              </w:rPr>
            </w:pPr>
            <w:r>
              <w:rPr>
                <w:rFonts w:hint="eastAsia" w:ascii="宋体" w:hAnsi="宋体" w:eastAsia="宋体" w:cs="宋体"/>
                <w:color w:val="auto"/>
                <w:kern w:val="0"/>
                <w:szCs w:val="21"/>
                <w:highlight w:val="yellow"/>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yellow"/>
              </w:rPr>
            </w:pPr>
            <w:r>
              <w:rPr>
                <w:rFonts w:hint="eastAsia" w:ascii="宋体" w:hAnsi="宋体" w:eastAsia="宋体" w:cs="宋体"/>
                <w:color w:val="auto"/>
                <w:kern w:val="0"/>
                <w:szCs w:val="21"/>
                <w:highlight w:val="yellow"/>
              </w:rPr>
              <w:t>1</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yellow"/>
              </w:rPr>
            </w:pPr>
            <w:r>
              <w:rPr>
                <w:rFonts w:hint="eastAsia" w:ascii="宋体" w:hAnsi="宋体" w:eastAsia="宋体" w:cs="宋体"/>
                <w:color w:val="auto"/>
                <w:kern w:val="0"/>
                <w:szCs w:val="21"/>
                <w:highlight w:val="yellow"/>
              </w:rPr>
              <w:t>552</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highlight w:val="yellow"/>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浆砌片（卵）石防护工程</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270.01</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r>
              <w:rPr>
                <w:rFonts w:hint="eastAsia" w:ascii="宋体" w:hAnsi="宋体" w:eastAsia="宋体" w:cs="宋体"/>
                <w:color w:val="auto"/>
                <w:highlight w:val="yellow"/>
              </w:rPr>
              <w:t>包括材料及人工机械</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C15片石混凝土防护工程</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543.53</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宋体" w:hAnsi="宋体" w:eastAsia="宋体" w:cs="宋体"/>
                <w:color w:val="auto"/>
                <w:szCs w:val="21"/>
              </w:rPr>
            </w:pPr>
            <w:r>
              <w:rPr>
                <w:rFonts w:hint="eastAsia" w:ascii="宋体" w:hAnsi="宋体" w:eastAsia="宋体" w:cs="宋体"/>
                <w:color w:val="auto"/>
                <w:kern w:val="0"/>
                <w:szCs w:val="21"/>
              </w:rPr>
              <w:t>挡墙、护坡、河床等</w:t>
            </w:r>
            <w:r>
              <w:rPr>
                <w:rFonts w:hint="eastAsia" w:ascii="宋体" w:hAnsi="宋体" w:eastAsia="宋体" w:cs="宋体"/>
                <w:color w:val="auto"/>
                <w:highlight w:val="yellow"/>
              </w:rPr>
              <w:t>包括材料及人工机械</w:t>
            </w:r>
            <w:r>
              <w:rPr>
                <w:rFonts w:hint="eastAsia" w:ascii="宋体" w:hAnsi="宋体" w:eastAsia="宋体" w:cs="宋体"/>
                <w:color w:val="auto"/>
                <w:kern w:val="0"/>
                <w:szCs w:val="21"/>
              </w:rPr>
              <w:t>。</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路缘石更换（水泥混凝土预制）</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kern w:val="0"/>
                <w:szCs w:val="21"/>
                <w:highlight w:val="green"/>
                <w:lang w:val="en-US" w:eastAsia="zh-CN"/>
              </w:rPr>
              <w:t>38</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r>
              <w:rPr>
                <w:rFonts w:hint="eastAsia" w:ascii="宋体" w:hAnsi="宋体" w:eastAsia="宋体" w:cs="宋体"/>
                <w:color w:val="auto"/>
                <w:highlight w:val="yellow"/>
              </w:rPr>
              <w:t>包括材料及人工机械</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yellow"/>
              </w:rPr>
            </w:pPr>
          </w:p>
          <w:p>
            <w:pPr>
              <w:widowControl/>
              <w:jc w:val="center"/>
              <w:textAlignment w:val="center"/>
              <w:rPr>
                <w:rFonts w:hint="eastAsia" w:ascii="宋体" w:hAnsi="宋体" w:eastAsia="宋体" w:cs="宋体"/>
                <w:color w:val="auto"/>
                <w:kern w:val="0"/>
                <w:szCs w:val="21"/>
                <w:highlight w:val="yellow"/>
              </w:rPr>
            </w:pPr>
          </w:p>
          <w:p>
            <w:pPr>
              <w:widowControl/>
              <w:jc w:val="center"/>
              <w:textAlignment w:val="center"/>
              <w:rPr>
                <w:rFonts w:hint="eastAsia" w:ascii="宋体" w:hAnsi="宋体" w:eastAsia="宋体" w:cs="宋体"/>
                <w:color w:val="auto"/>
                <w:szCs w:val="21"/>
                <w:highlight w:val="yellow"/>
              </w:rPr>
            </w:pPr>
            <w:r>
              <w:rPr>
                <w:rFonts w:hint="eastAsia" w:ascii="宋体" w:hAnsi="宋体" w:eastAsia="宋体" w:cs="宋体"/>
                <w:color w:val="auto"/>
                <w:kern w:val="0"/>
                <w:szCs w:val="21"/>
                <w:highlight w:val="yellow"/>
              </w:rPr>
              <w:t>更换（钢筋砼预制）</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yellow"/>
              </w:rPr>
            </w:pPr>
            <w:r>
              <w:rPr>
                <w:rFonts w:hint="eastAsia" w:ascii="宋体" w:hAnsi="宋体" w:eastAsia="宋体" w:cs="宋体"/>
                <w:color w:val="auto"/>
                <w:kern w:val="0"/>
                <w:szCs w:val="21"/>
                <w:highlight w:val="yellow"/>
              </w:rPr>
              <w:t>块（规格50cm长*宽40cm承重60吨）</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85.00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r>
              <w:rPr>
                <w:rFonts w:hint="eastAsia" w:ascii="宋体" w:hAnsi="宋体" w:eastAsia="宋体" w:cs="宋体"/>
                <w:color w:val="auto"/>
                <w:highlight w:val="yellow"/>
              </w:rPr>
              <w:t>包括材料及人工机械</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yellow"/>
              </w:rPr>
            </w:pPr>
            <w:r>
              <w:rPr>
                <w:rFonts w:hint="eastAsia" w:ascii="宋体" w:hAnsi="宋体" w:eastAsia="宋体" w:cs="宋体"/>
                <w:color w:val="auto"/>
                <w:kern w:val="0"/>
                <w:szCs w:val="21"/>
                <w:highlight w:val="yellow"/>
              </w:rPr>
              <w:t>水篦子更换（铸铁）</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yellow"/>
              </w:rPr>
            </w:pPr>
            <w:r>
              <w:rPr>
                <w:rFonts w:hint="eastAsia" w:ascii="宋体" w:hAnsi="宋体" w:eastAsia="宋体" w:cs="宋体"/>
                <w:color w:val="auto"/>
                <w:kern w:val="0"/>
                <w:szCs w:val="21"/>
                <w:highlight w:val="yellow"/>
              </w:rPr>
              <w:t>块（规格50cm长*宽40cm承重60吨）</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200.00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r>
              <w:rPr>
                <w:rFonts w:hint="eastAsia" w:ascii="宋体" w:hAnsi="宋体" w:eastAsia="宋体" w:cs="宋体"/>
                <w:color w:val="auto"/>
                <w:highlight w:val="yellow"/>
              </w:rPr>
              <w:t>包括材料及人工机械</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yellow"/>
              </w:rPr>
            </w:pPr>
            <w:r>
              <w:rPr>
                <w:rFonts w:hint="eastAsia" w:ascii="宋体" w:hAnsi="宋体" w:eastAsia="宋体" w:cs="宋体"/>
                <w:color w:val="auto"/>
                <w:kern w:val="0"/>
                <w:szCs w:val="21"/>
                <w:highlight w:val="yellow"/>
              </w:rPr>
              <w:t>水篦子更换（复合材料）</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yellow"/>
              </w:rPr>
            </w:pPr>
            <w:r>
              <w:rPr>
                <w:rFonts w:hint="eastAsia" w:ascii="宋体" w:hAnsi="宋体" w:eastAsia="宋体" w:cs="宋体"/>
                <w:color w:val="auto"/>
                <w:kern w:val="0"/>
                <w:szCs w:val="21"/>
                <w:highlight w:val="yellow"/>
              </w:rPr>
              <w:t>块（规格50cm长*宽40cm承重60吨）</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highlight w:val="green"/>
                <w:lang w:val="en-US" w:eastAsia="zh-CN"/>
              </w:rPr>
              <w:t>210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r>
              <w:rPr>
                <w:rFonts w:hint="eastAsia" w:ascii="宋体" w:hAnsi="宋体" w:eastAsia="宋体" w:cs="宋体"/>
                <w:color w:val="auto"/>
                <w:highlight w:val="yellow"/>
              </w:rPr>
              <w:t>包括材料及人工机械</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yellow"/>
              </w:rPr>
            </w:pPr>
            <w:r>
              <w:rPr>
                <w:rFonts w:hint="eastAsia" w:ascii="宋体" w:hAnsi="宋体" w:eastAsia="宋体" w:cs="宋体"/>
                <w:color w:val="auto"/>
                <w:kern w:val="0"/>
                <w:szCs w:val="21"/>
                <w:highlight w:val="yellow"/>
              </w:rPr>
              <w:t>窨井盖更换（铸铁）</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yellow"/>
              </w:rPr>
            </w:pPr>
            <w:r>
              <w:rPr>
                <w:rFonts w:hint="eastAsia" w:ascii="宋体" w:hAnsi="宋体" w:eastAsia="宋体" w:cs="宋体"/>
                <w:color w:val="auto"/>
                <w:kern w:val="0"/>
                <w:szCs w:val="21"/>
                <w:highlight w:val="yellow"/>
              </w:rPr>
              <w:t>套（规格）直径60cm、承重60吨）</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highlight w:val="green"/>
                <w:lang w:val="en-US" w:eastAsia="zh-CN"/>
              </w:rPr>
              <w:t>450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r>
              <w:rPr>
                <w:rFonts w:hint="eastAsia" w:ascii="宋体" w:hAnsi="宋体" w:eastAsia="宋体" w:cs="宋体"/>
                <w:color w:val="auto"/>
                <w:highlight w:val="green"/>
              </w:rPr>
              <w:t>（无尺寸无法确认）</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拆除浆砌块石</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86.46</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拆除水泥混凝土</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332.39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铺设混凝土管（D300）</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highlight w:val="green"/>
              </w:rPr>
              <w:t>92</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二级、承插式</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铺设混凝土管（D600）</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258.65</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二级、承插式</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铺设混凝土管（D800）</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465.57</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二级、承插式</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铺设混凝土管（D1000）</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672.49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二级、承插式</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坡面操作脚手架</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14.10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人工排除裸露危岩</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170.66</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危岩刷坡</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10.04</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主动防护网</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173.05</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钢筋锚杆</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t</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6210.49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锚杆注浆</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594.17</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碎石泄水层</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highlight w:val="green"/>
              </w:rPr>
              <w:t>196</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挡土墙泄水孔（D100）</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个</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26.15</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水泥砂浆勾凸缝（料石）</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14.11</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szCs w:val="21"/>
              </w:rPr>
              <w:t>三</w:t>
            </w:r>
          </w:p>
        </w:tc>
        <w:tc>
          <w:tcPr>
            <w:tcW w:w="1022"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rPr>
              <w:t>路面工程</w:t>
            </w:r>
          </w:p>
        </w:tc>
        <w:tc>
          <w:tcPr>
            <w:tcW w:w="673"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jc w:val="center"/>
              <w:rPr>
                <w:rFonts w:hint="eastAsia" w:ascii="宋体" w:hAnsi="宋体" w:eastAsia="宋体" w:cs="宋体"/>
                <w:b/>
                <w:color w:val="auto"/>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jc w:val="center"/>
              <w:rPr>
                <w:rFonts w:hint="eastAsia" w:ascii="宋体" w:hAnsi="宋体" w:eastAsia="宋体" w:cs="宋体"/>
                <w:b/>
                <w:color w:val="auto"/>
                <w:szCs w:val="21"/>
              </w:rPr>
            </w:pPr>
          </w:p>
        </w:tc>
        <w:tc>
          <w:tcPr>
            <w:tcW w:w="589"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jc w:val="center"/>
              <w:rPr>
                <w:rFonts w:hint="eastAsia" w:ascii="宋体" w:hAnsi="宋体" w:eastAsia="宋体" w:cs="宋体"/>
                <w:b/>
                <w:color w:val="auto"/>
                <w:szCs w:val="21"/>
              </w:rPr>
            </w:pPr>
          </w:p>
        </w:tc>
        <w:tc>
          <w:tcPr>
            <w:tcW w:w="2018"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人工挖除沥青混凝土路面</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rPr>
              <w:t>M</w:t>
            </w:r>
            <w:r>
              <w:rPr>
                <w:rFonts w:hint="eastAsia" w:ascii="宋体" w:hAnsi="宋体" w:eastAsia="宋体" w:cs="宋体"/>
                <w:color w:val="auto"/>
                <w:kern w:val="0"/>
                <w:szCs w:val="21"/>
                <w:lang w:val="en-US" w:eastAsia="zh-CN"/>
              </w:rPr>
              <w:t>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420" w:firstLineChars="200"/>
              <w:jc w:val="both"/>
              <w:textAlignment w:val="center"/>
              <w:rPr>
                <w:rFonts w:hint="eastAsia" w:ascii="宋体" w:hAnsi="宋体" w:eastAsia="宋体" w:cs="宋体"/>
                <w:color w:val="auto"/>
                <w:szCs w:val="21"/>
                <w:highlight w:val="green"/>
                <w:lang w:val="en-US" w:eastAsia="zh-CN"/>
              </w:rPr>
            </w:pPr>
            <w:r>
              <w:rPr>
                <w:rFonts w:hint="eastAsia" w:ascii="宋体" w:hAnsi="宋体" w:eastAsia="宋体" w:cs="宋体"/>
                <w:color w:val="auto"/>
                <w:kern w:val="0"/>
                <w:szCs w:val="21"/>
                <w:highlight w:val="green"/>
                <w:lang w:val="en-US" w:eastAsia="zh-CN"/>
              </w:rPr>
              <w:t>18</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挖除水泥混凝土路面</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rPr>
              <w:t>M</w:t>
            </w:r>
            <w:r>
              <w:rPr>
                <w:rFonts w:hint="eastAsia" w:ascii="宋体" w:hAnsi="宋体" w:eastAsia="宋体" w:cs="宋体"/>
                <w:color w:val="auto"/>
                <w:kern w:val="0"/>
                <w:szCs w:val="21"/>
                <w:lang w:val="en-US" w:eastAsia="zh-CN"/>
              </w:rPr>
              <w:t>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green"/>
                <w:lang w:val="en-US" w:eastAsia="zh-CN"/>
              </w:rPr>
            </w:pPr>
            <w:r>
              <w:rPr>
                <w:rFonts w:hint="eastAsia" w:ascii="宋体" w:hAnsi="宋体" w:eastAsia="宋体" w:cs="宋体"/>
                <w:color w:val="auto"/>
                <w:kern w:val="0"/>
                <w:szCs w:val="21"/>
                <w:highlight w:val="green"/>
                <w:lang w:val="en-US" w:eastAsia="zh-CN"/>
              </w:rPr>
              <w:t>15</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588"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破碎水泥混凝土路面</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green"/>
                <w:lang w:eastAsia="zh-CN"/>
              </w:rPr>
            </w:pPr>
            <w:r>
              <w:rPr>
                <w:rFonts w:hint="eastAsia" w:ascii="宋体" w:hAnsi="宋体" w:eastAsia="宋体" w:cs="宋体"/>
                <w:color w:val="auto"/>
                <w:kern w:val="0"/>
                <w:szCs w:val="21"/>
                <w:highlight w:val="green"/>
                <w:lang w:val="en-US" w:eastAsia="zh-CN"/>
              </w:rPr>
              <w:t>6</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48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沥青混凝土路面层洗刨(5CM以内)</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rPr>
              <w:t>M</w:t>
            </w:r>
            <w:r>
              <w:rPr>
                <w:rFonts w:hint="eastAsia" w:ascii="宋体" w:hAnsi="宋体" w:eastAsia="宋体" w:cs="宋体"/>
                <w:color w:val="auto"/>
                <w:kern w:val="0"/>
                <w:szCs w:val="21"/>
                <w:lang w:val="en-US" w:eastAsia="zh-CN"/>
              </w:rPr>
              <w:t>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green"/>
                <w:lang w:val="en-US" w:eastAsia="zh-CN"/>
              </w:rPr>
            </w:pPr>
            <w:r>
              <w:rPr>
                <w:rFonts w:hint="eastAsia" w:ascii="宋体" w:hAnsi="宋体" w:eastAsia="宋体" w:cs="宋体"/>
                <w:color w:val="auto"/>
                <w:kern w:val="0"/>
                <w:szCs w:val="21"/>
                <w:highlight w:val="green"/>
                <w:lang w:val="en-US" w:eastAsia="zh-CN"/>
              </w:rPr>
              <w:t>13</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挖除水泥稳定碎石基层及底基层</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rPr>
              <w:t>M</w:t>
            </w:r>
            <w:r>
              <w:rPr>
                <w:rFonts w:hint="eastAsia" w:ascii="宋体" w:hAnsi="宋体" w:eastAsia="宋体" w:cs="宋体"/>
                <w:color w:val="auto"/>
                <w:kern w:val="0"/>
                <w:szCs w:val="21"/>
                <w:lang w:val="en-US" w:eastAsia="zh-CN"/>
              </w:rPr>
              <w:t>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green"/>
                <w:lang w:eastAsia="zh-CN"/>
              </w:rPr>
            </w:pPr>
            <w:r>
              <w:rPr>
                <w:rFonts w:hint="eastAsia" w:ascii="宋体" w:hAnsi="宋体" w:eastAsia="宋体" w:cs="宋体"/>
                <w:color w:val="auto"/>
                <w:kern w:val="0"/>
                <w:szCs w:val="21"/>
                <w:highlight w:val="green"/>
                <w:lang w:val="en-US" w:eastAsia="zh-CN"/>
              </w:rPr>
              <w:t>7</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铺筑水泥稳定碎石基层及底基层</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rPr>
              <w:t>M</w:t>
            </w:r>
            <w:r>
              <w:rPr>
                <w:rFonts w:hint="eastAsia" w:ascii="宋体" w:hAnsi="宋体" w:eastAsia="宋体" w:cs="宋体"/>
                <w:color w:val="auto"/>
                <w:kern w:val="0"/>
                <w:szCs w:val="21"/>
                <w:lang w:val="en-US" w:eastAsia="zh-CN"/>
              </w:rPr>
              <w:t>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green"/>
                <w:lang w:val="en-US" w:eastAsia="zh-CN"/>
              </w:rPr>
            </w:pPr>
            <w:r>
              <w:rPr>
                <w:rFonts w:hint="eastAsia" w:ascii="宋体" w:hAnsi="宋体" w:eastAsia="宋体" w:cs="宋体"/>
                <w:color w:val="auto"/>
                <w:kern w:val="0"/>
                <w:szCs w:val="21"/>
                <w:highlight w:val="green"/>
                <w:lang w:val="en-US" w:eastAsia="zh-CN"/>
              </w:rPr>
              <w:t>44</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lang w:val="en-US" w:eastAsia="zh-CN"/>
              </w:rPr>
            </w:pPr>
            <w:r>
              <w:rPr>
                <w:rFonts w:hint="eastAsia" w:ascii="宋体" w:hAnsi="宋体" w:eastAsia="宋体" w:cs="宋体"/>
                <w:color w:val="auto"/>
                <w:szCs w:val="21"/>
                <w:highlight w:val="green"/>
                <w:lang w:val="en-US" w:eastAsia="zh-CN"/>
              </w:rPr>
              <w:t>明确厚度，价格暂按20cm厚</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C15水泥混凝土基层</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rPr>
              <w:t>M</w:t>
            </w:r>
            <w:r>
              <w:rPr>
                <w:rFonts w:hint="eastAsia" w:ascii="宋体" w:hAnsi="宋体" w:eastAsia="宋体" w:cs="宋体"/>
                <w:color w:val="auto"/>
                <w:kern w:val="0"/>
                <w:szCs w:val="21"/>
                <w:lang w:val="en-US" w:eastAsia="zh-CN"/>
              </w:rPr>
              <w:t>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green"/>
                <w:lang w:val="en-US" w:eastAsia="zh-CN"/>
              </w:rPr>
            </w:pPr>
            <w:r>
              <w:rPr>
                <w:rFonts w:hint="eastAsia" w:ascii="宋体" w:hAnsi="宋体" w:eastAsia="宋体" w:cs="宋体"/>
                <w:color w:val="auto"/>
                <w:kern w:val="0"/>
                <w:szCs w:val="21"/>
                <w:highlight w:val="green"/>
                <w:lang w:val="en-US" w:eastAsia="zh-CN"/>
              </w:rPr>
              <w:t>110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r>
              <w:rPr>
                <w:rFonts w:hint="eastAsia" w:ascii="宋体" w:hAnsi="宋体" w:eastAsia="宋体" w:cs="宋体"/>
                <w:color w:val="auto"/>
                <w:szCs w:val="21"/>
                <w:highlight w:val="green"/>
                <w:lang w:val="en-US" w:eastAsia="zh-CN"/>
              </w:rPr>
              <w:t>明确厚度，价格暂按20cm厚</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人工铺筑水泥混凝土路面(C30)</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rPr>
              <w:t>M</w:t>
            </w:r>
            <w:r>
              <w:rPr>
                <w:rFonts w:hint="eastAsia" w:ascii="宋体" w:hAnsi="宋体" w:eastAsia="宋体" w:cs="宋体"/>
                <w:color w:val="auto"/>
                <w:kern w:val="0"/>
                <w:szCs w:val="21"/>
                <w:lang w:val="en-US" w:eastAsia="zh-CN"/>
              </w:rPr>
              <w:t>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green"/>
                <w:lang w:val="en-US" w:eastAsia="zh-CN"/>
              </w:rPr>
            </w:pPr>
            <w:r>
              <w:rPr>
                <w:rFonts w:hint="eastAsia" w:ascii="宋体" w:hAnsi="宋体" w:eastAsia="宋体" w:cs="宋体"/>
                <w:color w:val="auto"/>
                <w:kern w:val="0"/>
                <w:szCs w:val="21"/>
                <w:highlight w:val="green"/>
                <w:lang w:val="en-US" w:eastAsia="zh-CN"/>
              </w:rPr>
              <w:t>120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r>
              <w:rPr>
                <w:rFonts w:hint="eastAsia" w:ascii="宋体" w:hAnsi="宋体" w:eastAsia="宋体" w:cs="宋体"/>
                <w:color w:val="auto"/>
                <w:szCs w:val="21"/>
                <w:highlight w:val="green"/>
                <w:lang w:val="en-US" w:eastAsia="zh-CN"/>
              </w:rPr>
              <w:t>明确厚度，价格暂按20cm厚</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水泥路面修补坑洞(C30)</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rPr>
              <w:t>M</w:t>
            </w:r>
            <w:r>
              <w:rPr>
                <w:rFonts w:hint="eastAsia" w:ascii="宋体" w:hAnsi="宋体" w:eastAsia="宋体" w:cs="宋体"/>
                <w:color w:val="auto"/>
                <w:kern w:val="0"/>
                <w:szCs w:val="21"/>
                <w:lang w:val="en-US" w:eastAsia="zh-CN"/>
              </w:rPr>
              <w:t>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green"/>
                <w:lang w:val="en-US" w:eastAsia="zh-CN"/>
              </w:rPr>
            </w:pPr>
            <w:r>
              <w:rPr>
                <w:rFonts w:hint="eastAsia" w:ascii="宋体" w:hAnsi="宋体" w:eastAsia="宋体" w:cs="宋体"/>
                <w:color w:val="auto"/>
                <w:kern w:val="0"/>
                <w:szCs w:val="21"/>
                <w:highlight w:val="green"/>
                <w:lang w:val="en-US" w:eastAsia="zh-CN"/>
              </w:rPr>
              <w:t>130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沥青砼修补坑槽</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rPr>
              <w:t>M</w:t>
            </w:r>
            <w:r>
              <w:rPr>
                <w:rFonts w:hint="eastAsia" w:ascii="宋体" w:hAnsi="宋体" w:eastAsia="宋体" w:cs="宋体"/>
                <w:color w:val="auto"/>
                <w:kern w:val="0"/>
                <w:szCs w:val="21"/>
                <w:lang w:val="en-US" w:eastAsia="zh-CN"/>
              </w:rPr>
              <w:t>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green"/>
                <w:lang w:val="en-US" w:eastAsia="zh-CN"/>
              </w:rPr>
            </w:pPr>
            <w:r>
              <w:rPr>
                <w:rFonts w:hint="eastAsia" w:ascii="宋体" w:hAnsi="宋体" w:eastAsia="宋体" w:cs="宋体"/>
                <w:color w:val="auto"/>
                <w:kern w:val="0"/>
                <w:szCs w:val="21"/>
                <w:highlight w:val="green"/>
                <w:lang w:val="en-US" w:eastAsia="zh-CN"/>
              </w:rPr>
              <w:t>70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3"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highlight w:val="none"/>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沥青砼修补</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M</w:t>
            </w:r>
            <w:r>
              <w:rPr>
                <w:rFonts w:hint="eastAsia" w:ascii="宋体" w:hAnsi="宋体" w:eastAsia="宋体" w:cs="宋体"/>
                <w:color w:val="auto"/>
                <w:kern w:val="0"/>
                <w:szCs w:val="21"/>
                <w:highlight w:val="none"/>
                <w:lang w:val="en-US" w:eastAsia="zh-CN"/>
              </w:rPr>
              <w:t>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green"/>
                <w:lang w:val="en-US" w:eastAsia="zh-CN"/>
              </w:rPr>
            </w:pPr>
            <w:r>
              <w:rPr>
                <w:rFonts w:hint="eastAsia" w:ascii="宋体" w:hAnsi="宋体" w:eastAsia="宋体" w:cs="宋体"/>
                <w:color w:val="auto"/>
                <w:kern w:val="0"/>
                <w:szCs w:val="21"/>
                <w:highlight w:val="green"/>
                <w:lang w:val="en-US" w:eastAsia="zh-CN"/>
              </w:rPr>
              <w:t>110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两层5+3</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透层油</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6.03</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76"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粘层油</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yellow"/>
                <w:lang w:eastAsia="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highlight w:val="yellow"/>
              </w:rPr>
            </w:pPr>
          </w:p>
        </w:tc>
      </w:tr>
      <w:tr>
        <w:tblPrEx>
          <w:tblCellMar>
            <w:top w:w="0" w:type="dxa"/>
            <w:left w:w="0" w:type="dxa"/>
            <w:bottom w:w="0" w:type="dxa"/>
            <w:right w:w="0" w:type="dxa"/>
          </w:tblCellMar>
        </w:tblPrEx>
        <w:trPr>
          <w:trHeight w:val="331"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人工热沥青灌缝</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1.95</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r>
              <w:rPr>
                <w:rFonts w:hint="eastAsia" w:ascii="宋体" w:hAnsi="宋体" w:eastAsia="宋体" w:cs="宋体"/>
                <w:color w:val="auto"/>
                <w:kern w:val="0"/>
                <w:szCs w:val="21"/>
                <w:highlight w:val="yellow"/>
              </w:rPr>
              <w:t>缝宽和深度</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灌缝机灌缝</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7.19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裂缝快速处理压缝带(3CM)</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5.44</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铺设人行道地砖</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71.73</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土工布摊铺</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8.81</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土工格栅摊铺</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10.72</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微表处（厚2cm）</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22.51</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r>
              <w:rPr>
                <w:rFonts w:hint="eastAsia" w:ascii="宋体" w:hAnsi="宋体" w:eastAsia="宋体" w:cs="宋体"/>
                <w:color w:val="auto"/>
                <w:szCs w:val="21"/>
                <w:highlight w:val="green"/>
              </w:rPr>
              <w:t>无处理厚度</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补铺碎石路面</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green"/>
                <w:lang w:val="en-US" w:eastAsia="zh-CN"/>
              </w:rPr>
              <w:t>36</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10c泥结碎石</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szCs w:val="21"/>
              </w:rPr>
              <w:t>四</w:t>
            </w:r>
          </w:p>
        </w:tc>
        <w:tc>
          <w:tcPr>
            <w:tcW w:w="1022"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rPr>
              <w:t>桥涵工程</w:t>
            </w:r>
          </w:p>
        </w:tc>
        <w:tc>
          <w:tcPr>
            <w:tcW w:w="673"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jc w:val="center"/>
              <w:rPr>
                <w:rFonts w:hint="eastAsia" w:ascii="宋体" w:hAnsi="宋体" w:eastAsia="宋体" w:cs="宋体"/>
                <w:b/>
                <w:color w:val="auto"/>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jc w:val="center"/>
              <w:rPr>
                <w:rFonts w:hint="eastAsia" w:ascii="宋体" w:hAnsi="宋体" w:eastAsia="宋体" w:cs="宋体"/>
                <w:b/>
                <w:color w:val="auto"/>
                <w:szCs w:val="21"/>
              </w:rPr>
            </w:pPr>
          </w:p>
        </w:tc>
        <w:tc>
          <w:tcPr>
            <w:tcW w:w="589"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jc w:val="center"/>
              <w:rPr>
                <w:rFonts w:hint="eastAsia" w:ascii="宋体" w:hAnsi="宋体" w:eastAsia="宋体" w:cs="宋体"/>
                <w:b/>
                <w:color w:val="auto"/>
                <w:szCs w:val="21"/>
              </w:rPr>
            </w:pPr>
          </w:p>
        </w:tc>
        <w:tc>
          <w:tcPr>
            <w:tcW w:w="2018"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伸缩缝两侧混凝土修补</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1426.58</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钢板伸缩缝更换</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833.75</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48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修理、更换钢筋混凝土立柱式桥栏杆</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1290.79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桥面铺装层沥青混凝土修补</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1544.47</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桥面铺装层水泥混凝土修补</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671.29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处理混凝土裂缝封涂密封胶</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33.21</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处理混凝土裂缝灌胶注浆器注入</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161.90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桥面铺装层钢纤维混凝土修补</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1102.92</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更换墙式护栏钢管扶手</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123.99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铅丝笼</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319.50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钢管桥栏杆防锈刷漆</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23.23</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超高强度无机聚合物砂浆修补破损</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8989.44</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粘碳纤维布(300g双层)</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739.29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粘碳纤维布(300g单层)</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441.64</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浆砌青（红）砖</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324.69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水泥砂浆抹面</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17.23</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C30钢筋砼涵洞顶板</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2078.21</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C30砼涵洞台身</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562.21</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GJZ200*42板式橡胶支座更换</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个</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380.26</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空心板梁板顶升</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处</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12234.22</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混凝土表面环氧砂浆修复</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676.22</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满堂刚支架（8米内）</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114.30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防水粘结层</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31.22</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C40防水混凝土</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649.42</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混凝土钢筋</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t</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6578.92</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85"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钻孔植筋φ16</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根</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highlight w:val="green"/>
                <w:lang w:val="en-US" w:eastAsia="zh-CN"/>
              </w:rPr>
              <w:t>19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r>
              <w:rPr>
                <w:rFonts w:hint="eastAsia" w:ascii="宋体" w:hAnsi="宋体" w:eastAsia="宋体" w:cs="宋体"/>
                <w:color w:val="auto"/>
                <w:szCs w:val="21"/>
                <w:highlight w:val="green"/>
              </w:rPr>
              <w:t>长50cm</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钻孔植筋φ12</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根</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highlight w:val="green"/>
                <w:lang w:val="en-US" w:eastAsia="zh-CN"/>
              </w:rPr>
              <w:t>12</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lang w:val="en-US" w:eastAsia="zh-CN"/>
              </w:rPr>
            </w:pPr>
            <w:r>
              <w:rPr>
                <w:rFonts w:hint="eastAsia" w:ascii="宋体" w:hAnsi="宋体" w:eastAsia="宋体" w:cs="宋体"/>
                <w:color w:val="auto"/>
                <w:szCs w:val="21"/>
                <w:highlight w:val="green"/>
              </w:rPr>
              <w:t>长50cm</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预制安装空心板</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2587.84</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钢结构除锈刷漆</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27.88</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围堰</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234.68</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基坑排水</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0.50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基坑挖方</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29.62</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隧道侧墙刷漆</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19.74</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喷射水泥砂浆</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68.71</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highlight w:val="green"/>
              </w:rPr>
              <w:t>5cm</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条石表面风化层清理</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7.10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szCs w:val="21"/>
              </w:rPr>
              <w:t>五</w:t>
            </w:r>
          </w:p>
        </w:tc>
        <w:tc>
          <w:tcPr>
            <w:tcW w:w="1022"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rPr>
              <w:t>公路沿线设施及绿化</w:t>
            </w:r>
          </w:p>
        </w:tc>
        <w:tc>
          <w:tcPr>
            <w:tcW w:w="673"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jc w:val="center"/>
              <w:rPr>
                <w:rFonts w:hint="eastAsia" w:ascii="宋体" w:hAnsi="宋体" w:eastAsia="宋体" w:cs="宋体"/>
                <w:b/>
                <w:color w:val="auto"/>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jc w:val="center"/>
              <w:rPr>
                <w:rFonts w:hint="eastAsia" w:ascii="宋体" w:hAnsi="宋体" w:eastAsia="宋体" w:cs="宋体"/>
                <w:b/>
                <w:color w:val="auto"/>
                <w:szCs w:val="21"/>
              </w:rPr>
            </w:pPr>
          </w:p>
        </w:tc>
        <w:tc>
          <w:tcPr>
            <w:tcW w:w="589"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center"/>
          </w:tcPr>
          <w:p>
            <w:pPr>
              <w:jc w:val="center"/>
              <w:rPr>
                <w:rFonts w:hint="eastAsia" w:ascii="宋体" w:hAnsi="宋体" w:eastAsia="宋体" w:cs="宋体"/>
                <w:b/>
                <w:color w:val="auto"/>
                <w:szCs w:val="21"/>
              </w:rPr>
            </w:pPr>
          </w:p>
        </w:tc>
        <w:tc>
          <w:tcPr>
            <w:tcW w:w="2018" w:type="pct"/>
            <w:tcBorders>
              <w:top w:val="single" w:color="000000" w:sz="4" w:space="0"/>
              <w:left w:val="single" w:color="000000" w:sz="4" w:space="0"/>
              <w:bottom w:val="single" w:color="000000" w:sz="4" w:space="0"/>
              <w:right w:val="single" w:color="000000" w:sz="4" w:space="0"/>
            </w:tcBorders>
            <w:shd w:val="clear" w:color="auto" w:fill="DBDBDB"/>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柱式轮廓标、警示桩</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根</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101.48</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附着式轮廓标</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块</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6.35</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里程碑更换</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块</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150.59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百米桩更换</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块</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19.19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48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热熔标线水泥混凝土路面(2MM以上)</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37.25</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热熔标线沥青路面(2MM以上)</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36.60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热熔震荡标线(5MM以上)</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91.51</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更换、安装铸钢减速带</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264.15</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更换、安装橡胶减速带</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151.86</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波形钢板护栏砼基础</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604.89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波型钢板护栏钢管柱拆除</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根</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21.83</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波型钢板护栏钢管柱埋设(A级)</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根</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198.02</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波型钢板护栏端头柱打入(A级)</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根</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262.99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波型钢板拆除</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6.75</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波型钢板安装(A级)</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141.26</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波型钢板护栏钢管柱打入(B级)</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根</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175.33</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波型钢板安装(B级)</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132.70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缆索护栏基础</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highlight w:val="green"/>
              </w:rPr>
              <w:t>502</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缆索护栏钢管立柱拆除</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根</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22.68</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缆索护栏钢管端头拆除</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根</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68.03</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缆索护栏钢管立柱埋设(A级)</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根</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306.73</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缆索护栏钢管端头柱埋设(A级)</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根</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1150.24</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缆索护栏缆索拆除</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0.06</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缆索护栏缆索安装</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8.67</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48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单柱式标志牌(S&lt;1m2,Ф89mm)安装</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套</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741.71</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小型标志(圆牌、三角牌、八角牌)</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个</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282.81</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r>
              <w:rPr>
                <w:rFonts w:hint="eastAsia" w:ascii="宋体" w:hAnsi="宋体" w:eastAsia="宋体" w:cs="宋体"/>
                <w:color w:val="auto"/>
                <w:szCs w:val="21"/>
              </w:rPr>
              <w:t>（直径60cm）</w:t>
            </w: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金属标志牌基础</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542.00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金属标志牌基础钢筋</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t</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6772.38</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金属标志结构件</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t</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6900.63</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铝合金标志面板</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t</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49941.45</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钢板标志面板</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t</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20057.54</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反光凸面镜</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套</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562.54</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防撞桶</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个</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194.77</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油漆百米桩</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块</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5.02</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油漆里程碑</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块</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12.14</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油漆墙式护栏</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26.10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防护设施表面反光膜</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252.51</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维修墙式护栏</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830.69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隧道矩形反光标</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个</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15.96</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粉刷行道树</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株</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1.81</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yellow"/>
              </w:rPr>
            </w:pPr>
            <w:r>
              <w:rPr>
                <w:rFonts w:hint="eastAsia" w:ascii="宋体" w:hAnsi="宋体" w:eastAsia="宋体" w:cs="宋体"/>
                <w:color w:val="auto"/>
                <w:kern w:val="0"/>
                <w:szCs w:val="21"/>
              </w:rPr>
              <w:t>行道树砍伐</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yellow"/>
              </w:rPr>
            </w:pPr>
            <w:r>
              <w:rPr>
                <w:rFonts w:hint="eastAsia" w:ascii="宋体" w:hAnsi="宋体" w:eastAsia="宋体" w:cs="宋体"/>
                <w:color w:val="auto"/>
                <w:kern w:val="0"/>
                <w:szCs w:val="21"/>
              </w:rPr>
              <w:t>株</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yellow"/>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yellow"/>
              </w:rPr>
            </w:pPr>
            <w:r>
              <w:rPr>
                <w:rFonts w:hint="eastAsia" w:ascii="宋体" w:hAnsi="宋体" w:eastAsia="宋体" w:cs="宋体"/>
                <w:color w:val="auto"/>
                <w:kern w:val="0"/>
                <w:szCs w:val="21"/>
              </w:rPr>
              <w:t>75.68</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补植绿化带灌木(高度40CM至60CM)</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株</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34.64</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48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修剪绿化带灌木</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0.66</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3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修剪草坪</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0.40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栽植草皮</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highlight w:val="green"/>
                <w:lang w:val="en-US" w:eastAsia="zh-CN"/>
              </w:rPr>
              <w:t>18</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散播草坪</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highlight w:val="green"/>
                <w:lang w:val="en-US" w:eastAsia="zh-CN"/>
              </w:rPr>
              <w:t>5</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绿化用地培土</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m3</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30.03</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绿化用地整理</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m2</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2.00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车道封闭维修第一个100m</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3182.50</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车道封闭维修每增加50m</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217.19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路肩封闭维修第一个100m</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2218.77</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路肩封闭维修每增加50m</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m</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217.19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电线杆拆除 ≤15(m)</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根</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198.81</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rPr>
            </w:pPr>
          </w:p>
        </w:tc>
      </w:tr>
      <w:tr>
        <w:tblPrEx>
          <w:tblCellMar>
            <w:top w:w="0" w:type="dxa"/>
            <w:left w:w="0" w:type="dxa"/>
            <w:bottom w:w="0" w:type="dxa"/>
            <w:right w:w="0" w:type="dxa"/>
          </w:tblCellMar>
        </w:tblPrEx>
        <w:trPr>
          <w:trHeight w:val="300" w:hRule="atLeast"/>
          <w:jc w:val="center"/>
        </w:trPr>
        <w:tc>
          <w:tcPr>
            <w:tcW w:w="2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9"/>
              </w:numPr>
              <w:jc w:val="center"/>
              <w:textAlignment w:val="center"/>
              <w:rPr>
                <w:rFonts w:hint="eastAsia" w:ascii="宋体" w:hAnsi="宋体" w:eastAsia="宋体" w:cs="宋体"/>
                <w:color w:val="auto"/>
                <w:szCs w:val="21"/>
              </w:rPr>
            </w:pPr>
          </w:p>
        </w:tc>
        <w:tc>
          <w:tcPr>
            <w:tcW w:w="10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电线杆安装 ≤15(m)</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根</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1.000</w:t>
            </w:r>
          </w:p>
        </w:tc>
        <w:tc>
          <w:tcPr>
            <w:tcW w:w="5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281.69</w:t>
            </w:r>
          </w:p>
        </w:tc>
        <w:tc>
          <w:tcPr>
            <w:tcW w:w="20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利用原拆除电杆安装</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b/>
          <w:bCs/>
          <w:color w:val="auto"/>
          <w:sz w:val="24"/>
          <w:lang w:val="en-US" w:eastAsia="zh-CN"/>
        </w:rPr>
      </w:pPr>
      <w:r>
        <w:rPr>
          <w:rFonts w:hint="eastAsia" w:ascii="宋体" w:hAnsi="宋体" w:eastAsia="宋体" w:cs="宋体"/>
          <w:color w:val="auto"/>
          <w:sz w:val="24"/>
          <w:szCs w:val="32"/>
        </w:rPr>
        <w:t>注：本清单未明确的项目技术要求，按</w:t>
      </w:r>
      <w:r>
        <w:rPr>
          <w:rFonts w:hint="eastAsia" w:ascii="宋体" w:hAnsi="宋体" w:eastAsia="宋体" w:cs="宋体"/>
          <w:color w:val="auto"/>
          <w:sz w:val="24"/>
          <w:szCs w:val="32"/>
          <w:highlight w:val="none"/>
        </w:rPr>
        <w:t>照成都</w:t>
      </w:r>
      <w:r>
        <w:rPr>
          <w:rFonts w:hint="eastAsia" w:ascii="宋体" w:hAnsi="宋体" w:eastAsia="宋体" w:cs="宋体"/>
          <w:color w:val="auto"/>
          <w:sz w:val="24"/>
          <w:szCs w:val="32"/>
          <w:highlight w:val="none"/>
          <w:lang w:eastAsia="zh-CN"/>
        </w:rPr>
        <w:t>东部新区</w:t>
      </w:r>
      <w:r>
        <w:rPr>
          <w:rFonts w:hint="eastAsia" w:ascii="宋体" w:hAnsi="宋体" w:eastAsia="宋体" w:cs="宋体"/>
          <w:color w:val="auto"/>
          <w:sz w:val="24"/>
          <w:szCs w:val="32"/>
          <w:highlight w:val="none"/>
        </w:rPr>
        <w:t>建筑、交通监管部门相</w:t>
      </w:r>
      <w:r>
        <w:rPr>
          <w:rFonts w:hint="eastAsia" w:ascii="宋体" w:hAnsi="宋体" w:eastAsia="宋体" w:cs="宋体"/>
          <w:color w:val="auto"/>
          <w:sz w:val="24"/>
          <w:szCs w:val="32"/>
        </w:rPr>
        <w:t>关行业规范执行。综合单价限价均参照本服务清单，该清单只列举项和限价，</w:t>
      </w:r>
      <w:r>
        <w:rPr>
          <w:rFonts w:hint="eastAsia" w:ascii="宋体" w:hAnsi="宋体" w:eastAsia="宋体" w:cs="宋体"/>
          <w:b/>
          <w:bCs/>
          <w:color w:val="auto"/>
          <w:sz w:val="24"/>
          <w:szCs w:val="32"/>
        </w:rPr>
        <w:t>采购人所需服务及实际工程量按现场实际情况确定，不代表所有项目都会实施</w:t>
      </w:r>
      <w:r>
        <w:rPr>
          <w:rFonts w:hint="eastAsia" w:ascii="宋体" w:hAnsi="宋体" w:eastAsia="宋体" w:cs="宋体"/>
          <w:b/>
          <w:bCs/>
          <w:color w:val="auto"/>
          <w:sz w:val="24"/>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color w:val="auto"/>
          <w:sz w:val="24"/>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三、</w:t>
      </w:r>
      <w:r>
        <w:rPr>
          <w:rFonts w:hint="eastAsia" w:ascii="宋体" w:hAnsi="宋体" w:eastAsia="宋体" w:cs="宋体"/>
          <w:b/>
          <w:bCs/>
          <w:color w:val="auto"/>
          <w:sz w:val="24"/>
        </w:rPr>
        <w:t>★</w:t>
      </w:r>
      <w:r>
        <w:rPr>
          <w:rFonts w:hint="eastAsia" w:ascii="宋体" w:hAnsi="宋体" w:eastAsia="宋体" w:cs="宋体"/>
          <w:b/>
          <w:bCs/>
          <w:color w:val="auto"/>
          <w:sz w:val="24"/>
          <w:szCs w:val="32"/>
          <w:highlight w:val="none"/>
          <w:lang w:val="en-US" w:eastAsia="zh-CN"/>
        </w:rPr>
        <w:t>商务要求：</w:t>
      </w:r>
    </w:p>
    <w:p>
      <w:pPr>
        <w:pageBreakBefore w:val="0"/>
        <w:widowControl w:val="0"/>
        <w:tabs>
          <w:tab w:val="left" w:pos="7665"/>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1.服务期限：合同签订生效后一年</w:t>
      </w:r>
      <w:r>
        <w:rPr>
          <w:rFonts w:hint="eastAsia" w:ascii="宋体" w:hAnsi="宋体" w:eastAsia="宋体" w:cs="宋体"/>
          <w:color w:val="auto"/>
          <w:sz w:val="24"/>
          <w:highlight w:val="none"/>
          <w:lang w:val="en-US" w:eastAsia="zh-CN"/>
        </w:rPr>
        <w:t>,如果服务周期未到，维修经费预算即将用完（注：余额不足10万元），采购人有权终止维修服务合同；如果服务期限到期，维修经费预算未用完，则按实际产生的维修工程量据实结算和支付。</w:t>
      </w:r>
      <w:r>
        <w:rPr>
          <w:rFonts w:hint="eastAsia" w:ascii="宋体" w:hAnsi="宋体" w:eastAsia="宋体" w:cs="宋体"/>
          <w:color w:val="auto"/>
          <w:sz w:val="24"/>
          <w:highlight w:val="none"/>
        </w:rPr>
        <w:t>合同期内成交人无条件</w:t>
      </w:r>
      <w:r>
        <w:rPr>
          <w:rFonts w:hint="eastAsia" w:ascii="宋体" w:hAnsi="宋体" w:eastAsia="宋体" w:cs="宋体"/>
          <w:color w:val="auto"/>
          <w:sz w:val="24"/>
          <w:highlight w:val="none"/>
          <w:lang w:eastAsia="zh-CN"/>
        </w:rPr>
        <w:t>接受</w:t>
      </w:r>
      <w:r>
        <w:rPr>
          <w:rFonts w:hint="eastAsia" w:ascii="宋体" w:hAnsi="宋体" w:eastAsia="宋体" w:cs="宋体"/>
          <w:color w:val="auto"/>
          <w:sz w:val="24"/>
          <w:szCs w:val="24"/>
          <w:highlight w:val="none"/>
          <w:lang w:val="en-US" w:eastAsia="zh-CN"/>
        </w:rPr>
        <w:t>成都东部新区石盘街道办事处</w:t>
      </w:r>
      <w:r>
        <w:rPr>
          <w:rFonts w:hint="eastAsia" w:ascii="宋体" w:hAnsi="宋体" w:eastAsia="宋体" w:cs="宋体"/>
          <w:color w:val="auto"/>
          <w:sz w:val="24"/>
          <w:highlight w:val="none"/>
        </w:rPr>
        <w:t>的监督考评。如因国家政策原因引起的变化，成交人应无条件接受合同终止、重新采购等情况且采购人不承担任何责任。</w:t>
      </w:r>
    </w:p>
    <w:p>
      <w:pPr>
        <w:pageBreakBefore w:val="0"/>
        <w:widowControl w:val="0"/>
        <w:tabs>
          <w:tab w:val="left" w:pos="7665"/>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2.服务地点：</w:t>
      </w:r>
      <w:r>
        <w:rPr>
          <w:rFonts w:hint="eastAsia" w:ascii="宋体" w:hAnsi="宋体" w:eastAsia="宋体" w:cs="宋体"/>
          <w:color w:val="auto"/>
          <w:sz w:val="24"/>
          <w:szCs w:val="24"/>
          <w:highlight w:val="none"/>
          <w:lang w:val="en-US" w:eastAsia="zh-CN"/>
        </w:rPr>
        <w:t>成都东部新区石盘街道办事处</w:t>
      </w:r>
      <w:r>
        <w:rPr>
          <w:rFonts w:hint="eastAsia" w:ascii="宋体" w:hAnsi="宋体" w:eastAsia="宋体" w:cs="宋体"/>
          <w:color w:val="auto"/>
          <w:sz w:val="24"/>
          <w:highlight w:val="none"/>
        </w:rPr>
        <w:t>（采购人指定地点）。</w:t>
      </w:r>
    </w:p>
    <w:p>
      <w:pPr>
        <w:pageBreakBefore w:val="0"/>
        <w:widowControl w:val="0"/>
        <w:tabs>
          <w:tab w:val="left" w:pos="7665"/>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t>3.付款方式：按季度支付</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采购人于服务期满一季度后</w:t>
      </w:r>
      <w:r>
        <w:rPr>
          <w:rFonts w:hint="eastAsia" w:ascii="宋体" w:hAnsi="宋体" w:eastAsia="宋体" w:cs="宋体"/>
          <w:b w:val="0"/>
          <w:bCs/>
          <w:color w:val="auto"/>
          <w:sz w:val="24"/>
          <w:highlight w:val="none"/>
          <w:lang w:val="en-US" w:eastAsia="zh-CN"/>
        </w:rPr>
        <w:t>10个工作日内</w:t>
      </w:r>
      <w:r>
        <w:rPr>
          <w:rFonts w:hint="eastAsia" w:ascii="宋体" w:hAnsi="宋体" w:eastAsia="宋体" w:cs="宋体"/>
          <w:b w:val="0"/>
          <w:bCs/>
          <w:color w:val="auto"/>
          <w:sz w:val="24"/>
          <w:highlight w:val="none"/>
          <w:lang w:eastAsia="zh-CN"/>
        </w:rPr>
        <w:t>按实际服务量支付上一季度服务费用）</w:t>
      </w:r>
    </w:p>
    <w:p>
      <w:pPr>
        <w:pStyle w:val="7"/>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4.报价要求：</w:t>
      </w:r>
    </w:p>
    <w:p>
      <w:pPr>
        <w:pStyle w:val="2"/>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）本项目报价方式采用统一折扣率报价，报价为百分比报价，四舍五入至小数点后两位，即（</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w:t>
      </w:r>
      <w:r>
        <w:rPr>
          <w:rFonts w:hint="eastAsia" w:ascii="宋体" w:hAnsi="宋体" w:eastAsia="宋体" w:cs="宋体"/>
          <w:b/>
          <w:bCs/>
          <w:color w:val="auto"/>
          <w:sz w:val="24"/>
          <w:szCs w:val="24"/>
          <w:lang w:val="zh-CN"/>
        </w:rPr>
        <w:t>本次项目以实际结算工程量*单价最高限价*折扣率作为结算依据。</w:t>
      </w:r>
      <w:r>
        <w:rPr>
          <w:rFonts w:hint="eastAsia" w:ascii="宋体" w:hAnsi="宋体" w:eastAsia="宋体" w:cs="宋体"/>
          <w:color w:val="auto"/>
          <w:sz w:val="24"/>
          <w:szCs w:val="24"/>
        </w:rPr>
        <w:t>折扣率报价不得高于100.00%，否则视作超过最高限价。单价最高限价见服务清单。（注：折扣率100.00%，即报价等于单价最高限价；折扣率90.55%，即报价为单价最高限价*90.55%，以此类推）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（2）本次项目报价为包含措施费、规费、管理费、税金等所有费用的综合报价；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（3）工程量确定方式：本项目为采购人根据需求及财政预算而下达任务书的采购项目，由采购人在财政预算范围内，按实际现场收方量确定；</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b/>
          <w:bCs/>
          <w:color w:val="auto"/>
          <w:sz w:val="24"/>
        </w:rPr>
      </w:pPr>
      <w:r>
        <w:rPr>
          <w:rFonts w:hint="eastAsia" w:ascii="宋体" w:hAnsi="宋体" w:eastAsia="宋体" w:cs="宋体"/>
          <w:color w:val="auto"/>
          <w:sz w:val="24"/>
          <w:szCs w:val="24"/>
        </w:rPr>
        <w:t>（4）服务清单中对应的服务范围由采购人现场确定，合同执行期间所有单项控制价清单中的“工程或费用名称”的结算价格均以各单项控制价乘以折扣率为准，未在单项控制价清单中列明的除外。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5.履约验收方式：按国家有关规定以及本项目磋商文件的质量要求和技术指标或者成交单位的响应文件及承诺等进行验收</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b/>
          <w:bCs/>
          <w:color w:val="auto"/>
          <w:sz w:val="24"/>
        </w:rPr>
      </w:pPr>
    </w:p>
    <w:p>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b/>
          <w:bCs/>
          <w:color w:val="auto"/>
          <w:sz w:val="24"/>
        </w:rPr>
        <w:t>备注：本次采购以上述参数和要求为准，若上述参数和要求中表述不完整的，投标人自行踏勘，必须在</w:t>
      </w:r>
      <w:r>
        <w:rPr>
          <w:rFonts w:hint="eastAsia" w:ascii="宋体" w:hAnsi="宋体" w:eastAsia="宋体" w:cs="宋体"/>
          <w:b/>
          <w:bCs/>
          <w:color w:val="auto"/>
          <w:sz w:val="24"/>
          <w:lang w:eastAsia="zh-CN"/>
        </w:rPr>
        <w:t>响应</w:t>
      </w:r>
      <w:r>
        <w:rPr>
          <w:rFonts w:hint="eastAsia" w:ascii="宋体" w:hAnsi="宋体" w:eastAsia="宋体" w:cs="宋体"/>
          <w:b/>
          <w:bCs/>
          <w:color w:val="auto"/>
          <w:sz w:val="24"/>
        </w:rPr>
        <w:t>文件中补充完整（否则可能导致扣分），但必须符合国家的相关要求；如参数中涉及有名称、品牌和规格的为参考名称、品牌和规格，其他能够达到同等参数和要求的其他产品均可参加，带★号参数和要求不得有负偏离。</w:t>
      </w:r>
    </w:p>
    <w:p>
      <w:pPr>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宋体" w:hAnsi="宋体" w:eastAsia="宋体" w:cs="宋体"/>
          <w:b/>
          <w:color w:val="auto"/>
          <w:sz w:val="24"/>
        </w:rPr>
      </w:pPr>
    </w:p>
    <w:p>
      <w:pPr>
        <w:rPr>
          <w:rFonts w:hint="eastAsia" w:ascii="宋体" w:hAnsi="宋体" w:eastAsia="宋体" w:cs="宋体"/>
          <w:b/>
          <w:color w:val="auto"/>
          <w:sz w:val="24"/>
        </w:rPr>
      </w:pPr>
      <w:r>
        <w:rPr>
          <w:rFonts w:hint="eastAsia" w:ascii="宋体" w:hAnsi="宋体" w:eastAsia="宋体" w:cs="宋体"/>
          <w:b/>
          <w:color w:val="auto"/>
          <w:sz w:val="24"/>
        </w:rPr>
        <w:br w:type="page"/>
      </w:r>
    </w:p>
    <w:bookmarkEnd w:id="124"/>
    <w:p>
      <w:pPr>
        <w:pStyle w:val="3"/>
        <w:numPr>
          <w:ilvl w:val="0"/>
          <w:numId w:val="10"/>
        </w:numPr>
        <w:spacing w:before="0" w:after="0" w:line="360" w:lineRule="auto"/>
        <w:jc w:val="center"/>
        <w:rPr>
          <w:rFonts w:hint="eastAsia" w:ascii="宋体" w:hAnsi="宋体" w:eastAsia="宋体" w:cs="宋体"/>
          <w:color w:val="auto"/>
          <w:highlight w:val="none"/>
        </w:rPr>
      </w:pPr>
      <w:bookmarkStart w:id="125" w:name="_Toc11441"/>
      <w:bookmarkStart w:id="126" w:name="_Toc11167"/>
      <w:r>
        <w:rPr>
          <w:rFonts w:hint="eastAsia" w:ascii="宋体" w:hAnsi="宋体" w:eastAsia="宋体" w:cs="宋体"/>
          <w:color w:val="auto"/>
          <w:highlight w:val="none"/>
          <w:lang w:val="en-US" w:eastAsia="zh-CN"/>
        </w:rPr>
        <w:t xml:space="preserve"> </w:t>
      </w:r>
      <w:bookmarkStart w:id="127" w:name="_Toc30215"/>
      <w:r>
        <w:rPr>
          <w:rFonts w:hint="eastAsia" w:ascii="宋体" w:hAnsi="宋体" w:eastAsia="宋体" w:cs="宋体"/>
          <w:color w:val="auto"/>
          <w:highlight w:val="none"/>
        </w:rPr>
        <w:t>磋商内容、磋商过程中可实质性变动的内容</w:t>
      </w:r>
      <w:bookmarkEnd w:id="125"/>
      <w:bookmarkEnd w:id="126"/>
      <w:bookmarkEnd w:id="127"/>
    </w:p>
    <w:p>
      <w:pPr>
        <w:pStyle w:val="2"/>
        <w:spacing w:line="480" w:lineRule="auto"/>
        <w:ind w:firstLine="480" w:firstLineChars="200"/>
        <w:rPr>
          <w:rFonts w:hint="eastAsia" w:ascii="宋体" w:hAnsi="宋体" w:eastAsia="宋体" w:cs="宋体"/>
          <w:color w:val="auto"/>
          <w:sz w:val="24"/>
          <w:szCs w:val="32"/>
          <w:highlight w:val="none"/>
        </w:rPr>
      </w:pPr>
    </w:p>
    <w:p>
      <w:pPr>
        <w:pStyle w:val="2"/>
        <w:spacing w:line="48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32"/>
          <w:highlight w:val="none"/>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ind w:firstLine="360" w:firstLineChars="150"/>
        <w:rPr>
          <w:rFonts w:hint="eastAsia" w:ascii="宋体" w:hAnsi="宋体" w:eastAsia="宋体" w:cs="宋体"/>
          <w:color w:val="auto"/>
          <w:sz w:val="24"/>
        </w:rPr>
      </w:pPr>
    </w:p>
    <w:p>
      <w:pPr>
        <w:rPr>
          <w:rFonts w:hint="eastAsia" w:ascii="宋体" w:hAnsi="宋体" w:eastAsia="宋体" w:cs="宋体"/>
          <w:color w:val="auto"/>
          <w:lang w:val="en-US" w:eastAsia="zh-CN"/>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tabs>
          <w:tab w:val="left" w:pos="7665"/>
        </w:tabs>
        <w:spacing w:line="400" w:lineRule="exact"/>
        <w:ind w:firstLine="480"/>
        <w:rPr>
          <w:rFonts w:hint="eastAsia" w:ascii="宋体" w:hAnsi="宋体" w:eastAsia="宋体" w:cs="宋体"/>
          <w:bCs/>
          <w:color w:val="auto"/>
          <w:sz w:val="24"/>
        </w:rPr>
      </w:pPr>
    </w:p>
    <w:p>
      <w:pPr>
        <w:tabs>
          <w:tab w:val="left" w:pos="7665"/>
        </w:tabs>
        <w:spacing w:line="400" w:lineRule="exact"/>
        <w:ind w:firstLine="480"/>
        <w:rPr>
          <w:rFonts w:hint="eastAsia" w:ascii="宋体" w:hAnsi="宋体" w:eastAsia="宋体" w:cs="宋体"/>
          <w:bCs/>
          <w:color w:val="auto"/>
          <w:sz w:val="24"/>
        </w:rPr>
      </w:pPr>
    </w:p>
    <w:p>
      <w:pPr>
        <w:tabs>
          <w:tab w:val="left" w:pos="7665"/>
        </w:tabs>
        <w:spacing w:line="400" w:lineRule="exact"/>
        <w:ind w:firstLine="480"/>
        <w:rPr>
          <w:rFonts w:hint="eastAsia" w:ascii="宋体" w:hAnsi="宋体" w:eastAsia="宋体" w:cs="宋体"/>
          <w:bCs/>
          <w:color w:val="auto"/>
          <w:sz w:val="24"/>
        </w:rPr>
      </w:pPr>
    </w:p>
    <w:p>
      <w:pPr>
        <w:tabs>
          <w:tab w:val="left" w:pos="7665"/>
        </w:tabs>
        <w:ind w:firstLine="482"/>
        <w:jc w:val="center"/>
        <w:outlineLvl w:val="0"/>
        <w:rPr>
          <w:rStyle w:val="24"/>
          <w:rFonts w:hint="eastAsia" w:ascii="宋体" w:hAnsi="宋体" w:eastAsia="宋体" w:cs="宋体"/>
          <w:color w:val="auto"/>
        </w:rPr>
      </w:pPr>
      <w:r>
        <w:rPr>
          <w:rFonts w:hint="eastAsia" w:ascii="宋体" w:hAnsi="宋体" w:eastAsia="宋体" w:cs="宋体"/>
          <w:bCs/>
          <w:color w:val="auto"/>
          <w:sz w:val="24"/>
        </w:rPr>
        <w:br w:type="page"/>
      </w:r>
      <w:bookmarkStart w:id="128" w:name="_Toc12126"/>
      <w:bookmarkStart w:id="129" w:name="_Toc10873"/>
      <w:r>
        <w:rPr>
          <w:rStyle w:val="24"/>
          <w:rFonts w:hint="eastAsia" w:ascii="宋体" w:hAnsi="宋体" w:eastAsia="宋体" w:cs="宋体"/>
          <w:color w:val="auto"/>
        </w:rPr>
        <w:t>第七章  响应文件格式</w:t>
      </w:r>
      <w:bookmarkEnd w:id="128"/>
      <w:bookmarkEnd w:id="129"/>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480" w:lineRule="auto"/>
        <w:jc w:val="left"/>
        <w:rPr>
          <w:rFonts w:hint="eastAsia" w:ascii="宋体" w:hAnsi="宋体" w:eastAsia="宋体" w:cs="宋体"/>
          <w:color w:val="auto"/>
          <w:sz w:val="24"/>
        </w:rPr>
      </w:pPr>
      <w:r>
        <w:rPr>
          <w:rFonts w:hint="eastAsia" w:ascii="宋体" w:hAnsi="宋体" w:eastAsia="宋体" w:cs="宋体"/>
          <w:color w:val="auto"/>
          <w:sz w:val="24"/>
        </w:rPr>
        <w:t xml:space="preserve">    二、本章所制响应文件格式有关表格中的备注栏，由供应商根据自身响应情况作解释性说明，不作为必填项。</w:t>
      </w: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outlineLvl w:val="1"/>
        <w:rPr>
          <w:rFonts w:hint="eastAsia" w:ascii="宋体" w:hAnsi="宋体" w:eastAsia="宋体" w:cs="宋体"/>
          <w:b/>
          <w:color w:val="auto"/>
          <w:sz w:val="32"/>
          <w:szCs w:val="32"/>
        </w:rPr>
        <w:sectPr>
          <w:footerReference r:id="rId6" w:type="first"/>
          <w:headerReference r:id="rId4" w:type="default"/>
          <w:footerReference r:id="rId5" w:type="default"/>
          <w:pgSz w:w="11850" w:h="16783"/>
          <w:pgMar w:top="1440" w:right="1800" w:bottom="1440" w:left="1800" w:header="851" w:footer="992" w:gutter="0"/>
          <w:pgNumType w:start="1"/>
          <w:cols w:space="720" w:num="1"/>
          <w:docGrid w:type="linesAndChars" w:linePitch="312" w:charSpace="0"/>
        </w:sectPr>
      </w:pPr>
    </w:p>
    <w:p>
      <w:pPr>
        <w:keepNext/>
        <w:keepLines/>
        <w:tabs>
          <w:tab w:val="left" w:pos="1152"/>
          <w:tab w:val="center" w:pos="4507"/>
        </w:tabs>
        <w:spacing w:before="260" w:after="260" w:line="413" w:lineRule="auto"/>
        <w:ind w:firstLine="643" w:firstLineChars="200"/>
        <w:jc w:val="center"/>
        <w:outlineLvl w:val="1"/>
        <w:rPr>
          <w:rFonts w:hint="eastAsia" w:ascii="宋体" w:hAnsi="宋体" w:eastAsia="宋体" w:cs="宋体"/>
          <w:b/>
          <w:bCs/>
          <w:color w:val="auto"/>
          <w:sz w:val="32"/>
          <w:szCs w:val="32"/>
        </w:rPr>
      </w:pPr>
      <w:bookmarkStart w:id="130" w:name="_Toc19040"/>
      <w:bookmarkStart w:id="131" w:name="_Toc11334"/>
      <w:bookmarkStart w:id="132" w:name="_Toc5603"/>
      <w:bookmarkStart w:id="133" w:name="_Toc15486"/>
      <w:bookmarkStart w:id="134" w:name="_Toc13692"/>
      <w:bookmarkStart w:id="135" w:name="_Toc10852"/>
      <w:r>
        <w:rPr>
          <w:rFonts w:hint="eastAsia" w:ascii="宋体" w:hAnsi="宋体" w:eastAsia="宋体" w:cs="宋体"/>
          <w:b/>
          <w:bCs/>
          <w:color w:val="auto"/>
          <w:sz w:val="32"/>
          <w:szCs w:val="32"/>
        </w:rPr>
        <w:t>第一部分     资格性响应文件</w:t>
      </w:r>
      <w:bookmarkEnd w:id="130"/>
      <w:bookmarkEnd w:id="131"/>
      <w:bookmarkEnd w:id="132"/>
    </w:p>
    <w:p>
      <w:pPr>
        <w:widowControl/>
        <w:ind w:firstLine="480"/>
        <w:jc w:val="center"/>
        <w:rPr>
          <w:rFonts w:hint="eastAsia" w:ascii="宋体" w:hAnsi="宋体" w:eastAsia="宋体" w:cs="宋体"/>
          <w:color w:val="auto"/>
          <w:sz w:val="30"/>
          <w:szCs w:val="30"/>
        </w:rPr>
      </w:pPr>
      <w:r>
        <w:rPr>
          <w:rFonts w:hint="eastAsia" w:ascii="宋体" w:hAnsi="宋体" w:eastAsia="宋体" w:cs="宋体"/>
          <w:color w:val="auto"/>
          <w:sz w:val="30"/>
          <w:szCs w:val="30"/>
        </w:rPr>
        <w:t>封   面</w:t>
      </w:r>
    </w:p>
    <w:p>
      <w:pPr>
        <w:widowControl/>
        <w:ind w:firstLine="480"/>
        <w:jc w:val="right"/>
        <w:rPr>
          <w:rFonts w:hint="eastAsia" w:ascii="宋体" w:hAnsi="宋体" w:eastAsia="宋体" w:cs="宋体"/>
          <w:color w:val="auto"/>
          <w:sz w:val="24"/>
        </w:rPr>
      </w:pPr>
      <w:r>
        <w:rPr>
          <w:rFonts w:hint="eastAsia" w:ascii="宋体" w:hAnsi="宋体" w:eastAsia="宋体" w:cs="宋体"/>
          <w:color w:val="auto"/>
          <w:sz w:val="24"/>
          <w:bdr w:val="single" w:color="auto" w:sz="4" w:space="0"/>
        </w:rPr>
        <w:t>正本或副本</w:t>
      </w:r>
    </w:p>
    <w:p>
      <w:pPr>
        <w:widowControl/>
        <w:ind w:firstLine="480"/>
        <w:rPr>
          <w:rFonts w:hint="eastAsia" w:ascii="宋体" w:hAnsi="宋体" w:eastAsia="宋体" w:cs="宋体"/>
          <w:color w:val="auto"/>
          <w:sz w:val="24"/>
        </w:rPr>
      </w:pPr>
    </w:p>
    <w:p>
      <w:pPr>
        <w:widowControl/>
        <w:ind w:firstLine="480"/>
        <w:rPr>
          <w:rFonts w:hint="eastAsia" w:ascii="宋体" w:hAnsi="宋体" w:eastAsia="宋体" w:cs="宋体"/>
          <w:color w:val="auto"/>
          <w:sz w:val="24"/>
        </w:rPr>
      </w:pPr>
    </w:p>
    <w:p>
      <w:pPr>
        <w:widowControl/>
        <w:ind w:firstLine="480"/>
        <w:rPr>
          <w:rFonts w:hint="eastAsia" w:ascii="宋体" w:hAnsi="宋体" w:eastAsia="宋体" w:cs="宋体"/>
          <w:color w:val="auto"/>
          <w:sz w:val="24"/>
        </w:rPr>
      </w:pPr>
    </w:p>
    <w:p>
      <w:pPr>
        <w:widowControl/>
        <w:ind w:firstLine="480"/>
        <w:jc w:val="center"/>
        <w:rPr>
          <w:rFonts w:hint="eastAsia" w:ascii="宋体" w:hAnsi="宋体" w:eastAsia="宋体" w:cs="宋体"/>
          <w:color w:val="auto"/>
          <w:sz w:val="44"/>
          <w:szCs w:val="44"/>
        </w:rPr>
      </w:pPr>
      <w:r>
        <w:rPr>
          <w:rFonts w:hint="eastAsia" w:ascii="宋体" w:hAnsi="宋体" w:eastAsia="宋体" w:cs="宋体"/>
          <w:color w:val="auto"/>
          <w:sz w:val="44"/>
          <w:szCs w:val="44"/>
        </w:rPr>
        <w:t>响 应 文 件</w:t>
      </w:r>
    </w:p>
    <w:p>
      <w:pPr>
        <w:widowControl/>
        <w:ind w:firstLine="480"/>
        <w:rPr>
          <w:rFonts w:hint="eastAsia" w:ascii="宋体" w:hAnsi="宋体" w:eastAsia="宋体" w:cs="宋体"/>
          <w:color w:val="auto"/>
          <w:sz w:val="24"/>
        </w:rPr>
      </w:pPr>
    </w:p>
    <w:p>
      <w:pPr>
        <w:widowControl/>
        <w:ind w:firstLine="480"/>
        <w:jc w:val="center"/>
        <w:rPr>
          <w:rFonts w:hint="eastAsia" w:ascii="宋体" w:hAnsi="宋体" w:eastAsia="宋体" w:cs="宋体"/>
          <w:color w:val="auto"/>
          <w:sz w:val="24"/>
        </w:rPr>
      </w:pPr>
      <w:r>
        <w:rPr>
          <w:rFonts w:hint="eastAsia" w:ascii="宋体" w:hAnsi="宋体" w:eastAsia="宋体" w:cs="宋体"/>
          <w:color w:val="auto"/>
          <w:sz w:val="24"/>
        </w:rPr>
        <w:t>（资格性响应文件）</w:t>
      </w:r>
    </w:p>
    <w:p>
      <w:pPr>
        <w:widowControl/>
        <w:ind w:firstLine="480"/>
        <w:rPr>
          <w:rFonts w:hint="eastAsia" w:ascii="宋体" w:hAnsi="宋体" w:eastAsia="宋体" w:cs="宋体"/>
          <w:color w:val="auto"/>
          <w:sz w:val="28"/>
          <w:szCs w:val="28"/>
        </w:rPr>
      </w:pPr>
    </w:p>
    <w:p>
      <w:pPr>
        <w:widowControl/>
        <w:ind w:firstLine="480"/>
        <w:rPr>
          <w:rFonts w:hint="eastAsia" w:ascii="宋体" w:hAnsi="宋体" w:eastAsia="宋体" w:cs="宋体"/>
          <w:color w:val="auto"/>
          <w:sz w:val="28"/>
          <w:szCs w:val="28"/>
        </w:rPr>
      </w:pPr>
    </w:p>
    <w:p>
      <w:pPr>
        <w:widowControl/>
        <w:ind w:firstLine="480"/>
        <w:rPr>
          <w:rFonts w:hint="eastAsia" w:ascii="宋体" w:hAnsi="宋体" w:eastAsia="宋体" w:cs="宋体"/>
          <w:color w:val="auto"/>
          <w:sz w:val="28"/>
          <w:szCs w:val="28"/>
        </w:rPr>
      </w:pPr>
    </w:p>
    <w:p>
      <w:pPr>
        <w:widowControl/>
        <w:ind w:firstLine="48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p>
    <w:p>
      <w:pPr>
        <w:widowControl/>
        <w:ind w:firstLine="480"/>
        <w:rPr>
          <w:rFonts w:hint="eastAsia" w:ascii="宋体" w:hAnsi="宋体" w:eastAsia="宋体" w:cs="宋体"/>
          <w:color w:val="auto"/>
          <w:sz w:val="28"/>
          <w:szCs w:val="28"/>
          <w:u w:val="single"/>
        </w:rPr>
      </w:pPr>
    </w:p>
    <w:p>
      <w:pPr>
        <w:widowControl/>
        <w:ind w:firstLine="48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u w:val="single"/>
        </w:rPr>
        <w:t xml:space="preserve">                           </w:t>
      </w:r>
    </w:p>
    <w:p>
      <w:pPr>
        <w:widowControl/>
        <w:ind w:firstLine="480"/>
        <w:rPr>
          <w:rFonts w:hint="eastAsia" w:ascii="宋体" w:hAnsi="宋体" w:eastAsia="宋体" w:cs="宋体"/>
          <w:color w:val="auto"/>
          <w:sz w:val="28"/>
          <w:szCs w:val="28"/>
        </w:rPr>
      </w:pPr>
    </w:p>
    <w:p>
      <w:pPr>
        <w:widowControl/>
        <w:ind w:firstLine="480"/>
        <w:rPr>
          <w:rFonts w:hint="eastAsia" w:ascii="宋体" w:hAnsi="宋体" w:eastAsia="宋体" w:cs="宋体"/>
          <w:color w:val="auto"/>
          <w:sz w:val="28"/>
          <w:szCs w:val="28"/>
          <w:u w:val="single"/>
        </w:rPr>
      </w:pPr>
      <w:r>
        <w:rPr>
          <w:rFonts w:hint="eastAsia" w:ascii="宋体" w:hAnsi="宋体" w:eastAsia="宋体" w:cs="宋体"/>
          <w:color w:val="auto"/>
          <w:sz w:val="28"/>
          <w:szCs w:val="28"/>
        </w:rPr>
        <w:t>供应商名称（全称加盖公章）：</w:t>
      </w:r>
      <w:r>
        <w:rPr>
          <w:rFonts w:hint="eastAsia" w:ascii="宋体" w:hAnsi="宋体" w:eastAsia="宋体" w:cs="宋体"/>
          <w:color w:val="auto"/>
          <w:sz w:val="28"/>
          <w:szCs w:val="28"/>
          <w:u w:val="single"/>
        </w:rPr>
        <w:t xml:space="preserve">                 </w:t>
      </w:r>
    </w:p>
    <w:p>
      <w:pPr>
        <w:widowControl/>
        <w:ind w:firstLine="480"/>
        <w:rPr>
          <w:rFonts w:hint="eastAsia" w:ascii="宋体" w:hAnsi="宋体" w:eastAsia="宋体" w:cs="宋体"/>
          <w:color w:val="auto"/>
          <w:sz w:val="28"/>
          <w:szCs w:val="28"/>
        </w:rPr>
      </w:pPr>
    </w:p>
    <w:p>
      <w:pPr>
        <w:widowControl/>
        <w:ind w:firstLine="480"/>
        <w:rPr>
          <w:rFonts w:hint="eastAsia" w:ascii="宋体" w:hAnsi="宋体" w:eastAsia="宋体" w:cs="宋体"/>
          <w:color w:val="auto"/>
          <w:sz w:val="28"/>
          <w:szCs w:val="28"/>
          <w:u w:val="single"/>
        </w:rPr>
      </w:pPr>
      <w:r>
        <w:rPr>
          <w:rFonts w:hint="eastAsia" w:ascii="宋体" w:hAnsi="宋体" w:eastAsia="宋体" w:cs="宋体"/>
          <w:color w:val="auto"/>
          <w:sz w:val="28"/>
          <w:szCs w:val="28"/>
        </w:rPr>
        <w:t>法定代表人或授权代表（签字或加盖个人名章）：</w:t>
      </w:r>
      <w:r>
        <w:rPr>
          <w:rFonts w:hint="eastAsia" w:ascii="宋体" w:hAnsi="宋体" w:eastAsia="宋体" w:cs="宋体"/>
          <w:color w:val="auto"/>
          <w:sz w:val="28"/>
          <w:szCs w:val="28"/>
          <w:u w:val="single"/>
        </w:rPr>
        <w:t xml:space="preserve">               </w:t>
      </w:r>
    </w:p>
    <w:p>
      <w:pPr>
        <w:widowControl/>
        <w:ind w:firstLine="48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widowControl/>
        <w:ind w:firstLine="480"/>
        <w:rPr>
          <w:rFonts w:hint="eastAsia" w:ascii="宋体" w:hAnsi="宋体" w:eastAsia="宋体" w:cs="宋体"/>
          <w:color w:val="auto"/>
          <w:sz w:val="28"/>
          <w:szCs w:val="28"/>
        </w:rPr>
      </w:pPr>
    </w:p>
    <w:p>
      <w:pPr>
        <w:widowControl/>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widowControl/>
        <w:ind w:firstLine="480"/>
        <w:rPr>
          <w:rFonts w:hint="eastAsia" w:ascii="宋体" w:hAnsi="宋体" w:eastAsia="宋体" w:cs="宋体"/>
          <w:color w:val="auto"/>
          <w:sz w:val="24"/>
        </w:rPr>
      </w:pPr>
    </w:p>
    <w:p>
      <w:pPr>
        <w:widowControl/>
        <w:rPr>
          <w:rFonts w:hint="eastAsia" w:ascii="宋体" w:hAnsi="宋体" w:eastAsia="宋体" w:cs="宋体"/>
          <w:color w:val="auto"/>
          <w:sz w:val="24"/>
        </w:rPr>
      </w:pPr>
      <w:r>
        <w:rPr>
          <w:rFonts w:hint="eastAsia" w:ascii="宋体" w:hAnsi="宋体" w:eastAsia="宋体" w:cs="宋体"/>
          <w:color w:val="auto"/>
          <w:sz w:val="24"/>
        </w:rPr>
        <w:br w:type="page"/>
      </w:r>
    </w:p>
    <w:p>
      <w:pPr>
        <w:pStyle w:val="29"/>
        <w:spacing w:before="156" w:after="156"/>
        <w:rPr>
          <w:rFonts w:hint="eastAsia" w:ascii="宋体" w:hAnsi="宋体" w:eastAsia="宋体" w:cs="宋体"/>
          <w:color w:val="auto"/>
        </w:rPr>
      </w:pPr>
      <w:r>
        <w:rPr>
          <w:rFonts w:hint="eastAsia" w:ascii="宋体" w:hAnsi="宋体" w:eastAsia="宋体" w:cs="宋体"/>
          <w:color w:val="auto"/>
        </w:rPr>
        <w:t>一、承诺函（实质性要求）</w:t>
      </w:r>
      <w:bookmarkEnd w:id="133"/>
      <w:bookmarkEnd w:id="134"/>
      <w:bookmarkEnd w:id="135"/>
    </w:p>
    <w:p>
      <w:pPr>
        <w:widowControl/>
        <w:spacing w:line="312" w:lineRule="auto"/>
        <w:ind w:firstLine="482"/>
        <w:rPr>
          <w:rFonts w:hint="eastAsia" w:ascii="宋体" w:hAnsi="宋体" w:eastAsia="宋体" w:cs="宋体"/>
          <w:color w:val="auto"/>
          <w:sz w:val="24"/>
        </w:rPr>
      </w:pPr>
      <w:bookmarkStart w:id="136" w:name="_Toc480288345"/>
      <w:bookmarkStart w:id="137" w:name="_Toc482366498"/>
      <w:bookmarkStart w:id="138" w:name="_Toc480288574"/>
      <w:r>
        <w:rPr>
          <w:rFonts w:hint="eastAsia" w:ascii="宋体" w:hAnsi="宋体" w:eastAsia="宋体" w:cs="宋体"/>
          <w:color w:val="auto"/>
          <w:sz w:val="24"/>
          <w:u w:val="single"/>
        </w:rPr>
        <w:t xml:space="preserve">          </w:t>
      </w:r>
      <w:bookmarkStart w:id="139" w:name="_Toc503794737"/>
      <w:r>
        <w:rPr>
          <w:rFonts w:hint="eastAsia" w:ascii="宋体" w:hAnsi="宋体" w:eastAsia="宋体" w:cs="宋体"/>
          <w:color w:val="auto"/>
          <w:sz w:val="24"/>
        </w:rPr>
        <w:t>（采购代理机构名称）：</w:t>
      </w:r>
      <w:bookmarkEnd w:id="136"/>
      <w:bookmarkEnd w:id="137"/>
      <w:bookmarkEnd w:id="138"/>
      <w:bookmarkEnd w:id="139"/>
    </w:p>
    <w:p>
      <w:pPr>
        <w:widowControl/>
        <w:spacing w:line="312" w:lineRule="auto"/>
        <w:ind w:firstLine="480" w:firstLineChars="200"/>
        <w:rPr>
          <w:rFonts w:hint="eastAsia" w:ascii="宋体" w:hAnsi="宋体" w:eastAsia="宋体" w:cs="宋体"/>
          <w:color w:val="auto"/>
          <w:sz w:val="24"/>
        </w:rPr>
      </w:pPr>
      <w:bookmarkStart w:id="140" w:name="_Toc503794738"/>
      <w:bookmarkStart w:id="141" w:name="_Toc480288346"/>
      <w:bookmarkStart w:id="142" w:name="_Toc482366499"/>
      <w:bookmarkStart w:id="143" w:name="_Toc480288575"/>
      <w:r>
        <w:rPr>
          <w:rFonts w:hint="eastAsia" w:ascii="宋体" w:hAnsi="宋体" w:eastAsia="宋体" w:cs="宋体"/>
          <w:color w:val="auto"/>
          <w:sz w:val="24"/>
        </w:rPr>
        <w:t>我公司作为本次采购项目的供应商，根据本项目竞争性磋商文件要求，现郑重承诺如下：</w:t>
      </w:r>
      <w:bookmarkEnd w:id="140"/>
      <w:bookmarkEnd w:id="141"/>
      <w:bookmarkEnd w:id="142"/>
      <w:bookmarkEnd w:id="143"/>
    </w:p>
    <w:p>
      <w:pPr>
        <w:widowControl/>
        <w:spacing w:line="312" w:lineRule="auto"/>
        <w:ind w:firstLine="482"/>
        <w:rPr>
          <w:rFonts w:hint="eastAsia" w:ascii="宋体" w:hAnsi="宋体" w:eastAsia="宋体" w:cs="宋体"/>
          <w:color w:val="auto"/>
          <w:sz w:val="24"/>
        </w:rPr>
      </w:pPr>
      <w:bookmarkStart w:id="144" w:name="_Toc480288347"/>
      <w:bookmarkStart w:id="145" w:name="_Toc480288576"/>
      <w:bookmarkStart w:id="146" w:name="_Toc503794739"/>
      <w:bookmarkStart w:id="147" w:name="_Toc482366500"/>
      <w:r>
        <w:rPr>
          <w:rFonts w:hint="eastAsia" w:ascii="宋体" w:hAnsi="宋体" w:eastAsia="宋体" w:cs="宋体"/>
          <w:color w:val="auto"/>
          <w:sz w:val="24"/>
        </w:rPr>
        <w:t>一、具备《中华人民共和国政府采购法》第二十二条第一款和本项目规定的条件：</w:t>
      </w:r>
      <w:bookmarkEnd w:id="144"/>
      <w:bookmarkEnd w:id="145"/>
      <w:bookmarkEnd w:id="146"/>
      <w:bookmarkEnd w:id="147"/>
    </w:p>
    <w:p>
      <w:pPr>
        <w:widowControl/>
        <w:spacing w:line="312" w:lineRule="auto"/>
        <w:ind w:firstLine="482"/>
        <w:rPr>
          <w:rFonts w:hint="eastAsia" w:ascii="宋体" w:hAnsi="宋体" w:eastAsia="宋体" w:cs="宋体"/>
          <w:color w:val="auto"/>
          <w:sz w:val="24"/>
          <w:lang w:eastAsia="zh-CN"/>
        </w:rPr>
      </w:pPr>
      <w:bookmarkStart w:id="148" w:name="_Toc480288348"/>
      <w:bookmarkStart w:id="149" w:name="_Toc482366501"/>
      <w:bookmarkStart w:id="150" w:name="_Toc480288577"/>
      <w:bookmarkStart w:id="151" w:name="_Toc503794740"/>
      <w:r>
        <w:rPr>
          <w:rFonts w:hint="eastAsia" w:ascii="宋体" w:hAnsi="宋体" w:eastAsia="宋体" w:cs="宋体"/>
          <w:color w:val="auto"/>
          <w:sz w:val="24"/>
        </w:rPr>
        <w:t xml:space="preserve">（一）具有独立承担民事责任的能力； </w:t>
      </w:r>
    </w:p>
    <w:p>
      <w:pPr>
        <w:keepNext w:val="0"/>
        <w:keepLines w:val="0"/>
        <w:pageBreakBefore w:val="0"/>
        <w:widowControl/>
        <w:kinsoku/>
        <w:wordWrap/>
        <w:overflowPunct/>
        <w:topLinePunct w:val="0"/>
        <w:autoSpaceDE/>
        <w:autoSpaceDN/>
        <w:bidi w:val="0"/>
        <w:adjustRightInd/>
        <w:snapToGrid/>
        <w:spacing w:line="312" w:lineRule="auto"/>
        <w:ind w:firstLine="0"/>
        <w:textAlignment w:val="auto"/>
        <w:rPr>
          <w:rFonts w:hint="eastAsia" w:ascii="宋体" w:hAnsi="宋体" w:eastAsia="宋体" w:cs="宋体"/>
          <w:color w:val="auto"/>
          <w:sz w:val="24"/>
          <w:lang w:eastAsia="zh-CN"/>
        </w:rPr>
      </w:pPr>
      <w:r>
        <w:rPr>
          <w:rFonts w:hint="eastAsia" w:ascii="宋体" w:hAnsi="宋体" w:eastAsia="宋体" w:cs="宋体"/>
          <w:color w:val="auto"/>
          <w:sz w:val="24"/>
        </w:rPr>
        <w:t xml:space="preserve">　　（二）具有良好的商业信誉和健全的财务会计制度； </w:t>
      </w:r>
    </w:p>
    <w:p>
      <w:pPr>
        <w:keepNext w:val="0"/>
        <w:keepLines w:val="0"/>
        <w:pageBreakBefore w:val="0"/>
        <w:widowControl/>
        <w:kinsoku/>
        <w:wordWrap/>
        <w:overflowPunct/>
        <w:topLinePunct w:val="0"/>
        <w:autoSpaceDE/>
        <w:autoSpaceDN/>
        <w:bidi w:val="0"/>
        <w:adjustRightInd/>
        <w:snapToGrid/>
        <w:spacing w:line="312" w:lineRule="auto"/>
        <w:ind w:firstLine="0"/>
        <w:textAlignment w:val="auto"/>
        <w:rPr>
          <w:rFonts w:hint="eastAsia" w:ascii="宋体" w:hAnsi="宋体" w:eastAsia="宋体" w:cs="宋体"/>
          <w:color w:val="auto"/>
          <w:sz w:val="24"/>
          <w:lang w:eastAsia="zh-CN"/>
        </w:rPr>
      </w:pPr>
      <w:r>
        <w:rPr>
          <w:rFonts w:hint="eastAsia" w:ascii="宋体" w:hAnsi="宋体" w:eastAsia="宋体" w:cs="宋体"/>
          <w:color w:val="auto"/>
          <w:sz w:val="24"/>
        </w:rPr>
        <w:t xml:space="preserve">　　（三）具有履行合同所必需的设备和专业技术能力； </w:t>
      </w:r>
    </w:p>
    <w:p>
      <w:pPr>
        <w:keepNext w:val="0"/>
        <w:keepLines w:val="0"/>
        <w:pageBreakBefore w:val="0"/>
        <w:widowControl/>
        <w:kinsoku/>
        <w:wordWrap/>
        <w:overflowPunct/>
        <w:topLinePunct w:val="0"/>
        <w:autoSpaceDE/>
        <w:autoSpaceDN/>
        <w:bidi w:val="0"/>
        <w:adjustRightInd/>
        <w:snapToGrid/>
        <w:spacing w:line="312" w:lineRule="auto"/>
        <w:ind w:firstLine="0"/>
        <w:textAlignment w:val="auto"/>
        <w:rPr>
          <w:rFonts w:hint="eastAsia" w:ascii="宋体" w:hAnsi="宋体" w:eastAsia="宋体" w:cs="宋体"/>
          <w:color w:val="auto"/>
          <w:sz w:val="24"/>
          <w:lang w:eastAsia="zh-CN"/>
        </w:rPr>
      </w:pPr>
      <w:r>
        <w:rPr>
          <w:rFonts w:hint="eastAsia" w:ascii="宋体" w:hAnsi="宋体" w:eastAsia="宋体" w:cs="宋体"/>
          <w:color w:val="auto"/>
          <w:sz w:val="24"/>
        </w:rPr>
        <w:t>　　（四）</w:t>
      </w:r>
      <w:r>
        <w:rPr>
          <w:rFonts w:hint="eastAsia" w:ascii="宋体" w:hAnsi="宋体" w:eastAsia="宋体" w:cs="宋体"/>
          <w:color w:val="auto"/>
          <w:sz w:val="24"/>
          <w:lang w:eastAsia="zh-CN"/>
        </w:rPr>
        <w:t>具</w:t>
      </w:r>
      <w:r>
        <w:rPr>
          <w:rFonts w:hint="eastAsia" w:ascii="宋体" w:hAnsi="宋体" w:eastAsia="宋体" w:cs="宋体"/>
          <w:color w:val="auto"/>
          <w:sz w:val="24"/>
        </w:rPr>
        <w:t xml:space="preserve">有依法缴纳税收和社会保障资金的良好记录； </w:t>
      </w:r>
    </w:p>
    <w:p>
      <w:pPr>
        <w:keepNext w:val="0"/>
        <w:keepLines w:val="0"/>
        <w:pageBreakBefore w:val="0"/>
        <w:widowControl/>
        <w:kinsoku/>
        <w:wordWrap/>
        <w:overflowPunct/>
        <w:topLinePunct w:val="0"/>
        <w:autoSpaceDE/>
        <w:autoSpaceDN/>
        <w:bidi w:val="0"/>
        <w:adjustRightInd/>
        <w:snapToGrid/>
        <w:spacing w:line="312" w:lineRule="auto"/>
        <w:ind w:firstLine="0"/>
        <w:textAlignment w:val="auto"/>
        <w:rPr>
          <w:rFonts w:hint="eastAsia" w:ascii="宋体" w:hAnsi="宋体" w:eastAsia="宋体" w:cs="宋体"/>
          <w:color w:val="auto"/>
          <w:sz w:val="24"/>
        </w:rPr>
      </w:pPr>
      <w:r>
        <w:rPr>
          <w:rFonts w:hint="eastAsia" w:ascii="宋体" w:hAnsi="宋体" w:eastAsia="宋体" w:cs="宋体"/>
          <w:color w:val="auto"/>
          <w:sz w:val="24"/>
        </w:rPr>
        <w:t>　　（五）参加政府采购活动前三年内，在经营活动中没有重大违法记录；</w:t>
      </w:r>
      <w:bookmarkEnd w:id="148"/>
      <w:bookmarkEnd w:id="149"/>
      <w:bookmarkEnd w:id="150"/>
      <w:bookmarkEnd w:id="151"/>
    </w:p>
    <w:p>
      <w:pPr>
        <w:widowControl/>
        <w:spacing w:line="312" w:lineRule="auto"/>
        <w:ind w:firstLine="482"/>
        <w:rPr>
          <w:rFonts w:hint="eastAsia" w:ascii="宋体" w:hAnsi="宋体" w:eastAsia="宋体" w:cs="宋体"/>
          <w:color w:val="auto"/>
          <w:sz w:val="24"/>
        </w:rPr>
      </w:pPr>
      <w:bookmarkStart w:id="152" w:name="_Toc482366502"/>
      <w:bookmarkStart w:id="153" w:name="_Toc480288349"/>
      <w:bookmarkStart w:id="154" w:name="_Toc480288578"/>
      <w:bookmarkStart w:id="155" w:name="_Toc503794741"/>
      <w:r>
        <w:rPr>
          <w:rFonts w:hint="eastAsia" w:ascii="宋体" w:hAnsi="宋体" w:eastAsia="宋体" w:cs="宋体"/>
          <w:color w:val="auto"/>
          <w:sz w:val="24"/>
        </w:rPr>
        <w:t>（六）法律、行政法规规定的其他条件；</w:t>
      </w:r>
      <w:bookmarkEnd w:id="152"/>
      <w:bookmarkEnd w:id="153"/>
      <w:bookmarkEnd w:id="154"/>
      <w:bookmarkEnd w:id="155"/>
    </w:p>
    <w:p>
      <w:pPr>
        <w:widowControl/>
        <w:spacing w:line="312" w:lineRule="auto"/>
        <w:ind w:firstLine="482"/>
        <w:rPr>
          <w:rFonts w:hint="eastAsia" w:ascii="宋体" w:hAnsi="宋体" w:eastAsia="宋体" w:cs="宋体"/>
          <w:color w:val="auto"/>
          <w:sz w:val="24"/>
        </w:rPr>
      </w:pPr>
      <w:bookmarkStart w:id="156" w:name="_Toc503794742"/>
      <w:bookmarkStart w:id="157" w:name="_Toc482366503"/>
      <w:bookmarkStart w:id="158" w:name="_Toc480288579"/>
      <w:bookmarkStart w:id="159" w:name="_Toc480288350"/>
      <w:r>
        <w:rPr>
          <w:rFonts w:hint="eastAsia" w:ascii="宋体" w:hAnsi="宋体" w:eastAsia="宋体" w:cs="宋体"/>
          <w:color w:val="auto"/>
          <w:sz w:val="24"/>
        </w:rPr>
        <w:t>（七）根据采购项目提出的特殊条件。</w:t>
      </w:r>
      <w:bookmarkEnd w:id="156"/>
      <w:bookmarkEnd w:id="157"/>
      <w:bookmarkEnd w:id="158"/>
      <w:bookmarkEnd w:id="159"/>
    </w:p>
    <w:p>
      <w:pPr>
        <w:widowControl/>
        <w:spacing w:line="312" w:lineRule="auto"/>
        <w:ind w:firstLine="482"/>
        <w:rPr>
          <w:rFonts w:hint="eastAsia" w:ascii="宋体" w:hAnsi="宋体" w:eastAsia="宋体" w:cs="宋体"/>
          <w:color w:val="auto"/>
          <w:sz w:val="24"/>
        </w:rPr>
      </w:pPr>
      <w:bookmarkStart w:id="160" w:name="_Toc503794743"/>
      <w:bookmarkStart w:id="161" w:name="_Toc482366504"/>
      <w:bookmarkStart w:id="162" w:name="_Toc480288351"/>
      <w:bookmarkStart w:id="163" w:name="_Toc480288580"/>
      <w:r>
        <w:rPr>
          <w:rFonts w:hint="eastAsia" w:ascii="宋体" w:hAnsi="宋体" w:eastAsia="宋体" w:cs="宋体"/>
          <w:color w:val="auto"/>
          <w:sz w:val="24"/>
        </w:rPr>
        <w:t>二、完全接受和满足本项目竞争性磋商文件中规定的实质性要求，如对竞争性磋商文件有异议，已经在响应文件递交截止时间届满前依法进行维权救济，不存在对竞争性磋商文件有异议的同时又参加磋商以求侥幸成交或者为实现其他非法目的的行为。</w:t>
      </w:r>
      <w:bookmarkEnd w:id="160"/>
      <w:bookmarkEnd w:id="161"/>
      <w:bookmarkEnd w:id="162"/>
      <w:bookmarkEnd w:id="163"/>
    </w:p>
    <w:p>
      <w:pPr>
        <w:widowControl/>
        <w:spacing w:line="312" w:lineRule="auto"/>
        <w:ind w:firstLine="482"/>
        <w:rPr>
          <w:rFonts w:hint="eastAsia" w:ascii="宋体" w:hAnsi="宋体" w:eastAsia="宋体" w:cs="宋体"/>
          <w:color w:val="auto"/>
          <w:sz w:val="24"/>
        </w:rPr>
      </w:pPr>
      <w:bookmarkStart w:id="164" w:name="_Toc503794744"/>
      <w:bookmarkStart w:id="165" w:name="_Toc480288581"/>
      <w:bookmarkStart w:id="166" w:name="_Toc480288352"/>
      <w:bookmarkStart w:id="167" w:name="_Toc482366505"/>
      <w:r>
        <w:rPr>
          <w:rFonts w:hint="eastAsia" w:ascii="宋体" w:hAnsi="宋体" w:eastAsia="宋体" w:cs="宋体"/>
          <w:color w:val="auto"/>
          <w:sz w:val="24"/>
        </w:rPr>
        <w:t>三、参加本次招标采购活动，不存在与单位负责人为同一人或者存在直接控股、管理关系的其他供应商参与同一合同项下的政府采购活动的行为。</w:t>
      </w:r>
      <w:bookmarkEnd w:id="164"/>
      <w:bookmarkEnd w:id="165"/>
      <w:bookmarkEnd w:id="166"/>
      <w:bookmarkEnd w:id="167"/>
    </w:p>
    <w:p>
      <w:pPr>
        <w:widowControl/>
        <w:spacing w:line="312" w:lineRule="auto"/>
        <w:ind w:firstLine="482"/>
        <w:rPr>
          <w:rFonts w:hint="eastAsia" w:ascii="宋体" w:hAnsi="宋体" w:eastAsia="宋体" w:cs="宋体"/>
          <w:color w:val="auto"/>
          <w:sz w:val="24"/>
        </w:rPr>
      </w:pPr>
      <w:bookmarkStart w:id="168" w:name="_Toc480288353"/>
      <w:bookmarkStart w:id="169" w:name="_Toc482366506"/>
      <w:bookmarkStart w:id="170" w:name="_Toc503794745"/>
      <w:bookmarkStart w:id="171" w:name="_Toc480288582"/>
      <w:r>
        <w:rPr>
          <w:rFonts w:hint="eastAsia" w:ascii="宋体" w:hAnsi="宋体" w:eastAsia="宋体" w:cs="宋体"/>
          <w:color w:val="auto"/>
          <w:sz w:val="24"/>
        </w:rPr>
        <w:t>四、参加本次招标采购活动，不存在和其他供应商在同一合同项下的采购项目中，同时委托同一个自然人、同一家庭的人员、同一单位的人员作为代理人的行为。</w:t>
      </w:r>
      <w:bookmarkEnd w:id="168"/>
      <w:bookmarkEnd w:id="169"/>
      <w:bookmarkEnd w:id="170"/>
      <w:bookmarkEnd w:id="171"/>
    </w:p>
    <w:p>
      <w:pPr>
        <w:widowControl/>
        <w:spacing w:line="312" w:lineRule="auto"/>
        <w:ind w:firstLine="482"/>
        <w:rPr>
          <w:rFonts w:hint="eastAsia" w:ascii="宋体" w:hAnsi="宋体" w:eastAsia="宋体" w:cs="宋体"/>
          <w:color w:val="auto"/>
          <w:sz w:val="24"/>
        </w:rPr>
      </w:pPr>
      <w:bookmarkStart w:id="172" w:name="_Toc480288583"/>
      <w:bookmarkStart w:id="173" w:name="_Toc482366507"/>
      <w:bookmarkStart w:id="174" w:name="_Toc503794746"/>
      <w:bookmarkStart w:id="175" w:name="_Toc480288354"/>
      <w:r>
        <w:rPr>
          <w:rFonts w:hint="eastAsia" w:ascii="宋体" w:hAnsi="宋体" w:eastAsia="宋体" w:cs="宋体"/>
          <w:color w:val="auto"/>
          <w:sz w:val="24"/>
        </w:rPr>
        <w:t>五、不属于为本采购项目提供整体设计、规范编制或者项目管理、监理、检测等服务的供应商。</w:t>
      </w:r>
      <w:bookmarkEnd w:id="172"/>
      <w:bookmarkEnd w:id="173"/>
      <w:bookmarkEnd w:id="174"/>
      <w:bookmarkEnd w:id="175"/>
    </w:p>
    <w:p>
      <w:pPr>
        <w:widowControl/>
        <w:spacing w:line="312" w:lineRule="auto"/>
        <w:ind w:firstLine="482"/>
        <w:rPr>
          <w:rFonts w:hint="eastAsia" w:ascii="宋体" w:hAnsi="宋体" w:eastAsia="宋体" w:cs="宋体"/>
          <w:color w:val="auto"/>
          <w:sz w:val="24"/>
        </w:rPr>
      </w:pPr>
      <w:bookmarkStart w:id="176" w:name="_Toc503794747"/>
      <w:bookmarkStart w:id="177" w:name="_Toc480288355"/>
      <w:bookmarkStart w:id="178" w:name="_Toc482366508"/>
      <w:bookmarkStart w:id="179" w:name="_Toc480288584"/>
      <w:r>
        <w:rPr>
          <w:rFonts w:hint="eastAsia" w:ascii="宋体" w:hAnsi="宋体" w:eastAsia="宋体" w:cs="宋体"/>
          <w:color w:val="auto"/>
          <w:sz w:val="24"/>
        </w:rPr>
        <w:t>六、响应文件中提供的任何材料资料和技术、服务、商务等响应承诺情况都是真实的、有效的、合法的。</w:t>
      </w:r>
      <w:bookmarkEnd w:id="176"/>
      <w:bookmarkEnd w:id="177"/>
      <w:bookmarkEnd w:id="178"/>
      <w:bookmarkEnd w:id="179"/>
    </w:p>
    <w:p>
      <w:pPr>
        <w:widowControl/>
        <w:spacing w:line="312" w:lineRule="auto"/>
        <w:ind w:firstLine="482"/>
        <w:rPr>
          <w:rFonts w:hint="eastAsia" w:ascii="宋体" w:hAnsi="宋体" w:eastAsia="宋体" w:cs="宋体"/>
          <w:color w:val="auto"/>
          <w:sz w:val="24"/>
        </w:rPr>
      </w:pPr>
      <w:bookmarkStart w:id="180" w:name="_Toc503794748"/>
      <w:bookmarkStart w:id="181" w:name="_Toc480288356"/>
      <w:bookmarkStart w:id="182" w:name="_Toc482366509"/>
      <w:bookmarkStart w:id="183" w:name="_Toc480288585"/>
      <w:r>
        <w:rPr>
          <w:rFonts w:hint="eastAsia" w:ascii="宋体" w:hAnsi="宋体" w:eastAsia="宋体" w:cs="宋体"/>
          <w:color w:val="auto"/>
          <w:sz w:val="24"/>
        </w:rPr>
        <w:t>本公司对上述承诺的内容事项真实性负责。如经查实上述承诺的内容事项存在虚假，我公司愿意接受以提供虚假材料谋取成交追究法律责任。</w:t>
      </w:r>
      <w:bookmarkEnd w:id="180"/>
      <w:bookmarkEnd w:id="181"/>
      <w:bookmarkEnd w:id="182"/>
      <w:bookmarkEnd w:id="183"/>
    </w:p>
    <w:p>
      <w:pPr>
        <w:widowControl/>
        <w:spacing w:line="312" w:lineRule="auto"/>
        <w:ind w:firstLine="482"/>
        <w:rPr>
          <w:rFonts w:hint="eastAsia" w:ascii="宋体" w:hAnsi="宋体" w:eastAsia="宋体" w:cs="宋体"/>
          <w:color w:val="auto"/>
          <w:sz w:val="24"/>
        </w:rPr>
      </w:pPr>
      <w:bookmarkStart w:id="184" w:name="_Toc480288586"/>
      <w:bookmarkStart w:id="185" w:name="_Toc482366510"/>
      <w:bookmarkStart w:id="186" w:name="_Toc503794749"/>
      <w:bookmarkStart w:id="187" w:name="_Toc480288357"/>
    </w:p>
    <w:p>
      <w:pPr>
        <w:widowControl/>
        <w:spacing w:line="312" w:lineRule="auto"/>
        <w:ind w:firstLine="482"/>
        <w:rPr>
          <w:rFonts w:hint="eastAsia"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（单位公章）。</w:t>
      </w:r>
      <w:bookmarkEnd w:id="184"/>
      <w:bookmarkEnd w:id="185"/>
      <w:bookmarkEnd w:id="186"/>
      <w:bookmarkEnd w:id="187"/>
    </w:p>
    <w:p>
      <w:pPr>
        <w:widowControl/>
        <w:spacing w:line="312" w:lineRule="auto"/>
        <w:ind w:firstLine="482"/>
        <w:rPr>
          <w:rFonts w:hint="eastAsia" w:ascii="宋体" w:hAnsi="宋体" w:eastAsia="宋体" w:cs="宋体"/>
          <w:color w:val="auto"/>
          <w:sz w:val="24"/>
        </w:rPr>
      </w:pPr>
      <w:bookmarkStart w:id="188" w:name="_Toc480288358"/>
      <w:bookmarkStart w:id="189" w:name="_Toc503794750"/>
      <w:bookmarkStart w:id="190" w:name="_Toc482366511"/>
      <w:bookmarkStart w:id="191" w:name="_Toc480288587"/>
      <w:r>
        <w:rPr>
          <w:rFonts w:hint="eastAsia" w:ascii="宋体" w:hAnsi="宋体" w:eastAsia="宋体" w:cs="宋体"/>
          <w:color w:val="auto"/>
          <w:sz w:val="24"/>
        </w:rPr>
        <w:t>法定代表人或授权代表（签字或加盖个人名章）：</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bookmarkEnd w:id="188"/>
      <w:bookmarkEnd w:id="189"/>
      <w:bookmarkEnd w:id="190"/>
      <w:bookmarkEnd w:id="191"/>
    </w:p>
    <w:p>
      <w:pPr>
        <w:widowControl/>
        <w:spacing w:line="312" w:lineRule="auto"/>
        <w:ind w:firstLine="482"/>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w:t>
      </w:r>
      <w:r>
        <w:rPr>
          <w:rFonts w:hint="eastAsia" w:ascii="宋体" w:hAnsi="宋体" w:eastAsia="宋体" w:cs="宋体"/>
          <w:color w:val="auto"/>
          <w:sz w:val="24"/>
        </w:rPr>
        <w:t>年</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w:t>
      </w:r>
      <w:r>
        <w:rPr>
          <w:rFonts w:hint="eastAsia" w:ascii="宋体" w:hAnsi="宋体" w:eastAsia="宋体" w:cs="宋体"/>
          <w:color w:val="auto"/>
          <w:sz w:val="24"/>
        </w:rPr>
        <w:t>日。</w:t>
      </w:r>
    </w:p>
    <w:p>
      <w:pPr>
        <w:widowControl/>
        <w:spacing w:line="312" w:lineRule="auto"/>
        <w:ind w:firstLine="482"/>
        <w:rPr>
          <w:rFonts w:hint="eastAsia" w:ascii="宋体" w:hAnsi="宋体" w:eastAsia="宋体" w:cs="宋体"/>
          <w:color w:val="auto"/>
          <w:sz w:val="24"/>
        </w:rPr>
      </w:pPr>
      <w:r>
        <w:rPr>
          <w:rFonts w:hint="eastAsia" w:ascii="宋体" w:hAnsi="宋体" w:eastAsia="宋体" w:cs="宋体"/>
          <w:color w:val="auto"/>
          <w:sz w:val="24"/>
        </w:rPr>
        <w:br w:type="page"/>
      </w:r>
    </w:p>
    <w:p>
      <w:pPr>
        <w:pStyle w:val="4"/>
        <w:bidi w:val="0"/>
        <w:jc w:val="center"/>
        <w:rPr>
          <w:rFonts w:hint="eastAsia" w:ascii="宋体" w:hAnsi="宋体" w:eastAsia="宋体" w:cs="宋体"/>
          <w:color w:val="auto"/>
        </w:rPr>
      </w:pPr>
      <w:bookmarkStart w:id="192" w:name="_Toc17065"/>
      <w:r>
        <w:rPr>
          <w:rFonts w:hint="eastAsia" w:ascii="宋体" w:hAnsi="宋体" w:eastAsia="宋体" w:cs="宋体"/>
          <w:color w:val="auto"/>
        </w:rPr>
        <w:t>二、</w:t>
      </w:r>
      <w:r>
        <w:rPr>
          <w:rFonts w:hint="eastAsia" w:ascii="宋体" w:hAnsi="宋体" w:eastAsia="宋体" w:cs="宋体"/>
          <w:color w:val="auto"/>
          <w:lang w:val="en-US" w:eastAsia="zh-CN"/>
        </w:rPr>
        <w:t>法定代表人授权委托书格式</w:t>
      </w:r>
      <w:r>
        <w:rPr>
          <w:rFonts w:hint="eastAsia" w:ascii="宋体" w:hAnsi="宋体" w:eastAsia="宋体" w:cs="宋体"/>
          <w:color w:val="auto"/>
        </w:rPr>
        <w:t>（实质性要求）</w:t>
      </w:r>
      <w:bookmarkEnd w:id="192"/>
    </w:p>
    <w:p>
      <w:pPr>
        <w:keepNext w:val="0"/>
        <w:keepLines w:val="0"/>
        <w:widowControl/>
        <w:suppressLineNumbers w:val="0"/>
        <w:spacing w:line="360" w:lineRule="auto"/>
        <w:jc w:val="center"/>
        <w:rPr>
          <w:rFonts w:hint="eastAsia" w:ascii="宋体" w:hAnsi="宋体" w:eastAsia="宋体" w:cs="宋体"/>
          <w:b/>
          <w:color w:val="auto"/>
          <w:kern w:val="0"/>
          <w:sz w:val="24"/>
          <w:szCs w:val="24"/>
          <w:lang w:val="en-US" w:eastAsia="zh-CN" w:bidi="ar"/>
        </w:rPr>
      </w:pPr>
    </w:p>
    <w:p>
      <w:pPr>
        <w:keepNext w:val="0"/>
        <w:keepLines w:val="0"/>
        <w:widowControl/>
        <w:suppressLineNumbers w:val="0"/>
        <w:spacing w:line="360" w:lineRule="auto"/>
        <w:jc w:val="center"/>
        <w:rPr>
          <w:rFonts w:hint="eastAsia" w:ascii="宋体" w:hAnsi="宋体" w:eastAsia="宋体" w:cs="宋体"/>
          <w:color w:val="auto"/>
          <w:sz w:val="32"/>
          <w:szCs w:val="32"/>
        </w:rPr>
      </w:pPr>
      <w:r>
        <w:rPr>
          <w:rFonts w:hint="eastAsia" w:ascii="宋体" w:hAnsi="宋体" w:eastAsia="宋体" w:cs="宋体"/>
          <w:b/>
          <w:color w:val="auto"/>
          <w:kern w:val="0"/>
          <w:sz w:val="32"/>
          <w:szCs w:val="32"/>
          <w:lang w:val="en-US" w:eastAsia="zh-CN" w:bidi="ar"/>
        </w:rPr>
        <w:t>（一）</w:t>
      </w:r>
      <w:r>
        <w:rPr>
          <w:rFonts w:hint="eastAsia" w:ascii="宋体" w:hAnsi="宋体" w:eastAsia="宋体" w:cs="宋体"/>
          <w:b/>
          <w:bCs w:val="0"/>
          <w:color w:val="auto"/>
          <w:kern w:val="0"/>
          <w:sz w:val="32"/>
          <w:szCs w:val="32"/>
          <w:lang w:val="en-US" w:eastAsia="zh-CN" w:bidi="ar"/>
        </w:rPr>
        <w:t>法定代表人证明</w:t>
      </w:r>
      <w:r>
        <w:rPr>
          <w:rFonts w:hint="eastAsia" w:ascii="宋体" w:hAnsi="宋体" w:eastAsia="宋体" w:cs="宋体"/>
          <w:b/>
          <w:bCs w:val="0"/>
          <w:color w:val="auto"/>
          <w:sz w:val="32"/>
          <w:szCs w:val="32"/>
        </w:rPr>
        <w:t>（实质性要求）</w:t>
      </w:r>
    </w:p>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（仅在法定代表人参加竞争性磋商时须提供此证明） </w:t>
      </w:r>
    </w:p>
    <w:p>
      <w:pPr>
        <w:keepNext w:val="0"/>
        <w:keepLines w:val="0"/>
        <w:widowControl/>
        <w:suppressLineNumbers w:val="0"/>
        <w:spacing w:line="480" w:lineRule="auto"/>
        <w:jc w:val="left"/>
        <w:rPr>
          <w:rFonts w:hint="eastAsia" w:ascii="宋体" w:hAnsi="宋体" w:eastAsia="宋体" w:cs="宋体"/>
          <w:color w:val="auto"/>
          <w:sz w:val="24"/>
          <w:szCs w:val="24"/>
          <w:u w:val="single"/>
          <w:lang w:val="en-US"/>
        </w:rPr>
      </w:pPr>
      <w:r>
        <w:rPr>
          <w:rFonts w:hint="eastAsia" w:ascii="宋体" w:hAnsi="宋体" w:eastAsia="宋体" w:cs="宋体"/>
          <w:color w:val="auto"/>
          <w:kern w:val="0"/>
          <w:sz w:val="24"/>
          <w:szCs w:val="24"/>
          <w:lang w:val="en-US" w:eastAsia="zh-CN" w:bidi="ar"/>
        </w:rPr>
        <w:t>供应商名称：</w:t>
      </w:r>
      <w:r>
        <w:rPr>
          <w:rFonts w:hint="eastAsia" w:ascii="宋体" w:hAnsi="宋体" w:eastAsia="宋体" w:cs="宋体"/>
          <w:color w:val="auto"/>
          <w:kern w:val="0"/>
          <w:sz w:val="24"/>
          <w:szCs w:val="24"/>
          <w:u w:val="single"/>
          <w:lang w:val="en-US" w:eastAsia="zh-CN" w:bidi="ar"/>
        </w:rPr>
        <w:t xml:space="preserve">                               </w:t>
      </w:r>
    </w:p>
    <w:p>
      <w:pPr>
        <w:keepNext w:val="0"/>
        <w:keepLines w:val="0"/>
        <w:widowControl/>
        <w:suppressLineNumbers w:val="0"/>
        <w:spacing w:line="48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单位性质： </w:t>
      </w:r>
      <w:r>
        <w:rPr>
          <w:rFonts w:hint="eastAsia" w:ascii="宋体" w:hAnsi="宋体" w:eastAsia="宋体" w:cs="宋体"/>
          <w:color w:val="auto"/>
          <w:kern w:val="0"/>
          <w:sz w:val="24"/>
          <w:szCs w:val="24"/>
          <w:u w:val="single"/>
          <w:lang w:val="en-US" w:eastAsia="zh-CN" w:bidi="ar"/>
        </w:rPr>
        <w:t xml:space="preserve">                               </w:t>
      </w:r>
    </w:p>
    <w:p>
      <w:pPr>
        <w:keepNext w:val="0"/>
        <w:keepLines w:val="0"/>
        <w:widowControl/>
        <w:suppressLineNumbers w:val="0"/>
        <w:spacing w:line="48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地址：</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pPr>
        <w:keepNext w:val="0"/>
        <w:keepLines w:val="0"/>
        <w:widowControl/>
        <w:suppressLineNumbers w:val="0"/>
        <w:spacing w:line="48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成立时间：</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年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月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日 </w:t>
      </w:r>
    </w:p>
    <w:p>
      <w:pPr>
        <w:keepNext w:val="0"/>
        <w:keepLines w:val="0"/>
        <w:widowControl/>
        <w:suppressLineNumbers w:val="0"/>
        <w:spacing w:line="48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经营期限： </w:t>
      </w:r>
      <w:r>
        <w:rPr>
          <w:rFonts w:hint="eastAsia" w:ascii="宋体" w:hAnsi="宋体" w:eastAsia="宋体" w:cs="宋体"/>
          <w:color w:val="auto"/>
          <w:kern w:val="0"/>
          <w:sz w:val="24"/>
          <w:szCs w:val="24"/>
          <w:u w:val="single"/>
          <w:lang w:val="en-US" w:eastAsia="zh-CN" w:bidi="ar"/>
        </w:rPr>
        <w:t xml:space="preserve">              </w:t>
      </w:r>
    </w:p>
    <w:p>
      <w:pPr>
        <w:keepNext w:val="0"/>
        <w:keepLines w:val="0"/>
        <w:widowControl/>
        <w:suppressLineNumbers w:val="0"/>
        <w:spacing w:line="48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姓名：</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性别：</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年龄：</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职务： </w:t>
      </w:r>
      <w:r>
        <w:rPr>
          <w:rFonts w:hint="eastAsia" w:ascii="宋体" w:hAnsi="宋体" w:eastAsia="宋体" w:cs="宋体"/>
          <w:color w:val="auto"/>
          <w:kern w:val="0"/>
          <w:sz w:val="24"/>
          <w:szCs w:val="24"/>
          <w:u w:val="single"/>
          <w:lang w:val="en-US" w:eastAsia="zh-CN" w:bidi="ar"/>
        </w:rPr>
        <w:t xml:space="preserve">         </w:t>
      </w:r>
    </w:p>
    <w:p>
      <w:pPr>
        <w:keepNext w:val="0"/>
        <w:keepLines w:val="0"/>
        <w:widowControl/>
        <w:suppressLineNumbers w:val="0"/>
        <w:spacing w:line="48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身份证号码：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系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（供应商名称）的法定代表人。 </w:t>
      </w:r>
    </w:p>
    <w:p>
      <w:pPr>
        <w:keepNext w:val="0"/>
        <w:keepLines w:val="0"/>
        <w:widowControl/>
        <w:suppressLineNumbers w:val="0"/>
        <w:spacing w:line="480" w:lineRule="auto"/>
        <w:ind w:firstLine="480" w:firstLineChars="200"/>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48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特此证明。 </w:t>
      </w:r>
    </w:p>
    <w:p>
      <w:pPr>
        <w:keepNext w:val="0"/>
        <w:keepLines w:val="0"/>
        <w:widowControl/>
        <w:suppressLineNumbers w:val="0"/>
        <w:spacing w:line="48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lang w:eastAsia="zh-CN"/>
        </w:rPr>
        <w:t>附：法定代表人身份证复印件</w:t>
      </w:r>
    </w:p>
    <w:p>
      <w:pPr>
        <w:keepNext w:val="0"/>
        <w:keepLines w:val="0"/>
        <w:widowControl/>
        <w:suppressLineNumbers w:val="0"/>
        <w:spacing w:line="480" w:lineRule="auto"/>
        <w:jc w:val="right"/>
        <w:rPr>
          <w:rFonts w:hint="eastAsia" w:ascii="宋体" w:hAnsi="宋体" w:eastAsia="宋体" w:cs="宋体"/>
          <w:color w:val="auto"/>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（单位公章）。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法定代表人（签字或加盖个人名章）：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pPr>
        <w:widowControl/>
        <w:spacing w:line="360" w:lineRule="auto"/>
        <w:ind w:firstLine="4142" w:firstLineChars="1726"/>
        <w:rPr>
          <w:rFonts w:hint="eastAsia" w:ascii="宋体" w:hAnsi="宋体" w:eastAsia="宋体" w:cs="宋体"/>
          <w:color w:val="auto"/>
          <w:sz w:val="24"/>
          <w:szCs w:val="24"/>
        </w:rPr>
      </w:pPr>
    </w:p>
    <w:p>
      <w:pPr>
        <w:jc w:val="both"/>
        <w:rPr>
          <w:rFonts w:hint="eastAsia" w:ascii="宋体" w:hAnsi="宋体" w:eastAsia="宋体" w:cs="宋体"/>
          <w:color w:val="auto"/>
          <w:kern w:val="0"/>
          <w:sz w:val="24"/>
          <w:szCs w:val="24"/>
          <w:lang w:val="en-US" w:eastAsia="zh-CN" w:bidi="ar"/>
        </w:rPr>
      </w:pPr>
    </w:p>
    <w:p>
      <w:pPr>
        <w:jc w:val="both"/>
        <w:rPr>
          <w:rFonts w:hint="eastAsia" w:ascii="宋体" w:hAnsi="宋体" w:eastAsia="宋体" w:cs="宋体"/>
          <w:color w:val="auto"/>
          <w:kern w:val="0"/>
          <w:sz w:val="24"/>
          <w:szCs w:val="24"/>
          <w:lang w:val="en-US" w:eastAsia="zh-CN" w:bidi="ar"/>
        </w:rPr>
      </w:pPr>
    </w:p>
    <w:p>
      <w:pPr>
        <w:ind w:firstLine="480" w:firstLineChars="200"/>
        <w:jc w:val="both"/>
        <w:rPr>
          <w:rFonts w:hint="eastAsia" w:ascii="宋体" w:hAnsi="宋体" w:eastAsia="宋体" w:cs="宋体"/>
          <w:bCs/>
          <w:color w:val="auto"/>
          <w:sz w:val="24"/>
          <w:szCs w:val="24"/>
          <w:lang w:eastAsia="zh-CN"/>
        </w:rPr>
      </w:pPr>
      <w:r>
        <w:rPr>
          <w:rFonts w:hint="eastAsia" w:ascii="宋体" w:hAnsi="宋体" w:eastAsia="宋体" w:cs="宋体"/>
          <w:color w:val="auto"/>
          <w:kern w:val="0"/>
          <w:sz w:val="24"/>
          <w:szCs w:val="24"/>
          <w:lang w:val="en-US" w:eastAsia="zh-CN" w:bidi="ar"/>
        </w:rPr>
        <w:t xml:space="preserve">注：供应商根据自身情况在响应文件中提供（一）或（二）。 </w:t>
      </w:r>
      <w:r>
        <w:rPr>
          <w:rFonts w:hint="eastAsia" w:ascii="宋体" w:hAnsi="宋体" w:eastAsia="宋体" w:cs="宋体"/>
          <w:bCs/>
          <w:color w:val="auto"/>
          <w:sz w:val="24"/>
          <w:szCs w:val="24"/>
          <w:lang w:eastAsia="zh-CN"/>
        </w:rPr>
        <w:br w:type="page"/>
      </w: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（二）</w:t>
      </w:r>
      <w:r>
        <w:rPr>
          <w:rFonts w:hint="eastAsia" w:ascii="宋体" w:hAnsi="宋体" w:eastAsia="宋体" w:cs="宋体"/>
          <w:b/>
          <w:bCs/>
          <w:color w:val="auto"/>
          <w:sz w:val="32"/>
          <w:szCs w:val="32"/>
        </w:rPr>
        <w:t>法定代表人授权书（实质性要求）</w:t>
      </w:r>
    </w:p>
    <w:p>
      <w:pPr>
        <w:widowControl/>
        <w:spacing w:line="360" w:lineRule="auto"/>
        <w:ind w:firstLine="480"/>
        <w:rPr>
          <w:rFonts w:hint="eastAsia" w:ascii="宋体" w:hAnsi="宋体" w:eastAsia="宋体" w:cs="宋体"/>
          <w:color w:val="auto"/>
          <w:sz w:val="24"/>
          <w:szCs w:val="24"/>
          <w:u w:val="single"/>
        </w:rPr>
      </w:pPr>
      <w:bookmarkStart w:id="193" w:name="_Toc485828487"/>
    </w:p>
    <w:p>
      <w:pPr>
        <w:keepNext w:val="0"/>
        <w:keepLines w:val="0"/>
        <w:pageBreakBefore w:val="0"/>
        <w:widowControl/>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bookmarkStart w:id="194" w:name="_Toc503794751"/>
      <w:r>
        <w:rPr>
          <w:rFonts w:hint="eastAsia" w:ascii="宋体" w:hAnsi="宋体" w:eastAsia="宋体" w:cs="宋体"/>
          <w:color w:val="auto"/>
          <w:sz w:val="24"/>
          <w:szCs w:val="24"/>
        </w:rPr>
        <w:t>（采购代理机构名称）：</w:t>
      </w:r>
      <w:bookmarkEnd w:id="193"/>
      <w:bookmarkEnd w:id="194"/>
    </w:p>
    <w:p>
      <w:pPr>
        <w:keepNext w:val="0"/>
        <w:keepLines w:val="0"/>
        <w:pageBreakBefore w:val="0"/>
        <w:widowControl/>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rPr>
      </w:pPr>
      <w:bookmarkStart w:id="195" w:name="_Toc485828488"/>
      <w:bookmarkStart w:id="196" w:name="_Toc503794752"/>
      <w:r>
        <w:rPr>
          <w:rFonts w:hint="eastAsia" w:ascii="宋体" w:hAnsi="宋体" w:eastAsia="宋体" w:cs="宋体"/>
          <w:color w:val="auto"/>
          <w:sz w:val="24"/>
          <w:szCs w:val="24"/>
        </w:rPr>
        <w:t>本授权声明：</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（法定代表人姓名、职务）授权</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（被授权人姓名、职务）为我方“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w:t>
      </w:r>
      <w:r>
        <w:rPr>
          <w:rFonts w:hint="eastAsia" w:ascii="宋体" w:hAnsi="宋体" w:eastAsia="宋体" w:cs="宋体"/>
          <w:color w:val="auto"/>
          <w:sz w:val="24"/>
          <w:szCs w:val="24"/>
          <w:lang w:eastAsia="zh-CN"/>
        </w:rPr>
        <w:t>（项目名称）</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（项目编号）磋商活动的合法代表，以我方名义全权处理该项目有关磋商、签订合同以及执行合同等一切事宜。</w:t>
      </w:r>
      <w:bookmarkEnd w:id="195"/>
      <w:bookmarkEnd w:id="196"/>
    </w:p>
    <w:p>
      <w:pPr>
        <w:widowControl/>
        <w:spacing w:line="360" w:lineRule="auto"/>
        <w:ind w:firstLine="480"/>
        <w:rPr>
          <w:rFonts w:hint="eastAsia" w:ascii="宋体" w:hAnsi="宋体" w:eastAsia="宋体" w:cs="宋体"/>
          <w:color w:val="auto"/>
          <w:sz w:val="24"/>
          <w:szCs w:val="24"/>
        </w:rPr>
      </w:pPr>
      <w:bookmarkStart w:id="197" w:name="_Toc503794753"/>
      <w:bookmarkStart w:id="198" w:name="_Toc485828489"/>
      <w:r>
        <w:rPr>
          <w:rFonts w:hint="eastAsia" w:ascii="宋体" w:hAnsi="宋体" w:eastAsia="宋体" w:cs="宋体"/>
          <w:color w:val="auto"/>
          <w:sz w:val="24"/>
          <w:szCs w:val="24"/>
        </w:rPr>
        <w:t>特此声明。</w:t>
      </w:r>
      <w:bookmarkEnd w:id="197"/>
      <w:bookmarkEnd w:id="198"/>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附：法定代表人身份证件复印件、被授权人身份证件复印件</w:t>
      </w:r>
    </w:p>
    <w:p>
      <w:pPr>
        <w:widowControl/>
        <w:spacing w:line="360" w:lineRule="auto"/>
        <w:ind w:firstLine="480"/>
        <w:rPr>
          <w:rFonts w:hint="eastAsia" w:ascii="宋体" w:hAnsi="宋体" w:eastAsia="宋体" w:cs="宋体"/>
          <w:color w:val="auto"/>
          <w:sz w:val="24"/>
          <w:szCs w:val="24"/>
        </w:rPr>
      </w:pPr>
    </w:p>
    <w:p>
      <w:pPr>
        <w:widowControl/>
        <w:spacing w:line="360" w:lineRule="auto"/>
        <w:ind w:firstLine="480"/>
        <w:rPr>
          <w:rFonts w:hint="eastAsia" w:ascii="宋体" w:hAnsi="宋体" w:eastAsia="宋体" w:cs="宋体"/>
          <w:color w:val="auto"/>
          <w:sz w:val="24"/>
          <w:szCs w:val="24"/>
        </w:rPr>
      </w:pPr>
      <w:bookmarkStart w:id="199" w:name="_Toc503794754"/>
      <w:bookmarkStart w:id="200" w:name="_Toc485828490"/>
      <w:r>
        <w:rPr>
          <w:rFonts w:hint="eastAsia" w:ascii="宋体" w:hAnsi="宋体" w:eastAsia="宋体" w:cs="宋体"/>
          <w:color w:val="auto"/>
          <w:sz w:val="24"/>
          <w:szCs w:val="24"/>
        </w:rPr>
        <w:t>法定代表人签字或者加盖个人名章：</w:t>
      </w:r>
      <w:bookmarkEnd w:id="199"/>
      <w:bookmarkEnd w:id="200"/>
      <w:r>
        <w:rPr>
          <w:rFonts w:hint="eastAsia" w:ascii="宋体" w:hAnsi="宋体" w:eastAsia="宋体" w:cs="宋体"/>
          <w:color w:val="auto"/>
          <w:sz w:val="24"/>
          <w:szCs w:val="24"/>
          <w:u w:val="single"/>
        </w:rPr>
        <w:t>         </w:t>
      </w:r>
    </w:p>
    <w:p>
      <w:pPr>
        <w:widowControl/>
        <w:spacing w:line="360" w:lineRule="auto"/>
        <w:ind w:firstLine="480"/>
        <w:rPr>
          <w:rFonts w:hint="eastAsia" w:ascii="宋体" w:hAnsi="宋体" w:eastAsia="宋体" w:cs="宋体"/>
          <w:color w:val="auto"/>
          <w:sz w:val="24"/>
          <w:szCs w:val="24"/>
        </w:rPr>
      </w:pPr>
      <w:bookmarkStart w:id="201" w:name="_Toc485828491"/>
      <w:bookmarkStart w:id="202" w:name="_Toc503794755"/>
      <w:r>
        <w:rPr>
          <w:rFonts w:hint="eastAsia" w:ascii="宋体" w:hAnsi="宋体" w:eastAsia="宋体" w:cs="宋体"/>
          <w:color w:val="auto"/>
          <w:sz w:val="24"/>
          <w:szCs w:val="24"/>
        </w:rPr>
        <w:t>授权代表签字：</w:t>
      </w:r>
      <w:bookmarkEnd w:id="201"/>
      <w:bookmarkEnd w:id="202"/>
      <w:r>
        <w:rPr>
          <w:rFonts w:hint="eastAsia" w:ascii="宋体" w:hAnsi="宋体" w:eastAsia="宋体" w:cs="宋体"/>
          <w:color w:val="auto"/>
          <w:sz w:val="24"/>
          <w:szCs w:val="24"/>
          <w:u w:val="single"/>
        </w:rPr>
        <w:t>             </w:t>
      </w:r>
    </w:p>
    <w:p>
      <w:pPr>
        <w:widowControl/>
        <w:spacing w:line="360" w:lineRule="auto"/>
        <w:ind w:firstLine="480"/>
        <w:rPr>
          <w:rFonts w:hint="eastAsia" w:ascii="宋体" w:hAnsi="宋体" w:eastAsia="宋体" w:cs="宋体"/>
          <w:color w:val="auto"/>
          <w:sz w:val="24"/>
          <w:szCs w:val="24"/>
        </w:rPr>
      </w:pPr>
      <w:bookmarkStart w:id="203" w:name="_Toc485828492"/>
      <w:bookmarkStart w:id="204" w:name="_Toc503794756"/>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（单位盖章）</w:t>
      </w:r>
      <w:bookmarkEnd w:id="203"/>
      <w:bookmarkEnd w:id="204"/>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pPr>
        <w:widowControl/>
        <w:spacing w:line="360" w:lineRule="auto"/>
        <w:ind w:firstLine="480"/>
        <w:rPr>
          <w:rFonts w:hint="eastAsia" w:ascii="宋体" w:hAnsi="宋体" w:eastAsia="宋体" w:cs="宋体"/>
          <w:color w:val="auto"/>
          <w:sz w:val="24"/>
          <w:szCs w:val="24"/>
        </w:rPr>
      </w:pPr>
    </w:p>
    <w:p>
      <w:pPr>
        <w:widowControl/>
        <w:spacing w:line="360" w:lineRule="auto"/>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bCs/>
          <w:color w:val="auto"/>
          <w:sz w:val="24"/>
        </w:rPr>
      </w:pPr>
    </w:p>
    <w:p>
      <w:pPr>
        <w:widowControl/>
        <w:spacing w:line="360" w:lineRule="auto"/>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color w:val="auto"/>
          <w:sz w:val="24"/>
        </w:rPr>
      </w:pPr>
    </w:p>
    <w:p>
      <w:pPr>
        <w:widowControl/>
        <w:ind w:firstLine="480"/>
        <w:rPr>
          <w:rFonts w:hint="eastAsia" w:ascii="宋体" w:hAnsi="宋体" w:eastAsia="宋体" w:cs="宋体"/>
          <w:bCs/>
          <w:color w:val="auto"/>
          <w:sz w:val="24"/>
        </w:rPr>
      </w:pPr>
    </w:p>
    <w:p>
      <w:pPr>
        <w:widowControl/>
        <w:ind w:firstLine="480"/>
        <w:rPr>
          <w:rFonts w:hint="eastAsia" w:ascii="宋体" w:hAnsi="宋体" w:eastAsia="宋体" w:cs="宋体"/>
          <w:bCs/>
          <w:color w:val="auto"/>
          <w:sz w:val="24"/>
        </w:rPr>
      </w:pPr>
      <w:r>
        <w:rPr>
          <w:rFonts w:hint="eastAsia" w:ascii="宋体" w:hAnsi="宋体" w:eastAsia="宋体" w:cs="宋体"/>
          <w:bCs/>
          <w:color w:val="auto"/>
          <w:sz w:val="24"/>
        </w:rPr>
        <w:br w:type="page"/>
      </w:r>
    </w:p>
    <w:p>
      <w:pPr>
        <w:pStyle w:val="29"/>
        <w:spacing w:before="156" w:after="156"/>
        <w:rPr>
          <w:rFonts w:hint="eastAsia" w:ascii="宋体" w:hAnsi="宋体" w:eastAsia="宋体" w:cs="宋体"/>
          <w:color w:val="auto"/>
          <w:sz w:val="24"/>
          <w:szCs w:val="24"/>
        </w:rPr>
      </w:pPr>
      <w:bookmarkStart w:id="205" w:name="_Toc485828477"/>
      <w:bookmarkStart w:id="206" w:name="_Toc18483"/>
      <w:bookmarkStart w:id="207" w:name="_Toc23843"/>
      <w:bookmarkStart w:id="208" w:name="_Toc10859"/>
      <w:r>
        <w:rPr>
          <w:rFonts w:hint="eastAsia" w:ascii="宋体" w:hAnsi="宋体" w:eastAsia="宋体" w:cs="宋体"/>
          <w:color w:val="auto"/>
          <w:lang w:eastAsia="zh-CN"/>
        </w:rPr>
        <w:t>三</w:t>
      </w:r>
      <w:r>
        <w:rPr>
          <w:rFonts w:hint="eastAsia" w:ascii="宋体" w:hAnsi="宋体" w:eastAsia="宋体" w:cs="宋体"/>
          <w:color w:val="auto"/>
        </w:rPr>
        <w:t>、供应商应当提供的其他资格、资质性及其他类似效力</w:t>
      </w:r>
      <w:bookmarkEnd w:id="205"/>
      <w:bookmarkStart w:id="209" w:name="_Toc485828478"/>
      <w:bookmarkStart w:id="210" w:name="_Toc503794757"/>
      <w:r>
        <w:rPr>
          <w:rFonts w:hint="eastAsia" w:ascii="宋体" w:hAnsi="宋体" w:eastAsia="宋体" w:cs="宋体"/>
          <w:color w:val="auto"/>
        </w:rPr>
        <w:t>要求的相关证明材料</w:t>
      </w:r>
      <w:bookmarkEnd w:id="206"/>
      <w:bookmarkEnd w:id="207"/>
      <w:bookmarkEnd w:id="208"/>
      <w:bookmarkEnd w:id="209"/>
      <w:bookmarkEnd w:id="210"/>
    </w:p>
    <w:p>
      <w:pPr>
        <w:widowControl/>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供应商应根据本项目竞争性磋商文件第四章的要求提供的其他相关证明材料，格式自拟。</w:t>
      </w:r>
    </w:p>
    <w:p>
      <w:pPr>
        <w:rPr>
          <w:rFonts w:hint="eastAsia" w:ascii="宋体" w:hAnsi="宋体" w:eastAsia="宋体" w:cs="宋体"/>
          <w:color w:val="auto"/>
          <w:lang w:eastAsia="zh-CN"/>
        </w:rPr>
      </w:pPr>
      <w:r>
        <w:rPr>
          <w:rFonts w:hint="eastAsia" w:ascii="宋体" w:hAnsi="宋体" w:eastAsia="宋体" w:cs="宋体"/>
          <w:color w:val="auto"/>
          <w:lang w:eastAsia="zh-CN"/>
        </w:rPr>
        <w:br w:type="page"/>
      </w:r>
    </w:p>
    <w:p>
      <w:pPr>
        <w:pStyle w:val="29"/>
        <w:spacing w:before="156" w:after="156"/>
        <w:rPr>
          <w:rFonts w:hint="eastAsia" w:ascii="宋体" w:hAnsi="宋体" w:eastAsia="宋体" w:cs="宋体"/>
          <w:color w:val="auto"/>
          <w:sz w:val="24"/>
          <w:szCs w:val="24"/>
        </w:rPr>
      </w:pPr>
      <w:bookmarkStart w:id="211" w:name="_Toc26655"/>
      <w:r>
        <w:rPr>
          <w:rFonts w:hint="eastAsia" w:ascii="宋体" w:hAnsi="宋体" w:eastAsia="宋体" w:cs="宋体"/>
          <w:color w:val="auto"/>
          <w:lang w:eastAsia="zh-CN"/>
        </w:rPr>
        <w:t>四、</w:t>
      </w:r>
      <w:r>
        <w:rPr>
          <w:rFonts w:hint="eastAsia" w:ascii="宋体" w:hAnsi="宋体" w:eastAsia="宋体" w:cs="宋体"/>
          <w:color w:val="auto"/>
        </w:rPr>
        <w:t>相关文书格式</w:t>
      </w:r>
      <w:bookmarkEnd w:id="211"/>
    </w:p>
    <w:p>
      <w:pPr>
        <w:widowControl/>
        <w:ind w:firstLine="480"/>
        <w:rPr>
          <w:rFonts w:hint="eastAsia" w:ascii="宋体" w:hAnsi="宋体" w:eastAsia="宋体" w:cs="宋体"/>
          <w:color w:val="auto"/>
          <w:sz w:val="24"/>
        </w:rPr>
      </w:pPr>
      <w:r>
        <w:rPr>
          <w:rFonts w:hint="eastAsia" w:ascii="宋体" w:hAnsi="宋体" w:eastAsia="宋体" w:cs="宋体"/>
          <w:color w:val="auto"/>
          <w:sz w:val="24"/>
        </w:rPr>
        <w:t xml:space="preserve">格式1： </w:t>
      </w:r>
    </w:p>
    <w:p>
      <w:pPr>
        <w:keepNext w:val="0"/>
        <w:keepLines w:val="0"/>
        <w:widowControl/>
        <w:suppressLineNumbers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中小企业声明函（服务类）</w:t>
      </w:r>
    </w:p>
    <w:p>
      <w:pPr>
        <w:pStyle w:val="2"/>
        <w:spacing w:line="360" w:lineRule="auto"/>
        <w:jc w:val="both"/>
        <w:rPr>
          <w:rFonts w:hint="eastAsia" w:ascii="宋体" w:hAnsi="宋体" w:eastAsia="宋体" w:cs="宋体"/>
          <w:color w:val="auto"/>
          <w:sz w:val="24"/>
          <w:szCs w:val="24"/>
          <w:highlight w:val="none"/>
          <w:lang w:eastAsia="zh-CN"/>
        </w:rPr>
      </w:pP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本公司（联合体）郑重声明，根据《政府采购促进中小企业发展管理办法》（财库【2020】46 号）的规定，本公司（联合体）参加</w:t>
      </w:r>
      <w:r>
        <w:rPr>
          <w:rFonts w:hint="eastAsia" w:ascii="宋体" w:hAnsi="宋体" w:eastAsia="宋体" w:cs="宋体"/>
          <w:color w:val="auto"/>
          <w:kern w:val="0"/>
          <w:sz w:val="24"/>
          <w:szCs w:val="24"/>
          <w:highlight w:val="none"/>
          <w:u w:val="single"/>
          <w:lang w:val="en-US" w:eastAsia="zh-CN" w:bidi="ar"/>
        </w:rPr>
        <w:t>（单位名称）</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u w:val="single"/>
          <w:lang w:val="en-US" w:eastAsia="zh-CN" w:bidi="ar"/>
        </w:rPr>
        <w:t>（项目名称）</w:t>
      </w:r>
      <w:r>
        <w:rPr>
          <w:rFonts w:hint="eastAsia" w:ascii="宋体" w:hAnsi="宋体" w:eastAsia="宋体" w:cs="宋体"/>
          <w:color w:val="auto"/>
          <w:kern w:val="0"/>
          <w:sz w:val="24"/>
          <w:szCs w:val="24"/>
          <w:highlight w:val="none"/>
          <w:lang w:val="en-US" w:eastAsia="zh-CN" w:bidi="ar"/>
        </w:rPr>
        <w:t xml:space="preserve">采购活动，提供的服务全部由符合政策要求的中小企业承接。相关企业（含联合体中的中 小企业、签订分包意向协议的中小企业）的具体情况如下：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u w:val="single"/>
          <w:lang w:val="en-US" w:eastAsia="zh-CN" w:bidi="ar"/>
        </w:rPr>
        <w:t>（标的名称）</w:t>
      </w:r>
      <w:r>
        <w:rPr>
          <w:rFonts w:hint="eastAsia" w:ascii="宋体" w:hAnsi="宋体" w:eastAsia="宋体" w:cs="宋体"/>
          <w:color w:val="auto"/>
          <w:kern w:val="0"/>
          <w:sz w:val="24"/>
          <w:szCs w:val="24"/>
          <w:highlight w:val="none"/>
          <w:lang w:val="en-US" w:eastAsia="zh-CN" w:bidi="ar"/>
        </w:rPr>
        <w:t>，属于</w:t>
      </w:r>
      <w:r>
        <w:rPr>
          <w:rFonts w:hint="eastAsia" w:ascii="宋体" w:hAnsi="宋体" w:eastAsia="宋体" w:cs="宋体"/>
          <w:color w:val="auto"/>
          <w:kern w:val="0"/>
          <w:sz w:val="24"/>
          <w:szCs w:val="24"/>
          <w:highlight w:val="none"/>
          <w:u w:val="single"/>
          <w:lang w:val="en-US" w:eastAsia="zh-CN" w:bidi="ar"/>
        </w:rPr>
        <w:t>（采购文件中明确的所属行业）</w:t>
      </w:r>
      <w:r>
        <w:rPr>
          <w:rFonts w:hint="eastAsia" w:ascii="宋体" w:hAnsi="宋体" w:eastAsia="宋体" w:cs="宋体"/>
          <w:color w:val="auto"/>
          <w:kern w:val="0"/>
          <w:sz w:val="24"/>
          <w:szCs w:val="24"/>
          <w:highlight w:val="none"/>
          <w:lang w:val="en-US" w:eastAsia="zh-CN" w:bidi="ar"/>
        </w:rPr>
        <w:t>行业；承接企业为</w:t>
      </w:r>
      <w:r>
        <w:rPr>
          <w:rFonts w:hint="eastAsia" w:ascii="宋体" w:hAnsi="宋体" w:eastAsia="宋体" w:cs="宋体"/>
          <w:color w:val="auto"/>
          <w:kern w:val="0"/>
          <w:sz w:val="24"/>
          <w:szCs w:val="24"/>
          <w:highlight w:val="none"/>
          <w:u w:val="single"/>
          <w:lang w:val="en-US" w:eastAsia="zh-CN" w:bidi="ar"/>
        </w:rPr>
        <w:t>（企业名称）</w:t>
      </w:r>
      <w:r>
        <w:rPr>
          <w:rFonts w:hint="eastAsia" w:ascii="宋体" w:hAnsi="宋体" w:eastAsia="宋体" w:cs="宋体"/>
          <w:color w:val="auto"/>
          <w:kern w:val="0"/>
          <w:sz w:val="24"/>
          <w:szCs w:val="24"/>
          <w:highlight w:val="none"/>
          <w:lang w:val="en-US" w:eastAsia="zh-CN" w:bidi="ar"/>
        </w:rPr>
        <w:t>，从业人员</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人，营业收入为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万元，资产总额为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万元，属于</w:t>
      </w:r>
      <w:r>
        <w:rPr>
          <w:rFonts w:hint="eastAsia" w:ascii="宋体" w:hAnsi="宋体" w:eastAsia="宋体" w:cs="宋体"/>
          <w:color w:val="auto"/>
          <w:kern w:val="0"/>
          <w:sz w:val="24"/>
          <w:szCs w:val="24"/>
          <w:highlight w:val="none"/>
          <w:u w:val="single"/>
          <w:lang w:val="en-US" w:eastAsia="zh-CN" w:bidi="ar"/>
        </w:rPr>
        <w:t>（中型企业、小型企业、微型企业）</w:t>
      </w: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u w:val="single"/>
          <w:lang w:val="en-US" w:eastAsia="zh-CN" w:bidi="ar"/>
        </w:rPr>
        <w:t>（标的名称）</w:t>
      </w:r>
      <w:r>
        <w:rPr>
          <w:rFonts w:hint="eastAsia" w:ascii="宋体" w:hAnsi="宋体" w:eastAsia="宋体" w:cs="宋体"/>
          <w:color w:val="auto"/>
          <w:kern w:val="0"/>
          <w:sz w:val="24"/>
          <w:szCs w:val="24"/>
          <w:highlight w:val="none"/>
          <w:lang w:val="en-US" w:eastAsia="zh-CN" w:bidi="ar"/>
        </w:rPr>
        <w:t>，属于</w:t>
      </w:r>
      <w:r>
        <w:rPr>
          <w:rFonts w:hint="eastAsia" w:ascii="宋体" w:hAnsi="宋体" w:eastAsia="宋体" w:cs="宋体"/>
          <w:color w:val="auto"/>
          <w:kern w:val="0"/>
          <w:sz w:val="24"/>
          <w:szCs w:val="24"/>
          <w:highlight w:val="none"/>
          <w:u w:val="single"/>
          <w:lang w:val="en-US" w:eastAsia="zh-CN" w:bidi="ar"/>
        </w:rPr>
        <w:t>（采购文件中明确的所属行业）</w:t>
      </w:r>
      <w:r>
        <w:rPr>
          <w:rFonts w:hint="eastAsia" w:ascii="宋体" w:hAnsi="宋体" w:eastAsia="宋体" w:cs="宋体"/>
          <w:color w:val="auto"/>
          <w:kern w:val="0"/>
          <w:sz w:val="24"/>
          <w:szCs w:val="24"/>
          <w:highlight w:val="none"/>
          <w:lang w:val="en-US" w:eastAsia="zh-CN" w:bidi="ar"/>
        </w:rPr>
        <w:t>行业；承接企业为</w:t>
      </w:r>
      <w:r>
        <w:rPr>
          <w:rFonts w:hint="eastAsia" w:ascii="宋体" w:hAnsi="宋体" w:eastAsia="宋体" w:cs="宋体"/>
          <w:color w:val="auto"/>
          <w:kern w:val="0"/>
          <w:sz w:val="24"/>
          <w:szCs w:val="24"/>
          <w:highlight w:val="none"/>
          <w:u w:val="single"/>
          <w:lang w:val="en-US" w:eastAsia="zh-CN" w:bidi="ar"/>
        </w:rPr>
        <w:t>（企业名称）</w:t>
      </w:r>
      <w:r>
        <w:rPr>
          <w:rFonts w:hint="eastAsia" w:ascii="宋体" w:hAnsi="宋体" w:eastAsia="宋体" w:cs="宋体"/>
          <w:color w:val="auto"/>
          <w:kern w:val="0"/>
          <w:sz w:val="24"/>
          <w:szCs w:val="24"/>
          <w:highlight w:val="none"/>
          <w:lang w:val="en-US" w:eastAsia="zh-CN" w:bidi="ar"/>
        </w:rPr>
        <w:t>，从业人员</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人，营业收入为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万元，资产总额为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万元，属于</w:t>
      </w:r>
      <w:r>
        <w:rPr>
          <w:rFonts w:hint="eastAsia" w:ascii="宋体" w:hAnsi="宋体" w:eastAsia="宋体" w:cs="宋体"/>
          <w:color w:val="auto"/>
          <w:kern w:val="0"/>
          <w:sz w:val="24"/>
          <w:szCs w:val="24"/>
          <w:highlight w:val="none"/>
          <w:u w:val="single"/>
          <w:lang w:val="en-US" w:eastAsia="zh-CN" w:bidi="ar"/>
        </w:rPr>
        <w:t>（中型企业、小型企业、微型企业）</w:t>
      </w:r>
      <w:r>
        <w:rPr>
          <w:rFonts w:hint="eastAsia" w:ascii="宋体" w:hAnsi="宋体" w:eastAsia="宋体" w:cs="宋体"/>
          <w:color w:val="auto"/>
          <w:kern w:val="0"/>
          <w:sz w:val="24"/>
          <w:szCs w:val="24"/>
          <w:highlight w:val="none"/>
          <w:lang w:val="en-US" w:eastAsia="zh-CN" w:bidi="ar"/>
        </w:rPr>
        <w:t>；</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以上企业，不属于大企业的分支机构，不存在控股股东为大企业的情形，也不存在于大企业的负责人为同一人的情形。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本企业对上述声明内容的真实性负责。如有虚假，将依法承担相应责任。 </w:t>
      </w:r>
    </w:p>
    <w:p>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pPr>
        <w:keepNext w:val="0"/>
        <w:keepLines w:val="0"/>
        <w:widowControl/>
        <w:suppressLineNumbers w:val="0"/>
        <w:spacing w:line="360" w:lineRule="auto"/>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企业名称（盖章）： </w:t>
      </w:r>
    </w:p>
    <w:p>
      <w:pPr>
        <w:keepNext w:val="0"/>
        <w:keepLines w:val="0"/>
        <w:widowControl/>
        <w:suppressLineNumbers w:val="0"/>
        <w:spacing w:line="360" w:lineRule="auto"/>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日期： </w:t>
      </w:r>
    </w:p>
    <w:p>
      <w:pPr>
        <w:pStyle w:val="2"/>
        <w:rPr>
          <w:rFonts w:hint="eastAsia" w:ascii="宋体" w:hAnsi="宋体" w:eastAsia="宋体" w:cs="宋体"/>
          <w:color w:val="auto"/>
        </w:rPr>
      </w:pPr>
      <w:r>
        <w:rPr>
          <w:rFonts w:hint="eastAsia" w:ascii="宋体" w:hAnsi="宋体" w:eastAsia="宋体" w:cs="宋体"/>
          <w:b/>
          <w:color w:val="auto"/>
          <w:kern w:val="0"/>
          <w:sz w:val="24"/>
          <w:szCs w:val="24"/>
          <w:highlight w:val="none"/>
          <w:lang w:val="en-US" w:eastAsia="zh-CN" w:bidi="ar"/>
        </w:rPr>
        <w:t>注：1、从业人员、营业收入、资产总额填报上一年度数据，无上一年度数据的新成立企业可不填报。</w:t>
      </w:r>
    </w:p>
    <w:p>
      <w:pPr>
        <w:spacing w:line="360" w:lineRule="auto"/>
        <w:rPr>
          <w:rFonts w:hint="eastAsia" w:ascii="宋体" w:hAnsi="宋体" w:eastAsia="宋体" w:cs="宋体"/>
          <w:color w:val="auto"/>
          <w:highlight w:val="none"/>
        </w:rPr>
      </w:pPr>
      <w:bookmarkStart w:id="212" w:name="_Toc480288392"/>
      <w:bookmarkStart w:id="213" w:name="_Toc482366545"/>
      <w:bookmarkStart w:id="214" w:name="_Toc480288621"/>
    </w:p>
    <w:p>
      <w:pPr>
        <w:rPr>
          <w:rFonts w:hint="eastAsia" w:ascii="宋体" w:hAnsi="宋体" w:eastAsia="宋体" w:cs="宋体"/>
          <w:color w:val="auto"/>
          <w:sz w:val="24"/>
        </w:rPr>
      </w:pPr>
      <w:r>
        <w:rPr>
          <w:rFonts w:hint="eastAsia" w:ascii="宋体" w:hAnsi="宋体" w:eastAsia="宋体" w:cs="宋体"/>
          <w:color w:val="auto"/>
          <w:sz w:val="24"/>
        </w:rPr>
        <w:br w:type="page"/>
      </w:r>
    </w:p>
    <w:bookmarkEnd w:id="212"/>
    <w:bookmarkEnd w:id="213"/>
    <w:bookmarkEnd w:id="214"/>
    <w:p>
      <w:pPr>
        <w:widowControl/>
        <w:ind w:firstLine="480"/>
        <w:rPr>
          <w:rFonts w:hint="eastAsia" w:ascii="宋体" w:hAnsi="宋体" w:eastAsia="宋体" w:cs="宋体"/>
          <w:color w:val="auto"/>
          <w:sz w:val="24"/>
        </w:rPr>
      </w:pPr>
    </w:p>
    <w:p>
      <w:pPr>
        <w:widowControl/>
        <w:ind w:firstLine="480"/>
        <w:rPr>
          <w:rFonts w:hint="eastAsia" w:ascii="宋体" w:hAnsi="宋体" w:eastAsia="宋体" w:cs="宋体"/>
          <w:color w:val="auto"/>
          <w:sz w:val="24"/>
        </w:rPr>
      </w:pPr>
      <w:bookmarkStart w:id="215" w:name="OLE_LINK14"/>
      <w:bookmarkStart w:id="216" w:name="OLE_LINK13"/>
      <w:r>
        <w:rPr>
          <w:rFonts w:hint="eastAsia" w:ascii="宋体" w:hAnsi="宋体" w:eastAsia="宋体" w:cs="宋体"/>
          <w:color w:val="auto"/>
          <w:sz w:val="24"/>
        </w:rPr>
        <w:t>格式2：</w:t>
      </w:r>
    </w:p>
    <w:p>
      <w:pPr>
        <w:widowControl/>
        <w:ind w:firstLine="504"/>
        <w:rPr>
          <w:rFonts w:hint="eastAsia" w:ascii="宋体" w:hAnsi="宋体" w:eastAsia="宋体" w:cs="宋体"/>
          <w:color w:val="auto"/>
          <w:spacing w:val="6"/>
          <w:sz w:val="24"/>
        </w:rPr>
      </w:pPr>
    </w:p>
    <w:p>
      <w:pPr>
        <w:pStyle w:val="5"/>
        <w:spacing w:before="156" w:after="156"/>
        <w:jc w:val="center"/>
        <w:rPr>
          <w:rFonts w:hint="eastAsia" w:ascii="宋体" w:hAnsi="宋体" w:eastAsia="宋体" w:cs="宋体"/>
          <w:color w:val="auto"/>
        </w:rPr>
      </w:pPr>
      <w:bookmarkStart w:id="217" w:name="_Toc17084"/>
      <w:bookmarkStart w:id="218" w:name="_Toc25227"/>
      <w:bookmarkStart w:id="219" w:name="_Toc31749"/>
      <w:r>
        <w:rPr>
          <w:rFonts w:hint="eastAsia" w:ascii="宋体" w:hAnsi="宋体" w:eastAsia="宋体" w:cs="宋体"/>
          <w:color w:val="auto"/>
        </w:rPr>
        <w:t>残疾人福利性单位声明函</w:t>
      </w:r>
      <w:bookmarkEnd w:id="217"/>
      <w:bookmarkEnd w:id="218"/>
      <w:bookmarkEnd w:id="219"/>
    </w:p>
    <w:bookmarkEnd w:id="215"/>
    <w:bookmarkEnd w:id="216"/>
    <w:p>
      <w:pPr>
        <w:widowControl/>
        <w:ind w:firstLine="504"/>
        <w:rPr>
          <w:rFonts w:hint="eastAsia" w:ascii="宋体" w:hAnsi="宋体" w:eastAsia="宋体" w:cs="宋体"/>
          <w:color w:val="auto"/>
          <w:spacing w:val="6"/>
          <w:sz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w:t>
      </w:r>
      <w:r>
        <w:rPr>
          <w:rFonts w:hint="eastAsia" w:ascii="宋体" w:hAnsi="宋体" w:eastAsia="宋体" w:cs="宋体"/>
          <w:color w:val="auto"/>
          <w:spacing w:val="6"/>
          <w:sz w:val="24"/>
        </w:rPr>
        <w:t>且本单位参加______单位的______项目采购活动</w:t>
      </w:r>
      <w:r>
        <w:rPr>
          <w:rFonts w:hint="eastAsia" w:ascii="宋体" w:hAnsi="宋体" w:eastAsia="宋体" w:cs="宋体"/>
          <w:color w:val="auto"/>
          <w:spacing w:val="6"/>
          <w:sz w:val="24"/>
          <w:lang w:eastAsia="zh-CN"/>
        </w:rPr>
        <w:t>，</w:t>
      </w:r>
      <w:r>
        <w:rPr>
          <w:rFonts w:hint="eastAsia" w:ascii="宋体" w:hAnsi="宋体" w:eastAsia="宋体" w:cs="宋体"/>
          <w:color w:val="auto"/>
          <w:spacing w:val="6"/>
          <w:sz w:val="24"/>
        </w:rPr>
        <w:t>由本单位提供服务</w:t>
      </w:r>
      <w:r>
        <w:rPr>
          <w:rFonts w:hint="eastAsia" w:ascii="宋体" w:hAnsi="宋体" w:eastAsia="宋体" w:cs="宋体"/>
          <w:color w:val="auto"/>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widowControl/>
        <w:spacing w:line="360" w:lineRule="auto"/>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单位名称（盖章）：</w:t>
      </w:r>
      <w:r>
        <w:rPr>
          <w:rFonts w:hint="eastAsia" w:ascii="宋体" w:hAnsi="宋体" w:eastAsia="宋体" w:cs="宋体"/>
          <w:color w:val="auto"/>
          <w:sz w:val="24"/>
          <w:u w:val="single"/>
        </w:rPr>
        <w:t xml:space="preserve">         </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widowControl/>
        <w:spacing w:line="360" w:lineRule="auto"/>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注：1.残疾人福利性单位视同小型、微型企业，享受预留份额、评审中价格扣除等促进中小企业发展的政府采购政策。残疾人福利性单位属于小型、微型企业的，不重复享受政策。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2.供应商为非残疾人福利性单位的，可不提供此声明，不影响供应商响应文件的有效性。</w:t>
      </w:r>
    </w:p>
    <w:p>
      <w:pPr>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pPr>
        <w:pStyle w:val="5"/>
        <w:bidi w:val="0"/>
        <w:jc w:val="left"/>
        <w:rPr>
          <w:rFonts w:hint="eastAsia" w:ascii="宋体" w:hAnsi="宋体" w:eastAsia="宋体" w:cs="宋体"/>
          <w:b w:val="0"/>
          <w:bCs w:val="0"/>
          <w:color w:val="auto"/>
          <w:sz w:val="28"/>
          <w:szCs w:val="36"/>
          <w:lang w:val="en-US" w:eastAsia="zh-CN"/>
        </w:rPr>
      </w:pPr>
      <w:bookmarkStart w:id="220" w:name="_Toc5504"/>
      <w:r>
        <w:rPr>
          <w:rFonts w:hint="eastAsia" w:ascii="宋体" w:hAnsi="宋体" w:eastAsia="宋体" w:cs="宋体"/>
          <w:b w:val="0"/>
          <w:bCs w:val="0"/>
          <w:color w:val="auto"/>
          <w:sz w:val="28"/>
          <w:szCs w:val="36"/>
          <w:lang w:eastAsia="zh-CN"/>
        </w:rPr>
        <w:t>格式</w:t>
      </w:r>
      <w:r>
        <w:rPr>
          <w:rFonts w:hint="eastAsia" w:ascii="宋体" w:hAnsi="宋体" w:eastAsia="宋体" w:cs="宋体"/>
          <w:b w:val="0"/>
          <w:bCs w:val="0"/>
          <w:color w:val="auto"/>
          <w:sz w:val="28"/>
          <w:szCs w:val="36"/>
          <w:lang w:val="en-US" w:eastAsia="zh-CN"/>
        </w:rPr>
        <w:t>3：</w:t>
      </w:r>
      <w:bookmarkEnd w:id="220"/>
      <w:bookmarkStart w:id="221" w:name="_Toc30886"/>
    </w:p>
    <w:p>
      <w:pPr>
        <w:pStyle w:val="5"/>
        <w:bidi w:val="0"/>
        <w:jc w:val="center"/>
        <w:rPr>
          <w:rFonts w:hint="eastAsia" w:ascii="宋体" w:hAnsi="宋体" w:eastAsia="宋体" w:cs="宋体"/>
          <w:color w:val="auto"/>
          <w:highlight w:val="none"/>
        </w:rPr>
      </w:pPr>
      <w:bookmarkStart w:id="222" w:name="_Toc21755"/>
      <w:r>
        <w:rPr>
          <w:rFonts w:hint="eastAsia" w:ascii="宋体" w:hAnsi="宋体" w:eastAsia="宋体" w:cs="宋体"/>
          <w:color w:val="auto"/>
          <w:highlight w:val="none"/>
          <w:lang w:val="en-US" w:eastAsia="zh-CN"/>
        </w:rPr>
        <w:t>监狱企业证明材料</w:t>
      </w:r>
      <w:bookmarkEnd w:id="221"/>
      <w:bookmarkEnd w:id="222"/>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注： </w:t>
      </w:r>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1.根据《财政部 司法部关于政府采购支持监狱企业发展有关问题的通知》财库 </w:t>
      </w:r>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〔2014〕68 号文的规定，监狱企业参加政府采购活动时，应当提供由省级以上监狱管理局、戒毒管理局（含新疆生产建设兵团）出具的属于监狱企业的证明文件。 </w:t>
      </w:r>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 在政府采购活动中，监狱企业视同小型、微型企业，享受预留份额、评审中价格扣除等政府采购促进中小企业发展的政府采购政策。 </w:t>
      </w:r>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3.如未提供监狱企业相关证明材料的，则不能享受采购文件规定的价格扣除，但不影响供应商文件的有效性 。</w:t>
      </w:r>
    </w:p>
    <w:p>
      <w:pPr>
        <w:keepNext w:val="0"/>
        <w:keepLines w:val="0"/>
        <w:widowControl/>
        <w:suppressLineNumbers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4.非监狱企业参加本次采购活动，无需提供本证明材料</w:t>
      </w:r>
    </w:p>
    <w:p>
      <w:pPr>
        <w:widowControl/>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keepLines/>
        <w:spacing w:before="260" w:after="260" w:line="413" w:lineRule="auto"/>
        <w:ind w:firstLine="643" w:firstLineChars="200"/>
        <w:jc w:val="center"/>
        <w:outlineLvl w:val="1"/>
        <w:rPr>
          <w:rFonts w:hint="eastAsia" w:ascii="宋体" w:hAnsi="宋体" w:eastAsia="宋体" w:cs="宋体"/>
          <w:b/>
          <w:bCs/>
          <w:color w:val="auto"/>
          <w:sz w:val="32"/>
          <w:szCs w:val="32"/>
        </w:rPr>
      </w:pPr>
      <w:bookmarkStart w:id="223" w:name="_Toc26427"/>
      <w:bookmarkStart w:id="224" w:name="_Toc12060"/>
      <w:bookmarkStart w:id="225" w:name="_Toc4214"/>
      <w:r>
        <w:rPr>
          <w:rFonts w:hint="eastAsia" w:ascii="宋体" w:hAnsi="宋体" w:eastAsia="宋体" w:cs="宋体"/>
          <w:b/>
          <w:bCs/>
          <w:color w:val="auto"/>
          <w:sz w:val="32"/>
          <w:szCs w:val="32"/>
        </w:rPr>
        <w:t>第二部分     其他响应文件</w:t>
      </w:r>
      <w:bookmarkEnd w:id="223"/>
      <w:bookmarkEnd w:id="224"/>
      <w:bookmarkEnd w:id="225"/>
    </w:p>
    <w:p>
      <w:pPr>
        <w:widowControl/>
        <w:ind w:firstLine="480"/>
        <w:rPr>
          <w:rFonts w:hint="eastAsia" w:ascii="宋体" w:hAnsi="宋体" w:eastAsia="宋体" w:cs="宋体"/>
          <w:color w:val="auto"/>
          <w:sz w:val="24"/>
        </w:rPr>
      </w:pPr>
    </w:p>
    <w:p>
      <w:pPr>
        <w:widowControl/>
        <w:ind w:firstLine="480"/>
        <w:jc w:val="center"/>
        <w:rPr>
          <w:rFonts w:hint="eastAsia" w:ascii="宋体" w:hAnsi="宋体" w:eastAsia="宋体" w:cs="宋体"/>
          <w:color w:val="auto"/>
          <w:sz w:val="32"/>
          <w:szCs w:val="32"/>
        </w:rPr>
      </w:pPr>
      <w:r>
        <w:rPr>
          <w:rFonts w:hint="eastAsia" w:ascii="宋体" w:hAnsi="宋体" w:eastAsia="宋体" w:cs="宋体"/>
          <w:color w:val="auto"/>
          <w:sz w:val="32"/>
          <w:szCs w:val="32"/>
        </w:rPr>
        <w:t>封  面</w:t>
      </w:r>
    </w:p>
    <w:p>
      <w:pPr>
        <w:widowControl/>
        <w:ind w:firstLine="480"/>
        <w:jc w:val="right"/>
        <w:rPr>
          <w:rFonts w:hint="eastAsia" w:ascii="宋体" w:hAnsi="宋体" w:eastAsia="宋体" w:cs="宋体"/>
          <w:color w:val="auto"/>
          <w:sz w:val="24"/>
        </w:rPr>
      </w:pPr>
      <w:r>
        <w:rPr>
          <w:rFonts w:hint="eastAsia" w:ascii="宋体" w:hAnsi="宋体" w:eastAsia="宋体" w:cs="宋体"/>
          <w:color w:val="auto"/>
          <w:sz w:val="24"/>
          <w:bdr w:val="single" w:color="auto" w:sz="4" w:space="0"/>
        </w:rPr>
        <w:t>正本或副本</w:t>
      </w:r>
    </w:p>
    <w:p>
      <w:pPr>
        <w:widowControl/>
        <w:ind w:firstLine="480"/>
        <w:rPr>
          <w:rFonts w:hint="eastAsia" w:ascii="宋体" w:hAnsi="宋体" w:eastAsia="宋体" w:cs="宋体"/>
          <w:color w:val="auto"/>
          <w:sz w:val="24"/>
        </w:rPr>
      </w:pPr>
    </w:p>
    <w:p>
      <w:pPr>
        <w:widowControl/>
        <w:ind w:firstLine="480"/>
        <w:jc w:val="center"/>
        <w:rPr>
          <w:rFonts w:hint="eastAsia" w:ascii="宋体" w:hAnsi="宋体" w:eastAsia="宋体" w:cs="宋体"/>
          <w:color w:val="auto"/>
          <w:sz w:val="44"/>
          <w:szCs w:val="44"/>
        </w:rPr>
      </w:pPr>
      <w:r>
        <w:rPr>
          <w:rFonts w:hint="eastAsia" w:ascii="宋体" w:hAnsi="宋体" w:eastAsia="宋体" w:cs="宋体"/>
          <w:color w:val="auto"/>
          <w:sz w:val="44"/>
          <w:szCs w:val="44"/>
        </w:rPr>
        <w:t>响 应 文 件</w:t>
      </w:r>
    </w:p>
    <w:p>
      <w:pPr>
        <w:widowControl/>
        <w:ind w:firstLine="480"/>
        <w:rPr>
          <w:rFonts w:hint="eastAsia" w:ascii="宋体" w:hAnsi="宋体" w:eastAsia="宋体" w:cs="宋体"/>
          <w:color w:val="auto"/>
          <w:sz w:val="24"/>
        </w:rPr>
      </w:pPr>
    </w:p>
    <w:p>
      <w:pPr>
        <w:widowControl/>
        <w:ind w:firstLine="480"/>
        <w:jc w:val="center"/>
        <w:rPr>
          <w:rFonts w:hint="eastAsia" w:ascii="宋体" w:hAnsi="宋体" w:eastAsia="宋体" w:cs="宋体"/>
          <w:color w:val="auto"/>
          <w:sz w:val="24"/>
        </w:rPr>
      </w:pPr>
      <w:r>
        <w:rPr>
          <w:rFonts w:hint="eastAsia" w:ascii="宋体" w:hAnsi="宋体" w:eastAsia="宋体" w:cs="宋体"/>
          <w:color w:val="auto"/>
          <w:sz w:val="24"/>
        </w:rPr>
        <w:t>（其他响应文件）</w:t>
      </w:r>
    </w:p>
    <w:p>
      <w:pPr>
        <w:widowControl/>
        <w:ind w:firstLine="480"/>
        <w:rPr>
          <w:rFonts w:hint="eastAsia" w:ascii="宋体" w:hAnsi="宋体" w:eastAsia="宋体" w:cs="宋体"/>
          <w:color w:val="auto"/>
          <w:sz w:val="24"/>
        </w:rPr>
      </w:pPr>
    </w:p>
    <w:p>
      <w:pPr>
        <w:widowControl/>
        <w:ind w:firstLine="480"/>
        <w:rPr>
          <w:rFonts w:hint="eastAsia" w:ascii="宋体" w:hAnsi="宋体" w:eastAsia="宋体" w:cs="宋体"/>
          <w:color w:val="auto"/>
          <w:sz w:val="24"/>
        </w:rPr>
      </w:pPr>
    </w:p>
    <w:p>
      <w:pPr>
        <w:widowControl/>
        <w:ind w:firstLine="48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p>
    <w:p>
      <w:pPr>
        <w:widowControl/>
        <w:ind w:firstLine="480"/>
        <w:rPr>
          <w:rFonts w:hint="eastAsia" w:ascii="宋体" w:hAnsi="宋体" w:eastAsia="宋体" w:cs="宋体"/>
          <w:color w:val="auto"/>
          <w:sz w:val="28"/>
          <w:szCs w:val="28"/>
          <w:u w:val="single"/>
        </w:rPr>
      </w:pPr>
    </w:p>
    <w:p>
      <w:pPr>
        <w:widowControl/>
        <w:ind w:firstLine="48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u w:val="single"/>
        </w:rPr>
        <w:t xml:space="preserve">                           </w:t>
      </w:r>
    </w:p>
    <w:p>
      <w:pPr>
        <w:widowControl/>
        <w:ind w:firstLine="480"/>
        <w:rPr>
          <w:rFonts w:hint="eastAsia" w:ascii="宋体" w:hAnsi="宋体" w:eastAsia="宋体" w:cs="宋体"/>
          <w:color w:val="auto"/>
          <w:sz w:val="28"/>
          <w:szCs w:val="28"/>
        </w:rPr>
      </w:pPr>
    </w:p>
    <w:p>
      <w:pPr>
        <w:widowControl/>
        <w:ind w:firstLine="480"/>
        <w:rPr>
          <w:rFonts w:hint="eastAsia" w:ascii="宋体" w:hAnsi="宋体" w:eastAsia="宋体" w:cs="宋体"/>
          <w:color w:val="auto"/>
          <w:sz w:val="28"/>
          <w:szCs w:val="28"/>
          <w:u w:val="single"/>
        </w:rPr>
      </w:pPr>
      <w:r>
        <w:rPr>
          <w:rFonts w:hint="eastAsia" w:ascii="宋体" w:hAnsi="宋体" w:eastAsia="宋体" w:cs="宋体"/>
          <w:color w:val="auto"/>
          <w:sz w:val="28"/>
          <w:szCs w:val="28"/>
        </w:rPr>
        <w:t>供应商名称（全称加盖公章）：</w:t>
      </w:r>
      <w:r>
        <w:rPr>
          <w:rFonts w:hint="eastAsia" w:ascii="宋体" w:hAnsi="宋体" w:eastAsia="宋体" w:cs="宋体"/>
          <w:color w:val="auto"/>
          <w:sz w:val="28"/>
          <w:szCs w:val="28"/>
          <w:u w:val="single"/>
        </w:rPr>
        <w:t xml:space="preserve">                 </w:t>
      </w:r>
    </w:p>
    <w:p>
      <w:pPr>
        <w:widowControl/>
        <w:ind w:firstLine="480"/>
        <w:rPr>
          <w:rFonts w:hint="eastAsia" w:ascii="宋体" w:hAnsi="宋体" w:eastAsia="宋体" w:cs="宋体"/>
          <w:color w:val="auto"/>
          <w:sz w:val="28"/>
          <w:szCs w:val="28"/>
        </w:rPr>
      </w:pPr>
    </w:p>
    <w:p>
      <w:pPr>
        <w:widowControl/>
        <w:ind w:firstLine="480"/>
        <w:rPr>
          <w:rFonts w:hint="eastAsia" w:ascii="宋体" w:hAnsi="宋体" w:eastAsia="宋体" w:cs="宋体"/>
          <w:color w:val="auto"/>
          <w:sz w:val="28"/>
          <w:szCs w:val="28"/>
          <w:u w:val="single"/>
        </w:rPr>
      </w:pPr>
      <w:r>
        <w:rPr>
          <w:rFonts w:hint="eastAsia" w:ascii="宋体" w:hAnsi="宋体" w:eastAsia="宋体" w:cs="宋体"/>
          <w:color w:val="auto"/>
          <w:sz w:val="28"/>
          <w:szCs w:val="28"/>
        </w:rPr>
        <w:t>法定代表人或授权代表（签字或加盖个人名章）：</w:t>
      </w:r>
      <w:r>
        <w:rPr>
          <w:rFonts w:hint="eastAsia" w:ascii="宋体" w:hAnsi="宋体" w:eastAsia="宋体" w:cs="宋体"/>
          <w:color w:val="auto"/>
          <w:sz w:val="28"/>
          <w:szCs w:val="28"/>
          <w:u w:val="single"/>
        </w:rPr>
        <w:t xml:space="preserve">               </w:t>
      </w:r>
    </w:p>
    <w:p>
      <w:pPr>
        <w:widowControl/>
        <w:ind w:firstLine="48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widowControl/>
        <w:ind w:firstLine="480"/>
        <w:rPr>
          <w:rFonts w:hint="eastAsia" w:ascii="宋体" w:hAnsi="宋体" w:eastAsia="宋体" w:cs="宋体"/>
          <w:color w:val="auto"/>
          <w:sz w:val="28"/>
          <w:szCs w:val="28"/>
        </w:rPr>
      </w:pPr>
    </w:p>
    <w:p>
      <w:pPr>
        <w:widowControl/>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widowControl/>
        <w:ind w:firstLine="480"/>
        <w:rPr>
          <w:rFonts w:hint="eastAsia" w:ascii="宋体" w:hAnsi="宋体" w:eastAsia="宋体" w:cs="宋体"/>
          <w:color w:val="auto"/>
          <w:sz w:val="24"/>
        </w:rPr>
      </w:pPr>
    </w:p>
    <w:p>
      <w:pPr>
        <w:widowControl/>
        <w:ind w:firstLine="480"/>
        <w:rPr>
          <w:rFonts w:hint="eastAsia" w:ascii="宋体" w:hAnsi="宋体" w:eastAsia="宋体" w:cs="宋体"/>
          <w:color w:val="auto"/>
          <w:sz w:val="24"/>
        </w:rPr>
      </w:pPr>
    </w:p>
    <w:p>
      <w:pPr>
        <w:pStyle w:val="29"/>
        <w:spacing w:before="156" w:after="156"/>
        <w:rPr>
          <w:rFonts w:hint="eastAsia" w:ascii="宋体" w:hAnsi="宋体" w:eastAsia="宋体" w:cs="宋体"/>
          <w:color w:val="auto"/>
        </w:rPr>
      </w:pPr>
      <w:bookmarkStart w:id="226" w:name="_Toc480288375"/>
      <w:bookmarkStart w:id="227" w:name="_Toc482366528"/>
      <w:bookmarkStart w:id="228" w:name="_Toc480288604"/>
      <w:bookmarkStart w:id="229" w:name="_Toc503794758"/>
      <w:r>
        <w:rPr>
          <w:rFonts w:hint="eastAsia" w:ascii="宋体" w:hAnsi="宋体" w:eastAsia="宋体" w:cs="宋体"/>
          <w:color w:val="auto"/>
        </w:rPr>
        <w:br w:type="page"/>
      </w:r>
      <w:bookmarkEnd w:id="226"/>
      <w:bookmarkEnd w:id="227"/>
      <w:bookmarkEnd w:id="228"/>
      <w:bookmarkEnd w:id="229"/>
      <w:bookmarkStart w:id="230" w:name="_Toc19243"/>
      <w:bookmarkStart w:id="231" w:name="_Toc14618"/>
      <w:bookmarkStart w:id="232" w:name="_Toc22318"/>
      <w:bookmarkStart w:id="233" w:name="_Toc485828493"/>
      <w:r>
        <w:rPr>
          <w:rFonts w:hint="eastAsia" w:ascii="宋体" w:hAnsi="宋体" w:eastAsia="宋体" w:cs="宋体"/>
          <w:color w:val="auto"/>
        </w:rPr>
        <w:t>一、</w:t>
      </w:r>
      <w:r>
        <w:rPr>
          <w:rFonts w:hint="eastAsia" w:ascii="宋体" w:hAnsi="宋体" w:eastAsia="宋体" w:cs="宋体"/>
          <w:color w:val="auto"/>
          <w:lang w:eastAsia="zh-CN"/>
        </w:rPr>
        <w:t>响</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应</w:t>
      </w:r>
      <w:r>
        <w:rPr>
          <w:rFonts w:hint="eastAsia" w:ascii="宋体" w:hAnsi="宋体" w:eastAsia="宋体" w:cs="宋体"/>
          <w:color w:val="auto"/>
        </w:rPr>
        <w:t xml:space="preserve"> 函</w:t>
      </w:r>
      <w:r>
        <w:rPr>
          <w:rFonts w:hint="eastAsia" w:ascii="宋体" w:hAnsi="宋体" w:eastAsia="宋体" w:cs="宋体"/>
          <w:b w:val="0"/>
          <w:color w:val="auto"/>
          <w:sz w:val="28"/>
          <w:szCs w:val="28"/>
        </w:rPr>
        <w:t>（实质性要求）</w:t>
      </w:r>
      <w:bookmarkEnd w:id="230"/>
      <w:bookmarkEnd w:id="231"/>
      <w:bookmarkEnd w:id="232"/>
    </w:p>
    <w:p>
      <w:pPr>
        <w:widowControl/>
        <w:spacing w:line="360" w:lineRule="auto"/>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color w:val="auto"/>
          <w:sz w:val="24"/>
        </w:rPr>
      </w:pPr>
      <w:bookmarkStart w:id="234" w:name="_Toc480288605"/>
      <w:bookmarkStart w:id="235" w:name="_Toc480288376"/>
      <w:bookmarkStart w:id="236" w:name="_Toc482366529"/>
      <w:r>
        <w:rPr>
          <w:rFonts w:hint="eastAsia" w:ascii="宋体" w:hAnsi="宋体" w:eastAsia="宋体" w:cs="宋体"/>
          <w:color w:val="auto"/>
          <w:sz w:val="24"/>
          <w:u w:val="single"/>
        </w:rPr>
        <w:t xml:space="preserve">        </w:t>
      </w:r>
      <w:bookmarkStart w:id="237" w:name="_Toc503794759"/>
      <w:r>
        <w:rPr>
          <w:rFonts w:hint="eastAsia" w:ascii="宋体" w:hAnsi="宋体" w:eastAsia="宋体" w:cs="宋体"/>
          <w:color w:val="auto"/>
          <w:sz w:val="24"/>
        </w:rPr>
        <w:t>（采购代理机构名称）：</w:t>
      </w:r>
      <w:bookmarkEnd w:id="234"/>
      <w:bookmarkEnd w:id="235"/>
      <w:bookmarkEnd w:id="236"/>
      <w:bookmarkEnd w:id="237"/>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我方全面研究了“</w:t>
      </w:r>
      <w:r>
        <w:rPr>
          <w:rFonts w:hint="eastAsia" w:ascii="宋体" w:hAnsi="宋体" w:eastAsia="宋体" w:cs="宋体"/>
          <w:color w:val="auto"/>
          <w:sz w:val="24"/>
          <w:u w:val="single"/>
        </w:rPr>
        <w:t>    </w:t>
      </w:r>
      <w:r>
        <w:rPr>
          <w:rFonts w:hint="eastAsia" w:ascii="宋体" w:hAnsi="宋体" w:eastAsia="宋体" w:cs="宋体"/>
          <w:color w:val="auto"/>
          <w:sz w:val="24"/>
        </w:rPr>
        <w:t>”项目（项目编号：</w:t>
      </w:r>
      <w:r>
        <w:rPr>
          <w:rFonts w:hint="eastAsia" w:ascii="宋体" w:hAnsi="宋体" w:eastAsia="宋体" w:cs="宋体"/>
          <w:color w:val="auto"/>
          <w:sz w:val="24"/>
          <w:u w:val="single"/>
        </w:rPr>
        <w:t>    </w:t>
      </w:r>
      <w:r>
        <w:rPr>
          <w:rFonts w:hint="eastAsia" w:ascii="宋体" w:hAnsi="宋体" w:eastAsia="宋体" w:cs="宋体"/>
          <w:color w:val="auto"/>
          <w:sz w:val="24"/>
        </w:rPr>
        <w:t>）竞争性磋商文件，决定参加贵单位组织的本项目磋商。我方授权（姓名）</w:t>
      </w:r>
      <w:r>
        <w:rPr>
          <w:rFonts w:hint="eastAsia" w:ascii="宋体" w:hAnsi="宋体" w:eastAsia="宋体" w:cs="宋体"/>
          <w:color w:val="auto"/>
          <w:sz w:val="24"/>
          <w:u w:val="single"/>
        </w:rPr>
        <w:t>    </w:t>
      </w:r>
      <w:r>
        <w:rPr>
          <w:rFonts w:hint="eastAsia" w:ascii="宋体" w:hAnsi="宋体" w:eastAsia="宋体" w:cs="宋体"/>
          <w:color w:val="auto"/>
          <w:sz w:val="24"/>
        </w:rPr>
        <w:t>代表我方</w:t>
      </w:r>
      <w:r>
        <w:rPr>
          <w:rFonts w:hint="eastAsia" w:ascii="宋体" w:hAnsi="宋体" w:eastAsia="宋体" w:cs="宋体"/>
          <w:color w:val="auto"/>
          <w:sz w:val="24"/>
          <w:u w:val="single"/>
        </w:rPr>
        <w:t>    </w:t>
      </w:r>
      <w:r>
        <w:rPr>
          <w:rFonts w:hint="eastAsia" w:ascii="宋体" w:hAnsi="宋体" w:eastAsia="宋体" w:cs="宋体"/>
          <w:color w:val="auto"/>
          <w:sz w:val="24"/>
        </w:rPr>
        <w:t>（供应商名称）全权处理本项目报价的有关事宜。</w:t>
      </w:r>
    </w:p>
    <w:p>
      <w:pPr>
        <w:widowControl/>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一、</w:t>
      </w:r>
      <w:r>
        <w:rPr>
          <w:rFonts w:hint="eastAsia" w:ascii="宋体" w:hAnsi="宋体" w:eastAsia="宋体" w:cs="宋体"/>
          <w:bCs/>
          <w:color w:val="auto"/>
          <w:sz w:val="24"/>
          <w:highlight w:val="none"/>
        </w:rPr>
        <w:t>我方自愿按照磋商文件规定的各项要求向采购人提供所需服务，第一次总报价为“第一次报价一览表”中所述价格</w:t>
      </w:r>
      <w:r>
        <w:rPr>
          <w:rFonts w:hint="eastAsia" w:ascii="宋体" w:hAnsi="宋体" w:eastAsia="宋体" w:cs="宋体"/>
          <w:color w:val="auto"/>
          <w:sz w:val="24"/>
        </w:rPr>
        <w:t>。</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二、一旦我方成交，将严格履行合同规定的责任和义务。</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三、我方为本项目提交的响应文件正本</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份，副本</w:t>
      </w:r>
      <w:r>
        <w:rPr>
          <w:rFonts w:hint="eastAsia" w:ascii="宋体" w:hAnsi="宋体" w:eastAsia="宋体" w:cs="宋体"/>
          <w:color w:val="auto"/>
          <w:sz w:val="24"/>
          <w:u w:val="single"/>
        </w:rPr>
        <w:t xml:space="preserve">   </w:t>
      </w:r>
      <w:r>
        <w:rPr>
          <w:rFonts w:hint="eastAsia" w:ascii="宋体" w:hAnsi="宋体" w:eastAsia="宋体" w:cs="宋体"/>
          <w:color w:val="auto"/>
          <w:sz w:val="24"/>
        </w:rPr>
        <w:t>份，电子文档</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四、本次磋商，我方递交的响应文件有效期为：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天。</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五、我方愿意提供贵单位可能另外要求的，与磋商有关的文件资料，并保证我方已提供和将要提供的文件资料是真实、准确的。</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六、如果我方成交，保证按照本竞争性磋商文件的规定向贵方交纳采购代理服务费。</w:t>
      </w:r>
    </w:p>
    <w:p>
      <w:pPr>
        <w:widowControl/>
        <w:spacing w:line="360" w:lineRule="auto"/>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color w:val="auto"/>
          <w:sz w:val="24"/>
        </w:rPr>
      </w:pPr>
      <w:bookmarkStart w:id="238" w:name="_Toc480288606"/>
      <w:bookmarkStart w:id="239" w:name="_Toc480288377"/>
      <w:bookmarkStart w:id="240" w:name="_Toc482366530"/>
      <w:bookmarkStart w:id="241" w:name="_Toc503794760"/>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（单位公章）。</w:t>
      </w:r>
      <w:bookmarkEnd w:id="238"/>
      <w:bookmarkEnd w:id="239"/>
      <w:bookmarkEnd w:id="240"/>
      <w:bookmarkEnd w:id="241"/>
    </w:p>
    <w:p>
      <w:pPr>
        <w:widowControl/>
        <w:spacing w:line="360" w:lineRule="auto"/>
        <w:ind w:firstLine="480"/>
        <w:rPr>
          <w:rFonts w:hint="eastAsia" w:ascii="宋体" w:hAnsi="宋体" w:eastAsia="宋体" w:cs="宋体"/>
          <w:color w:val="auto"/>
          <w:sz w:val="24"/>
        </w:rPr>
      </w:pPr>
      <w:bookmarkStart w:id="242" w:name="_Toc482366531"/>
      <w:bookmarkStart w:id="243" w:name="_Toc480288378"/>
      <w:bookmarkStart w:id="244" w:name="_Toc480288607"/>
      <w:bookmarkStart w:id="245" w:name="_Toc503794761"/>
      <w:r>
        <w:rPr>
          <w:rFonts w:hint="eastAsia" w:ascii="宋体" w:hAnsi="宋体" w:eastAsia="宋体" w:cs="宋体"/>
          <w:color w:val="auto"/>
          <w:sz w:val="24"/>
        </w:rPr>
        <w:t>法定代表人或授权代表（签字或加盖个人名章）：</w:t>
      </w:r>
      <w:r>
        <w:rPr>
          <w:rFonts w:hint="eastAsia" w:ascii="宋体" w:hAnsi="宋体" w:eastAsia="宋体" w:cs="宋体"/>
          <w:color w:val="auto"/>
          <w:sz w:val="24"/>
          <w:u w:val="single"/>
        </w:rPr>
        <w:t>       </w:t>
      </w:r>
      <w:r>
        <w:rPr>
          <w:rFonts w:hint="eastAsia" w:ascii="宋体" w:hAnsi="宋体" w:eastAsia="宋体" w:cs="宋体"/>
          <w:color w:val="auto"/>
          <w:sz w:val="24"/>
        </w:rPr>
        <w:t>。</w:t>
      </w:r>
      <w:bookmarkEnd w:id="242"/>
      <w:bookmarkEnd w:id="243"/>
      <w:bookmarkEnd w:id="244"/>
      <w:bookmarkEnd w:id="245"/>
    </w:p>
    <w:p>
      <w:pPr>
        <w:widowControl/>
        <w:spacing w:line="360" w:lineRule="auto"/>
        <w:ind w:firstLine="480"/>
        <w:rPr>
          <w:rFonts w:hint="eastAsia" w:ascii="宋体" w:hAnsi="宋体" w:eastAsia="宋体" w:cs="宋体"/>
          <w:color w:val="auto"/>
          <w:sz w:val="24"/>
        </w:rPr>
      </w:pPr>
      <w:bookmarkStart w:id="246" w:name="_Toc503794762"/>
      <w:bookmarkStart w:id="247" w:name="_Toc480288379"/>
      <w:bookmarkStart w:id="248" w:name="_Toc482366532"/>
      <w:bookmarkStart w:id="249" w:name="_Toc480288608"/>
      <w:r>
        <w:rPr>
          <w:rFonts w:hint="eastAsia" w:ascii="宋体" w:hAnsi="宋体" w:eastAsia="宋体" w:cs="宋体"/>
          <w:color w:val="auto"/>
          <w:sz w:val="24"/>
        </w:rPr>
        <w:t>通讯地址：</w:t>
      </w:r>
      <w:r>
        <w:rPr>
          <w:rFonts w:hint="eastAsia" w:ascii="宋体" w:hAnsi="宋体" w:eastAsia="宋体" w:cs="宋体"/>
          <w:color w:val="auto"/>
          <w:sz w:val="24"/>
          <w:u w:val="single"/>
        </w:rPr>
        <w:t>            </w:t>
      </w:r>
      <w:r>
        <w:rPr>
          <w:rFonts w:hint="eastAsia" w:ascii="宋体" w:hAnsi="宋体" w:eastAsia="宋体" w:cs="宋体"/>
          <w:color w:val="auto"/>
          <w:sz w:val="24"/>
        </w:rPr>
        <w:t>。</w:t>
      </w:r>
      <w:bookmarkEnd w:id="246"/>
      <w:bookmarkEnd w:id="247"/>
      <w:bookmarkEnd w:id="248"/>
      <w:bookmarkEnd w:id="249"/>
    </w:p>
    <w:p>
      <w:pPr>
        <w:widowControl/>
        <w:spacing w:line="360" w:lineRule="auto"/>
        <w:ind w:firstLine="480"/>
        <w:rPr>
          <w:rFonts w:hint="eastAsia" w:ascii="宋体" w:hAnsi="宋体" w:eastAsia="宋体" w:cs="宋体"/>
          <w:color w:val="auto"/>
          <w:sz w:val="24"/>
        </w:rPr>
      </w:pPr>
      <w:bookmarkStart w:id="250" w:name="_Toc503794763"/>
      <w:bookmarkStart w:id="251" w:name="_Toc482366533"/>
      <w:bookmarkStart w:id="252" w:name="_Toc480288609"/>
      <w:bookmarkStart w:id="253" w:name="_Toc480288380"/>
      <w:r>
        <w:rPr>
          <w:rFonts w:hint="eastAsia" w:ascii="宋体" w:hAnsi="宋体" w:eastAsia="宋体" w:cs="宋体"/>
          <w:color w:val="auto"/>
          <w:sz w:val="24"/>
        </w:rPr>
        <w:t>邮政编码：</w:t>
      </w:r>
      <w:r>
        <w:rPr>
          <w:rFonts w:hint="eastAsia" w:ascii="宋体" w:hAnsi="宋体" w:eastAsia="宋体" w:cs="宋体"/>
          <w:color w:val="auto"/>
          <w:sz w:val="24"/>
          <w:u w:val="single"/>
        </w:rPr>
        <w:t>            </w:t>
      </w:r>
      <w:r>
        <w:rPr>
          <w:rFonts w:hint="eastAsia" w:ascii="宋体" w:hAnsi="宋体" w:eastAsia="宋体" w:cs="宋体"/>
          <w:color w:val="auto"/>
          <w:sz w:val="24"/>
        </w:rPr>
        <w:t>。</w:t>
      </w:r>
      <w:bookmarkEnd w:id="250"/>
      <w:bookmarkEnd w:id="251"/>
      <w:bookmarkEnd w:id="252"/>
      <w:bookmarkEnd w:id="253"/>
    </w:p>
    <w:p>
      <w:pPr>
        <w:widowControl/>
        <w:spacing w:line="360" w:lineRule="auto"/>
        <w:ind w:firstLine="480"/>
        <w:rPr>
          <w:rFonts w:hint="eastAsia" w:ascii="宋体" w:hAnsi="宋体" w:eastAsia="宋体" w:cs="宋体"/>
          <w:color w:val="auto"/>
          <w:sz w:val="24"/>
        </w:rPr>
      </w:pPr>
      <w:bookmarkStart w:id="254" w:name="_Toc480288381"/>
      <w:bookmarkStart w:id="255" w:name="_Toc503794764"/>
      <w:bookmarkStart w:id="256" w:name="_Toc482366534"/>
      <w:bookmarkStart w:id="257" w:name="_Toc480288610"/>
      <w:r>
        <w:rPr>
          <w:rFonts w:hint="eastAsia" w:ascii="宋体" w:hAnsi="宋体" w:eastAsia="宋体" w:cs="宋体"/>
          <w:color w:val="auto"/>
          <w:sz w:val="24"/>
        </w:rPr>
        <w:t>联系电话：</w:t>
      </w:r>
      <w:r>
        <w:rPr>
          <w:rFonts w:hint="eastAsia" w:ascii="宋体" w:hAnsi="宋体" w:eastAsia="宋体" w:cs="宋体"/>
          <w:color w:val="auto"/>
          <w:sz w:val="24"/>
          <w:u w:val="single"/>
        </w:rPr>
        <w:t>            </w:t>
      </w:r>
      <w:r>
        <w:rPr>
          <w:rFonts w:hint="eastAsia" w:ascii="宋体" w:hAnsi="宋体" w:eastAsia="宋体" w:cs="宋体"/>
          <w:color w:val="auto"/>
          <w:sz w:val="24"/>
        </w:rPr>
        <w:t>。</w:t>
      </w:r>
      <w:bookmarkEnd w:id="254"/>
      <w:bookmarkEnd w:id="255"/>
      <w:bookmarkEnd w:id="256"/>
      <w:bookmarkEnd w:id="257"/>
    </w:p>
    <w:p>
      <w:pPr>
        <w:widowControl/>
        <w:spacing w:line="360" w:lineRule="auto"/>
        <w:ind w:firstLine="480"/>
        <w:rPr>
          <w:rFonts w:hint="eastAsia" w:ascii="宋体" w:hAnsi="宋体" w:eastAsia="宋体" w:cs="宋体"/>
          <w:color w:val="auto"/>
          <w:sz w:val="24"/>
        </w:rPr>
      </w:pPr>
      <w:bookmarkStart w:id="258" w:name="_Toc482366535"/>
      <w:bookmarkStart w:id="259" w:name="_Toc503794765"/>
      <w:bookmarkStart w:id="260" w:name="_Toc480288611"/>
      <w:bookmarkStart w:id="261" w:name="_Toc480288382"/>
      <w:r>
        <w:rPr>
          <w:rFonts w:hint="eastAsia" w:ascii="宋体" w:hAnsi="宋体" w:eastAsia="宋体" w:cs="宋体"/>
          <w:color w:val="auto"/>
          <w:sz w:val="24"/>
        </w:rPr>
        <w:t>传    真：</w:t>
      </w:r>
      <w:r>
        <w:rPr>
          <w:rFonts w:hint="eastAsia" w:ascii="宋体" w:hAnsi="宋体" w:eastAsia="宋体" w:cs="宋体"/>
          <w:color w:val="auto"/>
          <w:sz w:val="24"/>
          <w:u w:val="single"/>
        </w:rPr>
        <w:t>            </w:t>
      </w:r>
      <w:r>
        <w:rPr>
          <w:rFonts w:hint="eastAsia" w:ascii="宋体" w:hAnsi="宋体" w:eastAsia="宋体" w:cs="宋体"/>
          <w:color w:val="auto"/>
          <w:sz w:val="24"/>
        </w:rPr>
        <w:t>。</w:t>
      </w:r>
      <w:bookmarkEnd w:id="258"/>
      <w:bookmarkEnd w:id="259"/>
      <w:bookmarkEnd w:id="260"/>
      <w:bookmarkEnd w:id="261"/>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w:t>
      </w:r>
      <w:r>
        <w:rPr>
          <w:rFonts w:hint="eastAsia" w:ascii="宋体" w:hAnsi="宋体" w:eastAsia="宋体" w:cs="宋体"/>
          <w:color w:val="auto"/>
          <w:sz w:val="24"/>
        </w:rPr>
        <w:t>年</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w:t>
      </w:r>
      <w:r>
        <w:rPr>
          <w:rFonts w:hint="eastAsia" w:ascii="宋体" w:hAnsi="宋体" w:eastAsia="宋体" w:cs="宋体"/>
          <w:color w:val="auto"/>
          <w:sz w:val="24"/>
        </w:rPr>
        <w:t>日。</w:t>
      </w:r>
    </w:p>
    <w:p>
      <w:pPr>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lang w:eastAsia="zh-CN"/>
        </w:rPr>
      </w:pPr>
    </w:p>
    <w:p>
      <w:pPr>
        <w:rPr>
          <w:rFonts w:hint="eastAsia" w:ascii="宋体" w:hAnsi="宋体" w:eastAsia="宋体" w:cs="宋体"/>
          <w:color w:val="auto"/>
          <w:lang w:eastAsia="zh-CN"/>
        </w:rPr>
      </w:pPr>
    </w:p>
    <w:p>
      <w:pPr>
        <w:rPr>
          <w:rFonts w:hint="eastAsia" w:ascii="宋体" w:hAnsi="宋体" w:eastAsia="宋体" w:cs="宋体"/>
          <w:color w:val="auto"/>
        </w:rPr>
      </w:pPr>
      <w:r>
        <w:rPr>
          <w:rFonts w:hint="eastAsia" w:ascii="宋体" w:hAnsi="宋体" w:eastAsia="宋体" w:cs="宋体"/>
          <w:color w:val="auto"/>
        </w:rPr>
        <w:br w:type="page"/>
      </w:r>
    </w:p>
    <w:bookmarkEnd w:id="233"/>
    <w:p>
      <w:pPr>
        <w:pStyle w:val="4"/>
        <w:spacing w:line="360" w:lineRule="auto"/>
        <w:jc w:val="center"/>
        <w:rPr>
          <w:rFonts w:hint="eastAsia" w:ascii="宋体" w:hAnsi="宋体" w:eastAsia="宋体" w:cs="宋体"/>
          <w:color w:val="auto"/>
          <w:highlight w:val="none"/>
          <w:lang w:eastAsia="zh-CN"/>
        </w:rPr>
      </w:pPr>
      <w:bookmarkStart w:id="262" w:name="_Toc8893"/>
      <w:bookmarkStart w:id="263" w:name="_Toc28277"/>
      <w:bookmarkStart w:id="264" w:name="_Toc19376"/>
      <w:r>
        <w:rPr>
          <w:rFonts w:hint="eastAsia" w:ascii="宋体" w:hAnsi="宋体" w:eastAsia="宋体" w:cs="宋体"/>
          <w:color w:val="auto"/>
          <w:lang w:eastAsia="zh-CN"/>
        </w:rPr>
        <w:t>二</w:t>
      </w:r>
      <w:r>
        <w:rPr>
          <w:rFonts w:hint="eastAsia" w:ascii="宋体" w:hAnsi="宋体" w:eastAsia="宋体" w:cs="宋体"/>
          <w:color w:val="auto"/>
        </w:rPr>
        <w:t>、</w:t>
      </w:r>
      <w:r>
        <w:rPr>
          <w:rFonts w:hint="eastAsia" w:ascii="宋体" w:hAnsi="宋体" w:eastAsia="宋体" w:cs="宋体"/>
          <w:color w:val="auto"/>
          <w:highlight w:val="none"/>
        </w:rPr>
        <w:t>第一次报价一览表</w:t>
      </w:r>
      <w:bookmarkEnd w:id="262"/>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4" w:type="pct"/>
            <w:vAlign w:val="center"/>
          </w:tcPr>
          <w:p>
            <w:pPr>
              <w:tabs>
                <w:tab w:val="left" w:pos="7513"/>
              </w:tabs>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3945" w:type="pct"/>
            <w:vAlign w:val="center"/>
          </w:tcPr>
          <w:p>
            <w:pPr>
              <w:tabs>
                <w:tab w:val="left" w:pos="7513"/>
              </w:tabs>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4" w:type="pct"/>
            <w:vAlign w:val="center"/>
          </w:tcPr>
          <w:p>
            <w:pPr>
              <w:tabs>
                <w:tab w:val="left" w:pos="7513"/>
              </w:tabs>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项目编号</w:t>
            </w:r>
          </w:p>
        </w:tc>
        <w:tc>
          <w:tcPr>
            <w:tcW w:w="3945" w:type="pct"/>
            <w:vAlign w:val="center"/>
          </w:tcPr>
          <w:p>
            <w:pPr>
              <w:tabs>
                <w:tab w:val="left" w:pos="7513"/>
              </w:tabs>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4" w:type="pct"/>
            <w:vAlign w:val="center"/>
          </w:tcPr>
          <w:p>
            <w:pPr>
              <w:tabs>
                <w:tab w:val="left" w:pos="7513"/>
              </w:tabs>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w:t>
            </w:r>
          </w:p>
        </w:tc>
        <w:tc>
          <w:tcPr>
            <w:tcW w:w="3945" w:type="pct"/>
            <w:vAlign w:val="center"/>
          </w:tcPr>
          <w:p>
            <w:pPr>
              <w:tabs>
                <w:tab w:val="left" w:pos="7513"/>
              </w:tabs>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70" w:type="dxa"/>
            <w:vAlign w:val="center"/>
          </w:tcPr>
          <w:p>
            <w:pPr>
              <w:tabs>
                <w:tab w:val="left" w:pos="7513"/>
              </w:tabs>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单价折扣率</w:t>
            </w:r>
          </w:p>
          <w:p>
            <w:pPr>
              <w:tabs>
                <w:tab w:val="left" w:pos="7513"/>
              </w:tabs>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（百分比）</w:t>
            </w:r>
          </w:p>
        </w:tc>
        <w:tc>
          <w:tcPr>
            <w:tcW w:w="7373" w:type="dxa"/>
            <w:vAlign w:val="center"/>
          </w:tcPr>
          <w:p>
            <w:pPr>
              <w:tabs>
                <w:tab w:val="left" w:pos="7513"/>
              </w:tabs>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pPr>
              <w:tabs>
                <w:tab w:val="left" w:pos="7513"/>
              </w:tabs>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70" w:type="dxa"/>
            <w:vAlign w:val="center"/>
          </w:tcPr>
          <w:p>
            <w:pPr>
              <w:tabs>
                <w:tab w:val="left" w:pos="7513"/>
              </w:tabs>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服务期限</w:t>
            </w:r>
          </w:p>
        </w:tc>
        <w:tc>
          <w:tcPr>
            <w:tcW w:w="7373" w:type="dxa"/>
            <w:vAlign w:val="center"/>
          </w:tcPr>
          <w:p>
            <w:pPr>
              <w:tabs>
                <w:tab w:val="left" w:pos="7513"/>
              </w:tabs>
              <w:spacing w:line="360" w:lineRule="auto"/>
              <w:jc w:val="both"/>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4" w:type="pct"/>
            <w:vAlign w:val="center"/>
          </w:tcPr>
          <w:p>
            <w:pPr>
              <w:tabs>
                <w:tab w:val="left" w:pos="7513"/>
              </w:tabs>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c>
          <w:tcPr>
            <w:tcW w:w="3945" w:type="pct"/>
            <w:vAlign w:val="center"/>
          </w:tcPr>
          <w:p>
            <w:pPr>
              <w:tabs>
                <w:tab w:val="left" w:pos="7513"/>
              </w:tabs>
              <w:spacing w:line="360" w:lineRule="auto"/>
              <w:jc w:val="center"/>
              <w:rPr>
                <w:rFonts w:hint="eastAsia" w:ascii="宋体" w:hAnsi="宋体" w:eastAsia="宋体" w:cs="宋体"/>
                <w:color w:val="auto"/>
                <w:kern w:val="0"/>
                <w:sz w:val="21"/>
                <w:szCs w:val="21"/>
                <w:highlight w:val="none"/>
              </w:rPr>
            </w:pPr>
          </w:p>
        </w:tc>
      </w:tr>
    </w:tbl>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注:1.报价只需报单价折扣率。（折扣率100.00%，即报价等于单价最高限价；折扣率90.55%，即报价为单价最高限价*90.55%，以此类推）。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2.表格如不能完全表达相关内容，供应商可自行补充。</w:t>
      </w:r>
    </w:p>
    <w:p>
      <w:pPr>
        <w:spacing w:line="480" w:lineRule="auto"/>
        <w:rPr>
          <w:rFonts w:hint="eastAsia" w:ascii="宋体" w:hAnsi="宋体" w:eastAsia="宋体" w:cs="宋体"/>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28"/>
        <w:bidi w:val="0"/>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pStyle w:val="29"/>
        <w:keepNext w:val="0"/>
        <w:keepLines w:val="0"/>
        <w:pageBreakBefore w:val="0"/>
        <w:widowControl w:val="0"/>
        <w:kinsoku/>
        <w:wordWrap/>
        <w:overflowPunct/>
        <w:topLinePunct w:val="0"/>
        <w:autoSpaceDE/>
        <w:autoSpaceDN/>
        <w:bidi w:val="0"/>
        <w:adjustRightInd/>
        <w:snapToGrid/>
        <w:spacing w:before="156" w:after="156"/>
        <w:textAlignment w:val="auto"/>
        <w:rPr>
          <w:rFonts w:hint="eastAsia" w:ascii="宋体" w:hAnsi="宋体" w:eastAsia="宋体" w:cs="宋体"/>
          <w:color w:val="auto"/>
          <w:sz w:val="24"/>
          <w:szCs w:val="24"/>
        </w:rPr>
      </w:pPr>
      <w:bookmarkStart w:id="265" w:name="_Toc32609"/>
      <w:r>
        <w:rPr>
          <w:rFonts w:hint="eastAsia" w:ascii="宋体" w:hAnsi="宋体" w:eastAsia="宋体" w:cs="宋体"/>
          <w:color w:val="auto"/>
          <w:lang w:eastAsia="zh-CN"/>
        </w:rPr>
        <w:t>三、</w:t>
      </w:r>
      <w:r>
        <w:rPr>
          <w:rFonts w:hint="eastAsia" w:ascii="宋体" w:hAnsi="宋体" w:eastAsia="宋体" w:cs="宋体"/>
          <w:color w:val="auto"/>
        </w:rPr>
        <w:t>商务应答表</w:t>
      </w:r>
      <w:bookmarkEnd w:id="263"/>
      <w:bookmarkEnd w:id="264"/>
      <w:bookmarkEnd w:id="265"/>
    </w:p>
    <w:p>
      <w:pPr>
        <w:widowControl/>
        <w:ind w:firstLine="480"/>
        <w:rPr>
          <w:rFonts w:hint="eastAsia" w:ascii="宋体" w:hAnsi="宋体" w:eastAsia="宋体" w:cs="宋体"/>
          <w:bCs/>
          <w:color w:val="auto"/>
          <w:sz w:val="24"/>
        </w:rPr>
      </w:pPr>
    </w:p>
    <w:p>
      <w:pPr>
        <w:widowControl/>
        <w:ind w:firstLine="480"/>
        <w:rPr>
          <w:rFonts w:hint="eastAsia" w:ascii="宋体" w:hAnsi="宋体" w:eastAsia="宋体" w:cs="宋体"/>
          <w:color w:val="auto"/>
          <w:sz w:val="24"/>
        </w:rPr>
      </w:pPr>
      <w:bookmarkStart w:id="266" w:name="_Toc503794766"/>
      <w:bookmarkStart w:id="267" w:name="_Toc485828494"/>
      <w:r>
        <w:rPr>
          <w:rFonts w:hint="eastAsia" w:ascii="宋体" w:hAnsi="宋体" w:eastAsia="宋体" w:cs="宋体"/>
          <w:color w:val="auto"/>
          <w:sz w:val="24"/>
        </w:rPr>
        <w:t>项目编号：</w:t>
      </w:r>
      <w:bookmarkEnd w:id="266"/>
      <w:bookmarkEnd w:id="267"/>
    </w:p>
    <w:tbl>
      <w:tblPr>
        <w:tblStyle w:val="18"/>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457"/>
        <w:gridCol w:w="252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08" w:type="dxa"/>
            <w:vAlign w:val="center"/>
          </w:tcPr>
          <w:p>
            <w:pPr>
              <w:pStyle w:val="30"/>
              <w:jc w:val="center"/>
              <w:rPr>
                <w:rFonts w:hint="eastAsia" w:ascii="宋体" w:hAnsi="宋体" w:eastAsia="宋体" w:cs="宋体"/>
                <w:color w:val="auto"/>
                <w:sz w:val="24"/>
                <w:szCs w:val="24"/>
              </w:rPr>
            </w:pPr>
            <w:bookmarkStart w:id="268" w:name="_Toc503794767"/>
            <w:bookmarkStart w:id="269" w:name="_Toc485828495"/>
            <w:r>
              <w:rPr>
                <w:rFonts w:hint="eastAsia" w:ascii="宋体" w:hAnsi="宋体" w:eastAsia="宋体" w:cs="宋体"/>
                <w:color w:val="auto"/>
                <w:sz w:val="24"/>
                <w:szCs w:val="24"/>
              </w:rPr>
              <w:t>序号</w:t>
            </w:r>
            <w:bookmarkEnd w:id="268"/>
            <w:bookmarkEnd w:id="269"/>
          </w:p>
        </w:tc>
        <w:tc>
          <w:tcPr>
            <w:tcW w:w="2457" w:type="dxa"/>
            <w:vAlign w:val="center"/>
          </w:tcPr>
          <w:p>
            <w:pPr>
              <w:pStyle w:val="30"/>
              <w:jc w:val="center"/>
              <w:rPr>
                <w:rFonts w:hint="eastAsia" w:ascii="宋体" w:hAnsi="宋体" w:eastAsia="宋体" w:cs="宋体"/>
                <w:color w:val="auto"/>
                <w:sz w:val="24"/>
                <w:szCs w:val="24"/>
              </w:rPr>
            </w:pPr>
            <w:bookmarkStart w:id="270" w:name="_Toc485828496"/>
            <w:bookmarkStart w:id="271" w:name="_Toc503794768"/>
            <w:r>
              <w:rPr>
                <w:rFonts w:hint="eastAsia" w:ascii="宋体" w:hAnsi="宋体" w:eastAsia="宋体" w:cs="宋体"/>
                <w:color w:val="auto"/>
                <w:sz w:val="24"/>
                <w:szCs w:val="24"/>
              </w:rPr>
              <w:t>磋商文件要求</w:t>
            </w:r>
            <w:bookmarkEnd w:id="270"/>
            <w:bookmarkEnd w:id="271"/>
          </w:p>
        </w:tc>
        <w:tc>
          <w:tcPr>
            <w:tcW w:w="2526" w:type="dxa"/>
            <w:vAlign w:val="center"/>
          </w:tcPr>
          <w:p>
            <w:pPr>
              <w:pStyle w:val="30"/>
              <w:jc w:val="center"/>
              <w:rPr>
                <w:rFonts w:hint="eastAsia" w:ascii="宋体" w:hAnsi="宋体" w:eastAsia="宋体" w:cs="宋体"/>
                <w:color w:val="auto"/>
                <w:sz w:val="24"/>
                <w:szCs w:val="24"/>
              </w:rPr>
            </w:pPr>
            <w:bookmarkStart w:id="272" w:name="_Toc503794769"/>
            <w:bookmarkStart w:id="273" w:name="_Toc485828497"/>
            <w:r>
              <w:rPr>
                <w:rFonts w:hint="eastAsia" w:ascii="宋体" w:hAnsi="宋体" w:eastAsia="宋体" w:cs="宋体"/>
                <w:color w:val="auto"/>
                <w:sz w:val="24"/>
                <w:szCs w:val="24"/>
              </w:rPr>
              <w:t>磋商应答</w:t>
            </w:r>
            <w:bookmarkEnd w:id="272"/>
            <w:bookmarkEnd w:id="273"/>
          </w:p>
        </w:tc>
        <w:tc>
          <w:tcPr>
            <w:tcW w:w="1949"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vAlign w:val="center"/>
          </w:tcPr>
          <w:p>
            <w:pPr>
              <w:pStyle w:val="30"/>
              <w:jc w:val="center"/>
              <w:rPr>
                <w:rFonts w:hint="eastAsia" w:ascii="宋体" w:hAnsi="宋体" w:eastAsia="宋体" w:cs="宋体"/>
                <w:color w:val="auto"/>
                <w:sz w:val="24"/>
                <w:szCs w:val="24"/>
              </w:rPr>
            </w:pPr>
          </w:p>
        </w:tc>
        <w:tc>
          <w:tcPr>
            <w:tcW w:w="2457" w:type="dxa"/>
            <w:vAlign w:val="center"/>
          </w:tcPr>
          <w:p>
            <w:pPr>
              <w:pStyle w:val="30"/>
              <w:jc w:val="center"/>
              <w:rPr>
                <w:rFonts w:hint="eastAsia" w:ascii="宋体" w:hAnsi="宋体" w:eastAsia="宋体" w:cs="宋体"/>
                <w:color w:val="auto"/>
                <w:sz w:val="24"/>
                <w:szCs w:val="24"/>
              </w:rPr>
            </w:pPr>
          </w:p>
        </w:tc>
        <w:tc>
          <w:tcPr>
            <w:tcW w:w="2526" w:type="dxa"/>
            <w:vAlign w:val="center"/>
          </w:tcPr>
          <w:p>
            <w:pPr>
              <w:pStyle w:val="30"/>
              <w:jc w:val="center"/>
              <w:rPr>
                <w:rFonts w:hint="eastAsia" w:ascii="宋体" w:hAnsi="宋体" w:eastAsia="宋体" w:cs="宋体"/>
                <w:color w:val="auto"/>
                <w:sz w:val="24"/>
                <w:szCs w:val="24"/>
              </w:rPr>
            </w:pPr>
          </w:p>
        </w:tc>
        <w:tc>
          <w:tcPr>
            <w:tcW w:w="1949" w:type="dxa"/>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vAlign w:val="center"/>
          </w:tcPr>
          <w:p>
            <w:pPr>
              <w:pStyle w:val="30"/>
              <w:jc w:val="center"/>
              <w:rPr>
                <w:rFonts w:hint="eastAsia" w:ascii="宋体" w:hAnsi="宋体" w:eastAsia="宋体" w:cs="宋体"/>
                <w:color w:val="auto"/>
                <w:sz w:val="24"/>
                <w:szCs w:val="24"/>
              </w:rPr>
            </w:pPr>
          </w:p>
        </w:tc>
        <w:tc>
          <w:tcPr>
            <w:tcW w:w="2457" w:type="dxa"/>
            <w:vAlign w:val="center"/>
          </w:tcPr>
          <w:p>
            <w:pPr>
              <w:pStyle w:val="30"/>
              <w:jc w:val="center"/>
              <w:rPr>
                <w:rFonts w:hint="eastAsia" w:ascii="宋体" w:hAnsi="宋体" w:eastAsia="宋体" w:cs="宋体"/>
                <w:color w:val="auto"/>
                <w:sz w:val="24"/>
                <w:szCs w:val="24"/>
              </w:rPr>
            </w:pPr>
          </w:p>
        </w:tc>
        <w:tc>
          <w:tcPr>
            <w:tcW w:w="2526" w:type="dxa"/>
            <w:vAlign w:val="center"/>
          </w:tcPr>
          <w:p>
            <w:pPr>
              <w:pStyle w:val="30"/>
              <w:jc w:val="center"/>
              <w:rPr>
                <w:rFonts w:hint="eastAsia" w:ascii="宋体" w:hAnsi="宋体" w:eastAsia="宋体" w:cs="宋体"/>
                <w:color w:val="auto"/>
                <w:sz w:val="24"/>
                <w:szCs w:val="24"/>
              </w:rPr>
            </w:pPr>
          </w:p>
        </w:tc>
        <w:tc>
          <w:tcPr>
            <w:tcW w:w="1949" w:type="dxa"/>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vAlign w:val="center"/>
          </w:tcPr>
          <w:p>
            <w:pPr>
              <w:pStyle w:val="30"/>
              <w:jc w:val="center"/>
              <w:rPr>
                <w:rFonts w:hint="eastAsia" w:ascii="宋体" w:hAnsi="宋体" w:eastAsia="宋体" w:cs="宋体"/>
                <w:color w:val="auto"/>
                <w:sz w:val="24"/>
                <w:szCs w:val="24"/>
              </w:rPr>
            </w:pPr>
          </w:p>
        </w:tc>
        <w:tc>
          <w:tcPr>
            <w:tcW w:w="2457" w:type="dxa"/>
            <w:vAlign w:val="center"/>
          </w:tcPr>
          <w:p>
            <w:pPr>
              <w:pStyle w:val="30"/>
              <w:jc w:val="center"/>
              <w:rPr>
                <w:rFonts w:hint="eastAsia" w:ascii="宋体" w:hAnsi="宋体" w:eastAsia="宋体" w:cs="宋体"/>
                <w:color w:val="auto"/>
                <w:sz w:val="24"/>
                <w:szCs w:val="24"/>
              </w:rPr>
            </w:pPr>
          </w:p>
        </w:tc>
        <w:tc>
          <w:tcPr>
            <w:tcW w:w="2526" w:type="dxa"/>
            <w:vAlign w:val="center"/>
          </w:tcPr>
          <w:p>
            <w:pPr>
              <w:pStyle w:val="30"/>
              <w:jc w:val="center"/>
              <w:rPr>
                <w:rFonts w:hint="eastAsia" w:ascii="宋体" w:hAnsi="宋体" w:eastAsia="宋体" w:cs="宋体"/>
                <w:color w:val="auto"/>
                <w:sz w:val="24"/>
                <w:szCs w:val="24"/>
              </w:rPr>
            </w:pPr>
          </w:p>
        </w:tc>
        <w:tc>
          <w:tcPr>
            <w:tcW w:w="1949" w:type="dxa"/>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vAlign w:val="center"/>
          </w:tcPr>
          <w:p>
            <w:pPr>
              <w:pStyle w:val="30"/>
              <w:jc w:val="center"/>
              <w:rPr>
                <w:rFonts w:hint="eastAsia" w:ascii="宋体" w:hAnsi="宋体" w:eastAsia="宋体" w:cs="宋体"/>
                <w:color w:val="auto"/>
                <w:sz w:val="24"/>
                <w:szCs w:val="24"/>
              </w:rPr>
            </w:pPr>
          </w:p>
        </w:tc>
        <w:tc>
          <w:tcPr>
            <w:tcW w:w="2457" w:type="dxa"/>
            <w:vAlign w:val="center"/>
          </w:tcPr>
          <w:p>
            <w:pPr>
              <w:pStyle w:val="30"/>
              <w:jc w:val="center"/>
              <w:rPr>
                <w:rFonts w:hint="eastAsia" w:ascii="宋体" w:hAnsi="宋体" w:eastAsia="宋体" w:cs="宋体"/>
                <w:color w:val="auto"/>
                <w:sz w:val="24"/>
                <w:szCs w:val="24"/>
              </w:rPr>
            </w:pPr>
          </w:p>
        </w:tc>
        <w:tc>
          <w:tcPr>
            <w:tcW w:w="2526" w:type="dxa"/>
            <w:vAlign w:val="center"/>
          </w:tcPr>
          <w:p>
            <w:pPr>
              <w:pStyle w:val="30"/>
              <w:jc w:val="center"/>
              <w:rPr>
                <w:rFonts w:hint="eastAsia" w:ascii="宋体" w:hAnsi="宋体" w:eastAsia="宋体" w:cs="宋体"/>
                <w:color w:val="auto"/>
                <w:sz w:val="24"/>
                <w:szCs w:val="24"/>
              </w:rPr>
            </w:pPr>
          </w:p>
        </w:tc>
        <w:tc>
          <w:tcPr>
            <w:tcW w:w="1949" w:type="dxa"/>
            <w:vAlign w:val="center"/>
          </w:tcPr>
          <w:p>
            <w:pPr>
              <w:pStyle w:val="30"/>
              <w:jc w:val="center"/>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bCs/>
          <w:color w:val="auto"/>
          <w:sz w:val="24"/>
        </w:rPr>
      </w:pPr>
      <w:r>
        <w:rPr>
          <w:rFonts w:hint="eastAsia" w:ascii="宋体" w:hAnsi="宋体" w:eastAsia="宋体" w:cs="宋体"/>
          <w:color w:val="auto"/>
          <w:sz w:val="24"/>
        </w:rPr>
        <w:t>注：</w:t>
      </w:r>
      <w:r>
        <w:rPr>
          <w:rFonts w:hint="eastAsia" w:ascii="宋体" w:hAnsi="宋体" w:eastAsia="宋体" w:cs="宋体"/>
          <w:bCs/>
          <w:color w:val="auto"/>
          <w:sz w:val="24"/>
        </w:rPr>
        <w:t>1.本表只填写</w:t>
      </w:r>
      <w:r>
        <w:rPr>
          <w:rFonts w:hint="eastAsia" w:ascii="宋体" w:hAnsi="宋体" w:eastAsia="宋体" w:cs="宋体"/>
          <w:bCs/>
          <w:color w:val="auto"/>
          <w:sz w:val="24"/>
          <w:lang w:eastAsia="zh-CN"/>
        </w:rPr>
        <w:t>响应</w:t>
      </w:r>
      <w:r>
        <w:rPr>
          <w:rFonts w:hint="eastAsia" w:ascii="宋体" w:hAnsi="宋体" w:eastAsia="宋体" w:cs="宋体"/>
          <w:bCs/>
          <w:color w:val="auto"/>
          <w:sz w:val="24"/>
        </w:rPr>
        <w:t>文件中与</w:t>
      </w:r>
      <w:r>
        <w:rPr>
          <w:rFonts w:hint="eastAsia" w:ascii="宋体" w:hAnsi="宋体" w:eastAsia="宋体" w:cs="宋体"/>
          <w:bCs/>
          <w:color w:val="auto"/>
          <w:sz w:val="24"/>
          <w:lang w:eastAsia="zh-CN"/>
        </w:rPr>
        <w:t>磋商</w:t>
      </w:r>
      <w:r>
        <w:rPr>
          <w:rFonts w:hint="eastAsia" w:ascii="宋体" w:hAnsi="宋体" w:eastAsia="宋体" w:cs="宋体"/>
          <w:bCs/>
          <w:color w:val="auto"/>
          <w:sz w:val="24"/>
        </w:rPr>
        <w:t>文件有偏离（包括正偏离和负偏离）的内容，</w:t>
      </w:r>
      <w:r>
        <w:rPr>
          <w:rFonts w:hint="eastAsia" w:ascii="宋体" w:hAnsi="宋体" w:eastAsia="宋体" w:cs="宋体"/>
          <w:color w:val="auto"/>
          <w:sz w:val="24"/>
        </w:rPr>
        <w:t>若有偏离，应逐一填写。供应商若完全满足竞争性磋商文件要求的，</w:t>
      </w:r>
      <w:r>
        <w:rPr>
          <w:rFonts w:hint="eastAsia" w:ascii="宋体" w:hAnsi="宋体" w:eastAsia="宋体" w:cs="宋体"/>
          <w:color w:val="auto"/>
          <w:sz w:val="24"/>
          <w:lang w:eastAsia="zh-CN"/>
        </w:rPr>
        <w:t>可</w:t>
      </w:r>
      <w:r>
        <w:rPr>
          <w:rFonts w:hint="eastAsia" w:ascii="宋体" w:hAnsi="宋体" w:eastAsia="宋体" w:cs="宋体"/>
          <w:bCs/>
          <w:color w:val="auto"/>
          <w:sz w:val="24"/>
        </w:rPr>
        <w:t>不用在此表中列出。且未列出偏离的条款视为响应</w:t>
      </w:r>
      <w:r>
        <w:rPr>
          <w:rFonts w:hint="eastAsia" w:ascii="宋体" w:hAnsi="宋体" w:eastAsia="宋体" w:cs="宋体"/>
          <w:bCs/>
          <w:color w:val="auto"/>
          <w:sz w:val="24"/>
          <w:lang w:eastAsia="zh-CN"/>
        </w:rPr>
        <w:t>磋商</w:t>
      </w:r>
      <w:r>
        <w:rPr>
          <w:rFonts w:hint="eastAsia" w:ascii="宋体" w:hAnsi="宋体" w:eastAsia="宋体" w:cs="宋体"/>
          <w:bCs/>
          <w:color w:val="auto"/>
          <w:sz w:val="24"/>
        </w:rPr>
        <w:t>文件要求，</w:t>
      </w:r>
      <w:r>
        <w:rPr>
          <w:rFonts w:hint="eastAsia" w:ascii="宋体" w:hAnsi="宋体" w:eastAsia="宋体" w:cs="宋体"/>
          <w:bCs/>
          <w:color w:val="auto"/>
          <w:sz w:val="24"/>
          <w:lang w:eastAsia="zh-CN"/>
        </w:rPr>
        <w:t>供应商</w:t>
      </w:r>
      <w:r>
        <w:rPr>
          <w:rFonts w:hint="eastAsia" w:ascii="宋体" w:hAnsi="宋体" w:eastAsia="宋体" w:cs="宋体"/>
          <w:bCs/>
          <w:color w:val="auto"/>
          <w:sz w:val="24"/>
        </w:rPr>
        <w:t>不得籍未应答拒绝履行。</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供应商</w:t>
      </w:r>
      <w:r>
        <w:rPr>
          <w:rFonts w:hint="eastAsia" w:ascii="宋体" w:hAnsi="宋体" w:eastAsia="宋体" w:cs="宋体"/>
          <w:color w:val="auto"/>
          <w:sz w:val="24"/>
          <w:lang w:eastAsia="zh-CN"/>
        </w:rPr>
        <w:t>必须据实填写，</w:t>
      </w:r>
      <w:r>
        <w:rPr>
          <w:rFonts w:hint="eastAsia" w:ascii="宋体" w:hAnsi="宋体" w:eastAsia="宋体" w:cs="宋体"/>
          <w:color w:val="auto"/>
          <w:sz w:val="24"/>
        </w:rPr>
        <w:t>不得虚假响应，虚假响应的，其响应文件无效并按规定追究其相关责任。</w:t>
      </w:r>
    </w:p>
    <w:p>
      <w:pPr>
        <w:widowControl/>
        <w:spacing w:line="360" w:lineRule="auto"/>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（单位盖章）</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法定代表人或授权代表：</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（签字或加盖个人名章）</w:t>
      </w:r>
    </w:p>
    <w:p>
      <w:pPr>
        <w:widowControl/>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日期：</w:t>
      </w:r>
      <w:r>
        <w:rPr>
          <w:rFonts w:hint="eastAsia" w:ascii="宋体" w:hAnsi="宋体" w:eastAsia="宋体" w:cs="宋体"/>
          <w:color w:val="auto"/>
          <w:sz w:val="24"/>
          <w:u w:val="single"/>
        </w:rPr>
        <w:t>     </w:t>
      </w:r>
      <w:r>
        <w:rPr>
          <w:rFonts w:hint="eastAsia" w:ascii="宋体" w:hAnsi="宋体" w:eastAsia="宋体" w:cs="宋体"/>
          <w:color w:val="auto"/>
          <w:sz w:val="24"/>
        </w:rPr>
        <w:t>年</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w:t>
      </w:r>
      <w:r>
        <w:rPr>
          <w:rFonts w:hint="eastAsia" w:ascii="宋体" w:hAnsi="宋体" w:eastAsia="宋体" w:cs="宋体"/>
          <w:color w:val="auto"/>
          <w:sz w:val="24"/>
        </w:rPr>
        <w:t>日</w:t>
      </w:r>
    </w:p>
    <w:p>
      <w:pPr>
        <w:pStyle w:val="29"/>
        <w:spacing w:before="156" w:after="156"/>
        <w:rPr>
          <w:rFonts w:hint="eastAsia" w:ascii="宋体" w:hAnsi="宋体" w:eastAsia="宋体" w:cs="宋体"/>
          <w:color w:val="auto"/>
          <w:sz w:val="24"/>
          <w:szCs w:val="24"/>
        </w:rPr>
      </w:pPr>
      <w:bookmarkStart w:id="274" w:name="_Toc485400619"/>
      <w:bookmarkStart w:id="275" w:name="_Toc485400402"/>
      <w:r>
        <w:rPr>
          <w:rFonts w:hint="eastAsia" w:ascii="宋体" w:hAnsi="宋体" w:eastAsia="宋体" w:cs="宋体"/>
          <w:color w:val="auto"/>
          <w:sz w:val="24"/>
          <w:szCs w:val="24"/>
        </w:rPr>
        <w:br w:type="page"/>
      </w:r>
      <w:bookmarkStart w:id="276" w:name="_Toc503794774"/>
      <w:bookmarkStart w:id="277" w:name="_Toc3014"/>
      <w:bookmarkStart w:id="278" w:name="_Toc6959"/>
      <w:bookmarkStart w:id="279" w:name="_Toc485828499"/>
      <w:bookmarkStart w:id="280" w:name="_Toc4143"/>
      <w:r>
        <w:rPr>
          <w:rFonts w:hint="eastAsia" w:ascii="宋体" w:hAnsi="宋体" w:eastAsia="宋体" w:cs="宋体"/>
          <w:color w:val="auto"/>
          <w:lang w:eastAsia="zh-CN"/>
        </w:rPr>
        <w:t>四</w:t>
      </w:r>
      <w:r>
        <w:rPr>
          <w:rFonts w:hint="eastAsia" w:ascii="宋体" w:hAnsi="宋体" w:eastAsia="宋体" w:cs="宋体"/>
          <w:color w:val="auto"/>
        </w:rPr>
        <w:t>、技术、服务应答表</w:t>
      </w:r>
      <w:bookmarkEnd w:id="274"/>
      <w:bookmarkEnd w:id="275"/>
      <w:bookmarkEnd w:id="276"/>
      <w:bookmarkEnd w:id="277"/>
      <w:bookmarkEnd w:id="278"/>
      <w:bookmarkEnd w:id="279"/>
      <w:bookmarkEnd w:id="280"/>
    </w:p>
    <w:p>
      <w:pPr>
        <w:widowControl/>
        <w:ind w:firstLine="240" w:firstLineChars="100"/>
        <w:rPr>
          <w:rFonts w:hint="eastAsia" w:ascii="宋体" w:hAnsi="宋体" w:eastAsia="宋体" w:cs="宋体"/>
          <w:color w:val="auto"/>
          <w:sz w:val="24"/>
        </w:rPr>
      </w:pPr>
      <w:bookmarkStart w:id="281" w:name="_Toc485400620"/>
      <w:bookmarkStart w:id="282" w:name="_Toc485828500"/>
      <w:bookmarkStart w:id="283" w:name="_Toc485400403"/>
      <w:bookmarkStart w:id="284" w:name="_Toc503794775"/>
    </w:p>
    <w:p>
      <w:pPr>
        <w:widowControl/>
        <w:ind w:firstLine="240" w:firstLineChars="100"/>
        <w:rPr>
          <w:rFonts w:hint="eastAsia" w:ascii="宋体" w:hAnsi="宋体" w:eastAsia="宋体" w:cs="宋体"/>
          <w:color w:val="auto"/>
          <w:sz w:val="24"/>
        </w:rPr>
      </w:pPr>
      <w:r>
        <w:rPr>
          <w:rFonts w:hint="eastAsia" w:ascii="宋体" w:hAnsi="宋体" w:eastAsia="宋体" w:cs="宋体"/>
          <w:color w:val="auto"/>
          <w:sz w:val="24"/>
        </w:rPr>
        <w:t>项目编号：</w:t>
      </w:r>
      <w:bookmarkEnd w:id="281"/>
      <w:bookmarkEnd w:id="282"/>
      <w:bookmarkEnd w:id="283"/>
      <w:bookmarkEnd w:id="284"/>
    </w:p>
    <w:tbl>
      <w:tblPr>
        <w:tblStyle w:val="18"/>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2457"/>
        <w:gridCol w:w="252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05"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57"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磋商文件要求</w:t>
            </w:r>
          </w:p>
        </w:tc>
        <w:tc>
          <w:tcPr>
            <w:tcW w:w="2526"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磋商应答</w:t>
            </w:r>
          </w:p>
        </w:tc>
        <w:tc>
          <w:tcPr>
            <w:tcW w:w="1949"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5" w:type="dxa"/>
            <w:vAlign w:val="center"/>
          </w:tcPr>
          <w:p>
            <w:pPr>
              <w:pStyle w:val="30"/>
              <w:jc w:val="center"/>
              <w:rPr>
                <w:rFonts w:hint="eastAsia" w:ascii="宋体" w:hAnsi="宋体" w:eastAsia="宋体" w:cs="宋体"/>
                <w:color w:val="auto"/>
                <w:sz w:val="24"/>
                <w:szCs w:val="24"/>
              </w:rPr>
            </w:pPr>
          </w:p>
        </w:tc>
        <w:tc>
          <w:tcPr>
            <w:tcW w:w="2457" w:type="dxa"/>
            <w:vAlign w:val="center"/>
          </w:tcPr>
          <w:p>
            <w:pPr>
              <w:pStyle w:val="30"/>
              <w:jc w:val="center"/>
              <w:rPr>
                <w:rFonts w:hint="eastAsia" w:ascii="宋体" w:hAnsi="宋体" w:eastAsia="宋体" w:cs="宋体"/>
                <w:color w:val="auto"/>
                <w:sz w:val="24"/>
                <w:szCs w:val="24"/>
              </w:rPr>
            </w:pPr>
          </w:p>
        </w:tc>
        <w:tc>
          <w:tcPr>
            <w:tcW w:w="2526" w:type="dxa"/>
            <w:vAlign w:val="center"/>
          </w:tcPr>
          <w:p>
            <w:pPr>
              <w:pStyle w:val="30"/>
              <w:jc w:val="center"/>
              <w:rPr>
                <w:rFonts w:hint="eastAsia" w:ascii="宋体" w:hAnsi="宋体" w:eastAsia="宋体" w:cs="宋体"/>
                <w:color w:val="auto"/>
                <w:sz w:val="24"/>
                <w:szCs w:val="24"/>
              </w:rPr>
            </w:pPr>
          </w:p>
        </w:tc>
        <w:tc>
          <w:tcPr>
            <w:tcW w:w="1949" w:type="dxa"/>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5" w:type="dxa"/>
            <w:vAlign w:val="center"/>
          </w:tcPr>
          <w:p>
            <w:pPr>
              <w:pStyle w:val="30"/>
              <w:jc w:val="center"/>
              <w:rPr>
                <w:rFonts w:hint="eastAsia" w:ascii="宋体" w:hAnsi="宋体" w:eastAsia="宋体" w:cs="宋体"/>
                <w:color w:val="auto"/>
                <w:sz w:val="24"/>
                <w:szCs w:val="24"/>
              </w:rPr>
            </w:pPr>
          </w:p>
        </w:tc>
        <w:tc>
          <w:tcPr>
            <w:tcW w:w="2457" w:type="dxa"/>
            <w:vAlign w:val="center"/>
          </w:tcPr>
          <w:p>
            <w:pPr>
              <w:pStyle w:val="30"/>
              <w:jc w:val="center"/>
              <w:rPr>
                <w:rFonts w:hint="eastAsia" w:ascii="宋体" w:hAnsi="宋体" w:eastAsia="宋体" w:cs="宋体"/>
                <w:color w:val="auto"/>
                <w:sz w:val="24"/>
                <w:szCs w:val="24"/>
              </w:rPr>
            </w:pPr>
          </w:p>
        </w:tc>
        <w:tc>
          <w:tcPr>
            <w:tcW w:w="2526" w:type="dxa"/>
            <w:vAlign w:val="center"/>
          </w:tcPr>
          <w:p>
            <w:pPr>
              <w:pStyle w:val="30"/>
              <w:jc w:val="center"/>
              <w:rPr>
                <w:rFonts w:hint="eastAsia" w:ascii="宋体" w:hAnsi="宋体" w:eastAsia="宋体" w:cs="宋体"/>
                <w:color w:val="auto"/>
                <w:sz w:val="24"/>
                <w:szCs w:val="24"/>
              </w:rPr>
            </w:pPr>
          </w:p>
        </w:tc>
        <w:tc>
          <w:tcPr>
            <w:tcW w:w="1949" w:type="dxa"/>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5" w:type="dxa"/>
            <w:vAlign w:val="center"/>
          </w:tcPr>
          <w:p>
            <w:pPr>
              <w:pStyle w:val="30"/>
              <w:jc w:val="center"/>
              <w:rPr>
                <w:rFonts w:hint="eastAsia" w:ascii="宋体" w:hAnsi="宋体" w:eastAsia="宋体" w:cs="宋体"/>
                <w:color w:val="auto"/>
                <w:sz w:val="24"/>
                <w:szCs w:val="24"/>
              </w:rPr>
            </w:pPr>
          </w:p>
        </w:tc>
        <w:tc>
          <w:tcPr>
            <w:tcW w:w="2457" w:type="dxa"/>
            <w:vAlign w:val="center"/>
          </w:tcPr>
          <w:p>
            <w:pPr>
              <w:pStyle w:val="30"/>
              <w:jc w:val="center"/>
              <w:rPr>
                <w:rFonts w:hint="eastAsia" w:ascii="宋体" w:hAnsi="宋体" w:eastAsia="宋体" w:cs="宋体"/>
                <w:color w:val="auto"/>
                <w:sz w:val="24"/>
                <w:szCs w:val="24"/>
              </w:rPr>
            </w:pPr>
          </w:p>
        </w:tc>
        <w:tc>
          <w:tcPr>
            <w:tcW w:w="2526" w:type="dxa"/>
            <w:vAlign w:val="center"/>
          </w:tcPr>
          <w:p>
            <w:pPr>
              <w:pStyle w:val="30"/>
              <w:jc w:val="center"/>
              <w:rPr>
                <w:rFonts w:hint="eastAsia" w:ascii="宋体" w:hAnsi="宋体" w:eastAsia="宋体" w:cs="宋体"/>
                <w:color w:val="auto"/>
                <w:sz w:val="24"/>
                <w:szCs w:val="24"/>
              </w:rPr>
            </w:pPr>
          </w:p>
        </w:tc>
        <w:tc>
          <w:tcPr>
            <w:tcW w:w="1949" w:type="dxa"/>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5" w:type="dxa"/>
            <w:vAlign w:val="center"/>
          </w:tcPr>
          <w:p>
            <w:pPr>
              <w:pStyle w:val="30"/>
              <w:jc w:val="center"/>
              <w:rPr>
                <w:rFonts w:hint="eastAsia" w:ascii="宋体" w:hAnsi="宋体" w:eastAsia="宋体" w:cs="宋体"/>
                <w:color w:val="auto"/>
                <w:sz w:val="24"/>
                <w:szCs w:val="24"/>
              </w:rPr>
            </w:pPr>
          </w:p>
        </w:tc>
        <w:tc>
          <w:tcPr>
            <w:tcW w:w="2457" w:type="dxa"/>
            <w:vAlign w:val="center"/>
          </w:tcPr>
          <w:p>
            <w:pPr>
              <w:pStyle w:val="30"/>
              <w:jc w:val="center"/>
              <w:rPr>
                <w:rFonts w:hint="eastAsia" w:ascii="宋体" w:hAnsi="宋体" w:eastAsia="宋体" w:cs="宋体"/>
                <w:color w:val="auto"/>
                <w:sz w:val="24"/>
                <w:szCs w:val="24"/>
              </w:rPr>
            </w:pPr>
          </w:p>
        </w:tc>
        <w:tc>
          <w:tcPr>
            <w:tcW w:w="2526" w:type="dxa"/>
            <w:vAlign w:val="center"/>
          </w:tcPr>
          <w:p>
            <w:pPr>
              <w:pStyle w:val="30"/>
              <w:jc w:val="center"/>
              <w:rPr>
                <w:rFonts w:hint="eastAsia" w:ascii="宋体" w:hAnsi="宋体" w:eastAsia="宋体" w:cs="宋体"/>
                <w:color w:val="auto"/>
                <w:sz w:val="24"/>
                <w:szCs w:val="24"/>
              </w:rPr>
            </w:pPr>
          </w:p>
        </w:tc>
        <w:tc>
          <w:tcPr>
            <w:tcW w:w="1949" w:type="dxa"/>
            <w:vAlign w:val="center"/>
          </w:tcPr>
          <w:p>
            <w:pPr>
              <w:pStyle w:val="30"/>
              <w:jc w:val="center"/>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宋体" w:eastAsia="宋体" w:cs="宋体"/>
          <w:bCs/>
          <w:color w:val="auto"/>
          <w:sz w:val="24"/>
        </w:rPr>
      </w:pPr>
      <w:r>
        <w:rPr>
          <w:rFonts w:hint="eastAsia" w:ascii="宋体" w:hAnsi="宋体" w:eastAsia="宋体" w:cs="宋体"/>
          <w:color w:val="auto"/>
          <w:sz w:val="24"/>
        </w:rPr>
        <w:t>注：</w:t>
      </w:r>
      <w:r>
        <w:rPr>
          <w:rFonts w:hint="eastAsia" w:ascii="宋体" w:hAnsi="宋体" w:eastAsia="宋体" w:cs="宋体"/>
          <w:bCs/>
          <w:color w:val="auto"/>
          <w:sz w:val="24"/>
        </w:rPr>
        <w:t>1.本表只填写</w:t>
      </w:r>
      <w:r>
        <w:rPr>
          <w:rFonts w:hint="eastAsia" w:ascii="宋体" w:hAnsi="宋体" w:eastAsia="宋体" w:cs="宋体"/>
          <w:bCs/>
          <w:color w:val="auto"/>
          <w:sz w:val="24"/>
          <w:lang w:eastAsia="zh-CN"/>
        </w:rPr>
        <w:t>响应</w:t>
      </w:r>
      <w:r>
        <w:rPr>
          <w:rFonts w:hint="eastAsia" w:ascii="宋体" w:hAnsi="宋体" w:eastAsia="宋体" w:cs="宋体"/>
          <w:bCs/>
          <w:color w:val="auto"/>
          <w:sz w:val="24"/>
        </w:rPr>
        <w:t>文件中与</w:t>
      </w:r>
      <w:r>
        <w:rPr>
          <w:rFonts w:hint="eastAsia" w:ascii="宋体" w:hAnsi="宋体" w:eastAsia="宋体" w:cs="宋体"/>
          <w:bCs/>
          <w:color w:val="auto"/>
          <w:sz w:val="24"/>
          <w:lang w:eastAsia="zh-CN"/>
        </w:rPr>
        <w:t>磋商</w:t>
      </w:r>
      <w:r>
        <w:rPr>
          <w:rFonts w:hint="eastAsia" w:ascii="宋体" w:hAnsi="宋体" w:eastAsia="宋体" w:cs="宋体"/>
          <w:bCs/>
          <w:color w:val="auto"/>
          <w:sz w:val="24"/>
        </w:rPr>
        <w:t>文件有偏离（包括正偏离和负偏离）的内容，</w:t>
      </w:r>
      <w:r>
        <w:rPr>
          <w:rFonts w:hint="eastAsia" w:ascii="宋体" w:hAnsi="宋体" w:eastAsia="宋体" w:cs="宋体"/>
          <w:color w:val="auto"/>
          <w:sz w:val="24"/>
        </w:rPr>
        <w:t>若有偏离，应逐一填写。供应商若完全满足竞争性磋商文件要求的，</w:t>
      </w:r>
      <w:r>
        <w:rPr>
          <w:rFonts w:hint="eastAsia" w:ascii="宋体" w:hAnsi="宋体" w:eastAsia="宋体" w:cs="宋体"/>
          <w:color w:val="auto"/>
          <w:sz w:val="24"/>
          <w:lang w:eastAsia="zh-CN"/>
        </w:rPr>
        <w:t>可</w:t>
      </w:r>
      <w:r>
        <w:rPr>
          <w:rFonts w:hint="eastAsia" w:ascii="宋体" w:hAnsi="宋体" w:eastAsia="宋体" w:cs="宋体"/>
          <w:bCs/>
          <w:color w:val="auto"/>
          <w:sz w:val="24"/>
        </w:rPr>
        <w:t>不用在此表中列出。且未列出偏离的条款视为响应</w:t>
      </w:r>
      <w:r>
        <w:rPr>
          <w:rFonts w:hint="eastAsia" w:ascii="宋体" w:hAnsi="宋体" w:eastAsia="宋体" w:cs="宋体"/>
          <w:bCs/>
          <w:color w:val="auto"/>
          <w:sz w:val="24"/>
          <w:lang w:eastAsia="zh-CN"/>
        </w:rPr>
        <w:t>磋商</w:t>
      </w:r>
      <w:r>
        <w:rPr>
          <w:rFonts w:hint="eastAsia" w:ascii="宋体" w:hAnsi="宋体" w:eastAsia="宋体" w:cs="宋体"/>
          <w:bCs/>
          <w:color w:val="auto"/>
          <w:sz w:val="24"/>
        </w:rPr>
        <w:t>文件要求，</w:t>
      </w:r>
      <w:r>
        <w:rPr>
          <w:rFonts w:hint="eastAsia" w:ascii="宋体" w:hAnsi="宋体" w:eastAsia="宋体" w:cs="宋体"/>
          <w:bCs/>
          <w:color w:val="auto"/>
          <w:sz w:val="24"/>
          <w:lang w:eastAsia="zh-CN"/>
        </w:rPr>
        <w:t>供应商</w:t>
      </w:r>
      <w:r>
        <w:rPr>
          <w:rFonts w:hint="eastAsia" w:ascii="宋体" w:hAnsi="宋体" w:eastAsia="宋体" w:cs="宋体"/>
          <w:bCs/>
          <w:color w:val="auto"/>
          <w:sz w:val="24"/>
        </w:rPr>
        <w:t>不得籍未应答拒绝履行。</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供应商</w:t>
      </w:r>
      <w:r>
        <w:rPr>
          <w:rFonts w:hint="eastAsia" w:ascii="宋体" w:hAnsi="宋体" w:eastAsia="宋体" w:cs="宋体"/>
          <w:color w:val="auto"/>
          <w:sz w:val="24"/>
          <w:lang w:eastAsia="zh-CN"/>
        </w:rPr>
        <w:t>必须据实填写，</w:t>
      </w:r>
      <w:r>
        <w:rPr>
          <w:rFonts w:hint="eastAsia" w:ascii="宋体" w:hAnsi="宋体" w:eastAsia="宋体" w:cs="宋体"/>
          <w:color w:val="auto"/>
          <w:sz w:val="24"/>
        </w:rPr>
        <w:t>不得虚假响应，虚假响应的，其响应文件无效并按规定追究其相关责任。</w:t>
      </w:r>
    </w:p>
    <w:p>
      <w:pPr>
        <w:widowControl/>
        <w:spacing w:line="360" w:lineRule="auto"/>
        <w:ind w:firstLine="480"/>
        <w:rPr>
          <w:rFonts w:hint="eastAsia" w:ascii="宋体" w:hAnsi="宋体" w:eastAsia="宋体" w:cs="宋体"/>
          <w:color w:val="auto"/>
          <w:sz w:val="24"/>
        </w:rPr>
      </w:pPr>
      <w:bookmarkStart w:id="285" w:name="_Toc503794780"/>
      <w:bookmarkStart w:id="286" w:name="_Toc485400409"/>
      <w:bookmarkStart w:id="287" w:name="_Toc485828506"/>
      <w:bookmarkStart w:id="288" w:name="_Toc485400626"/>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（单位盖章）</w:t>
      </w:r>
      <w:bookmarkEnd w:id="285"/>
      <w:bookmarkEnd w:id="286"/>
      <w:bookmarkEnd w:id="287"/>
      <w:bookmarkEnd w:id="288"/>
    </w:p>
    <w:p>
      <w:pPr>
        <w:widowControl/>
        <w:spacing w:line="360" w:lineRule="auto"/>
        <w:ind w:firstLine="480"/>
        <w:rPr>
          <w:rFonts w:hint="eastAsia" w:ascii="宋体" w:hAnsi="宋体" w:eastAsia="宋体" w:cs="宋体"/>
          <w:color w:val="auto"/>
          <w:sz w:val="24"/>
        </w:rPr>
      </w:pPr>
      <w:bookmarkStart w:id="289" w:name="_Toc485828507"/>
      <w:bookmarkStart w:id="290" w:name="_Toc503794781"/>
      <w:bookmarkStart w:id="291" w:name="_Toc485400627"/>
      <w:bookmarkStart w:id="292" w:name="_Toc485400410"/>
      <w:r>
        <w:rPr>
          <w:rFonts w:hint="eastAsia" w:ascii="宋体" w:hAnsi="宋体" w:eastAsia="宋体" w:cs="宋体"/>
          <w:color w:val="auto"/>
          <w:sz w:val="24"/>
        </w:rPr>
        <w:t>法定代表人或授权代表：</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（签字或加盖个人名章）</w:t>
      </w:r>
      <w:bookmarkEnd w:id="289"/>
      <w:bookmarkEnd w:id="290"/>
      <w:bookmarkEnd w:id="291"/>
      <w:bookmarkEnd w:id="292"/>
    </w:p>
    <w:p>
      <w:pPr>
        <w:widowControl/>
        <w:spacing w:line="360" w:lineRule="auto"/>
        <w:ind w:firstLine="480"/>
        <w:rPr>
          <w:rFonts w:hint="eastAsia" w:ascii="宋体" w:hAnsi="宋体" w:eastAsia="宋体" w:cs="宋体"/>
          <w:color w:val="auto"/>
          <w:sz w:val="24"/>
        </w:rPr>
      </w:pPr>
      <w:bookmarkStart w:id="293" w:name="_Toc503794782"/>
      <w:bookmarkStart w:id="294" w:name="_Toc485400411"/>
      <w:bookmarkStart w:id="295" w:name="_Toc485400628"/>
      <w:bookmarkStart w:id="296" w:name="_Toc485828508"/>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bookmarkEnd w:id="293"/>
      <w:bookmarkEnd w:id="294"/>
      <w:bookmarkEnd w:id="295"/>
      <w:bookmarkEnd w:id="296"/>
    </w:p>
    <w:p>
      <w:pPr>
        <w:widowControl/>
        <w:spacing w:line="360" w:lineRule="auto"/>
        <w:ind w:firstLine="480"/>
        <w:rPr>
          <w:rFonts w:hint="eastAsia" w:ascii="宋体" w:hAnsi="宋体" w:eastAsia="宋体" w:cs="宋体"/>
          <w:color w:val="auto"/>
          <w:sz w:val="24"/>
        </w:rPr>
      </w:pPr>
    </w:p>
    <w:p>
      <w:pPr>
        <w:pStyle w:val="29"/>
        <w:spacing w:before="156" w:after="156"/>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297" w:name="_Toc503794783"/>
      <w:bookmarkStart w:id="298" w:name="_Toc19153"/>
      <w:bookmarkStart w:id="299" w:name="_Toc485828509"/>
      <w:bookmarkStart w:id="300" w:name="_Toc1429"/>
      <w:bookmarkStart w:id="301" w:name="_Toc31618"/>
      <w:r>
        <w:rPr>
          <w:rFonts w:hint="eastAsia" w:ascii="宋体" w:hAnsi="宋体" w:eastAsia="宋体" w:cs="宋体"/>
          <w:color w:val="auto"/>
          <w:lang w:eastAsia="zh-CN"/>
        </w:rPr>
        <w:t>五</w:t>
      </w:r>
      <w:r>
        <w:rPr>
          <w:rFonts w:hint="eastAsia" w:ascii="宋体" w:hAnsi="宋体" w:eastAsia="宋体" w:cs="宋体"/>
          <w:color w:val="auto"/>
        </w:rPr>
        <w:t>、供应商基本情况表</w:t>
      </w:r>
      <w:bookmarkEnd w:id="297"/>
      <w:bookmarkEnd w:id="298"/>
      <w:bookmarkEnd w:id="299"/>
      <w:bookmarkEnd w:id="300"/>
      <w:bookmarkEnd w:id="301"/>
    </w:p>
    <w:p>
      <w:pPr>
        <w:widowControl/>
        <w:ind w:firstLine="480"/>
        <w:rPr>
          <w:rFonts w:hint="eastAsia" w:ascii="宋体" w:hAnsi="宋体" w:eastAsia="宋体" w:cs="宋体"/>
          <w:bCs/>
          <w:color w:val="auto"/>
          <w:sz w:val="24"/>
          <w:u w:val="single"/>
        </w:rPr>
      </w:pPr>
    </w:p>
    <w:tbl>
      <w:tblPr>
        <w:tblStyle w:val="18"/>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00"/>
        <w:gridCol w:w="1016"/>
        <w:gridCol w:w="1252"/>
        <w:gridCol w:w="8"/>
        <w:gridCol w:w="1323"/>
        <w:gridCol w:w="401"/>
        <w:gridCol w:w="77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p>
        </w:tc>
        <w:tc>
          <w:tcPr>
            <w:tcW w:w="6846" w:type="dxa"/>
            <w:gridSpan w:val="8"/>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3276" w:type="dxa"/>
            <w:gridSpan w:val="4"/>
            <w:vAlign w:val="center"/>
          </w:tcPr>
          <w:p>
            <w:pPr>
              <w:pStyle w:val="30"/>
              <w:jc w:val="center"/>
              <w:rPr>
                <w:rFonts w:hint="eastAsia" w:ascii="宋体" w:hAnsi="宋体" w:eastAsia="宋体" w:cs="宋体"/>
                <w:color w:val="auto"/>
                <w:sz w:val="24"/>
                <w:szCs w:val="24"/>
              </w:rPr>
            </w:pPr>
          </w:p>
        </w:tc>
        <w:tc>
          <w:tcPr>
            <w:tcW w:w="1323"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2247" w:type="dxa"/>
            <w:gridSpan w:val="3"/>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vMerge w:val="restart"/>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1000"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268" w:type="dxa"/>
            <w:gridSpan w:val="2"/>
            <w:vAlign w:val="center"/>
          </w:tcPr>
          <w:p>
            <w:pPr>
              <w:pStyle w:val="30"/>
              <w:jc w:val="center"/>
              <w:rPr>
                <w:rFonts w:hint="eastAsia" w:ascii="宋体" w:hAnsi="宋体" w:eastAsia="宋体" w:cs="宋体"/>
                <w:color w:val="auto"/>
                <w:sz w:val="24"/>
                <w:szCs w:val="24"/>
              </w:rPr>
            </w:pPr>
          </w:p>
        </w:tc>
        <w:tc>
          <w:tcPr>
            <w:tcW w:w="1331" w:type="dxa"/>
            <w:gridSpan w:val="2"/>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247" w:type="dxa"/>
            <w:gridSpan w:val="3"/>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jc w:val="center"/>
        </w:trPr>
        <w:tc>
          <w:tcPr>
            <w:tcW w:w="1706" w:type="dxa"/>
            <w:vMerge w:val="continue"/>
            <w:vAlign w:val="center"/>
          </w:tcPr>
          <w:p>
            <w:pPr>
              <w:pStyle w:val="30"/>
              <w:jc w:val="center"/>
              <w:rPr>
                <w:rFonts w:hint="eastAsia" w:ascii="宋体" w:hAnsi="宋体" w:eastAsia="宋体" w:cs="宋体"/>
                <w:color w:val="auto"/>
                <w:sz w:val="24"/>
                <w:szCs w:val="24"/>
              </w:rPr>
            </w:pPr>
          </w:p>
        </w:tc>
        <w:tc>
          <w:tcPr>
            <w:tcW w:w="1000"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268" w:type="dxa"/>
            <w:gridSpan w:val="2"/>
            <w:vAlign w:val="center"/>
          </w:tcPr>
          <w:p>
            <w:pPr>
              <w:pStyle w:val="30"/>
              <w:jc w:val="center"/>
              <w:rPr>
                <w:rFonts w:hint="eastAsia" w:ascii="宋体" w:hAnsi="宋体" w:eastAsia="宋体" w:cs="宋体"/>
                <w:color w:val="auto"/>
                <w:sz w:val="24"/>
                <w:szCs w:val="24"/>
              </w:rPr>
            </w:pPr>
          </w:p>
        </w:tc>
        <w:tc>
          <w:tcPr>
            <w:tcW w:w="1331" w:type="dxa"/>
            <w:gridSpan w:val="2"/>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247" w:type="dxa"/>
            <w:gridSpan w:val="3"/>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组织结构</w:t>
            </w:r>
          </w:p>
        </w:tc>
        <w:tc>
          <w:tcPr>
            <w:tcW w:w="6846" w:type="dxa"/>
            <w:gridSpan w:val="8"/>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06"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000"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016" w:type="dxa"/>
            <w:vAlign w:val="center"/>
          </w:tcPr>
          <w:p>
            <w:pPr>
              <w:pStyle w:val="30"/>
              <w:jc w:val="center"/>
              <w:rPr>
                <w:rFonts w:hint="eastAsia" w:ascii="宋体" w:hAnsi="宋体" w:eastAsia="宋体" w:cs="宋体"/>
                <w:color w:val="auto"/>
                <w:sz w:val="24"/>
                <w:szCs w:val="24"/>
              </w:rPr>
            </w:pPr>
          </w:p>
        </w:tc>
        <w:tc>
          <w:tcPr>
            <w:tcW w:w="1252"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331" w:type="dxa"/>
            <w:gridSpan w:val="2"/>
            <w:vAlign w:val="center"/>
          </w:tcPr>
          <w:p>
            <w:pPr>
              <w:pStyle w:val="30"/>
              <w:jc w:val="center"/>
              <w:rPr>
                <w:rFonts w:hint="eastAsia" w:ascii="宋体" w:hAnsi="宋体" w:eastAsia="宋体" w:cs="宋体"/>
                <w:color w:val="auto"/>
                <w:sz w:val="24"/>
                <w:szCs w:val="24"/>
              </w:rPr>
            </w:pPr>
          </w:p>
        </w:tc>
        <w:tc>
          <w:tcPr>
            <w:tcW w:w="1176" w:type="dxa"/>
            <w:gridSpan w:val="2"/>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071" w:type="dxa"/>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06"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1000"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016" w:type="dxa"/>
            <w:vAlign w:val="center"/>
          </w:tcPr>
          <w:p>
            <w:pPr>
              <w:pStyle w:val="30"/>
              <w:jc w:val="center"/>
              <w:rPr>
                <w:rFonts w:hint="eastAsia" w:ascii="宋体" w:hAnsi="宋体" w:eastAsia="宋体" w:cs="宋体"/>
                <w:color w:val="auto"/>
                <w:sz w:val="24"/>
                <w:szCs w:val="24"/>
              </w:rPr>
            </w:pPr>
          </w:p>
        </w:tc>
        <w:tc>
          <w:tcPr>
            <w:tcW w:w="1252"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331" w:type="dxa"/>
            <w:gridSpan w:val="2"/>
            <w:vAlign w:val="center"/>
          </w:tcPr>
          <w:p>
            <w:pPr>
              <w:pStyle w:val="30"/>
              <w:jc w:val="center"/>
              <w:rPr>
                <w:rFonts w:hint="eastAsia" w:ascii="宋体" w:hAnsi="宋体" w:eastAsia="宋体" w:cs="宋体"/>
                <w:color w:val="auto"/>
                <w:sz w:val="24"/>
                <w:szCs w:val="24"/>
              </w:rPr>
            </w:pPr>
          </w:p>
        </w:tc>
        <w:tc>
          <w:tcPr>
            <w:tcW w:w="1176" w:type="dxa"/>
            <w:gridSpan w:val="2"/>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071" w:type="dxa"/>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06"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财务负责人</w:t>
            </w:r>
          </w:p>
        </w:tc>
        <w:tc>
          <w:tcPr>
            <w:tcW w:w="1000"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016" w:type="dxa"/>
            <w:vAlign w:val="center"/>
          </w:tcPr>
          <w:p>
            <w:pPr>
              <w:pStyle w:val="30"/>
              <w:jc w:val="center"/>
              <w:rPr>
                <w:rFonts w:hint="eastAsia" w:ascii="宋体" w:hAnsi="宋体" w:eastAsia="宋体" w:cs="宋体"/>
                <w:color w:val="auto"/>
                <w:sz w:val="24"/>
                <w:szCs w:val="24"/>
              </w:rPr>
            </w:pPr>
          </w:p>
        </w:tc>
        <w:tc>
          <w:tcPr>
            <w:tcW w:w="1252"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331" w:type="dxa"/>
            <w:gridSpan w:val="2"/>
            <w:vAlign w:val="center"/>
          </w:tcPr>
          <w:p>
            <w:pPr>
              <w:pStyle w:val="30"/>
              <w:jc w:val="center"/>
              <w:rPr>
                <w:rFonts w:hint="eastAsia" w:ascii="宋体" w:hAnsi="宋体" w:eastAsia="宋体" w:cs="宋体"/>
                <w:color w:val="auto"/>
                <w:sz w:val="24"/>
                <w:szCs w:val="24"/>
              </w:rPr>
            </w:pPr>
          </w:p>
        </w:tc>
        <w:tc>
          <w:tcPr>
            <w:tcW w:w="1176" w:type="dxa"/>
            <w:gridSpan w:val="2"/>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071" w:type="dxa"/>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2016" w:type="dxa"/>
            <w:gridSpan w:val="2"/>
            <w:vAlign w:val="center"/>
          </w:tcPr>
          <w:p>
            <w:pPr>
              <w:pStyle w:val="30"/>
              <w:jc w:val="center"/>
              <w:rPr>
                <w:rFonts w:hint="eastAsia" w:ascii="宋体" w:hAnsi="宋体" w:eastAsia="宋体" w:cs="宋体"/>
                <w:color w:val="auto"/>
                <w:sz w:val="24"/>
                <w:szCs w:val="24"/>
              </w:rPr>
            </w:pPr>
          </w:p>
        </w:tc>
        <w:tc>
          <w:tcPr>
            <w:tcW w:w="4830" w:type="dxa"/>
            <w:gridSpan w:val="6"/>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企业资质等级</w:t>
            </w:r>
          </w:p>
        </w:tc>
        <w:tc>
          <w:tcPr>
            <w:tcW w:w="2016" w:type="dxa"/>
            <w:gridSpan w:val="2"/>
            <w:vAlign w:val="center"/>
          </w:tcPr>
          <w:p>
            <w:pPr>
              <w:pStyle w:val="30"/>
              <w:jc w:val="center"/>
              <w:rPr>
                <w:rFonts w:hint="eastAsia" w:ascii="宋体" w:hAnsi="宋体" w:eastAsia="宋体" w:cs="宋体"/>
                <w:color w:val="auto"/>
                <w:sz w:val="24"/>
                <w:szCs w:val="24"/>
              </w:rPr>
            </w:pPr>
          </w:p>
        </w:tc>
        <w:tc>
          <w:tcPr>
            <w:tcW w:w="1252" w:type="dxa"/>
            <w:vMerge w:val="restart"/>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其中</w:t>
            </w:r>
          </w:p>
        </w:tc>
        <w:tc>
          <w:tcPr>
            <w:tcW w:w="1732" w:type="dxa"/>
            <w:gridSpan w:val="3"/>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1846" w:type="dxa"/>
            <w:gridSpan w:val="2"/>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016" w:type="dxa"/>
            <w:gridSpan w:val="2"/>
            <w:vAlign w:val="center"/>
          </w:tcPr>
          <w:p>
            <w:pPr>
              <w:pStyle w:val="30"/>
              <w:jc w:val="center"/>
              <w:rPr>
                <w:rFonts w:hint="eastAsia" w:ascii="宋体" w:hAnsi="宋体" w:eastAsia="宋体" w:cs="宋体"/>
                <w:color w:val="auto"/>
                <w:sz w:val="24"/>
                <w:szCs w:val="24"/>
              </w:rPr>
            </w:pPr>
          </w:p>
        </w:tc>
        <w:tc>
          <w:tcPr>
            <w:tcW w:w="1252" w:type="dxa"/>
            <w:vMerge w:val="continue"/>
            <w:vAlign w:val="center"/>
          </w:tcPr>
          <w:p>
            <w:pPr>
              <w:pStyle w:val="30"/>
              <w:jc w:val="center"/>
              <w:rPr>
                <w:rFonts w:hint="eastAsia" w:ascii="宋体" w:hAnsi="宋体" w:eastAsia="宋体" w:cs="宋体"/>
                <w:color w:val="auto"/>
                <w:sz w:val="24"/>
                <w:szCs w:val="24"/>
              </w:rPr>
            </w:pPr>
          </w:p>
        </w:tc>
        <w:tc>
          <w:tcPr>
            <w:tcW w:w="1732" w:type="dxa"/>
            <w:gridSpan w:val="3"/>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高级职称人员</w:t>
            </w:r>
          </w:p>
        </w:tc>
        <w:tc>
          <w:tcPr>
            <w:tcW w:w="1846" w:type="dxa"/>
            <w:gridSpan w:val="2"/>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016" w:type="dxa"/>
            <w:gridSpan w:val="2"/>
            <w:vAlign w:val="center"/>
          </w:tcPr>
          <w:p>
            <w:pPr>
              <w:pStyle w:val="30"/>
              <w:jc w:val="center"/>
              <w:rPr>
                <w:rFonts w:hint="eastAsia" w:ascii="宋体" w:hAnsi="宋体" w:eastAsia="宋体" w:cs="宋体"/>
                <w:color w:val="auto"/>
                <w:sz w:val="24"/>
                <w:szCs w:val="24"/>
              </w:rPr>
            </w:pPr>
          </w:p>
        </w:tc>
        <w:tc>
          <w:tcPr>
            <w:tcW w:w="1252" w:type="dxa"/>
            <w:vMerge w:val="continue"/>
            <w:vAlign w:val="center"/>
          </w:tcPr>
          <w:p>
            <w:pPr>
              <w:pStyle w:val="30"/>
              <w:jc w:val="center"/>
              <w:rPr>
                <w:rFonts w:hint="eastAsia" w:ascii="宋体" w:hAnsi="宋体" w:eastAsia="宋体" w:cs="宋体"/>
                <w:color w:val="auto"/>
                <w:sz w:val="24"/>
                <w:szCs w:val="24"/>
              </w:rPr>
            </w:pPr>
          </w:p>
        </w:tc>
        <w:tc>
          <w:tcPr>
            <w:tcW w:w="1732" w:type="dxa"/>
            <w:gridSpan w:val="3"/>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中级职称人员</w:t>
            </w:r>
          </w:p>
        </w:tc>
        <w:tc>
          <w:tcPr>
            <w:tcW w:w="1846" w:type="dxa"/>
            <w:gridSpan w:val="2"/>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016" w:type="dxa"/>
            <w:gridSpan w:val="2"/>
            <w:vAlign w:val="center"/>
          </w:tcPr>
          <w:p>
            <w:pPr>
              <w:pStyle w:val="30"/>
              <w:jc w:val="center"/>
              <w:rPr>
                <w:rFonts w:hint="eastAsia" w:ascii="宋体" w:hAnsi="宋体" w:eastAsia="宋体" w:cs="宋体"/>
                <w:color w:val="auto"/>
                <w:sz w:val="24"/>
                <w:szCs w:val="24"/>
              </w:rPr>
            </w:pPr>
          </w:p>
        </w:tc>
        <w:tc>
          <w:tcPr>
            <w:tcW w:w="1252" w:type="dxa"/>
            <w:vMerge w:val="continue"/>
            <w:vAlign w:val="center"/>
          </w:tcPr>
          <w:p>
            <w:pPr>
              <w:pStyle w:val="30"/>
              <w:jc w:val="center"/>
              <w:rPr>
                <w:rFonts w:hint="eastAsia" w:ascii="宋体" w:hAnsi="宋体" w:eastAsia="宋体" w:cs="宋体"/>
                <w:color w:val="auto"/>
                <w:sz w:val="24"/>
                <w:szCs w:val="24"/>
              </w:rPr>
            </w:pPr>
          </w:p>
        </w:tc>
        <w:tc>
          <w:tcPr>
            <w:tcW w:w="1732" w:type="dxa"/>
            <w:gridSpan w:val="3"/>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初级职称人员</w:t>
            </w:r>
          </w:p>
        </w:tc>
        <w:tc>
          <w:tcPr>
            <w:tcW w:w="1846" w:type="dxa"/>
            <w:gridSpan w:val="2"/>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2016" w:type="dxa"/>
            <w:gridSpan w:val="2"/>
            <w:vAlign w:val="center"/>
          </w:tcPr>
          <w:p>
            <w:pPr>
              <w:pStyle w:val="30"/>
              <w:jc w:val="center"/>
              <w:rPr>
                <w:rFonts w:hint="eastAsia" w:ascii="宋体" w:hAnsi="宋体" w:eastAsia="宋体" w:cs="宋体"/>
                <w:color w:val="auto"/>
                <w:sz w:val="24"/>
                <w:szCs w:val="24"/>
              </w:rPr>
            </w:pPr>
          </w:p>
        </w:tc>
        <w:tc>
          <w:tcPr>
            <w:tcW w:w="1252" w:type="dxa"/>
            <w:vMerge w:val="continue"/>
            <w:vAlign w:val="center"/>
          </w:tcPr>
          <w:p>
            <w:pPr>
              <w:pStyle w:val="30"/>
              <w:jc w:val="center"/>
              <w:rPr>
                <w:rFonts w:hint="eastAsia" w:ascii="宋体" w:hAnsi="宋体" w:eastAsia="宋体" w:cs="宋体"/>
                <w:color w:val="auto"/>
                <w:sz w:val="24"/>
                <w:szCs w:val="24"/>
              </w:rPr>
            </w:pPr>
          </w:p>
        </w:tc>
        <w:tc>
          <w:tcPr>
            <w:tcW w:w="1732" w:type="dxa"/>
            <w:gridSpan w:val="3"/>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技工</w:t>
            </w:r>
          </w:p>
        </w:tc>
        <w:tc>
          <w:tcPr>
            <w:tcW w:w="1846" w:type="dxa"/>
            <w:gridSpan w:val="2"/>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1706"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6" w:type="dxa"/>
            <w:gridSpan w:val="8"/>
            <w:vAlign w:val="center"/>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706"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846" w:type="dxa"/>
            <w:gridSpan w:val="8"/>
            <w:vAlign w:val="center"/>
          </w:tcPr>
          <w:p>
            <w:pPr>
              <w:pStyle w:val="30"/>
              <w:jc w:val="center"/>
              <w:rPr>
                <w:rFonts w:hint="eastAsia" w:ascii="宋体" w:hAnsi="宋体" w:eastAsia="宋体" w:cs="宋体"/>
                <w:color w:val="auto"/>
                <w:sz w:val="24"/>
                <w:szCs w:val="24"/>
              </w:rPr>
            </w:pPr>
          </w:p>
        </w:tc>
      </w:tr>
    </w:tbl>
    <w:p>
      <w:pPr>
        <w:widowControl/>
        <w:ind w:firstLine="480"/>
        <w:rPr>
          <w:rFonts w:hint="eastAsia" w:ascii="宋体" w:hAnsi="宋体" w:eastAsia="宋体" w:cs="宋体"/>
          <w:color w:val="auto"/>
          <w:sz w:val="24"/>
        </w:rPr>
      </w:pPr>
      <w:r>
        <w:rPr>
          <w:rFonts w:hint="eastAsia" w:ascii="宋体" w:hAnsi="宋体" w:eastAsia="宋体" w:cs="宋体"/>
          <w:color w:val="auto"/>
          <w:sz w:val="24"/>
        </w:rPr>
        <w:t>说明：表格不能满足使用时可自行增加。</w:t>
      </w:r>
    </w:p>
    <w:p>
      <w:pPr>
        <w:widowControl/>
        <w:ind w:firstLine="480"/>
        <w:rPr>
          <w:rFonts w:hint="eastAsia" w:ascii="宋体" w:hAnsi="宋体" w:eastAsia="宋体" w:cs="宋体"/>
          <w:color w:val="auto"/>
          <w:sz w:val="24"/>
        </w:rPr>
      </w:pPr>
    </w:p>
    <w:p>
      <w:pPr>
        <w:widowControl/>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color w:val="auto"/>
          <w:sz w:val="24"/>
        </w:rPr>
      </w:pPr>
      <w:bookmarkStart w:id="302" w:name="_Toc503794784"/>
      <w:bookmarkStart w:id="303" w:name="_Toc485828510"/>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（单位公章）</w:t>
      </w:r>
      <w:bookmarkEnd w:id="302"/>
      <w:bookmarkEnd w:id="303"/>
    </w:p>
    <w:p>
      <w:pPr>
        <w:widowControl/>
        <w:spacing w:line="360" w:lineRule="auto"/>
        <w:ind w:firstLine="480"/>
        <w:rPr>
          <w:rFonts w:hint="eastAsia" w:ascii="宋体" w:hAnsi="宋体" w:eastAsia="宋体" w:cs="宋体"/>
          <w:color w:val="auto"/>
          <w:sz w:val="24"/>
        </w:rPr>
      </w:pPr>
      <w:bookmarkStart w:id="304" w:name="_Toc503794785"/>
      <w:bookmarkStart w:id="305" w:name="_Toc485828511"/>
      <w:r>
        <w:rPr>
          <w:rFonts w:hint="eastAsia" w:ascii="宋体" w:hAnsi="宋体" w:eastAsia="宋体" w:cs="宋体"/>
          <w:color w:val="auto"/>
          <w:sz w:val="24"/>
        </w:rPr>
        <w:t>法定代表人或授权代表：</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（签字或加盖个人名章）</w:t>
      </w:r>
      <w:bookmarkEnd w:id="304"/>
      <w:bookmarkEnd w:id="305"/>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w:t>
      </w:r>
      <w:r>
        <w:rPr>
          <w:rFonts w:hint="eastAsia" w:ascii="宋体" w:hAnsi="宋体" w:eastAsia="宋体" w:cs="宋体"/>
          <w:color w:val="auto"/>
          <w:sz w:val="24"/>
        </w:rPr>
        <w:t>年</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w:t>
      </w:r>
      <w:r>
        <w:rPr>
          <w:rFonts w:hint="eastAsia" w:ascii="宋体" w:hAnsi="宋体" w:eastAsia="宋体" w:cs="宋体"/>
          <w:color w:val="auto"/>
          <w:sz w:val="24"/>
        </w:rPr>
        <w:t>日</w:t>
      </w:r>
    </w:p>
    <w:p>
      <w:pPr>
        <w:pStyle w:val="29"/>
        <w:spacing w:before="156" w:after="156"/>
        <w:rPr>
          <w:rFonts w:hint="eastAsia" w:ascii="宋体" w:hAnsi="宋体" w:eastAsia="宋体" w:cs="宋体"/>
          <w:color w:val="auto"/>
          <w:sz w:val="24"/>
          <w:szCs w:val="24"/>
        </w:rPr>
      </w:pPr>
      <w:bookmarkStart w:id="306" w:name="_Toc480288599"/>
      <w:bookmarkStart w:id="307" w:name="_Toc480288370"/>
      <w:bookmarkStart w:id="308" w:name="_Toc485828516"/>
      <w:bookmarkStart w:id="309" w:name="_Toc482366523"/>
      <w:r>
        <w:rPr>
          <w:rFonts w:hint="eastAsia" w:ascii="宋体" w:hAnsi="宋体" w:eastAsia="宋体" w:cs="宋体"/>
          <w:color w:val="auto"/>
          <w:sz w:val="24"/>
          <w:szCs w:val="24"/>
        </w:rPr>
        <w:br w:type="page"/>
      </w:r>
      <w:bookmarkStart w:id="310" w:name="_Toc485828512"/>
      <w:bookmarkStart w:id="311" w:name="_Toc480288597"/>
      <w:bookmarkStart w:id="312" w:name="_Toc480288368"/>
      <w:bookmarkStart w:id="313" w:name="_Toc482366521"/>
      <w:bookmarkStart w:id="314" w:name="_Toc503794786"/>
      <w:bookmarkStart w:id="315" w:name="_Toc12243"/>
      <w:bookmarkStart w:id="316" w:name="_Toc2941"/>
      <w:bookmarkStart w:id="317" w:name="_Toc27266"/>
      <w:r>
        <w:rPr>
          <w:rFonts w:hint="eastAsia" w:ascii="宋体" w:hAnsi="宋体" w:eastAsia="宋体" w:cs="宋体"/>
          <w:color w:val="auto"/>
          <w:lang w:eastAsia="zh-CN"/>
        </w:rPr>
        <w:t>六</w:t>
      </w:r>
      <w:r>
        <w:rPr>
          <w:rFonts w:hint="eastAsia" w:ascii="宋体" w:hAnsi="宋体" w:eastAsia="宋体" w:cs="宋体"/>
          <w:color w:val="auto"/>
        </w:rPr>
        <w:t>、项目管理机构配置</w:t>
      </w:r>
      <w:bookmarkEnd w:id="310"/>
      <w:bookmarkEnd w:id="311"/>
      <w:bookmarkEnd w:id="312"/>
      <w:bookmarkEnd w:id="313"/>
      <w:r>
        <w:rPr>
          <w:rFonts w:hint="eastAsia" w:ascii="宋体" w:hAnsi="宋体" w:eastAsia="宋体" w:cs="宋体"/>
          <w:color w:val="auto"/>
        </w:rPr>
        <w:t>表</w:t>
      </w:r>
      <w:bookmarkEnd w:id="314"/>
      <w:bookmarkEnd w:id="315"/>
      <w:bookmarkEnd w:id="316"/>
      <w:bookmarkEnd w:id="317"/>
    </w:p>
    <w:p>
      <w:pPr>
        <w:widowControl/>
        <w:ind w:firstLine="48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18"/>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40"/>
        <w:gridCol w:w="970"/>
        <w:gridCol w:w="830"/>
        <w:gridCol w:w="1290"/>
        <w:gridCol w:w="1371"/>
        <w:gridCol w:w="879"/>
        <w:gridCol w:w="92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2"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940"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970"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830"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290"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常住地</w:t>
            </w:r>
          </w:p>
        </w:tc>
        <w:tc>
          <w:tcPr>
            <w:tcW w:w="1371"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879"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920"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920"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vMerge w:val="restart"/>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管理</w:t>
            </w:r>
          </w:p>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w:t>
            </w:r>
          </w:p>
        </w:tc>
        <w:tc>
          <w:tcPr>
            <w:tcW w:w="940" w:type="dxa"/>
          </w:tcPr>
          <w:p>
            <w:pPr>
              <w:pStyle w:val="30"/>
              <w:jc w:val="center"/>
              <w:rPr>
                <w:rFonts w:hint="eastAsia" w:ascii="宋体" w:hAnsi="宋体" w:eastAsia="宋体" w:cs="宋体"/>
                <w:color w:val="auto"/>
                <w:sz w:val="24"/>
                <w:szCs w:val="24"/>
              </w:rPr>
            </w:pPr>
          </w:p>
        </w:tc>
        <w:tc>
          <w:tcPr>
            <w:tcW w:w="970" w:type="dxa"/>
          </w:tcPr>
          <w:p>
            <w:pPr>
              <w:pStyle w:val="30"/>
              <w:jc w:val="center"/>
              <w:rPr>
                <w:rFonts w:hint="eastAsia" w:ascii="宋体" w:hAnsi="宋体" w:eastAsia="宋体" w:cs="宋体"/>
                <w:color w:val="auto"/>
                <w:sz w:val="24"/>
                <w:szCs w:val="24"/>
              </w:rPr>
            </w:pPr>
          </w:p>
        </w:tc>
        <w:tc>
          <w:tcPr>
            <w:tcW w:w="830" w:type="dxa"/>
          </w:tcPr>
          <w:p>
            <w:pPr>
              <w:pStyle w:val="30"/>
              <w:jc w:val="center"/>
              <w:rPr>
                <w:rFonts w:hint="eastAsia" w:ascii="宋体" w:hAnsi="宋体" w:eastAsia="宋体" w:cs="宋体"/>
                <w:color w:val="auto"/>
                <w:sz w:val="24"/>
                <w:szCs w:val="24"/>
              </w:rPr>
            </w:pPr>
          </w:p>
        </w:tc>
        <w:tc>
          <w:tcPr>
            <w:tcW w:w="1290" w:type="dxa"/>
          </w:tcPr>
          <w:p>
            <w:pPr>
              <w:pStyle w:val="30"/>
              <w:jc w:val="center"/>
              <w:rPr>
                <w:rFonts w:hint="eastAsia" w:ascii="宋体" w:hAnsi="宋体" w:eastAsia="宋体" w:cs="宋体"/>
                <w:color w:val="auto"/>
                <w:sz w:val="24"/>
                <w:szCs w:val="24"/>
              </w:rPr>
            </w:pPr>
          </w:p>
        </w:tc>
        <w:tc>
          <w:tcPr>
            <w:tcW w:w="1371" w:type="dxa"/>
          </w:tcPr>
          <w:p>
            <w:pPr>
              <w:pStyle w:val="30"/>
              <w:jc w:val="center"/>
              <w:rPr>
                <w:rFonts w:hint="eastAsia" w:ascii="宋体" w:hAnsi="宋体" w:eastAsia="宋体" w:cs="宋体"/>
                <w:color w:val="auto"/>
                <w:sz w:val="24"/>
                <w:szCs w:val="24"/>
              </w:rPr>
            </w:pPr>
          </w:p>
        </w:tc>
        <w:tc>
          <w:tcPr>
            <w:tcW w:w="879"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vAlign w:val="center"/>
          </w:tcPr>
          <w:p>
            <w:pPr>
              <w:pStyle w:val="30"/>
              <w:jc w:val="center"/>
              <w:rPr>
                <w:rFonts w:hint="eastAsia" w:ascii="宋体" w:hAnsi="宋体" w:eastAsia="宋体" w:cs="宋体"/>
                <w:color w:val="auto"/>
                <w:sz w:val="24"/>
                <w:szCs w:val="24"/>
              </w:rPr>
            </w:pPr>
          </w:p>
        </w:tc>
        <w:tc>
          <w:tcPr>
            <w:tcW w:w="940" w:type="dxa"/>
          </w:tcPr>
          <w:p>
            <w:pPr>
              <w:pStyle w:val="30"/>
              <w:jc w:val="center"/>
              <w:rPr>
                <w:rFonts w:hint="eastAsia" w:ascii="宋体" w:hAnsi="宋体" w:eastAsia="宋体" w:cs="宋体"/>
                <w:color w:val="auto"/>
                <w:sz w:val="24"/>
                <w:szCs w:val="24"/>
              </w:rPr>
            </w:pPr>
          </w:p>
        </w:tc>
        <w:tc>
          <w:tcPr>
            <w:tcW w:w="970" w:type="dxa"/>
          </w:tcPr>
          <w:p>
            <w:pPr>
              <w:pStyle w:val="30"/>
              <w:jc w:val="center"/>
              <w:rPr>
                <w:rFonts w:hint="eastAsia" w:ascii="宋体" w:hAnsi="宋体" w:eastAsia="宋体" w:cs="宋体"/>
                <w:color w:val="auto"/>
                <w:sz w:val="24"/>
                <w:szCs w:val="24"/>
              </w:rPr>
            </w:pPr>
          </w:p>
        </w:tc>
        <w:tc>
          <w:tcPr>
            <w:tcW w:w="830" w:type="dxa"/>
          </w:tcPr>
          <w:p>
            <w:pPr>
              <w:pStyle w:val="30"/>
              <w:jc w:val="center"/>
              <w:rPr>
                <w:rFonts w:hint="eastAsia" w:ascii="宋体" w:hAnsi="宋体" w:eastAsia="宋体" w:cs="宋体"/>
                <w:color w:val="auto"/>
                <w:sz w:val="24"/>
                <w:szCs w:val="24"/>
              </w:rPr>
            </w:pPr>
          </w:p>
        </w:tc>
        <w:tc>
          <w:tcPr>
            <w:tcW w:w="1290" w:type="dxa"/>
          </w:tcPr>
          <w:p>
            <w:pPr>
              <w:pStyle w:val="30"/>
              <w:jc w:val="center"/>
              <w:rPr>
                <w:rFonts w:hint="eastAsia" w:ascii="宋体" w:hAnsi="宋体" w:eastAsia="宋体" w:cs="宋体"/>
                <w:color w:val="auto"/>
                <w:sz w:val="24"/>
                <w:szCs w:val="24"/>
              </w:rPr>
            </w:pPr>
          </w:p>
        </w:tc>
        <w:tc>
          <w:tcPr>
            <w:tcW w:w="1371" w:type="dxa"/>
          </w:tcPr>
          <w:p>
            <w:pPr>
              <w:pStyle w:val="30"/>
              <w:jc w:val="center"/>
              <w:rPr>
                <w:rFonts w:hint="eastAsia" w:ascii="宋体" w:hAnsi="宋体" w:eastAsia="宋体" w:cs="宋体"/>
                <w:color w:val="auto"/>
                <w:sz w:val="24"/>
                <w:szCs w:val="24"/>
              </w:rPr>
            </w:pPr>
          </w:p>
        </w:tc>
        <w:tc>
          <w:tcPr>
            <w:tcW w:w="879"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vAlign w:val="center"/>
          </w:tcPr>
          <w:p>
            <w:pPr>
              <w:pStyle w:val="30"/>
              <w:jc w:val="center"/>
              <w:rPr>
                <w:rFonts w:hint="eastAsia" w:ascii="宋体" w:hAnsi="宋体" w:eastAsia="宋体" w:cs="宋体"/>
                <w:color w:val="auto"/>
                <w:sz w:val="24"/>
                <w:szCs w:val="24"/>
              </w:rPr>
            </w:pPr>
          </w:p>
        </w:tc>
        <w:tc>
          <w:tcPr>
            <w:tcW w:w="940" w:type="dxa"/>
          </w:tcPr>
          <w:p>
            <w:pPr>
              <w:pStyle w:val="30"/>
              <w:jc w:val="center"/>
              <w:rPr>
                <w:rFonts w:hint="eastAsia" w:ascii="宋体" w:hAnsi="宋体" w:eastAsia="宋体" w:cs="宋体"/>
                <w:color w:val="auto"/>
                <w:sz w:val="24"/>
                <w:szCs w:val="24"/>
              </w:rPr>
            </w:pPr>
          </w:p>
        </w:tc>
        <w:tc>
          <w:tcPr>
            <w:tcW w:w="970" w:type="dxa"/>
          </w:tcPr>
          <w:p>
            <w:pPr>
              <w:pStyle w:val="30"/>
              <w:jc w:val="center"/>
              <w:rPr>
                <w:rFonts w:hint="eastAsia" w:ascii="宋体" w:hAnsi="宋体" w:eastAsia="宋体" w:cs="宋体"/>
                <w:color w:val="auto"/>
                <w:sz w:val="24"/>
                <w:szCs w:val="24"/>
              </w:rPr>
            </w:pPr>
          </w:p>
        </w:tc>
        <w:tc>
          <w:tcPr>
            <w:tcW w:w="830" w:type="dxa"/>
          </w:tcPr>
          <w:p>
            <w:pPr>
              <w:pStyle w:val="30"/>
              <w:jc w:val="center"/>
              <w:rPr>
                <w:rFonts w:hint="eastAsia" w:ascii="宋体" w:hAnsi="宋体" w:eastAsia="宋体" w:cs="宋体"/>
                <w:color w:val="auto"/>
                <w:sz w:val="24"/>
                <w:szCs w:val="24"/>
              </w:rPr>
            </w:pPr>
          </w:p>
        </w:tc>
        <w:tc>
          <w:tcPr>
            <w:tcW w:w="1290" w:type="dxa"/>
          </w:tcPr>
          <w:p>
            <w:pPr>
              <w:pStyle w:val="30"/>
              <w:jc w:val="center"/>
              <w:rPr>
                <w:rFonts w:hint="eastAsia" w:ascii="宋体" w:hAnsi="宋体" w:eastAsia="宋体" w:cs="宋体"/>
                <w:color w:val="auto"/>
                <w:sz w:val="24"/>
                <w:szCs w:val="24"/>
              </w:rPr>
            </w:pPr>
          </w:p>
        </w:tc>
        <w:tc>
          <w:tcPr>
            <w:tcW w:w="1371" w:type="dxa"/>
          </w:tcPr>
          <w:p>
            <w:pPr>
              <w:pStyle w:val="30"/>
              <w:jc w:val="center"/>
              <w:rPr>
                <w:rFonts w:hint="eastAsia" w:ascii="宋体" w:hAnsi="宋体" w:eastAsia="宋体" w:cs="宋体"/>
                <w:color w:val="auto"/>
                <w:sz w:val="24"/>
                <w:szCs w:val="24"/>
              </w:rPr>
            </w:pPr>
          </w:p>
        </w:tc>
        <w:tc>
          <w:tcPr>
            <w:tcW w:w="879"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restart"/>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w:t>
            </w:r>
          </w:p>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w:t>
            </w:r>
          </w:p>
        </w:tc>
        <w:tc>
          <w:tcPr>
            <w:tcW w:w="940" w:type="dxa"/>
          </w:tcPr>
          <w:p>
            <w:pPr>
              <w:pStyle w:val="30"/>
              <w:jc w:val="center"/>
              <w:rPr>
                <w:rFonts w:hint="eastAsia" w:ascii="宋体" w:hAnsi="宋体" w:eastAsia="宋体" w:cs="宋体"/>
                <w:color w:val="auto"/>
                <w:sz w:val="24"/>
                <w:szCs w:val="24"/>
              </w:rPr>
            </w:pPr>
          </w:p>
        </w:tc>
        <w:tc>
          <w:tcPr>
            <w:tcW w:w="970" w:type="dxa"/>
          </w:tcPr>
          <w:p>
            <w:pPr>
              <w:pStyle w:val="30"/>
              <w:jc w:val="center"/>
              <w:rPr>
                <w:rFonts w:hint="eastAsia" w:ascii="宋体" w:hAnsi="宋体" w:eastAsia="宋体" w:cs="宋体"/>
                <w:color w:val="auto"/>
                <w:sz w:val="24"/>
                <w:szCs w:val="24"/>
              </w:rPr>
            </w:pPr>
          </w:p>
        </w:tc>
        <w:tc>
          <w:tcPr>
            <w:tcW w:w="830" w:type="dxa"/>
          </w:tcPr>
          <w:p>
            <w:pPr>
              <w:pStyle w:val="30"/>
              <w:jc w:val="center"/>
              <w:rPr>
                <w:rFonts w:hint="eastAsia" w:ascii="宋体" w:hAnsi="宋体" w:eastAsia="宋体" w:cs="宋体"/>
                <w:color w:val="auto"/>
                <w:sz w:val="24"/>
                <w:szCs w:val="24"/>
              </w:rPr>
            </w:pPr>
          </w:p>
        </w:tc>
        <w:tc>
          <w:tcPr>
            <w:tcW w:w="1290" w:type="dxa"/>
          </w:tcPr>
          <w:p>
            <w:pPr>
              <w:pStyle w:val="30"/>
              <w:jc w:val="center"/>
              <w:rPr>
                <w:rFonts w:hint="eastAsia" w:ascii="宋体" w:hAnsi="宋体" w:eastAsia="宋体" w:cs="宋体"/>
                <w:color w:val="auto"/>
                <w:sz w:val="24"/>
                <w:szCs w:val="24"/>
              </w:rPr>
            </w:pPr>
          </w:p>
        </w:tc>
        <w:tc>
          <w:tcPr>
            <w:tcW w:w="1371" w:type="dxa"/>
          </w:tcPr>
          <w:p>
            <w:pPr>
              <w:pStyle w:val="30"/>
              <w:jc w:val="center"/>
              <w:rPr>
                <w:rFonts w:hint="eastAsia" w:ascii="宋体" w:hAnsi="宋体" w:eastAsia="宋体" w:cs="宋体"/>
                <w:color w:val="auto"/>
                <w:sz w:val="24"/>
                <w:szCs w:val="24"/>
              </w:rPr>
            </w:pPr>
          </w:p>
        </w:tc>
        <w:tc>
          <w:tcPr>
            <w:tcW w:w="879"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vAlign w:val="center"/>
          </w:tcPr>
          <w:p>
            <w:pPr>
              <w:pStyle w:val="30"/>
              <w:jc w:val="center"/>
              <w:rPr>
                <w:rFonts w:hint="eastAsia" w:ascii="宋体" w:hAnsi="宋体" w:eastAsia="宋体" w:cs="宋体"/>
                <w:color w:val="auto"/>
                <w:sz w:val="24"/>
                <w:szCs w:val="24"/>
              </w:rPr>
            </w:pPr>
          </w:p>
        </w:tc>
        <w:tc>
          <w:tcPr>
            <w:tcW w:w="940" w:type="dxa"/>
          </w:tcPr>
          <w:p>
            <w:pPr>
              <w:pStyle w:val="30"/>
              <w:jc w:val="center"/>
              <w:rPr>
                <w:rFonts w:hint="eastAsia" w:ascii="宋体" w:hAnsi="宋体" w:eastAsia="宋体" w:cs="宋体"/>
                <w:color w:val="auto"/>
                <w:sz w:val="24"/>
                <w:szCs w:val="24"/>
              </w:rPr>
            </w:pPr>
          </w:p>
        </w:tc>
        <w:tc>
          <w:tcPr>
            <w:tcW w:w="970" w:type="dxa"/>
          </w:tcPr>
          <w:p>
            <w:pPr>
              <w:pStyle w:val="30"/>
              <w:jc w:val="center"/>
              <w:rPr>
                <w:rFonts w:hint="eastAsia" w:ascii="宋体" w:hAnsi="宋体" w:eastAsia="宋体" w:cs="宋体"/>
                <w:color w:val="auto"/>
                <w:sz w:val="24"/>
                <w:szCs w:val="24"/>
              </w:rPr>
            </w:pPr>
          </w:p>
        </w:tc>
        <w:tc>
          <w:tcPr>
            <w:tcW w:w="830" w:type="dxa"/>
          </w:tcPr>
          <w:p>
            <w:pPr>
              <w:pStyle w:val="30"/>
              <w:jc w:val="center"/>
              <w:rPr>
                <w:rFonts w:hint="eastAsia" w:ascii="宋体" w:hAnsi="宋体" w:eastAsia="宋体" w:cs="宋体"/>
                <w:color w:val="auto"/>
                <w:sz w:val="24"/>
                <w:szCs w:val="24"/>
              </w:rPr>
            </w:pPr>
          </w:p>
        </w:tc>
        <w:tc>
          <w:tcPr>
            <w:tcW w:w="1290" w:type="dxa"/>
          </w:tcPr>
          <w:p>
            <w:pPr>
              <w:pStyle w:val="30"/>
              <w:jc w:val="center"/>
              <w:rPr>
                <w:rFonts w:hint="eastAsia" w:ascii="宋体" w:hAnsi="宋体" w:eastAsia="宋体" w:cs="宋体"/>
                <w:color w:val="auto"/>
                <w:sz w:val="24"/>
                <w:szCs w:val="24"/>
              </w:rPr>
            </w:pPr>
          </w:p>
        </w:tc>
        <w:tc>
          <w:tcPr>
            <w:tcW w:w="1371" w:type="dxa"/>
          </w:tcPr>
          <w:p>
            <w:pPr>
              <w:pStyle w:val="30"/>
              <w:jc w:val="center"/>
              <w:rPr>
                <w:rFonts w:hint="eastAsia" w:ascii="宋体" w:hAnsi="宋体" w:eastAsia="宋体" w:cs="宋体"/>
                <w:color w:val="auto"/>
                <w:sz w:val="24"/>
                <w:szCs w:val="24"/>
              </w:rPr>
            </w:pPr>
          </w:p>
        </w:tc>
        <w:tc>
          <w:tcPr>
            <w:tcW w:w="879"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vAlign w:val="center"/>
          </w:tcPr>
          <w:p>
            <w:pPr>
              <w:pStyle w:val="30"/>
              <w:jc w:val="center"/>
              <w:rPr>
                <w:rFonts w:hint="eastAsia" w:ascii="宋体" w:hAnsi="宋体" w:eastAsia="宋体" w:cs="宋体"/>
                <w:color w:val="auto"/>
                <w:sz w:val="24"/>
                <w:szCs w:val="24"/>
              </w:rPr>
            </w:pPr>
          </w:p>
        </w:tc>
        <w:tc>
          <w:tcPr>
            <w:tcW w:w="940" w:type="dxa"/>
          </w:tcPr>
          <w:p>
            <w:pPr>
              <w:pStyle w:val="30"/>
              <w:jc w:val="center"/>
              <w:rPr>
                <w:rFonts w:hint="eastAsia" w:ascii="宋体" w:hAnsi="宋体" w:eastAsia="宋体" w:cs="宋体"/>
                <w:color w:val="auto"/>
                <w:sz w:val="24"/>
                <w:szCs w:val="24"/>
              </w:rPr>
            </w:pPr>
          </w:p>
        </w:tc>
        <w:tc>
          <w:tcPr>
            <w:tcW w:w="970" w:type="dxa"/>
          </w:tcPr>
          <w:p>
            <w:pPr>
              <w:pStyle w:val="30"/>
              <w:jc w:val="center"/>
              <w:rPr>
                <w:rFonts w:hint="eastAsia" w:ascii="宋体" w:hAnsi="宋体" w:eastAsia="宋体" w:cs="宋体"/>
                <w:color w:val="auto"/>
                <w:sz w:val="24"/>
                <w:szCs w:val="24"/>
              </w:rPr>
            </w:pPr>
          </w:p>
        </w:tc>
        <w:tc>
          <w:tcPr>
            <w:tcW w:w="830" w:type="dxa"/>
          </w:tcPr>
          <w:p>
            <w:pPr>
              <w:pStyle w:val="30"/>
              <w:jc w:val="center"/>
              <w:rPr>
                <w:rFonts w:hint="eastAsia" w:ascii="宋体" w:hAnsi="宋体" w:eastAsia="宋体" w:cs="宋体"/>
                <w:color w:val="auto"/>
                <w:sz w:val="24"/>
                <w:szCs w:val="24"/>
              </w:rPr>
            </w:pPr>
          </w:p>
        </w:tc>
        <w:tc>
          <w:tcPr>
            <w:tcW w:w="1290" w:type="dxa"/>
          </w:tcPr>
          <w:p>
            <w:pPr>
              <w:pStyle w:val="30"/>
              <w:jc w:val="center"/>
              <w:rPr>
                <w:rFonts w:hint="eastAsia" w:ascii="宋体" w:hAnsi="宋体" w:eastAsia="宋体" w:cs="宋体"/>
                <w:color w:val="auto"/>
                <w:sz w:val="24"/>
                <w:szCs w:val="24"/>
              </w:rPr>
            </w:pPr>
          </w:p>
        </w:tc>
        <w:tc>
          <w:tcPr>
            <w:tcW w:w="1371" w:type="dxa"/>
          </w:tcPr>
          <w:p>
            <w:pPr>
              <w:pStyle w:val="30"/>
              <w:jc w:val="center"/>
              <w:rPr>
                <w:rFonts w:hint="eastAsia" w:ascii="宋体" w:hAnsi="宋体" w:eastAsia="宋体" w:cs="宋体"/>
                <w:color w:val="auto"/>
                <w:sz w:val="24"/>
                <w:szCs w:val="24"/>
              </w:rPr>
            </w:pPr>
          </w:p>
        </w:tc>
        <w:tc>
          <w:tcPr>
            <w:tcW w:w="879"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restart"/>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其他人员</w:t>
            </w:r>
          </w:p>
        </w:tc>
        <w:tc>
          <w:tcPr>
            <w:tcW w:w="940" w:type="dxa"/>
          </w:tcPr>
          <w:p>
            <w:pPr>
              <w:pStyle w:val="30"/>
              <w:jc w:val="center"/>
              <w:rPr>
                <w:rFonts w:hint="eastAsia" w:ascii="宋体" w:hAnsi="宋体" w:eastAsia="宋体" w:cs="宋体"/>
                <w:color w:val="auto"/>
                <w:sz w:val="24"/>
                <w:szCs w:val="24"/>
              </w:rPr>
            </w:pPr>
          </w:p>
        </w:tc>
        <w:tc>
          <w:tcPr>
            <w:tcW w:w="970" w:type="dxa"/>
          </w:tcPr>
          <w:p>
            <w:pPr>
              <w:pStyle w:val="30"/>
              <w:jc w:val="center"/>
              <w:rPr>
                <w:rFonts w:hint="eastAsia" w:ascii="宋体" w:hAnsi="宋体" w:eastAsia="宋体" w:cs="宋体"/>
                <w:color w:val="auto"/>
                <w:sz w:val="24"/>
                <w:szCs w:val="24"/>
              </w:rPr>
            </w:pPr>
          </w:p>
        </w:tc>
        <w:tc>
          <w:tcPr>
            <w:tcW w:w="830" w:type="dxa"/>
          </w:tcPr>
          <w:p>
            <w:pPr>
              <w:pStyle w:val="30"/>
              <w:jc w:val="center"/>
              <w:rPr>
                <w:rFonts w:hint="eastAsia" w:ascii="宋体" w:hAnsi="宋体" w:eastAsia="宋体" w:cs="宋体"/>
                <w:color w:val="auto"/>
                <w:sz w:val="24"/>
                <w:szCs w:val="24"/>
              </w:rPr>
            </w:pPr>
          </w:p>
        </w:tc>
        <w:tc>
          <w:tcPr>
            <w:tcW w:w="1290" w:type="dxa"/>
          </w:tcPr>
          <w:p>
            <w:pPr>
              <w:pStyle w:val="30"/>
              <w:jc w:val="center"/>
              <w:rPr>
                <w:rFonts w:hint="eastAsia" w:ascii="宋体" w:hAnsi="宋体" w:eastAsia="宋体" w:cs="宋体"/>
                <w:color w:val="auto"/>
                <w:sz w:val="24"/>
                <w:szCs w:val="24"/>
              </w:rPr>
            </w:pPr>
          </w:p>
        </w:tc>
        <w:tc>
          <w:tcPr>
            <w:tcW w:w="1371" w:type="dxa"/>
          </w:tcPr>
          <w:p>
            <w:pPr>
              <w:pStyle w:val="30"/>
              <w:jc w:val="center"/>
              <w:rPr>
                <w:rFonts w:hint="eastAsia" w:ascii="宋体" w:hAnsi="宋体" w:eastAsia="宋体" w:cs="宋体"/>
                <w:color w:val="auto"/>
                <w:sz w:val="24"/>
                <w:szCs w:val="24"/>
              </w:rPr>
            </w:pPr>
          </w:p>
        </w:tc>
        <w:tc>
          <w:tcPr>
            <w:tcW w:w="879"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tcPr>
          <w:p>
            <w:pPr>
              <w:pStyle w:val="30"/>
              <w:jc w:val="center"/>
              <w:rPr>
                <w:rFonts w:hint="eastAsia" w:ascii="宋体" w:hAnsi="宋体" w:eastAsia="宋体" w:cs="宋体"/>
                <w:color w:val="auto"/>
                <w:sz w:val="24"/>
                <w:szCs w:val="24"/>
              </w:rPr>
            </w:pPr>
          </w:p>
        </w:tc>
        <w:tc>
          <w:tcPr>
            <w:tcW w:w="940" w:type="dxa"/>
          </w:tcPr>
          <w:p>
            <w:pPr>
              <w:pStyle w:val="30"/>
              <w:jc w:val="center"/>
              <w:rPr>
                <w:rFonts w:hint="eastAsia" w:ascii="宋体" w:hAnsi="宋体" w:eastAsia="宋体" w:cs="宋体"/>
                <w:color w:val="auto"/>
                <w:sz w:val="24"/>
                <w:szCs w:val="24"/>
              </w:rPr>
            </w:pPr>
          </w:p>
        </w:tc>
        <w:tc>
          <w:tcPr>
            <w:tcW w:w="970" w:type="dxa"/>
          </w:tcPr>
          <w:p>
            <w:pPr>
              <w:pStyle w:val="30"/>
              <w:jc w:val="center"/>
              <w:rPr>
                <w:rFonts w:hint="eastAsia" w:ascii="宋体" w:hAnsi="宋体" w:eastAsia="宋体" w:cs="宋体"/>
                <w:color w:val="auto"/>
                <w:sz w:val="24"/>
                <w:szCs w:val="24"/>
              </w:rPr>
            </w:pPr>
          </w:p>
        </w:tc>
        <w:tc>
          <w:tcPr>
            <w:tcW w:w="830" w:type="dxa"/>
          </w:tcPr>
          <w:p>
            <w:pPr>
              <w:pStyle w:val="30"/>
              <w:jc w:val="center"/>
              <w:rPr>
                <w:rFonts w:hint="eastAsia" w:ascii="宋体" w:hAnsi="宋体" w:eastAsia="宋体" w:cs="宋体"/>
                <w:color w:val="auto"/>
                <w:sz w:val="24"/>
                <w:szCs w:val="24"/>
              </w:rPr>
            </w:pPr>
          </w:p>
        </w:tc>
        <w:tc>
          <w:tcPr>
            <w:tcW w:w="1290" w:type="dxa"/>
          </w:tcPr>
          <w:p>
            <w:pPr>
              <w:pStyle w:val="30"/>
              <w:jc w:val="center"/>
              <w:rPr>
                <w:rFonts w:hint="eastAsia" w:ascii="宋体" w:hAnsi="宋体" w:eastAsia="宋体" w:cs="宋体"/>
                <w:color w:val="auto"/>
                <w:sz w:val="24"/>
                <w:szCs w:val="24"/>
              </w:rPr>
            </w:pPr>
          </w:p>
        </w:tc>
        <w:tc>
          <w:tcPr>
            <w:tcW w:w="1371" w:type="dxa"/>
          </w:tcPr>
          <w:p>
            <w:pPr>
              <w:pStyle w:val="30"/>
              <w:jc w:val="center"/>
              <w:rPr>
                <w:rFonts w:hint="eastAsia" w:ascii="宋体" w:hAnsi="宋体" w:eastAsia="宋体" w:cs="宋体"/>
                <w:color w:val="auto"/>
                <w:sz w:val="24"/>
                <w:szCs w:val="24"/>
              </w:rPr>
            </w:pPr>
          </w:p>
        </w:tc>
        <w:tc>
          <w:tcPr>
            <w:tcW w:w="879"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tcPr>
          <w:p>
            <w:pPr>
              <w:pStyle w:val="30"/>
              <w:jc w:val="center"/>
              <w:rPr>
                <w:rFonts w:hint="eastAsia" w:ascii="宋体" w:hAnsi="宋体" w:eastAsia="宋体" w:cs="宋体"/>
                <w:color w:val="auto"/>
                <w:sz w:val="24"/>
                <w:szCs w:val="24"/>
              </w:rPr>
            </w:pPr>
          </w:p>
        </w:tc>
        <w:tc>
          <w:tcPr>
            <w:tcW w:w="940" w:type="dxa"/>
          </w:tcPr>
          <w:p>
            <w:pPr>
              <w:pStyle w:val="30"/>
              <w:jc w:val="center"/>
              <w:rPr>
                <w:rFonts w:hint="eastAsia" w:ascii="宋体" w:hAnsi="宋体" w:eastAsia="宋体" w:cs="宋体"/>
                <w:color w:val="auto"/>
                <w:sz w:val="24"/>
                <w:szCs w:val="24"/>
              </w:rPr>
            </w:pPr>
          </w:p>
        </w:tc>
        <w:tc>
          <w:tcPr>
            <w:tcW w:w="970" w:type="dxa"/>
          </w:tcPr>
          <w:p>
            <w:pPr>
              <w:pStyle w:val="30"/>
              <w:jc w:val="center"/>
              <w:rPr>
                <w:rFonts w:hint="eastAsia" w:ascii="宋体" w:hAnsi="宋体" w:eastAsia="宋体" w:cs="宋体"/>
                <w:color w:val="auto"/>
                <w:sz w:val="24"/>
                <w:szCs w:val="24"/>
              </w:rPr>
            </w:pPr>
          </w:p>
        </w:tc>
        <w:tc>
          <w:tcPr>
            <w:tcW w:w="830" w:type="dxa"/>
          </w:tcPr>
          <w:p>
            <w:pPr>
              <w:pStyle w:val="30"/>
              <w:jc w:val="center"/>
              <w:rPr>
                <w:rFonts w:hint="eastAsia" w:ascii="宋体" w:hAnsi="宋体" w:eastAsia="宋体" w:cs="宋体"/>
                <w:color w:val="auto"/>
                <w:sz w:val="24"/>
                <w:szCs w:val="24"/>
              </w:rPr>
            </w:pPr>
          </w:p>
        </w:tc>
        <w:tc>
          <w:tcPr>
            <w:tcW w:w="1290" w:type="dxa"/>
          </w:tcPr>
          <w:p>
            <w:pPr>
              <w:pStyle w:val="30"/>
              <w:jc w:val="center"/>
              <w:rPr>
                <w:rFonts w:hint="eastAsia" w:ascii="宋体" w:hAnsi="宋体" w:eastAsia="宋体" w:cs="宋体"/>
                <w:color w:val="auto"/>
                <w:sz w:val="24"/>
                <w:szCs w:val="24"/>
              </w:rPr>
            </w:pPr>
          </w:p>
        </w:tc>
        <w:tc>
          <w:tcPr>
            <w:tcW w:w="1371" w:type="dxa"/>
          </w:tcPr>
          <w:p>
            <w:pPr>
              <w:pStyle w:val="30"/>
              <w:jc w:val="center"/>
              <w:rPr>
                <w:rFonts w:hint="eastAsia" w:ascii="宋体" w:hAnsi="宋体" w:eastAsia="宋体" w:cs="宋体"/>
                <w:color w:val="auto"/>
                <w:sz w:val="24"/>
                <w:szCs w:val="24"/>
              </w:rPr>
            </w:pPr>
          </w:p>
        </w:tc>
        <w:tc>
          <w:tcPr>
            <w:tcW w:w="879"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c>
          <w:tcPr>
            <w:tcW w:w="920" w:type="dxa"/>
          </w:tcPr>
          <w:p>
            <w:pPr>
              <w:pStyle w:val="30"/>
              <w:jc w:val="center"/>
              <w:rPr>
                <w:rFonts w:hint="eastAsia" w:ascii="宋体" w:hAnsi="宋体" w:eastAsia="宋体" w:cs="宋体"/>
                <w:color w:val="auto"/>
                <w:sz w:val="24"/>
                <w:szCs w:val="24"/>
              </w:rPr>
            </w:pPr>
          </w:p>
        </w:tc>
      </w:tr>
    </w:tbl>
    <w:p>
      <w:pPr>
        <w:widowControl/>
        <w:ind w:firstLine="480"/>
        <w:rPr>
          <w:rFonts w:hint="eastAsia" w:ascii="宋体" w:hAnsi="宋体" w:eastAsia="宋体" w:cs="宋体"/>
          <w:color w:val="auto"/>
          <w:sz w:val="24"/>
        </w:rPr>
      </w:pPr>
      <w:r>
        <w:rPr>
          <w:rFonts w:hint="eastAsia" w:ascii="宋体" w:hAnsi="宋体" w:eastAsia="宋体" w:cs="宋体"/>
          <w:color w:val="auto"/>
          <w:sz w:val="24"/>
        </w:rPr>
        <w:t>注：人员如需附相关证明、证件的，相关证明、证件附后。</w:t>
      </w:r>
    </w:p>
    <w:p>
      <w:pPr>
        <w:widowControl/>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（单位盖章）</w:t>
      </w:r>
    </w:p>
    <w:p>
      <w:pPr>
        <w:widowControl/>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法定代表人或授权代表：</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（签字或加盖个人名章）</w:t>
      </w:r>
    </w:p>
    <w:p>
      <w:pPr>
        <w:widowControl/>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日期：</w:t>
      </w:r>
      <w:r>
        <w:rPr>
          <w:rFonts w:hint="eastAsia" w:ascii="宋体" w:hAnsi="宋体" w:eastAsia="宋体" w:cs="宋体"/>
          <w:color w:val="auto"/>
          <w:sz w:val="24"/>
          <w:u w:val="single"/>
        </w:rPr>
        <w:t>     </w:t>
      </w:r>
      <w:r>
        <w:rPr>
          <w:rFonts w:hint="eastAsia" w:ascii="宋体" w:hAnsi="宋体" w:eastAsia="宋体" w:cs="宋体"/>
          <w:color w:val="auto"/>
          <w:sz w:val="24"/>
        </w:rPr>
        <w:t>年</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w:t>
      </w:r>
      <w:r>
        <w:rPr>
          <w:rFonts w:hint="eastAsia" w:ascii="宋体" w:hAnsi="宋体" w:eastAsia="宋体" w:cs="宋体"/>
          <w:color w:val="auto"/>
          <w:sz w:val="24"/>
        </w:rPr>
        <w:t>日</w:t>
      </w:r>
    </w:p>
    <w:bookmarkEnd w:id="306"/>
    <w:bookmarkEnd w:id="307"/>
    <w:bookmarkEnd w:id="308"/>
    <w:bookmarkEnd w:id="309"/>
    <w:p>
      <w:pPr>
        <w:widowControl/>
        <w:spacing w:line="360" w:lineRule="auto"/>
        <w:ind w:firstLine="480"/>
        <w:rPr>
          <w:rFonts w:hint="eastAsia" w:ascii="宋体" w:hAnsi="宋体" w:eastAsia="宋体" w:cs="宋体"/>
          <w:color w:val="auto"/>
          <w:w w:val="90"/>
          <w:sz w:val="24"/>
        </w:rPr>
      </w:pPr>
      <w:r>
        <w:rPr>
          <w:rFonts w:hint="eastAsia" w:ascii="宋体" w:hAnsi="宋体" w:eastAsia="宋体" w:cs="宋体"/>
          <w:bCs/>
          <w:color w:val="auto"/>
          <w:sz w:val="24"/>
        </w:rPr>
        <w:br w:type="page"/>
      </w:r>
    </w:p>
    <w:p>
      <w:pPr>
        <w:pStyle w:val="29"/>
        <w:spacing w:before="156" w:after="156"/>
        <w:rPr>
          <w:rFonts w:hint="eastAsia" w:ascii="宋体" w:hAnsi="宋体" w:eastAsia="宋体" w:cs="宋体"/>
          <w:color w:val="auto"/>
        </w:rPr>
      </w:pPr>
      <w:bookmarkStart w:id="318" w:name="_Toc824"/>
      <w:bookmarkStart w:id="319" w:name="_Toc7424"/>
      <w:bookmarkStart w:id="320" w:name="_Toc11270"/>
      <w:r>
        <w:rPr>
          <w:rFonts w:hint="eastAsia" w:ascii="宋体" w:hAnsi="宋体" w:eastAsia="宋体" w:cs="宋体"/>
          <w:color w:val="auto"/>
          <w:lang w:eastAsia="zh-CN"/>
        </w:rPr>
        <w:t>七</w:t>
      </w:r>
      <w:r>
        <w:rPr>
          <w:rFonts w:hint="eastAsia" w:ascii="宋体" w:hAnsi="宋体" w:eastAsia="宋体" w:cs="宋体"/>
          <w:color w:val="auto"/>
        </w:rPr>
        <w:t>、供应商类似业绩一览表</w:t>
      </w:r>
      <w:bookmarkEnd w:id="318"/>
      <w:bookmarkEnd w:id="319"/>
      <w:bookmarkEnd w:id="320"/>
    </w:p>
    <w:tbl>
      <w:tblPr>
        <w:tblStyle w:val="18"/>
        <w:tblW w:w="83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1645"/>
        <w:gridCol w:w="8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tcBorders>
              <w:top w:val="single" w:color="auto" w:sz="4" w:space="0"/>
            </w:tcBorders>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年份</w:t>
            </w:r>
          </w:p>
        </w:tc>
        <w:tc>
          <w:tcPr>
            <w:tcW w:w="1440"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用户名称</w:t>
            </w:r>
          </w:p>
        </w:tc>
        <w:tc>
          <w:tcPr>
            <w:tcW w:w="1320"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161"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完成时间</w:t>
            </w:r>
          </w:p>
        </w:tc>
        <w:tc>
          <w:tcPr>
            <w:tcW w:w="1260" w:type="dxa"/>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合同金额</w:t>
            </w:r>
          </w:p>
        </w:tc>
        <w:tc>
          <w:tcPr>
            <w:tcW w:w="1645" w:type="dxa"/>
            <w:tcBorders>
              <w:right w:val="single" w:color="auto" w:sz="4" w:space="0"/>
            </w:tcBorders>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验收情况</w:t>
            </w:r>
          </w:p>
        </w:tc>
        <w:tc>
          <w:tcPr>
            <w:tcW w:w="832" w:type="dxa"/>
            <w:tcBorders>
              <w:left w:val="single" w:color="auto" w:sz="4" w:space="0"/>
            </w:tcBorders>
            <w:vAlign w:val="center"/>
          </w:tcPr>
          <w:p>
            <w:pPr>
              <w:pStyle w:val="3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vAlign w:val="center"/>
          </w:tcPr>
          <w:p>
            <w:pPr>
              <w:pStyle w:val="30"/>
              <w:rPr>
                <w:rFonts w:hint="eastAsia" w:ascii="宋体" w:hAnsi="宋体" w:eastAsia="宋体" w:cs="宋体"/>
                <w:color w:val="auto"/>
                <w:sz w:val="24"/>
                <w:szCs w:val="24"/>
              </w:rPr>
            </w:pPr>
          </w:p>
        </w:tc>
        <w:tc>
          <w:tcPr>
            <w:tcW w:w="1440" w:type="dxa"/>
            <w:vAlign w:val="center"/>
          </w:tcPr>
          <w:p>
            <w:pPr>
              <w:pStyle w:val="30"/>
              <w:rPr>
                <w:rFonts w:hint="eastAsia" w:ascii="宋体" w:hAnsi="宋体" w:eastAsia="宋体" w:cs="宋体"/>
                <w:color w:val="auto"/>
                <w:sz w:val="24"/>
                <w:szCs w:val="24"/>
              </w:rPr>
            </w:pPr>
          </w:p>
        </w:tc>
        <w:tc>
          <w:tcPr>
            <w:tcW w:w="1320" w:type="dxa"/>
            <w:vAlign w:val="center"/>
          </w:tcPr>
          <w:p>
            <w:pPr>
              <w:pStyle w:val="30"/>
              <w:rPr>
                <w:rFonts w:hint="eastAsia" w:ascii="宋体" w:hAnsi="宋体" w:eastAsia="宋体" w:cs="宋体"/>
                <w:color w:val="auto"/>
                <w:sz w:val="24"/>
                <w:szCs w:val="24"/>
              </w:rPr>
            </w:pPr>
          </w:p>
        </w:tc>
        <w:tc>
          <w:tcPr>
            <w:tcW w:w="1161" w:type="dxa"/>
            <w:vAlign w:val="center"/>
          </w:tcPr>
          <w:p>
            <w:pPr>
              <w:pStyle w:val="30"/>
              <w:rPr>
                <w:rFonts w:hint="eastAsia" w:ascii="宋体" w:hAnsi="宋体" w:eastAsia="宋体" w:cs="宋体"/>
                <w:color w:val="auto"/>
                <w:sz w:val="24"/>
                <w:szCs w:val="24"/>
              </w:rPr>
            </w:pPr>
          </w:p>
        </w:tc>
        <w:tc>
          <w:tcPr>
            <w:tcW w:w="1260" w:type="dxa"/>
            <w:vAlign w:val="center"/>
          </w:tcPr>
          <w:p>
            <w:pPr>
              <w:pStyle w:val="30"/>
              <w:rPr>
                <w:rFonts w:hint="eastAsia" w:ascii="宋体" w:hAnsi="宋体" w:eastAsia="宋体" w:cs="宋体"/>
                <w:color w:val="auto"/>
                <w:sz w:val="24"/>
                <w:szCs w:val="24"/>
              </w:rPr>
            </w:pPr>
          </w:p>
        </w:tc>
        <w:tc>
          <w:tcPr>
            <w:tcW w:w="1645" w:type="dxa"/>
            <w:tcBorders>
              <w:right w:val="single" w:color="auto" w:sz="4" w:space="0"/>
            </w:tcBorders>
            <w:vAlign w:val="center"/>
          </w:tcPr>
          <w:p>
            <w:pPr>
              <w:pStyle w:val="30"/>
              <w:rPr>
                <w:rFonts w:hint="eastAsia" w:ascii="宋体" w:hAnsi="宋体" w:eastAsia="宋体" w:cs="宋体"/>
                <w:color w:val="auto"/>
                <w:sz w:val="24"/>
                <w:szCs w:val="24"/>
              </w:rPr>
            </w:pPr>
          </w:p>
        </w:tc>
        <w:tc>
          <w:tcPr>
            <w:tcW w:w="832" w:type="dxa"/>
            <w:tcBorders>
              <w:left w:val="single" w:color="auto" w:sz="4" w:space="0"/>
            </w:tcBorders>
            <w:vAlign w:val="center"/>
          </w:tcPr>
          <w:p>
            <w:pPr>
              <w:pStyle w:val="3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vAlign w:val="center"/>
          </w:tcPr>
          <w:p>
            <w:pPr>
              <w:pStyle w:val="30"/>
              <w:rPr>
                <w:rFonts w:hint="eastAsia" w:ascii="宋体" w:hAnsi="宋体" w:eastAsia="宋体" w:cs="宋体"/>
                <w:color w:val="auto"/>
                <w:sz w:val="24"/>
                <w:szCs w:val="24"/>
              </w:rPr>
            </w:pPr>
          </w:p>
        </w:tc>
        <w:tc>
          <w:tcPr>
            <w:tcW w:w="1440" w:type="dxa"/>
            <w:vAlign w:val="center"/>
          </w:tcPr>
          <w:p>
            <w:pPr>
              <w:pStyle w:val="30"/>
              <w:rPr>
                <w:rFonts w:hint="eastAsia" w:ascii="宋体" w:hAnsi="宋体" w:eastAsia="宋体" w:cs="宋体"/>
                <w:color w:val="auto"/>
                <w:sz w:val="24"/>
                <w:szCs w:val="24"/>
              </w:rPr>
            </w:pPr>
          </w:p>
        </w:tc>
        <w:tc>
          <w:tcPr>
            <w:tcW w:w="1320" w:type="dxa"/>
            <w:vAlign w:val="center"/>
          </w:tcPr>
          <w:p>
            <w:pPr>
              <w:pStyle w:val="30"/>
              <w:rPr>
                <w:rFonts w:hint="eastAsia" w:ascii="宋体" w:hAnsi="宋体" w:eastAsia="宋体" w:cs="宋体"/>
                <w:color w:val="auto"/>
                <w:sz w:val="24"/>
                <w:szCs w:val="24"/>
              </w:rPr>
            </w:pPr>
          </w:p>
        </w:tc>
        <w:tc>
          <w:tcPr>
            <w:tcW w:w="1161" w:type="dxa"/>
            <w:vAlign w:val="center"/>
          </w:tcPr>
          <w:p>
            <w:pPr>
              <w:pStyle w:val="30"/>
              <w:rPr>
                <w:rFonts w:hint="eastAsia" w:ascii="宋体" w:hAnsi="宋体" w:eastAsia="宋体" w:cs="宋体"/>
                <w:color w:val="auto"/>
                <w:sz w:val="24"/>
                <w:szCs w:val="24"/>
              </w:rPr>
            </w:pPr>
          </w:p>
        </w:tc>
        <w:tc>
          <w:tcPr>
            <w:tcW w:w="1260" w:type="dxa"/>
            <w:vAlign w:val="center"/>
          </w:tcPr>
          <w:p>
            <w:pPr>
              <w:pStyle w:val="30"/>
              <w:rPr>
                <w:rFonts w:hint="eastAsia" w:ascii="宋体" w:hAnsi="宋体" w:eastAsia="宋体" w:cs="宋体"/>
                <w:color w:val="auto"/>
                <w:sz w:val="24"/>
                <w:szCs w:val="24"/>
              </w:rPr>
            </w:pPr>
          </w:p>
        </w:tc>
        <w:tc>
          <w:tcPr>
            <w:tcW w:w="1645" w:type="dxa"/>
            <w:tcBorders>
              <w:right w:val="single" w:color="auto" w:sz="4" w:space="0"/>
            </w:tcBorders>
            <w:vAlign w:val="center"/>
          </w:tcPr>
          <w:p>
            <w:pPr>
              <w:pStyle w:val="30"/>
              <w:rPr>
                <w:rFonts w:hint="eastAsia" w:ascii="宋体" w:hAnsi="宋体" w:eastAsia="宋体" w:cs="宋体"/>
                <w:color w:val="auto"/>
                <w:sz w:val="24"/>
                <w:szCs w:val="24"/>
              </w:rPr>
            </w:pPr>
          </w:p>
        </w:tc>
        <w:tc>
          <w:tcPr>
            <w:tcW w:w="832" w:type="dxa"/>
            <w:tcBorders>
              <w:left w:val="single" w:color="auto" w:sz="4" w:space="0"/>
            </w:tcBorders>
            <w:vAlign w:val="center"/>
          </w:tcPr>
          <w:p>
            <w:pPr>
              <w:pStyle w:val="3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vAlign w:val="center"/>
          </w:tcPr>
          <w:p>
            <w:pPr>
              <w:pStyle w:val="3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40" w:type="dxa"/>
            <w:vAlign w:val="center"/>
          </w:tcPr>
          <w:p>
            <w:pPr>
              <w:pStyle w:val="30"/>
              <w:rPr>
                <w:rFonts w:hint="eastAsia" w:ascii="宋体" w:hAnsi="宋体" w:eastAsia="宋体" w:cs="宋体"/>
                <w:color w:val="auto"/>
                <w:sz w:val="24"/>
                <w:szCs w:val="24"/>
              </w:rPr>
            </w:pPr>
          </w:p>
        </w:tc>
        <w:tc>
          <w:tcPr>
            <w:tcW w:w="1320" w:type="dxa"/>
            <w:vAlign w:val="center"/>
          </w:tcPr>
          <w:p>
            <w:pPr>
              <w:pStyle w:val="30"/>
              <w:rPr>
                <w:rFonts w:hint="eastAsia" w:ascii="宋体" w:hAnsi="宋体" w:eastAsia="宋体" w:cs="宋体"/>
                <w:color w:val="auto"/>
                <w:sz w:val="24"/>
                <w:szCs w:val="24"/>
              </w:rPr>
            </w:pPr>
          </w:p>
        </w:tc>
        <w:tc>
          <w:tcPr>
            <w:tcW w:w="1161" w:type="dxa"/>
            <w:vAlign w:val="center"/>
          </w:tcPr>
          <w:p>
            <w:pPr>
              <w:pStyle w:val="30"/>
              <w:rPr>
                <w:rFonts w:hint="eastAsia" w:ascii="宋体" w:hAnsi="宋体" w:eastAsia="宋体" w:cs="宋体"/>
                <w:color w:val="auto"/>
                <w:sz w:val="24"/>
                <w:szCs w:val="24"/>
              </w:rPr>
            </w:pPr>
          </w:p>
        </w:tc>
        <w:tc>
          <w:tcPr>
            <w:tcW w:w="1260" w:type="dxa"/>
            <w:vAlign w:val="center"/>
          </w:tcPr>
          <w:p>
            <w:pPr>
              <w:pStyle w:val="30"/>
              <w:rPr>
                <w:rFonts w:hint="eastAsia" w:ascii="宋体" w:hAnsi="宋体" w:eastAsia="宋体" w:cs="宋体"/>
                <w:color w:val="auto"/>
                <w:sz w:val="24"/>
                <w:szCs w:val="24"/>
              </w:rPr>
            </w:pPr>
          </w:p>
        </w:tc>
        <w:tc>
          <w:tcPr>
            <w:tcW w:w="1645" w:type="dxa"/>
            <w:tcBorders>
              <w:right w:val="single" w:color="auto" w:sz="4" w:space="0"/>
            </w:tcBorders>
            <w:vAlign w:val="center"/>
          </w:tcPr>
          <w:p>
            <w:pPr>
              <w:pStyle w:val="30"/>
              <w:rPr>
                <w:rFonts w:hint="eastAsia" w:ascii="宋体" w:hAnsi="宋体" w:eastAsia="宋体" w:cs="宋体"/>
                <w:color w:val="auto"/>
                <w:sz w:val="24"/>
                <w:szCs w:val="24"/>
              </w:rPr>
            </w:pPr>
          </w:p>
        </w:tc>
        <w:tc>
          <w:tcPr>
            <w:tcW w:w="832" w:type="dxa"/>
            <w:tcBorders>
              <w:left w:val="single" w:color="auto" w:sz="4" w:space="0"/>
            </w:tcBorders>
            <w:vAlign w:val="center"/>
          </w:tcPr>
          <w:p>
            <w:pPr>
              <w:pStyle w:val="30"/>
              <w:rPr>
                <w:rFonts w:hint="eastAsia" w:ascii="宋体" w:hAnsi="宋体" w:eastAsia="宋体" w:cs="宋体"/>
                <w:color w:val="auto"/>
                <w:sz w:val="24"/>
                <w:szCs w:val="24"/>
              </w:rPr>
            </w:pPr>
          </w:p>
        </w:tc>
      </w:tr>
    </w:tbl>
    <w:p>
      <w:pPr>
        <w:widowControl/>
        <w:ind w:firstLine="480"/>
        <w:rPr>
          <w:rFonts w:hint="eastAsia" w:ascii="宋体" w:hAnsi="宋体" w:eastAsia="宋体" w:cs="宋体"/>
          <w:bCs/>
          <w:color w:val="auto"/>
          <w:sz w:val="24"/>
        </w:rPr>
      </w:pP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注：供应商（仅限于供应商自己实施的）以上业绩需提供业绩合同复印件。</w:t>
      </w:r>
    </w:p>
    <w:p>
      <w:pPr>
        <w:widowControl/>
        <w:spacing w:line="360" w:lineRule="auto"/>
        <w:ind w:firstLine="480"/>
        <w:rPr>
          <w:rFonts w:hint="eastAsia" w:ascii="宋体" w:hAnsi="宋体" w:eastAsia="宋体" w:cs="宋体"/>
          <w:color w:val="auto"/>
          <w:sz w:val="24"/>
          <w:u w:val="single"/>
        </w:rPr>
      </w:pPr>
    </w:p>
    <w:p>
      <w:pPr>
        <w:widowControl/>
        <w:spacing w:line="360" w:lineRule="auto"/>
        <w:ind w:firstLine="480"/>
        <w:rPr>
          <w:rFonts w:hint="eastAsia" w:ascii="宋体" w:hAnsi="宋体" w:eastAsia="宋体" w:cs="宋体"/>
          <w:bCs/>
          <w:color w:val="auto"/>
          <w:sz w:val="24"/>
        </w:rPr>
      </w:pPr>
    </w:p>
    <w:p>
      <w:pPr>
        <w:widowControl/>
        <w:spacing w:line="360" w:lineRule="auto"/>
        <w:ind w:firstLine="480"/>
        <w:rPr>
          <w:rFonts w:hint="eastAsia" w:ascii="宋体" w:hAnsi="宋体" w:eastAsia="宋体" w:cs="宋体"/>
          <w:bCs/>
          <w:color w:val="auto"/>
          <w:sz w:val="24"/>
        </w:rPr>
      </w:pPr>
      <w:r>
        <w:rPr>
          <w:rFonts w:hint="eastAsia" w:ascii="宋体" w:hAnsi="宋体" w:eastAsia="宋体" w:cs="宋体"/>
          <w:bCs/>
          <w:color w:val="auto"/>
          <w:sz w:val="24"/>
        </w:rPr>
        <w:br w:type="page"/>
      </w:r>
    </w:p>
    <w:p>
      <w:pPr>
        <w:pStyle w:val="29"/>
        <w:spacing w:before="156" w:after="156"/>
        <w:rPr>
          <w:rFonts w:hint="eastAsia" w:ascii="宋体" w:hAnsi="宋体" w:eastAsia="宋体" w:cs="宋体"/>
          <w:color w:val="auto"/>
        </w:rPr>
      </w:pPr>
      <w:bookmarkStart w:id="321" w:name="_Toc18201"/>
      <w:bookmarkStart w:id="322" w:name="_Toc10079"/>
      <w:bookmarkStart w:id="323" w:name="_Toc6047"/>
      <w:r>
        <w:rPr>
          <w:rFonts w:hint="eastAsia" w:ascii="宋体" w:hAnsi="宋体" w:eastAsia="宋体" w:cs="宋体"/>
          <w:color w:val="auto"/>
          <w:lang w:eastAsia="zh-CN"/>
        </w:rPr>
        <w:t>八</w:t>
      </w:r>
      <w:r>
        <w:rPr>
          <w:rFonts w:hint="eastAsia" w:ascii="宋体" w:hAnsi="宋体" w:eastAsia="宋体" w:cs="宋体"/>
          <w:color w:val="auto"/>
        </w:rPr>
        <w:t>、</w:t>
      </w:r>
      <w:bookmarkEnd w:id="321"/>
      <w:r>
        <w:rPr>
          <w:rFonts w:hint="eastAsia" w:ascii="宋体" w:hAnsi="宋体" w:eastAsia="宋体" w:cs="宋体"/>
          <w:color w:val="auto"/>
        </w:rPr>
        <w:t>服务方案</w:t>
      </w:r>
      <w:bookmarkEnd w:id="322"/>
      <w:bookmarkEnd w:id="323"/>
    </w:p>
    <w:p>
      <w:pPr>
        <w:widowControl/>
        <w:ind w:firstLine="480"/>
        <w:rPr>
          <w:rFonts w:hint="eastAsia" w:ascii="宋体" w:hAnsi="宋体" w:eastAsia="宋体" w:cs="宋体"/>
          <w:bCs/>
          <w:color w:val="auto"/>
          <w:sz w:val="24"/>
        </w:rPr>
      </w:pPr>
    </w:p>
    <w:p>
      <w:pPr>
        <w:widowControl/>
        <w:ind w:firstLine="480"/>
        <w:rPr>
          <w:rFonts w:hint="eastAsia" w:ascii="宋体" w:hAnsi="宋体" w:eastAsia="宋体" w:cs="宋体"/>
          <w:color w:val="auto"/>
          <w:sz w:val="24"/>
        </w:rPr>
      </w:pPr>
      <w:r>
        <w:rPr>
          <w:rFonts w:hint="eastAsia" w:ascii="宋体" w:hAnsi="宋体" w:eastAsia="宋体" w:cs="宋体"/>
          <w:color w:val="auto"/>
          <w:sz w:val="24"/>
        </w:rPr>
        <w:t>格式自拟。</w:t>
      </w:r>
    </w:p>
    <w:p>
      <w:pPr>
        <w:widowControl/>
        <w:ind w:firstLine="480"/>
        <w:rPr>
          <w:rFonts w:hint="eastAsia" w:ascii="宋体" w:hAnsi="宋体" w:eastAsia="宋体" w:cs="宋体"/>
          <w:bCs/>
          <w:color w:val="auto"/>
          <w:sz w:val="24"/>
        </w:rPr>
      </w:pPr>
      <w:r>
        <w:rPr>
          <w:rFonts w:hint="eastAsia" w:ascii="宋体" w:hAnsi="宋体" w:eastAsia="宋体" w:cs="宋体"/>
          <w:bCs/>
          <w:color w:val="auto"/>
          <w:sz w:val="24"/>
        </w:rPr>
        <w:br w:type="page"/>
      </w:r>
    </w:p>
    <w:p>
      <w:pPr>
        <w:pStyle w:val="29"/>
        <w:spacing w:before="156" w:after="156"/>
        <w:rPr>
          <w:rFonts w:hint="eastAsia" w:ascii="宋体" w:hAnsi="宋体" w:eastAsia="宋体" w:cs="宋体"/>
          <w:color w:val="auto"/>
        </w:rPr>
      </w:pPr>
      <w:bookmarkStart w:id="324" w:name="_Toc25045"/>
      <w:bookmarkStart w:id="325" w:name="_Toc24919"/>
      <w:bookmarkStart w:id="326" w:name="_Toc29009"/>
      <w:r>
        <w:rPr>
          <w:rFonts w:hint="eastAsia" w:ascii="宋体" w:hAnsi="宋体" w:eastAsia="宋体" w:cs="宋体"/>
          <w:color w:val="auto"/>
          <w:lang w:eastAsia="zh-CN"/>
        </w:rPr>
        <w:t>九</w:t>
      </w:r>
      <w:r>
        <w:rPr>
          <w:rFonts w:hint="eastAsia" w:ascii="宋体" w:hAnsi="宋体" w:eastAsia="宋体" w:cs="宋体"/>
          <w:color w:val="auto"/>
        </w:rPr>
        <w:t>、供应商认为需要提供的其他资料</w:t>
      </w:r>
      <w:bookmarkEnd w:id="324"/>
      <w:bookmarkEnd w:id="325"/>
      <w:bookmarkEnd w:id="326"/>
    </w:p>
    <w:p>
      <w:pPr>
        <w:widowControl/>
        <w:ind w:firstLine="480"/>
        <w:rPr>
          <w:rFonts w:hint="eastAsia" w:ascii="宋体" w:hAnsi="宋体" w:eastAsia="宋体" w:cs="宋体"/>
          <w:bCs/>
          <w:color w:val="auto"/>
          <w:sz w:val="24"/>
        </w:rPr>
      </w:pPr>
    </w:p>
    <w:p>
      <w:pPr>
        <w:widowControl/>
        <w:ind w:firstLine="480"/>
        <w:rPr>
          <w:rFonts w:hint="eastAsia" w:ascii="宋体" w:hAnsi="宋体" w:eastAsia="宋体" w:cs="宋体"/>
          <w:color w:val="auto"/>
          <w:sz w:val="24"/>
        </w:rPr>
      </w:pPr>
      <w:r>
        <w:rPr>
          <w:rFonts w:hint="eastAsia" w:ascii="宋体" w:hAnsi="宋体" w:eastAsia="宋体" w:cs="宋体"/>
          <w:color w:val="auto"/>
          <w:sz w:val="24"/>
        </w:rPr>
        <w:t>格式自拟。</w:t>
      </w:r>
    </w:p>
    <w:p>
      <w:pPr>
        <w:widowControl/>
        <w:ind w:firstLine="480"/>
        <w:rPr>
          <w:rFonts w:hint="eastAsia" w:ascii="宋体" w:hAnsi="宋体" w:eastAsia="宋体" w:cs="宋体"/>
          <w:color w:val="auto"/>
          <w:sz w:val="24"/>
        </w:rPr>
      </w:pPr>
    </w:p>
    <w:p>
      <w:pPr>
        <w:widowControl/>
        <w:ind w:firstLine="480"/>
        <w:rPr>
          <w:rFonts w:hint="eastAsia" w:ascii="宋体" w:hAnsi="宋体" w:eastAsia="宋体" w:cs="宋体"/>
          <w:color w:val="auto"/>
          <w:sz w:val="24"/>
        </w:rPr>
      </w:pPr>
    </w:p>
    <w:p>
      <w:pPr>
        <w:widowControl/>
        <w:ind w:firstLine="480"/>
        <w:jc w:val="center"/>
        <w:rPr>
          <w:rFonts w:hint="eastAsia" w:ascii="宋体" w:hAnsi="宋体" w:eastAsia="宋体" w:cs="宋体"/>
          <w:color w:val="auto"/>
        </w:rPr>
      </w:pPr>
      <w:r>
        <w:rPr>
          <w:rFonts w:hint="eastAsia" w:ascii="宋体" w:hAnsi="宋体" w:eastAsia="宋体" w:cs="宋体"/>
          <w:color w:val="auto"/>
          <w:sz w:val="24"/>
          <w:szCs w:val="24"/>
        </w:rPr>
        <w:br w:type="page"/>
      </w:r>
      <w:bookmarkStart w:id="327" w:name="_Toc10230"/>
      <w:bookmarkStart w:id="328" w:name="_Toc8747"/>
      <w:bookmarkStart w:id="329" w:name="_Toc18423"/>
      <w:r>
        <w:rPr>
          <w:rStyle w:val="41"/>
          <w:rFonts w:hint="eastAsia" w:ascii="宋体" w:hAnsi="宋体" w:eastAsia="宋体" w:cs="宋体"/>
          <w:color w:val="auto"/>
        </w:rPr>
        <w:t>报价表（第   次/最终报价)（单独递交）</w:t>
      </w:r>
      <w:bookmarkEnd w:id="327"/>
      <w:bookmarkEnd w:id="328"/>
      <w:bookmarkEnd w:id="329"/>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4" w:type="pct"/>
            <w:vAlign w:val="center"/>
          </w:tcPr>
          <w:p>
            <w:pPr>
              <w:tabs>
                <w:tab w:val="left" w:pos="7513"/>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3945" w:type="pct"/>
            <w:vAlign w:val="center"/>
          </w:tcPr>
          <w:p>
            <w:pPr>
              <w:tabs>
                <w:tab w:val="left" w:pos="7513"/>
              </w:tabs>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4" w:type="pct"/>
            <w:vAlign w:val="center"/>
          </w:tcPr>
          <w:p>
            <w:pPr>
              <w:tabs>
                <w:tab w:val="left" w:pos="7513"/>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p>
        </w:tc>
        <w:tc>
          <w:tcPr>
            <w:tcW w:w="3945" w:type="pct"/>
            <w:vAlign w:val="center"/>
          </w:tcPr>
          <w:p>
            <w:pPr>
              <w:tabs>
                <w:tab w:val="left" w:pos="7513"/>
              </w:tabs>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4" w:type="pct"/>
            <w:vAlign w:val="center"/>
          </w:tcPr>
          <w:p>
            <w:pPr>
              <w:tabs>
                <w:tab w:val="left" w:pos="7513"/>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3945" w:type="pct"/>
            <w:vAlign w:val="center"/>
          </w:tcPr>
          <w:p>
            <w:pPr>
              <w:tabs>
                <w:tab w:val="left" w:pos="7513"/>
              </w:tabs>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70" w:type="dxa"/>
            <w:vAlign w:val="center"/>
          </w:tcPr>
          <w:p>
            <w:pPr>
              <w:tabs>
                <w:tab w:val="left" w:pos="7513"/>
              </w:tabs>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单价折扣率</w:t>
            </w:r>
          </w:p>
          <w:p>
            <w:pPr>
              <w:tabs>
                <w:tab w:val="left" w:pos="7513"/>
              </w:tabs>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（百分比）</w:t>
            </w:r>
          </w:p>
        </w:tc>
        <w:tc>
          <w:tcPr>
            <w:tcW w:w="7373" w:type="dxa"/>
            <w:vAlign w:val="center"/>
          </w:tcPr>
          <w:p>
            <w:pPr>
              <w:tabs>
                <w:tab w:val="left" w:pos="7513"/>
              </w:tabs>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pPr>
              <w:tabs>
                <w:tab w:val="left" w:pos="7513"/>
              </w:tabs>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70" w:type="dxa"/>
            <w:vAlign w:val="center"/>
          </w:tcPr>
          <w:p>
            <w:pPr>
              <w:tabs>
                <w:tab w:val="left" w:pos="7513"/>
              </w:tabs>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服务期限</w:t>
            </w:r>
          </w:p>
        </w:tc>
        <w:tc>
          <w:tcPr>
            <w:tcW w:w="7373" w:type="dxa"/>
            <w:vAlign w:val="center"/>
          </w:tcPr>
          <w:p>
            <w:pPr>
              <w:tabs>
                <w:tab w:val="left" w:pos="7513"/>
              </w:tabs>
              <w:spacing w:line="360" w:lineRule="auto"/>
              <w:jc w:val="both"/>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4" w:type="pct"/>
            <w:vAlign w:val="center"/>
          </w:tcPr>
          <w:p>
            <w:pPr>
              <w:tabs>
                <w:tab w:val="left" w:pos="7513"/>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3945" w:type="pct"/>
            <w:vAlign w:val="center"/>
          </w:tcPr>
          <w:p>
            <w:pPr>
              <w:tabs>
                <w:tab w:val="left" w:pos="7513"/>
              </w:tabs>
              <w:spacing w:line="360" w:lineRule="auto"/>
              <w:jc w:val="center"/>
              <w:rPr>
                <w:rFonts w:hint="eastAsia" w:ascii="宋体" w:hAnsi="宋体" w:eastAsia="宋体" w:cs="宋体"/>
                <w:color w:val="auto"/>
                <w:kern w:val="0"/>
                <w:sz w:val="24"/>
                <w:szCs w:val="24"/>
                <w:highlight w:val="none"/>
              </w:rPr>
            </w:pPr>
          </w:p>
        </w:tc>
      </w:tr>
    </w:tbl>
    <w:p>
      <w:pPr>
        <w:pStyle w:val="2"/>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rPr>
      </w:pPr>
      <w:r>
        <w:rPr>
          <w:rFonts w:hint="eastAsia" w:ascii="宋体" w:hAnsi="宋体" w:eastAsia="宋体" w:cs="宋体"/>
          <w:b w:val="0"/>
          <w:bCs w:val="0"/>
          <w:color w:val="auto"/>
          <w:sz w:val="24"/>
        </w:rPr>
        <w:t>注：</w:t>
      </w:r>
      <w:r>
        <w:rPr>
          <w:rFonts w:hint="eastAsia" w:ascii="宋体" w:hAnsi="宋体" w:eastAsia="宋体" w:cs="宋体"/>
          <w:b w:val="0"/>
          <w:bCs w:val="0"/>
          <w:color w:val="auto"/>
          <w:sz w:val="24"/>
          <w:szCs w:val="24"/>
          <w:highlight w:val="none"/>
        </w:rPr>
        <w:t>为方便报价，请供应商准备三份加盖了供应商印章的最后报价表到磋商现场，用于现场报价，最后报价表填写好后必须密封、签字或加盖单位公章</w:t>
      </w:r>
      <w:r>
        <w:rPr>
          <w:rFonts w:hint="eastAsia" w:ascii="宋体" w:hAnsi="宋体" w:eastAsia="宋体" w:cs="宋体"/>
          <w:b w:val="0"/>
          <w:bCs w:val="0"/>
          <w:color w:val="auto"/>
          <w:sz w:val="24"/>
          <w:szCs w:val="24"/>
          <w:highlight w:val="none"/>
          <w:lang w:eastAsia="zh-CN"/>
        </w:rPr>
        <w:t>。</w:t>
      </w:r>
    </w:p>
    <w:p>
      <w:pPr>
        <w:widowControl/>
        <w:spacing w:line="360" w:lineRule="auto"/>
        <w:ind w:firstLine="480"/>
        <w:rPr>
          <w:rFonts w:hint="eastAsia" w:ascii="宋体" w:hAnsi="宋体" w:eastAsia="宋体" w:cs="宋体"/>
          <w:color w:val="auto"/>
          <w:sz w:val="24"/>
        </w:rPr>
      </w:pPr>
    </w:p>
    <w:p>
      <w:pPr>
        <w:widowControl/>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（单位盖章）</w:t>
      </w:r>
    </w:p>
    <w:p>
      <w:pPr>
        <w:widowControl/>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法定代表人或其授权代表（签字或加盖个人名章）</w:t>
      </w:r>
      <w:r>
        <w:rPr>
          <w:rFonts w:hint="eastAsia" w:ascii="宋体" w:hAnsi="宋体" w:eastAsia="宋体" w:cs="宋体"/>
          <w:bCs/>
          <w:color w:val="auto"/>
          <w:sz w:val="24"/>
        </w:rPr>
        <w:t>：</w:t>
      </w:r>
      <w:r>
        <w:rPr>
          <w:rFonts w:hint="eastAsia" w:ascii="宋体" w:hAnsi="宋体" w:eastAsia="宋体" w:cs="宋体"/>
          <w:color w:val="auto"/>
          <w:sz w:val="24"/>
          <w:u w:val="single"/>
        </w:rPr>
        <w:t xml:space="preserve">          </w:t>
      </w:r>
    </w:p>
    <w:p>
      <w:pPr>
        <w:widowControl/>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日期：</w:t>
      </w:r>
      <w:r>
        <w:rPr>
          <w:rFonts w:hint="eastAsia" w:ascii="宋体" w:hAnsi="宋体" w:eastAsia="宋体" w:cs="宋体"/>
          <w:color w:val="auto"/>
          <w:sz w:val="24"/>
          <w:u w:val="single"/>
        </w:rPr>
        <w:t>   </w:t>
      </w:r>
      <w:r>
        <w:rPr>
          <w:rFonts w:hint="eastAsia" w:ascii="宋体" w:hAnsi="宋体" w:eastAsia="宋体" w:cs="宋体"/>
          <w:color w:val="auto"/>
          <w:sz w:val="24"/>
        </w:rPr>
        <w:t>年</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w:t>
      </w:r>
      <w:r>
        <w:rPr>
          <w:rFonts w:hint="eastAsia" w:ascii="宋体" w:hAnsi="宋体" w:eastAsia="宋体" w:cs="宋体"/>
          <w:color w:val="auto"/>
          <w:sz w:val="24"/>
        </w:rPr>
        <w:t>日。</w:t>
      </w:r>
    </w:p>
    <w:p>
      <w:pPr>
        <w:pStyle w:val="3"/>
        <w:spacing w:before="0" w:after="0" w:line="480" w:lineRule="auto"/>
        <w:rPr>
          <w:rFonts w:hint="eastAsia" w:ascii="宋体" w:hAnsi="宋体" w:eastAsia="宋体" w:cs="宋体"/>
          <w:color w:val="auto"/>
        </w:rPr>
      </w:pPr>
      <w:r>
        <w:rPr>
          <w:rFonts w:hint="eastAsia" w:ascii="宋体" w:hAnsi="宋体" w:eastAsia="宋体" w:cs="宋体"/>
          <w:color w:val="auto"/>
          <w:sz w:val="24"/>
          <w:szCs w:val="24"/>
        </w:rPr>
        <w:br w:type="page"/>
      </w:r>
      <w:bookmarkStart w:id="330" w:name="_Toc6512"/>
      <w:bookmarkStart w:id="331" w:name="_Toc11591"/>
      <w:r>
        <w:rPr>
          <w:rFonts w:hint="eastAsia" w:ascii="宋体" w:hAnsi="宋体" w:eastAsia="宋体" w:cs="宋体"/>
          <w:color w:val="auto"/>
        </w:rPr>
        <w:t>第八章  评审方法</w:t>
      </w:r>
      <w:bookmarkEnd w:id="330"/>
      <w:bookmarkEnd w:id="331"/>
    </w:p>
    <w:p>
      <w:pPr>
        <w:spacing w:line="360" w:lineRule="auto"/>
        <w:ind w:firstLine="472" w:firstLineChars="196"/>
        <w:rPr>
          <w:rFonts w:hint="eastAsia" w:ascii="宋体" w:hAnsi="宋体" w:eastAsia="宋体" w:cs="宋体"/>
          <w:b/>
          <w:bCs/>
          <w:color w:val="auto"/>
          <w:sz w:val="24"/>
        </w:rPr>
      </w:pPr>
      <w:bookmarkStart w:id="332" w:name="_Toc209847065"/>
      <w:bookmarkStart w:id="333" w:name="_Toc101250640"/>
      <w:bookmarkStart w:id="334" w:name="_Toc101174146"/>
      <w:bookmarkStart w:id="335" w:name="_Toc101338358"/>
      <w:bookmarkStart w:id="336" w:name="_Toc430773924"/>
      <w:r>
        <w:rPr>
          <w:rFonts w:hint="eastAsia" w:ascii="宋体" w:hAnsi="宋体" w:eastAsia="宋体" w:cs="宋体"/>
          <w:b/>
          <w:bCs/>
          <w:color w:val="auto"/>
          <w:sz w:val="24"/>
        </w:rPr>
        <w:t>1.总则</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1.1 根据《中华人民共和国政府采购法》、《中华人民共和国政府采购法实施条例》、《政府采购竞争性磋商采购方式管理暂行办法》等法律制度，结合本采购项目特点制定本磋商方法。</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1.2 磋商工作由采购代理机构负责组织，具体磋商由采购代理机构依法组建的磋商小组负责。</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1.3 磋商工作应遵循公平、公正、科学及择优的原则，并以相同的磋商程序和标准对待所有的供应商。</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1.4 磋商小组按照磋商文件规定的磋商程序、评分方法和标准进行评审，并独立履行下列职责：</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（一）熟悉和理解磋商文件，确定磋商文件内容是否违反国家有关强制性规定或者磋商文件存在歧义、重大缺陷，根据需要书面要求采购人、采购代理机构对磋商文件作出解释；</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（二）审查供应商响应文件是否满足磋商文件要求，并作出公正评价；</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（三）根据需要要求供应商对响应文件中含义不明确、同类问题表述不一致或者有明显文字和计算错误的内容等作出必要的澄清、说明或者更正；</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（四）推荐成交供应商，或者受采购人委托确定成交供应商；</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（五）起草评审报告并进行签署；</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（六）向采购人/采购代理机构、财政部门或者其他监督部门报告非法干预评审工作的行为；</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（七）法律、法规和规章规定的其他职责。</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1.5 （实质性要求）磋商过程独立、保密。供应商非法干预磋商过程的，其响应文件作无效处理。</w:t>
      </w:r>
    </w:p>
    <w:p>
      <w:pPr>
        <w:spacing w:line="360" w:lineRule="auto"/>
        <w:ind w:firstLine="413"/>
        <w:rPr>
          <w:rFonts w:hint="eastAsia" w:ascii="宋体" w:hAnsi="宋体" w:eastAsia="宋体" w:cs="宋体"/>
          <w:color w:val="auto"/>
        </w:rPr>
      </w:pPr>
    </w:p>
    <w:p>
      <w:pPr>
        <w:spacing w:line="360" w:lineRule="auto"/>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rPr>
        <w:t>2.磋商程序</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2.1审查磋商文件和停止评审。</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2.1.2 本磋商文件有下列情形之一的，磋商小组应当停止评审：</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（1）磋商文件的规定存在歧义、重大缺陷的；</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（2）磋商文件明显以不合理条件对供应商实行差别待遇或者歧视待遇的；</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（3）采购项目属于国家规定的优先、强制采购范围，但是磋商文件未依法体现优先、强制采购相关规定的；</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（4）采购项目属于政府采购促进中小企业发展的范围，但是磋商文件未依法体现促进中小企业发展相关规定的；</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（5）磋商文件将供应商的资格条件列为评分因素的；</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（6）磋商文件载明的成交原则不合法的；</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（7）磋商文件有违反国家其他有关强制性规定的情形。</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2.1.3 出现本条2.1.2规定应当停止评审情形的，磋商小组应当向采购人书面说明情况。除本条规定的情形外，磋商小组不得以任何方式和理由停止评审。</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2.2资格性审查。</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2.2.1本项目需要磋商小组进行资格性检查。</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2.2.2资格性审查结束后，磋商小组应当出具资格性审查报告，没有通过资格审查的供应商，磋商小组应当在资格审查报告中说明原因。</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2.2.3磋商小组应依据磋商文件规定的实质性要求，对符合资格的响应文件进行有效性、完整性和响应程度审查，以确定参加磋商的供应商名单。</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2.2.4采购人或者采购代理机构宣布未通过资格性审查的供应商名单时，应当告知供应商未通过审查的原因。</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2.3 通过资格性审查的供应商不足3家的，终止本次采购活动，并发布终止采购活动公告。</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2.4磋商。</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2.4.2每轮磋商开始前，磋商小组应根据磋商文件的规定，并结合各供应商的响应文件拟定磋商内容。</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2.4.4对磋商文件作出的实质性变动是磋商文件的有效组成部分，磋商小组应当及时以书面形式同时通知所有参加磋商的供应商。</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2.4.6磋商过程中，磋商的任何一方不得透露与磋商有关的其他供应商的技术资料、价格和其他信息。</w:t>
      </w:r>
    </w:p>
    <w:p>
      <w:pPr>
        <w:spacing w:line="360" w:lineRule="auto"/>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2.4.7磋商过程中，磋商小组发现或者知晓供应商存在违法、违纪行为的，磋商小组应当将该供应商响应文件作无效处理，不允许其提交最后报价。</w:t>
      </w:r>
    </w:p>
    <w:p>
      <w:pPr>
        <w:spacing w:line="360" w:lineRule="auto"/>
        <w:ind w:firstLine="470" w:firstLineChars="196"/>
        <w:rPr>
          <w:rFonts w:hint="eastAsia" w:ascii="宋体" w:hAnsi="宋体" w:eastAsia="宋体" w:cs="宋体"/>
          <w:b/>
          <w:color w:val="auto"/>
          <w:sz w:val="24"/>
        </w:rPr>
      </w:pPr>
      <w:r>
        <w:rPr>
          <w:rFonts w:hint="eastAsia" w:ascii="宋体" w:hAnsi="宋体" w:eastAsia="宋体" w:cs="宋体"/>
          <w:bCs/>
          <w:color w:val="auto"/>
          <w:sz w:val="24"/>
        </w:rPr>
        <w:t>2.4.8磋商完成后，磋商小组应出具磋商情况记录表，磋商情况记录表需包含磋商内容、磋商意见、实质性变动内容等。</w:t>
      </w:r>
      <w:r>
        <w:rPr>
          <w:rFonts w:hint="eastAsia" w:ascii="宋体" w:hAnsi="宋体" w:eastAsia="宋体" w:cs="宋体"/>
          <w:b/>
          <w:color w:val="auto"/>
          <w:sz w:val="24"/>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2.5最后报价。</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2.5.1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2.5.2磋商结束后，磋商小组应当要求所有实质性响应的供应商在规定时间内提交最后报价。两轮（响应文件中的报价算一轮）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2.5.3供应商最后报价应当由法定代表人/主要负责人/本人或其授权代表签字确认或加盖公章。最后报价是供应商响应文件的有效组成部分。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得分高低）顺序推荐。评审得分且最后报价且技术指标得分均相同的，成交候选供应商并列,优先选择不发达地区和少数民族地区的供应商；评审得分且最后报价且技术指标得分均相同的，无供应商均属于不发达地区和少数民族地区的或供应商均属于不发达地区和少数民族地区，由采购人随机抽签确定成交供应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2.9采购组织单位现场复核评审结果。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（1）资格性审查认定错误的；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（2）分值汇总计算错误的；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（3）分项评分超出评分标准范围的；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（4）客观评分不一致的。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采购代理机构复核过程中，磋商小组成员不得离开评审现场。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2.9.2有下列情形之一的，不得现场修改评审结果：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（1）磋商小组已经出具磋商报告并且离开评审现场的；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（2）采购代理机构现场复核时，复核工作人员数量不足的；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（3）采购代理机构现场复核时，没有采购监督人员现场监督的；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（4）采购代理机构现场复核内容超出规定范围的；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（5）采购代理机构未提供书面建议的。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2.10编写磋商报告。磋商小组推荐成交候选供应商后，应向采购代理机构出具磋商报告。磋商报告应当包括以下主要内容：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（1）邀请供应商参加采购活动的具体方式和相关情况；</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（2）响应文件开启日期和地点；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（3）获取磋商文件的供应商名单和磋商小组成员名单；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（4）评审情况记录和说明，包括对供应商的资格审查情况、供应商响应文件审查情况、磋商情况、报价情况等；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（5）提出的成交候选供应商的排序名单及理由。</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2.12供应商澄清、说明</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2.12.2磋商小组要求供应商澄清、说明或者更正响应文件应当以书面形式作出。供应商的澄清、说明或者更正应当由法定代表人/主要负责人/本人或其授权代表签字或者加盖公章。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2.13终止磋商采购活动。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（1）因情况变化，不再符合规定的竞争性磋商采购方式适用情形的；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（2）出现影响采购公正的违法、违规行为的；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（3）在采购过程中符合要求的供应商或者报价未超过采购预算的供应商不足3家的。</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3.综合评分</w:t>
      </w:r>
    </w:p>
    <w:p>
      <w:pPr>
        <w:widowControl/>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3.1本次综合评分的因素是：详见综合评分明细表。</w:t>
      </w:r>
    </w:p>
    <w:tbl>
      <w:tblPr>
        <w:tblStyle w:val="18"/>
        <w:tblW w:w="54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22"/>
        <w:gridCol w:w="745"/>
        <w:gridCol w:w="5729"/>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8" w:type="pct"/>
            <w:noWrap/>
            <w:vAlign w:val="center"/>
          </w:tcPr>
          <w:p>
            <w:pPr>
              <w:keepNext/>
              <w:keepLines/>
              <w:pageBreakBefore w:val="0"/>
              <w:widowControl w:val="0"/>
              <w:kinsoku/>
              <w:wordWrap w:val="0"/>
              <w:overflowPunct/>
              <w:topLinePunct/>
              <w:autoSpaceDE/>
              <w:autoSpaceDN/>
              <w:bidi w:val="0"/>
              <w:adjustRightInd/>
              <w:snapToGrid/>
              <w:spacing w:line="408" w:lineRule="auto"/>
              <w:ind w:firstLine="28"/>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663"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404" w:type="pct"/>
            <w:noWrap/>
            <w:vAlign w:val="center"/>
          </w:tcPr>
          <w:p>
            <w:pPr>
              <w:keepNext/>
              <w:keepLines/>
              <w:pageBreakBefore w:val="0"/>
              <w:widowControl w:val="0"/>
              <w:kinsoku/>
              <w:wordWrap w:val="0"/>
              <w:overflowPunct/>
              <w:topLinePunct/>
              <w:autoSpaceDE/>
              <w:autoSpaceDN/>
              <w:bidi w:val="0"/>
              <w:adjustRightInd/>
              <w:snapToGrid/>
              <w:spacing w:line="408" w:lineRule="auto"/>
              <w:ind w:firstLine="28"/>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9" w:type="pct"/>
            <w:noWrap/>
            <w:vAlign w:val="center"/>
          </w:tcPr>
          <w:p>
            <w:pPr>
              <w:keepNext/>
              <w:keepLines/>
              <w:pageBreakBefore w:val="0"/>
              <w:widowControl w:val="0"/>
              <w:kinsoku/>
              <w:wordWrap w:val="0"/>
              <w:overflowPunct/>
              <w:topLinePunct/>
              <w:autoSpaceDE/>
              <w:autoSpaceDN/>
              <w:bidi w:val="0"/>
              <w:adjustRightInd/>
              <w:snapToGrid/>
              <w:spacing w:line="408" w:lineRule="auto"/>
              <w:ind w:firstLine="28"/>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424"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8"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63"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w:t>
            </w:r>
          </w:p>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w:t>
            </w:r>
          </w:p>
        </w:tc>
        <w:tc>
          <w:tcPr>
            <w:tcW w:w="404"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3109" w:type="pct"/>
            <w:noWrap/>
            <w:vAlign w:val="center"/>
          </w:tcPr>
          <w:p>
            <w:pPr>
              <w:keepNext/>
              <w:keepLines/>
              <w:pageBreakBefore w:val="0"/>
              <w:widowControl w:val="0"/>
              <w:kinsoku/>
              <w:wordWrap w:val="0"/>
              <w:overflowPunct/>
              <w:topLinePunct/>
              <w:autoSpaceDE/>
              <w:autoSpaceDN/>
              <w:bidi w:val="0"/>
              <w:adjustRightInd/>
              <w:snapToGrid/>
              <w:spacing w:line="408"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满足磋商文件要求且响应价格（折扣率）最低的响应报价为评审基准价，其价格分为满分。其他供应商的价格分统一按照下列公式计算：响应报价得分=(评审基准价／响应报价)*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424"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8"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63"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企业业绩</w:t>
            </w:r>
          </w:p>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w:t>
            </w:r>
          </w:p>
        </w:tc>
        <w:tc>
          <w:tcPr>
            <w:tcW w:w="404"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tc>
        <w:tc>
          <w:tcPr>
            <w:tcW w:w="3109" w:type="pct"/>
            <w:noWrap/>
            <w:vAlign w:val="center"/>
          </w:tcPr>
          <w:p>
            <w:pPr>
              <w:keepNext/>
              <w:keepLines/>
              <w:pageBreakBefore w:val="0"/>
              <w:widowControl w:val="0"/>
              <w:kinsoku/>
              <w:wordWrap w:val="0"/>
              <w:overflowPunct/>
              <w:topLinePunct/>
              <w:autoSpaceDE/>
              <w:autoSpaceDN/>
              <w:bidi w:val="0"/>
              <w:adjustRightInd/>
              <w:snapToGrid/>
              <w:spacing w:line="408"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供应商自201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年1月1日（含）以来每有1个类似项目业绩的得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p>
            <w:pPr>
              <w:pStyle w:val="2"/>
              <w:keepNext/>
              <w:keepLines/>
              <w:pageBreakBefore w:val="0"/>
              <w:widowControl w:val="0"/>
              <w:kinsoku/>
              <w:wordWrap w:val="0"/>
              <w:overflowPunct/>
              <w:topLinePunct/>
              <w:autoSpaceDE/>
              <w:autoSpaceDN/>
              <w:bidi w:val="0"/>
              <w:adjustRightInd/>
              <w:snapToGrid/>
              <w:spacing w:line="408"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注：提供中标（成交）通知书复印件或合同复印件并加盖鲜章。</w:t>
            </w:r>
          </w:p>
        </w:tc>
        <w:tc>
          <w:tcPr>
            <w:tcW w:w="424"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8"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63" w:type="pct"/>
            <w:noWrap/>
            <w:vAlign w:val="center"/>
          </w:tcPr>
          <w:p>
            <w:pPr>
              <w:pageBreakBefore w:val="0"/>
              <w:widowControl w:val="0"/>
              <w:kinsoku/>
              <w:overflowPunct/>
              <w:autoSpaceDE/>
              <w:autoSpaceDN/>
              <w:bidi w:val="0"/>
              <w:adjustRightInd/>
              <w:snapToGrid/>
              <w:spacing w:line="408"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bCs/>
                <w:color w:val="auto"/>
                <w:sz w:val="24"/>
                <w:szCs w:val="24"/>
              </w:rPr>
              <w:t>服务方案</w:t>
            </w:r>
            <w:r>
              <w:rPr>
                <w:rFonts w:hint="eastAsia" w:ascii="宋体" w:hAnsi="宋体" w:eastAsia="宋体" w:cs="宋体"/>
                <w:bCs/>
                <w:color w:val="auto"/>
                <w:sz w:val="24"/>
                <w:szCs w:val="24"/>
                <w:lang w:val="en-US" w:eastAsia="zh-CN"/>
              </w:rPr>
              <w:t>50</w:t>
            </w:r>
            <w:r>
              <w:rPr>
                <w:rFonts w:hint="eastAsia" w:ascii="宋体" w:hAnsi="宋体" w:eastAsia="宋体" w:cs="宋体"/>
                <w:bCs/>
                <w:color w:val="auto"/>
                <w:sz w:val="24"/>
                <w:szCs w:val="24"/>
              </w:rPr>
              <w:t>%</w:t>
            </w:r>
          </w:p>
        </w:tc>
        <w:tc>
          <w:tcPr>
            <w:tcW w:w="404" w:type="pct"/>
            <w:noWrap/>
            <w:vAlign w:val="center"/>
          </w:tcPr>
          <w:p>
            <w:pPr>
              <w:pageBreakBefore w:val="0"/>
              <w:widowControl w:val="0"/>
              <w:kinsoku/>
              <w:overflowPunct/>
              <w:autoSpaceDE/>
              <w:autoSpaceDN/>
              <w:bidi w:val="0"/>
              <w:adjustRightInd/>
              <w:snapToGrid/>
              <w:spacing w:line="408"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50</w:t>
            </w:r>
            <w:r>
              <w:rPr>
                <w:rFonts w:hint="eastAsia" w:ascii="宋体" w:hAnsi="宋体" w:eastAsia="宋体" w:cs="宋体"/>
                <w:bCs/>
                <w:color w:val="auto"/>
                <w:sz w:val="24"/>
                <w:szCs w:val="24"/>
              </w:rPr>
              <w:t>分</w:t>
            </w:r>
          </w:p>
        </w:tc>
        <w:tc>
          <w:tcPr>
            <w:tcW w:w="5767" w:type="dxa"/>
            <w:noWrap/>
            <w:vAlign w:val="center"/>
          </w:tcPr>
          <w:p>
            <w:pPr>
              <w:pStyle w:val="40"/>
              <w:numPr>
                <w:ilvl w:val="0"/>
                <w:numId w:val="0"/>
              </w:numPr>
              <w:adjustRightInd w:val="0"/>
              <w:snapToGrid w:val="0"/>
              <w:spacing w:before="120" w:after="120" w:line="360" w:lineRule="auto"/>
              <w:rPr>
                <w:rFonts w:hint="eastAsia" w:ascii="宋体" w:hAnsi="宋体" w:eastAsia="宋体" w:cs="宋体"/>
                <w:color w:val="auto"/>
                <w:sz w:val="24"/>
                <w:szCs w:val="24"/>
              </w:rPr>
            </w:pPr>
            <w:bookmarkStart w:id="337" w:name="_Toc17476"/>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供应商提供项目情况了解及分析进行评价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，包括：①对作业范围，作业项目及相关要求进行情况了解、分析；②项目作业的要求和标准符合本项目实际情况；③能对重点难点进行深入分析论述，内容齐全、描述细致的得</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分，每有一项缺失</w:t>
            </w:r>
            <w:r>
              <w:rPr>
                <w:rFonts w:hint="eastAsia" w:ascii="宋体" w:hAnsi="宋体" w:eastAsia="宋体" w:cs="宋体"/>
                <w:color w:val="auto"/>
                <w:sz w:val="24"/>
                <w:szCs w:val="24"/>
                <w:lang w:eastAsia="zh-CN"/>
              </w:rPr>
              <w:t>扣</w:t>
            </w:r>
            <w:r>
              <w:rPr>
                <w:rFonts w:hint="eastAsia" w:ascii="宋体" w:hAnsi="宋体" w:eastAsia="宋体" w:cs="宋体"/>
                <w:color w:val="auto"/>
                <w:sz w:val="24"/>
                <w:szCs w:val="24"/>
                <w:lang w:val="en-US" w:eastAsia="zh-CN"/>
              </w:rPr>
              <w:t>3分，,</w:t>
            </w:r>
            <w:r>
              <w:rPr>
                <w:rFonts w:hint="eastAsia" w:ascii="宋体" w:hAnsi="宋体" w:eastAsia="宋体" w:cs="宋体"/>
                <w:color w:val="auto"/>
                <w:sz w:val="24"/>
                <w:szCs w:val="24"/>
              </w:rPr>
              <w:t>与实际情况不符扣</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分，扣完为止，未提供不得分。</w:t>
            </w:r>
            <w:bookmarkEnd w:id="337"/>
          </w:p>
          <w:p>
            <w:pPr>
              <w:pStyle w:val="40"/>
              <w:numPr>
                <w:ilvl w:val="0"/>
                <w:numId w:val="0"/>
              </w:numPr>
              <w:adjustRightInd w:val="0"/>
              <w:snapToGrid w:val="0"/>
              <w:spacing w:before="120" w:after="120" w:line="360" w:lineRule="auto"/>
              <w:rPr>
                <w:rFonts w:hint="eastAsia" w:ascii="宋体" w:hAnsi="宋体" w:eastAsia="宋体" w:cs="宋体"/>
                <w:color w:val="auto"/>
                <w:sz w:val="24"/>
                <w:szCs w:val="24"/>
              </w:rPr>
            </w:pPr>
            <w:bookmarkStart w:id="338" w:name="_Toc25205"/>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组织机构（</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分）①组织机构完整②机构设置合理③分工明确，</w:t>
            </w:r>
            <w:r>
              <w:rPr>
                <w:rFonts w:hint="eastAsia" w:ascii="宋体" w:hAnsi="宋体" w:eastAsia="宋体" w:cs="宋体"/>
                <w:color w:val="auto"/>
                <w:sz w:val="24"/>
                <w:szCs w:val="24"/>
                <w:shd w:val="clear" w:color="auto" w:fill="auto"/>
              </w:rPr>
              <w:t>内容完全满足项目要求且逻辑清晰、条理严谨、阐述全面，覆盖点广得</w:t>
            </w:r>
            <w:r>
              <w:rPr>
                <w:rFonts w:hint="eastAsia" w:ascii="宋体" w:hAnsi="宋体" w:eastAsia="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分，每存在一项内容缺失</w:t>
            </w:r>
            <w:r>
              <w:rPr>
                <w:rFonts w:hint="eastAsia" w:ascii="宋体" w:hAnsi="宋体" w:eastAsia="宋体" w:cs="宋体"/>
                <w:color w:val="auto"/>
                <w:sz w:val="24"/>
                <w:szCs w:val="24"/>
                <w:shd w:val="clear" w:color="auto" w:fill="auto"/>
                <w:lang w:eastAsia="zh-CN"/>
              </w:rPr>
              <w:t>扣</w:t>
            </w:r>
            <w:r>
              <w:rPr>
                <w:rFonts w:hint="eastAsia" w:ascii="宋体" w:hAnsi="宋体" w:eastAsia="宋体" w:cs="宋体"/>
                <w:color w:val="auto"/>
                <w:sz w:val="24"/>
                <w:szCs w:val="24"/>
                <w:shd w:val="clear" w:color="auto" w:fill="auto"/>
                <w:lang w:val="en-US" w:eastAsia="zh-CN"/>
              </w:rPr>
              <w:t>2分</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不足或逻辑不清、条理紊乱、不合理扣</w:t>
            </w: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分，直至本项分数扣完为止。</w:t>
            </w:r>
            <w:bookmarkEnd w:id="338"/>
          </w:p>
          <w:p>
            <w:pPr>
              <w:pStyle w:val="40"/>
              <w:numPr>
                <w:ilvl w:val="0"/>
                <w:numId w:val="0"/>
              </w:numPr>
              <w:adjustRightInd w:val="0"/>
              <w:snapToGrid w:val="0"/>
              <w:spacing w:before="120" w:after="120" w:line="360" w:lineRule="auto"/>
              <w:rPr>
                <w:rFonts w:hint="eastAsia" w:ascii="宋体" w:hAnsi="宋体" w:eastAsia="宋体" w:cs="宋体"/>
                <w:color w:val="auto"/>
                <w:sz w:val="24"/>
                <w:szCs w:val="24"/>
              </w:rPr>
            </w:pPr>
            <w:bookmarkStart w:id="339" w:name="_Toc30362"/>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质量控制与措施（</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分）①具有健全的质量控制体系，内容全面合理；②质量控制措施周全，具有规范、标准的质量控制方案；③质量控制目标明确可行；④质量保障措施可操作性强，质量控制手段多样化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shd w:val="clear" w:color="auto" w:fill="auto"/>
              </w:rPr>
              <w:t>内容完全满足项目要求且逻辑清晰、条理严谨、阐述全面，覆盖点广得</w:t>
            </w:r>
            <w:r>
              <w:rPr>
                <w:rFonts w:hint="eastAsia" w:ascii="宋体" w:hAnsi="宋体" w:eastAsia="宋体" w:cs="宋体"/>
                <w:color w:val="auto"/>
                <w:sz w:val="24"/>
                <w:szCs w:val="24"/>
                <w:shd w:val="clear" w:color="auto" w:fill="auto"/>
                <w:lang w:val="en-US" w:eastAsia="zh-CN"/>
              </w:rPr>
              <w:t>10</w:t>
            </w:r>
            <w:r>
              <w:rPr>
                <w:rFonts w:hint="eastAsia" w:ascii="宋体" w:hAnsi="宋体" w:eastAsia="宋体" w:cs="宋体"/>
                <w:color w:val="auto"/>
                <w:sz w:val="24"/>
                <w:szCs w:val="24"/>
                <w:shd w:val="clear" w:color="auto" w:fill="auto"/>
              </w:rPr>
              <w:t>分，每存在一项内容缺失</w:t>
            </w:r>
            <w:r>
              <w:rPr>
                <w:rFonts w:hint="eastAsia" w:ascii="宋体" w:hAnsi="宋体" w:eastAsia="宋体" w:cs="宋体"/>
                <w:color w:val="auto"/>
                <w:sz w:val="24"/>
                <w:szCs w:val="24"/>
                <w:shd w:val="clear" w:color="auto" w:fill="auto"/>
                <w:lang w:eastAsia="zh-CN"/>
              </w:rPr>
              <w:t>扣</w:t>
            </w:r>
            <w:r>
              <w:rPr>
                <w:rFonts w:hint="eastAsia" w:ascii="宋体" w:hAnsi="宋体" w:eastAsia="宋体" w:cs="宋体"/>
                <w:color w:val="auto"/>
                <w:sz w:val="24"/>
                <w:szCs w:val="24"/>
                <w:shd w:val="clear" w:color="auto" w:fill="auto"/>
                <w:lang w:val="en-US" w:eastAsia="zh-CN"/>
              </w:rPr>
              <w:t>2.5分</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不足或逻辑不清、条理紊乱、不合理扣</w:t>
            </w: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分，直至本项分数扣完为止。</w:t>
            </w:r>
            <w:bookmarkEnd w:id="339"/>
          </w:p>
          <w:p>
            <w:pPr>
              <w:pStyle w:val="40"/>
              <w:numPr>
                <w:ilvl w:val="0"/>
                <w:numId w:val="0"/>
              </w:numPr>
              <w:adjustRightInd w:val="0"/>
              <w:snapToGrid w:val="0"/>
              <w:spacing w:before="120" w:after="120" w:line="360" w:lineRule="auto"/>
              <w:rPr>
                <w:rFonts w:hint="eastAsia" w:ascii="宋体" w:hAnsi="宋体" w:eastAsia="宋体" w:cs="宋体"/>
                <w:color w:val="auto"/>
                <w:sz w:val="24"/>
                <w:szCs w:val="24"/>
              </w:rPr>
            </w:pPr>
            <w:bookmarkStart w:id="340" w:name="_Toc25973"/>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根据项目管理内容、标准制定服务方案（10分）根据项目实际情况详细拟定各项实施服务作业方案与技术措施，①实施工序完整详细②技术措施内容具体③施工安排及施工前的准备工作考虑充分周全④主要方法和工艺先进、详尽，符合项目实际需要和规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shd w:val="clear" w:color="auto" w:fill="auto"/>
              </w:rPr>
              <w:t>内容完全满足项目要求且逻辑清晰、条理严谨、阐述全面，覆盖点广得</w:t>
            </w:r>
            <w:r>
              <w:rPr>
                <w:rFonts w:hint="eastAsia" w:ascii="宋体" w:hAnsi="宋体" w:eastAsia="宋体" w:cs="宋体"/>
                <w:color w:val="auto"/>
                <w:sz w:val="24"/>
                <w:szCs w:val="24"/>
                <w:shd w:val="clear" w:color="auto" w:fill="auto"/>
                <w:lang w:val="en-US" w:eastAsia="zh-CN"/>
              </w:rPr>
              <w:t>10</w:t>
            </w:r>
            <w:r>
              <w:rPr>
                <w:rFonts w:hint="eastAsia" w:ascii="宋体" w:hAnsi="宋体" w:eastAsia="宋体" w:cs="宋体"/>
                <w:color w:val="auto"/>
                <w:sz w:val="24"/>
                <w:szCs w:val="24"/>
                <w:shd w:val="clear" w:color="auto" w:fill="auto"/>
              </w:rPr>
              <w:t>分，每存在一项内容缺失</w:t>
            </w:r>
            <w:r>
              <w:rPr>
                <w:rFonts w:hint="eastAsia" w:ascii="宋体" w:hAnsi="宋体" w:eastAsia="宋体" w:cs="宋体"/>
                <w:color w:val="auto"/>
                <w:sz w:val="24"/>
                <w:szCs w:val="24"/>
                <w:shd w:val="clear" w:color="auto" w:fill="auto"/>
                <w:lang w:eastAsia="zh-CN"/>
              </w:rPr>
              <w:t>扣</w:t>
            </w:r>
            <w:r>
              <w:rPr>
                <w:rFonts w:hint="eastAsia" w:ascii="宋体" w:hAnsi="宋体" w:eastAsia="宋体" w:cs="宋体"/>
                <w:color w:val="auto"/>
                <w:sz w:val="24"/>
                <w:szCs w:val="24"/>
                <w:shd w:val="clear" w:color="auto" w:fill="auto"/>
                <w:lang w:val="en-US" w:eastAsia="zh-CN"/>
              </w:rPr>
              <w:t>2.5分</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不足或逻辑不清、条理紊乱、不合理扣</w:t>
            </w: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分，直至本项分数扣完为止。</w:t>
            </w:r>
            <w:r>
              <w:rPr>
                <w:rFonts w:hint="eastAsia" w:ascii="宋体" w:hAnsi="宋体" w:eastAsia="宋体" w:cs="宋体"/>
                <w:color w:val="auto"/>
                <w:sz w:val="24"/>
                <w:szCs w:val="24"/>
              </w:rPr>
              <w:t>。</w:t>
            </w:r>
            <w:bookmarkEnd w:id="340"/>
          </w:p>
          <w:p>
            <w:pPr>
              <w:pStyle w:val="40"/>
              <w:adjustRightInd w:val="0"/>
              <w:snapToGrid w:val="0"/>
              <w:spacing w:before="120" w:after="120" w:line="360" w:lineRule="auto"/>
              <w:rPr>
                <w:rFonts w:hint="eastAsia" w:ascii="宋体" w:hAnsi="宋体" w:eastAsia="宋体" w:cs="宋体"/>
                <w:color w:val="auto"/>
                <w:sz w:val="24"/>
                <w:szCs w:val="24"/>
                <w:lang w:eastAsia="zh-CN"/>
              </w:rPr>
            </w:pPr>
            <w:bookmarkStart w:id="341" w:name="_Toc28851"/>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安全文明措施（</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分）根据项目实际情况详细拟定安全文明措施，①安全管理体系健全②安全措施周全③文明管理制度完善可靠④安全目标具体详细⑤安全防范重点明确清晰⑥安全预案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shd w:val="clear" w:color="auto" w:fill="auto"/>
              </w:rPr>
              <w:t>内容完全满足项目要求且逻辑清晰、条理严谨、阐述全面，覆盖点广得</w:t>
            </w:r>
            <w:r>
              <w:rPr>
                <w:rFonts w:hint="eastAsia" w:ascii="宋体" w:hAnsi="宋体" w:eastAsia="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分，每存在一项内容缺失</w:t>
            </w:r>
            <w:r>
              <w:rPr>
                <w:rFonts w:hint="eastAsia" w:ascii="宋体" w:hAnsi="宋体" w:eastAsia="宋体" w:cs="宋体"/>
                <w:color w:val="auto"/>
                <w:sz w:val="24"/>
                <w:szCs w:val="24"/>
                <w:shd w:val="clear" w:color="auto" w:fill="auto"/>
                <w:lang w:eastAsia="zh-CN"/>
              </w:rPr>
              <w:t>扣</w:t>
            </w:r>
            <w:r>
              <w:rPr>
                <w:rFonts w:hint="eastAsia" w:ascii="宋体" w:hAnsi="宋体" w:eastAsia="宋体" w:cs="宋体"/>
                <w:color w:val="auto"/>
                <w:sz w:val="24"/>
                <w:szCs w:val="24"/>
                <w:shd w:val="clear" w:color="auto" w:fill="auto"/>
                <w:lang w:val="en-US" w:eastAsia="zh-CN"/>
              </w:rPr>
              <w:t>1分</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不足或逻辑不清、条理紊乱、不合理扣</w:t>
            </w:r>
            <w:r>
              <w:rPr>
                <w:rFonts w:hint="eastAsia" w:ascii="宋体" w:hAnsi="宋体" w:eastAsia="宋体" w:cs="宋体"/>
                <w:color w:val="auto"/>
                <w:sz w:val="24"/>
                <w:szCs w:val="24"/>
                <w:shd w:val="clear" w:color="auto" w:fill="auto"/>
                <w:lang w:val="en-US" w:eastAsia="zh-CN"/>
              </w:rPr>
              <w:t>0.5</w:t>
            </w:r>
            <w:r>
              <w:rPr>
                <w:rFonts w:hint="eastAsia" w:ascii="宋体" w:hAnsi="宋体" w:eastAsia="宋体" w:cs="宋体"/>
                <w:color w:val="auto"/>
                <w:sz w:val="24"/>
                <w:szCs w:val="24"/>
                <w:shd w:val="clear" w:color="auto" w:fill="auto"/>
              </w:rPr>
              <w:t>分，直至本项分数扣完为止。</w:t>
            </w:r>
            <w:bookmarkEnd w:id="341"/>
          </w:p>
          <w:p>
            <w:pPr>
              <w:pStyle w:val="40"/>
              <w:adjustRightInd w:val="0"/>
              <w:snapToGrid w:val="0"/>
              <w:spacing w:before="120" w:after="120" w:line="360" w:lineRule="auto"/>
              <w:rPr>
                <w:rFonts w:hint="eastAsia" w:ascii="宋体" w:hAnsi="宋体" w:eastAsia="宋体" w:cs="宋体"/>
                <w:color w:val="auto"/>
                <w:sz w:val="24"/>
                <w:szCs w:val="24"/>
              </w:rPr>
            </w:pPr>
            <w:bookmarkStart w:id="342" w:name="_Toc31353"/>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应急措施（</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分）根据供应商①针对极端天气、特殊事件等制定的应急措施预案思路清晰，条款完善周密②应急措施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shd w:val="clear" w:color="auto" w:fill="auto"/>
              </w:rPr>
              <w:t>内容完全满足项目要求且逻辑清晰、条理严谨、阐述全面，覆盖点广得</w:t>
            </w: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分，每存在一项内容缺失</w:t>
            </w:r>
            <w:r>
              <w:rPr>
                <w:rFonts w:hint="eastAsia" w:ascii="宋体" w:hAnsi="宋体" w:eastAsia="宋体" w:cs="宋体"/>
                <w:color w:val="auto"/>
                <w:sz w:val="24"/>
                <w:szCs w:val="24"/>
                <w:shd w:val="clear" w:color="auto" w:fill="auto"/>
                <w:lang w:eastAsia="zh-CN"/>
              </w:rPr>
              <w:t>扣</w:t>
            </w:r>
            <w:r>
              <w:rPr>
                <w:rFonts w:hint="eastAsia" w:ascii="宋体" w:hAnsi="宋体" w:eastAsia="宋体" w:cs="宋体"/>
                <w:color w:val="auto"/>
                <w:sz w:val="24"/>
                <w:szCs w:val="24"/>
                <w:shd w:val="clear" w:color="auto" w:fill="auto"/>
                <w:lang w:val="en-US" w:eastAsia="zh-CN"/>
              </w:rPr>
              <w:t>2分</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不足或逻辑不清、条理紊乱、不合理扣</w:t>
            </w: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分，直至本项分数扣完为止</w:t>
            </w:r>
            <w:r>
              <w:rPr>
                <w:rFonts w:hint="eastAsia" w:ascii="宋体" w:hAnsi="宋体" w:eastAsia="宋体" w:cs="宋体"/>
                <w:color w:val="auto"/>
                <w:sz w:val="24"/>
                <w:szCs w:val="24"/>
              </w:rPr>
              <w:t>。</w:t>
            </w:r>
            <w:bookmarkEnd w:id="342"/>
          </w:p>
          <w:p>
            <w:pPr>
              <w:pStyle w:val="40"/>
              <w:adjustRightInd w:val="0"/>
              <w:snapToGrid w:val="0"/>
              <w:spacing w:before="120" w:after="120" w:line="360" w:lineRule="auto"/>
              <w:rPr>
                <w:rFonts w:hint="eastAsia" w:ascii="宋体" w:hAnsi="宋体" w:eastAsia="宋体" w:cs="宋体"/>
                <w:color w:val="auto"/>
                <w:sz w:val="24"/>
                <w:szCs w:val="24"/>
                <w:lang w:val="zh-CN"/>
              </w:rPr>
            </w:pPr>
            <w:bookmarkStart w:id="343" w:name="_Toc470"/>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环境保护管理体系、文明作业及措施（5分）根据供应商提供的①环境保护管理体系、②文明作业及措施（包括但不限于文明施工及工地标准化管理、组织措施、文明施工保证措施、卫生保证措施、环境保护措施）进行综合评审：以上内容充分体现、切实可行、完全满足采购实际需求的得5分，每有一项内容缺失</w:t>
            </w:r>
            <w:r>
              <w:rPr>
                <w:rFonts w:hint="eastAsia" w:ascii="宋体" w:hAnsi="宋体" w:eastAsia="宋体" w:cs="宋体"/>
                <w:color w:val="auto"/>
                <w:sz w:val="24"/>
                <w:szCs w:val="24"/>
                <w:lang w:eastAsia="zh-CN"/>
              </w:rPr>
              <w:t>扣</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不合理、存在缺失和不足的扣1分，扣完为止。未提供不得分。</w:t>
            </w:r>
            <w:bookmarkEnd w:id="343"/>
          </w:p>
        </w:tc>
        <w:tc>
          <w:tcPr>
            <w:tcW w:w="424"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技术类评分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8"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63" w:type="pct"/>
            <w:noWrap/>
            <w:vAlign w:val="center"/>
          </w:tcPr>
          <w:p>
            <w:pPr>
              <w:pageBreakBefore w:val="0"/>
              <w:widowControl w:val="0"/>
              <w:kinsoku/>
              <w:overflowPunct/>
              <w:autoSpaceDE/>
              <w:autoSpaceDN/>
              <w:bidi w:val="0"/>
              <w:adjustRightInd/>
              <w:snapToGrid/>
              <w:spacing w:line="408" w:lineRule="auto"/>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售后服务方案</w:t>
            </w:r>
            <w:r>
              <w:rPr>
                <w:rFonts w:hint="eastAsia" w:ascii="宋体" w:hAnsi="宋体" w:eastAsia="宋体" w:cs="宋体"/>
                <w:bCs/>
                <w:color w:val="auto"/>
                <w:sz w:val="24"/>
                <w:szCs w:val="24"/>
                <w:lang w:val="en-US" w:eastAsia="zh-CN"/>
              </w:rPr>
              <w:t>11%</w:t>
            </w:r>
          </w:p>
        </w:tc>
        <w:tc>
          <w:tcPr>
            <w:tcW w:w="404" w:type="pct"/>
            <w:noWrap/>
            <w:vAlign w:val="center"/>
          </w:tcPr>
          <w:p>
            <w:pPr>
              <w:pageBreakBefore w:val="0"/>
              <w:widowControl w:val="0"/>
              <w:kinsoku/>
              <w:overflowPunct/>
              <w:autoSpaceDE/>
              <w:autoSpaceDN/>
              <w:bidi w:val="0"/>
              <w:adjustRightInd/>
              <w:snapToGrid/>
              <w:spacing w:line="408" w:lineRule="auto"/>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11</w:t>
            </w:r>
            <w:r>
              <w:rPr>
                <w:rFonts w:hint="eastAsia" w:ascii="宋体" w:hAnsi="宋体" w:eastAsia="宋体" w:cs="宋体"/>
                <w:bCs/>
                <w:color w:val="auto"/>
                <w:sz w:val="24"/>
                <w:szCs w:val="24"/>
              </w:rPr>
              <w:t>分</w:t>
            </w:r>
          </w:p>
        </w:tc>
        <w:tc>
          <w:tcPr>
            <w:tcW w:w="3109" w:type="pct"/>
            <w:noWrap/>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1、供应商为本项目提供售后服务承诺函（保修承诺、保修期限、保修范围）得2分，不提供或提供不全不得分。                                     </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2、供应商在为本项目提供 7×24 小时售后服务电话的基础上，接到采购人质量问题后，在半个小时（含）内响应，1个小时（含）内到达现场并处理得2分，超过半个小时响应或超过1个小时到达现场并处理的得1分。未提供7×24 小时售后服务电话或无应急承诺不得分。（提供应急承诺函、售后服务电话及人员清单并加盖供应商公章）</w:t>
            </w:r>
          </w:p>
          <w:p>
            <w:pPr>
              <w:pageBreakBefore w:val="0"/>
              <w:widowControl w:val="0"/>
              <w:kinsoku/>
              <w:overflowPunct/>
              <w:autoSpaceDE/>
              <w:autoSpaceDN/>
              <w:bidi w:val="0"/>
              <w:adjustRightInd/>
              <w:snapToGrid/>
              <w:spacing w:line="408" w:lineRule="auto"/>
              <w:textAlignment w:val="auto"/>
              <w:rPr>
                <w:rFonts w:hint="eastAsia" w:ascii="宋体" w:hAnsi="宋体" w:eastAsia="宋体" w:cs="宋体"/>
                <w:color w:val="auto"/>
                <w:sz w:val="24"/>
                <w:szCs w:val="24"/>
              </w:rPr>
            </w:pPr>
            <w:r>
              <w:rPr>
                <w:rFonts w:hint="eastAsia" w:ascii="宋体" w:hAnsi="宋体" w:eastAsia="宋体" w:cs="宋体"/>
                <w:color w:val="auto"/>
                <w:sz w:val="24"/>
              </w:rPr>
              <w:t>3、供应商须针对本项目编制售后服务方案，方案中包含①保修服务流程；②巡检计划（质量回访、现场走访、回访情况记录）；内容阐述全面，覆盖点广得</w:t>
            </w:r>
            <w:r>
              <w:rPr>
                <w:rFonts w:hint="eastAsia" w:ascii="宋体" w:hAnsi="宋体" w:eastAsia="宋体" w:cs="宋体"/>
                <w:color w:val="auto"/>
                <w:sz w:val="24"/>
                <w:lang w:val="en-US" w:eastAsia="zh-CN"/>
              </w:rPr>
              <w:t>7</w:t>
            </w:r>
            <w:r>
              <w:rPr>
                <w:rFonts w:hint="eastAsia" w:ascii="宋体" w:hAnsi="宋体" w:eastAsia="宋体" w:cs="宋体"/>
                <w:color w:val="auto"/>
                <w:sz w:val="24"/>
              </w:rPr>
              <w:t>分，每存在一项内容缺失扣</w:t>
            </w:r>
            <w:r>
              <w:rPr>
                <w:rFonts w:hint="eastAsia" w:ascii="宋体" w:hAnsi="宋体" w:eastAsia="宋体" w:cs="宋体"/>
                <w:color w:val="auto"/>
                <w:sz w:val="24"/>
                <w:lang w:val="en-US" w:eastAsia="zh-CN"/>
              </w:rPr>
              <w:t>3.5</w:t>
            </w:r>
            <w:r>
              <w:rPr>
                <w:rFonts w:hint="eastAsia" w:ascii="宋体" w:hAnsi="宋体" w:eastAsia="宋体" w:cs="宋体"/>
                <w:color w:val="auto"/>
                <w:sz w:val="24"/>
              </w:rPr>
              <w:t>分、不足或逻辑不清、条理紊乱、不合理扣</w:t>
            </w:r>
            <w:r>
              <w:rPr>
                <w:rFonts w:hint="eastAsia" w:ascii="宋体" w:hAnsi="宋体" w:eastAsia="宋体" w:cs="宋体"/>
                <w:color w:val="auto"/>
                <w:sz w:val="24"/>
                <w:lang w:val="en-US" w:eastAsia="zh-CN"/>
              </w:rPr>
              <w:t>1</w:t>
            </w:r>
            <w:r>
              <w:rPr>
                <w:rFonts w:hint="eastAsia" w:ascii="宋体" w:hAnsi="宋体" w:eastAsia="宋体" w:cs="宋体"/>
                <w:color w:val="auto"/>
                <w:sz w:val="24"/>
              </w:rPr>
              <w:t>.5分，直至本项分数扣完为止。</w:t>
            </w:r>
          </w:p>
        </w:tc>
        <w:tc>
          <w:tcPr>
            <w:tcW w:w="424"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8"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663"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人员配置</w:t>
            </w:r>
          </w:p>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17</w:t>
            </w:r>
            <w:r>
              <w:rPr>
                <w:rFonts w:hint="eastAsia" w:ascii="宋体" w:hAnsi="宋体" w:eastAsia="宋体" w:cs="宋体"/>
                <w:bCs/>
                <w:color w:val="auto"/>
                <w:sz w:val="24"/>
                <w:szCs w:val="24"/>
              </w:rPr>
              <w:t>%</w:t>
            </w:r>
          </w:p>
        </w:tc>
        <w:tc>
          <w:tcPr>
            <w:tcW w:w="404"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17</w:t>
            </w:r>
            <w:r>
              <w:rPr>
                <w:rFonts w:hint="eastAsia" w:ascii="宋体" w:hAnsi="宋体" w:eastAsia="宋体" w:cs="宋体"/>
                <w:bCs/>
                <w:color w:val="auto"/>
                <w:sz w:val="24"/>
                <w:szCs w:val="24"/>
              </w:rPr>
              <w:t>分</w:t>
            </w:r>
          </w:p>
        </w:tc>
        <w:tc>
          <w:tcPr>
            <w:tcW w:w="3109" w:type="pct"/>
            <w:noWrap/>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1、供应商为本项目配备的项目经理：具有市政工程专业建造师资质得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分（提供有效证书复印件，注册证书须为注册到本单位），未提供不得分。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2、供应商为本项目配备的技术负责人：具有市政工程类职称的得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分（提供有效证书复印件和该人员在本单位在职的证明材料），未提供不得分。</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3、供应商为本项目配备的安全负责人：据有注册在本单位的全国注册安全工程师得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分（注：须附注册安全工程师注册管理系统查询平台截图，未提供不得分）。</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4.项目其他人员的配置：施工员、材料员、质量员、安全员（具有安全生产考核合格证）、资料员，每有一个得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分，每有一项缺失或脱离实际需求扣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分，扣完为止，本项最高得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pStyle w:val="6"/>
              <w:spacing w:line="360" w:lineRule="auto"/>
              <w:ind w:left="0"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注：以上人员提供证书复印件并加盖公章及该人员就职证明材料，未提供不得分。</w:t>
            </w:r>
          </w:p>
        </w:tc>
        <w:tc>
          <w:tcPr>
            <w:tcW w:w="424" w:type="pct"/>
            <w:noWrap/>
            <w:vAlign w:val="center"/>
          </w:tcPr>
          <w:p>
            <w:pPr>
              <w:keepNext/>
              <w:keepLines/>
              <w:pageBreakBefore w:val="0"/>
              <w:widowControl w:val="0"/>
              <w:kinsoku/>
              <w:wordWrap w:val="0"/>
              <w:overflowPunct/>
              <w:topLinePunct/>
              <w:autoSpaceDE/>
              <w:autoSpaceDN/>
              <w:bidi w:val="0"/>
              <w:adjustRightInd/>
              <w:snapToGrid/>
              <w:spacing w:line="408"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共同评分</w:t>
            </w:r>
          </w:p>
        </w:tc>
      </w:tr>
    </w:tbl>
    <w:p>
      <w:pPr>
        <w:pStyle w:val="2"/>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 除价格因素外，磋商小组成员应当根据自身专业情况独立对每个有效供应商的响应文件进行评价、打分。技术、与技术有关的服务及其他技术类评分因素由抽取的技术方面磋商小组成员独立评分。采购人代表原则上对技术、与技术有关的服务及其他技术类评分因素独立评分。价格及其他不能明确区分的评分因素由磋商小组成员共同评分。</w:t>
      </w:r>
    </w:p>
    <w:p>
      <w:pPr>
        <w:pStyle w:val="8"/>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3.3综合评分明细表</w:t>
      </w:r>
    </w:p>
    <w:bookmarkEnd w:id="332"/>
    <w:bookmarkEnd w:id="333"/>
    <w:bookmarkEnd w:id="334"/>
    <w:bookmarkEnd w:id="335"/>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4.磋商纪律及注意事项</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4.1磋商小组内部讨论的情况和意见必须保密，任何人不得以任何形式透露给供应商或与供应商有关的单位或个人。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4.2在磋商过程中，供应商不得以任何形式对磋商小组成员进行旨在影响磋商结果的私下接触，否则将取消其参与磋商的资格。</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4.3对各供应商的商业秘密，磋商小组成员应予以保密，不得泄露给其他供应商。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4.4 磋商小组独立评判，推荐成交候选人，并写出书面报告。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4.5 磋商小组可根据需要对供应商进行实地考察。</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rPr>
        <w:t>5.</w:t>
      </w:r>
      <w:bookmarkEnd w:id="336"/>
      <w:r>
        <w:rPr>
          <w:rFonts w:hint="eastAsia" w:ascii="宋体" w:hAnsi="宋体" w:eastAsia="宋体" w:cs="宋体"/>
          <w:b/>
          <w:color w:val="auto"/>
          <w:sz w:val="24"/>
        </w:rPr>
        <w:t>磋商小组在政府采购活动中承担以下义务：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（一）遵守评审工作纪律；</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（二）按照客观、公正、审慎的原则，根据磋商文件规定的评审程序、评审方法和评审标准进行独立评审；</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（三）不得泄露评审文件、评审情况和在评审过程中获悉的商业秘密；</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（四）及时向财政部门报告评审过程中发现的采购人、采购代理机构向评审专家做倾向性、误导性的解释或者说明，以及供应商行贿、提供虚假材料或者串通等违法行为；</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（五）发现磋商文件内容违反国家有关强制性规定或者磋商文件存在歧义、重大缺陷导致评审工作无法进行时，停止评审并向采购人或者采购代理机构书面说明情况；</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（六）及时向财政、监察等部门举报在评审过程中受到非法干预的情况；</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（七）配合答复处理供应商的询问、质疑等事项；</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（八）法律、法规和规章规定的其他义务。</w:t>
      </w:r>
    </w:p>
    <w:p>
      <w:pPr>
        <w:tabs>
          <w:tab w:val="left" w:pos="7665"/>
        </w:tabs>
        <w:spacing w:line="336"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6.评审专家在政府采购活动中应当遵守以下工作纪律：</w:t>
      </w:r>
    </w:p>
    <w:p>
      <w:pPr>
        <w:tabs>
          <w:tab w:val="left" w:pos="7665"/>
        </w:tabs>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（二）评审前，应当将通讯工具或者相关电子设备交由采购代理机构统一保管；</w:t>
      </w:r>
    </w:p>
    <w:p>
      <w:pPr>
        <w:tabs>
          <w:tab w:val="left" w:pos="7665"/>
        </w:tabs>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（三）评审过程中，不得与外界联系，因发生不可预见情况，确实需要与外界联系的，应当在监督人员监督之下办理；</w:t>
      </w:r>
    </w:p>
    <w:p>
      <w:pPr>
        <w:tabs>
          <w:tab w:val="left" w:pos="7665"/>
        </w:tabs>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（五）在评审过程中和评审结束后，不得记录、复制或带走任何评审资料，不得向外界透露评审内容；</w:t>
      </w:r>
    </w:p>
    <w:p>
      <w:pPr>
        <w:tabs>
          <w:tab w:val="left" w:pos="7665"/>
        </w:tabs>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（六）评审现场服从采购代理机构工作人员的管理，接受现场监督人员的合法监督；</w:t>
      </w:r>
    </w:p>
    <w:p>
      <w:pPr>
        <w:tabs>
          <w:tab w:val="left" w:pos="7665"/>
        </w:tabs>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（七）遵守有关廉洁自律规定，不得私下接触供应商，不得收受供应商及有关业务单位和个人的财物或好处，不得接受采购代理机构的请托。</w:t>
      </w:r>
    </w:p>
    <w:p>
      <w:pPr>
        <w:pStyle w:val="3"/>
        <w:keepNext/>
        <w:keepLines/>
        <w:pageBreakBefore w:val="0"/>
        <w:widowControl w:val="0"/>
        <w:kinsoku/>
        <w:wordWrap/>
        <w:overflowPunct/>
        <w:topLinePunct w:val="0"/>
        <w:autoSpaceDE/>
        <w:autoSpaceDN/>
        <w:bidi w:val="0"/>
        <w:adjustRightInd/>
        <w:snapToGrid/>
        <w:spacing w:before="0" w:line="579" w:lineRule="auto"/>
        <w:textAlignment w:val="auto"/>
        <w:rPr>
          <w:rFonts w:hint="eastAsia" w:ascii="宋体" w:hAnsi="宋体" w:eastAsia="宋体" w:cs="宋体"/>
          <w:color w:val="auto"/>
        </w:rPr>
      </w:pPr>
      <w:r>
        <w:rPr>
          <w:rFonts w:hint="eastAsia" w:ascii="宋体" w:hAnsi="宋体" w:eastAsia="宋体" w:cs="宋体"/>
          <w:color w:val="auto"/>
          <w:sz w:val="24"/>
        </w:rPr>
        <w:br w:type="page"/>
      </w:r>
      <w:bookmarkStart w:id="344" w:name="_Toc349810624"/>
      <w:bookmarkStart w:id="345" w:name="_Toc350864527"/>
      <w:bookmarkStart w:id="346" w:name="_Toc18464"/>
      <w:r>
        <w:rPr>
          <w:rFonts w:hint="eastAsia" w:ascii="宋体" w:hAnsi="宋体" w:eastAsia="宋体" w:cs="宋体"/>
          <w:color w:val="auto"/>
          <w:sz w:val="36"/>
          <w:szCs w:val="36"/>
        </w:rPr>
        <w:t>第九章  政府采购合同（草案、仅供参考）</w:t>
      </w:r>
      <w:bookmarkEnd w:id="121"/>
      <w:bookmarkEnd w:id="122"/>
      <w:bookmarkEnd w:id="123"/>
      <w:bookmarkEnd w:id="344"/>
      <w:bookmarkEnd w:id="345"/>
      <w:bookmarkEnd w:id="346"/>
    </w:p>
    <w:p>
      <w:pPr>
        <w:pStyle w:val="37"/>
        <w:keepNext w:val="0"/>
        <w:keepLines w:val="0"/>
        <w:pageBreakBefore w:val="0"/>
        <w:widowControl w:val="0"/>
        <w:kinsoku/>
        <w:overflowPunct/>
        <w:autoSpaceDE/>
        <w:autoSpaceDN/>
        <w:bidi w:val="0"/>
        <w:snapToGrid/>
        <w:spacing w:line="360" w:lineRule="auto"/>
        <w:ind w:firstLine="480"/>
        <w:rPr>
          <w:rFonts w:hint="eastAsia" w:ascii="宋体" w:hAnsi="宋体" w:eastAsia="宋体" w:cs="宋体"/>
          <w:color w:val="auto"/>
        </w:rPr>
      </w:pPr>
      <w:r>
        <w:rPr>
          <w:rFonts w:hint="eastAsia" w:ascii="宋体" w:hAnsi="宋体" w:eastAsia="宋体" w:cs="宋体"/>
          <w:color w:val="auto"/>
        </w:rPr>
        <w:t xml:space="preserve">合同编号：                                     </w:t>
      </w:r>
    </w:p>
    <w:p>
      <w:pPr>
        <w:keepNext w:val="0"/>
        <w:keepLines w:val="0"/>
        <w:pageBreakBefore w:val="0"/>
        <w:widowControl w:val="0"/>
        <w:kinsoku/>
        <w:overflowPunct/>
        <w:autoSpaceDE/>
        <w:autoSpaceDN/>
        <w:bidi w:val="0"/>
        <w:snapToGri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签订地点：  。</w:t>
      </w:r>
    </w:p>
    <w:p>
      <w:pPr>
        <w:keepNext w:val="0"/>
        <w:keepLines w:val="0"/>
        <w:pageBreakBefore w:val="0"/>
        <w:widowControl w:val="0"/>
        <w:kinsoku/>
        <w:overflowPunct/>
        <w:autoSpaceDE/>
        <w:autoSpaceDN/>
        <w:bidi w:val="0"/>
        <w:snapToGri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签订时间：年  月  日。</w:t>
      </w:r>
    </w:p>
    <w:p>
      <w:pPr>
        <w:keepNext w:val="0"/>
        <w:keepLines w:val="0"/>
        <w:pageBreakBefore w:val="0"/>
        <w:widowControl w:val="0"/>
        <w:kinsoku/>
        <w:overflowPunct/>
        <w:autoSpaceDE/>
        <w:autoSpaceDN/>
        <w:bidi w:val="0"/>
        <w:snapToGri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采购人</w:t>
      </w:r>
      <w:r>
        <w:rPr>
          <w:rFonts w:hint="eastAsia" w:ascii="宋体" w:hAnsi="宋体" w:eastAsia="宋体" w:cs="宋体"/>
          <w:color w:val="auto"/>
          <w:sz w:val="24"/>
        </w:rPr>
        <w:t>（甲方）：成都东部新区石盘街道办事处</w:t>
      </w:r>
    </w:p>
    <w:p>
      <w:pPr>
        <w:keepNext w:val="0"/>
        <w:keepLines w:val="0"/>
        <w:pageBreakBefore w:val="0"/>
        <w:widowControl w:val="0"/>
        <w:kinsoku/>
        <w:overflowPunct/>
        <w:autoSpaceDE/>
        <w:autoSpaceDN/>
        <w:bidi w:val="0"/>
        <w:snapToGri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供应商（乙方）：</w:t>
      </w:r>
    </w:p>
    <w:p>
      <w:pPr>
        <w:keepNext w:val="0"/>
        <w:keepLines w:val="0"/>
        <w:pageBreakBefore w:val="0"/>
        <w:widowControl w:val="0"/>
        <w:kinsoku/>
        <w:overflowPunct/>
        <w:autoSpaceDE/>
        <w:autoSpaceDN/>
        <w:bidi w:val="0"/>
        <w:snapToGrid/>
        <w:spacing w:line="360" w:lineRule="auto"/>
        <w:ind w:firstLine="480" w:firstLineChars="200"/>
        <w:rPr>
          <w:rFonts w:hint="eastAsia" w:ascii="宋体" w:hAnsi="宋体" w:eastAsia="宋体" w:cs="宋体"/>
          <w:color w:val="auto"/>
          <w:sz w:val="24"/>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《中华人民共和国政府采购法》、《中华人民共和国政府采购法实施条例》、《政府采购货物和服务招标投标管理办法》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财政部令第</w:t>
      </w:r>
      <w:r>
        <w:rPr>
          <w:rFonts w:hint="eastAsia" w:ascii="宋体" w:hAnsi="宋体" w:eastAsia="宋体" w:cs="宋体"/>
          <w:color w:val="auto"/>
          <w:sz w:val="24"/>
          <w:szCs w:val="24"/>
          <w:highlight w:val="none"/>
          <w:lang w:val="en-US" w:eastAsia="zh-CN"/>
        </w:rPr>
        <w:t>87</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w:t>
      </w:r>
      <w:r>
        <w:rPr>
          <w:rFonts w:hint="eastAsia" w:ascii="宋体" w:hAnsi="宋体" w:eastAsia="宋体" w:cs="宋体"/>
          <w:b w:val="0"/>
          <w:bCs w:val="0"/>
          <w:color w:val="auto"/>
          <w:sz w:val="24"/>
          <w:szCs w:val="24"/>
          <w:highlight w:val="none"/>
          <w:u w:val="single"/>
          <w:lang w:eastAsia="zh-CN"/>
        </w:rPr>
        <w:t>成都东部新区石盘街道办事处农村道路桥梁维护巡查服务采购项目</w:t>
      </w:r>
      <w:r>
        <w:rPr>
          <w:rFonts w:hint="eastAsia" w:ascii="宋体" w:hAnsi="宋体" w:eastAsia="宋体" w:cs="宋体"/>
          <w:color w:val="auto"/>
          <w:sz w:val="24"/>
          <w:szCs w:val="24"/>
          <w:highlight w:val="none"/>
          <w:u w:val="none"/>
          <w:lang w:val="en-US" w:eastAsia="zh-CN"/>
        </w:rPr>
        <w:t>（项目名称）</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》、乙方的《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w:t>
      </w:r>
      <w:r>
        <w:rPr>
          <w:rFonts w:hint="eastAsia" w:ascii="宋体" w:hAnsi="宋体" w:eastAsia="宋体" w:cs="宋体"/>
          <w:color w:val="auto"/>
          <w:sz w:val="24"/>
        </w:rPr>
        <w:t>甲、乙双方同意签订本合同。详细技术说明及其他有关合同项目的特定信息由合同附件予以说明，合同附件及本项目的《</w:t>
      </w:r>
      <w:r>
        <w:rPr>
          <w:rFonts w:hint="eastAsia" w:ascii="宋体" w:hAnsi="宋体" w:eastAsia="宋体" w:cs="宋体"/>
          <w:color w:val="auto"/>
          <w:sz w:val="24"/>
          <w:lang w:eastAsia="zh-CN"/>
        </w:rPr>
        <w:t>磋商文件</w:t>
      </w:r>
      <w:r>
        <w:rPr>
          <w:rFonts w:hint="eastAsia" w:ascii="宋体" w:hAnsi="宋体" w:eastAsia="宋体" w:cs="宋体"/>
          <w:color w:val="auto"/>
          <w:sz w:val="24"/>
        </w:rPr>
        <w:t>》、《</w:t>
      </w:r>
      <w:r>
        <w:rPr>
          <w:rFonts w:hint="eastAsia" w:ascii="宋体" w:hAnsi="宋体" w:eastAsia="宋体" w:cs="宋体"/>
          <w:color w:val="auto"/>
          <w:sz w:val="24"/>
          <w:lang w:eastAsia="zh-CN"/>
        </w:rPr>
        <w:t>响应文件</w:t>
      </w:r>
      <w:r>
        <w:rPr>
          <w:rFonts w:hint="eastAsia" w:ascii="宋体" w:hAnsi="宋体" w:eastAsia="宋体" w:cs="宋体"/>
          <w:color w:val="auto"/>
          <w:sz w:val="24"/>
        </w:rPr>
        <w:t>》、《</w:t>
      </w:r>
      <w:r>
        <w:rPr>
          <w:rFonts w:hint="eastAsia" w:ascii="宋体" w:hAnsi="宋体" w:eastAsia="宋体" w:cs="宋体"/>
          <w:color w:val="auto"/>
          <w:sz w:val="24"/>
          <w:lang w:eastAsia="zh-CN"/>
        </w:rPr>
        <w:t>成交</w:t>
      </w:r>
      <w:r>
        <w:rPr>
          <w:rFonts w:hint="eastAsia" w:ascii="宋体" w:hAnsi="宋体" w:eastAsia="宋体" w:cs="宋体"/>
          <w:color w:val="auto"/>
          <w:sz w:val="24"/>
        </w:rPr>
        <w:t>通知书》等均为本合同的组成部分。</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hint="eastAsia" w:ascii="宋体" w:hAnsi="宋体" w:eastAsia="宋体" w:cs="宋体"/>
          <w:b/>
          <w:bCs/>
          <w:color w:val="auto"/>
          <w:sz w:val="24"/>
        </w:rPr>
      </w:pPr>
      <w:bookmarkStart w:id="347" w:name="_Toc7129"/>
      <w:bookmarkStart w:id="348" w:name="_Toc12860"/>
      <w:r>
        <w:rPr>
          <w:rFonts w:hint="eastAsia" w:ascii="宋体" w:hAnsi="宋体" w:eastAsia="宋体" w:cs="宋体"/>
          <w:b/>
          <w:bCs/>
          <w:color w:val="auto"/>
          <w:sz w:val="24"/>
        </w:rPr>
        <w:t>项目基本情况</w:t>
      </w:r>
      <w:bookmarkEnd w:id="347"/>
      <w:bookmarkEnd w:id="348"/>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rPr>
        <w:t>本项目为成都东部新区石盘街道办事处农村道路桥梁维护巡查服务采购，共一个包</w:t>
      </w:r>
      <w:r>
        <w:rPr>
          <w:rFonts w:hint="eastAsia" w:ascii="宋体" w:hAnsi="宋体" w:eastAsia="宋体" w:cs="宋体"/>
          <w:b w:val="0"/>
          <w:bCs w:val="0"/>
          <w:color w:val="auto"/>
          <w:sz w:val="24"/>
          <w:lang w:eastAsia="zh-CN"/>
        </w:rPr>
        <w:t>。</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hint="eastAsia" w:ascii="宋体" w:hAnsi="宋体" w:eastAsia="宋体" w:cs="宋体"/>
          <w:b/>
          <w:bCs/>
          <w:color w:val="auto"/>
          <w:sz w:val="24"/>
        </w:rPr>
      </w:pPr>
      <w:bookmarkStart w:id="349" w:name="_Toc2085"/>
      <w:bookmarkStart w:id="350" w:name="_Toc152"/>
      <w:r>
        <w:rPr>
          <w:rFonts w:hint="eastAsia" w:ascii="宋体" w:hAnsi="宋体" w:eastAsia="宋体" w:cs="宋体"/>
          <w:b/>
          <w:bCs/>
          <w:color w:val="auto"/>
          <w:sz w:val="24"/>
        </w:rPr>
        <w:t>合同期限</w:t>
      </w:r>
      <w:bookmarkEnd w:id="349"/>
      <w:bookmarkEnd w:id="350"/>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合同签订生效后一年,如果服务周期未到，维修经费预算即将用完（注：余额不足10万元），采购人有权终止维修服务合同；如果服务期限到期，维修经费预算未用完，则按实际产生的维修工程量据实结算和支付。合同期内成交人无条件接受成都东部新区石盘街道办事处的监督考评。如因国家政策原因引起的变化，成交人应无条件接受合同终止、重新采购等情况且采购人不承担任何责任。</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hint="eastAsia" w:ascii="宋体" w:hAnsi="宋体" w:eastAsia="宋体" w:cs="宋体"/>
          <w:b/>
          <w:bCs/>
          <w:color w:val="auto"/>
          <w:sz w:val="24"/>
        </w:rPr>
      </w:pPr>
      <w:bookmarkStart w:id="351" w:name="_Toc32468"/>
      <w:bookmarkStart w:id="352" w:name="_Toc12511"/>
      <w:bookmarkStart w:id="353" w:name="_Toc238984975"/>
      <w:bookmarkStart w:id="354" w:name="_Toc225244852"/>
      <w:bookmarkStart w:id="355" w:name="_Toc211854449"/>
      <w:bookmarkStart w:id="356" w:name="_Toc225654644"/>
      <w:bookmarkStart w:id="357" w:name="_Toc247334841"/>
      <w:bookmarkStart w:id="358" w:name="_Toc237145406"/>
      <w:bookmarkStart w:id="359" w:name="_Toc251768862"/>
      <w:bookmarkStart w:id="360" w:name="_Toc286993786"/>
      <w:bookmarkStart w:id="361" w:name="_Toc283019214"/>
      <w:bookmarkStart w:id="362" w:name="_Toc211911348"/>
      <w:bookmarkStart w:id="363" w:name="_Toc232492928"/>
      <w:bookmarkStart w:id="364" w:name="_Toc282696226"/>
      <w:bookmarkStart w:id="365" w:name="_Toc185395249"/>
      <w:bookmarkStart w:id="366" w:name="_Toc241833903"/>
      <w:bookmarkStart w:id="367" w:name="_Toc239568418"/>
      <w:bookmarkStart w:id="368" w:name="_Toc225670751"/>
      <w:bookmarkStart w:id="369" w:name="_Toc212019594"/>
      <w:bookmarkStart w:id="370" w:name="_Toc239233914"/>
      <w:r>
        <w:rPr>
          <w:rFonts w:hint="eastAsia" w:ascii="宋体" w:hAnsi="宋体" w:eastAsia="宋体" w:cs="宋体"/>
          <w:b/>
          <w:bCs/>
          <w:color w:val="auto"/>
          <w:sz w:val="24"/>
        </w:rPr>
        <w:t>服务内容与质量标准</w:t>
      </w:r>
      <w:bookmarkEnd w:id="351"/>
      <w:bookmarkEnd w:id="352"/>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（一）安全管理</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人员要求：养护人员实施养护作业，应按《中华人民共和国公路法》及《农村公路养护安全管理办法》等有关规定执行。养护单位应对养护作业人员进行安全教育，使其熟知并严格遵守各项安全技术操作规程，对于从事电焊、车辆驾驶、试验等特殊工种的人员应持证上岗，并经上岗前培训后，执证上岗作业。</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施工要求：养护作业应具备快速性、高效性、安全性，作业现场必须按规定设置施工安全警告标志、限速标志、导向标识和必要的安全设施，并随时保持路容整洁。各种交通标志的设置应符合国标《道路交通标志和标线》（GB5768-1999）和交通部颁发的《公路养护技术规范》的有关规定，上路作业车辆应喷涂警示颜色或加装警示闪灯，作业人员穿安全标志服，以保证行车安全和施工人员自身安全。施工前，施工单位应做好充分的各项准备，尽量缩短路上施工时间。施工中影响或干扰交通时应做好交通疏导工作，保障行车的快速、安全、舒适和通畅。作业完毕必须清理路障，恢复正常交通。</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（二）安全、文明施工及应急措施</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雨季防汛和冬季防滑应坚持预防性养护的原则，根据道路结构标准及实际情况提前制定防汛、防滑计划，并纳入年度养护计划管理，按计划要求提前备齐，备足防汛、防滑物资器具，对雨、雷等自然灾害造成的抢修和修复工程按“急事急办”的原则立即安排抢修单位进行抢修，以保障道路安全通畅。同时需采取有效措施，防止养护作业污染沿线环境。为确保施工人员以及其他行人安全，供应商需提供作业时安全施工、文明施工以及应急措施等与实际情况符合的方案。</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（三）质量控制</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质量要求：路基养护应保持路基坚实，边坡稳定，排水通畅，符合设计要求，公路线性顺适，通过养护管理，使其质量不低于设计标准；路面养护必须保证路面的平整度完好、适度，具有足够的强度和抗滑性能，确保路面行驶性能，延长使用寿命；桥涵养护应首先符合载重等级要求，保障车辆安全通行，做到桥涵各部处于完好状态，适时疏导河床确保河流水流畅通；沿线设施应做到及时清洁和修复局部缺损，使其处于良好技术状态。</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2.质量监督：养护工程应加强质量监督管理，分项养护考核，工程质量应符合《公路养护质量检查评定标准》的要求。</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hint="eastAsia" w:ascii="宋体" w:hAnsi="宋体" w:eastAsia="宋体" w:cs="宋体"/>
          <w:b/>
          <w:bCs/>
          <w:color w:val="auto"/>
          <w:sz w:val="24"/>
        </w:rPr>
      </w:pPr>
      <w:bookmarkStart w:id="371" w:name="_Toc15014"/>
      <w:r>
        <w:rPr>
          <w:rFonts w:hint="eastAsia" w:ascii="宋体" w:hAnsi="宋体" w:eastAsia="宋体" w:cs="宋体"/>
          <w:b/>
          <w:bCs/>
          <w:color w:val="auto"/>
          <w:sz w:val="24"/>
        </w:rPr>
        <w:t>服务费用及支付方式</w:t>
      </w:r>
      <w:bookmarkEnd w:id="371"/>
    </w:p>
    <w:p>
      <w:pPr>
        <w:keepNext w:val="0"/>
        <w:keepLines w:val="0"/>
        <w:pageBreakBefore w:val="0"/>
        <w:widowControl w:val="0"/>
        <w:numPr>
          <w:ilvl w:val="0"/>
          <w:numId w:val="0"/>
        </w:numPr>
        <w:kinsoku/>
        <w:wordWrap/>
        <w:overflowPunct/>
        <w:topLinePunct w:val="0"/>
        <w:autoSpaceDE/>
        <w:autoSpaceDN/>
        <w:bidi w:val="0"/>
        <w:snapToGrid/>
        <w:spacing w:line="360" w:lineRule="auto"/>
        <w:ind w:leftChars="200"/>
        <w:jc w:val="left"/>
        <w:rPr>
          <w:rFonts w:hint="eastAsia" w:ascii="宋体" w:hAnsi="宋体" w:eastAsia="宋体" w:cs="宋体"/>
          <w:b/>
          <w:bCs/>
          <w:color w:val="auto"/>
          <w:sz w:val="24"/>
        </w:rPr>
      </w:pPr>
      <w:bookmarkStart w:id="372" w:name="_Toc20876"/>
      <w:r>
        <w:rPr>
          <w:rFonts w:hint="eastAsia" w:ascii="宋体" w:hAnsi="宋体" w:eastAsia="宋体" w:cs="宋体"/>
          <w:b/>
          <w:bCs/>
          <w:color w:val="auto"/>
          <w:sz w:val="24"/>
          <w:lang w:eastAsia="zh-CN"/>
        </w:rPr>
        <w:t>（一）</w:t>
      </w:r>
      <w:r>
        <w:rPr>
          <w:rFonts w:hint="eastAsia" w:ascii="宋体" w:hAnsi="宋体" w:eastAsia="宋体" w:cs="宋体"/>
          <w:b/>
          <w:bCs/>
          <w:color w:val="auto"/>
          <w:sz w:val="24"/>
        </w:rPr>
        <w:t>本项目服务费用由以下组成：</w:t>
      </w:r>
      <w:bookmarkEnd w:id="372"/>
      <w:r>
        <w:rPr>
          <w:rFonts w:hint="eastAsia" w:ascii="宋体" w:hAnsi="宋体" w:eastAsia="宋体" w:cs="宋体"/>
          <w:color w:val="auto"/>
          <w:sz w:val="24"/>
        </w:rPr>
        <w:t>（具体以合同签订时为准）</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    万元；</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    万元；</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    万元。</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pPr>
        <w:keepNext w:val="0"/>
        <w:keepLines w:val="0"/>
        <w:pageBreakBefore w:val="0"/>
        <w:widowControl w:val="0"/>
        <w:numPr>
          <w:ilvl w:val="0"/>
          <w:numId w:val="0"/>
        </w:numPr>
        <w:tabs>
          <w:tab w:val="left" w:pos="780"/>
        </w:tabs>
        <w:kinsoku/>
        <w:wordWrap/>
        <w:overflowPunct/>
        <w:topLinePunct w:val="0"/>
        <w:autoSpaceDE/>
        <w:autoSpaceDN/>
        <w:bidi w:val="0"/>
        <w:snapToGrid/>
        <w:spacing w:line="360" w:lineRule="auto"/>
        <w:ind w:leftChars="200"/>
        <w:jc w:val="left"/>
        <w:rPr>
          <w:rFonts w:hint="eastAsia" w:ascii="宋体" w:hAnsi="宋体" w:eastAsia="宋体" w:cs="宋体"/>
          <w:b/>
          <w:bCs/>
          <w:color w:val="auto"/>
          <w:sz w:val="24"/>
        </w:rPr>
      </w:pPr>
      <w:bookmarkStart w:id="373" w:name="_Toc5574"/>
      <w:r>
        <w:rPr>
          <w:rFonts w:hint="eastAsia" w:ascii="宋体" w:hAnsi="宋体" w:eastAsia="宋体" w:cs="宋体"/>
          <w:b/>
          <w:bCs/>
          <w:color w:val="auto"/>
          <w:sz w:val="24"/>
          <w:lang w:eastAsia="zh-CN"/>
        </w:rPr>
        <w:t>（二）</w:t>
      </w:r>
      <w:r>
        <w:rPr>
          <w:rFonts w:hint="eastAsia" w:ascii="宋体" w:hAnsi="宋体" w:eastAsia="宋体" w:cs="宋体"/>
          <w:b/>
          <w:bCs/>
          <w:color w:val="auto"/>
          <w:sz w:val="24"/>
        </w:rPr>
        <w:t>服务费支付方式：</w:t>
      </w:r>
      <w:r>
        <w:rPr>
          <w:rFonts w:hint="eastAsia" w:ascii="宋体" w:hAnsi="宋体" w:eastAsia="宋体" w:cs="宋体"/>
          <w:color w:val="auto"/>
          <w:sz w:val="24"/>
        </w:rPr>
        <w:t>（具体以合同签订时为准）</w:t>
      </w:r>
      <w:bookmarkEnd w:id="373"/>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hint="eastAsia" w:ascii="宋体" w:hAnsi="宋体" w:eastAsia="宋体" w:cs="宋体"/>
          <w:b/>
          <w:bCs/>
          <w:color w:val="auto"/>
          <w:sz w:val="24"/>
        </w:rPr>
      </w:pPr>
      <w:bookmarkStart w:id="374" w:name="_Toc22790"/>
      <w:bookmarkStart w:id="375" w:name="_Toc27312"/>
      <w:r>
        <w:rPr>
          <w:rFonts w:hint="eastAsia" w:ascii="宋体" w:hAnsi="宋体" w:eastAsia="宋体" w:cs="宋体"/>
          <w:b/>
          <w:bCs/>
          <w:color w:val="auto"/>
          <w:sz w:val="24"/>
        </w:rPr>
        <w:t>知识产权</w:t>
      </w:r>
      <w:bookmarkEnd w:id="374"/>
      <w:bookmarkEnd w:id="375"/>
    </w:p>
    <w:p>
      <w:pPr>
        <w:keepNext w:val="0"/>
        <w:keepLines w:val="0"/>
        <w:pageBreakBefore w:val="0"/>
        <w:widowControl w:val="0"/>
        <w:tabs>
          <w:tab w:val="left" w:pos="1440"/>
        </w:tabs>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乙方应保证所提供的服务或其任何一部分均不会侵犯任何第三方的专利权、商标权或著作权。</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hint="eastAsia" w:ascii="宋体" w:hAnsi="宋体" w:eastAsia="宋体" w:cs="宋体"/>
          <w:b/>
          <w:bCs/>
          <w:color w:val="auto"/>
          <w:sz w:val="24"/>
        </w:rPr>
      </w:pPr>
      <w:bookmarkStart w:id="376" w:name="_Toc22044"/>
      <w:r>
        <w:rPr>
          <w:rFonts w:hint="eastAsia" w:ascii="宋体" w:hAnsi="宋体" w:eastAsia="宋体" w:cs="宋体"/>
          <w:b/>
          <w:bCs/>
          <w:color w:val="auto"/>
          <w:sz w:val="24"/>
        </w:rPr>
        <w:t>无产权瑕疵条款</w:t>
      </w:r>
      <w:bookmarkEnd w:id="376"/>
    </w:p>
    <w:p>
      <w:pPr>
        <w:keepNext w:val="0"/>
        <w:keepLines w:val="0"/>
        <w:pageBreakBefore w:val="0"/>
        <w:widowControl w:val="0"/>
        <w:tabs>
          <w:tab w:val="left" w:pos="1440"/>
        </w:tabs>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hint="eastAsia" w:ascii="宋体" w:hAnsi="宋体" w:eastAsia="宋体" w:cs="宋体"/>
          <w:b/>
          <w:bCs/>
          <w:color w:val="auto"/>
          <w:sz w:val="24"/>
        </w:rPr>
      </w:pPr>
      <w:bookmarkStart w:id="377" w:name="_Toc26772"/>
      <w:bookmarkStart w:id="378" w:name="_Toc30261"/>
      <w:r>
        <w:rPr>
          <w:rFonts w:hint="eastAsia" w:ascii="宋体" w:hAnsi="宋体" w:eastAsia="宋体" w:cs="宋体"/>
          <w:b/>
          <w:bCs/>
          <w:color w:val="auto"/>
          <w:sz w:val="24"/>
        </w:rPr>
        <w:t>甲方的权利和义务</w:t>
      </w:r>
      <w:bookmarkEnd w:id="377"/>
      <w:bookmarkEnd w:id="378"/>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宋体" w:hAnsi="宋体" w:eastAsia="宋体" w:cs="宋体"/>
          <w:color w:val="auto"/>
          <w:sz w:val="24"/>
        </w:rPr>
      </w:pPr>
      <w:r>
        <w:rPr>
          <w:rFonts w:hint="eastAsia" w:ascii="宋体" w:hAnsi="宋体" w:eastAsia="宋体" w:cs="宋体"/>
          <w:color w:val="auto"/>
          <w:sz w:val="24"/>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宋体" w:hAnsi="宋体" w:eastAsia="宋体" w:cs="宋体"/>
          <w:color w:val="auto"/>
          <w:sz w:val="24"/>
        </w:rPr>
      </w:pPr>
      <w:r>
        <w:rPr>
          <w:rFonts w:hint="eastAsia" w:ascii="宋体" w:hAnsi="宋体" w:eastAsia="宋体" w:cs="宋体"/>
          <w:color w:val="auto"/>
          <w:sz w:val="24"/>
        </w:rPr>
        <w:t>3、负责检查监督乙方管理工作的实施及制度的执行情况。</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宋体" w:hAnsi="宋体" w:eastAsia="宋体" w:cs="宋体"/>
          <w:color w:val="auto"/>
          <w:sz w:val="24"/>
        </w:rPr>
      </w:pPr>
      <w:r>
        <w:rPr>
          <w:rFonts w:hint="eastAsia" w:ascii="宋体" w:hAnsi="宋体" w:eastAsia="宋体" w:cs="宋体"/>
          <w:color w:val="auto"/>
          <w:sz w:val="24"/>
        </w:rPr>
        <w:t>4、根据本合同规定，按时向乙方支付应付服务费用。</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宋体" w:hAnsi="宋体" w:eastAsia="宋体" w:cs="宋体"/>
          <w:color w:val="auto"/>
          <w:sz w:val="24"/>
        </w:rPr>
      </w:pPr>
      <w:r>
        <w:rPr>
          <w:rFonts w:hint="eastAsia" w:ascii="宋体" w:hAnsi="宋体" w:eastAsia="宋体" w:cs="宋体"/>
          <w:color w:val="auto"/>
          <w:sz w:val="24"/>
        </w:rPr>
        <w:t>5、国家法律、法规所规定由甲方承担的其它责任。</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hint="eastAsia" w:ascii="宋体" w:hAnsi="宋体" w:eastAsia="宋体" w:cs="宋体"/>
          <w:b/>
          <w:bCs/>
          <w:color w:val="auto"/>
          <w:sz w:val="24"/>
        </w:rPr>
      </w:pPr>
      <w:bookmarkStart w:id="379" w:name="_Toc27528"/>
      <w:bookmarkStart w:id="380" w:name="_Toc31019"/>
      <w:r>
        <w:rPr>
          <w:rFonts w:hint="eastAsia" w:ascii="宋体" w:hAnsi="宋体" w:eastAsia="宋体" w:cs="宋体"/>
          <w:b/>
          <w:bCs/>
          <w:color w:val="auto"/>
          <w:sz w:val="24"/>
        </w:rPr>
        <w:t>乙方的权利和义务</w:t>
      </w:r>
      <w:bookmarkEnd w:id="379"/>
      <w:bookmarkEnd w:id="380"/>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宋体" w:hAnsi="宋体" w:eastAsia="宋体" w:cs="宋体"/>
          <w:color w:val="auto"/>
          <w:sz w:val="24"/>
        </w:rPr>
      </w:pPr>
      <w:r>
        <w:rPr>
          <w:rFonts w:hint="eastAsia" w:ascii="宋体" w:hAnsi="宋体" w:eastAsia="宋体" w:cs="宋体"/>
          <w:color w:val="auto"/>
          <w:sz w:val="24"/>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宋体" w:hAnsi="宋体" w:eastAsia="宋体" w:cs="宋体"/>
          <w:color w:val="auto"/>
          <w:sz w:val="24"/>
        </w:rPr>
      </w:pPr>
      <w:r>
        <w:rPr>
          <w:rFonts w:hint="eastAsia" w:ascii="宋体" w:hAnsi="宋体" w:eastAsia="宋体" w:cs="宋体"/>
          <w:color w:val="auto"/>
          <w:sz w:val="24"/>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宋体" w:hAnsi="宋体" w:eastAsia="宋体" w:cs="宋体"/>
          <w:color w:val="auto"/>
          <w:sz w:val="24"/>
        </w:rPr>
      </w:pPr>
      <w:r>
        <w:rPr>
          <w:rFonts w:hint="eastAsia" w:ascii="宋体" w:hAnsi="宋体" w:eastAsia="宋体" w:cs="宋体"/>
          <w:color w:val="auto"/>
          <w:sz w:val="24"/>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宋体" w:hAnsi="宋体" w:eastAsia="宋体" w:cs="宋体"/>
          <w:color w:val="auto"/>
          <w:sz w:val="24"/>
        </w:rPr>
      </w:pPr>
      <w:r>
        <w:rPr>
          <w:rFonts w:hint="eastAsia" w:ascii="宋体" w:hAnsi="宋体" w:eastAsia="宋体" w:cs="宋体"/>
          <w:color w:val="auto"/>
          <w:sz w:val="24"/>
        </w:rPr>
        <w:t>4、接受项目行业管理部门及政府有关部门的指导，接受甲方的监督。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宋体" w:hAnsi="宋体" w:eastAsia="宋体" w:cs="宋体"/>
          <w:color w:val="auto"/>
          <w:sz w:val="24"/>
        </w:rPr>
      </w:pPr>
      <w:r>
        <w:rPr>
          <w:rFonts w:hint="eastAsia" w:ascii="宋体" w:hAnsi="宋体" w:eastAsia="宋体" w:cs="宋体"/>
          <w:color w:val="auto"/>
          <w:sz w:val="24"/>
        </w:rPr>
        <w:t>5、国家法律、法规所规定由乙方承担的其它责任。</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hint="eastAsia" w:ascii="宋体" w:hAnsi="宋体" w:eastAsia="宋体" w:cs="宋体"/>
          <w:b/>
          <w:bCs/>
          <w:color w:val="auto"/>
          <w:sz w:val="24"/>
        </w:rPr>
      </w:pPr>
      <w:bookmarkStart w:id="381" w:name="_Toc7746"/>
      <w:bookmarkStart w:id="382" w:name="_Toc30436"/>
      <w:r>
        <w:rPr>
          <w:rFonts w:hint="eastAsia" w:ascii="宋体" w:hAnsi="宋体" w:eastAsia="宋体" w:cs="宋体"/>
          <w:b/>
          <w:bCs/>
          <w:color w:val="auto"/>
          <w:sz w:val="24"/>
        </w:rPr>
        <w:t>违约责任</w:t>
      </w:r>
      <w:bookmarkEnd w:id="381"/>
      <w:bookmarkEnd w:id="382"/>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宋体" w:hAnsi="宋体" w:eastAsia="宋体" w:cs="宋体"/>
          <w:color w:val="auto"/>
          <w:sz w:val="24"/>
        </w:rPr>
      </w:pPr>
      <w:r>
        <w:rPr>
          <w:rFonts w:hint="eastAsia" w:ascii="宋体" w:hAnsi="宋体" w:eastAsia="宋体" w:cs="宋体"/>
          <w:color w:val="auto"/>
          <w:sz w:val="24"/>
        </w:rPr>
        <w:t>1、甲乙双方必须遵守本合同并执行合同中的各项规定，保证本合同的正常履行。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baseline"/>
        <w:rPr>
          <w:rFonts w:hint="eastAsia" w:ascii="宋体" w:hAnsi="宋体" w:eastAsia="宋体" w:cs="宋体"/>
          <w:color w:val="auto"/>
          <w:sz w:val="24"/>
        </w:rPr>
      </w:pPr>
      <w:r>
        <w:rPr>
          <w:rFonts w:hint="eastAsia" w:ascii="宋体" w:hAnsi="宋体" w:eastAsia="宋体" w:cs="宋体"/>
          <w:color w:val="auto"/>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hint="eastAsia" w:ascii="宋体" w:hAnsi="宋体" w:eastAsia="宋体" w:cs="宋体"/>
          <w:b/>
          <w:bCs/>
          <w:color w:val="auto"/>
          <w:sz w:val="24"/>
        </w:rPr>
      </w:pPr>
      <w:bookmarkStart w:id="383" w:name="_Toc30468"/>
      <w:bookmarkStart w:id="384" w:name="_Toc31004"/>
      <w:r>
        <w:rPr>
          <w:rFonts w:hint="eastAsia" w:ascii="宋体" w:hAnsi="宋体" w:eastAsia="宋体" w:cs="宋体"/>
          <w:b/>
          <w:bCs/>
          <w:color w:val="auto"/>
          <w:sz w:val="24"/>
        </w:rPr>
        <w:t>不可抗力事件处理</w:t>
      </w:r>
      <w:bookmarkEnd w:id="383"/>
      <w:bookmarkEnd w:id="384"/>
    </w:p>
    <w:p>
      <w:pPr>
        <w:keepNext w:val="0"/>
        <w:keepLines w:val="0"/>
        <w:pageBreakBefore w:val="0"/>
        <w:widowControl w:val="0"/>
        <w:tabs>
          <w:tab w:val="left" w:pos="0"/>
        </w:tabs>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1、在合同有效期内，任何一方因不可抗力事件导致不能履行合同，则合同履行期可延长，其延长期与不可抗力影响期相同。</w:t>
      </w:r>
    </w:p>
    <w:p>
      <w:pPr>
        <w:keepNext w:val="0"/>
        <w:keepLines w:val="0"/>
        <w:pageBreakBefore w:val="0"/>
        <w:widowControl w:val="0"/>
        <w:tabs>
          <w:tab w:val="left" w:pos="0"/>
        </w:tabs>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2、不可抗力事件发生后，应立即通知对方，并寄送有关权威机构出具的证明。</w:t>
      </w:r>
    </w:p>
    <w:p>
      <w:pPr>
        <w:keepNext w:val="0"/>
        <w:keepLines w:val="0"/>
        <w:pageBreakBefore w:val="0"/>
        <w:widowControl w:val="0"/>
        <w:tabs>
          <w:tab w:val="left" w:pos="0"/>
        </w:tabs>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3、不可抗力事件延续 15天以上，双方应通过友好协商，确定是否继续履行合同。</w:t>
      </w:r>
    </w:p>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hint="eastAsia" w:ascii="宋体" w:hAnsi="宋体" w:eastAsia="宋体" w:cs="宋体"/>
          <w:b/>
          <w:bCs/>
          <w:color w:val="auto"/>
          <w:sz w:val="24"/>
        </w:rPr>
      </w:pPr>
      <w:bookmarkStart w:id="385" w:name="_Toc239568423"/>
      <w:bookmarkStart w:id="386" w:name="_Toc247334846"/>
      <w:bookmarkStart w:id="387" w:name="_Toc251768867"/>
      <w:bookmarkStart w:id="388" w:name="_Toc225244857"/>
      <w:bookmarkStart w:id="389" w:name="_Toc238984980"/>
      <w:bookmarkStart w:id="390" w:name="_Toc185395254"/>
      <w:bookmarkStart w:id="391" w:name="_Toc232492933"/>
      <w:bookmarkStart w:id="392" w:name="_Toc239233919"/>
      <w:bookmarkStart w:id="393" w:name="_Toc4796"/>
      <w:bookmarkStart w:id="394" w:name="_Toc225670756"/>
      <w:bookmarkStart w:id="395" w:name="_Toc237145411"/>
      <w:bookmarkStart w:id="396" w:name="_Toc286993792"/>
      <w:bookmarkStart w:id="397" w:name="_Toc28381"/>
      <w:bookmarkStart w:id="398" w:name="_Toc225654649"/>
      <w:bookmarkStart w:id="399" w:name="_Toc241833908"/>
      <w:bookmarkStart w:id="400" w:name="_Toc211854454"/>
      <w:bookmarkStart w:id="401" w:name="_Toc212019599"/>
      <w:bookmarkStart w:id="402" w:name="_Toc211911353"/>
      <w:r>
        <w:rPr>
          <w:rFonts w:hint="eastAsia" w:ascii="宋体" w:hAnsi="宋体" w:eastAsia="宋体" w:cs="宋体"/>
          <w:b/>
          <w:bCs/>
          <w:color w:val="auto"/>
          <w:sz w:val="24"/>
        </w:rPr>
        <w:t>解决合同纠纷的方式</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keepNext w:val="0"/>
        <w:keepLines w:val="0"/>
        <w:pageBreakBefore w:val="0"/>
        <w:widowControl w:val="0"/>
        <w:tabs>
          <w:tab w:val="left" w:pos="0"/>
        </w:tabs>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1、在执行本合同中发生的或与本合同有关的争端，双方应通过友好协商解决，经协商在7天内不能达成协议时，应提交项目所在地仲裁委员会仲裁。</w:t>
      </w:r>
    </w:p>
    <w:p>
      <w:pPr>
        <w:keepNext w:val="0"/>
        <w:keepLines w:val="0"/>
        <w:pageBreakBefore w:val="0"/>
        <w:widowControl w:val="0"/>
        <w:tabs>
          <w:tab w:val="left" w:pos="0"/>
        </w:tabs>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2、仲裁裁决应为最终决定，并对双方具有约束力。</w:t>
      </w:r>
    </w:p>
    <w:p>
      <w:pPr>
        <w:keepNext w:val="0"/>
        <w:keepLines w:val="0"/>
        <w:pageBreakBefore w:val="0"/>
        <w:widowControl w:val="0"/>
        <w:tabs>
          <w:tab w:val="left" w:pos="0"/>
        </w:tabs>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3、除另有裁决外，仲裁费应由败诉方负担。 </w:t>
      </w:r>
    </w:p>
    <w:p>
      <w:pPr>
        <w:keepNext w:val="0"/>
        <w:keepLines w:val="0"/>
        <w:pageBreakBefore w:val="0"/>
        <w:widowControl w:val="0"/>
        <w:tabs>
          <w:tab w:val="left" w:pos="0"/>
        </w:tabs>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4、在仲裁期间，除正在进行仲裁部分外，合同其他部分继续执行。  </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firstLine="482" w:firstLineChars="200"/>
        <w:jc w:val="left"/>
        <w:rPr>
          <w:rFonts w:hint="eastAsia" w:ascii="宋体" w:hAnsi="宋体" w:eastAsia="宋体" w:cs="宋体"/>
          <w:b/>
          <w:bCs/>
          <w:color w:val="auto"/>
          <w:sz w:val="24"/>
        </w:rPr>
      </w:pPr>
      <w:bookmarkStart w:id="403" w:name="_Toc212019600"/>
      <w:bookmarkStart w:id="404" w:name="_Toc225670757"/>
      <w:bookmarkStart w:id="405" w:name="_Toc251768868"/>
      <w:bookmarkStart w:id="406" w:name="_Toc237145412"/>
      <w:bookmarkStart w:id="407" w:name="_Toc241833909"/>
      <w:bookmarkStart w:id="408" w:name="_Toc185395255"/>
      <w:bookmarkStart w:id="409" w:name="_Toc211854455"/>
      <w:bookmarkStart w:id="410" w:name="_Toc247334847"/>
      <w:bookmarkStart w:id="411" w:name="_Toc239568424"/>
      <w:bookmarkStart w:id="412" w:name="_Toc282696231"/>
      <w:bookmarkStart w:id="413" w:name="_Toc239233920"/>
      <w:bookmarkStart w:id="414" w:name="_Toc225654650"/>
      <w:bookmarkStart w:id="415" w:name="_Toc211911354"/>
      <w:bookmarkStart w:id="416" w:name="_Toc283019219"/>
      <w:bookmarkStart w:id="417" w:name="_Toc286993793"/>
      <w:bookmarkStart w:id="418" w:name="_Toc232492934"/>
      <w:bookmarkStart w:id="419" w:name="_Toc225244858"/>
      <w:bookmarkStart w:id="420" w:name="_Toc238984981"/>
      <w:bookmarkStart w:id="421" w:name="_Toc16935"/>
      <w:bookmarkStart w:id="422" w:name="_Toc28077"/>
      <w:r>
        <w:rPr>
          <w:rFonts w:hint="eastAsia" w:ascii="宋体" w:hAnsi="宋体" w:eastAsia="宋体" w:cs="宋体"/>
          <w:b/>
          <w:bCs/>
          <w:color w:val="auto"/>
          <w:sz w:val="24"/>
        </w:rPr>
        <w:t>合同</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Fonts w:hint="eastAsia" w:ascii="宋体" w:hAnsi="宋体" w:eastAsia="宋体" w:cs="宋体"/>
          <w:b/>
          <w:bCs/>
          <w:color w:val="auto"/>
          <w:sz w:val="24"/>
        </w:rPr>
        <w:t>生效及其他</w:t>
      </w:r>
      <w:bookmarkEnd w:id="421"/>
      <w:bookmarkEnd w:id="422"/>
    </w:p>
    <w:p>
      <w:pPr>
        <w:pStyle w:val="38"/>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1、合同经双方法定代表人或授权委托代理人签字并加盖单位公章后生效。</w:t>
      </w:r>
    </w:p>
    <w:p>
      <w:pPr>
        <w:pStyle w:val="38"/>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2、合同执行中涉及采购资金和采购内容修改或补充的，须经政府采购监管部门审批，并签书面补充协议报政府采购监督管理部门备案，方可作为主合同不可分割的一部分。</w:t>
      </w:r>
    </w:p>
    <w:p>
      <w:pPr>
        <w:pStyle w:val="37"/>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宋体" w:hAnsi="宋体" w:eastAsia="宋体" w:cs="宋体"/>
          <w:color w:val="auto"/>
        </w:rPr>
      </w:pPr>
      <w:r>
        <w:rPr>
          <w:rFonts w:hint="eastAsia" w:ascii="宋体" w:hAnsi="宋体" w:eastAsia="宋体" w:cs="宋体"/>
          <w:color w:val="auto"/>
        </w:rPr>
        <w:t>3、本合同一式六份，自双方签章之日起生效。甲方二份，乙方二份，代理机构一份，监管部门一份，具有同等法律效力。</w:t>
      </w:r>
    </w:p>
    <w:p>
      <w:pPr>
        <w:keepNext w:val="0"/>
        <w:keepLines w:val="0"/>
        <w:pageBreakBefore w:val="0"/>
        <w:widowControl w:val="0"/>
        <w:numPr>
          <w:ilvl w:val="0"/>
          <w:numId w:val="11"/>
        </w:numPr>
        <w:kinsoku/>
        <w:overflowPunct/>
        <w:autoSpaceDE/>
        <w:autoSpaceDN/>
        <w:bidi w:val="0"/>
        <w:snapToGrid/>
        <w:spacing w:line="360" w:lineRule="auto"/>
        <w:rPr>
          <w:rFonts w:hint="eastAsia" w:ascii="宋体" w:hAnsi="宋体" w:eastAsia="宋体" w:cs="宋体"/>
          <w:b/>
          <w:bCs/>
          <w:color w:val="auto"/>
          <w:sz w:val="24"/>
        </w:rPr>
      </w:pPr>
      <w:bookmarkStart w:id="423" w:name="_Toc5178"/>
      <w:bookmarkStart w:id="424" w:name="_Toc2904"/>
      <w:r>
        <w:rPr>
          <w:rFonts w:hint="eastAsia" w:ascii="宋体" w:hAnsi="宋体" w:eastAsia="宋体" w:cs="宋体"/>
          <w:b/>
          <w:bCs/>
          <w:color w:val="auto"/>
          <w:sz w:val="24"/>
        </w:rPr>
        <w:t>附件</w:t>
      </w:r>
      <w:bookmarkEnd w:id="423"/>
      <w:bookmarkEnd w:id="424"/>
    </w:p>
    <w:p>
      <w:pPr>
        <w:pStyle w:val="38"/>
        <w:keepNext w:val="0"/>
        <w:keepLines w:val="0"/>
        <w:pageBreakBefore w:val="0"/>
        <w:widowControl w:val="0"/>
        <w:kinsoku/>
        <w:overflowPunct/>
        <w:autoSpaceDE/>
        <w:autoSpaceDN/>
        <w:bidi w:val="0"/>
        <w:snapToGrid/>
        <w:spacing w:line="360" w:lineRule="auto"/>
        <w:ind w:firstLine="480"/>
        <w:rPr>
          <w:rFonts w:hint="eastAsia" w:ascii="宋体" w:hAnsi="宋体" w:eastAsia="宋体" w:cs="宋体"/>
          <w:color w:val="auto"/>
          <w:sz w:val="24"/>
        </w:rPr>
      </w:pPr>
      <w:bookmarkStart w:id="425" w:name="_Toc29967"/>
      <w:r>
        <w:rPr>
          <w:rFonts w:hint="eastAsia" w:ascii="宋体" w:hAnsi="宋体" w:eastAsia="宋体" w:cs="宋体"/>
          <w:color w:val="auto"/>
          <w:sz w:val="24"/>
        </w:rPr>
        <w:t>1、项目磋商文件</w:t>
      </w:r>
      <w:bookmarkEnd w:id="425"/>
    </w:p>
    <w:p>
      <w:pPr>
        <w:pStyle w:val="38"/>
        <w:keepNext w:val="0"/>
        <w:keepLines w:val="0"/>
        <w:pageBreakBefore w:val="0"/>
        <w:widowControl w:val="0"/>
        <w:kinsoku/>
        <w:overflowPunct/>
        <w:autoSpaceDE/>
        <w:autoSpaceDN/>
        <w:bidi w:val="0"/>
        <w:snapToGrid/>
        <w:spacing w:line="360" w:lineRule="auto"/>
        <w:ind w:firstLine="480"/>
        <w:rPr>
          <w:rFonts w:hint="eastAsia" w:ascii="宋体" w:hAnsi="宋体" w:eastAsia="宋体" w:cs="宋体"/>
          <w:color w:val="auto"/>
          <w:sz w:val="24"/>
        </w:rPr>
      </w:pPr>
      <w:bookmarkStart w:id="426" w:name="_Toc17719"/>
      <w:r>
        <w:rPr>
          <w:rFonts w:hint="eastAsia" w:ascii="宋体" w:hAnsi="宋体" w:eastAsia="宋体" w:cs="宋体"/>
          <w:color w:val="auto"/>
          <w:sz w:val="24"/>
        </w:rPr>
        <w:t>2、项目修改澄清文件</w:t>
      </w:r>
      <w:bookmarkEnd w:id="426"/>
    </w:p>
    <w:p>
      <w:pPr>
        <w:pStyle w:val="38"/>
        <w:keepNext w:val="0"/>
        <w:keepLines w:val="0"/>
        <w:pageBreakBefore w:val="0"/>
        <w:widowControl w:val="0"/>
        <w:kinsoku/>
        <w:overflowPunct/>
        <w:autoSpaceDE/>
        <w:autoSpaceDN/>
        <w:bidi w:val="0"/>
        <w:snapToGrid/>
        <w:spacing w:line="360" w:lineRule="auto"/>
        <w:ind w:firstLine="480"/>
        <w:rPr>
          <w:rFonts w:hint="eastAsia" w:ascii="宋体" w:hAnsi="宋体" w:eastAsia="宋体" w:cs="宋体"/>
          <w:color w:val="auto"/>
          <w:sz w:val="24"/>
        </w:rPr>
      </w:pPr>
      <w:bookmarkStart w:id="427" w:name="_Toc27786"/>
      <w:r>
        <w:rPr>
          <w:rFonts w:hint="eastAsia" w:ascii="宋体" w:hAnsi="宋体" w:eastAsia="宋体" w:cs="宋体"/>
          <w:color w:val="auto"/>
          <w:sz w:val="24"/>
        </w:rPr>
        <w:t>3、项目响应文件</w:t>
      </w:r>
      <w:bookmarkEnd w:id="427"/>
    </w:p>
    <w:p>
      <w:pPr>
        <w:pStyle w:val="38"/>
        <w:keepNext w:val="0"/>
        <w:keepLines w:val="0"/>
        <w:pageBreakBefore w:val="0"/>
        <w:widowControl w:val="0"/>
        <w:kinsoku/>
        <w:overflowPunct/>
        <w:autoSpaceDE/>
        <w:autoSpaceDN/>
        <w:bidi w:val="0"/>
        <w:snapToGrid/>
        <w:spacing w:line="360" w:lineRule="auto"/>
        <w:ind w:firstLine="480"/>
        <w:rPr>
          <w:rFonts w:hint="eastAsia" w:ascii="宋体" w:hAnsi="宋体" w:eastAsia="宋体" w:cs="宋体"/>
          <w:color w:val="auto"/>
          <w:sz w:val="24"/>
        </w:rPr>
      </w:pPr>
      <w:bookmarkStart w:id="428" w:name="_Toc12318"/>
      <w:r>
        <w:rPr>
          <w:rFonts w:hint="eastAsia" w:ascii="宋体" w:hAnsi="宋体" w:eastAsia="宋体" w:cs="宋体"/>
          <w:color w:val="auto"/>
          <w:sz w:val="24"/>
        </w:rPr>
        <w:t>4、成交通知书</w:t>
      </w:r>
      <w:bookmarkEnd w:id="428"/>
    </w:p>
    <w:p>
      <w:pPr>
        <w:pStyle w:val="38"/>
        <w:keepNext w:val="0"/>
        <w:keepLines w:val="0"/>
        <w:pageBreakBefore w:val="0"/>
        <w:widowControl w:val="0"/>
        <w:kinsoku/>
        <w:overflowPunct/>
        <w:autoSpaceDE/>
        <w:autoSpaceDN/>
        <w:bidi w:val="0"/>
        <w:snapToGrid/>
        <w:spacing w:line="360" w:lineRule="auto"/>
        <w:ind w:firstLine="480"/>
        <w:rPr>
          <w:rFonts w:hint="eastAsia" w:ascii="宋体" w:hAnsi="宋体" w:eastAsia="宋体" w:cs="宋体"/>
          <w:color w:val="auto"/>
          <w:sz w:val="24"/>
        </w:rPr>
      </w:pPr>
      <w:bookmarkStart w:id="429" w:name="_Toc30184"/>
      <w:r>
        <w:rPr>
          <w:rFonts w:hint="eastAsia" w:ascii="宋体" w:hAnsi="宋体" w:eastAsia="宋体" w:cs="宋体"/>
          <w:color w:val="auto"/>
          <w:sz w:val="24"/>
        </w:rPr>
        <w:t>5、其他</w:t>
      </w:r>
      <w:bookmarkEnd w:id="429"/>
    </w:p>
    <w:tbl>
      <w:tblPr>
        <w:tblStyle w:val="19"/>
        <w:tblW w:w="9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81" w:type="dxa"/>
            <w:vAlign w:val="center"/>
          </w:tcPr>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p>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(盖章)</w:t>
            </w:r>
          </w:p>
        </w:tc>
        <w:tc>
          <w:tcPr>
            <w:tcW w:w="4981" w:type="dxa"/>
            <w:vAlign w:val="center"/>
          </w:tcPr>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81" w:type="dxa"/>
            <w:vAlign w:val="center"/>
          </w:tcPr>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w:t>
            </w:r>
          </w:p>
        </w:tc>
        <w:tc>
          <w:tcPr>
            <w:tcW w:w="4981" w:type="dxa"/>
            <w:vAlign w:val="center"/>
          </w:tcPr>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81" w:type="dxa"/>
            <w:vAlign w:val="center"/>
          </w:tcPr>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4981" w:type="dxa"/>
            <w:vAlign w:val="center"/>
          </w:tcPr>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81" w:type="dxa"/>
            <w:vAlign w:val="center"/>
          </w:tcPr>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981" w:type="dxa"/>
            <w:vAlign w:val="center"/>
          </w:tcPr>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81" w:type="dxa"/>
            <w:vAlign w:val="center"/>
          </w:tcPr>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981" w:type="dxa"/>
            <w:vAlign w:val="center"/>
          </w:tcPr>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81" w:type="dxa"/>
            <w:vAlign w:val="center"/>
          </w:tcPr>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tc>
        <w:tc>
          <w:tcPr>
            <w:tcW w:w="4981" w:type="dxa"/>
            <w:vAlign w:val="center"/>
          </w:tcPr>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81" w:type="dxa"/>
            <w:vAlign w:val="center"/>
          </w:tcPr>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981" w:type="dxa"/>
            <w:vAlign w:val="center"/>
          </w:tcPr>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81" w:type="dxa"/>
            <w:vAlign w:val="center"/>
          </w:tcPr>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签约日期：XX年XX月XX日</w:t>
            </w:r>
          </w:p>
        </w:tc>
        <w:tc>
          <w:tcPr>
            <w:tcW w:w="4981" w:type="dxa"/>
            <w:vAlign w:val="center"/>
          </w:tcPr>
          <w:p>
            <w:pPr>
              <w:pStyle w:val="39"/>
              <w:keepNext w:val="0"/>
              <w:keepLines w:val="0"/>
              <w:pageBreakBefore w:val="0"/>
              <w:widowControl w:val="0"/>
              <w:kinsoku/>
              <w:overflowPunct/>
              <w:autoSpaceDE/>
              <w:autoSpaceDN/>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签约日期：XX年XX月XX日</w:t>
            </w:r>
          </w:p>
        </w:tc>
      </w:tr>
    </w:tbl>
    <w:p>
      <w:pPr>
        <w:rPr>
          <w:rFonts w:hint="eastAsia" w:ascii="宋体" w:hAnsi="宋体" w:eastAsia="宋体" w:cs="宋体"/>
          <w:color w:val="auto"/>
          <w:sz w:val="24"/>
          <w:szCs w:val="32"/>
        </w:rPr>
      </w:pPr>
    </w:p>
    <w:sectPr>
      <w:headerReference r:id="rId7" w:type="default"/>
      <w:footerReference r:id="rId8" w:type="default"/>
      <w:pgSz w:w="11850" w:h="16783"/>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仿宋_GBK">
    <w:altName w:val="微软雅黑"/>
    <w:panose1 w:val="03000509000000000000"/>
    <w:charset w:val="86"/>
    <w:family w:val="auto"/>
    <w:pitch w:val="default"/>
    <w:sig w:usb0="00000000" w:usb1="00000000" w:usb2="00000000" w:usb3="00000000" w:csb0="00040000" w:csb1="00000000"/>
  </w:font>
  <w:font w:name="黑体桌礉...">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p>
    <w:pPr>
      <w:pStyle w:val="10"/>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hint="eastAsia" w:ascii="宋体" w:hAnsi="宋体"/>
        <w:sz w:val="21"/>
        <w:szCs w:val="21"/>
        <w:lang w:eastAsia="zh-CN"/>
      </w:rPr>
      <w:t>四川东来印象招标代理有限公司</w:t>
    </w:r>
    <w:r>
      <w:rPr>
        <w:rFonts w:hint="eastAsia" w:ascii="宋体" w:hAnsi="宋体"/>
        <w:sz w:val="21"/>
        <w:szCs w:val="21"/>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sz w:val="22"/>
        <w:szCs w:val="22"/>
        <w:lang w:eastAsia="zh-CN"/>
      </w:rPr>
    </w:pPr>
    <w:r>
      <w:rPr>
        <w:sz w:val="15"/>
        <w:szCs w:val="16"/>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55</w:t>
                    </w:r>
                    <w:r>
                      <w:fldChar w:fldCharType="end"/>
                    </w:r>
                  </w:p>
                </w:txbxContent>
              </v:textbox>
            </v:shape>
          </w:pict>
        </mc:Fallback>
      </mc:AlternateContent>
    </w:r>
    <w:r>
      <w:rPr>
        <w:rFonts w:hint="eastAsia" w:ascii="宋体" w:hAnsi="宋体"/>
        <w:sz w:val="22"/>
        <w:szCs w:val="22"/>
        <w:lang w:eastAsia="zh-CN"/>
      </w:rPr>
      <w:t>四川东来印象招标代理有限公司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sz w:val="21"/>
        <w:szCs w:val="21"/>
      </w:rPr>
    </w:pPr>
    <w:r>
      <w:rPr>
        <w:rFonts w:hint="eastAsia"/>
        <w:b/>
      </w:rPr>
      <w:t xml:space="preserve">        </w:t>
    </w:r>
  </w:p>
  <w:p>
    <w:pPr>
      <w:pStyle w:val="11"/>
      <w:pBdr>
        <w:bottom w:val="single" w:color="auto" w:sz="4" w:space="0"/>
      </w:pBdr>
      <w:jc w:val="left"/>
    </w:pPr>
    <w:r>
      <w:drawing>
        <wp:inline distT="0" distB="0" distL="114300" distR="114300">
          <wp:extent cx="222885" cy="220345"/>
          <wp:effectExtent l="0" t="0" r="5715" b="8255"/>
          <wp:docPr id="1" name="图片 1" descr="QQ图片2019050816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90508160752"/>
                  <pic:cNvPicPr>
                    <a:picLocks noChangeAspect="1"/>
                  </pic:cNvPicPr>
                </pic:nvPicPr>
                <pic:blipFill>
                  <a:blip r:embed="rId1"/>
                  <a:stretch>
                    <a:fillRect/>
                  </a:stretch>
                </pic:blipFill>
                <pic:spPr>
                  <a:xfrm>
                    <a:off x="0" y="0"/>
                    <a:ext cx="222885" cy="220345"/>
                  </a:xfrm>
                  <a:prstGeom prst="rect">
                    <a:avLst/>
                  </a:prstGeom>
                </pic:spPr>
              </pic:pic>
            </a:graphicData>
          </a:graphic>
        </wp:inline>
      </w:drawing>
    </w:r>
    <w:r>
      <w:rPr>
        <w:rFonts w:hint="eastAsia"/>
        <w:lang w:val="en-US" w:eastAsia="zh-CN"/>
      </w:rPr>
      <w:t xml:space="preserve">                                                                                 </w:t>
    </w:r>
    <w:r>
      <w:rPr>
        <w:rFonts w:hint="eastAsia"/>
        <w:b/>
        <w:sz w:val="24"/>
        <w:szCs w:val="28"/>
      </w:rPr>
      <w:t>公开·公平·公正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sz w:val="21"/>
        <w:szCs w:val="21"/>
      </w:rPr>
    </w:pPr>
    <w:r>
      <w:rPr>
        <w:rFonts w:hint="eastAsia"/>
        <w:b/>
      </w:rPr>
      <w:t xml:space="preserve">        </w:t>
    </w:r>
  </w:p>
  <w:p>
    <w:pPr>
      <w:pStyle w:val="11"/>
      <w:pBdr>
        <w:bottom w:val="single" w:color="auto" w:sz="4" w:space="0"/>
      </w:pBdr>
      <w:jc w:val="left"/>
    </w:pPr>
    <w:r>
      <w:drawing>
        <wp:inline distT="0" distB="0" distL="114300" distR="114300">
          <wp:extent cx="222885" cy="220345"/>
          <wp:effectExtent l="0" t="0" r="5715" b="8255"/>
          <wp:docPr id="2" name="图片 2" descr="QQ图片2019050816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0508160752"/>
                  <pic:cNvPicPr>
                    <a:picLocks noChangeAspect="1"/>
                  </pic:cNvPicPr>
                </pic:nvPicPr>
                <pic:blipFill>
                  <a:blip r:embed="rId1"/>
                  <a:stretch>
                    <a:fillRect/>
                  </a:stretch>
                </pic:blipFill>
                <pic:spPr>
                  <a:xfrm>
                    <a:off x="0" y="0"/>
                    <a:ext cx="222885" cy="220345"/>
                  </a:xfrm>
                  <a:prstGeom prst="rect">
                    <a:avLst/>
                  </a:prstGeom>
                </pic:spPr>
              </pic:pic>
            </a:graphicData>
          </a:graphic>
        </wp:inline>
      </w:drawing>
    </w:r>
    <w:r>
      <w:rPr>
        <w:rFonts w:hint="eastAsia"/>
        <w:lang w:val="en-US" w:eastAsia="zh-CN"/>
      </w:rPr>
      <w:t xml:space="preserve">                                                                  </w:t>
    </w:r>
    <w:r>
      <w:rPr>
        <w:rFonts w:hint="eastAsia"/>
        <w:b/>
        <w:sz w:val="24"/>
        <w:szCs w:val="28"/>
      </w:rPr>
      <w:t>公开·公平·公正</w:t>
    </w:r>
  </w:p>
  <w:p>
    <w:pPr>
      <w:pStyle w:val="11"/>
      <w:pBdr>
        <w:bottom w:val="single" w:color="auto" w:sz="4"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left"/>
    </w:pPr>
    <w:r>
      <w:drawing>
        <wp:inline distT="0" distB="0" distL="114300" distR="114300">
          <wp:extent cx="222885" cy="220345"/>
          <wp:effectExtent l="0" t="0" r="5715" b="8255"/>
          <wp:docPr id="5" name="图片 5" descr="QQ图片2019050816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190508160752"/>
                  <pic:cNvPicPr>
                    <a:picLocks noChangeAspect="1"/>
                  </pic:cNvPicPr>
                </pic:nvPicPr>
                <pic:blipFill>
                  <a:blip r:embed="rId1"/>
                  <a:stretch>
                    <a:fillRect/>
                  </a:stretch>
                </pic:blipFill>
                <pic:spPr>
                  <a:xfrm>
                    <a:off x="0" y="0"/>
                    <a:ext cx="222885" cy="220345"/>
                  </a:xfrm>
                  <a:prstGeom prst="rect">
                    <a:avLst/>
                  </a:prstGeom>
                </pic:spPr>
              </pic:pic>
            </a:graphicData>
          </a:graphic>
        </wp:inline>
      </w:drawing>
    </w:r>
    <w:r>
      <w:rPr>
        <w:rFonts w:hint="eastAsia"/>
        <w:lang w:val="en-US" w:eastAsia="zh-CN"/>
      </w:rPr>
      <w:t xml:space="preserve">                                                                  </w:t>
    </w:r>
    <w:r>
      <w:rPr>
        <w:rFonts w:hint="eastAsia"/>
        <w:b/>
        <w:sz w:val="24"/>
        <w:szCs w:val="28"/>
      </w:rPr>
      <w:t>公开·公平·公正</w:t>
    </w:r>
  </w:p>
  <w:p>
    <w:pPr>
      <w:pStyle w:val="11"/>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76E28"/>
    <w:multiLevelType w:val="singleLevel"/>
    <w:tmpl w:val="8CE76E28"/>
    <w:lvl w:ilvl="0" w:tentative="0">
      <w:start w:val="16"/>
      <w:numFmt w:val="decimal"/>
      <w:suff w:val="space"/>
      <w:lvlText w:val="%1."/>
      <w:lvlJc w:val="left"/>
    </w:lvl>
  </w:abstractNum>
  <w:abstractNum w:abstractNumId="1">
    <w:nsid w:val="E4DCF9C8"/>
    <w:multiLevelType w:val="singleLevel"/>
    <w:tmpl w:val="E4DCF9C8"/>
    <w:lvl w:ilvl="0" w:tentative="0">
      <w:start w:val="2"/>
      <w:numFmt w:val="decimal"/>
      <w:suff w:val="nothing"/>
      <w:lvlText w:val="%1、"/>
      <w:lvlJc w:val="left"/>
    </w:lvl>
  </w:abstractNum>
  <w:abstractNum w:abstractNumId="2">
    <w:nsid w:val="EECA97B7"/>
    <w:multiLevelType w:val="singleLevel"/>
    <w:tmpl w:val="EECA97B7"/>
    <w:lvl w:ilvl="0" w:tentative="0">
      <w:start w:val="6"/>
      <w:numFmt w:val="chineseCounting"/>
      <w:suff w:val="space"/>
      <w:lvlText w:val="第%1章"/>
      <w:lvlJc w:val="left"/>
      <w:rPr>
        <w:rFonts w:hint="eastAsia"/>
      </w:rPr>
    </w:lvl>
  </w:abstractNum>
  <w:abstractNum w:abstractNumId="3">
    <w:nsid w:val="00000003"/>
    <w:multiLevelType w:val="multilevel"/>
    <w:tmpl w:val="00000003"/>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FE5D61"/>
    <w:multiLevelType w:val="singleLevel"/>
    <w:tmpl w:val="00FE5D61"/>
    <w:lvl w:ilvl="0" w:tentative="0">
      <w:start w:val="5"/>
      <w:numFmt w:val="decimal"/>
      <w:suff w:val="nothing"/>
      <w:lvlText w:val="%1、"/>
      <w:lvlJc w:val="left"/>
    </w:lvl>
  </w:abstractNum>
  <w:abstractNum w:abstractNumId="5">
    <w:nsid w:val="0747EF1A"/>
    <w:multiLevelType w:val="singleLevel"/>
    <w:tmpl w:val="0747EF1A"/>
    <w:lvl w:ilvl="0" w:tentative="0">
      <w:start w:val="2"/>
      <w:numFmt w:val="decimal"/>
      <w:lvlText w:val="%1."/>
      <w:lvlJc w:val="left"/>
      <w:pPr>
        <w:tabs>
          <w:tab w:val="left" w:pos="312"/>
        </w:tabs>
      </w:pPr>
    </w:lvl>
  </w:abstractNum>
  <w:abstractNum w:abstractNumId="6">
    <w:nsid w:val="211D2671"/>
    <w:multiLevelType w:val="singleLevel"/>
    <w:tmpl w:val="211D2671"/>
    <w:lvl w:ilvl="0" w:tentative="0">
      <w:start w:val="5"/>
      <w:numFmt w:val="chineseCounting"/>
      <w:suff w:val="nothing"/>
      <w:lvlText w:val="%1、"/>
      <w:lvlJc w:val="left"/>
      <w:rPr>
        <w:rFonts w:hint="eastAsia"/>
      </w:rPr>
    </w:lvl>
  </w:abstractNum>
  <w:abstractNum w:abstractNumId="7">
    <w:nsid w:val="228B8AEB"/>
    <w:multiLevelType w:val="singleLevel"/>
    <w:tmpl w:val="228B8AEB"/>
    <w:lvl w:ilvl="0" w:tentative="0">
      <w:start w:val="5"/>
      <w:numFmt w:val="chineseCounting"/>
      <w:suff w:val="space"/>
      <w:lvlText w:val="第%1章"/>
      <w:lvlJc w:val="left"/>
      <w:rPr>
        <w:rFonts w:hint="eastAsia"/>
      </w:rPr>
    </w:lvl>
  </w:abstractNum>
  <w:abstractNum w:abstractNumId="8">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9">
    <w:nsid w:val="41429907"/>
    <w:multiLevelType w:val="singleLevel"/>
    <w:tmpl w:val="41429907"/>
    <w:lvl w:ilvl="0" w:tentative="0">
      <w:start w:val="3"/>
      <w:numFmt w:val="decimal"/>
      <w:lvlText w:val="%1."/>
      <w:lvlJc w:val="left"/>
      <w:pPr>
        <w:tabs>
          <w:tab w:val="left" w:pos="312"/>
        </w:tabs>
      </w:pPr>
    </w:lvl>
  </w:abstractNum>
  <w:abstractNum w:abstractNumId="10">
    <w:nsid w:val="7981628E"/>
    <w:multiLevelType w:val="singleLevel"/>
    <w:tmpl w:val="7981628E"/>
    <w:lvl w:ilvl="0" w:tentative="0">
      <w:start w:val="1"/>
      <w:numFmt w:val="decimal"/>
      <w:lvlText w:val="%1"/>
      <w:lvlJc w:val="left"/>
      <w:pPr>
        <w:tabs>
          <w:tab w:val="left" w:pos="420"/>
        </w:tabs>
        <w:ind w:left="425" w:hanging="425"/>
      </w:pPr>
      <w:rPr>
        <w:rFonts w:hint="default"/>
      </w:rPr>
    </w:lvl>
  </w:abstractNum>
  <w:num w:numId="1">
    <w:abstractNumId w:val="3"/>
  </w:num>
  <w:num w:numId="2">
    <w:abstractNumId w:val="6"/>
  </w:num>
  <w:num w:numId="3">
    <w:abstractNumId w:val="9"/>
  </w:num>
  <w:num w:numId="4">
    <w:abstractNumId w:val="0"/>
  </w:num>
  <w:num w:numId="5">
    <w:abstractNumId w:val="1"/>
  </w:num>
  <w:num w:numId="6">
    <w:abstractNumId w:val="4"/>
  </w:num>
  <w:num w:numId="7">
    <w:abstractNumId w:val="5"/>
  </w:num>
  <w:num w:numId="8">
    <w:abstractNumId w:val="7"/>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E4009"/>
    <w:rsid w:val="006E3B45"/>
    <w:rsid w:val="00A607E4"/>
    <w:rsid w:val="00DA767D"/>
    <w:rsid w:val="011A37FB"/>
    <w:rsid w:val="01277EDF"/>
    <w:rsid w:val="0147093A"/>
    <w:rsid w:val="01966E61"/>
    <w:rsid w:val="01A04229"/>
    <w:rsid w:val="01D62201"/>
    <w:rsid w:val="01DC206F"/>
    <w:rsid w:val="02013747"/>
    <w:rsid w:val="02037E68"/>
    <w:rsid w:val="02441AAC"/>
    <w:rsid w:val="024A2B88"/>
    <w:rsid w:val="028B4B88"/>
    <w:rsid w:val="02C63AC9"/>
    <w:rsid w:val="02DB3C4B"/>
    <w:rsid w:val="03032001"/>
    <w:rsid w:val="030A3D93"/>
    <w:rsid w:val="03440E87"/>
    <w:rsid w:val="03804013"/>
    <w:rsid w:val="03E25646"/>
    <w:rsid w:val="04432E09"/>
    <w:rsid w:val="0468082E"/>
    <w:rsid w:val="04A165AA"/>
    <w:rsid w:val="052F682B"/>
    <w:rsid w:val="057A607E"/>
    <w:rsid w:val="057D3E90"/>
    <w:rsid w:val="05A46C0D"/>
    <w:rsid w:val="05FB7CE6"/>
    <w:rsid w:val="05FD3FF5"/>
    <w:rsid w:val="0656793B"/>
    <w:rsid w:val="06611F37"/>
    <w:rsid w:val="06A96C43"/>
    <w:rsid w:val="07295DDA"/>
    <w:rsid w:val="07474D1D"/>
    <w:rsid w:val="074E418F"/>
    <w:rsid w:val="07B01CAE"/>
    <w:rsid w:val="07CE3A26"/>
    <w:rsid w:val="0899438B"/>
    <w:rsid w:val="08C17640"/>
    <w:rsid w:val="08EC04D6"/>
    <w:rsid w:val="09684D62"/>
    <w:rsid w:val="09CA67C5"/>
    <w:rsid w:val="09FA07C8"/>
    <w:rsid w:val="0A2F1C48"/>
    <w:rsid w:val="0A592622"/>
    <w:rsid w:val="0A641BD2"/>
    <w:rsid w:val="0AD30102"/>
    <w:rsid w:val="0B1C52B5"/>
    <w:rsid w:val="0B210B63"/>
    <w:rsid w:val="0CB6473F"/>
    <w:rsid w:val="0CE51EE5"/>
    <w:rsid w:val="0CF2184E"/>
    <w:rsid w:val="0D2140C8"/>
    <w:rsid w:val="0D4169CE"/>
    <w:rsid w:val="0D6E7C33"/>
    <w:rsid w:val="0D9605C3"/>
    <w:rsid w:val="0DC23A90"/>
    <w:rsid w:val="0DC67F3F"/>
    <w:rsid w:val="0DF4661E"/>
    <w:rsid w:val="0DFE3FD1"/>
    <w:rsid w:val="0E28485C"/>
    <w:rsid w:val="0E3F4955"/>
    <w:rsid w:val="0E665190"/>
    <w:rsid w:val="0E8F0E34"/>
    <w:rsid w:val="0EBD4805"/>
    <w:rsid w:val="0F074E89"/>
    <w:rsid w:val="0F300D97"/>
    <w:rsid w:val="0F6859C5"/>
    <w:rsid w:val="0F9A788C"/>
    <w:rsid w:val="0F9E0942"/>
    <w:rsid w:val="0FAF1A42"/>
    <w:rsid w:val="10180DF9"/>
    <w:rsid w:val="10317BF8"/>
    <w:rsid w:val="108B3044"/>
    <w:rsid w:val="10B144BE"/>
    <w:rsid w:val="10BB1673"/>
    <w:rsid w:val="10BF06C5"/>
    <w:rsid w:val="114D1849"/>
    <w:rsid w:val="11812A7D"/>
    <w:rsid w:val="11CD11E4"/>
    <w:rsid w:val="11EA216E"/>
    <w:rsid w:val="11FE7C64"/>
    <w:rsid w:val="122007C5"/>
    <w:rsid w:val="124E4921"/>
    <w:rsid w:val="12625FDE"/>
    <w:rsid w:val="12C35516"/>
    <w:rsid w:val="12F02871"/>
    <w:rsid w:val="136E6C70"/>
    <w:rsid w:val="13745944"/>
    <w:rsid w:val="14121752"/>
    <w:rsid w:val="151C01C2"/>
    <w:rsid w:val="159C1AA1"/>
    <w:rsid w:val="159E2B4B"/>
    <w:rsid w:val="15AF2AC5"/>
    <w:rsid w:val="166875D6"/>
    <w:rsid w:val="166C434D"/>
    <w:rsid w:val="16C40FE2"/>
    <w:rsid w:val="17267447"/>
    <w:rsid w:val="17514A5F"/>
    <w:rsid w:val="176A6087"/>
    <w:rsid w:val="17DE3C0B"/>
    <w:rsid w:val="17E419FD"/>
    <w:rsid w:val="183A0DA0"/>
    <w:rsid w:val="1867149E"/>
    <w:rsid w:val="18D16572"/>
    <w:rsid w:val="18E537DE"/>
    <w:rsid w:val="18FA6902"/>
    <w:rsid w:val="1918482C"/>
    <w:rsid w:val="199F5C72"/>
    <w:rsid w:val="19B02A19"/>
    <w:rsid w:val="19B81F20"/>
    <w:rsid w:val="19C139C0"/>
    <w:rsid w:val="19E0031F"/>
    <w:rsid w:val="19F67682"/>
    <w:rsid w:val="1A064399"/>
    <w:rsid w:val="1A70030C"/>
    <w:rsid w:val="1A75698B"/>
    <w:rsid w:val="1AB50172"/>
    <w:rsid w:val="1AED760F"/>
    <w:rsid w:val="1B047202"/>
    <w:rsid w:val="1B1E6F9F"/>
    <w:rsid w:val="1B466B53"/>
    <w:rsid w:val="1B6937B7"/>
    <w:rsid w:val="1B8C294C"/>
    <w:rsid w:val="1BC2599F"/>
    <w:rsid w:val="1C03432A"/>
    <w:rsid w:val="1C197D1E"/>
    <w:rsid w:val="1C5D1488"/>
    <w:rsid w:val="1C5D27E3"/>
    <w:rsid w:val="1C6C35A4"/>
    <w:rsid w:val="1C8C2A8C"/>
    <w:rsid w:val="1CA263D0"/>
    <w:rsid w:val="1CB55BE9"/>
    <w:rsid w:val="1CD307DB"/>
    <w:rsid w:val="1CED547C"/>
    <w:rsid w:val="1D4F1D36"/>
    <w:rsid w:val="1E385A2D"/>
    <w:rsid w:val="1E930D3D"/>
    <w:rsid w:val="1EE61A19"/>
    <w:rsid w:val="1F4209B1"/>
    <w:rsid w:val="1F573611"/>
    <w:rsid w:val="1F704116"/>
    <w:rsid w:val="1F8377F8"/>
    <w:rsid w:val="1F8E5B83"/>
    <w:rsid w:val="20403450"/>
    <w:rsid w:val="204973A3"/>
    <w:rsid w:val="20FE6098"/>
    <w:rsid w:val="21106522"/>
    <w:rsid w:val="21260560"/>
    <w:rsid w:val="212F0C1C"/>
    <w:rsid w:val="21350ECA"/>
    <w:rsid w:val="213B76DE"/>
    <w:rsid w:val="21403FD0"/>
    <w:rsid w:val="21512B15"/>
    <w:rsid w:val="2156121E"/>
    <w:rsid w:val="21A9049D"/>
    <w:rsid w:val="21B313B4"/>
    <w:rsid w:val="22193B14"/>
    <w:rsid w:val="22200566"/>
    <w:rsid w:val="22417A40"/>
    <w:rsid w:val="228E0AB8"/>
    <w:rsid w:val="22A433A3"/>
    <w:rsid w:val="22A823EA"/>
    <w:rsid w:val="22CB0CEE"/>
    <w:rsid w:val="232C4868"/>
    <w:rsid w:val="2334202B"/>
    <w:rsid w:val="23463ED4"/>
    <w:rsid w:val="23573A42"/>
    <w:rsid w:val="23681110"/>
    <w:rsid w:val="23957CAF"/>
    <w:rsid w:val="23C1529C"/>
    <w:rsid w:val="23FB7BF5"/>
    <w:rsid w:val="24CC09C0"/>
    <w:rsid w:val="24EF7288"/>
    <w:rsid w:val="2529360A"/>
    <w:rsid w:val="255D0D79"/>
    <w:rsid w:val="25B417CB"/>
    <w:rsid w:val="26B025B2"/>
    <w:rsid w:val="26B84DBA"/>
    <w:rsid w:val="26C00973"/>
    <w:rsid w:val="26D21887"/>
    <w:rsid w:val="26F114D8"/>
    <w:rsid w:val="270C1592"/>
    <w:rsid w:val="271069A0"/>
    <w:rsid w:val="272153B2"/>
    <w:rsid w:val="27257379"/>
    <w:rsid w:val="275C1C6C"/>
    <w:rsid w:val="27927E68"/>
    <w:rsid w:val="27A52E1A"/>
    <w:rsid w:val="27B73070"/>
    <w:rsid w:val="27DD79D2"/>
    <w:rsid w:val="27E60B14"/>
    <w:rsid w:val="28197FF6"/>
    <w:rsid w:val="28210DA1"/>
    <w:rsid w:val="284F7A5D"/>
    <w:rsid w:val="285F6C1C"/>
    <w:rsid w:val="28785932"/>
    <w:rsid w:val="28862C92"/>
    <w:rsid w:val="28D24823"/>
    <w:rsid w:val="28FD36E3"/>
    <w:rsid w:val="291C02B6"/>
    <w:rsid w:val="29355EAD"/>
    <w:rsid w:val="29427D4C"/>
    <w:rsid w:val="29600E44"/>
    <w:rsid w:val="296F2D42"/>
    <w:rsid w:val="29956476"/>
    <w:rsid w:val="29A55108"/>
    <w:rsid w:val="29A70EC7"/>
    <w:rsid w:val="29B66381"/>
    <w:rsid w:val="29C013F2"/>
    <w:rsid w:val="2A196310"/>
    <w:rsid w:val="2A552244"/>
    <w:rsid w:val="2A581909"/>
    <w:rsid w:val="2A9F1FF0"/>
    <w:rsid w:val="2ACC78AA"/>
    <w:rsid w:val="2AE51B8D"/>
    <w:rsid w:val="2BA6000D"/>
    <w:rsid w:val="2BCF7DA6"/>
    <w:rsid w:val="2BDB3D05"/>
    <w:rsid w:val="2C0110E4"/>
    <w:rsid w:val="2C355AF0"/>
    <w:rsid w:val="2C7A5F0B"/>
    <w:rsid w:val="2CFB6262"/>
    <w:rsid w:val="2D2C3C30"/>
    <w:rsid w:val="2D494FCC"/>
    <w:rsid w:val="2DA51E45"/>
    <w:rsid w:val="2DAC0F78"/>
    <w:rsid w:val="2E0E2ED2"/>
    <w:rsid w:val="2E2F1153"/>
    <w:rsid w:val="2E6C4375"/>
    <w:rsid w:val="2E821549"/>
    <w:rsid w:val="2E8C1E42"/>
    <w:rsid w:val="2EAA1F11"/>
    <w:rsid w:val="2EBC6B37"/>
    <w:rsid w:val="2F6B383D"/>
    <w:rsid w:val="2FBD7DC2"/>
    <w:rsid w:val="30431D87"/>
    <w:rsid w:val="310C6869"/>
    <w:rsid w:val="31297D84"/>
    <w:rsid w:val="32D67E6F"/>
    <w:rsid w:val="330711E5"/>
    <w:rsid w:val="33151DC0"/>
    <w:rsid w:val="3325550D"/>
    <w:rsid w:val="334C6B38"/>
    <w:rsid w:val="33791210"/>
    <w:rsid w:val="33BD68DB"/>
    <w:rsid w:val="33E45013"/>
    <w:rsid w:val="346130B8"/>
    <w:rsid w:val="347D292F"/>
    <w:rsid w:val="34A94299"/>
    <w:rsid w:val="34C11233"/>
    <w:rsid w:val="34F54A61"/>
    <w:rsid w:val="35085EEF"/>
    <w:rsid w:val="351E5703"/>
    <w:rsid w:val="35407245"/>
    <w:rsid w:val="356D5F18"/>
    <w:rsid w:val="35827E0A"/>
    <w:rsid w:val="35BE4512"/>
    <w:rsid w:val="35FD0946"/>
    <w:rsid w:val="36047997"/>
    <w:rsid w:val="36182A2A"/>
    <w:rsid w:val="36396022"/>
    <w:rsid w:val="36A3731E"/>
    <w:rsid w:val="36CF1760"/>
    <w:rsid w:val="36E92FFD"/>
    <w:rsid w:val="371C139B"/>
    <w:rsid w:val="3735360E"/>
    <w:rsid w:val="37576A5D"/>
    <w:rsid w:val="3784708B"/>
    <w:rsid w:val="37975AAE"/>
    <w:rsid w:val="37AC62DD"/>
    <w:rsid w:val="38177A35"/>
    <w:rsid w:val="382E4009"/>
    <w:rsid w:val="384D7256"/>
    <w:rsid w:val="3886568F"/>
    <w:rsid w:val="38891788"/>
    <w:rsid w:val="38B50319"/>
    <w:rsid w:val="38B54440"/>
    <w:rsid w:val="38D86E98"/>
    <w:rsid w:val="38E84BF1"/>
    <w:rsid w:val="390D4877"/>
    <w:rsid w:val="392C1632"/>
    <w:rsid w:val="39322040"/>
    <w:rsid w:val="39811FB9"/>
    <w:rsid w:val="3A2D22F2"/>
    <w:rsid w:val="3A3E6C91"/>
    <w:rsid w:val="3AA17F1A"/>
    <w:rsid w:val="3AAC1066"/>
    <w:rsid w:val="3ADB2AE8"/>
    <w:rsid w:val="3AE954FB"/>
    <w:rsid w:val="3B2C2158"/>
    <w:rsid w:val="3B300E94"/>
    <w:rsid w:val="3B4E179A"/>
    <w:rsid w:val="3B5F1F17"/>
    <w:rsid w:val="3B8E7C9F"/>
    <w:rsid w:val="3BD75163"/>
    <w:rsid w:val="3C530A5A"/>
    <w:rsid w:val="3C7104C0"/>
    <w:rsid w:val="3C725AE3"/>
    <w:rsid w:val="3C777CE4"/>
    <w:rsid w:val="3C834BA4"/>
    <w:rsid w:val="3C8E2482"/>
    <w:rsid w:val="3C946E51"/>
    <w:rsid w:val="3CBB24B6"/>
    <w:rsid w:val="3CC304BD"/>
    <w:rsid w:val="3D11383D"/>
    <w:rsid w:val="3D18041B"/>
    <w:rsid w:val="3DCC5267"/>
    <w:rsid w:val="3DFC7742"/>
    <w:rsid w:val="3E637A20"/>
    <w:rsid w:val="3E7603DE"/>
    <w:rsid w:val="3E810920"/>
    <w:rsid w:val="3E8C4DCC"/>
    <w:rsid w:val="3EA01C09"/>
    <w:rsid w:val="3EAB369D"/>
    <w:rsid w:val="3EF079AB"/>
    <w:rsid w:val="3F442566"/>
    <w:rsid w:val="3FA22449"/>
    <w:rsid w:val="3FC03FA4"/>
    <w:rsid w:val="3FC358BC"/>
    <w:rsid w:val="3FD8134D"/>
    <w:rsid w:val="41F5045B"/>
    <w:rsid w:val="41FC0D54"/>
    <w:rsid w:val="42077EE2"/>
    <w:rsid w:val="420C5B8F"/>
    <w:rsid w:val="426E681F"/>
    <w:rsid w:val="42966100"/>
    <w:rsid w:val="42DB28CA"/>
    <w:rsid w:val="42F405FE"/>
    <w:rsid w:val="43074387"/>
    <w:rsid w:val="43BB2E9B"/>
    <w:rsid w:val="43C74895"/>
    <w:rsid w:val="44246E66"/>
    <w:rsid w:val="443315D8"/>
    <w:rsid w:val="446D1E92"/>
    <w:rsid w:val="447E7E9D"/>
    <w:rsid w:val="44892EC2"/>
    <w:rsid w:val="448D6CE3"/>
    <w:rsid w:val="44DF64F0"/>
    <w:rsid w:val="44E11887"/>
    <w:rsid w:val="454F22D5"/>
    <w:rsid w:val="45700E72"/>
    <w:rsid w:val="457F6372"/>
    <w:rsid w:val="45C679F8"/>
    <w:rsid w:val="45ED1326"/>
    <w:rsid w:val="4706624C"/>
    <w:rsid w:val="472D7972"/>
    <w:rsid w:val="474F1E60"/>
    <w:rsid w:val="47A91E84"/>
    <w:rsid w:val="47B5506C"/>
    <w:rsid w:val="47E12B41"/>
    <w:rsid w:val="482127E2"/>
    <w:rsid w:val="48252EB7"/>
    <w:rsid w:val="48AA4513"/>
    <w:rsid w:val="48F26CC7"/>
    <w:rsid w:val="48F67BF2"/>
    <w:rsid w:val="49221386"/>
    <w:rsid w:val="492F20BC"/>
    <w:rsid w:val="49363D42"/>
    <w:rsid w:val="494C5DC2"/>
    <w:rsid w:val="49891F3C"/>
    <w:rsid w:val="49896142"/>
    <w:rsid w:val="4A0368BF"/>
    <w:rsid w:val="4A113862"/>
    <w:rsid w:val="4A3A307B"/>
    <w:rsid w:val="4A3B423F"/>
    <w:rsid w:val="4A433678"/>
    <w:rsid w:val="4B3E3E63"/>
    <w:rsid w:val="4BCF0F59"/>
    <w:rsid w:val="4BD17708"/>
    <w:rsid w:val="4C264568"/>
    <w:rsid w:val="4C2B17CC"/>
    <w:rsid w:val="4C373FDB"/>
    <w:rsid w:val="4C7F5E08"/>
    <w:rsid w:val="4CDF7D79"/>
    <w:rsid w:val="4CEC72C2"/>
    <w:rsid w:val="4D062DE3"/>
    <w:rsid w:val="4D3B555D"/>
    <w:rsid w:val="4D673CFC"/>
    <w:rsid w:val="4DA127B8"/>
    <w:rsid w:val="4DE15136"/>
    <w:rsid w:val="4DF10CEB"/>
    <w:rsid w:val="4E2719A0"/>
    <w:rsid w:val="4E2E1744"/>
    <w:rsid w:val="4E6B0F9D"/>
    <w:rsid w:val="4E8E1AA1"/>
    <w:rsid w:val="4E994E67"/>
    <w:rsid w:val="4EB15ECD"/>
    <w:rsid w:val="4EC3135B"/>
    <w:rsid w:val="4EEA5ECE"/>
    <w:rsid w:val="4F22646B"/>
    <w:rsid w:val="4F2D1DEA"/>
    <w:rsid w:val="4F3A5836"/>
    <w:rsid w:val="5068281D"/>
    <w:rsid w:val="507E48D7"/>
    <w:rsid w:val="50987056"/>
    <w:rsid w:val="51146E32"/>
    <w:rsid w:val="512F4046"/>
    <w:rsid w:val="51447855"/>
    <w:rsid w:val="51546A1C"/>
    <w:rsid w:val="515A01D9"/>
    <w:rsid w:val="51A305C3"/>
    <w:rsid w:val="51BC07D4"/>
    <w:rsid w:val="51FA6347"/>
    <w:rsid w:val="524F2013"/>
    <w:rsid w:val="5261632D"/>
    <w:rsid w:val="5264417C"/>
    <w:rsid w:val="52E90E9B"/>
    <w:rsid w:val="52FD44FC"/>
    <w:rsid w:val="5313781F"/>
    <w:rsid w:val="531408E9"/>
    <w:rsid w:val="53312071"/>
    <w:rsid w:val="53BE7A95"/>
    <w:rsid w:val="53C4779F"/>
    <w:rsid w:val="53D503DB"/>
    <w:rsid w:val="542832A0"/>
    <w:rsid w:val="544C7777"/>
    <w:rsid w:val="54541E60"/>
    <w:rsid w:val="54A46611"/>
    <w:rsid w:val="54F16861"/>
    <w:rsid w:val="5520443B"/>
    <w:rsid w:val="558F5234"/>
    <w:rsid w:val="55AA4FF2"/>
    <w:rsid w:val="55BE5724"/>
    <w:rsid w:val="55FF01DC"/>
    <w:rsid w:val="56842219"/>
    <w:rsid w:val="56E630BC"/>
    <w:rsid w:val="56EB3637"/>
    <w:rsid w:val="57332DA7"/>
    <w:rsid w:val="573F7FE1"/>
    <w:rsid w:val="574A2600"/>
    <w:rsid w:val="575879B4"/>
    <w:rsid w:val="57940D6D"/>
    <w:rsid w:val="57A72BFB"/>
    <w:rsid w:val="58377E23"/>
    <w:rsid w:val="586B6774"/>
    <w:rsid w:val="5898594A"/>
    <w:rsid w:val="58FE1765"/>
    <w:rsid w:val="591E249E"/>
    <w:rsid w:val="5A121C29"/>
    <w:rsid w:val="5A8E3CE5"/>
    <w:rsid w:val="5A957387"/>
    <w:rsid w:val="5A993696"/>
    <w:rsid w:val="5AE51965"/>
    <w:rsid w:val="5B22328A"/>
    <w:rsid w:val="5BCE0C3A"/>
    <w:rsid w:val="5BDB3887"/>
    <w:rsid w:val="5C5F03BE"/>
    <w:rsid w:val="5CC83730"/>
    <w:rsid w:val="5CC9380F"/>
    <w:rsid w:val="5CFB302A"/>
    <w:rsid w:val="5D0977E3"/>
    <w:rsid w:val="5D305B67"/>
    <w:rsid w:val="5DFC0484"/>
    <w:rsid w:val="5E043884"/>
    <w:rsid w:val="5E133161"/>
    <w:rsid w:val="5EDB13D3"/>
    <w:rsid w:val="5F217BD8"/>
    <w:rsid w:val="5F232F48"/>
    <w:rsid w:val="5F2A04CE"/>
    <w:rsid w:val="5F43534D"/>
    <w:rsid w:val="5F4A27FC"/>
    <w:rsid w:val="5F810EA0"/>
    <w:rsid w:val="5FAE1E07"/>
    <w:rsid w:val="5FCC0F89"/>
    <w:rsid w:val="5FF733B9"/>
    <w:rsid w:val="6017052B"/>
    <w:rsid w:val="6061186E"/>
    <w:rsid w:val="606C42B9"/>
    <w:rsid w:val="60DE0827"/>
    <w:rsid w:val="610478CE"/>
    <w:rsid w:val="610E6A89"/>
    <w:rsid w:val="61341B27"/>
    <w:rsid w:val="616A5CC2"/>
    <w:rsid w:val="619A252E"/>
    <w:rsid w:val="619C4CED"/>
    <w:rsid w:val="61A1589B"/>
    <w:rsid w:val="61B16AE2"/>
    <w:rsid w:val="61DB3DE7"/>
    <w:rsid w:val="62083183"/>
    <w:rsid w:val="62204825"/>
    <w:rsid w:val="622B32C3"/>
    <w:rsid w:val="623C69C4"/>
    <w:rsid w:val="62722627"/>
    <w:rsid w:val="62813CBA"/>
    <w:rsid w:val="62CE23A5"/>
    <w:rsid w:val="633D1FE8"/>
    <w:rsid w:val="637C78C3"/>
    <w:rsid w:val="637D4CDA"/>
    <w:rsid w:val="63B97349"/>
    <w:rsid w:val="63D63404"/>
    <w:rsid w:val="647138C3"/>
    <w:rsid w:val="64797CE6"/>
    <w:rsid w:val="64C15D70"/>
    <w:rsid w:val="64DE7F21"/>
    <w:rsid w:val="64DF51B4"/>
    <w:rsid w:val="64E217D4"/>
    <w:rsid w:val="64F531A1"/>
    <w:rsid w:val="65083BAE"/>
    <w:rsid w:val="651A2E16"/>
    <w:rsid w:val="6592201A"/>
    <w:rsid w:val="65A26251"/>
    <w:rsid w:val="65B87688"/>
    <w:rsid w:val="65BE25BF"/>
    <w:rsid w:val="660B07E8"/>
    <w:rsid w:val="662C79AB"/>
    <w:rsid w:val="66B47D0B"/>
    <w:rsid w:val="66E435B4"/>
    <w:rsid w:val="671B567F"/>
    <w:rsid w:val="679C4B3C"/>
    <w:rsid w:val="679D29AB"/>
    <w:rsid w:val="67E63CA1"/>
    <w:rsid w:val="68060624"/>
    <w:rsid w:val="68440DCC"/>
    <w:rsid w:val="6871518E"/>
    <w:rsid w:val="687A0B56"/>
    <w:rsid w:val="68E34C6D"/>
    <w:rsid w:val="68F12D5A"/>
    <w:rsid w:val="69652668"/>
    <w:rsid w:val="69AD294C"/>
    <w:rsid w:val="69AD2C4D"/>
    <w:rsid w:val="6A1B40E7"/>
    <w:rsid w:val="6A250768"/>
    <w:rsid w:val="6A5D4B12"/>
    <w:rsid w:val="6A6063F9"/>
    <w:rsid w:val="6B98758F"/>
    <w:rsid w:val="6BE654DF"/>
    <w:rsid w:val="6BF7263C"/>
    <w:rsid w:val="6C6D1084"/>
    <w:rsid w:val="6C857F8F"/>
    <w:rsid w:val="6CC135D6"/>
    <w:rsid w:val="6CCD20B3"/>
    <w:rsid w:val="6CF374CC"/>
    <w:rsid w:val="6D001B3D"/>
    <w:rsid w:val="6D0131D0"/>
    <w:rsid w:val="6D846A44"/>
    <w:rsid w:val="6D9B024D"/>
    <w:rsid w:val="6DAF4F35"/>
    <w:rsid w:val="6DF774E8"/>
    <w:rsid w:val="6DFD1875"/>
    <w:rsid w:val="6E221CD2"/>
    <w:rsid w:val="6E482D3F"/>
    <w:rsid w:val="6EC3432A"/>
    <w:rsid w:val="6EF82493"/>
    <w:rsid w:val="6F8D6BB6"/>
    <w:rsid w:val="6FCA69EA"/>
    <w:rsid w:val="70317F6E"/>
    <w:rsid w:val="7071315F"/>
    <w:rsid w:val="707A5AF3"/>
    <w:rsid w:val="7096762C"/>
    <w:rsid w:val="71336561"/>
    <w:rsid w:val="715C241E"/>
    <w:rsid w:val="71AD3116"/>
    <w:rsid w:val="723E5BC0"/>
    <w:rsid w:val="72516B75"/>
    <w:rsid w:val="727F15CF"/>
    <w:rsid w:val="72E00FA7"/>
    <w:rsid w:val="732520F9"/>
    <w:rsid w:val="734A5A85"/>
    <w:rsid w:val="7368158B"/>
    <w:rsid w:val="740244B2"/>
    <w:rsid w:val="741341D7"/>
    <w:rsid w:val="74AF72CD"/>
    <w:rsid w:val="74BD1EDC"/>
    <w:rsid w:val="74CE255F"/>
    <w:rsid w:val="752B5F7F"/>
    <w:rsid w:val="752E07E0"/>
    <w:rsid w:val="75445306"/>
    <w:rsid w:val="757F13D4"/>
    <w:rsid w:val="75932C00"/>
    <w:rsid w:val="75DA7A50"/>
    <w:rsid w:val="761C6F27"/>
    <w:rsid w:val="76EA4834"/>
    <w:rsid w:val="773F0376"/>
    <w:rsid w:val="776D3905"/>
    <w:rsid w:val="78057859"/>
    <w:rsid w:val="78217C4E"/>
    <w:rsid w:val="782A57CC"/>
    <w:rsid w:val="79097630"/>
    <w:rsid w:val="79421EF2"/>
    <w:rsid w:val="79600E81"/>
    <w:rsid w:val="79960B65"/>
    <w:rsid w:val="79BA3A15"/>
    <w:rsid w:val="7A2D1ED1"/>
    <w:rsid w:val="7A334DD6"/>
    <w:rsid w:val="7A630927"/>
    <w:rsid w:val="7A730AEB"/>
    <w:rsid w:val="7A8F1CE7"/>
    <w:rsid w:val="7AA9302A"/>
    <w:rsid w:val="7AB711F3"/>
    <w:rsid w:val="7ABF65EF"/>
    <w:rsid w:val="7ACA0315"/>
    <w:rsid w:val="7B272487"/>
    <w:rsid w:val="7B53785E"/>
    <w:rsid w:val="7BAD6D08"/>
    <w:rsid w:val="7C2F196F"/>
    <w:rsid w:val="7C524A8C"/>
    <w:rsid w:val="7C742A20"/>
    <w:rsid w:val="7C836EAC"/>
    <w:rsid w:val="7D383EF2"/>
    <w:rsid w:val="7D726C7D"/>
    <w:rsid w:val="7DC070E2"/>
    <w:rsid w:val="7DE76E73"/>
    <w:rsid w:val="7E091C9A"/>
    <w:rsid w:val="7E1328B2"/>
    <w:rsid w:val="7E86676E"/>
    <w:rsid w:val="7EC66D5C"/>
    <w:rsid w:val="7F694CA6"/>
    <w:rsid w:val="7F6A55C7"/>
    <w:rsid w:val="7F92204E"/>
    <w:rsid w:val="7FFC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8" w:lineRule="auto"/>
      <w:jc w:val="center"/>
      <w:outlineLvl w:val="0"/>
    </w:pPr>
    <w:rPr>
      <w:b/>
      <w:bCs/>
      <w:kern w:val="44"/>
      <w:sz w:val="36"/>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index 8"/>
    <w:basedOn w:val="1"/>
    <w:next w:val="1"/>
    <w:semiHidden/>
    <w:qFormat/>
    <w:uiPriority w:val="0"/>
    <w:pPr>
      <w:ind w:left="685" w:leftChars="326"/>
    </w:pPr>
  </w:style>
  <w:style w:type="paragraph" w:styleId="7">
    <w:name w:val="Normal Indent"/>
    <w:basedOn w:val="1"/>
    <w:qFormat/>
    <w:uiPriority w:val="0"/>
    <w:pPr>
      <w:ind w:firstLine="420" w:firstLineChars="200"/>
    </w:pPr>
  </w:style>
  <w:style w:type="paragraph" w:styleId="8">
    <w:name w:val="Body Text Indent"/>
    <w:basedOn w:val="1"/>
    <w:qFormat/>
    <w:uiPriority w:val="0"/>
    <w:pPr>
      <w:ind w:firstLine="630"/>
    </w:pPr>
    <w:rPr>
      <w:sz w:val="32"/>
      <w:szCs w:val="20"/>
    </w:rPr>
  </w:style>
  <w:style w:type="paragraph" w:styleId="9">
    <w:name w:val="toc 3"/>
    <w:basedOn w:val="1"/>
    <w:next w:val="1"/>
    <w:qFormat/>
    <w:uiPriority w:val="0"/>
    <w:pPr>
      <w:ind w:left="840" w:leftChars="4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Subtitle"/>
    <w:basedOn w:val="1"/>
    <w:next w:val="1"/>
    <w:qFormat/>
    <w:uiPriority w:val="11"/>
    <w:pPr>
      <w:spacing w:before="240" w:after="60" w:line="312" w:lineRule="auto"/>
      <w:jc w:val="center"/>
      <w:outlineLvl w:val="1"/>
    </w:pPr>
    <w:rPr>
      <w:rFonts w:ascii="Calibri Light" w:hAnsi="Calibri Light"/>
      <w:b/>
      <w:bCs/>
      <w:kern w:val="28"/>
      <w:sz w:val="32"/>
      <w:szCs w:val="32"/>
    </w:rPr>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index 1"/>
    <w:basedOn w:val="1"/>
    <w:next w:val="1"/>
    <w:qFormat/>
    <w:uiPriority w:val="0"/>
    <w:pPr>
      <w:tabs>
        <w:tab w:val="right" w:leader="dot" w:pos="8306"/>
      </w:tabs>
      <w:adjustRightInd w:val="0"/>
      <w:spacing w:before="80" w:after="80" w:line="320" w:lineRule="atLeast"/>
      <w:textAlignment w:val="baseline"/>
    </w:pPr>
    <w:rPr>
      <w:rFonts w:ascii="Times New Roman" w:hAnsi="Times New Roman"/>
      <w:kern w:val="0"/>
      <w:sz w:val="24"/>
      <w:szCs w:val="20"/>
    </w:rPr>
  </w:style>
  <w:style w:type="paragraph" w:styleId="17">
    <w:name w:val="Body Text First Indent"/>
    <w:basedOn w:val="2"/>
    <w:qFormat/>
    <w:uiPriority w:val="0"/>
    <w:pPr>
      <w:ind w:firstLine="420" w:firstLineChars="100"/>
    </w:pPr>
    <w:rPr>
      <w:rFonts w:ascii="宋体" w:hAnsi="宋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0"/>
    <w:rPr>
      <w:color w:val="3D3D3D"/>
      <w:u w:val="none"/>
    </w:rPr>
  </w:style>
  <w:style w:type="paragraph" w:customStyle="1" w:styleId="22">
    <w:name w:val="标题 5（有编号）（绿盟科技）"/>
    <w:basedOn w:val="1"/>
    <w:next w:val="23"/>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23">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4">
    <w:name w:val="标题 1 Char"/>
    <w:link w:val="3"/>
    <w:qFormat/>
    <w:uiPriority w:val="0"/>
    <w:rPr>
      <w:b/>
      <w:bCs/>
      <w:kern w:val="44"/>
      <w:sz w:val="36"/>
      <w:szCs w:val="44"/>
    </w:rPr>
  </w:style>
  <w:style w:type="paragraph" w:customStyle="1" w:styleId="25">
    <w:name w:val="正文首行缩进两字符"/>
    <w:basedOn w:val="1"/>
    <w:qFormat/>
    <w:uiPriority w:val="0"/>
    <w:pPr>
      <w:spacing w:line="360" w:lineRule="auto"/>
      <w:ind w:firstLine="200" w:firstLineChars="200"/>
    </w:p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
    <w:name w:val="kerning2lochf13hichaf2db"/>
    <w:qFormat/>
    <w:uiPriority w:val="0"/>
    <w:pPr>
      <w:widowControl w:val="0"/>
      <w:autoSpaceDE w:val="0"/>
      <w:autoSpaceDN w:val="0"/>
      <w:adjustRightInd w:val="0"/>
      <w:jc w:val="both"/>
    </w:pPr>
    <w:rPr>
      <w:rFonts w:ascii="Calibri" w:hAnsi="Calibri" w:eastAsia="微软雅黑" w:cs="Times New Roman"/>
      <w:sz w:val="21"/>
      <w:szCs w:val="21"/>
      <w:lang w:val="en-US" w:eastAsia="zh-CN" w:bidi="ar-SA"/>
    </w:r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标题  2"/>
    <w:basedOn w:val="1"/>
    <w:next w:val="1"/>
    <w:qFormat/>
    <w:uiPriority w:val="0"/>
    <w:pPr>
      <w:tabs>
        <w:tab w:val="left" w:pos="3120"/>
      </w:tabs>
      <w:spacing w:beforeLines="50" w:afterLines="50" w:line="360" w:lineRule="auto"/>
      <w:jc w:val="center"/>
      <w:outlineLvl w:val="1"/>
    </w:pPr>
    <w:rPr>
      <w:rFonts w:ascii="华文中宋" w:hAnsi="华文中宋"/>
      <w:b/>
      <w:bCs/>
      <w:sz w:val="32"/>
      <w:szCs w:val="44"/>
    </w:rPr>
  </w:style>
  <w:style w:type="paragraph" w:customStyle="1" w:styleId="30">
    <w:name w:val="表文"/>
    <w:qFormat/>
    <w:uiPriority w:val="0"/>
    <w:pPr>
      <w:spacing w:line="276" w:lineRule="auto"/>
      <w:contextualSpacing/>
      <w:textAlignment w:val="center"/>
    </w:pPr>
    <w:rPr>
      <w:rFonts w:ascii="宋体" w:hAnsi="宋体" w:eastAsia="宋体" w:cs="Times New Roman"/>
      <w:kern w:val="2"/>
      <w:sz w:val="21"/>
      <w:szCs w:val="21"/>
      <w:lang w:val="en-US" w:eastAsia="zh-CN" w:bidi="ar-SA"/>
    </w:rPr>
  </w:style>
  <w:style w:type="character" w:customStyle="1" w:styleId="31">
    <w:name w:val="font11"/>
    <w:basedOn w:val="20"/>
    <w:qFormat/>
    <w:uiPriority w:val="0"/>
    <w:rPr>
      <w:rFonts w:hint="default" w:ascii="Times New Roman" w:hAnsi="Times New Roman" w:cs="Times New Roman"/>
      <w:color w:val="000000"/>
      <w:sz w:val="22"/>
      <w:szCs w:val="22"/>
      <w:u w:val="none"/>
    </w:rPr>
  </w:style>
  <w:style w:type="character" w:customStyle="1" w:styleId="32">
    <w:name w:val="font41"/>
    <w:basedOn w:val="20"/>
    <w:qFormat/>
    <w:uiPriority w:val="0"/>
    <w:rPr>
      <w:rFonts w:hint="default" w:ascii="方正仿宋_GBK" w:hAnsi="方正仿宋_GBK" w:eastAsia="方正仿宋_GBK" w:cs="方正仿宋_GBK"/>
      <w:color w:val="000000"/>
      <w:sz w:val="22"/>
      <w:szCs w:val="22"/>
      <w:u w:val="none"/>
    </w:rPr>
  </w:style>
  <w:style w:type="paragraph" w:customStyle="1" w:styleId="33">
    <w:name w:val="Default"/>
    <w:qFormat/>
    <w:uiPriority w:val="0"/>
    <w:pPr>
      <w:widowControl w:val="0"/>
      <w:autoSpaceDE w:val="0"/>
      <w:autoSpaceDN w:val="0"/>
      <w:adjustRightInd w:val="0"/>
    </w:pPr>
    <w:rPr>
      <w:rFonts w:ascii="黑体桌礉..." w:hAnsi="Calibri" w:eastAsia="黑体桌礉..." w:cs="黑体桌礉..."/>
      <w:color w:val="000000"/>
      <w:sz w:val="24"/>
      <w:szCs w:val="24"/>
      <w:lang w:val="en-US" w:eastAsia="zh-CN" w:bidi="ar-SA"/>
    </w:rPr>
  </w:style>
  <w:style w:type="paragraph" w:styleId="34">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3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
    <w:name w:val="Other|1"/>
    <w:basedOn w:val="1"/>
    <w:qFormat/>
    <w:uiPriority w:val="0"/>
    <w:pPr>
      <w:spacing w:line="444" w:lineRule="auto"/>
      <w:ind w:firstLine="400"/>
    </w:pPr>
    <w:rPr>
      <w:sz w:val="26"/>
      <w:szCs w:val="26"/>
      <w:lang w:val="zh-TW" w:eastAsia="zh-TW" w:bidi="zh-TW"/>
    </w:rPr>
  </w:style>
  <w:style w:type="paragraph" w:customStyle="1" w:styleId="37">
    <w:name w:val="样式 首行缩进:  2 字符"/>
    <w:basedOn w:val="1"/>
    <w:qFormat/>
    <w:uiPriority w:val="0"/>
    <w:pPr>
      <w:spacing w:line="400" w:lineRule="exact"/>
      <w:ind w:firstLine="200" w:firstLineChars="200"/>
    </w:pPr>
    <w:rPr>
      <w:rFonts w:ascii="Calibri" w:hAnsi="Calibri" w:eastAsia="宋体" w:cs="宋体"/>
      <w:sz w:val="24"/>
      <w:szCs w:val="24"/>
    </w:rPr>
  </w:style>
  <w:style w:type="paragraph" w:customStyle="1" w:styleId="38">
    <w:name w:val="List Paragraph1"/>
    <w:basedOn w:val="1"/>
    <w:qFormat/>
    <w:uiPriority w:val="99"/>
    <w:pPr>
      <w:ind w:firstLine="420" w:firstLineChars="200"/>
    </w:pPr>
    <w:rPr>
      <w:rFonts w:ascii="Calibri" w:hAnsi="Calibri" w:cs="Calibri"/>
      <w:kern w:val="0"/>
      <w:sz w:val="20"/>
      <w:lang w:val="zh-CN"/>
    </w:rPr>
  </w:style>
  <w:style w:type="paragraph" w:customStyle="1" w:styleId="39">
    <w:name w:val="01、普通正文"/>
    <w:basedOn w:val="1"/>
    <w:qFormat/>
    <w:uiPriority w:val="0"/>
    <w:pPr>
      <w:tabs>
        <w:tab w:val="left" w:pos="0"/>
      </w:tabs>
      <w:wordWrap w:val="0"/>
      <w:topLinePunct/>
      <w:ind w:firstLine="0" w:firstLineChars="0"/>
    </w:pPr>
    <w:rPr>
      <w:rFonts w:ascii="宋体" w:hAnsi="宋体" w:eastAsia="宋体"/>
      <w:snapToGrid w:val="0"/>
    </w:rPr>
  </w:style>
  <w:style w:type="paragraph" w:customStyle="1" w:styleId="40">
    <w:name w:val="二级标题"/>
    <w:basedOn w:val="1"/>
    <w:qFormat/>
    <w:uiPriority w:val="0"/>
    <w:pPr>
      <w:spacing w:beforeLines="50" w:afterLines="50" w:line="400" w:lineRule="exact"/>
      <w:outlineLvl w:val="1"/>
    </w:pPr>
    <w:rPr>
      <w:rFonts w:ascii="黑体" w:hAnsi="宋体" w:eastAsia="黑体"/>
      <w:sz w:val="28"/>
      <w:szCs w:val="28"/>
    </w:rPr>
  </w:style>
  <w:style w:type="character" w:customStyle="1" w:styleId="41">
    <w:name w:val="标题 3 Char"/>
    <w:link w:val="5"/>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2021-09-15T08:50:00Z</dcterms:created>
  <dc:creator>肖肖</dc:creator>
  <cp:lastModifiedBy>Administrator</cp:lastModifiedBy>
  <dcterms:modified xsi:type="dcterms:W3CDTF">2021-10-20T01:31:18Z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455AB312B9EB44228C68CF9F25F87AB7</vt:lpwstr>
  </property>
</Properties>
</file>