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ascii="新宋体" w:hAnsi="新宋体" w:eastAsia="新宋体"/>
          <w:b/>
          <w:color w:val="auto"/>
          <w:sz w:val="36"/>
          <w:szCs w:val="36"/>
        </w:rPr>
      </w:pPr>
      <w:bookmarkStart w:id="0" w:name="_Hlt101233737"/>
      <w:bookmarkEnd w:id="0"/>
      <w:bookmarkStart w:id="1" w:name="_Hlt101843627"/>
      <w:bookmarkEnd w:id="1"/>
    </w:p>
    <w:p>
      <w:pPr>
        <w:rPr>
          <w:rFonts w:ascii="新宋体" w:hAnsi="新宋体" w:eastAsia="新宋体"/>
          <w:b/>
          <w:color w:val="auto"/>
          <w:sz w:val="36"/>
          <w:szCs w:val="36"/>
        </w:rPr>
      </w:pPr>
    </w:p>
    <w:p>
      <w:pPr>
        <w:jc w:val="center"/>
        <w:rPr>
          <w:rFonts w:ascii="新宋体" w:hAnsi="新宋体" w:eastAsia="新宋体"/>
          <w:b/>
          <w:color w:val="auto"/>
          <w:sz w:val="36"/>
        </w:rPr>
      </w:pPr>
      <w:r>
        <w:rPr>
          <w:rFonts w:hint="eastAsia" w:ascii="新宋体" w:hAnsi="新宋体" w:eastAsia="新宋体"/>
          <w:b/>
          <w:color w:val="auto"/>
          <w:sz w:val="36"/>
        </w:rPr>
        <w:t xml:space="preserve">招标编号： 510101202100652 </w:t>
      </w:r>
    </w:p>
    <w:p>
      <w:pPr>
        <w:jc w:val="center"/>
        <w:rPr>
          <w:rFonts w:ascii="新宋体" w:hAnsi="新宋体" w:eastAsia="新宋体"/>
          <w:b/>
          <w:color w:val="auto"/>
          <w:sz w:val="24"/>
        </w:rPr>
      </w:pPr>
      <w:r>
        <w:rPr>
          <w:rFonts w:hint="eastAsia" w:ascii="新宋体" w:hAnsi="新宋体" w:eastAsia="新宋体"/>
          <w:b/>
          <w:color w:val="auto"/>
          <w:sz w:val="24"/>
        </w:rPr>
        <w:t>代理机构备案编号：</w:t>
      </w:r>
      <w:r>
        <w:rPr>
          <w:rFonts w:ascii="新宋体" w:hAnsi="新宋体" w:eastAsia="新宋体"/>
          <w:b/>
          <w:color w:val="auto"/>
          <w:sz w:val="24"/>
        </w:rPr>
        <w:t>CDYH-SC-2021-700</w:t>
      </w:r>
      <w:r>
        <w:rPr>
          <w:rFonts w:hint="eastAsia" w:ascii="新宋体" w:hAnsi="新宋体" w:eastAsia="新宋体"/>
          <w:b/>
          <w:color w:val="auto"/>
          <w:sz w:val="24"/>
        </w:rPr>
        <w:t>3</w:t>
      </w:r>
      <w:r>
        <w:rPr>
          <w:rFonts w:ascii="新宋体" w:hAnsi="新宋体" w:eastAsia="新宋体"/>
          <w:b/>
          <w:color w:val="auto"/>
          <w:sz w:val="24"/>
        </w:rPr>
        <w:t>-02</w:t>
      </w:r>
      <w:r>
        <w:rPr>
          <w:rFonts w:hint="eastAsia" w:ascii="新宋体" w:hAnsi="新宋体" w:eastAsia="新宋体"/>
          <w:b/>
          <w:color w:val="auto"/>
          <w:sz w:val="24"/>
        </w:rPr>
        <w:t>（仅代理机构内部存档使用)</w:t>
      </w:r>
    </w:p>
    <w:p>
      <w:pPr>
        <w:rPr>
          <w:rFonts w:ascii="新宋体" w:hAnsi="新宋体" w:eastAsia="新宋体"/>
          <w:b/>
          <w:color w:val="auto"/>
          <w:sz w:val="36"/>
          <w:szCs w:val="36"/>
        </w:rPr>
      </w:pPr>
    </w:p>
    <w:p>
      <w:pPr>
        <w:rPr>
          <w:rFonts w:ascii="新宋体" w:hAnsi="新宋体" w:eastAsia="新宋体"/>
          <w:b/>
          <w:color w:val="auto"/>
          <w:sz w:val="36"/>
          <w:szCs w:val="36"/>
        </w:rPr>
      </w:pPr>
    </w:p>
    <w:p>
      <w:pPr>
        <w:jc w:val="center"/>
        <w:rPr>
          <w:rFonts w:ascii="Times New Roman" w:hAnsi="Times New Roman"/>
          <w:color w:val="auto"/>
        </w:rPr>
      </w:pPr>
      <w:r>
        <w:rPr>
          <w:rFonts w:hint="eastAsia" w:ascii="新宋体" w:hAnsi="新宋体" w:eastAsia="新宋体"/>
          <w:b/>
          <w:color w:val="auto"/>
          <w:sz w:val="52"/>
          <w:szCs w:val="52"/>
        </w:rPr>
        <w:t>成都2021年第31届世界大学生夏季运动会射击、射箭竞赛进口专项器材采购项目</w:t>
      </w: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rPr>
          <w:rFonts w:ascii="Times New Roman" w:hAnsi="Times New Roman"/>
          <w:color w:val="auto"/>
        </w:rPr>
      </w:pPr>
    </w:p>
    <w:p>
      <w:pPr>
        <w:spacing w:line="400" w:lineRule="atLeast"/>
        <w:jc w:val="center"/>
        <w:outlineLvl w:val="0"/>
        <w:rPr>
          <w:rFonts w:ascii="新宋体" w:hAnsi="新宋体" w:eastAsia="新宋体"/>
          <w:color w:val="auto"/>
          <w:sz w:val="84"/>
          <w:szCs w:val="84"/>
        </w:rPr>
      </w:pPr>
      <w:bookmarkStart w:id="2" w:name="_Toc433106564"/>
      <w:bookmarkStart w:id="3" w:name="_Toc420501700"/>
      <w:bookmarkStart w:id="4" w:name="_Toc420327028"/>
      <w:bookmarkStart w:id="5" w:name="_Toc527460968"/>
      <w:bookmarkStart w:id="6" w:name="_Toc439244011"/>
      <w:bookmarkStart w:id="7" w:name="_Toc65154632"/>
      <w:bookmarkStart w:id="8" w:name="_Toc420584243"/>
      <w:bookmarkStart w:id="9" w:name="_Toc420327179"/>
      <w:bookmarkStart w:id="10" w:name="_Toc468095834"/>
      <w:bookmarkStart w:id="11" w:name="_Toc469316021"/>
      <w:bookmarkStart w:id="12" w:name="_Toc450810085"/>
      <w:bookmarkStart w:id="13" w:name="_Toc469316181"/>
      <w:bookmarkStart w:id="14" w:name="_Toc433707985"/>
      <w:bookmarkStart w:id="15" w:name="_Toc420327446"/>
      <w:bookmarkStart w:id="16" w:name="_Toc462647976"/>
      <w:bookmarkStart w:id="17" w:name="_Toc448836910"/>
      <w:bookmarkStart w:id="18" w:name="_Toc434930258"/>
      <w:bookmarkStart w:id="19" w:name="_Toc420496562"/>
      <w:bookmarkStart w:id="20" w:name="_Toc430594793"/>
      <w:bookmarkStart w:id="21" w:name="_Toc65154529"/>
      <w:bookmarkStart w:id="22" w:name="_Toc420327346"/>
      <w:bookmarkStart w:id="23" w:name="_Toc468096180"/>
      <w:r>
        <w:rPr>
          <w:rFonts w:hint="eastAsia" w:ascii="新宋体" w:hAnsi="新宋体" w:eastAsia="新宋体"/>
          <w:b/>
          <w:color w:val="auto"/>
          <w:sz w:val="84"/>
          <w:szCs w:val="84"/>
        </w:rPr>
        <w:t>招 标 文 件</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pPr>
        <w:spacing w:line="400" w:lineRule="atLeast"/>
        <w:rPr>
          <w:rFonts w:ascii="新宋体" w:hAnsi="新宋体" w:eastAsia="新宋体"/>
          <w:color w:val="auto"/>
          <w:sz w:val="44"/>
          <w:szCs w:val="44"/>
        </w:rPr>
      </w:pPr>
    </w:p>
    <w:p>
      <w:pPr>
        <w:spacing w:line="400" w:lineRule="atLeast"/>
        <w:jc w:val="center"/>
        <w:rPr>
          <w:rFonts w:ascii="新宋体" w:hAnsi="新宋体" w:eastAsia="新宋体"/>
          <w:color w:val="auto"/>
          <w:sz w:val="44"/>
          <w:szCs w:val="44"/>
        </w:rPr>
      </w:pPr>
    </w:p>
    <w:p>
      <w:pPr>
        <w:spacing w:line="400" w:lineRule="atLeast"/>
        <w:rPr>
          <w:rFonts w:ascii="新宋体" w:hAnsi="新宋体" w:eastAsia="新宋体"/>
          <w:color w:val="auto"/>
          <w:sz w:val="44"/>
          <w:szCs w:val="44"/>
        </w:rPr>
      </w:pPr>
    </w:p>
    <w:p>
      <w:pPr>
        <w:spacing w:line="400" w:lineRule="atLeast"/>
        <w:rPr>
          <w:rFonts w:ascii="新宋体" w:hAnsi="新宋体" w:eastAsia="新宋体"/>
          <w:color w:val="auto"/>
          <w:sz w:val="44"/>
          <w:szCs w:val="44"/>
        </w:rPr>
      </w:pPr>
    </w:p>
    <w:p>
      <w:pPr>
        <w:spacing w:line="360" w:lineRule="auto"/>
        <w:rPr>
          <w:rFonts w:ascii="新宋体" w:hAnsi="新宋体" w:eastAsia="新宋体"/>
          <w:color w:val="auto"/>
          <w:sz w:val="44"/>
          <w:szCs w:val="44"/>
        </w:rPr>
      </w:pPr>
    </w:p>
    <w:p>
      <w:pPr>
        <w:spacing w:line="360" w:lineRule="auto"/>
        <w:jc w:val="center"/>
        <w:rPr>
          <w:rFonts w:ascii="新宋体" w:hAnsi="新宋体" w:eastAsia="新宋体"/>
          <w:b/>
          <w:color w:val="auto"/>
          <w:sz w:val="36"/>
          <w:szCs w:val="36"/>
        </w:rPr>
      </w:pPr>
      <w:r>
        <w:rPr>
          <w:rFonts w:hint="eastAsia" w:ascii="新宋体" w:hAnsi="新宋体" w:eastAsia="新宋体"/>
          <w:b/>
          <w:color w:val="auto"/>
          <w:sz w:val="36"/>
          <w:szCs w:val="36"/>
        </w:rPr>
        <w:t>采 购 人： 成都市射击运动学校</w:t>
      </w:r>
    </w:p>
    <w:p>
      <w:pPr>
        <w:spacing w:line="360" w:lineRule="auto"/>
        <w:jc w:val="center"/>
        <w:rPr>
          <w:rFonts w:ascii="新宋体" w:hAnsi="新宋体" w:eastAsia="新宋体"/>
          <w:b/>
          <w:color w:val="auto"/>
          <w:sz w:val="36"/>
          <w:szCs w:val="36"/>
        </w:rPr>
      </w:pPr>
      <w:r>
        <w:rPr>
          <w:rFonts w:hint="eastAsia" w:ascii="新宋体" w:hAnsi="新宋体" w:eastAsia="新宋体"/>
          <w:b/>
          <w:color w:val="auto"/>
          <w:sz w:val="36"/>
          <w:szCs w:val="36"/>
        </w:rPr>
        <w:t>采购代理机构：成都盈合工程项目管理有限公司</w:t>
      </w:r>
    </w:p>
    <w:p>
      <w:pPr>
        <w:spacing w:line="360" w:lineRule="auto"/>
        <w:jc w:val="center"/>
        <w:rPr>
          <w:rFonts w:ascii="新宋体" w:hAnsi="新宋体" w:eastAsia="新宋体"/>
          <w:b/>
          <w:color w:val="auto"/>
          <w:sz w:val="36"/>
          <w:szCs w:val="36"/>
        </w:rPr>
      </w:pPr>
    </w:p>
    <w:p>
      <w:pPr>
        <w:jc w:val="center"/>
        <w:rPr>
          <w:rFonts w:ascii="新宋体" w:hAnsi="新宋体" w:eastAsia="新宋体"/>
          <w:b/>
          <w:color w:val="auto"/>
          <w:sz w:val="36"/>
          <w:szCs w:val="36"/>
        </w:rPr>
      </w:pPr>
      <w:r>
        <w:rPr>
          <w:rFonts w:hint="eastAsia" w:ascii="新宋体" w:hAnsi="新宋体" w:eastAsia="新宋体"/>
          <w:b/>
          <w:color w:val="auto"/>
          <w:sz w:val="36"/>
          <w:szCs w:val="36"/>
        </w:rPr>
        <w:t>2021年</w:t>
      </w:r>
      <w:r>
        <w:rPr>
          <w:rFonts w:ascii="新宋体" w:hAnsi="新宋体" w:eastAsia="新宋体"/>
          <w:b/>
          <w:color w:val="auto"/>
          <w:sz w:val="36"/>
          <w:szCs w:val="36"/>
        </w:rPr>
        <w:t>6月</w:t>
      </w:r>
    </w:p>
    <w:p>
      <w:pPr>
        <w:rPr>
          <w:rFonts w:ascii="宋体" w:hAnsi="宋体"/>
          <w:color w:val="auto"/>
          <w:sz w:val="36"/>
        </w:rPr>
      </w:pPr>
    </w:p>
    <w:p>
      <w:pPr>
        <w:widowControl/>
        <w:jc w:val="left"/>
        <w:rPr>
          <w:rFonts w:ascii="宋体" w:hAnsi="宋体"/>
          <w:color w:val="auto"/>
          <w:sz w:val="36"/>
        </w:rPr>
      </w:pPr>
      <w:r>
        <w:rPr>
          <w:rFonts w:ascii="宋体" w:hAnsi="宋体"/>
          <w:color w:val="auto"/>
          <w:sz w:val="36"/>
        </w:rPr>
        <w:br w:type="page"/>
      </w:r>
    </w:p>
    <w:p>
      <w:pPr>
        <w:spacing w:line="360" w:lineRule="auto"/>
        <w:jc w:val="center"/>
        <w:rPr>
          <w:rFonts w:ascii="宋体" w:hAnsi="宋体"/>
          <w:color w:val="auto"/>
          <w:sz w:val="36"/>
        </w:rPr>
      </w:pPr>
      <w:r>
        <w:rPr>
          <w:rFonts w:hint="eastAsia" w:ascii="宋体" w:hAnsi="宋体"/>
          <w:color w:val="auto"/>
          <w:sz w:val="36"/>
        </w:rPr>
        <w:t>目    录</w:t>
      </w:r>
    </w:p>
    <w:p>
      <w:pPr>
        <w:pStyle w:val="2"/>
        <w:rPr>
          <w:color w:val="auto"/>
        </w:rPr>
      </w:pPr>
    </w:p>
    <w:p>
      <w:pPr>
        <w:pStyle w:val="2"/>
        <w:rPr>
          <w:color w:val="auto"/>
        </w:rPr>
      </w:pPr>
    </w:p>
    <w:p>
      <w:pPr>
        <w:pStyle w:val="25"/>
        <w:tabs>
          <w:tab w:val="right" w:leader="dot" w:pos="9628"/>
        </w:tabs>
        <w:spacing w:line="480" w:lineRule="auto"/>
        <w:rPr>
          <w:rFonts w:ascii="宋体" w:hAnsi="宋体" w:cstheme="minorBidi"/>
          <w:color w:val="auto"/>
          <w:sz w:val="30"/>
          <w:szCs w:val="30"/>
        </w:rPr>
      </w:pPr>
      <w:r>
        <w:rPr>
          <w:rFonts w:ascii="宋体" w:hAnsi="宋体"/>
          <w:b/>
          <w:color w:val="auto"/>
          <w:sz w:val="30"/>
          <w:szCs w:val="30"/>
        </w:rPr>
        <w:fldChar w:fldCharType="begin"/>
      </w:r>
      <w:r>
        <w:rPr>
          <w:rFonts w:ascii="宋体" w:hAnsi="宋体"/>
          <w:b/>
          <w:color w:val="auto"/>
          <w:sz w:val="30"/>
          <w:szCs w:val="30"/>
        </w:rPr>
        <w:instrText xml:space="preserve"> TOC \o "1-1" \h \z \u </w:instrText>
      </w:r>
      <w:r>
        <w:rPr>
          <w:rFonts w:ascii="宋体" w:hAnsi="宋体"/>
          <w:b/>
          <w:color w:val="auto"/>
          <w:sz w:val="30"/>
          <w:szCs w:val="30"/>
        </w:rPr>
        <w:fldChar w:fldCharType="separate"/>
      </w:r>
      <w:r>
        <w:rPr>
          <w:color w:val="auto"/>
        </w:rPr>
        <w:fldChar w:fldCharType="begin"/>
      </w:r>
      <w:r>
        <w:rPr>
          <w:color w:val="auto"/>
        </w:rPr>
        <w:instrText xml:space="preserve"> HYPERLINK \l "_Toc65154633" </w:instrText>
      </w:r>
      <w:r>
        <w:rPr>
          <w:color w:val="auto"/>
        </w:rPr>
        <w:fldChar w:fldCharType="separate"/>
      </w:r>
      <w:r>
        <w:rPr>
          <w:rStyle w:val="41"/>
          <w:rFonts w:hint="eastAsia" w:ascii="宋体" w:hAnsi="宋体"/>
          <w:color w:val="auto"/>
          <w:sz w:val="30"/>
          <w:szCs w:val="30"/>
        </w:rPr>
        <w:t>第一章</w:t>
      </w:r>
      <w:r>
        <w:rPr>
          <w:rStyle w:val="41"/>
          <w:rFonts w:ascii="宋体" w:hAnsi="宋体"/>
          <w:color w:val="auto"/>
          <w:sz w:val="30"/>
          <w:szCs w:val="30"/>
        </w:rPr>
        <w:t xml:space="preserve">  </w:t>
      </w:r>
      <w:r>
        <w:rPr>
          <w:rStyle w:val="41"/>
          <w:rFonts w:hint="eastAsia" w:ascii="宋体" w:hAnsi="宋体"/>
          <w:color w:val="auto"/>
          <w:sz w:val="30"/>
          <w:szCs w:val="30"/>
        </w:rPr>
        <w:t>投标邀请</w:t>
      </w:r>
      <w:r>
        <w:rPr>
          <w:rFonts w:ascii="宋体" w:hAnsi="宋体"/>
          <w:color w:val="auto"/>
          <w:sz w:val="30"/>
          <w:szCs w:val="30"/>
        </w:rPr>
        <w:tab/>
      </w:r>
      <w:r>
        <w:rPr>
          <w:rFonts w:ascii="宋体" w:hAnsi="宋体"/>
          <w:color w:val="auto"/>
          <w:sz w:val="30"/>
          <w:szCs w:val="30"/>
        </w:rPr>
        <w:fldChar w:fldCharType="begin"/>
      </w:r>
      <w:r>
        <w:rPr>
          <w:rFonts w:ascii="宋体" w:hAnsi="宋体"/>
          <w:color w:val="auto"/>
          <w:sz w:val="30"/>
          <w:szCs w:val="30"/>
        </w:rPr>
        <w:instrText xml:space="preserve"> PAGEREF _Toc65154633 \h </w:instrText>
      </w:r>
      <w:r>
        <w:rPr>
          <w:rFonts w:ascii="宋体" w:hAnsi="宋体"/>
          <w:color w:val="auto"/>
          <w:sz w:val="30"/>
          <w:szCs w:val="30"/>
        </w:rPr>
        <w:fldChar w:fldCharType="separate"/>
      </w:r>
      <w:r>
        <w:rPr>
          <w:rFonts w:ascii="宋体" w:hAnsi="宋体"/>
          <w:color w:val="auto"/>
          <w:sz w:val="30"/>
          <w:szCs w:val="30"/>
        </w:rPr>
        <w:t>3</w:t>
      </w:r>
      <w:r>
        <w:rPr>
          <w:rFonts w:ascii="宋体" w:hAnsi="宋体"/>
          <w:color w:val="auto"/>
          <w:sz w:val="30"/>
          <w:szCs w:val="30"/>
        </w:rPr>
        <w:fldChar w:fldCharType="end"/>
      </w:r>
      <w:r>
        <w:rPr>
          <w:rFonts w:ascii="宋体" w:hAnsi="宋体"/>
          <w:color w:val="auto"/>
          <w:sz w:val="30"/>
          <w:szCs w:val="30"/>
        </w:rPr>
        <w:fldChar w:fldCharType="end"/>
      </w:r>
    </w:p>
    <w:p>
      <w:pPr>
        <w:pStyle w:val="25"/>
        <w:tabs>
          <w:tab w:val="right" w:leader="dot" w:pos="9628"/>
        </w:tabs>
        <w:spacing w:line="480" w:lineRule="auto"/>
        <w:rPr>
          <w:rFonts w:ascii="宋体" w:hAnsi="宋体" w:cstheme="minorBidi"/>
          <w:color w:val="auto"/>
          <w:sz w:val="30"/>
          <w:szCs w:val="30"/>
        </w:rPr>
      </w:pPr>
      <w:r>
        <w:rPr>
          <w:color w:val="auto"/>
        </w:rPr>
        <w:fldChar w:fldCharType="begin"/>
      </w:r>
      <w:r>
        <w:rPr>
          <w:color w:val="auto"/>
        </w:rPr>
        <w:instrText xml:space="preserve"> HYPERLINK \l "_Toc65154634" </w:instrText>
      </w:r>
      <w:r>
        <w:rPr>
          <w:color w:val="auto"/>
        </w:rPr>
        <w:fldChar w:fldCharType="separate"/>
      </w:r>
      <w:r>
        <w:rPr>
          <w:rStyle w:val="41"/>
          <w:rFonts w:hint="eastAsia" w:ascii="宋体" w:hAnsi="宋体"/>
          <w:color w:val="auto"/>
          <w:sz w:val="30"/>
          <w:szCs w:val="30"/>
        </w:rPr>
        <w:t>第二章</w:t>
      </w:r>
      <w:r>
        <w:rPr>
          <w:rStyle w:val="41"/>
          <w:rFonts w:ascii="宋体" w:hAnsi="宋体"/>
          <w:color w:val="auto"/>
          <w:sz w:val="30"/>
          <w:szCs w:val="30"/>
        </w:rPr>
        <w:t xml:space="preserve">  </w:t>
      </w:r>
      <w:r>
        <w:rPr>
          <w:rStyle w:val="41"/>
          <w:rFonts w:hint="eastAsia" w:ascii="宋体" w:hAnsi="宋体"/>
          <w:color w:val="auto"/>
          <w:sz w:val="30"/>
          <w:szCs w:val="30"/>
        </w:rPr>
        <w:t>投标人须知</w:t>
      </w:r>
      <w:r>
        <w:rPr>
          <w:rFonts w:ascii="宋体" w:hAnsi="宋体"/>
          <w:color w:val="auto"/>
          <w:sz w:val="30"/>
          <w:szCs w:val="30"/>
        </w:rPr>
        <w:tab/>
      </w:r>
      <w:r>
        <w:rPr>
          <w:rFonts w:ascii="宋体" w:hAnsi="宋体"/>
          <w:color w:val="auto"/>
          <w:sz w:val="30"/>
          <w:szCs w:val="30"/>
        </w:rPr>
        <w:fldChar w:fldCharType="begin"/>
      </w:r>
      <w:r>
        <w:rPr>
          <w:rFonts w:ascii="宋体" w:hAnsi="宋体"/>
          <w:color w:val="auto"/>
          <w:sz w:val="30"/>
          <w:szCs w:val="30"/>
        </w:rPr>
        <w:instrText xml:space="preserve"> PAGEREF _Toc65154634 \h </w:instrText>
      </w:r>
      <w:r>
        <w:rPr>
          <w:rFonts w:ascii="宋体" w:hAnsi="宋体"/>
          <w:color w:val="auto"/>
          <w:sz w:val="30"/>
          <w:szCs w:val="30"/>
        </w:rPr>
        <w:fldChar w:fldCharType="separate"/>
      </w:r>
      <w:r>
        <w:rPr>
          <w:rFonts w:ascii="宋体" w:hAnsi="宋体"/>
          <w:color w:val="auto"/>
          <w:sz w:val="30"/>
          <w:szCs w:val="30"/>
        </w:rPr>
        <w:t>6</w:t>
      </w:r>
      <w:r>
        <w:rPr>
          <w:rFonts w:ascii="宋体" w:hAnsi="宋体"/>
          <w:color w:val="auto"/>
          <w:sz w:val="30"/>
          <w:szCs w:val="30"/>
        </w:rPr>
        <w:fldChar w:fldCharType="end"/>
      </w:r>
      <w:r>
        <w:rPr>
          <w:rFonts w:ascii="宋体" w:hAnsi="宋体"/>
          <w:color w:val="auto"/>
          <w:sz w:val="30"/>
          <w:szCs w:val="30"/>
        </w:rPr>
        <w:fldChar w:fldCharType="end"/>
      </w:r>
    </w:p>
    <w:p>
      <w:pPr>
        <w:pStyle w:val="25"/>
        <w:tabs>
          <w:tab w:val="right" w:leader="dot" w:pos="9628"/>
        </w:tabs>
        <w:spacing w:line="480" w:lineRule="auto"/>
        <w:rPr>
          <w:rFonts w:ascii="宋体" w:hAnsi="宋体" w:cstheme="minorBidi"/>
          <w:color w:val="auto"/>
          <w:sz w:val="30"/>
          <w:szCs w:val="30"/>
        </w:rPr>
      </w:pPr>
      <w:r>
        <w:rPr>
          <w:color w:val="auto"/>
        </w:rPr>
        <w:fldChar w:fldCharType="begin"/>
      </w:r>
      <w:r>
        <w:rPr>
          <w:color w:val="auto"/>
        </w:rPr>
        <w:instrText xml:space="preserve"> HYPERLINK \l "_Toc65154643" </w:instrText>
      </w:r>
      <w:r>
        <w:rPr>
          <w:color w:val="auto"/>
        </w:rPr>
        <w:fldChar w:fldCharType="separate"/>
      </w:r>
      <w:r>
        <w:rPr>
          <w:rStyle w:val="41"/>
          <w:rFonts w:hint="eastAsia" w:ascii="宋体" w:hAnsi="宋体"/>
          <w:color w:val="auto"/>
          <w:sz w:val="30"/>
          <w:szCs w:val="30"/>
        </w:rPr>
        <w:t>第三章</w:t>
      </w:r>
      <w:r>
        <w:rPr>
          <w:rStyle w:val="41"/>
          <w:rFonts w:ascii="宋体" w:hAnsi="宋体"/>
          <w:color w:val="auto"/>
          <w:sz w:val="30"/>
          <w:szCs w:val="30"/>
        </w:rPr>
        <w:t xml:space="preserve">  </w:t>
      </w:r>
      <w:r>
        <w:rPr>
          <w:rStyle w:val="41"/>
          <w:rFonts w:hint="eastAsia" w:ascii="宋体" w:hAnsi="宋体"/>
          <w:color w:val="auto"/>
          <w:sz w:val="30"/>
          <w:szCs w:val="30"/>
        </w:rPr>
        <w:t>投标文件格式</w:t>
      </w:r>
      <w:r>
        <w:rPr>
          <w:rFonts w:ascii="宋体" w:hAnsi="宋体"/>
          <w:color w:val="auto"/>
          <w:sz w:val="30"/>
          <w:szCs w:val="30"/>
        </w:rPr>
        <w:tab/>
      </w:r>
      <w:r>
        <w:rPr>
          <w:rFonts w:ascii="宋体" w:hAnsi="宋体"/>
          <w:color w:val="auto"/>
          <w:sz w:val="30"/>
          <w:szCs w:val="30"/>
        </w:rPr>
        <w:fldChar w:fldCharType="begin"/>
      </w:r>
      <w:r>
        <w:rPr>
          <w:rFonts w:ascii="宋体" w:hAnsi="宋体"/>
          <w:color w:val="auto"/>
          <w:sz w:val="30"/>
          <w:szCs w:val="30"/>
        </w:rPr>
        <w:instrText xml:space="preserve"> PAGEREF _Toc65154643 \h </w:instrText>
      </w:r>
      <w:r>
        <w:rPr>
          <w:rFonts w:ascii="宋体" w:hAnsi="宋体"/>
          <w:color w:val="auto"/>
          <w:sz w:val="30"/>
          <w:szCs w:val="30"/>
        </w:rPr>
        <w:fldChar w:fldCharType="separate"/>
      </w:r>
      <w:r>
        <w:rPr>
          <w:rFonts w:ascii="宋体" w:hAnsi="宋体"/>
          <w:color w:val="auto"/>
          <w:sz w:val="30"/>
          <w:szCs w:val="30"/>
        </w:rPr>
        <w:t>24</w:t>
      </w:r>
      <w:r>
        <w:rPr>
          <w:rFonts w:ascii="宋体" w:hAnsi="宋体"/>
          <w:color w:val="auto"/>
          <w:sz w:val="30"/>
          <w:szCs w:val="30"/>
        </w:rPr>
        <w:fldChar w:fldCharType="end"/>
      </w:r>
      <w:r>
        <w:rPr>
          <w:rFonts w:ascii="宋体" w:hAnsi="宋体"/>
          <w:color w:val="auto"/>
          <w:sz w:val="30"/>
          <w:szCs w:val="30"/>
        </w:rPr>
        <w:fldChar w:fldCharType="end"/>
      </w:r>
    </w:p>
    <w:p>
      <w:pPr>
        <w:pStyle w:val="25"/>
        <w:tabs>
          <w:tab w:val="right" w:leader="dot" w:pos="9628"/>
        </w:tabs>
        <w:spacing w:line="480" w:lineRule="auto"/>
        <w:rPr>
          <w:rFonts w:ascii="宋体" w:hAnsi="宋体" w:cstheme="minorBidi"/>
          <w:color w:val="auto"/>
          <w:sz w:val="30"/>
          <w:szCs w:val="30"/>
        </w:rPr>
      </w:pPr>
      <w:r>
        <w:rPr>
          <w:color w:val="auto"/>
        </w:rPr>
        <w:fldChar w:fldCharType="begin"/>
      </w:r>
      <w:r>
        <w:rPr>
          <w:color w:val="auto"/>
        </w:rPr>
        <w:instrText xml:space="preserve"> HYPERLINK \l "_Toc65154644" </w:instrText>
      </w:r>
      <w:r>
        <w:rPr>
          <w:color w:val="auto"/>
        </w:rPr>
        <w:fldChar w:fldCharType="separate"/>
      </w:r>
      <w:r>
        <w:rPr>
          <w:rStyle w:val="41"/>
          <w:rFonts w:hint="eastAsia" w:ascii="宋体" w:hAnsi="宋体"/>
          <w:color w:val="auto"/>
          <w:sz w:val="30"/>
          <w:szCs w:val="30"/>
        </w:rPr>
        <w:t>第四章</w:t>
      </w:r>
      <w:r>
        <w:rPr>
          <w:rStyle w:val="41"/>
          <w:rFonts w:ascii="宋体" w:hAnsi="宋体"/>
          <w:color w:val="auto"/>
          <w:sz w:val="30"/>
          <w:szCs w:val="30"/>
        </w:rPr>
        <w:t xml:space="preserve">  </w:t>
      </w:r>
      <w:r>
        <w:rPr>
          <w:rStyle w:val="41"/>
          <w:rFonts w:hint="eastAsia" w:ascii="宋体" w:hAnsi="宋体"/>
          <w:color w:val="auto"/>
          <w:sz w:val="30"/>
          <w:szCs w:val="30"/>
        </w:rPr>
        <w:t>招标项目技术、服务、政府采购合同内容条款及其他商务要求</w:t>
      </w:r>
      <w:r>
        <w:rPr>
          <w:rFonts w:ascii="宋体" w:hAnsi="宋体"/>
          <w:color w:val="auto"/>
          <w:sz w:val="30"/>
          <w:szCs w:val="30"/>
        </w:rPr>
        <w:tab/>
      </w:r>
      <w:r>
        <w:rPr>
          <w:rFonts w:ascii="宋体" w:hAnsi="宋体"/>
          <w:color w:val="auto"/>
          <w:sz w:val="30"/>
          <w:szCs w:val="30"/>
        </w:rPr>
        <w:fldChar w:fldCharType="begin"/>
      </w:r>
      <w:r>
        <w:rPr>
          <w:rFonts w:ascii="宋体" w:hAnsi="宋体"/>
          <w:color w:val="auto"/>
          <w:sz w:val="30"/>
          <w:szCs w:val="30"/>
        </w:rPr>
        <w:instrText xml:space="preserve"> PAGEREF _Toc65154644 \h </w:instrText>
      </w:r>
      <w:r>
        <w:rPr>
          <w:rFonts w:ascii="宋体" w:hAnsi="宋体"/>
          <w:color w:val="auto"/>
          <w:sz w:val="30"/>
          <w:szCs w:val="30"/>
        </w:rPr>
        <w:fldChar w:fldCharType="separate"/>
      </w:r>
      <w:r>
        <w:rPr>
          <w:rFonts w:ascii="宋体" w:hAnsi="宋体"/>
          <w:color w:val="auto"/>
          <w:sz w:val="30"/>
          <w:szCs w:val="30"/>
        </w:rPr>
        <w:t>42</w:t>
      </w:r>
      <w:r>
        <w:rPr>
          <w:rFonts w:ascii="宋体" w:hAnsi="宋体"/>
          <w:color w:val="auto"/>
          <w:sz w:val="30"/>
          <w:szCs w:val="30"/>
        </w:rPr>
        <w:fldChar w:fldCharType="end"/>
      </w:r>
      <w:r>
        <w:rPr>
          <w:rFonts w:ascii="宋体" w:hAnsi="宋体"/>
          <w:color w:val="auto"/>
          <w:sz w:val="30"/>
          <w:szCs w:val="30"/>
        </w:rPr>
        <w:fldChar w:fldCharType="end"/>
      </w:r>
    </w:p>
    <w:p>
      <w:pPr>
        <w:pStyle w:val="25"/>
        <w:tabs>
          <w:tab w:val="right" w:leader="dot" w:pos="9628"/>
        </w:tabs>
        <w:spacing w:line="480" w:lineRule="auto"/>
        <w:rPr>
          <w:rFonts w:ascii="宋体" w:hAnsi="宋体" w:cstheme="minorBidi"/>
          <w:color w:val="auto"/>
          <w:sz w:val="30"/>
          <w:szCs w:val="30"/>
        </w:rPr>
      </w:pPr>
      <w:r>
        <w:rPr>
          <w:color w:val="auto"/>
        </w:rPr>
        <w:fldChar w:fldCharType="begin"/>
      </w:r>
      <w:r>
        <w:rPr>
          <w:color w:val="auto"/>
        </w:rPr>
        <w:instrText xml:space="preserve"> HYPERLINK \l "_Toc65154645" </w:instrText>
      </w:r>
      <w:r>
        <w:rPr>
          <w:color w:val="auto"/>
        </w:rPr>
        <w:fldChar w:fldCharType="separate"/>
      </w:r>
      <w:r>
        <w:rPr>
          <w:rStyle w:val="41"/>
          <w:rFonts w:hint="eastAsia" w:ascii="宋体" w:hAnsi="宋体"/>
          <w:color w:val="auto"/>
          <w:sz w:val="30"/>
          <w:szCs w:val="30"/>
        </w:rPr>
        <w:t>第五章</w:t>
      </w:r>
      <w:r>
        <w:rPr>
          <w:rStyle w:val="41"/>
          <w:rFonts w:ascii="宋体" w:hAnsi="宋体"/>
          <w:color w:val="auto"/>
          <w:sz w:val="30"/>
          <w:szCs w:val="30"/>
        </w:rPr>
        <w:t xml:space="preserve">  </w:t>
      </w:r>
      <w:r>
        <w:rPr>
          <w:rStyle w:val="41"/>
          <w:rFonts w:hint="eastAsia" w:ascii="宋体" w:hAnsi="宋体"/>
          <w:color w:val="auto"/>
          <w:sz w:val="30"/>
          <w:szCs w:val="30"/>
        </w:rPr>
        <w:t>评标办法</w:t>
      </w:r>
      <w:r>
        <w:rPr>
          <w:rFonts w:ascii="宋体" w:hAnsi="宋体"/>
          <w:color w:val="auto"/>
          <w:sz w:val="30"/>
          <w:szCs w:val="30"/>
        </w:rPr>
        <w:tab/>
      </w:r>
      <w:r>
        <w:rPr>
          <w:rFonts w:ascii="宋体" w:hAnsi="宋体"/>
          <w:color w:val="auto"/>
          <w:sz w:val="30"/>
          <w:szCs w:val="30"/>
        </w:rPr>
        <w:fldChar w:fldCharType="begin"/>
      </w:r>
      <w:r>
        <w:rPr>
          <w:rFonts w:ascii="宋体" w:hAnsi="宋体"/>
          <w:color w:val="auto"/>
          <w:sz w:val="30"/>
          <w:szCs w:val="30"/>
        </w:rPr>
        <w:instrText xml:space="preserve"> PAGEREF _Toc65154645 \h </w:instrText>
      </w:r>
      <w:r>
        <w:rPr>
          <w:rFonts w:ascii="宋体" w:hAnsi="宋体"/>
          <w:color w:val="auto"/>
          <w:sz w:val="30"/>
          <w:szCs w:val="30"/>
        </w:rPr>
        <w:fldChar w:fldCharType="separate"/>
      </w:r>
      <w:r>
        <w:rPr>
          <w:rFonts w:ascii="宋体" w:hAnsi="宋体"/>
          <w:color w:val="auto"/>
          <w:sz w:val="30"/>
          <w:szCs w:val="30"/>
        </w:rPr>
        <w:t>48</w:t>
      </w:r>
      <w:r>
        <w:rPr>
          <w:rFonts w:ascii="宋体" w:hAnsi="宋体"/>
          <w:color w:val="auto"/>
          <w:sz w:val="30"/>
          <w:szCs w:val="30"/>
        </w:rPr>
        <w:fldChar w:fldCharType="end"/>
      </w:r>
      <w:r>
        <w:rPr>
          <w:rFonts w:ascii="宋体" w:hAnsi="宋体"/>
          <w:color w:val="auto"/>
          <w:sz w:val="30"/>
          <w:szCs w:val="30"/>
        </w:rPr>
        <w:fldChar w:fldCharType="end"/>
      </w:r>
    </w:p>
    <w:p>
      <w:pPr>
        <w:pStyle w:val="25"/>
        <w:tabs>
          <w:tab w:val="right" w:leader="dot" w:pos="9628"/>
        </w:tabs>
        <w:spacing w:line="480" w:lineRule="auto"/>
        <w:rPr>
          <w:rFonts w:ascii="宋体" w:hAnsi="宋体" w:cstheme="minorBidi"/>
          <w:color w:val="auto"/>
          <w:sz w:val="30"/>
          <w:szCs w:val="30"/>
        </w:rPr>
      </w:pPr>
      <w:r>
        <w:rPr>
          <w:color w:val="auto"/>
        </w:rPr>
        <w:fldChar w:fldCharType="begin"/>
      </w:r>
      <w:r>
        <w:rPr>
          <w:color w:val="auto"/>
        </w:rPr>
        <w:instrText xml:space="preserve"> HYPERLINK \l "_Toc65154654" </w:instrText>
      </w:r>
      <w:r>
        <w:rPr>
          <w:color w:val="auto"/>
        </w:rPr>
        <w:fldChar w:fldCharType="separate"/>
      </w:r>
      <w:r>
        <w:rPr>
          <w:rStyle w:val="41"/>
          <w:rFonts w:hint="eastAsia" w:ascii="宋体" w:hAnsi="宋体"/>
          <w:color w:val="auto"/>
          <w:sz w:val="30"/>
          <w:szCs w:val="30"/>
        </w:rPr>
        <w:t>第六章</w:t>
      </w:r>
      <w:r>
        <w:rPr>
          <w:rStyle w:val="41"/>
          <w:rFonts w:ascii="宋体" w:hAnsi="宋体"/>
          <w:color w:val="auto"/>
          <w:sz w:val="30"/>
          <w:szCs w:val="30"/>
        </w:rPr>
        <w:t xml:space="preserve">  </w:t>
      </w:r>
      <w:r>
        <w:rPr>
          <w:rStyle w:val="41"/>
          <w:rFonts w:hint="eastAsia" w:ascii="宋体" w:hAnsi="宋体"/>
          <w:color w:val="auto"/>
          <w:sz w:val="30"/>
          <w:szCs w:val="30"/>
        </w:rPr>
        <w:t>政府采购合同</w:t>
      </w:r>
      <w:r>
        <w:rPr>
          <w:rFonts w:ascii="宋体" w:hAnsi="宋体"/>
          <w:color w:val="auto"/>
          <w:sz w:val="30"/>
          <w:szCs w:val="30"/>
        </w:rPr>
        <w:tab/>
      </w:r>
      <w:r>
        <w:rPr>
          <w:rFonts w:ascii="宋体" w:hAnsi="宋体"/>
          <w:color w:val="auto"/>
          <w:sz w:val="30"/>
          <w:szCs w:val="30"/>
        </w:rPr>
        <w:fldChar w:fldCharType="begin"/>
      </w:r>
      <w:r>
        <w:rPr>
          <w:rFonts w:ascii="宋体" w:hAnsi="宋体"/>
          <w:color w:val="auto"/>
          <w:sz w:val="30"/>
          <w:szCs w:val="30"/>
        </w:rPr>
        <w:instrText xml:space="preserve"> PAGEREF _Toc65154654 \h </w:instrText>
      </w:r>
      <w:r>
        <w:rPr>
          <w:rFonts w:ascii="宋体" w:hAnsi="宋体"/>
          <w:color w:val="auto"/>
          <w:sz w:val="30"/>
          <w:szCs w:val="30"/>
        </w:rPr>
        <w:fldChar w:fldCharType="separate"/>
      </w:r>
      <w:r>
        <w:rPr>
          <w:rFonts w:ascii="宋体" w:hAnsi="宋体"/>
          <w:color w:val="auto"/>
          <w:sz w:val="30"/>
          <w:szCs w:val="30"/>
        </w:rPr>
        <w:t>59</w:t>
      </w:r>
      <w:r>
        <w:rPr>
          <w:rFonts w:ascii="宋体" w:hAnsi="宋体"/>
          <w:color w:val="auto"/>
          <w:sz w:val="30"/>
          <w:szCs w:val="30"/>
        </w:rPr>
        <w:fldChar w:fldCharType="end"/>
      </w:r>
      <w:r>
        <w:rPr>
          <w:rFonts w:ascii="宋体" w:hAnsi="宋体"/>
          <w:color w:val="auto"/>
          <w:sz w:val="30"/>
          <w:szCs w:val="30"/>
        </w:rPr>
        <w:fldChar w:fldCharType="end"/>
      </w:r>
    </w:p>
    <w:p>
      <w:pPr>
        <w:pStyle w:val="3"/>
        <w:spacing w:line="480" w:lineRule="auto"/>
        <w:jc w:val="center"/>
        <w:rPr>
          <w:rFonts w:ascii="宋体" w:hAnsi="宋体"/>
          <w:b w:val="0"/>
          <w:color w:val="auto"/>
          <w:sz w:val="36"/>
          <w:szCs w:val="24"/>
        </w:rPr>
      </w:pPr>
      <w:r>
        <w:rPr>
          <w:rFonts w:ascii="宋体" w:hAnsi="宋体"/>
          <w:b w:val="0"/>
          <w:color w:val="auto"/>
          <w:sz w:val="30"/>
          <w:szCs w:val="30"/>
        </w:rPr>
        <w:fldChar w:fldCharType="end"/>
      </w:r>
      <w:bookmarkStart w:id="24" w:name="_Toc65154633"/>
    </w:p>
    <w:p>
      <w:pPr>
        <w:pStyle w:val="2"/>
        <w:rPr>
          <w:color w:val="auto"/>
          <w:kern w:val="44"/>
        </w:rPr>
      </w:pPr>
      <w:r>
        <w:rPr>
          <w:color w:val="auto"/>
        </w:rPr>
        <w:br w:type="page"/>
      </w:r>
    </w:p>
    <w:p>
      <w:pPr>
        <w:pStyle w:val="3"/>
        <w:spacing w:line="480" w:lineRule="auto"/>
        <w:jc w:val="center"/>
        <w:rPr>
          <w:rFonts w:ascii="宋体" w:hAnsi="宋体"/>
          <w:color w:val="auto"/>
          <w:sz w:val="36"/>
          <w:szCs w:val="36"/>
        </w:rPr>
      </w:pPr>
      <w:r>
        <w:rPr>
          <w:rFonts w:hint="eastAsia" w:ascii="宋体" w:hAnsi="宋体"/>
          <w:color w:val="auto"/>
          <w:sz w:val="36"/>
          <w:szCs w:val="36"/>
        </w:rPr>
        <w:t>第一章  投标邀请</w:t>
      </w:r>
      <w:bookmarkEnd w:id="24"/>
    </w:p>
    <w:p>
      <w:pPr>
        <w:spacing w:line="400" w:lineRule="exact"/>
        <w:ind w:firstLine="480" w:firstLineChars="200"/>
        <w:jc w:val="left"/>
        <w:rPr>
          <w:rFonts w:ascii="新宋体" w:hAnsi="新宋体" w:eastAsia="新宋体"/>
          <w:color w:val="auto"/>
          <w:sz w:val="24"/>
        </w:rPr>
      </w:pPr>
      <w:r>
        <w:rPr>
          <w:rFonts w:hint="eastAsia" w:ascii="新宋体" w:hAnsi="新宋体" w:eastAsia="新宋体"/>
          <w:color w:val="auto"/>
          <w:sz w:val="24"/>
          <w:u w:val="single"/>
        </w:rPr>
        <w:t>成都盈合工程项目管理有限公司</w:t>
      </w:r>
      <w:r>
        <w:rPr>
          <w:rFonts w:hint="eastAsia" w:ascii="新宋体" w:hAnsi="新宋体" w:eastAsia="新宋体"/>
          <w:color w:val="auto"/>
          <w:sz w:val="24"/>
        </w:rPr>
        <w:t>受</w:t>
      </w:r>
      <w:r>
        <w:rPr>
          <w:rFonts w:hint="eastAsia" w:ascii="新宋体" w:hAnsi="新宋体" w:eastAsia="新宋体"/>
          <w:color w:val="auto"/>
          <w:sz w:val="24"/>
          <w:u w:val="single"/>
        </w:rPr>
        <w:t>成都市射击运动学校</w:t>
      </w:r>
      <w:r>
        <w:rPr>
          <w:rFonts w:hint="eastAsia" w:ascii="新宋体" w:hAnsi="新宋体" w:eastAsia="新宋体"/>
          <w:color w:val="auto"/>
          <w:sz w:val="24"/>
        </w:rPr>
        <w:t>委托，拟对</w:t>
      </w:r>
      <w:r>
        <w:rPr>
          <w:rFonts w:hint="eastAsia" w:ascii="新宋体" w:hAnsi="新宋体" w:eastAsia="新宋体"/>
          <w:color w:val="auto"/>
          <w:sz w:val="24"/>
          <w:u w:val="single"/>
        </w:rPr>
        <w:t>成都2021年第31届世界大学生夏季运动会射击、射箭竞赛进口专项器材采购项目</w:t>
      </w:r>
      <w:r>
        <w:rPr>
          <w:rFonts w:hint="eastAsia" w:ascii="新宋体" w:hAnsi="新宋体" w:eastAsia="新宋体"/>
          <w:color w:val="auto"/>
          <w:sz w:val="24"/>
        </w:rPr>
        <w:t>进行国内</w:t>
      </w:r>
      <w:r>
        <w:rPr>
          <w:rFonts w:hint="eastAsia" w:ascii="新宋体" w:hAnsi="新宋体" w:eastAsia="新宋体"/>
          <w:color w:val="auto"/>
          <w:sz w:val="24"/>
          <w:u w:val="single"/>
        </w:rPr>
        <w:t>公开招标</w:t>
      </w:r>
      <w:r>
        <w:rPr>
          <w:rFonts w:hint="eastAsia" w:ascii="新宋体" w:hAnsi="新宋体" w:eastAsia="新宋体"/>
          <w:color w:val="auto"/>
          <w:sz w:val="24"/>
        </w:rPr>
        <w:t>，兹邀请符合本次招标要求的投标人参加投标。</w:t>
      </w:r>
    </w:p>
    <w:p>
      <w:pPr>
        <w:numPr>
          <w:ilvl w:val="0"/>
          <w:numId w:val="1"/>
        </w:numPr>
        <w:spacing w:line="400" w:lineRule="exact"/>
        <w:ind w:firstLine="482"/>
        <w:rPr>
          <w:rFonts w:ascii="新宋体" w:hAnsi="新宋体" w:eastAsia="新宋体"/>
          <w:color w:val="auto"/>
          <w:sz w:val="24"/>
        </w:rPr>
      </w:pPr>
      <w:r>
        <w:rPr>
          <w:rFonts w:hint="eastAsia" w:ascii="新宋体" w:hAnsi="新宋体" w:eastAsia="新宋体"/>
          <w:b/>
          <w:color w:val="auto"/>
          <w:sz w:val="24"/>
        </w:rPr>
        <w:t xml:space="preserve">招标编号： 510101202100652 </w:t>
      </w:r>
    </w:p>
    <w:p>
      <w:pPr>
        <w:spacing w:line="400" w:lineRule="exact"/>
        <w:ind w:right="31" w:rightChars="15" w:firstLine="482" w:firstLineChars="200"/>
        <w:rPr>
          <w:rFonts w:ascii="新宋体" w:hAnsi="新宋体" w:eastAsia="新宋体"/>
          <w:color w:val="auto"/>
          <w:sz w:val="24"/>
        </w:rPr>
      </w:pPr>
      <w:r>
        <w:rPr>
          <w:rFonts w:hint="eastAsia" w:ascii="新宋体" w:hAnsi="新宋体" w:eastAsia="新宋体"/>
          <w:b/>
          <w:bCs/>
          <w:color w:val="auto"/>
          <w:sz w:val="24"/>
        </w:rPr>
        <w:t>二、</w:t>
      </w:r>
      <w:r>
        <w:rPr>
          <w:rFonts w:hint="eastAsia" w:ascii="新宋体" w:hAnsi="新宋体" w:eastAsia="新宋体"/>
          <w:b/>
          <w:color w:val="auto"/>
          <w:sz w:val="24"/>
        </w:rPr>
        <w:t>采购项目名称：</w:t>
      </w:r>
      <w:r>
        <w:rPr>
          <w:rFonts w:hint="eastAsia" w:ascii="新宋体" w:hAnsi="新宋体" w:eastAsia="新宋体"/>
          <w:bCs/>
          <w:color w:val="auto"/>
          <w:sz w:val="24"/>
        </w:rPr>
        <w:t>成都2021年第31届世界大学生夏季运动会射击、射箭竞赛进口专项器材采购项目</w:t>
      </w:r>
    </w:p>
    <w:p>
      <w:pPr>
        <w:spacing w:line="400" w:lineRule="exact"/>
        <w:ind w:right="31" w:rightChars="15" w:firstLine="482" w:firstLineChars="200"/>
        <w:rPr>
          <w:rFonts w:ascii="新宋体" w:hAnsi="新宋体" w:eastAsia="新宋体"/>
          <w:bCs/>
          <w:color w:val="auto"/>
          <w:sz w:val="24"/>
          <w:szCs w:val="28"/>
        </w:rPr>
      </w:pPr>
      <w:r>
        <w:rPr>
          <w:rFonts w:hint="eastAsia" w:ascii="新宋体" w:hAnsi="新宋体" w:eastAsia="新宋体"/>
          <w:b/>
          <w:color w:val="auto"/>
          <w:sz w:val="24"/>
          <w:szCs w:val="28"/>
        </w:rPr>
        <w:t>三、资金来源：</w:t>
      </w:r>
      <w:r>
        <w:rPr>
          <w:rFonts w:hint="eastAsia" w:ascii="新宋体" w:hAnsi="新宋体" w:eastAsia="新宋体"/>
          <w:bCs/>
          <w:color w:val="auto"/>
          <w:sz w:val="24"/>
          <w:szCs w:val="28"/>
        </w:rPr>
        <w:t>财政资金，已落实。</w:t>
      </w:r>
    </w:p>
    <w:p>
      <w:pPr>
        <w:spacing w:line="400" w:lineRule="exact"/>
        <w:ind w:right="31" w:rightChars="15" w:firstLine="482" w:firstLineChars="200"/>
        <w:rPr>
          <w:rFonts w:ascii="新宋体" w:hAnsi="新宋体" w:eastAsia="新宋体"/>
          <w:bCs/>
          <w:color w:val="auto"/>
          <w:sz w:val="24"/>
          <w:szCs w:val="28"/>
        </w:rPr>
      </w:pPr>
      <w:r>
        <w:rPr>
          <w:rFonts w:ascii="新宋体" w:hAnsi="新宋体" w:eastAsia="新宋体"/>
          <w:b/>
          <w:bCs/>
          <w:color w:val="auto"/>
          <w:sz w:val="24"/>
          <w:szCs w:val="28"/>
        </w:rPr>
        <w:t>四、</w:t>
      </w:r>
      <w:r>
        <w:rPr>
          <w:rFonts w:hint="eastAsia" w:ascii="新宋体" w:hAnsi="新宋体" w:eastAsia="新宋体"/>
          <w:b/>
          <w:bCs/>
          <w:color w:val="auto"/>
          <w:sz w:val="24"/>
          <w:szCs w:val="28"/>
        </w:rPr>
        <w:t>招</w:t>
      </w:r>
      <w:r>
        <w:rPr>
          <w:rFonts w:hint="eastAsia" w:ascii="新宋体" w:hAnsi="新宋体" w:eastAsia="新宋体"/>
          <w:b/>
          <w:color w:val="auto"/>
          <w:sz w:val="24"/>
          <w:szCs w:val="28"/>
        </w:rPr>
        <w:t>标项目简介：</w:t>
      </w:r>
      <w:r>
        <w:rPr>
          <w:rFonts w:hint="eastAsia" w:ascii="新宋体" w:hAnsi="新宋体" w:eastAsia="新宋体"/>
          <w:bCs/>
          <w:color w:val="auto"/>
          <w:sz w:val="24"/>
          <w:szCs w:val="28"/>
        </w:rPr>
        <w:t>本项目共分2个包</w:t>
      </w:r>
      <w:bookmarkStart w:id="230" w:name="_GoBack"/>
      <w:bookmarkEnd w:id="230"/>
    </w:p>
    <w:p>
      <w:pPr>
        <w:pStyle w:val="93"/>
        <w:adjustRightInd w:val="0"/>
        <w:snapToGrid w:val="0"/>
        <w:spacing w:before="0" w:beforeAutospacing="0" w:after="0" w:afterAutospacing="0" w:line="400" w:lineRule="exact"/>
        <w:ind w:firstLine="465"/>
        <w:rPr>
          <w:color w:val="auto"/>
        </w:rPr>
      </w:pPr>
      <w:r>
        <w:rPr>
          <w:rFonts w:hint="eastAsia"/>
          <w:color w:val="auto"/>
        </w:rPr>
        <w:t>1、采购清单</w:t>
      </w:r>
    </w:p>
    <w:tbl>
      <w:tblPr>
        <w:tblStyle w:val="34"/>
        <w:tblpPr w:leftFromText="180" w:rightFromText="180" w:vertAnchor="text" w:tblpXSpec="center" w:tblpY="1"/>
        <w:tblOverlap w:val="never"/>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4536"/>
        <w:gridCol w:w="1701"/>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1242" w:type="dxa"/>
            <w:vAlign w:val="center"/>
          </w:tcPr>
          <w:p>
            <w:pPr>
              <w:spacing w:after="120" w:afterLines="50" w:line="400" w:lineRule="exact"/>
              <w:jc w:val="center"/>
              <w:rPr>
                <w:rFonts w:ascii="新宋体" w:hAnsi="新宋体" w:eastAsia="新宋体"/>
                <w:bCs/>
                <w:color w:val="auto"/>
                <w:sz w:val="24"/>
                <w:szCs w:val="28"/>
              </w:rPr>
            </w:pPr>
            <w:r>
              <w:rPr>
                <w:rFonts w:hint="eastAsia" w:ascii="新宋体" w:hAnsi="新宋体" w:eastAsia="新宋体"/>
                <w:bCs/>
                <w:color w:val="auto"/>
                <w:sz w:val="24"/>
                <w:szCs w:val="28"/>
              </w:rPr>
              <w:t>包号</w:t>
            </w:r>
          </w:p>
        </w:tc>
        <w:tc>
          <w:tcPr>
            <w:tcW w:w="4536" w:type="dxa"/>
            <w:vAlign w:val="center"/>
          </w:tcPr>
          <w:p>
            <w:pPr>
              <w:widowControl/>
              <w:spacing w:line="400" w:lineRule="exact"/>
              <w:jc w:val="center"/>
              <w:rPr>
                <w:rFonts w:ascii="新宋体" w:hAnsi="新宋体" w:eastAsia="新宋体"/>
                <w:bCs/>
                <w:color w:val="auto"/>
                <w:sz w:val="24"/>
                <w:szCs w:val="28"/>
              </w:rPr>
            </w:pPr>
            <w:r>
              <w:rPr>
                <w:rFonts w:hint="eastAsia" w:ascii="新宋体" w:hAnsi="新宋体" w:eastAsia="新宋体"/>
                <w:bCs/>
                <w:color w:val="auto"/>
                <w:sz w:val="24"/>
                <w:szCs w:val="28"/>
              </w:rPr>
              <w:t>名称</w:t>
            </w:r>
          </w:p>
        </w:tc>
        <w:tc>
          <w:tcPr>
            <w:tcW w:w="1701" w:type="dxa"/>
            <w:vAlign w:val="center"/>
          </w:tcPr>
          <w:p>
            <w:pPr>
              <w:widowControl/>
              <w:spacing w:line="400" w:lineRule="exact"/>
              <w:jc w:val="center"/>
              <w:rPr>
                <w:rFonts w:ascii="新宋体" w:hAnsi="新宋体" w:eastAsia="新宋体"/>
                <w:bCs/>
                <w:color w:val="auto"/>
                <w:sz w:val="24"/>
                <w:szCs w:val="28"/>
              </w:rPr>
            </w:pPr>
            <w:r>
              <w:rPr>
                <w:rFonts w:hint="eastAsia" w:ascii="新宋体" w:hAnsi="新宋体" w:eastAsia="新宋体"/>
                <w:bCs/>
                <w:color w:val="auto"/>
                <w:sz w:val="24"/>
                <w:szCs w:val="28"/>
              </w:rPr>
              <w:t>简要技术要求</w:t>
            </w:r>
          </w:p>
        </w:tc>
        <w:tc>
          <w:tcPr>
            <w:tcW w:w="1134" w:type="dxa"/>
            <w:vAlign w:val="center"/>
          </w:tcPr>
          <w:p>
            <w:pPr>
              <w:spacing w:after="120" w:afterLines="50" w:line="400" w:lineRule="exact"/>
              <w:jc w:val="center"/>
              <w:rPr>
                <w:rFonts w:ascii="新宋体" w:hAnsi="新宋体" w:eastAsia="新宋体"/>
                <w:bCs/>
                <w:color w:val="auto"/>
                <w:sz w:val="24"/>
                <w:szCs w:val="28"/>
              </w:rPr>
            </w:pPr>
            <w:r>
              <w:rPr>
                <w:rFonts w:hint="eastAsia" w:ascii="新宋体" w:hAnsi="新宋体" w:eastAsia="新宋体"/>
                <w:bCs/>
                <w:color w:val="auto"/>
                <w:sz w:val="24"/>
                <w:szCs w:val="28"/>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1242" w:type="dxa"/>
            <w:vAlign w:val="center"/>
          </w:tcPr>
          <w:p>
            <w:pPr>
              <w:spacing w:line="400" w:lineRule="exact"/>
              <w:jc w:val="center"/>
              <w:rPr>
                <w:rFonts w:ascii="新宋体" w:hAnsi="新宋体" w:eastAsia="新宋体"/>
                <w:bCs/>
                <w:color w:val="auto"/>
                <w:sz w:val="24"/>
                <w:szCs w:val="28"/>
              </w:rPr>
            </w:pPr>
            <w:r>
              <w:rPr>
                <w:rFonts w:hint="eastAsia" w:ascii="新宋体" w:hAnsi="新宋体" w:eastAsia="新宋体"/>
                <w:bCs/>
                <w:color w:val="auto"/>
                <w:sz w:val="24"/>
                <w:szCs w:val="28"/>
              </w:rPr>
              <w:t>第</w:t>
            </w:r>
            <w:r>
              <w:rPr>
                <w:rFonts w:ascii="新宋体" w:hAnsi="新宋体" w:eastAsia="新宋体"/>
                <w:bCs/>
                <w:color w:val="auto"/>
                <w:sz w:val="24"/>
                <w:szCs w:val="28"/>
              </w:rPr>
              <w:t>1</w:t>
            </w:r>
            <w:r>
              <w:rPr>
                <w:rFonts w:hint="eastAsia" w:ascii="新宋体" w:hAnsi="新宋体" w:eastAsia="新宋体"/>
                <w:bCs/>
                <w:color w:val="auto"/>
                <w:sz w:val="24"/>
                <w:szCs w:val="28"/>
              </w:rPr>
              <w:t>包</w:t>
            </w:r>
          </w:p>
        </w:tc>
        <w:tc>
          <w:tcPr>
            <w:tcW w:w="4536" w:type="dxa"/>
            <w:vAlign w:val="center"/>
          </w:tcPr>
          <w:p>
            <w:pPr>
              <w:spacing w:line="400" w:lineRule="exact"/>
              <w:jc w:val="center"/>
              <w:rPr>
                <w:rFonts w:ascii="新宋体" w:hAnsi="新宋体" w:eastAsia="新宋体"/>
                <w:bCs/>
                <w:color w:val="auto"/>
                <w:sz w:val="24"/>
              </w:rPr>
            </w:pPr>
            <w:r>
              <w:rPr>
                <w:rFonts w:hint="eastAsia" w:ascii="新宋体" w:hAnsi="新宋体" w:eastAsia="新宋体"/>
                <w:bCs/>
                <w:color w:val="auto"/>
                <w:sz w:val="24"/>
              </w:rPr>
              <w:t>成都2021年第31届世界大学生夏季运动会射击竞赛专项器材采购</w:t>
            </w:r>
          </w:p>
          <w:p>
            <w:pPr>
              <w:pStyle w:val="2"/>
              <w:jc w:val="center"/>
              <w:rPr>
                <w:color w:val="auto"/>
              </w:rPr>
            </w:pPr>
            <w:r>
              <w:rPr>
                <w:rFonts w:hint="eastAsia" w:ascii="新宋体" w:hAnsi="新宋体" w:eastAsia="新宋体"/>
                <w:color w:val="auto"/>
              </w:rPr>
              <w:t>（允许进口设备参与投标）</w:t>
            </w:r>
          </w:p>
        </w:tc>
        <w:tc>
          <w:tcPr>
            <w:tcW w:w="1701" w:type="dxa"/>
            <w:vAlign w:val="center"/>
          </w:tcPr>
          <w:p>
            <w:pPr>
              <w:spacing w:line="400" w:lineRule="exact"/>
              <w:jc w:val="center"/>
              <w:rPr>
                <w:rFonts w:ascii="新宋体" w:hAnsi="新宋体" w:eastAsia="新宋体"/>
                <w:bCs/>
                <w:color w:val="auto"/>
                <w:sz w:val="24"/>
                <w:szCs w:val="28"/>
              </w:rPr>
            </w:pPr>
            <w:r>
              <w:rPr>
                <w:rFonts w:hint="eastAsia" w:ascii="新宋体" w:hAnsi="新宋体" w:eastAsia="新宋体"/>
                <w:bCs/>
                <w:color w:val="auto"/>
                <w:sz w:val="24"/>
                <w:szCs w:val="28"/>
              </w:rPr>
              <w:t>详见第四章</w:t>
            </w:r>
          </w:p>
        </w:tc>
        <w:tc>
          <w:tcPr>
            <w:tcW w:w="1134" w:type="dxa"/>
            <w:vAlign w:val="center"/>
          </w:tcPr>
          <w:p>
            <w:pPr>
              <w:spacing w:after="120" w:afterLines="50" w:line="400" w:lineRule="exact"/>
              <w:jc w:val="center"/>
              <w:rPr>
                <w:rFonts w:ascii="新宋体" w:hAnsi="新宋体" w:eastAsia="新宋体"/>
                <w:bCs/>
                <w:color w:val="auto"/>
                <w:sz w:val="24"/>
                <w:szCs w:val="28"/>
              </w:rPr>
            </w:pPr>
            <w:r>
              <w:rPr>
                <w:rFonts w:ascii="新宋体" w:hAnsi="新宋体" w:eastAsia="新宋体"/>
                <w:bCs/>
                <w:color w:val="auto"/>
                <w:sz w:val="24"/>
                <w:szCs w:val="28"/>
              </w:rPr>
              <w:t>1</w:t>
            </w:r>
            <w:r>
              <w:rPr>
                <w:rFonts w:hint="eastAsia" w:ascii="新宋体" w:hAnsi="新宋体" w:eastAsia="新宋体"/>
                <w:bCs/>
                <w:color w:val="auto"/>
                <w:sz w:val="24"/>
                <w:szCs w:val="28"/>
              </w:rPr>
              <w:t>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1242" w:type="dxa"/>
            <w:vAlign w:val="center"/>
          </w:tcPr>
          <w:p>
            <w:pPr>
              <w:spacing w:line="400" w:lineRule="exact"/>
              <w:jc w:val="center"/>
              <w:rPr>
                <w:rFonts w:ascii="新宋体" w:hAnsi="新宋体" w:eastAsia="新宋体"/>
                <w:bCs/>
                <w:color w:val="auto"/>
                <w:sz w:val="24"/>
                <w:szCs w:val="28"/>
              </w:rPr>
            </w:pPr>
            <w:r>
              <w:rPr>
                <w:rFonts w:hint="eastAsia" w:ascii="新宋体" w:hAnsi="新宋体" w:eastAsia="新宋体"/>
                <w:bCs/>
                <w:color w:val="auto"/>
                <w:sz w:val="24"/>
                <w:szCs w:val="28"/>
              </w:rPr>
              <w:t>第2包</w:t>
            </w:r>
          </w:p>
        </w:tc>
        <w:tc>
          <w:tcPr>
            <w:tcW w:w="4536" w:type="dxa"/>
            <w:vAlign w:val="center"/>
          </w:tcPr>
          <w:p>
            <w:pPr>
              <w:spacing w:line="400" w:lineRule="exact"/>
              <w:jc w:val="center"/>
              <w:rPr>
                <w:rFonts w:ascii="新宋体" w:hAnsi="新宋体" w:eastAsia="新宋体"/>
                <w:bCs/>
                <w:color w:val="auto"/>
                <w:sz w:val="24"/>
              </w:rPr>
            </w:pPr>
            <w:r>
              <w:rPr>
                <w:rFonts w:hint="eastAsia" w:ascii="新宋体" w:hAnsi="新宋体" w:eastAsia="新宋体"/>
                <w:bCs/>
                <w:color w:val="auto"/>
                <w:sz w:val="24"/>
              </w:rPr>
              <w:t>成都2021年第31届世界大学生夏季运动会射箭竞赛专项器材采购</w:t>
            </w:r>
          </w:p>
          <w:p>
            <w:pPr>
              <w:pStyle w:val="2"/>
              <w:jc w:val="center"/>
              <w:rPr>
                <w:color w:val="auto"/>
              </w:rPr>
            </w:pPr>
            <w:r>
              <w:rPr>
                <w:rFonts w:hint="eastAsia" w:ascii="新宋体" w:hAnsi="新宋体" w:eastAsia="新宋体"/>
                <w:color w:val="auto"/>
              </w:rPr>
              <w:t>（允许进口设备参与投标）</w:t>
            </w:r>
          </w:p>
        </w:tc>
        <w:tc>
          <w:tcPr>
            <w:tcW w:w="1701" w:type="dxa"/>
            <w:vAlign w:val="center"/>
          </w:tcPr>
          <w:p>
            <w:pPr>
              <w:spacing w:line="400" w:lineRule="exact"/>
              <w:jc w:val="center"/>
              <w:rPr>
                <w:rFonts w:ascii="新宋体" w:hAnsi="新宋体" w:eastAsia="新宋体"/>
                <w:bCs/>
                <w:color w:val="auto"/>
                <w:sz w:val="24"/>
                <w:szCs w:val="28"/>
              </w:rPr>
            </w:pPr>
            <w:r>
              <w:rPr>
                <w:rFonts w:hint="eastAsia" w:ascii="新宋体" w:hAnsi="新宋体" w:eastAsia="新宋体"/>
                <w:bCs/>
                <w:color w:val="auto"/>
                <w:sz w:val="24"/>
                <w:szCs w:val="28"/>
              </w:rPr>
              <w:t>详见第四章</w:t>
            </w:r>
          </w:p>
        </w:tc>
        <w:tc>
          <w:tcPr>
            <w:tcW w:w="1134" w:type="dxa"/>
            <w:vAlign w:val="center"/>
          </w:tcPr>
          <w:p>
            <w:pPr>
              <w:spacing w:after="120" w:afterLines="50" w:line="400" w:lineRule="exact"/>
              <w:jc w:val="center"/>
              <w:rPr>
                <w:rFonts w:ascii="新宋体" w:hAnsi="新宋体" w:eastAsia="新宋体"/>
                <w:bCs/>
                <w:color w:val="auto"/>
                <w:sz w:val="24"/>
                <w:szCs w:val="28"/>
              </w:rPr>
            </w:pPr>
            <w:r>
              <w:rPr>
                <w:rFonts w:ascii="新宋体" w:hAnsi="新宋体" w:eastAsia="新宋体"/>
                <w:bCs/>
                <w:color w:val="auto"/>
                <w:sz w:val="24"/>
                <w:szCs w:val="28"/>
              </w:rPr>
              <w:t>1</w:t>
            </w:r>
            <w:r>
              <w:rPr>
                <w:rFonts w:hint="eastAsia" w:ascii="新宋体" w:hAnsi="新宋体" w:eastAsia="新宋体"/>
                <w:bCs/>
                <w:color w:val="auto"/>
                <w:sz w:val="24"/>
                <w:szCs w:val="28"/>
              </w:rPr>
              <w:t>批</w:t>
            </w:r>
          </w:p>
        </w:tc>
      </w:tr>
    </w:tbl>
    <w:p>
      <w:pPr>
        <w:spacing w:after="120" w:afterLines="50" w:line="400" w:lineRule="exact"/>
        <w:ind w:firstLine="480" w:firstLineChars="200"/>
        <w:rPr>
          <w:rFonts w:ascii="新宋体" w:hAnsi="新宋体" w:eastAsia="新宋体"/>
          <w:bCs/>
          <w:color w:val="auto"/>
          <w:sz w:val="24"/>
        </w:rPr>
      </w:pPr>
      <w:r>
        <w:rPr>
          <w:rFonts w:hint="eastAsia" w:ascii="新宋体" w:hAnsi="新宋体" w:eastAsia="新宋体"/>
          <w:bCs/>
          <w:color w:val="auto"/>
          <w:sz w:val="24"/>
        </w:rPr>
        <w:t>2、采购用途：用于成都2021年第31届世界大学生夏季运动会射击、射箭竞赛使用</w:t>
      </w:r>
      <w:r>
        <w:rPr>
          <w:rFonts w:ascii="新宋体" w:hAnsi="新宋体" w:eastAsia="新宋体"/>
          <w:bCs/>
          <w:color w:val="auto"/>
          <w:sz w:val="24"/>
        </w:rPr>
        <w:t>。</w:t>
      </w:r>
      <w:r>
        <w:rPr>
          <w:rFonts w:hint="eastAsia" w:ascii="宋体" w:hAnsi="宋体"/>
          <w:color w:val="auto"/>
          <w:sz w:val="24"/>
          <w:szCs w:val="28"/>
        </w:rPr>
        <w:t>（详见招标文件第四章）。</w:t>
      </w:r>
    </w:p>
    <w:p>
      <w:pPr>
        <w:spacing w:after="120" w:afterLines="50" w:line="400" w:lineRule="exact"/>
        <w:ind w:firstLine="480" w:firstLineChars="200"/>
        <w:rPr>
          <w:rFonts w:ascii="宋体" w:hAnsi="宋体"/>
          <w:color w:val="auto"/>
          <w:sz w:val="24"/>
          <w:szCs w:val="28"/>
        </w:rPr>
      </w:pPr>
      <w:r>
        <w:rPr>
          <w:rFonts w:hint="eastAsia" w:ascii="新宋体" w:hAnsi="新宋体" w:eastAsia="新宋体"/>
          <w:bCs/>
          <w:color w:val="auto"/>
          <w:sz w:val="24"/>
        </w:rPr>
        <w:t>3、采购方式：公开招标。</w:t>
      </w:r>
    </w:p>
    <w:p>
      <w:pPr>
        <w:spacing w:after="120" w:afterLines="50" w:line="400" w:lineRule="exact"/>
        <w:ind w:firstLine="482" w:firstLineChars="200"/>
        <w:rPr>
          <w:rFonts w:ascii="宋体" w:hAnsi="宋体"/>
          <w:b/>
          <w:bCs/>
          <w:color w:val="auto"/>
          <w:sz w:val="24"/>
        </w:rPr>
      </w:pPr>
      <w:r>
        <w:rPr>
          <w:rFonts w:hint="eastAsia" w:ascii="宋体" w:hAnsi="宋体"/>
          <w:b/>
          <w:bCs/>
          <w:color w:val="auto"/>
          <w:sz w:val="24"/>
        </w:rPr>
        <w:t>五、投标人参加本次政府采购活动，应当在提交投标文件前具备下列条件：</w:t>
      </w:r>
    </w:p>
    <w:p>
      <w:pPr>
        <w:spacing w:after="120" w:afterLines="50" w:line="400" w:lineRule="exact"/>
        <w:ind w:firstLine="480" w:firstLineChars="200"/>
        <w:rPr>
          <w:rFonts w:hAnsi="宋体"/>
          <w:bCs/>
          <w:color w:val="auto"/>
          <w:sz w:val="24"/>
        </w:rPr>
      </w:pPr>
      <w:r>
        <w:rPr>
          <w:rFonts w:hint="eastAsia" w:hAnsi="宋体"/>
          <w:bCs/>
          <w:color w:val="auto"/>
          <w:sz w:val="24"/>
        </w:rPr>
        <w:t>1.具有独立承担民事责任的能力；</w:t>
      </w:r>
    </w:p>
    <w:p>
      <w:pPr>
        <w:spacing w:after="120" w:afterLines="50" w:line="400" w:lineRule="exact"/>
        <w:ind w:firstLine="480" w:firstLineChars="200"/>
        <w:rPr>
          <w:rFonts w:hAnsi="宋体"/>
          <w:bCs/>
          <w:color w:val="auto"/>
          <w:sz w:val="24"/>
        </w:rPr>
      </w:pPr>
      <w:r>
        <w:rPr>
          <w:rFonts w:hint="eastAsia" w:hAnsi="宋体"/>
          <w:bCs/>
          <w:color w:val="auto"/>
          <w:sz w:val="24"/>
        </w:rPr>
        <w:t>2.具有良好的商业信誉和健全的财务会计制度；</w:t>
      </w:r>
    </w:p>
    <w:p>
      <w:pPr>
        <w:spacing w:after="120" w:afterLines="50" w:line="400" w:lineRule="exact"/>
        <w:ind w:firstLine="480" w:firstLineChars="200"/>
        <w:rPr>
          <w:rFonts w:hAnsi="宋体"/>
          <w:bCs/>
          <w:color w:val="auto"/>
          <w:sz w:val="24"/>
        </w:rPr>
      </w:pPr>
      <w:r>
        <w:rPr>
          <w:rFonts w:hint="eastAsia" w:hAnsi="宋体"/>
          <w:bCs/>
          <w:color w:val="auto"/>
          <w:sz w:val="24"/>
        </w:rPr>
        <w:t>3.具有履行合同所必须的设备和专业技术能力；</w:t>
      </w:r>
    </w:p>
    <w:p>
      <w:pPr>
        <w:spacing w:after="120" w:afterLines="50" w:line="400" w:lineRule="exact"/>
        <w:ind w:firstLine="480" w:firstLineChars="200"/>
        <w:rPr>
          <w:rFonts w:hAnsi="宋体"/>
          <w:bCs/>
          <w:color w:val="auto"/>
          <w:sz w:val="24"/>
        </w:rPr>
      </w:pPr>
      <w:r>
        <w:rPr>
          <w:rFonts w:hint="eastAsia" w:hAnsi="宋体"/>
          <w:bCs/>
          <w:color w:val="auto"/>
          <w:sz w:val="24"/>
        </w:rPr>
        <w:t>4.具有依法缴纳税收和社会保障资金的良好记录；</w:t>
      </w:r>
    </w:p>
    <w:p>
      <w:pPr>
        <w:spacing w:after="120" w:afterLines="50" w:line="400" w:lineRule="exact"/>
        <w:ind w:firstLine="480" w:firstLineChars="200"/>
        <w:rPr>
          <w:rFonts w:hAnsi="宋体"/>
          <w:bCs/>
          <w:color w:val="auto"/>
          <w:sz w:val="24"/>
        </w:rPr>
      </w:pPr>
      <w:r>
        <w:rPr>
          <w:rFonts w:hint="eastAsia" w:hAnsi="宋体"/>
          <w:bCs/>
          <w:color w:val="auto"/>
          <w:sz w:val="24"/>
        </w:rPr>
        <w:t>5.参加本次政府采购活动前三年内，在经营活动中没有重大违法记录；</w:t>
      </w:r>
    </w:p>
    <w:p>
      <w:pPr>
        <w:spacing w:after="120" w:afterLines="50" w:line="400" w:lineRule="exact"/>
        <w:ind w:firstLine="480" w:firstLineChars="200"/>
        <w:rPr>
          <w:rFonts w:hAnsi="宋体"/>
          <w:bCs/>
          <w:color w:val="auto"/>
          <w:sz w:val="24"/>
        </w:rPr>
      </w:pPr>
      <w:r>
        <w:rPr>
          <w:rFonts w:hint="eastAsia" w:hAnsi="宋体"/>
          <w:bCs/>
          <w:color w:val="auto"/>
          <w:sz w:val="24"/>
        </w:rPr>
        <w:t>6.法律、行政法规规定的其他条件:</w:t>
      </w:r>
    </w:p>
    <w:p>
      <w:pPr>
        <w:spacing w:after="120" w:afterLines="50" w:line="400" w:lineRule="exact"/>
        <w:ind w:firstLine="480" w:firstLineChars="200"/>
        <w:rPr>
          <w:rFonts w:hAnsi="宋体"/>
          <w:bCs/>
          <w:color w:val="auto"/>
          <w:sz w:val="24"/>
        </w:rPr>
      </w:pPr>
      <w:r>
        <w:rPr>
          <w:rFonts w:hint="eastAsia" w:hAnsi="宋体"/>
          <w:bCs/>
          <w:color w:val="auto"/>
          <w:sz w:val="24"/>
        </w:rPr>
        <w:t>（1）供应商不得为“信用中国”网站中列入失信被执行人和重大税收违法案件当事人名单的供应商，不得为“中国政府采购网”、“四川政府采购网”政府采购严重违法失信行为记录名单中被财政部门禁止参加政府采购活动的供应商（处罚决定规定的时间和地域范围内）；</w:t>
      </w:r>
    </w:p>
    <w:p>
      <w:pPr>
        <w:spacing w:after="120" w:afterLines="50" w:line="400" w:lineRule="exact"/>
        <w:ind w:firstLine="480" w:firstLineChars="200"/>
        <w:rPr>
          <w:rFonts w:hAnsi="宋体"/>
          <w:bCs/>
          <w:color w:val="auto"/>
          <w:sz w:val="24"/>
        </w:rPr>
      </w:pPr>
      <w:r>
        <w:rPr>
          <w:rFonts w:hint="eastAsia" w:hAnsi="宋体"/>
          <w:bCs/>
          <w:color w:val="auto"/>
          <w:sz w:val="24"/>
        </w:rPr>
        <w:t>（2）本项目参加政府采购活动的投标人、法定代表人/主要负责人不得具有行贿犯罪记录；</w:t>
      </w:r>
    </w:p>
    <w:p>
      <w:pPr>
        <w:spacing w:after="120" w:afterLines="50" w:line="400" w:lineRule="exact"/>
        <w:ind w:firstLine="480" w:firstLineChars="200"/>
        <w:rPr>
          <w:rFonts w:hAnsi="宋体"/>
          <w:bCs/>
          <w:color w:val="auto"/>
          <w:sz w:val="24"/>
        </w:rPr>
      </w:pPr>
      <w:r>
        <w:rPr>
          <w:rFonts w:hint="eastAsia" w:hAnsi="宋体"/>
          <w:bCs/>
          <w:color w:val="auto"/>
          <w:sz w:val="24"/>
        </w:rPr>
        <w:t>（3）法律法规强制性要求的其他许可或认证资格；</w:t>
      </w:r>
    </w:p>
    <w:p>
      <w:pPr>
        <w:spacing w:after="120" w:afterLines="50" w:line="400" w:lineRule="exact"/>
        <w:ind w:firstLine="480" w:firstLineChars="200"/>
        <w:rPr>
          <w:rFonts w:hAnsi="宋体"/>
          <w:bCs/>
          <w:color w:val="auto"/>
          <w:sz w:val="24"/>
        </w:rPr>
      </w:pPr>
      <w:r>
        <w:rPr>
          <w:rFonts w:hint="eastAsia" w:hAnsi="宋体"/>
          <w:bCs/>
          <w:color w:val="auto"/>
          <w:sz w:val="24"/>
        </w:rPr>
        <w:t>7、根据采购项目提出的特殊条件：无。</w:t>
      </w:r>
    </w:p>
    <w:p>
      <w:pPr>
        <w:spacing w:after="120" w:afterLines="50" w:line="400" w:lineRule="exact"/>
        <w:ind w:firstLine="480" w:firstLineChars="200"/>
        <w:rPr>
          <w:rFonts w:hAnsi="宋体"/>
          <w:bCs/>
          <w:color w:val="auto"/>
          <w:sz w:val="24"/>
        </w:rPr>
      </w:pPr>
      <w:r>
        <w:rPr>
          <w:rFonts w:hint="eastAsia" w:hAnsi="宋体"/>
          <w:bCs/>
          <w:color w:val="auto"/>
          <w:sz w:val="24"/>
        </w:rPr>
        <w:t>8、本项目不接受联合体投标。</w:t>
      </w:r>
    </w:p>
    <w:p>
      <w:pPr>
        <w:spacing w:after="50" w:line="400" w:lineRule="exact"/>
        <w:ind w:firstLine="482" w:firstLineChars="200"/>
        <w:rPr>
          <w:rFonts w:ascii="宋体" w:hAnsi="宋体"/>
          <w:b/>
          <w:color w:val="auto"/>
          <w:sz w:val="24"/>
        </w:rPr>
      </w:pPr>
      <w:r>
        <w:rPr>
          <w:rFonts w:hint="eastAsia" w:ascii="宋体" w:hAnsi="宋体"/>
          <w:b/>
          <w:color w:val="auto"/>
          <w:sz w:val="24"/>
        </w:rPr>
        <w:t>六、招标文件发售时间、地点及售价：</w:t>
      </w:r>
    </w:p>
    <w:p>
      <w:pPr>
        <w:spacing w:line="360" w:lineRule="auto"/>
        <w:ind w:left="2" w:leftChars="1" w:firstLine="480" w:firstLineChars="200"/>
        <w:rPr>
          <w:bCs/>
          <w:color w:val="auto"/>
          <w:sz w:val="24"/>
        </w:rPr>
      </w:pPr>
      <w:r>
        <w:rPr>
          <w:rFonts w:hAnsi="宋体"/>
          <w:bCs/>
          <w:color w:val="auto"/>
          <w:sz w:val="24"/>
        </w:rPr>
        <w:t>1</w:t>
      </w:r>
      <w:r>
        <w:rPr>
          <w:rFonts w:hint="eastAsia" w:hAnsi="宋体"/>
          <w:bCs/>
          <w:color w:val="auto"/>
          <w:sz w:val="24"/>
        </w:rPr>
        <w:t>、发售</w:t>
      </w:r>
      <w:r>
        <w:rPr>
          <w:rFonts w:hAnsi="宋体"/>
          <w:bCs/>
          <w:color w:val="auto"/>
          <w:sz w:val="24"/>
        </w:rPr>
        <w:t>时间：</w:t>
      </w:r>
      <w:r>
        <w:rPr>
          <w:rFonts w:hint="eastAsia" w:hAnsi="宋体"/>
          <w:bCs/>
          <w:color w:val="auto"/>
          <w:sz w:val="24"/>
        </w:rPr>
        <w:t>招标文件自</w:t>
      </w:r>
      <w:r>
        <w:rPr>
          <w:rFonts w:hAnsi="宋体"/>
          <w:bCs/>
          <w:color w:val="auto"/>
          <w:sz w:val="24"/>
        </w:rPr>
        <w:t>2021</w:t>
      </w:r>
      <w:r>
        <w:rPr>
          <w:rFonts w:hint="eastAsia" w:hAnsi="宋体"/>
          <w:bCs/>
          <w:color w:val="auto"/>
          <w:sz w:val="24"/>
        </w:rPr>
        <w:t>年</w:t>
      </w:r>
      <w:r>
        <w:rPr>
          <w:rFonts w:hAnsi="宋体"/>
          <w:bCs/>
          <w:color w:val="auto"/>
          <w:sz w:val="24"/>
        </w:rPr>
        <w:t>6</w:t>
      </w:r>
      <w:r>
        <w:rPr>
          <w:rFonts w:hint="eastAsia" w:hAnsi="宋体"/>
          <w:bCs/>
          <w:color w:val="auto"/>
          <w:sz w:val="24"/>
        </w:rPr>
        <w:t>月</w:t>
      </w:r>
      <w:r>
        <w:rPr>
          <w:rFonts w:hint="eastAsia" w:hAnsi="宋体"/>
          <w:bCs/>
          <w:color w:val="auto"/>
          <w:sz w:val="24"/>
          <w:lang w:val="en-US" w:eastAsia="zh-CN"/>
        </w:rPr>
        <w:t>22</w:t>
      </w:r>
      <w:r>
        <w:rPr>
          <w:rFonts w:hint="eastAsia" w:hAnsi="宋体"/>
          <w:bCs/>
          <w:color w:val="auto"/>
          <w:sz w:val="24"/>
        </w:rPr>
        <w:t>日至</w:t>
      </w:r>
      <w:r>
        <w:rPr>
          <w:rFonts w:hAnsi="宋体"/>
          <w:bCs/>
          <w:color w:val="auto"/>
          <w:sz w:val="24"/>
        </w:rPr>
        <w:t>6</w:t>
      </w:r>
      <w:r>
        <w:rPr>
          <w:rFonts w:hint="eastAsia" w:hAnsi="宋体"/>
          <w:bCs/>
          <w:color w:val="auto"/>
          <w:sz w:val="24"/>
        </w:rPr>
        <w:t>月</w:t>
      </w:r>
      <w:r>
        <w:rPr>
          <w:rFonts w:hAnsi="宋体"/>
          <w:bCs/>
          <w:color w:val="auto"/>
          <w:sz w:val="24"/>
        </w:rPr>
        <w:t>2</w:t>
      </w:r>
      <w:r>
        <w:rPr>
          <w:rFonts w:hint="eastAsia" w:hAnsi="宋体"/>
          <w:bCs/>
          <w:color w:val="auto"/>
          <w:sz w:val="24"/>
          <w:lang w:val="en-US" w:eastAsia="zh-CN"/>
        </w:rPr>
        <w:t>8</w:t>
      </w:r>
      <w:r>
        <w:rPr>
          <w:rFonts w:hint="eastAsia" w:hAnsi="宋体"/>
          <w:bCs/>
          <w:color w:val="auto"/>
          <w:sz w:val="24"/>
        </w:rPr>
        <w:t>日每天</w:t>
      </w:r>
      <w:r>
        <w:rPr>
          <w:rFonts w:hAnsi="宋体"/>
          <w:bCs/>
          <w:color w:val="auto"/>
          <w:sz w:val="24"/>
        </w:rPr>
        <w:t>9:00-17:00</w:t>
      </w:r>
      <w:r>
        <w:rPr>
          <w:rFonts w:hint="eastAsia" w:hAnsi="宋体"/>
          <w:bCs/>
          <w:color w:val="auto"/>
          <w:sz w:val="24"/>
        </w:rPr>
        <w:t>（北京时间，节假日不进行现场报名）发售。</w:t>
      </w:r>
    </w:p>
    <w:p>
      <w:pPr>
        <w:spacing w:line="360" w:lineRule="auto"/>
        <w:ind w:left="2" w:leftChars="1" w:firstLine="480" w:firstLineChars="200"/>
        <w:rPr>
          <w:rFonts w:ascii="新宋体" w:hAnsi="新宋体" w:eastAsia="新宋体"/>
          <w:color w:val="auto"/>
          <w:sz w:val="24"/>
        </w:rPr>
      </w:pPr>
      <w:r>
        <w:rPr>
          <w:rFonts w:hAnsi="宋体"/>
          <w:bCs/>
          <w:color w:val="auto"/>
          <w:sz w:val="24"/>
        </w:rPr>
        <w:t>2</w:t>
      </w:r>
      <w:r>
        <w:rPr>
          <w:rFonts w:hint="eastAsia" w:hAnsi="宋体"/>
          <w:bCs/>
          <w:color w:val="auto"/>
          <w:sz w:val="24"/>
        </w:rPr>
        <w:t>、发售</w:t>
      </w:r>
      <w:r>
        <w:rPr>
          <w:rFonts w:hint="eastAsia" w:ascii="新宋体" w:hAnsi="新宋体" w:eastAsia="新宋体"/>
          <w:color w:val="auto"/>
          <w:sz w:val="24"/>
        </w:rPr>
        <w:t>地址：至成都市高新区天府大道中段530-2号东方希望天祥广场B座12楼1</w:t>
      </w:r>
      <w:r>
        <w:rPr>
          <w:rFonts w:ascii="新宋体" w:hAnsi="新宋体" w:eastAsia="新宋体"/>
          <w:color w:val="auto"/>
          <w:sz w:val="24"/>
        </w:rPr>
        <w:t>0</w:t>
      </w:r>
      <w:r>
        <w:rPr>
          <w:rFonts w:hint="eastAsia" w:ascii="新宋体" w:hAnsi="新宋体" w:eastAsia="新宋体"/>
          <w:color w:val="auto"/>
          <w:sz w:val="24"/>
        </w:rPr>
        <w:t>号成都盈合工程项目管理有限公司获取招标文件电子版，也可通过网络（远程）领取招标文件电子版。</w:t>
      </w:r>
    </w:p>
    <w:p>
      <w:pPr>
        <w:spacing w:line="360" w:lineRule="auto"/>
        <w:ind w:left="2" w:leftChars="1" w:firstLine="482" w:firstLineChars="200"/>
        <w:rPr>
          <w:rFonts w:ascii="新宋体" w:hAnsi="新宋体" w:eastAsia="新宋体"/>
          <w:color w:val="auto"/>
          <w:sz w:val="24"/>
        </w:rPr>
      </w:pPr>
      <w:r>
        <w:rPr>
          <w:rFonts w:hint="eastAsia" w:ascii="新宋体" w:hAnsi="新宋体" w:eastAsia="新宋体"/>
          <w:b/>
          <w:color w:val="auto"/>
          <w:sz w:val="24"/>
        </w:rPr>
        <w:t>获取时需要提交的资料：</w:t>
      </w:r>
      <w:r>
        <w:rPr>
          <w:rFonts w:hint="eastAsia" w:ascii="新宋体" w:hAnsi="新宋体" w:eastAsia="新宋体"/>
          <w:color w:val="auto"/>
          <w:sz w:val="24"/>
        </w:rPr>
        <w:t>①供应商通过现场报名方式获取招标文件的，请携带单位介绍信加盖单位公章的原件（需注明项目名称、采购项目编号、联系人、联系电话、邮箱、纳税人识别号/统一社会信用代码）、经办人身份证盖单位公章复印件；供应商为自然人的，须提供本人身份证复印件。②供应商通过电子邮件报名方式获取招标文件的，请将单位介绍信加盖单位公章的原件扫描件（需注明项目名称、采购项目编号、联系人、联系电话、邮箱、纳税人识别号/统一社会信用代码）、加盖单位公章的经办人身份证扫描件发送至邮箱cdyh123456@qq.com，发送时务必将</w:t>
      </w:r>
      <w:r>
        <w:rPr>
          <w:rFonts w:hint="eastAsia" w:ascii="新宋体" w:hAnsi="新宋体" w:eastAsia="新宋体"/>
          <w:b/>
          <w:color w:val="auto"/>
          <w:sz w:val="24"/>
        </w:rPr>
        <w:t>邮件主题</w:t>
      </w:r>
      <w:r>
        <w:rPr>
          <w:rFonts w:hint="eastAsia" w:ascii="新宋体" w:hAnsi="新宋体" w:eastAsia="新宋体"/>
          <w:color w:val="auto"/>
          <w:sz w:val="24"/>
        </w:rPr>
        <w:t>更改为</w:t>
      </w:r>
      <w:r>
        <w:rPr>
          <w:rFonts w:hint="eastAsia" w:ascii="新宋体" w:hAnsi="新宋体" w:eastAsia="新宋体"/>
          <w:b/>
          <w:color w:val="auto"/>
          <w:sz w:val="24"/>
        </w:rPr>
        <w:t>项目编号（以“</w:t>
      </w:r>
      <w:r>
        <w:rPr>
          <w:rFonts w:ascii="新宋体" w:hAnsi="新宋体" w:eastAsia="新宋体"/>
          <w:b/>
          <w:color w:val="auto"/>
          <w:sz w:val="24"/>
        </w:rPr>
        <w:t>CDYH-</w:t>
      </w:r>
      <w:r>
        <w:rPr>
          <w:rFonts w:hint="eastAsia" w:ascii="新宋体" w:hAnsi="新宋体" w:eastAsia="新宋体"/>
          <w:b/>
          <w:color w:val="auto"/>
          <w:sz w:val="24"/>
        </w:rPr>
        <w:t>”开头的代理机构备案编号）+供应商公司名称+联系人+电话</w:t>
      </w:r>
      <w:r>
        <w:rPr>
          <w:rFonts w:hint="eastAsia" w:ascii="新宋体" w:hAnsi="新宋体" w:eastAsia="新宋体"/>
          <w:color w:val="auto"/>
          <w:sz w:val="24"/>
        </w:rPr>
        <w:t>。③</w:t>
      </w:r>
      <w:r>
        <w:rPr>
          <w:rFonts w:hint="eastAsia" w:ascii="新宋体" w:hAnsi="新宋体" w:eastAsia="新宋体"/>
          <w:b/>
          <w:color w:val="auto"/>
          <w:sz w:val="24"/>
        </w:rPr>
        <w:t>本项目招标文件仅提供电子版</w:t>
      </w:r>
      <w:r>
        <w:rPr>
          <w:rFonts w:hint="eastAsia" w:ascii="新宋体" w:hAnsi="新宋体" w:eastAsia="新宋体"/>
          <w:color w:val="auto"/>
          <w:sz w:val="24"/>
        </w:rPr>
        <w:t>，待代理机构确认报名资料无误后，将招标文件电子版发送至对应供应商的经办人邮箱。</w:t>
      </w:r>
    </w:p>
    <w:p>
      <w:pPr>
        <w:spacing w:after="50" w:line="360" w:lineRule="auto"/>
        <w:ind w:firstLine="480" w:firstLineChars="200"/>
        <w:rPr>
          <w:color w:val="auto"/>
          <w:sz w:val="24"/>
        </w:rPr>
      </w:pPr>
      <w:r>
        <w:rPr>
          <w:rFonts w:hint="eastAsia" w:ascii="新宋体" w:hAnsi="新宋体" w:eastAsia="新宋体"/>
          <w:color w:val="auto"/>
          <w:sz w:val="24"/>
          <w:szCs w:val="18"/>
        </w:rPr>
        <w:t>3、</w:t>
      </w:r>
      <w:r>
        <w:rPr>
          <w:rFonts w:hint="eastAsia" w:ascii="新宋体" w:hAnsi="新宋体" w:eastAsia="新宋体"/>
          <w:color w:val="auto"/>
          <w:sz w:val="24"/>
        </w:rPr>
        <w:t>招标文件售价：</w:t>
      </w:r>
      <w:r>
        <w:rPr>
          <w:rFonts w:hint="eastAsia" w:ascii="新宋体" w:hAnsi="新宋体" w:eastAsia="新宋体"/>
          <w:color w:val="auto"/>
          <w:sz w:val="24"/>
          <w:szCs w:val="18"/>
          <w:u w:val="single"/>
        </w:rPr>
        <w:t>人民币</w:t>
      </w:r>
      <w:r>
        <w:rPr>
          <w:rFonts w:ascii="新宋体" w:hAnsi="新宋体" w:eastAsia="新宋体"/>
          <w:color w:val="auto"/>
          <w:sz w:val="24"/>
          <w:szCs w:val="18"/>
          <w:u w:val="single"/>
        </w:rPr>
        <w:t>0</w:t>
      </w:r>
      <w:r>
        <w:rPr>
          <w:rFonts w:hint="eastAsia" w:ascii="新宋体" w:hAnsi="新宋体" w:eastAsia="新宋体"/>
          <w:color w:val="auto"/>
          <w:sz w:val="24"/>
          <w:szCs w:val="18"/>
          <w:u w:val="single"/>
        </w:rPr>
        <w:t>元</w:t>
      </w:r>
      <w:r>
        <w:rPr>
          <w:rFonts w:ascii="新宋体" w:hAnsi="新宋体" w:eastAsia="新宋体"/>
          <w:color w:val="auto"/>
          <w:sz w:val="24"/>
          <w:szCs w:val="18"/>
          <w:u w:val="single"/>
        </w:rPr>
        <w:t>/</w:t>
      </w:r>
      <w:r>
        <w:rPr>
          <w:rFonts w:hint="eastAsia" w:ascii="新宋体" w:hAnsi="新宋体" w:eastAsia="新宋体"/>
          <w:color w:val="auto"/>
          <w:sz w:val="24"/>
          <w:szCs w:val="18"/>
          <w:u w:val="single"/>
        </w:rPr>
        <w:t>份</w:t>
      </w:r>
      <w:r>
        <w:rPr>
          <w:rFonts w:hint="eastAsia" w:ascii="新宋体" w:hAnsi="新宋体" w:eastAsia="新宋体"/>
          <w:color w:val="auto"/>
          <w:sz w:val="24"/>
        </w:rPr>
        <w:t>（招标文件售后不退</w:t>
      </w:r>
      <w:r>
        <w:rPr>
          <w:rFonts w:ascii="新宋体" w:hAnsi="新宋体" w:eastAsia="新宋体"/>
          <w:color w:val="auto"/>
          <w:sz w:val="24"/>
        </w:rPr>
        <w:t xml:space="preserve">, </w:t>
      </w:r>
      <w:r>
        <w:rPr>
          <w:rFonts w:hint="eastAsia" w:ascii="新宋体" w:hAnsi="新宋体" w:eastAsia="新宋体"/>
          <w:color w:val="auto"/>
          <w:sz w:val="24"/>
        </w:rPr>
        <w:t>磋商资格不能转让）。</w:t>
      </w:r>
    </w:p>
    <w:p>
      <w:pPr>
        <w:tabs>
          <w:tab w:val="center" w:pos="5059"/>
        </w:tabs>
        <w:spacing w:after="50" w:line="400" w:lineRule="exact"/>
        <w:ind w:firstLine="480" w:firstLineChars="200"/>
        <w:rPr>
          <w:rFonts w:ascii="宋体" w:hAnsi="宋体"/>
          <w:color w:val="auto"/>
          <w:sz w:val="24"/>
        </w:rPr>
      </w:pPr>
      <w:r>
        <w:rPr>
          <w:rFonts w:hint="eastAsia" w:ascii="新宋体" w:hAnsi="新宋体" w:eastAsia="新宋体"/>
          <w:color w:val="auto"/>
          <w:sz w:val="24"/>
        </w:rPr>
        <w:t>公告期限：5个工作日。</w:t>
      </w:r>
      <w:r>
        <w:rPr>
          <w:rFonts w:hint="eastAsia" w:ascii="新宋体" w:hAnsi="新宋体" w:eastAsia="新宋体"/>
          <w:color w:val="auto"/>
          <w:sz w:val="24"/>
        </w:rPr>
        <w:tab/>
      </w:r>
      <w:r>
        <w:rPr>
          <w:rFonts w:hAnsi="宋体"/>
          <w:color w:val="auto"/>
          <w:sz w:val="24"/>
        </w:rPr>
        <w:tab/>
      </w:r>
    </w:p>
    <w:p>
      <w:pPr>
        <w:spacing w:after="120" w:afterLines="50" w:line="400" w:lineRule="exact"/>
        <w:ind w:firstLine="482" w:firstLineChars="200"/>
        <w:rPr>
          <w:rFonts w:ascii="宋体" w:hAnsi="宋体"/>
          <w:color w:val="auto"/>
          <w:sz w:val="24"/>
          <w:szCs w:val="28"/>
        </w:rPr>
      </w:pPr>
      <w:r>
        <w:rPr>
          <w:rFonts w:hint="eastAsia" w:ascii="宋体" w:hAnsi="宋体"/>
          <w:b/>
          <w:color w:val="auto"/>
          <w:sz w:val="24"/>
          <w:szCs w:val="28"/>
        </w:rPr>
        <w:t>七、</w:t>
      </w:r>
      <w:r>
        <w:rPr>
          <w:rFonts w:hint="eastAsia" w:ascii="新宋体" w:hAnsi="新宋体" w:eastAsia="新宋体"/>
          <w:b/>
          <w:color w:val="auto"/>
          <w:sz w:val="24"/>
        </w:rPr>
        <w:t>投标截止时间和开标时间：</w:t>
      </w:r>
      <w:r>
        <w:rPr>
          <w:rFonts w:hint="eastAsia" w:ascii="新宋体" w:hAnsi="新宋体" w:eastAsia="新宋体"/>
          <w:b/>
          <w:bCs/>
          <w:color w:val="auto"/>
          <w:sz w:val="24"/>
          <w:u w:val="single"/>
        </w:rPr>
        <w:t>2021年</w:t>
      </w:r>
      <w:r>
        <w:rPr>
          <w:rFonts w:ascii="新宋体" w:hAnsi="新宋体" w:eastAsia="新宋体"/>
          <w:b/>
          <w:bCs/>
          <w:color w:val="auto"/>
          <w:sz w:val="24"/>
          <w:u w:val="single"/>
        </w:rPr>
        <w:t>7</w:t>
      </w:r>
      <w:r>
        <w:rPr>
          <w:rFonts w:hint="eastAsia" w:ascii="新宋体" w:hAnsi="新宋体" w:eastAsia="新宋体"/>
          <w:b/>
          <w:bCs/>
          <w:color w:val="auto"/>
          <w:sz w:val="24"/>
          <w:u w:val="single"/>
        </w:rPr>
        <w:t>月</w:t>
      </w:r>
      <w:r>
        <w:rPr>
          <w:rFonts w:hint="eastAsia" w:ascii="新宋体" w:hAnsi="新宋体" w:eastAsia="新宋体"/>
          <w:b/>
          <w:bCs/>
          <w:color w:val="auto"/>
          <w:sz w:val="24"/>
          <w:u w:val="single"/>
          <w:lang w:val="en-US" w:eastAsia="zh-CN"/>
        </w:rPr>
        <w:t>12</w:t>
      </w:r>
      <w:r>
        <w:rPr>
          <w:rFonts w:hint="eastAsia" w:ascii="新宋体" w:hAnsi="新宋体" w:eastAsia="新宋体"/>
          <w:b/>
          <w:bCs/>
          <w:color w:val="auto"/>
          <w:sz w:val="24"/>
          <w:u w:val="single"/>
        </w:rPr>
        <w:t>日10时</w:t>
      </w:r>
      <w:r>
        <w:rPr>
          <w:rFonts w:ascii="新宋体" w:hAnsi="新宋体" w:eastAsia="新宋体"/>
          <w:color w:val="auto"/>
          <w:sz w:val="24"/>
        </w:rPr>
        <w:t>（北</w:t>
      </w:r>
      <w:r>
        <w:rPr>
          <w:rFonts w:ascii="新宋体" w:hAnsi="新宋体" w:eastAsia="新宋体"/>
          <w:color w:val="auto"/>
          <w:sz w:val="24"/>
          <w:szCs w:val="28"/>
        </w:rPr>
        <w:t>京时间）</w:t>
      </w:r>
      <w:r>
        <w:rPr>
          <w:rFonts w:hint="eastAsia" w:ascii="新宋体" w:hAnsi="新宋体" w:eastAsia="新宋体"/>
          <w:color w:val="auto"/>
          <w:sz w:val="24"/>
          <w:szCs w:val="28"/>
        </w:rPr>
        <w:t>。</w:t>
      </w:r>
    </w:p>
    <w:p>
      <w:pPr>
        <w:pStyle w:val="17"/>
        <w:spacing w:after="120" w:afterLines="50" w:line="400" w:lineRule="exact"/>
        <w:ind w:firstLine="480"/>
        <w:rPr>
          <w:rFonts w:ascii="宋体" w:hAnsi="宋体"/>
          <w:color w:val="auto"/>
          <w:sz w:val="24"/>
          <w:szCs w:val="28"/>
        </w:rPr>
      </w:pPr>
      <w:r>
        <w:rPr>
          <w:rFonts w:hint="eastAsia" w:ascii="宋体" w:hAnsi="宋体"/>
          <w:color w:val="auto"/>
          <w:sz w:val="24"/>
          <w:szCs w:val="28"/>
        </w:rPr>
        <w:t>投标文件必须在投标截止时间前送达开标地点。逾期送达的投标文件不予接收。本次招标不接受邮寄的投标文件。</w:t>
      </w:r>
    </w:p>
    <w:p>
      <w:pPr>
        <w:spacing w:after="50" w:line="400" w:lineRule="exact"/>
        <w:ind w:firstLine="489" w:firstLineChars="203"/>
        <w:rPr>
          <w:rFonts w:ascii="宋体" w:hAnsi="宋体"/>
          <w:color w:val="auto"/>
          <w:sz w:val="24"/>
          <w:szCs w:val="28"/>
        </w:rPr>
      </w:pPr>
      <w:r>
        <w:rPr>
          <w:rFonts w:hint="eastAsia" w:ascii="宋体" w:hAnsi="宋体"/>
          <w:b/>
          <w:color w:val="auto"/>
          <w:sz w:val="24"/>
          <w:szCs w:val="28"/>
        </w:rPr>
        <w:t>八、</w:t>
      </w:r>
      <w:r>
        <w:rPr>
          <w:rFonts w:hint="eastAsia" w:ascii="宋体" w:hAnsi="宋体"/>
          <w:color w:val="auto"/>
          <w:sz w:val="24"/>
          <w:szCs w:val="28"/>
        </w:rPr>
        <w:t>开标地点：</w:t>
      </w:r>
      <w:r>
        <w:rPr>
          <w:rFonts w:ascii="新宋体" w:hAnsi="新宋体" w:eastAsia="新宋体"/>
          <w:color w:val="auto"/>
          <w:sz w:val="24"/>
          <w:u w:val="single"/>
        </w:rPr>
        <w:t>成都市高新区天府大道中段530-2号东方希望天祥广场B座12楼1</w:t>
      </w:r>
      <w:r>
        <w:rPr>
          <w:rFonts w:hint="eastAsia" w:ascii="新宋体" w:hAnsi="新宋体" w:eastAsia="新宋体"/>
          <w:color w:val="auto"/>
          <w:sz w:val="24"/>
          <w:u w:val="single"/>
        </w:rPr>
        <w:t>0</w:t>
      </w:r>
      <w:r>
        <w:rPr>
          <w:rFonts w:ascii="新宋体" w:hAnsi="新宋体" w:eastAsia="新宋体"/>
          <w:color w:val="auto"/>
          <w:sz w:val="24"/>
          <w:u w:val="single"/>
        </w:rPr>
        <w:t>号</w:t>
      </w:r>
      <w:r>
        <w:rPr>
          <w:rFonts w:hint="eastAsia" w:ascii="新宋体" w:hAnsi="新宋体" w:eastAsia="新宋体"/>
          <w:color w:val="auto"/>
          <w:sz w:val="24"/>
          <w:szCs w:val="28"/>
        </w:rPr>
        <w:t>。</w:t>
      </w:r>
    </w:p>
    <w:p>
      <w:pPr>
        <w:pStyle w:val="88"/>
        <w:spacing w:line="400" w:lineRule="exact"/>
        <w:ind w:firstLine="482"/>
        <w:rPr>
          <w:rFonts w:ascii="宋体" w:hAnsi="宋体"/>
          <w:color w:val="auto"/>
          <w:sz w:val="24"/>
        </w:rPr>
      </w:pPr>
      <w:r>
        <w:rPr>
          <w:rFonts w:hint="eastAsia" w:ascii="宋体" w:hAnsi="宋体"/>
          <w:b/>
          <w:color w:val="auto"/>
          <w:sz w:val="24"/>
        </w:rPr>
        <w:t>九、</w:t>
      </w:r>
      <w:r>
        <w:rPr>
          <w:rFonts w:hint="eastAsia" w:ascii="宋体" w:hAnsi="宋体"/>
          <w:color w:val="auto"/>
          <w:sz w:val="24"/>
        </w:rPr>
        <w:t>本投标邀请在四川政府采购网上以公告形式发布。</w:t>
      </w:r>
    </w:p>
    <w:p>
      <w:pPr>
        <w:pStyle w:val="88"/>
        <w:spacing w:line="400" w:lineRule="exact"/>
        <w:ind w:firstLine="482"/>
        <w:rPr>
          <w:rFonts w:ascii="宋体" w:hAnsi="宋体"/>
          <w:b/>
          <w:color w:val="auto"/>
          <w:sz w:val="24"/>
        </w:rPr>
      </w:pPr>
      <w:r>
        <w:rPr>
          <w:rFonts w:hint="eastAsia" w:ascii="宋体" w:hAnsi="宋体"/>
          <w:b/>
          <w:color w:val="auto"/>
          <w:sz w:val="24"/>
        </w:rPr>
        <w:t>十、联系方式</w:t>
      </w:r>
    </w:p>
    <w:p>
      <w:pPr>
        <w:pStyle w:val="88"/>
        <w:spacing w:line="400" w:lineRule="exact"/>
        <w:ind w:firstLine="954" w:firstLineChars="396"/>
        <w:rPr>
          <w:rFonts w:hAnsi="宋体"/>
          <w:b/>
          <w:color w:val="auto"/>
          <w:sz w:val="24"/>
        </w:rPr>
      </w:pPr>
      <w:r>
        <w:rPr>
          <w:rFonts w:hint="eastAsia" w:hAnsi="宋体"/>
          <w:b/>
          <w:color w:val="auto"/>
          <w:sz w:val="24"/>
        </w:rPr>
        <w:t>采购人：成都市射击运动学校</w:t>
      </w:r>
    </w:p>
    <w:p>
      <w:pPr>
        <w:pStyle w:val="88"/>
        <w:spacing w:line="400" w:lineRule="exact"/>
        <w:ind w:firstLine="950" w:firstLineChars="396"/>
        <w:rPr>
          <w:rFonts w:ascii="宋体" w:hAnsi="宋体"/>
          <w:color w:val="auto"/>
          <w:sz w:val="24"/>
        </w:rPr>
      </w:pPr>
      <w:r>
        <w:rPr>
          <w:rFonts w:hint="eastAsia" w:ascii="宋体" w:hAnsi="宋体"/>
          <w:color w:val="auto"/>
          <w:sz w:val="24"/>
          <w:lang w:val="zh-CN"/>
        </w:rPr>
        <w:t>地址：成都市锦江区净居寺路</w:t>
      </w:r>
      <w:r>
        <w:rPr>
          <w:rFonts w:hint="eastAsia" w:ascii="宋体" w:hAnsi="宋体"/>
          <w:color w:val="auto"/>
          <w:sz w:val="24"/>
        </w:rPr>
        <w:t>45号</w:t>
      </w:r>
    </w:p>
    <w:p>
      <w:pPr>
        <w:pStyle w:val="88"/>
        <w:spacing w:line="400" w:lineRule="exact"/>
        <w:ind w:firstLine="950" w:firstLineChars="396"/>
        <w:rPr>
          <w:rFonts w:ascii="宋体" w:hAnsi="宋体"/>
          <w:color w:val="auto"/>
          <w:sz w:val="24"/>
        </w:rPr>
      </w:pPr>
      <w:r>
        <w:rPr>
          <w:rFonts w:hint="eastAsia" w:ascii="宋体" w:hAnsi="宋体"/>
          <w:color w:val="auto"/>
          <w:sz w:val="24"/>
          <w:lang w:val="zh-CN"/>
        </w:rPr>
        <w:t>联系人</w:t>
      </w:r>
      <w:r>
        <w:rPr>
          <w:rFonts w:hint="eastAsia" w:ascii="宋体" w:hAnsi="宋体"/>
          <w:color w:val="auto"/>
          <w:sz w:val="24"/>
        </w:rPr>
        <w:t>:岳老师</w:t>
      </w:r>
    </w:p>
    <w:p>
      <w:pPr>
        <w:pStyle w:val="88"/>
        <w:spacing w:line="400" w:lineRule="exact"/>
        <w:ind w:firstLine="950" w:firstLineChars="396"/>
        <w:rPr>
          <w:rFonts w:ascii="宋体" w:hAnsi="宋体"/>
          <w:color w:val="auto"/>
          <w:sz w:val="24"/>
        </w:rPr>
      </w:pPr>
      <w:r>
        <w:rPr>
          <w:rFonts w:hint="eastAsia" w:ascii="宋体" w:hAnsi="宋体"/>
          <w:color w:val="auto"/>
          <w:sz w:val="24"/>
          <w:lang w:val="zh-CN"/>
        </w:rPr>
        <w:t>电 话：</w:t>
      </w:r>
      <w:r>
        <w:rPr>
          <w:rFonts w:hint="eastAsia" w:ascii="宋体" w:hAnsi="宋体"/>
          <w:color w:val="auto"/>
          <w:sz w:val="24"/>
        </w:rPr>
        <w:t>13880667523</w:t>
      </w:r>
    </w:p>
    <w:p>
      <w:pPr>
        <w:pStyle w:val="88"/>
        <w:spacing w:line="400" w:lineRule="exact"/>
        <w:ind w:firstLine="964" w:firstLineChars="400"/>
        <w:rPr>
          <w:rFonts w:ascii="新宋体" w:hAnsi="新宋体" w:eastAsia="新宋体"/>
          <w:b/>
          <w:bCs/>
          <w:color w:val="auto"/>
          <w:sz w:val="24"/>
        </w:rPr>
      </w:pPr>
      <w:r>
        <w:rPr>
          <w:rFonts w:hint="eastAsia" w:ascii="新宋体" w:hAnsi="新宋体" w:eastAsia="新宋体"/>
          <w:b/>
          <w:bCs/>
          <w:color w:val="auto"/>
          <w:sz w:val="24"/>
        </w:rPr>
        <w:t>采购代理机构：成都盈合工程项目管理有限公司</w:t>
      </w:r>
    </w:p>
    <w:p>
      <w:pPr>
        <w:spacing w:after="50" w:line="400" w:lineRule="exact"/>
        <w:ind w:firstLine="960" w:firstLineChars="400"/>
        <w:rPr>
          <w:rFonts w:hAnsi="宋体" w:cs="Arial"/>
          <w:color w:val="auto"/>
          <w:sz w:val="24"/>
        </w:rPr>
      </w:pPr>
      <w:r>
        <w:rPr>
          <w:rFonts w:hAnsi="宋体" w:cs="Arial"/>
          <w:color w:val="auto"/>
          <w:sz w:val="24"/>
        </w:rPr>
        <w:t>地址：</w:t>
      </w:r>
      <w:r>
        <w:rPr>
          <w:rFonts w:hint="eastAsia" w:hAnsi="宋体" w:cs="Arial"/>
          <w:color w:val="auto"/>
          <w:sz w:val="24"/>
        </w:rPr>
        <w:t>成都市高新区天府大道中段530-2号成都东方希望天祥广场B座12楼10号</w:t>
      </w:r>
    </w:p>
    <w:p>
      <w:pPr>
        <w:spacing w:after="50" w:line="400" w:lineRule="exact"/>
        <w:ind w:firstLine="960" w:firstLineChars="400"/>
        <w:rPr>
          <w:rFonts w:hAnsi="宋体" w:cs="Arial"/>
          <w:color w:val="auto"/>
          <w:sz w:val="24"/>
        </w:rPr>
      </w:pPr>
      <w:r>
        <w:rPr>
          <w:rFonts w:hAnsi="宋体" w:cs="Arial"/>
          <w:color w:val="auto"/>
          <w:sz w:val="24"/>
        </w:rPr>
        <w:t>联系人</w:t>
      </w:r>
      <w:r>
        <w:rPr>
          <w:rFonts w:hint="eastAsia" w:hAnsi="宋体" w:cs="Arial"/>
          <w:color w:val="auto"/>
          <w:sz w:val="24"/>
        </w:rPr>
        <w:t>：翁先生</w:t>
      </w:r>
    </w:p>
    <w:p>
      <w:pPr>
        <w:spacing w:after="50" w:line="400" w:lineRule="exact"/>
        <w:ind w:firstLine="960" w:firstLineChars="400"/>
        <w:rPr>
          <w:rFonts w:ascii="宋体" w:hAnsi="宋体"/>
          <w:color w:val="auto"/>
        </w:rPr>
      </w:pPr>
      <w:r>
        <w:rPr>
          <w:rFonts w:hAnsi="宋体" w:cs="Arial"/>
          <w:color w:val="auto"/>
          <w:sz w:val="24"/>
        </w:rPr>
        <w:t>电话：</w:t>
      </w:r>
      <w:r>
        <w:rPr>
          <w:rFonts w:hint="eastAsia" w:hAnsi="宋体" w:cs="Arial"/>
          <w:color w:val="auto"/>
          <w:sz w:val="24"/>
        </w:rPr>
        <w:t>0</w:t>
      </w:r>
      <w:r>
        <w:rPr>
          <w:rFonts w:hAnsi="宋体" w:cs="Arial"/>
          <w:color w:val="auto"/>
          <w:sz w:val="24"/>
        </w:rPr>
        <w:t>28-61397251</w:t>
      </w:r>
      <w:r>
        <w:rPr>
          <w:rFonts w:hint="eastAsia" w:hAnsi="宋体" w:cs="Arial"/>
          <w:color w:val="auto"/>
          <w:sz w:val="24"/>
        </w:rPr>
        <w:t>转</w:t>
      </w:r>
      <w:r>
        <w:rPr>
          <w:rFonts w:hAnsi="宋体" w:cs="Arial"/>
          <w:color w:val="auto"/>
          <w:sz w:val="24"/>
        </w:rPr>
        <w:t>610</w:t>
      </w:r>
    </w:p>
    <w:p>
      <w:pPr>
        <w:pStyle w:val="3"/>
        <w:spacing w:line="240" w:lineRule="atLeast"/>
        <w:jc w:val="center"/>
        <w:rPr>
          <w:rFonts w:ascii="宋体" w:hAnsi="宋体"/>
          <w:color w:val="auto"/>
          <w:sz w:val="36"/>
          <w:szCs w:val="36"/>
        </w:rPr>
      </w:pPr>
      <w:bookmarkStart w:id="25" w:name="_Toc213396945"/>
      <w:bookmarkStart w:id="26" w:name="_Toc217446031"/>
      <w:bookmarkStart w:id="27" w:name="_Toc213397009"/>
      <w:bookmarkStart w:id="28" w:name="_Toc213496267"/>
      <w:bookmarkStart w:id="29" w:name="_Toc213396759"/>
      <w:r>
        <w:rPr>
          <w:rFonts w:ascii="宋体" w:hAnsi="宋体"/>
          <w:color w:val="auto"/>
          <w:sz w:val="36"/>
          <w:szCs w:val="36"/>
        </w:rPr>
        <w:br w:type="page"/>
      </w:r>
      <w:bookmarkStart w:id="30" w:name="_Toc65154634"/>
      <w:r>
        <w:rPr>
          <w:rFonts w:hint="eastAsia" w:ascii="宋体" w:hAnsi="宋体"/>
          <w:color w:val="auto"/>
          <w:sz w:val="36"/>
          <w:szCs w:val="36"/>
        </w:rPr>
        <w:t>第二章  投标人须知</w:t>
      </w:r>
      <w:bookmarkEnd w:id="30"/>
    </w:p>
    <w:p>
      <w:pPr>
        <w:pStyle w:val="3"/>
        <w:spacing w:line="400" w:lineRule="exact"/>
        <w:ind w:firstLine="562" w:firstLineChars="200"/>
        <w:jc w:val="center"/>
        <w:rPr>
          <w:rFonts w:ascii="宋体" w:hAnsi="宋体"/>
          <w:color w:val="auto"/>
          <w:sz w:val="28"/>
          <w:szCs w:val="28"/>
        </w:rPr>
      </w:pPr>
      <w:bookmarkStart w:id="31" w:name="_Toc527460971"/>
      <w:bookmarkStart w:id="32" w:name="_Toc65154635"/>
      <w:bookmarkStart w:id="33" w:name="_Toc65154532"/>
      <w:r>
        <w:rPr>
          <w:rFonts w:hint="eastAsia" w:ascii="宋体" w:hAnsi="宋体"/>
          <w:color w:val="auto"/>
          <w:sz w:val="28"/>
          <w:szCs w:val="28"/>
        </w:rPr>
        <w:t>一、投标人须知附表</w:t>
      </w:r>
      <w:bookmarkEnd w:id="31"/>
      <w:bookmarkEnd w:id="32"/>
      <w:bookmarkEnd w:id="33"/>
    </w:p>
    <w:bookmarkEnd w:id="25"/>
    <w:bookmarkEnd w:id="26"/>
    <w:bookmarkEnd w:id="27"/>
    <w:bookmarkEnd w:id="28"/>
    <w:bookmarkEnd w:id="29"/>
    <w:tbl>
      <w:tblPr>
        <w:tblStyle w:val="34"/>
        <w:tblW w:w="9712"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38"/>
        <w:gridCol w:w="2116"/>
        <w:gridCol w:w="6758"/>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51" w:hRule="exact"/>
          <w:tblHeader/>
          <w:jc w:val="center"/>
        </w:trPr>
        <w:tc>
          <w:tcPr>
            <w:tcW w:w="838" w:type="dxa"/>
            <w:vAlign w:val="center"/>
          </w:tcPr>
          <w:p>
            <w:pPr>
              <w:pStyle w:val="101"/>
              <w:ind w:left="9"/>
              <w:jc w:val="center"/>
              <w:rPr>
                <w:rFonts w:cs="Times New Roman"/>
                <w:color w:val="auto"/>
                <w:kern w:val="2"/>
              </w:rPr>
            </w:pPr>
            <w:r>
              <w:rPr>
                <w:rFonts w:hint="eastAsia" w:cs="Times New Roman"/>
                <w:color w:val="auto"/>
                <w:kern w:val="2"/>
              </w:rPr>
              <w:t>序号</w:t>
            </w:r>
          </w:p>
        </w:tc>
        <w:tc>
          <w:tcPr>
            <w:tcW w:w="2116" w:type="dxa"/>
            <w:vAlign w:val="center"/>
          </w:tcPr>
          <w:p>
            <w:pPr>
              <w:pStyle w:val="101"/>
              <w:ind w:left="38"/>
              <w:jc w:val="center"/>
              <w:rPr>
                <w:rFonts w:cs="Times New Roman"/>
                <w:color w:val="auto"/>
                <w:kern w:val="2"/>
              </w:rPr>
            </w:pPr>
            <w:r>
              <w:rPr>
                <w:rFonts w:hint="eastAsia" w:cs="Times New Roman"/>
                <w:color w:val="auto"/>
                <w:kern w:val="2"/>
              </w:rPr>
              <w:t>条款名称</w:t>
            </w:r>
          </w:p>
        </w:tc>
        <w:tc>
          <w:tcPr>
            <w:tcW w:w="6758" w:type="dxa"/>
            <w:vAlign w:val="center"/>
          </w:tcPr>
          <w:p>
            <w:pPr>
              <w:pStyle w:val="101"/>
              <w:jc w:val="center"/>
              <w:rPr>
                <w:rFonts w:cs="Times New Roman"/>
                <w:color w:val="auto"/>
                <w:kern w:val="2"/>
              </w:rPr>
            </w:pPr>
            <w:r>
              <w:rPr>
                <w:rFonts w:hint="eastAsia" w:cs="Times New Roman"/>
                <w:color w:val="auto"/>
                <w:kern w:val="2"/>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59" w:hRule="exact"/>
          <w:jc w:val="center"/>
        </w:trPr>
        <w:tc>
          <w:tcPr>
            <w:tcW w:w="838" w:type="dxa"/>
            <w:vMerge w:val="restart"/>
            <w:vAlign w:val="center"/>
          </w:tcPr>
          <w:p>
            <w:pPr>
              <w:pStyle w:val="101"/>
              <w:ind w:right="230"/>
              <w:jc w:val="center"/>
              <w:rPr>
                <w:rFonts w:cs="Times New Roman"/>
                <w:color w:val="auto"/>
                <w:kern w:val="2"/>
              </w:rPr>
            </w:pPr>
            <w:r>
              <w:rPr>
                <w:rFonts w:hint="eastAsia" w:cs="Times New Roman"/>
                <w:color w:val="auto"/>
                <w:kern w:val="2"/>
              </w:rPr>
              <w:t>1</w:t>
            </w:r>
          </w:p>
        </w:tc>
        <w:tc>
          <w:tcPr>
            <w:tcW w:w="2116" w:type="dxa"/>
            <w:tcBorders>
              <w:bottom w:val="single" w:color="auto" w:sz="4" w:space="0"/>
            </w:tcBorders>
            <w:vAlign w:val="center"/>
          </w:tcPr>
          <w:p>
            <w:pPr>
              <w:pStyle w:val="101"/>
              <w:ind w:left="38"/>
              <w:jc w:val="center"/>
              <w:rPr>
                <w:rFonts w:cs="Times New Roman"/>
                <w:color w:val="auto"/>
                <w:kern w:val="2"/>
              </w:rPr>
            </w:pPr>
            <w:r>
              <w:rPr>
                <w:rFonts w:hint="eastAsia" w:cs="Times New Roman"/>
                <w:color w:val="auto"/>
                <w:kern w:val="2"/>
              </w:rPr>
              <w:t>采购预算</w:t>
            </w:r>
          </w:p>
          <w:p>
            <w:pPr>
              <w:pStyle w:val="101"/>
              <w:ind w:left="38"/>
              <w:jc w:val="center"/>
              <w:rPr>
                <w:rFonts w:cs="Times New Roman"/>
                <w:color w:val="auto"/>
                <w:kern w:val="2"/>
              </w:rPr>
            </w:pPr>
            <w:r>
              <w:rPr>
                <w:rFonts w:hint="eastAsia"/>
                <w:color w:val="auto"/>
              </w:rPr>
              <w:t>（实质性要求）</w:t>
            </w:r>
          </w:p>
        </w:tc>
        <w:tc>
          <w:tcPr>
            <w:tcW w:w="6758" w:type="dxa"/>
            <w:tcBorders>
              <w:bottom w:val="single" w:color="auto" w:sz="4" w:space="0"/>
            </w:tcBorders>
          </w:tcPr>
          <w:p>
            <w:pPr>
              <w:spacing w:line="360" w:lineRule="auto"/>
              <w:ind w:right="31" w:rightChars="15"/>
              <w:rPr>
                <w:rFonts w:ascii="宋体" w:hAnsi="宋体" w:cs="宋体"/>
                <w:color w:val="auto"/>
                <w:kern w:val="0"/>
                <w:sz w:val="24"/>
              </w:rPr>
            </w:pPr>
            <w:r>
              <w:rPr>
                <w:rFonts w:hint="eastAsia" w:ascii="宋体" w:hAnsi="宋体" w:cs="宋体"/>
                <w:color w:val="auto"/>
                <w:kern w:val="0"/>
                <w:sz w:val="24"/>
              </w:rPr>
              <w:t>采购预算（人民币）：第1包：</w:t>
            </w:r>
            <w:r>
              <w:rPr>
                <w:rFonts w:ascii="宋体" w:hAnsi="宋体" w:cs="宋体"/>
                <w:color w:val="auto"/>
                <w:kern w:val="0"/>
                <w:sz w:val="24"/>
              </w:rPr>
              <w:t>180.766</w:t>
            </w:r>
            <w:r>
              <w:rPr>
                <w:rFonts w:hint="eastAsia" w:ascii="宋体" w:hAnsi="宋体" w:cs="宋体"/>
                <w:color w:val="auto"/>
                <w:kern w:val="0"/>
                <w:sz w:val="24"/>
              </w:rPr>
              <w:t>万元，第2包：</w:t>
            </w:r>
            <w:r>
              <w:rPr>
                <w:rFonts w:ascii="宋体" w:hAnsi="宋体" w:cs="宋体"/>
                <w:color w:val="auto"/>
                <w:kern w:val="0"/>
                <w:sz w:val="24"/>
              </w:rPr>
              <w:t>90</w:t>
            </w:r>
            <w:r>
              <w:rPr>
                <w:rFonts w:hint="eastAsia" w:ascii="宋体" w:hAnsi="宋体" w:cs="宋体"/>
                <w:color w:val="auto"/>
                <w:kern w:val="0"/>
                <w:sz w:val="24"/>
              </w:rPr>
              <w:t>万元。</w:t>
            </w:r>
          </w:p>
          <w:p>
            <w:pPr>
              <w:pStyle w:val="101"/>
              <w:jc w:val="both"/>
              <w:rPr>
                <w:color w:val="auto"/>
              </w:rPr>
            </w:pPr>
            <w:r>
              <w:rPr>
                <w:rFonts w:hint="eastAsia"/>
                <w:color w:val="auto"/>
              </w:rPr>
              <w:t>超过各包采购预算的投标为无效投标。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320" w:hRule="exact"/>
          <w:jc w:val="center"/>
        </w:trPr>
        <w:tc>
          <w:tcPr>
            <w:tcW w:w="838" w:type="dxa"/>
            <w:vMerge w:val="continue"/>
            <w:vAlign w:val="center"/>
          </w:tcPr>
          <w:p>
            <w:pPr>
              <w:jc w:val="center"/>
              <w:rPr>
                <w:rFonts w:ascii="宋体" w:hAnsi="宋体"/>
                <w:color w:val="auto"/>
                <w:sz w:val="24"/>
              </w:rPr>
            </w:pPr>
          </w:p>
        </w:tc>
        <w:tc>
          <w:tcPr>
            <w:tcW w:w="2116" w:type="dxa"/>
            <w:tcBorders>
              <w:top w:val="single" w:color="auto" w:sz="4" w:space="0"/>
            </w:tcBorders>
            <w:vAlign w:val="center"/>
          </w:tcPr>
          <w:p>
            <w:pPr>
              <w:pStyle w:val="101"/>
              <w:jc w:val="center"/>
              <w:rPr>
                <w:rFonts w:cs="Times New Roman"/>
                <w:color w:val="auto"/>
                <w:kern w:val="2"/>
              </w:rPr>
            </w:pPr>
            <w:r>
              <w:rPr>
                <w:rFonts w:hint="eastAsia" w:cs="Times New Roman"/>
                <w:color w:val="auto"/>
                <w:kern w:val="2"/>
              </w:rPr>
              <w:t>最高限价</w:t>
            </w:r>
          </w:p>
          <w:p>
            <w:pPr>
              <w:pStyle w:val="101"/>
              <w:jc w:val="center"/>
              <w:rPr>
                <w:rFonts w:cs="Times New Roman"/>
                <w:color w:val="auto"/>
                <w:kern w:val="2"/>
              </w:rPr>
            </w:pPr>
            <w:r>
              <w:rPr>
                <w:rFonts w:hint="eastAsia"/>
                <w:color w:val="auto"/>
              </w:rPr>
              <w:t>（实质性要求）</w:t>
            </w:r>
          </w:p>
        </w:tc>
        <w:tc>
          <w:tcPr>
            <w:tcW w:w="6758" w:type="dxa"/>
            <w:tcBorders>
              <w:top w:val="single" w:color="auto" w:sz="4" w:space="0"/>
            </w:tcBorders>
          </w:tcPr>
          <w:p>
            <w:pPr>
              <w:spacing w:line="360" w:lineRule="auto"/>
              <w:ind w:right="31" w:rightChars="15"/>
              <w:rPr>
                <w:rFonts w:ascii="宋体" w:hAnsi="宋体" w:cs="宋体"/>
                <w:color w:val="auto"/>
                <w:kern w:val="0"/>
                <w:sz w:val="24"/>
              </w:rPr>
            </w:pPr>
            <w:r>
              <w:rPr>
                <w:rFonts w:hint="eastAsia" w:ascii="宋体" w:hAnsi="宋体" w:cs="宋体"/>
                <w:color w:val="auto"/>
                <w:kern w:val="0"/>
                <w:sz w:val="24"/>
              </w:rPr>
              <w:t>最高限价（人民币）：第1包：</w:t>
            </w:r>
            <w:r>
              <w:rPr>
                <w:rFonts w:ascii="宋体" w:hAnsi="宋体" w:cs="宋体"/>
                <w:color w:val="auto"/>
                <w:kern w:val="0"/>
                <w:sz w:val="24"/>
              </w:rPr>
              <w:t>180.766</w:t>
            </w:r>
            <w:r>
              <w:rPr>
                <w:rFonts w:hint="eastAsia" w:ascii="宋体" w:hAnsi="宋体" w:cs="宋体"/>
                <w:color w:val="auto"/>
                <w:kern w:val="0"/>
                <w:sz w:val="24"/>
              </w:rPr>
              <w:t>万元，第2包：</w:t>
            </w:r>
            <w:r>
              <w:rPr>
                <w:rFonts w:ascii="宋体" w:hAnsi="宋体" w:cs="宋体"/>
                <w:color w:val="auto"/>
                <w:kern w:val="0"/>
                <w:sz w:val="24"/>
              </w:rPr>
              <w:t>90</w:t>
            </w:r>
            <w:r>
              <w:rPr>
                <w:rFonts w:hint="eastAsia" w:ascii="宋体" w:hAnsi="宋体" w:cs="宋体"/>
                <w:color w:val="auto"/>
                <w:kern w:val="0"/>
                <w:sz w:val="24"/>
              </w:rPr>
              <w:t>万元。</w:t>
            </w:r>
          </w:p>
          <w:p>
            <w:pPr>
              <w:pStyle w:val="101"/>
              <w:jc w:val="both"/>
              <w:rPr>
                <w:color w:val="auto"/>
              </w:rPr>
            </w:pPr>
            <w:r>
              <w:rPr>
                <w:rFonts w:hint="eastAsia"/>
                <w:color w:val="auto"/>
              </w:rPr>
              <w:t>超过各包最高限价的报价为无效投标。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487" w:hRule="atLeast"/>
          <w:jc w:val="center"/>
        </w:trPr>
        <w:tc>
          <w:tcPr>
            <w:tcW w:w="838" w:type="dxa"/>
            <w:vAlign w:val="center"/>
          </w:tcPr>
          <w:p>
            <w:pPr>
              <w:pStyle w:val="101"/>
              <w:ind w:right="230"/>
              <w:jc w:val="center"/>
              <w:rPr>
                <w:rFonts w:cs="Times New Roman"/>
                <w:color w:val="auto"/>
                <w:kern w:val="2"/>
              </w:rPr>
            </w:pPr>
            <w:r>
              <w:rPr>
                <w:rFonts w:hint="eastAsia" w:cs="Times New Roman"/>
                <w:color w:val="auto"/>
                <w:kern w:val="2"/>
              </w:rPr>
              <w:t>2</w:t>
            </w:r>
          </w:p>
        </w:tc>
        <w:tc>
          <w:tcPr>
            <w:tcW w:w="2116" w:type="dxa"/>
            <w:vAlign w:val="center"/>
          </w:tcPr>
          <w:p>
            <w:pPr>
              <w:pStyle w:val="101"/>
              <w:ind w:left="38"/>
              <w:jc w:val="center"/>
              <w:rPr>
                <w:rFonts w:cs="Times New Roman"/>
                <w:color w:val="auto"/>
                <w:kern w:val="2"/>
              </w:rPr>
            </w:pPr>
            <w:r>
              <w:rPr>
                <w:rFonts w:hint="eastAsia" w:cs="Times New Roman"/>
                <w:color w:val="auto"/>
                <w:kern w:val="2"/>
              </w:rPr>
              <w:t>低于成本价不正当</w:t>
            </w:r>
          </w:p>
          <w:p>
            <w:pPr>
              <w:pStyle w:val="101"/>
              <w:ind w:left="38"/>
              <w:jc w:val="center"/>
              <w:rPr>
                <w:rFonts w:cs="Times New Roman"/>
                <w:color w:val="auto"/>
                <w:kern w:val="2"/>
              </w:rPr>
            </w:pPr>
            <w:r>
              <w:rPr>
                <w:rFonts w:hint="eastAsia" w:cs="Times New Roman"/>
                <w:color w:val="auto"/>
                <w:kern w:val="2"/>
              </w:rPr>
              <w:t>竞争预防措施</w:t>
            </w:r>
          </w:p>
          <w:p>
            <w:pPr>
              <w:pStyle w:val="101"/>
              <w:ind w:left="38"/>
              <w:jc w:val="center"/>
              <w:rPr>
                <w:rFonts w:cs="Times New Roman"/>
                <w:color w:val="auto"/>
                <w:kern w:val="2"/>
              </w:rPr>
            </w:pPr>
            <w:r>
              <w:rPr>
                <w:rFonts w:hint="eastAsia"/>
                <w:color w:val="auto"/>
              </w:rPr>
              <w:t>（实质性要求）</w:t>
            </w:r>
          </w:p>
        </w:tc>
        <w:tc>
          <w:tcPr>
            <w:tcW w:w="6758" w:type="dxa"/>
            <w:vAlign w:val="center"/>
          </w:tcPr>
          <w:p>
            <w:pPr>
              <w:pStyle w:val="101"/>
              <w:jc w:val="both"/>
              <w:rPr>
                <w:color w:val="auto"/>
              </w:rPr>
            </w:pPr>
            <w:r>
              <w:rPr>
                <w:rFonts w:hint="eastAsia"/>
                <w:color w:val="auto"/>
              </w:rPr>
              <w:t>在评标过程中，</w:t>
            </w:r>
            <w:r>
              <w:rPr>
                <w:rFonts w:hint="eastAsia" w:cs="Times New Roman"/>
                <w:color w:val="auto"/>
              </w:rPr>
              <w:t>评标委员会认为投标人的报价明显低于其他通过符合性审查投标人的报价，</w:t>
            </w:r>
            <w:r>
              <w:rPr>
                <w:rFonts w:hint="eastAsia"/>
                <w:color w:val="auto"/>
              </w:rPr>
              <w:t>有可能影响产品质量或者不能诚信履约的，应当要求其在评标现场合理的时间内提供成本构成书面说明，必要时提交相关证明材料。投标人书面说明应当按照国家财务会计制度的规定要求，逐项就投标人提供的货物、工程和服务的主营业务成本（应根据投标人企业类型予以区别）、税金及附加、销售费用、管理费用、财务费用等成本构成事项详细陈述。</w:t>
            </w:r>
          </w:p>
          <w:p>
            <w:pPr>
              <w:pStyle w:val="101"/>
              <w:jc w:val="both"/>
              <w:rPr>
                <w:color w:val="auto"/>
              </w:rPr>
            </w:pPr>
            <w:r>
              <w:rPr>
                <w:rFonts w:hint="eastAsia"/>
                <w:color w:val="auto"/>
              </w:rPr>
              <w:t>投标人书面说明应当签字确认或者加盖公章，否则无效。书面说明的签字确认，投标人为法人的，由其法定代表人或者代理人签字确认；投标人为其他组织的，由其主要负责人或者代理人签字确认；投标人为自然人的，由其本人或者代理人签字确认。</w:t>
            </w:r>
          </w:p>
          <w:p>
            <w:pPr>
              <w:pStyle w:val="101"/>
              <w:jc w:val="both"/>
              <w:rPr>
                <w:rFonts w:cs="Times New Roman"/>
                <w:color w:val="auto"/>
                <w:kern w:val="2"/>
              </w:rPr>
            </w:pPr>
            <w:r>
              <w:rPr>
                <w:rFonts w:hint="eastAsia"/>
                <w:color w:val="auto"/>
              </w:rPr>
              <w:t>投标人提供书面说明后，评标委员会应当结合采购项目采购需求、专业实际情况、投标人财务状况报告、与其他投标人比较情况等就投标人书面说明进行审查评价。投标人拒绝或者变相拒绝提供有效书面说明或者书面说明不能证明其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4030" w:hRule="exact"/>
          <w:jc w:val="center"/>
        </w:trPr>
        <w:tc>
          <w:tcPr>
            <w:tcW w:w="838" w:type="dxa"/>
            <w:vAlign w:val="center"/>
          </w:tcPr>
          <w:p>
            <w:pPr>
              <w:pStyle w:val="101"/>
              <w:ind w:right="230"/>
              <w:jc w:val="center"/>
              <w:rPr>
                <w:rFonts w:cs="Courier New"/>
                <w:color w:val="auto"/>
                <w:lang w:val="zh-CN"/>
              </w:rPr>
            </w:pPr>
            <w:r>
              <w:rPr>
                <w:rFonts w:hint="eastAsia" w:cs="Courier New"/>
                <w:color w:val="auto"/>
                <w:lang w:val="zh-CN"/>
              </w:rPr>
              <w:t>3</w:t>
            </w:r>
          </w:p>
        </w:tc>
        <w:tc>
          <w:tcPr>
            <w:tcW w:w="2116" w:type="dxa"/>
            <w:vAlign w:val="center"/>
          </w:tcPr>
          <w:p>
            <w:pPr>
              <w:pStyle w:val="101"/>
              <w:jc w:val="center"/>
              <w:rPr>
                <w:rFonts w:cs="Times New Roman"/>
                <w:color w:val="auto"/>
                <w:kern w:val="2"/>
              </w:rPr>
            </w:pPr>
            <w:r>
              <w:rPr>
                <w:rFonts w:hint="eastAsia" w:cs="Times New Roman"/>
                <w:color w:val="auto"/>
                <w:kern w:val="2"/>
              </w:rPr>
              <w:t>小微企业（</w:t>
            </w:r>
            <w:r>
              <w:rPr>
                <w:color w:val="auto"/>
              </w:rPr>
              <w:t>监狱企业、残疾人福利性单位视同小微企业</w:t>
            </w:r>
            <w:r>
              <w:rPr>
                <w:rFonts w:hint="eastAsia" w:cs="Times New Roman"/>
                <w:color w:val="auto"/>
                <w:kern w:val="2"/>
              </w:rPr>
              <w:t>）价格扣除和失信企业报价加成或者扣分</w:t>
            </w:r>
            <w:r>
              <w:rPr>
                <w:rFonts w:hint="eastAsia"/>
                <w:color w:val="auto"/>
              </w:rPr>
              <w:t>（实质性要求）</w:t>
            </w:r>
          </w:p>
        </w:tc>
        <w:tc>
          <w:tcPr>
            <w:tcW w:w="6758" w:type="dxa"/>
            <w:vAlign w:val="center"/>
          </w:tcPr>
          <w:p>
            <w:pPr>
              <w:widowControl/>
              <w:numPr>
                <w:ilvl w:val="0"/>
                <w:numId w:val="2"/>
              </w:numPr>
              <w:jc w:val="left"/>
              <w:rPr>
                <w:rFonts w:ascii="宋体" w:hAnsi="宋体" w:cs="宋体"/>
                <w:color w:val="auto"/>
                <w:kern w:val="0"/>
                <w:sz w:val="24"/>
              </w:rPr>
            </w:pPr>
            <w:r>
              <w:rPr>
                <w:rFonts w:ascii="宋体" w:hAnsi="宋体" w:cs="宋体"/>
                <w:color w:val="auto"/>
                <w:kern w:val="0"/>
                <w:sz w:val="24"/>
              </w:rPr>
              <w:t>小微企业（监狱企业、残疾人福利性单位视同小微企业）价格扣除</w:t>
            </w:r>
            <w:r>
              <w:rPr>
                <w:rFonts w:ascii="宋体" w:hAnsi="宋体" w:cs="宋体"/>
                <w:color w:val="auto"/>
                <w:kern w:val="0"/>
                <w:sz w:val="24"/>
              </w:rPr>
              <w:br w:type="textWrapping"/>
            </w:r>
            <w:r>
              <w:rPr>
                <w:rFonts w:ascii="宋体" w:hAnsi="宋体" w:cs="宋体"/>
                <w:color w:val="auto"/>
                <w:kern w:val="0"/>
                <w:sz w:val="24"/>
              </w:rPr>
              <w:t>1、根据《政府采购促进中小企业发展管理办法》（财库〔2020〕46号）的规定，对小型和微型企业产品的价格给予</w:t>
            </w:r>
            <w:r>
              <w:rPr>
                <w:rFonts w:hint="eastAsia" w:ascii="宋体" w:hAnsi="宋体" w:cs="宋体"/>
                <w:color w:val="auto"/>
                <w:kern w:val="0"/>
                <w:sz w:val="24"/>
              </w:rPr>
              <w:t>10</w:t>
            </w:r>
            <w:r>
              <w:rPr>
                <w:rFonts w:ascii="宋体" w:hAnsi="宋体" w:cs="宋体"/>
                <w:color w:val="auto"/>
                <w:kern w:val="0"/>
                <w:sz w:val="24"/>
              </w:rPr>
              <w:t>%的价格扣除，用扣除后的价格参与评标。</w:t>
            </w:r>
            <w:r>
              <w:rPr>
                <w:rFonts w:ascii="宋体" w:hAnsi="宋体" w:cs="宋体"/>
                <w:color w:val="auto"/>
                <w:kern w:val="0"/>
                <w:sz w:val="24"/>
              </w:rPr>
              <w:br w:type="textWrapping"/>
            </w:r>
            <w:r>
              <w:rPr>
                <w:rFonts w:ascii="宋体" w:hAnsi="宋体" w:cs="宋体"/>
                <w:color w:val="auto"/>
                <w:kern w:val="0"/>
                <w:sz w:val="24"/>
              </w:rPr>
              <w:t>2、参加政府采购活动的中小企业应当提供《中小企业声明函》原件。</w:t>
            </w:r>
            <w:r>
              <w:rPr>
                <w:rFonts w:ascii="宋体" w:hAnsi="宋体" w:cs="宋体"/>
                <w:color w:val="auto"/>
                <w:kern w:val="0"/>
                <w:sz w:val="24"/>
              </w:rPr>
              <w:br w:type="textWrapping"/>
            </w:r>
            <w:r>
              <w:rPr>
                <w:rFonts w:ascii="宋体" w:hAnsi="宋体" w:cs="宋体"/>
                <w:color w:val="auto"/>
                <w:kern w:val="0"/>
                <w:sz w:val="24"/>
              </w:rPr>
              <w:t>3、大中型企业和其他自然人、法人或者其他组织与小型、微型企业组成联合体共同参加非专门面向中小企业的政府采购活动的，联合体投标协议中约定，小型、微型企业的协议合同金额占到联合体投标协议合同总金额30%以上的，可给予联合体</w:t>
            </w:r>
            <w:r>
              <w:rPr>
                <w:rFonts w:hint="eastAsia" w:ascii="宋体" w:hAnsi="宋体" w:cs="宋体"/>
                <w:color w:val="auto"/>
                <w:kern w:val="0"/>
                <w:sz w:val="24"/>
              </w:rPr>
              <w:t>3</w:t>
            </w:r>
            <w:r>
              <w:rPr>
                <w:rFonts w:ascii="宋体" w:hAnsi="宋体" w:cs="宋体"/>
                <w:color w:val="auto"/>
                <w:kern w:val="0"/>
                <w:sz w:val="24"/>
              </w:rPr>
              <w:t>%的价格扣除。 </w:t>
            </w:r>
            <w:r>
              <w:rPr>
                <w:rFonts w:ascii="宋体" w:hAnsi="宋体" w:cs="宋体"/>
                <w:color w:val="auto"/>
                <w:kern w:val="0"/>
                <w:sz w:val="24"/>
              </w:rPr>
              <w:br w:type="textWrapping"/>
            </w:r>
            <w:r>
              <w:rPr>
                <w:rFonts w:ascii="宋体" w:hAnsi="宋体" w:cs="宋体"/>
                <w:color w:val="auto"/>
                <w:kern w:val="0"/>
                <w:sz w:val="24"/>
              </w:rPr>
              <w:t>联合体各方均为小型、微型企业的，联合体视同为小型、微型企业享受规定的扶持政策。组成联合体的大中型企业和其他自然人、法人或者其他组织，与小型、微型企业之间不得存在投资关系。 </w:t>
            </w:r>
            <w:r>
              <w:rPr>
                <w:rFonts w:ascii="宋体" w:hAnsi="宋体" w:cs="宋体"/>
                <w:color w:val="auto"/>
                <w:kern w:val="0"/>
                <w:sz w:val="24"/>
              </w:rPr>
              <w:br w:type="textWrapping"/>
            </w:r>
            <w:r>
              <w:rPr>
                <w:rFonts w:ascii="宋体" w:hAnsi="宋体" w:cs="宋体"/>
                <w:color w:val="auto"/>
                <w:kern w:val="0"/>
                <w:sz w:val="24"/>
              </w:rPr>
              <w:t>4、根据财库〔2014〕68号《财政部</w:t>
            </w:r>
            <w:r>
              <w:rPr>
                <w:rFonts w:hint="eastAsia" w:ascii="宋体" w:hAnsi="宋体" w:cs="宋体"/>
                <w:color w:val="auto"/>
                <w:kern w:val="0"/>
                <w:sz w:val="24"/>
              </w:rPr>
              <w:t>、</w:t>
            </w:r>
            <w:r>
              <w:rPr>
                <w:rFonts w:ascii="宋体" w:hAnsi="宋体" w:cs="宋体"/>
                <w:color w:val="auto"/>
                <w:kern w:val="0"/>
                <w:sz w:val="24"/>
              </w:rPr>
              <w:t>司法部关于政府采购支持监狱企业发展有关问题的通知》，监狱企业视同小微企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监狱企业投标时，提供由省级以上监狱管理局、戒毒管理局(含新疆生产建设兵团)出具的属于监狱企业的证明文件，不再提供《中小微企业声明函》。</w:t>
            </w:r>
            <w:r>
              <w:rPr>
                <w:rFonts w:ascii="宋体" w:hAnsi="宋体" w:cs="宋体"/>
                <w:color w:val="auto"/>
                <w:kern w:val="0"/>
                <w:sz w:val="24"/>
              </w:rPr>
              <w:br w:type="textWrapping"/>
            </w:r>
            <w:r>
              <w:rPr>
                <w:rFonts w:ascii="宋体" w:hAnsi="宋体" w:cs="宋体"/>
                <w:color w:val="auto"/>
                <w:kern w:val="0"/>
                <w:sz w:val="24"/>
              </w:rPr>
              <w:t>5、根据财库〔2017〕141号《财政部</w:t>
            </w:r>
            <w:r>
              <w:rPr>
                <w:rFonts w:hint="eastAsia" w:ascii="宋体" w:hAnsi="宋体" w:cs="宋体"/>
                <w:color w:val="auto"/>
                <w:kern w:val="0"/>
                <w:sz w:val="24"/>
              </w:rPr>
              <w:t>、</w:t>
            </w:r>
            <w:r>
              <w:rPr>
                <w:rFonts w:ascii="宋体" w:hAnsi="宋体" w:cs="宋体"/>
                <w:color w:val="auto"/>
                <w:kern w:val="0"/>
                <w:sz w:val="24"/>
              </w:rPr>
              <w:t>民政部</w:t>
            </w:r>
            <w:r>
              <w:rPr>
                <w:rFonts w:hint="eastAsia" w:ascii="宋体" w:hAnsi="宋体" w:cs="宋体"/>
                <w:color w:val="auto"/>
                <w:kern w:val="0"/>
                <w:sz w:val="24"/>
              </w:rPr>
              <w:t>、</w:t>
            </w:r>
            <w:r>
              <w:rPr>
                <w:rFonts w:ascii="宋体" w:hAnsi="宋体" w:cs="宋体"/>
                <w:color w:val="auto"/>
                <w:kern w:val="0"/>
                <w:sz w:val="24"/>
              </w:rPr>
              <w:t>中国残疾人联合会关于促进残疾人就业政府采购政策的通知》，在政府采购活动中，残疾人福利性单位视同小型、微型企业，享受政府采购支持政策的残疾人福利性单位应当同时满足《财政部</w:t>
            </w:r>
            <w:r>
              <w:rPr>
                <w:rFonts w:hint="eastAsia" w:ascii="宋体" w:hAnsi="宋体" w:cs="宋体"/>
                <w:color w:val="auto"/>
                <w:kern w:val="0"/>
                <w:sz w:val="24"/>
              </w:rPr>
              <w:t>、</w:t>
            </w:r>
            <w:r>
              <w:rPr>
                <w:rFonts w:ascii="宋体" w:hAnsi="宋体" w:cs="宋体"/>
                <w:color w:val="auto"/>
                <w:kern w:val="0"/>
                <w:sz w:val="24"/>
              </w:rPr>
              <w:t>民政部</w:t>
            </w:r>
            <w:r>
              <w:rPr>
                <w:rFonts w:hint="eastAsia" w:ascii="宋体" w:hAnsi="宋体" w:cs="宋体"/>
                <w:color w:val="auto"/>
                <w:kern w:val="0"/>
                <w:sz w:val="24"/>
              </w:rPr>
              <w:t>、</w:t>
            </w:r>
            <w:r>
              <w:rPr>
                <w:rFonts w:ascii="宋体" w:hAnsi="宋体" w:cs="宋体"/>
                <w:color w:val="auto"/>
                <w:kern w:val="0"/>
                <w:sz w:val="24"/>
              </w:rPr>
              <w:t>中国残疾人联合会关于促进残疾人就业政府采购政策的通知》所列条件。残疾人福利性单位属于小型、微型企业的，不重复享受政策。符合条件的残疾人福利性单位在参加政府采购活动时，应当提供《残疾人福利性单位声明函》</w:t>
            </w:r>
            <w:r>
              <w:rPr>
                <w:rFonts w:hint="eastAsia" w:ascii="宋体" w:hAnsi="宋体" w:cs="宋体"/>
                <w:color w:val="auto"/>
                <w:kern w:val="0"/>
                <w:sz w:val="24"/>
              </w:rPr>
              <w:t>。</w:t>
            </w:r>
          </w:p>
          <w:p>
            <w:pPr>
              <w:widowControl/>
              <w:jc w:val="left"/>
              <w:rPr>
                <w:color w:val="auto"/>
              </w:rPr>
            </w:pPr>
            <w:r>
              <w:rPr>
                <w:rFonts w:hint="eastAsia" w:ascii="宋体" w:hAnsi="宋体" w:cs="宋体"/>
                <w:color w:val="auto"/>
                <w:kern w:val="0"/>
                <w:sz w:val="24"/>
              </w:rPr>
              <w:t>注：若本项目中标人为</w:t>
            </w:r>
            <w:r>
              <w:rPr>
                <w:rFonts w:ascii="宋体" w:hAnsi="宋体" w:cs="宋体"/>
                <w:color w:val="auto"/>
                <w:kern w:val="0"/>
                <w:sz w:val="24"/>
              </w:rPr>
              <w:t>残疾人福利性单位</w:t>
            </w:r>
            <w:r>
              <w:rPr>
                <w:rFonts w:hint="eastAsia" w:ascii="宋体" w:hAnsi="宋体" w:cs="宋体"/>
                <w:color w:val="auto"/>
                <w:kern w:val="0"/>
                <w:sz w:val="24"/>
              </w:rPr>
              <w:t>的，在结果公告中将同时公示其声明函。</w:t>
            </w:r>
          </w:p>
          <w:p>
            <w:pPr>
              <w:spacing w:line="340" w:lineRule="exact"/>
              <w:ind w:right="105" w:rightChars="50"/>
              <w:rPr>
                <w:rFonts w:ascii="宋体" w:hAnsi="宋体"/>
                <w:color w:val="auto"/>
                <w:sz w:val="24"/>
              </w:rPr>
            </w:pPr>
            <w:r>
              <w:rPr>
                <w:rFonts w:hint="eastAsia" w:ascii="宋体" w:hAnsi="宋体"/>
                <w:color w:val="auto"/>
                <w:sz w:val="24"/>
              </w:rPr>
              <w:t>二、失信企业报价加成或者扣分</w:t>
            </w:r>
          </w:p>
          <w:p>
            <w:pPr>
              <w:widowControl/>
              <w:jc w:val="left"/>
              <w:rPr>
                <w:rFonts w:ascii="宋体" w:hAnsi="宋体"/>
                <w:color w:val="auto"/>
                <w:kern w:val="0"/>
                <w:sz w:val="24"/>
              </w:rPr>
            </w:pPr>
            <w:r>
              <w:rPr>
                <w:rFonts w:hint="eastAsia" w:ascii="宋体" w:hAnsi="宋体"/>
                <w:color w:val="auto"/>
                <w:kern w:val="0"/>
                <w:sz w:val="24"/>
              </w:rPr>
              <w:t>1、对参照《四川省政府采购当事人诚信管理办法》（川财采[2015]33号）记入诚信档案的且在有效期内的失信投标人，在参加政府采购活动中实行直接从总分中扣除3分，</w:t>
            </w:r>
            <w:r>
              <w:rPr>
                <w:rFonts w:hint="eastAsia" w:ascii="宋体" w:hAnsi="宋体"/>
                <w:color w:val="auto"/>
                <w:sz w:val="24"/>
              </w:rPr>
              <w:t>且投标人失信行为惩戒实行无限制累加制，直至</w:t>
            </w:r>
            <w:r>
              <w:rPr>
                <w:rFonts w:hint="eastAsia" w:ascii="宋体" w:hAnsi="宋体"/>
                <w:color w:val="auto"/>
                <w:kern w:val="0"/>
                <w:sz w:val="24"/>
              </w:rPr>
              <w:t>总分</w:t>
            </w:r>
            <w:r>
              <w:rPr>
                <w:rFonts w:hint="eastAsia" w:ascii="宋体" w:hAnsi="宋体"/>
                <w:color w:val="auto"/>
                <w:sz w:val="24"/>
              </w:rPr>
              <w:t>扣完为止</w:t>
            </w:r>
            <w:r>
              <w:rPr>
                <w:rFonts w:hint="eastAsia" w:ascii="宋体" w:hAnsi="宋体"/>
                <w:color w:val="auto"/>
                <w:kern w:val="0"/>
                <w:sz w:val="24"/>
              </w:rPr>
              <w:t>。</w:t>
            </w:r>
          </w:p>
          <w:p>
            <w:pPr>
              <w:pStyle w:val="101"/>
              <w:jc w:val="both"/>
              <w:rPr>
                <w:color w:val="auto"/>
              </w:rPr>
            </w:pPr>
            <w:r>
              <w:rPr>
                <w:rFonts w:hint="eastAsia"/>
                <w:color w:val="auto"/>
              </w:rPr>
              <w:t>2、投标人参加政府采购活动时，应当就自己的诚信情况在投标文件中进行承诺。</w:t>
            </w:r>
            <w:r>
              <w:rPr>
                <w:rFonts w:hint="eastAsia" w:cs="Times New Roman"/>
                <w:color w:val="auto"/>
                <w:kern w:val="2"/>
              </w:rPr>
              <w:t>未明确告知或承诺的按失信行为处理。</w:t>
            </w:r>
          </w:p>
          <w:p>
            <w:pPr>
              <w:pStyle w:val="101"/>
              <w:jc w:val="both"/>
              <w:rPr>
                <w:color w:val="auto"/>
                <w:lang w:val="zh-CN"/>
              </w:rPr>
            </w:pPr>
            <w:r>
              <w:rPr>
                <w:rFonts w:hint="eastAsia"/>
                <w:color w:val="auto"/>
              </w:rPr>
              <w:t>注：投标人的失信行为受到行政处罚或受到司法惩处的应按照本须知附表第16条第2款的规定处理，而不再进行扣分方式的惩戒。</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091" w:hRule="atLeast"/>
          <w:jc w:val="center"/>
        </w:trPr>
        <w:tc>
          <w:tcPr>
            <w:tcW w:w="838" w:type="dxa"/>
            <w:vAlign w:val="center"/>
          </w:tcPr>
          <w:p>
            <w:pPr>
              <w:pStyle w:val="101"/>
              <w:spacing w:before="72" w:after="72"/>
              <w:ind w:right="264"/>
              <w:jc w:val="center"/>
              <w:rPr>
                <w:rFonts w:cs="Times New Roman"/>
                <w:color w:val="auto"/>
                <w:kern w:val="2"/>
              </w:rPr>
            </w:pPr>
            <w:r>
              <w:rPr>
                <w:rFonts w:hint="eastAsia" w:cs="Times New Roman"/>
                <w:color w:val="auto"/>
                <w:kern w:val="2"/>
              </w:rPr>
              <w:t>4</w:t>
            </w:r>
          </w:p>
        </w:tc>
        <w:tc>
          <w:tcPr>
            <w:tcW w:w="2116" w:type="dxa"/>
            <w:vAlign w:val="center"/>
          </w:tcPr>
          <w:p>
            <w:pPr>
              <w:spacing w:line="340" w:lineRule="exact"/>
              <w:ind w:left="105" w:leftChars="50" w:right="105" w:rightChars="50"/>
              <w:jc w:val="center"/>
              <w:rPr>
                <w:rFonts w:ascii="宋体" w:hAnsi="宋体"/>
                <w:color w:val="auto"/>
                <w:sz w:val="24"/>
              </w:rPr>
            </w:pPr>
            <w:r>
              <w:rPr>
                <w:rFonts w:hint="eastAsia" w:ascii="宋体" w:hAnsi="宋体"/>
                <w:color w:val="auto"/>
                <w:kern w:val="0"/>
                <w:sz w:val="24"/>
              </w:rPr>
              <w:t>评标情况公告</w:t>
            </w:r>
          </w:p>
        </w:tc>
        <w:tc>
          <w:tcPr>
            <w:tcW w:w="6758" w:type="dxa"/>
            <w:vAlign w:val="center"/>
          </w:tcPr>
          <w:p>
            <w:pPr>
              <w:widowControl/>
              <w:jc w:val="left"/>
              <w:rPr>
                <w:rFonts w:ascii="宋体" w:hAnsi="宋体"/>
                <w:color w:val="auto"/>
                <w:sz w:val="24"/>
              </w:rPr>
            </w:pPr>
            <w:r>
              <w:rPr>
                <w:rFonts w:hint="eastAsia" w:ascii="宋体" w:hAnsi="宋体"/>
                <w:color w:val="auto"/>
                <w:kern w:val="0"/>
                <w:sz w:val="24"/>
              </w:rPr>
              <w:t>所有投标人投标文件资格性、符合性检查情况、采用综合评分法时的总得分和分项汇总得分情况、评标结果等将在四川政府采购网上采购结果公告栏中予以公告。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9" w:hRule="exact"/>
          <w:jc w:val="center"/>
        </w:trPr>
        <w:tc>
          <w:tcPr>
            <w:tcW w:w="838" w:type="dxa"/>
            <w:vAlign w:val="center"/>
          </w:tcPr>
          <w:p>
            <w:pPr>
              <w:pStyle w:val="101"/>
              <w:ind w:right="230"/>
              <w:jc w:val="center"/>
              <w:rPr>
                <w:rFonts w:cs="Times New Roman"/>
                <w:color w:val="auto"/>
                <w:kern w:val="2"/>
              </w:rPr>
            </w:pPr>
            <w:r>
              <w:rPr>
                <w:rFonts w:hint="eastAsia" w:cs="Times New Roman"/>
                <w:color w:val="auto"/>
                <w:kern w:val="2"/>
              </w:rPr>
              <w:t>5</w:t>
            </w:r>
          </w:p>
        </w:tc>
        <w:tc>
          <w:tcPr>
            <w:tcW w:w="2116" w:type="dxa"/>
            <w:vAlign w:val="center"/>
          </w:tcPr>
          <w:p>
            <w:pPr>
              <w:pStyle w:val="101"/>
              <w:ind w:left="96"/>
              <w:jc w:val="center"/>
              <w:rPr>
                <w:color w:val="auto"/>
                <w:lang w:val="zh-CN"/>
              </w:rPr>
            </w:pPr>
            <w:r>
              <w:rPr>
                <w:rFonts w:hint="eastAsia"/>
                <w:color w:val="auto"/>
                <w:lang w:val="zh-CN"/>
              </w:rPr>
              <w:t>投标保证金</w:t>
            </w:r>
          </w:p>
        </w:tc>
        <w:tc>
          <w:tcPr>
            <w:tcW w:w="6758" w:type="dxa"/>
            <w:vAlign w:val="center"/>
          </w:tcPr>
          <w:p>
            <w:pPr>
              <w:widowControl/>
              <w:jc w:val="left"/>
              <w:rPr>
                <w:color w:val="auto"/>
                <w:lang w:val="zh-CN"/>
              </w:rPr>
            </w:pPr>
            <w:r>
              <w:rPr>
                <w:rFonts w:hint="eastAsia" w:ascii="宋体" w:hAnsi="宋体" w:cs="宋体"/>
                <w:color w:val="auto"/>
                <w:kern w:val="0"/>
                <w:sz w:val="24"/>
                <w:lang w:val="zh-CN"/>
              </w:rPr>
              <w:t>本项目不要求缴纳投标保证金。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60" w:hRule="atLeast"/>
          <w:jc w:val="center"/>
        </w:trPr>
        <w:tc>
          <w:tcPr>
            <w:tcW w:w="838" w:type="dxa"/>
            <w:vAlign w:val="center"/>
          </w:tcPr>
          <w:p>
            <w:pPr>
              <w:pStyle w:val="101"/>
              <w:ind w:right="230"/>
              <w:jc w:val="center"/>
              <w:rPr>
                <w:rFonts w:cs="Times New Roman"/>
                <w:color w:val="auto"/>
                <w:kern w:val="2"/>
              </w:rPr>
            </w:pPr>
            <w:r>
              <w:rPr>
                <w:rFonts w:hint="eastAsia" w:cs="Times New Roman"/>
                <w:color w:val="auto"/>
                <w:kern w:val="2"/>
              </w:rPr>
              <w:t>6</w:t>
            </w:r>
          </w:p>
        </w:tc>
        <w:tc>
          <w:tcPr>
            <w:tcW w:w="2116" w:type="dxa"/>
            <w:vAlign w:val="center"/>
          </w:tcPr>
          <w:p>
            <w:pPr>
              <w:pStyle w:val="101"/>
              <w:ind w:left="96"/>
              <w:jc w:val="center"/>
              <w:rPr>
                <w:color w:val="auto"/>
                <w:lang w:val="zh-CN"/>
              </w:rPr>
            </w:pPr>
            <w:r>
              <w:rPr>
                <w:rFonts w:hint="eastAsia"/>
                <w:color w:val="auto"/>
                <w:lang w:val="zh-CN"/>
              </w:rPr>
              <w:t>履约保证金</w:t>
            </w:r>
          </w:p>
        </w:tc>
        <w:tc>
          <w:tcPr>
            <w:tcW w:w="6758" w:type="dxa"/>
            <w:vAlign w:val="center"/>
          </w:tcPr>
          <w:p>
            <w:pPr>
              <w:widowControl/>
              <w:jc w:val="left"/>
              <w:rPr>
                <w:color w:val="auto"/>
                <w:lang w:val="zh-CN"/>
              </w:rPr>
            </w:pPr>
            <w:r>
              <w:rPr>
                <w:rFonts w:hint="eastAsia" w:ascii="宋体" w:hAnsi="宋体" w:cs="宋体"/>
                <w:color w:val="auto"/>
                <w:kern w:val="0"/>
                <w:sz w:val="24"/>
                <w:lang w:val="zh-CN"/>
              </w:rPr>
              <w:t>本项目不要求缴纳履约保证金。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55" w:hRule="atLeast"/>
          <w:jc w:val="center"/>
        </w:trPr>
        <w:tc>
          <w:tcPr>
            <w:tcW w:w="838" w:type="dxa"/>
            <w:tcBorders>
              <w:top w:val="single" w:color="auto" w:sz="4" w:space="0"/>
              <w:bottom w:val="single" w:color="auto" w:sz="4" w:space="0"/>
            </w:tcBorders>
            <w:vAlign w:val="center"/>
          </w:tcPr>
          <w:p>
            <w:pPr>
              <w:pStyle w:val="101"/>
              <w:ind w:right="264"/>
              <w:jc w:val="center"/>
              <w:rPr>
                <w:rFonts w:cs="Times New Roman"/>
                <w:color w:val="auto"/>
                <w:kern w:val="2"/>
              </w:rPr>
            </w:pPr>
            <w:r>
              <w:rPr>
                <w:rFonts w:hint="eastAsia" w:cs="Times New Roman"/>
                <w:color w:val="auto"/>
                <w:kern w:val="2"/>
              </w:rPr>
              <w:t>7</w:t>
            </w:r>
          </w:p>
        </w:tc>
        <w:tc>
          <w:tcPr>
            <w:tcW w:w="2116" w:type="dxa"/>
            <w:tcBorders>
              <w:top w:val="single" w:color="auto" w:sz="4" w:space="0"/>
              <w:bottom w:val="single" w:color="auto" w:sz="4" w:space="0"/>
            </w:tcBorders>
            <w:vAlign w:val="center"/>
          </w:tcPr>
          <w:p>
            <w:pPr>
              <w:pStyle w:val="101"/>
              <w:jc w:val="center"/>
              <w:rPr>
                <w:rFonts w:cs="Times New Roman"/>
                <w:color w:val="auto"/>
                <w:kern w:val="2"/>
              </w:rPr>
            </w:pPr>
            <w:r>
              <w:rPr>
                <w:rFonts w:hint="eastAsia" w:cs="Times New Roman"/>
                <w:color w:val="auto"/>
                <w:kern w:val="2"/>
              </w:rPr>
              <w:t>采购文件咨询</w:t>
            </w:r>
          </w:p>
        </w:tc>
        <w:tc>
          <w:tcPr>
            <w:tcW w:w="6758" w:type="dxa"/>
            <w:tcBorders>
              <w:top w:val="single" w:color="auto" w:sz="4" w:space="0"/>
              <w:bottom w:val="single" w:color="auto" w:sz="4" w:space="0"/>
            </w:tcBorders>
          </w:tcPr>
          <w:p>
            <w:pPr>
              <w:spacing w:line="340" w:lineRule="exact"/>
              <w:ind w:right="105" w:rightChars="50"/>
              <w:rPr>
                <w:rFonts w:ascii="宋体" w:hAnsi="宋体"/>
                <w:color w:val="auto"/>
                <w:sz w:val="24"/>
              </w:rPr>
            </w:pPr>
            <w:r>
              <w:rPr>
                <w:rFonts w:hint="eastAsia" w:ascii="宋体" w:hAnsi="宋体"/>
                <w:color w:val="auto"/>
                <w:sz w:val="24"/>
              </w:rPr>
              <w:t>联系人：翁先生</w:t>
            </w:r>
            <w:r>
              <w:rPr>
                <w:rFonts w:hint="eastAsia" w:ascii="宋体" w:hAnsi="宋体"/>
                <w:color w:val="auto"/>
                <w:sz w:val="24"/>
                <w:lang w:val="zh-CN"/>
              </w:rPr>
              <w:t>，</w:t>
            </w:r>
            <w:r>
              <w:rPr>
                <w:rFonts w:hint="eastAsia" w:ascii="宋体" w:hAnsi="宋体"/>
                <w:color w:val="auto"/>
                <w:sz w:val="24"/>
              </w:rPr>
              <w:t>联系电话：028-61397251转610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59" w:hRule="atLeast"/>
          <w:jc w:val="center"/>
        </w:trPr>
        <w:tc>
          <w:tcPr>
            <w:tcW w:w="838" w:type="dxa"/>
            <w:tcBorders>
              <w:top w:val="single" w:color="auto" w:sz="4" w:space="0"/>
              <w:bottom w:val="single" w:color="auto" w:sz="4" w:space="0"/>
            </w:tcBorders>
            <w:vAlign w:val="center"/>
          </w:tcPr>
          <w:p>
            <w:pPr>
              <w:pStyle w:val="101"/>
              <w:ind w:right="264"/>
              <w:jc w:val="center"/>
              <w:rPr>
                <w:rFonts w:cs="Times New Roman"/>
                <w:color w:val="auto"/>
                <w:kern w:val="2"/>
              </w:rPr>
            </w:pPr>
            <w:r>
              <w:rPr>
                <w:rFonts w:hint="eastAsia" w:cs="Times New Roman"/>
                <w:color w:val="auto"/>
                <w:kern w:val="2"/>
              </w:rPr>
              <w:t>8</w:t>
            </w:r>
          </w:p>
        </w:tc>
        <w:tc>
          <w:tcPr>
            <w:tcW w:w="2116" w:type="dxa"/>
            <w:tcBorders>
              <w:top w:val="single" w:color="auto" w:sz="4" w:space="0"/>
              <w:bottom w:val="single" w:color="auto" w:sz="4" w:space="0"/>
            </w:tcBorders>
            <w:vAlign w:val="center"/>
          </w:tcPr>
          <w:p>
            <w:pPr>
              <w:pStyle w:val="101"/>
              <w:jc w:val="center"/>
              <w:rPr>
                <w:rFonts w:cs="Times New Roman"/>
                <w:color w:val="auto"/>
                <w:kern w:val="2"/>
              </w:rPr>
            </w:pPr>
            <w:r>
              <w:rPr>
                <w:rFonts w:hint="eastAsia" w:cs="Times New Roman"/>
                <w:color w:val="auto"/>
                <w:kern w:val="2"/>
              </w:rPr>
              <w:t>开标、评标工作咨询</w:t>
            </w:r>
          </w:p>
        </w:tc>
        <w:tc>
          <w:tcPr>
            <w:tcW w:w="6758" w:type="dxa"/>
            <w:tcBorders>
              <w:top w:val="single" w:color="auto" w:sz="4" w:space="0"/>
              <w:bottom w:val="single" w:color="auto" w:sz="4" w:space="0"/>
            </w:tcBorders>
            <w:vAlign w:val="center"/>
          </w:tcPr>
          <w:p>
            <w:pPr>
              <w:spacing w:line="340" w:lineRule="exact"/>
              <w:ind w:right="105" w:rightChars="50"/>
              <w:jc w:val="left"/>
              <w:rPr>
                <w:rFonts w:ascii="宋体" w:hAnsi="宋体"/>
                <w:color w:val="auto"/>
                <w:sz w:val="24"/>
              </w:rPr>
            </w:pPr>
            <w:r>
              <w:rPr>
                <w:rFonts w:hint="eastAsia" w:ascii="宋体" w:hAnsi="宋体"/>
                <w:color w:val="auto"/>
                <w:sz w:val="24"/>
              </w:rPr>
              <w:t>联系人：翁先生</w:t>
            </w:r>
            <w:r>
              <w:rPr>
                <w:rFonts w:hint="eastAsia" w:ascii="宋体" w:hAnsi="宋体"/>
                <w:color w:val="auto"/>
                <w:sz w:val="24"/>
                <w:lang w:val="zh-CN"/>
              </w:rPr>
              <w:t>，</w:t>
            </w:r>
            <w:r>
              <w:rPr>
                <w:rFonts w:hint="eastAsia" w:ascii="宋体" w:hAnsi="宋体"/>
                <w:color w:val="auto"/>
                <w:sz w:val="24"/>
              </w:rPr>
              <w:t>联系电话：028-61397251转610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963" w:hRule="atLeast"/>
          <w:jc w:val="center"/>
        </w:trPr>
        <w:tc>
          <w:tcPr>
            <w:tcW w:w="838" w:type="dxa"/>
            <w:tcBorders>
              <w:top w:val="single" w:color="auto" w:sz="4" w:space="0"/>
            </w:tcBorders>
            <w:vAlign w:val="center"/>
          </w:tcPr>
          <w:p>
            <w:pPr>
              <w:pStyle w:val="101"/>
              <w:spacing w:before="72" w:after="72"/>
              <w:ind w:right="264"/>
              <w:jc w:val="center"/>
              <w:rPr>
                <w:rFonts w:cs="Times New Roman"/>
                <w:color w:val="auto"/>
                <w:kern w:val="2"/>
              </w:rPr>
            </w:pPr>
            <w:r>
              <w:rPr>
                <w:rFonts w:hint="eastAsia" w:cs="Times New Roman"/>
                <w:color w:val="auto"/>
                <w:kern w:val="2"/>
              </w:rPr>
              <w:t>9</w:t>
            </w:r>
          </w:p>
        </w:tc>
        <w:tc>
          <w:tcPr>
            <w:tcW w:w="2116" w:type="dxa"/>
            <w:tcBorders>
              <w:top w:val="single" w:color="auto" w:sz="4" w:space="0"/>
            </w:tcBorders>
            <w:vAlign w:val="center"/>
          </w:tcPr>
          <w:p>
            <w:pPr>
              <w:spacing w:line="340" w:lineRule="exact"/>
              <w:ind w:left="105" w:leftChars="50" w:right="105" w:rightChars="50"/>
              <w:jc w:val="center"/>
              <w:rPr>
                <w:rFonts w:ascii="宋体" w:hAnsi="宋体"/>
                <w:color w:val="auto"/>
                <w:sz w:val="24"/>
              </w:rPr>
            </w:pPr>
            <w:r>
              <w:rPr>
                <w:rFonts w:hint="eastAsia" w:ascii="宋体" w:hAnsi="宋体"/>
                <w:color w:val="auto"/>
                <w:sz w:val="24"/>
              </w:rPr>
              <w:t>中标通知书领取</w:t>
            </w:r>
          </w:p>
        </w:tc>
        <w:tc>
          <w:tcPr>
            <w:tcW w:w="6758" w:type="dxa"/>
            <w:tcBorders>
              <w:top w:val="single" w:color="auto" w:sz="4" w:space="0"/>
            </w:tcBorders>
            <w:vAlign w:val="center"/>
          </w:tcPr>
          <w:p>
            <w:pPr>
              <w:widowControl/>
              <w:jc w:val="left"/>
              <w:rPr>
                <w:rFonts w:ascii="宋体" w:hAnsi="宋体"/>
                <w:color w:val="auto"/>
                <w:kern w:val="0"/>
                <w:sz w:val="24"/>
              </w:rPr>
            </w:pPr>
            <w:r>
              <w:rPr>
                <w:rFonts w:hint="eastAsia" w:ascii="宋体" w:hAnsi="宋体"/>
                <w:color w:val="auto"/>
                <w:kern w:val="0"/>
                <w:sz w:val="24"/>
              </w:rPr>
              <w:t>中标公告在四川政府采购网上公告后，请中标人凭有效身份证明证件到成都盈合工程项目管理有限公司领取中标通知书。</w:t>
            </w:r>
          </w:p>
          <w:p>
            <w:pPr>
              <w:rPr>
                <w:rFonts w:ascii="宋体" w:hAnsi="宋体"/>
                <w:color w:val="auto"/>
                <w:sz w:val="24"/>
                <w:lang w:val="zh-CN"/>
              </w:rPr>
            </w:pPr>
            <w:r>
              <w:rPr>
                <w:rFonts w:hint="eastAsia" w:ascii="宋体" w:hAnsi="宋体"/>
                <w:color w:val="auto"/>
                <w:sz w:val="24"/>
                <w:lang w:val="zh-CN"/>
              </w:rPr>
              <w:t>联系人：袁女士。</w:t>
            </w:r>
          </w:p>
          <w:p>
            <w:pPr>
              <w:rPr>
                <w:rFonts w:ascii="宋体" w:hAnsi="宋体"/>
                <w:color w:val="auto"/>
                <w:sz w:val="24"/>
                <w:lang w:val="zh-CN"/>
              </w:rPr>
            </w:pPr>
            <w:r>
              <w:rPr>
                <w:rFonts w:hint="eastAsia" w:ascii="宋体" w:hAnsi="宋体"/>
                <w:color w:val="auto"/>
                <w:sz w:val="24"/>
                <w:lang w:val="zh-CN"/>
              </w:rPr>
              <w:t>联系电话：</w:t>
            </w:r>
            <w:r>
              <w:rPr>
                <w:rFonts w:hint="eastAsia" w:ascii="宋体" w:hAnsi="宋体"/>
                <w:color w:val="auto"/>
                <w:sz w:val="24"/>
              </w:rPr>
              <w:t>028-61397250</w:t>
            </w:r>
            <w:r>
              <w:rPr>
                <w:rFonts w:hint="eastAsia" w:ascii="宋体" w:hAnsi="宋体"/>
                <w:color w:val="auto"/>
                <w:sz w:val="24"/>
                <w:lang w:val="zh-CN"/>
              </w:rPr>
              <w:t>。</w:t>
            </w:r>
          </w:p>
          <w:p>
            <w:pPr>
              <w:widowControl/>
              <w:jc w:val="left"/>
              <w:rPr>
                <w:rFonts w:ascii="宋体" w:hAnsi="宋体"/>
                <w:color w:val="auto"/>
                <w:sz w:val="24"/>
                <w:lang w:val="zh-CN"/>
              </w:rPr>
            </w:pPr>
            <w:r>
              <w:rPr>
                <w:rFonts w:hint="eastAsia" w:ascii="宋体" w:hAnsi="宋体"/>
                <w:color w:val="auto"/>
                <w:kern w:val="0"/>
                <w:sz w:val="24"/>
              </w:rPr>
              <w:t>地址：</w:t>
            </w:r>
            <w:r>
              <w:rPr>
                <w:rFonts w:ascii="宋体" w:hAnsi="宋体"/>
                <w:color w:val="auto"/>
                <w:kern w:val="0"/>
                <w:sz w:val="24"/>
              </w:rPr>
              <w:t>成都市高新区天府大道中段530-2号东方希望天祥广场B座12楼1</w:t>
            </w:r>
            <w:r>
              <w:rPr>
                <w:rFonts w:hint="eastAsia" w:ascii="宋体" w:hAnsi="宋体"/>
                <w:color w:val="auto"/>
                <w:kern w:val="0"/>
                <w:sz w:val="24"/>
              </w:rPr>
              <w:t>0</w:t>
            </w:r>
            <w:r>
              <w:rPr>
                <w:rFonts w:ascii="宋体" w:hAnsi="宋体"/>
                <w:color w:val="auto"/>
                <w:kern w:val="0"/>
                <w:sz w:val="24"/>
              </w:rPr>
              <w:t>号</w:t>
            </w:r>
            <w:r>
              <w:rPr>
                <w:rFonts w:hint="eastAsia" w:ascii="宋体" w:hAnsi="宋体"/>
                <w:color w:val="auto"/>
                <w:sz w:val="24"/>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966" w:hRule="atLeast"/>
          <w:jc w:val="center"/>
        </w:trPr>
        <w:tc>
          <w:tcPr>
            <w:tcW w:w="838" w:type="dxa"/>
            <w:tcBorders>
              <w:top w:val="single" w:color="auto" w:sz="4" w:space="0"/>
            </w:tcBorders>
            <w:vAlign w:val="center"/>
          </w:tcPr>
          <w:p>
            <w:pPr>
              <w:pStyle w:val="101"/>
              <w:ind w:right="264"/>
              <w:jc w:val="center"/>
              <w:rPr>
                <w:rFonts w:cs="Times New Roman"/>
                <w:color w:val="auto"/>
                <w:kern w:val="2"/>
              </w:rPr>
            </w:pPr>
            <w:r>
              <w:rPr>
                <w:rFonts w:hint="eastAsia" w:cs="Times New Roman"/>
                <w:color w:val="auto"/>
                <w:kern w:val="2"/>
              </w:rPr>
              <w:t>10</w:t>
            </w:r>
          </w:p>
        </w:tc>
        <w:tc>
          <w:tcPr>
            <w:tcW w:w="2116" w:type="dxa"/>
            <w:tcBorders>
              <w:top w:val="single" w:color="auto" w:sz="4" w:space="0"/>
            </w:tcBorders>
            <w:vAlign w:val="center"/>
          </w:tcPr>
          <w:p>
            <w:pPr>
              <w:pStyle w:val="101"/>
              <w:jc w:val="center"/>
              <w:rPr>
                <w:rFonts w:cs="Times New Roman"/>
                <w:color w:val="auto"/>
                <w:kern w:val="2"/>
              </w:rPr>
            </w:pPr>
            <w:r>
              <w:rPr>
                <w:rFonts w:hint="eastAsia" w:cs="Times New Roman"/>
                <w:color w:val="auto"/>
                <w:kern w:val="2"/>
              </w:rPr>
              <w:t>询问</w:t>
            </w:r>
          </w:p>
        </w:tc>
        <w:tc>
          <w:tcPr>
            <w:tcW w:w="6758" w:type="dxa"/>
            <w:tcBorders>
              <w:top w:val="single" w:color="auto" w:sz="4" w:space="0"/>
            </w:tcBorders>
            <w:vAlign w:val="center"/>
          </w:tcPr>
          <w:p>
            <w:pPr>
              <w:widowControl/>
              <w:rPr>
                <w:rFonts w:ascii="宋体" w:hAnsi="宋体"/>
                <w:color w:val="auto"/>
                <w:kern w:val="0"/>
                <w:sz w:val="24"/>
              </w:rPr>
            </w:pPr>
            <w:r>
              <w:rPr>
                <w:rFonts w:hint="eastAsia" w:ascii="宋体" w:hAnsi="宋体"/>
                <w:color w:val="auto"/>
                <w:kern w:val="0"/>
                <w:sz w:val="24"/>
              </w:rPr>
              <w:t>根据委托代理协议约定，与采购活动有关的询问由采购代理机构负责答复。</w:t>
            </w:r>
          </w:p>
          <w:p>
            <w:pPr>
              <w:rPr>
                <w:rFonts w:ascii="宋体" w:hAnsi="宋体"/>
                <w:color w:val="auto"/>
                <w:sz w:val="24"/>
                <w:lang w:val="zh-CN"/>
              </w:rPr>
            </w:pPr>
            <w:r>
              <w:rPr>
                <w:rFonts w:hint="eastAsia" w:ascii="宋体" w:hAnsi="宋体"/>
                <w:color w:val="auto"/>
                <w:sz w:val="24"/>
                <w:lang w:val="zh-CN"/>
              </w:rPr>
              <w:t>联系人：</w:t>
            </w:r>
            <w:r>
              <w:rPr>
                <w:rFonts w:hint="eastAsia" w:ascii="宋体" w:hAnsi="宋体"/>
                <w:color w:val="auto"/>
                <w:sz w:val="24"/>
              </w:rPr>
              <w:t>翁</w:t>
            </w:r>
            <w:r>
              <w:rPr>
                <w:rFonts w:hint="eastAsia" w:ascii="宋体" w:hAnsi="宋体"/>
                <w:color w:val="auto"/>
                <w:sz w:val="24"/>
                <w:lang w:val="zh-CN"/>
              </w:rPr>
              <w:t>先生。</w:t>
            </w:r>
          </w:p>
          <w:p>
            <w:pPr>
              <w:rPr>
                <w:rFonts w:ascii="宋体" w:hAnsi="宋体"/>
                <w:color w:val="auto"/>
                <w:sz w:val="24"/>
                <w:lang w:val="zh-CN"/>
              </w:rPr>
            </w:pPr>
            <w:r>
              <w:rPr>
                <w:rFonts w:hint="eastAsia" w:ascii="宋体" w:hAnsi="宋体"/>
                <w:color w:val="auto"/>
                <w:sz w:val="24"/>
                <w:lang w:val="zh-CN"/>
              </w:rPr>
              <w:t>联系电话：028-61397251转610。</w:t>
            </w:r>
          </w:p>
          <w:p>
            <w:pPr>
              <w:rPr>
                <w:rFonts w:ascii="宋体" w:hAnsi="宋体"/>
                <w:color w:val="auto"/>
                <w:sz w:val="24"/>
                <w:lang w:val="zh-CN"/>
              </w:rPr>
            </w:pPr>
            <w:r>
              <w:rPr>
                <w:rFonts w:hint="eastAsia" w:ascii="宋体" w:hAnsi="宋体"/>
                <w:color w:val="auto"/>
                <w:sz w:val="24"/>
                <w:lang w:val="zh-CN"/>
              </w:rPr>
              <w:t>地址：成都市高新区天府大道中段530-2号成都东方希望天祥广场B座12楼10号。</w:t>
            </w:r>
          </w:p>
          <w:p>
            <w:pPr>
              <w:widowControl/>
              <w:rPr>
                <w:rFonts w:ascii="宋体" w:hAnsi="宋体"/>
                <w:color w:val="auto"/>
                <w:sz w:val="24"/>
              </w:rPr>
            </w:pPr>
            <w:r>
              <w:rPr>
                <w:rFonts w:hint="eastAsia" w:ascii="宋体" w:hAnsi="宋体"/>
                <w:color w:val="auto"/>
                <w:sz w:val="24"/>
              </w:rPr>
              <w:t>邮编：</w:t>
            </w:r>
            <w:r>
              <w:rPr>
                <w:rFonts w:hint="eastAsia" w:ascii="宋体" w:hAnsi="宋体"/>
                <w:color w:val="auto"/>
                <w:sz w:val="24"/>
                <w:lang w:val="zh-CN"/>
              </w:rPr>
              <w:t>610000。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82" w:hRule="atLeast"/>
          <w:jc w:val="center"/>
        </w:trPr>
        <w:tc>
          <w:tcPr>
            <w:tcW w:w="838" w:type="dxa"/>
            <w:vAlign w:val="center"/>
          </w:tcPr>
          <w:p>
            <w:pPr>
              <w:pStyle w:val="101"/>
              <w:ind w:right="264"/>
              <w:jc w:val="center"/>
              <w:rPr>
                <w:rFonts w:cs="Times New Roman"/>
                <w:color w:val="auto"/>
                <w:kern w:val="2"/>
              </w:rPr>
            </w:pPr>
            <w:r>
              <w:rPr>
                <w:rFonts w:hint="eastAsia" w:cs="Times New Roman"/>
                <w:color w:val="auto"/>
                <w:kern w:val="2"/>
              </w:rPr>
              <w:t>11</w:t>
            </w:r>
          </w:p>
        </w:tc>
        <w:tc>
          <w:tcPr>
            <w:tcW w:w="2116" w:type="dxa"/>
            <w:vAlign w:val="center"/>
          </w:tcPr>
          <w:p>
            <w:pPr>
              <w:pStyle w:val="101"/>
              <w:jc w:val="center"/>
              <w:rPr>
                <w:rFonts w:cs="Times New Roman"/>
                <w:color w:val="auto"/>
                <w:kern w:val="2"/>
              </w:rPr>
            </w:pPr>
            <w:r>
              <w:rPr>
                <w:rFonts w:hint="eastAsia" w:cs="Times New Roman"/>
                <w:color w:val="auto"/>
                <w:kern w:val="2"/>
              </w:rPr>
              <w:t>质疑</w:t>
            </w:r>
          </w:p>
        </w:tc>
        <w:tc>
          <w:tcPr>
            <w:tcW w:w="6758" w:type="dxa"/>
            <w:vAlign w:val="center"/>
          </w:tcPr>
          <w:p>
            <w:pPr>
              <w:widowControl/>
              <w:rPr>
                <w:rFonts w:ascii="宋体" w:hAnsi="宋体"/>
                <w:color w:val="auto"/>
                <w:kern w:val="0"/>
                <w:sz w:val="24"/>
              </w:rPr>
            </w:pPr>
            <w:r>
              <w:rPr>
                <w:rFonts w:hint="eastAsia" w:ascii="宋体" w:hAnsi="宋体"/>
                <w:color w:val="auto"/>
                <w:kern w:val="0"/>
                <w:sz w:val="24"/>
              </w:rPr>
              <w:t>根据委托代理协议约定，对于招标文件技术要求的质疑由采购人负责答复；针对其余内容的质疑由采购代理机构负责答复。</w:t>
            </w:r>
          </w:p>
          <w:p>
            <w:pPr>
              <w:rPr>
                <w:rFonts w:ascii="宋体" w:hAnsi="宋体"/>
                <w:color w:val="auto"/>
                <w:sz w:val="24"/>
                <w:lang w:val="zh-CN"/>
              </w:rPr>
            </w:pPr>
            <w:r>
              <w:rPr>
                <w:rFonts w:hint="eastAsia" w:ascii="宋体" w:hAnsi="宋体"/>
                <w:color w:val="auto"/>
                <w:sz w:val="24"/>
                <w:lang w:val="zh-CN"/>
              </w:rPr>
              <w:t>采购人：成都市射击运动学校</w:t>
            </w:r>
          </w:p>
          <w:p>
            <w:pPr>
              <w:rPr>
                <w:rFonts w:ascii="宋体" w:hAnsi="宋体"/>
                <w:color w:val="auto"/>
                <w:sz w:val="24"/>
              </w:rPr>
            </w:pPr>
            <w:r>
              <w:rPr>
                <w:rFonts w:hint="eastAsia" w:ascii="宋体" w:hAnsi="宋体"/>
                <w:color w:val="auto"/>
                <w:sz w:val="24"/>
                <w:lang w:val="zh-CN"/>
              </w:rPr>
              <w:t>地址：</w:t>
            </w:r>
            <w:r>
              <w:rPr>
                <w:rFonts w:ascii="宋体" w:hAnsi="宋体"/>
                <w:color w:val="auto"/>
                <w:sz w:val="24"/>
                <w:lang w:val="zh-CN"/>
              </w:rPr>
              <w:t xml:space="preserve"> </w:t>
            </w:r>
            <w:r>
              <w:rPr>
                <w:rFonts w:hint="eastAsia" w:ascii="宋体" w:hAnsi="宋体"/>
                <w:color w:val="auto"/>
                <w:sz w:val="24"/>
                <w:lang w:val="zh-CN"/>
              </w:rPr>
              <w:t>成都市锦江区净居寺路</w:t>
            </w:r>
            <w:r>
              <w:rPr>
                <w:rFonts w:hint="eastAsia" w:ascii="宋体" w:hAnsi="宋体"/>
                <w:color w:val="auto"/>
                <w:sz w:val="24"/>
              </w:rPr>
              <w:t>45号</w:t>
            </w:r>
          </w:p>
          <w:p>
            <w:pPr>
              <w:rPr>
                <w:rFonts w:ascii="宋体" w:hAnsi="宋体"/>
                <w:color w:val="auto"/>
                <w:sz w:val="24"/>
                <w:lang w:val="zh-CN"/>
              </w:rPr>
            </w:pPr>
            <w:r>
              <w:rPr>
                <w:rFonts w:hint="eastAsia" w:ascii="宋体" w:hAnsi="宋体"/>
                <w:color w:val="auto"/>
                <w:sz w:val="24"/>
                <w:lang w:val="zh-CN"/>
              </w:rPr>
              <w:t>联系人：岳老师</w:t>
            </w:r>
          </w:p>
          <w:p>
            <w:pPr>
              <w:rPr>
                <w:rFonts w:ascii="宋体" w:hAnsi="宋体"/>
                <w:color w:val="auto"/>
                <w:sz w:val="24"/>
              </w:rPr>
            </w:pPr>
            <w:r>
              <w:rPr>
                <w:rFonts w:hint="eastAsia" w:ascii="宋体" w:hAnsi="宋体"/>
                <w:color w:val="auto"/>
                <w:sz w:val="24"/>
                <w:lang w:val="zh-CN"/>
              </w:rPr>
              <w:t>电 话：</w:t>
            </w:r>
            <w:r>
              <w:rPr>
                <w:rFonts w:hint="eastAsia" w:ascii="宋体" w:hAnsi="宋体"/>
                <w:color w:val="auto"/>
                <w:sz w:val="24"/>
              </w:rPr>
              <w:t>13880667523</w:t>
            </w:r>
          </w:p>
          <w:p>
            <w:pPr>
              <w:rPr>
                <w:rFonts w:ascii="宋体" w:hAnsi="宋体"/>
                <w:color w:val="auto"/>
                <w:sz w:val="24"/>
                <w:lang w:val="zh-CN"/>
              </w:rPr>
            </w:pPr>
            <w:r>
              <w:rPr>
                <w:rFonts w:hint="eastAsia" w:ascii="宋体" w:hAnsi="宋体"/>
                <w:color w:val="auto"/>
                <w:sz w:val="24"/>
                <w:lang w:val="zh-CN"/>
              </w:rPr>
              <w:t>邮编：6</w:t>
            </w:r>
            <w:r>
              <w:rPr>
                <w:rFonts w:ascii="宋体" w:hAnsi="宋体"/>
                <w:color w:val="auto"/>
                <w:sz w:val="24"/>
                <w:lang w:val="zh-CN"/>
              </w:rPr>
              <w:t>10000</w:t>
            </w:r>
          </w:p>
          <w:p>
            <w:pPr>
              <w:widowControl/>
              <w:rPr>
                <w:rFonts w:ascii="宋体" w:hAnsi="宋体"/>
                <w:color w:val="auto"/>
                <w:kern w:val="0"/>
                <w:sz w:val="24"/>
              </w:rPr>
            </w:pPr>
          </w:p>
          <w:p>
            <w:pPr>
              <w:widowControl/>
              <w:rPr>
                <w:rFonts w:ascii="宋体" w:hAnsi="宋体"/>
                <w:color w:val="auto"/>
                <w:kern w:val="0"/>
                <w:sz w:val="24"/>
              </w:rPr>
            </w:pPr>
            <w:r>
              <w:rPr>
                <w:rFonts w:hint="eastAsia" w:ascii="宋体" w:hAnsi="宋体"/>
                <w:color w:val="auto"/>
                <w:kern w:val="0"/>
                <w:sz w:val="24"/>
              </w:rPr>
              <w:t>采购代理机构：成都盈合工程项目管理有限公司</w:t>
            </w:r>
          </w:p>
          <w:p>
            <w:pPr>
              <w:rPr>
                <w:color w:val="auto"/>
              </w:rPr>
            </w:pPr>
            <w:r>
              <w:rPr>
                <w:rFonts w:hint="eastAsia" w:ascii="宋体" w:hAnsi="宋体"/>
                <w:color w:val="auto"/>
                <w:sz w:val="24"/>
                <w:lang w:val="zh-CN"/>
              </w:rPr>
              <w:t>地址：成都市高新区天府大道中段530-2号成都东方希望天祥广场B座12楼10号</w:t>
            </w:r>
          </w:p>
          <w:p>
            <w:pPr>
              <w:widowControl/>
              <w:rPr>
                <w:rFonts w:ascii="宋体" w:hAnsi="宋体"/>
                <w:color w:val="auto"/>
                <w:kern w:val="0"/>
                <w:sz w:val="24"/>
              </w:rPr>
            </w:pPr>
            <w:r>
              <w:rPr>
                <w:rFonts w:ascii="宋体" w:hAnsi="宋体"/>
                <w:color w:val="auto"/>
                <w:kern w:val="0"/>
                <w:sz w:val="24"/>
              </w:rPr>
              <w:t>联系人：</w:t>
            </w:r>
            <w:r>
              <w:rPr>
                <w:rFonts w:hint="eastAsia" w:ascii="宋体" w:hAnsi="宋体"/>
                <w:color w:val="auto"/>
                <w:kern w:val="0"/>
                <w:sz w:val="24"/>
              </w:rPr>
              <w:t>何先生</w:t>
            </w:r>
          </w:p>
          <w:p>
            <w:pPr>
              <w:widowControl/>
              <w:rPr>
                <w:rFonts w:ascii="宋体" w:hAnsi="宋体"/>
                <w:color w:val="auto"/>
                <w:sz w:val="24"/>
                <w:lang w:val="zh-CN"/>
              </w:rPr>
            </w:pPr>
            <w:r>
              <w:rPr>
                <w:rFonts w:ascii="宋体" w:hAnsi="宋体"/>
                <w:color w:val="auto"/>
                <w:kern w:val="0"/>
                <w:sz w:val="24"/>
              </w:rPr>
              <w:t>电 话：</w:t>
            </w:r>
            <w:r>
              <w:rPr>
                <w:rFonts w:hint="eastAsia" w:ascii="宋体" w:hAnsi="宋体"/>
                <w:color w:val="auto"/>
                <w:sz w:val="24"/>
                <w:lang w:val="zh-CN"/>
              </w:rPr>
              <w:t>028-61397251转610</w:t>
            </w:r>
          </w:p>
          <w:p>
            <w:pPr>
              <w:rPr>
                <w:rFonts w:ascii="宋体" w:hAnsi="宋体"/>
                <w:color w:val="auto"/>
                <w:sz w:val="24"/>
                <w:lang w:val="zh-CN"/>
              </w:rPr>
            </w:pPr>
            <w:r>
              <w:rPr>
                <w:rFonts w:hint="eastAsia" w:ascii="宋体" w:hAnsi="宋体"/>
                <w:color w:val="auto"/>
                <w:sz w:val="24"/>
                <w:lang w:val="zh-CN"/>
              </w:rPr>
              <w:t>邮编：610000。</w:t>
            </w:r>
          </w:p>
          <w:p>
            <w:pPr>
              <w:pStyle w:val="2"/>
              <w:rPr>
                <w:color w:val="auto"/>
                <w:lang w:val="zh-CN"/>
              </w:rPr>
            </w:pPr>
          </w:p>
          <w:p>
            <w:pPr>
              <w:widowControl/>
              <w:rPr>
                <w:rFonts w:ascii="宋体" w:hAnsi="宋体"/>
                <w:color w:val="auto"/>
                <w:kern w:val="0"/>
                <w:sz w:val="24"/>
              </w:rPr>
            </w:pPr>
            <w:r>
              <w:rPr>
                <w:rFonts w:hint="eastAsia" w:ascii="宋体" w:hAnsi="宋体"/>
                <w:color w:val="auto"/>
                <w:kern w:val="0"/>
                <w:sz w:val="24"/>
              </w:rPr>
              <w:t>注：</w:t>
            </w:r>
          </w:p>
          <w:p>
            <w:pPr>
              <w:widowControl/>
              <w:rPr>
                <w:rFonts w:ascii="宋体" w:hAnsi="宋体"/>
                <w:color w:val="auto"/>
                <w:sz w:val="24"/>
                <w:lang w:val="zh-CN"/>
              </w:rPr>
            </w:pPr>
            <w:r>
              <w:rPr>
                <w:rFonts w:hint="eastAsia" w:ascii="宋体" w:hAnsi="宋体"/>
                <w:color w:val="auto"/>
                <w:kern w:val="0"/>
                <w:sz w:val="24"/>
              </w:rPr>
              <w:t>1.根据《中华人民共和国政府采购法》的规定，质疑内容不得超出</w:t>
            </w:r>
            <w:r>
              <w:rPr>
                <w:rFonts w:hint="eastAsia" w:ascii="宋体" w:hAnsi="宋体"/>
                <w:color w:val="auto"/>
                <w:sz w:val="24"/>
                <w:lang w:val="zh-CN"/>
              </w:rPr>
              <w:t>招标文件、招标过程、招标结果的范围。</w:t>
            </w:r>
          </w:p>
          <w:p>
            <w:pPr>
              <w:widowControl/>
              <w:rPr>
                <w:rFonts w:ascii="宋体" w:hAnsi="宋体"/>
                <w:color w:val="auto"/>
                <w:sz w:val="24"/>
              </w:rPr>
            </w:pPr>
            <w:r>
              <w:rPr>
                <w:rFonts w:hint="eastAsia" w:ascii="宋体" w:hAnsi="宋体"/>
                <w:color w:val="auto"/>
                <w:sz w:val="24"/>
              </w:rPr>
              <w:t>2.供应商在法定质疑期内针对同一采购程序环节的质疑必须一次性提出，采购人或采购代理机构将不接受针对同一采购程序环节的多次质疑。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389" w:hRule="atLeast"/>
          <w:jc w:val="center"/>
        </w:trPr>
        <w:tc>
          <w:tcPr>
            <w:tcW w:w="838" w:type="dxa"/>
            <w:vAlign w:val="center"/>
          </w:tcPr>
          <w:p>
            <w:pPr>
              <w:pStyle w:val="101"/>
              <w:ind w:right="264"/>
              <w:jc w:val="center"/>
              <w:rPr>
                <w:rFonts w:cs="Times New Roman"/>
                <w:color w:val="auto"/>
                <w:kern w:val="2"/>
              </w:rPr>
            </w:pPr>
            <w:r>
              <w:rPr>
                <w:rFonts w:hint="eastAsia" w:cs="Times New Roman"/>
                <w:color w:val="auto"/>
                <w:kern w:val="2"/>
              </w:rPr>
              <w:t>12</w:t>
            </w:r>
          </w:p>
        </w:tc>
        <w:tc>
          <w:tcPr>
            <w:tcW w:w="2116" w:type="dxa"/>
            <w:vAlign w:val="center"/>
          </w:tcPr>
          <w:p>
            <w:pPr>
              <w:pStyle w:val="101"/>
              <w:jc w:val="center"/>
              <w:rPr>
                <w:rFonts w:cs="Times New Roman"/>
                <w:color w:val="auto"/>
                <w:kern w:val="2"/>
              </w:rPr>
            </w:pPr>
            <w:r>
              <w:rPr>
                <w:rFonts w:hint="eastAsia" w:cs="Times New Roman"/>
                <w:color w:val="auto"/>
                <w:kern w:val="2"/>
              </w:rPr>
              <w:t>投诉</w:t>
            </w:r>
          </w:p>
        </w:tc>
        <w:tc>
          <w:tcPr>
            <w:tcW w:w="6758" w:type="dxa"/>
            <w:vAlign w:val="center"/>
          </w:tcPr>
          <w:p>
            <w:pPr>
              <w:spacing w:line="340" w:lineRule="exact"/>
              <w:ind w:right="105" w:rightChars="50"/>
              <w:rPr>
                <w:rFonts w:ascii="宋体" w:hAnsi="宋体"/>
                <w:color w:val="auto"/>
                <w:sz w:val="24"/>
              </w:rPr>
            </w:pPr>
            <w:r>
              <w:rPr>
                <w:rFonts w:hint="eastAsia" w:ascii="宋体" w:hAnsi="宋体"/>
                <w:color w:val="auto"/>
                <w:sz w:val="24"/>
              </w:rPr>
              <w:t>投诉受理单位：成都市财政局</w:t>
            </w:r>
            <w:r>
              <w:rPr>
                <w:rFonts w:hint="eastAsia" w:ascii="宋体" w:hAnsi="宋体"/>
                <w:color w:val="auto"/>
                <w:sz w:val="24"/>
                <w:lang w:val="zh-CN"/>
              </w:rPr>
              <w:t>。</w:t>
            </w:r>
          </w:p>
          <w:p>
            <w:pPr>
              <w:spacing w:line="340" w:lineRule="exact"/>
              <w:ind w:right="105" w:rightChars="50"/>
              <w:jc w:val="left"/>
              <w:rPr>
                <w:rFonts w:ascii="宋体" w:hAnsi="宋体"/>
                <w:color w:val="auto"/>
                <w:sz w:val="24"/>
                <w:lang w:val="zh-CN"/>
              </w:rPr>
            </w:pPr>
            <w:r>
              <w:rPr>
                <w:rFonts w:hint="eastAsia" w:ascii="宋体" w:hAnsi="宋体"/>
                <w:color w:val="auto"/>
                <w:sz w:val="24"/>
                <w:lang w:val="zh-CN"/>
              </w:rPr>
              <w:t>联系电话：</w:t>
            </w:r>
            <w:r>
              <w:rPr>
                <w:rFonts w:ascii="宋体" w:hAnsi="宋体"/>
                <w:color w:val="auto"/>
                <w:sz w:val="24"/>
                <w:lang w:val="zh-CN"/>
              </w:rPr>
              <w:t>028</w:t>
            </w:r>
            <w:r>
              <w:rPr>
                <w:rFonts w:ascii="宋体" w:hAnsi="宋体"/>
                <w:color w:val="auto"/>
                <w:sz w:val="24"/>
              </w:rPr>
              <w:t>-61882600</w:t>
            </w:r>
            <w:r>
              <w:rPr>
                <w:rFonts w:hint="eastAsia" w:ascii="宋体" w:hAnsi="宋体"/>
                <w:color w:val="auto"/>
                <w:sz w:val="24"/>
                <w:lang w:val="zh-CN"/>
              </w:rPr>
              <w:t>。</w:t>
            </w:r>
          </w:p>
          <w:p>
            <w:pPr>
              <w:spacing w:line="340" w:lineRule="exact"/>
              <w:ind w:right="105" w:rightChars="50"/>
              <w:jc w:val="left"/>
              <w:rPr>
                <w:rFonts w:ascii="宋体" w:hAnsi="宋体"/>
                <w:color w:val="auto"/>
                <w:sz w:val="24"/>
                <w:lang w:val="zh-CN"/>
              </w:rPr>
            </w:pPr>
            <w:r>
              <w:rPr>
                <w:rFonts w:hint="eastAsia" w:ascii="宋体" w:hAnsi="宋体"/>
                <w:color w:val="auto"/>
                <w:sz w:val="24"/>
                <w:lang w:val="zh-CN"/>
              </w:rPr>
              <w:t>地址：</w:t>
            </w:r>
            <w:r>
              <w:rPr>
                <w:rFonts w:hint="eastAsia" w:ascii="宋体" w:hAnsi="宋体"/>
                <w:color w:val="auto"/>
                <w:sz w:val="24"/>
              </w:rPr>
              <w:t>成都市锦城大道</w:t>
            </w:r>
            <w:r>
              <w:rPr>
                <w:rFonts w:ascii="宋体" w:hAnsi="宋体"/>
                <w:color w:val="auto"/>
                <w:sz w:val="24"/>
              </w:rPr>
              <w:t>366号</w:t>
            </w:r>
            <w:r>
              <w:rPr>
                <w:rFonts w:hint="eastAsia" w:ascii="宋体" w:hAnsi="宋体"/>
                <w:color w:val="auto"/>
                <w:sz w:val="24"/>
                <w:lang w:val="zh-CN"/>
              </w:rPr>
              <w:t>。</w:t>
            </w:r>
          </w:p>
          <w:p>
            <w:pPr>
              <w:widowControl/>
              <w:rPr>
                <w:rFonts w:ascii="宋体" w:hAnsi="宋体"/>
                <w:color w:val="auto"/>
                <w:kern w:val="0"/>
                <w:sz w:val="24"/>
              </w:rPr>
            </w:pPr>
            <w:r>
              <w:rPr>
                <w:rFonts w:hint="eastAsia" w:ascii="宋体" w:hAnsi="宋体"/>
                <w:color w:val="auto"/>
                <w:sz w:val="24"/>
                <w:lang w:val="zh-CN"/>
              </w:rPr>
              <w:t>邮编：61</w:t>
            </w:r>
            <w:r>
              <w:rPr>
                <w:rFonts w:ascii="宋体" w:hAnsi="宋体"/>
                <w:color w:val="auto"/>
                <w:sz w:val="24"/>
                <w:lang w:val="zh-CN"/>
              </w:rPr>
              <w:t>00</w:t>
            </w:r>
            <w:r>
              <w:rPr>
                <w:rFonts w:hint="eastAsia" w:ascii="宋体" w:hAnsi="宋体"/>
                <w:color w:val="auto"/>
                <w:sz w:val="24"/>
                <w:lang w:val="zh-CN"/>
              </w:rPr>
              <w:t>00。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12"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13</w:t>
            </w:r>
          </w:p>
        </w:tc>
        <w:tc>
          <w:tcPr>
            <w:tcW w:w="2116" w:type="dxa"/>
            <w:tcBorders>
              <w:right w:val="single" w:color="auto" w:sz="4" w:space="0"/>
            </w:tcBorders>
            <w:vAlign w:val="center"/>
          </w:tcPr>
          <w:p>
            <w:pPr>
              <w:ind w:firstLine="120" w:firstLineChars="50"/>
              <w:jc w:val="center"/>
              <w:rPr>
                <w:rFonts w:ascii="宋体" w:hAnsi="宋体"/>
                <w:color w:val="auto"/>
                <w:sz w:val="24"/>
              </w:rPr>
            </w:pPr>
            <w:r>
              <w:rPr>
                <w:rFonts w:hint="eastAsia" w:ascii="宋体" w:hAnsi="宋体"/>
                <w:color w:val="auto"/>
                <w:sz w:val="24"/>
              </w:rPr>
              <w:t>政府采购合同</w:t>
            </w:r>
          </w:p>
          <w:p>
            <w:pPr>
              <w:ind w:firstLine="120" w:firstLineChars="50"/>
              <w:jc w:val="center"/>
              <w:rPr>
                <w:rFonts w:ascii="宋体" w:hAnsi="宋体"/>
                <w:color w:val="auto"/>
                <w:sz w:val="24"/>
              </w:rPr>
            </w:pPr>
            <w:r>
              <w:rPr>
                <w:rFonts w:hint="eastAsia" w:ascii="宋体" w:hAnsi="宋体"/>
                <w:color w:val="auto"/>
                <w:sz w:val="24"/>
              </w:rPr>
              <w:t>公告备案</w:t>
            </w:r>
          </w:p>
        </w:tc>
        <w:tc>
          <w:tcPr>
            <w:tcW w:w="6758" w:type="dxa"/>
            <w:tcBorders>
              <w:left w:val="single" w:color="auto" w:sz="4" w:space="0"/>
            </w:tcBorders>
            <w:vAlign w:val="center"/>
          </w:tcPr>
          <w:p>
            <w:pPr>
              <w:widowControl/>
              <w:rPr>
                <w:rFonts w:ascii="宋体" w:hAnsi="宋体"/>
                <w:color w:val="auto"/>
                <w:kern w:val="0"/>
                <w:sz w:val="24"/>
              </w:rPr>
            </w:pPr>
            <w:r>
              <w:rPr>
                <w:rFonts w:hint="eastAsia" w:ascii="宋体" w:hAnsi="宋体"/>
                <w:color w:val="auto"/>
                <w:kern w:val="0"/>
                <w:sz w:val="24"/>
              </w:rPr>
              <w:t>政府采购合同签订之日起2个工作日内，政府采购合同将在四川政府采购网公告；政府采购合同签订之日起七个工作日内，政府采购合同将向本采购项目同级财政部门，即成都市财政局备案政府采购合同。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471"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14</w:t>
            </w:r>
          </w:p>
        </w:tc>
        <w:tc>
          <w:tcPr>
            <w:tcW w:w="2116" w:type="dxa"/>
            <w:tcBorders>
              <w:right w:val="single" w:color="auto" w:sz="4" w:space="0"/>
            </w:tcBorders>
            <w:vAlign w:val="center"/>
          </w:tcPr>
          <w:p>
            <w:pPr>
              <w:ind w:firstLine="120" w:firstLineChars="50"/>
              <w:jc w:val="center"/>
              <w:rPr>
                <w:rFonts w:ascii="宋体" w:hAnsi="宋体"/>
                <w:color w:val="auto"/>
                <w:sz w:val="24"/>
              </w:rPr>
            </w:pPr>
            <w:r>
              <w:rPr>
                <w:rFonts w:hint="eastAsia" w:ascii="宋体" w:hAnsi="宋体"/>
                <w:color w:val="auto"/>
                <w:sz w:val="24"/>
              </w:rPr>
              <w:t>代理服务费</w:t>
            </w:r>
          </w:p>
        </w:tc>
        <w:tc>
          <w:tcPr>
            <w:tcW w:w="6758" w:type="dxa"/>
            <w:tcBorders>
              <w:left w:val="single" w:color="auto" w:sz="4" w:space="0"/>
            </w:tcBorders>
            <w:vAlign w:val="center"/>
          </w:tcPr>
          <w:p>
            <w:pPr>
              <w:widowControl/>
              <w:jc w:val="left"/>
              <w:rPr>
                <w:rFonts w:hAnsi="宋体"/>
                <w:color w:val="auto"/>
                <w:sz w:val="24"/>
              </w:rPr>
            </w:pPr>
            <w:r>
              <w:rPr>
                <w:rFonts w:hint="eastAsia" w:hAnsi="宋体"/>
                <w:color w:val="auto"/>
                <w:sz w:val="24"/>
              </w:rPr>
              <w:t>代理服务费的收费标准根据成本加合理利润原则按如下规则计取：若中标金额≤100万，代理服务费（万元）=中标金额（万元）×1.5%；若中标金额＞100万，代理服务费（万元）=（中标金额-100）×1.1%+1.5</w:t>
            </w:r>
          </w:p>
          <w:p>
            <w:pPr>
              <w:widowControl/>
              <w:jc w:val="left"/>
              <w:rPr>
                <w:rFonts w:hAnsi="宋体"/>
                <w:color w:val="auto"/>
                <w:sz w:val="24"/>
                <w:lang w:val="zh-CN"/>
              </w:rPr>
            </w:pPr>
            <w:r>
              <w:rPr>
                <w:rFonts w:hint="eastAsia" w:hAnsi="宋体"/>
                <w:color w:val="auto"/>
                <w:sz w:val="24"/>
              </w:rPr>
              <w:t>按此计算结果打八折收取。</w:t>
            </w:r>
            <w:r>
              <w:rPr>
                <w:rFonts w:hint="eastAsia" w:hAnsi="宋体"/>
                <w:color w:val="auto"/>
                <w:sz w:val="24"/>
                <w:lang w:val="zh-CN"/>
              </w:rPr>
              <w:t>由</w:t>
            </w:r>
            <w:r>
              <w:rPr>
                <w:rFonts w:hint="eastAsia" w:hAnsi="宋体"/>
                <w:color w:val="auto"/>
                <w:sz w:val="24"/>
              </w:rPr>
              <w:t>中标人在领取中标通知书前</w:t>
            </w:r>
            <w:r>
              <w:rPr>
                <w:rFonts w:hint="eastAsia" w:hAnsi="宋体"/>
                <w:color w:val="auto"/>
                <w:sz w:val="24"/>
                <w:lang w:val="zh-CN"/>
              </w:rPr>
              <w:t>支付。</w:t>
            </w:r>
          </w:p>
          <w:p>
            <w:pPr>
              <w:pStyle w:val="2"/>
              <w:rPr>
                <w:b/>
                <w:color w:val="auto"/>
              </w:rPr>
            </w:pPr>
            <w:r>
              <w:rPr>
                <w:rFonts w:hint="eastAsia" w:hAnsi="宋体"/>
                <w:b/>
                <w:color w:val="auto"/>
              </w:rPr>
              <w:t>代理服务费交款</w:t>
            </w:r>
            <w:r>
              <w:rPr>
                <w:rFonts w:hAnsi="宋体"/>
                <w:b/>
                <w:color w:val="auto"/>
              </w:rPr>
              <w:t>信息：</w:t>
            </w:r>
          </w:p>
          <w:p>
            <w:pPr>
              <w:pStyle w:val="2"/>
              <w:rPr>
                <w:b/>
                <w:color w:val="auto"/>
              </w:rPr>
            </w:pPr>
            <w:r>
              <w:rPr>
                <w:rFonts w:hint="eastAsia"/>
                <w:b/>
                <w:color w:val="auto"/>
              </w:rPr>
              <w:t>户名：成都盈合工程项目管理有限公司</w:t>
            </w:r>
          </w:p>
          <w:p>
            <w:pPr>
              <w:pStyle w:val="2"/>
              <w:rPr>
                <w:b/>
                <w:color w:val="auto"/>
              </w:rPr>
            </w:pPr>
            <w:r>
              <w:rPr>
                <w:rFonts w:hint="eastAsia"/>
                <w:b/>
                <w:color w:val="auto"/>
              </w:rPr>
              <w:t>开户银行全称：中国建设银行股份有限公司成都第九支行</w:t>
            </w:r>
          </w:p>
          <w:p>
            <w:pPr>
              <w:pStyle w:val="2"/>
              <w:rPr>
                <w:b/>
                <w:color w:val="auto"/>
              </w:rPr>
            </w:pPr>
            <w:r>
              <w:rPr>
                <w:rFonts w:hint="eastAsia"/>
                <w:b/>
                <w:color w:val="auto"/>
              </w:rPr>
              <w:t xml:space="preserve">账号：51050149840800000429 </w:t>
            </w:r>
          </w:p>
          <w:p>
            <w:pPr>
              <w:pStyle w:val="2"/>
              <w:rPr>
                <w:color w:val="auto"/>
              </w:rPr>
            </w:pPr>
            <w:r>
              <w:rPr>
                <w:rFonts w:hint="eastAsia"/>
                <w:b/>
                <w:color w:val="auto"/>
              </w:rPr>
              <w:t>CNAPS银行代码：105651006109</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19"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15</w:t>
            </w:r>
          </w:p>
        </w:tc>
        <w:tc>
          <w:tcPr>
            <w:tcW w:w="2116" w:type="dxa"/>
            <w:tcBorders>
              <w:right w:val="single" w:color="auto" w:sz="4" w:space="0"/>
            </w:tcBorders>
            <w:vAlign w:val="center"/>
          </w:tcPr>
          <w:p>
            <w:pPr>
              <w:ind w:firstLine="120" w:firstLineChars="50"/>
              <w:jc w:val="center"/>
              <w:rPr>
                <w:rFonts w:ascii="宋体" w:hAnsi="宋体"/>
                <w:color w:val="auto"/>
                <w:sz w:val="24"/>
              </w:rPr>
            </w:pPr>
            <w:r>
              <w:rPr>
                <w:rFonts w:hint="eastAsia" w:ascii="宋体" w:hAnsi="宋体"/>
                <w:color w:val="auto"/>
                <w:sz w:val="24"/>
                <w:lang w:val="zh-CN"/>
              </w:rPr>
              <w:t>备选方案和多个报价（实质性要求）</w:t>
            </w:r>
          </w:p>
        </w:tc>
        <w:tc>
          <w:tcPr>
            <w:tcW w:w="6758" w:type="dxa"/>
            <w:tcBorders>
              <w:left w:val="single" w:color="auto" w:sz="4" w:space="0"/>
            </w:tcBorders>
            <w:vAlign w:val="center"/>
          </w:tcPr>
          <w:p>
            <w:pPr>
              <w:widowControl/>
              <w:jc w:val="left"/>
              <w:rPr>
                <w:rFonts w:ascii="宋体" w:hAnsi="宋体"/>
                <w:color w:val="auto"/>
                <w:kern w:val="0"/>
                <w:sz w:val="24"/>
              </w:rPr>
            </w:pPr>
            <w:r>
              <w:rPr>
                <w:rFonts w:hint="eastAsia" w:ascii="宋体" w:hAnsi="宋体"/>
                <w:color w:val="auto"/>
                <w:kern w:val="0"/>
                <w:sz w:val="24"/>
              </w:rPr>
              <w:t>本项目不接受备选方案和多个报价。</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592"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16</w:t>
            </w:r>
          </w:p>
        </w:tc>
        <w:tc>
          <w:tcPr>
            <w:tcW w:w="2116" w:type="dxa"/>
            <w:tcBorders>
              <w:right w:val="single" w:color="auto" w:sz="4" w:space="0"/>
            </w:tcBorders>
            <w:vAlign w:val="center"/>
          </w:tcPr>
          <w:p>
            <w:pPr>
              <w:ind w:firstLine="120" w:firstLineChars="50"/>
              <w:jc w:val="center"/>
              <w:rPr>
                <w:rFonts w:ascii="宋体" w:hAnsi="宋体"/>
                <w:color w:val="auto"/>
                <w:sz w:val="24"/>
                <w:lang w:val="zh-CN"/>
              </w:rPr>
            </w:pPr>
            <w:r>
              <w:rPr>
                <w:rFonts w:hint="eastAsia" w:hAnsi="宋体"/>
                <w:color w:val="auto"/>
                <w:sz w:val="24"/>
              </w:rPr>
              <w:t>信用记录查询</w:t>
            </w:r>
          </w:p>
        </w:tc>
        <w:tc>
          <w:tcPr>
            <w:tcW w:w="6758" w:type="dxa"/>
            <w:tcBorders>
              <w:left w:val="single" w:color="auto" w:sz="4" w:space="0"/>
            </w:tcBorders>
            <w:vAlign w:val="center"/>
          </w:tcPr>
          <w:p>
            <w:pPr>
              <w:rPr>
                <w:rFonts w:hAnsi="宋体" w:cs="宋体"/>
                <w:color w:val="auto"/>
                <w:sz w:val="24"/>
              </w:rPr>
            </w:pPr>
            <w:r>
              <w:rPr>
                <w:rFonts w:hint="eastAsia" w:hAnsi="宋体"/>
                <w:color w:val="auto"/>
                <w:sz w:val="24"/>
              </w:rPr>
              <w:t>1.在开标后至评审前，成都盈合工程项目管理有限公司将通过</w:t>
            </w:r>
            <w:r>
              <w:rPr>
                <w:rFonts w:hAnsi="宋体" w:cs="宋体"/>
                <w:color w:val="auto"/>
                <w:sz w:val="24"/>
              </w:rPr>
              <w:t>“信用中国”</w:t>
            </w:r>
            <w:r>
              <w:rPr>
                <w:rFonts w:hint="eastAsia" w:hAnsi="宋体" w:cs="宋体"/>
                <w:color w:val="auto"/>
                <w:sz w:val="24"/>
              </w:rPr>
              <w:t>、“中国政府采购网”、“四川政府采购”等渠道全面查询供应商的信用记录，并将信用信息查询记录和证据通过网页截图的方式进行留存。</w:t>
            </w:r>
          </w:p>
          <w:p>
            <w:pPr>
              <w:rPr>
                <w:rFonts w:hAnsi="宋体" w:cs="宋体"/>
                <w:color w:val="auto"/>
                <w:sz w:val="24"/>
              </w:rPr>
            </w:pPr>
            <w:r>
              <w:rPr>
                <w:rFonts w:hint="eastAsia" w:hAnsi="宋体" w:cs="宋体"/>
                <w:color w:val="auto"/>
                <w:sz w:val="24"/>
              </w:rPr>
              <w:t>2.针对查询时已列入失信被执行人、重大收税违法案件当事人名单、政府采购严重违法失信行为记录名单及其他不符合《中华人民共和国政府采购法》第二十二条规定条件的供应商的投标将被拒绝（</w:t>
            </w:r>
            <w:r>
              <w:rPr>
                <w:rFonts w:hAnsi="宋体" w:cs="宋体"/>
                <w:color w:val="auto"/>
                <w:sz w:val="24"/>
              </w:rPr>
              <w:t>处罚决定规定的时间和地域范围内</w:t>
            </w:r>
            <w:r>
              <w:rPr>
                <w:rFonts w:hint="eastAsia" w:hAnsi="宋体" w:cs="宋体"/>
                <w:color w:val="auto"/>
                <w:sz w:val="24"/>
              </w:rPr>
              <w:t>）。</w:t>
            </w:r>
          </w:p>
          <w:p>
            <w:pPr>
              <w:widowControl/>
              <w:jc w:val="left"/>
              <w:rPr>
                <w:rFonts w:ascii="宋体" w:hAnsi="宋体"/>
                <w:color w:val="auto"/>
                <w:kern w:val="0"/>
                <w:sz w:val="24"/>
              </w:rPr>
            </w:pPr>
            <w:r>
              <w:rPr>
                <w:rFonts w:hint="eastAsia" w:hAnsi="宋体" w:cs="宋体"/>
                <w:color w:val="auto"/>
                <w:sz w:val="24"/>
              </w:rPr>
              <w:t>3.两个以上自然人、法人或者其他组织组成一个联合体，以一个供应商的身份共同参加政府采购活动的，将对所有联合体成员进行信用记录查询，联合体成员存在不良信用记录的，视同联合体存在不良信用记录。</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27"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17</w:t>
            </w:r>
          </w:p>
        </w:tc>
        <w:tc>
          <w:tcPr>
            <w:tcW w:w="2116" w:type="dxa"/>
            <w:tcBorders>
              <w:right w:val="single" w:color="auto" w:sz="4" w:space="0"/>
            </w:tcBorders>
            <w:vAlign w:val="center"/>
          </w:tcPr>
          <w:p>
            <w:pPr>
              <w:ind w:firstLine="120" w:firstLineChars="50"/>
              <w:jc w:val="center"/>
              <w:rPr>
                <w:rFonts w:hAnsi="宋体"/>
                <w:color w:val="auto"/>
                <w:sz w:val="24"/>
              </w:rPr>
            </w:pPr>
            <w:r>
              <w:rPr>
                <w:rFonts w:hint="eastAsia" w:hAnsi="宋体"/>
                <w:color w:val="auto"/>
                <w:sz w:val="24"/>
              </w:rPr>
              <w:t>节能环保、无线局域网产品</w:t>
            </w:r>
          </w:p>
        </w:tc>
        <w:tc>
          <w:tcPr>
            <w:tcW w:w="6758" w:type="dxa"/>
            <w:tcBorders>
              <w:left w:val="single" w:color="auto" w:sz="4" w:space="0"/>
            </w:tcBorders>
            <w:vAlign w:val="center"/>
          </w:tcPr>
          <w:p>
            <w:pPr>
              <w:pStyle w:val="101"/>
              <w:numPr>
                <w:ilvl w:val="0"/>
                <w:numId w:val="3"/>
              </w:numPr>
              <w:rPr>
                <w:rFonts w:cs="Times New Roman"/>
                <w:b/>
                <w:color w:val="auto"/>
                <w:kern w:val="2"/>
              </w:rPr>
            </w:pPr>
            <w:r>
              <w:rPr>
                <w:rFonts w:hint="eastAsia" w:cs="Times New Roman"/>
                <w:b/>
                <w:color w:val="auto"/>
                <w:kern w:val="2"/>
              </w:rPr>
              <w:t>采购产品为强制采购节能产品的，非节能产品不得参与投标，且应提供国家确定的认证机构出具的、处于有效期之内的节能产品认证证书，或者承诺将在采购合同签订前向采购人提供投标产品中所有强制节能产品的有效节能产品认证证书（实质性要求）。</w:t>
            </w:r>
          </w:p>
          <w:p>
            <w:pPr>
              <w:pStyle w:val="101"/>
              <w:numPr>
                <w:ilvl w:val="0"/>
                <w:numId w:val="3"/>
              </w:numPr>
              <w:rPr>
                <w:rFonts w:cs="Times New Roman"/>
                <w:color w:val="auto"/>
                <w:kern w:val="2"/>
              </w:rPr>
            </w:pPr>
            <w:r>
              <w:rPr>
                <w:rFonts w:hint="eastAsia" w:cs="Times New Roman"/>
                <w:color w:val="auto"/>
                <w:kern w:val="2"/>
              </w:rPr>
              <w:t>采购产品为优先采购节能、环保、</w:t>
            </w:r>
            <w:r>
              <w:rPr>
                <w:rFonts w:hint="eastAsia"/>
                <w:color w:val="auto"/>
              </w:rPr>
              <w:t>无线局域网</w:t>
            </w:r>
            <w:r>
              <w:rPr>
                <w:rFonts w:hint="eastAsia" w:cs="Times New Roman"/>
                <w:color w:val="auto"/>
                <w:kern w:val="2"/>
              </w:rPr>
              <w:t>产品的，应按本招标文件第五章“综合评分明细表”的评审因素进行评分。</w:t>
            </w:r>
          </w:p>
          <w:p>
            <w:pPr>
              <w:pStyle w:val="101"/>
              <w:numPr>
                <w:ilvl w:val="0"/>
                <w:numId w:val="3"/>
              </w:numPr>
              <w:rPr>
                <w:rFonts w:cs="Times New Roman"/>
                <w:color w:val="auto"/>
                <w:kern w:val="2"/>
              </w:rPr>
            </w:pPr>
            <w:r>
              <w:rPr>
                <w:rFonts w:hint="eastAsia" w:cs="Times New Roman"/>
                <w:color w:val="auto"/>
                <w:kern w:val="2"/>
              </w:rPr>
              <w:t>政府采购节能产品、环境标志产品和</w:t>
            </w:r>
            <w:r>
              <w:rPr>
                <w:rFonts w:hint="eastAsia"/>
                <w:color w:val="auto"/>
              </w:rPr>
              <w:t>无线局域网产品</w:t>
            </w:r>
            <w:r>
              <w:rPr>
                <w:rFonts w:hint="eastAsia" w:cs="Times New Roman"/>
                <w:color w:val="auto"/>
                <w:kern w:val="2"/>
              </w:rPr>
              <w:t>品目清单以财政部、发展改革委、生态环境部等部门公布的最新一期清单为准。</w:t>
            </w:r>
          </w:p>
          <w:p>
            <w:pPr>
              <w:pStyle w:val="2"/>
              <w:rPr>
                <w:b/>
                <w:color w:val="auto"/>
              </w:rPr>
            </w:pPr>
            <w:r>
              <w:rPr>
                <w:rFonts w:hint="eastAsia"/>
                <w:b/>
                <w:bCs/>
                <w:color w:val="auto"/>
              </w:rPr>
              <w:t>注：</w:t>
            </w:r>
            <w:r>
              <w:rPr>
                <w:b/>
                <w:bCs/>
                <w:color w:val="auto"/>
              </w:rPr>
              <w:t>台式计算机，便携式计算机，平板式微型计算机，激光打印机，针式打印机，液晶显示器，制冷压缩机，空调机组，专用制冷、空调设备，镇流器，空调机，电热水器，普通照明用双端荧光灯，电视设备，视频设备，便器，水嘴</w:t>
            </w:r>
            <w:r>
              <w:rPr>
                <w:rFonts w:hint="eastAsia"/>
                <w:b/>
                <w:bCs/>
                <w:color w:val="auto"/>
              </w:rPr>
              <w:t>为政府强制采购的节能产品。</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19"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18</w:t>
            </w:r>
          </w:p>
        </w:tc>
        <w:tc>
          <w:tcPr>
            <w:tcW w:w="2116" w:type="dxa"/>
            <w:tcBorders>
              <w:right w:val="single" w:color="auto" w:sz="4" w:space="0"/>
            </w:tcBorders>
            <w:vAlign w:val="center"/>
          </w:tcPr>
          <w:p>
            <w:pPr>
              <w:pStyle w:val="101"/>
              <w:ind w:left="33"/>
              <w:jc w:val="center"/>
              <w:rPr>
                <w:rFonts w:ascii="Times New Roman"/>
                <w:color w:val="auto"/>
                <w:kern w:val="2"/>
              </w:rPr>
            </w:pPr>
            <w:r>
              <w:rPr>
                <w:rFonts w:hint="eastAsia" w:ascii="Times New Roman"/>
                <w:color w:val="auto"/>
                <w:kern w:val="2"/>
              </w:rPr>
              <w:t>投标文件密封、签署、盖章</w:t>
            </w:r>
          </w:p>
        </w:tc>
        <w:tc>
          <w:tcPr>
            <w:tcW w:w="6758" w:type="dxa"/>
            <w:tcBorders>
              <w:left w:val="single" w:color="auto" w:sz="4" w:space="0"/>
            </w:tcBorders>
            <w:vAlign w:val="center"/>
          </w:tcPr>
          <w:p>
            <w:pPr>
              <w:pStyle w:val="101"/>
              <w:rPr>
                <w:rFonts w:ascii="Times New Roman"/>
                <w:color w:val="auto"/>
                <w:kern w:val="2"/>
              </w:rPr>
            </w:pPr>
            <w:r>
              <w:rPr>
                <w:rFonts w:hint="eastAsia" w:ascii="Times New Roman"/>
                <w:color w:val="auto"/>
                <w:kern w:val="2"/>
              </w:rPr>
              <w:t>详见本章“二、总则”中第18、19条。</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19"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19</w:t>
            </w:r>
          </w:p>
        </w:tc>
        <w:tc>
          <w:tcPr>
            <w:tcW w:w="2116" w:type="dxa"/>
            <w:tcBorders>
              <w:right w:val="single" w:color="auto" w:sz="4" w:space="0"/>
            </w:tcBorders>
            <w:vAlign w:val="center"/>
          </w:tcPr>
          <w:p>
            <w:pPr>
              <w:pStyle w:val="101"/>
              <w:ind w:left="33"/>
              <w:jc w:val="center"/>
              <w:rPr>
                <w:b/>
                <w:color w:val="auto"/>
              </w:rPr>
            </w:pPr>
            <w:r>
              <w:rPr>
                <w:rFonts w:hint="eastAsia"/>
                <w:color w:val="auto"/>
              </w:rPr>
              <w:t>信用融资</w:t>
            </w:r>
          </w:p>
        </w:tc>
        <w:tc>
          <w:tcPr>
            <w:tcW w:w="6758" w:type="dxa"/>
            <w:tcBorders>
              <w:left w:val="single" w:color="auto" w:sz="4" w:space="0"/>
            </w:tcBorders>
            <w:vAlign w:val="center"/>
          </w:tcPr>
          <w:p>
            <w:pPr>
              <w:pStyle w:val="101"/>
              <w:ind w:left="34" w:leftChars="16"/>
              <w:rPr>
                <w:rFonts w:ascii="Times New Roman"/>
                <w:color w:val="auto"/>
              </w:rPr>
            </w:pPr>
            <w:r>
              <w:rPr>
                <w:rFonts w:hint="eastAsia"/>
                <w:color w:val="auto"/>
              </w:rPr>
              <w:t>有融资需求的中小企业供应商可自主选择提供政府采购信用融资服务的融资机构及产品，详细融资流程详见《四川省财政厅关于推进四川省政府采购供应商信用融资工作的通知》。</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19"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20</w:t>
            </w:r>
          </w:p>
        </w:tc>
        <w:tc>
          <w:tcPr>
            <w:tcW w:w="2116" w:type="dxa"/>
            <w:tcBorders>
              <w:right w:val="single" w:color="auto" w:sz="4" w:space="0"/>
            </w:tcBorders>
            <w:vAlign w:val="center"/>
          </w:tcPr>
          <w:p>
            <w:pPr>
              <w:pStyle w:val="101"/>
              <w:ind w:left="33"/>
              <w:jc w:val="center"/>
              <w:rPr>
                <w:color w:val="auto"/>
              </w:rPr>
            </w:pPr>
            <w:r>
              <w:rPr>
                <w:rFonts w:hint="eastAsia"/>
                <w:color w:val="auto"/>
              </w:rPr>
              <w:t>评标委员会组成</w:t>
            </w:r>
          </w:p>
        </w:tc>
        <w:tc>
          <w:tcPr>
            <w:tcW w:w="6758" w:type="dxa"/>
            <w:tcBorders>
              <w:left w:val="single" w:color="auto" w:sz="4" w:space="0"/>
            </w:tcBorders>
            <w:vAlign w:val="center"/>
          </w:tcPr>
          <w:p>
            <w:pPr>
              <w:pStyle w:val="101"/>
              <w:ind w:left="34" w:leftChars="16"/>
              <w:rPr>
                <w:color w:val="auto"/>
              </w:rPr>
            </w:pPr>
            <w:r>
              <w:rPr>
                <w:rFonts w:hint="eastAsia"/>
                <w:color w:val="auto"/>
              </w:rPr>
              <w:t>本项目评标委员会成员将从四川政府采购网专家库中随机抽取产生，且抽取的专家数量不少于评标委员会总人数的2/3。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19" w:hRule="atLeast"/>
          <w:jc w:val="center"/>
        </w:trPr>
        <w:tc>
          <w:tcPr>
            <w:tcW w:w="838" w:type="dxa"/>
            <w:vAlign w:val="center"/>
          </w:tcPr>
          <w:p>
            <w:pPr>
              <w:ind w:firstLine="120" w:firstLineChars="50"/>
              <w:rPr>
                <w:rFonts w:ascii="宋体" w:hAnsi="宋体"/>
                <w:color w:val="auto"/>
                <w:sz w:val="24"/>
              </w:rPr>
            </w:pPr>
            <w:r>
              <w:rPr>
                <w:rFonts w:hint="eastAsia" w:ascii="宋体" w:hAnsi="宋体"/>
                <w:color w:val="auto"/>
                <w:sz w:val="24"/>
              </w:rPr>
              <w:t>21</w:t>
            </w:r>
          </w:p>
        </w:tc>
        <w:tc>
          <w:tcPr>
            <w:tcW w:w="2116" w:type="dxa"/>
            <w:tcBorders>
              <w:right w:val="single" w:color="auto" w:sz="4" w:space="0"/>
            </w:tcBorders>
            <w:vAlign w:val="center"/>
          </w:tcPr>
          <w:p>
            <w:pPr>
              <w:pStyle w:val="101"/>
              <w:ind w:left="33"/>
              <w:jc w:val="center"/>
              <w:rPr>
                <w:color w:val="auto"/>
              </w:rPr>
            </w:pPr>
            <w:r>
              <w:rPr>
                <w:rFonts w:hint="eastAsia"/>
                <w:color w:val="auto"/>
              </w:rPr>
              <w:t>厂家行业划分</w:t>
            </w:r>
          </w:p>
        </w:tc>
        <w:tc>
          <w:tcPr>
            <w:tcW w:w="6758" w:type="dxa"/>
            <w:tcBorders>
              <w:left w:val="single" w:color="auto" w:sz="4" w:space="0"/>
            </w:tcBorders>
            <w:vAlign w:val="center"/>
          </w:tcPr>
          <w:p>
            <w:pPr>
              <w:pStyle w:val="101"/>
              <w:ind w:left="34" w:leftChars="16"/>
              <w:rPr>
                <w:color w:val="auto"/>
              </w:rPr>
            </w:pPr>
            <w:r>
              <w:rPr>
                <w:rFonts w:hint="eastAsia"/>
                <w:color w:val="auto"/>
              </w:rPr>
              <w:t>按照国民经济行业分类及</w:t>
            </w:r>
            <w:r>
              <w:rPr>
                <w:rFonts w:hint="eastAsia"/>
                <w:bCs/>
                <w:color w:val="auto"/>
              </w:rPr>
              <w:t>根据《政府采购促进中小企业发展管理办法》</w:t>
            </w:r>
            <w:r>
              <w:rPr>
                <w:rFonts w:hint="eastAsia"/>
                <w:color w:val="auto"/>
              </w:rPr>
              <w:t>（财库[2020]46号）的规定，本次采购的所有货物的生产厂家均应为工业。</w:t>
            </w:r>
          </w:p>
        </w:tc>
      </w:tr>
    </w:tbl>
    <w:p>
      <w:pPr>
        <w:pStyle w:val="159"/>
        <w:ind w:firstLine="400"/>
        <w:rPr>
          <w:color w:val="auto"/>
        </w:rPr>
      </w:pPr>
      <w:r>
        <w:rPr>
          <w:color w:val="auto"/>
        </w:rPr>
        <w:tab/>
      </w:r>
    </w:p>
    <w:p>
      <w:pPr>
        <w:pStyle w:val="159"/>
        <w:ind w:firstLine="400"/>
        <w:rPr>
          <w:color w:val="auto"/>
        </w:rPr>
      </w:pPr>
    </w:p>
    <w:p>
      <w:pPr>
        <w:pStyle w:val="3"/>
        <w:spacing w:line="400" w:lineRule="exact"/>
        <w:ind w:firstLine="562" w:firstLineChars="200"/>
        <w:jc w:val="center"/>
        <w:rPr>
          <w:rFonts w:ascii="宋体" w:hAnsi="宋体"/>
          <w:color w:val="auto"/>
          <w:sz w:val="28"/>
          <w:szCs w:val="28"/>
        </w:rPr>
      </w:pPr>
      <w:r>
        <w:rPr>
          <w:rFonts w:ascii="宋体" w:hAnsi="宋体"/>
          <w:color w:val="auto"/>
          <w:sz w:val="28"/>
          <w:szCs w:val="28"/>
        </w:rPr>
        <w:br w:type="page"/>
      </w:r>
      <w:bookmarkStart w:id="34" w:name="_Toc65154636"/>
      <w:bookmarkStart w:id="35" w:name="_Toc65154533"/>
      <w:r>
        <w:rPr>
          <w:rFonts w:hint="eastAsia" w:ascii="宋体" w:hAnsi="宋体"/>
          <w:color w:val="auto"/>
          <w:sz w:val="28"/>
          <w:szCs w:val="28"/>
        </w:rPr>
        <w:t>二、</w:t>
      </w:r>
      <w:r>
        <w:rPr>
          <w:rFonts w:hint="eastAsia" w:ascii="宋体" w:hAnsi="宋体"/>
          <w:bCs w:val="0"/>
          <w:color w:val="auto"/>
          <w:sz w:val="28"/>
          <w:szCs w:val="28"/>
        </w:rPr>
        <w:t>总  则</w:t>
      </w:r>
      <w:bookmarkEnd w:id="34"/>
      <w:bookmarkEnd w:id="35"/>
    </w:p>
    <w:p>
      <w:pPr>
        <w:pStyle w:val="5"/>
        <w:spacing w:line="400" w:lineRule="exact"/>
        <w:ind w:firstLine="482" w:firstLineChars="200"/>
        <w:rPr>
          <w:rFonts w:ascii="宋体" w:hAnsi="宋体"/>
          <w:color w:val="auto"/>
          <w:sz w:val="24"/>
        </w:rPr>
      </w:pPr>
      <w:bookmarkStart w:id="36" w:name="_Toc183582205"/>
      <w:bookmarkStart w:id="37" w:name="_Toc183682342"/>
      <w:bookmarkStart w:id="38" w:name="_Toc217446034"/>
      <w:r>
        <w:rPr>
          <w:rFonts w:hint="eastAsia" w:ascii="宋体" w:hAnsi="宋体"/>
          <w:color w:val="auto"/>
          <w:sz w:val="24"/>
        </w:rPr>
        <w:t>1.</w:t>
      </w:r>
      <w:bookmarkEnd w:id="36"/>
      <w:bookmarkEnd w:id="37"/>
      <w:r>
        <w:rPr>
          <w:rFonts w:hint="eastAsia" w:ascii="宋体" w:hAnsi="宋体"/>
          <w:color w:val="auto"/>
          <w:sz w:val="24"/>
        </w:rPr>
        <w:t xml:space="preserve"> 适用范围</w:t>
      </w:r>
      <w:bookmarkEnd w:id="38"/>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1.1 本招标文件仅适用于本次招标采购项目。</w:t>
      </w:r>
    </w:p>
    <w:p>
      <w:pPr>
        <w:pStyle w:val="5"/>
        <w:spacing w:line="400" w:lineRule="exact"/>
        <w:ind w:firstLine="482" w:firstLineChars="200"/>
        <w:rPr>
          <w:rFonts w:ascii="宋体" w:hAnsi="宋体"/>
          <w:color w:val="auto"/>
          <w:sz w:val="24"/>
        </w:rPr>
      </w:pPr>
      <w:bookmarkStart w:id="39" w:name="_Toc183582206"/>
      <w:bookmarkStart w:id="40" w:name="_Toc183682343"/>
      <w:bookmarkStart w:id="41" w:name="_Toc217446035"/>
      <w:r>
        <w:rPr>
          <w:rFonts w:hint="eastAsia" w:ascii="宋体" w:hAnsi="宋体"/>
          <w:color w:val="auto"/>
          <w:sz w:val="24"/>
        </w:rPr>
        <w:t xml:space="preserve">2. </w:t>
      </w:r>
      <w:bookmarkEnd w:id="39"/>
      <w:bookmarkEnd w:id="40"/>
      <w:r>
        <w:rPr>
          <w:rFonts w:hint="eastAsia" w:ascii="宋体" w:hAnsi="宋体"/>
          <w:color w:val="auto"/>
          <w:sz w:val="24"/>
        </w:rPr>
        <w:t>有关定义</w:t>
      </w:r>
      <w:bookmarkEnd w:id="41"/>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2.1 “采购人”系指依法进行政府采购的国家机关、事业单位、团体组织。本次招标的采购人是</w:t>
      </w:r>
      <w:r>
        <w:rPr>
          <w:rFonts w:hint="eastAsia" w:ascii="宋体" w:hAnsi="宋体"/>
          <w:color w:val="auto"/>
          <w:sz w:val="24"/>
          <w:u w:val="single"/>
        </w:rPr>
        <w:t>成都市射击运动学校</w:t>
      </w:r>
      <w:r>
        <w:rPr>
          <w:rFonts w:hint="eastAsia" w:ascii="宋体" w:hAnsi="宋体"/>
          <w:color w:val="auto"/>
          <w:sz w:val="24"/>
        </w:rPr>
        <w:t>。</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2.2 “采购代理机构” 系指根据采购人的委托依法办理招标事宜的采购机构。本次招标的采购代理机构是</w:t>
      </w:r>
      <w:r>
        <w:rPr>
          <w:rFonts w:hint="eastAsia" w:ascii="新宋体" w:hAnsi="新宋体" w:eastAsia="新宋体"/>
          <w:color w:val="auto"/>
          <w:sz w:val="24"/>
          <w:u w:val="single"/>
        </w:rPr>
        <w:t>成都盈合工程项目管理有限公司</w:t>
      </w:r>
      <w:r>
        <w:rPr>
          <w:rFonts w:hint="eastAsia" w:ascii="宋体" w:hAnsi="宋体"/>
          <w:color w:val="auto"/>
          <w:sz w:val="24"/>
        </w:rPr>
        <w:t>。</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2.3 “供应商”系指在政府采购活动中向采购人提供货物、工程或服务的法人、其他组织或者自然人。</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2.4“潜在投标人”系指在政府采购招标采购中购买了招标文件的供应商。</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2.5“投标人”系指在政府采购招标采购中向采购人或采购代理机构递交了投标文件的供应商。</w:t>
      </w:r>
    </w:p>
    <w:p>
      <w:pPr>
        <w:pStyle w:val="5"/>
        <w:spacing w:line="400" w:lineRule="exact"/>
        <w:ind w:firstLine="482" w:firstLineChars="200"/>
        <w:rPr>
          <w:rFonts w:ascii="宋体" w:hAnsi="宋体"/>
          <w:color w:val="auto"/>
          <w:sz w:val="24"/>
        </w:rPr>
      </w:pPr>
      <w:bookmarkStart w:id="42" w:name="_Toc183682344"/>
      <w:bookmarkStart w:id="43" w:name="_Toc217446036"/>
      <w:bookmarkStart w:id="44" w:name="_Toc217390843"/>
      <w:bookmarkStart w:id="45" w:name="_Toc183582207"/>
      <w:r>
        <w:rPr>
          <w:rFonts w:hint="eastAsia" w:ascii="宋体" w:hAnsi="宋体"/>
          <w:color w:val="auto"/>
          <w:sz w:val="24"/>
        </w:rPr>
        <w:t>3. 合格的投标人</w:t>
      </w:r>
      <w:bookmarkEnd w:id="42"/>
      <w:bookmarkEnd w:id="43"/>
      <w:bookmarkEnd w:id="44"/>
      <w:bookmarkEnd w:id="45"/>
      <w:r>
        <w:rPr>
          <w:rFonts w:hint="eastAsia" w:ascii="宋体" w:hAnsi="宋体"/>
          <w:color w:val="auto"/>
          <w:sz w:val="24"/>
        </w:rPr>
        <w:t>（实质性要求）</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合格的投标人应具备以下条件：</w:t>
      </w:r>
    </w:p>
    <w:p>
      <w:pPr>
        <w:tabs>
          <w:tab w:val="left" w:pos="7665"/>
        </w:tabs>
        <w:spacing w:line="400" w:lineRule="exact"/>
        <w:ind w:firstLine="480" w:firstLineChars="200"/>
        <w:rPr>
          <w:rFonts w:ascii="宋体" w:hAnsi="宋体"/>
          <w:color w:val="auto"/>
          <w:spacing w:val="-4"/>
          <w:sz w:val="24"/>
        </w:rPr>
      </w:pPr>
      <w:r>
        <w:rPr>
          <w:rFonts w:hint="eastAsia" w:ascii="宋体" w:hAnsi="宋体"/>
          <w:color w:val="auto"/>
          <w:sz w:val="24"/>
        </w:rPr>
        <w:t>（1）本招标文件规定的投标人资格条件</w:t>
      </w:r>
      <w:r>
        <w:rPr>
          <w:rFonts w:hint="eastAsia" w:ascii="宋体" w:hAnsi="宋体"/>
          <w:color w:val="auto"/>
          <w:spacing w:val="-4"/>
          <w:sz w:val="24"/>
        </w:rPr>
        <w:t>；</w:t>
      </w:r>
    </w:p>
    <w:p>
      <w:pPr>
        <w:tabs>
          <w:tab w:val="left" w:pos="7665"/>
        </w:tabs>
        <w:spacing w:line="400" w:lineRule="exact"/>
        <w:rPr>
          <w:rFonts w:ascii="宋体" w:hAnsi="宋体"/>
          <w:color w:val="auto"/>
          <w:sz w:val="24"/>
        </w:rPr>
      </w:pPr>
      <w:r>
        <w:rPr>
          <w:rFonts w:hint="eastAsia" w:ascii="宋体" w:hAnsi="宋体"/>
          <w:color w:val="auto"/>
          <w:sz w:val="24"/>
        </w:rPr>
        <w:t xml:space="preserve">    （2）遵守国家有关的法律、法规、规章和其他政策制度；</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（3）向采购代理机构购买了招标文件。</w:t>
      </w:r>
    </w:p>
    <w:p>
      <w:pPr>
        <w:pStyle w:val="5"/>
        <w:spacing w:line="400" w:lineRule="exact"/>
        <w:ind w:firstLine="482" w:firstLineChars="200"/>
        <w:rPr>
          <w:rFonts w:ascii="宋体" w:hAnsi="宋体"/>
          <w:color w:val="auto"/>
          <w:sz w:val="24"/>
        </w:rPr>
      </w:pPr>
      <w:bookmarkStart w:id="46" w:name="_Toc183682345"/>
      <w:bookmarkStart w:id="47" w:name="_Toc217446037"/>
      <w:bookmarkStart w:id="48" w:name="_Toc183582208"/>
      <w:r>
        <w:rPr>
          <w:rFonts w:hint="eastAsia" w:ascii="宋体" w:hAnsi="宋体"/>
          <w:color w:val="auto"/>
          <w:sz w:val="24"/>
        </w:rPr>
        <w:t>4. 投标费用</w:t>
      </w:r>
      <w:bookmarkEnd w:id="46"/>
      <w:bookmarkEnd w:id="47"/>
      <w:bookmarkEnd w:id="48"/>
      <w:r>
        <w:rPr>
          <w:rFonts w:hint="eastAsia" w:ascii="宋体" w:hAnsi="宋体"/>
          <w:color w:val="auto"/>
          <w:sz w:val="24"/>
        </w:rPr>
        <w:t>（实质性要求）</w:t>
      </w:r>
    </w:p>
    <w:p>
      <w:pPr>
        <w:tabs>
          <w:tab w:val="left" w:pos="7665"/>
        </w:tabs>
        <w:spacing w:line="400" w:lineRule="exact"/>
        <w:ind w:firstLine="480"/>
        <w:rPr>
          <w:rFonts w:ascii="宋体" w:hAnsi="宋体"/>
          <w:color w:val="auto"/>
          <w:sz w:val="24"/>
        </w:rPr>
      </w:pPr>
      <w:r>
        <w:rPr>
          <w:rFonts w:hint="eastAsia" w:ascii="宋体" w:hAnsi="宋体"/>
          <w:color w:val="auto"/>
          <w:sz w:val="24"/>
        </w:rPr>
        <w:t>投标人参加投标的有关费用由投标人自行承担。</w:t>
      </w:r>
    </w:p>
    <w:p>
      <w:pPr>
        <w:pStyle w:val="5"/>
        <w:spacing w:line="400" w:lineRule="exact"/>
        <w:ind w:firstLine="482" w:firstLineChars="200"/>
        <w:rPr>
          <w:rFonts w:ascii="宋体" w:hAnsi="宋体"/>
          <w:color w:val="auto"/>
          <w:sz w:val="24"/>
        </w:rPr>
      </w:pPr>
      <w:r>
        <w:rPr>
          <w:rFonts w:hint="eastAsia" w:ascii="宋体" w:hAnsi="宋体"/>
          <w:color w:val="auto"/>
          <w:sz w:val="24"/>
        </w:rPr>
        <w:t>5、充分、公平竞争保障措施（实质性要求）</w:t>
      </w:r>
    </w:p>
    <w:p>
      <w:pPr>
        <w:pStyle w:val="169"/>
        <w:snapToGrid w:val="0"/>
        <w:spacing w:line="400" w:lineRule="exact"/>
        <w:ind w:left="1" w:firstLine="480" w:firstLineChars="200"/>
        <w:rPr>
          <w:rFonts w:hAnsi="宋体"/>
          <w:color w:val="auto"/>
          <w:sz w:val="28"/>
          <w:szCs w:val="28"/>
        </w:rPr>
      </w:pPr>
      <w:r>
        <w:rPr>
          <w:rFonts w:hint="eastAsia" w:hAnsi="宋体"/>
          <w:color w:val="auto"/>
          <w:sz w:val="24"/>
        </w:rPr>
        <w:t>5.1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pPr>
        <w:pStyle w:val="169"/>
        <w:spacing w:line="400" w:lineRule="exact"/>
        <w:ind w:left="1" w:firstLine="480" w:firstLineChars="200"/>
        <w:rPr>
          <w:rFonts w:hAnsi="宋体"/>
          <w:color w:val="auto"/>
          <w:sz w:val="24"/>
        </w:rPr>
      </w:pPr>
      <w:r>
        <w:rPr>
          <w:rFonts w:hint="eastAsia" w:hAnsi="宋体"/>
          <w:color w:val="auto"/>
          <w:sz w:val="24"/>
        </w:rPr>
        <w:t>5.2利害关系授权代表处理。两家以上的供应商不得在同一合同项下的采购项目中，委托同一个自然人、同一家庭的人员、同一单位的人员作为其授权代表，否则，其投标文件作为无效处理。</w:t>
      </w:r>
    </w:p>
    <w:p>
      <w:pPr>
        <w:pStyle w:val="169"/>
        <w:spacing w:line="400" w:lineRule="exact"/>
        <w:ind w:left="1" w:firstLine="480" w:firstLineChars="200"/>
        <w:rPr>
          <w:rFonts w:hAnsi="宋体"/>
          <w:color w:val="auto"/>
          <w:sz w:val="24"/>
        </w:rPr>
      </w:pPr>
      <w:r>
        <w:rPr>
          <w:rFonts w:hint="eastAsia" w:hAnsi="宋体"/>
          <w:color w:val="auto"/>
          <w:sz w:val="24"/>
        </w:rPr>
        <w:t>5.3前期参与供应商处理。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w:t>
      </w:r>
    </w:p>
    <w:p>
      <w:pPr>
        <w:pStyle w:val="169"/>
        <w:spacing w:line="400" w:lineRule="exact"/>
        <w:ind w:left="1" w:firstLine="480" w:firstLineChars="200"/>
        <w:rPr>
          <w:rFonts w:hAnsi="宋体"/>
          <w:color w:val="auto"/>
          <w:sz w:val="24"/>
        </w:rPr>
      </w:pPr>
      <w:r>
        <w:rPr>
          <w:rFonts w:hint="eastAsia" w:hAnsi="宋体"/>
          <w:color w:val="auto"/>
          <w:sz w:val="24"/>
        </w:rPr>
        <w:t>5.4供应商实际控制人或者中高级管理人员，同时是采购代理机构工作人员，不得参与本项目政府采购活动。</w:t>
      </w:r>
    </w:p>
    <w:p>
      <w:pPr>
        <w:spacing w:line="400" w:lineRule="exact"/>
        <w:ind w:firstLine="480" w:firstLineChars="200"/>
        <w:rPr>
          <w:rFonts w:hAnsi="宋体"/>
          <w:color w:val="auto"/>
          <w:sz w:val="24"/>
        </w:rPr>
      </w:pPr>
      <w:r>
        <w:rPr>
          <w:rFonts w:hint="eastAsia" w:hAnsi="宋体"/>
          <w:color w:val="auto"/>
          <w:sz w:val="24"/>
        </w:rPr>
        <w:t>5.5同一母公司的两家以上的子公司只能组成联合体参加本项目同一合同项下的采购活动，不得以不同供应商身份同时参加本项目同一合同项下的采购活动。</w:t>
      </w:r>
    </w:p>
    <w:p>
      <w:pPr>
        <w:spacing w:line="400" w:lineRule="exact"/>
        <w:ind w:firstLine="480" w:firstLineChars="200"/>
        <w:rPr>
          <w:rFonts w:hAnsi="宋体"/>
          <w:color w:val="auto"/>
          <w:sz w:val="24"/>
        </w:rPr>
      </w:pPr>
      <w:r>
        <w:rPr>
          <w:rFonts w:hint="eastAsia" w:hAnsi="宋体"/>
          <w:color w:val="auto"/>
          <w:sz w:val="24"/>
        </w:rPr>
        <w:t>5.6供应商与采购代理机构存在关联关系，或者是采购代理机构的母公司或子公司，不得参加本项目政府采购活动。</w:t>
      </w:r>
    </w:p>
    <w:p>
      <w:pPr>
        <w:pStyle w:val="169"/>
        <w:spacing w:line="400" w:lineRule="exact"/>
        <w:ind w:left="1" w:firstLine="480" w:firstLineChars="200"/>
        <w:rPr>
          <w:rFonts w:hAnsi="宋体"/>
          <w:color w:val="auto"/>
          <w:sz w:val="24"/>
        </w:rPr>
      </w:pPr>
      <w:r>
        <w:rPr>
          <w:rFonts w:hint="eastAsia" w:hAnsi="宋体"/>
          <w:color w:val="auto"/>
          <w:sz w:val="24"/>
        </w:rPr>
        <w:t>5.7回避。政府采购活动中，采购人员及相关人员与供应商有下列利害关系之一的，应当回避：</w:t>
      </w:r>
    </w:p>
    <w:p>
      <w:pPr>
        <w:pStyle w:val="169"/>
        <w:spacing w:line="400" w:lineRule="exact"/>
        <w:ind w:left="1" w:firstLine="480" w:firstLineChars="200"/>
        <w:rPr>
          <w:rFonts w:hAnsi="宋体"/>
          <w:color w:val="auto"/>
          <w:sz w:val="24"/>
        </w:rPr>
      </w:pPr>
      <w:r>
        <w:rPr>
          <w:rFonts w:hint="eastAsia" w:hAnsi="宋体"/>
          <w:color w:val="auto"/>
          <w:sz w:val="24"/>
        </w:rPr>
        <w:t>（1）参加采购活动前3年内与供应商存在劳动关系；</w:t>
      </w:r>
    </w:p>
    <w:p>
      <w:pPr>
        <w:pStyle w:val="169"/>
        <w:spacing w:line="400" w:lineRule="exact"/>
        <w:ind w:left="1" w:firstLine="480" w:firstLineChars="200"/>
        <w:rPr>
          <w:rFonts w:hAnsi="宋体"/>
          <w:color w:val="auto"/>
          <w:sz w:val="24"/>
        </w:rPr>
      </w:pPr>
      <w:r>
        <w:rPr>
          <w:rFonts w:hint="eastAsia" w:hAnsi="宋体"/>
          <w:color w:val="auto"/>
          <w:sz w:val="24"/>
        </w:rPr>
        <w:t>（2）参加采购活动前3年内担任供应商的董事、监事；</w:t>
      </w:r>
    </w:p>
    <w:p>
      <w:pPr>
        <w:pStyle w:val="169"/>
        <w:spacing w:line="400" w:lineRule="exact"/>
        <w:ind w:left="1" w:firstLine="480" w:firstLineChars="200"/>
        <w:rPr>
          <w:rFonts w:hAnsi="宋体"/>
          <w:color w:val="auto"/>
          <w:sz w:val="24"/>
        </w:rPr>
      </w:pPr>
      <w:r>
        <w:rPr>
          <w:rFonts w:hint="eastAsia" w:hAnsi="宋体"/>
          <w:color w:val="auto"/>
          <w:sz w:val="24"/>
        </w:rPr>
        <w:t>（3）参加采购活动前3年内是供应商的控股股东或者实际控制人；</w:t>
      </w:r>
    </w:p>
    <w:p>
      <w:pPr>
        <w:pStyle w:val="169"/>
        <w:spacing w:line="400" w:lineRule="exact"/>
        <w:ind w:left="1" w:firstLine="480" w:firstLineChars="200"/>
        <w:rPr>
          <w:rFonts w:hAnsi="宋体"/>
          <w:color w:val="auto"/>
          <w:sz w:val="24"/>
        </w:rPr>
      </w:pPr>
      <w:r>
        <w:rPr>
          <w:rFonts w:hint="eastAsia" w:hAnsi="宋体"/>
          <w:color w:val="auto"/>
          <w:sz w:val="24"/>
        </w:rPr>
        <w:t>（4）与供应商的法定代表人或者负责人有夫妻、直系血亲、三代以内旁系血亲或者近姻亲关系；</w:t>
      </w:r>
    </w:p>
    <w:p>
      <w:pPr>
        <w:pStyle w:val="169"/>
        <w:spacing w:line="400" w:lineRule="exact"/>
        <w:ind w:left="1" w:firstLine="480" w:firstLineChars="200"/>
        <w:rPr>
          <w:rFonts w:hAnsi="宋体"/>
          <w:color w:val="auto"/>
          <w:sz w:val="24"/>
        </w:rPr>
      </w:pPr>
      <w:r>
        <w:rPr>
          <w:rFonts w:hint="eastAsia" w:hAnsi="宋体"/>
          <w:color w:val="auto"/>
          <w:sz w:val="24"/>
        </w:rPr>
        <w:t>（5）与供应商有其他可能影响政府采购活动公平、公正进行的关系。</w:t>
      </w:r>
    </w:p>
    <w:p>
      <w:pPr>
        <w:pStyle w:val="169"/>
        <w:spacing w:line="400" w:lineRule="exact"/>
        <w:ind w:left="1" w:firstLine="480" w:firstLineChars="200"/>
        <w:rPr>
          <w:rFonts w:hAnsi="宋体"/>
          <w:color w:val="auto"/>
          <w:sz w:val="24"/>
        </w:rPr>
      </w:pPr>
      <w:r>
        <w:rPr>
          <w:rFonts w:hint="eastAsia" w:hAnsi="宋体"/>
          <w:color w:val="auto"/>
          <w:sz w:val="24"/>
        </w:rPr>
        <w:t>本项目政府采购活动中需要依法回避的采购人员是指采购人内部负责采购项目的具体经办工作人员和直接分管采购项目的负责人，以及采购代理机构负责采购项目的具体经办工作人员和直接分管采购活动的负责人。本项目政府采购活动中需要依法回避的相关人员是指评标委员会成员。</w:t>
      </w:r>
    </w:p>
    <w:p>
      <w:pPr>
        <w:pStyle w:val="95"/>
        <w:spacing w:line="460" w:lineRule="exact"/>
        <w:ind w:left="1" w:firstLine="480" w:firstLineChars="200"/>
        <w:rPr>
          <w:rFonts w:hAnsi="宋体"/>
          <w:color w:val="auto"/>
          <w:sz w:val="24"/>
        </w:rPr>
      </w:pPr>
      <w:r>
        <w:rPr>
          <w:rFonts w:hint="eastAsia" w:hAnsi="宋体"/>
          <w:color w:val="auto"/>
          <w:sz w:val="24"/>
        </w:rPr>
        <w:t>供应商认为采购人员及相关人员与其他供应商有利害关系的，可以向采购代理机构书面提出回避申请，并说明理由。采购代理机构将及时询问被申请回避人员，有利害关系的被申请回避人员应当回避。</w:t>
      </w:r>
    </w:p>
    <w:p>
      <w:pPr>
        <w:pStyle w:val="95"/>
        <w:spacing w:line="460" w:lineRule="exact"/>
        <w:ind w:left="1" w:firstLine="480" w:firstLineChars="200"/>
        <w:rPr>
          <w:rFonts w:hAnsi="宋体"/>
          <w:color w:val="auto"/>
          <w:sz w:val="24"/>
          <w:szCs w:val="24"/>
        </w:rPr>
      </w:pPr>
      <w:r>
        <w:rPr>
          <w:rFonts w:hint="eastAsia" w:hAnsi="宋体"/>
          <w:color w:val="auto"/>
          <w:sz w:val="24"/>
        </w:rPr>
        <w:t>5.8</w:t>
      </w:r>
      <w:r>
        <w:rPr>
          <w:rFonts w:hint="eastAsia" w:hAnsi="宋体"/>
          <w:b/>
          <w:color w:val="auto"/>
          <w:sz w:val="24"/>
        </w:rPr>
        <w:t>提供相同品牌产品处理</w:t>
      </w:r>
      <w:r>
        <w:rPr>
          <w:rFonts w:hint="eastAsia" w:hAnsi="宋体"/>
          <w:b/>
          <w:color w:val="auto"/>
          <w:sz w:val="24"/>
          <w:szCs w:val="24"/>
        </w:rPr>
        <w:t>。</w:t>
      </w:r>
      <w:r>
        <w:rPr>
          <w:rFonts w:hint="eastAsia" w:hAnsi="宋体"/>
          <w:color w:val="auto"/>
          <w:sz w:val="24"/>
          <w:szCs w:val="24"/>
        </w:rPr>
        <w:t>提供相同品牌产品且通过资格审查、符合性检查的不同投标人参加同一合同项下投标的，按一家投标人计算，评审后得分最高的同品牌投标人获得中标人推荐资格；评审得分相同的，由评标委员会按照价格得分高低排序，价格得分一致的按技术得分排序，技术得分一致的按商务得分排序，上述所有得分均一致的，由评标委员会投票确定一个投标人获得中标人推荐资格，票数不统一的按少数服从多数处理，其他同品牌投标人不作为中标候选人。</w:t>
      </w:r>
    </w:p>
    <w:p>
      <w:pPr>
        <w:pStyle w:val="95"/>
        <w:spacing w:line="460" w:lineRule="exact"/>
        <w:ind w:left="1" w:firstLine="480" w:firstLineChars="200"/>
        <w:rPr>
          <w:rFonts w:hAnsi="宋体"/>
          <w:color w:val="auto"/>
          <w:sz w:val="24"/>
        </w:rPr>
      </w:pPr>
      <w:r>
        <w:rPr>
          <w:rFonts w:hint="eastAsia" w:hAnsi="宋体"/>
          <w:color w:val="auto"/>
          <w:sz w:val="24"/>
        </w:rPr>
        <w:t>非单一产品采购项目中，多家投标人提供的部分或所有核心产品品牌相同的，视为提供相同品牌产品。</w:t>
      </w:r>
      <w:r>
        <w:rPr>
          <w:rFonts w:hint="eastAsia" w:hAnsi="宋体"/>
          <w:b/>
          <w:bCs/>
          <w:color w:val="auto"/>
          <w:sz w:val="24"/>
        </w:rPr>
        <w:t>本项目的核心产品为：第1包:射击服测硬仪。第2包：比赛靶纸。</w:t>
      </w:r>
    </w:p>
    <w:p>
      <w:pPr>
        <w:pStyle w:val="3"/>
        <w:spacing w:line="400" w:lineRule="exact"/>
        <w:ind w:firstLine="562" w:firstLineChars="200"/>
        <w:jc w:val="center"/>
        <w:rPr>
          <w:rFonts w:ascii="宋体" w:hAnsi="宋体"/>
          <w:color w:val="auto"/>
          <w:sz w:val="28"/>
          <w:szCs w:val="28"/>
        </w:rPr>
      </w:pPr>
      <w:bookmarkStart w:id="49" w:name="_Toc77400779"/>
      <w:bookmarkStart w:id="50" w:name="_Toc527460973"/>
      <w:bookmarkStart w:id="51" w:name="_Toc217446038"/>
      <w:bookmarkStart w:id="52" w:name="_Toc89075875"/>
      <w:bookmarkStart w:id="53" w:name="_Toc65154534"/>
      <w:bookmarkStart w:id="54" w:name="_Toc65154637"/>
      <w:bookmarkStart w:id="55" w:name="_Toc183582209"/>
      <w:bookmarkStart w:id="56" w:name="_Toc183682346"/>
      <w:r>
        <w:rPr>
          <w:rFonts w:hint="eastAsia" w:ascii="宋体" w:hAnsi="宋体"/>
          <w:color w:val="auto"/>
          <w:sz w:val="28"/>
          <w:szCs w:val="28"/>
        </w:rPr>
        <w:t>三、招标文件</w:t>
      </w:r>
      <w:bookmarkEnd w:id="49"/>
      <w:bookmarkEnd w:id="50"/>
      <w:bookmarkEnd w:id="51"/>
      <w:bookmarkEnd w:id="52"/>
      <w:bookmarkEnd w:id="53"/>
      <w:bookmarkEnd w:id="54"/>
      <w:bookmarkEnd w:id="55"/>
      <w:bookmarkEnd w:id="56"/>
    </w:p>
    <w:p>
      <w:pPr>
        <w:pStyle w:val="5"/>
        <w:spacing w:line="400" w:lineRule="exact"/>
        <w:ind w:firstLine="482" w:firstLineChars="200"/>
        <w:rPr>
          <w:rFonts w:ascii="宋体" w:hAnsi="宋体"/>
          <w:color w:val="auto"/>
          <w:sz w:val="24"/>
        </w:rPr>
      </w:pPr>
      <w:bookmarkStart w:id="57" w:name="_Toc183582210"/>
      <w:bookmarkStart w:id="58" w:name="_Toc183682347"/>
      <w:bookmarkStart w:id="59" w:name="_Toc217446039"/>
      <w:r>
        <w:rPr>
          <w:rFonts w:hint="eastAsia" w:ascii="宋体" w:hAnsi="宋体"/>
          <w:color w:val="auto"/>
          <w:sz w:val="24"/>
        </w:rPr>
        <w:t>6．招标文件的构成</w:t>
      </w:r>
      <w:bookmarkEnd w:id="57"/>
      <w:bookmarkEnd w:id="58"/>
      <w:bookmarkEnd w:id="59"/>
    </w:p>
    <w:p>
      <w:pPr>
        <w:tabs>
          <w:tab w:val="left" w:pos="7665"/>
        </w:tabs>
        <w:spacing w:line="400" w:lineRule="exact"/>
        <w:rPr>
          <w:rFonts w:ascii="宋体" w:hAnsi="宋体"/>
          <w:color w:val="auto"/>
          <w:sz w:val="24"/>
        </w:rPr>
      </w:pPr>
      <w:r>
        <w:rPr>
          <w:rFonts w:hint="eastAsia" w:ascii="宋体" w:hAnsi="宋体"/>
          <w:color w:val="auto"/>
          <w:sz w:val="24"/>
        </w:rPr>
        <w:t xml:space="preserve">    招标文件是供应商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（一）投标邀请；</w:t>
      </w:r>
    </w:p>
    <w:p>
      <w:pPr>
        <w:tabs>
          <w:tab w:val="left" w:pos="7665"/>
        </w:tabs>
        <w:spacing w:line="400" w:lineRule="exact"/>
        <w:rPr>
          <w:rFonts w:ascii="宋体" w:hAnsi="宋体"/>
          <w:color w:val="auto"/>
          <w:sz w:val="24"/>
        </w:rPr>
      </w:pPr>
      <w:r>
        <w:rPr>
          <w:rFonts w:hint="eastAsia" w:ascii="宋体" w:hAnsi="宋体"/>
          <w:color w:val="auto"/>
          <w:sz w:val="24"/>
        </w:rPr>
        <w:t>　　（二）投标人须知；</w:t>
      </w:r>
    </w:p>
    <w:p>
      <w:pPr>
        <w:tabs>
          <w:tab w:val="left" w:pos="7665"/>
        </w:tabs>
        <w:spacing w:line="400" w:lineRule="exact"/>
        <w:rPr>
          <w:rFonts w:ascii="宋体" w:hAnsi="宋体"/>
          <w:color w:val="auto"/>
          <w:sz w:val="24"/>
        </w:rPr>
      </w:pPr>
      <w:r>
        <w:rPr>
          <w:rFonts w:hint="eastAsia" w:ascii="宋体" w:hAnsi="宋体"/>
          <w:color w:val="auto"/>
          <w:sz w:val="24"/>
        </w:rPr>
        <w:t>　　（三）投标文件格式；</w:t>
      </w:r>
    </w:p>
    <w:p>
      <w:pPr>
        <w:tabs>
          <w:tab w:val="left" w:pos="7665"/>
        </w:tabs>
        <w:spacing w:line="400" w:lineRule="exact"/>
        <w:rPr>
          <w:rFonts w:ascii="宋体" w:hAnsi="宋体"/>
          <w:color w:val="auto"/>
          <w:sz w:val="24"/>
        </w:rPr>
      </w:pPr>
      <w:r>
        <w:rPr>
          <w:rFonts w:hint="eastAsia" w:ascii="宋体" w:hAnsi="宋体"/>
          <w:color w:val="auto"/>
          <w:sz w:val="24"/>
        </w:rPr>
        <w:t>　　（四）招标项目技术、服务、政府采购合同内容条款及其他商务要求；</w:t>
      </w:r>
    </w:p>
    <w:p>
      <w:pPr>
        <w:tabs>
          <w:tab w:val="left" w:pos="7665"/>
        </w:tabs>
        <w:spacing w:line="400" w:lineRule="exact"/>
        <w:rPr>
          <w:rFonts w:ascii="宋体" w:hAnsi="宋体"/>
          <w:color w:val="auto"/>
          <w:sz w:val="24"/>
        </w:rPr>
      </w:pPr>
      <w:r>
        <w:rPr>
          <w:rFonts w:hint="eastAsia" w:ascii="宋体" w:hAnsi="宋体"/>
          <w:color w:val="auto"/>
          <w:sz w:val="24"/>
        </w:rPr>
        <w:t>　　（五）评标办法；</w:t>
      </w:r>
    </w:p>
    <w:p>
      <w:pPr>
        <w:tabs>
          <w:tab w:val="left" w:pos="7665"/>
        </w:tabs>
        <w:spacing w:line="400" w:lineRule="exact"/>
        <w:rPr>
          <w:rFonts w:ascii="宋体" w:hAnsi="宋体"/>
          <w:color w:val="auto"/>
          <w:sz w:val="24"/>
        </w:rPr>
      </w:pPr>
      <w:r>
        <w:rPr>
          <w:rFonts w:hint="eastAsia" w:ascii="宋体" w:hAnsi="宋体"/>
          <w:color w:val="auto"/>
          <w:sz w:val="24"/>
        </w:rPr>
        <w:t>　　（六）政府采购合同。</w:t>
      </w:r>
    </w:p>
    <w:p>
      <w:pPr>
        <w:pStyle w:val="5"/>
        <w:spacing w:line="400" w:lineRule="exact"/>
        <w:ind w:firstLine="482" w:firstLineChars="200"/>
        <w:rPr>
          <w:rFonts w:ascii="宋体" w:hAnsi="宋体"/>
          <w:color w:val="auto"/>
          <w:sz w:val="24"/>
        </w:rPr>
      </w:pPr>
      <w:bookmarkStart w:id="60" w:name="_Toc183682348"/>
      <w:bookmarkStart w:id="61" w:name="_Toc183582211"/>
      <w:bookmarkStart w:id="62" w:name="_Toc217446040"/>
      <w:r>
        <w:rPr>
          <w:rFonts w:hint="eastAsia" w:ascii="宋体" w:hAnsi="宋体"/>
          <w:color w:val="auto"/>
          <w:sz w:val="24"/>
        </w:rPr>
        <w:t>7. 招标文件的澄清</w:t>
      </w:r>
      <w:bookmarkEnd w:id="60"/>
      <w:bookmarkEnd w:id="61"/>
      <w:r>
        <w:rPr>
          <w:rFonts w:hint="eastAsia" w:ascii="宋体" w:hAnsi="宋体"/>
          <w:color w:val="auto"/>
          <w:sz w:val="24"/>
        </w:rPr>
        <w:t>和修改</w:t>
      </w:r>
      <w:bookmarkEnd w:id="62"/>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7.1采购人或者采购代理机构可以依法对招标文件进行澄清或者修改，但不得改变采购标的和资格条件。</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7.2 采购人或者采购代理机构对已发出的招标文件进行澄清或者修改，应当以书面形式将澄清或者修改的内容通知所有购买了招标文件的投标人，同时在四川政府采购网上发布更正公告。该澄清或者修改的内容为招标文件的组成部分，澄清或者修改的内容可能影响投标文件、资格预审申请文件编制的，采购人或者采购代理机构发布公告并书面通知投标人的时间，应当在投标截止时间至少15日前、提交资格预审申请文件截止时间至少3日前；不足上述时间的，应当顺延提交投标文件、资格预审申请文件的截止时间。</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7.3 供应商认为需要对招标文件进行澄清或者修改的，可以以书面形式向采购人或者采购代理机构提出申请，但采购人或者采购代理机构可以决定是否采纳供应商的申请事项。</w:t>
      </w:r>
    </w:p>
    <w:p>
      <w:pPr>
        <w:pStyle w:val="5"/>
        <w:spacing w:line="400" w:lineRule="exact"/>
        <w:ind w:firstLine="482" w:firstLineChars="200"/>
        <w:rPr>
          <w:rFonts w:ascii="宋体" w:hAnsi="宋体"/>
          <w:color w:val="auto"/>
          <w:sz w:val="24"/>
        </w:rPr>
      </w:pPr>
      <w:bookmarkStart w:id="63" w:name="_Toc217446041"/>
      <w:bookmarkStart w:id="64" w:name="_Toc208848971"/>
      <w:r>
        <w:rPr>
          <w:rFonts w:hint="eastAsia" w:ascii="宋体" w:hAnsi="宋体"/>
          <w:color w:val="auto"/>
          <w:sz w:val="24"/>
        </w:rPr>
        <w:t>8. 答疑会和现场考察</w:t>
      </w:r>
      <w:bookmarkEnd w:id="63"/>
      <w:bookmarkEnd w:id="64"/>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8.</w:t>
      </w:r>
      <w:r>
        <w:rPr>
          <w:rFonts w:ascii="宋体" w:hAnsi="宋体"/>
          <w:color w:val="auto"/>
          <w:sz w:val="24"/>
        </w:rPr>
        <w:t>1</w:t>
      </w:r>
      <w:r>
        <w:rPr>
          <w:rFonts w:hint="eastAsia" w:ascii="宋体" w:hAnsi="宋体"/>
          <w:color w:val="auto"/>
          <w:sz w:val="24"/>
        </w:rPr>
        <w:t>潜在投标人考察现场所发生的一切费用由投标人自己承担。</w:t>
      </w:r>
    </w:p>
    <w:p>
      <w:pPr>
        <w:pStyle w:val="3"/>
        <w:spacing w:line="400" w:lineRule="exact"/>
        <w:ind w:firstLine="562" w:firstLineChars="200"/>
        <w:jc w:val="center"/>
        <w:rPr>
          <w:rFonts w:ascii="宋体" w:hAnsi="宋体"/>
          <w:color w:val="auto"/>
          <w:sz w:val="28"/>
          <w:szCs w:val="28"/>
        </w:rPr>
      </w:pPr>
      <w:bookmarkStart w:id="65" w:name="_Toc89075876"/>
      <w:bookmarkStart w:id="66" w:name="_Toc77400780"/>
      <w:bookmarkStart w:id="67" w:name="_Toc217446042"/>
      <w:bookmarkStart w:id="68" w:name="_Toc183582214"/>
      <w:bookmarkStart w:id="69" w:name="_Toc65154535"/>
      <w:bookmarkStart w:id="70" w:name="_Toc183682351"/>
      <w:bookmarkStart w:id="71" w:name="_Toc65154638"/>
      <w:bookmarkStart w:id="72" w:name="_Toc527460974"/>
      <w:r>
        <w:rPr>
          <w:rFonts w:hint="eastAsia" w:ascii="宋体" w:hAnsi="宋体"/>
          <w:color w:val="auto"/>
          <w:sz w:val="28"/>
          <w:szCs w:val="28"/>
        </w:rPr>
        <w:t>四、投标文件</w:t>
      </w:r>
      <w:bookmarkEnd w:id="65"/>
      <w:bookmarkEnd w:id="66"/>
      <w:bookmarkEnd w:id="67"/>
      <w:bookmarkEnd w:id="68"/>
      <w:bookmarkEnd w:id="69"/>
      <w:bookmarkEnd w:id="70"/>
      <w:bookmarkEnd w:id="71"/>
      <w:bookmarkEnd w:id="72"/>
    </w:p>
    <w:p>
      <w:pPr>
        <w:pStyle w:val="5"/>
        <w:spacing w:line="400" w:lineRule="exact"/>
        <w:ind w:firstLine="482" w:firstLineChars="200"/>
        <w:rPr>
          <w:rFonts w:ascii="宋体" w:hAnsi="宋体"/>
          <w:color w:val="auto"/>
          <w:sz w:val="24"/>
        </w:rPr>
      </w:pPr>
      <w:bookmarkStart w:id="73" w:name="_Toc183582215"/>
      <w:bookmarkStart w:id="74" w:name="_Toc183682352"/>
      <w:bookmarkStart w:id="75" w:name="_Toc217446043"/>
      <w:r>
        <w:rPr>
          <w:rFonts w:hint="eastAsia" w:ascii="宋体" w:hAnsi="宋体"/>
          <w:color w:val="auto"/>
          <w:sz w:val="24"/>
        </w:rPr>
        <w:t>9．投标文件的语言</w:t>
      </w:r>
      <w:bookmarkEnd w:id="73"/>
      <w:bookmarkEnd w:id="74"/>
      <w:bookmarkEnd w:id="75"/>
      <w:r>
        <w:rPr>
          <w:rFonts w:hint="eastAsia" w:ascii="宋体" w:hAnsi="宋体"/>
          <w:color w:val="auto"/>
          <w:sz w:val="24"/>
        </w:rPr>
        <w:t>（实质性要求）</w:t>
      </w:r>
    </w:p>
    <w:p>
      <w:pPr>
        <w:tabs>
          <w:tab w:val="left" w:pos="1134"/>
        </w:tabs>
        <w:spacing w:line="360" w:lineRule="auto"/>
        <w:ind w:firstLine="480" w:firstLineChars="200"/>
        <w:jc w:val="left"/>
        <w:rPr>
          <w:rFonts w:ascii="宋体" w:hAnsi="宋体"/>
          <w:color w:val="auto"/>
          <w:sz w:val="24"/>
        </w:rPr>
      </w:pPr>
      <w:bookmarkStart w:id="76" w:name="_Toc217446044"/>
      <w:bookmarkStart w:id="77" w:name="_Toc183682353"/>
      <w:bookmarkStart w:id="78" w:name="_Toc183582216"/>
      <w:r>
        <w:rPr>
          <w:rFonts w:hint="eastAsia" w:ascii="宋体" w:hAnsi="宋体"/>
          <w:color w:val="auto"/>
          <w:sz w:val="24"/>
        </w:rPr>
        <w:t>9.1 投标人提交的投标文件以及投标人与采购人或者采购代理机构就有关投标的所有来往书面文件均须使用中文。投标文件中如附有外文资料，必须逐一对应翻译成中文后附在相关外文资料后面，否则，所提供的外文资料将可能被视为无效材料。（说明：投标人的法定代表人为外籍人士的，法定代表人的签字和护照除外。）</w:t>
      </w:r>
    </w:p>
    <w:p>
      <w:pPr>
        <w:tabs>
          <w:tab w:val="left" w:pos="1134"/>
        </w:tabs>
        <w:spacing w:line="360" w:lineRule="auto"/>
        <w:ind w:firstLine="480" w:firstLineChars="200"/>
        <w:jc w:val="left"/>
        <w:rPr>
          <w:rFonts w:ascii="宋体" w:hAnsi="宋体"/>
          <w:color w:val="auto"/>
          <w:sz w:val="24"/>
        </w:rPr>
      </w:pPr>
      <w:r>
        <w:rPr>
          <w:rFonts w:hint="eastAsia" w:ascii="宋体" w:hAnsi="宋体"/>
          <w:color w:val="auto"/>
          <w:sz w:val="24"/>
        </w:rPr>
        <w:t>9.2 翻译的中文资料与外文资料如果出现差异和矛盾时，以中文为准。涉嫌虚假响应的按照《中华人民共和国政府采购法》第七十七条的规定处理。</w:t>
      </w:r>
    </w:p>
    <w:p>
      <w:pPr>
        <w:pStyle w:val="5"/>
        <w:spacing w:line="400" w:lineRule="exact"/>
        <w:ind w:firstLine="482" w:firstLineChars="200"/>
        <w:rPr>
          <w:rFonts w:ascii="宋体" w:hAnsi="宋体"/>
          <w:color w:val="auto"/>
          <w:sz w:val="24"/>
        </w:rPr>
      </w:pPr>
      <w:r>
        <w:rPr>
          <w:rFonts w:hint="eastAsia" w:ascii="宋体" w:hAnsi="宋体"/>
          <w:color w:val="auto"/>
          <w:sz w:val="24"/>
        </w:rPr>
        <w:t>10．计量单位</w:t>
      </w:r>
      <w:bookmarkEnd w:id="76"/>
      <w:bookmarkEnd w:id="77"/>
      <w:bookmarkEnd w:id="78"/>
      <w:r>
        <w:rPr>
          <w:rFonts w:hint="eastAsia" w:ascii="宋体" w:hAnsi="宋体"/>
          <w:color w:val="auto"/>
          <w:sz w:val="24"/>
        </w:rPr>
        <w:t>（实质性要求）</w:t>
      </w:r>
    </w:p>
    <w:p>
      <w:pPr>
        <w:spacing w:line="400" w:lineRule="exact"/>
        <w:ind w:firstLine="470" w:firstLineChars="196"/>
        <w:rPr>
          <w:rFonts w:ascii="宋体" w:hAnsi="宋体"/>
          <w:color w:val="auto"/>
          <w:sz w:val="24"/>
        </w:rPr>
      </w:pPr>
      <w:r>
        <w:rPr>
          <w:rFonts w:hint="eastAsia" w:ascii="宋体" w:hAnsi="宋体"/>
          <w:color w:val="auto"/>
          <w:sz w:val="24"/>
        </w:rPr>
        <w:t>除招标文件中另有规定外，本次采购项目所有合同项下的投标均采用国家法定的计量单位。</w:t>
      </w:r>
    </w:p>
    <w:p>
      <w:pPr>
        <w:pStyle w:val="5"/>
        <w:spacing w:line="400" w:lineRule="exact"/>
        <w:ind w:firstLine="482" w:firstLineChars="200"/>
        <w:rPr>
          <w:rFonts w:ascii="宋体" w:hAnsi="宋体"/>
          <w:color w:val="auto"/>
          <w:sz w:val="24"/>
        </w:rPr>
      </w:pPr>
      <w:bookmarkStart w:id="79" w:name="_Toc217446045"/>
      <w:r>
        <w:rPr>
          <w:rFonts w:hint="eastAsia" w:ascii="宋体" w:hAnsi="宋体"/>
          <w:color w:val="auto"/>
          <w:sz w:val="24"/>
        </w:rPr>
        <w:t>11. 投标货币</w:t>
      </w:r>
      <w:bookmarkEnd w:id="79"/>
      <w:r>
        <w:rPr>
          <w:rFonts w:hint="eastAsia" w:ascii="宋体" w:hAnsi="宋体"/>
          <w:color w:val="auto"/>
          <w:sz w:val="24"/>
        </w:rPr>
        <w:t>（实质性要求）</w:t>
      </w:r>
    </w:p>
    <w:p>
      <w:pPr>
        <w:tabs>
          <w:tab w:val="left" w:pos="7665"/>
        </w:tabs>
        <w:spacing w:line="400" w:lineRule="exact"/>
        <w:ind w:left="13" w:hanging="118"/>
        <w:rPr>
          <w:rFonts w:ascii="宋体" w:hAnsi="宋体"/>
          <w:color w:val="auto"/>
          <w:sz w:val="24"/>
        </w:rPr>
      </w:pPr>
      <w:r>
        <w:rPr>
          <w:rFonts w:hint="eastAsia" w:ascii="宋体" w:hAnsi="宋体"/>
          <w:color w:val="auto"/>
          <w:sz w:val="24"/>
        </w:rPr>
        <w:t xml:space="preserve">     本次招标项目的投标均以人民币报价。</w:t>
      </w:r>
    </w:p>
    <w:p>
      <w:pPr>
        <w:pStyle w:val="5"/>
        <w:spacing w:line="400" w:lineRule="exact"/>
        <w:ind w:firstLine="482" w:firstLineChars="200"/>
        <w:rPr>
          <w:rFonts w:ascii="宋体" w:hAnsi="宋体"/>
          <w:color w:val="auto"/>
          <w:sz w:val="24"/>
        </w:rPr>
      </w:pPr>
      <w:bookmarkStart w:id="80" w:name="_Toc217446046"/>
      <w:r>
        <w:rPr>
          <w:rFonts w:hint="eastAsia" w:ascii="宋体" w:hAnsi="宋体"/>
          <w:color w:val="auto"/>
          <w:sz w:val="24"/>
        </w:rPr>
        <w:t>12. 联合体投标</w:t>
      </w:r>
      <w:bookmarkEnd w:id="80"/>
      <w:r>
        <w:rPr>
          <w:rFonts w:hint="eastAsia" w:ascii="宋体" w:hAnsi="宋体"/>
          <w:color w:val="auto"/>
          <w:sz w:val="24"/>
        </w:rPr>
        <w:t>（实质性要求）</w:t>
      </w:r>
    </w:p>
    <w:p>
      <w:pPr>
        <w:spacing w:line="400" w:lineRule="exact"/>
        <w:ind w:firstLine="468" w:firstLineChars="195"/>
        <w:rPr>
          <w:rFonts w:ascii="宋体" w:hAnsi="宋体"/>
          <w:color w:val="auto"/>
          <w:sz w:val="24"/>
        </w:rPr>
      </w:pPr>
      <w:bookmarkStart w:id="81" w:name="_Toc217446047"/>
      <w:r>
        <w:rPr>
          <w:rFonts w:hint="eastAsia" w:ascii="宋体" w:hAnsi="宋体"/>
          <w:color w:val="auto"/>
          <w:sz w:val="24"/>
        </w:rPr>
        <w:t>12.1 本项目不接受联合体投标。</w:t>
      </w:r>
    </w:p>
    <w:p>
      <w:pPr>
        <w:pStyle w:val="5"/>
        <w:spacing w:line="400" w:lineRule="exact"/>
        <w:ind w:firstLine="482" w:firstLineChars="200"/>
        <w:rPr>
          <w:rFonts w:ascii="宋体" w:hAnsi="宋体"/>
          <w:color w:val="auto"/>
          <w:sz w:val="24"/>
        </w:rPr>
      </w:pPr>
      <w:bookmarkStart w:id="82" w:name="_Toc308164797"/>
      <w:r>
        <w:rPr>
          <w:rFonts w:hint="eastAsia" w:ascii="宋体" w:hAnsi="宋体"/>
          <w:color w:val="auto"/>
          <w:sz w:val="24"/>
        </w:rPr>
        <w:t>13. 知识产权</w:t>
      </w:r>
      <w:bookmarkEnd w:id="81"/>
      <w:bookmarkEnd w:id="82"/>
      <w:r>
        <w:rPr>
          <w:rFonts w:hint="eastAsia" w:ascii="宋体" w:hAnsi="宋体"/>
          <w:color w:val="auto"/>
          <w:sz w:val="24"/>
        </w:rPr>
        <w:t>（实质性要求）</w:t>
      </w:r>
    </w:p>
    <w:p>
      <w:pPr>
        <w:pStyle w:val="17"/>
        <w:spacing w:line="400" w:lineRule="exact"/>
        <w:ind w:firstLine="480" w:firstLineChars="200"/>
        <w:rPr>
          <w:rFonts w:ascii="宋体" w:hAnsi="宋体"/>
          <w:color w:val="auto"/>
          <w:sz w:val="24"/>
          <w:szCs w:val="24"/>
        </w:rPr>
      </w:pPr>
      <w:r>
        <w:rPr>
          <w:rFonts w:hint="eastAsia" w:ascii="宋体" w:hAnsi="宋体"/>
          <w:color w:val="auto"/>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pStyle w:val="17"/>
        <w:spacing w:line="400" w:lineRule="exact"/>
        <w:ind w:firstLine="480" w:firstLineChars="200"/>
        <w:rPr>
          <w:rFonts w:ascii="宋体" w:hAnsi="宋体"/>
          <w:color w:val="auto"/>
          <w:sz w:val="24"/>
          <w:szCs w:val="24"/>
        </w:rPr>
      </w:pPr>
      <w:r>
        <w:rPr>
          <w:rFonts w:hint="eastAsia" w:ascii="宋体" w:hAnsi="宋体"/>
          <w:color w:val="auto"/>
          <w:sz w:val="24"/>
          <w:szCs w:val="24"/>
        </w:rPr>
        <w:t>13.2 采购人享有本项目实施过程中产生的知识成果及知识产权。</w:t>
      </w:r>
    </w:p>
    <w:p>
      <w:pPr>
        <w:spacing w:line="400" w:lineRule="exact"/>
        <w:ind w:firstLine="480" w:firstLineChars="200"/>
        <w:rPr>
          <w:rFonts w:ascii="宋体" w:hAnsi="宋体"/>
          <w:color w:val="auto"/>
          <w:sz w:val="24"/>
        </w:rPr>
      </w:pPr>
      <w:r>
        <w:rPr>
          <w:rFonts w:hint="eastAsia" w:ascii="宋体" w:hAnsi="宋体"/>
          <w:color w:val="auto"/>
          <w:sz w:val="24"/>
        </w:rPr>
        <w:t>13.3 投标人如欲在项目实施过程中采用自有知识成果，需在投标文件中声明，并提供相关知识产权证明文件。使用该知识成果后，投标人需提供开发接口和开发手册等技术文档，并承诺提供无限期技术支持，采购人享有永久使用权（含采购人委托第三方在该项目后续开发的使用权）。</w:t>
      </w:r>
    </w:p>
    <w:p>
      <w:pPr>
        <w:spacing w:line="400" w:lineRule="exact"/>
        <w:ind w:firstLine="460" w:firstLineChars="192"/>
        <w:rPr>
          <w:rFonts w:ascii="宋体" w:hAnsi="宋体"/>
          <w:color w:val="auto"/>
          <w:sz w:val="24"/>
        </w:rPr>
      </w:pPr>
      <w:r>
        <w:rPr>
          <w:rFonts w:hint="eastAsia" w:ascii="宋体" w:hAnsi="宋体"/>
          <w:color w:val="auto"/>
          <w:sz w:val="24"/>
        </w:rPr>
        <w:t>13.4 如采用投标人所不拥有的知识产权，则在投标报价中必须包括合法获取该知识产权的相关费用。</w:t>
      </w:r>
    </w:p>
    <w:p>
      <w:pPr>
        <w:pStyle w:val="5"/>
        <w:spacing w:line="400" w:lineRule="exact"/>
        <w:ind w:firstLine="482" w:firstLineChars="200"/>
        <w:rPr>
          <w:rFonts w:ascii="宋体" w:hAnsi="宋体"/>
          <w:color w:val="auto"/>
          <w:sz w:val="24"/>
        </w:rPr>
      </w:pPr>
      <w:bookmarkStart w:id="83" w:name="_Toc183682354"/>
      <w:bookmarkStart w:id="84" w:name="_Toc217446048"/>
      <w:bookmarkStart w:id="85" w:name="_Toc183582217"/>
      <w:bookmarkStart w:id="86" w:name="_Toc308164798"/>
      <w:r>
        <w:rPr>
          <w:rFonts w:hint="eastAsia" w:ascii="宋体" w:hAnsi="宋体"/>
          <w:color w:val="auto"/>
          <w:sz w:val="24"/>
        </w:rPr>
        <w:t>14．投标文件的组成</w:t>
      </w:r>
      <w:bookmarkEnd w:id="83"/>
      <w:bookmarkEnd w:id="84"/>
      <w:bookmarkEnd w:id="85"/>
      <w:bookmarkEnd w:id="86"/>
    </w:p>
    <w:p>
      <w:pPr>
        <w:spacing w:line="400" w:lineRule="exact"/>
        <w:ind w:firstLine="470" w:firstLineChars="196"/>
        <w:rPr>
          <w:rFonts w:ascii="宋体" w:hAnsi="宋体"/>
          <w:color w:val="auto"/>
          <w:sz w:val="24"/>
        </w:rPr>
      </w:pPr>
      <w:r>
        <w:rPr>
          <w:rFonts w:hint="eastAsia" w:ascii="宋体" w:hAnsi="宋体"/>
          <w:color w:val="auto"/>
          <w:sz w:val="24"/>
        </w:rPr>
        <w:t>投标人应按照招标文件的规定和要求编制投标文件。投标人拟在中标后将中标项目的非主体、非关键性工作交由他人分包完成的，应当在投标文件中载明。投标人编写的投标文件应包括下列部分：</w:t>
      </w:r>
    </w:p>
    <w:p>
      <w:pPr>
        <w:spacing w:line="400" w:lineRule="exact"/>
        <w:ind w:firstLine="470" w:firstLineChars="196"/>
        <w:rPr>
          <w:rFonts w:ascii="宋体" w:hAnsi="宋体"/>
          <w:color w:val="auto"/>
          <w:sz w:val="24"/>
        </w:rPr>
      </w:pPr>
      <w:r>
        <w:rPr>
          <w:rFonts w:hint="eastAsia" w:ascii="宋体" w:hAnsi="宋体"/>
          <w:color w:val="auto"/>
          <w:sz w:val="24"/>
        </w:rPr>
        <w:t>14.1 报价部分。包括投标人按照招标文件要求填写的“开标一览表”及“分项报价明细表”（实质性要求）。本次招标报价要求：</w:t>
      </w:r>
    </w:p>
    <w:p>
      <w:pPr>
        <w:spacing w:line="400" w:lineRule="exact"/>
        <w:ind w:firstLine="480" w:firstLineChars="200"/>
        <w:rPr>
          <w:rFonts w:ascii="宋体" w:hAnsi="宋体"/>
          <w:color w:val="auto"/>
          <w:sz w:val="24"/>
        </w:rPr>
      </w:pPr>
      <w:r>
        <w:rPr>
          <w:rFonts w:hint="eastAsia" w:ascii="宋体" w:hAnsi="宋体"/>
          <w:color w:val="auto"/>
          <w:sz w:val="24"/>
        </w:rPr>
        <w:t>（1）投标人的报价是投标人响应招标项目要求的全部工作内容的价格体现，包括投标人完成本项目所需的一切费用（实质性要求）。</w:t>
      </w:r>
    </w:p>
    <w:p>
      <w:pPr>
        <w:spacing w:line="400" w:lineRule="exact"/>
        <w:ind w:left="2" w:firstLine="352" w:firstLineChars="147"/>
        <w:rPr>
          <w:rFonts w:ascii="宋体" w:hAnsi="宋体"/>
          <w:color w:val="auto"/>
          <w:sz w:val="24"/>
        </w:rPr>
      </w:pPr>
      <w:r>
        <w:rPr>
          <w:rFonts w:hint="eastAsia" w:ascii="宋体" w:hAnsi="宋体"/>
          <w:color w:val="auto"/>
          <w:sz w:val="24"/>
        </w:rPr>
        <w:t xml:space="preserve"> （2）投标人每种品目只允许有一个报价，并且在合同履行过程中是固定不变的，任何有选择或可调整的报价将不予接受，并按无效投标处理（实质性要求）。</w:t>
      </w:r>
    </w:p>
    <w:p>
      <w:pPr>
        <w:spacing w:line="400" w:lineRule="exact"/>
        <w:ind w:firstLine="470" w:firstLineChars="196"/>
        <w:rPr>
          <w:rFonts w:ascii="宋体" w:hAnsi="宋体"/>
          <w:color w:val="auto"/>
          <w:sz w:val="24"/>
        </w:rPr>
      </w:pPr>
      <w:r>
        <w:rPr>
          <w:rFonts w:hint="eastAsia" w:ascii="宋体" w:hAnsi="宋体"/>
          <w:color w:val="auto"/>
          <w:sz w:val="24"/>
        </w:rPr>
        <w:t>14.2 技术部分。投标人按照招标文件要求做出的技术应答，主要是针对招标项目的技术要求做出的实质性响应和满足：</w:t>
      </w:r>
    </w:p>
    <w:p>
      <w:pPr>
        <w:spacing w:line="400" w:lineRule="exact"/>
        <w:ind w:left="508" w:leftChars="226" w:hanging="33" w:hangingChars="14"/>
        <w:rPr>
          <w:rFonts w:ascii="宋体" w:hAnsi="宋体"/>
          <w:color w:val="auto"/>
          <w:sz w:val="24"/>
        </w:rPr>
      </w:pPr>
      <w:r>
        <w:rPr>
          <w:rFonts w:hint="eastAsia" w:ascii="宋体" w:hAnsi="宋体"/>
          <w:color w:val="auto"/>
          <w:sz w:val="24"/>
        </w:rPr>
        <w:t>（1）投标产品的品牌、型号、配置（实质性要求）；</w:t>
      </w:r>
    </w:p>
    <w:p>
      <w:pPr>
        <w:spacing w:line="400" w:lineRule="exact"/>
        <w:ind w:left="508" w:leftChars="169" w:hanging="153" w:hangingChars="64"/>
        <w:rPr>
          <w:rFonts w:ascii="宋体" w:hAnsi="宋体"/>
          <w:color w:val="auto"/>
          <w:sz w:val="24"/>
        </w:rPr>
      </w:pPr>
      <w:r>
        <w:rPr>
          <w:rFonts w:hint="eastAsia" w:ascii="宋体" w:hAnsi="宋体"/>
          <w:color w:val="auto"/>
          <w:sz w:val="24"/>
        </w:rPr>
        <w:t xml:space="preserve"> （2）投标产品本身的详细的技术指标和参数（应当尽可能提供检测报告、产品使用说明书、用户手册等材料予以佐证）；</w:t>
      </w:r>
    </w:p>
    <w:p>
      <w:pPr>
        <w:spacing w:line="400" w:lineRule="exact"/>
        <w:ind w:firstLine="480" w:firstLineChars="200"/>
        <w:rPr>
          <w:rFonts w:ascii="宋体" w:hAnsi="宋体"/>
          <w:color w:val="auto"/>
          <w:sz w:val="24"/>
        </w:rPr>
      </w:pPr>
      <w:r>
        <w:rPr>
          <w:rFonts w:hint="eastAsia" w:ascii="宋体" w:hAnsi="宋体"/>
          <w:color w:val="auto"/>
          <w:sz w:val="24"/>
        </w:rPr>
        <w:t>（3）技术方案、项目实施方案；</w:t>
      </w:r>
    </w:p>
    <w:p>
      <w:pPr>
        <w:spacing w:line="400" w:lineRule="exact"/>
        <w:ind w:firstLine="480" w:firstLineChars="200"/>
        <w:rPr>
          <w:rFonts w:ascii="宋体" w:hAnsi="宋体"/>
          <w:color w:val="auto"/>
          <w:sz w:val="24"/>
        </w:rPr>
      </w:pPr>
      <w:r>
        <w:rPr>
          <w:rFonts w:hint="eastAsia" w:ascii="宋体" w:hAnsi="宋体"/>
          <w:color w:val="auto"/>
          <w:sz w:val="24"/>
        </w:rPr>
        <w:t>（4) 投标产品技术参数表（实质性要求）；</w:t>
      </w:r>
    </w:p>
    <w:p>
      <w:pPr>
        <w:spacing w:line="400" w:lineRule="exact"/>
        <w:ind w:firstLine="480" w:firstLineChars="200"/>
        <w:rPr>
          <w:rFonts w:ascii="宋体" w:hAnsi="宋体"/>
          <w:color w:val="auto"/>
          <w:sz w:val="24"/>
        </w:rPr>
      </w:pPr>
      <w:r>
        <w:rPr>
          <w:rFonts w:hint="eastAsia" w:ascii="宋体" w:hAnsi="宋体"/>
          <w:color w:val="auto"/>
          <w:sz w:val="24"/>
        </w:rPr>
        <w:t>（5）产品彩页资料；</w:t>
      </w:r>
    </w:p>
    <w:p>
      <w:pPr>
        <w:spacing w:line="400" w:lineRule="exact"/>
        <w:ind w:firstLine="480" w:firstLineChars="200"/>
        <w:rPr>
          <w:rFonts w:ascii="宋体" w:hAnsi="宋体"/>
          <w:color w:val="auto"/>
          <w:sz w:val="24"/>
        </w:rPr>
      </w:pPr>
      <w:r>
        <w:rPr>
          <w:rFonts w:hint="eastAsia" w:ascii="宋体" w:hAnsi="宋体"/>
          <w:color w:val="auto"/>
          <w:sz w:val="24"/>
        </w:rPr>
        <w:t>（6）产品工作环境条件；</w:t>
      </w:r>
    </w:p>
    <w:p>
      <w:pPr>
        <w:spacing w:line="400" w:lineRule="exact"/>
        <w:ind w:firstLine="480" w:firstLineChars="200"/>
        <w:rPr>
          <w:rFonts w:ascii="宋体" w:hAnsi="宋体"/>
          <w:color w:val="auto"/>
          <w:sz w:val="24"/>
        </w:rPr>
      </w:pPr>
      <w:r>
        <w:rPr>
          <w:rFonts w:hint="eastAsia" w:ascii="宋体" w:hAnsi="宋体"/>
          <w:color w:val="auto"/>
          <w:sz w:val="24"/>
        </w:rPr>
        <w:t>（7）产品验收标准和验收方法；</w:t>
      </w:r>
    </w:p>
    <w:p>
      <w:pPr>
        <w:spacing w:line="400" w:lineRule="exact"/>
        <w:ind w:left="105" w:leftChars="50" w:firstLine="360" w:firstLineChars="150"/>
        <w:rPr>
          <w:rFonts w:ascii="宋体" w:hAnsi="宋体"/>
          <w:color w:val="auto"/>
          <w:sz w:val="24"/>
        </w:rPr>
      </w:pPr>
      <w:r>
        <w:rPr>
          <w:rFonts w:hint="eastAsia" w:ascii="宋体" w:hAnsi="宋体"/>
          <w:color w:val="auto"/>
          <w:sz w:val="24"/>
        </w:rPr>
        <w:t>（8）产品验收清单（注明各部件的品名、数量、价格、规格型号和原产地或生产厂家）。</w:t>
      </w:r>
    </w:p>
    <w:p>
      <w:pPr>
        <w:spacing w:line="400" w:lineRule="exact"/>
        <w:ind w:left="105" w:leftChars="50" w:firstLine="360" w:firstLineChars="150"/>
        <w:rPr>
          <w:rFonts w:ascii="宋体" w:hAnsi="宋体"/>
          <w:color w:val="auto"/>
          <w:sz w:val="24"/>
        </w:rPr>
      </w:pPr>
      <w:r>
        <w:rPr>
          <w:rFonts w:hint="eastAsia" w:ascii="宋体" w:hAnsi="宋体"/>
          <w:color w:val="auto"/>
          <w:sz w:val="24"/>
        </w:rPr>
        <w:t>（9）投标人认为需要提供的文件和资料。</w:t>
      </w:r>
    </w:p>
    <w:p>
      <w:pPr>
        <w:spacing w:line="400" w:lineRule="exact"/>
        <w:ind w:firstLine="470" w:firstLineChars="196"/>
        <w:rPr>
          <w:rFonts w:ascii="宋体" w:hAnsi="宋体"/>
          <w:color w:val="auto"/>
          <w:sz w:val="24"/>
        </w:rPr>
      </w:pPr>
      <w:r>
        <w:rPr>
          <w:rFonts w:hint="eastAsia" w:ascii="宋体" w:hAnsi="宋体"/>
          <w:color w:val="auto"/>
          <w:sz w:val="24"/>
        </w:rPr>
        <w:t>14.3 商务部分。投标人按照招标文件要求提供的有关文件及优惠承诺。包括以下内容：</w:t>
      </w:r>
    </w:p>
    <w:p>
      <w:pPr>
        <w:spacing w:line="400" w:lineRule="exact"/>
        <w:ind w:left="508" w:leftChars="169" w:hanging="153" w:hangingChars="64"/>
        <w:rPr>
          <w:rFonts w:ascii="宋体" w:hAnsi="宋体"/>
          <w:color w:val="auto"/>
          <w:sz w:val="24"/>
        </w:rPr>
      </w:pPr>
      <w:r>
        <w:rPr>
          <w:rFonts w:hint="eastAsia" w:ascii="宋体" w:hAnsi="宋体"/>
          <w:color w:val="auto"/>
          <w:sz w:val="24"/>
        </w:rPr>
        <w:t xml:space="preserve"> （1）投标函原件（实质性要求）；</w:t>
      </w:r>
    </w:p>
    <w:p>
      <w:pPr>
        <w:spacing w:line="400" w:lineRule="exact"/>
        <w:ind w:firstLine="480" w:firstLineChars="200"/>
        <w:rPr>
          <w:rFonts w:ascii="宋体" w:hAnsi="宋体"/>
          <w:color w:val="auto"/>
          <w:sz w:val="24"/>
        </w:rPr>
      </w:pPr>
      <w:r>
        <w:rPr>
          <w:rFonts w:hint="eastAsia" w:ascii="宋体" w:hAnsi="宋体"/>
          <w:color w:val="auto"/>
          <w:sz w:val="24"/>
        </w:rPr>
        <w:t>（2）法定代表人授权书原件</w:t>
      </w:r>
      <w:r>
        <w:rPr>
          <w:rFonts w:ascii="新宋体" w:hAnsi="新宋体" w:eastAsia="新宋体"/>
          <w:color w:val="auto"/>
          <w:sz w:val="24"/>
        </w:rPr>
        <w:t>（非</w:t>
      </w:r>
      <w:r>
        <w:rPr>
          <w:rFonts w:hint="eastAsia" w:ascii="新宋体" w:hAnsi="新宋体" w:eastAsia="新宋体"/>
          <w:color w:val="auto"/>
          <w:sz w:val="24"/>
        </w:rPr>
        <w:t>法定代表人</w:t>
      </w:r>
      <w:r>
        <w:rPr>
          <w:rFonts w:ascii="新宋体" w:hAnsi="新宋体" w:eastAsia="新宋体"/>
          <w:color w:val="auto"/>
          <w:sz w:val="24"/>
        </w:rPr>
        <w:t>直接投标适用）</w:t>
      </w:r>
      <w:r>
        <w:rPr>
          <w:rFonts w:hint="eastAsia" w:ascii="宋体" w:hAnsi="宋体"/>
          <w:color w:val="auto"/>
          <w:sz w:val="24"/>
        </w:rPr>
        <w:t>（实质性要求）</w:t>
      </w:r>
      <w:r>
        <w:rPr>
          <w:rFonts w:hint="eastAsia" w:ascii="新宋体" w:hAnsi="新宋体" w:eastAsia="新宋体"/>
          <w:color w:val="auto"/>
          <w:sz w:val="24"/>
        </w:rPr>
        <w:t>；</w:t>
      </w:r>
    </w:p>
    <w:p>
      <w:pPr>
        <w:spacing w:line="400" w:lineRule="exact"/>
        <w:ind w:left="508" w:leftChars="169" w:hanging="153" w:hangingChars="64"/>
        <w:rPr>
          <w:rFonts w:ascii="宋体" w:hAnsi="宋体"/>
          <w:color w:val="auto"/>
          <w:sz w:val="24"/>
        </w:rPr>
      </w:pPr>
      <w:r>
        <w:rPr>
          <w:rFonts w:hint="eastAsia" w:ascii="宋体" w:hAnsi="宋体"/>
          <w:color w:val="auto"/>
          <w:sz w:val="24"/>
        </w:rPr>
        <w:t xml:space="preserve"> （3）法定代表人及授权代表身份证复印件</w:t>
      </w:r>
      <w:r>
        <w:rPr>
          <w:rFonts w:hAnsi="宋体"/>
          <w:color w:val="auto"/>
          <w:sz w:val="24"/>
        </w:rPr>
        <w:t>，</w:t>
      </w:r>
      <w:r>
        <w:rPr>
          <w:rFonts w:hint="eastAsia" w:hAnsi="宋体"/>
          <w:color w:val="auto"/>
          <w:sz w:val="24"/>
        </w:rPr>
        <w:t>供应商为自然人的</w:t>
      </w:r>
      <w:r>
        <w:rPr>
          <w:rFonts w:hAnsi="宋体"/>
          <w:color w:val="auto"/>
          <w:sz w:val="24"/>
        </w:rPr>
        <w:t>可不提供</w:t>
      </w:r>
      <w:r>
        <w:rPr>
          <w:rFonts w:hint="eastAsia" w:ascii="宋体" w:hAnsi="宋体"/>
          <w:color w:val="auto"/>
          <w:sz w:val="24"/>
        </w:rPr>
        <w:t>（实质性要求）；</w:t>
      </w:r>
    </w:p>
    <w:p>
      <w:pPr>
        <w:spacing w:line="400" w:lineRule="exact"/>
        <w:ind w:firstLine="480" w:firstLineChars="200"/>
        <w:rPr>
          <w:rFonts w:ascii="宋体" w:hAnsi="宋体"/>
          <w:color w:val="auto"/>
          <w:sz w:val="24"/>
        </w:rPr>
      </w:pPr>
      <w:r>
        <w:rPr>
          <w:rFonts w:hint="eastAsia" w:ascii="宋体" w:hAnsi="宋体"/>
          <w:color w:val="auto"/>
          <w:sz w:val="24"/>
        </w:rPr>
        <w:t>（4）投标人和提供的服务内容符合招标文件规定的资格、资质性及其他具有类似效力要求的相关证明材料，按招标文件第三章的要求提供；</w:t>
      </w:r>
    </w:p>
    <w:p>
      <w:pPr>
        <w:spacing w:line="400" w:lineRule="exact"/>
        <w:ind w:firstLine="480" w:firstLineChars="200"/>
        <w:rPr>
          <w:rFonts w:ascii="宋体" w:hAnsi="宋体"/>
          <w:color w:val="auto"/>
          <w:sz w:val="24"/>
        </w:rPr>
      </w:pPr>
      <w:r>
        <w:rPr>
          <w:rFonts w:hint="eastAsia" w:ascii="宋体" w:hAnsi="宋体"/>
          <w:color w:val="auto"/>
          <w:sz w:val="24"/>
        </w:rPr>
        <w:t>（5）投标人承诺给予采购人的各种优惠条件（优惠条件事项不能包括采购项目本身所包括涉及的采购事项。投标人不能以“赠送、赠予”等任何名义提供服务以规避招标文件的约束。否则，投标人提供的投标文件将作为无效投标处理，即使中标也将取消中标资格。）；</w:t>
      </w:r>
    </w:p>
    <w:p>
      <w:pPr>
        <w:spacing w:line="400" w:lineRule="exact"/>
        <w:ind w:firstLine="480" w:firstLineChars="200"/>
        <w:rPr>
          <w:rFonts w:ascii="宋体" w:hAnsi="宋体"/>
          <w:color w:val="auto"/>
          <w:sz w:val="24"/>
        </w:rPr>
      </w:pPr>
      <w:r>
        <w:rPr>
          <w:rFonts w:hint="eastAsia" w:ascii="宋体" w:hAnsi="宋体"/>
          <w:color w:val="auto"/>
          <w:sz w:val="24"/>
        </w:rPr>
        <w:t>（6）证明投标人业绩和荣誉的有关材料复印件；</w:t>
      </w:r>
    </w:p>
    <w:p>
      <w:pPr>
        <w:spacing w:line="400" w:lineRule="exact"/>
        <w:ind w:firstLine="480" w:firstLineChars="200"/>
        <w:rPr>
          <w:rFonts w:ascii="宋体" w:hAnsi="宋体"/>
          <w:color w:val="auto"/>
          <w:sz w:val="24"/>
        </w:rPr>
      </w:pPr>
      <w:r>
        <w:rPr>
          <w:rFonts w:hint="eastAsia" w:ascii="宋体" w:hAnsi="宋体"/>
          <w:color w:val="auto"/>
          <w:sz w:val="24"/>
        </w:rPr>
        <w:t>（7）商务应答表（实质性要求）；</w:t>
      </w:r>
    </w:p>
    <w:p>
      <w:pPr>
        <w:spacing w:line="400" w:lineRule="exact"/>
        <w:ind w:firstLine="480" w:firstLineChars="200"/>
        <w:rPr>
          <w:rFonts w:ascii="宋体" w:hAnsi="宋体"/>
          <w:color w:val="auto"/>
          <w:sz w:val="24"/>
        </w:rPr>
      </w:pPr>
      <w:r>
        <w:rPr>
          <w:rFonts w:hint="eastAsia" w:ascii="宋体" w:hAnsi="宋体"/>
          <w:color w:val="auto"/>
          <w:sz w:val="24"/>
        </w:rPr>
        <w:t>（8）其他投标人认为需要提供的文件和资料。</w:t>
      </w:r>
    </w:p>
    <w:p>
      <w:pPr>
        <w:spacing w:line="400" w:lineRule="exact"/>
        <w:ind w:firstLine="470" w:firstLineChars="196"/>
        <w:rPr>
          <w:rFonts w:ascii="宋体" w:hAnsi="宋体"/>
          <w:color w:val="auto"/>
          <w:sz w:val="24"/>
        </w:rPr>
      </w:pPr>
      <w:r>
        <w:rPr>
          <w:rFonts w:hint="eastAsia" w:ascii="宋体" w:hAnsi="宋体"/>
          <w:color w:val="auto"/>
          <w:sz w:val="24"/>
        </w:rPr>
        <w:t xml:space="preserve">14.4售后服务。投标人按照招标文件中售后服务要求作出的积极响应和承诺。包括以下内容： </w:t>
      </w:r>
    </w:p>
    <w:p>
      <w:pPr>
        <w:spacing w:line="400" w:lineRule="exact"/>
        <w:ind w:firstLine="480" w:firstLineChars="200"/>
        <w:rPr>
          <w:rFonts w:ascii="宋体" w:hAnsi="宋体"/>
          <w:color w:val="auto"/>
          <w:sz w:val="24"/>
        </w:rPr>
      </w:pPr>
      <w:r>
        <w:rPr>
          <w:rFonts w:hint="eastAsia" w:ascii="宋体" w:hAnsi="宋体"/>
          <w:color w:val="auto"/>
          <w:sz w:val="24"/>
        </w:rPr>
        <w:t>（1）产品制造厂家或投标人设立的售后服务机构网点清单、服务电话和维修人员名单；</w:t>
      </w:r>
    </w:p>
    <w:p>
      <w:pPr>
        <w:spacing w:line="400" w:lineRule="exact"/>
        <w:ind w:firstLine="480" w:firstLineChars="200"/>
        <w:rPr>
          <w:rFonts w:ascii="宋体" w:hAnsi="宋体"/>
          <w:color w:val="auto"/>
          <w:sz w:val="24"/>
        </w:rPr>
      </w:pPr>
      <w:r>
        <w:rPr>
          <w:rFonts w:hint="eastAsia" w:ascii="宋体" w:hAnsi="宋体"/>
          <w:color w:val="auto"/>
          <w:sz w:val="24"/>
        </w:rPr>
        <w:t>（2）说明投标产品的保修时间、保修期内的保修内容与范围、维修响应时间等。分别提供产品制造厂家和投标人的服务承诺和保障措施；</w:t>
      </w:r>
    </w:p>
    <w:p>
      <w:pPr>
        <w:spacing w:line="400" w:lineRule="exact"/>
        <w:ind w:firstLine="480" w:firstLineChars="200"/>
        <w:rPr>
          <w:rFonts w:ascii="宋体" w:hAnsi="宋体"/>
          <w:color w:val="auto"/>
          <w:sz w:val="24"/>
        </w:rPr>
      </w:pPr>
      <w:r>
        <w:rPr>
          <w:rFonts w:hint="eastAsia" w:ascii="宋体" w:hAnsi="宋体"/>
          <w:color w:val="auto"/>
          <w:sz w:val="24"/>
        </w:rPr>
        <w:t>（3）培训措施：说明培训内容及培训的时间、地点、目标、培训人数、收费标准和办法；</w:t>
      </w:r>
    </w:p>
    <w:p>
      <w:pPr>
        <w:spacing w:line="400" w:lineRule="exact"/>
        <w:ind w:firstLine="480" w:firstLineChars="200"/>
        <w:rPr>
          <w:rFonts w:ascii="宋体" w:hAnsi="宋体"/>
          <w:color w:val="auto"/>
          <w:sz w:val="24"/>
        </w:rPr>
      </w:pPr>
      <w:r>
        <w:rPr>
          <w:rFonts w:hint="eastAsia" w:ascii="宋体" w:hAnsi="宋体"/>
          <w:color w:val="auto"/>
          <w:sz w:val="24"/>
        </w:rPr>
        <w:t>（4）其他有利于用户的服务承诺。</w:t>
      </w:r>
    </w:p>
    <w:p>
      <w:pPr>
        <w:adjustRightInd w:val="0"/>
        <w:snapToGrid w:val="0"/>
        <w:spacing w:line="400" w:lineRule="exact"/>
        <w:ind w:firstLine="480" w:firstLineChars="200"/>
        <w:rPr>
          <w:rFonts w:ascii="宋体" w:hAnsi="宋体"/>
          <w:color w:val="auto"/>
          <w:sz w:val="24"/>
        </w:rPr>
      </w:pPr>
      <w:r>
        <w:rPr>
          <w:rFonts w:hint="eastAsia" w:ascii="宋体" w:hAnsi="宋体"/>
          <w:color w:val="auto"/>
          <w:sz w:val="24"/>
        </w:rPr>
        <w:t>14.5其他部分</w:t>
      </w:r>
      <w:r>
        <w:rPr>
          <w:rFonts w:hint="eastAsia" w:ascii="宋体" w:hAnsi="宋体"/>
          <w:b/>
          <w:bCs/>
          <w:color w:val="auto"/>
          <w:sz w:val="24"/>
        </w:rPr>
        <w:t>。</w:t>
      </w:r>
      <w:r>
        <w:rPr>
          <w:rFonts w:hint="eastAsia" w:ascii="宋体" w:hAnsi="宋体"/>
          <w:bCs/>
          <w:color w:val="auto"/>
          <w:sz w:val="24"/>
        </w:rPr>
        <w:t>投标人按照招标文件要求作出的其他应答和承诺。</w:t>
      </w:r>
    </w:p>
    <w:p>
      <w:pPr>
        <w:pStyle w:val="5"/>
        <w:spacing w:line="400" w:lineRule="exact"/>
        <w:ind w:firstLine="482" w:firstLineChars="200"/>
        <w:rPr>
          <w:rFonts w:ascii="宋体" w:hAnsi="宋体"/>
          <w:color w:val="auto"/>
          <w:sz w:val="24"/>
        </w:rPr>
      </w:pPr>
      <w:bookmarkStart w:id="87" w:name="_Toc183682355"/>
      <w:bookmarkStart w:id="88" w:name="_Toc183582218"/>
      <w:bookmarkStart w:id="89" w:name="_Toc217446049"/>
      <w:bookmarkStart w:id="90" w:name="_Toc308164799"/>
      <w:r>
        <w:rPr>
          <w:rFonts w:hint="eastAsia" w:ascii="宋体" w:hAnsi="宋体"/>
          <w:color w:val="auto"/>
          <w:sz w:val="24"/>
        </w:rPr>
        <w:t>15．投标文件格式</w:t>
      </w:r>
      <w:bookmarkEnd w:id="87"/>
      <w:bookmarkEnd w:id="88"/>
      <w:bookmarkEnd w:id="89"/>
      <w:bookmarkEnd w:id="90"/>
    </w:p>
    <w:p>
      <w:pPr>
        <w:tabs>
          <w:tab w:val="left" w:pos="7665"/>
        </w:tabs>
        <w:spacing w:line="400" w:lineRule="exact"/>
        <w:ind w:left="13" w:leftChars="6" w:firstLine="480" w:firstLineChars="200"/>
        <w:rPr>
          <w:rFonts w:ascii="宋体" w:hAnsi="宋体"/>
          <w:color w:val="auto"/>
          <w:sz w:val="24"/>
        </w:rPr>
      </w:pPr>
      <w:r>
        <w:rPr>
          <w:rFonts w:hint="eastAsia" w:ascii="宋体" w:hAnsi="宋体"/>
          <w:color w:val="auto"/>
          <w:sz w:val="24"/>
        </w:rPr>
        <w:t>15.1 投标人应执行招标文件第三章的规定要求。</w:t>
      </w:r>
    </w:p>
    <w:p>
      <w:pPr>
        <w:tabs>
          <w:tab w:val="left" w:pos="7665"/>
        </w:tabs>
        <w:spacing w:line="400" w:lineRule="exact"/>
        <w:ind w:left="13" w:leftChars="6" w:firstLine="480" w:firstLineChars="200"/>
        <w:rPr>
          <w:rFonts w:ascii="宋体" w:hAnsi="宋体"/>
          <w:color w:val="auto"/>
          <w:sz w:val="24"/>
        </w:rPr>
      </w:pPr>
      <w:r>
        <w:rPr>
          <w:rFonts w:hint="eastAsia" w:ascii="宋体" w:hAnsi="宋体"/>
          <w:color w:val="auto"/>
          <w:sz w:val="24"/>
        </w:rPr>
        <w:t>15.2 对于没有格式要求的投标文件由投标人自行编写。</w:t>
      </w:r>
    </w:p>
    <w:p>
      <w:pPr>
        <w:pStyle w:val="5"/>
        <w:spacing w:line="400" w:lineRule="exact"/>
        <w:ind w:firstLine="482" w:firstLineChars="200"/>
        <w:rPr>
          <w:rFonts w:ascii="宋体" w:hAnsi="宋体"/>
          <w:color w:val="auto"/>
          <w:sz w:val="24"/>
        </w:rPr>
      </w:pPr>
      <w:bookmarkStart w:id="91" w:name="_Toc183582223"/>
      <w:bookmarkStart w:id="92" w:name="_Toc183682360"/>
      <w:bookmarkStart w:id="93" w:name="_Toc308164800"/>
      <w:bookmarkStart w:id="94" w:name="_Toc217446050"/>
      <w:r>
        <w:rPr>
          <w:rFonts w:hint="eastAsia" w:ascii="宋体" w:hAnsi="宋体"/>
          <w:color w:val="auto"/>
          <w:sz w:val="24"/>
        </w:rPr>
        <w:t>16．投标保证金</w:t>
      </w:r>
      <w:bookmarkEnd w:id="91"/>
      <w:bookmarkEnd w:id="92"/>
      <w:bookmarkEnd w:id="93"/>
      <w:bookmarkEnd w:id="94"/>
    </w:p>
    <w:p>
      <w:pPr>
        <w:spacing w:line="360" w:lineRule="auto"/>
        <w:ind w:left="501" w:leftChars="225" w:hanging="28" w:hangingChars="12"/>
        <w:rPr>
          <w:rFonts w:hAnsi="宋体"/>
          <w:color w:val="auto"/>
          <w:sz w:val="24"/>
        </w:rPr>
      </w:pPr>
      <w:bookmarkStart w:id="95" w:name="_Toc217446051"/>
      <w:bookmarkStart w:id="96" w:name="_Toc183582224"/>
      <w:bookmarkStart w:id="97" w:name="_Toc183682361"/>
      <w:bookmarkStart w:id="98" w:name="_Toc308164801"/>
      <w:r>
        <w:rPr>
          <w:rFonts w:hint="eastAsia" w:ascii="新宋体" w:hAnsi="新宋体" w:eastAsia="新宋体"/>
          <w:color w:val="auto"/>
          <w:sz w:val="24"/>
        </w:rPr>
        <w:t>本项目不要求缴纳投标保证金</w:t>
      </w:r>
      <w:r>
        <w:rPr>
          <w:rFonts w:hint="eastAsia" w:hAnsi="宋体"/>
          <w:color w:val="auto"/>
          <w:sz w:val="24"/>
        </w:rPr>
        <w:t>。</w:t>
      </w:r>
    </w:p>
    <w:p>
      <w:pPr>
        <w:pStyle w:val="5"/>
        <w:spacing w:line="400" w:lineRule="exact"/>
        <w:ind w:firstLine="482" w:firstLineChars="200"/>
        <w:rPr>
          <w:rFonts w:ascii="宋体" w:hAnsi="宋体"/>
          <w:color w:val="auto"/>
          <w:sz w:val="24"/>
        </w:rPr>
      </w:pPr>
      <w:r>
        <w:rPr>
          <w:rFonts w:hint="eastAsia" w:ascii="宋体" w:hAnsi="宋体"/>
          <w:color w:val="auto"/>
          <w:sz w:val="24"/>
        </w:rPr>
        <w:t>17．投标有效期</w:t>
      </w:r>
      <w:bookmarkEnd w:id="95"/>
      <w:bookmarkEnd w:id="96"/>
      <w:bookmarkEnd w:id="97"/>
      <w:bookmarkEnd w:id="98"/>
      <w:r>
        <w:rPr>
          <w:rFonts w:hint="eastAsia" w:ascii="宋体" w:hAnsi="宋体"/>
          <w:color w:val="auto"/>
          <w:sz w:val="24"/>
        </w:rPr>
        <w:t>（实质性要求）</w:t>
      </w:r>
    </w:p>
    <w:p>
      <w:pPr>
        <w:tabs>
          <w:tab w:val="left" w:pos="7665"/>
        </w:tabs>
        <w:spacing w:line="400" w:lineRule="exact"/>
        <w:ind w:left="13" w:leftChars="6" w:firstLine="480" w:firstLineChars="200"/>
        <w:rPr>
          <w:rFonts w:ascii="宋体" w:hAnsi="宋体"/>
          <w:color w:val="auto"/>
          <w:sz w:val="24"/>
        </w:rPr>
      </w:pPr>
      <w:r>
        <w:rPr>
          <w:rFonts w:hint="eastAsia" w:ascii="宋体" w:hAnsi="宋体"/>
          <w:color w:val="auto"/>
          <w:sz w:val="24"/>
        </w:rPr>
        <w:t>17.1 本项目投标有效期为投标截止时间届满后90天。投标人投标文件中必须载明投标有效期，投标文件中载明的投标有效期可以长于招标文件规定的期限，但不得短于招标文件规定的期限。否则，其投标文件将作为无效投标处理。</w:t>
      </w:r>
    </w:p>
    <w:p>
      <w:pPr>
        <w:tabs>
          <w:tab w:val="left" w:pos="7665"/>
        </w:tabs>
        <w:spacing w:line="400" w:lineRule="exact"/>
        <w:ind w:left="13" w:leftChars="6" w:firstLine="360" w:firstLineChars="150"/>
        <w:rPr>
          <w:rFonts w:ascii="宋体" w:hAnsi="宋体"/>
          <w:color w:val="auto"/>
          <w:sz w:val="24"/>
        </w:rPr>
      </w:pPr>
      <w:r>
        <w:rPr>
          <w:rFonts w:hint="eastAsia" w:ascii="宋体" w:hAnsi="宋体"/>
          <w:color w:val="auto"/>
          <w:sz w:val="24"/>
        </w:rPr>
        <w:t xml:space="preserve"> 17.2 因不可抗力事件，采购人可于投标有效期届满之前与投标人协商延长投标有效期。投标人拒绝延长投标有效期的，</w:t>
      </w:r>
      <w:r>
        <w:rPr>
          <w:rFonts w:hint="eastAsia" w:ascii="新宋体" w:hAnsi="新宋体" w:eastAsia="新宋体"/>
          <w:color w:val="auto"/>
          <w:sz w:val="24"/>
        </w:rPr>
        <w:t>其投标保证金</w:t>
      </w:r>
      <w:r>
        <w:rPr>
          <w:rFonts w:hint="eastAsia" w:ascii="新宋体" w:hAnsi="新宋体" w:eastAsia="新宋体"/>
          <w:color w:val="auto"/>
          <w:spacing w:val="8"/>
          <w:sz w:val="24"/>
        </w:rPr>
        <w:t>不被没收但</w:t>
      </w:r>
      <w:r>
        <w:rPr>
          <w:rFonts w:hint="eastAsia" w:ascii="宋体" w:hAnsi="宋体"/>
          <w:color w:val="auto"/>
          <w:sz w:val="24"/>
        </w:rPr>
        <w:t>不得再参与该项目后续采购活动，但由此给投标人造成的损失，采购人可以自主决定是否可以给予适当补偿。投标人同意延长投标有效期的，不能修改投标文件。</w:t>
      </w:r>
    </w:p>
    <w:p>
      <w:pPr>
        <w:tabs>
          <w:tab w:val="left" w:pos="7665"/>
        </w:tabs>
        <w:spacing w:line="400" w:lineRule="exact"/>
        <w:ind w:left="13" w:leftChars="6" w:firstLine="360" w:firstLineChars="150"/>
        <w:rPr>
          <w:rFonts w:ascii="宋体" w:hAnsi="宋体"/>
          <w:color w:val="auto"/>
          <w:sz w:val="24"/>
        </w:rPr>
      </w:pPr>
      <w:r>
        <w:rPr>
          <w:rFonts w:hint="eastAsia" w:ascii="宋体" w:hAnsi="宋体"/>
          <w:color w:val="auto"/>
          <w:sz w:val="24"/>
        </w:rPr>
        <w:t>17.3 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r>
        <w:rPr>
          <w:rFonts w:hint="eastAsia" w:ascii="新宋体" w:hAnsi="新宋体" w:eastAsia="新宋体"/>
          <w:color w:val="auto"/>
          <w:sz w:val="24"/>
        </w:rPr>
        <w:t>关于投标保证金的有关规定在延长的投标有效期内继续有效。</w:t>
      </w:r>
    </w:p>
    <w:p>
      <w:pPr>
        <w:pStyle w:val="5"/>
        <w:spacing w:line="400" w:lineRule="exact"/>
        <w:ind w:firstLine="482" w:firstLineChars="200"/>
        <w:rPr>
          <w:rFonts w:ascii="宋体" w:hAnsi="宋体"/>
          <w:color w:val="auto"/>
          <w:sz w:val="24"/>
        </w:rPr>
      </w:pPr>
      <w:bookmarkStart w:id="99" w:name="_Toc183582225"/>
      <w:bookmarkStart w:id="100" w:name="_Toc308164802"/>
      <w:bookmarkStart w:id="101" w:name="_Toc217446052"/>
      <w:bookmarkStart w:id="102" w:name="_Toc183682362"/>
      <w:r>
        <w:rPr>
          <w:rFonts w:hint="eastAsia" w:ascii="宋体" w:hAnsi="宋体"/>
          <w:color w:val="auto"/>
          <w:sz w:val="24"/>
        </w:rPr>
        <w:t>18．投标文件的印制和签署</w:t>
      </w:r>
      <w:bookmarkEnd w:id="99"/>
      <w:bookmarkEnd w:id="100"/>
      <w:bookmarkEnd w:id="101"/>
      <w:bookmarkEnd w:id="102"/>
    </w:p>
    <w:p>
      <w:pPr>
        <w:tabs>
          <w:tab w:val="left" w:pos="1080"/>
        </w:tabs>
        <w:spacing w:line="400" w:lineRule="exact"/>
        <w:ind w:firstLine="460" w:firstLineChars="192"/>
        <w:rPr>
          <w:rFonts w:ascii="宋体" w:hAnsi="宋体"/>
          <w:color w:val="auto"/>
          <w:sz w:val="24"/>
        </w:rPr>
      </w:pPr>
      <w:r>
        <w:rPr>
          <w:rFonts w:hint="eastAsia" w:ascii="宋体" w:hAnsi="宋体"/>
          <w:color w:val="auto"/>
          <w:sz w:val="24"/>
        </w:rPr>
        <w:t>18.1 投标人应准备投标文件正本1份、副本4份、“开标一览表”1份,电子文档1份，电子文档应包括与投标文件原件一致的WORD版本和投标文件正本原件的扫描件。投标文件的正本和副本应在其封面右上角清楚地标明“正本”或“副本”字样。若正本和副本有不一致的内容，以正本书面投标文件为准。</w:t>
      </w:r>
    </w:p>
    <w:p>
      <w:pPr>
        <w:tabs>
          <w:tab w:val="left" w:pos="1095"/>
        </w:tabs>
        <w:spacing w:line="400" w:lineRule="exact"/>
        <w:ind w:firstLine="460" w:firstLineChars="192"/>
        <w:rPr>
          <w:rFonts w:ascii="宋体" w:hAnsi="宋体"/>
          <w:color w:val="auto"/>
          <w:sz w:val="24"/>
        </w:rPr>
      </w:pPr>
      <w:r>
        <w:rPr>
          <w:rFonts w:hint="eastAsia" w:ascii="宋体" w:hAnsi="宋体"/>
          <w:color w:val="auto"/>
          <w:sz w:val="24"/>
        </w:rPr>
        <w:t>18.2 投标文件的正本和副本均需打印或用不褪色、不变质的墨水书写并加盖投标人法人公章，需要投标人的法定代表人或其授权代表在规定签章处签章的需逐一签署或用法人签章替代。投标文件格式或招标文件其它部分对签署有专门规定的，从其规定。投标文件副本可采用正本的复印件，用于开标唱标单独提交的“开标一览表”应为原件。</w:t>
      </w:r>
    </w:p>
    <w:p>
      <w:pPr>
        <w:tabs>
          <w:tab w:val="left" w:pos="1095"/>
        </w:tabs>
        <w:spacing w:line="400" w:lineRule="exact"/>
        <w:ind w:firstLine="460" w:firstLineChars="192"/>
        <w:rPr>
          <w:rFonts w:ascii="宋体" w:hAnsi="宋体"/>
          <w:color w:val="auto"/>
          <w:sz w:val="24"/>
        </w:rPr>
      </w:pPr>
      <w:r>
        <w:rPr>
          <w:rFonts w:hint="eastAsia" w:ascii="宋体" w:hAnsi="宋体"/>
          <w:color w:val="auto"/>
          <w:sz w:val="24"/>
        </w:rPr>
        <w:t>18.3 投标文件的打印和书写应清楚工整，任何行间插字、涂改或增删，必须由投标人的法定代表人或其授权代表签字或盖个人名章。</w:t>
      </w:r>
    </w:p>
    <w:p>
      <w:pPr>
        <w:tabs>
          <w:tab w:val="left" w:pos="1080"/>
        </w:tabs>
        <w:spacing w:line="400" w:lineRule="exact"/>
        <w:ind w:firstLine="460" w:firstLineChars="192"/>
        <w:rPr>
          <w:rFonts w:ascii="宋体" w:hAnsi="宋体"/>
          <w:color w:val="auto"/>
          <w:sz w:val="24"/>
        </w:rPr>
      </w:pPr>
      <w:r>
        <w:rPr>
          <w:rFonts w:hint="eastAsia" w:ascii="宋体" w:hAnsi="宋体"/>
          <w:color w:val="auto"/>
          <w:sz w:val="24"/>
        </w:rPr>
        <w:t>18.4 投标文件正本和副本应当采取胶装方式装订成册，不得散装或者合页装订。</w:t>
      </w:r>
    </w:p>
    <w:p>
      <w:pPr>
        <w:tabs>
          <w:tab w:val="left" w:pos="1080"/>
        </w:tabs>
        <w:spacing w:line="400" w:lineRule="exact"/>
        <w:ind w:firstLine="460" w:firstLineChars="192"/>
        <w:rPr>
          <w:rFonts w:ascii="宋体" w:hAnsi="宋体"/>
          <w:color w:val="auto"/>
          <w:sz w:val="24"/>
        </w:rPr>
      </w:pPr>
      <w:r>
        <w:rPr>
          <w:rFonts w:hint="eastAsia" w:ascii="宋体" w:hAnsi="宋体"/>
          <w:color w:val="auto"/>
          <w:sz w:val="24"/>
        </w:rPr>
        <w:t>18.5 投标文件应根据招标文件的要求制作，签署、盖章和内容应完整。</w:t>
      </w:r>
    </w:p>
    <w:p>
      <w:pPr>
        <w:tabs>
          <w:tab w:val="left" w:pos="1080"/>
        </w:tabs>
        <w:spacing w:line="400" w:lineRule="exact"/>
        <w:ind w:firstLine="460" w:firstLineChars="192"/>
        <w:rPr>
          <w:rFonts w:ascii="宋体" w:hAnsi="宋体"/>
          <w:color w:val="auto"/>
          <w:sz w:val="24"/>
        </w:rPr>
      </w:pPr>
      <w:r>
        <w:rPr>
          <w:rFonts w:hint="eastAsia" w:ascii="宋体" w:hAnsi="宋体"/>
          <w:color w:val="auto"/>
          <w:sz w:val="24"/>
        </w:rPr>
        <w:t>18.6 投标文件统一用A4幅面纸印制，逐页编码。</w:t>
      </w:r>
    </w:p>
    <w:p>
      <w:pPr>
        <w:tabs>
          <w:tab w:val="left" w:pos="1080"/>
        </w:tabs>
        <w:spacing w:line="400" w:lineRule="exact"/>
        <w:ind w:firstLine="460" w:firstLineChars="192"/>
        <w:rPr>
          <w:rFonts w:ascii="宋体" w:hAnsi="宋体"/>
          <w:color w:val="auto"/>
          <w:sz w:val="24"/>
        </w:rPr>
      </w:pPr>
      <w:r>
        <w:rPr>
          <w:rFonts w:hint="eastAsia" w:ascii="宋体" w:hAnsi="宋体"/>
          <w:color w:val="auto"/>
          <w:sz w:val="24"/>
        </w:rPr>
        <w:t>18.7 投标多个包件的投标人，应按上述要求分别单独制作各个包件的投标文件。</w:t>
      </w:r>
    </w:p>
    <w:p>
      <w:pPr>
        <w:pStyle w:val="5"/>
        <w:spacing w:line="400" w:lineRule="exact"/>
        <w:ind w:firstLine="482" w:firstLineChars="200"/>
        <w:rPr>
          <w:rFonts w:ascii="宋体" w:hAnsi="宋体"/>
          <w:color w:val="auto"/>
          <w:sz w:val="24"/>
        </w:rPr>
      </w:pPr>
      <w:bookmarkStart w:id="103" w:name="_Toc89075877"/>
      <w:bookmarkStart w:id="104" w:name="_Toc183582226"/>
      <w:bookmarkStart w:id="105" w:name="_Toc77400781"/>
      <w:bookmarkStart w:id="106" w:name="_Toc183682363"/>
      <w:bookmarkStart w:id="107" w:name="_Toc217446053"/>
      <w:bookmarkStart w:id="108" w:name="_Toc308164803"/>
      <w:r>
        <w:rPr>
          <w:rFonts w:hint="eastAsia" w:ascii="宋体" w:hAnsi="宋体"/>
          <w:color w:val="auto"/>
          <w:sz w:val="24"/>
        </w:rPr>
        <w:t>19.投标文件的密封和标</w:t>
      </w:r>
      <w:bookmarkEnd w:id="103"/>
      <w:bookmarkEnd w:id="104"/>
      <w:bookmarkEnd w:id="105"/>
      <w:bookmarkEnd w:id="106"/>
      <w:r>
        <w:rPr>
          <w:rFonts w:hint="eastAsia" w:ascii="宋体" w:hAnsi="宋体"/>
          <w:color w:val="auto"/>
          <w:sz w:val="24"/>
        </w:rPr>
        <w:t>注</w:t>
      </w:r>
      <w:bookmarkEnd w:id="107"/>
      <w:bookmarkEnd w:id="108"/>
    </w:p>
    <w:p>
      <w:pPr>
        <w:tabs>
          <w:tab w:val="left" w:pos="1080"/>
        </w:tabs>
        <w:spacing w:line="400" w:lineRule="exact"/>
        <w:rPr>
          <w:rFonts w:ascii="宋体" w:hAnsi="宋体"/>
          <w:color w:val="auto"/>
          <w:sz w:val="24"/>
        </w:rPr>
      </w:pPr>
      <w:r>
        <w:rPr>
          <w:rFonts w:hint="eastAsia" w:ascii="宋体" w:hAnsi="宋体"/>
          <w:color w:val="auto"/>
          <w:sz w:val="24"/>
        </w:rPr>
        <w:t>19.1投标人应在投标文件正本和所有副本的封面上注明投标人名称、招标编号、项目名称及分包号（如有分包）。</w:t>
      </w:r>
    </w:p>
    <w:p>
      <w:pPr>
        <w:tabs>
          <w:tab w:val="left" w:pos="1080"/>
        </w:tabs>
        <w:spacing w:line="400" w:lineRule="exact"/>
        <w:ind w:firstLine="460" w:firstLineChars="192"/>
        <w:rPr>
          <w:rFonts w:ascii="宋体" w:hAnsi="宋体"/>
          <w:color w:val="auto"/>
          <w:sz w:val="24"/>
        </w:rPr>
      </w:pPr>
      <w:r>
        <w:rPr>
          <w:rFonts w:hint="eastAsia" w:ascii="宋体" w:hAnsi="宋体"/>
          <w:color w:val="auto"/>
          <w:sz w:val="24"/>
        </w:rPr>
        <w:t>19.2 投标文件包括正本、副本、用于开标唱标单独提交的“开标一览表”、电子文档。投标文件应当密封完整。投标文件的密封袋上应当注明投标人名称、招标编号、项目名称及分包号（如有分包）。</w:t>
      </w:r>
    </w:p>
    <w:p>
      <w:pPr>
        <w:tabs>
          <w:tab w:val="left" w:pos="1080"/>
        </w:tabs>
        <w:spacing w:line="400" w:lineRule="exact"/>
        <w:ind w:firstLine="460" w:firstLineChars="192"/>
        <w:rPr>
          <w:rFonts w:ascii="新宋体" w:hAnsi="新宋体" w:eastAsia="新宋体"/>
          <w:color w:val="auto"/>
          <w:sz w:val="24"/>
        </w:rPr>
      </w:pPr>
      <w:r>
        <w:rPr>
          <w:rFonts w:hint="eastAsia" w:ascii="新宋体" w:hAnsi="新宋体" w:eastAsia="新宋体"/>
          <w:color w:val="auto"/>
          <w:sz w:val="24"/>
        </w:rPr>
        <w:t>19.3 所有外层密封袋的封口处应粘贴牢固，并加盖密封章或投标人公章。</w:t>
      </w:r>
    </w:p>
    <w:p>
      <w:pPr>
        <w:tabs>
          <w:tab w:val="left" w:pos="1080"/>
        </w:tabs>
        <w:spacing w:line="400" w:lineRule="exact"/>
        <w:ind w:firstLine="460" w:firstLineChars="192"/>
        <w:rPr>
          <w:rFonts w:ascii="宋体" w:hAnsi="宋体"/>
          <w:color w:val="auto"/>
          <w:sz w:val="24"/>
        </w:rPr>
      </w:pPr>
      <w:r>
        <w:rPr>
          <w:rFonts w:hint="eastAsia" w:ascii="新宋体" w:hAnsi="新宋体" w:eastAsia="新宋体"/>
          <w:color w:val="auto"/>
          <w:sz w:val="24"/>
        </w:rPr>
        <w:t>19.4</w:t>
      </w:r>
      <w:r>
        <w:rPr>
          <w:rFonts w:hint="eastAsia" w:ascii="宋体" w:hAnsi="宋体"/>
          <w:color w:val="auto"/>
          <w:sz w:val="24"/>
        </w:rPr>
        <w:t>未按以上要求进行密封和标注的投标文件将被拒绝接收。</w:t>
      </w:r>
    </w:p>
    <w:p>
      <w:pPr>
        <w:pStyle w:val="5"/>
        <w:spacing w:line="400" w:lineRule="exact"/>
        <w:ind w:firstLine="482" w:firstLineChars="200"/>
        <w:rPr>
          <w:rFonts w:ascii="宋体" w:hAnsi="宋体"/>
          <w:color w:val="auto"/>
          <w:sz w:val="24"/>
        </w:rPr>
      </w:pPr>
      <w:bookmarkStart w:id="109" w:name="_Toc183682364"/>
      <w:bookmarkStart w:id="110" w:name="_Toc183582227"/>
      <w:bookmarkStart w:id="111" w:name="_Toc308164804"/>
      <w:bookmarkStart w:id="112" w:name="_Toc217446054"/>
      <w:r>
        <w:rPr>
          <w:rFonts w:hint="eastAsia" w:ascii="宋体" w:hAnsi="宋体"/>
          <w:color w:val="auto"/>
          <w:sz w:val="24"/>
        </w:rPr>
        <w:t>20．投标文件的</w:t>
      </w:r>
      <w:bookmarkEnd w:id="109"/>
      <w:bookmarkEnd w:id="110"/>
      <w:r>
        <w:rPr>
          <w:rFonts w:hint="eastAsia" w:ascii="宋体" w:hAnsi="宋体"/>
          <w:color w:val="auto"/>
          <w:sz w:val="24"/>
        </w:rPr>
        <w:t>递交</w:t>
      </w:r>
      <w:bookmarkEnd w:id="111"/>
      <w:bookmarkEnd w:id="112"/>
    </w:p>
    <w:p>
      <w:pPr>
        <w:tabs>
          <w:tab w:val="left" w:pos="1095"/>
        </w:tabs>
        <w:spacing w:line="400" w:lineRule="exact"/>
        <w:ind w:firstLine="460" w:firstLineChars="192"/>
        <w:rPr>
          <w:rFonts w:ascii="宋体" w:hAnsi="宋体"/>
          <w:color w:val="auto"/>
          <w:sz w:val="24"/>
        </w:rPr>
      </w:pPr>
      <w:r>
        <w:rPr>
          <w:rFonts w:hint="eastAsia" w:ascii="宋体" w:hAnsi="宋体"/>
          <w:color w:val="auto"/>
          <w:sz w:val="24"/>
        </w:rPr>
        <w:t>20.1 供应商应在招标文件规定的投标截止时间前，将投标文件按招标文件的规定密封后送达开标地点。投标截止时间以后送达的投标文件或未按招标文件要求密封递交的投标文件将不予接收，采购人或者采购代理机构将告知供应商不予接收的原因。</w:t>
      </w:r>
    </w:p>
    <w:p>
      <w:pPr>
        <w:tabs>
          <w:tab w:val="left" w:pos="1095"/>
        </w:tabs>
        <w:spacing w:line="400" w:lineRule="exact"/>
        <w:ind w:firstLine="460" w:firstLineChars="192"/>
        <w:rPr>
          <w:rFonts w:ascii="宋体" w:hAnsi="宋体"/>
          <w:color w:val="auto"/>
          <w:sz w:val="24"/>
        </w:rPr>
      </w:pPr>
      <w:r>
        <w:rPr>
          <w:rFonts w:hint="eastAsia" w:ascii="宋体" w:hAnsi="宋体"/>
          <w:color w:val="auto"/>
          <w:sz w:val="24"/>
        </w:rPr>
        <w:t>20.2递交投标文件时，报名供应商名称和招标文件的招标编号、分包号应当与投标人名称和招标文件的招标编号、分包号一致。但是，投标文件实质内容与报名投标人名称和招标文件的招标编号、分包号一致，只是封面文字错误的，可以在评标过程中当面予以澄清，以有效的澄清材料作为认定投标文件是否有效的依据。</w:t>
      </w:r>
    </w:p>
    <w:p>
      <w:pPr>
        <w:tabs>
          <w:tab w:val="left" w:pos="1095"/>
        </w:tabs>
        <w:spacing w:line="400" w:lineRule="exact"/>
        <w:ind w:firstLine="460" w:firstLineChars="192"/>
        <w:rPr>
          <w:rFonts w:ascii="宋体" w:hAnsi="宋体"/>
          <w:color w:val="auto"/>
          <w:sz w:val="24"/>
        </w:rPr>
      </w:pPr>
      <w:r>
        <w:rPr>
          <w:rFonts w:hint="eastAsia" w:ascii="宋体" w:hAnsi="宋体"/>
          <w:color w:val="auto"/>
          <w:sz w:val="24"/>
        </w:rPr>
        <w:t>20.3供应商按要求递交了投标文件后，将由采购代理机构工作人员如实记载投标文件的送达时间和密封情况，签收保存，并向其出具签收回执，作为递交凭证。本次招标不接收邮寄的投标文件。</w:t>
      </w:r>
    </w:p>
    <w:p>
      <w:pPr>
        <w:pStyle w:val="5"/>
        <w:spacing w:line="400" w:lineRule="exact"/>
        <w:ind w:firstLine="482" w:firstLineChars="200"/>
        <w:rPr>
          <w:rFonts w:ascii="宋体" w:hAnsi="宋体"/>
          <w:color w:val="auto"/>
          <w:sz w:val="24"/>
        </w:rPr>
      </w:pPr>
      <w:bookmarkStart w:id="113" w:name="_Toc183582228"/>
      <w:bookmarkStart w:id="114" w:name="_Toc183682365"/>
      <w:bookmarkStart w:id="115" w:name="_Toc217446055"/>
      <w:r>
        <w:rPr>
          <w:rFonts w:hint="eastAsia" w:ascii="宋体" w:hAnsi="宋体"/>
          <w:color w:val="auto"/>
          <w:sz w:val="24"/>
        </w:rPr>
        <w:t>21．投标文件的修改和撤</w:t>
      </w:r>
      <w:bookmarkEnd w:id="113"/>
      <w:bookmarkEnd w:id="114"/>
      <w:r>
        <w:rPr>
          <w:rFonts w:hint="eastAsia" w:ascii="宋体" w:hAnsi="宋体"/>
          <w:color w:val="auto"/>
          <w:sz w:val="24"/>
        </w:rPr>
        <w:t>回</w:t>
      </w:r>
      <w:bookmarkEnd w:id="115"/>
    </w:p>
    <w:p>
      <w:pPr>
        <w:spacing w:line="400" w:lineRule="exact"/>
        <w:ind w:firstLine="470" w:firstLineChars="196"/>
        <w:rPr>
          <w:rFonts w:ascii="宋体" w:hAnsi="宋体"/>
          <w:color w:val="auto"/>
          <w:sz w:val="24"/>
        </w:rPr>
      </w:pPr>
      <w:r>
        <w:rPr>
          <w:rFonts w:hint="eastAsia" w:ascii="宋体" w:hAnsi="宋体"/>
          <w:color w:val="auto"/>
          <w:sz w:val="24"/>
        </w:rPr>
        <w:t>21.1 供应商在递交了投标文件后，可以修改或撤回其投标文件，但必须在规定的投标截止时间前，以书面形式通知采购代理机构。</w:t>
      </w:r>
    </w:p>
    <w:p>
      <w:pPr>
        <w:spacing w:line="400" w:lineRule="exact"/>
        <w:ind w:firstLine="470" w:firstLineChars="196"/>
        <w:rPr>
          <w:rFonts w:ascii="宋体" w:hAnsi="宋体"/>
          <w:color w:val="auto"/>
          <w:sz w:val="24"/>
        </w:rPr>
      </w:pPr>
      <w:r>
        <w:rPr>
          <w:rFonts w:hint="eastAsia" w:ascii="宋体" w:hAnsi="宋体"/>
          <w:color w:val="auto"/>
          <w:sz w:val="24"/>
        </w:rPr>
        <w:t>21.2 供应商的修改书或撤回通知书，应由其法定代表人或授权代表签署并盖单位印章。修改书应按投标须知第19条规定进行密封和标注，并在密封袋上标注“修改”字样。</w:t>
      </w:r>
    </w:p>
    <w:p>
      <w:pPr>
        <w:spacing w:line="400" w:lineRule="exact"/>
        <w:ind w:firstLine="480"/>
        <w:rPr>
          <w:rFonts w:ascii="宋体" w:hAnsi="宋体"/>
          <w:color w:val="auto"/>
          <w:sz w:val="24"/>
        </w:rPr>
      </w:pPr>
      <w:r>
        <w:rPr>
          <w:rFonts w:hint="eastAsia" w:ascii="宋体" w:hAnsi="宋体"/>
          <w:color w:val="auto"/>
          <w:sz w:val="24"/>
        </w:rPr>
        <w:t>21.3 在投标截止时间之后，供应商不得对其递交的投标文件做任何修改，撤回投标的，将按照有关规定进行相应处理。</w:t>
      </w:r>
    </w:p>
    <w:p>
      <w:pPr>
        <w:pStyle w:val="3"/>
        <w:spacing w:line="400" w:lineRule="exact"/>
        <w:ind w:firstLine="562" w:firstLineChars="200"/>
        <w:jc w:val="center"/>
        <w:rPr>
          <w:rFonts w:ascii="宋体" w:hAnsi="宋体"/>
          <w:color w:val="auto"/>
          <w:sz w:val="28"/>
          <w:szCs w:val="28"/>
        </w:rPr>
      </w:pPr>
      <w:bookmarkStart w:id="116" w:name="_Toc65154536"/>
      <w:bookmarkStart w:id="117" w:name="_Toc77400782"/>
      <w:bookmarkStart w:id="118" w:name="_Toc183682368"/>
      <w:bookmarkStart w:id="119" w:name="_Toc308164805"/>
      <w:bookmarkStart w:id="120" w:name="_Toc527460975"/>
      <w:bookmarkStart w:id="121" w:name="_Toc89075878"/>
      <w:bookmarkStart w:id="122" w:name="_Toc183582231"/>
      <w:bookmarkStart w:id="123" w:name="_Toc65154639"/>
      <w:bookmarkStart w:id="124" w:name="_Toc217446056"/>
      <w:r>
        <w:rPr>
          <w:rFonts w:hint="eastAsia" w:ascii="宋体" w:hAnsi="宋体"/>
          <w:color w:val="auto"/>
          <w:sz w:val="28"/>
          <w:szCs w:val="28"/>
        </w:rPr>
        <w:t>五、开标和中标</w:t>
      </w:r>
      <w:bookmarkEnd w:id="116"/>
      <w:bookmarkEnd w:id="117"/>
      <w:bookmarkEnd w:id="118"/>
      <w:bookmarkEnd w:id="119"/>
      <w:bookmarkEnd w:id="120"/>
      <w:bookmarkEnd w:id="121"/>
      <w:bookmarkEnd w:id="122"/>
      <w:bookmarkEnd w:id="123"/>
      <w:bookmarkEnd w:id="124"/>
    </w:p>
    <w:p>
      <w:pPr>
        <w:pStyle w:val="5"/>
        <w:spacing w:line="400" w:lineRule="exact"/>
        <w:ind w:firstLine="482" w:firstLineChars="200"/>
        <w:rPr>
          <w:rFonts w:ascii="宋体" w:hAnsi="宋体"/>
          <w:color w:val="auto"/>
          <w:sz w:val="24"/>
        </w:rPr>
      </w:pPr>
      <w:bookmarkStart w:id="125" w:name="_Toc183582232"/>
      <w:bookmarkStart w:id="126" w:name="_Toc217446057"/>
      <w:bookmarkStart w:id="127" w:name="_Toc183682369"/>
      <w:bookmarkStart w:id="128" w:name="_Toc308164806"/>
      <w:r>
        <w:rPr>
          <w:rFonts w:hint="eastAsia" w:ascii="宋体" w:hAnsi="宋体"/>
          <w:color w:val="auto"/>
          <w:sz w:val="24"/>
        </w:rPr>
        <w:t>22．开标</w:t>
      </w:r>
      <w:bookmarkEnd w:id="125"/>
      <w:bookmarkEnd w:id="126"/>
      <w:bookmarkEnd w:id="127"/>
      <w:bookmarkEnd w:id="128"/>
    </w:p>
    <w:p>
      <w:pPr>
        <w:spacing w:before="120" w:line="400" w:lineRule="exact"/>
        <w:ind w:firstLine="480" w:firstLineChars="200"/>
        <w:rPr>
          <w:rFonts w:ascii="宋体" w:hAnsi="宋体"/>
          <w:color w:val="auto"/>
          <w:sz w:val="24"/>
        </w:rPr>
      </w:pPr>
      <w:r>
        <w:rPr>
          <w:rFonts w:hint="eastAsia" w:ascii="宋体" w:hAnsi="宋体"/>
          <w:color w:val="auto"/>
          <w:sz w:val="24"/>
        </w:rPr>
        <w:t>22.1 开标在招标文件规定的时间和地点公开进行，投标人可派代表参加出席并签到以证明其出席。开标由采购代理机构主持，投标人代表参加。评标委员会成员不得参加开标活动。</w:t>
      </w:r>
    </w:p>
    <w:p>
      <w:pPr>
        <w:spacing w:line="400" w:lineRule="exact"/>
        <w:ind w:firstLine="480" w:firstLineChars="200"/>
        <w:rPr>
          <w:rFonts w:ascii="宋体" w:hAnsi="宋体"/>
          <w:color w:val="auto"/>
          <w:sz w:val="24"/>
        </w:rPr>
      </w:pPr>
      <w:r>
        <w:rPr>
          <w:rFonts w:hint="eastAsia" w:ascii="宋体" w:hAnsi="宋体"/>
          <w:color w:val="auto"/>
          <w:sz w:val="24"/>
        </w:rPr>
        <w:t>22.2 开标时，可能根据具体情况邀请有关监督管理部门对开标活动进行现场监督。</w:t>
      </w:r>
    </w:p>
    <w:p>
      <w:pPr>
        <w:spacing w:line="400" w:lineRule="exact"/>
        <w:ind w:firstLine="480" w:firstLineChars="200"/>
        <w:rPr>
          <w:rFonts w:ascii="宋体" w:hAnsi="宋体"/>
          <w:color w:val="auto"/>
          <w:sz w:val="24"/>
        </w:rPr>
      </w:pPr>
      <w:r>
        <w:rPr>
          <w:rFonts w:hint="eastAsia" w:ascii="宋体" w:hAnsi="宋体"/>
          <w:color w:val="auto"/>
          <w:sz w:val="24"/>
        </w:rPr>
        <w:t>22.3 开标时，由投标人或者其推选的代表检查投标文件的密封情况，经确认无误后，由招标工作人员将投标人单独递交的“开标一览表”当众拆封，并由唱标人员按照招标文件规定的内容进行宣读。</w:t>
      </w:r>
    </w:p>
    <w:p>
      <w:pPr>
        <w:spacing w:line="400" w:lineRule="exact"/>
        <w:ind w:firstLine="480" w:firstLineChars="200"/>
        <w:rPr>
          <w:rFonts w:ascii="宋体" w:hAnsi="宋体"/>
          <w:color w:val="auto"/>
          <w:sz w:val="24"/>
        </w:rPr>
      </w:pPr>
      <w:r>
        <w:rPr>
          <w:rFonts w:hint="eastAsia" w:ascii="宋体" w:hAnsi="宋体"/>
          <w:color w:val="auto"/>
          <w:sz w:val="24"/>
        </w:rPr>
        <w:t>投标人或者其推选的代表确认投标文件情况，仅限于确认其自己递交的投标文件的密封情况，不代表对其他投标人的投标文件的密封情况确认。投标人或者其推选的代表对其他投标人的投标文件密封情况有异议的，可以当场反映开标主持人或者现场监督人员，要求开标现场记录人员予以记录，并在评标时予以认定处理，但不得干扰、阻挠开标工作的正常进行。</w:t>
      </w:r>
    </w:p>
    <w:p>
      <w:pPr>
        <w:spacing w:line="400" w:lineRule="exact"/>
        <w:ind w:firstLine="480" w:firstLineChars="200"/>
        <w:rPr>
          <w:rFonts w:ascii="宋体" w:hAnsi="宋体"/>
          <w:color w:val="auto"/>
          <w:sz w:val="24"/>
        </w:rPr>
      </w:pPr>
      <w:r>
        <w:rPr>
          <w:rFonts w:hint="eastAsia" w:ascii="宋体" w:hAnsi="宋体"/>
          <w:color w:val="auto"/>
          <w:sz w:val="24"/>
        </w:rPr>
        <w:t>22.4 开标时，“开标一览表”中的大写金额与小写金额不一致的，以大写金额为准；总价金额与按单价计算的汇总金额不一致的，以单价计算的汇总金额为准；单价金额有明显小数点错误的，以总价为准，并修改单价。</w:t>
      </w:r>
    </w:p>
    <w:p>
      <w:pPr>
        <w:spacing w:line="400" w:lineRule="exact"/>
        <w:ind w:firstLine="480" w:firstLineChars="200"/>
        <w:rPr>
          <w:rFonts w:ascii="宋体" w:hAnsi="宋体"/>
          <w:color w:val="auto"/>
          <w:sz w:val="24"/>
        </w:rPr>
      </w:pPr>
      <w:r>
        <w:rPr>
          <w:rFonts w:hint="eastAsia" w:ascii="宋体" w:hAnsi="宋体"/>
          <w:color w:val="auto"/>
          <w:sz w:val="24"/>
        </w:rPr>
        <w:t>22.5 投标文件中相关内容与“开标一览表”不一致的，以“开标一览表”为准。对不同文字文本投标文件的解释发生异议的，以中文文本为准。</w:t>
      </w:r>
    </w:p>
    <w:p>
      <w:pPr>
        <w:spacing w:line="400" w:lineRule="exact"/>
        <w:ind w:firstLine="480" w:firstLineChars="200"/>
        <w:rPr>
          <w:rFonts w:ascii="宋体" w:hAnsi="宋体"/>
          <w:color w:val="auto"/>
          <w:sz w:val="24"/>
        </w:rPr>
      </w:pPr>
      <w:r>
        <w:rPr>
          <w:rFonts w:hint="eastAsia" w:ascii="宋体" w:hAnsi="宋体"/>
          <w:color w:val="auto"/>
          <w:sz w:val="24"/>
        </w:rPr>
        <w:t>22.6 所有投标唱标完毕，如投标人代表对宣读的“开标一览表”上的内容有异议的，应在获得开标会主持人同意后当场提出。如确实属于唱标人员宣读错了的，经现场监督人员核实后，当场予以更正。</w:t>
      </w:r>
    </w:p>
    <w:p>
      <w:pPr>
        <w:pStyle w:val="5"/>
        <w:spacing w:line="400" w:lineRule="exact"/>
        <w:ind w:firstLine="482" w:firstLineChars="200"/>
        <w:rPr>
          <w:rFonts w:ascii="宋体" w:hAnsi="宋体"/>
          <w:color w:val="auto"/>
          <w:sz w:val="24"/>
        </w:rPr>
      </w:pPr>
      <w:bookmarkStart w:id="129" w:name="_Toc217446058"/>
      <w:bookmarkStart w:id="130" w:name="_Toc308164807"/>
      <w:r>
        <w:rPr>
          <w:rFonts w:hint="eastAsia" w:ascii="宋体" w:hAnsi="宋体"/>
          <w:color w:val="auto"/>
          <w:sz w:val="24"/>
        </w:rPr>
        <w:t>23. 开标程序</w:t>
      </w:r>
      <w:bookmarkEnd w:id="129"/>
      <w:bookmarkEnd w:id="130"/>
    </w:p>
    <w:p>
      <w:pPr>
        <w:spacing w:line="400" w:lineRule="exact"/>
        <w:ind w:firstLine="480" w:firstLineChars="200"/>
        <w:rPr>
          <w:rFonts w:ascii="宋体" w:hAnsi="宋体"/>
          <w:color w:val="auto"/>
          <w:sz w:val="24"/>
        </w:rPr>
      </w:pPr>
      <w:r>
        <w:rPr>
          <w:rFonts w:hint="eastAsia" w:ascii="宋体" w:hAnsi="宋体"/>
          <w:color w:val="auto"/>
          <w:sz w:val="24"/>
        </w:rPr>
        <w:t>23.1 开标会主持人按照招标文件规定的开标时间宣布开标，按照规定要求主持开标会。开标将按以下程序进行：</w:t>
      </w:r>
    </w:p>
    <w:p>
      <w:pPr>
        <w:spacing w:line="400" w:lineRule="exact"/>
        <w:ind w:firstLine="480" w:firstLineChars="200"/>
        <w:rPr>
          <w:rFonts w:ascii="宋体" w:hAnsi="宋体"/>
          <w:color w:val="auto"/>
          <w:sz w:val="24"/>
        </w:rPr>
      </w:pPr>
      <w:r>
        <w:rPr>
          <w:rFonts w:hint="eastAsia" w:ascii="宋体" w:hAnsi="宋体"/>
          <w:color w:val="auto"/>
          <w:sz w:val="24"/>
        </w:rPr>
        <w:t>（1）宣布开标会开始。当众宣布参加开标会主持人、唱标人、会议记录人以及根据情况邀请的现场监督人等工作人员，同时宣布参加投标的投标人名单。</w:t>
      </w:r>
    </w:p>
    <w:p>
      <w:pPr>
        <w:spacing w:line="400" w:lineRule="exact"/>
        <w:ind w:firstLine="480" w:firstLineChars="200"/>
        <w:rPr>
          <w:rFonts w:ascii="宋体" w:hAnsi="宋体"/>
          <w:color w:val="auto"/>
          <w:sz w:val="24"/>
        </w:rPr>
      </w:pPr>
      <w:r>
        <w:rPr>
          <w:rFonts w:hint="eastAsia" w:ascii="宋体" w:hAnsi="宋体"/>
          <w:color w:val="auto"/>
          <w:sz w:val="24"/>
        </w:rPr>
        <w:t>（2）根据投标人或者其推选的代表对投标文件密封的检查结果，当众宣布投标文件的密封情况。</w:t>
      </w:r>
    </w:p>
    <w:p>
      <w:pPr>
        <w:spacing w:line="400" w:lineRule="exact"/>
        <w:ind w:firstLine="480" w:firstLineChars="200"/>
        <w:rPr>
          <w:rFonts w:ascii="宋体" w:hAnsi="宋体"/>
          <w:color w:val="auto"/>
          <w:sz w:val="24"/>
        </w:rPr>
      </w:pPr>
      <w:r>
        <w:rPr>
          <w:rFonts w:hint="eastAsia" w:ascii="宋体" w:hAnsi="宋体"/>
          <w:color w:val="auto"/>
          <w:sz w:val="24"/>
        </w:rPr>
        <w:t>（3）开标唱标。主持人宣布开标后，由现场工作人员按任意顺序对投标人的“开标一览表”当众进行拆封，由唱标人员宣读投标人名称、投标价格（价格折扣）和招标文件规定的需要宣布的其他内容。同时，做好开标记录。唱标人员在唱标过程中，如遇有字迹不清楚或有明显错误的，应即刻报告主持人，经现场核实后，主持人立即请投标人代表现场进行澄清或确认。唱标完毕后投标人或者其推选的代表需现场对开标记录进行签字确认，不签字又不提出异议的，视同认可唱标内容和结果，且不得干扰、阻挠开（唱）标、评标工作。投标人代表对开标过程或开标记录有疑义，以及认为采购人、采购代理机构相关工作人员有需要回避的情形的，应当场提出询问及回避申请。采购人、采购代理机构将对投标人代表提出的询问或回避申请现场进行核实、处理。投标人未参加开标的，视同认可开标结果。</w:t>
      </w:r>
    </w:p>
    <w:p>
      <w:pPr>
        <w:spacing w:line="400" w:lineRule="exact"/>
        <w:ind w:firstLine="480" w:firstLineChars="200"/>
        <w:rPr>
          <w:rFonts w:ascii="宋体" w:hAnsi="宋体"/>
          <w:color w:val="auto"/>
          <w:sz w:val="24"/>
        </w:rPr>
      </w:pPr>
      <w:r>
        <w:rPr>
          <w:rFonts w:hint="eastAsia" w:ascii="宋体" w:hAnsi="宋体"/>
          <w:color w:val="auto"/>
          <w:sz w:val="24"/>
        </w:rPr>
        <w:t>（4）宣布开标会结束。主持人宣布开标会结束。所有投标人代表应立即退场（招标文件要求有演示、介绍等的除外）。同时所有投标人应保持通讯设备的畅通，以方便在评标过程中评标委员会要求投标人对投标文件的必要澄清、说明和纠正。评标结果投标人在四川政府采购网上查询。</w:t>
      </w:r>
    </w:p>
    <w:p>
      <w:pPr>
        <w:pStyle w:val="5"/>
        <w:spacing w:line="400" w:lineRule="exact"/>
        <w:ind w:firstLine="482" w:firstLineChars="200"/>
        <w:rPr>
          <w:rFonts w:ascii="宋体" w:hAnsi="宋体"/>
          <w:color w:val="auto"/>
          <w:sz w:val="24"/>
        </w:rPr>
      </w:pPr>
      <w:bookmarkStart w:id="131" w:name="_Toc183582238"/>
      <w:bookmarkStart w:id="132" w:name="_Toc183682375"/>
      <w:bookmarkStart w:id="133" w:name="_Toc308164809"/>
      <w:bookmarkStart w:id="134" w:name="_Toc217446063"/>
      <w:r>
        <w:rPr>
          <w:rFonts w:hint="eastAsia" w:ascii="宋体" w:hAnsi="宋体"/>
          <w:color w:val="auto"/>
          <w:sz w:val="24"/>
        </w:rPr>
        <w:t>24．开评标过程存档</w:t>
      </w:r>
    </w:p>
    <w:p>
      <w:pPr>
        <w:spacing w:line="400" w:lineRule="exact"/>
        <w:ind w:firstLine="480" w:firstLineChars="200"/>
        <w:rPr>
          <w:rFonts w:ascii="宋体" w:hAnsi="宋体"/>
          <w:color w:val="auto"/>
          <w:sz w:val="24"/>
        </w:rPr>
      </w:pPr>
      <w:r>
        <w:rPr>
          <w:rFonts w:hint="eastAsia" w:ascii="宋体" w:hAnsi="宋体"/>
          <w:color w:val="auto"/>
          <w:sz w:val="24"/>
        </w:rPr>
        <w:t>开标和评标过程进行全过程电子监控，并将电子监控资料存储介质留存归档。</w:t>
      </w:r>
    </w:p>
    <w:p>
      <w:pPr>
        <w:pStyle w:val="5"/>
        <w:spacing w:line="400" w:lineRule="exact"/>
        <w:ind w:firstLine="482" w:firstLineChars="200"/>
        <w:rPr>
          <w:rFonts w:ascii="宋体" w:hAnsi="宋体"/>
          <w:color w:val="auto"/>
          <w:sz w:val="24"/>
        </w:rPr>
      </w:pPr>
      <w:r>
        <w:rPr>
          <w:rFonts w:hint="eastAsia" w:ascii="宋体" w:hAnsi="宋体"/>
          <w:color w:val="auto"/>
          <w:sz w:val="24"/>
        </w:rPr>
        <w:t>25.评标情况公告</w:t>
      </w:r>
    </w:p>
    <w:p>
      <w:pPr>
        <w:spacing w:line="400" w:lineRule="exact"/>
        <w:ind w:firstLine="480" w:firstLineChars="200"/>
        <w:rPr>
          <w:rFonts w:ascii="宋体" w:hAnsi="宋体"/>
          <w:color w:val="auto"/>
          <w:sz w:val="24"/>
        </w:rPr>
      </w:pPr>
      <w:r>
        <w:rPr>
          <w:rFonts w:hint="eastAsia" w:ascii="宋体" w:hAnsi="宋体"/>
          <w:color w:val="auto"/>
          <w:sz w:val="24"/>
        </w:rPr>
        <w:t>所有投标人投标文件资格性、符合性检查情况、采用综合评分法时的总得分和分项汇总得分情况、评标结果等将在四川政府采购网上采购结果公告栏中予以公告。</w:t>
      </w:r>
    </w:p>
    <w:p>
      <w:pPr>
        <w:pStyle w:val="5"/>
        <w:spacing w:line="400" w:lineRule="exact"/>
        <w:ind w:firstLine="482" w:firstLineChars="200"/>
        <w:rPr>
          <w:rFonts w:ascii="宋体" w:hAnsi="宋体"/>
          <w:color w:val="auto"/>
          <w:sz w:val="24"/>
        </w:rPr>
      </w:pPr>
      <w:r>
        <w:rPr>
          <w:rFonts w:hint="eastAsia" w:ascii="宋体" w:hAnsi="宋体"/>
          <w:color w:val="auto"/>
          <w:sz w:val="24"/>
        </w:rPr>
        <w:t>26.中标通知</w:t>
      </w:r>
      <w:bookmarkEnd w:id="131"/>
      <w:bookmarkEnd w:id="132"/>
      <w:r>
        <w:rPr>
          <w:rFonts w:hint="eastAsia" w:ascii="宋体" w:hAnsi="宋体"/>
          <w:color w:val="auto"/>
          <w:sz w:val="24"/>
        </w:rPr>
        <w:t>书</w:t>
      </w:r>
      <w:bookmarkEnd w:id="133"/>
      <w:bookmarkEnd w:id="134"/>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26</w:t>
      </w:r>
      <w:r>
        <w:rPr>
          <w:rFonts w:hint="eastAsia" w:ascii="宋体" w:hAnsi="宋体"/>
          <w:bCs/>
          <w:color w:val="auto"/>
          <w:sz w:val="24"/>
        </w:rPr>
        <w:t>.</w:t>
      </w:r>
      <w:r>
        <w:rPr>
          <w:rFonts w:hint="eastAsia" w:ascii="宋体" w:hAnsi="宋体"/>
          <w:color w:val="auto"/>
          <w:sz w:val="24"/>
        </w:rPr>
        <w:t>1 中标通知书为签订政府采购合同的依据之一，是合同的有效组成部分。</w:t>
      </w:r>
    </w:p>
    <w:p>
      <w:pPr>
        <w:tabs>
          <w:tab w:val="left" w:pos="7665"/>
        </w:tabs>
        <w:spacing w:line="400" w:lineRule="exact"/>
        <w:ind w:firstLine="480" w:firstLineChars="200"/>
        <w:rPr>
          <w:rFonts w:ascii="宋体" w:hAnsi="宋体"/>
          <w:color w:val="auto"/>
          <w:sz w:val="24"/>
        </w:rPr>
      </w:pPr>
      <w:r>
        <w:rPr>
          <w:rFonts w:hint="eastAsia" w:ascii="宋体" w:hAnsi="宋体"/>
          <w:color w:val="auto"/>
          <w:sz w:val="24"/>
        </w:rPr>
        <w:t>26.2 投标人中标后，拒绝领取中标通知书的，采购人或者采购代理机构将于中标人确定之日起两个工作日内采取邮寄、快递方式按照投标人投标文件中的地址发出中标通知书。</w:t>
      </w:r>
    </w:p>
    <w:p>
      <w:pPr>
        <w:tabs>
          <w:tab w:val="left" w:pos="7665"/>
        </w:tabs>
        <w:spacing w:line="400" w:lineRule="exact"/>
        <w:ind w:firstLine="480"/>
        <w:rPr>
          <w:rFonts w:ascii="宋体" w:hAnsi="宋体"/>
          <w:color w:val="auto"/>
          <w:sz w:val="24"/>
        </w:rPr>
      </w:pPr>
      <w:r>
        <w:rPr>
          <w:rFonts w:hint="eastAsia" w:ascii="宋体" w:hAnsi="宋体"/>
          <w:color w:val="auto"/>
          <w:sz w:val="24"/>
        </w:rPr>
        <w:t>26.3 中标通知书对采购人和中标人均具有法律效力。中标通知书发出后，采购人改变中标结果，或者中标人无正当理由放弃中标的，应当承担相应的法律责任。</w:t>
      </w:r>
    </w:p>
    <w:p>
      <w:pPr>
        <w:tabs>
          <w:tab w:val="left" w:pos="7665"/>
        </w:tabs>
        <w:spacing w:line="400" w:lineRule="exact"/>
        <w:ind w:firstLine="480"/>
        <w:rPr>
          <w:rFonts w:ascii="宋体" w:hAnsi="宋体"/>
          <w:color w:val="auto"/>
          <w:sz w:val="24"/>
        </w:rPr>
      </w:pPr>
      <w:r>
        <w:rPr>
          <w:rFonts w:hint="eastAsia" w:ascii="宋体" w:hAnsi="宋体"/>
          <w:color w:val="auto"/>
          <w:sz w:val="24"/>
        </w:rPr>
        <w:t>26.4中标人的投标文件本应作为无效投标处理或者有政府采购法律法规规章制度规定的中标无效情形的，采购人或者采购代理机构在取得有权主体的认定以后，将宣布发出的中标通知书无效，并收回发出的中标通知书（中标人也应当缴回），依法重新确定中标人或者重新开展采购活动。</w:t>
      </w:r>
    </w:p>
    <w:p>
      <w:pPr>
        <w:spacing w:line="400" w:lineRule="exact"/>
        <w:ind w:firstLine="420" w:firstLineChars="175"/>
        <w:rPr>
          <w:rFonts w:ascii="宋体" w:hAnsi="宋体"/>
          <w:color w:val="auto"/>
          <w:sz w:val="24"/>
        </w:rPr>
      </w:pPr>
      <w:r>
        <w:rPr>
          <w:rFonts w:hint="eastAsia" w:ascii="宋体" w:hAnsi="宋体"/>
          <w:color w:val="auto"/>
          <w:sz w:val="24"/>
        </w:rPr>
        <w:t>26.5中标公告发出后，中标人自行领取中标通知书的，可凭有效身份证明证件到成都盈合工程项目管理有限公司领取中标通知书。联系人：袁女士，联系电话：028-61397250。</w:t>
      </w:r>
    </w:p>
    <w:p>
      <w:pPr>
        <w:pStyle w:val="3"/>
        <w:spacing w:line="400" w:lineRule="exact"/>
        <w:ind w:firstLine="562" w:firstLineChars="200"/>
        <w:jc w:val="center"/>
        <w:rPr>
          <w:rFonts w:ascii="宋体" w:hAnsi="宋体"/>
          <w:color w:val="auto"/>
          <w:sz w:val="28"/>
          <w:szCs w:val="28"/>
        </w:rPr>
      </w:pPr>
      <w:bookmarkStart w:id="135" w:name="_Toc527460976"/>
      <w:bookmarkStart w:id="136" w:name="_Toc217446064"/>
      <w:bookmarkStart w:id="137" w:name="_Toc65154537"/>
      <w:bookmarkStart w:id="138" w:name="_Toc65154640"/>
      <w:bookmarkStart w:id="139" w:name="_Toc308164810"/>
      <w:bookmarkStart w:id="140" w:name="_Toc183582240"/>
      <w:bookmarkStart w:id="141" w:name="_Toc183682377"/>
      <w:r>
        <w:rPr>
          <w:rFonts w:hint="eastAsia" w:ascii="宋体" w:hAnsi="宋体"/>
          <w:color w:val="auto"/>
          <w:sz w:val="28"/>
          <w:szCs w:val="28"/>
        </w:rPr>
        <w:t>六、签订及履行合同和验收</w:t>
      </w:r>
      <w:bookmarkEnd w:id="135"/>
      <w:bookmarkEnd w:id="136"/>
      <w:bookmarkEnd w:id="137"/>
      <w:bookmarkEnd w:id="138"/>
      <w:bookmarkEnd w:id="139"/>
    </w:p>
    <w:p>
      <w:pPr>
        <w:pStyle w:val="5"/>
        <w:spacing w:line="400" w:lineRule="exact"/>
        <w:ind w:firstLine="482" w:firstLineChars="200"/>
        <w:rPr>
          <w:rFonts w:ascii="宋体" w:hAnsi="宋体"/>
          <w:color w:val="auto"/>
          <w:sz w:val="24"/>
        </w:rPr>
      </w:pPr>
      <w:bookmarkStart w:id="142" w:name="_Toc217446065"/>
      <w:bookmarkStart w:id="143" w:name="_Toc308164811"/>
      <w:r>
        <w:rPr>
          <w:rFonts w:hint="eastAsia" w:ascii="宋体" w:hAnsi="宋体"/>
          <w:color w:val="auto"/>
          <w:sz w:val="24"/>
        </w:rPr>
        <w:t>27. 签订合同</w:t>
      </w:r>
      <w:bookmarkEnd w:id="142"/>
      <w:bookmarkEnd w:id="143"/>
    </w:p>
    <w:p>
      <w:pPr>
        <w:spacing w:line="400" w:lineRule="exact"/>
        <w:ind w:firstLine="480" w:firstLineChars="200"/>
        <w:rPr>
          <w:rFonts w:ascii="宋体" w:hAnsi="宋体"/>
          <w:color w:val="auto"/>
          <w:sz w:val="24"/>
        </w:rPr>
      </w:pPr>
    </w:p>
    <w:p>
      <w:pPr>
        <w:spacing w:line="400" w:lineRule="exact"/>
        <w:ind w:firstLine="480" w:firstLineChars="200"/>
        <w:rPr>
          <w:rFonts w:ascii="宋体" w:hAnsi="宋体"/>
          <w:color w:val="auto"/>
          <w:sz w:val="24"/>
        </w:rPr>
      </w:pPr>
      <w:r>
        <w:rPr>
          <w:rFonts w:hint="eastAsia" w:ascii="宋体" w:hAnsi="宋体"/>
          <w:color w:val="auto"/>
          <w:sz w:val="24"/>
        </w:rPr>
        <w:t>27.1 中标人应在中标通知书发出之日起三十日内与采购人签订采购合同。由于中标人的原因逾期未与采购人签订采购合同的，将承担相应法律责任。</w:t>
      </w:r>
    </w:p>
    <w:p>
      <w:pPr>
        <w:spacing w:line="400" w:lineRule="exact"/>
        <w:ind w:firstLine="420" w:firstLineChars="175"/>
        <w:rPr>
          <w:rFonts w:ascii="宋体" w:hAnsi="宋体"/>
          <w:color w:val="auto"/>
          <w:sz w:val="24"/>
        </w:rPr>
      </w:pPr>
      <w:r>
        <w:rPr>
          <w:rFonts w:hint="eastAsia" w:ascii="宋体" w:hAnsi="宋体"/>
          <w:color w:val="auto"/>
          <w:sz w:val="24"/>
        </w:rPr>
        <w:t>27.2 采购人不得向中标人提出任何不合理的要求，作为签订合同的条件，不得与中标人私下订立背离合同实质性内容的任何协议，所签订的合同不得对招标文件和中标人投标文件确定的事项作实质性修改。</w:t>
      </w:r>
    </w:p>
    <w:p>
      <w:pPr>
        <w:spacing w:line="400" w:lineRule="exact"/>
        <w:ind w:firstLine="420" w:firstLineChars="175"/>
        <w:rPr>
          <w:rFonts w:ascii="宋体" w:hAnsi="宋体"/>
          <w:color w:val="auto"/>
          <w:sz w:val="24"/>
        </w:rPr>
      </w:pPr>
      <w:r>
        <w:rPr>
          <w:rFonts w:hint="eastAsia" w:ascii="宋体" w:hAnsi="宋体"/>
          <w:color w:val="auto"/>
          <w:sz w:val="24"/>
        </w:rPr>
        <w:t>27.3 中标人因不可抗力原因不能履行采购合同或放弃中标的，采购人可以与排在中标人之后第一位的中标候选人签订采购合同，以此类推。</w:t>
      </w:r>
    </w:p>
    <w:p>
      <w:pPr>
        <w:spacing w:line="400" w:lineRule="exact"/>
        <w:ind w:firstLine="420" w:firstLineChars="175"/>
        <w:rPr>
          <w:rFonts w:ascii="新宋体" w:hAnsi="新宋体" w:eastAsia="新宋体"/>
          <w:color w:val="auto"/>
          <w:sz w:val="24"/>
        </w:rPr>
      </w:pPr>
      <w:r>
        <w:rPr>
          <w:rFonts w:hint="eastAsia" w:ascii="宋体" w:hAnsi="宋体"/>
          <w:color w:val="auto"/>
          <w:sz w:val="24"/>
        </w:rPr>
        <w:t>27.4 中标人在合同签订之后1个工作日内，将签订的合同（一式1份）送成都盈合工程项目管理有限公司进行合同编号。</w:t>
      </w:r>
    </w:p>
    <w:p>
      <w:pPr>
        <w:spacing w:line="400" w:lineRule="exact"/>
        <w:ind w:firstLine="420" w:firstLineChars="175"/>
        <w:rPr>
          <w:rFonts w:ascii="宋体" w:hAnsi="宋体"/>
          <w:color w:val="auto"/>
          <w:sz w:val="24"/>
        </w:rPr>
      </w:pPr>
      <w:r>
        <w:rPr>
          <w:rFonts w:hint="eastAsia" w:ascii="宋体" w:hAnsi="宋体"/>
          <w:color w:val="auto"/>
          <w:sz w:val="24"/>
        </w:rPr>
        <w:t>联系人：刘小姐，联系电话：028-</w:t>
      </w:r>
      <w:r>
        <w:rPr>
          <w:rFonts w:ascii="宋体" w:hAnsi="宋体"/>
          <w:color w:val="auto"/>
          <w:sz w:val="24"/>
        </w:rPr>
        <w:t>61397251</w:t>
      </w:r>
      <w:r>
        <w:rPr>
          <w:rFonts w:hint="eastAsia" w:ascii="宋体" w:hAnsi="宋体"/>
          <w:color w:val="auto"/>
          <w:sz w:val="24"/>
        </w:rPr>
        <w:t>转</w:t>
      </w:r>
      <w:r>
        <w:rPr>
          <w:rFonts w:ascii="宋体" w:hAnsi="宋体"/>
          <w:color w:val="auto"/>
          <w:sz w:val="24"/>
        </w:rPr>
        <w:t>610</w:t>
      </w:r>
      <w:r>
        <w:rPr>
          <w:rFonts w:hint="eastAsia" w:ascii="宋体" w:hAnsi="宋体"/>
          <w:color w:val="auto"/>
          <w:sz w:val="24"/>
        </w:rPr>
        <w:t>。</w:t>
      </w:r>
    </w:p>
    <w:p>
      <w:pPr>
        <w:pStyle w:val="5"/>
        <w:spacing w:line="400" w:lineRule="exact"/>
        <w:ind w:firstLine="482" w:firstLineChars="200"/>
        <w:rPr>
          <w:rFonts w:ascii="宋体" w:hAnsi="宋体"/>
          <w:color w:val="auto"/>
          <w:sz w:val="24"/>
        </w:rPr>
      </w:pPr>
      <w:r>
        <w:rPr>
          <w:rFonts w:hint="eastAsia" w:ascii="宋体" w:hAnsi="宋体"/>
          <w:color w:val="auto"/>
          <w:sz w:val="24"/>
        </w:rPr>
        <w:t>28. 合同分包（实质性要求）</w:t>
      </w:r>
    </w:p>
    <w:p>
      <w:pPr>
        <w:spacing w:line="400" w:lineRule="exact"/>
        <w:ind w:firstLine="480" w:firstLineChars="200"/>
        <w:rPr>
          <w:rFonts w:ascii="宋体" w:hAnsi="宋体"/>
          <w:color w:val="auto"/>
          <w:sz w:val="24"/>
        </w:rPr>
      </w:pPr>
      <w:r>
        <w:rPr>
          <w:rFonts w:hint="eastAsia" w:ascii="宋体" w:hAnsi="宋体"/>
          <w:color w:val="auto"/>
          <w:sz w:val="24"/>
        </w:rPr>
        <w:t>28.1 经采购人同意，中标人可以依法采取分包方式履行合同。这种要求应当在投标文件中载明并在合同签订之前征得采购人同意，并且分包供应商履行的分包项目的品牌、规格型号及技术要求等，必须与中标的一致，投标文件中应载明分包承担主体，分包承担主体应当具备相应资质条件且不得再次分包。</w:t>
      </w:r>
    </w:p>
    <w:p>
      <w:pPr>
        <w:spacing w:line="400" w:lineRule="exact"/>
        <w:ind w:firstLine="480" w:firstLineChars="200"/>
        <w:rPr>
          <w:rFonts w:ascii="宋体" w:hAnsi="宋体"/>
          <w:color w:val="auto"/>
          <w:sz w:val="24"/>
        </w:rPr>
      </w:pPr>
      <w:r>
        <w:rPr>
          <w:rFonts w:hint="eastAsia" w:ascii="宋体" w:hAnsi="宋体"/>
          <w:color w:val="auto"/>
          <w:sz w:val="24"/>
        </w:rPr>
        <w:t>分包履行合同的部分应当为采购项目的非主体、非关键性工作，不属于中标人的主要合同义务。</w:t>
      </w:r>
    </w:p>
    <w:p>
      <w:pPr>
        <w:spacing w:line="400" w:lineRule="exact"/>
        <w:ind w:firstLine="480" w:firstLineChars="200"/>
        <w:rPr>
          <w:rFonts w:ascii="宋体" w:hAnsi="宋体"/>
          <w:color w:val="auto"/>
          <w:sz w:val="24"/>
        </w:rPr>
      </w:pPr>
      <w:r>
        <w:rPr>
          <w:rFonts w:hint="eastAsia" w:ascii="宋体" w:hAnsi="宋体"/>
          <w:color w:val="auto"/>
          <w:sz w:val="24"/>
        </w:rPr>
        <w:t>28.2 采购合同实行分包履行的，中标人就采购项目和分包项目向采购人负责，分包供应商就分包项目承担责任。</w:t>
      </w:r>
    </w:p>
    <w:p>
      <w:pPr>
        <w:spacing w:line="400" w:lineRule="exact"/>
        <w:ind w:firstLine="480" w:firstLineChars="200"/>
        <w:rPr>
          <w:rFonts w:ascii="宋体" w:hAnsi="宋体"/>
          <w:color w:val="auto"/>
          <w:sz w:val="24"/>
        </w:rPr>
      </w:pPr>
      <w:r>
        <w:rPr>
          <w:rFonts w:hint="eastAsia" w:ascii="宋体" w:hAnsi="宋体"/>
          <w:color w:val="auto"/>
          <w:sz w:val="24"/>
        </w:rPr>
        <w:t>28.3中小企业依据《政府采购促进中小企业发展管理办法》（财库〔2020〕46号）规定享受扶持政策获得政府采购合同的，小微型企业不得将合同分包给大中型企业，中型企业不得将合同分包给大型企业。</w:t>
      </w:r>
    </w:p>
    <w:p>
      <w:pPr>
        <w:pStyle w:val="5"/>
        <w:spacing w:line="400" w:lineRule="exact"/>
        <w:ind w:firstLine="482" w:firstLineChars="200"/>
        <w:rPr>
          <w:rFonts w:ascii="宋体" w:hAnsi="宋体"/>
          <w:color w:val="auto"/>
          <w:sz w:val="24"/>
        </w:rPr>
      </w:pPr>
      <w:r>
        <w:rPr>
          <w:rFonts w:hint="eastAsia" w:ascii="宋体" w:hAnsi="宋体"/>
          <w:color w:val="auto"/>
          <w:sz w:val="24"/>
        </w:rPr>
        <w:t>29.合同转包（实质性要求）</w:t>
      </w:r>
    </w:p>
    <w:p>
      <w:pPr>
        <w:spacing w:line="400" w:lineRule="exact"/>
        <w:ind w:firstLine="540" w:firstLineChars="225"/>
        <w:rPr>
          <w:rFonts w:ascii="宋体" w:hAnsi="宋体"/>
          <w:color w:val="auto"/>
          <w:sz w:val="24"/>
        </w:rPr>
      </w:pPr>
      <w:r>
        <w:rPr>
          <w:rFonts w:hint="eastAsia" w:ascii="宋体" w:hAnsi="宋体"/>
          <w:color w:val="auto"/>
          <w:sz w:val="24"/>
        </w:rPr>
        <w:t>29.1 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pPr>
        <w:spacing w:line="400" w:lineRule="exact"/>
        <w:ind w:firstLine="540" w:firstLineChars="225"/>
        <w:rPr>
          <w:rFonts w:ascii="宋体" w:hAnsi="宋体"/>
          <w:color w:val="auto"/>
          <w:sz w:val="24"/>
        </w:rPr>
      </w:pPr>
      <w:r>
        <w:rPr>
          <w:rFonts w:hint="eastAsia" w:ascii="宋体" w:hAnsi="宋体"/>
          <w:color w:val="auto"/>
          <w:sz w:val="24"/>
        </w:rPr>
        <w:t>29.2 中标人转包的，视同拒绝履行政府采购合同义务，将依法追究法律责任。</w:t>
      </w:r>
    </w:p>
    <w:p>
      <w:pPr>
        <w:pStyle w:val="5"/>
        <w:spacing w:line="400" w:lineRule="exact"/>
        <w:ind w:firstLine="482" w:firstLineChars="200"/>
        <w:rPr>
          <w:rFonts w:ascii="宋体" w:hAnsi="宋体"/>
          <w:color w:val="auto"/>
          <w:sz w:val="24"/>
        </w:rPr>
      </w:pPr>
      <w:bookmarkStart w:id="144" w:name="_Toc217446066"/>
      <w:r>
        <w:rPr>
          <w:rFonts w:hint="eastAsia" w:ascii="宋体" w:hAnsi="宋体"/>
          <w:color w:val="auto"/>
          <w:sz w:val="24"/>
        </w:rPr>
        <w:t>30.</w:t>
      </w:r>
      <w:bookmarkEnd w:id="144"/>
      <w:r>
        <w:rPr>
          <w:rFonts w:hint="eastAsia" w:ascii="宋体" w:hAnsi="宋体"/>
          <w:color w:val="auto"/>
          <w:sz w:val="24"/>
        </w:rPr>
        <w:t xml:space="preserve"> 补充合同</w:t>
      </w:r>
    </w:p>
    <w:p>
      <w:pPr>
        <w:spacing w:line="400" w:lineRule="exact"/>
        <w:ind w:firstLine="480" w:firstLineChars="200"/>
        <w:rPr>
          <w:rFonts w:ascii="宋体" w:hAnsi="宋体"/>
          <w:color w:val="auto"/>
          <w:sz w:val="24"/>
        </w:rPr>
      </w:pPr>
      <w:r>
        <w:rPr>
          <w:rFonts w:hint="eastAsia" w:ascii="宋体" w:hAnsi="宋体"/>
          <w:color w:val="auto"/>
          <w:sz w:val="24"/>
        </w:rPr>
        <w:t xml:space="preserve">采购合同履行过程中，采购人需要追加与合同标的相同的货物或者服务的，在不改变合同其他条款的前提下，可以与中标人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pPr>
        <w:pStyle w:val="5"/>
        <w:spacing w:line="400" w:lineRule="exact"/>
        <w:ind w:firstLine="482" w:firstLineChars="200"/>
        <w:rPr>
          <w:rFonts w:ascii="宋体" w:hAnsi="宋体"/>
          <w:color w:val="auto"/>
          <w:sz w:val="24"/>
        </w:rPr>
      </w:pPr>
      <w:bookmarkStart w:id="145" w:name="_Toc217446068"/>
      <w:bookmarkStart w:id="146" w:name="_Toc308164812"/>
      <w:r>
        <w:rPr>
          <w:rFonts w:hint="eastAsia" w:ascii="宋体" w:hAnsi="宋体"/>
          <w:color w:val="auto"/>
          <w:sz w:val="24"/>
        </w:rPr>
        <w:t>31. 履约保证金</w:t>
      </w:r>
      <w:bookmarkEnd w:id="145"/>
      <w:bookmarkEnd w:id="146"/>
    </w:p>
    <w:p>
      <w:pPr>
        <w:pStyle w:val="2"/>
        <w:ind w:firstLine="480"/>
        <w:rPr>
          <w:color w:val="auto"/>
        </w:rPr>
      </w:pPr>
      <w:r>
        <w:rPr>
          <w:rFonts w:hint="eastAsia"/>
          <w:color w:val="auto"/>
        </w:rPr>
        <w:t>本项目不要求缴纳履约保证金。</w:t>
      </w:r>
    </w:p>
    <w:p>
      <w:pPr>
        <w:pStyle w:val="5"/>
        <w:spacing w:line="400" w:lineRule="exact"/>
        <w:ind w:firstLine="482" w:firstLineChars="200"/>
        <w:rPr>
          <w:rFonts w:ascii="宋体" w:hAnsi="宋体"/>
          <w:color w:val="auto"/>
          <w:sz w:val="24"/>
        </w:rPr>
      </w:pPr>
      <w:bookmarkStart w:id="147" w:name="_Toc308164813"/>
      <w:bookmarkStart w:id="148" w:name="_Toc217446069"/>
      <w:r>
        <w:rPr>
          <w:rFonts w:hint="eastAsia" w:ascii="宋体" w:hAnsi="宋体"/>
          <w:color w:val="auto"/>
          <w:sz w:val="24"/>
        </w:rPr>
        <w:t>32.合同公告</w:t>
      </w:r>
    </w:p>
    <w:p>
      <w:pPr>
        <w:spacing w:line="400" w:lineRule="exact"/>
        <w:ind w:firstLine="480" w:firstLineChars="200"/>
        <w:rPr>
          <w:rFonts w:ascii="宋体" w:hAnsi="宋体"/>
          <w:color w:val="auto"/>
          <w:sz w:val="24"/>
        </w:rPr>
      </w:pPr>
      <w:r>
        <w:rPr>
          <w:rFonts w:hint="eastAsia" w:ascii="宋体" w:hAnsi="宋体"/>
          <w:color w:val="auto"/>
          <w:sz w:val="24"/>
        </w:rPr>
        <w:t>采购人应当自政府采购合同签订（双方当事人均已签字盖章）之日起2个工作日内，将政府采购合同在省级以上人民政府财政部门指定的媒体上公告（四川政府采购网），但政府采购合同中涉及国家秘密、商业秘密的内容除外。</w:t>
      </w:r>
    </w:p>
    <w:p>
      <w:pPr>
        <w:pStyle w:val="5"/>
        <w:spacing w:line="400" w:lineRule="exact"/>
        <w:ind w:firstLine="482" w:firstLineChars="200"/>
        <w:rPr>
          <w:rFonts w:ascii="宋体" w:hAnsi="宋体"/>
          <w:color w:val="auto"/>
          <w:sz w:val="24"/>
        </w:rPr>
      </w:pPr>
      <w:r>
        <w:rPr>
          <w:rFonts w:hint="eastAsia" w:ascii="宋体" w:hAnsi="宋体"/>
          <w:color w:val="auto"/>
          <w:sz w:val="24"/>
        </w:rPr>
        <w:t>33、合同备案</w:t>
      </w:r>
    </w:p>
    <w:p>
      <w:pPr>
        <w:spacing w:line="400" w:lineRule="exact"/>
        <w:ind w:firstLine="480" w:firstLineChars="200"/>
        <w:rPr>
          <w:rFonts w:ascii="宋体" w:hAnsi="宋体"/>
          <w:color w:val="auto"/>
          <w:sz w:val="24"/>
        </w:rPr>
      </w:pPr>
      <w:r>
        <w:rPr>
          <w:rFonts w:hint="eastAsia" w:ascii="宋体" w:hAnsi="宋体"/>
          <w:color w:val="auto"/>
          <w:sz w:val="24"/>
        </w:rPr>
        <w:t>采购人应当将政府采购合同副本自签订（双方当事人均已签字盖章）之日起七个工作日内通过四川政府采购网报同级财政部门备案。</w:t>
      </w:r>
    </w:p>
    <w:p>
      <w:pPr>
        <w:pStyle w:val="5"/>
        <w:spacing w:line="400" w:lineRule="exact"/>
        <w:ind w:firstLine="482" w:firstLineChars="200"/>
        <w:rPr>
          <w:rFonts w:ascii="宋体" w:hAnsi="宋体"/>
          <w:color w:val="auto"/>
          <w:sz w:val="24"/>
        </w:rPr>
      </w:pPr>
      <w:r>
        <w:rPr>
          <w:rFonts w:hint="eastAsia" w:ascii="宋体" w:hAnsi="宋体"/>
          <w:color w:val="auto"/>
          <w:sz w:val="24"/>
        </w:rPr>
        <w:t>34. 履行合同</w:t>
      </w:r>
      <w:bookmarkEnd w:id="147"/>
      <w:bookmarkEnd w:id="148"/>
    </w:p>
    <w:p>
      <w:pPr>
        <w:spacing w:line="400" w:lineRule="exact"/>
        <w:rPr>
          <w:rFonts w:ascii="宋体" w:hAnsi="宋体"/>
          <w:color w:val="auto"/>
          <w:sz w:val="24"/>
        </w:rPr>
      </w:pPr>
      <w:r>
        <w:rPr>
          <w:rFonts w:hint="eastAsia" w:ascii="宋体" w:hAnsi="宋体"/>
          <w:color w:val="auto"/>
          <w:sz w:val="24"/>
        </w:rPr>
        <w:t xml:space="preserve">   34.1 中标人与采购人签订合同后，合同双方应严格执行合同条款，履行合同规定的义务，保证合同的顺利完成。</w:t>
      </w:r>
    </w:p>
    <w:p>
      <w:pPr>
        <w:spacing w:line="400" w:lineRule="exact"/>
        <w:rPr>
          <w:rFonts w:ascii="宋体" w:hAnsi="宋体"/>
          <w:color w:val="auto"/>
          <w:sz w:val="24"/>
        </w:rPr>
      </w:pPr>
      <w:r>
        <w:rPr>
          <w:rFonts w:hint="eastAsia" w:ascii="宋体" w:hAnsi="宋体"/>
          <w:color w:val="auto"/>
          <w:sz w:val="24"/>
        </w:rPr>
        <w:t xml:space="preserve">   34.2 在合同履行过程中，如发生合同纠纷，合同双方应按照《中华人民共和国民法典》的有关规定进行处理。</w:t>
      </w:r>
    </w:p>
    <w:p>
      <w:pPr>
        <w:pStyle w:val="5"/>
        <w:spacing w:line="400" w:lineRule="exact"/>
        <w:ind w:firstLine="482" w:firstLineChars="200"/>
        <w:rPr>
          <w:rFonts w:ascii="宋体" w:hAnsi="宋体"/>
          <w:color w:val="auto"/>
          <w:sz w:val="24"/>
        </w:rPr>
      </w:pPr>
      <w:bookmarkStart w:id="149" w:name="_Toc308164814"/>
      <w:bookmarkStart w:id="150" w:name="_Toc217446070"/>
      <w:r>
        <w:rPr>
          <w:rFonts w:hint="eastAsia" w:ascii="宋体" w:hAnsi="宋体"/>
          <w:color w:val="auto"/>
          <w:sz w:val="24"/>
        </w:rPr>
        <w:t>35. 验收</w:t>
      </w:r>
      <w:bookmarkEnd w:id="149"/>
      <w:bookmarkEnd w:id="150"/>
    </w:p>
    <w:p>
      <w:pPr>
        <w:spacing w:line="400" w:lineRule="exact"/>
        <w:ind w:firstLine="480" w:firstLineChars="200"/>
        <w:rPr>
          <w:rFonts w:ascii="宋体" w:hAnsi="宋体"/>
          <w:color w:val="auto"/>
          <w:sz w:val="24"/>
        </w:rPr>
      </w:pPr>
      <w:bookmarkStart w:id="151" w:name="_Toc217446071"/>
      <w:r>
        <w:rPr>
          <w:rFonts w:hint="eastAsia" w:ascii="宋体" w:hAnsi="宋体"/>
          <w:color w:val="auto"/>
          <w:sz w:val="24"/>
        </w:rPr>
        <w:t>3</w:t>
      </w:r>
      <w:r>
        <w:rPr>
          <w:rFonts w:ascii="宋体" w:hAnsi="宋体"/>
          <w:color w:val="auto"/>
          <w:sz w:val="24"/>
        </w:rPr>
        <w:t>5</w:t>
      </w:r>
      <w:r>
        <w:rPr>
          <w:rFonts w:hint="eastAsia" w:ascii="宋体" w:hAnsi="宋体"/>
          <w:color w:val="auto"/>
          <w:sz w:val="24"/>
        </w:rPr>
        <w:t>.1本项目采购人和中标人应严格按照《财政部关于进一步加强政府采购需求和履约验收管理的指导意见》（财库〔2016〕205 号）等政府采购相关法律法规的要求，以及招标文件的要求和投标文件及合同承诺的内容组织验收。</w:t>
      </w:r>
    </w:p>
    <w:p>
      <w:pPr>
        <w:spacing w:line="400" w:lineRule="exact"/>
        <w:ind w:firstLine="480" w:firstLineChars="200"/>
        <w:rPr>
          <w:rFonts w:ascii="宋体" w:hAnsi="宋体"/>
          <w:color w:val="auto"/>
          <w:sz w:val="24"/>
        </w:rPr>
      </w:pPr>
      <w:r>
        <w:rPr>
          <w:rFonts w:hint="eastAsia" w:ascii="宋体" w:hAnsi="宋体"/>
          <w:color w:val="auto"/>
          <w:sz w:val="24"/>
        </w:rPr>
        <w:t>34.2若验收结果不合格的，将不予支付采购资金，还可能会报告本项目同级财政部门按照政府采购法律法规及《成都市政府采购诚信评价实施细则》等有关规定给予行政处罚或者以失信行为记入政府采购诚信评价。</w:t>
      </w:r>
    </w:p>
    <w:p>
      <w:pPr>
        <w:spacing w:line="400" w:lineRule="exact"/>
        <w:ind w:firstLine="480" w:firstLineChars="200"/>
        <w:rPr>
          <w:rFonts w:ascii="宋体" w:hAnsi="宋体"/>
          <w:color w:val="auto"/>
          <w:sz w:val="24"/>
        </w:rPr>
      </w:pPr>
      <w:r>
        <w:rPr>
          <w:rFonts w:hint="eastAsia" w:ascii="宋体" w:hAnsi="宋体"/>
          <w:color w:val="auto"/>
          <w:sz w:val="24"/>
        </w:rPr>
        <w:t>34.3存在国家强制规定或行业标准的遵照相关规定执行。</w:t>
      </w:r>
    </w:p>
    <w:p>
      <w:pPr>
        <w:pStyle w:val="5"/>
        <w:spacing w:line="400" w:lineRule="exact"/>
        <w:ind w:firstLine="482" w:firstLineChars="200"/>
        <w:rPr>
          <w:rFonts w:ascii="宋体" w:hAnsi="宋体"/>
          <w:color w:val="auto"/>
          <w:sz w:val="24"/>
        </w:rPr>
      </w:pPr>
      <w:bookmarkStart w:id="152" w:name="_Toc217446077"/>
      <w:bookmarkStart w:id="153" w:name="_Toc308164818"/>
      <w:r>
        <w:rPr>
          <w:rFonts w:hint="eastAsia" w:ascii="宋体" w:hAnsi="宋体"/>
          <w:color w:val="auto"/>
          <w:sz w:val="24"/>
        </w:rPr>
        <w:t>36.资金支付</w:t>
      </w:r>
      <w:bookmarkEnd w:id="152"/>
      <w:bookmarkEnd w:id="153"/>
    </w:p>
    <w:bookmarkEnd w:id="140"/>
    <w:bookmarkEnd w:id="141"/>
    <w:bookmarkEnd w:id="151"/>
    <w:p>
      <w:pPr>
        <w:spacing w:line="360" w:lineRule="auto"/>
        <w:ind w:firstLine="480" w:firstLineChars="200"/>
        <w:jc w:val="left"/>
        <w:rPr>
          <w:rFonts w:hAnsi="宋体"/>
          <w:color w:val="auto"/>
          <w:sz w:val="24"/>
        </w:rPr>
      </w:pPr>
      <w:bookmarkStart w:id="154" w:name="_Toc527460977"/>
      <w:bookmarkStart w:id="155" w:name="_Toc308164815"/>
      <w:bookmarkStart w:id="156" w:name="_Toc217446074"/>
      <w:bookmarkStart w:id="157" w:name="_Toc183582243"/>
      <w:bookmarkStart w:id="158" w:name="_Toc183682380"/>
      <w:r>
        <w:rPr>
          <w:rFonts w:hint="eastAsia" w:ascii="宋体" w:hAnsi="宋体"/>
          <w:color w:val="auto"/>
          <w:sz w:val="24"/>
        </w:rPr>
        <w:t>36.1</w:t>
      </w:r>
      <w:r>
        <w:rPr>
          <w:rFonts w:hint="eastAsia" w:hAnsi="宋体"/>
          <w:color w:val="auto"/>
          <w:sz w:val="24"/>
        </w:rPr>
        <w:t>合同生效后，甲方收到</w:t>
      </w:r>
      <w:r>
        <w:rPr>
          <w:rFonts w:hint="eastAsia" w:hAnsi="宋体" w:cs="仿宋"/>
          <w:color w:val="auto"/>
          <w:sz w:val="24"/>
        </w:rPr>
        <w:t>乙方开具与本次支付金额相对应且符合甲方要求的正规发票后的15个工作日内，向乙方支付合同约定价格的30</w:t>
      </w:r>
      <w:r>
        <w:rPr>
          <w:rFonts w:hint="eastAsia" w:hAnsi="宋体"/>
          <w:color w:val="auto"/>
          <w:sz w:val="24"/>
        </w:rPr>
        <w:t>%作为预付款；货到现场验收合格并</w:t>
      </w:r>
      <w:r>
        <w:rPr>
          <w:rFonts w:hint="eastAsia" w:hAnsi="宋体" w:cs="仿宋"/>
          <w:color w:val="auto"/>
          <w:sz w:val="24"/>
        </w:rPr>
        <w:t>在</w:t>
      </w:r>
      <w:r>
        <w:rPr>
          <w:rFonts w:hint="eastAsia" w:hAnsi="宋体"/>
          <w:color w:val="auto"/>
          <w:sz w:val="24"/>
        </w:rPr>
        <w:t>甲方收到</w:t>
      </w:r>
      <w:r>
        <w:rPr>
          <w:rFonts w:hint="eastAsia" w:hAnsi="宋体" w:cs="仿宋"/>
          <w:color w:val="auto"/>
          <w:sz w:val="24"/>
        </w:rPr>
        <w:t>乙方开具与本次支付金额相对应且符合甲方要求的正规发票后的15个工作日内，向乙方支付合同约定价格的65</w:t>
      </w:r>
      <w:r>
        <w:rPr>
          <w:rFonts w:hint="eastAsia" w:hAnsi="宋体"/>
          <w:color w:val="auto"/>
          <w:sz w:val="24"/>
        </w:rPr>
        <w:t>%；正赛结束后，甲方收到乙方提供的质量保证函以及</w:t>
      </w:r>
      <w:r>
        <w:rPr>
          <w:rFonts w:hint="eastAsia" w:hAnsi="宋体" w:cs="仿宋"/>
          <w:color w:val="auto"/>
          <w:sz w:val="24"/>
        </w:rPr>
        <w:t>与本次支付金额相对应且符合甲方要求的正规发票后的15个工作日内支付剩余尾款</w:t>
      </w:r>
      <w:r>
        <w:rPr>
          <w:rFonts w:hint="eastAsia" w:hAnsi="宋体"/>
          <w:color w:val="auto"/>
          <w:sz w:val="24"/>
        </w:rPr>
        <w:t>。涉及备用竞赛专项器材使用产生的费用将根据合同中拟定的单价据实结算。</w:t>
      </w:r>
    </w:p>
    <w:p>
      <w:pPr>
        <w:spacing w:line="360" w:lineRule="auto"/>
        <w:jc w:val="center"/>
        <w:rPr>
          <w:rFonts w:ascii="宋体" w:hAnsi="宋体"/>
          <w:b/>
          <w:color w:val="auto"/>
          <w:sz w:val="28"/>
          <w:szCs w:val="28"/>
        </w:rPr>
      </w:pPr>
      <w:r>
        <w:rPr>
          <w:rFonts w:hint="eastAsia" w:ascii="宋体" w:hAnsi="宋体"/>
          <w:b/>
          <w:color w:val="auto"/>
          <w:sz w:val="28"/>
          <w:szCs w:val="28"/>
        </w:rPr>
        <w:t>七、投标纪律要求</w:t>
      </w:r>
      <w:bookmarkEnd w:id="154"/>
      <w:bookmarkEnd w:id="155"/>
      <w:bookmarkEnd w:id="156"/>
    </w:p>
    <w:p>
      <w:pPr>
        <w:pStyle w:val="5"/>
        <w:spacing w:line="400" w:lineRule="exact"/>
        <w:ind w:firstLine="482" w:firstLineChars="200"/>
        <w:rPr>
          <w:rFonts w:ascii="宋体" w:hAnsi="宋体"/>
          <w:bCs w:val="0"/>
          <w:color w:val="auto"/>
          <w:sz w:val="24"/>
          <w:szCs w:val="24"/>
        </w:rPr>
      </w:pPr>
      <w:bookmarkStart w:id="159" w:name="_Toc308164816"/>
      <w:bookmarkStart w:id="160" w:name="_Toc217446075"/>
      <w:r>
        <w:rPr>
          <w:rFonts w:hint="eastAsia" w:ascii="宋体" w:hAnsi="宋体"/>
          <w:color w:val="auto"/>
          <w:sz w:val="24"/>
        </w:rPr>
        <w:t xml:space="preserve">37. </w:t>
      </w:r>
      <w:r>
        <w:rPr>
          <w:rFonts w:hint="eastAsia" w:ascii="宋体" w:hAnsi="宋体"/>
          <w:bCs w:val="0"/>
          <w:color w:val="auto"/>
          <w:sz w:val="24"/>
          <w:szCs w:val="24"/>
        </w:rPr>
        <w:t>投标人不得具有的情形</w:t>
      </w:r>
      <w:bookmarkEnd w:id="159"/>
      <w:bookmarkEnd w:id="160"/>
    </w:p>
    <w:p>
      <w:pPr>
        <w:pStyle w:val="12"/>
        <w:spacing w:line="400" w:lineRule="exact"/>
        <w:ind w:firstLine="480"/>
        <w:rPr>
          <w:rFonts w:ascii="宋体" w:hAnsi="宋体"/>
          <w:color w:val="auto"/>
          <w:sz w:val="24"/>
        </w:rPr>
      </w:pPr>
      <w:r>
        <w:rPr>
          <w:rFonts w:hint="eastAsia" w:ascii="宋体" w:hAnsi="宋体"/>
          <w:color w:val="auto"/>
          <w:sz w:val="24"/>
        </w:rPr>
        <w:t>投标人参加本项目投标不得有下列情形：</w:t>
      </w:r>
    </w:p>
    <w:p>
      <w:pPr>
        <w:spacing w:line="400" w:lineRule="exact"/>
        <w:ind w:firstLine="460" w:firstLineChars="192"/>
        <w:rPr>
          <w:rFonts w:ascii="宋体" w:hAnsi="宋体"/>
          <w:color w:val="auto"/>
          <w:sz w:val="24"/>
        </w:rPr>
      </w:pPr>
      <w:r>
        <w:rPr>
          <w:rFonts w:hint="eastAsia" w:ascii="宋体" w:hAnsi="宋体"/>
          <w:color w:val="auto"/>
          <w:sz w:val="24"/>
        </w:rPr>
        <w:t>（1）提供虚假材料谋取中标；</w:t>
      </w:r>
    </w:p>
    <w:p>
      <w:pPr>
        <w:spacing w:line="400" w:lineRule="exact"/>
        <w:ind w:firstLine="460" w:firstLineChars="192"/>
        <w:rPr>
          <w:rFonts w:ascii="宋体" w:hAnsi="宋体"/>
          <w:color w:val="auto"/>
          <w:sz w:val="24"/>
        </w:rPr>
      </w:pPr>
      <w:r>
        <w:rPr>
          <w:rFonts w:hint="eastAsia" w:ascii="宋体" w:hAnsi="宋体"/>
          <w:color w:val="auto"/>
          <w:sz w:val="24"/>
        </w:rPr>
        <w:t>（2）采取不正当手段诋毁、排挤其他投标人；</w:t>
      </w:r>
    </w:p>
    <w:p>
      <w:pPr>
        <w:spacing w:line="400" w:lineRule="exact"/>
        <w:ind w:firstLine="480" w:firstLineChars="200"/>
        <w:rPr>
          <w:rFonts w:ascii="宋体" w:hAnsi="宋体"/>
          <w:color w:val="auto"/>
          <w:sz w:val="24"/>
        </w:rPr>
      </w:pPr>
      <w:r>
        <w:rPr>
          <w:rFonts w:hint="eastAsia" w:ascii="宋体" w:hAnsi="宋体"/>
          <w:color w:val="auto"/>
          <w:sz w:val="24"/>
        </w:rPr>
        <w:t>（3）与采购人或者采购代理机构、其他投标人恶意串通；</w:t>
      </w:r>
    </w:p>
    <w:p>
      <w:pPr>
        <w:spacing w:line="400" w:lineRule="exact"/>
        <w:ind w:left="489" w:leftChars="233"/>
        <w:rPr>
          <w:rFonts w:ascii="宋体" w:hAnsi="宋体"/>
          <w:color w:val="auto"/>
          <w:sz w:val="24"/>
        </w:rPr>
      </w:pPr>
      <w:r>
        <w:rPr>
          <w:rFonts w:hint="eastAsia" w:ascii="宋体" w:hAnsi="宋体"/>
          <w:color w:val="auto"/>
          <w:sz w:val="24"/>
        </w:rPr>
        <w:t>（4）向采购人或者采购代理机构、评标委员会成员行贿或者提供其他不正当利益；</w:t>
      </w:r>
    </w:p>
    <w:p>
      <w:pPr>
        <w:spacing w:line="400" w:lineRule="exact"/>
        <w:ind w:firstLine="460" w:firstLineChars="192"/>
        <w:rPr>
          <w:rFonts w:ascii="宋体" w:hAnsi="宋体"/>
          <w:color w:val="auto"/>
          <w:sz w:val="24"/>
        </w:rPr>
      </w:pPr>
      <w:r>
        <w:rPr>
          <w:rFonts w:hint="eastAsia" w:ascii="宋体" w:hAnsi="宋体"/>
          <w:color w:val="auto"/>
          <w:sz w:val="24"/>
        </w:rPr>
        <w:t>（5）在招标过程中与采购人或者采购代理机构进行协商谈判；</w:t>
      </w:r>
    </w:p>
    <w:p>
      <w:pPr>
        <w:spacing w:line="400" w:lineRule="exact"/>
        <w:ind w:firstLine="460" w:firstLineChars="192"/>
        <w:rPr>
          <w:rFonts w:ascii="宋体" w:hAnsi="宋体"/>
          <w:color w:val="auto"/>
          <w:sz w:val="24"/>
        </w:rPr>
      </w:pPr>
      <w:r>
        <w:rPr>
          <w:rFonts w:hint="eastAsia" w:ascii="宋体" w:hAnsi="宋体"/>
          <w:color w:val="auto"/>
          <w:sz w:val="24"/>
        </w:rPr>
        <w:t>（6）中标或者成交后无正当理由拒不与采购人签订政府采购合同；</w:t>
      </w:r>
    </w:p>
    <w:p>
      <w:pPr>
        <w:spacing w:line="400" w:lineRule="exact"/>
        <w:ind w:firstLine="480" w:firstLineChars="200"/>
        <w:rPr>
          <w:rFonts w:ascii="宋体" w:hAnsi="宋体"/>
          <w:color w:val="auto"/>
          <w:sz w:val="24"/>
        </w:rPr>
      </w:pPr>
      <w:r>
        <w:rPr>
          <w:rFonts w:hint="eastAsia" w:ascii="宋体" w:hAnsi="宋体"/>
          <w:color w:val="auto"/>
          <w:sz w:val="24"/>
        </w:rPr>
        <w:t>（7）未按照采购文件确定的事项签订政府采购合同；</w:t>
      </w:r>
    </w:p>
    <w:p>
      <w:pPr>
        <w:spacing w:line="400" w:lineRule="exact"/>
        <w:ind w:firstLine="480" w:firstLineChars="200"/>
        <w:rPr>
          <w:rFonts w:ascii="宋体" w:hAnsi="宋体"/>
          <w:color w:val="auto"/>
          <w:sz w:val="24"/>
        </w:rPr>
      </w:pPr>
      <w:r>
        <w:rPr>
          <w:rFonts w:hint="eastAsia" w:ascii="宋体" w:hAnsi="宋体"/>
          <w:color w:val="auto"/>
          <w:sz w:val="24"/>
        </w:rPr>
        <w:t>（8）将政府采购合同转包或者违规分包；</w:t>
      </w:r>
    </w:p>
    <w:p>
      <w:pPr>
        <w:spacing w:line="400" w:lineRule="exact"/>
        <w:ind w:firstLine="480" w:firstLineChars="200"/>
        <w:rPr>
          <w:rFonts w:ascii="宋体" w:hAnsi="宋体"/>
          <w:color w:val="auto"/>
          <w:sz w:val="24"/>
        </w:rPr>
      </w:pPr>
      <w:r>
        <w:rPr>
          <w:rFonts w:hint="eastAsia" w:ascii="宋体" w:hAnsi="宋体"/>
          <w:color w:val="auto"/>
          <w:sz w:val="24"/>
        </w:rPr>
        <w:t>（9）提供假冒伪劣产品；</w:t>
      </w:r>
    </w:p>
    <w:p>
      <w:pPr>
        <w:spacing w:line="400" w:lineRule="exact"/>
        <w:ind w:firstLine="480" w:firstLineChars="200"/>
        <w:rPr>
          <w:rFonts w:ascii="宋体" w:hAnsi="宋体"/>
          <w:color w:val="auto"/>
          <w:sz w:val="24"/>
        </w:rPr>
      </w:pPr>
      <w:r>
        <w:rPr>
          <w:rFonts w:hint="eastAsia" w:ascii="宋体" w:hAnsi="宋体"/>
          <w:color w:val="auto"/>
          <w:sz w:val="24"/>
        </w:rPr>
        <w:t>（10）擅自变更、中止或者终止政府采购合同；</w:t>
      </w:r>
    </w:p>
    <w:p>
      <w:pPr>
        <w:spacing w:line="400" w:lineRule="exact"/>
        <w:ind w:firstLine="460" w:firstLineChars="192"/>
        <w:rPr>
          <w:rFonts w:ascii="宋体" w:hAnsi="宋体"/>
          <w:color w:val="auto"/>
          <w:sz w:val="24"/>
        </w:rPr>
      </w:pPr>
      <w:r>
        <w:rPr>
          <w:rFonts w:hint="eastAsia" w:ascii="宋体" w:hAnsi="宋体"/>
          <w:color w:val="auto"/>
          <w:sz w:val="24"/>
        </w:rPr>
        <w:t>（11）拒绝有关部门的监督检查或者向监督检查部门提供虚假情况；</w:t>
      </w:r>
    </w:p>
    <w:p>
      <w:pPr>
        <w:spacing w:line="400" w:lineRule="exact"/>
        <w:ind w:firstLine="460" w:firstLineChars="192"/>
        <w:rPr>
          <w:rFonts w:hAnsi="宋体"/>
          <w:color w:val="auto"/>
          <w:sz w:val="24"/>
        </w:rPr>
      </w:pPr>
      <w:r>
        <w:rPr>
          <w:rFonts w:hint="eastAsia" w:ascii="宋体" w:hAnsi="宋体"/>
          <w:color w:val="auto"/>
          <w:sz w:val="24"/>
        </w:rPr>
        <w:t>（12）</w:t>
      </w:r>
      <w:r>
        <w:rPr>
          <w:rFonts w:hint="eastAsia" w:hAnsi="宋体"/>
          <w:color w:val="auto"/>
          <w:sz w:val="24"/>
        </w:rPr>
        <w:t>为本招标项目前期准备提供设计或咨询服务的；</w:t>
      </w:r>
    </w:p>
    <w:p>
      <w:pPr>
        <w:spacing w:line="400" w:lineRule="exact"/>
        <w:ind w:firstLine="460" w:firstLineChars="192"/>
        <w:rPr>
          <w:rFonts w:hAnsi="宋体"/>
          <w:color w:val="auto"/>
          <w:sz w:val="24"/>
        </w:rPr>
      </w:pPr>
      <w:r>
        <w:rPr>
          <w:rFonts w:hint="eastAsia" w:hAnsi="宋体"/>
          <w:color w:val="auto"/>
          <w:sz w:val="24"/>
        </w:rPr>
        <w:t>（13）为本招标项目的招标代理单位；</w:t>
      </w:r>
    </w:p>
    <w:p>
      <w:pPr>
        <w:spacing w:line="400" w:lineRule="exact"/>
        <w:ind w:firstLine="460" w:firstLineChars="192"/>
        <w:rPr>
          <w:rFonts w:hAnsi="宋体"/>
          <w:color w:val="auto"/>
          <w:sz w:val="24"/>
        </w:rPr>
      </w:pPr>
      <w:r>
        <w:rPr>
          <w:rFonts w:hint="eastAsia" w:hAnsi="宋体"/>
          <w:color w:val="auto"/>
          <w:sz w:val="24"/>
        </w:rPr>
        <w:t>（14）为本招标项目的监理单位；</w:t>
      </w:r>
    </w:p>
    <w:p>
      <w:pPr>
        <w:spacing w:line="400" w:lineRule="exact"/>
        <w:ind w:firstLine="460" w:firstLineChars="192"/>
        <w:rPr>
          <w:rFonts w:hAnsi="宋体"/>
          <w:color w:val="auto"/>
          <w:sz w:val="24"/>
        </w:rPr>
      </w:pPr>
      <w:r>
        <w:rPr>
          <w:rFonts w:hint="eastAsia" w:hAnsi="宋体"/>
          <w:color w:val="auto"/>
          <w:sz w:val="24"/>
        </w:rPr>
        <w:t>（15）为本招标项目的代建单位；</w:t>
      </w:r>
    </w:p>
    <w:p>
      <w:pPr>
        <w:spacing w:line="400" w:lineRule="exact"/>
        <w:ind w:firstLine="460" w:firstLineChars="192"/>
        <w:rPr>
          <w:rFonts w:hAnsi="宋体"/>
          <w:color w:val="auto"/>
          <w:sz w:val="24"/>
        </w:rPr>
      </w:pPr>
      <w:r>
        <w:rPr>
          <w:rFonts w:hint="eastAsia" w:hAnsi="宋体"/>
          <w:color w:val="auto"/>
          <w:sz w:val="24"/>
        </w:rPr>
        <w:t>（16）与以上单位同为一个法定代表人的；</w:t>
      </w:r>
    </w:p>
    <w:p>
      <w:pPr>
        <w:spacing w:line="400" w:lineRule="exact"/>
        <w:ind w:firstLine="460" w:firstLineChars="192"/>
        <w:rPr>
          <w:rFonts w:hAnsi="宋体"/>
          <w:color w:val="auto"/>
          <w:sz w:val="24"/>
        </w:rPr>
      </w:pPr>
      <w:r>
        <w:rPr>
          <w:rFonts w:hint="eastAsia" w:hAnsi="宋体"/>
          <w:color w:val="auto"/>
          <w:sz w:val="24"/>
        </w:rPr>
        <w:t>（17）与以上单位相互控股或参股的；</w:t>
      </w:r>
    </w:p>
    <w:p>
      <w:pPr>
        <w:spacing w:line="400" w:lineRule="exact"/>
        <w:ind w:firstLine="460" w:firstLineChars="192"/>
        <w:rPr>
          <w:rFonts w:hAnsi="宋体"/>
          <w:color w:val="auto"/>
          <w:sz w:val="24"/>
        </w:rPr>
      </w:pPr>
      <w:r>
        <w:rPr>
          <w:rFonts w:hint="eastAsia" w:hAnsi="宋体"/>
          <w:color w:val="auto"/>
          <w:sz w:val="24"/>
        </w:rPr>
        <w:t>（18）参加本政府采购项目前三年内，在经营活动中有重大违法记录的；</w:t>
      </w:r>
    </w:p>
    <w:p>
      <w:pPr>
        <w:spacing w:line="400" w:lineRule="exact"/>
        <w:ind w:firstLine="460" w:firstLineChars="192"/>
        <w:rPr>
          <w:rFonts w:hAnsi="宋体"/>
          <w:color w:val="auto"/>
          <w:sz w:val="24"/>
        </w:rPr>
      </w:pPr>
      <w:r>
        <w:rPr>
          <w:rFonts w:hint="eastAsia" w:hAnsi="宋体"/>
          <w:color w:val="auto"/>
          <w:sz w:val="24"/>
        </w:rPr>
        <w:t>（19）单位负责人为同一人或者存在直接控股、管理关系的不同单位，不得参加同一包投标或者在未分包的同一招标项目中投标。</w:t>
      </w:r>
    </w:p>
    <w:p>
      <w:pPr>
        <w:spacing w:line="400" w:lineRule="exact"/>
        <w:ind w:firstLine="460" w:firstLineChars="192"/>
        <w:rPr>
          <w:rFonts w:hAnsi="宋体"/>
          <w:color w:val="auto"/>
          <w:sz w:val="24"/>
        </w:rPr>
      </w:pPr>
      <w:r>
        <w:rPr>
          <w:rFonts w:hint="eastAsia" w:ascii="宋体" w:hAnsi="宋体"/>
          <w:color w:val="auto"/>
          <w:sz w:val="24"/>
        </w:rPr>
        <w:t>（20）</w:t>
      </w:r>
      <w:r>
        <w:rPr>
          <w:rFonts w:hint="eastAsia" w:hAnsi="宋体"/>
          <w:color w:val="auto"/>
          <w:sz w:val="24"/>
        </w:rPr>
        <w:t>为采购人的附属机构，或与采购人存在利害关系可能影响招标公正性的；</w:t>
      </w:r>
    </w:p>
    <w:p>
      <w:pPr>
        <w:spacing w:line="400" w:lineRule="exact"/>
        <w:ind w:firstLine="460" w:firstLineChars="192"/>
        <w:rPr>
          <w:rFonts w:ascii="宋体" w:hAnsi="宋体"/>
          <w:color w:val="auto"/>
          <w:sz w:val="24"/>
        </w:rPr>
      </w:pPr>
      <w:r>
        <w:rPr>
          <w:rFonts w:hint="eastAsia" w:ascii="宋体" w:hAnsi="宋体"/>
          <w:color w:val="auto"/>
          <w:sz w:val="24"/>
        </w:rPr>
        <w:t>（21）法律法规规定的其他情形。</w:t>
      </w:r>
    </w:p>
    <w:p>
      <w:pPr>
        <w:spacing w:line="400" w:lineRule="exact"/>
        <w:ind w:firstLine="480" w:firstLineChars="200"/>
        <w:rPr>
          <w:rFonts w:ascii="宋体" w:hAnsi="宋体"/>
          <w:color w:val="auto"/>
          <w:sz w:val="24"/>
        </w:rPr>
      </w:pPr>
      <w:r>
        <w:rPr>
          <w:rFonts w:hint="eastAsia" w:ascii="宋体" w:hAnsi="宋体"/>
          <w:color w:val="auto"/>
          <w:sz w:val="24"/>
        </w:rPr>
        <w:t>投标人有上述情形的，按照规定追究法律责任，具备（1）-（21）条情形之一的，同时将取消中标资格或者认定中标无效。</w:t>
      </w:r>
    </w:p>
    <w:p>
      <w:pPr>
        <w:pStyle w:val="3"/>
        <w:spacing w:line="400" w:lineRule="exact"/>
        <w:ind w:firstLine="562" w:firstLineChars="200"/>
        <w:jc w:val="center"/>
        <w:rPr>
          <w:rFonts w:ascii="宋体" w:hAnsi="宋体"/>
          <w:color w:val="auto"/>
          <w:sz w:val="28"/>
          <w:szCs w:val="28"/>
        </w:rPr>
      </w:pPr>
      <w:bookmarkStart w:id="161" w:name="_Toc527460978"/>
      <w:bookmarkStart w:id="162" w:name="_Toc65154538"/>
      <w:bookmarkStart w:id="163" w:name="_Toc65154641"/>
      <w:bookmarkStart w:id="164" w:name="_Toc217446078"/>
      <w:bookmarkStart w:id="165" w:name="_Toc308164819"/>
      <w:r>
        <w:rPr>
          <w:rFonts w:hint="eastAsia" w:ascii="宋体" w:hAnsi="宋体"/>
          <w:color w:val="auto"/>
          <w:sz w:val="28"/>
          <w:szCs w:val="28"/>
        </w:rPr>
        <w:t>八、询问、质疑和投诉</w:t>
      </w:r>
      <w:bookmarkEnd w:id="161"/>
      <w:bookmarkEnd w:id="162"/>
      <w:bookmarkEnd w:id="163"/>
      <w:bookmarkEnd w:id="164"/>
      <w:bookmarkEnd w:id="165"/>
      <w:bookmarkStart w:id="166" w:name="_Toc217446079"/>
    </w:p>
    <w:bookmarkEnd w:id="166"/>
    <w:p>
      <w:pPr>
        <w:widowControl/>
        <w:spacing w:line="360" w:lineRule="atLeast"/>
        <w:ind w:firstLine="472" w:firstLineChars="196"/>
        <w:jc w:val="left"/>
        <w:outlineLvl w:val="1"/>
        <w:rPr>
          <w:rFonts w:ascii="宋体" w:hAnsi="宋体"/>
          <w:color w:val="auto"/>
          <w:sz w:val="24"/>
        </w:rPr>
      </w:pPr>
      <w:r>
        <w:rPr>
          <w:rFonts w:hint="eastAsia" w:ascii="宋体" w:hAnsi="宋体"/>
          <w:b/>
          <w:color w:val="auto"/>
          <w:sz w:val="24"/>
        </w:rPr>
        <w:t>3</w:t>
      </w:r>
      <w:bookmarkEnd w:id="157"/>
      <w:bookmarkEnd w:id="158"/>
      <w:r>
        <w:rPr>
          <w:rFonts w:hint="eastAsia" w:ascii="宋体" w:hAnsi="宋体"/>
          <w:b/>
          <w:color w:val="auto"/>
          <w:sz w:val="24"/>
        </w:rPr>
        <w:t>8．</w:t>
      </w:r>
      <w:r>
        <w:rPr>
          <w:rFonts w:hint="eastAsia" w:ascii="宋体" w:hAnsi="宋体"/>
          <w:color w:val="auto"/>
          <w:sz w:val="24"/>
        </w:rPr>
        <w:t>询问、质疑、投诉的接收和处理严格按照《中华人民共和国政府采购法》、《中华人民共和国政府采购法实施条例》、《政府采购货物和服务招标投标管理办法》、《政府采购质疑和投诉办法》的规定办理（详细规定请在四川政府采购网政策法规模块查询）。</w:t>
      </w:r>
    </w:p>
    <w:p>
      <w:pPr>
        <w:widowControl/>
        <w:spacing w:line="360" w:lineRule="atLeast"/>
        <w:ind w:firstLine="470" w:firstLineChars="196"/>
        <w:jc w:val="left"/>
        <w:outlineLvl w:val="1"/>
        <w:rPr>
          <w:rFonts w:ascii="宋体" w:hAnsi="宋体"/>
          <w:color w:val="auto"/>
          <w:sz w:val="24"/>
        </w:rPr>
      </w:pPr>
      <w:r>
        <w:rPr>
          <w:rFonts w:hint="eastAsia" w:ascii="宋体" w:hAnsi="宋体"/>
          <w:color w:val="auto"/>
          <w:sz w:val="24"/>
        </w:rPr>
        <w:t>已经报名并购买招标文件的供应商有权对招标文件提出询问和质疑；已经递交投标文件的供应商有权对招标过程和招标结果提出询问和质疑。</w:t>
      </w:r>
    </w:p>
    <w:p>
      <w:pPr>
        <w:pStyle w:val="3"/>
        <w:spacing w:line="400" w:lineRule="exact"/>
        <w:ind w:firstLine="562" w:firstLineChars="200"/>
        <w:jc w:val="center"/>
        <w:rPr>
          <w:rFonts w:ascii="宋体" w:hAnsi="宋体"/>
          <w:color w:val="auto"/>
          <w:sz w:val="28"/>
          <w:szCs w:val="28"/>
        </w:rPr>
      </w:pPr>
      <w:bookmarkStart w:id="167" w:name="_Toc65154642"/>
      <w:bookmarkStart w:id="168" w:name="_Toc509414741"/>
      <w:bookmarkStart w:id="169" w:name="_Toc65154539"/>
      <w:bookmarkStart w:id="170" w:name="_Toc527460979"/>
      <w:bookmarkStart w:id="171" w:name="_Toc217446083"/>
      <w:r>
        <w:rPr>
          <w:rFonts w:hint="eastAsia" w:ascii="宋体" w:hAnsi="宋体"/>
          <w:color w:val="auto"/>
          <w:sz w:val="28"/>
          <w:szCs w:val="28"/>
        </w:rPr>
        <w:t>九、其他</w:t>
      </w:r>
      <w:bookmarkEnd w:id="167"/>
      <w:bookmarkEnd w:id="168"/>
      <w:bookmarkEnd w:id="169"/>
      <w:bookmarkEnd w:id="170"/>
    </w:p>
    <w:p>
      <w:pPr>
        <w:widowControl/>
        <w:spacing w:line="360" w:lineRule="atLeast"/>
        <w:ind w:firstLine="472" w:firstLineChars="196"/>
        <w:jc w:val="left"/>
        <w:outlineLvl w:val="1"/>
        <w:rPr>
          <w:rFonts w:ascii="宋体" w:hAnsi="宋体"/>
          <w:color w:val="auto"/>
          <w:sz w:val="24"/>
        </w:rPr>
      </w:pPr>
      <w:r>
        <w:rPr>
          <w:rFonts w:hint="eastAsia" w:ascii="宋体" w:hAnsi="宋体"/>
          <w:b/>
          <w:color w:val="auto"/>
          <w:sz w:val="24"/>
        </w:rPr>
        <w:t>39.</w:t>
      </w:r>
      <w:r>
        <w:rPr>
          <w:rFonts w:hint="eastAsia" w:ascii="宋体" w:hAnsi="宋体"/>
          <w:color w:val="auto"/>
          <w:sz w:val="24"/>
        </w:rPr>
        <w:t>本招标文件中所引相关法律制度规定，在政府采购中有变化的，按照变化后的相关法律制度规定执行。</w:t>
      </w:r>
    </w:p>
    <w:p>
      <w:pPr>
        <w:pStyle w:val="3"/>
        <w:spacing w:line="240" w:lineRule="atLeast"/>
        <w:jc w:val="center"/>
        <w:rPr>
          <w:rFonts w:ascii="宋体" w:hAnsi="宋体"/>
          <w:color w:val="auto"/>
          <w:sz w:val="36"/>
          <w:szCs w:val="36"/>
        </w:rPr>
      </w:pPr>
      <w:r>
        <w:rPr>
          <w:rFonts w:ascii="宋体" w:hAnsi="宋体"/>
          <w:b w:val="0"/>
          <w:bCs w:val="0"/>
          <w:color w:val="auto"/>
          <w:kern w:val="2"/>
          <w:sz w:val="24"/>
          <w:szCs w:val="24"/>
        </w:rPr>
        <w:br w:type="page"/>
      </w:r>
      <w:bookmarkStart w:id="172" w:name="_Toc65154643"/>
      <w:r>
        <w:rPr>
          <w:rFonts w:hint="eastAsia" w:ascii="宋体" w:hAnsi="宋体"/>
          <w:color w:val="auto"/>
          <w:sz w:val="36"/>
          <w:szCs w:val="36"/>
        </w:rPr>
        <w:t>第三章  投标文件格式</w:t>
      </w:r>
      <w:bookmarkEnd w:id="172"/>
      <w:bookmarkStart w:id="173" w:name="_Toc308164821"/>
      <w:bookmarkStart w:id="174" w:name="_Toc217446082"/>
    </w:p>
    <w:p>
      <w:pPr>
        <w:widowControl/>
        <w:spacing w:line="360" w:lineRule="atLeast"/>
        <w:jc w:val="center"/>
        <w:outlineLvl w:val="1"/>
        <w:rPr>
          <w:rFonts w:ascii="宋体" w:hAnsi="宋体"/>
          <w:b/>
          <w:color w:val="auto"/>
          <w:sz w:val="24"/>
        </w:rPr>
      </w:pPr>
      <w:r>
        <w:rPr>
          <w:rFonts w:hint="eastAsia" w:ascii="宋体" w:hAnsi="宋体"/>
          <w:b/>
          <w:color w:val="auto"/>
          <w:sz w:val="24"/>
        </w:rPr>
        <w:t>说明</w:t>
      </w:r>
    </w:p>
    <w:p>
      <w:pPr>
        <w:spacing w:line="480" w:lineRule="auto"/>
        <w:rPr>
          <w:rFonts w:ascii="Times New Roman" w:hAnsi="Times New Roman"/>
          <w:color w:val="auto"/>
        </w:rPr>
      </w:pPr>
    </w:p>
    <w:p>
      <w:pPr>
        <w:spacing w:line="480" w:lineRule="auto"/>
        <w:rPr>
          <w:rFonts w:ascii="宋体" w:hAnsi="宋体"/>
          <w:color w:val="auto"/>
          <w:sz w:val="24"/>
        </w:rPr>
      </w:pPr>
      <w:r>
        <w:rPr>
          <w:rFonts w:hint="eastAsia" w:ascii="宋体" w:hAnsi="宋体"/>
          <w:color w:val="auto"/>
          <w:sz w:val="24"/>
        </w:rPr>
        <w:t>一、投标文件分为两部分：上册为资格证明文件，下册是投标文件其他组成部分。</w:t>
      </w:r>
    </w:p>
    <w:p>
      <w:pPr>
        <w:spacing w:line="480" w:lineRule="auto"/>
        <w:rPr>
          <w:rFonts w:ascii="宋体" w:hAnsi="宋体"/>
          <w:color w:val="auto"/>
          <w:sz w:val="24"/>
        </w:rPr>
      </w:pPr>
      <w:r>
        <w:rPr>
          <w:rFonts w:hint="eastAsia" w:ascii="宋体" w:hAnsi="宋体"/>
          <w:color w:val="auto"/>
          <w:sz w:val="24"/>
        </w:rPr>
        <w:t>二、本章所制投标文件格式，除格式中明确将该格式作为实质性要求的，一律不具有强制性，但是，投标人投标文件相关资料和本章所制格式不一致的，评标委员会将在评分时以投标文件不规范予以扣分处理。格式有关表格中的备注栏，由投标人根据自身投标情况作解释性说明，不作为必填项。</w:t>
      </w:r>
    </w:p>
    <w:p>
      <w:pPr>
        <w:spacing w:line="480" w:lineRule="auto"/>
        <w:rPr>
          <w:rFonts w:ascii="Times New Roman" w:hAnsi="Times New Roman"/>
          <w:color w:val="auto"/>
        </w:rPr>
      </w:pPr>
    </w:p>
    <w:p>
      <w:pPr>
        <w:spacing w:line="480" w:lineRule="auto"/>
        <w:rPr>
          <w:rFonts w:ascii="Times New Roman" w:hAnsi="Times New Roman"/>
          <w:color w:val="auto"/>
        </w:rPr>
      </w:pPr>
    </w:p>
    <w:p>
      <w:pPr>
        <w:rPr>
          <w:rFonts w:ascii="Times New Roman" w:hAnsi="Times New Roman"/>
          <w:color w:val="auto"/>
        </w:rPr>
      </w:pPr>
      <w:r>
        <w:rPr>
          <w:color w:val="auto"/>
        </w:rPr>
        <w:br w:type="page"/>
      </w:r>
    </w:p>
    <w:p>
      <w:pPr>
        <w:rPr>
          <w:rFonts w:ascii="Times New Roman" w:hAnsi="Times New Roman"/>
          <w:color w:val="auto"/>
        </w:rPr>
      </w:pPr>
    </w:p>
    <w:p>
      <w:pPr>
        <w:rPr>
          <w:rFonts w:ascii="Times New Roman" w:hAnsi="Times New Roman"/>
          <w:color w:val="auto"/>
        </w:rPr>
      </w:pPr>
    </w:p>
    <w:p>
      <w:pPr>
        <w:widowControl/>
        <w:spacing w:line="480" w:lineRule="auto"/>
        <w:jc w:val="center"/>
        <w:outlineLvl w:val="1"/>
        <w:rPr>
          <w:rFonts w:ascii="宋体" w:hAnsi="宋体"/>
          <w:b/>
          <w:color w:val="auto"/>
          <w:sz w:val="32"/>
          <w:szCs w:val="32"/>
        </w:rPr>
      </w:pPr>
      <w:r>
        <w:rPr>
          <w:rFonts w:hint="eastAsia" w:ascii="宋体" w:hAnsi="宋体"/>
          <w:b/>
          <w:color w:val="auto"/>
          <w:sz w:val="32"/>
          <w:szCs w:val="32"/>
        </w:rPr>
        <w:t>上册：资格证明文件</w:t>
      </w:r>
    </w:p>
    <w:p>
      <w:pPr>
        <w:pStyle w:val="5"/>
        <w:spacing w:line="400" w:lineRule="exact"/>
        <w:ind w:firstLine="482" w:firstLineChars="200"/>
        <w:rPr>
          <w:rFonts w:ascii="宋体" w:hAnsi="宋体"/>
          <w:color w:val="auto"/>
          <w:sz w:val="24"/>
        </w:rPr>
      </w:pPr>
      <w:r>
        <w:rPr>
          <w:rFonts w:hint="eastAsia" w:ascii="宋体" w:hAnsi="宋体"/>
          <w:color w:val="auto"/>
          <w:sz w:val="24"/>
        </w:rPr>
        <w:t>一、证明具有独立承担民事责任的能力的文件</w:t>
      </w:r>
    </w:p>
    <w:p>
      <w:pPr>
        <w:spacing w:line="360" w:lineRule="auto"/>
        <w:ind w:firstLine="480"/>
        <w:rPr>
          <w:color w:val="auto"/>
          <w:sz w:val="24"/>
        </w:rPr>
      </w:pPr>
      <w:r>
        <w:rPr>
          <w:rFonts w:hint="eastAsia"/>
          <w:color w:val="auto"/>
          <w:sz w:val="24"/>
        </w:rPr>
        <w:t>1.</w:t>
      </w:r>
      <w:r>
        <w:rPr>
          <w:rFonts w:hint="eastAsia"/>
          <w:b/>
          <w:bCs/>
          <w:color w:val="auto"/>
          <w:sz w:val="24"/>
        </w:rPr>
        <w:t>企业法人：</w:t>
      </w:r>
      <w:r>
        <w:rPr>
          <w:rFonts w:hint="eastAsia"/>
          <w:color w:val="auto"/>
          <w:sz w:val="24"/>
        </w:rPr>
        <w:t>提交“统一社会信用代码的营业执照”未换证的提交“营业执照、组织机构代码证、税务登记证”；</w:t>
      </w:r>
      <w:r>
        <w:rPr>
          <w:rFonts w:hint="eastAsia"/>
          <w:b/>
          <w:bCs/>
          <w:color w:val="auto"/>
          <w:sz w:val="24"/>
        </w:rPr>
        <w:t>事业法人：</w:t>
      </w:r>
      <w:r>
        <w:rPr>
          <w:rFonts w:hint="eastAsia"/>
          <w:color w:val="auto"/>
          <w:sz w:val="24"/>
        </w:rPr>
        <w:t>提交“统一社会信用代码的事业单位法人证书”未换证的提交“事业单位法人证书和组织机构代码证”；</w:t>
      </w:r>
      <w:r>
        <w:rPr>
          <w:rFonts w:hint="eastAsia"/>
          <w:b/>
          <w:bCs/>
          <w:color w:val="auto"/>
          <w:sz w:val="24"/>
        </w:rPr>
        <w:t>其他组织：</w:t>
      </w:r>
      <w:r>
        <w:rPr>
          <w:rFonts w:hint="eastAsia"/>
          <w:color w:val="auto"/>
          <w:sz w:val="24"/>
        </w:rPr>
        <w:t>提交“统一社会信用代码的社会团体法人登记证书”或“统一社会信用代码的民办非企业单位登记证书”或“统一社会信用代码的基金会法人登记证书”，未换证的提交：“社会团体法人登记证书”或“民办非企业单位登记证书”或“基金会法人登记证书”和“组织机构代码证”；</w:t>
      </w:r>
      <w:r>
        <w:rPr>
          <w:rFonts w:hint="eastAsia"/>
          <w:b/>
          <w:bCs/>
          <w:color w:val="auto"/>
          <w:sz w:val="24"/>
        </w:rPr>
        <w:t>个体工商户：</w:t>
      </w:r>
      <w:r>
        <w:rPr>
          <w:rFonts w:hint="eastAsia"/>
          <w:color w:val="auto"/>
          <w:sz w:val="24"/>
        </w:rPr>
        <w:t>提交“统一社会信用代码的营业执照”或“营业执照、税务登记证”；</w:t>
      </w:r>
      <w:r>
        <w:rPr>
          <w:rFonts w:hint="eastAsia"/>
          <w:b/>
          <w:bCs/>
          <w:color w:val="auto"/>
          <w:sz w:val="24"/>
        </w:rPr>
        <w:t>自然人：</w:t>
      </w:r>
      <w:r>
        <w:rPr>
          <w:rFonts w:hint="eastAsia"/>
          <w:color w:val="auto"/>
          <w:sz w:val="24"/>
        </w:rPr>
        <w:t>提交身份证。</w:t>
      </w:r>
    </w:p>
    <w:p>
      <w:pPr>
        <w:pStyle w:val="5"/>
        <w:spacing w:line="400" w:lineRule="exact"/>
        <w:ind w:firstLine="482" w:firstLineChars="200"/>
        <w:rPr>
          <w:rFonts w:ascii="宋体" w:hAnsi="宋体"/>
          <w:color w:val="auto"/>
          <w:sz w:val="24"/>
        </w:rPr>
      </w:pPr>
      <w:r>
        <w:rPr>
          <w:rFonts w:hint="eastAsia" w:ascii="宋体" w:hAnsi="宋体"/>
          <w:color w:val="auto"/>
          <w:sz w:val="24"/>
        </w:rPr>
        <w:t>二、证明具有良好的商业信誉和健全的财务会计制度的文件</w:t>
      </w:r>
    </w:p>
    <w:p>
      <w:pPr>
        <w:spacing w:line="360" w:lineRule="auto"/>
        <w:ind w:firstLine="480"/>
        <w:rPr>
          <w:bCs/>
          <w:color w:val="auto"/>
          <w:sz w:val="24"/>
        </w:rPr>
      </w:pPr>
      <w:r>
        <w:rPr>
          <w:rFonts w:hint="eastAsia"/>
          <w:bCs/>
          <w:color w:val="auto"/>
          <w:sz w:val="24"/>
        </w:rPr>
        <w:t>1.成立不足一年的单位提供银行开户证明材料；成立时间超过一年的企业</w:t>
      </w:r>
      <w:r>
        <w:rPr>
          <w:bCs/>
          <w:color w:val="auto"/>
          <w:sz w:val="24"/>
        </w:rPr>
        <w:t>提供</w:t>
      </w:r>
      <w:r>
        <w:rPr>
          <w:rFonts w:hint="eastAsia"/>
          <w:bCs/>
          <w:color w:val="auto"/>
          <w:sz w:val="24"/>
        </w:rPr>
        <w:t>2019年度</w:t>
      </w:r>
      <w:r>
        <w:rPr>
          <w:bCs/>
          <w:color w:val="auto"/>
          <w:sz w:val="24"/>
        </w:rPr>
        <w:t>经审计的</w:t>
      </w:r>
      <w:r>
        <w:rPr>
          <w:rFonts w:hint="eastAsia"/>
          <w:bCs/>
          <w:color w:val="auto"/>
          <w:sz w:val="24"/>
        </w:rPr>
        <w:t>有效</w:t>
      </w:r>
      <w:r>
        <w:rPr>
          <w:bCs/>
          <w:color w:val="auto"/>
          <w:sz w:val="24"/>
        </w:rPr>
        <w:t>财务报</w:t>
      </w:r>
      <w:r>
        <w:rPr>
          <w:rFonts w:hint="eastAsia"/>
          <w:bCs/>
          <w:color w:val="auto"/>
          <w:sz w:val="24"/>
        </w:rPr>
        <w:t>告或开户行出具的银行资信证明文件，经审计的有效财务报告应包括报告及报告中所附的完整内容，并由注册会计师签名、盖章以及会计师事务所盖章；事业单位可提供财务会计制度管理文件。若提供确实有困难，可提供承诺函。</w:t>
      </w:r>
    </w:p>
    <w:p>
      <w:pPr>
        <w:spacing w:line="360" w:lineRule="auto"/>
        <w:ind w:firstLine="480"/>
        <w:rPr>
          <w:color w:val="auto"/>
        </w:rPr>
      </w:pPr>
      <w:r>
        <w:rPr>
          <w:rFonts w:hint="eastAsia"/>
          <w:color w:val="auto"/>
          <w:sz w:val="24"/>
        </w:rPr>
        <w:t>注：投标人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p>
      <w:pPr>
        <w:pStyle w:val="5"/>
        <w:spacing w:line="400" w:lineRule="exact"/>
        <w:ind w:firstLine="482" w:firstLineChars="200"/>
        <w:rPr>
          <w:rFonts w:ascii="宋体" w:hAnsi="宋体"/>
          <w:color w:val="auto"/>
          <w:sz w:val="24"/>
        </w:rPr>
      </w:pPr>
      <w:r>
        <w:rPr>
          <w:rFonts w:hint="eastAsia" w:ascii="宋体" w:hAnsi="宋体"/>
          <w:color w:val="auto"/>
          <w:sz w:val="24"/>
        </w:rPr>
        <w:t>三、证明具有履行合同所必须的设备和专业技术能力的文件</w:t>
      </w:r>
    </w:p>
    <w:p>
      <w:pPr>
        <w:spacing w:line="360" w:lineRule="auto"/>
        <w:ind w:firstLine="480"/>
        <w:rPr>
          <w:bCs/>
          <w:color w:val="auto"/>
          <w:sz w:val="24"/>
        </w:rPr>
      </w:pPr>
      <w:r>
        <w:rPr>
          <w:rFonts w:hint="eastAsia"/>
          <w:bCs/>
          <w:color w:val="auto"/>
          <w:sz w:val="24"/>
        </w:rPr>
        <w:t>1.承诺函（见本节附件1，原件）。</w:t>
      </w:r>
    </w:p>
    <w:p>
      <w:pPr>
        <w:pStyle w:val="5"/>
        <w:spacing w:line="400" w:lineRule="exact"/>
        <w:ind w:firstLine="482" w:firstLineChars="200"/>
        <w:rPr>
          <w:rFonts w:ascii="宋体" w:hAnsi="宋体"/>
          <w:color w:val="auto"/>
          <w:sz w:val="24"/>
        </w:rPr>
      </w:pPr>
      <w:r>
        <w:rPr>
          <w:rFonts w:hint="eastAsia" w:ascii="宋体" w:hAnsi="宋体"/>
          <w:color w:val="auto"/>
          <w:sz w:val="24"/>
        </w:rPr>
        <w:t>四、证明具有依法缴纳税收和社会保障资金的良好记录的文件</w:t>
      </w:r>
    </w:p>
    <w:p>
      <w:pPr>
        <w:spacing w:line="360" w:lineRule="auto"/>
        <w:ind w:firstLine="480"/>
        <w:rPr>
          <w:rFonts w:ascii="宋体" w:hAnsi="宋体"/>
          <w:color w:val="auto"/>
          <w:sz w:val="24"/>
        </w:rPr>
      </w:pPr>
      <w:r>
        <w:rPr>
          <w:rFonts w:hint="eastAsia" w:ascii="宋体" w:hAnsi="宋体"/>
          <w:color w:val="auto"/>
          <w:sz w:val="24"/>
        </w:rPr>
        <w:t>1.提供2020年10月以来任意一个月的纳税证明材料或提供依法</w:t>
      </w:r>
      <w:r>
        <w:rPr>
          <w:rFonts w:ascii="宋体" w:hAnsi="宋体"/>
          <w:color w:val="auto"/>
          <w:sz w:val="24"/>
        </w:rPr>
        <w:t>缴纳</w:t>
      </w:r>
      <w:r>
        <w:rPr>
          <w:rFonts w:hint="eastAsia" w:ascii="宋体" w:hAnsi="宋体"/>
          <w:color w:val="auto"/>
          <w:sz w:val="24"/>
        </w:rPr>
        <w:t>税收良好</w:t>
      </w:r>
      <w:r>
        <w:rPr>
          <w:rFonts w:ascii="宋体" w:hAnsi="宋体"/>
          <w:color w:val="auto"/>
          <w:sz w:val="24"/>
        </w:rPr>
        <w:t>记录的承诺函</w:t>
      </w:r>
      <w:r>
        <w:rPr>
          <w:rFonts w:hint="eastAsia" w:ascii="宋体" w:hAnsi="宋体"/>
          <w:color w:val="auto"/>
          <w:sz w:val="24"/>
        </w:rPr>
        <w:t>原件。注</w:t>
      </w:r>
      <w:r>
        <w:rPr>
          <w:rFonts w:ascii="宋体" w:hAnsi="宋体"/>
          <w:color w:val="auto"/>
          <w:sz w:val="24"/>
        </w:rPr>
        <w:t>：</w:t>
      </w:r>
      <w:r>
        <w:rPr>
          <w:rFonts w:hint="eastAsia" w:ascii="宋体" w:hAnsi="宋体"/>
          <w:color w:val="auto"/>
          <w:sz w:val="24"/>
        </w:rPr>
        <w:t>证明材料包括</w:t>
      </w:r>
      <w:r>
        <w:rPr>
          <w:rFonts w:hint="eastAsia" w:hAnsi="宋体"/>
          <w:color w:val="auto"/>
          <w:sz w:val="24"/>
        </w:rPr>
        <w:t>银行纳税回单或税务局出具的纳税证明或纳税发票的</w:t>
      </w:r>
      <w:r>
        <w:rPr>
          <w:rFonts w:hAnsi="宋体"/>
          <w:color w:val="auto"/>
          <w:sz w:val="24"/>
        </w:rPr>
        <w:t>复印</w:t>
      </w:r>
      <w:r>
        <w:rPr>
          <w:rFonts w:hint="eastAsia" w:hAnsi="宋体"/>
          <w:color w:val="auto"/>
          <w:sz w:val="24"/>
        </w:rPr>
        <w:t>件。</w:t>
      </w:r>
      <w:r>
        <w:rPr>
          <w:rFonts w:hint="eastAsia"/>
          <w:bCs/>
          <w:color w:val="auto"/>
          <w:sz w:val="24"/>
        </w:rPr>
        <w:t>若提供确实有困难，可提供承诺函。</w:t>
      </w:r>
    </w:p>
    <w:p>
      <w:pPr>
        <w:spacing w:line="360" w:lineRule="auto"/>
        <w:ind w:firstLine="480"/>
        <w:rPr>
          <w:rFonts w:ascii="宋体" w:hAnsi="宋体"/>
          <w:color w:val="auto"/>
          <w:sz w:val="24"/>
        </w:rPr>
      </w:pPr>
      <w:r>
        <w:rPr>
          <w:rFonts w:hint="eastAsia" w:ascii="宋体" w:hAnsi="宋体"/>
          <w:color w:val="auto"/>
          <w:sz w:val="24"/>
        </w:rPr>
        <w:t>2.提供2020年10月以来任意一个月的社保缴纳证明材料或</w:t>
      </w:r>
      <w:r>
        <w:rPr>
          <w:rFonts w:ascii="宋体" w:hAnsi="宋体"/>
          <w:color w:val="auto"/>
          <w:sz w:val="24"/>
        </w:rPr>
        <w:t>提供</w:t>
      </w:r>
      <w:r>
        <w:rPr>
          <w:rFonts w:hint="eastAsia" w:ascii="宋体" w:hAnsi="宋体"/>
          <w:color w:val="auto"/>
          <w:sz w:val="24"/>
        </w:rPr>
        <w:t>依法缴纳</w:t>
      </w:r>
      <w:r>
        <w:rPr>
          <w:rFonts w:ascii="宋体" w:hAnsi="宋体"/>
          <w:color w:val="auto"/>
          <w:sz w:val="24"/>
        </w:rPr>
        <w:t>社会</w:t>
      </w:r>
      <w:r>
        <w:rPr>
          <w:rFonts w:hint="eastAsia" w:ascii="宋体" w:hAnsi="宋体"/>
          <w:color w:val="auto"/>
          <w:sz w:val="24"/>
        </w:rPr>
        <w:t>保证</w:t>
      </w:r>
      <w:r>
        <w:rPr>
          <w:rFonts w:ascii="宋体" w:hAnsi="宋体"/>
          <w:color w:val="auto"/>
          <w:sz w:val="24"/>
        </w:rPr>
        <w:t>资金良好记录</w:t>
      </w:r>
      <w:r>
        <w:rPr>
          <w:rFonts w:hint="eastAsia" w:ascii="宋体" w:hAnsi="宋体"/>
          <w:color w:val="auto"/>
          <w:sz w:val="24"/>
        </w:rPr>
        <w:t>的</w:t>
      </w:r>
      <w:r>
        <w:rPr>
          <w:rFonts w:ascii="宋体" w:hAnsi="宋体"/>
          <w:color w:val="auto"/>
          <w:sz w:val="24"/>
        </w:rPr>
        <w:t>承诺函原价</w:t>
      </w:r>
      <w:r>
        <w:rPr>
          <w:rFonts w:hint="eastAsia" w:ascii="宋体" w:hAnsi="宋体"/>
          <w:color w:val="auto"/>
          <w:sz w:val="24"/>
        </w:rPr>
        <w:t>。注</w:t>
      </w:r>
      <w:r>
        <w:rPr>
          <w:rFonts w:ascii="宋体" w:hAnsi="宋体"/>
          <w:color w:val="auto"/>
          <w:sz w:val="24"/>
        </w:rPr>
        <w:t>：</w:t>
      </w:r>
      <w:r>
        <w:rPr>
          <w:rFonts w:hint="eastAsia" w:ascii="宋体" w:hAnsi="宋体"/>
          <w:color w:val="auto"/>
          <w:sz w:val="24"/>
        </w:rPr>
        <w:t>证明材料包括</w:t>
      </w:r>
      <w:r>
        <w:rPr>
          <w:rFonts w:hint="eastAsia" w:hAnsi="宋体"/>
          <w:color w:val="auto"/>
          <w:sz w:val="24"/>
        </w:rPr>
        <w:t>银行社保缴纳回单或社保局出具的社保交纳证明的复印件</w:t>
      </w:r>
      <w:r>
        <w:rPr>
          <w:rFonts w:hint="eastAsia" w:ascii="宋体" w:hAnsi="宋体"/>
          <w:color w:val="auto"/>
          <w:sz w:val="24"/>
        </w:rPr>
        <w:t>。</w:t>
      </w:r>
      <w:r>
        <w:rPr>
          <w:rFonts w:hint="eastAsia"/>
          <w:bCs/>
          <w:color w:val="auto"/>
          <w:sz w:val="24"/>
        </w:rPr>
        <w:t>若提供确实有困难，可提供承诺函。</w:t>
      </w:r>
    </w:p>
    <w:p>
      <w:pPr>
        <w:spacing w:line="360" w:lineRule="auto"/>
        <w:ind w:firstLine="480"/>
        <w:rPr>
          <w:rFonts w:ascii="宋体" w:hAnsi="宋体"/>
          <w:color w:val="auto"/>
          <w:sz w:val="24"/>
        </w:rPr>
      </w:pPr>
      <w:r>
        <w:rPr>
          <w:rFonts w:ascii="宋体" w:hAnsi="宋体"/>
          <w:color w:val="auto"/>
          <w:sz w:val="24"/>
        </w:rPr>
        <w:t>3.</w:t>
      </w:r>
      <w:r>
        <w:rPr>
          <w:rFonts w:hint="eastAsia" w:ascii="宋体" w:hAnsi="宋体"/>
          <w:color w:val="auto"/>
          <w:sz w:val="24"/>
        </w:rPr>
        <w:t>依法</w:t>
      </w:r>
      <w:r>
        <w:rPr>
          <w:rFonts w:ascii="宋体" w:hAnsi="宋体"/>
          <w:color w:val="auto"/>
          <w:sz w:val="24"/>
        </w:rPr>
        <w:t>免税和</w:t>
      </w:r>
      <w:r>
        <w:rPr>
          <w:rFonts w:hint="eastAsia" w:ascii="宋体" w:hAnsi="宋体"/>
          <w:color w:val="auto"/>
          <w:sz w:val="24"/>
        </w:rPr>
        <w:t>不需要</w:t>
      </w:r>
      <w:r>
        <w:rPr>
          <w:rFonts w:ascii="宋体" w:hAnsi="宋体"/>
          <w:color w:val="auto"/>
          <w:sz w:val="24"/>
        </w:rPr>
        <w:t>缴纳</w:t>
      </w:r>
      <w:r>
        <w:rPr>
          <w:rFonts w:hint="eastAsia" w:ascii="宋体" w:hAnsi="宋体"/>
          <w:color w:val="auto"/>
          <w:sz w:val="24"/>
        </w:rPr>
        <w:t>社会</w:t>
      </w:r>
      <w:r>
        <w:rPr>
          <w:rFonts w:ascii="宋体" w:hAnsi="宋体"/>
          <w:color w:val="auto"/>
          <w:sz w:val="24"/>
        </w:rPr>
        <w:t>保障资金</w:t>
      </w:r>
      <w:r>
        <w:rPr>
          <w:rFonts w:hint="eastAsia" w:ascii="宋体" w:hAnsi="宋体"/>
          <w:color w:val="auto"/>
          <w:sz w:val="24"/>
        </w:rPr>
        <w:t>的</w:t>
      </w:r>
      <w:r>
        <w:rPr>
          <w:rFonts w:ascii="宋体" w:hAnsi="宋体"/>
          <w:color w:val="auto"/>
          <w:sz w:val="24"/>
        </w:rPr>
        <w:t>投标人</w:t>
      </w:r>
      <w:r>
        <w:rPr>
          <w:rFonts w:hint="eastAsia" w:ascii="宋体" w:hAnsi="宋体"/>
          <w:color w:val="auto"/>
          <w:sz w:val="24"/>
        </w:rPr>
        <w:t>应</w:t>
      </w:r>
      <w:r>
        <w:rPr>
          <w:rFonts w:ascii="宋体" w:hAnsi="宋体"/>
          <w:color w:val="auto"/>
          <w:sz w:val="24"/>
        </w:rPr>
        <w:t>提供</w:t>
      </w:r>
      <w:r>
        <w:rPr>
          <w:rFonts w:hint="eastAsia" w:ascii="宋体" w:hAnsi="宋体"/>
          <w:color w:val="auto"/>
          <w:sz w:val="24"/>
        </w:rPr>
        <w:t>相关</w:t>
      </w:r>
      <w:r>
        <w:rPr>
          <w:rFonts w:ascii="宋体" w:hAnsi="宋体"/>
          <w:color w:val="auto"/>
          <w:sz w:val="24"/>
        </w:rPr>
        <w:t>证明文件</w:t>
      </w:r>
      <w:r>
        <w:rPr>
          <w:rFonts w:hint="eastAsia" w:ascii="宋体" w:hAnsi="宋体"/>
          <w:color w:val="auto"/>
          <w:sz w:val="24"/>
        </w:rPr>
        <w:t>并</w:t>
      </w:r>
      <w:r>
        <w:rPr>
          <w:rFonts w:ascii="宋体" w:hAnsi="宋体"/>
          <w:color w:val="auto"/>
          <w:sz w:val="24"/>
        </w:rPr>
        <w:t>加盖鲜章。</w:t>
      </w:r>
    </w:p>
    <w:p>
      <w:pPr>
        <w:pStyle w:val="5"/>
        <w:spacing w:line="400" w:lineRule="exact"/>
        <w:ind w:firstLine="482" w:firstLineChars="200"/>
        <w:rPr>
          <w:rFonts w:ascii="宋体" w:hAnsi="宋体"/>
          <w:color w:val="auto"/>
          <w:sz w:val="24"/>
        </w:rPr>
      </w:pPr>
      <w:r>
        <w:rPr>
          <w:rFonts w:hint="eastAsia" w:ascii="宋体" w:hAnsi="宋体"/>
          <w:color w:val="auto"/>
          <w:sz w:val="24"/>
        </w:rPr>
        <w:t>五、证明参加本次政府采购活动前三年内，在经营活动中没有重大违法记录的文件</w:t>
      </w:r>
    </w:p>
    <w:p>
      <w:pPr>
        <w:spacing w:line="360" w:lineRule="auto"/>
        <w:ind w:firstLine="480"/>
        <w:rPr>
          <w:bCs/>
          <w:color w:val="auto"/>
          <w:sz w:val="24"/>
        </w:rPr>
      </w:pPr>
      <w:r>
        <w:rPr>
          <w:rFonts w:hint="eastAsia"/>
          <w:bCs/>
          <w:color w:val="auto"/>
          <w:sz w:val="24"/>
        </w:rPr>
        <w:t>1.承诺函（见本节附件1，原件）。</w:t>
      </w:r>
    </w:p>
    <w:p>
      <w:pPr>
        <w:spacing w:line="360" w:lineRule="auto"/>
        <w:ind w:firstLine="480"/>
        <w:rPr>
          <w:bCs/>
          <w:color w:val="auto"/>
          <w:sz w:val="24"/>
        </w:rPr>
      </w:pPr>
      <w:r>
        <w:rPr>
          <w:rFonts w:hint="eastAsia"/>
          <w:bCs/>
          <w:color w:val="auto"/>
          <w:sz w:val="24"/>
        </w:rPr>
        <w:t>注：本项目确定投标人重大违法记录中较大数额罚款的金额标准为：</w:t>
      </w:r>
      <w:r>
        <w:rPr>
          <w:bCs/>
          <w:color w:val="auto"/>
          <w:sz w:val="24"/>
        </w:rPr>
        <w:t>对在经营活动中的违</w:t>
      </w:r>
      <w:r>
        <w:rPr>
          <w:color w:val="auto"/>
          <w:sz w:val="24"/>
        </w:rPr>
        <w:t>法行为处以罚款或者没收财产5万元以上</w:t>
      </w:r>
      <w:r>
        <w:rPr>
          <w:rFonts w:hint="eastAsia"/>
          <w:color w:val="auto"/>
          <w:sz w:val="24"/>
        </w:rPr>
        <w:t>；省外较大数额的标准应以作出行政处罚地域的政府规定为准。</w:t>
      </w:r>
    </w:p>
    <w:p>
      <w:pPr>
        <w:pStyle w:val="5"/>
        <w:numPr>
          <w:ilvl w:val="0"/>
          <w:numId w:val="4"/>
        </w:numPr>
        <w:spacing w:line="400" w:lineRule="exact"/>
        <w:ind w:firstLine="482" w:firstLineChars="200"/>
        <w:rPr>
          <w:rFonts w:ascii="宋体" w:hAnsi="宋体"/>
          <w:color w:val="auto"/>
          <w:sz w:val="24"/>
        </w:rPr>
      </w:pPr>
      <w:r>
        <w:rPr>
          <w:rFonts w:hint="eastAsia" w:ascii="宋体" w:hAnsi="宋体"/>
          <w:color w:val="auto"/>
          <w:sz w:val="24"/>
        </w:rPr>
        <w:t>证明符合法律、行政法规规定的其他条件的文件</w:t>
      </w:r>
    </w:p>
    <w:p>
      <w:pPr>
        <w:spacing w:line="360" w:lineRule="auto"/>
        <w:ind w:firstLine="480" w:firstLineChars="200"/>
        <w:rPr>
          <w:rFonts w:hAnsi="宋体" w:cs="宋体"/>
          <w:color w:val="auto"/>
          <w:sz w:val="24"/>
        </w:rPr>
      </w:pPr>
      <w:r>
        <w:rPr>
          <w:rFonts w:hint="eastAsia" w:hAnsi="宋体"/>
          <w:bCs/>
          <w:color w:val="auto"/>
          <w:sz w:val="24"/>
        </w:rPr>
        <w:t>1.</w:t>
      </w:r>
      <w:r>
        <w:rPr>
          <w:rFonts w:hint="eastAsia" w:hAnsi="宋体" w:cs="宋体"/>
          <w:color w:val="auto"/>
          <w:sz w:val="24"/>
        </w:rPr>
        <w:t>信用记录由采购代理机构按招标文件的约定进行信用记录查询，投标人可不提供证明。</w:t>
      </w:r>
    </w:p>
    <w:p>
      <w:pPr>
        <w:pStyle w:val="2"/>
        <w:ind w:firstLine="480"/>
        <w:rPr>
          <w:rFonts w:hAnsi="宋体"/>
          <w:bCs/>
          <w:color w:val="auto"/>
        </w:rPr>
      </w:pPr>
      <w:r>
        <w:rPr>
          <w:rFonts w:hint="eastAsia"/>
          <w:color w:val="auto"/>
        </w:rPr>
        <w:t>2.</w:t>
      </w:r>
      <w:r>
        <w:rPr>
          <w:rFonts w:hint="eastAsia" w:hAnsi="宋体"/>
          <w:bCs/>
          <w:color w:val="auto"/>
        </w:rPr>
        <w:t>承诺函（见本节附件1，原件）。</w:t>
      </w:r>
    </w:p>
    <w:p>
      <w:pPr>
        <w:pStyle w:val="5"/>
        <w:spacing w:line="400" w:lineRule="exact"/>
        <w:ind w:firstLine="482" w:firstLineChars="200"/>
        <w:rPr>
          <w:rFonts w:ascii="宋体" w:hAnsi="宋体"/>
          <w:color w:val="auto"/>
          <w:sz w:val="24"/>
        </w:rPr>
      </w:pPr>
      <w:r>
        <w:rPr>
          <w:rFonts w:hint="eastAsia" w:ascii="宋体" w:hAnsi="宋体"/>
          <w:color w:val="auto"/>
          <w:sz w:val="24"/>
        </w:rPr>
        <w:t>七、证明符合根据采购项目提出的特殊条件的文件</w:t>
      </w:r>
    </w:p>
    <w:p>
      <w:pPr>
        <w:spacing w:line="360" w:lineRule="auto"/>
        <w:ind w:firstLine="480" w:firstLineChars="200"/>
        <w:rPr>
          <w:rFonts w:hAnsi="宋体"/>
          <w:bCs/>
          <w:color w:val="auto"/>
          <w:sz w:val="24"/>
        </w:rPr>
      </w:pPr>
      <w:r>
        <w:rPr>
          <w:rFonts w:hint="eastAsia" w:hAnsi="宋体"/>
          <w:bCs/>
          <w:color w:val="auto"/>
          <w:sz w:val="24"/>
        </w:rPr>
        <w:t>1.信用记录由采购代理机构按招标文件的约定进行信用记录查询，投标人可不提供证明。</w:t>
      </w:r>
    </w:p>
    <w:p>
      <w:pPr>
        <w:spacing w:line="360" w:lineRule="auto"/>
        <w:rPr>
          <w:rFonts w:ascii="宋体" w:hAnsi="宋体"/>
          <w:color w:val="auto"/>
          <w:sz w:val="24"/>
        </w:rPr>
      </w:pPr>
      <w:r>
        <w:rPr>
          <w:rFonts w:hint="eastAsia" w:hAnsi="宋体"/>
          <w:bCs/>
          <w:color w:val="auto"/>
          <w:sz w:val="24"/>
        </w:rPr>
        <w:t xml:space="preserve">    2.承诺函（见本节附件1，原件）。</w:t>
      </w:r>
    </w:p>
    <w:p>
      <w:pPr>
        <w:spacing w:line="360" w:lineRule="auto"/>
        <w:rPr>
          <w:rFonts w:ascii="宋体" w:hAnsi="宋体"/>
          <w:color w:val="auto"/>
          <w:sz w:val="24"/>
        </w:rPr>
      </w:pPr>
    </w:p>
    <w:p>
      <w:pPr>
        <w:spacing w:line="360" w:lineRule="auto"/>
        <w:rPr>
          <w:rFonts w:hAnsi="宋体" w:cs="宋体"/>
          <w:b/>
          <w:color w:val="auto"/>
          <w:sz w:val="24"/>
        </w:rPr>
      </w:pPr>
      <w:r>
        <w:rPr>
          <w:rFonts w:hint="eastAsia" w:ascii="宋体" w:hAnsi="宋体"/>
          <w:b/>
          <w:bCs/>
          <w:color w:val="auto"/>
          <w:sz w:val="24"/>
        </w:rPr>
        <w:t>注：1.</w:t>
      </w:r>
      <w:r>
        <w:rPr>
          <w:rFonts w:hint="eastAsia" w:hAnsi="宋体" w:cs="宋体"/>
          <w:b/>
          <w:color w:val="auto"/>
          <w:sz w:val="24"/>
        </w:rPr>
        <w:t>上述材料要求为原件的，投标人必须提供原件，无原件要求的，提供原件或加盖投标人公章的复印件</w:t>
      </w:r>
      <w:r>
        <w:rPr>
          <w:rFonts w:hAnsi="宋体" w:cs="宋体"/>
          <w:b/>
          <w:color w:val="auto"/>
          <w:sz w:val="24"/>
        </w:rPr>
        <w:t>（或扫描件）</w:t>
      </w:r>
      <w:r>
        <w:rPr>
          <w:rFonts w:hint="eastAsia" w:hAnsi="宋体" w:cs="宋体"/>
          <w:b/>
          <w:color w:val="auto"/>
          <w:sz w:val="24"/>
        </w:rPr>
        <w:t>。</w:t>
      </w:r>
    </w:p>
    <w:p>
      <w:pPr>
        <w:pStyle w:val="108"/>
        <w:rPr>
          <w:b/>
          <w:color w:val="auto"/>
        </w:rPr>
      </w:pPr>
      <w:r>
        <w:rPr>
          <w:color w:val="auto"/>
        </w:rPr>
        <w:br w:type="page"/>
      </w:r>
      <w:r>
        <w:rPr>
          <w:rFonts w:hint="eastAsia"/>
          <w:b/>
          <w:color w:val="auto"/>
        </w:rPr>
        <w:t>附件1</w:t>
      </w:r>
    </w:p>
    <w:p>
      <w:pPr>
        <w:pStyle w:val="108"/>
        <w:jc w:val="center"/>
        <w:rPr>
          <w:rFonts w:ascii="Times New Roman" w:hAnsi="Times New Roman"/>
          <w:b/>
          <w:color w:val="auto"/>
        </w:rPr>
      </w:pPr>
      <w:r>
        <w:rPr>
          <w:rFonts w:hint="eastAsia"/>
          <w:b/>
          <w:color w:val="auto"/>
        </w:rPr>
        <w:t>承诺函（此格式为实质性要求）</w:t>
      </w: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成都盈合工程项目管理有限公司：</w:t>
      </w:r>
    </w:p>
    <w:p>
      <w:pPr>
        <w:spacing w:line="360" w:lineRule="auto"/>
        <w:ind w:firstLine="420" w:firstLineChars="200"/>
        <w:rPr>
          <w:rFonts w:ascii="Times New Roman" w:hAnsi="Times New Roman"/>
          <w:color w:val="auto"/>
        </w:rPr>
      </w:pPr>
      <w:r>
        <w:rPr>
          <w:rFonts w:hint="eastAsia" w:ascii="Times New Roman" w:hAnsi="Times New Roman"/>
          <w:color w:val="auto"/>
        </w:rPr>
        <w:t>我公司作为本次采购项目的投标人，根据招标文件要求，现郑重承诺如下：</w:t>
      </w:r>
    </w:p>
    <w:p>
      <w:pPr>
        <w:spacing w:line="360" w:lineRule="auto"/>
        <w:rPr>
          <w:rFonts w:ascii="Times New Roman" w:hAnsi="Times New Roman"/>
          <w:color w:val="auto"/>
        </w:rPr>
      </w:pPr>
      <w:r>
        <w:rPr>
          <w:rFonts w:hint="eastAsia" w:ascii="Times New Roman" w:hAnsi="Times New Roman"/>
          <w:color w:val="auto"/>
        </w:rPr>
        <w:t>一、具有良好的商业信誉；</w:t>
      </w:r>
    </w:p>
    <w:p>
      <w:pPr>
        <w:spacing w:line="360" w:lineRule="auto"/>
        <w:rPr>
          <w:rFonts w:ascii="Times New Roman" w:hAnsi="Times New Roman"/>
          <w:color w:val="auto"/>
        </w:rPr>
      </w:pPr>
      <w:r>
        <w:rPr>
          <w:rFonts w:hint="eastAsia" w:ascii="Times New Roman" w:hAnsi="Times New Roman"/>
          <w:color w:val="auto"/>
        </w:rPr>
        <w:t>二、具有履行合同所必须的设备和专业技术能力；</w:t>
      </w:r>
    </w:p>
    <w:p>
      <w:pPr>
        <w:spacing w:line="360" w:lineRule="auto"/>
        <w:rPr>
          <w:rFonts w:ascii="Times New Roman" w:hAnsi="Times New Roman"/>
          <w:color w:val="auto"/>
        </w:rPr>
      </w:pPr>
      <w:r>
        <w:rPr>
          <w:rFonts w:hint="eastAsia" w:ascii="Times New Roman" w:hAnsi="Times New Roman"/>
          <w:color w:val="auto"/>
        </w:rPr>
        <w:t>三、参加政府采购活动前三年内，在经营活动中没有重大违法记录；</w:t>
      </w:r>
    </w:p>
    <w:p>
      <w:pPr>
        <w:spacing w:line="360" w:lineRule="auto"/>
        <w:rPr>
          <w:rFonts w:ascii="Times New Roman" w:hAnsi="Times New Roman"/>
          <w:color w:val="auto"/>
        </w:rPr>
      </w:pPr>
      <w:r>
        <w:rPr>
          <w:rFonts w:hint="eastAsia" w:ascii="Times New Roman" w:hAnsi="Times New Roman"/>
          <w:color w:val="auto"/>
        </w:rPr>
        <w:t>四</w:t>
      </w:r>
      <w:r>
        <w:rPr>
          <w:rFonts w:ascii="Times New Roman" w:hAnsi="Times New Roman"/>
          <w:color w:val="auto"/>
        </w:rPr>
        <w:t>、完全接受本项目招标文件中规定的实质性要求，如对招标文件有异议，已经在投标截止时间届满前依法进行维权救济，不存在对招标文件有异议的同时又参加投标以求侥幸中标或者为实现其他非法目的的行为。</w:t>
      </w:r>
    </w:p>
    <w:p>
      <w:pPr>
        <w:spacing w:line="360" w:lineRule="auto"/>
        <w:rPr>
          <w:rFonts w:ascii="Times New Roman" w:hAnsi="Times New Roman"/>
          <w:color w:val="auto"/>
        </w:rPr>
      </w:pPr>
      <w:r>
        <w:rPr>
          <w:rFonts w:hint="eastAsia" w:ascii="Times New Roman" w:hAnsi="Times New Roman"/>
          <w:color w:val="auto"/>
        </w:rPr>
        <w:t>五、如果有《四川省政府采购当事人诚信管理办法》（川财采[2015]33号）规定的记入诚信档案的失信行为，将在投标文件中全面如实反映。</w:t>
      </w:r>
    </w:p>
    <w:p>
      <w:pPr>
        <w:spacing w:line="360" w:lineRule="auto"/>
        <w:rPr>
          <w:rFonts w:ascii="Times New Roman" w:hAnsi="Times New Roman"/>
          <w:color w:val="auto"/>
        </w:rPr>
      </w:pPr>
      <w:r>
        <w:rPr>
          <w:rFonts w:hint="eastAsia" w:ascii="Times New Roman" w:hAnsi="Times New Roman"/>
          <w:color w:val="auto"/>
        </w:rPr>
        <w:t>六、参加本次招标采购活动，不存在与单位负责人为同一人或者存在直接控股、管理关系的其他投标人参与同一合同项下的政府采购活动的行为。</w:t>
      </w:r>
    </w:p>
    <w:p>
      <w:pPr>
        <w:spacing w:line="360" w:lineRule="auto"/>
        <w:rPr>
          <w:rFonts w:ascii="Times New Roman" w:hAnsi="Times New Roman"/>
          <w:color w:val="auto"/>
        </w:rPr>
      </w:pPr>
      <w:r>
        <w:rPr>
          <w:rFonts w:hint="eastAsia" w:ascii="Times New Roman" w:hAnsi="Times New Roman"/>
          <w:color w:val="auto"/>
        </w:rPr>
        <w:t>七、参加本次招标采购活动，不存在和其他投标人在同一合同项下的采购项目中，同时委托同一个自然人、同一家庭的人员、同一单位的人员作为代理人的行为。</w:t>
      </w:r>
    </w:p>
    <w:p>
      <w:pPr>
        <w:spacing w:line="360" w:lineRule="auto"/>
        <w:rPr>
          <w:rFonts w:ascii="Times New Roman" w:hAnsi="Times New Roman"/>
          <w:color w:val="auto"/>
        </w:rPr>
      </w:pPr>
      <w:r>
        <w:rPr>
          <w:rFonts w:hint="eastAsia" w:ascii="Times New Roman" w:hAnsi="Times New Roman"/>
          <w:color w:val="auto"/>
        </w:rPr>
        <w:t>八、投标文件中提供的能够给予我公司带来优惠、好处的任何材料资料和技术、服务、商务等响应承诺情况都是真实的、有效的、合法的。</w:t>
      </w:r>
    </w:p>
    <w:p>
      <w:pPr>
        <w:spacing w:line="360" w:lineRule="auto"/>
        <w:rPr>
          <w:rFonts w:ascii="Times New Roman" w:hAnsi="Times New Roman"/>
          <w:color w:val="auto"/>
        </w:rPr>
      </w:pPr>
      <w:r>
        <w:rPr>
          <w:rFonts w:hint="eastAsia" w:ascii="Times New Roman" w:hAnsi="Times New Roman"/>
          <w:color w:val="auto"/>
        </w:rPr>
        <w:t>九、如本项目评标过程中需要提供样品，则我公司提供的样品即为中标后将要提供的中标产品，我公司对提供样品的性能和质量负责，因样品存在缺陷或者不符合招标文件要求导致未能中标的，我公司愿意承担相应不利后果。</w:t>
      </w:r>
    </w:p>
    <w:p>
      <w:pPr>
        <w:spacing w:line="360" w:lineRule="auto"/>
        <w:rPr>
          <w:rFonts w:ascii="Times New Roman" w:hAnsi="Times New Roman"/>
          <w:color w:val="auto"/>
        </w:rPr>
      </w:pPr>
      <w:r>
        <w:rPr>
          <w:rFonts w:hint="eastAsia" w:ascii="Times New Roman" w:hAnsi="Times New Roman"/>
          <w:color w:val="auto"/>
        </w:rPr>
        <w:t>十、我单位、我单位法定代表人/主要负责人不具有行贿犯罪记录。</w:t>
      </w:r>
    </w:p>
    <w:p>
      <w:pPr>
        <w:spacing w:line="360" w:lineRule="auto"/>
        <w:rPr>
          <w:rFonts w:ascii="Times New Roman" w:hAnsi="Times New Roman"/>
          <w:color w:val="auto"/>
        </w:rPr>
      </w:pPr>
      <w:r>
        <w:rPr>
          <w:rFonts w:hint="eastAsia" w:ascii="Times New Roman" w:hAnsi="Times New Roman"/>
          <w:color w:val="auto"/>
        </w:rPr>
        <w:t>十一、我单位及我单位提供的投标产品均满足法律法规强制性要求的其他许可或认证资格。</w:t>
      </w:r>
    </w:p>
    <w:p>
      <w:pPr>
        <w:spacing w:line="360" w:lineRule="auto"/>
        <w:ind w:firstLine="420" w:firstLineChars="200"/>
        <w:rPr>
          <w:rFonts w:ascii="Times New Roman" w:hAnsi="Times New Roman"/>
          <w:color w:val="auto"/>
        </w:rPr>
      </w:pPr>
      <w:r>
        <w:rPr>
          <w:rFonts w:hint="eastAsia" w:ascii="Times New Roman" w:hAnsi="Times New Roman"/>
          <w:color w:val="auto"/>
        </w:rPr>
        <w:t>本公司对上述承诺的内容事项真实性负责。如经查实上述承诺的内容事项存在虚假，我公司愿意接受以提供虚假材料谋取中标追究法律责任。</w:t>
      </w: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投标人名称：XXXX（单位公章）。</w:t>
      </w:r>
    </w:p>
    <w:p>
      <w:pPr>
        <w:spacing w:line="360" w:lineRule="auto"/>
        <w:rPr>
          <w:rFonts w:ascii="Times New Roman" w:hAnsi="Times New Roman"/>
          <w:color w:val="auto"/>
        </w:rPr>
      </w:pPr>
      <w:r>
        <w:rPr>
          <w:rFonts w:hint="eastAsia" w:ascii="Times New Roman" w:hAnsi="Times New Roman"/>
          <w:color w:val="auto"/>
        </w:rPr>
        <w:t>法定代表人或授权代表（签字或加盖个人名章）：XXXX。</w:t>
      </w:r>
    </w:p>
    <w:p>
      <w:pPr>
        <w:spacing w:line="360" w:lineRule="auto"/>
        <w:rPr>
          <w:rFonts w:ascii="Times New Roman" w:hAnsi="Times New Roman"/>
          <w:color w:val="auto"/>
        </w:rPr>
      </w:pPr>
      <w:r>
        <w:rPr>
          <w:rFonts w:hint="eastAsia" w:ascii="Times New Roman" w:hAnsi="Times New Roman"/>
          <w:color w:val="auto"/>
        </w:rPr>
        <w:t>日期：XXXX。</w:t>
      </w:r>
    </w:p>
    <w:p>
      <w:pPr>
        <w:spacing w:line="360" w:lineRule="auto"/>
        <w:rPr>
          <w:rFonts w:ascii="宋体" w:hAnsi="宋体"/>
          <w:b/>
          <w:color w:val="auto"/>
          <w:sz w:val="32"/>
          <w:szCs w:val="32"/>
        </w:rPr>
      </w:pPr>
      <w:r>
        <w:rPr>
          <w:rFonts w:ascii="宋体" w:hAnsi="宋体"/>
          <w:color w:val="auto"/>
        </w:rPr>
        <w:br w:type="page"/>
      </w:r>
    </w:p>
    <w:p>
      <w:pPr>
        <w:widowControl/>
        <w:spacing w:line="480" w:lineRule="auto"/>
        <w:jc w:val="center"/>
        <w:outlineLvl w:val="1"/>
        <w:rPr>
          <w:rFonts w:ascii="宋体" w:hAnsi="宋体"/>
          <w:b/>
          <w:color w:val="auto"/>
          <w:sz w:val="32"/>
          <w:szCs w:val="32"/>
        </w:rPr>
      </w:pPr>
      <w:r>
        <w:rPr>
          <w:rFonts w:hint="eastAsia" w:ascii="宋体" w:hAnsi="宋体"/>
          <w:b/>
          <w:color w:val="auto"/>
          <w:sz w:val="32"/>
          <w:szCs w:val="32"/>
        </w:rPr>
        <w:t>下册：商务和技术文件</w:t>
      </w:r>
    </w:p>
    <w:p>
      <w:pPr>
        <w:rPr>
          <w:rFonts w:ascii="Times New Roman" w:hAnsi="Times New Roman"/>
          <w:color w:val="auto"/>
        </w:rPr>
      </w:pPr>
    </w:p>
    <w:p>
      <w:pPr>
        <w:rPr>
          <w:rFonts w:ascii="Times New Roman" w:hAnsi="Times New Roman"/>
          <w:color w:val="auto"/>
        </w:rPr>
      </w:pPr>
    </w:p>
    <w:p>
      <w:pPr>
        <w:widowControl/>
        <w:spacing w:line="480" w:lineRule="auto"/>
        <w:jc w:val="center"/>
        <w:outlineLvl w:val="1"/>
        <w:rPr>
          <w:rFonts w:ascii="宋体" w:hAnsi="宋体"/>
          <w:b/>
          <w:color w:val="auto"/>
          <w:sz w:val="32"/>
          <w:szCs w:val="32"/>
        </w:rPr>
      </w:pPr>
      <w:r>
        <w:rPr>
          <w:rFonts w:hint="eastAsia" w:ascii="宋体" w:hAnsi="宋体"/>
          <w:b/>
          <w:color w:val="auto"/>
          <w:sz w:val="32"/>
          <w:szCs w:val="32"/>
        </w:rPr>
        <w:t>一、投 标 函</w:t>
      </w:r>
      <w:bookmarkEnd w:id="173"/>
      <w:bookmarkEnd w:id="174"/>
      <w:r>
        <w:rPr>
          <w:rFonts w:hint="eastAsia" w:ascii="宋体" w:hAnsi="宋体"/>
          <w:b/>
          <w:color w:val="auto"/>
          <w:sz w:val="32"/>
          <w:szCs w:val="32"/>
        </w:rPr>
        <w:t>（此格式为实质性要求）</w:t>
      </w: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成都盈合工程项目管理有限公司：</w:t>
      </w:r>
    </w:p>
    <w:p>
      <w:pPr>
        <w:spacing w:line="360" w:lineRule="auto"/>
        <w:ind w:firstLine="420" w:firstLineChars="200"/>
        <w:rPr>
          <w:rFonts w:ascii="Times New Roman" w:hAnsi="Times New Roman"/>
          <w:color w:val="auto"/>
        </w:rPr>
      </w:pPr>
      <w:r>
        <w:rPr>
          <w:rFonts w:hint="eastAsia"/>
          <w:color w:val="auto"/>
        </w:rPr>
        <w:t>我方全面研究了“XXXXXXXX”项目（招标编号：XXXX）招标文件，决定参加贵单位组织的本项目投标。我</w:t>
      </w:r>
      <w:r>
        <w:rPr>
          <w:rFonts w:hint="eastAsia" w:ascii="Times New Roman" w:hAnsi="Times New Roman"/>
          <w:color w:val="auto"/>
        </w:rPr>
        <w:t>方授权XXXX（姓名、职务）代表我方XXXX（投标单位的名称）全权处理本项目投标的有关事宜。</w:t>
      </w:r>
    </w:p>
    <w:p>
      <w:pPr>
        <w:spacing w:line="360" w:lineRule="auto"/>
        <w:rPr>
          <w:rFonts w:ascii="Times New Roman" w:hAnsi="Times New Roman"/>
          <w:color w:val="auto"/>
        </w:rPr>
      </w:pPr>
      <w:r>
        <w:rPr>
          <w:rFonts w:hint="eastAsia" w:ascii="Times New Roman" w:hAnsi="Times New Roman"/>
          <w:color w:val="auto"/>
        </w:rPr>
        <w:t>一、我方自愿按照招标文件规定的各项要求向采购人提供所需/服务，总投标价为人民币XX万元（大写：XXXX）。</w:t>
      </w:r>
    </w:p>
    <w:p>
      <w:pPr>
        <w:spacing w:line="360" w:lineRule="auto"/>
        <w:rPr>
          <w:rFonts w:ascii="Times New Roman" w:hAnsi="Times New Roman"/>
          <w:color w:val="auto"/>
        </w:rPr>
      </w:pPr>
      <w:r>
        <w:rPr>
          <w:rFonts w:hint="eastAsia" w:ascii="Times New Roman" w:hAnsi="Times New Roman"/>
          <w:color w:val="auto"/>
        </w:rPr>
        <w:t>二、一旦我方中标，我方将严格履行政府采购合同规定的责任和义务。</w:t>
      </w:r>
    </w:p>
    <w:p>
      <w:pPr>
        <w:spacing w:line="360" w:lineRule="auto"/>
        <w:rPr>
          <w:rFonts w:ascii="Times New Roman" w:hAnsi="Times New Roman"/>
          <w:color w:val="auto"/>
        </w:rPr>
      </w:pPr>
      <w:r>
        <w:rPr>
          <w:rFonts w:hint="eastAsia" w:ascii="Times New Roman" w:hAnsi="Times New Roman"/>
          <w:color w:val="auto"/>
        </w:rPr>
        <w:t>三、我方同意本招标文件依据《四川省政府采购当事人诚信管理办法》（川财采【2015】33号文件）对我方可能存在的失信行为进行的惩戒。</w:t>
      </w:r>
    </w:p>
    <w:p>
      <w:pPr>
        <w:spacing w:line="360" w:lineRule="auto"/>
        <w:rPr>
          <w:rFonts w:ascii="Times New Roman" w:hAnsi="Times New Roman"/>
          <w:color w:val="auto"/>
        </w:rPr>
      </w:pPr>
      <w:r>
        <w:rPr>
          <w:rFonts w:hint="eastAsia" w:ascii="Times New Roman" w:hAnsi="Times New Roman"/>
          <w:color w:val="auto"/>
        </w:rPr>
        <w:t>四、我方为本项目提交的投标文件正本X份，副本XX份，用于开标唱标的“开标一览表”XX份。</w:t>
      </w:r>
    </w:p>
    <w:p>
      <w:pPr>
        <w:spacing w:line="360" w:lineRule="auto"/>
        <w:rPr>
          <w:rFonts w:ascii="Times New Roman" w:hAnsi="Times New Roman"/>
          <w:color w:val="auto"/>
        </w:rPr>
      </w:pPr>
      <w:r>
        <w:rPr>
          <w:rFonts w:hint="eastAsia" w:ascii="Times New Roman" w:hAnsi="Times New Roman"/>
          <w:color w:val="auto"/>
        </w:rPr>
        <w:t>五、我方同意本次招标的投标有效期为投标截止时间届满后XX天。</w:t>
      </w:r>
    </w:p>
    <w:p>
      <w:pPr>
        <w:spacing w:line="360" w:lineRule="auto"/>
        <w:rPr>
          <w:rFonts w:ascii="Times New Roman" w:hAnsi="Times New Roman"/>
          <w:color w:val="auto"/>
        </w:rPr>
      </w:pPr>
      <w:r>
        <w:rPr>
          <w:rFonts w:hint="eastAsia" w:ascii="Times New Roman" w:hAnsi="Times New Roman"/>
          <w:color w:val="auto"/>
        </w:rPr>
        <w:t>六、我方愿意提供贵单位可能另外要求的，与投标有关的文件资料，并保证我方已提供和将要提供的文件资料是真实、准确的。</w:t>
      </w:r>
    </w:p>
    <w:p>
      <w:pPr>
        <w:spacing w:line="360" w:lineRule="auto"/>
        <w:rPr>
          <w:rFonts w:ascii="Times New Roman" w:hAnsi="Times New Roman"/>
          <w:color w:val="auto"/>
        </w:rPr>
      </w:pPr>
      <w:r>
        <w:rPr>
          <w:rFonts w:hint="eastAsia" w:ascii="Times New Roman" w:hAnsi="Times New Roman"/>
          <w:color w:val="auto"/>
        </w:rPr>
        <w:t>七、我公司承诺，如我公司中标，将在领取中标通知书前向本项目代理机构全额缴纳代理服务费。</w:t>
      </w:r>
    </w:p>
    <w:p>
      <w:pPr>
        <w:spacing w:line="360" w:lineRule="auto"/>
        <w:rPr>
          <w:rFonts w:ascii="Times New Roman" w:hAnsi="Times New Roman"/>
          <w:color w:val="auto"/>
        </w:rPr>
      </w:pPr>
      <w:r>
        <w:rPr>
          <w:rFonts w:hint="eastAsia" w:ascii="Times New Roman" w:hAnsi="Times New Roman"/>
          <w:color w:val="auto"/>
        </w:rPr>
        <w:t>八、我方完全理解采购人不一定接受最低报价的投标或收到的任何投标。</w:t>
      </w:r>
    </w:p>
    <w:p>
      <w:pPr>
        <w:spacing w:line="360" w:lineRule="auto"/>
        <w:rPr>
          <w:rFonts w:ascii="Times New Roman" w:hAnsi="Times New Roman"/>
          <w:color w:val="auto"/>
        </w:rPr>
      </w:pPr>
    </w:p>
    <w:p>
      <w:pPr>
        <w:spacing w:line="360" w:lineRule="auto"/>
        <w:rPr>
          <w:rFonts w:ascii="Times New Roman" w:hAnsi="Times New Roman"/>
          <w:color w:val="auto"/>
        </w:rPr>
      </w:pP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投标人名称：XXXX（单位公章）。</w:t>
      </w:r>
    </w:p>
    <w:p>
      <w:pPr>
        <w:spacing w:line="360" w:lineRule="auto"/>
        <w:rPr>
          <w:rFonts w:ascii="Times New Roman" w:hAnsi="Times New Roman"/>
          <w:color w:val="auto"/>
        </w:rPr>
      </w:pPr>
      <w:r>
        <w:rPr>
          <w:rFonts w:hint="eastAsia" w:ascii="Times New Roman" w:hAnsi="Times New Roman"/>
          <w:color w:val="auto"/>
        </w:rPr>
        <w:t>法定代表人或授权代表（签字或加盖个人名章）：XXXX。</w:t>
      </w:r>
    </w:p>
    <w:p>
      <w:pPr>
        <w:spacing w:line="360" w:lineRule="auto"/>
        <w:rPr>
          <w:rFonts w:ascii="Times New Roman" w:hAnsi="Times New Roman"/>
          <w:color w:val="auto"/>
        </w:rPr>
      </w:pPr>
      <w:r>
        <w:rPr>
          <w:rFonts w:hint="eastAsia" w:ascii="Times New Roman" w:hAnsi="Times New Roman"/>
          <w:color w:val="auto"/>
        </w:rPr>
        <w:t>通讯地址：XXXX。</w:t>
      </w:r>
    </w:p>
    <w:p>
      <w:pPr>
        <w:spacing w:line="360" w:lineRule="auto"/>
        <w:rPr>
          <w:rFonts w:ascii="Times New Roman" w:hAnsi="Times New Roman"/>
          <w:color w:val="auto"/>
        </w:rPr>
      </w:pPr>
      <w:r>
        <w:rPr>
          <w:rFonts w:hint="eastAsia" w:ascii="Times New Roman" w:hAnsi="Times New Roman"/>
          <w:color w:val="auto"/>
        </w:rPr>
        <w:t>邮政编码：XXXX。</w:t>
      </w:r>
    </w:p>
    <w:p>
      <w:pPr>
        <w:spacing w:line="360" w:lineRule="auto"/>
        <w:rPr>
          <w:rFonts w:ascii="Times New Roman" w:hAnsi="Times New Roman"/>
          <w:color w:val="auto"/>
        </w:rPr>
      </w:pPr>
      <w:r>
        <w:rPr>
          <w:rFonts w:hint="eastAsia" w:ascii="Times New Roman" w:hAnsi="Times New Roman"/>
          <w:color w:val="auto"/>
        </w:rPr>
        <w:t>联系电话：XXXX。</w:t>
      </w:r>
    </w:p>
    <w:p>
      <w:pPr>
        <w:spacing w:line="360" w:lineRule="auto"/>
        <w:rPr>
          <w:rFonts w:ascii="Times New Roman" w:hAnsi="Times New Roman"/>
          <w:color w:val="auto"/>
        </w:rPr>
      </w:pPr>
      <w:r>
        <w:rPr>
          <w:rFonts w:hint="eastAsia" w:ascii="Times New Roman" w:hAnsi="Times New Roman"/>
          <w:color w:val="auto"/>
        </w:rPr>
        <w:t>传真：XXXX。</w:t>
      </w:r>
    </w:p>
    <w:p>
      <w:pPr>
        <w:spacing w:line="360" w:lineRule="auto"/>
        <w:rPr>
          <w:rFonts w:ascii="Times New Roman" w:hAnsi="Times New Roman"/>
          <w:color w:val="auto"/>
        </w:rPr>
      </w:pPr>
      <w:r>
        <w:rPr>
          <w:rFonts w:hint="eastAsia" w:ascii="Times New Roman" w:hAnsi="Times New Roman"/>
          <w:color w:val="auto"/>
        </w:rPr>
        <w:t>日期：XXXX年XXXX月XXXX日。</w:t>
      </w:r>
    </w:p>
    <w:p>
      <w:pPr>
        <w:widowControl/>
        <w:spacing w:line="360" w:lineRule="atLeast"/>
        <w:jc w:val="center"/>
        <w:outlineLvl w:val="1"/>
        <w:rPr>
          <w:rFonts w:ascii="宋体" w:hAnsi="宋体"/>
          <w:b/>
          <w:color w:val="auto"/>
          <w:sz w:val="32"/>
          <w:szCs w:val="32"/>
        </w:rPr>
      </w:pPr>
      <w:bookmarkStart w:id="175" w:name="_Toc308164824"/>
      <w:r>
        <w:rPr>
          <w:rFonts w:ascii="宋体" w:hAnsi="宋体"/>
          <w:b/>
          <w:color w:val="auto"/>
          <w:sz w:val="32"/>
          <w:szCs w:val="32"/>
        </w:rPr>
        <w:br w:type="page"/>
      </w:r>
      <w:bookmarkEnd w:id="175"/>
      <w:r>
        <w:rPr>
          <w:rFonts w:hint="eastAsia" w:ascii="宋体" w:hAnsi="宋体"/>
          <w:b/>
          <w:color w:val="auto"/>
          <w:sz w:val="32"/>
          <w:szCs w:val="32"/>
        </w:rPr>
        <w:t>二、法定代表人授权书</w:t>
      </w:r>
      <w:bookmarkEnd w:id="171"/>
    </w:p>
    <w:p>
      <w:pPr>
        <w:spacing w:line="360" w:lineRule="auto"/>
        <w:rPr>
          <w:rFonts w:ascii="Times New Roman" w:hAnsi="Times New Roman"/>
          <w:color w:val="auto"/>
        </w:rPr>
      </w:pP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成都盈合工程项目管理有限公司：</w:t>
      </w:r>
    </w:p>
    <w:p>
      <w:pPr>
        <w:spacing w:line="360" w:lineRule="auto"/>
        <w:ind w:firstLine="420" w:firstLineChars="200"/>
        <w:rPr>
          <w:rFonts w:ascii="Times New Roman" w:hAnsi="Times New Roman"/>
          <w:color w:val="auto"/>
        </w:rPr>
      </w:pPr>
      <w:r>
        <w:rPr>
          <w:rFonts w:hint="eastAsia" w:ascii="Times New Roman" w:hAnsi="Times New Roman"/>
          <w:color w:val="auto"/>
        </w:rPr>
        <w:t>本授权声明：XXXX XXXX（投标人名称）XXXX（法定代表人姓名、职务）授权（被授权人姓名、职务）为我方“XXXX”项目（招标编号：XXXX、包号：X包）投标活动的合法代表，以我方名义全权处理该项目有关投标、签订合同以及执行合同等一切事宜。</w:t>
      </w:r>
    </w:p>
    <w:p>
      <w:pPr>
        <w:spacing w:line="360" w:lineRule="auto"/>
        <w:rPr>
          <w:rFonts w:ascii="Times New Roman" w:hAnsi="Times New Roman"/>
          <w:color w:val="auto"/>
        </w:rPr>
      </w:pPr>
      <w:r>
        <w:rPr>
          <w:rFonts w:hint="eastAsia" w:ascii="Times New Roman" w:hAnsi="Times New Roman"/>
          <w:color w:val="auto"/>
        </w:rPr>
        <w:t>特此声明。</w:t>
      </w:r>
    </w:p>
    <w:p>
      <w:pPr>
        <w:spacing w:line="360" w:lineRule="auto"/>
        <w:rPr>
          <w:rFonts w:ascii="Times New Roman" w:hAnsi="Times New Roman"/>
          <w:color w:val="auto"/>
        </w:rPr>
      </w:pP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法定代表人签字或者加盖个人名章：XXXX。</w:t>
      </w:r>
    </w:p>
    <w:p>
      <w:pPr>
        <w:spacing w:line="360" w:lineRule="auto"/>
        <w:rPr>
          <w:rFonts w:ascii="Times New Roman" w:hAnsi="Times New Roman"/>
          <w:color w:val="auto"/>
        </w:rPr>
      </w:pPr>
      <w:r>
        <w:rPr>
          <w:rFonts w:hint="eastAsia" w:ascii="Times New Roman" w:hAnsi="Times New Roman"/>
          <w:color w:val="auto"/>
        </w:rPr>
        <w:t>授权代表签字：XXXX。</w:t>
      </w:r>
    </w:p>
    <w:p>
      <w:pPr>
        <w:spacing w:line="360" w:lineRule="auto"/>
        <w:rPr>
          <w:rFonts w:ascii="Times New Roman" w:hAnsi="Times New Roman"/>
          <w:color w:val="auto"/>
        </w:rPr>
      </w:pPr>
      <w:r>
        <w:rPr>
          <w:rFonts w:hint="eastAsia" w:ascii="Times New Roman" w:hAnsi="Times New Roman"/>
          <w:color w:val="auto"/>
        </w:rPr>
        <w:t>投标人名称：XXXX（单位盖章）。</w:t>
      </w:r>
    </w:p>
    <w:p>
      <w:pPr>
        <w:spacing w:line="360" w:lineRule="auto"/>
        <w:rPr>
          <w:rFonts w:ascii="Times New Roman" w:hAnsi="Times New Roman"/>
          <w:color w:val="auto"/>
        </w:rPr>
      </w:pPr>
      <w:r>
        <w:rPr>
          <w:rFonts w:hint="eastAsia" w:ascii="Times New Roman" w:hAnsi="Times New Roman"/>
          <w:color w:val="auto"/>
        </w:rPr>
        <w:t>日期：XXXX。</w:t>
      </w:r>
    </w:p>
    <w:p>
      <w:pPr>
        <w:spacing w:line="360" w:lineRule="auto"/>
        <w:rPr>
          <w:rFonts w:ascii="Times New Roman" w:hAnsi="Times New Roman"/>
          <w:color w:val="auto"/>
        </w:rPr>
      </w:pPr>
      <w:bookmarkStart w:id="176" w:name="_Toc217446084"/>
    </w:p>
    <w:p>
      <w:pPr>
        <w:spacing w:line="360" w:lineRule="auto"/>
        <w:rPr>
          <w:rFonts w:ascii="Times New Roman" w:hAnsi="Times New Roman"/>
          <w:color w:val="auto"/>
        </w:rPr>
      </w:pPr>
      <w:r>
        <w:rPr>
          <w:rFonts w:hint="eastAsia" w:ascii="Times New Roman" w:hAnsi="Times New Roman"/>
          <w:color w:val="auto"/>
        </w:rPr>
        <w:t>附：</w:t>
      </w:r>
      <w:bookmarkEnd w:id="176"/>
      <w:bookmarkStart w:id="177" w:name="_Toc217446085"/>
      <w:r>
        <w:rPr>
          <w:rFonts w:hint="eastAsia" w:ascii="Times New Roman" w:hAnsi="Times New Roman"/>
          <w:color w:val="auto"/>
        </w:rPr>
        <w:t>1、法定代表人身份证</w:t>
      </w:r>
    </w:p>
    <w:p>
      <w:pPr>
        <w:spacing w:line="360" w:lineRule="auto"/>
        <w:rPr>
          <w:rFonts w:ascii="Times New Roman" w:hAnsi="Times New Roman"/>
          <w:color w:val="auto"/>
        </w:rPr>
      </w:pPr>
      <w:r>
        <w:rPr>
          <w:rFonts w:hint="eastAsia" w:ascii="Times New Roman" w:hAnsi="Times New Roman"/>
          <w:color w:val="auto"/>
        </w:rPr>
        <w:t xml:space="preserve">    2、授权代表身份证</w:t>
      </w:r>
    </w:p>
    <w:p>
      <w:pPr>
        <w:spacing w:line="360" w:lineRule="auto"/>
        <w:rPr>
          <w:rFonts w:ascii="Times New Roman" w:hAnsi="Times New Roman"/>
          <w:color w:val="auto"/>
        </w:rPr>
      </w:pPr>
      <w:r>
        <w:rPr>
          <w:rFonts w:hint="eastAsia" w:ascii="Times New Roman" w:hAnsi="Times New Roman"/>
          <w:color w:val="auto"/>
        </w:rPr>
        <w:t>（注：身份证应双面复印，复印页加盖公章）</w:t>
      </w:r>
    </w:p>
    <w:p>
      <w:pPr>
        <w:spacing w:line="360" w:lineRule="auto"/>
        <w:rPr>
          <w:rFonts w:ascii="Times New Roman" w:hAnsi="Times New Roman"/>
          <w:color w:val="auto"/>
        </w:rPr>
      </w:pP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注：自然人投标的应提供自然人身份证。</w:t>
      </w:r>
    </w:p>
    <w:p>
      <w:pPr>
        <w:widowControl/>
        <w:spacing w:line="360" w:lineRule="atLeast"/>
        <w:jc w:val="center"/>
        <w:outlineLvl w:val="1"/>
        <w:rPr>
          <w:rFonts w:ascii="宋体" w:hAnsi="宋体"/>
          <w:b/>
          <w:color w:val="auto"/>
          <w:sz w:val="32"/>
          <w:szCs w:val="32"/>
        </w:rPr>
      </w:pPr>
      <w:r>
        <w:rPr>
          <w:rFonts w:ascii="宋体" w:hAnsi="宋体"/>
          <w:b/>
          <w:color w:val="auto"/>
          <w:sz w:val="32"/>
          <w:szCs w:val="32"/>
        </w:rPr>
        <w:br w:type="page"/>
      </w:r>
      <w:r>
        <w:rPr>
          <w:rFonts w:hint="eastAsia" w:ascii="宋体" w:hAnsi="宋体"/>
          <w:b/>
          <w:color w:val="auto"/>
          <w:sz w:val="32"/>
          <w:szCs w:val="32"/>
        </w:rPr>
        <w:t>三、开标一览表（此格式为实质性要求）</w:t>
      </w:r>
    </w:p>
    <w:p>
      <w:pPr>
        <w:rPr>
          <w:color w:val="auto"/>
        </w:rPr>
      </w:pPr>
      <w:r>
        <w:rPr>
          <w:rFonts w:hint="eastAsia"/>
          <w:color w:val="auto"/>
        </w:rPr>
        <w:t>项目名称：XXX</w:t>
      </w:r>
    </w:p>
    <w:p>
      <w:pPr>
        <w:rPr>
          <w:color w:val="auto"/>
        </w:rPr>
      </w:pPr>
      <w:r>
        <w:rPr>
          <w:rFonts w:hint="eastAsia"/>
          <w:color w:val="auto"/>
        </w:rPr>
        <w:t>招标编号：XXX</w:t>
      </w:r>
    </w:p>
    <w:p>
      <w:pPr>
        <w:rPr>
          <w:color w:val="auto"/>
        </w:rPr>
      </w:pPr>
      <w:r>
        <w:rPr>
          <w:rFonts w:hint="eastAsia"/>
          <w:color w:val="auto"/>
        </w:rPr>
        <w:t xml:space="preserve">第XX包                                                                   </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4"/>
        <w:gridCol w:w="2199"/>
        <w:gridCol w:w="717"/>
        <w:gridCol w:w="1256"/>
        <w:gridCol w:w="1256"/>
        <w:gridCol w:w="897"/>
        <w:gridCol w:w="1256"/>
        <w:gridCol w:w="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874" w:type="dxa"/>
            <w:vAlign w:val="center"/>
          </w:tcPr>
          <w:p>
            <w:pPr>
              <w:rPr>
                <w:color w:val="auto"/>
              </w:rPr>
            </w:pPr>
            <w:r>
              <w:rPr>
                <w:rFonts w:hint="eastAsia"/>
                <w:color w:val="auto"/>
              </w:rPr>
              <w:t>序号</w:t>
            </w:r>
          </w:p>
        </w:tc>
        <w:tc>
          <w:tcPr>
            <w:tcW w:w="2199" w:type="dxa"/>
            <w:vAlign w:val="center"/>
          </w:tcPr>
          <w:p>
            <w:pPr>
              <w:rPr>
                <w:color w:val="auto"/>
              </w:rPr>
            </w:pPr>
            <w:r>
              <w:rPr>
                <w:rFonts w:hint="eastAsia"/>
                <w:color w:val="auto"/>
              </w:rPr>
              <w:t>制造商家及规格型号</w:t>
            </w:r>
          </w:p>
        </w:tc>
        <w:tc>
          <w:tcPr>
            <w:tcW w:w="717" w:type="dxa"/>
            <w:vAlign w:val="center"/>
          </w:tcPr>
          <w:p>
            <w:pPr>
              <w:rPr>
                <w:color w:val="auto"/>
              </w:rPr>
            </w:pPr>
            <w:r>
              <w:rPr>
                <w:rFonts w:hint="eastAsia"/>
                <w:color w:val="auto"/>
              </w:rPr>
              <w:t>数量</w:t>
            </w:r>
          </w:p>
        </w:tc>
        <w:tc>
          <w:tcPr>
            <w:tcW w:w="1256" w:type="dxa"/>
            <w:vAlign w:val="center"/>
          </w:tcPr>
          <w:p>
            <w:pPr>
              <w:rPr>
                <w:color w:val="auto"/>
              </w:rPr>
            </w:pPr>
            <w:r>
              <w:rPr>
                <w:rFonts w:hint="eastAsia"/>
                <w:color w:val="auto"/>
              </w:rPr>
              <w:t>投标单价</w:t>
            </w:r>
          </w:p>
          <w:p>
            <w:pPr>
              <w:rPr>
                <w:color w:val="auto"/>
              </w:rPr>
            </w:pPr>
            <w:r>
              <w:rPr>
                <w:rFonts w:hint="eastAsia"/>
                <w:color w:val="auto"/>
              </w:rPr>
              <w:t>（万元）</w:t>
            </w:r>
          </w:p>
        </w:tc>
        <w:tc>
          <w:tcPr>
            <w:tcW w:w="1256" w:type="dxa"/>
            <w:vAlign w:val="center"/>
          </w:tcPr>
          <w:p>
            <w:pPr>
              <w:rPr>
                <w:color w:val="auto"/>
              </w:rPr>
            </w:pPr>
            <w:r>
              <w:rPr>
                <w:rFonts w:hint="eastAsia"/>
                <w:color w:val="auto"/>
              </w:rPr>
              <w:t>投标总价</w:t>
            </w:r>
          </w:p>
          <w:p>
            <w:pPr>
              <w:rPr>
                <w:color w:val="auto"/>
              </w:rPr>
            </w:pPr>
            <w:r>
              <w:rPr>
                <w:rFonts w:hint="eastAsia"/>
                <w:color w:val="auto"/>
              </w:rPr>
              <w:t>（万元）</w:t>
            </w:r>
          </w:p>
        </w:tc>
        <w:tc>
          <w:tcPr>
            <w:tcW w:w="897" w:type="dxa"/>
            <w:vAlign w:val="center"/>
          </w:tcPr>
          <w:p>
            <w:pPr>
              <w:rPr>
                <w:color w:val="auto"/>
              </w:rPr>
            </w:pPr>
            <w:r>
              <w:rPr>
                <w:rFonts w:hint="eastAsia"/>
                <w:color w:val="auto"/>
              </w:rPr>
              <w:t>交货</w:t>
            </w:r>
          </w:p>
          <w:p>
            <w:pPr>
              <w:rPr>
                <w:color w:val="auto"/>
              </w:rPr>
            </w:pPr>
            <w:r>
              <w:rPr>
                <w:rFonts w:hint="eastAsia"/>
                <w:color w:val="auto"/>
              </w:rPr>
              <w:t>时间</w:t>
            </w:r>
          </w:p>
        </w:tc>
        <w:tc>
          <w:tcPr>
            <w:tcW w:w="1256" w:type="dxa"/>
            <w:vAlign w:val="center"/>
          </w:tcPr>
          <w:p>
            <w:pPr>
              <w:rPr>
                <w:color w:val="auto"/>
              </w:rPr>
            </w:pPr>
            <w:r>
              <w:rPr>
                <w:rFonts w:hint="eastAsia"/>
                <w:color w:val="auto"/>
              </w:rPr>
              <w:t>是否属于进口产品</w:t>
            </w:r>
          </w:p>
        </w:tc>
        <w:tc>
          <w:tcPr>
            <w:tcW w:w="899" w:type="dxa"/>
            <w:vAlign w:val="center"/>
          </w:tcPr>
          <w:p>
            <w:pPr>
              <w:rPr>
                <w:color w:val="auto"/>
              </w:rPr>
            </w:pPr>
            <w:r>
              <w:rPr>
                <w:rFonts w:hint="eastAsia"/>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874" w:type="dxa"/>
          </w:tcPr>
          <w:p>
            <w:pPr>
              <w:rPr>
                <w:color w:val="auto"/>
              </w:rPr>
            </w:pPr>
          </w:p>
        </w:tc>
        <w:tc>
          <w:tcPr>
            <w:tcW w:w="2199" w:type="dxa"/>
            <w:vAlign w:val="center"/>
          </w:tcPr>
          <w:p>
            <w:pPr>
              <w:rPr>
                <w:color w:val="auto"/>
              </w:rPr>
            </w:pPr>
          </w:p>
        </w:tc>
        <w:tc>
          <w:tcPr>
            <w:tcW w:w="717" w:type="dxa"/>
            <w:vAlign w:val="center"/>
          </w:tcPr>
          <w:p>
            <w:pPr>
              <w:rPr>
                <w:color w:val="auto"/>
              </w:rPr>
            </w:pPr>
          </w:p>
        </w:tc>
        <w:tc>
          <w:tcPr>
            <w:tcW w:w="1256" w:type="dxa"/>
            <w:vAlign w:val="center"/>
          </w:tcPr>
          <w:p>
            <w:pPr>
              <w:rPr>
                <w:color w:val="auto"/>
              </w:rPr>
            </w:pPr>
          </w:p>
        </w:tc>
        <w:tc>
          <w:tcPr>
            <w:tcW w:w="1256" w:type="dxa"/>
            <w:vAlign w:val="center"/>
          </w:tcPr>
          <w:p>
            <w:pPr>
              <w:rPr>
                <w:color w:val="auto"/>
              </w:rPr>
            </w:pPr>
          </w:p>
        </w:tc>
        <w:tc>
          <w:tcPr>
            <w:tcW w:w="897" w:type="dxa"/>
            <w:vAlign w:val="center"/>
          </w:tcPr>
          <w:p>
            <w:pPr>
              <w:rPr>
                <w:color w:val="auto"/>
              </w:rPr>
            </w:pPr>
          </w:p>
        </w:tc>
        <w:tc>
          <w:tcPr>
            <w:tcW w:w="1256" w:type="dxa"/>
            <w:vAlign w:val="center"/>
          </w:tcPr>
          <w:p>
            <w:pPr>
              <w:rPr>
                <w:color w:val="auto"/>
              </w:rPr>
            </w:pPr>
          </w:p>
        </w:tc>
        <w:tc>
          <w:tcPr>
            <w:tcW w:w="899"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874" w:type="dxa"/>
          </w:tcPr>
          <w:p>
            <w:pPr>
              <w:rPr>
                <w:color w:val="auto"/>
              </w:rPr>
            </w:pPr>
          </w:p>
        </w:tc>
        <w:tc>
          <w:tcPr>
            <w:tcW w:w="2199" w:type="dxa"/>
            <w:vAlign w:val="center"/>
          </w:tcPr>
          <w:p>
            <w:pPr>
              <w:rPr>
                <w:color w:val="auto"/>
              </w:rPr>
            </w:pPr>
          </w:p>
        </w:tc>
        <w:tc>
          <w:tcPr>
            <w:tcW w:w="717" w:type="dxa"/>
            <w:vAlign w:val="center"/>
          </w:tcPr>
          <w:p>
            <w:pPr>
              <w:rPr>
                <w:color w:val="auto"/>
              </w:rPr>
            </w:pPr>
          </w:p>
        </w:tc>
        <w:tc>
          <w:tcPr>
            <w:tcW w:w="1256" w:type="dxa"/>
            <w:vAlign w:val="center"/>
          </w:tcPr>
          <w:p>
            <w:pPr>
              <w:rPr>
                <w:color w:val="auto"/>
              </w:rPr>
            </w:pPr>
          </w:p>
        </w:tc>
        <w:tc>
          <w:tcPr>
            <w:tcW w:w="1256" w:type="dxa"/>
            <w:vAlign w:val="center"/>
          </w:tcPr>
          <w:p>
            <w:pPr>
              <w:rPr>
                <w:color w:val="auto"/>
              </w:rPr>
            </w:pPr>
          </w:p>
        </w:tc>
        <w:tc>
          <w:tcPr>
            <w:tcW w:w="897" w:type="dxa"/>
            <w:vAlign w:val="center"/>
          </w:tcPr>
          <w:p>
            <w:pPr>
              <w:rPr>
                <w:color w:val="auto"/>
              </w:rPr>
            </w:pPr>
          </w:p>
        </w:tc>
        <w:tc>
          <w:tcPr>
            <w:tcW w:w="1256" w:type="dxa"/>
            <w:vAlign w:val="center"/>
          </w:tcPr>
          <w:p>
            <w:pPr>
              <w:rPr>
                <w:color w:val="auto"/>
              </w:rPr>
            </w:pPr>
          </w:p>
        </w:tc>
        <w:tc>
          <w:tcPr>
            <w:tcW w:w="899"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874" w:type="dxa"/>
            <w:tcBorders>
              <w:right w:val="single" w:color="auto" w:sz="4" w:space="0"/>
            </w:tcBorders>
          </w:tcPr>
          <w:p>
            <w:pPr>
              <w:rPr>
                <w:color w:val="auto"/>
              </w:rPr>
            </w:pPr>
          </w:p>
        </w:tc>
        <w:tc>
          <w:tcPr>
            <w:tcW w:w="2199" w:type="dxa"/>
            <w:tcBorders>
              <w:left w:val="single" w:color="auto" w:sz="4" w:space="0"/>
            </w:tcBorders>
            <w:vAlign w:val="center"/>
          </w:tcPr>
          <w:p>
            <w:pPr>
              <w:rPr>
                <w:color w:val="auto"/>
              </w:rPr>
            </w:pPr>
          </w:p>
        </w:tc>
        <w:tc>
          <w:tcPr>
            <w:tcW w:w="717" w:type="dxa"/>
            <w:vAlign w:val="center"/>
          </w:tcPr>
          <w:p>
            <w:pPr>
              <w:rPr>
                <w:color w:val="auto"/>
              </w:rPr>
            </w:pPr>
          </w:p>
        </w:tc>
        <w:tc>
          <w:tcPr>
            <w:tcW w:w="1256" w:type="dxa"/>
            <w:vAlign w:val="center"/>
          </w:tcPr>
          <w:p>
            <w:pPr>
              <w:rPr>
                <w:color w:val="auto"/>
              </w:rPr>
            </w:pPr>
          </w:p>
        </w:tc>
        <w:tc>
          <w:tcPr>
            <w:tcW w:w="1256" w:type="dxa"/>
            <w:vAlign w:val="center"/>
          </w:tcPr>
          <w:p>
            <w:pPr>
              <w:rPr>
                <w:color w:val="auto"/>
              </w:rPr>
            </w:pPr>
          </w:p>
        </w:tc>
        <w:tc>
          <w:tcPr>
            <w:tcW w:w="897" w:type="dxa"/>
            <w:vAlign w:val="center"/>
          </w:tcPr>
          <w:p>
            <w:pPr>
              <w:rPr>
                <w:color w:val="auto"/>
              </w:rPr>
            </w:pPr>
          </w:p>
        </w:tc>
        <w:tc>
          <w:tcPr>
            <w:tcW w:w="1256" w:type="dxa"/>
            <w:vAlign w:val="center"/>
          </w:tcPr>
          <w:p>
            <w:pPr>
              <w:rPr>
                <w:color w:val="auto"/>
              </w:rPr>
            </w:pPr>
          </w:p>
        </w:tc>
        <w:tc>
          <w:tcPr>
            <w:tcW w:w="899"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74" w:type="dxa"/>
            <w:tcBorders>
              <w:right w:val="single" w:color="auto" w:sz="4" w:space="0"/>
            </w:tcBorders>
          </w:tcPr>
          <w:p>
            <w:pPr>
              <w:rPr>
                <w:color w:val="auto"/>
              </w:rPr>
            </w:pPr>
          </w:p>
        </w:tc>
        <w:tc>
          <w:tcPr>
            <w:tcW w:w="8483" w:type="dxa"/>
            <w:gridSpan w:val="7"/>
            <w:tcBorders>
              <w:left w:val="single" w:color="auto" w:sz="4" w:space="0"/>
            </w:tcBorders>
          </w:tcPr>
          <w:p>
            <w:pPr>
              <w:rPr>
                <w:color w:val="auto"/>
              </w:rPr>
            </w:pPr>
            <w:r>
              <w:rPr>
                <w:rFonts w:hint="eastAsia"/>
                <w:color w:val="auto"/>
              </w:rPr>
              <w:t>报价合计（万元）：          大写：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874" w:type="dxa"/>
            <w:tcBorders>
              <w:bottom w:val="single" w:color="auto" w:sz="4" w:space="0"/>
              <w:right w:val="single" w:color="auto" w:sz="4" w:space="0"/>
            </w:tcBorders>
          </w:tcPr>
          <w:p>
            <w:pPr>
              <w:rPr>
                <w:color w:val="auto"/>
              </w:rPr>
            </w:pPr>
            <w:r>
              <w:rPr>
                <w:rFonts w:hint="eastAsia"/>
                <w:color w:val="auto"/>
              </w:rPr>
              <w:t>备注</w:t>
            </w:r>
          </w:p>
        </w:tc>
        <w:tc>
          <w:tcPr>
            <w:tcW w:w="8483" w:type="dxa"/>
            <w:gridSpan w:val="7"/>
            <w:tcBorders>
              <w:left w:val="single" w:color="auto" w:sz="4" w:space="0"/>
              <w:bottom w:val="single" w:color="auto" w:sz="4" w:space="0"/>
            </w:tcBorders>
          </w:tcPr>
          <w:p>
            <w:pPr>
              <w:rPr>
                <w:color w:val="auto"/>
              </w:rPr>
            </w:pPr>
          </w:p>
        </w:tc>
      </w:tr>
    </w:tbl>
    <w:p>
      <w:pPr>
        <w:spacing w:line="360" w:lineRule="auto"/>
        <w:rPr>
          <w:color w:val="auto"/>
        </w:rPr>
      </w:pPr>
      <w:r>
        <w:rPr>
          <w:rFonts w:hint="eastAsia"/>
          <w:color w:val="auto"/>
        </w:rPr>
        <w:t xml:space="preserve">注：1. 报价应是投标人完成本项目所需的一切费用，其中国产设备报价应包括设备费、运输费、保险费、安装调试费、培训费、税费以及招标文件规定的其它费用等各项费用的总和，进口设备报免税价但应包括设备费、运输费、保险费、安装调试费、培训费、外贸代理费、报关杂费以及招标文件规定的其它费用等除税费外各项费用的总和。 </w:t>
      </w:r>
    </w:p>
    <w:p>
      <w:pPr>
        <w:spacing w:line="360" w:lineRule="auto"/>
        <w:rPr>
          <w:rFonts w:ascii="Times New Roman" w:hAnsi="Times New Roman"/>
          <w:color w:val="auto"/>
        </w:rPr>
      </w:pPr>
      <w:r>
        <w:rPr>
          <w:rFonts w:hint="eastAsia"/>
          <w:color w:val="auto"/>
        </w:rPr>
        <w:t>2. “开标一览表”为多页的，每页均需由法定代表人或授权代表签字或用法人签章替代，并盖投标人法人公章。</w:t>
      </w: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投标人名称：XXXX（单位公章）。</w:t>
      </w:r>
    </w:p>
    <w:p>
      <w:pPr>
        <w:spacing w:line="360" w:lineRule="auto"/>
        <w:rPr>
          <w:rFonts w:ascii="Times New Roman" w:hAnsi="Times New Roman"/>
          <w:color w:val="auto"/>
        </w:rPr>
      </w:pPr>
      <w:r>
        <w:rPr>
          <w:rFonts w:hint="eastAsia" w:ascii="Times New Roman" w:hAnsi="Times New Roman"/>
          <w:color w:val="auto"/>
        </w:rPr>
        <w:t>法定代表人或授权代表（签字或加盖个人名章）：XXXX。</w:t>
      </w:r>
    </w:p>
    <w:p>
      <w:pPr>
        <w:spacing w:line="360" w:lineRule="auto"/>
        <w:jc w:val="left"/>
        <w:rPr>
          <w:rFonts w:ascii="Times New Roman" w:hAnsi="Times New Roman"/>
          <w:color w:val="auto"/>
        </w:rPr>
      </w:pPr>
      <w:r>
        <w:rPr>
          <w:rFonts w:hint="eastAsia" w:ascii="Times New Roman" w:hAnsi="Times New Roman"/>
          <w:color w:val="auto"/>
        </w:rPr>
        <w:t>投标日期：XXXX。</w:t>
      </w:r>
      <w:bookmarkEnd w:id="177"/>
      <w:bookmarkStart w:id="178" w:name="_Toc217446086"/>
    </w:p>
    <w:p>
      <w:pPr>
        <w:spacing w:line="360" w:lineRule="auto"/>
        <w:jc w:val="center"/>
        <w:rPr>
          <w:rFonts w:ascii="宋体" w:hAnsi="宋体"/>
          <w:b/>
          <w:color w:val="auto"/>
          <w:sz w:val="32"/>
          <w:szCs w:val="32"/>
        </w:rPr>
      </w:pPr>
      <w:r>
        <w:rPr>
          <w:rFonts w:ascii="宋体" w:hAnsi="宋体"/>
          <w:b/>
          <w:color w:val="auto"/>
          <w:sz w:val="32"/>
          <w:szCs w:val="32"/>
        </w:rPr>
        <w:br w:type="page"/>
      </w:r>
      <w:r>
        <w:rPr>
          <w:rFonts w:hint="eastAsia" w:ascii="宋体" w:hAnsi="宋体"/>
          <w:b/>
          <w:color w:val="auto"/>
          <w:sz w:val="32"/>
          <w:szCs w:val="32"/>
        </w:rPr>
        <w:t>四、分项报价明细表</w:t>
      </w:r>
    </w:p>
    <w:p>
      <w:pPr>
        <w:rPr>
          <w:color w:val="auto"/>
        </w:rPr>
      </w:pPr>
      <w:r>
        <w:rPr>
          <w:rFonts w:hint="eastAsia"/>
          <w:color w:val="auto"/>
        </w:rPr>
        <w:t>项目名称：XXX</w:t>
      </w:r>
    </w:p>
    <w:p>
      <w:pPr>
        <w:rPr>
          <w:color w:val="auto"/>
        </w:rPr>
      </w:pPr>
      <w:r>
        <w:rPr>
          <w:rFonts w:hint="eastAsia"/>
          <w:color w:val="auto"/>
        </w:rPr>
        <w:t>招标编号：XXX</w:t>
      </w:r>
    </w:p>
    <w:p>
      <w:pPr>
        <w:rPr>
          <w:color w:val="auto"/>
        </w:rPr>
      </w:pPr>
      <w:r>
        <w:rPr>
          <w:rFonts w:hint="eastAsia"/>
          <w:color w:val="auto"/>
        </w:rPr>
        <w:t xml:space="preserve">第XX包                                         </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275"/>
        <w:gridCol w:w="1360"/>
        <w:gridCol w:w="888"/>
        <w:gridCol w:w="1212"/>
        <w:gridCol w:w="840"/>
        <w:gridCol w:w="841"/>
        <w:gridCol w:w="841"/>
        <w:gridCol w:w="876"/>
        <w:gridCol w:w="1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exact"/>
          <w:jc w:val="center"/>
        </w:trPr>
        <w:tc>
          <w:tcPr>
            <w:tcW w:w="877" w:type="dxa"/>
            <w:vAlign w:val="center"/>
          </w:tcPr>
          <w:p>
            <w:pPr>
              <w:rPr>
                <w:color w:val="auto"/>
              </w:rPr>
            </w:pPr>
            <w:r>
              <w:rPr>
                <w:rFonts w:hint="eastAsia"/>
                <w:color w:val="auto"/>
              </w:rPr>
              <w:t>序号</w:t>
            </w:r>
          </w:p>
        </w:tc>
        <w:tc>
          <w:tcPr>
            <w:tcW w:w="1275" w:type="dxa"/>
            <w:vAlign w:val="center"/>
          </w:tcPr>
          <w:p>
            <w:pPr>
              <w:rPr>
                <w:color w:val="auto"/>
              </w:rPr>
            </w:pPr>
            <w:r>
              <w:rPr>
                <w:rFonts w:hint="eastAsia"/>
                <w:color w:val="auto"/>
              </w:rPr>
              <w:t>产品名称</w:t>
            </w:r>
          </w:p>
        </w:tc>
        <w:tc>
          <w:tcPr>
            <w:tcW w:w="1360" w:type="dxa"/>
            <w:vAlign w:val="center"/>
          </w:tcPr>
          <w:p>
            <w:pPr>
              <w:rPr>
                <w:color w:val="auto"/>
              </w:rPr>
            </w:pPr>
            <w:r>
              <w:rPr>
                <w:rFonts w:hint="eastAsia"/>
                <w:color w:val="auto"/>
              </w:rPr>
              <w:t>规格型号</w:t>
            </w:r>
          </w:p>
        </w:tc>
        <w:tc>
          <w:tcPr>
            <w:tcW w:w="888" w:type="dxa"/>
            <w:vAlign w:val="center"/>
          </w:tcPr>
          <w:p>
            <w:pPr>
              <w:rPr>
                <w:color w:val="auto"/>
              </w:rPr>
            </w:pPr>
            <w:r>
              <w:rPr>
                <w:rFonts w:hint="eastAsia"/>
                <w:color w:val="auto"/>
              </w:rPr>
              <w:t>品牌</w:t>
            </w:r>
          </w:p>
        </w:tc>
        <w:tc>
          <w:tcPr>
            <w:tcW w:w="1212" w:type="dxa"/>
            <w:vAlign w:val="center"/>
          </w:tcPr>
          <w:p>
            <w:pPr>
              <w:rPr>
                <w:color w:val="auto"/>
              </w:rPr>
            </w:pPr>
            <w:r>
              <w:rPr>
                <w:rFonts w:hint="eastAsia"/>
                <w:color w:val="auto"/>
              </w:rPr>
              <w:t>单位</w:t>
            </w:r>
          </w:p>
        </w:tc>
        <w:tc>
          <w:tcPr>
            <w:tcW w:w="840" w:type="dxa"/>
            <w:vAlign w:val="center"/>
          </w:tcPr>
          <w:p>
            <w:pPr>
              <w:rPr>
                <w:color w:val="auto"/>
              </w:rPr>
            </w:pPr>
            <w:r>
              <w:rPr>
                <w:rFonts w:hint="eastAsia"/>
                <w:color w:val="auto"/>
              </w:rPr>
              <w:t>数量</w:t>
            </w:r>
          </w:p>
        </w:tc>
        <w:tc>
          <w:tcPr>
            <w:tcW w:w="841" w:type="dxa"/>
            <w:vAlign w:val="center"/>
          </w:tcPr>
          <w:p>
            <w:pPr>
              <w:rPr>
                <w:color w:val="auto"/>
              </w:rPr>
            </w:pPr>
            <w:r>
              <w:rPr>
                <w:rFonts w:hint="eastAsia"/>
                <w:color w:val="auto"/>
              </w:rPr>
              <w:t>产地</w:t>
            </w:r>
          </w:p>
        </w:tc>
        <w:tc>
          <w:tcPr>
            <w:tcW w:w="841" w:type="dxa"/>
            <w:vAlign w:val="center"/>
          </w:tcPr>
          <w:p>
            <w:pPr>
              <w:rPr>
                <w:color w:val="auto"/>
              </w:rPr>
            </w:pPr>
            <w:r>
              <w:rPr>
                <w:rFonts w:hint="eastAsia"/>
                <w:color w:val="auto"/>
              </w:rPr>
              <w:t>单价</w:t>
            </w:r>
          </w:p>
        </w:tc>
        <w:tc>
          <w:tcPr>
            <w:tcW w:w="876" w:type="dxa"/>
            <w:vAlign w:val="center"/>
          </w:tcPr>
          <w:p>
            <w:pPr>
              <w:rPr>
                <w:color w:val="auto"/>
              </w:rPr>
            </w:pPr>
            <w:r>
              <w:rPr>
                <w:rFonts w:hint="eastAsia"/>
                <w:color w:val="auto"/>
              </w:rPr>
              <w:t>金额</w:t>
            </w:r>
          </w:p>
        </w:tc>
        <w:tc>
          <w:tcPr>
            <w:tcW w:w="1020" w:type="dxa"/>
            <w:vAlign w:val="center"/>
          </w:tcPr>
          <w:p>
            <w:pPr>
              <w:rPr>
                <w:color w:val="auto"/>
                <w:sz w:val="20"/>
              </w:rPr>
            </w:pPr>
            <w:r>
              <w:rPr>
                <w:rFonts w:hint="eastAsia"/>
                <w:color w:val="auto"/>
                <w:sz w:val="20"/>
              </w:rPr>
              <w:t>生产厂家（全称）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jc w:val="center"/>
        </w:trPr>
        <w:tc>
          <w:tcPr>
            <w:tcW w:w="877" w:type="dxa"/>
            <w:vAlign w:val="center"/>
          </w:tcPr>
          <w:p>
            <w:pPr>
              <w:rPr>
                <w:color w:val="auto"/>
              </w:rPr>
            </w:pPr>
          </w:p>
        </w:tc>
        <w:tc>
          <w:tcPr>
            <w:tcW w:w="1275" w:type="dxa"/>
            <w:vAlign w:val="center"/>
          </w:tcPr>
          <w:p>
            <w:pPr>
              <w:rPr>
                <w:color w:val="auto"/>
              </w:rPr>
            </w:pPr>
          </w:p>
        </w:tc>
        <w:tc>
          <w:tcPr>
            <w:tcW w:w="1360" w:type="dxa"/>
            <w:vAlign w:val="center"/>
          </w:tcPr>
          <w:p>
            <w:pPr>
              <w:rPr>
                <w:color w:val="auto"/>
              </w:rPr>
            </w:pPr>
          </w:p>
        </w:tc>
        <w:tc>
          <w:tcPr>
            <w:tcW w:w="888" w:type="dxa"/>
            <w:vAlign w:val="center"/>
          </w:tcPr>
          <w:p>
            <w:pPr>
              <w:rPr>
                <w:color w:val="auto"/>
              </w:rPr>
            </w:pPr>
          </w:p>
        </w:tc>
        <w:tc>
          <w:tcPr>
            <w:tcW w:w="1212" w:type="dxa"/>
            <w:vAlign w:val="center"/>
          </w:tcPr>
          <w:p>
            <w:pPr>
              <w:rPr>
                <w:color w:val="auto"/>
              </w:rPr>
            </w:pPr>
          </w:p>
        </w:tc>
        <w:tc>
          <w:tcPr>
            <w:tcW w:w="840" w:type="dxa"/>
            <w:vAlign w:val="center"/>
          </w:tcPr>
          <w:p>
            <w:pPr>
              <w:rPr>
                <w:color w:val="auto"/>
              </w:rPr>
            </w:pPr>
          </w:p>
        </w:tc>
        <w:tc>
          <w:tcPr>
            <w:tcW w:w="841" w:type="dxa"/>
          </w:tcPr>
          <w:p>
            <w:pPr>
              <w:rPr>
                <w:color w:val="auto"/>
              </w:rPr>
            </w:pPr>
          </w:p>
        </w:tc>
        <w:tc>
          <w:tcPr>
            <w:tcW w:w="841" w:type="dxa"/>
            <w:vAlign w:val="center"/>
          </w:tcPr>
          <w:p>
            <w:pPr>
              <w:rPr>
                <w:color w:val="auto"/>
              </w:rPr>
            </w:pPr>
          </w:p>
        </w:tc>
        <w:tc>
          <w:tcPr>
            <w:tcW w:w="876" w:type="dxa"/>
            <w:vAlign w:val="center"/>
          </w:tcPr>
          <w:p>
            <w:pPr>
              <w:rPr>
                <w:color w:val="auto"/>
              </w:rPr>
            </w:pPr>
          </w:p>
        </w:tc>
        <w:tc>
          <w:tcPr>
            <w:tcW w:w="1020"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jc w:val="center"/>
        </w:trPr>
        <w:tc>
          <w:tcPr>
            <w:tcW w:w="877" w:type="dxa"/>
            <w:vAlign w:val="center"/>
          </w:tcPr>
          <w:p>
            <w:pPr>
              <w:rPr>
                <w:color w:val="auto"/>
              </w:rPr>
            </w:pPr>
          </w:p>
        </w:tc>
        <w:tc>
          <w:tcPr>
            <w:tcW w:w="1275" w:type="dxa"/>
            <w:vAlign w:val="center"/>
          </w:tcPr>
          <w:p>
            <w:pPr>
              <w:rPr>
                <w:color w:val="auto"/>
              </w:rPr>
            </w:pPr>
          </w:p>
        </w:tc>
        <w:tc>
          <w:tcPr>
            <w:tcW w:w="1360" w:type="dxa"/>
            <w:vAlign w:val="center"/>
          </w:tcPr>
          <w:p>
            <w:pPr>
              <w:rPr>
                <w:color w:val="auto"/>
              </w:rPr>
            </w:pPr>
          </w:p>
        </w:tc>
        <w:tc>
          <w:tcPr>
            <w:tcW w:w="888" w:type="dxa"/>
            <w:vAlign w:val="center"/>
          </w:tcPr>
          <w:p>
            <w:pPr>
              <w:rPr>
                <w:color w:val="auto"/>
              </w:rPr>
            </w:pPr>
          </w:p>
        </w:tc>
        <w:tc>
          <w:tcPr>
            <w:tcW w:w="1212" w:type="dxa"/>
            <w:vAlign w:val="center"/>
          </w:tcPr>
          <w:p>
            <w:pPr>
              <w:rPr>
                <w:color w:val="auto"/>
              </w:rPr>
            </w:pPr>
          </w:p>
        </w:tc>
        <w:tc>
          <w:tcPr>
            <w:tcW w:w="840" w:type="dxa"/>
            <w:vAlign w:val="center"/>
          </w:tcPr>
          <w:p>
            <w:pPr>
              <w:rPr>
                <w:color w:val="auto"/>
              </w:rPr>
            </w:pPr>
          </w:p>
        </w:tc>
        <w:tc>
          <w:tcPr>
            <w:tcW w:w="841" w:type="dxa"/>
          </w:tcPr>
          <w:p>
            <w:pPr>
              <w:rPr>
                <w:color w:val="auto"/>
              </w:rPr>
            </w:pPr>
          </w:p>
        </w:tc>
        <w:tc>
          <w:tcPr>
            <w:tcW w:w="841" w:type="dxa"/>
            <w:vAlign w:val="center"/>
          </w:tcPr>
          <w:p>
            <w:pPr>
              <w:rPr>
                <w:color w:val="auto"/>
              </w:rPr>
            </w:pPr>
          </w:p>
        </w:tc>
        <w:tc>
          <w:tcPr>
            <w:tcW w:w="876" w:type="dxa"/>
            <w:vAlign w:val="center"/>
          </w:tcPr>
          <w:p>
            <w:pPr>
              <w:rPr>
                <w:color w:val="auto"/>
              </w:rPr>
            </w:pPr>
          </w:p>
        </w:tc>
        <w:tc>
          <w:tcPr>
            <w:tcW w:w="1020"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jc w:val="center"/>
        </w:trPr>
        <w:tc>
          <w:tcPr>
            <w:tcW w:w="877" w:type="dxa"/>
            <w:vAlign w:val="center"/>
          </w:tcPr>
          <w:p>
            <w:pPr>
              <w:rPr>
                <w:color w:val="auto"/>
              </w:rPr>
            </w:pPr>
          </w:p>
        </w:tc>
        <w:tc>
          <w:tcPr>
            <w:tcW w:w="1275" w:type="dxa"/>
            <w:vAlign w:val="center"/>
          </w:tcPr>
          <w:p>
            <w:pPr>
              <w:rPr>
                <w:color w:val="auto"/>
              </w:rPr>
            </w:pPr>
          </w:p>
        </w:tc>
        <w:tc>
          <w:tcPr>
            <w:tcW w:w="1360" w:type="dxa"/>
            <w:vAlign w:val="center"/>
          </w:tcPr>
          <w:p>
            <w:pPr>
              <w:rPr>
                <w:color w:val="auto"/>
              </w:rPr>
            </w:pPr>
          </w:p>
        </w:tc>
        <w:tc>
          <w:tcPr>
            <w:tcW w:w="888" w:type="dxa"/>
            <w:vAlign w:val="center"/>
          </w:tcPr>
          <w:p>
            <w:pPr>
              <w:rPr>
                <w:color w:val="auto"/>
              </w:rPr>
            </w:pPr>
          </w:p>
        </w:tc>
        <w:tc>
          <w:tcPr>
            <w:tcW w:w="1212" w:type="dxa"/>
            <w:vAlign w:val="center"/>
          </w:tcPr>
          <w:p>
            <w:pPr>
              <w:rPr>
                <w:color w:val="auto"/>
              </w:rPr>
            </w:pPr>
          </w:p>
        </w:tc>
        <w:tc>
          <w:tcPr>
            <w:tcW w:w="840" w:type="dxa"/>
            <w:vAlign w:val="center"/>
          </w:tcPr>
          <w:p>
            <w:pPr>
              <w:rPr>
                <w:color w:val="auto"/>
              </w:rPr>
            </w:pPr>
          </w:p>
        </w:tc>
        <w:tc>
          <w:tcPr>
            <w:tcW w:w="841" w:type="dxa"/>
          </w:tcPr>
          <w:p>
            <w:pPr>
              <w:rPr>
                <w:color w:val="auto"/>
              </w:rPr>
            </w:pPr>
          </w:p>
        </w:tc>
        <w:tc>
          <w:tcPr>
            <w:tcW w:w="841" w:type="dxa"/>
            <w:vAlign w:val="center"/>
          </w:tcPr>
          <w:p>
            <w:pPr>
              <w:rPr>
                <w:color w:val="auto"/>
              </w:rPr>
            </w:pPr>
          </w:p>
        </w:tc>
        <w:tc>
          <w:tcPr>
            <w:tcW w:w="876" w:type="dxa"/>
            <w:vAlign w:val="center"/>
          </w:tcPr>
          <w:p>
            <w:pPr>
              <w:rPr>
                <w:color w:val="auto"/>
              </w:rPr>
            </w:pPr>
          </w:p>
        </w:tc>
        <w:tc>
          <w:tcPr>
            <w:tcW w:w="1020"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jc w:val="center"/>
        </w:trPr>
        <w:tc>
          <w:tcPr>
            <w:tcW w:w="877" w:type="dxa"/>
            <w:tcBorders>
              <w:left w:val="single" w:color="auto" w:sz="4" w:space="0"/>
            </w:tcBorders>
            <w:vAlign w:val="center"/>
          </w:tcPr>
          <w:p>
            <w:pPr>
              <w:rPr>
                <w:color w:val="auto"/>
              </w:rPr>
            </w:pPr>
          </w:p>
        </w:tc>
        <w:tc>
          <w:tcPr>
            <w:tcW w:w="1275" w:type="dxa"/>
            <w:vAlign w:val="center"/>
          </w:tcPr>
          <w:p>
            <w:pPr>
              <w:rPr>
                <w:color w:val="auto"/>
              </w:rPr>
            </w:pPr>
          </w:p>
        </w:tc>
        <w:tc>
          <w:tcPr>
            <w:tcW w:w="1360" w:type="dxa"/>
            <w:vAlign w:val="center"/>
          </w:tcPr>
          <w:p>
            <w:pPr>
              <w:rPr>
                <w:color w:val="auto"/>
              </w:rPr>
            </w:pPr>
          </w:p>
        </w:tc>
        <w:tc>
          <w:tcPr>
            <w:tcW w:w="888" w:type="dxa"/>
            <w:vAlign w:val="center"/>
          </w:tcPr>
          <w:p>
            <w:pPr>
              <w:rPr>
                <w:color w:val="auto"/>
              </w:rPr>
            </w:pPr>
          </w:p>
        </w:tc>
        <w:tc>
          <w:tcPr>
            <w:tcW w:w="1212" w:type="dxa"/>
            <w:vAlign w:val="center"/>
          </w:tcPr>
          <w:p>
            <w:pPr>
              <w:rPr>
                <w:color w:val="auto"/>
              </w:rPr>
            </w:pPr>
          </w:p>
        </w:tc>
        <w:tc>
          <w:tcPr>
            <w:tcW w:w="840" w:type="dxa"/>
            <w:vAlign w:val="center"/>
          </w:tcPr>
          <w:p>
            <w:pPr>
              <w:rPr>
                <w:color w:val="auto"/>
              </w:rPr>
            </w:pPr>
          </w:p>
        </w:tc>
        <w:tc>
          <w:tcPr>
            <w:tcW w:w="841" w:type="dxa"/>
          </w:tcPr>
          <w:p>
            <w:pPr>
              <w:rPr>
                <w:color w:val="auto"/>
              </w:rPr>
            </w:pPr>
          </w:p>
        </w:tc>
        <w:tc>
          <w:tcPr>
            <w:tcW w:w="841" w:type="dxa"/>
            <w:vAlign w:val="center"/>
          </w:tcPr>
          <w:p>
            <w:pPr>
              <w:rPr>
                <w:color w:val="auto"/>
              </w:rPr>
            </w:pPr>
          </w:p>
        </w:tc>
        <w:tc>
          <w:tcPr>
            <w:tcW w:w="876" w:type="dxa"/>
            <w:vAlign w:val="center"/>
          </w:tcPr>
          <w:p>
            <w:pPr>
              <w:rPr>
                <w:color w:val="auto"/>
              </w:rPr>
            </w:pPr>
          </w:p>
        </w:tc>
        <w:tc>
          <w:tcPr>
            <w:tcW w:w="1020"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jc w:val="center"/>
        </w:trPr>
        <w:tc>
          <w:tcPr>
            <w:tcW w:w="877" w:type="dxa"/>
            <w:vAlign w:val="center"/>
          </w:tcPr>
          <w:p>
            <w:pPr>
              <w:rPr>
                <w:color w:val="auto"/>
              </w:rPr>
            </w:pPr>
          </w:p>
        </w:tc>
        <w:tc>
          <w:tcPr>
            <w:tcW w:w="1275" w:type="dxa"/>
            <w:vAlign w:val="center"/>
          </w:tcPr>
          <w:p>
            <w:pPr>
              <w:rPr>
                <w:color w:val="auto"/>
              </w:rPr>
            </w:pPr>
          </w:p>
        </w:tc>
        <w:tc>
          <w:tcPr>
            <w:tcW w:w="1360" w:type="dxa"/>
            <w:vAlign w:val="center"/>
          </w:tcPr>
          <w:p>
            <w:pPr>
              <w:rPr>
                <w:color w:val="auto"/>
              </w:rPr>
            </w:pPr>
          </w:p>
        </w:tc>
        <w:tc>
          <w:tcPr>
            <w:tcW w:w="888" w:type="dxa"/>
            <w:vAlign w:val="center"/>
          </w:tcPr>
          <w:p>
            <w:pPr>
              <w:rPr>
                <w:color w:val="auto"/>
              </w:rPr>
            </w:pPr>
          </w:p>
        </w:tc>
        <w:tc>
          <w:tcPr>
            <w:tcW w:w="1212" w:type="dxa"/>
            <w:vAlign w:val="center"/>
          </w:tcPr>
          <w:p>
            <w:pPr>
              <w:rPr>
                <w:color w:val="auto"/>
              </w:rPr>
            </w:pPr>
          </w:p>
        </w:tc>
        <w:tc>
          <w:tcPr>
            <w:tcW w:w="840" w:type="dxa"/>
            <w:vAlign w:val="center"/>
          </w:tcPr>
          <w:p>
            <w:pPr>
              <w:rPr>
                <w:color w:val="auto"/>
              </w:rPr>
            </w:pPr>
          </w:p>
        </w:tc>
        <w:tc>
          <w:tcPr>
            <w:tcW w:w="841" w:type="dxa"/>
          </w:tcPr>
          <w:p>
            <w:pPr>
              <w:rPr>
                <w:color w:val="auto"/>
              </w:rPr>
            </w:pPr>
          </w:p>
        </w:tc>
        <w:tc>
          <w:tcPr>
            <w:tcW w:w="841" w:type="dxa"/>
            <w:vAlign w:val="center"/>
          </w:tcPr>
          <w:p>
            <w:pPr>
              <w:rPr>
                <w:color w:val="auto"/>
              </w:rPr>
            </w:pPr>
          </w:p>
        </w:tc>
        <w:tc>
          <w:tcPr>
            <w:tcW w:w="876" w:type="dxa"/>
            <w:vAlign w:val="center"/>
          </w:tcPr>
          <w:p>
            <w:pPr>
              <w:rPr>
                <w:color w:val="auto"/>
              </w:rPr>
            </w:pPr>
          </w:p>
        </w:tc>
        <w:tc>
          <w:tcPr>
            <w:tcW w:w="1020"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jc w:val="center"/>
        </w:trPr>
        <w:tc>
          <w:tcPr>
            <w:tcW w:w="877" w:type="dxa"/>
            <w:vAlign w:val="center"/>
          </w:tcPr>
          <w:p>
            <w:pPr>
              <w:rPr>
                <w:color w:val="auto"/>
              </w:rPr>
            </w:pPr>
          </w:p>
        </w:tc>
        <w:tc>
          <w:tcPr>
            <w:tcW w:w="1275" w:type="dxa"/>
            <w:vAlign w:val="center"/>
          </w:tcPr>
          <w:p>
            <w:pPr>
              <w:rPr>
                <w:color w:val="auto"/>
              </w:rPr>
            </w:pPr>
          </w:p>
        </w:tc>
        <w:tc>
          <w:tcPr>
            <w:tcW w:w="1360" w:type="dxa"/>
            <w:vAlign w:val="center"/>
          </w:tcPr>
          <w:p>
            <w:pPr>
              <w:rPr>
                <w:color w:val="auto"/>
              </w:rPr>
            </w:pPr>
          </w:p>
        </w:tc>
        <w:tc>
          <w:tcPr>
            <w:tcW w:w="888" w:type="dxa"/>
            <w:vAlign w:val="center"/>
          </w:tcPr>
          <w:p>
            <w:pPr>
              <w:rPr>
                <w:color w:val="auto"/>
              </w:rPr>
            </w:pPr>
          </w:p>
        </w:tc>
        <w:tc>
          <w:tcPr>
            <w:tcW w:w="1212" w:type="dxa"/>
            <w:vAlign w:val="center"/>
          </w:tcPr>
          <w:p>
            <w:pPr>
              <w:rPr>
                <w:color w:val="auto"/>
              </w:rPr>
            </w:pPr>
          </w:p>
        </w:tc>
        <w:tc>
          <w:tcPr>
            <w:tcW w:w="840" w:type="dxa"/>
            <w:vAlign w:val="center"/>
          </w:tcPr>
          <w:p>
            <w:pPr>
              <w:rPr>
                <w:color w:val="auto"/>
              </w:rPr>
            </w:pPr>
          </w:p>
        </w:tc>
        <w:tc>
          <w:tcPr>
            <w:tcW w:w="841" w:type="dxa"/>
          </w:tcPr>
          <w:p>
            <w:pPr>
              <w:rPr>
                <w:color w:val="auto"/>
              </w:rPr>
            </w:pPr>
          </w:p>
        </w:tc>
        <w:tc>
          <w:tcPr>
            <w:tcW w:w="841" w:type="dxa"/>
            <w:vAlign w:val="center"/>
          </w:tcPr>
          <w:p>
            <w:pPr>
              <w:rPr>
                <w:color w:val="auto"/>
              </w:rPr>
            </w:pPr>
          </w:p>
        </w:tc>
        <w:tc>
          <w:tcPr>
            <w:tcW w:w="876" w:type="dxa"/>
            <w:vAlign w:val="center"/>
          </w:tcPr>
          <w:p>
            <w:pPr>
              <w:rPr>
                <w:color w:val="auto"/>
              </w:rPr>
            </w:pPr>
          </w:p>
        </w:tc>
        <w:tc>
          <w:tcPr>
            <w:tcW w:w="1020" w:type="dxa"/>
            <w:vAlign w:val="center"/>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77" w:type="dxa"/>
            <w:tcBorders>
              <w:top w:val="single" w:color="auto" w:sz="4" w:space="0"/>
              <w:bottom w:val="single" w:color="auto" w:sz="4" w:space="0"/>
            </w:tcBorders>
            <w:vAlign w:val="center"/>
          </w:tcPr>
          <w:p>
            <w:pPr>
              <w:rPr>
                <w:color w:val="auto"/>
              </w:rPr>
            </w:pPr>
          </w:p>
        </w:tc>
        <w:tc>
          <w:tcPr>
            <w:tcW w:w="8133" w:type="dxa"/>
            <w:gridSpan w:val="8"/>
            <w:tcBorders>
              <w:top w:val="single" w:color="auto" w:sz="4" w:space="0"/>
              <w:bottom w:val="single" w:color="auto" w:sz="4" w:space="0"/>
            </w:tcBorders>
          </w:tcPr>
          <w:p>
            <w:pPr>
              <w:rPr>
                <w:color w:val="auto"/>
              </w:rPr>
            </w:pPr>
            <w:r>
              <w:rPr>
                <w:rFonts w:hint="eastAsia"/>
                <w:color w:val="auto"/>
              </w:rPr>
              <w:t>分项报价合计（万元）：   大写：</w:t>
            </w:r>
          </w:p>
        </w:tc>
        <w:tc>
          <w:tcPr>
            <w:tcW w:w="1020" w:type="dxa"/>
            <w:tcBorders>
              <w:top w:val="single" w:color="auto" w:sz="4" w:space="0"/>
              <w:bottom w:val="single" w:color="auto" w:sz="4" w:space="0"/>
            </w:tcBorders>
            <w:vAlign w:val="center"/>
          </w:tcPr>
          <w:p>
            <w:pPr>
              <w:rPr>
                <w:color w:val="auto"/>
              </w:rPr>
            </w:pPr>
          </w:p>
        </w:tc>
      </w:tr>
    </w:tbl>
    <w:p>
      <w:pPr>
        <w:spacing w:line="360" w:lineRule="auto"/>
        <w:rPr>
          <w:color w:val="auto"/>
        </w:rPr>
      </w:pPr>
      <w:r>
        <w:rPr>
          <w:rFonts w:hint="eastAsia"/>
          <w:color w:val="auto"/>
        </w:rPr>
        <w:t>注：1、投标人必须按“分项报价明细表”的格式详细报出投标总价的各个组成部分的报价（不得漏项），否则作无效投标处理（实质性要求）。</w:t>
      </w:r>
    </w:p>
    <w:p>
      <w:pPr>
        <w:spacing w:line="360" w:lineRule="auto"/>
        <w:rPr>
          <w:color w:val="auto"/>
        </w:rPr>
      </w:pPr>
      <w:r>
        <w:rPr>
          <w:rFonts w:hint="eastAsia"/>
          <w:color w:val="auto"/>
        </w:rPr>
        <w:t>2、“分项报价明细表”各分项报价合计应当与“开标一览表”报价合计相等。</w:t>
      </w:r>
    </w:p>
    <w:p>
      <w:pPr>
        <w:spacing w:line="360" w:lineRule="auto"/>
        <w:rPr>
          <w:color w:val="auto"/>
        </w:rPr>
      </w:pPr>
    </w:p>
    <w:p>
      <w:pPr>
        <w:spacing w:line="360" w:lineRule="auto"/>
        <w:rPr>
          <w:color w:val="auto"/>
        </w:rPr>
      </w:pPr>
    </w:p>
    <w:p>
      <w:pPr>
        <w:spacing w:line="360" w:lineRule="auto"/>
        <w:rPr>
          <w:color w:val="auto"/>
        </w:rPr>
      </w:pPr>
      <w:r>
        <w:rPr>
          <w:rFonts w:hint="eastAsia"/>
          <w:color w:val="auto"/>
        </w:rPr>
        <w:t>投标人名称：XXXX（单位盖章）。</w:t>
      </w:r>
    </w:p>
    <w:p>
      <w:pPr>
        <w:spacing w:line="360" w:lineRule="auto"/>
        <w:rPr>
          <w:color w:val="auto"/>
        </w:rPr>
      </w:pPr>
      <w:r>
        <w:rPr>
          <w:rFonts w:hint="eastAsia"/>
          <w:color w:val="auto"/>
        </w:rPr>
        <w:t>法定代表人或授权代表（签字或加盖个人名章）：XXXX。</w:t>
      </w:r>
    </w:p>
    <w:p>
      <w:pPr>
        <w:widowControl/>
        <w:jc w:val="left"/>
        <w:rPr>
          <w:rFonts w:ascii="宋体" w:hAnsi="宋体"/>
          <w:b/>
          <w:color w:val="auto"/>
          <w:sz w:val="32"/>
          <w:szCs w:val="32"/>
        </w:rPr>
      </w:pPr>
      <w:r>
        <w:rPr>
          <w:rFonts w:hint="eastAsia"/>
          <w:color w:val="auto"/>
        </w:rPr>
        <w:t>投标日期：XXXX。</w:t>
      </w:r>
    </w:p>
    <w:p>
      <w:pPr>
        <w:widowControl/>
        <w:jc w:val="left"/>
        <w:rPr>
          <w:rFonts w:ascii="宋体" w:hAnsi="宋体"/>
          <w:b/>
          <w:color w:val="auto"/>
          <w:sz w:val="32"/>
          <w:szCs w:val="32"/>
        </w:rPr>
      </w:pPr>
      <w:r>
        <w:rPr>
          <w:rFonts w:ascii="宋体" w:hAnsi="宋体"/>
          <w:b/>
          <w:color w:val="auto"/>
          <w:sz w:val="32"/>
          <w:szCs w:val="32"/>
        </w:rPr>
        <w:br w:type="page"/>
      </w:r>
    </w:p>
    <w:p>
      <w:pPr>
        <w:spacing w:line="360" w:lineRule="auto"/>
        <w:jc w:val="center"/>
        <w:rPr>
          <w:rFonts w:ascii="宋体" w:hAnsi="宋体"/>
          <w:b/>
          <w:color w:val="auto"/>
          <w:sz w:val="32"/>
          <w:szCs w:val="32"/>
        </w:rPr>
      </w:pPr>
      <w:r>
        <w:rPr>
          <w:rFonts w:hint="eastAsia" w:ascii="宋体" w:hAnsi="宋体"/>
          <w:b/>
          <w:color w:val="auto"/>
          <w:sz w:val="32"/>
          <w:szCs w:val="32"/>
        </w:rPr>
        <w:t>五、</w:t>
      </w:r>
      <w:bookmarkEnd w:id="178"/>
      <w:bookmarkStart w:id="179" w:name="_Toc217446087"/>
      <w:r>
        <w:rPr>
          <w:rFonts w:hint="eastAsia" w:ascii="宋体" w:hAnsi="宋体"/>
          <w:b/>
          <w:color w:val="auto"/>
          <w:sz w:val="32"/>
          <w:szCs w:val="32"/>
        </w:rPr>
        <w:t>商务应答表</w:t>
      </w:r>
      <w:bookmarkEnd w:id="179"/>
    </w:p>
    <w:p>
      <w:pPr>
        <w:spacing w:line="360" w:lineRule="auto"/>
        <w:rPr>
          <w:rFonts w:ascii="Times New Roman" w:hAnsi="Times New Roman"/>
          <w:color w:val="auto"/>
        </w:rPr>
      </w:pPr>
      <w:r>
        <w:rPr>
          <w:rFonts w:hint="eastAsia" w:ascii="Times New Roman" w:hAnsi="Times New Roman"/>
          <w:color w:val="auto"/>
        </w:rPr>
        <w:t>项目名称：XXX</w:t>
      </w:r>
    </w:p>
    <w:p>
      <w:pPr>
        <w:spacing w:line="360" w:lineRule="auto"/>
        <w:rPr>
          <w:rFonts w:ascii="Times New Roman" w:hAnsi="Times New Roman"/>
          <w:color w:val="auto"/>
        </w:rPr>
      </w:pPr>
      <w:r>
        <w:rPr>
          <w:rFonts w:hint="eastAsia" w:ascii="Times New Roman" w:hAnsi="Times New Roman"/>
          <w:color w:val="auto"/>
        </w:rPr>
        <w:t>招标编号：XXX</w:t>
      </w:r>
    </w:p>
    <w:p>
      <w:pPr>
        <w:pStyle w:val="2"/>
        <w:rPr>
          <w:color w:val="auto"/>
        </w:rPr>
      </w:pPr>
      <w:r>
        <w:rPr>
          <w:rFonts w:hint="eastAsia" w:ascii="Times New Roman" w:hAnsi="Times New Roman"/>
          <w:color w:val="auto"/>
        </w:rPr>
        <w:t>包号：</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1988"/>
        <w:gridCol w:w="4940"/>
        <w:gridCol w:w="1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0" w:hRule="atLeast"/>
          <w:jc w:val="center"/>
        </w:trPr>
        <w:tc>
          <w:tcPr>
            <w:tcW w:w="1253" w:type="dxa"/>
            <w:vAlign w:val="center"/>
          </w:tcPr>
          <w:p>
            <w:pPr>
              <w:spacing w:line="360" w:lineRule="auto"/>
              <w:rPr>
                <w:rFonts w:ascii="Times New Roman" w:hAnsi="Times New Roman"/>
                <w:color w:val="auto"/>
              </w:rPr>
            </w:pPr>
            <w:r>
              <w:rPr>
                <w:rFonts w:hint="eastAsia" w:ascii="Times New Roman" w:hAnsi="Times New Roman"/>
                <w:color w:val="auto"/>
              </w:rPr>
              <w:t>序号</w:t>
            </w:r>
          </w:p>
        </w:tc>
        <w:tc>
          <w:tcPr>
            <w:tcW w:w="1988" w:type="dxa"/>
            <w:vAlign w:val="center"/>
          </w:tcPr>
          <w:p>
            <w:pPr>
              <w:spacing w:line="360" w:lineRule="auto"/>
              <w:rPr>
                <w:rFonts w:ascii="Times New Roman" w:hAnsi="Times New Roman"/>
                <w:color w:val="auto"/>
              </w:rPr>
            </w:pPr>
            <w:r>
              <w:rPr>
                <w:rFonts w:hint="eastAsia" w:ascii="Times New Roman" w:hAnsi="Times New Roman"/>
                <w:color w:val="auto"/>
              </w:rPr>
              <w:t>招标要求</w:t>
            </w:r>
          </w:p>
        </w:tc>
        <w:tc>
          <w:tcPr>
            <w:tcW w:w="4940" w:type="dxa"/>
            <w:vAlign w:val="center"/>
          </w:tcPr>
          <w:p>
            <w:pPr>
              <w:spacing w:line="360" w:lineRule="auto"/>
              <w:rPr>
                <w:rFonts w:ascii="Times New Roman" w:hAnsi="Times New Roman"/>
                <w:color w:val="auto"/>
              </w:rPr>
            </w:pPr>
            <w:r>
              <w:rPr>
                <w:rFonts w:hint="eastAsia" w:ascii="Times New Roman" w:hAnsi="Times New Roman"/>
                <w:color w:val="auto"/>
              </w:rPr>
              <w:t>投标应答</w:t>
            </w:r>
          </w:p>
        </w:tc>
        <w:tc>
          <w:tcPr>
            <w:tcW w:w="1419" w:type="dxa"/>
            <w:vAlign w:val="center"/>
          </w:tcPr>
          <w:p>
            <w:pPr>
              <w:spacing w:line="360" w:lineRule="auto"/>
              <w:rPr>
                <w:rFonts w:ascii="Times New Roman" w:hAnsi="Times New Roman"/>
                <w:color w:val="auto"/>
              </w:rPr>
            </w:pPr>
            <w:r>
              <w:rPr>
                <w:rFonts w:ascii="Times New Roman" w:hAnsi="Times New Roman"/>
                <w:color w:val="auto"/>
              </w:rPr>
              <w:t>是否偏离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6" w:hRule="atLeast"/>
          <w:jc w:val="center"/>
        </w:trPr>
        <w:tc>
          <w:tcPr>
            <w:tcW w:w="1253" w:type="dxa"/>
          </w:tcPr>
          <w:p>
            <w:pPr>
              <w:spacing w:line="360" w:lineRule="auto"/>
              <w:rPr>
                <w:rFonts w:ascii="Times New Roman" w:hAnsi="Times New Roman"/>
                <w:color w:val="auto"/>
              </w:rPr>
            </w:pPr>
          </w:p>
        </w:tc>
        <w:tc>
          <w:tcPr>
            <w:tcW w:w="1988" w:type="dxa"/>
          </w:tcPr>
          <w:p>
            <w:pPr>
              <w:spacing w:line="360" w:lineRule="auto"/>
              <w:rPr>
                <w:rFonts w:ascii="Times New Roman" w:hAnsi="Times New Roman"/>
                <w:color w:val="auto"/>
              </w:rPr>
            </w:pPr>
          </w:p>
        </w:tc>
        <w:tc>
          <w:tcPr>
            <w:tcW w:w="4940" w:type="dxa"/>
          </w:tcPr>
          <w:p>
            <w:pPr>
              <w:spacing w:line="360" w:lineRule="auto"/>
              <w:rPr>
                <w:rFonts w:ascii="Times New Roman" w:hAnsi="Times New Roman"/>
                <w:color w:val="auto"/>
              </w:rPr>
            </w:pPr>
          </w:p>
          <w:p>
            <w:pPr>
              <w:jc w:val="center"/>
              <w:rPr>
                <w:rFonts w:ascii="Times New Roman" w:hAnsi="Times New Roman"/>
                <w:color w:val="auto"/>
              </w:rPr>
            </w:pPr>
          </w:p>
        </w:tc>
        <w:tc>
          <w:tcPr>
            <w:tcW w:w="1419" w:type="dxa"/>
          </w:tcPr>
          <w:p>
            <w:pPr>
              <w:widowControl/>
              <w:jc w:val="left"/>
              <w:rPr>
                <w:rFonts w:ascii="Times New Roman" w:hAnsi="Times New Roman"/>
                <w:color w:val="auto"/>
              </w:rPr>
            </w:pPr>
          </w:p>
          <w:p>
            <w:pPr>
              <w:jc w:val="center"/>
              <w:rPr>
                <w:rFonts w:ascii="Times New Roman" w:hAnsi="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6" w:hRule="atLeast"/>
          <w:jc w:val="center"/>
        </w:trPr>
        <w:tc>
          <w:tcPr>
            <w:tcW w:w="1253" w:type="dxa"/>
          </w:tcPr>
          <w:p>
            <w:pPr>
              <w:spacing w:line="360" w:lineRule="auto"/>
              <w:rPr>
                <w:rFonts w:ascii="Times New Roman" w:hAnsi="Times New Roman"/>
                <w:color w:val="auto"/>
              </w:rPr>
            </w:pPr>
          </w:p>
        </w:tc>
        <w:tc>
          <w:tcPr>
            <w:tcW w:w="1988" w:type="dxa"/>
          </w:tcPr>
          <w:p>
            <w:pPr>
              <w:spacing w:line="360" w:lineRule="auto"/>
              <w:rPr>
                <w:rFonts w:ascii="Times New Roman" w:hAnsi="Times New Roman"/>
                <w:color w:val="auto"/>
              </w:rPr>
            </w:pPr>
          </w:p>
        </w:tc>
        <w:tc>
          <w:tcPr>
            <w:tcW w:w="4940" w:type="dxa"/>
          </w:tcPr>
          <w:p>
            <w:pPr>
              <w:spacing w:line="360" w:lineRule="auto"/>
              <w:rPr>
                <w:rFonts w:ascii="Times New Roman" w:hAnsi="Times New Roman"/>
                <w:color w:val="auto"/>
              </w:rPr>
            </w:pPr>
          </w:p>
        </w:tc>
        <w:tc>
          <w:tcPr>
            <w:tcW w:w="1419" w:type="dxa"/>
          </w:tcPr>
          <w:p>
            <w:pPr>
              <w:spacing w:line="360" w:lineRule="auto"/>
              <w:rPr>
                <w:rFonts w:ascii="Times New Roman" w:hAnsi="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6" w:hRule="atLeast"/>
          <w:jc w:val="center"/>
        </w:trPr>
        <w:tc>
          <w:tcPr>
            <w:tcW w:w="1253" w:type="dxa"/>
          </w:tcPr>
          <w:p>
            <w:pPr>
              <w:spacing w:line="360" w:lineRule="auto"/>
              <w:rPr>
                <w:rFonts w:ascii="Times New Roman" w:hAnsi="Times New Roman"/>
                <w:color w:val="auto"/>
              </w:rPr>
            </w:pPr>
          </w:p>
        </w:tc>
        <w:tc>
          <w:tcPr>
            <w:tcW w:w="1988" w:type="dxa"/>
          </w:tcPr>
          <w:p>
            <w:pPr>
              <w:spacing w:line="360" w:lineRule="auto"/>
              <w:rPr>
                <w:rFonts w:ascii="Times New Roman" w:hAnsi="Times New Roman"/>
                <w:color w:val="auto"/>
              </w:rPr>
            </w:pPr>
          </w:p>
        </w:tc>
        <w:tc>
          <w:tcPr>
            <w:tcW w:w="4940" w:type="dxa"/>
          </w:tcPr>
          <w:p>
            <w:pPr>
              <w:spacing w:line="360" w:lineRule="auto"/>
              <w:rPr>
                <w:rFonts w:ascii="Times New Roman" w:hAnsi="Times New Roman"/>
                <w:color w:val="auto"/>
              </w:rPr>
            </w:pPr>
          </w:p>
        </w:tc>
        <w:tc>
          <w:tcPr>
            <w:tcW w:w="1419" w:type="dxa"/>
          </w:tcPr>
          <w:p>
            <w:pPr>
              <w:spacing w:line="360" w:lineRule="auto"/>
              <w:rPr>
                <w:rFonts w:ascii="Times New Roman" w:hAnsi="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46" w:hRule="atLeast"/>
          <w:jc w:val="center"/>
        </w:trPr>
        <w:tc>
          <w:tcPr>
            <w:tcW w:w="1253" w:type="dxa"/>
          </w:tcPr>
          <w:p>
            <w:pPr>
              <w:spacing w:line="360" w:lineRule="auto"/>
              <w:rPr>
                <w:rFonts w:ascii="Times New Roman" w:hAnsi="Times New Roman"/>
                <w:color w:val="auto"/>
              </w:rPr>
            </w:pPr>
          </w:p>
        </w:tc>
        <w:tc>
          <w:tcPr>
            <w:tcW w:w="1988" w:type="dxa"/>
          </w:tcPr>
          <w:p>
            <w:pPr>
              <w:spacing w:line="360" w:lineRule="auto"/>
              <w:rPr>
                <w:rFonts w:ascii="Times New Roman" w:hAnsi="Times New Roman"/>
                <w:color w:val="auto"/>
              </w:rPr>
            </w:pPr>
          </w:p>
        </w:tc>
        <w:tc>
          <w:tcPr>
            <w:tcW w:w="4940" w:type="dxa"/>
          </w:tcPr>
          <w:p>
            <w:pPr>
              <w:spacing w:line="360" w:lineRule="auto"/>
              <w:rPr>
                <w:rFonts w:ascii="Times New Roman" w:hAnsi="Times New Roman"/>
                <w:color w:val="auto"/>
              </w:rPr>
            </w:pPr>
          </w:p>
        </w:tc>
        <w:tc>
          <w:tcPr>
            <w:tcW w:w="1419" w:type="dxa"/>
          </w:tcPr>
          <w:p>
            <w:pPr>
              <w:spacing w:line="360" w:lineRule="auto"/>
              <w:rPr>
                <w:rFonts w:ascii="Times New Roman" w:hAnsi="Times New Roman"/>
                <w:color w:val="auto"/>
              </w:rPr>
            </w:pPr>
          </w:p>
        </w:tc>
      </w:tr>
    </w:tbl>
    <w:p>
      <w:pPr>
        <w:spacing w:line="360" w:lineRule="auto"/>
        <w:rPr>
          <w:color w:val="auto"/>
        </w:rPr>
      </w:pPr>
      <w:r>
        <w:rPr>
          <w:rFonts w:hint="eastAsia" w:ascii="Times New Roman" w:hAnsi="Times New Roman"/>
          <w:color w:val="auto"/>
        </w:rPr>
        <w:t>注：</w:t>
      </w:r>
      <w:r>
        <w:rPr>
          <w:rFonts w:hint="eastAsia"/>
          <w:color w:val="auto"/>
        </w:rPr>
        <w:t>商务条款包括：交货时间、交货地点、资金支付、履约保证金、知识产权、招标文件对报价部分的要求、验收等其他合同主要条款。</w:t>
      </w:r>
    </w:p>
    <w:p>
      <w:pPr>
        <w:spacing w:line="360" w:lineRule="auto"/>
        <w:rPr>
          <w:color w:val="auto"/>
        </w:rPr>
      </w:pPr>
      <w:r>
        <w:rPr>
          <w:rFonts w:hint="eastAsia"/>
          <w:color w:val="auto"/>
        </w:rPr>
        <w:t>2.供应商必须据实填写，不得虚假应答，否则将取消其投标或中标资格。</w:t>
      </w:r>
    </w:p>
    <w:p>
      <w:pPr>
        <w:spacing w:line="360" w:lineRule="auto"/>
        <w:rPr>
          <w:rFonts w:ascii="Times New Roman" w:hAnsi="Times New Roman"/>
          <w:color w:val="auto"/>
        </w:rPr>
      </w:pPr>
      <w:r>
        <w:rPr>
          <w:rFonts w:hint="eastAsia"/>
          <w:color w:val="auto"/>
        </w:rPr>
        <w:t>3.商务条款如与招标文件无偏离的，则无须应答。如有偏离（包括正偏离和负偏离），请将偏离条款逐条应答。未明确应答的，均视为满足招标文件要求。</w:t>
      </w:r>
    </w:p>
    <w:p>
      <w:pPr>
        <w:spacing w:line="360" w:lineRule="auto"/>
        <w:rPr>
          <w:rFonts w:ascii="Times New Roman" w:hAnsi="Times New Roman"/>
          <w:color w:val="auto"/>
        </w:rPr>
      </w:pPr>
    </w:p>
    <w:p>
      <w:pPr>
        <w:spacing w:line="360" w:lineRule="auto"/>
        <w:rPr>
          <w:rFonts w:ascii="Times New Roman" w:hAnsi="Times New Roman"/>
          <w:color w:val="auto"/>
        </w:rPr>
      </w:pPr>
    </w:p>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投标人名称：XXXX（单位盖章）。</w:t>
      </w:r>
    </w:p>
    <w:p>
      <w:pPr>
        <w:spacing w:line="360" w:lineRule="auto"/>
        <w:rPr>
          <w:rFonts w:ascii="Times New Roman" w:hAnsi="Times New Roman"/>
          <w:color w:val="auto"/>
        </w:rPr>
      </w:pPr>
      <w:r>
        <w:rPr>
          <w:rFonts w:hint="eastAsia" w:ascii="Times New Roman" w:hAnsi="Times New Roman"/>
          <w:color w:val="auto"/>
        </w:rPr>
        <w:t>法定代表人或授权代表（签字或加盖个人名章）：XXXX。</w:t>
      </w:r>
    </w:p>
    <w:p>
      <w:pPr>
        <w:spacing w:line="360" w:lineRule="auto"/>
        <w:rPr>
          <w:rFonts w:ascii="Times New Roman" w:hAnsi="Times New Roman"/>
          <w:color w:val="auto"/>
        </w:rPr>
      </w:pPr>
      <w:r>
        <w:rPr>
          <w:rFonts w:hint="eastAsia" w:ascii="Times New Roman" w:hAnsi="Times New Roman"/>
          <w:color w:val="auto"/>
        </w:rPr>
        <w:t>投标日期: XXXX。</w:t>
      </w:r>
    </w:p>
    <w:p>
      <w:pPr>
        <w:spacing w:line="360" w:lineRule="auto"/>
        <w:rPr>
          <w:rFonts w:ascii="Times New Roman" w:hAnsi="Times New Roman"/>
          <w:color w:val="auto"/>
        </w:rPr>
      </w:pPr>
      <w:bookmarkStart w:id="180" w:name="_Toc217446088"/>
    </w:p>
    <w:p>
      <w:pPr>
        <w:widowControl/>
        <w:spacing w:line="360" w:lineRule="atLeast"/>
        <w:jc w:val="center"/>
        <w:outlineLvl w:val="1"/>
        <w:rPr>
          <w:rFonts w:ascii="宋体" w:hAnsi="宋体"/>
          <w:b/>
          <w:color w:val="auto"/>
          <w:sz w:val="32"/>
          <w:szCs w:val="32"/>
        </w:rPr>
      </w:pPr>
      <w:r>
        <w:rPr>
          <w:rFonts w:ascii="宋体" w:hAnsi="宋体"/>
          <w:b/>
          <w:color w:val="auto"/>
          <w:sz w:val="32"/>
          <w:szCs w:val="32"/>
        </w:rPr>
        <w:br w:type="page"/>
      </w:r>
      <w:r>
        <w:rPr>
          <w:rFonts w:hint="eastAsia" w:ascii="宋体" w:hAnsi="宋体"/>
          <w:b/>
          <w:color w:val="auto"/>
          <w:sz w:val="32"/>
          <w:szCs w:val="32"/>
        </w:rPr>
        <w:t>六、投标人基本情况表</w:t>
      </w:r>
      <w:bookmarkEnd w:id="180"/>
    </w:p>
    <w:p>
      <w:pPr>
        <w:spacing w:line="360" w:lineRule="auto"/>
        <w:rPr>
          <w:rFonts w:ascii="Times New Roman" w:hAnsi="Times New Roman"/>
          <w:color w:val="auto"/>
        </w:rPr>
      </w:pPr>
    </w:p>
    <w:tbl>
      <w:tblPr>
        <w:tblStyle w:val="34"/>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58"/>
        <w:gridCol w:w="692"/>
        <w:gridCol w:w="1080"/>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投标人名称</w:t>
            </w:r>
          </w:p>
        </w:tc>
        <w:tc>
          <w:tcPr>
            <w:tcW w:w="6693" w:type="dxa"/>
            <w:gridSpan w:val="7"/>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注册地址</w:t>
            </w:r>
          </w:p>
        </w:tc>
        <w:tc>
          <w:tcPr>
            <w:tcW w:w="3443" w:type="dxa"/>
            <w:gridSpan w:val="3"/>
            <w:vAlign w:val="center"/>
          </w:tcPr>
          <w:p>
            <w:pPr>
              <w:spacing w:line="360" w:lineRule="auto"/>
              <w:rPr>
                <w:rFonts w:ascii="Times New Roman" w:hAnsi="Times New Roman"/>
                <w:color w:val="auto"/>
              </w:rPr>
            </w:pPr>
          </w:p>
        </w:tc>
        <w:tc>
          <w:tcPr>
            <w:tcW w:w="1320" w:type="dxa"/>
            <w:vAlign w:val="center"/>
          </w:tcPr>
          <w:p>
            <w:pPr>
              <w:spacing w:line="360" w:lineRule="auto"/>
              <w:rPr>
                <w:rFonts w:ascii="Times New Roman" w:hAnsi="Times New Roman"/>
                <w:color w:val="auto"/>
              </w:rPr>
            </w:pPr>
            <w:r>
              <w:rPr>
                <w:rFonts w:hint="eastAsia" w:ascii="Times New Roman" w:hAnsi="Times New Roman"/>
                <w:color w:val="auto"/>
              </w:rPr>
              <w:t>邮政编码</w:t>
            </w:r>
          </w:p>
        </w:tc>
        <w:tc>
          <w:tcPr>
            <w:tcW w:w="1930" w:type="dxa"/>
            <w:gridSpan w:val="3"/>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22" w:type="dxa"/>
            <w:vMerge w:val="restart"/>
            <w:vAlign w:val="center"/>
          </w:tcPr>
          <w:p>
            <w:pPr>
              <w:spacing w:line="360" w:lineRule="auto"/>
              <w:rPr>
                <w:rFonts w:ascii="Times New Roman" w:hAnsi="Times New Roman"/>
                <w:color w:val="auto"/>
              </w:rPr>
            </w:pPr>
            <w:r>
              <w:rPr>
                <w:rFonts w:hint="eastAsia" w:ascii="Times New Roman" w:hAnsi="Times New Roman"/>
                <w:color w:val="auto"/>
              </w:rPr>
              <w:t>联系方式</w:t>
            </w:r>
          </w:p>
        </w:tc>
        <w:tc>
          <w:tcPr>
            <w:tcW w:w="957" w:type="dxa"/>
            <w:vAlign w:val="center"/>
          </w:tcPr>
          <w:p>
            <w:pPr>
              <w:spacing w:line="360" w:lineRule="auto"/>
              <w:rPr>
                <w:rFonts w:ascii="Times New Roman" w:hAnsi="Times New Roman"/>
                <w:color w:val="auto"/>
              </w:rPr>
            </w:pPr>
            <w:r>
              <w:rPr>
                <w:rFonts w:hint="eastAsia" w:ascii="Times New Roman" w:hAnsi="Times New Roman"/>
                <w:color w:val="auto"/>
              </w:rPr>
              <w:t>联系人</w:t>
            </w:r>
          </w:p>
        </w:tc>
        <w:tc>
          <w:tcPr>
            <w:tcW w:w="2486" w:type="dxa"/>
            <w:gridSpan w:val="2"/>
            <w:vAlign w:val="center"/>
          </w:tcPr>
          <w:p>
            <w:pPr>
              <w:spacing w:line="360" w:lineRule="auto"/>
              <w:rPr>
                <w:rFonts w:ascii="Times New Roman" w:hAnsi="Times New Roman"/>
                <w:color w:val="auto"/>
              </w:rPr>
            </w:pPr>
          </w:p>
        </w:tc>
        <w:tc>
          <w:tcPr>
            <w:tcW w:w="1320" w:type="dxa"/>
            <w:vAlign w:val="center"/>
          </w:tcPr>
          <w:p>
            <w:pPr>
              <w:spacing w:line="360" w:lineRule="auto"/>
              <w:rPr>
                <w:rFonts w:ascii="Times New Roman" w:hAnsi="Times New Roman"/>
                <w:color w:val="auto"/>
              </w:rPr>
            </w:pPr>
            <w:r>
              <w:rPr>
                <w:rFonts w:hint="eastAsia" w:ascii="Times New Roman" w:hAnsi="Times New Roman"/>
                <w:color w:val="auto"/>
              </w:rPr>
              <w:t>电话</w:t>
            </w:r>
          </w:p>
        </w:tc>
        <w:tc>
          <w:tcPr>
            <w:tcW w:w="1930" w:type="dxa"/>
            <w:gridSpan w:val="3"/>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1522" w:type="dxa"/>
            <w:vMerge w:val="continue"/>
            <w:vAlign w:val="center"/>
          </w:tcPr>
          <w:p>
            <w:pPr>
              <w:spacing w:line="360" w:lineRule="auto"/>
              <w:rPr>
                <w:rFonts w:ascii="Times New Roman" w:hAnsi="Times New Roman"/>
                <w:color w:val="auto"/>
              </w:rPr>
            </w:pPr>
          </w:p>
        </w:tc>
        <w:tc>
          <w:tcPr>
            <w:tcW w:w="957" w:type="dxa"/>
            <w:vAlign w:val="center"/>
          </w:tcPr>
          <w:p>
            <w:pPr>
              <w:spacing w:line="360" w:lineRule="auto"/>
              <w:rPr>
                <w:rFonts w:ascii="Times New Roman" w:hAnsi="Times New Roman"/>
                <w:color w:val="auto"/>
              </w:rPr>
            </w:pPr>
            <w:r>
              <w:rPr>
                <w:rFonts w:hint="eastAsia" w:ascii="Times New Roman" w:hAnsi="Times New Roman"/>
                <w:color w:val="auto"/>
              </w:rPr>
              <w:t>传真</w:t>
            </w:r>
          </w:p>
        </w:tc>
        <w:tc>
          <w:tcPr>
            <w:tcW w:w="2486" w:type="dxa"/>
            <w:gridSpan w:val="2"/>
            <w:vAlign w:val="center"/>
          </w:tcPr>
          <w:p>
            <w:pPr>
              <w:spacing w:line="360" w:lineRule="auto"/>
              <w:rPr>
                <w:rFonts w:ascii="Times New Roman" w:hAnsi="Times New Roman"/>
                <w:color w:val="auto"/>
              </w:rPr>
            </w:pPr>
          </w:p>
        </w:tc>
        <w:tc>
          <w:tcPr>
            <w:tcW w:w="1320" w:type="dxa"/>
            <w:vAlign w:val="center"/>
          </w:tcPr>
          <w:p>
            <w:pPr>
              <w:spacing w:line="360" w:lineRule="auto"/>
              <w:rPr>
                <w:rFonts w:ascii="Times New Roman" w:hAnsi="Times New Roman"/>
                <w:color w:val="auto"/>
              </w:rPr>
            </w:pPr>
            <w:r>
              <w:rPr>
                <w:rFonts w:hint="eastAsia" w:ascii="Times New Roman" w:hAnsi="Times New Roman"/>
                <w:color w:val="auto"/>
              </w:rPr>
              <w:t>网址</w:t>
            </w:r>
          </w:p>
        </w:tc>
        <w:tc>
          <w:tcPr>
            <w:tcW w:w="1930" w:type="dxa"/>
            <w:gridSpan w:val="3"/>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组织结构</w:t>
            </w:r>
          </w:p>
        </w:tc>
        <w:tc>
          <w:tcPr>
            <w:tcW w:w="6693" w:type="dxa"/>
            <w:gridSpan w:val="7"/>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法定代表人</w:t>
            </w:r>
          </w:p>
        </w:tc>
        <w:tc>
          <w:tcPr>
            <w:tcW w:w="957" w:type="dxa"/>
            <w:vAlign w:val="center"/>
          </w:tcPr>
          <w:p>
            <w:pPr>
              <w:spacing w:line="360" w:lineRule="auto"/>
              <w:rPr>
                <w:rFonts w:ascii="Times New Roman" w:hAnsi="Times New Roman"/>
                <w:color w:val="auto"/>
              </w:rPr>
            </w:pPr>
            <w:r>
              <w:rPr>
                <w:rFonts w:hint="eastAsia" w:ascii="Times New Roman" w:hAnsi="Times New Roman"/>
                <w:color w:val="auto"/>
              </w:rPr>
              <w:t>姓名</w:t>
            </w:r>
          </w:p>
        </w:tc>
        <w:tc>
          <w:tcPr>
            <w:tcW w:w="1239" w:type="dxa"/>
            <w:vAlign w:val="center"/>
          </w:tcPr>
          <w:p>
            <w:pPr>
              <w:spacing w:line="360" w:lineRule="auto"/>
              <w:rPr>
                <w:rFonts w:ascii="Times New Roman" w:hAnsi="Times New Roman"/>
                <w:color w:val="auto"/>
              </w:rPr>
            </w:pPr>
          </w:p>
        </w:tc>
        <w:tc>
          <w:tcPr>
            <w:tcW w:w="1247" w:type="dxa"/>
            <w:vAlign w:val="center"/>
          </w:tcPr>
          <w:p>
            <w:pPr>
              <w:spacing w:line="360" w:lineRule="auto"/>
              <w:rPr>
                <w:rFonts w:ascii="Times New Roman" w:hAnsi="Times New Roman"/>
                <w:color w:val="auto"/>
              </w:rPr>
            </w:pPr>
            <w:r>
              <w:rPr>
                <w:rFonts w:hint="eastAsia" w:ascii="Times New Roman" w:hAnsi="Times New Roman"/>
                <w:color w:val="auto"/>
              </w:rPr>
              <w:t>技术职称</w:t>
            </w:r>
          </w:p>
        </w:tc>
        <w:tc>
          <w:tcPr>
            <w:tcW w:w="1320" w:type="dxa"/>
            <w:vAlign w:val="center"/>
          </w:tcPr>
          <w:p>
            <w:pPr>
              <w:spacing w:line="360" w:lineRule="auto"/>
              <w:rPr>
                <w:rFonts w:ascii="Times New Roman" w:hAnsi="Times New Roman"/>
                <w:color w:val="auto"/>
              </w:rPr>
            </w:pPr>
          </w:p>
        </w:tc>
        <w:tc>
          <w:tcPr>
            <w:tcW w:w="850" w:type="dxa"/>
            <w:gridSpan w:val="2"/>
            <w:vAlign w:val="center"/>
          </w:tcPr>
          <w:p>
            <w:pPr>
              <w:spacing w:line="360" w:lineRule="auto"/>
              <w:rPr>
                <w:rFonts w:ascii="Times New Roman" w:hAnsi="Times New Roman"/>
                <w:color w:val="auto"/>
              </w:rPr>
            </w:pPr>
            <w:r>
              <w:rPr>
                <w:rFonts w:hint="eastAsia" w:ascii="Times New Roman" w:hAnsi="Times New Roman"/>
                <w:color w:val="auto"/>
              </w:rPr>
              <w:t>电话</w:t>
            </w:r>
          </w:p>
        </w:tc>
        <w:tc>
          <w:tcPr>
            <w:tcW w:w="1080" w:type="dxa"/>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4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技术负责人</w:t>
            </w:r>
          </w:p>
        </w:tc>
        <w:tc>
          <w:tcPr>
            <w:tcW w:w="957" w:type="dxa"/>
            <w:vAlign w:val="center"/>
          </w:tcPr>
          <w:p>
            <w:pPr>
              <w:spacing w:line="360" w:lineRule="auto"/>
              <w:rPr>
                <w:rFonts w:ascii="Times New Roman" w:hAnsi="Times New Roman"/>
                <w:color w:val="auto"/>
              </w:rPr>
            </w:pPr>
            <w:r>
              <w:rPr>
                <w:rFonts w:hint="eastAsia" w:ascii="Times New Roman" w:hAnsi="Times New Roman"/>
                <w:color w:val="auto"/>
              </w:rPr>
              <w:t>姓名</w:t>
            </w:r>
          </w:p>
        </w:tc>
        <w:tc>
          <w:tcPr>
            <w:tcW w:w="1239" w:type="dxa"/>
            <w:vAlign w:val="center"/>
          </w:tcPr>
          <w:p>
            <w:pPr>
              <w:spacing w:line="360" w:lineRule="auto"/>
              <w:rPr>
                <w:rFonts w:ascii="Times New Roman" w:hAnsi="Times New Roman"/>
                <w:color w:val="auto"/>
              </w:rPr>
            </w:pPr>
          </w:p>
        </w:tc>
        <w:tc>
          <w:tcPr>
            <w:tcW w:w="1247" w:type="dxa"/>
            <w:vAlign w:val="center"/>
          </w:tcPr>
          <w:p>
            <w:pPr>
              <w:spacing w:line="360" w:lineRule="auto"/>
              <w:rPr>
                <w:rFonts w:ascii="Times New Roman" w:hAnsi="Times New Roman"/>
                <w:color w:val="auto"/>
              </w:rPr>
            </w:pPr>
            <w:r>
              <w:rPr>
                <w:rFonts w:hint="eastAsia" w:ascii="Times New Roman" w:hAnsi="Times New Roman"/>
                <w:color w:val="auto"/>
              </w:rPr>
              <w:t>技术职称</w:t>
            </w:r>
          </w:p>
        </w:tc>
        <w:tc>
          <w:tcPr>
            <w:tcW w:w="1320" w:type="dxa"/>
            <w:vAlign w:val="center"/>
          </w:tcPr>
          <w:p>
            <w:pPr>
              <w:spacing w:line="360" w:lineRule="auto"/>
              <w:rPr>
                <w:rFonts w:ascii="Times New Roman" w:hAnsi="Times New Roman"/>
                <w:color w:val="auto"/>
              </w:rPr>
            </w:pPr>
          </w:p>
        </w:tc>
        <w:tc>
          <w:tcPr>
            <w:tcW w:w="850" w:type="dxa"/>
            <w:gridSpan w:val="2"/>
            <w:vAlign w:val="center"/>
          </w:tcPr>
          <w:p>
            <w:pPr>
              <w:spacing w:line="360" w:lineRule="auto"/>
              <w:rPr>
                <w:rFonts w:ascii="Times New Roman" w:hAnsi="Times New Roman"/>
                <w:color w:val="auto"/>
              </w:rPr>
            </w:pPr>
            <w:r>
              <w:rPr>
                <w:rFonts w:hint="eastAsia" w:ascii="Times New Roman" w:hAnsi="Times New Roman"/>
                <w:color w:val="auto"/>
              </w:rPr>
              <w:t>电话</w:t>
            </w:r>
          </w:p>
        </w:tc>
        <w:tc>
          <w:tcPr>
            <w:tcW w:w="1080" w:type="dxa"/>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成立时间</w:t>
            </w:r>
          </w:p>
        </w:tc>
        <w:tc>
          <w:tcPr>
            <w:tcW w:w="2196" w:type="dxa"/>
            <w:gridSpan w:val="2"/>
            <w:vAlign w:val="center"/>
          </w:tcPr>
          <w:p>
            <w:pPr>
              <w:spacing w:line="360" w:lineRule="auto"/>
              <w:rPr>
                <w:rFonts w:ascii="Times New Roman" w:hAnsi="Times New Roman"/>
                <w:color w:val="auto"/>
              </w:rPr>
            </w:pPr>
          </w:p>
        </w:tc>
        <w:tc>
          <w:tcPr>
            <w:tcW w:w="4497" w:type="dxa"/>
            <w:gridSpan w:val="5"/>
            <w:vAlign w:val="center"/>
          </w:tcPr>
          <w:p>
            <w:pPr>
              <w:spacing w:line="360" w:lineRule="auto"/>
              <w:rPr>
                <w:rFonts w:ascii="Times New Roman" w:hAnsi="Times New Roman"/>
                <w:color w:val="auto"/>
              </w:rPr>
            </w:pPr>
            <w:r>
              <w:rPr>
                <w:rFonts w:hint="eastAsia" w:ascii="Times New Roman" w:hAnsi="Times New Roman"/>
                <w:color w:val="auto"/>
              </w:rPr>
              <w:t>员工总人数：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企业资质等级</w:t>
            </w:r>
          </w:p>
        </w:tc>
        <w:tc>
          <w:tcPr>
            <w:tcW w:w="2196" w:type="dxa"/>
            <w:gridSpan w:val="2"/>
            <w:vAlign w:val="center"/>
          </w:tcPr>
          <w:p>
            <w:pPr>
              <w:spacing w:line="360" w:lineRule="auto"/>
              <w:rPr>
                <w:rFonts w:ascii="Times New Roman" w:hAnsi="Times New Roman"/>
                <w:color w:val="auto"/>
              </w:rPr>
            </w:pPr>
          </w:p>
        </w:tc>
        <w:tc>
          <w:tcPr>
            <w:tcW w:w="1247" w:type="dxa"/>
            <w:vMerge w:val="restart"/>
            <w:vAlign w:val="center"/>
          </w:tcPr>
          <w:p>
            <w:pPr>
              <w:spacing w:line="360" w:lineRule="auto"/>
              <w:rPr>
                <w:rFonts w:ascii="Times New Roman" w:hAnsi="Times New Roman"/>
                <w:color w:val="auto"/>
              </w:rPr>
            </w:pPr>
            <w:r>
              <w:rPr>
                <w:rFonts w:hint="eastAsia" w:ascii="Times New Roman" w:hAnsi="Times New Roman"/>
                <w:color w:val="auto"/>
              </w:rPr>
              <w:t>其中</w:t>
            </w:r>
          </w:p>
        </w:tc>
        <w:tc>
          <w:tcPr>
            <w:tcW w:w="1478" w:type="dxa"/>
            <w:gridSpan w:val="2"/>
            <w:vAlign w:val="center"/>
          </w:tcPr>
          <w:p>
            <w:pPr>
              <w:spacing w:line="360" w:lineRule="auto"/>
              <w:rPr>
                <w:rFonts w:ascii="Times New Roman" w:hAnsi="Times New Roman"/>
                <w:color w:val="auto"/>
              </w:rPr>
            </w:pPr>
            <w:r>
              <w:rPr>
                <w:rFonts w:hint="eastAsia" w:ascii="Times New Roman" w:hAnsi="Times New Roman"/>
                <w:color w:val="auto"/>
              </w:rPr>
              <w:t>项目经理</w:t>
            </w:r>
          </w:p>
        </w:tc>
        <w:tc>
          <w:tcPr>
            <w:tcW w:w="1772" w:type="dxa"/>
            <w:gridSpan w:val="2"/>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营业执照号</w:t>
            </w:r>
          </w:p>
        </w:tc>
        <w:tc>
          <w:tcPr>
            <w:tcW w:w="2196" w:type="dxa"/>
            <w:gridSpan w:val="2"/>
            <w:vAlign w:val="center"/>
          </w:tcPr>
          <w:p>
            <w:pPr>
              <w:spacing w:line="360" w:lineRule="auto"/>
              <w:rPr>
                <w:rFonts w:ascii="Times New Roman" w:hAnsi="Times New Roman"/>
                <w:color w:val="auto"/>
              </w:rPr>
            </w:pPr>
          </w:p>
        </w:tc>
        <w:tc>
          <w:tcPr>
            <w:tcW w:w="1247" w:type="dxa"/>
            <w:vMerge w:val="continue"/>
            <w:vAlign w:val="center"/>
          </w:tcPr>
          <w:p>
            <w:pPr>
              <w:spacing w:line="360" w:lineRule="auto"/>
              <w:rPr>
                <w:rFonts w:ascii="Times New Roman" w:hAnsi="Times New Roman"/>
                <w:color w:val="auto"/>
              </w:rPr>
            </w:pPr>
          </w:p>
        </w:tc>
        <w:tc>
          <w:tcPr>
            <w:tcW w:w="1478" w:type="dxa"/>
            <w:gridSpan w:val="2"/>
            <w:vAlign w:val="center"/>
          </w:tcPr>
          <w:p>
            <w:pPr>
              <w:spacing w:line="360" w:lineRule="auto"/>
              <w:rPr>
                <w:rFonts w:ascii="Times New Roman" w:hAnsi="Times New Roman"/>
                <w:color w:val="auto"/>
              </w:rPr>
            </w:pPr>
            <w:r>
              <w:rPr>
                <w:rFonts w:hint="eastAsia" w:ascii="Times New Roman" w:hAnsi="Times New Roman"/>
                <w:color w:val="auto"/>
              </w:rPr>
              <w:t>高级职称人员</w:t>
            </w:r>
          </w:p>
        </w:tc>
        <w:tc>
          <w:tcPr>
            <w:tcW w:w="1772" w:type="dxa"/>
            <w:gridSpan w:val="2"/>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注册资金</w:t>
            </w:r>
          </w:p>
        </w:tc>
        <w:tc>
          <w:tcPr>
            <w:tcW w:w="2196" w:type="dxa"/>
            <w:gridSpan w:val="2"/>
            <w:vAlign w:val="center"/>
          </w:tcPr>
          <w:p>
            <w:pPr>
              <w:spacing w:line="360" w:lineRule="auto"/>
              <w:rPr>
                <w:rFonts w:ascii="Times New Roman" w:hAnsi="Times New Roman"/>
                <w:color w:val="auto"/>
              </w:rPr>
            </w:pPr>
          </w:p>
        </w:tc>
        <w:tc>
          <w:tcPr>
            <w:tcW w:w="1247" w:type="dxa"/>
            <w:vMerge w:val="continue"/>
            <w:vAlign w:val="center"/>
          </w:tcPr>
          <w:p>
            <w:pPr>
              <w:spacing w:line="360" w:lineRule="auto"/>
              <w:rPr>
                <w:rFonts w:ascii="Times New Roman" w:hAnsi="Times New Roman"/>
                <w:color w:val="auto"/>
              </w:rPr>
            </w:pPr>
          </w:p>
        </w:tc>
        <w:tc>
          <w:tcPr>
            <w:tcW w:w="1478" w:type="dxa"/>
            <w:gridSpan w:val="2"/>
            <w:vAlign w:val="center"/>
          </w:tcPr>
          <w:p>
            <w:pPr>
              <w:spacing w:line="360" w:lineRule="auto"/>
              <w:rPr>
                <w:rFonts w:ascii="Times New Roman" w:hAnsi="Times New Roman"/>
                <w:color w:val="auto"/>
              </w:rPr>
            </w:pPr>
            <w:r>
              <w:rPr>
                <w:rFonts w:hint="eastAsia" w:ascii="Times New Roman" w:hAnsi="Times New Roman"/>
                <w:color w:val="auto"/>
              </w:rPr>
              <w:t>中级职称人员</w:t>
            </w:r>
          </w:p>
        </w:tc>
        <w:tc>
          <w:tcPr>
            <w:tcW w:w="1772" w:type="dxa"/>
            <w:gridSpan w:val="2"/>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开户银行</w:t>
            </w:r>
          </w:p>
        </w:tc>
        <w:tc>
          <w:tcPr>
            <w:tcW w:w="2196" w:type="dxa"/>
            <w:gridSpan w:val="2"/>
            <w:vAlign w:val="center"/>
          </w:tcPr>
          <w:p>
            <w:pPr>
              <w:spacing w:line="360" w:lineRule="auto"/>
              <w:rPr>
                <w:rFonts w:ascii="Times New Roman" w:hAnsi="Times New Roman"/>
                <w:color w:val="auto"/>
              </w:rPr>
            </w:pPr>
          </w:p>
        </w:tc>
        <w:tc>
          <w:tcPr>
            <w:tcW w:w="1247" w:type="dxa"/>
            <w:vMerge w:val="continue"/>
            <w:vAlign w:val="center"/>
          </w:tcPr>
          <w:p>
            <w:pPr>
              <w:spacing w:line="360" w:lineRule="auto"/>
              <w:rPr>
                <w:rFonts w:ascii="Times New Roman" w:hAnsi="Times New Roman"/>
                <w:color w:val="auto"/>
              </w:rPr>
            </w:pPr>
          </w:p>
        </w:tc>
        <w:tc>
          <w:tcPr>
            <w:tcW w:w="1478" w:type="dxa"/>
            <w:gridSpan w:val="2"/>
            <w:vAlign w:val="center"/>
          </w:tcPr>
          <w:p>
            <w:pPr>
              <w:spacing w:line="360" w:lineRule="auto"/>
              <w:rPr>
                <w:rFonts w:ascii="Times New Roman" w:hAnsi="Times New Roman"/>
                <w:color w:val="auto"/>
              </w:rPr>
            </w:pPr>
            <w:r>
              <w:rPr>
                <w:rFonts w:hint="eastAsia" w:ascii="Times New Roman" w:hAnsi="Times New Roman"/>
                <w:color w:val="auto"/>
              </w:rPr>
              <w:t>初级职称人员</w:t>
            </w:r>
          </w:p>
        </w:tc>
        <w:tc>
          <w:tcPr>
            <w:tcW w:w="1772" w:type="dxa"/>
            <w:gridSpan w:val="2"/>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账号</w:t>
            </w:r>
          </w:p>
        </w:tc>
        <w:tc>
          <w:tcPr>
            <w:tcW w:w="2196" w:type="dxa"/>
            <w:gridSpan w:val="2"/>
            <w:vAlign w:val="center"/>
          </w:tcPr>
          <w:p>
            <w:pPr>
              <w:spacing w:line="360" w:lineRule="auto"/>
              <w:rPr>
                <w:rFonts w:ascii="Times New Roman" w:hAnsi="Times New Roman"/>
                <w:color w:val="auto"/>
              </w:rPr>
            </w:pPr>
          </w:p>
        </w:tc>
        <w:tc>
          <w:tcPr>
            <w:tcW w:w="1247" w:type="dxa"/>
            <w:vMerge w:val="continue"/>
            <w:vAlign w:val="center"/>
          </w:tcPr>
          <w:p>
            <w:pPr>
              <w:spacing w:line="360" w:lineRule="auto"/>
              <w:rPr>
                <w:rFonts w:ascii="Times New Roman" w:hAnsi="Times New Roman"/>
                <w:color w:val="auto"/>
              </w:rPr>
            </w:pPr>
          </w:p>
        </w:tc>
        <w:tc>
          <w:tcPr>
            <w:tcW w:w="1478" w:type="dxa"/>
            <w:gridSpan w:val="2"/>
            <w:vAlign w:val="center"/>
          </w:tcPr>
          <w:p>
            <w:pPr>
              <w:spacing w:line="360" w:lineRule="auto"/>
              <w:rPr>
                <w:rFonts w:ascii="Times New Roman" w:hAnsi="Times New Roman"/>
                <w:color w:val="auto"/>
              </w:rPr>
            </w:pPr>
            <w:r>
              <w:rPr>
                <w:rFonts w:hint="eastAsia" w:ascii="Times New Roman" w:hAnsi="Times New Roman"/>
                <w:color w:val="auto"/>
              </w:rPr>
              <w:t>技工</w:t>
            </w:r>
          </w:p>
        </w:tc>
        <w:tc>
          <w:tcPr>
            <w:tcW w:w="1772" w:type="dxa"/>
            <w:gridSpan w:val="2"/>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640" w:hRule="atLeast"/>
          <w:jc w:val="center"/>
        </w:trPr>
        <w:tc>
          <w:tcPr>
            <w:tcW w:w="1522" w:type="dxa"/>
            <w:vAlign w:val="center"/>
          </w:tcPr>
          <w:p>
            <w:pPr>
              <w:spacing w:line="360" w:lineRule="auto"/>
              <w:rPr>
                <w:rFonts w:ascii="Times New Roman" w:hAnsi="Times New Roman"/>
                <w:color w:val="auto"/>
              </w:rPr>
            </w:pPr>
            <w:r>
              <w:rPr>
                <w:rFonts w:hint="eastAsia" w:ascii="Times New Roman" w:hAnsi="Times New Roman"/>
                <w:color w:val="auto"/>
              </w:rPr>
              <w:t>经营范围</w:t>
            </w:r>
          </w:p>
        </w:tc>
        <w:tc>
          <w:tcPr>
            <w:tcW w:w="6693" w:type="dxa"/>
            <w:gridSpan w:val="7"/>
            <w:vAlign w:val="center"/>
          </w:tcPr>
          <w:p>
            <w:pPr>
              <w:spacing w:line="360" w:lineRule="auto"/>
              <w:rPr>
                <w:rFonts w:ascii="Times New Roman" w:hAnsi="Times New Roman"/>
                <w:color w:val="auto"/>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tcPr>
          <w:p>
            <w:pPr>
              <w:spacing w:line="360" w:lineRule="auto"/>
              <w:rPr>
                <w:rFonts w:ascii="Times New Roman" w:hAnsi="Times New Roman"/>
                <w:color w:val="auto"/>
              </w:rPr>
            </w:pPr>
            <w:r>
              <w:rPr>
                <w:rFonts w:hint="eastAsia" w:ascii="Times New Roman" w:hAnsi="Times New Roman"/>
                <w:color w:val="auto"/>
              </w:rPr>
              <w:t>备注</w:t>
            </w:r>
          </w:p>
        </w:tc>
        <w:tc>
          <w:tcPr>
            <w:tcW w:w="6693" w:type="dxa"/>
            <w:gridSpan w:val="7"/>
          </w:tcPr>
          <w:p>
            <w:pPr>
              <w:spacing w:line="360" w:lineRule="auto"/>
              <w:rPr>
                <w:rFonts w:ascii="Times New Roman" w:hAnsi="Times New Roman"/>
                <w:color w:val="auto"/>
              </w:rPr>
            </w:pPr>
          </w:p>
        </w:tc>
      </w:tr>
    </w:tbl>
    <w:p>
      <w:pPr>
        <w:spacing w:line="360" w:lineRule="auto"/>
        <w:rPr>
          <w:rFonts w:ascii="Times New Roman" w:hAnsi="Times New Roman"/>
          <w:color w:val="auto"/>
        </w:rPr>
      </w:pPr>
    </w:p>
    <w:p>
      <w:pPr>
        <w:spacing w:line="360" w:lineRule="auto"/>
        <w:rPr>
          <w:rFonts w:ascii="Times New Roman" w:hAnsi="Times New Roman"/>
          <w:color w:val="auto"/>
        </w:rPr>
      </w:pPr>
      <w:r>
        <w:rPr>
          <w:rFonts w:hint="eastAsia" w:ascii="Times New Roman" w:hAnsi="Times New Roman"/>
          <w:color w:val="auto"/>
        </w:rPr>
        <w:t>投标人名称：XXXX（单位盖章）。</w:t>
      </w:r>
    </w:p>
    <w:p>
      <w:pPr>
        <w:spacing w:line="360" w:lineRule="auto"/>
        <w:rPr>
          <w:rFonts w:ascii="Times New Roman" w:hAnsi="Times New Roman"/>
          <w:color w:val="auto"/>
        </w:rPr>
      </w:pPr>
      <w:r>
        <w:rPr>
          <w:rFonts w:hint="eastAsia" w:ascii="Times New Roman" w:hAnsi="Times New Roman"/>
          <w:color w:val="auto"/>
        </w:rPr>
        <w:t>法定代表人或授权代表（签字或加盖个人名章）：XXXX。</w:t>
      </w:r>
    </w:p>
    <w:p>
      <w:pPr>
        <w:spacing w:line="360" w:lineRule="auto"/>
        <w:rPr>
          <w:rFonts w:ascii="Times New Roman" w:hAnsi="Times New Roman"/>
          <w:color w:val="auto"/>
        </w:rPr>
      </w:pPr>
      <w:r>
        <w:rPr>
          <w:rFonts w:hint="eastAsia" w:ascii="Times New Roman" w:hAnsi="Times New Roman"/>
          <w:color w:val="auto"/>
        </w:rPr>
        <w:t>投标日期: XXXX。</w:t>
      </w:r>
    </w:p>
    <w:p>
      <w:pPr>
        <w:spacing w:line="360" w:lineRule="auto"/>
        <w:rPr>
          <w:rFonts w:ascii="Times New Roman" w:hAnsi="Times New Roman"/>
          <w:color w:val="auto"/>
        </w:rPr>
      </w:pPr>
    </w:p>
    <w:p>
      <w:pPr>
        <w:widowControl/>
        <w:spacing w:line="360" w:lineRule="atLeast"/>
        <w:jc w:val="center"/>
        <w:outlineLvl w:val="1"/>
        <w:rPr>
          <w:rFonts w:hAnsi="宋体"/>
          <w:b/>
          <w:color w:val="auto"/>
          <w:sz w:val="28"/>
          <w:szCs w:val="28"/>
        </w:rPr>
      </w:pPr>
      <w:bookmarkStart w:id="181" w:name="_Toc217446089"/>
      <w:r>
        <w:rPr>
          <w:rFonts w:ascii="宋体" w:hAnsi="宋体"/>
          <w:b/>
          <w:color w:val="auto"/>
          <w:sz w:val="36"/>
          <w:szCs w:val="36"/>
        </w:rPr>
        <w:br w:type="page"/>
      </w:r>
      <w:r>
        <w:rPr>
          <w:rFonts w:hint="eastAsia" w:hAnsi="宋体"/>
          <w:b/>
          <w:color w:val="auto"/>
          <w:sz w:val="28"/>
          <w:szCs w:val="28"/>
        </w:rPr>
        <w:t>七、</w:t>
      </w:r>
      <w:bookmarkEnd w:id="181"/>
      <w:r>
        <w:rPr>
          <w:rFonts w:hint="eastAsia" w:hAnsi="宋体"/>
          <w:b/>
          <w:color w:val="auto"/>
          <w:sz w:val="28"/>
          <w:szCs w:val="28"/>
        </w:rPr>
        <w:t>投标产品技术参数表</w:t>
      </w:r>
    </w:p>
    <w:p>
      <w:pPr>
        <w:spacing w:line="360" w:lineRule="auto"/>
        <w:rPr>
          <w:color w:val="auto"/>
        </w:rPr>
      </w:pPr>
      <w:r>
        <w:rPr>
          <w:rFonts w:hint="eastAsia"/>
          <w:color w:val="auto"/>
        </w:rPr>
        <w:t>项目名称：XXX</w:t>
      </w:r>
    </w:p>
    <w:p>
      <w:pPr>
        <w:spacing w:line="360" w:lineRule="auto"/>
        <w:rPr>
          <w:color w:val="auto"/>
        </w:rPr>
      </w:pPr>
      <w:r>
        <w:rPr>
          <w:rFonts w:hint="eastAsia"/>
          <w:color w:val="auto"/>
        </w:rPr>
        <w:t>招标编号：XXX</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7"/>
        <w:gridCol w:w="1134"/>
        <w:gridCol w:w="1701"/>
        <w:gridCol w:w="1701"/>
        <w:gridCol w:w="1984"/>
        <w:gridCol w:w="1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3" w:hRule="atLeast"/>
          <w:jc w:val="center"/>
        </w:trPr>
        <w:tc>
          <w:tcPr>
            <w:tcW w:w="537" w:type="dxa"/>
            <w:vAlign w:val="center"/>
          </w:tcPr>
          <w:p>
            <w:pPr>
              <w:spacing w:line="360" w:lineRule="auto"/>
              <w:rPr>
                <w:color w:val="auto"/>
              </w:rPr>
            </w:pPr>
            <w:r>
              <w:rPr>
                <w:rFonts w:hint="eastAsia"/>
                <w:color w:val="auto"/>
              </w:rPr>
              <w:t>序号</w:t>
            </w:r>
          </w:p>
        </w:tc>
        <w:tc>
          <w:tcPr>
            <w:tcW w:w="1134" w:type="dxa"/>
            <w:vAlign w:val="center"/>
          </w:tcPr>
          <w:p>
            <w:pPr>
              <w:spacing w:line="360" w:lineRule="auto"/>
              <w:rPr>
                <w:color w:val="auto"/>
              </w:rPr>
            </w:pPr>
            <w:r>
              <w:rPr>
                <w:rFonts w:hint="eastAsia"/>
                <w:color w:val="auto"/>
              </w:rPr>
              <w:t>货物（设备）名称</w:t>
            </w:r>
          </w:p>
        </w:tc>
        <w:tc>
          <w:tcPr>
            <w:tcW w:w="1701" w:type="dxa"/>
            <w:vAlign w:val="center"/>
          </w:tcPr>
          <w:p>
            <w:pPr>
              <w:spacing w:line="360" w:lineRule="auto"/>
              <w:rPr>
                <w:color w:val="auto"/>
              </w:rPr>
            </w:pPr>
            <w:r>
              <w:rPr>
                <w:rFonts w:hint="eastAsia"/>
                <w:color w:val="auto"/>
              </w:rPr>
              <w:t>招标文件要求</w:t>
            </w:r>
          </w:p>
        </w:tc>
        <w:tc>
          <w:tcPr>
            <w:tcW w:w="1701" w:type="dxa"/>
            <w:vAlign w:val="center"/>
          </w:tcPr>
          <w:p>
            <w:pPr>
              <w:spacing w:line="360" w:lineRule="auto"/>
              <w:rPr>
                <w:color w:val="auto"/>
              </w:rPr>
            </w:pPr>
            <w:r>
              <w:rPr>
                <w:rFonts w:hint="eastAsia"/>
                <w:color w:val="auto"/>
              </w:rPr>
              <w:t>投标产品技术参数</w:t>
            </w:r>
          </w:p>
        </w:tc>
        <w:tc>
          <w:tcPr>
            <w:tcW w:w="1984" w:type="dxa"/>
            <w:vAlign w:val="center"/>
          </w:tcPr>
          <w:p>
            <w:pPr>
              <w:spacing w:line="360" w:lineRule="auto"/>
              <w:rPr>
                <w:color w:val="auto"/>
              </w:rPr>
            </w:pPr>
            <w:r>
              <w:rPr>
                <w:color w:val="auto"/>
              </w:rPr>
              <w:t>响应情况</w:t>
            </w:r>
          </w:p>
        </w:tc>
        <w:tc>
          <w:tcPr>
            <w:tcW w:w="1952" w:type="dxa"/>
            <w:vAlign w:val="center"/>
          </w:tcPr>
          <w:p>
            <w:pPr>
              <w:spacing w:line="360" w:lineRule="auto"/>
              <w:rPr>
                <w:color w:val="auto"/>
              </w:rPr>
            </w:pPr>
            <w:r>
              <w:rPr>
                <w:color w:val="auto"/>
              </w:rPr>
              <w:t>证明材料页码索引</w:t>
            </w:r>
            <w:r>
              <w:rPr>
                <w:rFonts w:hint="eastAsia"/>
                <w:color w:val="auto"/>
              </w:rPr>
              <w:t>（未提供的标注“/”）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37" w:type="dxa"/>
          </w:tcPr>
          <w:p>
            <w:pPr>
              <w:spacing w:line="360" w:lineRule="auto"/>
              <w:rPr>
                <w:color w:val="auto"/>
              </w:rPr>
            </w:pPr>
          </w:p>
        </w:tc>
        <w:tc>
          <w:tcPr>
            <w:tcW w:w="1134" w:type="dxa"/>
          </w:tcPr>
          <w:p>
            <w:pPr>
              <w:spacing w:line="360" w:lineRule="auto"/>
              <w:rPr>
                <w:color w:val="auto"/>
              </w:rPr>
            </w:pPr>
          </w:p>
        </w:tc>
        <w:tc>
          <w:tcPr>
            <w:tcW w:w="1701" w:type="dxa"/>
          </w:tcPr>
          <w:p>
            <w:pPr>
              <w:spacing w:line="360" w:lineRule="auto"/>
              <w:rPr>
                <w:color w:val="auto"/>
              </w:rPr>
            </w:pPr>
          </w:p>
        </w:tc>
        <w:tc>
          <w:tcPr>
            <w:tcW w:w="1701" w:type="dxa"/>
          </w:tcPr>
          <w:p>
            <w:pPr>
              <w:spacing w:line="360" w:lineRule="auto"/>
              <w:rPr>
                <w:color w:val="auto"/>
              </w:rPr>
            </w:pPr>
          </w:p>
        </w:tc>
        <w:tc>
          <w:tcPr>
            <w:tcW w:w="1984" w:type="dxa"/>
          </w:tcPr>
          <w:p>
            <w:pPr>
              <w:spacing w:line="360" w:lineRule="auto"/>
              <w:rPr>
                <w:color w:val="auto"/>
              </w:rPr>
            </w:pPr>
          </w:p>
        </w:tc>
        <w:tc>
          <w:tcPr>
            <w:tcW w:w="1952" w:type="dxa"/>
          </w:tcPr>
          <w:p>
            <w:pPr>
              <w:spacing w:line="36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37" w:type="dxa"/>
          </w:tcPr>
          <w:p>
            <w:pPr>
              <w:spacing w:line="360" w:lineRule="auto"/>
              <w:rPr>
                <w:color w:val="auto"/>
              </w:rPr>
            </w:pPr>
          </w:p>
        </w:tc>
        <w:tc>
          <w:tcPr>
            <w:tcW w:w="1134" w:type="dxa"/>
          </w:tcPr>
          <w:p>
            <w:pPr>
              <w:spacing w:line="360" w:lineRule="auto"/>
              <w:rPr>
                <w:color w:val="auto"/>
              </w:rPr>
            </w:pPr>
          </w:p>
        </w:tc>
        <w:tc>
          <w:tcPr>
            <w:tcW w:w="1701" w:type="dxa"/>
          </w:tcPr>
          <w:p>
            <w:pPr>
              <w:spacing w:line="360" w:lineRule="auto"/>
              <w:rPr>
                <w:color w:val="auto"/>
              </w:rPr>
            </w:pPr>
          </w:p>
        </w:tc>
        <w:tc>
          <w:tcPr>
            <w:tcW w:w="1701" w:type="dxa"/>
          </w:tcPr>
          <w:p>
            <w:pPr>
              <w:spacing w:line="360" w:lineRule="auto"/>
              <w:rPr>
                <w:color w:val="auto"/>
              </w:rPr>
            </w:pPr>
          </w:p>
        </w:tc>
        <w:tc>
          <w:tcPr>
            <w:tcW w:w="1984" w:type="dxa"/>
          </w:tcPr>
          <w:p>
            <w:pPr>
              <w:spacing w:line="360" w:lineRule="auto"/>
              <w:rPr>
                <w:color w:val="auto"/>
              </w:rPr>
            </w:pPr>
          </w:p>
        </w:tc>
        <w:tc>
          <w:tcPr>
            <w:tcW w:w="1952" w:type="dxa"/>
          </w:tcPr>
          <w:p>
            <w:pPr>
              <w:spacing w:line="36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37" w:type="dxa"/>
          </w:tcPr>
          <w:p>
            <w:pPr>
              <w:spacing w:line="360" w:lineRule="auto"/>
              <w:rPr>
                <w:color w:val="auto"/>
              </w:rPr>
            </w:pPr>
          </w:p>
        </w:tc>
        <w:tc>
          <w:tcPr>
            <w:tcW w:w="1134" w:type="dxa"/>
          </w:tcPr>
          <w:p>
            <w:pPr>
              <w:spacing w:line="360" w:lineRule="auto"/>
              <w:rPr>
                <w:color w:val="auto"/>
              </w:rPr>
            </w:pPr>
          </w:p>
        </w:tc>
        <w:tc>
          <w:tcPr>
            <w:tcW w:w="1701" w:type="dxa"/>
          </w:tcPr>
          <w:p>
            <w:pPr>
              <w:spacing w:line="360" w:lineRule="auto"/>
              <w:rPr>
                <w:color w:val="auto"/>
              </w:rPr>
            </w:pPr>
          </w:p>
        </w:tc>
        <w:tc>
          <w:tcPr>
            <w:tcW w:w="1701" w:type="dxa"/>
          </w:tcPr>
          <w:p>
            <w:pPr>
              <w:spacing w:line="360" w:lineRule="auto"/>
              <w:rPr>
                <w:color w:val="auto"/>
              </w:rPr>
            </w:pPr>
          </w:p>
        </w:tc>
        <w:tc>
          <w:tcPr>
            <w:tcW w:w="1984" w:type="dxa"/>
          </w:tcPr>
          <w:p>
            <w:pPr>
              <w:spacing w:line="360" w:lineRule="auto"/>
              <w:rPr>
                <w:color w:val="auto"/>
              </w:rPr>
            </w:pPr>
          </w:p>
        </w:tc>
        <w:tc>
          <w:tcPr>
            <w:tcW w:w="1952" w:type="dxa"/>
          </w:tcPr>
          <w:p>
            <w:pPr>
              <w:spacing w:line="36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37" w:type="dxa"/>
          </w:tcPr>
          <w:p>
            <w:pPr>
              <w:spacing w:line="360" w:lineRule="auto"/>
              <w:rPr>
                <w:color w:val="auto"/>
              </w:rPr>
            </w:pPr>
          </w:p>
        </w:tc>
        <w:tc>
          <w:tcPr>
            <w:tcW w:w="1134" w:type="dxa"/>
          </w:tcPr>
          <w:p>
            <w:pPr>
              <w:spacing w:line="360" w:lineRule="auto"/>
              <w:rPr>
                <w:color w:val="auto"/>
              </w:rPr>
            </w:pPr>
          </w:p>
        </w:tc>
        <w:tc>
          <w:tcPr>
            <w:tcW w:w="1701" w:type="dxa"/>
          </w:tcPr>
          <w:p>
            <w:pPr>
              <w:spacing w:line="360" w:lineRule="auto"/>
              <w:rPr>
                <w:color w:val="auto"/>
              </w:rPr>
            </w:pPr>
          </w:p>
        </w:tc>
        <w:tc>
          <w:tcPr>
            <w:tcW w:w="1701" w:type="dxa"/>
          </w:tcPr>
          <w:p>
            <w:pPr>
              <w:spacing w:line="360" w:lineRule="auto"/>
              <w:rPr>
                <w:color w:val="auto"/>
              </w:rPr>
            </w:pPr>
          </w:p>
        </w:tc>
        <w:tc>
          <w:tcPr>
            <w:tcW w:w="1984" w:type="dxa"/>
          </w:tcPr>
          <w:p>
            <w:pPr>
              <w:spacing w:line="360" w:lineRule="auto"/>
              <w:rPr>
                <w:color w:val="auto"/>
              </w:rPr>
            </w:pPr>
          </w:p>
        </w:tc>
        <w:tc>
          <w:tcPr>
            <w:tcW w:w="1952" w:type="dxa"/>
          </w:tcPr>
          <w:p>
            <w:pPr>
              <w:spacing w:line="36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37" w:type="dxa"/>
          </w:tcPr>
          <w:p>
            <w:pPr>
              <w:spacing w:line="360" w:lineRule="auto"/>
              <w:rPr>
                <w:color w:val="auto"/>
              </w:rPr>
            </w:pPr>
          </w:p>
        </w:tc>
        <w:tc>
          <w:tcPr>
            <w:tcW w:w="1134" w:type="dxa"/>
          </w:tcPr>
          <w:p>
            <w:pPr>
              <w:spacing w:line="360" w:lineRule="auto"/>
              <w:rPr>
                <w:color w:val="auto"/>
              </w:rPr>
            </w:pPr>
          </w:p>
        </w:tc>
        <w:tc>
          <w:tcPr>
            <w:tcW w:w="1701" w:type="dxa"/>
          </w:tcPr>
          <w:p>
            <w:pPr>
              <w:spacing w:line="360" w:lineRule="auto"/>
              <w:rPr>
                <w:color w:val="auto"/>
              </w:rPr>
            </w:pPr>
          </w:p>
        </w:tc>
        <w:tc>
          <w:tcPr>
            <w:tcW w:w="1701" w:type="dxa"/>
          </w:tcPr>
          <w:p>
            <w:pPr>
              <w:spacing w:line="360" w:lineRule="auto"/>
              <w:rPr>
                <w:color w:val="auto"/>
              </w:rPr>
            </w:pPr>
          </w:p>
        </w:tc>
        <w:tc>
          <w:tcPr>
            <w:tcW w:w="1984" w:type="dxa"/>
          </w:tcPr>
          <w:p>
            <w:pPr>
              <w:spacing w:line="360" w:lineRule="auto"/>
              <w:rPr>
                <w:color w:val="auto"/>
              </w:rPr>
            </w:pPr>
          </w:p>
        </w:tc>
        <w:tc>
          <w:tcPr>
            <w:tcW w:w="1952" w:type="dxa"/>
          </w:tcPr>
          <w:p>
            <w:pPr>
              <w:spacing w:line="36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37" w:type="dxa"/>
          </w:tcPr>
          <w:p>
            <w:pPr>
              <w:spacing w:line="360" w:lineRule="auto"/>
              <w:rPr>
                <w:color w:val="auto"/>
              </w:rPr>
            </w:pPr>
          </w:p>
        </w:tc>
        <w:tc>
          <w:tcPr>
            <w:tcW w:w="1134" w:type="dxa"/>
          </w:tcPr>
          <w:p>
            <w:pPr>
              <w:spacing w:line="360" w:lineRule="auto"/>
              <w:rPr>
                <w:color w:val="auto"/>
              </w:rPr>
            </w:pPr>
          </w:p>
        </w:tc>
        <w:tc>
          <w:tcPr>
            <w:tcW w:w="1701" w:type="dxa"/>
          </w:tcPr>
          <w:p>
            <w:pPr>
              <w:spacing w:line="360" w:lineRule="auto"/>
              <w:rPr>
                <w:color w:val="auto"/>
              </w:rPr>
            </w:pPr>
          </w:p>
        </w:tc>
        <w:tc>
          <w:tcPr>
            <w:tcW w:w="1701" w:type="dxa"/>
          </w:tcPr>
          <w:p>
            <w:pPr>
              <w:spacing w:line="360" w:lineRule="auto"/>
              <w:rPr>
                <w:color w:val="auto"/>
              </w:rPr>
            </w:pPr>
          </w:p>
        </w:tc>
        <w:tc>
          <w:tcPr>
            <w:tcW w:w="1984" w:type="dxa"/>
          </w:tcPr>
          <w:p>
            <w:pPr>
              <w:spacing w:line="360" w:lineRule="auto"/>
              <w:rPr>
                <w:color w:val="auto"/>
              </w:rPr>
            </w:pPr>
          </w:p>
        </w:tc>
        <w:tc>
          <w:tcPr>
            <w:tcW w:w="1952" w:type="dxa"/>
          </w:tcPr>
          <w:p>
            <w:pPr>
              <w:spacing w:line="360" w:lineRule="auto"/>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37" w:type="dxa"/>
          </w:tcPr>
          <w:p>
            <w:pPr>
              <w:spacing w:line="360" w:lineRule="auto"/>
              <w:rPr>
                <w:color w:val="auto"/>
              </w:rPr>
            </w:pPr>
          </w:p>
        </w:tc>
        <w:tc>
          <w:tcPr>
            <w:tcW w:w="1134" w:type="dxa"/>
          </w:tcPr>
          <w:p>
            <w:pPr>
              <w:spacing w:line="360" w:lineRule="auto"/>
              <w:rPr>
                <w:color w:val="auto"/>
              </w:rPr>
            </w:pPr>
          </w:p>
        </w:tc>
        <w:tc>
          <w:tcPr>
            <w:tcW w:w="1701" w:type="dxa"/>
          </w:tcPr>
          <w:p>
            <w:pPr>
              <w:spacing w:line="360" w:lineRule="auto"/>
              <w:rPr>
                <w:color w:val="auto"/>
              </w:rPr>
            </w:pPr>
          </w:p>
        </w:tc>
        <w:tc>
          <w:tcPr>
            <w:tcW w:w="1701" w:type="dxa"/>
          </w:tcPr>
          <w:p>
            <w:pPr>
              <w:spacing w:line="360" w:lineRule="auto"/>
              <w:rPr>
                <w:color w:val="auto"/>
              </w:rPr>
            </w:pPr>
          </w:p>
        </w:tc>
        <w:tc>
          <w:tcPr>
            <w:tcW w:w="1984" w:type="dxa"/>
          </w:tcPr>
          <w:p>
            <w:pPr>
              <w:spacing w:line="360" w:lineRule="auto"/>
              <w:rPr>
                <w:color w:val="auto"/>
              </w:rPr>
            </w:pPr>
          </w:p>
        </w:tc>
        <w:tc>
          <w:tcPr>
            <w:tcW w:w="1952" w:type="dxa"/>
          </w:tcPr>
          <w:p>
            <w:pPr>
              <w:spacing w:line="360" w:lineRule="auto"/>
              <w:rPr>
                <w:color w:val="auto"/>
              </w:rPr>
            </w:pPr>
          </w:p>
        </w:tc>
      </w:tr>
    </w:tbl>
    <w:p>
      <w:pPr>
        <w:spacing w:line="360" w:lineRule="auto"/>
        <w:rPr>
          <w:color w:val="auto"/>
        </w:rPr>
      </w:pPr>
      <w:r>
        <w:rPr>
          <w:rFonts w:hint="eastAsia"/>
          <w:color w:val="auto"/>
        </w:rPr>
        <w:t>注：1.供应商必须把招标项目的全部技术参数列入此表。</w:t>
      </w:r>
    </w:p>
    <w:p>
      <w:pPr>
        <w:spacing w:line="360" w:lineRule="auto"/>
        <w:rPr>
          <w:color w:val="auto"/>
        </w:rPr>
      </w:pPr>
      <w:r>
        <w:rPr>
          <w:rFonts w:hint="eastAsia"/>
          <w:color w:val="auto"/>
        </w:rPr>
        <w:t>2．按照招标项目技术要求的顺序对应填写。</w:t>
      </w:r>
    </w:p>
    <w:p>
      <w:pPr>
        <w:spacing w:line="360" w:lineRule="auto"/>
        <w:rPr>
          <w:color w:val="auto"/>
        </w:rPr>
      </w:pPr>
      <w:r>
        <w:rPr>
          <w:rFonts w:hint="eastAsia"/>
          <w:color w:val="auto"/>
        </w:rPr>
        <w:t>3．投标人必须据实填写，不得虚假填写，否则将取消其投标或中标资格。</w:t>
      </w:r>
    </w:p>
    <w:p>
      <w:pPr>
        <w:spacing w:line="360" w:lineRule="auto"/>
        <w:rPr>
          <w:rFonts w:ascii="Times New Roman" w:hAnsi="Times New Roman"/>
          <w:color w:val="auto"/>
        </w:rPr>
      </w:pPr>
      <w:r>
        <w:rPr>
          <w:rFonts w:hint="eastAsia"/>
          <w:color w:val="auto"/>
        </w:rPr>
        <w:t>4. 若第四章中的技术参数条款明确要求提供相应证明文件的，则投标人不仅应在本表中响应，还应按要求提供证明文件，未提供或提供的材料不符合要求的均视为负偏离。</w:t>
      </w:r>
    </w:p>
    <w:p>
      <w:pPr>
        <w:spacing w:line="360" w:lineRule="auto"/>
        <w:rPr>
          <w:rFonts w:ascii="Times New Roman" w:hAnsi="Times New Roman"/>
          <w:color w:val="auto"/>
        </w:rPr>
      </w:pPr>
    </w:p>
    <w:p>
      <w:pPr>
        <w:pStyle w:val="2"/>
        <w:rPr>
          <w:color w:val="auto"/>
        </w:rPr>
      </w:pPr>
    </w:p>
    <w:p>
      <w:pPr>
        <w:spacing w:line="360" w:lineRule="auto"/>
        <w:rPr>
          <w:rFonts w:ascii="Times New Roman" w:hAnsi="Times New Roman"/>
          <w:color w:val="auto"/>
        </w:rPr>
      </w:pPr>
      <w:r>
        <w:rPr>
          <w:rFonts w:hint="eastAsia" w:ascii="Times New Roman" w:hAnsi="Times New Roman"/>
          <w:color w:val="auto"/>
        </w:rPr>
        <w:t>投标人名称：XXXX（单位盖章）。</w:t>
      </w:r>
    </w:p>
    <w:p>
      <w:pPr>
        <w:spacing w:line="360" w:lineRule="auto"/>
        <w:rPr>
          <w:rFonts w:ascii="Times New Roman" w:hAnsi="Times New Roman"/>
          <w:color w:val="auto"/>
        </w:rPr>
      </w:pPr>
      <w:r>
        <w:rPr>
          <w:rFonts w:hint="eastAsia" w:ascii="Times New Roman" w:hAnsi="Times New Roman"/>
          <w:color w:val="auto"/>
        </w:rPr>
        <w:t>法定代表人或授权代表（签字或加盖个人名章）：XXXX。</w:t>
      </w:r>
    </w:p>
    <w:p>
      <w:pPr>
        <w:spacing w:line="360" w:lineRule="auto"/>
        <w:rPr>
          <w:color w:val="auto"/>
        </w:rPr>
      </w:pPr>
      <w:r>
        <w:rPr>
          <w:rFonts w:hint="eastAsia" w:ascii="Times New Roman" w:hAnsi="Times New Roman"/>
          <w:color w:val="auto"/>
        </w:rPr>
        <w:t>投标日期: XXXX。</w:t>
      </w:r>
    </w:p>
    <w:p>
      <w:pPr>
        <w:spacing w:line="360" w:lineRule="auto"/>
        <w:jc w:val="center"/>
        <w:rPr>
          <w:rFonts w:ascii="宋体" w:hAnsi="宋体"/>
          <w:color w:val="auto"/>
          <w:sz w:val="24"/>
        </w:rPr>
      </w:pPr>
    </w:p>
    <w:p>
      <w:pPr>
        <w:spacing w:line="360" w:lineRule="auto"/>
        <w:jc w:val="center"/>
        <w:rPr>
          <w:rFonts w:hAnsi="宋体"/>
          <w:bCs/>
          <w:color w:val="auto"/>
          <w:sz w:val="24"/>
        </w:rPr>
      </w:pPr>
      <w:r>
        <w:rPr>
          <w:rFonts w:ascii="宋体" w:hAnsi="宋体"/>
          <w:b/>
          <w:color w:val="auto"/>
          <w:sz w:val="36"/>
          <w:szCs w:val="36"/>
        </w:rPr>
        <w:br w:type="page"/>
      </w:r>
    </w:p>
    <w:p>
      <w:pPr>
        <w:spacing w:line="360" w:lineRule="auto"/>
        <w:jc w:val="center"/>
        <w:rPr>
          <w:rFonts w:hAnsi="宋体"/>
          <w:b/>
          <w:color w:val="auto"/>
          <w:sz w:val="28"/>
          <w:szCs w:val="28"/>
        </w:rPr>
      </w:pPr>
      <w:r>
        <w:rPr>
          <w:rFonts w:hint="eastAsia" w:hAnsi="宋体"/>
          <w:b/>
          <w:color w:val="auto"/>
          <w:sz w:val="28"/>
          <w:szCs w:val="28"/>
        </w:rPr>
        <w:t>八、供应商类似业绩一览表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4" w:type="dxa"/>
          <w:bottom w:w="0" w:type="dxa"/>
          <w:right w:w="54" w:type="dxa"/>
        </w:tblCellMar>
      </w:tblPr>
      <w:tblGrid>
        <w:gridCol w:w="1050"/>
        <w:gridCol w:w="1951"/>
        <w:gridCol w:w="2917"/>
        <w:gridCol w:w="1902"/>
        <w:gridCol w:w="180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050" w:type="dxa"/>
            <w:tcBorders>
              <w:top w:val="single" w:color="auto" w:sz="4" w:space="0"/>
            </w:tcBorders>
            <w:vAlign w:val="center"/>
          </w:tcPr>
          <w:p>
            <w:pPr>
              <w:spacing w:line="400" w:lineRule="exact"/>
              <w:ind w:firstLine="120" w:firstLineChars="50"/>
              <w:rPr>
                <w:rFonts w:ascii="新宋体" w:hAnsi="新宋体" w:eastAsia="新宋体" w:cs="Arial"/>
                <w:color w:val="auto"/>
                <w:sz w:val="24"/>
              </w:rPr>
            </w:pPr>
            <w:r>
              <w:rPr>
                <w:rFonts w:hint="eastAsia" w:ascii="新宋体" w:hAnsi="新宋体" w:eastAsia="新宋体" w:cs="Arial"/>
                <w:color w:val="auto"/>
                <w:sz w:val="24"/>
              </w:rPr>
              <w:t xml:space="preserve">  年份</w:t>
            </w:r>
          </w:p>
        </w:tc>
        <w:tc>
          <w:tcPr>
            <w:tcW w:w="1951" w:type="dxa"/>
            <w:vAlign w:val="center"/>
          </w:tcPr>
          <w:p>
            <w:pPr>
              <w:spacing w:line="400" w:lineRule="exact"/>
              <w:jc w:val="center"/>
              <w:rPr>
                <w:rFonts w:ascii="新宋体" w:hAnsi="新宋体" w:eastAsia="新宋体" w:cs="Arial"/>
                <w:color w:val="auto"/>
                <w:sz w:val="24"/>
              </w:rPr>
            </w:pPr>
            <w:r>
              <w:rPr>
                <w:rFonts w:hint="eastAsia" w:ascii="新宋体" w:hAnsi="新宋体" w:eastAsia="新宋体" w:cs="Arial"/>
                <w:color w:val="auto"/>
                <w:sz w:val="24"/>
              </w:rPr>
              <w:t>用户名称</w:t>
            </w:r>
          </w:p>
        </w:tc>
        <w:tc>
          <w:tcPr>
            <w:tcW w:w="2917" w:type="dxa"/>
            <w:vAlign w:val="center"/>
          </w:tcPr>
          <w:p>
            <w:pPr>
              <w:spacing w:line="400" w:lineRule="exact"/>
              <w:jc w:val="center"/>
              <w:rPr>
                <w:rFonts w:ascii="新宋体" w:hAnsi="新宋体" w:eastAsia="新宋体" w:cs="Arial"/>
                <w:color w:val="auto"/>
                <w:sz w:val="24"/>
              </w:rPr>
            </w:pPr>
            <w:r>
              <w:rPr>
                <w:rFonts w:ascii="新宋体" w:hAnsi="新宋体" w:eastAsia="新宋体" w:cs="Arial"/>
                <w:color w:val="auto"/>
                <w:sz w:val="24"/>
              </w:rPr>
              <w:t>项目名称</w:t>
            </w:r>
          </w:p>
        </w:tc>
        <w:tc>
          <w:tcPr>
            <w:tcW w:w="1902" w:type="dxa"/>
            <w:vAlign w:val="center"/>
          </w:tcPr>
          <w:p>
            <w:pPr>
              <w:spacing w:line="400" w:lineRule="exact"/>
              <w:jc w:val="center"/>
              <w:rPr>
                <w:rFonts w:ascii="新宋体" w:hAnsi="新宋体" w:eastAsia="新宋体" w:cs="Arial"/>
                <w:color w:val="auto"/>
                <w:sz w:val="24"/>
              </w:rPr>
            </w:pPr>
            <w:r>
              <w:rPr>
                <w:rFonts w:ascii="新宋体" w:hAnsi="新宋体" w:eastAsia="新宋体" w:cs="Arial"/>
                <w:color w:val="auto"/>
                <w:sz w:val="24"/>
              </w:rPr>
              <w:t>合同金额</w:t>
            </w:r>
          </w:p>
        </w:tc>
        <w:tc>
          <w:tcPr>
            <w:tcW w:w="1807" w:type="dxa"/>
            <w:tcBorders>
              <w:left w:val="single" w:color="auto" w:sz="4" w:space="0"/>
            </w:tcBorders>
            <w:vAlign w:val="center"/>
          </w:tcPr>
          <w:p>
            <w:pPr>
              <w:spacing w:line="400" w:lineRule="exact"/>
              <w:rPr>
                <w:rFonts w:ascii="新宋体" w:hAnsi="新宋体" w:eastAsia="新宋体" w:cs="Arial"/>
                <w:color w:val="auto"/>
                <w:sz w:val="24"/>
              </w:rPr>
            </w:pPr>
            <w:r>
              <w:rPr>
                <w:rFonts w:hint="eastAsia" w:ascii="新宋体" w:hAnsi="新宋体" w:eastAsia="新宋体" w:cs="Arial"/>
                <w:color w:val="auto"/>
                <w:sz w:val="24"/>
              </w:rPr>
              <w:t xml:space="preserve">   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050" w:type="dxa"/>
            <w:vAlign w:val="center"/>
          </w:tcPr>
          <w:p>
            <w:pPr>
              <w:spacing w:line="400" w:lineRule="exact"/>
              <w:jc w:val="center"/>
              <w:rPr>
                <w:rFonts w:ascii="新宋体" w:hAnsi="新宋体" w:eastAsia="新宋体" w:cs="Arial"/>
                <w:color w:val="auto"/>
              </w:rPr>
            </w:pPr>
          </w:p>
        </w:tc>
        <w:tc>
          <w:tcPr>
            <w:tcW w:w="1951" w:type="dxa"/>
            <w:vAlign w:val="center"/>
          </w:tcPr>
          <w:p>
            <w:pPr>
              <w:spacing w:line="400" w:lineRule="exact"/>
              <w:jc w:val="center"/>
              <w:rPr>
                <w:rFonts w:ascii="新宋体" w:hAnsi="新宋体" w:eastAsia="新宋体" w:cs="Arial"/>
                <w:color w:val="auto"/>
              </w:rPr>
            </w:pPr>
          </w:p>
        </w:tc>
        <w:tc>
          <w:tcPr>
            <w:tcW w:w="2917" w:type="dxa"/>
            <w:vAlign w:val="center"/>
          </w:tcPr>
          <w:p>
            <w:pPr>
              <w:spacing w:line="400" w:lineRule="exact"/>
              <w:jc w:val="center"/>
              <w:rPr>
                <w:rFonts w:ascii="新宋体" w:hAnsi="新宋体" w:eastAsia="新宋体" w:cs="Arial"/>
                <w:color w:val="auto"/>
              </w:rPr>
            </w:pPr>
          </w:p>
        </w:tc>
        <w:tc>
          <w:tcPr>
            <w:tcW w:w="1902" w:type="dxa"/>
            <w:vAlign w:val="center"/>
          </w:tcPr>
          <w:p>
            <w:pPr>
              <w:spacing w:line="400" w:lineRule="exact"/>
              <w:jc w:val="center"/>
              <w:rPr>
                <w:rFonts w:ascii="新宋体" w:hAnsi="新宋体" w:eastAsia="新宋体" w:cs="Arial"/>
                <w:color w:val="auto"/>
              </w:rPr>
            </w:pPr>
          </w:p>
        </w:tc>
        <w:tc>
          <w:tcPr>
            <w:tcW w:w="1807" w:type="dxa"/>
            <w:tcBorders>
              <w:left w:val="single" w:color="auto" w:sz="4" w:space="0"/>
            </w:tcBorders>
            <w:vAlign w:val="center"/>
          </w:tcPr>
          <w:p>
            <w:pPr>
              <w:spacing w:line="400" w:lineRule="exact"/>
              <w:jc w:val="center"/>
              <w:rPr>
                <w:rFonts w:ascii="新宋体" w:hAnsi="新宋体" w:eastAsia="新宋体" w:cs="Arial"/>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050" w:type="dxa"/>
            <w:vAlign w:val="center"/>
          </w:tcPr>
          <w:p>
            <w:pPr>
              <w:spacing w:line="400" w:lineRule="exact"/>
              <w:jc w:val="center"/>
              <w:rPr>
                <w:rFonts w:ascii="新宋体" w:hAnsi="新宋体" w:eastAsia="新宋体" w:cs="Arial"/>
                <w:color w:val="auto"/>
              </w:rPr>
            </w:pPr>
          </w:p>
        </w:tc>
        <w:tc>
          <w:tcPr>
            <w:tcW w:w="1951" w:type="dxa"/>
            <w:vAlign w:val="center"/>
          </w:tcPr>
          <w:p>
            <w:pPr>
              <w:spacing w:line="400" w:lineRule="exact"/>
              <w:jc w:val="center"/>
              <w:rPr>
                <w:rFonts w:ascii="新宋体" w:hAnsi="新宋体" w:eastAsia="新宋体" w:cs="Arial"/>
                <w:color w:val="auto"/>
              </w:rPr>
            </w:pPr>
          </w:p>
        </w:tc>
        <w:tc>
          <w:tcPr>
            <w:tcW w:w="2917" w:type="dxa"/>
            <w:vAlign w:val="center"/>
          </w:tcPr>
          <w:p>
            <w:pPr>
              <w:spacing w:line="400" w:lineRule="exact"/>
              <w:jc w:val="center"/>
              <w:rPr>
                <w:rFonts w:ascii="新宋体" w:hAnsi="新宋体" w:eastAsia="新宋体" w:cs="Arial"/>
                <w:color w:val="auto"/>
              </w:rPr>
            </w:pPr>
          </w:p>
        </w:tc>
        <w:tc>
          <w:tcPr>
            <w:tcW w:w="1902" w:type="dxa"/>
            <w:vAlign w:val="center"/>
          </w:tcPr>
          <w:p>
            <w:pPr>
              <w:spacing w:line="400" w:lineRule="exact"/>
              <w:jc w:val="center"/>
              <w:rPr>
                <w:rFonts w:ascii="新宋体" w:hAnsi="新宋体" w:eastAsia="新宋体" w:cs="Arial"/>
                <w:color w:val="auto"/>
              </w:rPr>
            </w:pPr>
          </w:p>
        </w:tc>
        <w:tc>
          <w:tcPr>
            <w:tcW w:w="1807" w:type="dxa"/>
            <w:tcBorders>
              <w:left w:val="single" w:color="auto" w:sz="4" w:space="0"/>
            </w:tcBorders>
            <w:vAlign w:val="center"/>
          </w:tcPr>
          <w:p>
            <w:pPr>
              <w:spacing w:line="400" w:lineRule="exact"/>
              <w:jc w:val="center"/>
              <w:rPr>
                <w:rFonts w:ascii="新宋体" w:hAnsi="新宋体" w:eastAsia="新宋体" w:cs="Arial"/>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050" w:type="dxa"/>
            <w:vAlign w:val="center"/>
          </w:tcPr>
          <w:p>
            <w:pPr>
              <w:spacing w:line="400" w:lineRule="exact"/>
              <w:jc w:val="center"/>
              <w:rPr>
                <w:rFonts w:ascii="新宋体" w:hAnsi="新宋体" w:eastAsia="新宋体" w:cs="Arial"/>
                <w:color w:val="auto"/>
              </w:rPr>
            </w:pPr>
          </w:p>
        </w:tc>
        <w:tc>
          <w:tcPr>
            <w:tcW w:w="1951" w:type="dxa"/>
            <w:vAlign w:val="center"/>
          </w:tcPr>
          <w:p>
            <w:pPr>
              <w:spacing w:line="400" w:lineRule="exact"/>
              <w:jc w:val="center"/>
              <w:rPr>
                <w:rFonts w:ascii="新宋体" w:hAnsi="新宋体" w:eastAsia="新宋体" w:cs="Arial"/>
                <w:color w:val="auto"/>
              </w:rPr>
            </w:pPr>
          </w:p>
        </w:tc>
        <w:tc>
          <w:tcPr>
            <w:tcW w:w="2917" w:type="dxa"/>
            <w:vAlign w:val="center"/>
          </w:tcPr>
          <w:p>
            <w:pPr>
              <w:spacing w:line="400" w:lineRule="exact"/>
              <w:jc w:val="center"/>
              <w:rPr>
                <w:rFonts w:ascii="新宋体" w:hAnsi="新宋体" w:eastAsia="新宋体" w:cs="Arial"/>
                <w:color w:val="auto"/>
              </w:rPr>
            </w:pPr>
          </w:p>
        </w:tc>
        <w:tc>
          <w:tcPr>
            <w:tcW w:w="1902" w:type="dxa"/>
            <w:vAlign w:val="center"/>
          </w:tcPr>
          <w:p>
            <w:pPr>
              <w:spacing w:line="400" w:lineRule="exact"/>
              <w:jc w:val="center"/>
              <w:rPr>
                <w:rFonts w:ascii="新宋体" w:hAnsi="新宋体" w:eastAsia="新宋体" w:cs="Arial"/>
                <w:color w:val="auto"/>
              </w:rPr>
            </w:pPr>
          </w:p>
        </w:tc>
        <w:tc>
          <w:tcPr>
            <w:tcW w:w="1807" w:type="dxa"/>
            <w:tcBorders>
              <w:left w:val="single" w:color="auto" w:sz="4" w:space="0"/>
            </w:tcBorders>
            <w:vAlign w:val="center"/>
          </w:tcPr>
          <w:p>
            <w:pPr>
              <w:spacing w:line="400" w:lineRule="exact"/>
              <w:jc w:val="center"/>
              <w:rPr>
                <w:rFonts w:ascii="新宋体" w:hAnsi="新宋体" w:eastAsia="新宋体" w:cs="Arial"/>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050" w:type="dxa"/>
            <w:vAlign w:val="center"/>
          </w:tcPr>
          <w:p>
            <w:pPr>
              <w:spacing w:line="400" w:lineRule="exact"/>
              <w:jc w:val="center"/>
              <w:rPr>
                <w:rFonts w:ascii="新宋体" w:hAnsi="新宋体" w:eastAsia="新宋体" w:cs="Arial"/>
                <w:color w:val="auto"/>
              </w:rPr>
            </w:pPr>
          </w:p>
        </w:tc>
        <w:tc>
          <w:tcPr>
            <w:tcW w:w="1951" w:type="dxa"/>
            <w:tcBorders>
              <w:right w:val="single" w:color="auto" w:sz="4" w:space="0"/>
            </w:tcBorders>
            <w:vAlign w:val="center"/>
          </w:tcPr>
          <w:p>
            <w:pPr>
              <w:spacing w:line="400" w:lineRule="exact"/>
              <w:jc w:val="center"/>
              <w:rPr>
                <w:rFonts w:ascii="新宋体" w:hAnsi="新宋体" w:eastAsia="新宋体" w:cs="Arial"/>
                <w:color w:val="auto"/>
              </w:rPr>
            </w:pPr>
          </w:p>
        </w:tc>
        <w:tc>
          <w:tcPr>
            <w:tcW w:w="2917" w:type="dxa"/>
            <w:tcBorders>
              <w:left w:val="single" w:color="auto" w:sz="4" w:space="0"/>
            </w:tcBorders>
            <w:vAlign w:val="center"/>
          </w:tcPr>
          <w:p>
            <w:pPr>
              <w:spacing w:line="400" w:lineRule="exact"/>
              <w:jc w:val="center"/>
              <w:rPr>
                <w:rFonts w:ascii="新宋体" w:hAnsi="新宋体" w:eastAsia="新宋体" w:cs="Arial"/>
                <w:color w:val="auto"/>
              </w:rPr>
            </w:pPr>
          </w:p>
        </w:tc>
        <w:tc>
          <w:tcPr>
            <w:tcW w:w="1902" w:type="dxa"/>
            <w:vAlign w:val="center"/>
          </w:tcPr>
          <w:p>
            <w:pPr>
              <w:spacing w:line="400" w:lineRule="exact"/>
              <w:jc w:val="center"/>
              <w:rPr>
                <w:rFonts w:ascii="新宋体" w:hAnsi="新宋体" w:eastAsia="新宋体" w:cs="Arial"/>
                <w:color w:val="auto"/>
              </w:rPr>
            </w:pPr>
          </w:p>
        </w:tc>
        <w:tc>
          <w:tcPr>
            <w:tcW w:w="1807" w:type="dxa"/>
            <w:tcBorders>
              <w:left w:val="single" w:color="auto" w:sz="4" w:space="0"/>
            </w:tcBorders>
            <w:vAlign w:val="center"/>
          </w:tcPr>
          <w:p>
            <w:pPr>
              <w:spacing w:line="400" w:lineRule="exact"/>
              <w:jc w:val="center"/>
              <w:rPr>
                <w:rFonts w:ascii="新宋体" w:hAnsi="新宋体" w:eastAsia="新宋体" w:cs="Arial"/>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050" w:type="dxa"/>
            <w:vAlign w:val="center"/>
          </w:tcPr>
          <w:p>
            <w:pPr>
              <w:spacing w:line="400" w:lineRule="exact"/>
              <w:jc w:val="center"/>
              <w:rPr>
                <w:rFonts w:ascii="新宋体" w:hAnsi="新宋体" w:eastAsia="新宋体" w:cs="Arial"/>
                <w:color w:val="auto"/>
              </w:rPr>
            </w:pPr>
          </w:p>
        </w:tc>
        <w:tc>
          <w:tcPr>
            <w:tcW w:w="1951" w:type="dxa"/>
            <w:vAlign w:val="center"/>
          </w:tcPr>
          <w:p>
            <w:pPr>
              <w:spacing w:line="400" w:lineRule="exact"/>
              <w:jc w:val="center"/>
              <w:rPr>
                <w:rFonts w:ascii="新宋体" w:hAnsi="新宋体" w:eastAsia="新宋体" w:cs="Arial"/>
                <w:color w:val="auto"/>
              </w:rPr>
            </w:pPr>
          </w:p>
        </w:tc>
        <w:tc>
          <w:tcPr>
            <w:tcW w:w="2917" w:type="dxa"/>
            <w:vAlign w:val="center"/>
          </w:tcPr>
          <w:p>
            <w:pPr>
              <w:spacing w:line="400" w:lineRule="exact"/>
              <w:jc w:val="center"/>
              <w:rPr>
                <w:rFonts w:ascii="新宋体" w:hAnsi="新宋体" w:eastAsia="新宋体" w:cs="Arial"/>
                <w:color w:val="auto"/>
              </w:rPr>
            </w:pPr>
          </w:p>
        </w:tc>
        <w:tc>
          <w:tcPr>
            <w:tcW w:w="1902" w:type="dxa"/>
            <w:vAlign w:val="center"/>
          </w:tcPr>
          <w:p>
            <w:pPr>
              <w:spacing w:line="400" w:lineRule="exact"/>
              <w:jc w:val="center"/>
              <w:rPr>
                <w:rFonts w:ascii="新宋体" w:hAnsi="新宋体" w:eastAsia="新宋体" w:cs="Arial"/>
                <w:color w:val="auto"/>
              </w:rPr>
            </w:pPr>
          </w:p>
        </w:tc>
        <w:tc>
          <w:tcPr>
            <w:tcW w:w="1807" w:type="dxa"/>
            <w:tcBorders>
              <w:left w:val="single" w:color="auto" w:sz="4" w:space="0"/>
            </w:tcBorders>
            <w:vAlign w:val="center"/>
          </w:tcPr>
          <w:p>
            <w:pPr>
              <w:spacing w:line="400" w:lineRule="exact"/>
              <w:jc w:val="center"/>
              <w:rPr>
                <w:rFonts w:ascii="新宋体" w:hAnsi="新宋体" w:eastAsia="新宋体" w:cs="Arial"/>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1050" w:type="dxa"/>
            <w:vAlign w:val="center"/>
          </w:tcPr>
          <w:p>
            <w:pPr>
              <w:spacing w:line="400" w:lineRule="exact"/>
              <w:jc w:val="center"/>
              <w:rPr>
                <w:rFonts w:ascii="新宋体" w:hAnsi="新宋体" w:eastAsia="新宋体" w:cs="Arial"/>
                <w:color w:val="auto"/>
              </w:rPr>
            </w:pPr>
          </w:p>
        </w:tc>
        <w:tc>
          <w:tcPr>
            <w:tcW w:w="1951" w:type="dxa"/>
            <w:vAlign w:val="center"/>
          </w:tcPr>
          <w:p>
            <w:pPr>
              <w:spacing w:line="400" w:lineRule="exact"/>
              <w:jc w:val="center"/>
              <w:rPr>
                <w:rFonts w:ascii="新宋体" w:hAnsi="新宋体" w:eastAsia="新宋体" w:cs="Arial"/>
                <w:color w:val="auto"/>
              </w:rPr>
            </w:pPr>
          </w:p>
        </w:tc>
        <w:tc>
          <w:tcPr>
            <w:tcW w:w="2917" w:type="dxa"/>
            <w:vAlign w:val="center"/>
          </w:tcPr>
          <w:p>
            <w:pPr>
              <w:spacing w:line="400" w:lineRule="exact"/>
              <w:jc w:val="center"/>
              <w:rPr>
                <w:rFonts w:ascii="新宋体" w:hAnsi="新宋体" w:eastAsia="新宋体" w:cs="Arial"/>
                <w:color w:val="auto"/>
              </w:rPr>
            </w:pPr>
          </w:p>
        </w:tc>
        <w:tc>
          <w:tcPr>
            <w:tcW w:w="1902" w:type="dxa"/>
            <w:vAlign w:val="center"/>
          </w:tcPr>
          <w:p>
            <w:pPr>
              <w:spacing w:line="400" w:lineRule="exact"/>
              <w:jc w:val="center"/>
              <w:rPr>
                <w:rFonts w:ascii="新宋体" w:hAnsi="新宋体" w:eastAsia="新宋体" w:cs="Arial"/>
                <w:color w:val="auto"/>
              </w:rPr>
            </w:pPr>
          </w:p>
        </w:tc>
        <w:tc>
          <w:tcPr>
            <w:tcW w:w="1807" w:type="dxa"/>
            <w:tcBorders>
              <w:left w:val="single" w:color="auto" w:sz="4" w:space="0"/>
            </w:tcBorders>
            <w:vAlign w:val="center"/>
          </w:tcPr>
          <w:p>
            <w:pPr>
              <w:spacing w:line="400" w:lineRule="exact"/>
              <w:jc w:val="center"/>
              <w:rPr>
                <w:rFonts w:ascii="新宋体" w:hAnsi="新宋体" w:eastAsia="新宋体" w:cs="Arial"/>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510" w:hRule="atLeast"/>
          <w:jc w:val="center"/>
        </w:trPr>
        <w:tc>
          <w:tcPr>
            <w:tcW w:w="1050" w:type="dxa"/>
            <w:tcBorders>
              <w:bottom w:val="single" w:color="auto" w:sz="4" w:space="0"/>
            </w:tcBorders>
            <w:vAlign w:val="center"/>
          </w:tcPr>
          <w:p>
            <w:pPr>
              <w:spacing w:line="400" w:lineRule="exact"/>
              <w:jc w:val="center"/>
              <w:rPr>
                <w:rFonts w:ascii="新宋体" w:hAnsi="新宋体" w:eastAsia="新宋体" w:cs="Arial"/>
                <w:color w:val="auto"/>
              </w:rPr>
            </w:pPr>
          </w:p>
        </w:tc>
        <w:tc>
          <w:tcPr>
            <w:tcW w:w="1951" w:type="dxa"/>
            <w:tcBorders>
              <w:bottom w:val="single" w:color="auto" w:sz="4" w:space="0"/>
            </w:tcBorders>
            <w:vAlign w:val="center"/>
          </w:tcPr>
          <w:p>
            <w:pPr>
              <w:spacing w:line="400" w:lineRule="exact"/>
              <w:jc w:val="center"/>
              <w:rPr>
                <w:rFonts w:ascii="新宋体" w:hAnsi="新宋体" w:eastAsia="新宋体" w:cs="Arial"/>
                <w:color w:val="auto"/>
              </w:rPr>
            </w:pPr>
          </w:p>
        </w:tc>
        <w:tc>
          <w:tcPr>
            <w:tcW w:w="2917" w:type="dxa"/>
            <w:tcBorders>
              <w:bottom w:val="single" w:color="auto" w:sz="4" w:space="0"/>
            </w:tcBorders>
            <w:vAlign w:val="center"/>
          </w:tcPr>
          <w:p>
            <w:pPr>
              <w:spacing w:line="400" w:lineRule="exact"/>
              <w:jc w:val="center"/>
              <w:rPr>
                <w:rFonts w:ascii="新宋体" w:hAnsi="新宋体" w:eastAsia="新宋体" w:cs="Arial"/>
                <w:color w:val="auto"/>
              </w:rPr>
            </w:pPr>
          </w:p>
        </w:tc>
        <w:tc>
          <w:tcPr>
            <w:tcW w:w="1902" w:type="dxa"/>
            <w:tcBorders>
              <w:bottom w:val="single" w:color="auto" w:sz="4" w:space="0"/>
            </w:tcBorders>
            <w:vAlign w:val="center"/>
          </w:tcPr>
          <w:p>
            <w:pPr>
              <w:spacing w:line="400" w:lineRule="exact"/>
              <w:jc w:val="center"/>
              <w:rPr>
                <w:rFonts w:ascii="新宋体" w:hAnsi="新宋体" w:eastAsia="新宋体" w:cs="Arial"/>
                <w:color w:val="auto"/>
              </w:rPr>
            </w:pPr>
          </w:p>
        </w:tc>
        <w:tc>
          <w:tcPr>
            <w:tcW w:w="1807" w:type="dxa"/>
            <w:tcBorders>
              <w:left w:val="single" w:color="auto" w:sz="4" w:space="0"/>
              <w:bottom w:val="single" w:color="auto" w:sz="4" w:space="0"/>
            </w:tcBorders>
            <w:vAlign w:val="center"/>
          </w:tcPr>
          <w:p>
            <w:pPr>
              <w:spacing w:line="400" w:lineRule="exact"/>
              <w:jc w:val="center"/>
              <w:rPr>
                <w:rFonts w:ascii="新宋体" w:hAnsi="新宋体" w:eastAsia="新宋体" w:cs="Arial"/>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1050" w:type="dxa"/>
            <w:tcBorders>
              <w:top w:val="single" w:color="auto" w:sz="4" w:space="0"/>
              <w:bottom w:val="single" w:color="auto" w:sz="4" w:space="0"/>
            </w:tcBorders>
            <w:vAlign w:val="center"/>
          </w:tcPr>
          <w:p>
            <w:pPr>
              <w:spacing w:line="400" w:lineRule="exact"/>
              <w:jc w:val="center"/>
              <w:rPr>
                <w:rFonts w:ascii="新宋体" w:hAnsi="新宋体" w:eastAsia="新宋体" w:cs="Arial"/>
                <w:color w:val="auto"/>
              </w:rPr>
            </w:pPr>
          </w:p>
        </w:tc>
        <w:tc>
          <w:tcPr>
            <w:tcW w:w="1951" w:type="dxa"/>
            <w:tcBorders>
              <w:top w:val="single" w:color="auto" w:sz="4" w:space="0"/>
              <w:bottom w:val="single" w:color="auto" w:sz="4" w:space="0"/>
            </w:tcBorders>
            <w:vAlign w:val="center"/>
          </w:tcPr>
          <w:p>
            <w:pPr>
              <w:spacing w:line="400" w:lineRule="exact"/>
              <w:jc w:val="center"/>
              <w:rPr>
                <w:rFonts w:ascii="新宋体" w:hAnsi="新宋体" w:eastAsia="新宋体" w:cs="Arial"/>
                <w:color w:val="auto"/>
              </w:rPr>
            </w:pPr>
          </w:p>
        </w:tc>
        <w:tc>
          <w:tcPr>
            <w:tcW w:w="2917" w:type="dxa"/>
            <w:tcBorders>
              <w:top w:val="single" w:color="auto" w:sz="4" w:space="0"/>
              <w:bottom w:val="single" w:color="auto" w:sz="4" w:space="0"/>
            </w:tcBorders>
            <w:vAlign w:val="center"/>
          </w:tcPr>
          <w:p>
            <w:pPr>
              <w:spacing w:line="400" w:lineRule="exact"/>
              <w:jc w:val="center"/>
              <w:rPr>
                <w:rFonts w:ascii="新宋体" w:hAnsi="新宋体" w:eastAsia="新宋体" w:cs="Arial"/>
                <w:color w:val="auto"/>
              </w:rPr>
            </w:pPr>
          </w:p>
        </w:tc>
        <w:tc>
          <w:tcPr>
            <w:tcW w:w="1902" w:type="dxa"/>
            <w:tcBorders>
              <w:top w:val="single" w:color="auto" w:sz="4" w:space="0"/>
              <w:bottom w:val="single" w:color="auto" w:sz="4" w:space="0"/>
            </w:tcBorders>
            <w:vAlign w:val="center"/>
          </w:tcPr>
          <w:p>
            <w:pPr>
              <w:spacing w:line="400" w:lineRule="exact"/>
              <w:jc w:val="center"/>
              <w:rPr>
                <w:rFonts w:ascii="新宋体" w:hAnsi="新宋体" w:eastAsia="新宋体" w:cs="Arial"/>
                <w:color w:val="auto"/>
              </w:rPr>
            </w:pPr>
          </w:p>
        </w:tc>
        <w:tc>
          <w:tcPr>
            <w:tcW w:w="1807" w:type="dxa"/>
            <w:tcBorders>
              <w:top w:val="single" w:color="auto" w:sz="4" w:space="0"/>
              <w:left w:val="single" w:color="auto" w:sz="4" w:space="0"/>
              <w:bottom w:val="single" w:color="auto" w:sz="4" w:space="0"/>
            </w:tcBorders>
            <w:vAlign w:val="center"/>
          </w:tcPr>
          <w:p>
            <w:pPr>
              <w:spacing w:line="400" w:lineRule="exact"/>
              <w:jc w:val="center"/>
              <w:rPr>
                <w:rFonts w:ascii="新宋体" w:hAnsi="新宋体" w:eastAsia="新宋体" w:cs="Arial"/>
                <w:color w:val="auto"/>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1050" w:type="dxa"/>
            <w:tcBorders>
              <w:top w:val="single" w:color="auto" w:sz="4" w:space="0"/>
              <w:bottom w:val="single" w:color="auto" w:sz="4" w:space="0"/>
            </w:tcBorders>
            <w:vAlign w:val="center"/>
          </w:tcPr>
          <w:p>
            <w:pPr>
              <w:spacing w:line="400" w:lineRule="exact"/>
              <w:jc w:val="center"/>
              <w:rPr>
                <w:rFonts w:ascii="新宋体" w:hAnsi="新宋体" w:eastAsia="新宋体" w:cs="Arial"/>
                <w:color w:val="auto"/>
              </w:rPr>
            </w:pPr>
          </w:p>
        </w:tc>
        <w:tc>
          <w:tcPr>
            <w:tcW w:w="1951" w:type="dxa"/>
            <w:tcBorders>
              <w:top w:val="single" w:color="auto" w:sz="4" w:space="0"/>
              <w:bottom w:val="single" w:color="auto" w:sz="4" w:space="0"/>
            </w:tcBorders>
            <w:vAlign w:val="center"/>
          </w:tcPr>
          <w:p>
            <w:pPr>
              <w:spacing w:line="400" w:lineRule="exact"/>
              <w:jc w:val="center"/>
              <w:rPr>
                <w:rFonts w:ascii="新宋体" w:hAnsi="新宋体" w:eastAsia="新宋体" w:cs="Arial"/>
                <w:color w:val="auto"/>
              </w:rPr>
            </w:pPr>
          </w:p>
        </w:tc>
        <w:tc>
          <w:tcPr>
            <w:tcW w:w="2917" w:type="dxa"/>
            <w:tcBorders>
              <w:top w:val="single" w:color="auto" w:sz="4" w:space="0"/>
              <w:bottom w:val="single" w:color="auto" w:sz="4" w:space="0"/>
            </w:tcBorders>
            <w:vAlign w:val="center"/>
          </w:tcPr>
          <w:p>
            <w:pPr>
              <w:spacing w:line="400" w:lineRule="exact"/>
              <w:jc w:val="center"/>
              <w:rPr>
                <w:rFonts w:ascii="新宋体" w:hAnsi="新宋体" w:eastAsia="新宋体" w:cs="Arial"/>
                <w:color w:val="auto"/>
              </w:rPr>
            </w:pPr>
          </w:p>
        </w:tc>
        <w:tc>
          <w:tcPr>
            <w:tcW w:w="1902" w:type="dxa"/>
            <w:tcBorders>
              <w:top w:val="single" w:color="auto" w:sz="4" w:space="0"/>
              <w:bottom w:val="single" w:color="auto" w:sz="4" w:space="0"/>
            </w:tcBorders>
            <w:vAlign w:val="center"/>
          </w:tcPr>
          <w:p>
            <w:pPr>
              <w:spacing w:line="400" w:lineRule="exact"/>
              <w:jc w:val="center"/>
              <w:rPr>
                <w:rFonts w:ascii="新宋体" w:hAnsi="新宋体" w:eastAsia="新宋体" w:cs="Arial"/>
                <w:color w:val="auto"/>
              </w:rPr>
            </w:pPr>
          </w:p>
        </w:tc>
        <w:tc>
          <w:tcPr>
            <w:tcW w:w="1807" w:type="dxa"/>
            <w:tcBorders>
              <w:top w:val="single" w:color="auto" w:sz="4" w:space="0"/>
              <w:left w:val="single" w:color="auto" w:sz="4" w:space="0"/>
              <w:bottom w:val="single" w:color="auto" w:sz="4" w:space="0"/>
            </w:tcBorders>
            <w:vAlign w:val="center"/>
          </w:tcPr>
          <w:p>
            <w:pPr>
              <w:spacing w:line="400" w:lineRule="exact"/>
              <w:jc w:val="center"/>
              <w:rPr>
                <w:rFonts w:ascii="新宋体" w:hAnsi="新宋体" w:eastAsia="新宋体" w:cs="Arial"/>
                <w:color w:val="auto"/>
              </w:rPr>
            </w:pPr>
          </w:p>
        </w:tc>
      </w:tr>
    </w:tbl>
    <w:p>
      <w:pPr>
        <w:snapToGrid w:val="0"/>
        <w:ind w:firstLine="600" w:firstLineChars="250"/>
        <w:rPr>
          <w:rFonts w:hAnsi="宋体"/>
          <w:color w:val="auto"/>
          <w:sz w:val="36"/>
          <w:szCs w:val="36"/>
        </w:rPr>
      </w:pPr>
      <w:r>
        <w:rPr>
          <w:rFonts w:hint="eastAsia" w:ascii="新宋体" w:hAnsi="新宋体" w:eastAsia="新宋体" w:cs="Arial"/>
          <w:color w:val="auto"/>
          <w:sz w:val="24"/>
        </w:rPr>
        <w:t>注：供应商（仅限于供应商自己实施的）以上业绩需提供有关书面证明材料。未提供证明材料的，评审时将不予认定。</w:t>
      </w:r>
    </w:p>
    <w:p>
      <w:pPr>
        <w:spacing w:line="360" w:lineRule="auto"/>
        <w:rPr>
          <w:b/>
          <w:color w:val="auto"/>
          <w:sz w:val="28"/>
          <w:szCs w:val="28"/>
        </w:rPr>
      </w:pPr>
    </w:p>
    <w:p>
      <w:pPr>
        <w:spacing w:line="360" w:lineRule="auto"/>
        <w:rPr>
          <w:rFonts w:hAnsi="宋体"/>
          <w:color w:val="auto"/>
          <w:sz w:val="24"/>
          <w:u w:val="single"/>
        </w:rPr>
      </w:pPr>
      <w:r>
        <w:rPr>
          <w:rFonts w:hAnsi="宋体"/>
          <w:color w:val="auto"/>
          <w:sz w:val="24"/>
        </w:rPr>
        <w:t>供应商名称：</w:t>
      </w:r>
      <w:r>
        <w:rPr>
          <w:rFonts w:hAnsi="宋体"/>
          <w:color w:val="auto"/>
          <w:sz w:val="24"/>
          <w:u w:val="single"/>
        </w:rPr>
        <w:t>（全称并加盖公章）</w:t>
      </w:r>
    </w:p>
    <w:p>
      <w:pPr>
        <w:spacing w:line="360" w:lineRule="auto"/>
        <w:rPr>
          <w:rFonts w:hAnsi="宋体"/>
          <w:bCs/>
          <w:color w:val="auto"/>
          <w:sz w:val="24"/>
        </w:rPr>
      </w:pPr>
      <w:r>
        <w:rPr>
          <w:rFonts w:hAnsi="宋体"/>
          <w:color w:val="auto"/>
          <w:sz w:val="24"/>
        </w:rPr>
        <w:t>法定代表人或授权代表（签字）</w:t>
      </w:r>
      <w:r>
        <w:rPr>
          <w:rFonts w:hAnsi="宋体"/>
          <w:bCs/>
          <w:color w:val="auto"/>
          <w:sz w:val="24"/>
        </w:rPr>
        <w:t>：</w:t>
      </w:r>
    </w:p>
    <w:p>
      <w:pPr>
        <w:pStyle w:val="2"/>
        <w:rPr>
          <w:color w:val="auto"/>
        </w:rPr>
      </w:pPr>
      <w:bookmarkStart w:id="182" w:name="_Toc62465942"/>
      <w:bookmarkStart w:id="183" w:name="_Toc478476805"/>
      <w:r>
        <w:rPr>
          <w:rFonts w:hAnsi="宋体"/>
          <w:bCs/>
          <w:color w:val="auto"/>
        </w:rPr>
        <w:t>日期：</w:t>
      </w:r>
      <w:bookmarkEnd w:id="182"/>
      <w:bookmarkEnd w:id="183"/>
    </w:p>
    <w:p>
      <w:pPr>
        <w:adjustRightInd w:val="0"/>
        <w:spacing w:line="360" w:lineRule="auto"/>
        <w:jc w:val="left"/>
        <w:rPr>
          <w:rFonts w:hAnsi="宋体"/>
          <w:bCs/>
          <w:color w:val="auto"/>
          <w:sz w:val="24"/>
        </w:rPr>
      </w:pPr>
    </w:p>
    <w:p>
      <w:pPr>
        <w:adjustRightInd w:val="0"/>
        <w:spacing w:line="360" w:lineRule="auto"/>
        <w:jc w:val="left"/>
        <w:rPr>
          <w:rFonts w:hAnsi="宋体"/>
          <w:bCs/>
          <w:color w:val="auto"/>
          <w:sz w:val="24"/>
        </w:rPr>
      </w:pPr>
    </w:p>
    <w:p>
      <w:pPr>
        <w:spacing w:line="360" w:lineRule="auto"/>
        <w:ind w:right="480"/>
        <w:jc w:val="center"/>
        <w:rPr>
          <w:rFonts w:hAnsi="宋体"/>
          <w:b/>
          <w:color w:val="auto"/>
          <w:sz w:val="28"/>
          <w:szCs w:val="28"/>
        </w:rPr>
      </w:pPr>
      <w:r>
        <w:rPr>
          <w:rFonts w:ascii="宋体" w:hAnsi="宋体"/>
          <w:color w:val="auto"/>
          <w:sz w:val="36"/>
          <w:szCs w:val="36"/>
        </w:rPr>
        <w:br w:type="page"/>
      </w:r>
      <w:bookmarkStart w:id="184" w:name="_Toc509414790"/>
      <w:r>
        <w:rPr>
          <w:rFonts w:hint="eastAsia" w:hAnsi="宋体"/>
          <w:b/>
          <w:color w:val="auto"/>
          <w:sz w:val="28"/>
          <w:szCs w:val="28"/>
        </w:rPr>
        <w:t>九、拟投入本项目组成人员清单</w:t>
      </w:r>
    </w:p>
    <w:p>
      <w:pPr>
        <w:spacing w:line="360" w:lineRule="auto"/>
        <w:rPr>
          <w:rFonts w:hAnsi="宋体"/>
          <w:color w:val="auto"/>
          <w:sz w:val="24"/>
        </w:rPr>
      </w:pPr>
      <w:r>
        <w:rPr>
          <w:rFonts w:hint="eastAsia" w:hAnsi="宋体"/>
          <w:color w:val="auto"/>
          <w:sz w:val="24"/>
        </w:rPr>
        <w:t>项目名称：</w:t>
      </w:r>
    </w:p>
    <w:p>
      <w:pPr>
        <w:spacing w:line="360" w:lineRule="auto"/>
        <w:rPr>
          <w:rFonts w:hAnsi="宋体"/>
          <w:color w:val="auto"/>
          <w:sz w:val="24"/>
        </w:rPr>
      </w:pPr>
      <w:r>
        <w:rPr>
          <w:rFonts w:hint="eastAsia" w:hAnsi="宋体"/>
          <w:color w:val="auto"/>
          <w:sz w:val="24"/>
        </w:rPr>
        <w:t>项目编号：</w:t>
      </w:r>
    </w:p>
    <w:p>
      <w:pPr>
        <w:spacing w:line="360" w:lineRule="auto"/>
        <w:rPr>
          <w:rFonts w:hAnsi="宋体"/>
          <w:color w:val="auto"/>
          <w:sz w:val="24"/>
        </w:rPr>
      </w:pPr>
      <w:r>
        <w:rPr>
          <w:rFonts w:hAnsi="宋体"/>
          <w:color w:val="auto"/>
          <w:sz w:val="24"/>
        </w:rPr>
        <w:t>包号：</w:t>
      </w:r>
    </w:p>
    <w:tbl>
      <w:tblPr>
        <w:tblStyle w:val="34"/>
        <w:tblW w:w="10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081"/>
        <w:gridCol w:w="1081"/>
        <w:gridCol w:w="1081"/>
        <w:gridCol w:w="1081"/>
        <w:gridCol w:w="1446"/>
        <w:gridCol w:w="979"/>
        <w:gridCol w:w="1133"/>
        <w:gridCol w:w="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5" w:hRule="atLeast"/>
          <w:jc w:val="center"/>
        </w:trPr>
        <w:tc>
          <w:tcPr>
            <w:tcW w:w="1277" w:type="dxa"/>
            <w:vMerge w:val="restart"/>
            <w:vAlign w:val="center"/>
          </w:tcPr>
          <w:p>
            <w:pPr>
              <w:spacing w:line="400" w:lineRule="exact"/>
              <w:jc w:val="center"/>
              <w:rPr>
                <w:rFonts w:hAnsi="宋体" w:cs="宋体"/>
                <w:color w:val="auto"/>
                <w:szCs w:val="21"/>
              </w:rPr>
            </w:pPr>
            <w:r>
              <w:rPr>
                <w:rFonts w:hint="eastAsia" w:hAnsi="宋体" w:cs="宋体"/>
                <w:color w:val="auto"/>
                <w:szCs w:val="21"/>
              </w:rPr>
              <w:t>类别</w:t>
            </w:r>
          </w:p>
        </w:tc>
        <w:tc>
          <w:tcPr>
            <w:tcW w:w="1081" w:type="dxa"/>
            <w:vMerge w:val="restart"/>
            <w:vAlign w:val="center"/>
          </w:tcPr>
          <w:p>
            <w:pPr>
              <w:spacing w:line="400" w:lineRule="exact"/>
              <w:jc w:val="center"/>
              <w:rPr>
                <w:rFonts w:hAnsi="宋体" w:cs="宋体"/>
                <w:color w:val="auto"/>
                <w:szCs w:val="21"/>
              </w:rPr>
            </w:pPr>
            <w:r>
              <w:rPr>
                <w:rFonts w:hint="eastAsia" w:hAnsi="宋体" w:cs="宋体"/>
                <w:color w:val="auto"/>
                <w:szCs w:val="21"/>
              </w:rPr>
              <w:t>职务</w:t>
            </w:r>
          </w:p>
        </w:tc>
        <w:tc>
          <w:tcPr>
            <w:tcW w:w="1081" w:type="dxa"/>
            <w:vMerge w:val="restart"/>
            <w:vAlign w:val="center"/>
          </w:tcPr>
          <w:p>
            <w:pPr>
              <w:spacing w:line="400" w:lineRule="exact"/>
              <w:jc w:val="center"/>
              <w:rPr>
                <w:rFonts w:hAnsi="宋体" w:cs="宋体"/>
                <w:color w:val="auto"/>
                <w:szCs w:val="21"/>
              </w:rPr>
            </w:pPr>
            <w:r>
              <w:rPr>
                <w:rFonts w:hint="eastAsia" w:hAnsi="宋体" w:cs="宋体"/>
                <w:color w:val="auto"/>
                <w:szCs w:val="21"/>
              </w:rPr>
              <w:t>姓名</w:t>
            </w:r>
          </w:p>
        </w:tc>
        <w:tc>
          <w:tcPr>
            <w:tcW w:w="1081" w:type="dxa"/>
            <w:vMerge w:val="restart"/>
            <w:vAlign w:val="center"/>
          </w:tcPr>
          <w:p>
            <w:pPr>
              <w:spacing w:line="400" w:lineRule="exact"/>
              <w:jc w:val="center"/>
              <w:rPr>
                <w:rFonts w:hAnsi="宋体" w:cs="宋体"/>
                <w:color w:val="auto"/>
                <w:szCs w:val="21"/>
              </w:rPr>
            </w:pPr>
            <w:r>
              <w:rPr>
                <w:rFonts w:hint="eastAsia" w:hAnsi="宋体" w:cs="宋体"/>
                <w:color w:val="auto"/>
                <w:szCs w:val="21"/>
              </w:rPr>
              <w:t>职称</w:t>
            </w:r>
          </w:p>
        </w:tc>
        <w:tc>
          <w:tcPr>
            <w:tcW w:w="1081" w:type="dxa"/>
            <w:vMerge w:val="restart"/>
            <w:vAlign w:val="center"/>
          </w:tcPr>
          <w:p>
            <w:pPr>
              <w:spacing w:line="400" w:lineRule="exact"/>
              <w:jc w:val="center"/>
              <w:rPr>
                <w:rFonts w:hAnsi="宋体" w:cs="宋体"/>
                <w:color w:val="auto"/>
                <w:szCs w:val="21"/>
              </w:rPr>
            </w:pPr>
            <w:r>
              <w:rPr>
                <w:rFonts w:hint="eastAsia" w:hAnsi="宋体" w:cs="宋体"/>
                <w:color w:val="auto"/>
                <w:szCs w:val="21"/>
              </w:rPr>
              <w:t>常住地</w:t>
            </w:r>
          </w:p>
        </w:tc>
        <w:tc>
          <w:tcPr>
            <w:tcW w:w="4537" w:type="dxa"/>
            <w:gridSpan w:val="4"/>
            <w:vAlign w:val="center"/>
          </w:tcPr>
          <w:p>
            <w:pPr>
              <w:spacing w:line="400" w:lineRule="exact"/>
              <w:jc w:val="center"/>
              <w:rPr>
                <w:rFonts w:hAnsi="宋体" w:cs="宋体"/>
                <w:color w:val="auto"/>
                <w:szCs w:val="21"/>
              </w:rPr>
            </w:pPr>
            <w:r>
              <w:rPr>
                <w:rFonts w:hint="eastAsia" w:hAnsi="宋体" w:cs="宋体"/>
                <w:color w:val="auto"/>
                <w:szCs w:val="21"/>
              </w:rPr>
              <w:t>资格证明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1277" w:type="dxa"/>
            <w:vMerge w:val="continue"/>
            <w:vAlign w:val="center"/>
          </w:tcPr>
          <w:p>
            <w:pPr>
              <w:spacing w:line="400" w:lineRule="exact"/>
              <w:jc w:val="center"/>
              <w:rPr>
                <w:rFonts w:hAnsi="宋体" w:cs="宋体"/>
                <w:color w:val="auto"/>
                <w:szCs w:val="21"/>
              </w:rPr>
            </w:pPr>
          </w:p>
        </w:tc>
        <w:tc>
          <w:tcPr>
            <w:tcW w:w="1081" w:type="dxa"/>
            <w:vMerge w:val="continue"/>
            <w:vAlign w:val="center"/>
          </w:tcPr>
          <w:p>
            <w:pPr>
              <w:spacing w:line="400" w:lineRule="exact"/>
              <w:jc w:val="center"/>
              <w:rPr>
                <w:rFonts w:hAnsi="宋体" w:cs="宋体"/>
                <w:color w:val="auto"/>
                <w:szCs w:val="21"/>
              </w:rPr>
            </w:pPr>
          </w:p>
        </w:tc>
        <w:tc>
          <w:tcPr>
            <w:tcW w:w="1081" w:type="dxa"/>
            <w:vMerge w:val="continue"/>
            <w:vAlign w:val="center"/>
          </w:tcPr>
          <w:p>
            <w:pPr>
              <w:spacing w:line="400" w:lineRule="exact"/>
              <w:jc w:val="center"/>
              <w:rPr>
                <w:rFonts w:hAnsi="宋体" w:cs="宋体"/>
                <w:color w:val="auto"/>
                <w:szCs w:val="21"/>
              </w:rPr>
            </w:pPr>
          </w:p>
        </w:tc>
        <w:tc>
          <w:tcPr>
            <w:tcW w:w="1081" w:type="dxa"/>
            <w:vMerge w:val="continue"/>
            <w:vAlign w:val="center"/>
          </w:tcPr>
          <w:p>
            <w:pPr>
              <w:spacing w:line="400" w:lineRule="exact"/>
              <w:jc w:val="center"/>
              <w:rPr>
                <w:rFonts w:hAnsi="宋体" w:cs="宋体"/>
                <w:color w:val="auto"/>
                <w:szCs w:val="21"/>
              </w:rPr>
            </w:pPr>
          </w:p>
        </w:tc>
        <w:tc>
          <w:tcPr>
            <w:tcW w:w="1081" w:type="dxa"/>
            <w:vMerge w:val="continue"/>
            <w:vAlign w:val="center"/>
          </w:tcPr>
          <w:p>
            <w:pPr>
              <w:spacing w:line="400" w:lineRule="exact"/>
              <w:jc w:val="center"/>
              <w:rPr>
                <w:rFonts w:hAnsi="宋体" w:cs="宋体"/>
                <w:color w:val="auto"/>
                <w:szCs w:val="21"/>
              </w:rPr>
            </w:pPr>
          </w:p>
        </w:tc>
        <w:tc>
          <w:tcPr>
            <w:tcW w:w="1446" w:type="dxa"/>
            <w:vAlign w:val="center"/>
          </w:tcPr>
          <w:p>
            <w:pPr>
              <w:spacing w:line="400" w:lineRule="exact"/>
              <w:jc w:val="center"/>
              <w:rPr>
                <w:rFonts w:hAnsi="宋体" w:cs="宋体"/>
                <w:color w:val="auto"/>
                <w:szCs w:val="21"/>
              </w:rPr>
            </w:pPr>
            <w:r>
              <w:rPr>
                <w:rFonts w:hint="eastAsia" w:hAnsi="宋体" w:cs="宋体"/>
                <w:color w:val="auto"/>
                <w:szCs w:val="21"/>
              </w:rPr>
              <w:t>证书名称</w:t>
            </w:r>
          </w:p>
        </w:tc>
        <w:tc>
          <w:tcPr>
            <w:tcW w:w="979" w:type="dxa"/>
            <w:vAlign w:val="center"/>
          </w:tcPr>
          <w:p>
            <w:pPr>
              <w:spacing w:line="400" w:lineRule="exact"/>
              <w:jc w:val="center"/>
              <w:rPr>
                <w:rFonts w:hAnsi="宋体" w:cs="宋体"/>
                <w:color w:val="auto"/>
                <w:szCs w:val="21"/>
              </w:rPr>
            </w:pPr>
            <w:r>
              <w:rPr>
                <w:rFonts w:hint="eastAsia" w:hAnsi="宋体" w:cs="宋体"/>
                <w:color w:val="auto"/>
                <w:szCs w:val="21"/>
              </w:rPr>
              <w:t>级别</w:t>
            </w:r>
          </w:p>
        </w:tc>
        <w:tc>
          <w:tcPr>
            <w:tcW w:w="1133" w:type="dxa"/>
            <w:vAlign w:val="center"/>
          </w:tcPr>
          <w:p>
            <w:pPr>
              <w:spacing w:line="400" w:lineRule="exact"/>
              <w:jc w:val="center"/>
              <w:rPr>
                <w:rFonts w:hAnsi="宋体" w:cs="宋体"/>
                <w:color w:val="auto"/>
                <w:szCs w:val="21"/>
              </w:rPr>
            </w:pPr>
            <w:r>
              <w:rPr>
                <w:rFonts w:hint="eastAsia" w:hAnsi="宋体" w:cs="宋体"/>
                <w:color w:val="auto"/>
                <w:szCs w:val="21"/>
              </w:rPr>
              <w:t>证号</w:t>
            </w:r>
          </w:p>
        </w:tc>
        <w:tc>
          <w:tcPr>
            <w:tcW w:w="979" w:type="dxa"/>
            <w:vAlign w:val="center"/>
          </w:tcPr>
          <w:p>
            <w:pPr>
              <w:spacing w:line="400" w:lineRule="exact"/>
              <w:jc w:val="center"/>
              <w:rPr>
                <w:rFonts w:hAnsi="宋体" w:cs="宋体"/>
                <w:color w:val="auto"/>
                <w:szCs w:val="21"/>
              </w:rPr>
            </w:pPr>
            <w:r>
              <w:rPr>
                <w:rFonts w:hint="eastAsia" w:hAnsi="宋体" w:cs="宋体"/>
                <w:color w:val="auto"/>
                <w:szCs w:val="21"/>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1277" w:type="dxa"/>
            <w:vMerge w:val="restart"/>
          </w:tcPr>
          <w:p>
            <w:pPr>
              <w:spacing w:line="300" w:lineRule="exact"/>
              <w:jc w:val="center"/>
              <w:rPr>
                <w:rFonts w:hAnsi="宋体" w:cs="宋体"/>
                <w:color w:val="auto"/>
                <w:szCs w:val="21"/>
              </w:rPr>
            </w:pPr>
            <w:r>
              <w:rPr>
                <w:rFonts w:hint="eastAsia" w:hAnsi="宋体" w:cs="宋体"/>
                <w:color w:val="auto"/>
                <w:szCs w:val="21"/>
              </w:rPr>
              <w:t>管</w:t>
            </w:r>
          </w:p>
          <w:p>
            <w:pPr>
              <w:spacing w:line="300" w:lineRule="exact"/>
              <w:jc w:val="center"/>
              <w:rPr>
                <w:rFonts w:hAnsi="宋体" w:cs="宋体"/>
                <w:color w:val="auto"/>
                <w:szCs w:val="21"/>
              </w:rPr>
            </w:pPr>
            <w:r>
              <w:rPr>
                <w:rFonts w:hint="eastAsia" w:hAnsi="宋体" w:cs="宋体"/>
                <w:color w:val="auto"/>
                <w:szCs w:val="21"/>
              </w:rPr>
              <w:t>理</w:t>
            </w:r>
          </w:p>
          <w:p>
            <w:pPr>
              <w:spacing w:line="300" w:lineRule="exact"/>
              <w:jc w:val="center"/>
              <w:rPr>
                <w:rFonts w:hAnsi="宋体" w:cs="宋体"/>
                <w:color w:val="auto"/>
                <w:szCs w:val="21"/>
              </w:rPr>
            </w:pPr>
            <w:r>
              <w:rPr>
                <w:rFonts w:hint="eastAsia" w:hAnsi="宋体" w:cs="宋体"/>
                <w:color w:val="auto"/>
                <w:szCs w:val="21"/>
              </w:rPr>
              <w:t>人</w:t>
            </w:r>
          </w:p>
          <w:p>
            <w:pPr>
              <w:spacing w:line="300" w:lineRule="exact"/>
              <w:jc w:val="center"/>
              <w:rPr>
                <w:rFonts w:hAnsi="宋体" w:cs="宋体"/>
                <w:color w:val="auto"/>
                <w:szCs w:val="21"/>
              </w:rPr>
            </w:pPr>
            <w:r>
              <w:rPr>
                <w:rFonts w:hint="eastAsia" w:hAnsi="宋体" w:cs="宋体"/>
                <w:color w:val="auto"/>
                <w:szCs w:val="21"/>
              </w:rPr>
              <w:t>员</w:t>
            </w: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1277" w:type="dxa"/>
            <w:vMerge w:val="continue"/>
          </w:tcPr>
          <w:p>
            <w:pPr>
              <w:spacing w:line="3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 w:hRule="atLeast"/>
          <w:jc w:val="center"/>
        </w:trPr>
        <w:tc>
          <w:tcPr>
            <w:tcW w:w="1277" w:type="dxa"/>
            <w:vMerge w:val="continue"/>
          </w:tcPr>
          <w:p>
            <w:pPr>
              <w:spacing w:line="3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 w:hRule="atLeast"/>
          <w:jc w:val="center"/>
        </w:trPr>
        <w:tc>
          <w:tcPr>
            <w:tcW w:w="1277" w:type="dxa"/>
            <w:vMerge w:val="restart"/>
          </w:tcPr>
          <w:p>
            <w:pPr>
              <w:spacing w:line="300" w:lineRule="exact"/>
              <w:jc w:val="center"/>
              <w:rPr>
                <w:rFonts w:hAnsi="宋体" w:cs="宋体"/>
                <w:color w:val="auto"/>
                <w:szCs w:val="21"/>
              </w:rPr>
            </w:pPr>
            <w:r>
              <w:rPr>
                <w:rFonts w:hint="eastAsia" w:hAnsi="宋体" w:cs="宋体"/>
                <w:color w:val="auto"/>
                <w:szCs w:val="21"/>
              </w:rPr>
              <w:t>服</w:t>
            </w:r>
          </w:p>
          <w:p>
            <w:pPr>
              <w:spacing w:line="300" w:lineRule="exact"/>
              <w:jc w:val="center"/>
              <w:rPr>
                <w:rFonts w:hAnsi="宋体" w:cs="宋体"/>
                <w:color w:val="auto"/>
                <w:szCs w:val="21"/>
              </w:rPr>
            </w:pPr>
            <w:r>
              <w:rPr>
                <w:rFonts w:hint="eastAsia" w:hAnsi="宋体" w:cs="宋体"/>
                <w:color w:val="auto"/>
                <w:szCs w:val="21"/>
              </w:rPr>
              <w:t>务</w:t>
            </w:r>
          </w:p>
          <w:p>
            <w:pPr>
              <w:spacing w:line="300" w:lineRule="exact"/>
              <w:jc w:val="center"/>
              <w:rPr>
                <w:rFonts w:hAnsi="宋体" w:cs="宋体"/>
                <w:color w:val="auto"/>
                <w:szCs w:val="21"/>
              </w:rPr>
            </w:pPr>
            <w:r>
              <w:rPr>
                <w:rFonts w:hint="eastAsia" w:hAnsi="宋体" w:cs="宋体"/>
                <w:color w:val="auto"/>
                <w:szCs w:val="21"/>
              </w:rPr>
              <w:t>人</w:t>
            </w:r>
          </w:p>
          <w:p>
            <w:pPr>
              <w:spacing w:line="300" w:lineRule="exact"/>
              <w:jc w:val="center"/>
              <w:rPr>
                <w:rFonts w:hAnsi="宋体" w:cs="宋体"/>
                <w:color w:val="auto"/>
                <w:szCs w:val="21"/>
              </w:rPr>
            </w:pPr>
            <w:r>
              <w:rPr>
                <w:rFonts w:hint="eastAsia" w:hAnsi="宋体" w:cs="宋体"/>
                <w:color w:val="auto"/>
                <w:szCs w:val="21"/>
              </w:rPr>
              <w:t>员</w:t>
            </w: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 w:hRule="atLeast"/>
          <w:jc w:val="center"/>
        </w:trPr>
        <w:tc>
          <w:tcPr>
            <w:tcW w:w="1277" w:type="dxa"/>
            <w:vMerge w:val="continue"/>
          </w:tcPr>
          <w:p>
            <w:pPr>
              <w:spacing w:line="34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 w:hRule="atLeast"/>
          <w:jc w:val="center"/>
        </w:trPr>
        <w:tc>
          <w:tcPr>
            <w:tcW w:w="1277" w:type="dxa"/>
            <w:vMerge w:val="continue"/>
          </w:tcPr>
          <w:p>
            <w:pPr>
              <w:spacing w:line="34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 w:hRule="atLeast"/>
          <w:jc w:val="center"/>
        </w:trPr>
        <w:tc>
          <w:tcPr>
            <w:tcW w:w="1277" w:type="dxa"/>
            <w:vMerge w:val="restart"/>
          </w:tcPr>
          <w:p>
            <w:pPr>
              <w:spacing w:line="340" w:lineRule="exact"/>
              <w:jc w:val="center"/>
              <w:rPr>
                <w:rFonts w:hAnsi="宋体" w:cs="宋体"/>
                <w:color w:val="auto"/>
                <w:szCs w:val="21"/>
              </w:rPr>
            </w:pPr>
            <w:r>
              <w:rPr>
                <w:rFonts w:hint="eastAsia" w:hAnsi="宋体" w:cs="宋体"/>
                <w:color w:val="auto"/>
                <w:szCs w:val="21"/>
              </w:rPr>
              <w:t>应急</w:t>
            </w:r>
          </w:p>
          <w:p>
            <w:pPr>
              <w:spacing w:line="340" w:lineRule="exact"/>
              <w:jc w:val="center"/>
              <w:rPr>
                <w:rFonts w:hAnsi="宋体" w:cs="宋体"/>
                <w:color w:val="auto"/>
                <w:szCs w:val="21"/>
              </w:rPr>
            </w:pPr>
            <w:r>
              <w:rPr>
                <w:rFonts w:hint="eastAsia" w:hAnsi="宋体" w:cs="宋体"/>
                <w:color w:val="auto"/>
                <w:szCs w:val="21"/>
              </w:rPr>
              <w:t>管理</w:t>
            </w:r>
          </w:p>
          <w:p>
            <w:pPr>
              <w:spacing w:line="340" w:lineRule="exact"/>
              <w:jc w:val="center"/>
              <w:rPr>
                <w:rFonts w:hAnsi="宋体" w:cs="宋体"/>
                <w:color w:val="auto"/>
                <w:szCs w:val="21"/>
              </w:rPr>
            </w:pPr>
            <w:r>
              <w:rPr>
                <w:rFonts w:hint="eastAsia" w:hAnsi="宋体" w:cs="宋体"/>
                <w:color w:val="auto"/>
                <w:szCs w:val="21"/>
              </w:rPr>
              <w:t>人员</w:t>
            </w: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 w:hRule="atLeast"/>
          <w:jc w:val="center"/>
        </w:trPr>
        <w:tc>
          <w:tcPr>
            <w:tcW w:w="1277" w:type="dxa"/>
            <w:vMerge w:val="continue"/>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 w:hRule="atLeast"/>
          <w:jc w:val="center"/>
        </w:trPr>
        <w:tc>
          <w:tcPr>
            <w:tcW w:w="1277" w:type="dxa"/>
            <w:vMerge w:val="continue"/>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081" w:type="dxa"/>
          </w:tcPr>
          <w:p>
            <w:pPr>
              <w:spacing w:line="400" w:lineRule="exact"/>
              <w:jc w:val="center"/>
              <w:rPr>
                <w:rFonts w:hAnsi="宋体" w:cs="宋体"/>
                <w:color w:val="auto"/>
                <w:szCs w:val="21"/>
              </w:rPr>
            </w:pPr>
          </w:p>
        </w:tc>
        <w:tc>
          <w:tcPr>
            <w:tcW w:w="1446"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c>
          <w:tcPr>
            <w:tcW w:w="1133" w:type="dxa"/>
          </w:tcPr>
          <w:p>
            <w:pPr>
              <w:spacing w:line="400" w:lineRule="exact"/>
              <w:jc w:val="center"/>
              <w:rPr>
                <w:rFonts w:hAnsi="宋体" w:cs="宋体"/>
                <w:color w:val="auto"/>
                <w:szCs w:val="21"/>
              </w:rPr>
            </w:pPr>
          </w:p>
        </w:tc>
        <w:tc>
          <w:tcPr>
            <w:tcW w:w="979" w:type="dxa"/>
          </w:tcPr>
          <w:p>
            <w:pPr>
              <w:spacing w:line="400" w:lineRule="exact"/>
              <w:jc w:val="center"/>
              <w:rPr>
                <w:rFonts w:hAnsi="宋体" w:cs="宋体"/>
                <w:color w:val="auto"/>
                <w:szCs w:val="21"/>
              </w:rPr>
            </w:pPr>
          </w:p>
        </w:tc>
      </w:tr>
    </w:tbl>
    <w:p>
      <w:pPr>
        <w:spacing w:line="360" w:lineRule="auto"/>
        <w:rPr>
          <w:rFonts w:hAnsi="宋体"/>
          <w:color w:val="auto"/>
          <w:sz w:val="24"/>
          <w:u w:val="single"/>
        </w:rPr>
      </w:pPr>
      <w:r>
        <w:rPr>
          <w:rFonts w:hAnsi="宋体"/>
          <w:color w:val="auto"/>
          <w:sz w:val="24"/>
        </w:rPr>
        <w:t>供应商名称：</w:t>
      </w:r>
      <w:r>
        <w:rPr>
          <w:rFonts w:hAnsi="宋体"/>
          <w:color w:val="auto"/>
          <w:sz w:val="24"/>
          <w:u w:val="single"/>
        </w:rPr>
        <w:t>（全称并加盖公章）</w:t>
      </w:r>
    </w:p>
    <w:p>
      <w:pPr>
        <w:spacing w:line="360" w:lineRule="auto"/>
        <w:rPr>
          <w:rFonts w:hAnsi="宋体"/>
          <w:color w:val="auto"/>
          <w:sz w:val="24"/>
          <w:u w:val="single"/>
        </w:rPr>
      </w:pPr>
      <w:r>
        <w:rPr>
          <w:rFonts w:hAnsi="宋体"/>
          <w:color w:val="auto"/>
          <w:sz w:val="24"/>
        </w:rPr>
        <w:t>法定代表人或授权代表（签字）</w:t>
      </w:r>
      <w:r>
        <w:rPr>
          <w:rFonts w:hAnsi="宋体"/>
          <w:bCs/>
          <w:color w:val="auto"/>
          <w:sz w:val="24"/>
        </w:rPr>
        <w:t>：</w:t>
      </w:r>
    </w:p>
    <w:p>
      <w:pPr>
        <w:widowControl/>
        <w:jc w:val="left"/>
        <w:rPr>
          <w:rFonts w:ascii="宋体" w:hAnsi="宋体" w:eastAsia="黑体"/>
          <w:b/>
          <w:bCs/>
          <w:color w:val="auto"/>
          <w:sz w:val="36"/>
          <w:szCs w:val="36"/>
        </w:rPr>
      </w:pPr>
      <w:r>
        <w:rPr>
          <w:rFonts w:hAnsi="宋体"/>
          <w:color w:val="auto"/>
          <w:sz w:val="24"/>
        </w:rPr>
        <w:t>日期：</w:t>
      </w:r>
    </w:p>
    <w:p>
      <w:pPr>
        <w:widowControl/>
        <w:jc w:val="left"/>
        <w:rPr>
          <w:rFonts w:ascii="新宋体" w:hAnsi="新宋体" w:eastAsia="新宋体"/>
          <w:b/>
          <w:color w:val="auto"/>
          <w:sz w:val="32"/>
          <w:szCs w:val="28"/>
        </w:rPr>
      </w:pPr>
      <w:r>
        <w:rPr>
          <w:rFonts w:ascii="新宋体" w:hAnsi="新宋体" w:eastAsia="新宋体"/>
          <w:bCs/>
          <w:color w:val="auto"/>
          <w:szCs w:val="28"/>
        </w:rPr>
        <w:br w:type="page"/>
      </w:r>
    </w:p>
    <w:p>
      <w:pPr>
        <w:pStyle w:val="4"/>
        <w:spacing w:before="0" w:after="0" w:line="360" w:lineRule="auto"/>
        <w:jc w:val="center"/>
        <w:rPr>
          <w:rFonts w:ascii="新宋体" w:hAnsi="新宋体" w:eastAsia="新宋体"/>
          <w:bCs w:val="0"/>
          <w:color w:val="auto"/>
          <w:szCs w:val="28"/>
        </w:rPr>
      </w:pPr>
      <w:r>
        <w:rPr>
          <w:rFonts w:hint="eastAsia" w:ascii="新宋体" w:hAnsi="新宋体" w:eastAsia="新宋体"/>
          <w:bCs w:val="0"/>
          <w:color w:val="auto"/>
          <w:szCs w:val="28"/>
        </w:rPr>
        <w:t>十、项目实施方案</w:t>
      </w:r>
    </w:p>
    <w:p>
      <w:pPr>
        <w:jc w:val="center"/>
        <w:rPr>
          <w:color w:val="auto"/>
          <w:sz w:val="30"/>
          <w:szCs w:val="30"/>
        </w:rPr>
      </w:pPr>
      <w:r>
        <w:rPr>
          <w:rFonts w:hint="eastAsia"/>
          <w:color w:val="auto"/>
          <w:sz w:val="30"/>
          <w:szCs w:val="30"/>
        </w:rPr>
        <w:t>格式不限</w:t>
      </w:r>
    </w:p>
    <w:p>
      <w:pPr>
        <w:widowControl/>
        <w:jc w:val="left"/>
        <w:rPr>
          <w:rFonts w:ascii="新宋体" w:hAnsi="新宋体" w:eastAsia="新宋体"/>
          <w:b/>
          <w:bCs/>
          <w:color w:val="auto"/>
          <w:kern w:val="44"/>
          <w:sz w:val="28"/>
          <w:szCs w:val="28"/>
        </w:rPr>
      </w:pPr>
    </w:p>
    <w:p>
      <w:pPr>
        <w:widowControl/>
        <w:jc w:val="left"/>
        <w:rPr>
          <w:rFonts w:ascii="新宋体" w:hAnsi="新宋体" w:eastAsia="新宋体"/>
          <w:color w:val="auto"/>
          <w:sz w:val="36"/>
          <w:szCs w:val="36"/>
        </w:rPr>
      </w:pPr>
    </w:p>
    <w:p>
      <w:pPr>
        <w:widowControl/>
        <w:jc w:val="left"/>
        <w:rPr>
          <w:rFonts w:ascii="新宋体" w:hAnsi="新宋体" w:eastAsia="新宋体"/>
          <w:color w:val="auto"/>
          <w:sz w:val="36"/>
          <w:szCs w:val="36"/>
        </w:rPr>
      </w:pPr>
    </w:p>
    <w:p>
      <w:pPr>
        <w:pStyle w:val="17"/>
        <w:spacing w:line="400" w:lineRule="exact"/>
        <w:rPr>
          <w:rFonts w:ascii="宋体" w:hAnsi="宋体"/>
          <w:color w:val="auto"/>
          <w:sz w:val="24"/>
        </w:rPr>
      </w:pPr>
      <w:r>
        <w:rPr>
          <w:rFonts w:hint="eastAsia" w:ascii="宋体" w:hAnsi="宋体"/>
          <w:color w:val="auto"/>
          <w:sz w:val="24"/>
        </w:rPr>
        <w:t>投标人名称：        （盖章）</w:t>
      </w:r>
    </w:p>
    <w:p>
      <w:pPr>
        <w:pStyle w:val="17"/>
        <w:spacing w:line="400" w:lineRule="exact"/>
        <w:rPr>
          <w:rFonts w:ascii="宋体" w:hAnsi="宋体"/>
          <w:color w:val="auto"/>
          <w:sz w:val="24"/>
        </w:rPr>
      </w:pPr>
    </w:p>
    <w:p>
      <w:pPr>
        <w:pStyle w:val="17"/>
        <w:spacing w:line="400" w:lineRule="exact"/>
        <w:rPr>
          <w:rFonts w:ascii="宋体" w:hAnsi="宋体"/>
          <w:color w:val="auto"/>
          <w:sz w:val="24"/>
        </w:rPr>
      </w:pPr>
      <w:r>
        <w:rPr>
          <w:rFonts w:hint="eastAsia" w:ascii="宋体" w:hAnsi="宋体"/>
          <w:color w:val="auto"/>
          <w:sz w:val="24"/>
        </w:rPr>
        <w:t>法定代表人或授权代表（签字）：</w:t>
      </w:r>
    </w:p>
    <w:p>
      <w:pPr>
        <w:pStyle w:val="17"/>
        <w:spacing w:line="400" w:lineRule="exact"/>
        <w:rPr>
          <w:rFonts w:ascii="宋体" w:hAnsi="宋体"/>
          <w:color w:val="auto"/>
          <w:sz w:val="24"/>
        </w:rPr>
      </w:pPr>
    </w:p>
    <w:p>
      <w:pPr>
        <w:pStyle w:val="17"/>
        <w:spacing w:line="400" w:lineRule="exact"/>
        <w:rPr>
          <w:rFonts w:ascii="新宋体" w:hAnsi="新宋体" w:eastAsia="新宋体"/>
          <w:b/>
          <w:bCs/>
          <w:color w:val="auto"/>
          <w:kern w:val="44"/>
          <w:sz w:val="36"/>
          <w:szCs w:val="36"/>
        </w:rPr>
      </w:pPr>
      <w:r>
        <w:rPr>
          <w:rFonts w:hint="eastAsia" w:ascii="宋体" w:hAnsi="宋体"/>
          <w:color w:val="auto"/>
          <w:sz w:val="24"/>
        </w:rPr>
        <w:t>投标日期：</w:t>
      </w:r>
    </w:p>
    <w:p>
      <w:pPr>
        <w:pStyle w:val="4"/>
        <w:tabs>
          <w:tab w:val="left" w:pos="4010"/>
        </w:tabs>
        <w:spacing w:before="0" w:after="0" w:line="360" w:lineRule="auto"/>
        <w:rPr>
          <w:rFonts w:ascii="宋体" w:hAnsi="宋体"/>
          <w:color w:val="auto"/>
          <w:sz w:val="36"/>
          <w:szCs w:val="36"/>
        </w:rPr>
      </w:pPr>
      <w:r>
        <w:rPr>
          <w:rFonts w:ascii="宋体" w:hAnsi="宋体"/>
          <w:color w:val="auto"/>
          <w:sz w:val="36"/>
          <w:szCs w:val="36"/>
        </w:rPr>
        <w:tab/>
      </w:r>
    </w:p>
    <w:bookmarkEnd w:id="184"/>
    <w:p>
      <w:pPr>
        <w:widowControl/>
        <w:jc w:val="left"/>
        <w:rPr>
          <w:rFonts w:ascii="新宋体" w:hAnsi="新宋体" w:eastAsia="新宋体"/>
          <w:b/>
          <w:color w:val="auto"/>
          <w:sz w:val="32"/>
          <w:szCs w:val="28"/>
        </w:rPr>
      </w:pPr>
      <w:r>
        <w:rPr>
          <w:rFonts w:ascii="新宋体" w:hAnsi="新宋体" w:eastAsia="新宋体"/>
          <w:bCs/>
          <w:color w:val="auto"/>
          <w:szCs w:val="28"/>
        </w:rPr>
        <w:br w:type="page"/>
      </w:r>
    </w:p>
    <w:p>
      <w:pPr>
        <w:pStyle w:val="4"/>
        <w:spacing w:before="0" w:after="0" w:line="360" w:lineRule="auto"/>
        <w:jc w:val="center"/>
        <w:rPr>
          <w:rFonts w:ascii="方正小标宋简体" w:hAnsi="宋体" w:eastAsia="方正小标宋简体"/>
          <w:color w:val="auto"/>
          <w:kern w:val="0"/>
          <w:sz w:val="28"/>
          <w:szCs w:val="28"/>
        </w:rPr>
      </w:pPr>
      <w:r>
        <w:rPr>
          <w:rFonts w:hint="eastAsia" w:ascii="宋体" w:hAnsi="宋体" w:eastAsia="宋体"/>
          <w:color w:val="auto"/>
          <w:szCs w:val="28"/>
        </w:rPr>
        <w:t>十一、中小企业声明函</w:t>
      </w:r>
    </w:p>
    <w:p>
      <w:pPr>
        <w:snapToGrid w:val="0"/>
        <w:spacing w:before="120" w:beforeLines="50" w:line="360" w:lineRule="auto"/>
        <w:ind w:firstLine="560" w:firstLineChars="200"/>
        <w:rPr>
          <w:rFonts w:ascii="宋体" w:hAnsi="宋体"/>
          <w:color w:val="auto"/>
          <w:sz w:val="28"/>
          <w:szCs w:val="28"/>
        </w:rPr>
      </w:pPr>
      <w:bookmarkStart w:id="185" w:name="OLE_LINK14"/>
      <w:bookmarkStart w:id="186" w:name="OLE_LINK13"/>
      <w:r>
        <w:rPr>
          <w:rFonts w:hint="eastAsia" w:ascii="宋体" w:hAnsi="宋体"/>
          <w:color w:val="auto"/>
          <w:sz w:val="28"/>
          <w:szCs w:val="28"/>
        </w:rPr>
        <w:t>本公司（联合体）郑重声明，根据《政府采购促进中小企业发展管理办法》（财库﹝2020﹞46 号）的规定，本公司（联合体）参加</w:t>
      </w:r>
      <w:r>
        <w:rPr>
          <w:rFonts w:hint="eastAsia" w:ascii="宋体" w:hAnsi="宋体"/>
          <w:color w:val="auto"/>
          <w:sz w:val="28"/>
          <w:szCs w:val="28"/>
          <w:u w:val="single"/>
        </w:rPr>
        <w:t>（单位名称）</w:t>
      </w:r>
      <w:r>
        <w:rPr>
          <w:rFonts w:hint="eastAsia" w:ascii="宋体" w:hAnsi="宋体"/>
          <w:color w:val="auto"/>
          <w:sz w:val="28"/>
          <w:szCs w:val="28"/>
        </w:rPr>
        <w:t>的</w:t>
      </w:r>
      <w:r>
        <w:rPr>
          <w:rFonts w:hint="eastAsia" w:ascii="宋体" w:hAnsi="宋体"/>
          <w:color w:val="auto"/>
          <w:sz w:val="28"/>
          <w:szCs w:val="28"/>
          <w:u w:val="single"/>
        </w:rPr>
        <w:t>（项目名称）</w:t>
      </w:r>
      <w:r>
        <w:rPr>
          <w:rFonts w:hint="eastAsia" w:ascii="宋体" w:hAnsi="宋体"/>
          <w:color w:val="auto"/>
          <w:sz w:val="28"/>
          <w:szCs w:val="28"/>
        </w:rPr>
        <w:t>采购活动，提供的货物全部由符合政策要求的中小企业制造。相关企业（含联合体中的中小企业、签订分包意向协议的中小企业）的具体情况如下：</w:t>
      </w:r>
    </w:p>
    <w:p>
      <w:pPr>
        <w:snapToGrid w:val="0"/>
        <w:spacing w:before="120" w:beforeLines="50" w:line="360" w:lineRule="auto"/>
        <w:ind w:firstLine="560" w:firstLineChars="200"/>
        <w:rPr>
          <w:rFonts w:ascii="宋体" w:hAnsi="宋体"/>
          <w:color w:val="auto"/>
          <w:sz w:val="28"/>
          <w:szCs w:val="28"/>
        </w:rPr>
      </w:pPr>
      <w:r>
        <w:rPr>
          <w:rFonts w:hint="eastAsia" w:ascii="宋体" w:hAnsi="宋体"/>
          <w:color w:val="auto"/>
          <w:sz w:val="28"/>
          <w:szCs w:val="28"/>
        </w:rPr>
        <w:t xml:space="preserve">1. </w:t>
      </w:r>
      <w:r>
        <w:rPr>
          <w:rFonts w:hint="eastAsia" w:ascii="宋体" w:hAnsi="宋体"/>
          <w:color w:val="auto"/>
          <w:sz w:val="28"/>
          <w:szCs w:val="28"/>
          <w:u w:val="single"/>
        </w:rPr>
        <w:t>（标的名称）</w:t>
      </w:r>
      <w:r>
        <w:rPr>
          <w:rFonts w:hint="eastAsia" w:ascii="宋体" w:hAnsi="宋体"/>
          <w:color w:val="auto"/>
          <w:sz w:val="28"/>
          <w:szCs w:val="28"/>
        </w:rPr>
        <w:t xml:space="preserve"> ，</w:t>
      </w:r>
      <w:r>
        <w:rPr>
          <w:rFonts w:hint="eastAsia" w:ascii="宋体" w:hAnsi="宋体"/>
          <w:b/>
          <w:color w:val="auto"/>
          <w:sz w:val="28"/>
          <w:szCs w:val="28"/>
        </w:rPr>
        <w:t>属于</w:t>
      </w:r>
      <w:r>
        <w:rPr>
          <w:rFonts w:hint="eastAsia" w:ascii="宋体" w:hAnsi="宋体"/>
          <w:b/>
          <w:color w:val="auto"/>
          <w:sz w:val="28"/>
          <w:szCs w:val="28"/>
          <w:u w:val="single"/>
        </w:rPr>
        <w:t xml:space="preserve"> 工业 </w:t>
      </w:r>
      <w:r>
        <w:rPr>
          <w:rFonts w:hint="eastAsia" w:ascii="宋体" w:hAnsi="宋体"/>
          <w:b/>
          <w:color w:val="auto"/>
          <w:sz w:val="28"/>
          <w:szCs w:val="28"/>
        </w:rPr>
        <w:t>行业</w:t>
      </w:r>
      <w:r>
        <w:rPr>
          <w:rFonts w:hint="eastAsia" w:ascii="宋体" w:hAnsi="宋体"/>
          <w:color w:val="auto"/>
          <w:sz w:val="28"/>
          <w:szCs w:val="28"/>
        </w:rPr>
        <w:t>；制造商为</w:t>
      </w:r>
      <w:r>
        <w:rPr>
          <w:rFonts w:hint="eastAsia" w:ascii="宋体" w:hAnsi="宋体"/>
          <w:color w:val="auto"/>
          <w:sz w:val="28"/>
          <w:szCs w:val="28"/>
          <w:u w:val="single"/>
        </w:rPr>
        <w:t>（企业名称）</w:t>
      </w:r>
      <w:r>
        <w:rPr>
          <w:rFonts w:hint="eastAsia" w:ascii="宋体" w:hAnsi="宋体"/>
          <w:color w:val="auto"/>
          <w:sz w:val="28"/>
          <w:szCs w:val="28"/>
        </w:rPr>
        <w:t>，从业人员</w:t>
      </w:r>
      <w:r>
        <w:rPr>
          <w:rFonts w:hint="eastAsia" w:ascii="宋体" w:hAnsi="宋体"/>
          <w:color w:val="auto"/>
          <w:sz w:val="28"/>
          <w:szCs w:val="28"/>
          <w:u w:val="single"/>
        </w:rPr>
        <w:t xml:space="preserve">      </w:t>
      </w:r>
      <w:r>
        <w:rPr>
          <w:rFonts w:hint="eastAsia" w:ascii="宋体" w:hAnsi="宋体"/>
          <w:color w:val="auto"/>
          <w:sz w:val="28"/>
          <w:szCs w:val="28"/>
        </w:rPr>
        <w:t>人，营业收入为</w:t>
      </w:r>
      <w:r>
        <w:rPr>
          <w:rFonts w:hint="eastAsia" w:ascii="宋体" w:hAnsi="宋体"/>
          <w:color w:val="auto"/>
          <w:sz w:val="28"/>
          <w:szCs w:val="28"/>
          <w:u w:val="single"/>
        </w:rPr>
        <w:t xml:space="preserve">     </w:t>
      </w:r>
      <w:r>
        <w:rPr>
          <w:rFonts w:hint="eastAsia" w:ascii="宋体" w:hAnsi="宋体"/>
          <w:color w:val="auto"/>
          <w:sz w:val="28"/>
          <w:szCs w:val="28"/>
        </w:rPr>
        <w:t>万元，资产总额为</w:t>
      </w:r>
      <w:r>
        <w:rPr>
          <w:rFonts w:hint="eastAsia" w:ascii="宋体" w:hAnsi="宋体"/>
          <w:color w:val="auto"/>
          <w:sz w:val="28"/>
          <w:szCs w:val="28"/>
          <w:u w:val="single"/>
        </w:rPr>
        <w:t xml:space="preserve">    </w:t>
      </w:r>
      <w:r>
        <w:rPr>
          <w:rFonts w:hint="eastAsia" w:ascii="Verdana" w:hAnsi="Verdana"/>
          <w:color w:val="auto"/>
          <w:sz w:val="28"/>
          <w:szCs w:val="21"/>
          <w:shd w:val="clear" w:color="auto" w:fill="FFFFFF"/>
        </w:rPr>
        <w:t>万元</w:t>
      </w:r>
      <w:r>
        <w:rPr>
          <w:rFonts w:hint="eastAsia" w:ascii="宋体" w:hAnsi="宋体"/>
          <w:color w:val="auto"/>
          <w:sz w:val="28"/>
          <w:szCs w:val="21"/>
          <w:shd w:val="clear" w:color="auto" w:fill="FFFFFF"/>
          <w:vertAlign w:val="superscript"/>
        </w:rPr>
        <w:t>1</w:t>
      </w:r>
      <w:r>
        <w:rPr>
          <w:rFonts w:hint="eastAsia" w:ascii="宋体" w:hAnsi="宋体"/>
          <w:color w:val="auto"/>
          <w:sz w:val="28"/>
          <w:szCs w:val="28"/>
        </w:rPr>
        <w:t>，属于（中型企业、小型企业、微型企业）；</w:t>
      </w:r>
    </w:p>
    <w:p>
      <w:pPr>
        <w:snapToGrid w:val="0"/>
        <w:spacing w:before="120" w:beforeLines="50" w:line="360" w:lineRule="auto"/>
        <w:ind w:firstLine="560" w:firstLineChars="200"/>
        <w:rPr>
          <w:rFonts w:ascii="宋体" w:hAnsi="宋体"/>
          <w:color w:val="auto"/>
          <w:sz w:val="28"/>
          <w:szCs w:val="28"/>
        </w:rPr>
      </w:pPr>
      <w:r>
        <w:rPr>
          <w:rFonts w:hint="eastAsia" w:ascii="宋体" w:hAnsi="宋体"/>
          <w:color w:val="auto"/>
          <w:sz w:val="28"/>
          <w:szCs w:val="28"/>
        </w:rPr>
        <w:t xml:space="preserve">2. </w:t>
      </w:r>
      <w:r>
        <w:rPr>
          <w:rFonts w:hint="eastAsia" w:ascii="宋体" w:hAnsi="宋体"/>
          <w:color w:val="auto"/>
          <w:sz w:val="28"/>
          <w:szCs w:val="28"/>
          <w:u w:val="single"/>
        </w:rPr>
        <w:t>（标的名称）</w:t>
      </w:r>
      <w:r>
        <w:rPr>
          <w:rFonts w:hint="eastAsia" w:ascii="宋体" w:hAnsi="宋体"/>
          <w:color w:val="auto"/>
          <w:sz w:val="28"/>
          <w:szCs w:val="28"/>
        </w:rPr>
        <w:t xml:space="preserve"> ，</w:t>
      </w:r>
      <w:r>
        <w:rPr>
          <w:rFonts w:hint="eastAsia" w:ascii="宋体" w:hAnsi="宋体"/>
          <w:b/>
          <w:color w:val="auto"/>
          <w:sz w:val="28"/>
          <w:szCs w:val="28"/>
        </w:rPr>
        <w:t>属于</w:t>
      </w:r>
      <w:r>
        <w:rPr>
          <w:rFonts w:hint="eastAsia" w:ascii="宋体" w:hAnsi="宋体"/>
          <w:b/>
          <w:color w:val="auto"/>
          <w:sz w:val="28"/>
          <w:szCs w:val="28"/>
          <w:u w:val="single"/>
        </w:rPr>
        <w:t xml:space="preserve"> 工业 </w:t>
      </w:r>
      <w:r>
        <w:rPr>
          <w:rFonts w:hint="eastAsia" w:ascii="宋体" w:hAnsi="宋体"/>
          <w:b/>
          <w:color w:val="auto"/>
          <w:sz w:val="28"/>
          <w:szCs w:val="28"/>
        </w:rPr>
        <w:t>行业</w:t>
      </w:r>
      <w:r>
        <w:rPr>
          <w:rFonts w:hint="eastAsia" w:ascii="宋体" w:hAnsi="宋体"/>
          <w:color w:val="auto"/>
          <w:sz w:val="28"/>
          <w:szCs w:val="28"/>
        </w:rPr>
        <w:t>；制造商为</w:t>
      </w:r>
      <w:r>
        <w:rPr>
          <w:rFonts w:hint="eastAsia" w:ascii="宋体" w:hAnsi="宋体"/>
          <w:color w:val="auto"/>
          <w:sz w:val="28"/>
          <w:szCs w:val="28"/>
          <w:u w:val="single"/>
        </w:rPr>
        <w:t>（企业名称）</w:t>
      </w:r>
      <w:r>
        <w:rPr>
          <w:rFonts w:hint="eastAsia" w:ascii="宋体" w:hAnsi="宋体"/>
          <w:color w:val="auto"/>
          <w:sz w:val="28"/>
          <w:szCs w:val="28"/>
        </w:rPr>
        <w:t>，从业人员</w:t>
      </w:r>
      <w:r>
        <w:rPr>
          <w:rFonts w:hint="eastAsia" w:ascii="宋体" w:hAnsi="宋体"/>
          <w:color w:val="auto"/>
          <w:sz w:val="28"/>
          <w:szCs w:val="28"/>
          <w:u w:val="single"/>
        </w:rPr>
        <w:t xml:space="preserve">   </w:t>
      </w:r>
      <w:r>
        <w:rPr>
          <w:rFonts w:hint="eastAsia" w:ascii="宋体" w:hAnsi="宋体"/>
          <w:color w:val="auto"/>
          <w:sz w:val="28"/>
          <w:szCs w:val="28"/>
        </w:rPr>
        <w:t>人，营业收入为</w:t>
      </w:r>
      <w:r>
        <w:rPr>
          <w:rFonts w:hint="eastAsia" w:ascii="宋体" w:hAnsi="宋体"/>
          <w:color w:val="auto"/>
          <w:sz w:val="28"/>
          <w:szCs w:val="28"/>
          <w:u w:val="single"/>
        </w:rPr>
        <w:t xml:space="preserve">   </w:t>
      </w:r>
      <w:r>
        <w:rPr>
          <w:rFonts w:hint="eastAsia" w:ascii="宋体" w:hAnsi="宋体"/>
          <w:color w:val="auto"/>
          <w:sz w:val="28"/>
          <w:szCs w:val="28"/>
        </w:rPr>
        <w:t>万元，资产总额为</w:t>
      </w:r>
      <w:r>
        <w:rPr>
          <w:rFonts w:hint="eastAsia" w:ascii="宋体" w:hAnsi="宋体"/>
          <w:color w:val="auto"/>
          <w:sz w:val="28"/>
          <w:szCs w:val="28"/>
          <w:u w:val="single"/>
        </w:rPr>
        <w:t xml:space="preserve">    </w:t>
      </w:r>
      <w:r>
        <w:rPr>
          <w:rFonts w:hint="eastAsia" w:ascii="宋体" w:hAnsi="宋体"/>
          <w:color w:val="auto"/>
          <w:sz w:val="28"/>
          <w:szCs w:val="28"/>
        </w:rPr>
        <w:t>万元，属于（中型企业、小型企业、微型企业）；</w:t>
      </w:r>
    </w:p>
    <w:p>
      <w:pPr>
        <w:snapToGrid w:val="0"/>
        <w:spacing w:before="120" w:beforeLines="50" w:line="360" w:lineRule="auto"/>
        <w:ind w:firstLine="560" w:firstLineChars="200"/>
        <w:rPr>
          <w:rFonts w:ascii="宋体" w:hAnsi="宋体"/>
          <w:color w:val="auto"/>
          <w:sz w:val="28"/>
          <w:szCs w:val="28"/>
        </w:rPr>
      </w:pPr>
      <w:r>
        <w:rPr>
          <w:rFonts w:hint="eastAsia" w:ascii="宋体" w:hAnsi="宋体"/>
          <w:color w:val="auto"/>
          <w:sz w:val="28"/>
          <w:szCs w:val="28"/>
        </w:rPr>
        <w:t>……</w:t>
      </w:r>
    </w:p>
    <w:p>
      <w:pPr>
        <w:snapToGrid w:val="0"/>
        <w:spacing w:before="120" w:beforeLines="50" w:line="360" w:lineRule="auto"/>
        <w:ind w:firstLine="560" w:firstLineChars="200"/>
        <w:rPr>
          <w:rFonts w:ascii="宋体" w:hAnsi="宋体"/>
          <w:color w:val="auto"/>
          <w:sz w:val="28"/>
          <w:szCs w:val="28"/>
        </w:rPr>
      </w:pPr>
      <w:r>
        <w:rPr>
          <w:rFonts w:hint="eastAsia" w:ascii="宋体" w:hAnsi="宋体"/>
          <w:color w:val="auto"/>
          <w:sz w:val="28"/>
          <w:szCs w:val="28"/>
        </w:rPr>
        <w:t>以上企业，不属于大企业的分支机构，不存在控股股东为大企业的情形，也不存在与大企业的负责人为同一人的情形。</w:t>
      </w:r>
    </w:p>
    <w:p>
      <w:pPr>
        <w:snapToGrid w:val="0"/>
        <w:spacing w:before="120" w:beforeLines="50" w:line="360" w:lineRule="auto"/>
        <w:ind w:firstLine="560" w:firstLineChars="200"/>
        <w:rPr>
          <w:rFonts w:ascii="宋体" w:hAnsi="宋体"/>
          <w:color w:val="auto"/>
          <w:sz w:val="28"/>
          <w:szCs w:val="28"/>
        </w:rPr>
      </w:pPr>
      <w:r>
        <w:rPr>
          <w:rFonts w:hint="eastAsia" w:ascii="宋体" w:hAnsi="宋体"/>
          <w:color w:val="auto"/>
          <w:sz w:val="28"/>
          <w:szCs w:val="28"/>
        </w:rPr>
        <w:t>本企业对上述声明内容的真实性负责。如有虚假，将依法承担相应责任。</w:t>
      </w:r>
    </w:p>
    <w:p>
      <w:pPr>
        <w:snapToGrid w:val="0"/>
        <w:spacing w:before="120" w:beforeLines="50" w:line="360" w:lineRule="auto"/>
        <w:ind w:firstLine="560" w:firstLineChars="200"/>
        <w:jc w:val="right"/>
        <w:rPr>
          <w:rFonts w:ascii="宋体" w:hAnsi="宋体"/>
          <w:color w:val="auto"/>
          <w:sz w:val="28"/>
          <w:szCs w:val="28"/>
        </w:rPr>
      </w:pPr>
      <w:r>
        <w:rPr>
          <w:rFonts w:hint="eastAsia" w:ascii="宋体" w:hAnsi="宋体"/>
          <w:color w:val="auto"/>
          <w:sz w:val="28"/>
          <w:szCs w:val="28"/>
        </w:rPr>
        <w:t>企业名称（盖章）：</w:t>
      </w:r>
    </w:p>
    <w:p>
      <w:pPr>
        <w:spacing w:before="120" w:beforeLines="50"/>
        <w:ind w:firstLine="560" w:firstLineChars="200"/>
        <w:jc w:val="right"/>
        <w:rPr>
          <w:rFonts w:ascii="宋体" w:hAnsi="宋体"/>
          <w:color w:val="auto"/>
          <w:sz w:val="28"/>
          <w:szCs w:val="28"/>
        </w:rPr>
      </w:pPr>
      <w:r>
        <w:rPr>
          <w:rFonts w:hint="eastAsia" w:ascii="宋体" w:hAnsi="宋体"/>
          <w:color w:val="auto"/>
          <w:sz w:val="28"/>
          <w:szCs w:val="28"/>
        </w:rPr>
        <w:t>日 期：</w:t>
      </w:r>
    </w:p>
    <w:p>
      <w:pPr>
        <w:pStyle w:val="16"/>
        <w:rPr>
          <w:color w:val="auto"/>
        </w:rPr>
      </w:pPr>
    </w:p>
    <w:p>
      <w:pPr>
        <w:pStyle w:val="16"/>
        <w:rPr>
          <w:color w:val="auto"/>
          <w:sz w:val="15"/>
        </w:rPr>
      </w:pPr>
      <w:r>
        <w:rPr>
          <w:rFonts w:hint="eastAsia" w:ascii="宋体" w:hAnsi="宋体"/>
          <w:color w:val="auto"/>
          <w:sz w:val="28"/>
          <w:szCs w:val="21"/>
          <w:shd w:val="clear" w:color="auto" w:fill="FFFFFF"/>
          <w:vertAlign w:val="superscript"/>
        </w:rPr>
        <w:t>1</w:t>
      </w:r>
      <w:r>
        <w:rPr>
          <w:rFonts w:hint="eastAsia" w:ascii="宋体" w:hAnsi="宋体"/>
          <w:color w:val="auto"/>
          <w:sz w:val="20"/>
          <w:szCs w:val="21"/>
          <w:shd w:val="clear" w:color="auto" w:fill="FFFFFF"/>
        </w:rPr>
        <w:t>从业人员、营业收入、资产总额填报上一年度数据，无上一年度数据的新成立企业可不填报。</w:t>
      </w:r>
    </w:p>
    <w:p>
      <w:pPr>
        <w:widowControl/>
        <w:jc w:val="left"/>
        <w:rPr>
          <w:rFonts w:ascii="宋体" w:hAnsi="宋体"/>
          <w:b/>
          <w:bCs/>
          <w:color w:val="auto"/>
          <w:sz w:val="32"/>
          <w:szCs w:val="28"/>
        </w:rPr>
      </w:pPr>
      <w:r>
        <w:rPr>
          <w:rFonts w:ascii="宋体" w:hAnsi="宋体"/>
          <w:color w:val="auto"/>
          <w:szCs w:val="28"/>
        </w:rPr>
        <w:br w:type="page"/>
      </w:r>
    </w:p>
    <w:p>
      <w:pPr>
        <w:pStyle w:val="4"/>
        <w:spacing w:before="0" w:after="0" w:line="360" w:lineRule="auto"/>
        <w:jc w:val="center"/>
        <w:rPr>
          <w:rFonts w:ascii="宋体" w:hAnsi="宋体" w:eastAsia="宋体"/>
          <w:color w:val="auto"/>
          <w:szCs w:val="28"/>
        </w:rPr>
      </w:pPr>
      <w:r>
        <w:rPr>
          <w:rFonts w:hint="eastAsia" w:ascii="宋体" w:hAnsi="宋体" w:eastAsia="宋体"/>
          <w:color w:val="auto"/>
          <w:szCs w:val="28"/>
        </w:rPr>
        <w:t>十二、残疾人福利性单位声明函</w:t>
      </w:r>
      <w:bookmarkEnd w:id="185"/>
      <w:bookmarkEnd w:id="186"/>
    </w:p>
    <w:p>
      <w:pPr>
        <w:adjustRightInd w:val="0"/>
        <w:spacing w:line="360" w:lineRule="auto"/>
        <w:ind w:firstLine="480" w:firstLineChars="200"/>
        <w:jc w:val="left"/>
        <w:rPr>
          <w:rFonts w:hAnsi="宋体"/>
          <w:bCs/>
          <w:color w:val="auto"/>
          <w:sz w:val="24"/>
        </w:rPr>
      </w:pPr>
    </w:p>
    <w:p>
      <w:pPr>
        <w:adjustRightInd w:val="0"/>
        <w:spacing w:line="360" w:lineRule="auto"/>
        <w:ind w:firstLine="480" w:firstLineChars="200"/>
        <w:jc w:val="left"/>
        <w:rPr>
          <w:rFonts w:hAnsi="宋体"/>
          <w:bCs/>
          <w:color w:val="auto"/>
          <w:sz w:val="24"/>
        </w:rPr>
      </w:pPr>
      <w:r>
        <w:rPr>
          <w:rFonts w:hint="eastAsia" w:hAnsi="宋体"/>
          <w:bCs/>
          <w:color w:val="auto"/>
          <w:sz w:val="24"/>
        </w:rPr>
        <w:t>本单位郑重声明，根据《财政部民政部中国残疾人联合会关于促进残疾人就业政府采购政策的通知》（财库〔2017〕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adjustRightInd w:val="0"/>
        <w:spacing w:line="360" w:lineRule="auto"/>
        <w:ind w:firstLine="480" w:firstLineChars="200"/>
        <w:jc w:val="left"/>
        <w:rPr>
          <w:rFonts w:hAnsi="宋体"/>
          <w:bCs/>
          <w:color w:val="auto"/>
          <w:sz w:val="24"/>
        </w:rPr>
      </w:pPr>
      <w:r>
        <w:rPr>
          <w:rFonts w:hint="eastAsia" w:hAnsi="宋体"/>
          <w:bCs/>
          <w:color w:val="auto"/>
          <w:sz w:val="24"/>
        </w:rPr>
        <w:t>本单位对上述声明的真实性负责。如有虚假，将依法承担相应责任。</w:t>
      </w:r>
    </w:p>
    <w:p>
      <w:pPr>
        <w:adjustRightInd w:val="0"/>
        <w:spacing w:line="360" w:lineRule="auto"/>
        <w:jc w:val="left"/>
        <w:rPr>
          <w:rFonts w:hAnsi="宋体"/>
          <w:bCs/>
          <w:color w:val="auto"/>
          <w:sz w:val="24"/>
        </w:rPr>
      </w:pPr>
    </w:p>
    <w:p>
      <w:pPr>
        <w:adjustRightInd w:val="0"/>
        <w:spacing w:line="360" w:lineRule="auto"/>
        <w:jc w:val="left"/>
        <w:rPr>
          <w:rFonts w:hAnsi="宋体"/>
          <w:bCs/>
          <w:color w:val="auto"/>
          <w:sz w:val="24"/>
        </w:rPr>
      </w:pPr>
    </w:p>
    <w:p>
      <w:pPr>
        <w:adjustRightInd w:val="0"/>
        <w:spacing w:line="360" w:lineRule="auto"/>
        <w:jc w:val="left"/>
        <w:rPr>
          <w:rFonts w:hAnsi="宋体"/>
          <w:bCs/>
          <w:color w:val="auto"/>
          <w:sz w:val="24"/>
        </w:rPr>
      </w:pPr>
      <w:r>
        <w:rPr>
          <w:rFonts w:hint="eastAsia" w:hAnsi="宋体"/>
          <w:bCs/>
          <w:color w:val="auto"/>
          <w:sz w:val="24"/>
        </w:rPr>
        <w:t>单位名称（盖章）：</w:t>
      </w:r>
    </w:p>
    <w:p>
      <w:pPr>
        <w:adjustRightInd w:val="0"/>
        <w:spacing w:line="360" w:lineRule="auto"/>
        <w:jc w:val="left"/>
        <w:rPr>
          <w:rFonts w:hAnsi="宋体"/>
          <w:bCs/>
          <w:color w:val="auto"/>
          <w:sz w:val="24"/>
        </w:rPr>
      </w:pPr>
      <w:r>
        <w:rPr>
          <w:rFonts w:hint="eastAsia" w:hAnsi="宋体"/>
          <w:bCs/>
          <w:color w:val="auto"/>
          <w:sz w:val="24"/>
        </w:rPr>
        <w:t>日期：</w:t>
      </w:r>
    </w:p>
    <w:p>
      <w:pPr>
        <w:pStyle w:val="4"/>
        <w:spacing w:before="0" w:after="0" w:line="360" w:lineRule="auto"/>
        <w:jc w:val="center"/>
        <w:rPr>
          <w:rFonts w:ascii="宋体" w:hAnsi="宋体" w:eastAsia="宋体"/>
          <w:color w:val="auto"/>
          <w:szCs w:val="28"/>
        </w:rPr>
      </w:pPr>
      <w:bookmarkStart w:id="187" w:name="_Toc217446093"/>
      <w:r>
        <w:rPr>
          <w:rFonts w:ascii="宋体" w:hAnsi="宋体"/>
          <w:color w:val="auto"/>
          <w:sz w:val="36"/>
          <w:szCs w:val="36"/>
        </w:rPr>
        <w:br w:type="page"/>
      </w:r>
      <w:r>
        <w:rPr>
          <w:rFonts w:hint="eastAsia" w:ascii="宋体" w:hAnsi="宋体" w:eastAsia="宋体"/>
          <w:color w:val="auto"/>
          <w:szCs w:val="28"/>
        </w:rPr>
        <w:t>十三、申明函</w:t>
      </w:r>
    </w:p>
    <w:p>
      <w:pPr>
        <w:spacing w:line="360" w:lineRule="auto"/>
        <w:rPr>
          <w:color w:val="auto"/>
        </w:rPr>
      </w:pPr>
    </w:p>
    <w:p>
      <w:pPr>
        <w:spacing w:line="360" w:lineRule="auto"/>
        <w:rPr>
          <w:color w:val="auto"/>
        </w:rPr>
      </w:pPr>
    </w:p>
    <w:p>
      <w:pPr>
        <w:spacing w:line="360" w:lineRule="auto"/>
        <w:rPr>
          <w:rFonts w:hAnsi="宋体"/>
          <w:bCs/>
          <w:color w:val="auto"/>
          <w:sz w:val="24"/>
        </w:rPr>
      </w:pPr>
      <w:r>
        <w:rPr>
          <w:rFonts w:hint="eastAsia" w:hAnsi="宋体"/>
          <w:bCs/>
          <w:color w:val="auto"/>
          <w:sz w:val="24"/>
        </w:rPr>
        <w:t>成都盈合工程项目管理有限公司：</w:t>
      </w:r>
    </w:p>
    <w:p>
      <w:pPr>
        <w:spacing w:line="360" w:lineRule="auto"/>
        <w:ind w:firstLine="480" w:firstLineChars="200"/>
        <w:rPr>
          <w:rFonts w:hAnsi="宋体"/>
          <w:bCs/>
          <w:color w:val="auto"/>
          <w:sz w:val="24"/>
        </w:rPr>
      </w:pPr>
      <w:r>
        <w:rPr>
          <w:rFonts w:hint="eastAsia" w:hAnsi="宋体"/>
          <w:bCs/>
          <w:color w:val="auto"/>
          <w:sz w:val="24"/>
        </w:rPr>
        <w:t>在参与本次政府采购活动前，我公司存在</w:t>
      </w:r>
      <w:r>
        <w:rPr>
          <w:rFonts w:hint="eastAsia" w:hAnsi="宋体"/>
          <w:bCs/>
          <w:color w:val="auto"/>
          <w:sz w:val="24"/>
          <w:u w:val="single"/>
        </w:rPr>
        <w:t xml:space="preserve">       </w:t>
      </w:r>
      <w:r>
        <w:rPr>
          <w:rFonts w:hint="eastAsia" w:hAnsi="宋体"/>
          <w:bCs/>
          <w:color w:val="auto"/>
          <w:sz w:val="24"/>
        </w:rPr>
        <w:t>（大写）次按照《四川省政府采购当事人诚信管理办法》（川财采[2015]33号）规定被记入诚信档案的失信行为，如我公司此申明函内容与事实存在不符的，由我公司自行承担由此带来的一切法律后果。</w:t>
      </w:r>
    </w:p>
    <w:p>
      <w:pPr>
        <w:pStyle w:val="2"/>
        <w:ind w:firstLine="210"/>
        <w:rPr>
          <w:color w:val="auto"/>
        </w:rPr>
      </w:pPr>
    </w:p>
    <w:p>
      <w:pPr>
        <w:pStyle w:val="2"/>
        <w:ind w:firstLine="210"/>
        <w:rPr>
          <w:color w:val="auto"/>
        </w:rPr>
      </w:pPr>
    </w:p>
    <w:p>
      <w:pPr>
        <w:spacing w:line="360" w:lineRule="auto"/>
        <w:rPr>
          <w:rFonts w:hAnsi="宋体"/>
          <w:bCs/>
          <w:color w:val="auto"/>
          <w:sz w:val="24"/>
        </w:rPr>
      </w:pPr>
      <w:r>
        <w:rPr>
          <w:rFonts w:hint="eastAsia" w:hAnsi="宋体"/>
          <w:bCs/>
          <w:color w:val="auto"/>
          <w:sz w:val="24"/>
        </w:rPr>
        <w:t>投标人名称：XXXX（单位公章）。</w:t>
      </w:r>
    </w:p>
    <w:p>
      <w:pPr>
        <w:spacing w:line="360" w:lineRule="auto"/>
        <w:rPr>
          <w:rFonts w:hAnsi="宋体"/>
          <w:bCs/>
          <w:color w:val="auto"/>
          <w:sz w:val="24"/>
        </w:rPr>
      </w:pPr>
      <w:r>
        <w:rPr>
          <w:rFonts w:hint="eastAsia" w:hAnsi="宋体"/>
          <w:bCs/>
          <w:color w:val="auto"/>
          <w:sz w:val="24"/>
        </w:rPr>
        <w:t>法定代表人或授权代表（签字或加盖个人名章）：XXXX。</w:t>
      </w:r>
    </w:p>
    <w:p>
      <w:pPr>
        <w:spacing w:line="360" w:lineRule="auto"/>
        <w:rPr>
          <w:rFonts w:ascii="宋体" w:hAnsi="宋体"/>
          <w:color w:val="auto"/>
          <w:sz w:val="36"/>
          <w:szCs w:val="36"/>
        </w:rPr>
      </w:pPr>
      <w:r>
        <w:rPr>
          <w:rFonts w:hint="eastAsia" w:hAnsi="宋体"/>
          <w:bCs/>
          <w:color w:val="auto"/>
          <w:sz w:val="24"/>
        </w:rPr>
        <w:t>日期：</w:t>
      </w:r>
    </w:p>
    <w:p>
      <w:pPr>
        <w:widowControl/>
        <w:jc w:val="left"/>
        <w:rPr>
          <w:rFonts w:ascii="宋体" w:hAnsi="宋体"/>
          <w:color w:val="auto"/>
          <w:sz w:val="36"/>
          <w:szCs w:val="36"/>
        </w:rPr>
      </w:pPr>
      <w:r>
        <w:rPr>
          <w:rFonts w:ascii="宋体" w:hAnsi="宋体"/>
          <w:color w:val="auto"/>
          <w:sz w:val="36"/>
          <w:szCs w:val="36"/>
        </w:rPr>
        <w:br w:type="page"/>
      </w:r>
    </w:p>
    <w:p>
      <w:pPr>
        <w:pStyle w:val="5"/>
        <w:spacing w:line="400" w:lineRule="exact"/>
        <w:ind w:firstLine="643" w:firstLineChars="200"/>
        <w:jc w:val="center"/>
        <w:rPr>
          <w:rFonts w:ascii="宋体" w:hAnsi="宋体"/>
          <w:color w:val="auto"/>
          <w:szCs w:val="28"/>
        </w:rPr>
      </w:pPr>
      <w:r>
        <w:rPr>
          <w:rFonts w:hint="eastAsia" w:ascii="宋体" w:hAnsi="宋体"/>
          <w:color w:val="auto"/>
          <w:szCs w:val="28"/>
        </w:rPr>
        <w:t>十四、强制采购节能产品承诺函（若适用）</w:t>
      </w:r>
    </w:p>
    <w:p>
      <w:pPr>
        <w:spacing w:line="360" w:lineRule="auto"/>
        <w:rPr>
          <w:color w:val="auto"/>
        </w:rPr>
      </w:pPr>
    </w:p>
    <w:p>
      <w:pPr>
        <w:spacing w:line="360" w:lineRule="auto"/>
        <w:rPr>
          <w:color w:val="auto"/>
        </w:rPr>
      </w:pPr>
    </w:p>
    <w:p>
      <w:pPr>
        <w:spacing w:line="360" w:lineRule="auto"/>
        <w:rPr>
          <w:rFonts w:hAnsi="宋体"/>
          <w:bCs/>
          <w:color w:val="auto"/>
          <w:sz w:val="24"/>
        </w:rPr>
      </w:pPr>
      <w:r>
        <w:rPr>
          <w:rFonts w:hint="eastAsia" w:hAnsi="宋体"/>
          <w:bCs/>
          <w:color w:val="auto"/>
          <w:sz w:val="24"/>
        </w:rPr>
        <w:t>成都盈合工程项目管理有限公司：</w:t>
      </w:r>
    </w:p>
    <w:p>
      <w:pPr>
        <w:spacing w:line="360" w:lineRule="auto"/>
        <w:ind w:firstLine="480" w:firstLineChars="200"/>
        <w:rPr>
          <w:rFonts w:hAnsi="宋体"/>
          <w:bCs/>
          <w:color w:val="auto"/>
          <w:sz w:val="24"/>
        </w:rPr>
      </w:pPr>
      <w:r>
        <w:rPr>
          <w:rFonts w:hint="eastAsia" w:hAnsi="宋体"/>
          <w:bCs/>
          <w:color w:val="auto"/>
          <w:sz w:val="24"/>
        </w:rPr>
        <w:t>我公司承诺若有幸中标，将在采购合同签订前向采购人提供投标产品中所有强制节能产品的有效节能产品认证证书，否则视为自动放弃中标资格。</w:t>
      </w:r>
    </w:p>
    <w:p>
      <w:pPr>
        <w:pStyle w:val="2"/>
        <w:ind w:firstLine="210"/>
        <w:rPr>
          <w:color w:val="auto"/>
        </w:rPr>
      </w:pPr>
    </w:p>
    <w:p>
      <w:pPr>
        <w:pStyle w:val="2"/>
        <w:ind w:firstLine="210"/>
        <w:rPr>
          <w:color w:val="auto"/>
        </w:rPr>
      </w:pPr>
    </w:p>
    <w:p>
      <w:pPr>
        <w:spacing w:line="360" w:lineRule="auto"/>
        <w:rPr>
          <w:color w:val="auto"/>
        </w:rPr>
      </w:pPr>
      <w:r>
        <w:rPr>
          <w:rFonts w:hint="eastAsia"/>
          <w:color w:val="auto"/>
        </w:rPr>
        <w:t>投标人名称：XXXX（单位公章）。</w:t>
      </w:r>
    </w:p>
    <w:p>
      <w:pPr>
        <w:spacing w:line="360" w:lineRule="auto"/>
        <w:rPr>
          <w:color w:val="auto"/>
        </w:rPr>
      </w:pPr>
      <w:r>
        <w:rPr>
          <w:rFonts w:hint="eastAsia"/>
          <w:color w:val="auto"/>
        </w:rPr>
        <w:t>法定代表人或授权代表（签字或加盖个人名章）：XXXX。</w:t>
      </w:r>
    </w:p>
    <w:p>
      <w:pPr>
        <w:widowControl/>
        <w:spacing w:line="360" w:lineRule="atLeast"/>
        <w:jc w:val="left"/>
        <w:outlineLvl w:val="1"/>
        <w:rPr>
          <w:rFonts w:ascii="宋体" w:hAnsi="宋体"/>
          <w:color w:val="auto"/>
          <w:sz w:val="36"/>
          <w:szCs w:val="36"/>
        </w:rPr>
      </w:pPr>
      <w:r>
        <w:rPr>
          <w:rFonts w:hint="eastAsia"/>
          <w:color w:val="auto"/>
        </w:rPr>
        <w:t>日    期：XXXX。</w:t>
      </w:r>
    </w:p>
    <w:p>
      <w:pPr>
        <w:pStyle w:val="3"/>
        <w:spacing w:line="240" w:lineRule="atLeast"/>
        <w:jc w:val="center"/>
        <w:rPr>
          <w:rFonts w:ascii="宋体" w:hAnsi="宋体"/>
          <w:color w:val="auto"/>
          <w:sz w:val="36"/>
          <w:szCs w:val="36"/>
        </w:rPr>
        <w:sectPr>
          <w:footerReference r:id="rId3" w:type="default"/>
          <w:type w:val="nextColumn"/>
          <w:pgSz w:w="11906" w:h="16838"/>
          <w:pgMar w:top="1134" w:right="1134" w:bottom="1134" w:left="1134" w:header="851" w:footer="992" w:gutter="0"/>
          <w:cols w:space="720" w:num="1"/>
          <w:docGrid w:linePitch="312" w:charSpace="0"/>
        </w:sectPr>
      </w:pPr>
      <w:r>
        <w:rPr>
          <w:rFonts w:ascii="宋体" w:hAnsi="宋体"/>
          <w:color w:val="auto"/>
          <w:sz w:val="36"/>
          <w:szCs w:val="36"/>
        </w:rPr>
        <w:br w:type="page"/>
      </w:r>
    </w:p>
    <w:p>
      <w:pPr>
        <w:pStyle w:val="3"/>
        <w:spacing w:line="240" w:lineRule="atLeast"/>
        <w:jc w:val="center"/>
        <w:rPr>
          <w:rFonts w:ascii="宋体" w:hAnsi="宋体"/>
          <w:color w:val="auto"/>
          <w:sz w:val="36"/>
          <w:szCs w:val="36"/>
        </w:rPr>
      </w:pPr>
      <w:bookmarkStart w:id="188" w:name="_Toc65154644"/>
      <w:r>
        <w:rPr>
          <w:rFonts w:hint="eastAsia" w:ascii="宋体" w:hAnsi="宋体"/>
          <w:color w:val="auto"/>
          <w:sz w:val="36"/>
          <w:szCs w:val="36"/>
        </w:rPr>
        <w:t>第四章  招标项目技术、服务、政府采购合同内容条款及其他商务要求</w:t>
      </w:r>
      <w:bookmarkEnd w:id="187"/>
      <w:bookmarkEnd w:id="188"/>
    </w:p>
    <w:p>
      <w:pPr>
        <w:rPr>
          <w:b/>
          <w:color w:val="auto"/>
          <w:sz w:val="30"/>
          <w:szCs w:val="30"/>
        </w:rPr>
      </w:pPr>
      <w:bookmarkStart w:id="189" w:name="_Toc183582280"/>
      <w:bookmarkStart w:id="190" w:name="_Toc183682415"/>
      <w:bookmarkStart w:id="191" w:name="_Toc208849007"/>
      <w:bookmarkStart w:id="192" w:name="_Toc217446097"/>
      <w:r>
        <w:rPr>
          <w:rFonts w:hint="eastAsia"/>
          <w:b/>
          <w:color w:val="auto"/>
          <w:sz w:val="30"/>
          <w:szCs w:val="30"/>
        </w:rPr>
        <w:t>一、技术要求</w:t>
      </w:r>
    </w:p>
    <w:p>
      <w:pPr>
        <w:jc w:val="center"/>
        <w:rPr>
          <w:b/>
          <w:color w:val="auto"/>
          <w:sz w:val="30"/>
          <w:szCs w:val="30"/>
        </w:rPr>
      </w:pPr>
      <w:r>
        <w:rPr>
          <w:rFonts w:hint="eastAsia"/>
          <w:b/>
          <w:color w:val="auto"/>
          <w:sz w:val="30"/>
          <w:szCs w:val="30"/>
        </w:rPr>
        <w:t>第一包 成都2021年第31届世界大学生夏季运动会射击竞赛专项器材采购</w:t>
      </w:r>
    </w:p>
    <w:tbl>
      <w:tblPr>
        <w:tblStyle w:val="34"/>
        <w:tblW w:w="14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2020"/>
        <w:gridCol w:w="4180"/>
        <w:gridCol w:w="700"/>
        <w:gridCol w:w="847"/>
        <w:gridCol w:w="1053"/>
        <w:gridCol w:w="5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1080" w:type="dxa"/>
            <w:vMerge w:val="restart"/>
            <w:shd w:val="clear" w:color="auto" w:fill="auto"/>
            <w:noWrap/>
            <w:vAlign w:val="center"/>
          </w:tcPr>
          <w:p>
            <w:pPr>
              <w:widowControl/>
              <w:jc w:val="center"/>
              <w:rPr>
                <w:rFonts w:ascii="宋体" w:hAnsi="宋体"/>
                <w:b/>
                <w:bCs/>
                <w:color w:val="auto"/>
                <w:kern w:val="0"/>
                <w:sz w:val="24"/>
              </w:rPr>
            </w:pPr>
            <w:r>
              <w:rPr>
                <w:rFonts w:hint="eastAsia" w:ascii="宋体" w:hAnsi="宋体"/>
                <w:b/>
                <w:bCs/>
                <w:color w:val="auto"/>
                <w:kern w:val="0"/>
                <w:sz w:val="24"/>
              </w:rPr>
              <w:t>序号</w:t>
            </w:r>
          </w:p>
        </w:tc>
        <w:tc>
          <w:tcPr>
            <w:tcW w:w="2020" w:type="dxa"/>
            <w:vMerge w:val="restart"/>
            <w:shd w:val="clear" w:color="auto" w:fill="auto"/>
            <w:vAlign w:val="center"/>
          </w:tcPr>
          <w:p>
            <w:pPr>
              <w:widowControl/>
              <w:jc w:val="center"/>
              <w:rPr>
                <w:rFonts w:ascii="宋体" w:hAnsi="宋体"/>
                <w:b/>
                <w:bCs/>
                <w:color w:val="auto"/>
                <w:kern w:val="0"/>
                <w:sz w:val="24"/>
              </w:rPr>
            </w:pPr>
            <w:r>
              <w:rPr>
                <w:rFonts w:hint="eastAsia" w:ascii="宋体" w:hAnsi="宋体"/>
                <w:b/>
                <w:bCs/>
                <w:color w:val="auto"/>
                <w:kern w:val="0"/>
                <w:sz w:val="24"/>
              </w:rPr>
              <w:t>器材名称</w:t>
            </w:r>
          </w:p>
        </w:tc>
        <w:tc>
          <w:tcPr>
            <w:tcW w:w="4180" w:type="dxa"/>
            <w:vMerge w:val="restart"/>
            <w:shd w:val="clear" w:color="auto" w:fill="auto"/>
            <w:vAlign w:val="center"/>
          </w:tcPr>
          <w:p>
            <w:pPr>
              <w:widowControl/>
              <w:jc w:val="center"/>
              <w:rPr>
                <w:rFonts w:ascii="宋体" w:hAnsi="宋体" w:cs="宋体"/>
                <w:b/>
                <w:bCs/>
                <w:color w:val="auto"/>
                <w:kern w:val="0"/>
                <w:sz w:val="24"/>
              </w:rPr>
            </w:pPr>
            <w:r>
              <w:rPr>
                <w:rFonts w:hint="eastAsia" w:ascii="宋体" w:hAnsi="宋体" w:cs="宋体"/>
                <w:b/>
                <w:bCs/>
                <w:color w:val="auto"/>
                <w:kern w:val="0"/>
                <w:sz w:val="24"/>
              </w:rPr>
              <w:t>技术参数要求</w:t>
            </w:r>
          </w:p>
        </w:tc>
        <w:tc>
          <w:tcPr>
            <w:tcW w:w="700" w:type="dxa"/>
            <w:vMerge w:val="restart"/>
            <w:shd w:val="clear" w:color="auto" w:fill="auto"/>
            <w:vAlign w:val="center"/>
          </w:tcPr>
          <w:p>
            <w:pPr>
              <w:widowControl/>
              <w:jc w:val="center"/>
              <w:rPr>
                <w:rFonts w:ascii="宋体" w:hAnsi="宋体"/>
                <w:b/>
                <w:bCs/>
                <w:color w:val="auto"/>
                <w:kern w:val="0"/>
                <w:sz w:val="24"/>
              </w:rPr>
            </w:pPr>
            <w:r>
              <w:rPr>
                <w:rFonts w:hint="eastAsia" w:ascii="宋体" w:hAnsi="宋体"/>
                <w:b/>
                <w:bCs/>
                <w:color w:val="auto"/>
                <w:kern w:val="0"/>
                <w:sz w:val="24"/>
              </w:rPr>
              <w:t>单位</w:t>
            </w:r>
          </w:p>
        </w:tc>
        <w:tc>
          <w:tcPr>
            <w:tcW w:w="847" w:type="dxa"/>
            <w:vMerge w:val="restart"/>
            <w:shd w:val="clear" w:color="auto" w:fill="auto"/>
            <w:vAlign w:val="center"/>
          </w:tcPr>
          <w:p>
            <w:pPr>
              <w:widowControl/>
              <w:jc w:val="center"/>
              <w:rPr>
                <w:rFonts w:ascii="宋体" w:hAnsi="宋体"/>
                <w:b/>
                <w:bCs/>
                <w:color w:val="auto"/>
                <w:kern w:val="0"/>
                <w:sz w:val="24"/>
              </w:rPr>
            </w:pPr>
            <w:r>
              <w:rPr>
                <w:rFonts w:hint="eastAsia" w:ascii="宋体" w:hAnsi="宋体"/>
                <w:b/>
                <w:bCs/>
                <w:color w:val="auto"/>
                <w:kern w:val="0"/>
                <w:sz w:val="24"/>
              </w:rPr>
              <w:t>数量</w:t>
            </w:r>
          </w:p>
        </w:tc>
        <w:tc>
          <w:tcPr>
            <w:tcW w:w="1053" w:type="dxa"/>
            <w:vMerge w:val="restart"/>
            <w:shd w:val="clear" w:color="auto" w:fill="auto"/>
            <w:vAlign w:val="center"/>
          </w:tcPr>
          <w:p>
            <w:pPr>
              <w:widowControl/>
              <w:jc w:val="center"/>
              <w:rPr>
                <w:rFonts w:ascii="宋体" w:hAnsi="宋体"/>
                <w:b/>
                <w:bCs/>
                <w:color w:val="auto"/>
                <w:kern w:val="0"/>
                <w:sz w:val="24"/>
              </w:rPr>
            </w:pPr>
            <w:r>
              <w:rPr>
                <w:rFonts w:hint="eastAsia" w:ascii="宋体" w:hAnsi="宋体"/>
                <w:b/>
                <w:bCs/>
                <w:color w:val="auto"/>
                <w:kern w:val="0"/>
                <w:sz w:val="24"/>
              </w:rPr>
              <w:t>其他备注</w:t>
            </w:r>
          </w:p>
        </w:tc>
        <w:tc>
          <w:tcPr>
            <w:tcW w:w="5080" w:type="dxa"/>
            <w:vMerge w:val="restart"/>
            <w:shd w:val="clear" w:color="auto" w:fill="auto"/>
            <w:vAlign w:val="center"/>
          </w:tcPr>
          <w:p>
            <w:pPr>
              <w:widowControl/>
              <w:jc w:val="center"/>
              <w:rPr>
                <w:rFonts w:ascii="宋体" w:hAnsi="宋体"/>
                <w:b/>
                <w:bCs/>
                <w:color w:val="auto"/>
                <w:kern w:val="0"/>
                <w:sz w:val="24"/>
              </w:rPr>
            </w:pPr>
            <w:r>
              <w:rPr>
                <w:rFonts w:ascii="宋体" w:hAnsi="宋体"/>
                <w:b/>
                <w:bCs/>
                <w:color w:val="auto"/>
                <w:kern w:val="0"/>
                <w:sz w:val="24"/>
              </w:rPr>
              <w:t>参考图片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1080" w:type="dxa"/>
            <w:vMerge w:val="continue"/>
            <w:vAlign w:val="center"/>
          </w:tcPr>
          <w:p>
            <w:pPr>
              <w:widowControl/>
              <w:jc w:val="left"/>
              <w:rPr>
                <w:rFonts w:ascii="宋体" w:hAnsi="宋体"/>
                <w:b/>
                <w:bCs/>
                <w:color w:val="auto"/>
                <w:kern w:val="0"/>
                <w:sz w:val="24"/>
              </w:rPr>
            </w:pPr>
          </w:p>
        </w:tc>
        <w:tc>
          <w:tcPr>
            <w:tcW w:w="2020" w:type="dxa"/>
            <w:vMerge w:val="continue"/>
            <w:vAlign w:val="center"/>
          </w:tcPr>
          <w:p>
            <w:pPr>
              <w:widowControl/>
              <w:jc w:val="left"/>
              <w:rPr>
                <w:rFonts w:ascii="宋体" w:hAnsi="宋体"/>
                <w:b/>
                <w:bCs/>
                <w:color w:val="auto"/>
                <w:kern w:val="0"/>
                <w:sz w:val="24"/>
              </w:rPr>
            </w:pPr>
          </w:p>
        </w:tc>
        <w:tc>
          <w:tcPr>
            <w:tcW w:w="4180" w:type="dxa"/>
            <w:vMerge w:val="continue"/>
            <w:vAlign w:val="center"/>
          </w:tcPr>
          <w:p>
            <w:pPr>
              <w:widowControl/>
              <w:jc w:val="left"/>
              <w:rPr>
                <w:rFonts w:ascii="宋体" w:hAnsi="宋体" w:cs="宋体"/>
                <w:b/>
                <w:bCs/>
                <w:color w:val="auto"/>
                <w:kern w:val="0"/>
                <w:sz w:val="24"/>
              </w:rPr>
            </w:pPr>
          </w:p>
        </w:tc>
        <w:tc>
          <w:tcPr>
            <w:tcW w:w="700" w:type="dxa"/>
            <w:vMerge w:val="continue"/>
            <w:vAlign w:val="center"/>
          </w:tcPr>
          <w:p>
            <w:pPr>
              <w:widowControl/>
              <w:jc w:val="left"/>
              <w:rPr>
                <w:rFonts w:ascii="宋体" w:hAnsi="宋体"/>
                <w:b/>
                <w:bCs/>
                <w:color w:val="auto"/>
                <w:kern w:val="0"/>
                <w:sz w:val="24"/>
              </w:rPr>
            </w:pPr>
          </w:p>
        </w:tc>
        <w:tc>
          <w:tcPr>
            <w:tcW w:w="847" w:type="dxa"/>
            <w:vMerge w:val="continue"/>
            <w:vAlign w:val="center"/>
          </w:tcPr>
          <w:p>
            <w:pPr>
              <w:widowControl/>
              <w:jc w:val="left"/>
              <w:rPr>
                <w:rFonts w:ascii="宋体" w:hAnsi="宋体"/>
                <w:b/>
                <w:bCs/>
                <w:color w:val="auto"/>
                <w:kern w:val="0"/>
                <w:sz w:val="24"/>
              </w:rPr>
            </w:pPr>
          </w:p>
        </w:tc>
        <w:tc>
          <w:tcPr>
            <w:tcW w:w="1053" w:type="dxa"/>
            <w:vMerge w:val="continue"/>
            <w:vAlign w:val="center"/>
          </w:tcPr>
          <w:p>
            <w:pPr>
              <w:widowControl/>
              <w:jc w:val="left"/>
              <w:rPr>
                <w:rFonts w:ascii="宋体" w:hAnsi="宋体"/>
                <w:b/>
                <w:bCs/>
                <w:color w:val="auto"/>
                <w:kern w:val="0"/>
                <w:sz w:val="24"/>
              </w:rPr>
            </w:pPr>
          </w:p>
        </w:tc>
        <w:tc>
          <w:tcPr>
            <w:tcW w:w="5080" w:type="dxa"/>
            <w:vMerge w:val="continue"/>
            <w:vAlign w:val="center"/>
          </w:tcPr>
          <w:p>
            <w:pPr>
              <w:widowControl/>
              <w:jc w:val="left"/>
              <w:rPr>
                <w:rFonts w:ascii="宋体" w:hAnsi="宋体"/>
                <w:b/>
                <w:bCs/>
                <w:color w:val="auto"/>
                <w:kern w:val="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扳机引力秤锤</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1、配有精准测量的弹簧预拉装置。</w:t>
            </w:r>
            <w:r>
              <w:rPr>
                <w:rFonts w:ascii="宋体" w:hAnsi="宋体"/>
                <w:color w:val="auto"/>
                <w:kern w:val="0"/>
                <w:sz w:val="24"/>
              </w:rPr>
              <w:t>1000</w:t>
            </w:r>
            <w:r>
              <w:rPr>
                <w:rFonts w:hint="eastAsia" w:ascii="宋体" w:hAnsi="宋体"/>
                <w:color w:val="auto"/>
                <w:kern w:val="0"/>
                <w:sz w:val="24"/>
              </w:rPr>
              <w:t xml:space="preserve">g </w:t>
            </w:r>
            <w:r>
              <w:rPr>
                <w:rFonts w:ascii="宋体" w:hAnsi="宋体"/>
                <w:color w:val="auto"/>
                <w:kern w:val="0"/>
                <w:sz w:val="24"/>
              </w:rPr>
              <w:t>25m</w:t>
            </w:r>
            <w:r>
              <w:rPr>
                <w:rFonts w:hint="eastAsia" w:ascii="宋体" w:hAnsi="宋体" w:cs="宋体"/>
                <w:color w:val="auto"/>
                <w:kern w:val="0"/>
                <w:sz w:val="24"/>
              </w:rPr>
              <w:t>手枪扳机引力秤锤，</w:t>
            </w:r>
            <w:r>
              <w:rPr>
                <w:rFonts w:ascii="宋体" w:hAnsi="宋体"/>
                <w:color w:val="auto"/>
                <w:kern w:val="0"/>
                <w:sz w:val="24"/>
              </w:rPr>
              <w:t>500</w:t>
            </w:r>
            <w:r>
              <w:rPr>
                <w:rFonts w:hint="eastAsia" w:ascii="宋体" w:hAnsi="宋体"/>
                <w:color w:val="auto"/>
                <w:kern w:val="0"/>
                <w:sz w:val="24"/>
              </w:rPr>
              <w:t xml:space="preserve">g </w:t>
            </w:r>
            <w:r>
              <w:rPr>
                <w:rFonts w:ascii="宋体" w:hAnsi="宋体"/>
                <w:color w:val="auto"/>
                <w:kern w:val="0"/>
                <w:sz w:val="24"/>
              </w:rPr>
              <w:t>10m</w:t>
            </w:r>
            <w:r>
              <w:rPr>
                <w:rFonts w:hint="eastAsia" w:ascii="宋体" w:hAnsi="宋体" w:cs="宋体"/>
                <w:color w:val="auto"/>
                <w:kern w:val="0"/>
                <w:sz w:val="24"/>
              </w:rPr>
              <w:t>气手枪扳机引力秤锤.</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套</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3</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r>
              <w:rPr>
                <w:rFonts w:ascii="宋体" w:hAnsi="宋体"/>
                <w:color w:val="auto"/>
                <w:kern w:val="0"/>
                <w:sz w:val="24"/>
              </w:rPr>
              <w:t>　</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59264" behindDoc="0" locked="0" layoutInCell="1" allowOverlap="1">
                  <wp:simplePos x="0" y="0"/>
                  <wp:positionH relativeFrom="column">
                    <wp:posOffset>476250</wp:posOffset>
                  </wp:positionH>
                  <wp:positionV relativeFrom="paragraph">
                    <wp:posOffset>76200</wp:posOffset>
                  </wp:positionV>
                  <wp:extent cx="1675765" cy="735965"/>
                  <wp:effectExtent l="0" t="0" r="635" b="6985"/>
                  <wp:wrapNone/>
                  <wp:docPr id="2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0"/>
                          <pic:cNvPicPr>
                            <a:picLocks noChangeAspect="1"/>
                          </pic:cNvPicPr>
                        </pic:nvPicPr>
                        <pic:blipFill>
                          <a:blip r:embed="rId5" cstate="print"/>
                          <a:stretch>
                            <a:fillRect/>
                          </a:stretch>
                        </pic:blipFill>
                        <pic:spPr>
                          <a:xfrm>
                            <a:off x="0" y="0"/>
                            <a:ext cx="1675765" cy="73596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8"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沙袋测量器</w:t>
            </w:r>
          </w:p>
        </w:tc>
        <w:tc>
          <w:tcPr>
            <w:tcW w:w="4180" w:type="dxa"/>
            <w:shd w:val="clear" w:color="auto" w:fill="auto"/>
            <w:vAlign w:val="center"/>
          </w:tcPr>
          <w:p>
            <w:pPr>
              <w:widowControl/>
              <w:jc w:val="left"/>
              <w:rPr>
                <w:rFonts w:ascii="宋体" w:hAnsi="宋体"/>
                <w:color w:val="auto"/>
                <w:kern w:val="0"/>
                <w:sz w:val="24"/>
              </w:rPr>
            </w:pPr>
            <w:r>
              <w:rPr>
                <w:rFonts w:hint="eastAsia" w:ascii="宋体" w:hAnsi="宋体"/>
                <w:color w:val="auto"/>
                <w:kern w:val="0"/>
                <w:sz w:val="24"/>
              </w:rPr>
              <w:t>2、重量：</w:t>
            </w:r>
            <w:r>
              <w:rPr>
                <w:rFonts w:ascii="宋体" w:hAnsi="宋体"/>
                <w:color w:val="auto"/>
                <w:kern w:val="0"/>
                <w:sz w:val="24"/>
              </w:rPr>
              <w:t>0.882KG</w:t>
            </w:r>
            <w:r>
              <w:rPr>
                <w:rFonts w:hint="eastAsia" w:ascii="宋体" w:hAnsi="宋体"/>
                <w:color w:val="auto"/>
                <w:kern w:val="0"/>
                <w:sz w:val="24"/>
              </w:rPr>
              <w:t>。高度：</w:t>
            </w:r>
            <w:r>
              <w:rPr>
                <w:rFonts w:ascii="宋体" w:hAnsi="宋体"/>
                <w:color w:val="auto"/>
                <w:kern w:val="0"/>
                <w:sz w:val="24"/>
              </w:rPr>
              <w:t>25CM</w:t>
            </w:r>
            <w:r>
              <w:rPr>
                <w:rFonts w:hint="eastAsia" w:ascii="宋体" w:hAnsi="宋体"/>
                <w:color w:val="auto"/>
                <w:kern w:val="0"/>
                <w:sz w:val="24"/>
              </w:rPr>
              <w:t>，外直径：</w:t>
            </w:r>
            <w:r>
              <w:rPr>
                <w:rFonts w:ascii="宋体" w:hAnsi="宋体"/>
                <w:color w:val="auto"/>
                <w:kern w:val="0"/>
                <w:sz w:val="24"/>
              </w:rPr>
              <w:t>19CM</w:t>
            </w:r>
            <w:r>
              <w:rPr>
                <w:rFonts w:hint="eastAsia" w:ascii="宋体" w:hAnsi="宋体"/>
                <w:color w:val="auto"/>
                <w:kern w:val="0"/>
                <w:sz w:val="24"/>
              </w:rPr>
              <w:t>。内直径：</w:t>
            </w:r>
            <w:r>
              <w:rPr>
                <w:rFonts w:ascii="宋体" w:hAnsi="宋体"/>
                <w:color w:val="auto"/>
                <w:kern w:val="0"/>
                <w:sz w:val="24"/>
              </w:rPr>
              <w:t>18CM</w:t>
            </w:r>
            <w:r>
              <w:rPr>
                <w:rFonts w:hint="eastAsia" w:ascii="宋体" w:hAnsi="宋体"/>
                <w:color w:val="auto"/>
                <w:kern w:val="0"/>
                <w:sz w:val="24"/>
              </w:rPr>
              <w:t>。材质：塑脂。</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个</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2</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60288" behindDoc="0" locked="0" layoutInCell="1" allowOverlap="1">
                  <wp:simplePos x="0" y="0"/>
                  <wp:positionH relativeFrom="column">
                    <wp:posOffset>228600</wp:posOffset>
                  </wp:positionH>
                  <wp:positionV relativeFrom="paragraph">
                    <wp:posOffset>57150</wp:posOffset>
                  </wp:positionV>
                  <wp:extent cx="1885950" cy="1181100"/>
                  <wp:effectExtent l="0" t="0" r="0" b="0"/>
                  <wp:wrapNone/>
                  <wp:docPr id="2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1"/>
                          <pic:cNvPicPr>
                            <a:picLocks noChangeAspect="1"/>
                          </pic:cNvPicPr>
                        </pic:nvPicPr>
                        <pic:blipFill>
                          <a:blip r:embed="rId6" cstate="print"/>
                          <a:stretch>
                            <a:fillRect/>
                          </a:stretch>
                        </pic:blipFill>
                        <pic:spPr>
                          <a:xfrm flipV="1">
                            <a:off x="0" y="0"/>
                            <a:ext cx="1869440" cy="116586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5"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气步枪尺寸检查模板</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olor w:val="auto"/>
                <w:kern w:val="0"/>
                <w:sz w:val="24"/>
              </w:rPr>
              <w:t>3、尺寸</w:t>
            </w:r>
            <w:r>
              <w:rPr>
                <w:rFonts w:hint="eastAsia" w:ascii="宋体" w:hAnsi="宋体" w:cs="宋体"/>
                <w:color w:val="auto"/>
                <w:kern w:val="0"/>
                <w:sz w:val="24"/>
              </w:rPr>
              <w:t>长度</w:t>
            </w:r>
            <w:r>
              <w:rPr>
                <w:rFonts w:hint="eastAsia" w:ascii="宋体" w:hAnsi="宋体"/>
                <w:color w:val="auto"/>
                <w:kern w:val="0"/>
                <w:sz w:val="24"/>
              </w:rPr>
              <w:t>≥</w:t>
            </w:r>
            <w:r>
              <w:rPr>
                <w:rFonts w:ascii="宋体" w:hAnsi="宋体"/>
                <w:color w:val="auto"/>
                <w:kern w:val="0"/>
                <w:sz w:val="24"/>
              </w:rPr>
              <w:t>133CM</w:t>
            </w:r>
            <w:r>
              <w:rPr>
                <w:rFonts w:hint="eastAsia" w:ascii="宋体" w:hAnsi="宋体" w:cs="宋体"/>
                <w:color w:val="auto"/>
                <w:kern w:val="0"/>
                <w:sz w:val="24"/>
              </w:rPr>
              <w:t>，宽度</w:t>
            </w:r>
            <w:r>
              <w:rPr>
                <w:rFonts w:hint="eastAsia" w:ascii="宋体" w:hAnsi="宋体"/>
                <w:color w:val="auto"/>
                <w:kern w:val="0"/>
                <w:sz w:val="24"/>
              </w:rPr>
              <w:t>≥</w:t>
            </w:r>
            <w:r>
              <w:rPr>
                <w:rFonts w:ascii="宋体" w:hAnsi="宋体"/>
                <w:color w:val="auto"/>
                <w:kern w:val="0"/>
                <w:sz w:val="24"/>
              </w:rPr>
              <w:t>37CM</w:t>
            </w:r>
            <w:r>
              <w:rPr>
                <w:rFonts w:hint="eastAsia" w:ascii="宋体" w:hAnsi="宋体"/>
                <w:color w:val="auto"/>
                <w:kern w:val="0"/>
                <w:sz w:val="24"/>
              </w:rPr>
              <w:t>。</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张</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2</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62336" behindDoc="0" locked="0" layoutInCell="1" allowOverlap="1">
                  <wp:simplePos x="0" y="0"/>
                  <wp:positionH relativeFrom="column">
                    <wp:posOffset>300990</wp:posOffset>
                  </wp:positionH>
                  <wp:positionV relativeFrom="paragraph">
                    <wp:posOffset>990600</wp:posOffset>
                  </wp:positionV>
                  <wp:extent cx="1701800" cy="986790"/>
                  <wp:effectExtent l="0" t="0" r="0" b="3810"/>
                  <wp:wrapNone/>
                  <wp:docPr id="2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2"/>
                          <pic:cNvPicPr>
                            <a:picLocks noChangeAspect="1"/>
                          </pic:cNvPicPr>
                        </pic:nvPicPr>
                        <pic:blipFill>
                          <a:blip r:embed="rId7" cstate="print"/>
                          <a:stretch>
                            <a:fillRect/>
                          </a:stretch>
                        </pic:blipFill>
                        <pic:spPr>
                          <a:xfrm>
                            <a:off x="0" y="0"/>
                            <a:ext cx="1701800" cy="986790"/>
                          </a:xfrm>
                          <a:prstGeom prst="rect">
                            <a:avLst/>
                          </a:prstGeom>
                          <a:noFill/>
                          <a:ln w="9525">
                            <a:noFill/>
                          </a:ln>
                        </pic:spPr>
                      </pic:pic>
                    </a:graphicData>
                  </a:graphic>
                </wp:anchor>
              </w:drawing>
            </w:r>
            <w:r>
              <w:rPr>
                <w:rFonts w:ascii="宋体" w:hAnsi="宋体"/>
                <w:color w:val="auto"/>
                <w:kern w:val="0"/>
                <w:sz w:val="24"/>
              </w:rPr>
              <w:drawing>
                <wp:anchor distT="0" distB="0" distL="114300" distR="114300" simplePos="0" relativeHeight="251661312" behindDoc="0" locked="0" layoutInCell="1" allowOverlap="1">
                  <wp:simplePos x="0" y="0"/>
                  <wp:positionH relativeFrom="column">
                    <wp:posOffset>193675</wp:posOffset>
                  </wp:positionH>
                  <wp:positionV relativeFrom="paragraph">
                    <wp:posOffset>-59055</wp:posOffset>
                  </wp:positionV>
                  <wp:extent cx="2294890" cy="990600"/>
                  <wp:effectExtent l="0" t="0" r="0" b="0"/>
                  <wp:wrapNone/>
                  <wp:docPr id="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pic:cNvPicPr>
                            <a:picLocks noChangeAspect="1"/>
                          </pic:cNvPicPr>
                        </pic:nvPicPr>
                        <pic:blipFill>
                          <a:blip r:embed="rId8" cstate="print"/>
                          <a:stretch>
                            <a:fillRect/>
                          </a:stretch>
                        </pic:blipFill>
                        <pic:spPr>
                          <a:xfrm>
                            <a:off x="0" y="0"/>
                            <a:ext cx="2294890" cy="990600"/>
                          </a:xfrm>
                          <a:prstGeom prst="rect">
                            <a:avLst/>
                          </a:prstGeom>
                          <a:noFill/>
                          <a:ln w="9525">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0"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s="宋体"/>
                <w:color w:val="auto"/>
                <w:kern w:val="0"/>
                <w:sz w:val="24"/>
              </w:rPr>
            </w:pPr>
            <w:r>
              <w:rPr>
                <w:rFonts w:hint="eastAsia" w:ascii="宋体" w:hAnsi="宋体" w:cs="宋体"/>
                <w:color w:val="auto"/>
                <w:kern w:val="0"/>
                <w:sz w:val="24"/>
              </w:rPr>
              <w:t>口径步枪尺寸检查模板</w:t>
            </w:r>
          </w:p>
        </w:tc>
        <w:tc>
          <w:tcPr>
            <w:tcW w:w="4180" w:type="dxa"/>
            <w:shd w:val="clear" w:color="auto" w:fill="auto"/>
            <w:vAlign w:val="center"/>
          </w:tcPr>
          <w:p>
            <w:pPr>
              <w:pStyle w:val="2"/>
              <w:rPr>
                <w:color w:val="auto"/>
              </w:rPr>
            </w:pPr>
            <w:r>
              <w:rPr>
                <w:rFonts w:hint="eastAsia" w:hAnsi="宋体" w:cs="Times New Roman"/>
                <w:bCs/>
                <w:color w:val="auto"/>
              </w:rPr>
              <w:t>4、该器材能够准确测量出步枪安装在步枪前端的配重，从枪管中心线量起，不低90毫米处，并且从机械系统尾端处向前量起不超过</w:t>
            </w:r>
            <w:r>
              <w:rPr>
                <w:rFonts w:hAnsi="宋体" w:cs="Times New Roman"/>
                <w:bCs/>
                <w:color w:val="auto"/>
              </w:rPr>
              <w:t>700</w:t>
            </w:r>
            <w:r>
              <w:rPr>
                <w:rFonts w:hint="eastAsia" w:hAnsi="宋体" w:cs="Times New Roman"/>
                <w:bCs/>
                <w:color w:val="auto"/>
              </w:rPr>
              <w:t>毫米。</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张</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2</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r>
              <w:rPr>
                <w:rFonts w:ascii="宋体" w:hAnsi="宋体"/>
                <w:color w:val="auto"/>
                <w:kern w:val="0"/>
                <w:sz w:val="24"/>
              </w:rPr>
              <w:t>　</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63360" behindDoc="0" locked="0" layoutInCell="1" allowOverlap="1">
                  <wp:simplePos x="0" y="0"/>
                  <wp:positionH relativeFrom="column">
                    <wp:posOffset>64770</wp:posOffset>
                  </wp:positionH>
                  <wp:positionV relativeFrom="paragraph">
                    <wp:posOffset>87630</wp:posOffset>
                  </wp:positionV>
                  <wp:extent cx="1343025" cy="819785"/>
                  <wp:effectExtent l="0" t="0" r="9525" b="18415"/>
                  <wp:wrapNone/>
                  <wp:docPr id="5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5"/>
                          <pic:cNvPicPr>
                            <a:picLocks noChangeAspect="1"/>
                          </pic:cNvPicPr>
                        </pic:nvPicPr>
                        <pic:blipFill>
                          <a:blip r:embed="rId8" cstate="print"/>
                          <a:stretch>
                            <a:fillRect/>
                          </a:stretch>
                        </pic:blipFill>
                        <pic:spPr>
                          <a:xfrm>
                            <a:off x="0" y="0"/>
                            <a:ext cx="1343025" cy="819785"/>
                          </a:xfrm>
                          <a:prstGeom prst="rect">
                            <a:avLst/>
                          </a:prstGeom>
                          <a:noFill/>
                          <a:ln w="9525">
                            <a:noFill/>
                          </a:ln>
                        </pic:spPr>
                      </pic:pic>
                    </a:graphicData>
                  </a:graphic>
                </wp:anchor>
              </w:drawing>
            </w:r>
            <w:r>
              <w:rPr>
                <w:rFonts w:ascii="宋体" w:hAnsi="宋体"/>
                <w:color w:val="auto"/>
                <w:kern w:val="0"/>
                <w:sz w:val="24"/>
              </w:rPr>
              <w:drawing>
                <wp:anchor distT="0" distB="0" distL="114300" distR="114300" simplePos="0" relativeHeight="251664384" behindDoc="0" locked="0" layoutInCell="1" allowOverlap="1">
                  <wp:simplePos x="0" y="0"/>
                  <wp:positionH relativeFrom="column">
                    <wp:posOffset>1643380</wp:posOffset>
                  </wp:positionH>
                  <wp:positionV relativeFrom="paragraph">
                    <wp:posOffset>68580</wp:posOffset>
                  </wp:positionV>
                  <wp:extent cx="1438275" cy="838200"/>
                  <wp:effectExtent l="0" t="0" r="0" b="0"/>
                  <wp:wrapNone/>
                  <wp:docPr id="5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6"/>
                          <pic:cNvPicPr>
                            <a:picLocks noChangeAspect="1"/>
                          </pic:cNvPicPr>
                        </pic:nvPicPr>
                        <pic:blipFill>
                          <a:blip r:embed="rId7" cstate="print"/>
                          <a:stretch>
                            <a:fillRect/>
                          </a:stretch>
                        </pic:blipFill>
                        <pic:spPr>
                          <a:xfrm>
                            <a:off x="0" y="0"/>
                            <a:ext cx="1433195" cy="831215"/>
                          </a:xfrm>
                          <a:prstGeom prst="rect">
                            <a:avLst/>
                          </a:prstGeom>
                          <a:noFill/>
                          <a:ln w="9525">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0"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运动手枪测量板</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5、材质为优质高透PPC+ABS合成材质，高透明高耐磨.要求能够测量出10米气手枪尺寸为420×200×50mm，25米气手枪尺寸为300×150×50mm。</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个</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2</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65408" behindDoc="0" locked="0" layoutInCell="1" allowOverlap="1">
                  <wp:simplePos x="0" y="0"/>
                  <wp:positionH relativeFrom="column">
                    <wp:posOffset>-32385</wp:posOffset>
                  </wp:positionH>
                  <wp:positionV relativeFrom="paragraph">
                    <wp:posOffset>-95250</wp:posOffset>
                  </wp:positionV>
                  <wp:extent cx="2994025" cy="1235710"/>
                  <wp:effectExtent l="0" t="0" r="0" b="2540"/>
                  <wp:wrapNone/>
                  <wp:docPr id="2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3"/>
                          <pic:cNvPicPr>
                            <a:picLocks noChangeAspect="1"/>
                          </pic:cNvPicPr>
                        </pic:nvPicPr>
                        <pic:blipFill>
                          <a:blip r:embed="rId9" cstate="print"/>
                          <a:stretch>
                            <a:fillRect/>
                          </a:stretch>
                        </pic:blipFill>
                        <pic:spPr>
                          <a:xfrm>
                            <a:off x="0" y="0"/>
                            <a:ext cx="2994025" cy="123571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2"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射击服测厚仪</w:t>
            </w:r>
          </w:p>
        </w:tc>
        <w:tc>
          <w:tcPr>
            <w:tcW w:w="4180" w:type="dxa"/>
            <w:shd w:val="clear" w:color="auto" w:fill="auto"/>
            <w:vAlign w:val="center"/>
          </w:tcPr>
          <w:p>
            <w:pPr>
              <w:widowControl/>
              <w:jc w:val="left"/>
              <w:rPr>
                <w:rFonts w:ascii="宋体" w:hAnsi="宋体"/>
                <w:color w:val="auto"/>
                <w:kern w:val="0"/>
                <w:sz w:val="24"/>
              </w:rPr>
            </w:pPr>
            <w:r>
              <w:rPr>
                <w:rFonts w:hint="eastAsia" w:ascii="宋体" w:hAnsi="宋体"/>
                <w:color w:val="auto"/>
                <w:kern w:val="0"/>
                <w:sz w:val="24"/>
              </w:rPr>
              <w:t>6、精确到</w:t>
            </w:r>
            <w:r>
              <w:rPr>
                <w:rFonts w:ascii="宋体" w:hAnsi="宋体"/>
                <w:color w:val="auto"/>
                <w:kern w:val="0"/>
                <w:sz w:val="24"/>
              </w:rPr>
              <w:t>0.1</w:t>
            </w:r>
            <w:r>
              <w:rPr>
                <w:rFonts w:hint="eastAsia" w:ascii="宋体" w:hAnsi="宋体"/>
                <w:color w:val="auto"/>
                <w:kern w:val="0"/>
                <w:sz w:val="24"/>
              </w:rPr>
              <w:t>毫米。服装厚度在</w:t>
            </w:r>
            <w:r>
              <w:rPr>
                <w:rFonts w:ascii="宋体" w:hAnsi="宋体"/>
                <w:color w:val="auto"/>
                <w:kern w:val="0"/>
                <w:sz w:val="24"/>
              </w:rPr>
              <w:t>2.5</w:t>
            </w:r>
            <w:r>
              <w:rPr>
                <w:rFonts w:hint="eastAsia" w:ascii="宋体" w:hAnsi="宋体"/>
                <w:color w:val="auto"/>
                <w:kern w:val="0"/>
                <w:sz w:val="24"/>
              </w:rPr>
              <w:t>毫米以内。射击服全身厚度包括衬里在内，用测量仪可以测量到的所有各点，其厚度单层不得超过</w:t>
            </w:r>
            <w:r>
              <w:rPr>
                <w:rFonts w:ascii="宋体" w:hAnsi="宋体"/>
                <w:color w:val="auto"/>
                <w:kern w:val="0"/>
                <w:sz w:val="24"/>
              </w:rPr>
              <w:t xml:space="preserve"> 2.5 </w:t>
            </w:r>
            <w:r>
              <w:rPr>
                <w:rFonts w:hint="eastAsia" w:ascii="宋体" w:hAnsi="宋体"/>
                <w:color w:val="auto"/>
                <w:kern w:val="0"/>
                <w:sz w:val="24"/>
              </w:rPr>
              <w:t>毫米，双层不得超过</w:t>
            </w:r>
            <w:r>
              <w:rPr>
                <w:rFonts w:ascii="宋体" w:hAnsi="宋体"/>
                <w:color w:val="auto"/>
                <w:kern w:val="0"/>
                <w:sz w:val="24"/>
              </w:rPr>
              <w:t xml:space="preserve"> 5 </w:t>
            </w:r>
            <w:r>
              <w:rPr>
                <w:rFonts w:hint="eastAsia" w:ascii="宋体" w:hAnsi="宋体"/>
                <w:color w:val="auto"/>
                <w:kern w:val="0"/>
                <w:sz w:val="24"/>
              </w:rPr>
              <w:t>毫米。射击服的长度不得超过参赛者拳头的底面符合国际射联规则</w:t>
            </w:r>
            <w:r>
              <w:rPr>
                <w:rFonts w:ascii="宋体" w:hAnsi="宋体"/>
                <w:color w:val="auto"/>
                <w:kern w:val="0"/>
                <w:sz w:val="24"/>
              </w:rPr>
              <w:t>7.4.7.7.1.1</w:t>
            </w:r>
            <w:r>
              <w:rPr>
                <w:rFonts w:hint="eastAsia" w:ascii="宋体" w:hAnsi="宋体"/>
                <w:color w:val="auto"/>
                <w:kern w:val="0"/>
                <w:sz w:val="24"/>
              </w:rPr>
              <w:t>；精度为</w:t>
            </w:r>
            <w:r>
              <w:rPr>
                <w:rFonts w:ascii="宋体" w:hAnsi="宋体"/>
                <w:color w:val="auto"/>
                <w:kern w:val="0"/>
                <w:sz w:val="24"/>
              </w:rPr>
              <w:t>1/10mm.</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部</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5</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67456" behindDoc="0" locked="0" layoutInCell="1" allowOverlap="1">
                  <wp:simplePos x="0" y="0"/>
                  <wp:positionH relativeFrom="column">
                    <wp:posOffset>311150</wp:posOffset>
                  </wp:positionH>
                  <wp:positionV relativeFrom="paragraph">
                    <wp:posOffset>981710</wp:posOffset>
                  </wp:positionV>
                  <wp:extent cx="1990725" cy="781050"/>
                  <wp:effectExtent l="0" t="0" r="0"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0" cstate="print"/>
                          <a:stretch>
                            <a:fillRect/>
                          </a:stretch>
                        </pic:blipFill>
                        <pic:spPr>
                          <a:xfrm>
                            <a:off x="0" y="0"/>
                            <a:ext cx="1990725" cy="781050"/>
                          </a:xfrm>
                          <a:prstGeom prst="rect">
                            <a:avLst/>
                          </a:prstGeom>
                        </pic:spPr>
                      </pic:pic>
                    </a:graphicData>
                  </a:graphic>
                </wp:anchor>
              </w:drawing>
            </w:r>
            <w:r>
              <w:rPr>
                <w:rFonts w:ascii="宋体" w:hAnsi="宋体"/>
                <w:color w:val="auto"/>
                <w:kern w:val="0"/>
                <w:sz w:val="24"/>
              </w:rPr>
              <w:drawing>
                <wp:anchor distT="0" distB="0" distL="114300" distR="114300" simplePos="0" relativeHeight="251666432" behindDoc="0" locked="0" layoutInCell="1" allowOverlap="1">
                  <wp:simplePos x="0" y="0"/>
                  <wp:positionH relativeFrom="column">
                    <wp:posOffset>289560</wp:posOffset>
                  </wp:positionH>
                  <wp:positionV relativeFrom="paragraph">
                    <wp:posOffset>-89535</wp:posOffset>
                  </wp:positionV>
                  <wp:extent cx="2047875" cy="895350"/>
                  <wp:effectExtent l="0" t="0" r="0" b="0"/>
                  <wp:wrapNone/>
                  <wp:docPr id="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pic:cNvPicPr>
                            <a:picLocks noChangeAspect="1"/>
                          </pic:cNvPicPr>
                        </pic:nvPicPr>
                        <pic:blipFill>
                          <a:blip r:embed="rId11" cstate="print"/>
                          <a:stretch>
                            <a:fillRect/>
                          </a:stretch>
                        </pic:blipFill>
                        <pic:spPr>
                          <a:xfrm>
                            <a:off x="0" y="0"/>
                            <a:ext cx="2047875" cy="895350"/>
                          </a:xfrm>
                          <a:prstGeom prst="rect">
                            <a:avLst/>
                          </a:prstGeom>
                          <a:noFill/>
                          <a:ln w="9525">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9"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射击服测硬仪</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7、设备测量筒压下后数码显示至少</w:t>
            </w:r>
            <w:r>
              <w:rPr>
                <w:rFonts w:ascii="宋体" w:hAnsi="宋体"/>
                <w:color w:val="auto"/>
                <w:kern w:val="0"/>
                <w:sz w:val="24"/>
              </w:rPr>
              <w:t xml:space="preserve"> 3.0 </w:t>
            </w:r>
            <w:r>
              <w:rPr>
                <w:rFonts w:hint="eastAsia" w:ascii="宋体" w:hAnsi="宋体" w:cs="宋体"/>
                <w:color w:val="auto"/>
                <w:kern w:val="0"/>
                <w:sz w:val="24"/>
              </w:rPr>
              <w:t>毫米，则材料合格。</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部</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5</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p>
        </w:tc>
        <w:tc>
          <w:tcPr>
            <w:tcW w:w="5080" w:type="dxa"/>
            <w:shd w:val="clear" w:color="auto" w:fill="auto"/>
            <w:vAlign w:val="center"/>
          </w:tcPr>
          <w:p>
            <w:pPr>
              <w:widowControl/>
              <w:jc w:val="left"/>
              <w:rPr>
                <w:rFonts w:ascii="宋体" w:hAnsi="宋体"/>
                <w:color w:val="auto"/>
                <w:kern w:val="0"/>
                <w:sz w:val="24"/>
              </w:rPr>
            </w:pPr>
            <w:r>
              <w:rPr>
                <w:rFonts w:ascii="宋体" w:hAnsi="宋体"/>
                <w:color w:val="auto"/>
                <w:kern w:val="0"/>
                <w:sz w:val="24"/>
              </w:rPr>
              <w:drawing>
                <wp:anchor distT="0" distB="0" distL="114300" distR="114300" simplePos="0" relativeHeight="251668480" behindDoc="0" locked="0" layoutInCell="1" allowOverlap="1">
                  <wp:simplePos x="0" y="0"/>
                  <wp:positionH relativeFrom="column">
                    <wp:posOffset>1207770</wp:posOffset>
                  </wp:positionH>
                  <wp:positionV relativeFrom="paragraph">
                    <wp:posOffset>79375</wp:posOffset>
                  </wp:positionV>
                  <wp:extent cx="1524000" cy="876300"/>
                  <wp:effectExtent l="0" t="0" r="0" b="0"/>
                  <wp:wrapNone/>
                  <wp:docPr id="1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1"/>
                          <pic:cNvPicPr>
                            <a:picLocks noChangeAspect="1"/>
                          </pic:cNvPicPr>
                        </pic:nvPicPr>
                        <pic:blipFill>
                          <a:blip r:embed="rId12" cstate="print"/>
                          <a:stretch>
                            <a:fillRect/>
                          </a:stretch>
                        </pic:blipFill>
                        <pic:spPr>
                          <a:xfrm>
                            <a:off x="0" y="0"/>
                            <a:ext cx="1524000" cy="876300"/>
                          </a:xfrm>
                          <a:prstGeom prst="rect">
                            <a:avLst/>
                          </a:prstGeom>
                          <a:noFill/>
                          <a:ln w="9525">
                            <a:noFill/>
                          </a:ln>
                        </pic:spPr>
                      </pic:pic>
                    </a:graphicData>
                  </a:graphic>
                </wp:anchor>
              </w:drawing>
            </w:r>
            <w:r>
              <w:rPr>
                <w:rFonts w:ascii="宋体" w:hAnsi="宋体"/>
                <w:color w:val="auto"/>
                <w:kern w:val="0"/>
                <w:sz w:val="24"/>
              </w:rPr>
              <w:drawing>
                <wp:anchor distT="0" distB="0" distL="114300" distR="114300" simplePos="0" relativeHeight="251669504" behindDoc="0" locked="0" layoutInCell="1" allowOverlap="1">
                  <wp:simplePos x="0" y="0"/>
                  <wp:positionH relativeFrom="column">
                    <wp:posOffset>-28575</wp:posOffset>
                  </wp:positionH>
                  <wp:positionV relativeFrom="paragraph">
                    <wp:posOffset>25400</wp:posOffset>
                  </wp:positionV>
                  <wp:extent cx="1009650" cy="1038225"/>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3" cstate="print"/>
                          <a:stretch>
                            <a:fillRect/>
                          </a:stretch>
                        </pic:blipFill>
                        <pic:spPr>
                          <a:xfrm>
                            <a:off x="0" y="0"/>
                            <a:ext cx="1009650" cy="103822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0"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门襟测量仪</w:t>
            </w:r>
          </w:p>
        </w:tc>
        <w:tc>
          <w:tcPr>
            <w:tcW w:w="4180" w:type="dxa"/>
            <w:shd w:val="clear" w:color="auto" w:fill="auto"/>
            <w:vAlign w:val="center"/>
          </w:tcPr>
          <w:p>
            <w:pPr>
              <w:widowControl/>
              <w:jc w:val="left"/>
              <w:rPr>
                <w:rFonts w:ascii="宋体" w:hAnsi="宋体"/>
                <w:color w:val="auto"/>
                <w:kern w:val="0"/>
                <w:sz w:val="24"/>
              </w:rPr>
            </w:pPr>
            <w:r>
              <w:rPr>
                <w:rFonts w:hint="eastAsia" w:ascii="宋体" w:hAnsi="宋体"/>
                <w:color w:val="auto"/>
                <w:kern w:val="0"/>
                <w:sz w:val="24"/>
              </w:rPr>
              <w:t>8、射击服和射击裤的任何一部分应能使用</w:t>
            </w:r>
            <w:r>
              <w:rPr>
                <w:rFonts w:ascii="宋体" w:hAnsi="宋体"/>
                <w:color w:val="auto"/>
                <w:kern w:val="0"/>
                <w:sz w:val="24"/>
              </w:rPr>
              <w:t xml:space="preserve"> 60 </w:t>
            </w:r>
            <w:r>
              <w:rPr>
                <w:rFonts w:hint="eastAsia" w:ascii="宋体" w:hAnsi="宋体"/>
                <w:color w:val="auto"/>
                <w:kern w:val="0"/>
                <w:sz w:val="24"/>
              </w:rPr>
              <w:t>毫米的量筒测量。对于正常测量，如果某一部分过小（不够</w:t>
            </w:r>
            <w:r>
              <w:rPr>
                <w:rFonts w:ascii="宋体" w:hAnsi="宋体"/>
                <w:color w:val="auto"/>
                <w:kern w:val="0"/>
                <w:sz w:val="24"/>
              </w:rPr>
              <w:t xml:space="preserve"> 60 </w:t>
            </w:r>
            <w:r>
              <w:rPr>
                <w:rFonts w:hint="eastAsia" w:ascii="宋体" w:hAnsi="宋体"/>
                <w:color w:val="auto"/>
                <w:kern w:val="0"/>
                <w:sz w:val="24"/>
              </w:rPr>
              <w:t>毫米或更大的平面），则测量必须在缝线上进行。</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套</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5</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r>
              <w:rPr>
                <w:rFonts w:ascii="宋体" w:hAnsi="宋体"/>
                <w:color w:val="auto"/>
                <w:kern w:val="0"/>
                <w:sz w:val="24"/>
              </w:rPr>
              <w:t>　</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70528" behindDoc="0" locked="0" layoutInCell="1" allowOverlap="1">
                  <wp:simplePos x="0" y="0"/>
                  <wp:positionH relativeFrom="column">
                    <wp:posOffset>504825</wp:posOffset>
                  </wp:positionH>
                  <wp:positionV relativeFrom="paragraph">
                    <wp:posOffset>38100</wp:posOffset>
                  </wp:positionV>
                  <wp:extent cx="1952625" cy="1238250"/>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4" cstate="print"/>
                          <a:stretch>
                            <a:fillRect/>
                          </a:stretch>
                        </pic:blipFill>
                        <pic:spPr>
                          <a:xfrm>
                            <a:off x="0" y="0"/>
                            <a:ext cx="1936115" cy="123317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测硬仪（鞋）</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9、把射击靴或射击鞋固定在检测设备上，当一个</w:t>
            </w:r>
            <w:r>
              <w:rPr>
                <w:rFonts w:ascii="宋体" w:hAnsi="宋体"/>
                <w:color w:val="auto"/>
                <w:kern w:val="0"/>
                <w:sz w:val="24"/>
              </w:rPr>
              <w:t xml:space="preserve"> 15 </w:t>
            </w:r>
            <w:r>
              <w:rPr>
                <w:rFonts w:hint="eastAsia" w:ascii="宋体" w:hAnsi="宋体" w:cs="宋体"/>
                <w:color w:val="auto"/>
                <w:kern w:val="0"/>
                <w:sz w:val="24"/>
              </w:rPr>
              <w:t>牛顿米的力施加到鞋跟区域时，鞋底应至少能弯曲</w:t>
            </w:r>
            <w:r>
              <w:rPr>
                <w:rFonts w:ascii="宋体" w:hAnsi="宋体"/>
                <w:color w:val="auto"/>
                <w:kern w:val="0"/>
                <w:sz w:val="24"/>
              </w:rPr>
              <w:t xml:space="preserve"> 22.5 </w:t>
            </w:r>
            <w:r>
              <w:rPr>
                <w:rFonts w:hint="eastAsia" w:ascii="宋体" w:hAnsi="宋体" w:cs="宋体"/>
                <w:color w:val="auto"/>
                <w:kern w:val="0"/>
                <w:sz w:val="24"/>
              </w:rPr>
              <w:t>度，需有国际射联批准的</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套</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5</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r>
              <w:rPr>
                <w:rFonts w:ascii="宋体" w:hAnsi="宋体"/>
                <w:color w:val="auto"/>
                <w:kern w:val="0"/>
                <w:sz w:val="24"/>
              </w:rPr>
              <w:t>　</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71552" behindDoc="0" locked="0" layoutInCell="1" allowOverlap="1">
                  <wp:simplePos x="0" y="0"/>
                  <wp:positionH relativeFrom="column">
                    <wp:posOffset>749300</wp:posOffset>
                  </wp:positionH>
                  <wp:positionV relativeFrom="paragraph">
                    <wp:posOffset>-14605</wp:posOffset>
                  </wp:positionV>
                  <wp:extent cx="1066800" cy="733425"/>
                  <wp:effectExtent l="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5" cstate="print"/>
                          <a:stretch>
                            <a:fillRect/>
                          </a:stretch>
                        </pic:blipFill>
                        <pic:spPr>
                          <a:xfrm>
                            <a:off x="0" y="0"/>
                            <a:ext cx="1066800" cy="73342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0"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s="宋体"/>
                <w:color w:val="auto"/>
                <w:kern w:val="0"/>
                <w:sz w:val="24"/>
              </w:rPr>
            </w:pPr>
            <w:r>
              <w:rPr>
                <w:rFonts w:hint="eastAsia" w:ascii="宋体" w:hAnsi="宋体" w:cs="宋体"/>
                <w:color w:val="auto"/>
                <w:kern w:val="0"/>
                <w:sz w:val="24"/>
              </w:rPr>
              <w:t>测高仪（鞋）</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10、根据规则</w:t>
            </w:r>
            <w:r>
              <w:rPr>
                <w:rFonts w:ascii="宋体" w:hAnsi="宋体"/>
                <w:color w:val="auto"/>
                <w:kern w:val="0"/>
                <w:sz w:val="24"/>
              </w:rPr>
              <w:t xml:space="preserve"> 7.5.3.6</w:t>
            </w:r>
            <w:r>
              <w:rPr>
                <w:rFonts w:hint="eastAsia" w:ascii="宋体" w:hAnsi="宋体" w:cs="宋体"/>
                <w:color w:val="auto"/>
                <w:kern w:val="0"/>
                <w:sz w:val="24"/>
              </w:rPr>
              <w:t>，测量步枪运动员射击鞋外部尺寸，需有国际射联批准，必须由技术代表或器材检查仲裁委员长检测并校准</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套</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5</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72576" behindDoc="0" locked="0" layoutInCell="1" allowOverlap="1">
                  <wp:simplePos x="0" y="0"/>
                  <wp:positionH relativeFrom="column">
                    <wp:posOffset>741045</wp:posOffset>
                  </wp:positionH>
                  <wp:positionV relativeFrom="paragraph">
                    <wp:posOffset>8255</wp:posOffset>
                  </wp:positionV>
                  <wp:extent cx="1190625" cy="971550"/>
                  <wp:effectExtent l="0" t="0" r="0" b="0"/>
                  <wp:wrapNone/>
                  <wp:docPr id="5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8"/>
                          <pic:cNvPicPr>
                            <a:picLocks noChangeAspect="1"/>
                          </pic:cNvPicPr>
                        </pic:nvPicPr>
                        <pic:blipFill>
                          <a:blip r:embed="rId16"/>
                          <a:stretch>
                            <a:fillRect/>
                          </a:stretch>
                        </pic:blipFill>
                        <pic:spPr>
                          <a:xfrm>
                            <a:off x="0" y="0"/>
                            <a:ext cx="1190625" cy="971550"/>
                          </a:xfrm>
                          <a:prstGeom prst="rect">
                            <a:avLst/>
                          </a:prstGeom>
                          <a:noFill/>
                          <a:ln w="9525">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7"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校枪设备</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1</w:t>
            </w:r>
            <w:r>
              <w:rPr>
                <w:rFonts w:ascii="宋体" w:hAnsi="宋体" w:cs="宋体"/>
                <w:color w:val="auto"/>
                <w:kern w:val="0"/>
                <w:sz w:val="24"/>
              </w:rPr>
              <w:t>1</w:t>
            </w:r>
            <w:r>
              <w:rPr>
                <w:rFonts w:hint="eastAsia" w:ascii="宋体" w:hAnsi="宋体" w:cs="宋体"/>
                <w:color w:val="auto"/>
                <w:kern w:val="0"/>
                <w:sz w:val="24"/>
              </w:rPr>
              <w:t>、系统能够对多家枪弹器材进行测试和校准，通过比选，选择更适合该武器的弹药；比较枪弹批号和枪管的最合适匹配性。系统包含软件和硬件设备。</w:t>
            </w:r>
            <w:r>
              <w:rPr>
                <w:rFonts w:hint="eastAsia" w:ascii="宋体" w:hAnsi="宋体" w:cs="宋体"/>
                <w:color w:val="auto"/>
                <w:kern w:val="0"/>
                <w:sz w:val="24"/>
              </w:rPr>
              <w:br w:type="textWrapping"/>
            </w:r>
            <w:r>
              <w:rPr>
                <w:rFonts w:ascii="宋体" w:hAnsi="宋体" w:cs="宋体"/>
                <w:color w:val="auto"/>
                <w:kern w:val="0"/>
                <w:sz w:val="24"/>
              </w:rPr>
              <w:t>1</w:t>
            </w:r>
            <w:r>
              <w:rPr>
                <w:rFonts w:hint="eastAsia" w:ascii="宋体" w:hAnsi="宋体" w:cs="宋体"/>
                <w:color w:val="auto"/>
                <w:kern w:val="0"/>
                <w:sz w:val="24"/>
              </w:rPr>
              <w:t>2、通过使用，能够自动选择弹药类型和批次。</w:t>
            </w:r>
            <w:r>
              <w:rPr>
                <w:rFonts w:hint="eastAsia" w:ascii="宋体" w:hAnsi="宋体" w:cs="宋体"/>
                <w:color w:val="auto"/>
                <w:kern w:val="0"/>
                <w:sz w:val="24"/>
              </w:rPr>
              <w:br w:type="textWrapping"/>
            </w:r>
            <w:r>
              <w:rPr>
                <w:rFonts w:ascii="宋体" w:hAnsi="宋体" w:cs="宋体"/>
                <w:color w:val="auto"/>
                <w:kern w:val="0"/>
                <w:sz w:val="24"/>
              </w:rPr>
              <w:t>1</w:t>
            </w:r>
            <w:r>
              <w:rPr>
                <w:rFonts w:hint="eastAsia" w:ascii="宋体" w:hAnsi="宋体" w:cs="宋体"/>
                <w:color w:val="auto"/>
                <w:kern w:val="0"/>
                <w:sz w:val="24"/>
              </w:rPr>
              <w:t>3、提供可以测量子弹位置并计算后统计命中数据。</w:t>
            </w:r>
            <w:r>
              <w:rPr>
                <w:rFonts w:hint="eastAsia" w:ascii="宋体" w:hAnsi="宋体" w:cs="宋体"/>
                <w:color w:val="auto"/>
                <w:kern w:val="0"/>
                <w:sz w:val="24"/>
              </w:rPr>
              <w:br w:type="textWrapping"/>
            </w:r>
            <w:r>
              <w:rPr>
                <w:rFonts w:ascii="宋体" w:hAnsi="宋体" w:cs="宋体"/>
                <w:color w:val="auto"/>
                <w:kern w:val="0"/>
                <w:sz w:val="24"/>
              </w:rPr>
              <w:t>1</w:t>
            </w:r>
            <w:r>
              <w:rPr>
                <w:rFonts w:hint="eastAsia" w:ascii="宋体" w:hAnsi="宋体" w:cs="宋体"/>
                <w:color w:val="auto"/>
                <w:kern w:val="0"/>
                <w:sz w:val="24"/>
              </w:rPr>
              <w:t>4、设备可以提供USB和网络驱动器上的数据导出为CSV，PDF和PostScript。</w:t>
            </w:r>
            <w:r>
              <w:rPr>
                <w:rFonts w:hint="eastAsia" w:ascii="宋体" w:hAnsi="宋体" w:cs="宋体"/>
                <w:color w:val="auto"/>
                <w:kern w:val="0"/>
                <w:sz w:val="24"/>
              </w:rPr>
              <w:br w:type="textWrapping"/>
            </w:r>
            <w:r>
              <w:rPr>
                <w:rFonts w:ascii="宋体" w:hAnsi="宋体" w:cs="宋体"/>
                <w:color w:val="auto"/>
                <w:kern w:val="0"/>
                <w:sz w:val="24"/>
              </w:rPr>
              <w:t>1</w:t>
            </w:r>
            <w:r>
              <w:rPr>
                <w:rFonts w:hint="eastAsia" w:ascii="宋体" w:hAnsi="宋体" w:cs="宋体"/>
                <w:color w:val="auto"/>
                <w:kern w:val="0"/>
                <w:sz w:val="24"/>
              </w:rPr>
              <w:t>5、系统可以Dmax（S），STD，Min，Max：这些值始终针对完整批次的弹药测试计算得出。测量精度为1 / 100mm。</w:t>
            </w:r>
            <w:r>
              <w:rPr>
                <w:rFonts w:hint="eastAsia" w:ascii="宋体" w:hAnsi="宋体" w:cs="宋体"/>
                <w:color w:val="auto"/>
                <w:kern w:val="0"/>
                <w:sz w:val="24"/>
              </w:rPr>
              <w:br w:type="textWrapping"/>
            </w:r>
            <w:r>
              <w:rPr>
                <w:rFonts w:ascii="宋体" w:hAnsi="宋体" w:cs="宋体"/>
                <w:color w:val="auto"/>
                <w:kern w:val="0"/>
                <w:sz w:val="24"/>
              </w:rPr>
              <w:t>1</w:t>
            </w:r>
            <w:r>
              <w:rPr>
                <w:rFonts w:hint="eastAsia" w:ascii="宋体" w:hAnsi="宋体" w:cs="宋体"/>
                <w:color w:val="auto"/>
                <w:kern w:val="0"/>
                <w:sz w:val="24"/>
              </w:rPr>
              <w:t xml:space="preserve">6、系统可以与Mehl速度测量系统一起使用，BMC 18，PVM 21，BMC 21或BMC 31或DRELLO LS-11，LS-23都可以测量弹丸速度。 </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套</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1</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r>
              <w:rPr>
                <w:rFonts w:ascii="宋体" w:hAnsi="宋体"/>
                <w:color w:val="auto"/>
                <w:kern w:val="0"/>
                <w:sz w:val="24"/>
              </w:rPr>
              <w:t>　</w:t>
            </w:r>
          </w:p>
        </w:tc>
        <w:tc>
          <w:tcPr>
            <w:tcW w:w="5080" w:type="dxa"/>
            <w:shd w:val="clear" w:color="auto" w:fill="auto"/>
            <w:vAlign w:val="center"/>
          </w:tcPr>
          <w:p>
            <w:pPr>
              <w:widowControl/>
              <w:rPr>
                <w:rFonts w:ascii="宋体" w:hAnsi="宋体"/>
                <w:color w:val="auto"/>
                <w:kern w:val="0"/>
                <w:sz w:val="24"/>
              </w:rPr>
            </w:pPr>
            <w:r>
              <w:rPr>
                <w:rFonts w:ascii="宋体" w:hAnsi="宋体"/>
                <w:color w:val="auto"/>
                <w:kern w:val="0"/>
                <w:sz w:val="24"/>
              </w:rPr>
              <w:drawing>
                <wp:anchor distT="0" distB="0" distL="114300" distR="114300" simplePos="0" relativeHeight="251675648" behindDoc="0" locked="0" layoutInCell="1" allowOverlap="1">
                  <wp:simplePos x="0" y="0"/>
                  <wp:positionH relativeFrom="column">
                    <wp:posOffset>194310</wp:posOffset>
                  </wp:positionH>
                  <wp:positionV relativeFrom="paragraph">
                    <wp:posOffset>1066165</wp:posOffset>
                  </wp:positionV>
                  <wp:extent cx="2733675" cy="2581275"/>
                  <wp:effectExtent l="0" t="0" r="0" b="0"/>
                  <wp:wrapNone/>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
                          <pic:cNvPicPr>
                            <a:picLocks noChangeAspect="1" noChangeArrowheads="1"/>
                          </pic:cNvPicPr>
                        </pic:nvPicPr>
                        <pic:blipFill>
                          <a:blip r:embed="rId17"/>
                          <a:srcRect/>
                          <a:stretch>
                            <a:fillRect/>
                          </a:stretch>
                        </pic:blipFill>
                        <pic:spPr>
                          <a:xfrm>
                            <a:off x="0" y="0"/>
                            <a:ext cx="2733675" cy="2581275"/>
                          </a:xfrm>
                          <a:prstGeom prst="rect">
                            <a:avLst/>
                          </a:prstGeom>
                          <a:noFill/>
                          <a:ln w="1">
                            <a:noFill/>
                            <a:miter lim="800000"/>
                            <a:headEnd/>
                            <a:tailEnd type="none" w="med" len="med"/>
                          </a:ln>
                          <a:effectLst/>
                        </pic:spPr>
                      </pic:pic>
                    </a:graphicData>
                  </a:graphic>
                </wp:anchor>
              </w:drawing>
            </w:r>
            <w:r>
              <w:rPr>
                <w:rFonts w:ascii="宋体" w:hAnsi="宋体"/>
                <w:color w:val="auto"/>
                <w:kern w:val="0"/>
                <w:sz w:val="24"/>
              </w:rPr>
              <w:drawing>
                <wp:anchor distT="0" distB="0" distL="114300" distR="114300" simplePos="0" relativeHeight="251674624" behindDoc="0" locked="0" layoutInCell="1" allowOverlap="1">
                  <wp:simplePos x="0" y="0"/>
                  <wp:positionH relativeFrom="column">
                    <wp:posOffset>1311275</wp:posOffset>
                  </wp:positionH>
                  <wp:positionV relativeFrom="paragraph">
                    <wp:posOffset>-259080</wp:posOffset>
                  </wp:positionV>
                  <wp:extent cx="1771650" cy="1104900"/>
                  <wp:effectExtent l="0" t="0" r="0" b="0"/>
                  <wp:wrapNone/>
                  <wp:docPr id="6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1"/>
                          <pic:cNvPicPr>
                            <a:picLocks noChangeAspect="1"/>
                          </pic:cNvPicPr>
                        </pic:nvPicPr>
                        <pic:blipFill>
                          <a:blip r:embed="rId18"/>
                          <a:stretch>
                            <a:fillRect/>
                          </a:stretch>
                        </pic:blipFill>
                        <pic:spPr>
                          <a:xfrm>
                            <a:off x="0" y="0"/>
                            <a:ext cx="1771650" cy="1104900"/>
                          </a:xfrm>
                          <a:prstGeom prst="rect">
                            <a:avLst/>
                          </a:prstGeom>
                          <a:noFill/>
                          <a:ln w="9525">
                            <a:noFill/>
                          </a:ln>
                        </pic:spPr>
                      </pic:pic>
                    </a:graphicData>
                  </a:graphic>
                </wp:anchor>
              </w:drawing>
            </w:r>
            <w:r>
              <w:rPr>
                <w:rFonts w:ascii="宋体" w:hAnsi="宋体"/>
                <w:color w:val="auto"/>
                <w:kern w:val="0"/>
                <w:sz w:val="24"/>
              </w:rPr>
              <w:drawing>
                <wp:anchor distT="0" distB="0" distL="114300" distR="114300" simplePos="0" relativeHeight="251673600" behindDoc="0" locked="0" layoutInCell="1" allowOverlap="1">
                  <wp:simplePos x="0" y="0"/>
                  <wp:positionH relativeFrom="column">
                    <wp:posOffset>43180</wp:posOffset>
                  </wp:positionH>
                  <wp:positionV relativeFrom="paragraph">
                    <wp:posOffset>-153035</wp:posOffset>
                  </wp:positionV>
                  <wp:extent cx="1409700" cy="1219200"/>
                  <wp:effectExtent l="0" t="0" r="0" b="0"/>
                  <wp:wrapNone/>
                  <wp:docPr id="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9"/>
                          <pic:cNvPicPr>
                            <a:picLocks noChangeAspect="1"/>
                          </pic:cNvPicPr>
                        </pic:nvPicPr>
                        <pic:blipFill>
                          <a:blip r:embed="rId19" cstate="print"/>
                          <a:stretch>
                            <a:fillRect/>
                          </a:stretch>
                        </pic:blipFill>
                        <pic:spPr>
                          <a:xfrm>
                            <a:off x="0" y="0"/>
                            <a:ext cx="1409700" cy="1219200"/>
                          </a:xfrm>
                          <a:prstGeom prst="rect">
                            <a:avLst/>
                          </a:prstGeom>
                          <a:noFill/>
                          <a:ln w="9525">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空气充气瓶及工具</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17、空气压缩瓶，高度≤</w:t>
            </w:r>
            <w:r>
              <w:rPr>
                <w:rFonts w:ascii="宋体" w:hAnsi="宋体"/>
                <w:color w:val="auto"/>
                <w:kern w:val="0"/>
                <w:sz w:val="24"/>
              </w:rPr>
              <w:t>66.3</w:t>
            </w:r>
            <w:r>
              <w:rPr>
                <w:rFonts w:hint="eastAsia" w:ascii="宋体" w:hAnsi="宋体" w:cs="宋体"/>
                <w:color w:val="auto"/>
                <w:kern w:val="0"/>
                <w:sz w:val="24"/>
              </w:rPr>
              <w:t>厘米；外径≤</w:t>
            </w:r>
            <w:r>
              <w:rPr>
                <w:rFonts w:ascii="宋体" w:hAnsi="宋体"/>
                <w:color w:val="auto"/>
                <w:kern w:val="0"/>
                <w:sz w:val="24"/>
              </w:rPr>
              <w:t>18.42</w:t>
            </w:r>
            <w:r>
              <w:rPr>
                <w:rFonts w:hint="eastAsia" w:ascii="宋体" w:hAnsi="宋体" w:cs="宋体"/>
                <w:color w:val="auto"/>
                <w:kern w:val="0"/>
                <w:sz w:val="24"/>
              </w:rPr>
              <w:t>厘米；重量≤</w:t>
            </w:r>
            <w:r>
              <w:rPr>
                <w:rFonts w:ascii="宋体" w:hAnsi="宋体"/>
                <w:color w:val="auto"/>
                <w:kern w:val="0"/>
                <w:sz w:val="24"/>
              </w:rPr>
              <w:t>12.66</w:t>
            </w:r>
            <w:r>
              <w:rPr>
                <w:rFonts w:hint="eastAsia" w:ascii="宋体" w:hAnsi="宋体" w:cs="宋体"/>
                <w:color w:val="auto"/>
                <w:kern w:val="0"/>
                <w:sz w:val="24"/>
              </w:rPr>
              <w:t>公斤；承压≥</w:t>
            </w:r>
            <w:r>
              <w:rPr>
                <w:rFonts w:ascii="宋体" w:hAnsi="宋体"/>
                <w:color w:val="auto"/>
                <w:kern w:val="0"/>
                <w:sz w:val="24"/>
              </w:rPr>
              <w:t>20</w:t>
            </w:r>
            <w:r>
              <w:rPr>
                <w:rFonts w:hint="eastAsia" w:ascii="宋体" w:hAnsi="宋体" w:cs="宋体"/>
                <w:color w:val="auto"/>
                <w:kern w:val="0"/>
                <w:sz w:val="24"/>
              </w:rPr>
              <w:t>兆帕。</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套</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15</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r>
              <w:rPr>
                <w:rFonts w:ascii="宋体" w:hAnsi="宋体"/>
                <w:color w:val="auto"/>
                <w:kern w:val="0"/>
                <w:sz w:val="24"/>
              </w:rPr>
              <w:t>　</w:t>
            </w:r>
          </w:p>
        </w:tc>
        <w:tc>
          <w:tcPr>
            <w:tcW w:w="5080"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drawing>
                <wp:anchor distT="0" distB="0" distL="114300" distR="114300" simplePos="0" relativeHeight="251676672" behindDoc="0" locked="0" layoutInCell="1" allowOverlap="1">
                  <wp:simplePos x="0" y="0"/>
                  <wp:positionH relativeFrom="column">
                    <wp:posOffset>1099185</wp:posOffset>
                  </wp:positionH>
                  <wp:positionV relativeFrom="paragraph">
                    <wp:posOffset>-103505</wp:posOffset>
                  </wp:positionV>
                  <wp:extent cx="666750" cy="609600"/>
                  <wp:effectExtent l="0" t="0" r="0" b="0"/>
                  <wp:wrapNone/>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
                          <pic:cNvPicPr>
                            <a:picLocks noChangeAspect="1"/>
                          </pic:cNvPicPr>
                        </pic:nvPicPr>
                        <pic:blipFill>
                          <a:blip r:embed="rId20" cstate="print"/>
                          <a:stretch>
                            <a:fillRect/>
                          </a:stretch>
                        </pic:blipFill>
                        <pic:spPr>
                          <a:xfrm>
                            <a:off x="0" y="0"/>
                            <a:ext cx="666750" cy="609600"/>
                          </a:xfrm>
                          <a:prstGeom prst="rect">
                            <a:avLst/>
                          </a:prstGeom>
                        </pic:spPr>
                      </pic:pic>
                    </a:graphicData>
                  </a:graphic>
                </wp:anchor>
              </w:drawing>
            </w:r>
            <w:r>
              <w:rPr>
                <w:rFonts w:ascii="宋体" w:hAnsi="宋体"/>
                <w:color w:val="auto"/>
                <w:kern w:val="0"/>
                <w:sz w:val="24"/>
              </w:rPr>
              <w:drawing>
                <wp:anchor distT="0" distB="0" distL="114300" distR="114300" simplePos="0" relativeHeight="251677696" behindDoc="0" locked="0" layoutInCell="1" allowOverlap="1">
                  <wp:simplePos x="0" y="0"/>
                  <wp:positionH relativeFrom="column">
                    <wp:posOffset>342265</wp:posOffset>
                  </wp:positionH>
                  <wp:positionV relativeFrom="paragraph">
                    <wp:posOffset>-131445</wp:posOffset>
                  </wp:positionV>
                  <wp:extent cx="428625" cy="638175"/>
                  <wp:effectExtent l="0" t="0" r="0" b="0"/>
                  <wp:wrapNone/>
                  <wp:docPr id="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8"/>
                          <pic:cNvPicPr>
                            <a:picLocks noChangeAspect="1"/>
                          </pic:cNvPicPr>
                        </pic:nvPicPr>
                        <pic:blipFill>
                          <a:blip r:embed="rId21" cstate="print"/>
                          <a:stretch>
                            <a:fillRect/>
                          </a:stretch>
                        </pic:blipFill>
                        <pic:spPr>
                          <a:xfrm>
                            <a:off x="0" y="0"/>
                            <a:ext cx="428625" cy="638175"/>
                          </a:xfrm>
                          <a:prstGeom prst="rect">
                            <a:avLst/>
                          </a:prstGeom>
                          <a:noFill/>
                          <a:ln w="9525">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4" w:hRule="atLeast"/>
          <w:jc w:val="center"/>
        </w:trPr>
        <w:tc>
          <w:tcPr>
            <w:tcW w:w="1080" w:type="dxa"/>
            <w:shd w:val="clear" w:color="auto" w:fill="auto"/>
            <w:vAlign w:val="center"/>
          </w:tcPr>
          <w:p>
            <w:pPr>
              <w:pStyle w:val="171"/>
              <w:widowControl/>
              <w:numPr>
                <w:ilvl w:val="0"/>
                <w:numId w:val="5"/>
              </w:numPr>
              <w:ind w:firstLineChars="0"/>
              <w:jc w:val="center"/>
              <w:rPr>
                <w:rFonts w:ascii="宋体" w:hAnsi="宋体"/>
                <w:color w:val="auto"/>
                <w:kern w:val="0"/>
                <w:sz w:val="24"/>
              </w:rPr>
            </w:pPr>
          </w:p>
        </w:tc>
        <w:tc>
          <w:tcPr>
            <w:tcW w:w="202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靶机角度调整工具</w:t>
            </w:r>
          </w:p>
        </w:tc>
        <w:tc>
          <w:tcPr>
            <w:tcW w:w="4180" w:type="dxa"/>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18、优质加厚不锈钢，激光雕刻，纯铜镀镍螺母</w:t>
            </w:r>
            <w:r>
              <w:rPr>
                <w:rFonts w:ascii="宋体" w:hAnsi="宋体"/>
                <w:color w:val="auto"/>
                <w:kern w:val="0"/>
                <w:sz w:val="24"/>
              </w:rPr>
              <w:t>.</w:t>
            </w:r>
            <w:r>
              <w:rPr>
                <w:rFonts w:hint="eastAsia" w:ascii="宋体" w:hAnsi="宋体" w:cs="宋体"/>
                <w:color w:val="auto"/>
                <w:kern w:val="0"/>
                <w:sz w:val="24"/>
              </w:rPr>
              <w:t>测微计及模板</w:t>
            </w:r>
            <w:r>
              <w:rPr>
                <w:rFonts w:ascii="宋体" w:hAnsi="宋体"/>
                <w:color w:val="auto"/>
                <w:kern w:val="0"/>
                <w:sz w:val="24"/>
              </w:rPr>
              <w:t xml:space="preserve"> </w:t>
            </w:r>
            <w:r>
              <w:rPr>
                <w:rFonts w:hint="eastAsia" w:ascii="宋体" w:hAnsi="宋体" w:cs="宋体"/>
                <w:color w:val="auto"/>
                <w:kern w:val="0"/>
                <w:sz w:val="24"/>
              </w:rPr>
              <w:t>，用于测量不同步枪和手枪尺寸的多用仪器，必须由技术代表或器材检查仲裁委员长检测并校准，钢尺/直角尺，用于精细测量，角度测量设备，测量25m手枪准备姿势，测量50m步枪卧射前臂角度。小部件工具，螺丝刀，多功能仪器，多功能工具</w:t>
            </w:r>
          </w:p>
        </w:tc>
        <w:tc>
          <w:tcPr>
            <w:tcW w:w="700" w:type="dxa"/>
            <w:shd w:val="clear" w:color="auto" w:fill="auto"/>
            <w:vAlign w:val="center"/>
          </w:tcPr>
          <w:p>
            <w:pPr>
              <w:widowControl/>
              <w:jc w:val="center"/>
              <w:rPr>
                <w:rFonts w:ascii="宋体" w:hAnsi="宋体"/>
                <w:color w:val="auto"/>
                <w:kern w:val="0"/>
                <w:sz w:val="24"/>
              </w:rPr>
            </w:pPr>
            <w:r>
              <w:rPr>
                <w:rFonts w:hint="eastAsia" w:ascii="宋体" w:hAnsi="宋体"/>
                <w:color w:val="auto"/>
                <w:kern w:val="0"/>
                <w:sz w:val="24"/>
              </w:rPr>
              <w:t>套</w:t>
            </w:r>
          </w:p>
        </w:tc>
        <w:tc>
          <w:tcPr>
            <w:tcW w:w="847" w:type="dxa"/>
            <w:shd w:val="clear" w:color="auto" w:fill="auto"/>
            <w:vAlign w:val="center"/>
          </w:tcPr>
          <w:p>
            <w:pPr>
              <w:widowControl/>
              <w:jc w:val="center"/>
              <w:rPr>
                <w:rFonts w:ascii="宋体" w:hAnsi="宋体"/>
                <w:color w:val="auto"/>
                <w:kern w:val="0"/>
                <w:sz w:val="24"/>
              </w:rPr>
            </w:pPr>
            <w:r>
              <w:rPr>
                <w:rFonts w:ascii="宋体" w:hAnsi="宋体"/>
                <w:color w:val="auto"/>
                <w:kern w:val="0"/>
                <w:sz w:val="24"/>
              </w:rPr>
              <w:t>6</w:t>
            </w:r>
          </w:p>
        </w:tc>
        <w:tc>
          <w:tcPr>
            <w:tcW w:w="1053" w:type="dxa"/>
            <w:shd w:val="clear" w:color="auto" w:fill="auto"/>
            <w:vAlign w:val="center"/>
          </w:tcPr>
          <w:p>
            <w:pPr>
              <w:widowControl/>
              <w:jc w:val="center"/>
              <w:rPr>
                <w:rFonts w:ascii="宋体" w:hAnsi="宋体"/>
                <w:color w:val="auto"/>
                <w:kern w:val="0"/>
                <w:sz w:val="24"/>
              </w:rPr>
            </w:pPr>
            <w:r>
              <w:rPr>
                <w:rFonts w:hint="eastAsia" w:ascii="新宋体" w:hAnsi="新宋体" w:eastAsia="新宋体"/>
                <w:b/>
                <w:color w:val="auto"/>
                <w:sz w:val="24"/>
              </w:rPr>
              <w:t>允许进口设备参与投标</w:t>
            </w:r>
            <w:r>
              <w:rPr>
                <w:rFonts w:ascii="宋体" w:hAnsi="宋体"/>
                <w:color w:val="auto"/>
                <w:kern w:val="0"/>
                <w:sz w:val="24"/>
              </w:rPr>
              <w:t>　</w:t>
            </w:r>
          </w:p>
        </w:tc>
        <w:tc>
          <w:tcPr>
            <w:tcW w:w="5080" w:type="dxa"/>
            <w:shd w:val="clear" w:color="auto" w:fill="auto"/>
            <w:vAlign w:val="center"/>
          </w:tcPr>
          <w:p>
            <w:pPr>
              <w:widowControl/>
              <w:jc w:val="left"/>
              <w:rPr>
                <w:rFonts w:ascii="宋体" w:hAnsi="宋体" w:cs="宋体"/>
                <w:color w:val="auto"/>
                <w:kern w:val="0"/>
                <w:sz w:val="24"/>
              </w:rPr>
            </w:pPr>
            <w:r>
              <w:rPr>
                <w:rFonts w:ascii="宋体" w:hAnsi="宋体" w:cs="宋体"/>
                <w:color w:val="auto"/>
                <w:kern w:val="0"/>
                <w:sz w:val="24"/>
              </w:rPr>
              <w:drawing>
                <wp:anchor distT="0" distB="0" distL="114300" distR="114300" simplePos="0" relativeHeight="251678720" behindDoc="0" locked="0" layoutInCell="1" allowOverlap="1">
                  <wp:simplePos x="0" y="0"/>
                  <wp:positionH relativeFrom="column">
                    <wp:posOffset>1313180</wp:posOffset>
                  </wp:positionH>
                  <wp:positionV relativeFrom="paragraph">
                    <wp:posOffset>1492250</wp:posOffset>
                  </wp:positionV>
                  <wp:extent cx="1604645" cy="610870"/>
                  <wp:effectExtent l="0" t="0" r="14605" b="17780"/>
                  <wp:wrapNone/>
                  <wp:docPr id="62"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3"/>
                          <pic:cNvPicPr>
                            <a:picLocks noChangeAspect="1"/>
                          </pic:cNvPicPr>
                        </pic:nvPicPr>
                        <pic:blipFill>
                          <a:blip r:embed="rId22"/>
                          <a:stretch>
                            <a:fillRect/>
                          </a:stretch>
                        </pic:blipFill>
                        <pic:spPr>
                          <a:xfrm>
                            <a:off x="0" y="0"/>
                            <a:ext cx="1604645" cy="610870"/>
                          </a:xfrm>
                          <a:prstGeom prst="rect">
                            <a:avLst/>
                          </a:prstGeom>
                          <a:noFill/>
                          <a:ln w="9525">
                            <a:noFill/>
                          </a:ln>
                        </pic:spPr>
                      </pic:pic>
                    </a:graphicData>
                  </a:graphic>
                </wp:anchor>
              </w:drawing>
            </w:r>
            <w:r>
              <w:rPr>
                <w:rFonts w:ascii="宋体" w:hAnsi="宋体" w:cs="宋体"/>
                <w:color w:val="auto"/>
                <w:kern w:val="0"/>
                <w:sz w:val="24"/>
              </w:rPr>
              <w:drawing>
                <wp:anchor distT="0" distB="0" distL="114300" distR="114300" simplePos="0" relativeHeight="251679744" behindDoc="0" locked="0" layoutInCell="1" allowOverlap="1">
                  <wp:simplePos x="0" y="0"/>
                  <wp:positionH relativeFrom="column">
                    <wp:posOffset>240030</wp:posOffset>
                  </wp:positionH>
                  <wp:positionV relativeFrom="paragraph">
                    <wp:posOffset>3137535</wp:posOffset>
                  </wp:positionV>
                  <wp:extent cx="2000885" cy="1083945"/>
                  <wp:effectExtent l="19050" t="0" r="0" b="0"/>
                  <wp:wrapNone/>
                  <wp:docPr id="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8"/>
                          <pic:cNvPicPr>
                            <a:picLocks noChangeAspect="1"/>
                          </pic:cNvPicPr>
                        </pic:nvPicPr>
                        <pic:blipFill>
                          <a:blip r:embed="rId23" cstate="print"/>
                          <a:stretch>
                            <a:fillRect/>
                          </a:stretch>
                        </pic:blipFill>
                        <pic:spPr>
                          <a:xfrm>
                            <a:off x="0" y="0"/>
                            <a:ext cx="2000885" cy="1083945"/>
                          </a:xfrm>
                          <a:prstGeom prst="rect">
                            <a:avLst/>
                          </a:prstGeom>
                          <a:noFill/>
                          <a:ln w="9525">
                            <a:noFill/>
                          </a:ln>
                        </pic:spPr>
                      </pic:pic>
                    </a:graphicData>
                  </a:graphic>
                </wp:anchor>
              </w:drawing>
            </w:r>
            <w:r>
              <w:rPr>
                <w:rFonts w:ascii="宋体" w:hAnsi="宋体" w:cs="宋体"/>
                <w:color w:val="auto"/>
                <w:kern w:val="0"/>
                <w:sz w:val="24"/>
              </w:rPr>
              <w:drawing>
                <wp:inline distT="0" distB="0" distL="0" distR="0">
                  <wp:extent cx="2531745" cy="977900"/>
                  <wp:effectExtent l="19050" t="0" r="1521" b="0"/>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24"/>
                          <a:stretch>
                            <a:fillRect/>
                          </a:stretch>
                        </pic:blipFill>
                        <pic:spPr>
                          <a:xfrm>
                            <a:off x="0" y="0"/>
                            <a:ext cx="2537668" cy="980336"/>
                          </a:xfrm>
                          <a:prstGeom prst="rect">
                            <a:avLst/>
                          </a:prstGeom>
                          <a:noFill/>
                          <a:ln w="9525">
                            <a:noFill/>
                          </a:ln>
                        </pic:spPr>
                      </pic:pic>
                    </a:graphicData>
                  </a:graphic>
                </wp:inline>
              </w:drawing>
            </w:r>
            <w:r>
              <w:rPr>
                <w:color w:val="auto"/>
              </w:rPr>
              <w:t xml:space="preserve">  </w:t>
            </w:r>
            <w:r>
              <w:rPr>
                <w:color w:val="auto"/>
              </w:rPr>
              <w:drawing>
                <wp:inline distT="0" distB="0" distL="0" distR="0">
                  <wp:extent cx="1299210" cy="1073785"/>
                  <wp:effectExtent l="19050" t="0" r="0" b="0"/>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25"/>
                          <a:stretch>
                            <a:fillRect/>
                          </a:stretch>
                        </pic:blipFill>
                        <pic:spPr>
                          <a:xfrm>
                            <a:off x="0" y="0"/>
                            <a:ext cx="1301911" cy="1075976"/>
                          </a:xfrm>
                          <a:prstGeom prst="rect">
                            <a:avLst/>
                          </a:prstGeom>
                          <a:noFill/>
                          <a:ln w="9525">
                            <a:noFill/>
                          </a:ln>
                        </pic:spPr>
                      </pic:pic>
                    </a:graphicData>
                  </a:graphic>
                </wp:inline>
              </w:drawing>
            </w:r>
            <w:r>
              <w:rPr>
                <w:color w:val="auto"/>
              </w:rPr>
              <w:drawing>
                <wp:inline distT="0" distB="0" distL="0" distR="0">
                  <wp:extent cx="2766060" cy="977900"/>
                  <wp:effectExtent l="19050" t="0" r="0" b="0"/>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26"/>
                          <a:stretch>
                            <a:fillRect/>
                          </a:stretch>
                        </pic:blipFill>
                        <pic:spPr>
                          <a:xfrm>
                            <a:off x="0" y="0"/>
                            <a:ext cx="2767393" cy="978447"/>
                          </a:xfrm>
                          <a:prstGeom prst="rect">
                            <a:avLst/>
                          </a:prstGeom>
                          <a:noFill/>
                          <a:ln w="9525">
                            <a:noFill/>
                          </a:ln>
                        </pic:spPr>
                      </pic:pic>
                    </a:graphicData>
                  </a:graphic>
                </wp:inline>
              </w:drawing>
            </w:r>
            <w:r>
              <w:rPr>
                <w:rFonts w:ascii="宋体" w:hAnsi="宋体" w:cs="宋体"/>
                <w:color w:val="auto"/>
                <w:kern w:val="0"/>
                <w:sz w:val="24"/>
              </w:rPr>
              <w:t xml:space="preserve"> </w:t>
            </w:r>
          </w:p>
        </w:tc>
      </w:tr>
    </w:tbl>
    <w:p>
      <w:pPr>
        <w:pStyle w:val="2"/>
        <w:rPr>
          <w:color w:val="auto"/>
        </w:rPr>
      </w:pPr>
      <w:r>
        <w:rPr>
          <w:color w:val="auto"/>
        </w:rPr>
        <w:br w:type="page"/>
      </w:r>
    </w:p>
    <w:p>
      <w:pPr>
        <w:adjustRightInd w:val="0"/>
        <w:spacing w:line="300" w:lineRule="auto"/>
        <w:jc w:val="center"/>
        <w:rPr>
          <w:color w:val="auto"/>
        </w:rPr>
      </w:pPr>
      <w:r>
        <w:rPr>
          <w:rFonts w:hint="eastAsia"/>
          <w:b/>
          <w:color w:val="auto"/>
          <w:sz w:val="30"/>
          <w:szCs w:val="30"/>
        </w:rPr>
        <w:t>第二包 成都2021年第31届世界大学生夏季运动会射箭竞赛专项器材采购</w:t>
      </w:r>
    </w:p>
    <w:tbl>
      <w:tblPr>
        <w:tblStyle w:val="34"/>
        <w:tblW w:w="14419" w:type="dxa"/>
        <w:jc w:val="center"/>
        <w:tblLayout w:type="fixed"/>
        <w:tblCellMar>
          <w:top w:w="0" w:type="dxa"/>
          <w:left w:w="108" w:type="dxa"/>
          <w:bottom w:w="0" w:type="dxa"/>
          <w:right w:w="108" w:type="dxa"/>
        </w:tblCellMar>
      </w:tblPr>
      <w:tblGrid>
        <w:gridCol w:w="671"/>
        <w:gridCol w:w="1258"/>
        <w:gridCol w:w="1483"/>
        <w:gridCol w:w="7145"/>
        <w:gridCol w:w="1134"/>
        <w:gridCol w:w="1134"/>
        <w:gridCol w:w="1594"/>
      </w:tblGrid>
      <w:tr>
        <w:tblPrEx>
          <w:tblCellMar>
            <w:top w:w="0" w:type="dxa"/>
            <w:left w:w="108" w:type="dxa"/>
            <w:bottom w:w="0" w:type="dxa"/>
            <w:right w:w="108" w:type="dxa"/>
          </w:tblCellMar>
        </w:tblPrEx>
        <w:trPr>
          <w:trHeight w:val="1700" w:hRule="atLeast"/>
          <w:jc w:val="center"/>
        </w:trPr>
        <w:tc>
          <w:tcPr>
            <w:tcW w:w="671" w:type="dxa"/>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center"/>
              <w:rPr>
                <w:rFonts w:ascii="宋体" w:hAnsi="宋体" w:cs="宋体"/>
                <w:b/>
                <w:bCs/>
                <w:color w:val="auto"/>
                <w:kern w:val="0"/>
                <w:sz w:val="24"/>
              </w:rPr>
            </w:pPr>
            <w:r>
              <w:rPr>
                <w:rFonts w:hint="eastAsia" w:ascii="宋体" w:hAnsi="宋体" w:cs="宋体"/>
                <w:b/>
                <w:bCs/>
                <w:color w:val="auto"/>
                <w:kern w:val="0"/>
                <w:sz w:val="24"/>
              </w:rPr>
              <w:t>序号</w:t>
            </w:r>
          </w:p>
        </w:tc>
        <w:tc>
          <w:tcPr>
            <w:tcW w:w="1258"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rFonts w:ascii="宋体" w:hAnsi="宋体" w:cs="宋体"/>
                <w:b/>
                <w:bCs/>
                <w:color w:val="auto"/>
                <w:kern w:val="0"/>
                <w:sz w:val="24"/>
              </w:rPr>
            </w:pPr>
            <w:r>
              <w:rPr>
                <w:rFonts w:hint="eastAsia" w:ascii="宋体" w:hAnsi="宋体" w:cs="宋体"/>
                <w:b/>
                <w:bCs/>
                <w:color w:val="auto"/>
                <w:kern w:val="0"/>
                <w:sz w:val="24"/>
              </w:rPr>
              <w:t>场馆</w:t>
            </w:r>
          </w:p>
        </w:tc>
        <w:tc>
          <w:tcPr>
            <w:tcW w:w="1483"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rFonts w:ascii="宋体" w:hAnsi="宋体" w:cs="宋体"/>
                <w:b/>
                <w:bCs/>
                <w:color w:val="auto"/>
                <w:kern w:val="0"/>
                <w:sz w:val="24"/>
              </w:rPr>
            </w:pPr>
            <w:r>
              <w:rPr>
                <w:rFonts w:hint="eastAsia" w:ascii="宋体" w:hAnsi="宋体" w:cs="宋体"/>
                <w:b/>
                <w:bCs/>
                <w:color w:val="auto"/>
                <w:kern w:val="0"/>
                <w:sz w:val="24"/>
              </w:rPr>
              <w:t>器材名称</w:t>
            </w:r>
          </w:p>
        </w:tc>
        <w:tc>
          <w:tcPr>
            <w:tcW w:w="7145"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rFonts w:ascii="宋体" w:hAnsi="宋体" w:cs="宋体"/>
                <w:b/>
                <w:bCs/>
                <w:color w:val="auto"/>
                <w:kern w:val="0"/>
                <w:sz w:val="24"/>
              </w:rPr>
            </w:pPr>
            <w:r>
              <w:rPr>
                <w:rFonts w:hint="eastAsia" w:ascii="宋体" w:hAnsi="宋体" w:cs="宋体"/>
                <w:b/>
                <w:bCs/>
                <w:color w:val="auto"/>
                <w:kern w:val="0"/>
                <w:sz w:val="24"/>
              </w:rPr>
              <w:t>技术参数要求</w:t>
            </w:r>
          </w:p>
        </w:tc>
        <w:tc>
          <w:tcPr>
            <w:tcW w:w="1134"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rFonts w:ascii="宋体" w:hAnsi="宋体" w:cs="宋体"/>
                <w:b/>
                <w:bCs/>
                <w:color w:val="auto"/>
                <w:kern w:val="0"/>
                <w:sz w:val="24"/>
              </w:rPr>
            </w:pPr>
            <w:r>
              <w:rPr>
                <w:rFonts w:hint="eastAsia" w:ascii="宋体" w:hAnsi="宋体" w:cs="宋体"/>
                <w:b/>
                <w:bCs/>
                <w:color w:val="auto"/>
                <w:kern w:val="0"/>
                <w:sz w:val="24"/>
              </w:rPr>
              <w:t>单位</w:t>
            </w:r>
          </w:p>
        </w:tc>
        <w:tc>
          <w:tcPr>
            <w:tcW w:w="1134"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rFonts w:ascii="宋体" w:hAnsi="宋体" w:cs="宋体"/>
                <w:b/>
                <w:bCs/>
                <w:color w:val="auto"/>
                <w:kern w:val="0"/>
                <w:sz w:val="24"/>
              </w:rPr>
            </w:pPr>
            <w:r>
              <w:rPr>
                <w:rFonts w:hint="eastAsia" w:ascii="宋体" w:hAnsi="宋体" w:cs="宋体"/>
                <w:b/>
                <w:bCs/>
                <w:color w:val="auto"/>
                <w:kern w:val="0"/>
                <w:sz w:val="24"/>
              </w:rPr>
              <w:t>数量</w:t>
            </w:r>
          </w:p>
        </w:tc>
        <w:tc>
          <w:tcPr>
            <w:tcW w:w="1594"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rFonts w:ascii="宋体" w:hAnsi="宋体" w:cs="宋体"/>
                <w:b/>
                <w:bCs/>
                <w:color w:val="auto"/>
                <w:kern w:val="0"/>
                <w:sz w:val="24"/>
              </w:rPr>
            </w:pPr>
            <w:r>
              <w:rPr>
                <w:rFonts w:hint="eastAsia" w:ascii="宋体" w:hAnsi="宋体" w:cs="宋体"/>
                <w:b/>
                <w:bCs/>
                <w:color w:val="auto"/>
                <w:kern w:val="0"/>
                <w:sz w:val="24"/>
              </w:rPr>
              <w:t>备注</w:t>
            </w:r>
          </w:p>
        </w:tc>
      </w:tr>
      <w:tr>
        <w:tblPrEx>
          <w:tblCellMar>
            <w:top w:w="0" w:type="dxa"/>
            <w:left w:w="108" w:type="dxa"/>
            <w:bottom w:w="0" w:type="dxa"/>
            <w:right w:w="108" w:type="dxa"/>
          </w:tblCellMar>
        </w:tblPrEx>
        <w:trPr>
          <w:trHeight w:val="2046" w:hRule="atLeast"/>
          <w:jc w:val="center"/>
        </w:trPr>
        <w:tc>
          <w:tcPr>
            <w:tcW w:w="671" w:type="dxa"/>
            <w:tcBorders>
              <w:top w:val="nil"/>
              <w:left w:val="single" w:color="auto" w:sz="4" w:space="0"/>
              <w:bottom w:val="single" w:color="auto" w:sz="4" w:space="0"/>
              <w:right w:val="single" w:color="auto" w:sz="4" w:space="0"/>
            </w:tcBorders>
            <w:shd w:val="clear" w:color="000000" w:fill="FFFFFF"/>
            <w:vAlign w:val="center"/>
          </w:tcPr>
          <w:p>
            <w:pPr>
              <w:widowControl/>
              <w:jc w:val="center"/>
              <w:rPr>
                <w:rFonts w:ascii="宋体" w:hAnsi="宋体" w:cs="宋体"/>
                <w:color w:val="auto"/>
                <w:kern w:val="0"/>
                <w:sz w:val="24"/>
              </w:rPr>
            </w:pPr>
            <w:r>
              <w:rPr>
                <w:rFonts w:hint="eastAsia" w:ascii="宋体" w:hAnsi="宋体" w:cs="宋体"/>
                <w:color w:val="auto"/>
                <w:kern w:val="0"/>
                <w:sz w:val="24"/>
              </w:rPr>
              <w:t>1</w:t>
            </w:r>
          </w:p>
        </w:tc>
        <w:tc>
          <w:tcPr>
            <w:tcW w:w="1258" w:type="dxa"/>
            <w:tcBorders>
              <w:top w:val="nil"/>
              <w:left w:val="nil"/>
              <w:bottom w:val="single" w:color="auto" w:sz="4" w:space="0"/>
              <w:right w:val="single" w:color="auto" w:sz="4" w:space="0"/>
            </w:tcBorders>
            <w:shd w:val="clear" w:color="000000" w:fill="FFFFFF"/>
            <w:vAlign w:val="center"/>
          </w:tcPr>
          <w:p>
            <w:pPr>
              <w:widowControl/>
              <w:jc w:val="left"/>
              <w:rPr>
                <w:rFonts w:ascii="宋体" w:hAnsi="宋体" w:cs="宋体"/>
                <w:color w:val="auto"/>
                <w:kern w:val="0"/>
                <w:sz w:val="24"/>
              </w:rPr>
            </w:pPr>
            <w:r>
              <w:rPr>
                <w:rFonts w:hint="eastAsia" w:ascii="宋体" w:hAnsi="宋体" w:cs="宋体"/>
                <w:color w:val="auto"/>
                <w:kern w:val="0"/>
                <w:sz w:val="24"/>
              </w:rPr>
              <w:t>现代五项赛事中心</w:t>
            </w:r>
          </w:p>
        </w:tc>
        <w:tc>
          <w:tcPr>
            <w:tcW w:w="1483"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auto"/>
                <w:kern w:val="0"/>
                <w:sz w:val="24"/>
              </w:rPr>
            </w:pPr>
            <w:r>
              <w:rPr>
                <w:rFonts w:hint="eastAsia" w:ascii="宋体" w:hAnsi="宋体" w:cs="宋体"/>
                <w:color w:val="auto"/>
                <w:kern w:val="0"/>
                <w:sz w:val="24"/>
              </w:rPr>
              <w:t>比赛箭靶</w:t>
            </w:r>
          </w:p>
        </w:tc>
        <w:tc>
          <w:tcPr>
            <w:tcW w:w="7145" w:type="dxa"/>
            <w:tcBorders>
              <w:top w:val="nil"/>
              <w:left w:val="nil"/>
              <w:bottom w:val="single" w:color="auto" w:sz="4" w:space="0"/>
              <w:right w:val="single" w:color="auto" w:sz="4" w:space="0"/>
            </w:tcBorders>
            <w:shd w:val="clear" w:color="auto" w:fill="auto"/>
            <w:vAlign w:val="center"/>
          </w:tcPr>
          <w:p>
            <w:pPr>
              <w:widowControl/>
              <w:jc w:val="left"/>
              <w:rPr>
                <w:rFonts w:ascii="宋体" w:hAnsi="宋体" w:cs="宋体"/>
                <w:color w:val="auto"/>
                <w:kern w:val="0"/>
                <w:sz w:val="24"/>
              </w:rPr>
            </w:pPr>
            <w:r>
              <w:rPr>
                <w:rFonts w:hint="eastAsia" w:ascii="宋体" w:hAnsi="宋体" w:cs="宋体"/>
                <w:color w:val="auto"/>
                <w:kern w:val="0"/>
                <w:sz w:val="24"/>
              </w:rPr>
              <w:t>1、根据国际箭联第三章射准射箭附录一对用靶的要求描述，泡沫靶需XPE高分子高密度泡沫型箭靶；</w:t>
            </w:r>
          </w:p>
          <w:p>
            <w:pPr>
              <w:widowControl/>
              <w:jc w:val="left"/>
              <w:rPr>
                <w:rFonts w:ascii="宋体" w:hAnsi="宋体" w:cs="宋体"/>
                <w:color w:val="auto"/>
                <w:kern w:val="0"/>
                <w:sz w:val="24"/>
              </w:rPr>
            </w:pPr>
            <w:r>
              <w:rPr>
                <w:rFonts w:ascii="宋体" w:hAnsi="宋体" w:cs="宋体"/>
                <w:color w:val="auto"/>
                <w:kern w:val="0"/>
                <w:sz w:val="24"/>
              </w:rPr>
              <w:t>2</w:t>
            </w:r>
            <w:r>
              <w:rPr>
                <w:rFonts w:hint="eastAsia" w:ascii="宋体" w:hAnsi="宋体" w:cs="宋体"/>
                <w:color w:val="auto"/>
                <w:kern w:val="0"/>
                <w:sz w:val="24"/>
              </w:rPr>
              <w:t>、规格</w:t>
            </w:r>
            <w:r>
              <w:rPr>
                <w:rFonts w:ascii="宋体" w:hAnsi="宋体" w:cs="宋体"/>
                <w:color w:val="auto"/>
                <w:kern w:val="0"/>
                <w:sz w:val="24"/>
              </w:rPr>
              <w:t>：</w:t>
            </w:r>
            <w:r>
              <w:rPr>
                <w:rFonts w:hint="eastAsia" w:ascii="宋体" w:hAnsi="宋体" w:cs="宋体"/>
                <w:color w:val="auto"/>
                <w:kern w:val="0"/>
                <w:sz w:val="24"/>
              </w:rPr>
              <w:t>132*132*16.5cm；</w:t>
            </w:r>
          </w:p>
          <w:p>
            <w:pPr>
              <w:widowControl/>
              <w:jc w:val="left"/>
              <w:rPr>
                <w:rFonts w:ascii="宋体" w:hAnsi="宋体" w:cs="宋体"/>
                <w:color w:val="auto"/>
                <w:kern w:val="0"/>
                <w:sz w:val="24"/>
              </w:rPr>
            </w:pPr>
            <w:r>
              <w:rPr>
                <w:rFonts w:hint="eastAsia" w:ascii="宋体" w:hAnsi="宋体" w:cs="宋体"/>
                <w:color w:val="auto"/>
                <w:kern w:val="0"/>
                <w:sz w:val="24"/>
              </w:rPr>
              <w:t>3、可以进行多块互换，射箭比赛专用。</w:t>
            </w:r>
          </w:p>
        </w:tc>
        <w:tc>
          <w:tcPr>
            <w:tcW w:w="113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auto"/>
                <w:kern w:val="0"/>
                <w:sz w:val="24"/>
              </w:rPr>
            </w:pPr>
            <w:r>
              <w:rPr>
                <w:rFonts w:ascii="宋体" w:hAnsi="宋体" w:cs="宋体"/>
                <w:color w:val="auto"/>
                <w:kern w:val="0"/>
                <w:sz w:val="24"/>
              </w:rPr>
              <w:t>个</w:t>
            </w:r>
          </w:p>
        </w:tc>
        <w:tc>
          <w:tcPr>
            <w:tcW w:w="113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auto"/>
                <w:kern w:val="0"/>
                <w:sz w:val="24"/>
              </w:rPr>
            </w:pPr>
            <w:r>
              <w:rPr>
                <w:rFonts w:hint="eastAsia" w:ascii="宋体" w:hAnsi="宋体" w:cs="宋体"/>
                <w:color w:val="auto"/>
                <w:kern w:val="0"/>
                <w:sz w:val="24"/>
              </w:rPr>
              <w:t>100</w:t>
            </w:r>
          </w:p>
        </w:tc>
        <w:tc>
          <w:tcPr>
            <w:tcW w:w="1594" w:type="dxa"/>
            <w:tcBorders>
              <w:top w:val="nil"/>
              <w:left w:val="nil"/>
              <w:bottom w:val="single" w:color="auto" w:sz="4" w:space="0"/>
              <w:right w:val="single" w:color="auto" w:sz="4" w:space="0"/>
            </w:tcBorders>
            <w:shd w:val="clear" w:color="auto" w:fill="auto"/>
            <w:vAlign w:val="center"/>
          </w:tcPr>
          <w:p>
            <w:pPr>
              <w:widowControl/>
              <w:jc w:val="center"/>
              <w:rPr>
                <w:rFonts w:ascii="宋体" w:hAnsi="宋体" w:cs="宋体"/>
                <w:color w:val="auto"/>
                <w:kern w:val="0"/>
                <w:sz w:val="24"/>
              </w:rPr>
            </w:pPr>
            <w:r>
              <w:rPr>
                <w:rFonts w:hint="eastAsia" w:ascii="新宋体" w:hAnsi="新宋体" w:eastAsia="新宋体"/>
                <w:b/>
                <w:color w:val="auto"/>
                <w:sz w:val="24"/>
              </w:rPr>
              <w:t>允许进口设备参与投标</w:t>
            </w:r>
            <w:r>
              <w:rPr>
                <w:rFonts w:hint="eastAsia" w:ascii="宋体" w:hAnsi="宋体" w:cs="宋体"/>
                <w:color w:val="auto"/>
                <w:kern w:val="0"/>
                <w:sz w:val="24"/>
              </w:rPr>
              <w:t>　</w:t>
            </w:r>
          </w:p>
        </w:tc>
      </w:tr>
    </w:tbl>
    <w:p>
      <w:pPr>
        <w:widowControl/>
        <w:ind w:firstLine="1417" w:firstLineChars="588"/>
        <w:jc w:val="left"/>
        <w:rPr>
          <w:rFonts w:ascii="宋体" w:hAnsi="宋体" w:cs="宋体"/>
          <w:b/>
          <w:color w:val="auto"/>
          <w:kern w:val="0"/>
          <w:sz w:val="24"/>
        </w:rPr>
      </w:pPr>
    </w:p>
    <w:p>
      <w:pPr>
        <w:widowControl/>
        <w:jc w:val="left"/>
        <w:rPr>
          <w:rFonts w:hAnsi="宋体"/>
          <w:b/>
          <w:color w:val="auto"/>
          <w:sz w:val="36"/>
          <w:szCs w:val="36"/>
        </w:rPr>
      </w:pPr>
      <w:r>
        <w:rPr>
          <w:rFonts w:hint="eastAsia" w:hAnsi="宋体"/>
          <w:b/>
          <w:color w:val="auto"/>
          <w:sz w:val="36"/>
          <w:szCs w:val="36"/>
        </w:rPr>
        <w:t>二、商务要求</w:t>
      </w:r>
    </w:p>
    <w:p>
      <w:pPr>
        <w:widowControl/>
        <w:jc w:val="left"/>
        <w:rPr>
          <w:rFonts w:hAnsi="宋体"/>
          <w:color w:val="auto"/>
          <w:sz w:val="24"/>
        </w:rPr>
      </w:pPr>
      <w:r>
        <w:rPr>
          <w:rFonts w:hint="eastAsia" w:hAnsi="宋体"/>
          <w:color w:val="auto"/>
          <w:sz w:val="24"/>
        </w:rPr>
        <w:t>1、交货时间：合同签订后10日内（实质性要求）。</w:t>
      </w:r>
    </w:p>
    <w:p>
      <w:pPr>
        <w:widowControl/>
        <w:jc w:val="left"/>
        <w:rPr>
          <w:rFonts w:hAnsi="宋体"/>
          <w:color w:val="auto"/>
          <w:sz w:val="24"/>
        </w:rPr>
      </w:pPr>
      <w:r>
        <w:rPr>
          <w:rFonts w:hint="eastAsia" w:hAnsi="宋体"/>
          <w:color w:val="auto"/>
          <w:sz w:val="24"/>
        </w:rPr>
        <w:t>2、交货地点：第1包为成都市射击运动学校；第二包为双流现代五项中心。（实质性要求）</w:t>
      </w:r>
    </w:p>
    <w:p>
      <w:pPr>
        <w:widowControl/>
        <w:jc w:val="left"/>
        <w:rPr>
          <w:rFonts w:hAnsi="宋体"/>
          <w:color w:val="auto"/>
          <w:sz w:val="24"/>
        </w:rPr>
      </w:pPr>
      <w:r>
        <w:rPr>
          <w:rFonts w:hint="eastAsia" w:hAnsi="宋体"/>
          <w:color w:val="auto"/>
          <w:sz w:val="24"/>
        </w:rPr>
        <w:t>3、测试赛和正赛期间，供应商须配备足够的备用竞赛专项器材。涉及备用竞赛专项器材使用产生的费用将根据合同中拟定的单价据实结算。</w:t>
      </w:r>
    </w:p>
    <w:p>
      <w:pPr>
        <w:widowControl/>
        <w:jc w:val="left"/>
        <w:rPr>
          <w:rFonts w:hAnsi="宋体"/>
          <w:color w:val="auto"/>
          <w:sz w:val="24"/>
        </w:rPr>
      </w:pPr>
      <w:r>
        <w:rPr>
          <w:rFonts w:hint="eastAsia" w:hAnsi="宋体"/>
          <w:color w:val="auto"/>
          <w:sz w:val="24"/>
        </w:rPr>
        <w:t>4、中标人在赛事期间，须提供足够的技术人员（不少于10人）在赛事现场负责竞赛专项器材的维护和修理。现场竞赛专项器材维修维护响应时间不得超过15分钟，并及时排除故障。</w:t>
      </w:r>
    </w:p>
    <w:p>
      <w:pPr>
        <w:widowControl/>
        <w:jc w:val="left"/>
        <w:rPr>
          <w:rFonts w:hAnsi="宋体"/>
          <w:color w:val="auto"/>
          <w:sz w:val="24"/>
        </w:rPr>
      </w:pPr>
      <w:r>
        <w:rPr>
          <w:rFonts w:hint="eastAsia" w:hAnsi="宋体"/>
          <w:color w:val="auto"/>
          <w:sz w:val="24"/>
        </w:rPr>
        <w:t>5、质保期：从验收合格之日起不少于2年。</w:t>
      </w:r>
    </w:p>
    <w:p>
      <w:pPr>
        <w:widowControl/>
        <w:jc w:val="left"/>
        <w:rPr>
          <w:rFonts w:hAnsi="宋体"/>
          <w:color w:val="auto"/>
          <w:sz w:val="24"/>
        </w:rPr>
      </w:pPr>
      <w:r>
        <w:rPr>
          <w:rFonts w:hint="eastAsia" w:hAnsi="宋体"/>
          <w:color w:val="auto"/>
          <w:sz w:val="24"/>
        </w:rPr>
        <w:t>6、质保期从正式验收合格并交付使用之日算起。非人为因素，在质保期内出现质量问题的，中标人应免费更换损坏的零部件并提供维修服务。</w:t>
      </w:r>
    </w:p>
    <w:p>
      <w:pPr>
        <w:pStyle w:val="2"/>
        <w:rPr>
          <w:color w:val="auto"/>
        </w:rPr>
      </w:pPr>
      <w:r>
        <w:rPr>
          <w:rFonts w:hint="eastAsia"/>
          <w:color w:val="auto"/>
        </w:rPr>
        <w:t>7、</w:t>
      </w:r>
      <w:r>
        <w:rPr>
          <w:rFonts w:hAnsi="宋体"/>
          <w:color w:val="auto"/>
        </w:rPr>
        <w:t>相应人员的服装、就餐、住宿、交通、制证和防疫等</w:t>
      </w:r>
      <w:r>
        <w:rPr>
          <w:rFonts w:hint="eastAsia" w:hAnsi="宋体"/>
          <w:color w:val="auto"/>
        </w:rPr>
        <w:t>须按照成都大运会相关政策要求执行，期间产生的相关防疫费用由中标人自行承担。（实质性要求）</w:t>
      </w:r>
    </w:p>
    <w:p>
      <w:pPr>
        <w:pStyle w:val="2"/>
        <w:jc w:val="center"/>
        <w:rPr>
          <w:rFonts w:hAnsi="宋体"/>
          <w:b/>
          <w:color w:val="auto"/>
          <w:sz w:val="36"/>
          <w:szCs w:val="36"/>
        </w:rPr>
        <w:sectPr>
          <w:type w:val="nextColumn"/>
          <w:pgSz w:w="16838" w:h="11906" w:orient="landscape"/>
          <w:pgMar w:top="1134" w:right="1134" w:bottom="1134" w:left="1134" w:header="851" w:footer="992" w:gutter="0"/>
          <w:cols w:space="720" w:num="1"/>
          <w:docGrid w:linePitch="312" w:charSpace="0"/>
        </w:sectPr>
      </w:pPr>
    </w:p>
    <w:p>
      <w:pPr>
        <w:pStyle w:val="3"/>
        <w:spacing w:line="240" w:lineRule="atLeast"/>
        <w:jc w:val="center"/>
        <w:rPr>
          <w:rFonts w:ascii="宋体" w:hAnsi="宋体"/>
          <w:color w:val="auto"/>
          <w:sz w:val="36"/>
          <w:szCs w:val="36"/>
        </w:rPr>
      </w:pPr>
      <w:bookmarkStart w:id="193" w:name="_Toc65154645"/>
      <w:r>
        <w:rPr>
          <w:rFonts w:hint="eastAsia" w:ascii="宋体" w:hAnsi="宋体"/>
          <w:color w:val="auto"/>
          <w:sz w:val="36"/>
          <w:szCs w:val="36"/>
        </w:rPr>
        <w:t>第五章  评标办法</w:t>
      </w:r>
      <w:bookmarkEnd w:id="193"/>
    </w:p>
    <w:p>
      <w:pPr>
        <w:pStyle w:val="3"/>
        <w:spacing w:line="400" w:lineRule="exact"/>
        <w:ind w:firstLine="482" w:firstLineChars="200"/>
        <w:rPr>
          <w:rFonts w:ascii="宋体" w:hAnsi="宋体"/>
          <w:bCs w:val="0"/>
          <w:color w:val="auto"/>
          <w:szCs w:val="32"/>
        </w:rPr>
      </w:pPr>
      <w:bookmarkStart w:id="194" w:name="_Toc65154646"/>
      <w:bookmarkStart w:id="195" w:name="_Toc527460983"/>
      <w:bookmarkStart w:id="196" w:name="_Toc65154542"/>
      <w:r>
        <w:rPr>
          <w:rFonts w:hint="eastAsia" w:ascii="宋体" w:hAnsi="宋体"/>
          <w:color w:val="auto"/>
          <w:sz w:val="24"/>
          <w:szCs w:val="24"/>
        </w:rPr>
        <w:t>1、总则</w:t>
      </w:r>
      <w:bookmarkEnd w:id="189"/>
      <w:bookmarkEnd w:id="190"/>
      <w:bookmarkEnd w:id="191"/>
      <w:bookmarkEnd w:id="192"/>
      <w:bookmarkEnd w:id="194"/>
      <w:bookmarkEnd w:id="195"/>
      <w:bookmarkEnd w:id="196"/>
    </w:p>
    <w:p>
      <w:pPr>
        <w:spacing w:line="400" w:lineRule="exact"/>
        <w:ind w:firstLine="480" w:firstLineChars="200"/>
        <w:rPr>
          <w:rFonts w:ascii="宋体" w:hAnsi="宋体"/>
          <w:color w:val="auto"/>
          <w:sz w:val="24"/>
        </w:rPr>
      </w:pPr>
      <w:r>
        <w:rPr>
          <w:rFonts w:hint="eastAsia" w:ascii="宋体" w:hAnsi="宋体"/>
          <w:color w:val="auto"/>
          <w:sz w:val="24"/>
        </w:rPr>
        <w:t>1.1 根据《中华人民共和国政府采购法》《中华人民共和国政府采购法实施条例》《政府采购货物和服务招标投标管理办法》等法律制度，结合采购项目特点制定本评标办法。</w:t>
      </w:r>
    </w:p>
    <w:p>
      <w:pPr>
        <w:spacing w:line="400" w:lineRule="exact"/>
        <w:ind w:firstLine="480" w:firstLineChars="200"/>
        <w:rPr>
          <w:rFonts w:ascii="宋体" w:hAnsi="宋体"/>
          <w:color w:val="auto"/>
          <w:sz w:val="24"/>
        </w:rPr>
      </w:pPr>
      <w:r>
        <w:rPr>
          <w:rFonts w:hint="eastAsia" w:ascii="宋体" w:hAnsi="宋体"/>
          <w:color w:val="auto"/>
          <w:sz w:val="24"/>
        </w:rPr>
        <w:t xml:space="preserve">1.2 </w:t>
      </w:r>
      <w:r>
        <w:rPr>
          <w:rFonts w:hint="eastAsia" w:ascii="宋体" w:hAnsi="宋体"/>
          <w:bCs/>
          <w:color w:val="auto"/>
          <w:sz w:val="24"/>
        </w:rPr>
        <w:t>评标工作由采购代理机构负责组织，具体评标事务由采购代理机构依法组建的评标委员会负责。评标委员会由采购人代表和有关技术、经济、法律等方面的专家组成。</w:t>
      </w:r>
    </w:p>
    <w:p>
      <w:pPr>
        <w:spacing w:line="400" w:lineRule="exact"/>
        <w:ind w:firstLine="480" w:firstLineChars="200"/>
        <w:rPr>
          <w:rFonts w:ascii="宋体" w:hAnsi="宋体"/>
          <w:color w:val="auto"/>
          <w:sz w:val="24"/>
        </w:rPr>
      </w:pPr>
      <w:r>
        <w:rPr>
          <w:rFonts w:hint="eastAsia" w:ascii="宋体" w:hAnsi="宋体"/>
          <w:color w:val="auto"/>
          <w:sz w:val="24"/>
        </w:rPr>
        <w:t>1.3 评标工作应遵循公平、公正、科学及择优的原则，并以相同的评标程序和标准对待所有的投标人。</w:t>
      </w:r>
    </w:p>
    <w:p>
      <w:pPr>
        <w:spacing w:line="400" w:lineRule="exact"/>
        <w:ind w:firstLine="480" w:firstLineChars="200"/>
        <w:rPr>
          <w:rFonts w:ascii="宋体" w:hAnsi="宋体"/>
          <w:color w:val="auto"/>
          <w:sz w:val="24"/>
        </w:rPr>
      </w:pPr>
      <w:r>
        <w:rPr>
          <w:rFonts w:hint="eastAsia" w:ascii="宋体" w:hAnsi="宋体"/>
          <w:color w:val="auto"/>
          <w:sz w:val="24"/>
        </w:rPr>
        <w:t>1.4 评标委员会按照招标文件规定的评标方法和标准进行评标，并独立履行下列职责：</w:t>
      </w:r>
    </w:p>
    <w:p>
      <w:pPr>
        <w:spacing w:line="400" w:lineRule="exact"/>
        <w:ind w:firstLine="480" w:firstLineChars="200"/>
        <w:rPr>
          <w:rFonts w:ascii="宋体" w:hAnsi="宋体"/>
          <w:color w:val="auto"/>
          <w:sz w:val="24"/>
        </w:rPr>
      </w:pPr>
      <w:bookmarkStart w:id="197" w:name="_Toc217446098"/>
      <w:r>
        <w:rPr>
          <w:rFonts w:hint="eastAsia" w:ascii="宋体" w:hAnsi="宋体"/>
          <w:color w:val="auto"/>
          <w:sz w:val="24"/>
        </w:rPr>
        <w:t>（一）熟悉和理解招标文件；</w:t>
      </w:r>
    </w:p>
    <w:p>
      <w:pPr>
        <w:spacing w:line="400" w:lineRule="exact"/>
        <w:ind w:firstLine="480" w:firstLineChars="200"/>
        <w:rPr>
          <w:rFonts w:ascii="宋体" w:hAnsi="宋体"/>
          <w:color w:val="auto"/>
          <w:sz w:val="24"/>
        </w:rPr>
      </w:pPr>
      <w:r>
        <w:rPr>
          <w:rFonts w:hint="eastAsia" w:ascii="宋体" w:hAnsi="宋体"/>
          <w:color w:val="auto"/>
          <w:sz w:val="24"/>
        </w:rPr>
        <w:t>（二）审查投标人投标文件等是否满足招标文件的商务、技术等实质性要求，并作出比较和评价；</w:t>
      </w:r>
    </w:p>
    <w:p>
      <w:pPr>
        <w:spacing w:line="400" w:lineRule="exact"/>
        <w:ind w:firstLine="480" w:firstLineChars="200"/>
        <w:rPr>
          <w:rFonts w:ascii="宋体" w:hAnsi="宋体"/>
          <w:color w:val="auto"/>
          <w:sz w:val="24"/>
        </w:rPr>
      </w:pPr>
      <w:r>
        <w:rPr>
          <w:rFonts w:hint="eastAsia" w:ascii="宋体" w:hAnsi="宋体"/>
          <w:color w:val="auto"/>
          <w:sz w:val="24"/>
        </w:rPr>
        <w:t>（三）根据需要要求采购人或者采购代理机构对招标文件作出解释；根据需要要求投标人对投标文件有关事项作出澄清、说明或者更正；</w:t>
      </w:r>
    </w:p>
    <w:p>
      <w:pPr>
        <w:spacing w:line="400" w:lineRule="exact"/>
        <w:ind w:firstLine="480" w:firstLineChars="200"/>
        <w:rPr>
          <w:rFonts w:ascii="宋体" w:hAnsi="宋体"/>
          <w:color w:val="auto"/>
          <w:sz w:val="24"/>
        </w:rPr>
      </w:pPr>
      <w:r>
        <w:rPr>
          <w:rFonts w:hint="eastAsia" w:ascii="宋体" w:hAnsi="宋体"/>
          <w:color w:val="auto"/>
          <w:sz w:val="24"/>
        </w:rPr>
        <w:t>（四）确定中标候选人名单，或者受采购人委托确定中标人；</w:t>
      </w:r>
    </w:p>
    <w:p>
      <w:pPr>
        <w:spacing w:line="400" w:lineRule="exact"/>
        <w:ind w:firstLine="480" w:firstLineChars="200"/>
        <w:rPr>
          <w:rFonts w:ascii="宋体" w:hAnsi="宋体"/>
          <w:color w:val="auto"/>
          <w:sz w:val="24"/>
        </w:rPr>
      </w:pPr>
      <w:r>
        <w:rPr>
          <w:rFonts w:hint="eastAsia" w:ascii="宋体" w:hAnsi="宋体"/>
          <w:color w:val="auto"/>
          <w:sz w:val="24"/>
        </w:rPr>
        <w:t>（五）起草评标报告并进行签署；</w:t>
      </w:r>
    </w:p>
    <w:p>
      <w:pPr>
        <w:spacing w:line="400" w:lineRule="exact"/>
        <w:ind w:firstLine="480" w:firstLineChars="200"/>
        <w:rPr>
          <w:rFonts w:ascii="宋体" w:hAnsi="宋体"/>
          <w:color w:val="auto"/>
          <w:sz w:val="24"/>
        </w:rPr>
      </w:pPr>
      <w:r>
        <w:rPr>
          <w:rFonts w:hint="eastAsia" w:ascii="宋体" w:hAnsi="宋体"/>
          <w:color w:val="auto"/>
          <w:sz w:val="24"/>
        </w:rPr>
        <w:t>（六）向采购人、采购代理机构、财政部门或者其他监督部门报告评标中发现的违法行为；</w:t>
      </w:r>
    </w:p>
    <w:p>
      <w:pPr>
        <w:spacing w:line="400" w:lineRule="exact"/>
        <w:ind w:firstLine="480" w:firstLineChars="200"/>
        <w:rPr>
          <w:rFonts w:ascii="宋体" w:hAnsi="宋体"/>
          <w:color w:val="auto"/>
          <w:sz w:val="24"/>
        </w:rPr>
      </w:pPr>
      <w:r>
        <w:rPr>
          <w:rFonts w:hint="eastAsia" w:ascii="宋体" w:hAnsi="宋体"/>
          <w:color w:val="auto"/>
          <w:sz w:val="24"/>
        </w:rPr>
        <w:t>（七）法律、法规和规章规定的其他职责。</w:t>
      </w:r>
    </w:p>
    <w:p>
      <w:pPr>
        <w:spacing w:line="400" w:lineRule="exact"/>
        <w:ind w:firstLine="480" w:firstLineChars="200"/>
        <w:rPr>
          <w:rFonts w:ascii="宋体" w:hAnsi="宋体"/>
          <w:color w:val="auto"/>
          <w:sz w:val="24"/>
        </w:rPr>
      </w:pPr>
      <w:r>
        <w:rPr>
          <w:rFonts w:hint="eastAsia" w:ascii="宋体" w:hAnsi="宋体"/>
          <w:color w:val="auto"/>
          <w:sz w:val="24"/>
        </w:rPr>
        <w:t>1.5 评标过程独立、保密。投标人非法干预评标过程的行为将导致其投标文件作为无效处理。</w:t>
      </w:r>
    </w:p>
    <w:p>
      <w:pPr>
        <w:spacing w:line="400" w:lineRule="exact"/>
        <w:ind w:firstLine="480" w:firstLineChars="200"/>
        <w:rPr>
          <w:rFonts w:ascii="宋体" w:hAnsi="宋体"/>
          <w:color w:val="auto"/>
          <w:sz w:val="24"/>
        </w:rPr>
      </w:pPr>
      <w:r>
        <w:rPr>
          <w:rFonts w:hint="eastAsia" w:ascii="宋体" w:hAnsi="宋体"/>
          <w:color w:val="auto"/>
          <w:sz w:val="24"/>
        </w:rPr>
        <w:t>1.6评标委员会评价投标文件的响应性，对于投标人而言，除评标委员会要求其澄清、说明或者更正而提供的资料外，仅依据投标文件本身的内容，不寻求其他外部证据。</w:t>
      </w:r>
    </w:p>
    <w:p>
      <w:pPr>
        <w:pStyle w:val="3"/>
        <w:spacing w:line="400" w:lineRule="exact"/>
        <w:ind w:firstLine="482" w:firstLineChars="200"/>
        <w:rPr>
          <w:rFonts w:ascii="宋体" w:hAnsi="宋体"/>
          <w:color w:val="auto"/>
          <w:sz w:val="24"/>
        </w:rPr>
      </w:pPr>
      <w:bookmarkStart w:id="198" w:name="_Toc527460984"/>
      <w:bookmarkStart w:id="199" w:name="_Toc65154647"/>
      <w:bookmarkStart w:id="200" w:name="_Toc65154543"/>
      <w:r>
        <w:rPr>
          <w:rFonts w:hint="eastAsia" w:ascii="宋体" w:hAnsi="宋体"/>
          <w:color w:val="auto"/>
          <w:sz w:val="24"/>
          <w:szCs w:val="24"/>
        </w:rPr>
        <w:t>2、评标方法</w:t>
      </w:r>
      <w:bookmarkEnd w:id="198"/>
      <w:bookmarkEnd w:id="199"/>
      <w:bookmarkEnd w:id="200"/>
    </w:p>
    <w:p>
      <w:pPr>
        <w:spacing w:line="400" w:lineRule="exact"/>
        <w:ind w:firstLine="480" w:firstLineChars="200"/>
        <w:rPr>
          <w:rFonts w:ascii="宋体" w:hAnsi="宋体"/>
          <w:color w:val="auto"/>
          <w:sz w:val="24"/>
        </w:rPr>
      </w:pPr>
      <w:r>
        <w:rPr>
          <w:rFonts w:hint="eastAsia" w:ascii="宋体" w:hAnsi="宋体"/>
          <w:color w:val="auto"/>
          <w:sz w:val="24"/>
        </w:rPr>
        <w:t>本项目评标方法为：综合评分法。</w:t>
      </w:r>
    </w:p>
    <w:p>
      <w:pPr>
        <w:pStyle w:val="3"/>
        <w:spacing w:line="400" w:lineRule="exact"/>
        <w:ind w:firstLine="482" w:firstLineChars="200"/>
        <w:rPr>
          <w:rFonts w:ascii="宋体" w:hAnsi="宋体"/>
          <w:b w:val="0"/>
          <w:color w:val="auto"/>
          <w:sz w:val="24"/>
        </w:rPr>
      </w:pPr>
      <w:bookmarkStart w:id="201" w:name="_Toc65154544"/>
      <w:bookmarkStart w:id="202" w:name="_Toc65154648"/>
      <w:bookmarkStart w:id="203" w:name="_Toc527460985"/>
      <w:r>
        <w:rPr>
          <w:rFonts w:hint="eastAsia" w:ascii="宋体" w:hAnsi="宋体"/>
          <w:color w:val="auto"/>
          <w:sz w:val="24"/>
          <w:szCs w:val="24"/>
        </w:rPr>
        <w:t>3、评标程序</w:t>
      </w:r>
      <w:bookmarkEnd w:id="197"/>
      <w:bookmarkEnd w:id="201"/>
      <w:bookmarkEnd w:id="202"/>
      <w:bookmarkEnd w:id="203"/>
    </w:p>
    <w:p>
      <w:pPr>
        <w:spacing w:line="400" w:lineRule="exact"/>
        <w:ind w:firstLine="480" w:firstLineChars="200"/>
        <w:rPr>
          <w:rFonts w:ascii="宋体" w:hAnsi="宋体"/>
          <w:color w:val="auto"/>
          <w:sz w:val="24"/>
        </w:rPr>
      </w:pPr>
      <w:bookmarkStart w:id="204" w:name="_Toc217446103"/>
      <w:bookmarkStart w:id="205" w:name="_Toc217446099"/>
      <w:r>
        <w:rPr>
          <w:rFonts w:hint="eastAsia" w:ascii="宋体" w:hAnsi="宋体"/>
          <w:color w:val="auto"/>
          <w:sz w:val="24"/>
        </w:rPr>
        <w:t>3.1熟悉和理解招标文件和停止评标。</w:t>
      </w:r>
    </w:p>
    <w:p>
      <w:pPr>
        <w:spacing w:line="400" w:lineRule="exact"/>
        <w:ind w:firstLine="480" w:firstLineChars="200"/>
        <w:rPr>
          <w:rFonts w:ascii="宋体" w:hAnsi="宋体"/>
          <w:color w:val="auto"/>
          <w:sz w:val="24"/>
        </w:rPr>
      </w:pPr>
      <w:r>
        <w:rPr>
          <w:rFonts w:hint="eastAsia" w:ascii="宋体" w:hAnsi="宋体"/>
          <w:color w:val="auto"/>
          <w:sz w:val="24"/>
        </w:rPr>
        <w:t>3.1.1正式评标前，评标委员会应当对招标文件进行熟悉和理解，内容主要包括招标文件中投标人资格条件要求、采购项目技术、服务和商务要求、评标方法和标准以及可能涉及签订政府采购合同的内容等。</w:t>
      </w:r>
    </w:p>
    <w:p>
      <w:pPr>
        <w:spacing w:line="400" w:lineRule="exact"/>
        <w:ind w:firstLine="480" w:firstLineChars="200"/>
        <w:rPr>
          <w:rFonts w:ascii="宋体" w:hAnsi="宋体"/>
          <w:color w:val="auto"/>
          <w:sz w:val="24"/>
        </w:rPr>
      </w:pPr>
      <w:r>
        <w:rPr>
          <w:rFonts w:hint="eastAsia" w:ascii="宋体" w:hAnsi="宋体"/>
          <w:color w:val="auto"/>
          <w:sz w:val="24"/>
        </w:rPr>
        <w:t>3.1.2评标委员会熟悉和理解招标文件以及评标过程中，发现本招标文件有下列情形之一的，评标委员会应当停止评标：</w:t>
      </w:r>
    </w:p>
    <w:p>
      <w:pPr>
        <w:spacing w:line="400" w:lineRule="exact"/>
        <w:ind w:firstLine="480" w:firstLineChars="200"/>
        <w:rPr>
          <w:rFonts w:ascii="宋体" w:hAnsi="宋体"/>
          <w:color w:val="auto"/>
          <w:sz w:val="24"/>
        </w:rPr>
      </w:pPr>
      <w:r>
        <w:rPr>
          <w:rFonts w:hint="eastAsia" w:ascii="宋体" w:hAnsi="宋体"/>
          <w:color w:val="auto"/>
          <w:sz w:val="24"/>
        </w:rPr>
        <w:t>（1）招标文件的规定存在歧义、重大缺陷的；</w:t>
      </w:r>
    </w:p>
    <w:p>
      <w:pPr>
        <w:spacing w:line="400" w:lineRule="exact"/>
        <w:ind w:firstLine="480" w:firstLineChars="200"/>
        <w:rPr>
          <w:rFonts w:ascii="宋体" w:hAnsi="宋体"/>
          <w:color w:val="auto"/>
          <w:sz w:val="24"/>
        </w:rPr>
      </w:pPr>
      <w:r>
        <w:rPr>
          <w:rFonts w:hint="eastAsia" w:ascii="宋体" w:hAnsi="宋体"/>
          <w:color w:val="auto"/>
          <w:sz w:val="24"/>
        </w:rPr>
        <w:t>（2）招标文件明显以不合理条件对投标人实行差别待遇或者歧视待遇的；</w:t>
      </w:r>
    </w:p>
    <w:p>
      <w:pPr>
        <w:spacing w:line="400" w:lineRule="exact"/>
        <w:ind w:firstLine="480" w:firstLineChars="200"/>
        <w:rPr>
          <w:rFonts w:ascii="宋体" w:hAnsi="宋体"/>
          <w:color w:val="auto"/>
          <w:sz w:val="24"/>
        </w:rPr>
      </w:pPr>
      <w:r>
        <w:rPr>
          <w:rFonts w:hint="eastAsia" w:ascii="宋体" w:hAnsi="宋体"/>
          <w:color w:val="auto"/>
          <w:sz w:val="24"/>
        </w:rPr>
        <w:t>（3）采购项目属于国家规定的优先、强制采购范围，但是招标文件未依法体现优先、强制采购相关规定的；</w:t>
      </w:r>
    </w:p>
    <w:p>
      <w:pPr>
        <w:spacing w:line="400" w:lineRule="exact"/>
        <w:ind w:firstLine="480" w:firstLineChars="200"/>
        <w:rPr>
          <w:rFonts w:ascii="宋体" w:hAnsi="宋体"/>
          <w:color w:val="auto"/>
          <w:sz w:val="24"/>
        </w:rPr>
      </w:pPr>
      <w:r>
        <w:rPr>
          <w:rFonts w:hint="eastAsia" w:ascii="宋体" w:hAnsi="宋体"/>
          <w:color w:val="auto"/>
          <w:sz w:val="24"/>
        </w:rPr>
        <w:t>（4）采购项目属于政府采购促进中小企业发展的范围，但是招标文件未依法体现促进中小企业发展相关规定的；</w:t>
      </w:r>
    </w:p>
    <w:p>
      <w:pPr>
        <w:spacing w:line="400" w:lineRule="exact"/>
        <w:ind w:firstLine="480" w:firstLineChars="200"/>
        <w:rPr>
          <w:rFonts w:ascii="宋体" w:hAnsi="宋体"/>
          <w:color w:val="auto"/>
          <w:sz w:val="24"/>
        </w:rPr>
      </w:pPr>
      <w:r>
        <w:rPr>
          <w:rFonts w:hint="eastAsia" w:ascii="宋体" w:hAnsi="宋体"/>
          <w:color w:val="auto"/>
          <w:sz w:val="24"/>
        </w:rPr>
        <w:t>（5）招标文件规定的评标方法是综合评分法、最低评标价法之外的评标方法，或者虽然名称为综合评分法、最低评标价法，但实际上不符合国家规定；</w:t>
      </w:r>
    </w:p>
    <w:p>
      <w:pPr>
        <w:spacing w:line="400" w:lineRule="exact"/>
        <w:ind w:firstLine="480" w:firstLineChars="200"/>
        <w:rPr>
          <w:rFonts w:ascii="宋体" w:hAnsi="宋体"/>
          <w:color w:val="auto"/>
          <w:sz w:val="24"/>
        </w:rPr>
      </w:pPr>
      <w:r>
        <w:rPr>
          <w:rFonts w:hint="eastAsia" w:ascii="宋体" w:hAnsi="宋体"/>
          <w:color w:val="auto"/>
          <w:sz w:val="24"/>
        </w:rPr>
        <w:t>（6）招标文件将投标人的资格条件列为评分因素的；</w:t>
      </w:r>
    </w:p>
    <w:p>
      <w:pPr>
        <w:spacing w:line="400" w:lineRule="exact"/>
        <w:ind w:firstLine="480" w:firstLineChars="200"/>
        <w:rPr>
          <w:rFonts w:ascii="宋体" w:hAnsi="宋体"/>
          <w:color w:val="auto"/>
          <w:sz w:val="24"/>
        </w:rPr>
      </w:pPr>
      <w:r>
        <w:rPr>
          <w:rFonts w:hint="eastAsia" w:ascii="宋体" w:hAnsi="宋体"/>
          <w:color w:val="auto"/>
          <w:sz w:val="24"/>
        </w:rPr>
        <w:t>（7）招标文件有违反国家其他有关强制性规定的情形。</w:t>
      </w:r>
    </w:p>
    <w:p>
      <w:pPr>
        <w:spacing w:line="400" w:lineRule="exact"/>
        <w:ind w:firstLine="480" w:firstLineChars="200"/>
        <w:rPr>
          <w:rFonts w:ascii="宋体" w:hAnsi="宋体"/>
          <w:color w:val="auto"/>
          <w:sz w:val="24"/>
        </w:rPr>
      </w:pPr>
      <w:r>
        <w:rPr>
          <w:rFonts w:hint="eastAsia" w:ascii="宋体" w:hAnsi="宋体"/>
          <w:color w:val="auto"/>
          <w:sz w:val="24"/>
        </w:rPr>
        <w:t>3.1.3出现本条3.1.2规定应当停止评标情形的，评标委员会应当向采购人或者采购代理机构书面说明情况并经采购人或者采购代理机构确认。除本条规定和评标委员会无法依法组建的情形外，评标委员会不得以任何方式和理由停止评标。</w:t>
      </w:r>
    </w:p>
    <w:p>
      <w:pPr>
        <w:spacing w:line="400" w:lineRule="exact"/>
        <w:ind w:firstLine="480" w:firstLineChars="200"/>
        <w:rPr>
          <w:rFonts w:ascii="宋体" w:hAnsi="宋体"/>
          <w:color w:val="auto"/>
          <w:sz w:val="24"/>
        </w:rPr>
      </w:pPr>
      <w:r>
        <w:rPr>
          <w:rFonts w:hint="eastAsia" w:ascii="宋体" w:hAnsi="宋体"/>
          <w:color w:val="auto"/>
          <w:sz w:val="24"/>
        </w:rPr>
        <w:t>3.2资格性检查。</w:t>
      </w:r>
    </w:p>
    <w:p>
      <w:pPr>
        <w:spacing w:line="400" w:lineRule="exact"/>
        <w:ind w:firstLine="480" w:firstLineChars="200"/>
        <w:rPr>
          <w:rFonts w:ascii="宋体" w:hAnsi="宋体"/>
          <w:color w:val="auto"/>
          <w:sz w:val="24"/>
        </w:rPr>
      </w:pPr>
      <w:r>
        <w:rPr>
          <w:rFonts w:hint="eastAsia" w:ascii="宋体" w:hAnsi="宋体"/>
          <w:color w:val="auto"/>
          <w:sz w:val="24"/>
        </w:rPr>
        <w:t>采购人或采购代理机构应依据法律法规和本招标文件的规定，对投标文件是否按照规定要求提供资格性证明材料、是否属于禁止参加投标的投标人等进行审查，以确定投标人是否具备投标资格。</w:t>
      </w:r>
    </w:p>
    <w:p>
      <w:pPr>
        <w:spacing w:line="400" w:lineRule="exact"/>
        <w:ind w:firstLine="480" w:firstLineChars="200"/>
        <w:rPr>
          <w:rFonts w:ascii="宋体" w:hAnsi="宋体"/>
          <w:color w:val="auto"/>
          <w:sz w:val="24"/>
        </w:rPr>
      </w:pPr>
      <w:r>
        <w:rPr>
          <w:rFonts w:hint="eastAsia" w:ascii="宋体" w:hAnsi="宋体"/>
          <w:color w:val="auto"/>
          <w:sz w:val="24"/>
        </w:rPr>
        <w:t>3.3符合性检查。</w:t>
      </w:r>
    </w:p>
    <w:p>
      <w:pPr>
        <w:spacing w:line="400" w:lineRule="exact"/>
        <w:ind w:firstLine="480" w:firstLineChars="200"/>
        <w:rPr>
          <w:rFonts w:ascii="宋体" w:hAnsi="宋体"/>
          <w:color w:val="auto"/>
          <w:sz w:val="24"/>
        </w:rPr>
      </w:pPr>
      <w:r>
        <w:rPr>
          <w:rFonts w:hint="eastAsia" w:ascii="宋体" w:hAnsi="宋体"/>
          <w:color w:val="auto"/>
          <w:sz w:val="24"/>
        </w:rPr>
        <w:t>3.3.1评标委员会依据本招标文件的实质性要求，对符合资格的投标文件进行审查，以确定其是否满足本招标文件的实质性要求。本项目符合性审查事项仅限于本招标文件的明确规定。投标文件是否满足招标文件的实质性要求，必须以本招标文件的明确规定作为依据，否则，不能对投标文件作为无效处理，评标委员会不得臆测符合性审查事项。</w:t>
      </w:r>
    </w:p>
    <w:p>
      <w:pPr>
        <w:spacing w:line="400" w:lineRule="exact"/>
        <w:ind w:firstLine="480" w:firstLineChars="200"/>
        <w:rPr>
          <w:rFonts w:ascii="宋体" w:hAnsi="宋体"/>
          <w:color w:val="auto"/>
          <w:sz w:val="24"/>
        </w:rPr>
      </w:pPr>
      <w:r>
        <w:rPr>
          <w:rFonts w:hint="eastAsia" w:ascii="宋体" w:hAnsi="宋体"/>
          <w:color w:val="auto"/>
          <w:sz w:val="24"/>
        </w:rPr>
        <w:t>3.3.2投标文件（包括单独递交的开标一览表）有下列情形的，本项目不作为实质性要求进行规定，即不作为符合性审查事项，不得作为无效投标处理：</w:t>
      </w:r>
    </w:p>
    <w:p>
      <w:pPr>
        <w:spacing w:line="400" w:lineRule="exact"/>
        <w:ind w:firstLine="480" w:firstLineChars="200"/>
        <w:rPr>
          <w:rFonts w:ascii="宋体" w:hAnsi="宋体"/>
          <w:color w:val="auto"/>
          <w:sz w:val="24"/>
        </w:rPr>
      </w:pPr>
      <w:r>
        <w:rPr>
          <w:rFonts w:hint="eastAsia" w:ascii="宋体" w:hAnsi="宋体"/>
          <w:color w:val="auto"/>
          <w:sz w:val="24"/>
        </w:rPr>
        <w:t>（一）正副本数量齐全、按照招标文件要求密封且完好，只是未按照招标文件要求进行分装或者统装的；</w:t>
      </w:r>
    </w:p>
    <w:p>
      <w:pPr>
        <w:spacing w:line="400" w:lineRule="exact"/>
        <w:ind w:firstLine="480" w:firstLineChars="200"/>
        <w:rPr>
          <w:rFonts w:ascii="宋体" w:hAnsi="宋体"/>
          <w:color w:val="auto"/>
          <w:sz w:val="24"/>
        </w:rPr>
      </w:pPr>
      <w:r>
        <w:rPr>
          <w:rFonts w:hint="eastAsia" w:ascii="宋体" w:hAnsi="宋体"/>
          <w:color w:val="auto"/>
          <w:sz w:val="24"/>
        </w:rPr>
        <w:t>（二）存在个别地方（不超过2个）没有法定代表人签字，但有法定代表人的私人印章或者有效授权代理人签字的；</w:t>
      </w:r>
    </w:p>
    <w:p>
      <w:pPr>
        <w:spacing w:line="400" w:lineRule="exact"/>
        <w:ind w:firstLine="480" w:firstLineChars="200"/>
        <w:rPr>
          <w:rFonts w:ascii="宋体" w:hAnsi="宋体"/>
          <w:color w:val="auto"/>
          <w:sz w:val="24"/>
        </w:rPr>
      </w:pPr>
      <w:r>
        <w:rPr>
          <w:rFonts w:hint="eastAsia" w:ascii="宋体" w:hAnsi="宋体"/>
          <w:color w:val="auto"/>
          <w:sz w:val="24"/>
        </w:rPr>
        <w:t>（三）除招标文件明确要求加盖单位(法人)公章的以外，其他地方以相关专用章加盖的；</w:t>
      </w:r>
    </w:p>
    <w:p>
      <w:pPr>
        <w:spacing w:line="400" w:lineRule="exact"/>
        <w:ind w:firstLine="480" w:firstLineChars="200"/>
        <w:rPr>
          <w:rFonts w:ascii="宋体" w:hAnsi="宋体"/>
          <w:color w:val="auto"/>
          <w:sz w:val="24"/>
        </w:rPr>
      </w:pPr>
      <w:r>
        <w:rPr>
          <w:rFonts w:hint="eastAsia" w:ascii="宋体" w:hAnsi="宋体"/>
          <w:color w:val="auto"/>
          <w:sz w:val="24"/>
        </w:rPr>
        <w:t>（四）以骑缝章的形式代替投标文件内容逐页盖章的（但是骑缝章模糊不清，印章名称无法辨认的除外）；</w:t>
      </w:r>
    </w:p>
    <w:p>
      <w:pPr>
        <w:spacing w:line="400" w:lineRule="exact"/>
        <w:ind w:firstLine="480" w:firstLineChars="200"/>
        <w:rPr>
          <w:rFonts w:ascii="宋体" w:hAnsi="宋体"/>
          <w:color w:val="auto"/>
          <w:sz w:val="24"/>
        </w:rPr>
      </w:pPr>
      <w:r>
        <w:rPr>
          <w:rFonts w:hint="eastAsia" w:ascii="宋体" w:hAnsi="宋体"/>
          <w:color w:val="auto"/>
          <w:sz w:val="24"/>
        </w:rPr>
        <w:t>（五）其他不影响采购项目实质性要求的情形。</w:t>
      </w:r>
    </w:p>
    <w:p>
      <w:pPr>
        <w:spacing w:line="400" w:lineRule="exact"/>
        <w:ind w:firstLine="480" w:firstLineChars="200"/>
        <w:rPr>
          <w:rFonts w:ascii="宋体" w:hAnsi="宋体"/>
          <w:color w:val="auto"/>
          <w:sz w:val="24"/>
        </w:rPr>
      </w:pPr>
      <w:r>
        <w:rPr>
          <w:rFonts w:hint="eastAsia" w:ascii="宋体" w:hAnsi="宋体"/>
          <w:color w:val="auto"/>
          <w:sz w:val="24"/>
        </w:rPr>
        <w:t>3.3.3除政府采购法律制度规定的情形外，本项目投标人或者其投标文件有下列情形之一的，作为无效投标处理：</w:t>
      </w:r>
    </w:p>
    <w:p>
      <w:pPr>
        <w:numPr>
          <w:ilvl w:val="0"/>
          <w:numId w:val="6"/>
        </w:numPr>
        <w:spacing w:line="400" w:lineRule="exact"/>
        <w:ind w:firstLine="480" w:firstLineChars="200"/>
        <w:rPr>
          <w:rFonts w:ascii="宋体" w:hAnsi="宋体"/>
          <w:color w:val="auto"/>
          <w:sz w:val="24"/>
        </w:rPr>
      </w:pPr>
      <w:r>
        <w:rPr>
          <w:rFonts w:hint="eastAsia" w:ascii="宋体" w:hAnsi="宋体"/>
          <w:color w:val="auto"/>
          <w:sz w:val="24"/>
        </w:rPr>
        <w:t>投标文件正副本数量不足的；</w:t>
      </w:r>
    </w:p>
    <w:p>
      <w:pPr>
        <w:numPr>
          <w:ilvl w:val="0"/>
          <w:numId w:val="6"/>
        </w:numPr>
        <w:spacing w:line="400" w:lineRule="exact"/>
        <w:ind w:firstLine="480" w:firstLineChars="200"/>
        <w:rPr>
          <w:rFonts w:ascii="宋体" w:hAnsi="宋体"/>
          <w:color w:val="auto"/>
          <w:sz w:val="24"/>
        </w:rPr>
      </w:pPr>
      <w:r>
        <w:rPr>
          <w:rFonts w:hint="eastAsia" w:hAnsi="宋体" w:cs="宋体"/>
          <w:color w:val="auto"/>
          <w:sz w:val="24"/>
        </w:rPr>
        <w:t>未按规定交纳投标保证金的；</w:t>
      </w:r>
    </w:p>
    <w:p>
      <w:pPr>
        <w:spacing w:line="400" w:lineRule="exact"/>
        <w:ind w:firstLine="480" w:firstLineChars="200"/>
        <w:rPr>
          <w:rFonts w:ascii="宋体" w:hAnsi="宋体"/>
          <w:color w:val="auto"/>
          <w:sz w:val="24"/>
        </w:rPr>
      </w:pPr>
      <w:r>
        <w:rPr>
          <w:rFonts w:hint="eastAsia" w:ascii="宋体" w:hAnsi="宋体"/>
          <w:color w:val="auto"/>
          <w:sz w:val="24"/>
        </w:rPr>
        <w:t>（三）投标文件组成明显不符合招标文件的规定要求，影响评标委员会评判的；</w:t>
      </w:r>
    </w:p>
    <w:p>
      <w:pPr>
        <w:spacing w:line="400" w:lineRule="exact"/>
        <w:ind w:firstLine="480" w:firstLineChars="200"/>
        <w:rPr>
          <w:rFonts w:ascii="宋体" w:hAnsi="宋体"/>
          <w:color w:val="auto"/>
          <w:sz w:val="24"/>
        </w:rPr>
      </w:pPr>
      <w:r>
        <w:rPr>
          <w:rFonts w:hint="eastAsia" w:ascii="宋体" w:hAnsi="宋体"/>
          <w:color w:val="auto"/>
          <w:sz w:val="24"/>
        </w:rPr>
        <w:t>（四）投标文件格式、语言、计量单位、报价货币、知识产权、投标有效期等不符合招标文件的规定，影响评标委员会评判的；</w:t>
      </w:r>
    </w:p>
    <w:p>
      <w:pPr>
        <w:spacing w:line="400" w:lineRule="exact"/>
        <w:ind w:firstLine="480" w:firstLineChars="200"/>
        <w:rPr>
          <w:rFonts w:ascii="宋体" w:hAnsi="宋体"/>
          <w:color w:val="auto"/>
          <w:sz w:val="24"/>
        </w:rPr>
      </w:pPr>
      <w:r>
        <w:rPr>
          <w:rFonts w:hint="eastAsia" w:ascii="宋体" w:hAnsi="宋体"/>
          <w:color w:val="auto"/>
          <w:sz w:val="24"/>
        </w:rPr>
        <w:t>（五）投标报价不符合招标文件规定的采购预算或者最高限价和其他报价规定的；</w:t>
      </w:r>
    </w:p>
    <w:p>
      <w:pPr>
        <w:spacing w:line="400" w:lineRule="exact"/>
        <w:ind w:firstLine="480" w:firstLineChars="200"/>
        <w:rPr>
          <w:rFonts w:ascii="宋体" w:hAnsi="宋体"/>
          <w:color w:val="auto"/>
          <w:sz w:val="24"/>
        </w:rPr>
      </w:pPr>
      <w:r>
        <w:rPr>
          <w:rFonts w:hint="eastAsia" w:ascii="宋体" w:hAnsi="宋体"/>
          <w:color w:val="auto"/>
          <w:sz w:val="24"/>
        </w:rPr>
        <w:t>（六）技术应答内容完全或者绝大部分复制招标文件规定要求，且无相关证明材料的（主要适用于专用设备和电子信息化建设采购项目，政府采购工程、政府采购协议供货或定点供应商采购、政府采购的货物属于规格标准统一或者订制产品的除外）；</w:t>
      </w:r>
    </w:p>
    <w:p>
      <w:pPr>
        <w:spacing w:line="400" w:lineRule="exact"/>
        <w:ind w:firstLine="480" w:firstLineChars="200"/>
        <w:rPr>
          <w:rFonts w:ascii="宋体" w:hAnsi="宋体"/>
          <w:color w:val="auto"/>
          <w:sz w:val="24"/>
        </w:rPr>
      </w:pPr>
      <w:r>
        <w:rPr>
          <w:rFonts w:hint="eastAsia" w:ascii="宋体" w:hAnsi="宋体"/>
          <w:color w:val="auto"/>
          <w:sz w:val="24"/>
        </w:rPr>
        <w:t>（七）技术、服务应答内容不满足招标文件实质性要求的；</w:t>
      </w:r>
    </w:p>
    <w:p>
      <w:pPr>
        <w:spacing w:line="400" w:lineRule="exact"/>
        <w:ind w:firstLine="480" w:firstLineChars="200"/>
        <w:rPr>
          <w:rFonts w:ascii="宋体" w:hAnsi="宋体"/>
          <w:color w:val="auto"/>
          <w:sz w:val="24"/>
        </w:rPr>
      </w:pPr>
      <w:r>
        <w:rPr>
          <w:rFonts w:hint="eastAsia" w:ascii="宋体" w:hAnsi="宋体"/>
          <w:color w:val="auto"/>
          <w:sz w:val="24"/>
        </w:rPr>
        <w:t>（八）招标文件有明确要求，但投标文件未载明或者载明的采购项目履约时间、方式、数量与招标文件要求不一致的；</w:t>
      </w:r>
    </w:p>
    <w:p>
      <w:pPr>
        <w:spacing w:line="400" w:lineRule="exact"/>
        <w:ind w:firstLine="480" w:firstLineChars="200"/>
        <w:rPr>
          <w:rFonts w:ascii="宋体" w:hAnsi="宋体"/>
          <w:color w:val="auto"/>
          <w:sz w:val="24"/>
        </w:rPr>
      </w:pPr>
      <w:r>
        <w:rPr>
          <w:rFonts w:hint="eastAsia" w:ascii="宋体" w:hAnsi="宋体"/>
          <w:color w:val="auto"/>
          <w:sz w:val="24"/>
        </w:rPr>
        <w:t>（九）投标函、承诺函、开标一览表未按招标文件格式要求填写、盖章、签署的，法定代表人授权书未按相关法律法规要求完整签署、盖章，未完整提供相关身份证明文件的。</w:t>
      </w:r>
    </w:p>
    <w:p>
      <w:pPr>
        <w:spacing w:line="400" w:lineRule="exact"/>
        <w:ind w:firstLine="460" w:firstLineChars="192"/>
        <w:rPr>
          <w:rFonts w:ascii="宋体" w:hAnsi="宋体"/>
          <w:color w:val="auto"/>
          <w:sz w:val="24"/>
        </w:rPr>
      </w:pPr>
      <w:r>
        <w:rPr>
          <w:rFonts w:hint="eastAsia" w:ascii="宋体" w:hAnsi="宋体"/>
          <w:color w:val="auto"/>
          <w:sz w:val="24"/>
        </w:rPr>
        <w:t>（十）不同投标人的投标文件由同一单位或个人编制；</w:t>
      </w:r>
    </w:p>
    <w:p>
      <w:pPr>
        <w:spacing w:line="400" w:lineRule="exact"/>
        <w:ind w:firstLine="460" w:firstLineChars="192"/>
        <w:rPr>
          <w:rFonts w:ascii="宋体" w:hAnsi="宋体"/>
          <w:color w:val="auto"/>
          <w:sz w:val="24"/>
        </w:rPr>
      </w:pPr>
      <w:r>
        <w:rPr>
          <w:rFonts w:hint="eastAsia" w:ascii="宋体" w:hAnsi="宋体"/>
          <w:color w:val="auto"/>
          <w:sz w:val="24"/>
        </w:rPr>
        <w:t>（十一）不同投标人委托同一单位或个人办理投标事宜；</w:t>
      </w:r>
    </w:p>
    <w:p>
      <w:pPr>
        <w:spacing w:line="400" w:lineRule="exact"/>
        <w:ind w:firstLine="460" w:firstLineChars="192"/>
        <w:rPr>
          <w:rFonts w:ascii="宋体" w:hAnsi="宋体"/>
          <w:color w:val="auto"/>
          <w:sz w:val="24"/>
        </w:rPr>
      </w:pPr>
      <w:r>
        <w:rPr>
          <w:rFonts w:hint="eastAsia" w:ascii="宋体" w:hAnsi="宋体"/>
          <w:color w:val="auto"/>
          <w:sz w:val="24"/>
        </w:rPr>
        <w:t>（十二）不同投标人的投标文件载明的项目管理成员或联系人员为同一人；</w:t>
      </w:r>
    </w:p>
    <w:p>
      <w:pPr>
        <w:spacing w:line="400" w:lineRule="exact"/>
        <w:ind w:firstLine="460" w:firstLineChars="192"/>
        <w:rPr>
          <w:rFonts w:ascii="宋体" w:hAnsi="宋体"/>
          <w:color w:val="auto"/>
          <w:sz w:val="24"/>
        </w:rPr>
      </w:pPr>
      <w:r>
        <w:rPr>
          <w:rFonts w:hint="eastAsia" w:ascii="宋体" w:hAnsi="宋体"/>
          <w:color w:val="auto"/>
          <w:sz w:val="24"/>
        </w:rPr>
        <w:t>（十三）不同投标人的投标文件异常一致或投标报价呈规律性差异；</w:t>
      </w:r>
    </w:p>
    <w:p>
      <w:pPr>
        <w:spacing w:line="400" w:lineRule="exact"/>
        <w:ind w:firstLine="460" w:firstLineChars="192"/>
        <w:rPr>
          <w:rFonts w:ascii="宋体" w:hAnsi="宋体"/>
          <w:color w:val="auto"/>
          <w:sz w:val="24"/>
        </w:rPr>
      </w:pPr>
      <w:r>
        <w:rPr>
          <w:rFonts w:hint="eastAsia" w:ascii="宋体" w:hAnsi="宋体"/>
          <w:color w:val="auto"/>
          <w:sz w:val="24"/>
        </w:rPr>
        <w:t>（十四）不同投标人的投标文件相互混装；</w:t>
      </w:r>
    </w:p>
    <w:p>
      <w:pPr>
        <w:spacing w:line="400" w:lineRule="exact"/>
        <w:ind w:firstLine="460" w:firstLineChars="192"/>
        <w:rPr>
          <w:rFonts w:ascii="宋体" w:hAnsi="宋体"/>
          <w:color w:val="auto"/>
          <w:sz w:val="24"/>
        </w:rPr>
      </w:pPr>
      <w:r>
        <w:rPr>
          <w:rFonts w:hint="eastAsia" w:ascii="宋体" w:hAnsi="宋体"/>
          <w:color w:val="auto"/>
          <w:sz w:val="24"/>
        </w:rPr>
        <w:t>（十五）不同投标人的投标保证金从同一单位或个人的账户转出；</w:t>
      </w:r>
    </w:p>
    <w:p>
      <w:pPr>
        <w:spacing w:line="400" w:lineRule="exact"/>
        <w:ind w:firstLine="460" w:firstLineChars="192"/>
        <w:rPr>
          <w:rFonts w:ascii="宋体" w:hAnsi="宋体"/>
          <w:color w:val="auto"/>
          <w:sz w:val="24"/>
        </w:rPr>
      </w:pPr>
      <w:r>
        <w:rPr>
          <w:rFonts w:hint="eastAsia" w:ascii="宋体" w:hAnsi="宋体"/>
          <w:color w:val="auto"/>
          <w:sz w:val="24"/>
        </w:rPr>
        <w:t>（十六）投标文件中含有采购人不能接受的附加条件的；</w:t>
      </w:r>
    </w:p>
    <w:p>
      <w:pPr>
        <w:spacing w:line="400" w:lineRule="exact"/>
        <w:ind w:firstLine="460" w:firstLineChars="192"/>
        <w:rPr>
          <w:rFonts w:ascii="宋体" w:hAnsi="宋体"/>
          <w:color w:val="auto"/>
          <w:sz w:val="24"/>
        </w:rPr>
      </w:pPr>
      <w:r>
        <w:rPr>
          <w:rFonts w:hint="eastAsia" w:ascii="宋体" w:hAnsi="宋体"/>
          <w:color w:val="auto"/>
          <w:sz w:val="24"/>
        </w:rPr>
        <w:t>（十七）不满足招标文件规定的其他实质性要求的。</w:t>
      </w:r>
    </w:p>
    <w:p>
      <w:pPr>
        <w:spacing w:line="400" w:lineRule="exact"/>
        <w:ind w:firstLine="480" w:firstLineChars="200"/>
        <w:rPr>
          <w:rFonts w:ascii="宋体" w:hAnsi="宋体"/>
          <w:color w:val="auto"/>
          <w:sz w:val="24"/>
        </w:rPr>
      </w:pPr>
      <w:r>
        <w:rPr>
          <w:rFonts w:hint="eastAsia" w:ascii="宋体" w:hAnsi="宋体"/>
          <w:color w:val="auto"/>
          <w:sz w:val="24"/>
        </w:rPr>
        <w:t>3.4比较与评价。按招标文件中规定的评标方法和标准，对未作无效投标处理的投标文件进行技术、服务、商务等方面评估，综合比较与评价。</w:t>
      </w:r>
    </w:p>
    <w:p>
      <w:pPr>
        <w:spacing w:line="400" w:lineRule="exact"/>
        <w:ind w:firstLine="480" w:firstLineChars="200"/>
        <w:rPr>
          <w:rFonts w:ascii="宋体" w:hAnsi="宋体"/>
          <w:color w:val="auto"/>
          <w:sz w:val="24"/>
        </w:rPr>
      </w:pPr>
      <w:r>
        <w:rPr>
          <w:rFonts w:hint="eastAsia" w:ascii="宋体" w:hAnsi="宋体"/>
          <w:color w:val="auto"/>
          <w:sz w:val="24"/>
        </w:rPr>
        <w:t>3.5复核。评分汇总结束后，评标委员会应当进行复核，特别要对拟推荐为中标候选人的、报价最低的、投标文件被认定为无效的进行重点复核。</w:t>
      </w:r>
    </w:p>
    <w:p>
      <w:pPr>
        <w:spacing w:line="400" w:lineRule="exact"/>
        <w:ind w:firstLine="480" w:firstLineChars="200"/>
        <w:rPr>
          <w:rFonts w:ascii="宋体" w:hAnsi="宋体"/>
          <w:color w:val="auto"/>
          <w:sz w:val="24"/>
        </w:rPr>
      </w:pPr>
      <w:r>
        <w:rPr>
          <w:rFonts w:hint="eastAsia" w:ascii="宋体" w:hAnsi="宋体"/>
          <w:color w:val="auto"/>
          <w:sz w:val="24"/>
        </w:rPr>
        <w:t>3.6推荐3家中标候选人。中标候选供应商应当排序。评标结果按评审后得分由高到低顺序排列；得分相同的，按投标报价由低到高顺序排列；得分且投标报价相同的并列，投标文件满足招标文件全部实质性要求且按照评审因素的量化指标评审得分最高的供应商为中标候选供应商；报价相同且满足招标文件全部实质性要求且按照评审因素的量化指标评审得分也相同的，由不发达地区或少数民族地区企业的供应商作为中标候选供应商（供应商需提供不发达地区企业的相关证明材料或投标人注册地为少数民族地区）；报价相同且满足招标文件全部实质性要求且按照评审因素的量化指标评审得分也相同的，且不能区分不发达地区或少数民族地区企业的并列，由采购人自主采取公平、择优的方式选择中标供应商。</w:t>
      </w:r>
    </w:p>
    <w:p>
      <w:pPr>
        <w:spacing w:line="400" w:lineRule="exact"/>
        <w:ind w:firstLine="480" w:firstLineChars="200"/>
        <w:rPr>
          <w:rFonts w:ascii="宋体" w:hAnsi="宋体"/>
          <w:color w:val="auto"/>
          <w:sz w:val="24"/>
        </w:rPr>
      </w:pPr>
      <w:r>
        <w:rPr>
          <w:rFonts w:hint="eastAsia" w:ascii="宋体" w:hAnsi="宋体"/>
          <w:color w:val="auto"/>
          <w:sz w:val="24"/>
        </w:rPr>
        <w:t>评标委员会可推荐的中标候选人数量不能满足招标文件规定的数量的，只有在获得采购人书面同意后，可以根据实际情况推荐中标候选人。未获得采购人的书面同意,评标委员会不得在招标文件规定之外推荐中标候选人，否则，采购人可以不予认可。</w:t>
      </w:r>
    </w:p>
    <w:p>
      <w:pPr>
        <w:spacing w:line="400" w:lineRule="exact"/>
        <w:ind w:firstLine="480" w:firstLineChars="200"/>
        <w:rPr>
          <w:rFonts w:ascii="宋体" w:hAnsi="宋体"/>
          <w:color w:val="auto"/>
          <w:sz w:val="24"/>
        </w:rPr>
      </w:pPr>
      <w:r>
        <w:rPr>
          <w:rFonts w:hint="eastAsia" w:ascii="宋体" w:hAnsi="宋体"/>
          <w:color w:val="auto"/>
          <w:sz w:val="24"/>
        </w:rPr>
        <w:t>3.7出具评标报告。评标委员会推荐中标候选人后，应当向采购人或者采购代理机构出具评标报告。评标报告应当包括下列内容：</w:t>
      </w:r>
    </w:p>
    <w:p>
      <w:pPr>
        <w:spacing w:line="400" w:lineRule="exact"/>
        <w:ind w:firstLine="480" w:firstLineChars="200"/>
        <w:rPr>
          <w:rFonts w:ascii="宋体" w:hAnsi="宋体"/>
          <w:color w:val="auto"/>
          <w:sz w:val="24"/>
        </w:rPr>
      </w:pPr>
      <w:r>
        <w:rPr>
          <w:rFonts w:hint="eastAsia" w:ascii="宋体" w:hAnsi="宋体"/>
          <w:color w:val="auto"/>
          <w:sz w:val="24"/>
        </w:rPr>
        <w:t>（一）招标公告刊登的媒体名称、开标日期和地点；</w:t>
      </w:r>
    </w:p>
    <w:p>
      <w:pPr>
        <w:spacing w:line="400" w:lineRule="exact"/>
        <w:ind w:firstLine="480" w:firstLineChars="200"/>
        <w:rPr>
          <w:rFonts w:ascii="宋体" w:hAnsi="宋体"/>
          <w:color w:val="auto"/>
          <w:sz w:val="24"/>
        </w:rPr>
      </w:pPr>
      <w:r>
        <w:rPr>
          <w:rFonts w:hint="eastAsia" w:ascii="宋体" w:hAnsi="宋体"/>
          <w:color w:val="auto"/>
          <w:sz w:val="24"/>
        </w:rPr>
        <w:t>（二）获取招标文件的投标人名单和评标委员会成员名单；</w:t>
      </w:r>
    </w:p>
    <w:p>
      <w:pPr>
        <w:spacing w:line="400" w:lineRule="exact"/>
        <w:ind w:firstLine="480" w:firstLineChars="200"/>
        <w:rPr>
          <w:rFonts w:ascii="宋体" w:hAnsi="宋体"/>
          <w:color w:val="auto"/>
          <w:sz w:val="24"/>
        </w:rPr>
      </w:pPr>
      <w:r>
        <w:rPr>
          <w:rFonts w:hint="eastAsia" w:ascii="宋体" w:hAnsi="宋体"/>
          <w:color w:val="auto"/>
          <w:sz w:val="24"/>
        </w:rPr>
        <w:t>（三）评标方法和标准；</w:t>
      </w:r>
    </w:p>
    <w:p>
      <w:pPr>
        <w:spacing w:line="400" w:lineRule="exact"/>
        <w:ind w:firstLine="480" w:firstLineChars="200"/>
        <w:rPr>
          <w:rFonts w:ascii="宋体" w:hAnsi="宋体"/>
          <w:color w:val="auto"/>
          <w:sz w:val="24"/>
        </w:rPr>
      </w:pPr>
      <w:r>
        <w:rPr>
          <w:rFonts w:hint="eastAsia" w:ascii="宋体" w:hAnsi="宋体"/>
          <w:color w:val="auto"/>
          <w:sz w:val="24"/>
        </w:rPr>
        <w:t>（四）开标记录和评标情况及说明，包括无效投标人名单及原因；</w:t>
      </w:r>
    </w:p>
    <w:p>
      <w:pPr>
        <w:spacing w:line="400" w:lineRule="exact"/>
        <w:ind w:firstLine="480" w:firstLineChars="200"/>
        <w:rPr>
          <w:rFonts w:ascii="宋体" w:hAnsi="宋体"/>
          <w:color w:val="auto"/>
          <w:sz w:val="24"/>
        </w:rPr>
      </w:pPr>
      <w:r>
        <w:rPr>
          <w:rFonts w:hint="eastAsia" w:ascii="宋体" w:hAnsi="宋体"/>
          <w:color w:val="auto"/>
          <w:sz w:val="24"/>
        </w:rPr>
        <w:t>（五）评标结果和中标候选人排序表；</w:t>
      </w:r>
    </w:p>
    <w:p>
      <w:pPr>
        <w:spacing w:line="400" w:lineRule="exact"/>
        <w:ind w:firstLine="480" w:firstLineChars="200"/>
        <w:rPr>
          <w:rFonts w:ascii="宋体" w:hAnsi="宋体"/>
          <w:color w:val="auto"/>
          <w:sz w:val="24"/>
        </w:rPr>
      </w:pPr>
      <w:r>
        <w:rPr>
          <w:rFonts w:hint="eastAsia" w:ascii="宋体" w:hAnsi="宋体"/>
          <w:color w:val="auto"/>
          <w:sz w:val="24"/>
        </w:rPr>
        <w:t>（六）评标委员会授标建议；</w:t>
      </w:r>
    </w:p>
    <w:p>
      <w:pPr>
        <w:spacing w:line="400" w:lineRule="exact"/>
        <w:ind w:firstLine="480" w:firstLineChars="200"/>
        <w:rPr>
          <w:rFonts w:ascii="宋体" w:hAnsi="宋体"/>
          <w:color w:val="auto"/>
          <w:sz w:val="24"/>
        </w:rPr>
      </w:pPr>
      <w:r>
        <w:rPr>
          <w:rFonts w:hint="eastAsia" w:ascii="宋体" w:hAnsi="宋体"/>
          <w:color w:val="auto"/>
          <w:sz w:val="24"/>
        </w:rPr>
        <w:t>（七）报价最高的投标人为中标候选人的，评标委员会应当对其报价的合理性予以特别说明。</w:t>
      </w:r>
    </w:p>
    <w:p>
      <w:pPr>
        <w:spacing w:line="400" w:lineRule="exact"/>
        <w:ind w:firstLine="480" w:firstLineChars="200"/>
        <w:rPr>
          <w:rFonts w:ascii="宋体" w:hAnsi="宋体"/>
          <w:color w:val="auto"/>
          <w:sz w:val="24"/>
        </w:rPr>
      </w:pPr>
      <w:r>
        <w:rPr>
          <w:rFonts w:hint="eastAsia" w:ascii="宋体" w:hAnsi="宋体"/>
          <w:color w:val="auto"/>
          <w:sz w:val="24"/>
        </w:rPr>
        <w:t>（八）</w:t>
      </w:r>
      <w:r>
        <w:rPr>
          <w:rFonts w:hint="eastAsia" w:hAnsi="宋体"/>
          <w:color w:val="auto"/>
          <w:sz w:val="24"/>
        </w:rPr>
        <w:t>其他需要说明的情况，包括评标过程中投标人根据评标委员会要求进行的澄清、说明或者补正，评标委员会成员的更换等。</w:t>
      </w:r>
    </w:p>
    <w:p>
      <w:pPr>
        <w:spacing w:line="400" w:lineRule="exact"/>
        <w:ind w:firstLine="480" w:firstLineChars="200"/>
        <w:rPr>
          <w:rFonts w:ascii="宋体" w:hAnsi="宋体"/>
          <w:color w:val="auto"/>
          <w:sz w:val="24"/>
        </w:rPr>
      </w:pPr>
      <w:r>
        <w:rPr>
          <w:rFonts w:hint="eastAsia" w:ascii="宋体" w:hAnsi="宋体"/>
          <w:color w:val="auto"/>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spacing w:line="400" w:lineRule="exact"/>
        <w:ind w:firstLine="480" w:firstLineChars="200"/>
        <w:rPr>
          <w:rFonts w:ascii="宋体" w:hAnsi="宋体"/>
          <w:color w:val="auto"/>
          <w:sz w:val="24"/>
        </w:rPr>
      </w:pPr>
      <w:r>
        <w:rPr>
          <w:rFonts w:hint="eastAsia" w:ascii="宋体" w:hAnsi="宋体"/>
          <w:color w:val="auto"/>
          <w:sz w:val="24"/>
        </w:rPr>
        <w:t>3.8评标争议处理规则。评标委员会在评审过程中，对于符合性审查、对投标人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采购人或者采购代理机构书面反映。采购人或者采购代理机构收到书面反映后，应当书面报告采购项目同级财政部门依法处理。</w:t>
      </w:r>
    </w:p>
    <w:p>
      <w:pPr>
        <w:spacing w:line="400" w:lineRule="exact"/>
        <w:ind w:firstLine="480" w:firstLineChars="200"/>
        <w:rPr>
          <w:rFonts w:ascii="宋体" w:hAnsi="宋体"/>
          <w:color w:val="auto"/>
          <w:sz w:val="24"/>
        </w:rPr>
      </w:pPr>
      <w:r>
        <w:rPr>
          <w:rFonts w:hint="eastAsia" w:ascii="宋体" w:hAnsi="宋体"/>
          <w:color w:val="auto"/>
          <w:sz w:val="24"/>
        </w:rPr>
        <w:t>3.9投标人应当书面澄清、说明或者更正。</w:t>
      </w:r>
    </w:p>
    <w:p>
      <w:pPr>
        <w:spacing w:line="400" w:lineRule="exact"/>
        <w:ind w:firstLine="480" w:firstLineChars="200"/>
        <w:rPr>
          <w:rFonts w:ascii="宋体" w:hAnsi="宋体"/>
          <w:color w:val="auto"/>
          <w:sz w:val="24"/>
        </w:rPr>
      </w:pPr>
      <w:r>
        <w:rPr>
          <w:rFonts w:hint="eastAsia" w:ascii="宋体" w:hAnsi="宋体"/>
          <w:color w:val="auto"/>
          <w:sz w:val="24"/>
        </w:rPr>
        <w:t>3.9.1在评标过程中，投标人投标文件实质性符合招标文件要求的前提下，评标委员会对投标文件中含义不明确、同类问题表述不一致或者有明显文字和计算错误的内容，应当以书面形式（须由评标委员会全体成员签字）要求投标人作出必要的书面澄清、说明或者更正，并给予投标人必要的反馈时间。</w:t>
      </w:r>
    </w:p>
    <w:p>
      <w:pPr>
        <w:spacing w:line="400" w:lineRule="exact"/>
        <w:ind w:firstLine="480" w:firstLineChars="200"/>
        <w:rPr>
          <w:rFonts w:ascii="宋体" w:hAnsi="宋体"/>
          <w:color w:val="auto"/>
          <w:sz w:val="24"/>
        </w:rPr>
      </w:pPr>
      <w:r>
        <w:rPr>
          <w:rFonts w:hint="eastAsia" w:ascii="宋体" w:hAnsi="宋体"/>
          <w:color w:val="auto"/>
          <w:sz w:val="24"/>
        </w:rPr>
        <w:t>3.9.2投标人应当书面澄清、说明或者更正的，需加盖公章或签字确认（投标人为法人的，应当由其法定代表人或者代理人签字确认；投标人为其他组织的，应当由其主要负责人或者代理人签字确认；投标人为自然人的，应当由其本人或者代理人签字确认），否则无效。澄清、说明或者更正不影响投标文件的效力，有效的澄清、说明或者更正材料，是投标文件的组成部分。</w:t>
      </w:r>
    </w:p>
    <w:p>
      <w:pPr>
        <w:spacing w:line="400" w:lineRule="exact"/>
        <w:ind w:firstLine="480" w:firstLineChars="200"/>
        <w:rPr>
          <w:rFonts w:ascii="宋体" w:hAnsi="宋体"/>
          <w:color w:val="auto"/>
          <w:sz w:val="24"/>
        </w:rPr>
      </w:pPr>
      <w:r>
        <w:rPr>
          <w:rFonts w:hint="eastAsia" w:ascii="宋体" w:hAnsi="宋体"/>
          <w:color w:val="auto"/>
          <w:sz w:val="24"/>
        </w:rPr>
        <w:t>3.9.3评标委员会要求投标人澄清、说明或者更正，不得超出招标文件的范围，不得以此让投标人实质改变投标文件的内容，不得影响投标人公平竞争。本项目下列内容不得澄清：</w:t>
      </w:r>
    </w:p>
    <w:p>
      <w:pPr>
        <w:spacing w:line="400" w:lineRule="exact"/>
        <w:ind w:firstLine="480" w:firstLineChars="200"/>
        <w:rPr>
          <w:rFonts w:ascii="宋体" w:hAnsi="宋体"/>
          <w:color w:val="auto"/>
          <w:sz w:val="24"/>
        </w:rPr>
      </w:pPr>
      <w:r>
        <w:rPr>
          <w:rFonts w:hint="eastAsia" w:ascii="宋体" w:hAnsi="宋体"/>
          <w:color w:val="auto"/>
          <w:sz w:val="24"/>
        </w:rPr>
        <w:t>（一）按财政部规定应当在评标时不予承认的投标文件内容事项；</w:t>
      </w:r>
    </w:p>
    <w:p>
      <w:pPr>
        <w:spacing w:line="400" w:lineRule="exact"/>
        <w:ind w:firstLine="480" w:firstLineChars="200"/>
        <w:rPr>
          <w:rFonts w:ascii="宋体" w:hAnsi="宋体"/>
          <w:color w:val="auto"/>
          <w:sz w:val="24"/>
        </w:rPr>
      </w:pPr>
      <w:r>
        <w:rPr>
          <w:rFonts w:hint="eastAsia" w:ascii="宋体" w:hAnsi="宋体"/>
          <w:color w:val="auto"/>
          <w:sz w:val="24"/>
        </w:rPr>
        <w:t>（二）投标文件中已经明确的内容事项；</w:t>
      </w:r>
    </w:p>
    <w:p>
      <w:pPr>
        <w:spacing w:line="400" w:lineRule="exact"/>
        <w:ind w:firstLine="480" w:firstLineChars="200"/>
        <w:rPr>
          <w:rFonts w:ascii="宋体" w:hAnsi="宋体"/>
          <w:color w:val="auto"/>
          <w:sz w:val="24"/>
        </w:rPr>
      </w:pPr>
      <w:r>
        <w:rPr>
          <w:rFonts w:hint="eastAsia" w:ascii="宋体" w:hAnsi="宋体"/>
          <w:color w:val="auto"/>
          <w:sz w:val="24"/>
        </w:rPr>
        <w:t>（三）投标文件未提供的材料。</w:t>
      </w:r>
    </w:p>
    <w:p>
      <w:pPr>
        <w:spacing w:line="400" w:lineRule="exact"/>
        <w:ind w:firstLine="480" w:firstLineChars="200"/>
        <w:rPr>
          <w:rFonts w:ascii="宋体" w:hAnsi="宋体"/>
          <w:color w:val="auto"/>
          <w:sz w:val="24"/>
        </w:rPr>
      </w:pPr>
      <w:r>
        <w:rPr>
          <w:rFonts w:hint="eastAsia" w:ascii="宋体" w:hAnsi="宋体"/>
          <w:color w:val="auto"/>
          <w:sz w:val="24"/>
        </w:rPr>
        <w:t>3.9.4 本项目采购过程中，投标文件出现下列情况的，按照</w:t>
      </w:r>
      <w:r>
        <w:rPr>
          <w:rFonts w:hint="eastAsia" w:hAnsi="宋体"/>
          <w:color w:val="auto"/>
          <w:sz w:val="24"/>
        </w:rPr>
        <w:t>下列规定修正：</w:t>
      </w:r>
    </w:p>
    <w:p>
      <w:pPr>
        <w:spacing w:line="400" w:lineRule="exact"/>
        <w:ind w:firstLine="480" w:firstLineChars="200"/>
        <w:rPr>
          <w:rFonts w:hAnsi="宋体"/>
          <w:color w:val="auto"/>
          <w:sz w:val="24"/>
        </w:rPr>
      </w:pPr>
      <w:r>
        <w:rPr>
          <w:rFonts w:hint="eastAsia" w:hAnsi="宋体"/>
          <w:color w:val="auto"/>
          <w:sz w:val="24"/>
        </w:rPr>
        <w:t>（一）投标文件中开标一览表（报价表）内容与投标文件中相应内容不一致的，以开标一览表（报价表）为准；</w:t>
      </w:r>
    </w:p>
    <w:p>
      <w:pPr>
        <w:pStyle w:val="19"/>
        <w:rPr>
          <w:rFonts w:hAnsi="宋体"/>
          <w:color w:val="auto"/>
          <w:sz w:val="24"/>
          <w:szCs w:val="24"/>
        </w:rPr>
      </w:pPr>
      <w:r>
        <w:rPr>
          <w:rFonts w:hint="eastAsia" w:hAnsi="宋体"/>
          <w:color w:val="auto"/>
          <w:sz w:val="24"/>
          <w:szCs w:val="24"/>
        </w:rPr>
        <w:t>　　（二）大写金额和小写金额不一致的，以大写金额为准；</w:t>
      </w:r>
    </w:p>
    <w:p>
      <w:pPr>
        <w:pStyle w:val="19"/>
        <w:rPr>
          <w:rFonts w:hAnsi="宋体"/>
          <w:color w:val="auto"/>
          <w:sz w:val="24"/>
          <w:szCs w:val="24"/>
        </w:rPr>
      </w:pPr>
      <w:r>
        <w:rPr>
          <w:rFonts w:hint="eastAsia" w:hAnsi="宋体"/>
          <w:color w:val="auto"/>
          <w:sz w:val="24"/>
          <w:szCs w:val="24"/>
        </w:rPr>
        <w:t>　　（三）单价金额小数点或者百分比有明显错位的，以开标一览表的总价为准，并修改单价；</w:t>
      </w:r>
    </w:p>
    <w:p>
      <w:pPr>
        <w:pStyle w:val="19"/>
        <w:rPr>
          <w:rFonts w:hAnsi="宋体"/>
          <w:color w:val="auto"/>
          <w:sz w:val="24"/>
          <w:szCs w:val="24"/>
        </w:rPr>
      </w:pPr>
      <w:r>
        <w:rPr>
          <w:rFonts w:hint="eastAsia" w:hAnsi="宋体"/>
          <w:color w:val="auto"/>
          <w:sz w:val="24"/>
          <w:szCs w:val="24"/>
        </w:rPr>
        <w:t>　　（四）总价金额与按单价汇总金额不一致的，以单价金额计算结果为准，</w:t>
      </w:r>
      <w:r>
        <w:rPr>
          <w:rFonts w:hint="eastAsia" w:hAnsi="宋体"/>
          <w:color w:val="auto"/>
          <w:sz w:val="24"/>
        </w:rPr>
        <w:t>但是单价金额出现计算错误、明显人为工作失误的除外</w:t>
      </w:r>
      <w:r>
        <w:rPr>
          <w:rFonts w:hint="eastAsia" w:hAnsi="宋体"/>
          <w:color w:val="auto"/>
          <w:sz w:val="24"/>
          <w:szCs w:val="24"/>
        </w:rPr>
        <w:t>。</w:t>
      </w:r>
    </w:p>
    <w:p>
      <w:pPr>
        <w:spacing w:line="400" w:lineRule="exact"/>
        <w:ind w:firstLine="480" w:firstLineChars="200"/>
        <w:rPr>
          <w:rFonts w:ascii="宋体" w:hAnsi="宋体"/>
          <w:color w:val="auto"/>
          <w:sz w:val="24"/>
        </w:rPr>
      </w:pPr>
      <w:r>
        <w:rPr>
          <w:rFonts w:hint="eastAsia" w:hAnsi="宋体"/>
          <w:color w:val="auto"/>
          <w:sz w:val="24"/>
        </w:rPr>
        <w:t>同时出现两种以上不一致的，按照前款规定的顺序修正。修正后的报价按照招标文件第五章第3.9.2条的规定经投标人确认后产生约束力，投标人不确认的，其投标无效。</w:t>
      </w:r>
    </w:p>
    <w:p>
      <w:pPr>
        <w:spacing w:line="400" w:lineRule="exact"/>
        <w:ind w:firstLine="480" w:firstLineChars="200"/>
        <w:rPr>
          <w:rFonts w:ascii="宋体" w:hAnsi="宋体"/>
          <w:color w:val="auto"/>
          <w:sz w:val="24"/>
        </w:rPr>
      </w:pPr>
      <w:r>
        <w:rPr>
          <w:rFonts w:hint="eastAsia" w:ascii="宋体" w:hAnsi="宋体"/>
          <w:color w:val="auto"/>
          <w:sz w:val="24"/>
        </w:rPr>
        <w:t>出现本条第（四）项规定情形，单价汇总金额比总价金额高，且超过政府采购预算或者本项目最高限价的，投标人投标文件应作为无效投标处理；单价汇总金额比总价金额高，但未超过政府采购预算或者本项目最高限价的，应以单价汇总金额作为价格评分依据。</w:t>
      </w:r>
    </w:p>
    <w:p>
      <w:pPr>
        <w:spacing w:line="400" w:lineRule="exact"/>
        <w:ind w:firstLine="482" w:firstLineChars="200"/>
        <w:rPr>
          <w:rFonts w:ascii="宋体" w:hAnsi="宋体"/>
          <w:b/>
          <w:color w:val="auto"/>
          <w:sz w:val="24"/>
        </w:rPr>
      </w:pPr>
      <w:r>
        <w:rPr>
          <w:rFonts w:hint="eastAsia" w:ascii="宋体" w:hAnsi="宋体"/>
          <w:b/>
          <w:color w:val="auto"/>
          <w:sz w:val="24"/>
        </w:rPr>
        <w:t>注：1.若单独递交的“开标一览表”总价与投标文件中报价不一致的以单独递交的“开标一览表”为准，且各单价不再按上述原则修正，而均应按单独递交的“开标一览表”总价与投标文件中总价的比值进行同比上下浮动修正并按</w:t>
      </w:r>
      <w:r>
        <w:rPr>
          <w:rFonts w:hint="eastAsia" w:hAnsi="宋体"/>
          <w:b/>
          <w:bCs/>
          <w:color w:val="auto"/>
          <w:sz w:val="24"/>
        </w:rPr>
        <w:t>招标文件第五章第3.9.2条的规定经投标人确认后产生约束力，投标人不确认的，其投标无效。</w:t>
      </w:r>
    </w:p>
    <w:p>
      <w:pPr>
        <w:spacing w:line="400" w:lineRule="exact"/>
        <w:ind w:firstLine="482" w:firstLineChars="200"/>
        <w:rPr>
          <w:rFonts w:ascii="宋体" w:hAnsi="宋体"/>
          <w:b/>
          <w:color w:val="auto"/>
          <w:sz w:val="24"/>
        </w:rPr>
      </w:pPr>
      <w:r>
        <w:rPr>
          <w:rFonts w:hint="eastAsia" w:ascii="宋体" w:hAnsi="宋体"/>
          <w:b/>
          <w:color w:val="auto"/>
          <w:sz w:val="24"/>
        </w:rPr>
        <w:t>2.评标委员会当积极履行澄清、说明或者更正的职责，不得滥用权力。投标人的投标文件可以要求澄清、说明或者更正的，不得未经澄清、说明或者更正而直接作无效投标处理。</w:t>
      </w:r>
    </w:p>
    <w:p>
      <w:pPr>
        <w:spacing w:line="400" w:lineRule="exact"/>
        <w:ind w:firstLine="480" w:firstLineChars="200"/>
        <w:rPr>
          <w:rFonts w:ascii="宋体" w:hAnsi="宋体"/>
          <w:color w:val="auto"/>
          <w:sz w:val="24"/>
        </w:rPr>
      </w:pPr>
      <w:r>
        <w:rPr>
          <w:rFonts w:hint="eastAsia" w:ascii="宋体" w:hAnsi="宋体"/>
          <w:color w:val="auto"/>
          <w:sz w:val="24"/>
        </w:rPr>
        <w:t>3.10 低于成本价投标处理。评标委员会认为投标人的报价明显低于其他通过符合性审查投标人的报价，有可能影响产品质量或者不能诚信履约的，评标委员会应当要求其在评标现场合理的时间内提供成本构成书面说明，必要时提交相关证明材料。投标人书面说明应当按照国家财务会计制度的规定要求，逐项就投标人提供的货物、工程和服务的主营业务成本（应根据投标人企业类型予以区别）、税金及附加、销售费用、管理费用、财务费用等成本构成事项详细陈述。</w:t>
      </w:r>
    </w:p>
    <w:p>
      <w:pPr>
        <w:spacing w:line="400" w:lineRule="exact"/>
        <w:ind w:firstLine="480" w:firstLineChars="200"/>
        <w:rPr>
          <w:rFonts w:ascii="宋体" w:hAnsi="宋体"/>
          <w:color w:val="auto"/>
          <w:sz w:val="24"/>
        </w:rPr>
      </w:pPr>
      <w:r>
        <w:rPr>
          <w:rFonts w:hint="eastAsia" w:ascii="宋体" w:hAnsi="宋体"/>
          <w:color w:val="auto"/>
          <w:sz w:val="24"/>
        </w:rPr>
        <w:t>投标人书面说明应当签字确认或者加盖公章，否则无效。书面说明的签字确认，投标人为法人的，由其法定代表人或者代理人签字确认；投标人为其他组织的，由其主要负责人或者代理人签字确认；投标人为自然人的，由其本人或者代理人签字确认。</w:t>
      </w:r>
    </w:p>
    <w:p>
      <w:pPr>
        <w:spacing w:line="400" w:lineRule="exact"/>
        <w:ind w:firstLine="480" w:firstLineChars="200"/>
        <w:rPr>
          <w:rFonts w:ascii="宋体" w:hAnsi="宋体"/>
          <w:color w:val="auto"/>
          <w:sz w:val="24"/>
        </w:rPr>
      </w:pPr>
      <w:r>
        <w:rPr>
          <w:rFonts w:hint="eastAsia" w:ascii="宋体" w:hAnsi="宋体"/>
          <w:color w:val="auto"/>
          <w:sz w:val="24"/>
        </w:rPr>
        <w:t>投标人提供书面说明后，评标委员会应当结合采购项目采购需求、专业实际情况、投标人财务状况报告、与其他投标人比较情况等就投标人书面说明进行审查评价。投标人拒绝或者变相拒绝提供有效书面说明或者书面说明不能证明其报价合理性的，评标委员会应当将其投标文件作为无效处理。</w:t>
      </w:r>
    </w:p>
    <w:p>
      <w:pPr>
        <w:spacing w:line="400" w:lineRule="exact"/>
        <w:ind w:firstLine="480" w:firstLineChars="200"/>
        <w:rPr>
          <w:rFonts w:ascii="宋体" w:hAnsi="宋体"/>
          <w:color w:val="auto"/>
          <w:sz w:val="24"/>
        </w:rPr>
      </w:pPr>
      <w:r>
        <w:rPr>
          <w:rFonts w:hint="eastAsia" w:ascii="宋体" w:hAnsi="宋体"/>
          <w:color w:val="auto"/>
          <w:sz w:val="24"/>
        </w:rPr>
        <w:t>3.11采购人或者采购代理机构现场复核评标结果。</w:t>
      </w:r>
    </w:p>
    <w:p>
      <w:pPr>
        <w:spacing w:line="400" w:lineRule="exact"/>
        <w:ind w:firstLine="480" w:firstLineChars="200"/>
        <w:rPr>
          <w:rFonts w:ascii="宋体" w:hAnsi="宋体"/>
          <w:color w:val="auto"/>
          <w:sz w:val="24"/>
        </w:rPr>
      </w:pPr>
      <w:r>
        <w:rPr>
          <w:rFonts w:hint="eastAsia" w:ascii="宋体" w:hAnsi="宋体"/>
          <w:color w:val="auto"/>
          <w:sz w:val="24"/>
        </w:rPr>
        <w:t>3.11.1评标结果汇总完成后，评标委员会拟出具评标报告前，采购人或者采购代理机构应当组织2名以上的本单位工作人员，在采购现场监督人员的监督之下，依据有关的法律制度和采购文件对评标结果进行复核，出具复核报告。存在下列情形之一的，采购人或者采购代理机构应当根据情况书面建议评标委员会现场修改评标结果，评标委员会拒绝的，应书面记录在复核报告中并向本级财政部门报告：</w:t>
      </w:r>
    </w:p>
    <w:p>
      <w:pPr>
        <w:spacing w:line="400" w:lineRule="exact"/>
        <w:ind w:firstLine="480" w:firstLineChars="200"/>
        <w:rPr>
          <w:rFonts w:ascii="宋体" w:hAnsi="宋体"/>
          <w:color w:val="auto"/>
          <w:sz w:val="24"/>
        </w:rPr>
      </w:pPr>
      <w:r>
        <w:rPr>
          <w:rFonts w:hint="eastAsia" w:ascii="宋体" w:hAnsi="宋体"/>
          <w:color w:val="auto"/>
          <w:sz w:val="24"/>
        </w:rPr>
        <w:t>（一）分值汇总计算错误的；</w:t>
      </w:r>
    </w:p>
    <w:p>
      <w:pPr>
        <w:spacing w:line="400" w:lineRule="exact"/>
        <w:ind w:firstLine="480" w:firstLineChars="200"/>
        <w:rPr>
          <w:rFonts w:ascii="宋体" w:hAnsi="宋体"/>
          <w:color w:val="auto"/>
          <w:sz w:val="24"/>
        </w:rPr>
      </w:pPr>
      <w:r>
        <w:rPr>
          <w:rFonts w:hint="eastAsia" w:ascii="宋体" w:hAnsi="宋体"/>
          <w:color w:val="auto"/>
          <w:sz w:val="24"/>
        </w:rPr>
        <w:t>（二）分项评分超出评分标准范围的；</w:t>
      </w:r>
    </w:p>
    <w:p>
      <w:pPr>
        <w:spacing w:line="400" w:lineRule="exact"/>
        <w:ind w:firstLine="480" w:firstLineChars="200"/>
        <w:rPr>
          <w:rFonts w:ascii="宋体" w:hAnsi="宋体"/>
          <w:color w:val="auto"/>
          <w:sz w:val="24"/>
        </w:rPr>
      </w:pPr>
      <w:r>
        <w:rPr>
          <w:rFonts w:hint="eastAsia" w:ascii="宋体" w:hAnsi="宋体"/>
          <w:color w:val="auto"/>
          <w:sz w:val="24"/>
        </w:rPr>
        <w:t>（三）客观评分不一致的；</w:t>
      </w:r>
    </w:p>
    <w:p>
      <w:pPr>
        <w:spacing w:line="400" w:lineRule="exact"/>
        <w:ind w:firstLine="480" w:firstLineChars="200"/>
        <w:rPr>
          <w:rFonts w:ascii="宋体" w:hAnsi="宋体"/>
          <w:color w:val="auto"/>
          <w:sz w:val="24"/>
        </w:rPr>
      </w:pPr>
      <w:r>
        <w:rPr>
          <w:rFonts w:hint="eastAsia" w:ascii="宋体" w:hAnsi="宋体"/>
          <w:color w:val="auto"/>
          <w:sz w:val="24"/>
        </w:rPr>
        <w:t>（四）经评标委员会认定评分畸高畸低的。</w:t>
      </w:r>
    </w:p>
    <w:p>
      <w:pPr>
        <w:spacing w:line="400" w:lineRule="exact"/>
        <w:ind w:firstLine="480" w:firstLineChars="200"/>
        <w:rPr>
          <w:rFonts w:ascii="宋体" w:hAnsi="宋体"/>
          <w:color w:val="auto"/>
          <w:sz w:val="24"/>
        </w:rPr>
      </w:pPr>
      <w:r>
        <w:rPr>
          <w:rFonts w:hint="eastAsia" w:ascii="宋体" w:hAnsi="宋体"/>
          <w:color w:val="auto"/>
          <w:sz w:val="24"/>
        </w:rPr>
        <w:t>评标报告签署前，经复核发现存在上述情形的，评标委员会应当当场修改评标结果，并在评标报告中记载；评标报告签署后，采购人或者采购代理机构发现存在上述情形的，应当组织原评标委员会进行重新评审，重新评审改变评标结果的，书面报告本级财政部门。投标人对上述四种情形提出质疑的，采购人或者采购代理机构可以组织原评标委员会进行重新评审，重新评审改变评标结果的，应当书面报告本级财政部门。</w:t>
      </w:r>
    </w:p>
    <w:p>
      <w:pPr>
        <w:spacing w:line="400" w:lineRule="exact"/>
        <w:ind w:firstLine="480" w:firstLineChars="200"/>
        <w:rPr>
          <w:rFonts w:ascii="宋体" w:hAnsi="宋体"/>
          <w:color w:val="auto"/>
          <w:sz w:val="24"/>
        </w:rPr>
      </w:pPr>
      <w:r>
        <w:rPr>
          <w:rFonts w:hint="eastAsia" w:ascii="宋体" w:hAnsi="宋体"/>
          <w:color w:val="auto"/>
          <w:sz w:val="24"/>
        </w:rPr>
        <w:t>采购人或者采购代理机构书面建议未被评标委员会采纳的，应当按照规定程序要求继续组织实施采购活动，不得擅自中止采购活动。采购人或者采购代理机构认为评标委员会评标结果不合法的，应当书面报告采购项目同级财政部门依法处理。</w:t>
      </w:r>
    </w:p>
    <w:p>
      <w:pPr>
        <w:spacing w:line="400" w:lineRule="exact"/>
        <w:ind w:firstLine="480" w:firstLineChars="200"/>
        <w:rPr>
          <w:rFonts w:ascii="宋体" w:hAnsi="宋体"/>
          <w:color w:val="auto"/>
          <w:sz w:val="24"/>
        </w:rPr>
      </w:pPr>
      <w:r>
        <w:rPr>
          <w:rFonts w:hint="eastAsia" w:ascii="宋体" w:hAnsi="宋体"/>
          <w:color w:val="auto"/>
          <w:sz w:val="24"/>
        </w:rPr>
        <w:t>3.11.2有下列情形之一的，不得修改评标结果或者重新评标：</w:t>
      </w:r>
    </w:p>
    <w:p>
      <w:pPr>
        <w:spacing w:line="400" w:lineRule="exact"/>
        <w:ind w:firstLine="480" w:firstLineChars="200"/>
        <w:rPr>
          <w:rFonts w:ascii="宋体" w:hAnsi="宋体"/>
          <w:color w:val="auto"/>
          <w:sz w:val="24"/>
        </w:rPr>
      </w:pPr>
      <w:r>
        <w:rPr>
          <w:rFonts w:hint="eastAsia" w:ascii="宋体" w:hAnsi="宋体"/>
          <w:color w:val="auto"/>
          <w:sz w:val="24"/>
        </w:rPr>
        <w:t>（一）采购人或者采购代理机构现场复核时，复核工作人员数量不足的；</w:t>
      </w:r>
    </w:p>
    <w:p>
      <w:pPr>
        <w:spacing w:line="400" w:lineRule="exact"/>
        <w:ind w:firstLine="480" w:firstLineChars="200"/>
        <w:rPr>
          <w:rFonts w:ascii="宋体" w:hAnsi="宋体"/>
          <w:color w:val="auto"/>
          <w:sz w:val="24"/>
        </w:rPr>
      </w:pPr>
      <w:r>
        <w:rPr>
          <w:rFonts w:hint="eastAsia" w:ascii="宋体" w:hAnsi="宋体"/>
          <w:color w:val="auto"/>
          <w:sz w:val="24"/>
        </w:rPr>
        <w:t>（二）采购人或者采购代理机构现场复核时，没有采购监督人员现场监督的；</w:t>
      </w:r>
    </w:p>
    <w:p>
      <w:pPr>
        <w:spacing w:line="400" w:lineRule="exact"/>
        <w:ind w:firstLine="480" w:firstLineChars="200"/>
        <w:rPr>
          <w:rFonts w:ascii="宋体" w:hAnsi="宋体"/>
          <w:color w:val="auto"/>
          <w:sz w:val="24"/>
        </w:rPr>
      </w:pPr>
      <w:r>
        <w:rPr>
          <w:rFonts w:hint="eastAsia" w:ascii="宋体" w:hAnsi="宋体"/>
          <w:color w:val="auto"/>
          <w:sz w:val="24"/>
        </w:rPr>
        <w:t>（三）采购人或者采购代理机构现场复核内容超出规定范围的；</w:t>
      </w:r>
    </w:p>
    <w:p>
      <w:pPr>
        <w:spacing w:line="400" w:lineRule="exact"/>
        <w:ind w:firstLine="480" w:firstLineChars="200"/>
        <w:rPr>
          <w:rFonts w:ascii="宋体" w:hAnsi="宋体"/>
          <w:color w:val="auto"/>
          <w:sz w:val="24"/>
        </w:rPr>
      </w:pPr>
      <w:r>
        <w:rPr>
          <w:rFonts w:hint="eastAsia" w:ascii="宋体" w:hAnsi="宋体"/>
          <w:color w:val="auto"/>
          <w:sz w:val="24"/>
        </w:rPr>
        <w:t>（四）采购人或者采购代理机构未提供书面建议的。</w:t>
      </w:r>
    </w:p>
    <w:p>
      <w:pPr>
        <w:pStyle w:val="3"/>
        <w:spacing w:line="400" w:lineRule="exact"/>
        <w:ind w:firstLine="482" w:firstLineChars="200"/>
        <w:rPr>
          <w:rFonts w:ascii="宋体" w:hAnsi="宋体"/>
          <w:color w:val="auto"/>
          <w:sz w:val="24"/>
          <w:szCs w:val="24"/>
        </w:rPr>
      </w:pPr>
      <w:bookmarkStart w:id="206" w:name="_Toc527460986"/>
      <w:bookmarkStart w:id="207" w:name="_Toc65154649"/>
      <w:bookmarkStart w:id="208" w:name="_Toc65154545"/>
      <w:r>
        <w:rPr>
          <w:rFonts w:hint="eastAsia" w:ascii="宋体" w:hAnsi="宋体"/>
          <w:color w:val="auto"/>
          <w:sz w:val="24"/>
          <w:szCs w:val="24"/>
        </w:rPr>
        <w:t>4、评标细则及标准</w:t>
      </w:r>
      <w:bookmarkEnd w:id="204"/>
      <w:bookmarkEnd w:id="206"/>
      <w:bookmarkEnd w:id="207"/>
      <w:bookmarkEnd w:id="208"/>
    </w:p>
    <w:p>
      <w:pPr>
        <w:spacing w:line="400" w:lineRule="exact"/>
        <w:ind w:firstLine="480" w:firstLineChars="200"/>
        <w:rPr>
          <w:rFonts w:ascii="宋体" w:hAnsi="宋体"/>
          <w:color w:val="auto"/>
          <w:sz w:val="24"/>
        </w:rPr>
      </w:pPr>
      <w:r>
        <w:rPr>
          <w:rFonts w:hint="eastAsia" w:ascii="宋体" w:hAnsi="宋体"/>
          <w:color w:val="auto"/>
          <w:sz w:val="24"/>
        </w:rPr>
        <w:t>4.1本次综合评分的因素详见综合评分明细表。</w:t>
      </w:r>
    </w:p>
    <w:p>
      <w:pPr>
        <w:spacing w:line="400" w:lineRule="exact"/>
        <w:ind w:firstLine="480" w:firstLineChars="200"/>
        <w:rPr>
          <w:rFonts w:ascii="宋体" w:hAnsi="宋体"/>
          <w:color w:val="auto"/>
          <w:sz w:val="24"/>
        </w:rPr>
      </w:pPr>
      <w:r>
        <w:rPr>
          <w:rFonts w:hint="eastAsia" w:ascii="宋体" w:hAnsi="宋体"/>
          <w:color w:val="auto"/>
          <w:sz w:val="24"/>
        </w:rPr>
        <w:t>4.2 评标委员会成员应当根据自身专业情况对每个有效投标人的投标文件进行独立评分，加权汇总每项评分因素的得分，得出每个有效投标人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pPr>
        <w:spacing w:line="400" w:lineRule="exact"/>
        <w:ind w:firstLine="480" w:firstLineChars="200"/>
        <w:rPr>
          <w:rFonts w:ascii="宋体" w:hAnsi="宋体"/>
          <w:color w:val="auto"/>
          <w:sz w:val="24"/>
        </w:rPr>
      </w:pPr>
      <w:r>
        <w:rPr>
          <w:rFonts w:hint="eastAsia" w:ascii="宋体" w:hAnsi="宋体" w:cs="宋体"/>
          <w:color w:val="auto"/>
          <w:kern w:val="0"/>
          <w:sz w:val="24"/>
          <w:lang w:bidi="ar"/>
        </w:rPr>
        <w:t>采用综合评分法，评审因素</w:t>
      </w:r>
      <w:r>
        <w:rPr>
          <w:rFonts w:hint="eastAsia" w:ascii="宋体" w:hAnsi="宋体"/>
          <w:color w:val="auto"/>
          <w:sz w:val="24"/>
        </w:rPr>
        <w:t>4.3综合评分明细表</w:t>
      </w:r>
    </w:p>
    <w:p>
      <w:pPr>
        <w:pStyle w:val="17"/>
        <w:tabs>
          <w:tab w:val="left" w:pos="600"/>
        </w:tabs>
        <w:spacing w:line="400" w:lineRule="exact"/>
        <w:ind w:firstLine="480" w:firstLineChars="200"/>
        <w:rPr>
          <w:rFonts w:ascii="宋体" w:hAnsi="宋体"/>
          <w:color w:val="auto"/>
          <w:sz w:val="24"/>
          <w:szCs w:val="24"/>
        </w:rPr>
      </w:pPr>
      <w:r>
        <w:rPr>
          <w:rFonts w:hint="eastAsia" w:ascii="宋体" w:hAnsi="宋体"/>
          <w:color w:val="auto"/>
          <w:sz w:val="24"/>
          <w:szCs w:val="24"/>
        </w:rPr>
        <w:t>4.3.1综合评分明细表的制定以科学合理、降低评委会自由裁量权为原则。</w:t>
      </w:r>
    </w:p>
    <w:p>
      <w:pPr>
        <w:spacing w:line="400" w:lineRule="exact"/>
        <w:ind w:firstLine="480" w:firstLineChars="200"/>
        <w:rPr>
          <w:rFonts w:ascii="宋体" w:hAnsi="宋体"/>
          <w:color w:val="auto"/>
          <w:sz w:val="24"/>
        </w:rPr>
      </w:pPr>
      <w:r>
        <w:rPr>
          <w:rFonts w:hint="eastAsia" w:ascii="宋体" w:hAnsi="宋体"/>
          <w:color w:val="auto"/>
          <w:sz w:val="24"/>
        </w:rPr>
        <w:t>4.3.2综合评分明细表（</w:t>
      </w:r>
      <w:r>
        <w:rPr>
          <w:rFonts w:hint="eastAsia"/>
          <w:color w:val="auto"/>
          <w:sz w:val="24"/>
        </w:rPr>
        <w:t>得分保留小数点后两位，四舍五入</w:t>
      </w:r>
      <w:r>
        <w:rPr>
          <w:rFonts w:hint="eastAsia" w:ascii="宋体" w:hAnsi="宋体"/>
          <w:color w:val="auto"/>
          <w:sz w:val="24"/>
        </w:rPr>
        <w:t>）</w:t>
      </w:r>
    </w:p>
    <w:p>
      <w:pPr>
        <w:pStyle w:val="2"/>
        <w:rPr>
          <w:color w:val="auto"/>
        </w:rPr>
      </w:pPr>
      <w:r>
        <w:rPr>
          <w:rFonts w:hint="eastAsia"/>
          <w:color w:val="auto"/>
        </w:rPr>
        <w:t>第1包评分表：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5"/>
        <w:gridCol w:w="1419"/>
        <w:gridCol w:w="775"/>
        <w:gridCol w:w="6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noWrap/>
            <w:vAlign w:val="center"/>
          </w:tcPr>
          <w:p>
            <w:pPr>
              <w:jc w:val="center"/>
              <w:rPr>
                <w:rFonts w:ascii="宋体" w:hAnsi="宋体" w:cs="仿宋"/>
                <w:b/>
                <w:bCs/>
                <w:color w:val="auto"/>
                <w:sz w:val="24"/>
              </w:rPr>
            </w:pPr>
            <w:r>
              <w:rPr>
                <w:rFonts w:hint="eastAsia" w:ascii="宋体" w:hAnsi="宋体" w:cs="仿宋"/>
                <w:b/>
                <w:bCs/>
                <w:color w:val="auto"/>
                <w:sz w:val="24"/>
              </w:rPr>
              <w:t>序号</w:t>
            </w:r>
          </w:p>
        </w:tc>
        <w:tc>
          <w:tcPr>
            <w:tcW w:w="720" w:type="pct"/>
            <w:noWrap/>
            <w:vAlign w:val="center"/>
          </w:tcPr>
          <w:p>
            <w:pPr>
              <w:jc w:val="center"/>
              <w:rPr>
                <w:rFonts w:ascii="宋体" w:hAnsi="宋体" w:cs="仿宋"/>
                <w:b/>
                <w:bCs/>
                <w:color w:val="auto"/>
                <w:sz w:val="24"/>
              </w:rPr>
            </w:pPr>
            <w:r>
              <w:rPr>
                <w:rFonts w:hint="eastAsia" w:ascii="宋体" w:hAnsi="宋体" w:cs="仿宋"/>
                <w:b/>
                <w:bCs/>
                <w:color w:val="auto"/>
                <w:sz w:val="24"/>
              </w:rPr>
              <w:t>评分因素</w:t>
            </w:r>
          </w:p>
        </w:tc>
        <w:tc>
          <w:tcPr>
            <w:tcW w:w="393" w:type="pct"/>
            <w:noWrap/>
            <w:vAlign w:val="center"/>
          </w:tcPr>
          <w:p>
            <w:pPr>
              <w:jc w:val="center"/>
              <w:rPr>
                <w:rFonts w:ascii="宋体" w:hAnsi="宋体" w:cs="仿宋"/>
                <w:b/>
                <w:bCs/>
                <w:color w:val="auto"/>
                <w:sz w:val="24"/>
              </w:rPr>
            </w:pPr>
            <w:r>
              <w:rPr>
                <w:rFonts w:hint="eastAsia" w:ascii="宋体" w:hAnsi="宋体" w:cs="仿宋"/>
                <w:b/>
                <w:bCs/>
                <w:color w:val="auto"/>
                <w:sz w:val="24"/>
              </w:rPr>
              <w:t>分值</w:t>
            </w:r>
          </w:p>
        </w:tc>
        <w:tc>
          <w:tcPr>
            <w:tcW w:w="3472" w:type="pct"/>
            <w:noWrap/>
            <w:vAlign w:val="center"/>
          </w:tcPr>
          <w:p>
            <w:pPr>
              <w:jc w:val="center"/>
              <w:rPr>
                <w:rFonts w:ascii="宋体" w:hAnsi="宋体" w:cs="仿宋"/>
                <w:b/>
                <w:bCs/>
                <w:color w:val="auto"/>
                <w:sz w:val="24"/>
              </w:rPr>
            </w:pPr>
            <w:r>
              <w:rPr>
                <w:rFonts w:hint="eastAsia" w:ascii="宋体" w:hAnsi="宋体" w:cs="仿宋"/>
                <w:b/>
                <w:bCs/>
                <w:color w:val="auto"/>
                <w:sz w:val="24"/>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noWrap/>
            <w:vAlign w:val="center"/>
          </w:tcPr>
          <w:p>
            <w:pPr>
              <w:jc w:val="center"/>
              <w:rPr>
                <w:rFonts w:ascii="宋体" w:hAnsi="宋体" w:cs="仿宋"/>
                <w:color w:val="auto"/>
                <w:sz w:val="24"/>
              </w:rPr>
            </w:pPr>
            <w:r>
              <w:rPr>
                <w:rFonts w:hint="eastAsia" w:ascii="宋体" w:hAnsi="宋体" w:cs="仿宋"/>
                <w:color w:val="auto"/>
                <w:sz w:val="24"/>
              </w:rPr>
              <w:t>1</w:t>
            </w:r>
          </w:p>
        </w:tc>
        <w:tc>
          <w:tcPr>
            <w:tcW w:w="720" w:type="pct"/>
            <w:noWrap/>
            <w:vAlign w:val="center"/>
          </w:tcPr>
          <w:p>
            <w:pPr>
              <w:jc w:val="center"/>
              <w:rPr>
                <w:rFonts w:ascii="宋体" w:hAnsi="宋体" w:cs="仿宋"/>
                <w:color w:val="auto"/>
                <w:sz w:val="24"/>
              </w:rPr>
            </w:pPr>
            <w:r>
              <w:rPr>
                <w:rFonts w:hint="eastAsia" w:ascii="宋体" w:hAnsi="宋体" w:cs="仿宋"/>
                <w:color w:val="auto"/>
                <w:sz w:val="24"/>
              </w:rPr>
              <w:t>报价</w:t>
            </w:r>
          </w:p>
          <w:p>
            <w:pPr>
              <w:pStyle w:val="2"/>
              <w:jc w:val="center"/>
              <w:rPr>
                <w:rFonts w:hint="eastAsia"/>
                <w:color w:val="auto"/>
              </w:rPr>
            </w:pPr>
            <w:r>
              <w:rPr>
                <w:rFonts w:hint="eastAsia"/>
                <w:color w:val="auto"/>
              </w:rPr>
              <w:t>(共同</w:t>
            </w:r>
            <w:r>
              <w:rPr>
                <w:color w:val="auto"/>
              </w:rPr>
              <w:t>评审因素</w:t>
            </w:r>
            <w:r>
              <w:rPr>
                <w:rFonts w:hint="eastAsia"/>
                <w:color w:val="auto"/>
              </w:rPr>
              <w:t>)</w:t>
            </w:r>
          </w:p>
        </w:tc>
        <w:tc>
          <w:tcPr>
            <w:tcW w:w="393" w:type="pct"/>
            <w:noWrap/>
            <w:vAlign w:val="center"/>
          </w:tcPr>
          <w:p>
            <w:pPr>
              <w:jc w:val="center"/>
              <w:rPr>
                <w:rFonts w:ascii="宋体" w:hAnsi="宋体" w:cs="仿宋"/>
                <w:color w:val="auto"/>
                <w:sz w:val="24"/>
              </w:rPr>
            </w:pPr>
            <w:r>
              <w:rPr>
                <w:rFonts w:hint="eastAsia" w:ascii="宋体" w:hAnsi="宋体" w:cs="仿宋"/>
                <w:color w:val="auto"/>
                <w:sz w:val="24"/>
              </w:rPr>
              <w:t>30</w:t>
            </w:r>
          </w:p>
        </w:tc>
        <w:tc>
          <w:tcPr>
            <w:tcW w:w="3472" w:type="pct"/>
            <w:noWrap/>
            <w:vAlign w:val="center"/>
          </w:tcPr>
          <w:p>
            <w:pPr>
              <w:rPr>
                <w:rFonts w:ascii="宋体" w:hAnsi="宋体" w:cs="仿宋"/>
                <w:color w:val="auto"/>
                <w:sz w:val="24"/>
              </w:rPr>
            </w:pPr>
            <w:r>
              <w:rPr>
                <w:rFonts w:hint="eastAsia" w:ascii="宋体" w:hAnsi="宋体" w:cs="仿宋"/>
                <w:color w:val="auto"/>
                <w:sz w:val="24"/>
                <w:lang w:val="zh-TW"/>
              </w:rPr>
              <w:t>以有效投标报价中的最低价为基准价，其价格分为满分，其他投标人的价格分统一按照下列公式计算：报价得分</w:t>
            </w:r>
            <w:r>
              <w:rPr>
                <w:rFonts w:hint="eastAsia" w:ascii="宋体" w:hAnsi="宋体" w:cs="仿宋"/>
                <w:color w:val="auto"/>
                <w:sz w:val="24"/>
              </w:rPr>
              <w:t>=(</w:t>
            </w:r>
            <w:r>
              <w:rPr>
                <w:rFonts w:hint="eastAsia" w:ascii="宋体" w:hAnsi="宋体" w:cs="仿宋"/>
                <w:color w:val="auto"/>
                <w:sz w:val="24"/>
                <w:lang w:val="zh-TW"/>
              </w:rPr>
              <w:t>基准价／</w:t>
            </w:r>
            <w:r>
              <w:rPr>
                <w:rFonts w:hint="eastAsia" w:ascii="宋体" w:hAnsi="宋体" w:cs="宋体"/>
                <w:color w:val="auto"/>
                <w:kern w:val="0"/>
                <w:sz w:val="24"/>
                <w:lang w:bidi="ar"/>
              </w:rPr>
              <w:t>投标</w:t>
            </w:r>
            <w:r>
              <w:rPr>
                <w:rFonts w:hint="eastAsia" w:ascii="宋体" w:hAnsi="宋体" w:cs="仿宋"/>
                <w:color w:val="auto"/>
                <w:sz w:val="24"/>
                <w:lang w:val="zh-TW"/>
              </w:rPr>
              <w:t>报价</w:t>
            </w:r>
            <w:r>
              <w:rPr>
                <w:rFonts w:hint="eastAsia" w:ascii="宋体" w:hAnsi="宋体" w:cs="仿宋"/>
                <w:color w:val="auto"/>
                <w:sz w:val="24"/>
              </w:rPr>
              <w:t>)×30</w:t>
            </w:r>
            <w:r>
              <w:rPr>
                <w:rFonts w:hint="eastAsia" w:ascii="宋体" w:hAnsi="宋体" w:cs="仿宋"/>
                <w:color w:val="auto"/>
                <w:sz w:val="24"/>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noWrap/>
            <w:vAlign w:val="center"/>
          </w:tcPr>
          <w:p>
            <w:pPr>
              <w:jc w:val="center"/>
              <w:rPr>
                <w:rFonts w:ascii="宋体" w:hAnsi="宋体" w:cs="仿宋"/>
                <w:color w:val="auto"/>
                <w:sz w:val="24"/>
              </w:rPr>
            </w:pPr>
            <w:r>
              <w:rPr>
                <w:rFonts w:hint="eastAsia" w:ascii="宋体" w:hAnsi="宋体" w:cs="仿宋"/>
                <w:color w:val="auto"/>
                <w:sz w:val="24"/>
              </w:rPr>
              <w:t>2</w:t>
            </w:r>
          </w:p>
        </w:tc>
        <w:tc>
          <w:tcPr>
            <w:tcW w:w="720" w:type="pct"/>
            <w:noWrap/>
            <w:vAlign w:val="center"/>
          </w:tcPr>
          <w:p>
            <w:pPr>
              <w:jc w:val="center"/>
              <w:rPr>
                <w:rFonts w:ascii="宋体" w:hAnsi="宋体" w:cs="仿宋"/>
                <w:color w:val="auto"/>
                <w:sz w:val="24"/>
              </w:rPr>
            </w:pPr>
            <w:r>
              <w:rPr>
                <w:rFonts w:hint="eastAsia" w:ascii="宋体" w:hAnsi="宋体" w:cs="仿宋"/>
                <w:color w:val="auto"/>
                <w:sz w:val="24"/>
              </w:rPr>
              <w:t>技术要求</w:t>
            </w:r>
          </w:p>
          <w:p>
            <w:pPr>
              <w:pStyle w:val="2"/>
              <w:jc w:val="center"/>
              <w:rPr>
                <w:rFonts w:hint="eastAsia"/>
                <w:color w:val="auto"/>
              </w:rPr>
            </w:pPr>
            <w:r>
              <w:rPr>
                <w:rFonts w:hint="eastAsia"/>
                <w:color w:val="auto"/>
              </w:rPr>
              <w:t>(技术</w:t>
            </w:r>
            <w:r>
              <w:rPr>
                <w:color w:val="auto"/>
              </w:rPr>
              <w:t>评审因素</w:t>
            </w:r>
            <w:r>
              <w:rPr>
                <w:rFonts w:hint="eastAsia"/>
                <w:color w:val="auto"/>
              </w:rPr>
              <w:t>)</w:t>
            </w:r>
          </w:p>
        </w:tc>
        <w:tc>
          <w:tcPr>
            <w:tcW w:w="393" w:type="pct"/>
            <w:noWrap/>
            <w:vAlign w:val="center"/>
          </w:tcPr>
          <w:p>
            <w:pPr>
              <w:jc w:val="center"/>
              <w:rPr>
                <w:rFonts w:ascii="宋体" w:hAnsi="宋体" w:cs="仿宋"/>
                <w:color w:val="auto"/>
                <w:sz w:val="24"/>
              </w:rPr>
            </w:pPr>
            <w:r>
              <w:rPr>
                <w:rFonts w:hint="eastAsia" w:ascii="宋体" w:hAnsi="宋体" w:cs="仿宋"/>
                <w:color w:val="auto"/>
                <w:sz w:val="24"/>
              </w:rPr>
              <w:t>20</w:t>
            </w:r>
          </w:p>
        </w:tc>
        <w:tc>
          <w:tcPr>
            <w:tcW w:w="3472" w:type="pct"/>
            <w:noWrap/>
            <w:vAlign w:val="center"/>
          </w:tcPr>
          <w:p>
            <w:pPr>
              <w:rPr>
                <w:rFonts w:ascii="宋体" w:hAnsi="宋体" w:cs="仿宋"/>
                <w:color w:val="auto"/>
                <w:sz w:val="24"/>
              </w:rPr>
            </w:pPr>
            <w:r>
              <w:rPr>
                <w:rFonts w:hint="eastAsia" w:ascii="宋体" w:hAnsi="宋体" w:cs="仿宋"/>
                <w:color w:val="auto"/>
                <w:sz w:val="24"/>
              </w:rPr>
              <w:t>技术参数要求中共计</w:t>
            </w:r>
            <w:r>
              <w:rPr>
                <w:rFonts w:ascii="宋体" w:hAnsi="宋体" w:cs="仿宋"/>
                <w:color w:val="auto"/>
                <w:sz w:val="24"/>
              </w:rPr>
              <w:t>18</w:t>
            </w:r>
            <w:r>
              <w:rPr>
                <w:rFonts w:hint="eastAsia" w:ascii="宋体" w:hAnsi="宋体" w:cs="仿宋"/>
                <w:color w:val="auto"/>
                <w:sz w:val="24"/>
              </w:rPr>
              <w:t>项，技术要求</w:t>
            </w:r>
            <w:r>
              <w:rPr>
                <w:rFonts w:ascii="宋体" w:hAnsi="宋体" w:cs="仿宋"/>
                <w:color w:val="auto"/>
                <w:sz w:val="24"/>
              </w:rPr>
              <w:t>响应</w:t>
            </w:r>
            <w:r>
              <w:rPr>
                <w:rFonts w:hint="eastAsia" w:ascii="宋体" w:hAnsi="宋体" w:cs="仿宋"/>
                <w:color w:val="auto"/>
                <w:sz w:val="24"/>
              </w:rPr>
              <w:t>得分=（投标人满足技术服务参数条款的数量÷技术服务参数条款的总数量</w:t>
            </w:r>
            <w:r>
              <w:rPr>
                <w:rFonts w:ascii="宋体" w:hAnsi="宋体" w:cs="仿宋"/>
                <w:color w:val="auto"/>
                <w:sz w:val="24"/>
              </w:rPr>
              <w:t>18</w:t>
            </w:r>
            <w:r>
              <w:rPr>
                <w:rFonts w:hint="eastAsia" w:ascii="宋体" w:hAnsi="宋体" w:cs="仿宋"/>
                <w:color w:val="auto"/>
                <w:sz w:val="24"/>
              </w:rPr>
              <w:t>条）×20分。保留两位小数，四舍五入。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noWrap/>
            <w:vAlign w:val="center"/>
          </w:tcPr>
          <w:p>
            <w:pPr>
              <w:jc w:val="center"/>
              <w:rPr>
                <w:rFonts w:ascii="宋体" w:hAnsi="宋体" w:cs="仿宋"/>
                <w:color w:val="auto"/>
                <w:sz w:val="24"/>
              </w:rPr>
            </w:pPr>
            <w:r>
              <w:rPr>
                <w:rFonts w:hint="eastAsia" w:ascii="宋体" w:hAnsi="宋体" w:cs="仿宋"/>
                <w:color w:val="auto"/>
                <w:sz w:val="24"/>
              </w:rPr>
              <w:t>3</w:t>
            </w:r>
          </w:p>
        </w:tc>
        <w:tc>
          <w:tcPr>
            <w:tcW w:w="720" w:type="pct"/>
            <w:noWrap/>
            <w:vAlign w:val="center"/>
          </w:tcPr>
          <w:p>
            <w:pPr>
              <w:jc w:val="center"/>
              <w:rPr>
                <w:rFonts w:ascii="宋体" w:hAnsi="宋体" w:cs="仿宋"/>
                <w:color w:val="auto"/>
                <w:sz w:val="24"/>
              </w:rPr>
            </w:pPr>
            <w:r>
              <w:rPr>
                <w:rFonts w:hint="eastAsia" w:ascii="宋体" w:hAnsi="宋体" w:cs="仿宋"/>
                <w:color w:val="auto"/>
                <w:sz w:val="24"/>
              </w:rPr>
              <w:t>售后服务方案</w:t>
            </w:r>
          </w:p>
          <w:p>
            <w:pPr>
              <w:pStyle w:val="2"/>
              <w:jc w:val="center"/>
              <w:rPr>
                <w:rFonts w:hint="eastAsia"/>
                <w:color w:val="auto"/>
              </w:rPr>
            </w:pPr>
            <w:r>
              <w:rPr>
                <w:rFonts w:hint="eastAsia"/>
                <w:color w:val="auto"/>
              </w:rPr>
              <w:t>(技术</w:t>
            </w:r>
            <w:r>
              <w:rPr>
                <w:color w:val="auto"/>
              </w:rPr>
              <w:t>评审因素</w:t>
            </w:r>
            <w:r>
              <w:rPr>
                <w:rFonts w:hint="eastAsia"/>
                <w:color w:val="auto"/>
              </w:rPr>
              <w:t>)</w:t>
            </w:r>
          </w:p>
        </w:tc>
        <w:tc>
          <w:tcPr>
            <w:tcW w:w="393" w:type="pct"/>
            <w:noWrap/>
            <w:vAlign w:val="center"/>
          </w:tcPr>
          <w:p>
            <w:pPr>
              <w:jc w:val="center"/>
              <w:rPr>
                <w:rFonts w:ascii="宋体" w:hAnsi="宋体" w:cs="仿宋"/>
                <w:color w:val="auto"/>
                <w:sz w:val="24"/>
              </w:rPr>
            </w:pPr>
            <w:r>
              <w:rPr>
                <w:rFonts w:hint="eastAsia" w:ascii="宋体" w:hAnsi="宋体" w:cs="仿宋"/>
                <w:color w:val="auto"/>
                <w:sz w:val="24"/>
              </w:rPr>
              <w:t>8</w:t>
            </w:r>
          </w:p>
        </w:tc>
        <w:tc>
          <w:tcPr>
            <w:tcW w:w="3472" w:type="pct"/>
            <w:noWrap/>
            <w:vAlign w:val="center"/>
          </w:tcPr>
          <w:p>
            <w:pPr>
              <w:rPr>
                <w:rFonts w:ascii="宋体" w:hAnsi="宋体" w:cs="仿宋"/>
                <w:color w:val="auto"/>
                <w:sz w:val="24"/>
              </w:rPr>
            </w:pPr>
            <w:r>
              <w:rPr>
                <w:rFonts w:hint="eastAsia" w:ascii="宋体" w:hAnsi="宋体" w:cs="仿宋"/>
                <w:color w:val="auto"/>
                <w:sz w:val="24"/>
              </w:rPr>
              <w:t>根据投标人提供的针对本项目的售后服务方案，包含服务目标、服务质量保证、卸车安装、调试维护、对用户的响应及与用户的沟通和联系等内容进行综合评审：售后服务方案完整，服务目标明确，服务质量及保证措施切实可行，响应时间快速，用户沟通联系迅速，技术培训合理可行的得8分，每有一项缺失或未进行详细阐述、不能满足采购人需求扣2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noWrap/>
            <w:vAlign w:val="center"/>
          </w:tcPr>
          <w:p>
            <w:pPr>
              <w:jc w:val="center"/>
              <w:rPr>
                <w:rFonts w:ascii="宋体" w:hAnsi="宋体" w:cs="仿宋"/>
                <w:color w:val="auto"/>
                <w:sz w:val="24"/>
              </w:rPr>
            </w:pPr>
            <w:r>
              <w:rPr>
                <w:rFonts w:hint="eastAsia" w:ascii="宋体" w:hAnsi="宋体" w:cs="仿宋"/>
                <w:color w:val="auto"/>
                <w:sz w:val="24"/>
              </w:rPr>
              <w:t>4</w:t>
            </w:r>
          </w:p>
        </w:tc>
        <w:tc>
          <w:tcPr>
            <w:tcW w:w="720" w:type="pct"/>
            <w:noWrap/>
            <w:vAlign w:val="center"/>
          </w:tcPr>
          <w:p>
            <w:pPr>
              <w:jc w:val="center"/>
              <w:rPr>
                <w:rFonts w:ascii="宋体" w:hAnsi="宋体" w:cs="仿宋"/>
                <w:color w:val="auto"/>
                <w:sz w:val="24"/>
              </w:rPr>
            </w:pPr>
            <w:r>
              <w:rPr>
                <w:rFonts w:hint="eastAsia" w:ascii="宋体" w:hAnsi="宋体" w:cs="仿宋"/>
                <w:color w:val="auto"/>
                <w:sz w:val="24"/>
              </w:rPr>
              <w:t>培训服务方案</w:t>
            </w:r>
          </w:p>
          <w:p>
            <w:pPr>
              <w:pStyle w:val="2"/>
              <w:jc w:val="center"/>
              <w:rPr>
                <w:rFonts w:hint="eastAsia"/>
                <w:color w:val="auto"/>
              </w:rPr>
            </w:pPr>
            <w:r>
              <w:rPr>
                <w:rFonts w:hint="eastAsia"/>
                <w:color w:val="auto"/>
              </w:rPr>
              <w:t>(技术</w:t>
            </w:r>
            <w:r>
              <w:rPr>
                <w:color w:val="auto"/>
              </w:rPr>
              <w:t>评审因素</w:t>
            </w:r>
            <w:r>
              <w:rPr>
                <w:rFonts w:hint="eastAsia"/>
                <w:color w:val="auto"/>
              </w:rPr>
              <w:t>)</w:t>
            </w:r>
          </w:p>
        </w:tc>
        <w:tc>
          <w:tcPr>
            <w:tcW w:w="393" w:type="pct"/>
            <w:noWrap/>
            <w:vAlign w:val="center"/>
          </w:tcPr>
          <w:p>
            <w:pPr>
              <w:jc w:val="center"/>
              <w:rPr>
                <w:rFonts w:ascii="宋体" w:hAnsi="宋体" w:cs="仿宋"/>
                <w:color w:val="auto"/>
                <w:sz w:val="24"/>
              </w:rPr>
            </w:pPr>
            <w:r>
              <w:rPr>
                <w:rFonts w:hint="eastAsia" w:ascii="宋体" w:hAnsi="宋体" w:cs="仿宋"/>
                <w:color w:val="auto"/>
                <w:sz w:val="24"/>
              </w:rPr>
              <w:t>8</w:t>
            </w:r>
          </w:p>
        </w:tc>
        <w:tc>
          <w:tcPr>
            <w:tcW w:w="3472" w:type="pct"/>
            <w:noWrap/>
            <w:vAlign w:val="center"/>
          </w:tcPr>
          <w:p>
            <w:pPr>
              <w:rPr>
                <w:rFonts w:ascii="宋体" w:hAnsi="宋体" w:cs="仿宋"/>
                <w:color w:val="auto"/>
                <w:sz w:val="24"/>
              </w:rPr>
            </w:pPr>
            <w:r>
              <w:rPr>
                <w:rFonts w:hint="eastAsia" w:ascii="宋体" w:hAnsi="宋体" w:cs="仿宋"/>
                <w:color w:val="auto"/>
                <w:sz w:val="24"/>
              </w:rPr>
              <w:t>针对本项目具有可行的技术培训方案，培训采购人指定的技术人员和管理人员，培训后的人员应能熟练操作设备，了解产品结构、工作原理，并能排除一般故障，制定培训课程计划表，列出每种培训的地点和时间，培训内容应包括所提供产品的原理和技术性能、操作维护方法、安装调试、排除故障等各个方面进行综合评审：培训服务方案提供高级或国家级岗位职称人员为培训师给予培训、培训时承诺提供培训师提供电子课件和纸质文件。投标人提供的培训服务方案包括上述内容且满足招标文件要求的得8分，每有一项缺失或不满足招标文件要求的扣2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noWrap/>
            <w:vAlign w:val="center"/>
          </w:tcPr>
          <w:p>
            <w:pPr>
              <w:jc w:val="center"/>
              <w:rPr>
                <w:rFonts w:ascii="宋体" w:hAnsi="宋体" w:cs="仿宋"/>
                <w:color w:val="auto"/>
                <w:sz w:val="24"/>
              </w:rPr>
            </w:pPr>
            <w:r>
              <w:rPr>
                <w:rFonts w:hint="eastAsia" w:ascii="宋体" w:hAnsi="宋体" w:cs="仿宋"/>
                <w:color w:val="auto"/>
                <w:sz w:val="24"/>
              </w:rPr>
              <w:t>5</w:t>
            </w:r>
          </w:p>
        </w:tc>
        <w:tc>
          <w:tcPr>
            <w:tcW w:w="720" w:type="pct"/>
            <w:noWrap/>
            <w:vAlign w:val="center"/>
          </w:tcPr>
          <w:p>
            <w:pPr>
              <w:jc w:val="center"/>
              <w:rPr>
                <w:rFonts w:ascii="宋体" w:hAnsi="宋体" w:cs="仿宋"/>
                <w:color w:val="auto"/>
                <w:sz w:val="24"/>
              </w:rPr>
            </w:pPr>
            <w:r>
              <w:rPr>
                <w:rFonts w:hint="eastAsia" w:ascii="宋体" w:hAnsi="宋体" w:cs="仿宋"/>
                <w:color w:val="auto"/>
                <w:sz w:val="24"/>
              </w:rPr>
              <w:t>项目实施方案</w:t>
            </w:r>
          </w:p>
          <w:p>
            <w:pPr>
              <w:pStyle w:val="2"/>
              <w:jc w:val="center"/>
              <w:rPr>
                <w:rFonts w:hint="eastAsia"/>
                <w:color w:val="auto"/>
              </w:rPr>
            </w:pPr>
            <w:r>
              <w:rPr>
                <w:rFonts w:hint="eastAsia"/>
                <w:color w:val="auto"/>
              </w:rPr>
              <w:t>(技术</w:t>
            </w:r>
            <w:r>
              <w:rPr>
                <w:color w:val="auto"/>
              </w:rPr>
              <w:t>评审因素</w:t>
            </w:r>
            <w:r>
              <w:rPr>
                <w:rFonts w:hint="eastAsia"/>
                <w:color w:val="auto"/>
              </w:rPr>
              <w:t>)</w:t>
            </w:r>
          </w:p>
        </w:tc>
        <w:tc>
          <w:tcPr>
            <w:tcW w:w="393" w:type="pct"/>
            <w:noWrap/>
            <w:vAlign w:val="center"/>
          </w:tcPr>
          <w:p>
            <w:pPr>
              <w:jc w:val="center"/>
              <w:rPr>
                <w:rFonts w:ascii="宋体" w:hAnsi="宋体" w:cs="仿宋"/>
                <w:color w:val="auto"/>
                <w:sz w:val="24"/>
              </w:rPr>
            </w:pPr>
            <w:r>
              <w:rPr>
                <w:rFonts w:hint="eastAsia" w:ascii="宋体" w:hAnsi="宋体" w:cs="仿宋"/>
                <w:color w:val="auto"/>
                <w:sz w:val="24"/>
              </w:rPr>
              <w:t>8</w:t>
            </w:r>
          </w:p>
        </w:tc>
        <w:tc>
          <w:tcPr>
            <w:tcW w:w="3472" w:type="pct"/>
            <w:noWrap/>
            <w:vAlign w:val="center"/>
          </w:tcPr>
          <w:p>
            <w:pPr>
              <w:rPr>
                <w:rFonts w:ascii="宋体" w:hAnsi="宋体" w:cs="仿宋"/>
                <w:color w:val="auto"/>
                <w:sz w:val="24"/>
              </w:rPr>
            </w:pPr>
            <w:r>
              <w:rPr>
                <w:rFonts w:hint="eastAsia" w:ascii="宋体" w:hAnsi="宋体" w:cs="仿宋"/>
                <w:color w:val="auto"/>
                <w:sz w:val="24"/>
              </w:rPr>
              <w:t>投标人应针对本项目结合采购人实际情况提出实施方案。包含进度安排、质量保证、人员配置、安全保障措施等内容进行综合评审：项目实施方案内容完整，方案严密、内容齐全、有针对性、实施合理、管理制度科学、人员配置合理、项目质量优、进度迅速、安全保障措施完善的得8分，每有一项缺失或未进行详细阐述、不能满足采购人需求扣2分，扣完为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noWrap/>
            <w:vAlign w:val="center"/>
          </w:tcPr>
          <w:p>
            <w:pPr>
              <w:jc w:val="center"/>
              <w:rPr>
                <w:rFonts w:ascii="宋体" w:hAnsi="宋体" w:cs="仿宋"/>
                <w:color w:val="auto"/>
                <w:sz w:val="24"/>
              </w:rPr>
            </w:pPr>
            <w:r>
              <w:rPr>
                <w:rFonts w:hint="eastAsia" w:ascii="宋体" w:hAnsi="宋体" w:cs="仿宋"/>
                <w:color w:val="auto"/>
                <w:sz w:val="24"/>
              </w:rPr>
              <w:t>6</w:t>
            </w:r>
          </w:p>
        </w:tc>
        <w:tc>
          <w:tcPr>
            <w:tcW w:w="720" w:type="pct"/>
            <w:noWrap/>
            <w:vAlign w:val="center"/>
          </w:tcPr>
          <w:p>
            <w:pPr>
              <w:jc w:val="center"/>
              <w:rPr>
                <w:rFonts w:ascii="宋体" w:hAnsi="宋体" w:cs="仿宋"/>
                <w:color w:val="auto"/>
                <w:sz w:val="24"/>
              </w:rPr>
            </w:pPr>
            <w:r>
              <w:rPr>
                <w:rFonts w:hint="eastAsia" w:ascii="宋体" w:hAnsi="宋体" w:cs="仿宋"/>
                <w:color w:val="auto"/>
                <w:sz w:val="24"/>
              </w:rPr>
              <w:t>体系认证</w:t>
            </w:r>
          </w:p>
          <w:p>
            <w:pPr>
              <w:pStyle w:val="2"/>
              <w:jc w:val="center"/>
              <w:rPr>
                <w:rFonts w:hint="eastAsia"/>
                <w:color w:val="auto"/>
              </w:rPr>
            </w:pPr>
            <w:r>
              <w:rPr>
                <w:rFonts w:hint="eastAsia"/>
                <w:color w:val="auto"/>
              </w:rPr>
              <w:t>(共同</w:t>
            </w:r>
            <w:r>
              <w:rPr>
                <w:color w:val="auto"/>
              </w:rPr>
              <w:t>评审因素</w:t>
            </w:r>
            <w:r>
              <w:rPr>
                <w:rFonts w:hint="eastAsia"/>
                <w:color w:val="auto"/>
              </w:rPr>
              <w:t>)</w:t>
            </w:r>
          </w:p>
        </w:tc>
        <w:tc>
          <w:tcPr>
            <w:tcW w:w="393" w:type="pct"/>
            <w:noWrap/>
            <w:vAlign w:val="center"/>
          </w:tcPr>
          <w:p>
            <w:pPr>
              <w:jc w:val="center"/>
              <w:rPr>
                <w:rFonts w:ascii="宋体" w:hAnsi="宋体" w:cs="仿宋"/>
                <w:color w:val="auto"/>
                <w:sz w:val="24"/>
              </w:rPr>
            </w:pPr>
            <w:r>
              <w:rPr>
                <w:rFonts w:hint="eastAsia" w:ascii="宋体" w:hAnsi="宋体" w:cs="仿宋"/>
                <w:color w:val="auto"/>
                <w:sz w:val="24"/>
              </w:rPr>
              <w:t>2</w:t>
            </w:r>
          </w:p>
        </w:tc>
        <w:tc>
          <w:tcPr>
            <w:tcW w:w="3472" w:type="pct"/>
            <w:noWrap/>
            <w:vAlign w:val="center"/>
          </w:tcPr>
          <w:p>
            <w:pPr>
              <w:rPr>
                <w:rFonts w:ascii="宋体" w:hAnsi="宋体" w:cs="仿宋"/>
                <w:color w:val="auto"/>
                <w:sz w:val="24"/>
              </w:rPr>
            </w:pPr>
            <w:r>
              <w:rPr>
                <w:rFonts w:hint="eastAsia" w:ascii="宋体" w:hAnsi="宋体" w:cs="宋体"/>
                <w:color w:val="auto"/>
                <w:kern w:val="0"/>
                <w:sz w:val="24"/>
                <w:lang w:bidi="ar"/>
              </w:rPr>
              <w:t>投标人同时具有ISO9001质量管理体系认证、ISO14001环境管理体系认证、OHSAS18001职业健康安全管理体系认证的得2分。少一项不得分。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14" w:type="pct"/>
            <w:noWrap/>
            <w:vAlign w:val="center"/>
          </w:tcPr>
          <w:p>
            <w:pPr>
              <w:jc w:val="center"/>
              <w:rPr>
                <w:rFonts w:ascii="宋体" w:hAnsi="宋体" w:cs="仿宋"/>
                <w:color w:val="auto"/>
                <w:sz w:val="24"/>
              </w:rPr>
            </w:pPr>
            <w:r>
              <w:rPr>
                <w:rFonts w:hint="eastAsia" w:ascii="宋体" w:hAnsi="宋体" w:cs="仿宋"/>
                <w:color w:val="auto"/>
                <w:sz w:val="24"/>
              </w:rPr>
              <w:t>7</w:t>
            </w:r>
          </w:p>
        </w:tc>
        <w:tc>
          <w:tcPr>
            <w:tcW w:w="720" w:type="pct"/>
            <w:noWrap/>
            <w:vAlign w:val="center"/>
          </w:tcPr>
          <w:p>
            <w:pPr>
              <w:jc w:val="center"/>
              <w:rPr>
                <w:rFonts w:ascii="宋体" w:hAnsi="宋体" w:cs="仿宋"/>
                <w:color w:val="auto"/>
                <w:sz w:val="24"/>
              </w:rPr>
            </w:pPr>
            <w:r>
              <w:rPr>
                <w:rFonts w:hint="eastAsia" w:ascii="宋体" w:hAnsi="宋体" w:cs="仿宋"/>
                <w:color w:val="auto"/>
                <w:sz w:val="24"/>
              </w:rPr>
              <w:t>业绩</w:t>
            </w:r>
          </w:p>
          <w:p>
            <w:pPr>
              <w:pStyle w:val="2"/>
              <w:jc w:val="center"/>
              <w:rPr>
                <w:rFonts w:hint="eastAsia"/>
                <w:color w:val="auto"/>
              </w:rPr>
            </w:pPr>
            <w:r>
              <w:rPr>
                <w:rFonts w:hint="eastAsia"/>
                <w:color w:val="auto"/>
              </w:rPr>
              <w:t>(共同</w:t>
            </w:r>
            <w:r>
              <w:rPr>
                <w:color w:val="auto"/>
              </w:rPr>
              <w:t>评审因素</w:t>
            </w:r>
            <w:r>
              <w:rPr>
                <w:rFonts w:hint="eastAsia"/>
                <w:color w:val="auto"/>
              </w:rPr>
              <w:t>)</w:t>
            </w:r>
          </w:p>
        </w:tc>
        <w:tc>
          <w:tcPr>
            <w:tcW w:w="393" w:type="pct"/>
            <w:noWrap/>
            <w:vAlign w:val="center"/>
          </w:tcPr>
          <w:p>
            <w:pPr>
              <w:jc w:val="center"/>
              <w:rPr>
                <w:rFonts w:ascii="宋体" w:hAnsi="宋体" w:cs="仿宋"/>
                <w:color w:val="auto"/>
                <w:sz w:val="24"/>
              </w:rPr>
            </w:pPr>
            <w:r>
              <w:rPr>
                <w:rFonts w:hint="eastAsia" w:ascii="宋体" w:hAnsi="宋体" w:cs="仿宋"/>
                <w:color w:val="auto"/>
                <w:sz w:val="24"/>
              </w:rPr>
              <w:t>8</w:t>
            </w:r>
          </w:p>
        </w:tc>
        <w:tc>
          <w:tcPr>
            <w:tcW w:w="3472" w:type="pct"/>
            <w:noWrap/>
            <w:vAlign w:val="center"/>
          </w:tcPr>
          <w:p>
            <w:pPr>
              <w:rPr>
                <w:rFonts w:ascii="宋体" w:hAnsi="宋体" w:cs="仿宋"/>
                <w:color w:val="auto"/>
                <w:sz w:val="24"/>
              </w:rPr>
            </w:pPr>
            <w:r>
              <w:rPr>
                <w:rFonts w:hint="eastAsia" w:ascii="宋体" w:hAnsi="宋体" w:cs="仿宋"/>
                <w:color w:val="auto"/>
                <w:sz w:val="24"/>
              </w:rPr>
              <w:t>投标人本次提供的投标产品在5年内服务过全国综合性运动会、单项锦标赛或单项冠军赛及以上等级赛事的，每有一个得1分，最多得8分。</w:t>
            </w:r>
          </w:p>
          <w:p>
            <w:pPr>
              <w:rPr>
                <w:rFonts w:hAnsi="宋体" w:cs="仿宋"/>
                <w:color w:val="auto"/>
              </w:rPr>
            </w:pPr>
            <w:r>
              <w:rPr>
                <w:rFonts w:hint="eastAsia" w:ascii="宋体" w:hAnsi="宋体" w:cs="仿宋"/>
                <w:color w:val="auto"/>
                <w:sz w:val="24"/>
              </w:rPr>
              <w:t>需要同时提供采购（租赁）合同、项目完成验收报告的复印件并加盖供应商鲜章方为有效业绩。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tcBorders>
              <w:top w:val="single" w:color="auto" w:sz="4" w:space="0"/>
              <w:left w:val="single" w:color="auto" w:sz="4" w:space="0"/>
              <w:bottom w:val="single" w:color="auto" w:sz="4" w:space="0"/>
              <w:right w:val="single" w:color="auto" w:sz="4" w:space="0"/>
            </w:tcBorders>
            <w:noWrap/>
            <w:vAlign w:val="center"/>
          </w:tcPr>
          <w:p>
            <w:pPr>
              <w:jc w:val="center"/>
              <w:rPr>
                <w:rFonts w:ascii="宋体" w:hAnsi="宋体" w:cs="仿宋"/>
                <w:color w:val="auto"/>
                <w:sz w:val="24"/>
              </w:rPr>
            </w:pPr>
            <w:r>
              <w:rPr>
                <w:rFonts w:hint="eastAsia" w:ascii="宋体" w:hAnsi="宋体" w:cs="仿宋"/>
                <w:color w:val="auto"/>
                <w:sz w:val="24"/>
              </w:rPr>
              <w:t>8</w:t>
            </w:r>
          </w:p>
        </w:tc>
        <w:tc>
          <w:tcPr>
            <w:tcW w:w="720" w:type="pct"/>
            <w:tcBorders>
              <w:top w:val="single" w:color="auto" w:sz="4" w:space="0"/>
              <w:left w:val="single" w:color="auto" w:sz="4" w:space="0"/>
              <w:bottom w:val="single" w:color="auto" w:sz="4" w:space="0"/>
              <w:right w:val="single" w:color="auto" w:sz="4" w:space="0"/>
            </w:tcBorders>
            <w:noWrap/>
            <w:vAlign w:val="center"/>
          </w:tcPr>
          <w:p>
            <w:pPr>
              <w:jc w:val="center"/>
              <w:rPr>
                <w:rFonts w:ascii="宋体" w:hAnsi="宋体" w:cs="仿宋"/>
                <w:color w:val="auto"/>
                <w:sz w:val="24"/>
              </w:rPr>
            </w:pPr>
            <w:r>
              <w:rPr>
                <w:rFonts w:hint="eastAsia" w:ascii="宋体" w:hAnsi="宋体" w:cs="仿宋"/>
                <w:color w:val="auto"/>
                <w:sz w:val="24"/>
              </w:rPr>
              <w:t>商务要求</w:t>
            </w:r>
          </w:p>
          <w:p>
            <w:pPr>
              <w:pStyle w:val="2"/>
              <w:jc w:val="center"/>
              <w:rPr>
                <w:rFonts w:hint="eastAsia"/>
                <w:color w:val="auto"/>
              </w:rPr>
            </w:pPr>
            <w:r>
              <w:rPr>
                <w:rFonts w:hint="eastAsia"/>
                <w:color w:val="auto"/>
              </w:rPr>
              <w:t>(共同</w:t>
            </w:r>
            <w:r>
              <w:rPr>
                <w:color w:val="auto"/>
              </w:rPr>
              <w:t>评审因素</w:t>
            </w:r>
            <w:r>
              <w:rPr>
                <w:rFonts w:hint="eastAsia"/>
                <w:color w:val="auto"/>
              </w:rPr>
              <w:t>)</w:t>
            </w:r>
          </w:p>
        </w:tc>
        <w:tc>
          <w:tcPr>
            <w:tcW w:w="393" w:type="pct"/>
            <w:tcBorders>
              <w:top w:val="single" w:color="auto" w:sz="4" w:space="0"/>
              <w:left w:val="single" w:color="auto" w:sz="4" w:space="0"/>
              <w:bottom w:val="single" w:color="auto" w:sz="4" w:space="0"/>
              <w:right w:val="single" w:color="auto" w:sz="4" w:space="0"/>
            </w:tcBorders>
            <w:noWrap/>
            <w:vAlign w:val="center"/>
          </w:tcPr>
          <w:p>
            <w:pPr>
              <w:jc w:val="center"/>
              <w:rPr>
                <w:rFonts w:ascii="宋体" w:hAnsi="宋体" w:cs="仿宋"/>
                <w:color w:val="auto"/>
                <w:sz w:val="24"/>
              </w:rPr>
            </w:pPr>
            <w:r>
              <w:rPr>
                <w:rFonts w:hint="eastAsia" w:ascii="宋体" w:hAnsi="宋体" w:cs="仿宋"/>
                <w:color w:val="auto"/>
                <w:sz w:val="24"/>
              </w:rPr>
              <w:t>14</w:t>
            </w:r>
          </w:p>
        </w:tc>
        <w:tc>
          <w:tcPr>
            <w:tcW w:w="3472" w:type="pct"/>
            <w:tcBorders>
              <w:top w:val="single" w:color="auto" w:sz="4" w:space="0"/>
              <w:left w:val="single" w:color="auto" w:sz="4" w:space="0"/>
              <w:bottom w:val="single" w:color="auto" w:sz="4" w:space="0"/>
              <w:right w:val="single" w:color="auto" w:sz="4" w:space="0"/>
            </w:tcBorders>
            <w:noWrap/>
            <w:vAlign w:val="center"/>
          </w:tcPr>
          <w:p>
            <w:pPr>
              <w:rPr>
                <w:rFonts w:ascii="宋体" w:hAnsi="宋体" w:cs="仿宋"/>
                <w:color w:val="auto"/>
                <w:sz w:val="24"/>
              </w:rPr>
            </w:pPr>
            <w:r>
              <w:rPr>
                <w:rFonts w:hint="eastAsia" w:ascii="宋体" w:hAnsi="宋体" w:cs="仿宋"/>
                <w:color w:val="auto"/>
                <w:sz w:val="24"/>
              </w:rPr>
              <w:t>1、完全满足招标文件第四章商务要求的得8分（实质性要求除外）；</w:t>
            </w:r>
          </w:p>
          <w:p>
            <w:pPr>
              <w:pStyle w:val="2"/>
              <w:rPr>
                <w:color w:val="auto"/>
              </w:rPr>
            </w:pPr>
            <w:r>
              <w:rPr>
                <w:rFonts w:hint="eastAsia"/>
                <w:color w:val="auto"/>
              </w:rPr>
              <w:t>2、质保期每延长1年加1分，最多加2分；</w:t>
            </w:r>
          </w:p>
          <w:p>
            <w:pPr>
              <w:pStyle w:val="2"/>
              <w:rPr>
                <w:color w:val="auto"/>
              </w:rPr>
            </w:pPr>
            <w:r>
              <w:rPr>
                <w:rFonts w:hint="eastAsia"/>
                <w:color w:val="auto"/>
              </w:rPr>
              <w:t>3、承诺按照竞赛使用实际需要提供1:1备品的得2分。</w:t>
            </w:r>
          </w:p>
          <w:p>
            <w:pPr>
              <w:pStyle w:val="2"/>
              <w:rPr>
                <w:color w:val="auto"/>
              </w:rPr>
            </w:pPr>
            <w:r>
              <w:rPr>
                <w:rFonts w:hint="eastAsia"/>
                <w:color w:val="auto"/>
              </w:rPr>
              <w:t>4、在满足</w:t>
            </w:r>
            <w:r>
              <w:rPr>
                <w:rFonts w:hint="eastAsia" w:hAnsi="宋体" w:cs="仿宋"/>
                <w:color w:val="auto"/>
              </w:rPr>
              <w:t>招标文件第四章商务要求中关于现场技术服务人员人数的前提下，每多增加1人加1分，最多加2分。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4" w:type="pct"/>
            <w:tcBorders>
              <w:top w:val="single" w:color="auto" w:sz="4" w:space="0"/>
              <w:left w:val="single" w:color="auto" w:sz="4" w:space="0"/>
              <w:bottom w:val="single" w:color="auto" w:sz="4" w:space="0"/>
              <w:right w:val="single" w:color="auto" w:sz="4" w:space="0"/>
            </w:tcBorders>
            <w:noWrap/>
            <w:vAlign w:val="center"/>
          </w:tcPr>
          <w:p>
            <w:pPr>
              <w:jc w:val="center"/>
              <w:rPr>
                <w:rFonts w:ascii="宋体" w:hAnsi="宋体" w:cs="仿宋"/>
                <w:color w:val="auto"/>
                <w:sz w:val="24"/>
              </w:rPr>
            </w:pPr>
            <w:r>
              <w:rPr>
                <w:rFonts w:hint="eastAsia" w:ascii="宋体" w:hAnsi="宋体" w:cs="仿宋"/>
                <w:color w:val="auto"/>
                <w:sz w:val="24"/>
              </w:rPr>
              <w:t>9</w:t>
            </w:r>
          </w:p>
        </w:tc>
        <w:tc>
          <w:tcPr>
            <w:tcW w:w="720" w:type="pct"/>
            <w:tcBorders>
              <w:top w:val="single" w:color="auto" w:sz="4" w:space="0"/>
              <w:left w:val="single" w:color="auto" w:sz="4" w:space="0"/>
              <w:bottom w:val="single" w:color="auto" w:sz="4" w:space="0"/>
              <w:right w:val="single" w:color="auto" w:sz="4" w:space="0"/>
            </w:tcBorders>
            <w:noWrap/>
            <w:vAlign w:val="center"/>
          </w:tcPr>
          <w:p>
            <w:pPr>
              <w:jc w:val="center"/>
              <w:rPr>
                <w:rFonts w:ascii="宋体" w:hAnsi="宋体" w:cs="宋体"/>
                <w:color w:val="auto"/>
                <w:kern w:val="0"/>
                <w:sz w:val="24"/>
                <w:lang w:bidi="ar"/>
              </w:rPr>
            </w:pPr>
            <w:r>
              <w:rPr>
                <w:rFonts w:hint="eastAsia" w:ascii="宋体" w:hAnsi="宋体" w:cs="宋体"/>
                <w:color w:val="auto"/>
                <w:kern w:val="0"/>
                <w:sz w:val="24"/>
                <w:lang w:bidi="ar"/>
              </w:rPr>
              <w:t>节能、环境标志、无线局域网产品</w:t>
            </w:r>
          </w:p>
          <w:p>
            <w:pPr>
              <w:pStyle w:val="2"/>
              <w:jc w:val="center"/>
              <w:rPr>
                <w:rFonts w:hint="eastAsia"/>
                <w:color w:val="auto"/>
                <w:lang w:bidi="ar"/>
              </w:rPr>
            </w:pPr>
            <w:r>
              <w:rPr>
                <w:rFonts w:hint="eastAsia"/>
                <w:color w:val="auto"/>
              </w:rPr>
              <w:t>(共同</w:t>
            </w:r>
            <w:r>
              <w:rPr>
                <w:color w:val="auto"/>
              </w:rPr>
              <w:t>评审因素</w:t>
            </w:r>
            <w:r>
              <w:rPr>
                <w:rFonts w:hint="eastAsia"/>
                <w:color w:val="auto"/>
              </w:rPr>
              <w:t>)</w:t>
            </w:r>
          </w:p>
        </w:tc>
        <w:tc>
          <w:tcPr>
            <w:tcW w:w="393" w:type="pct"/>
            <w:tcBorders>
              <w:top w:val="single" w:color="auto" w:sz="4" w:space="0"/>
              <w:left w:val="single" w:color="auto" w:sz="4" w:space="0"/>
              <w:bottom w:val="single" w:color="auto" w:sz="4" w:space="0"/>
              <w:right w:val="single" w:color="auto" w:sz="4" w:space="0"/>
            </w:tcBorders>
            <w:noWrap/>
            <w:vAlign w:val="center"/>
          </w:tcPr>
          <w:p>
            <w:pPr>
              <w:jc w:val="center"/>
              <w:rPr>
                <w:rFonts w:ascii="宋体" w:hAnsi="宋体" w:cs="宋体"/>
                <w:color w:val="auto"/>
                <w:kern w:val="0"/>
                <w:sz w:val="24"/>
                <w:lang w:bidi="ar"/>
              </w:rPr>
            </w:pPr>
            <w:r>
              <w:rPr>
                <w:rFonts w:hint="eastAsia" w:ascii="宋体" w:hAnsi="宋体" w:cs="宋体"/>
                <w:color w:val="auto"/>
                <w:kern w:val="0"/>
                <w:sz w:val="24"/>
                <w:lang w:bidi="ar"/>
              </w:rPr>
              <w:t>2</w:t>
            </w:r>
          </w:p>
        </w:tc>
        <w:tc>
          <w:tcPr>
            <w:tcW w:w="3472" w:type="pct"/>
            <w:tcBorders>
              <w:top w:val="single" w:color="auto" w:sz="4" w:space="0"/>
              <w:left w:val="single" w:color="auto" w:sz="4" w:space="0"/>
              <w:bottom w:val="single" w:color="auto" w:sz="4" w:space="0"/>
              <w:right w:val="single" w:color="auto" w:sz="4" w:space="0"/>
            </w:tcBorders>
            <w:noWrap/>
            <w:vAlign w:val="center"/>
          </w:tcPr>
          <w:p>
            <w:pPr>
              <w:jc w:val="left"/>
              <w:rPr>
                <w:rFonts w:ascii="宋体" w:hAnsi="宋体" w:cs="宋体"/>
                <w:color w:val="auto"/>
                <w:kern w:val="0"/>
                <w:sz w:val="24"/>
                <w:lang w:bidi="ar"/>
              </w:rPr>
            </w:pPr>
            <w:r>
              <w:rPr>
                <w:rFonts w:hint="eastAsia" w:ascii="宋体" w:hAnsi="宋体" w:cs="宋体"/>
                <w:color w:val="auto"/>
                <w:kern w:val="0"/>
                <w:sz w:val="24"/>
                <w:lang w:bidi="ar"/>
              </w:rPr>
              <w:t>每有一项投标产品认定为政府采购节能产品或者政府采购环境标志产品或者无线局域网产品的得0.5分，最多得2分。非政府采购节能、环境标志产品的、无线局域网产品的不得分。（强制采购节能产品的除外）</w:t>
            </w:r>
          </w:p>
          <w:p>
            <w:pPr>
              <w:pStyle w:val="2"/>
              <w:rPr>
                <w:rFonts w:hAnsi="宋体"/>
                <w:color w:val="auto"/>
                <w:lang w:bidi="ar"/>
              </w:rPr>
            </w:pPr>
            <w:r>
              <w:rPr>
                <w:rFonts w:hint="eastAsia" w:hAnsi="宋体"/>
                <w:color w:val="auto"/>
                <w:lang w:bidi="ar"/>
              </w:rPr>
              <w:t>投标产品属于节能环保政府采购品目清单内产品的，提供国家确定的认证机构出具的、处于有效期之内的节能产品、环境标志产品认证证书；投标产品属于无线局域网认证产品政府采购清单内产品的，列出产品所在文号、页码，并复印该页附后。</w:t>
            </w:r>
          </w:p>
        </w:tc>
      </w:tr>
    </w:tbl>
    <w:p>
      <w:pPr>
        <w:pStyle w:val="2"/>
        <w:rPr>
          <w:color w:val="auto"/>
        </w:rPr>
      </w:pPr>
      <w:r>
        <w:rPr>
          <w:rFonts w:hint="eastAsia"/>
          <w:color w:val="auto"/>
        </w:rPr>
        <w:t>第2包评分表：</w:t>
      </w:r>
    </w:p>
    <w:tbl>
      <w:tblPr>
        <w:tblStyle w:val="34"/>
        <w:tblW w:w="9930" w:type="dxa"/>
        <w:jc w:val="center"/>
        <w:tblLayout w:type="autofit"/>
        <w:tblCellMar>
          <w:top w:w="0" w:type="dxa"/>
          <w:left w:w="0" w:type="dxa"/>
          <w:bottom w:w="0" w:type="dxa"/>
          <w:right w:w="0" w:type="dxa"/>
        </w:tblCellMar>
      </w:tblPr>
      <w:tblGrid>
        <w:gridCol w:w="828"/>
        <w:gridCol w:w="1453"/>
        <w:gridCol w:w="1034"/>
        <w:gridCol w:w="6615"/>
      </w:tblGrid>
      <w:tr>
        <w:tblPrEx>
          <w:tblCellMar>
            <w:top w:w="0" w:type="dxa"/>
            <w:left w:w="0" w:type="dxa"/>
            <w:bottom w:w="0" w:type="dxa"/>
            <w:right w:w="0" w:type="dxa"/>
          </w:tblCellMar>
        </w:tblPrEx>
        <w:trPr>
          <w:trHeight w:val="500" w:hRule="atLeast"/>
          <w:jc w:val="center"/>
        </w:trPr>
        <w:tc>
          <w:tcPr>
            <w:tcW w:w="82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序号</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sz w:val="24"/>
              </w:rPr>
            </w:pPr>
            <w:r>
              <w:rPr>
                <w:rFonts w:hint="eastAsia" w:ascii="宋体" w:hAnsi="宋体" w:cs="宋体"/>
                <w:color w:val="auto"/>
                <w:kern w:val="0"/>
                <w:sz w:val="24"/>
                <w:lang w:bidi="ar"/>
              </w:rPr>
              <w:t>评分项目</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sz w:val="24"/>
              </w:rPr>
            </w:pPr>
            <w:r>
              <w:rPr>
                <w:rFonts w:hint="eastAsia" w:ascii="宋体" w:hAnsi="宋体" w:cs="宋体"/>
                <w:color w:val="auto"/>
                <w:kern w:val="0"/>
                <w:sz w:val="24"/>
                <w:lang w:bidi="ar"/>
              </w:rPr>
              <w:t>分值</w:t>
            </w:r>
          </w:p>
        </w:tc>
        <w:tc>
          <w:tcPr>
            <w:tcW w:w="66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sz w:val="24"/>
              </w:rPr>
            </w:pPr>
            <w:r>
              <w:rPr>
                <w:rFonts w:hint="eastAsia" w:ascii="宋体" w:hAnsi="宋体" w:cs="宋体"/>
                <w:color w:val="auto"/>
                <w:kern w:val="0"/>
                <w:sz w:val="24"/>
                <w:lang w:bidi="ar"/>
              </w:rPr>
              <w:t>评分标准</w:t>
            </w:r>
          </w:p>
        </w:tc>
      </w:tr>
      <w:tr>
        <w:tblPrEx>
          <w:tblCellMar>
            <w:top w:w="0" w:type="dxa"/>
            <w:left w:w="0" w:type="dxa"/>
            <w:bottom w:w="0" w:type="dxa"/>
            <w:right w:w="0" w:type="dxa"/>
          </w:tblCellMar>
        </w:tblPrEx>
        <w:trPr>
          <w:trHeight w:val="980" w:hRule="atLeast"/>
          <w:jc w:val="center"/>
        </w:trPr>
        <w:tc>
          <w:tcPr>
            <w:tcW w:w="82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1</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投标价格</w:t>
            </w:r>
          </w:p>
          <w:p>
            <w:pPr>
              <w:pStyle w:val="2"/>
              <w:jc w:val="center"/>
              <w:rPr>
                <w:rFonts w:hint="eastAsia"/>
                <w:color w:val="auto"/>
                <w:lang w:bidi="ar"/>
              </w:rPr>
            </w:pPr>
            <w:r>
              <w:rPr>
                <w:rFonts w:hint="eastAsia"/>
                <w:color w:val="auto"/>
              </w:rPr>
              <w:t>(共同</w:t>
            </w:r>
            <w:r>
              <w:rPr>
                <w:color w:val="auto"/>
              </w:rPr>
              <w:t>评审因素</w:t>
            </w:r>
            <w:r>
              <w:rPr>
                <w:rFonts w:hint="eastAsia"/>
                <w:color w:val="auto"/>
              </w:rPr>
              <w:t>)</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sz w:val="24"/>
              </w:rPr>
            </w:pPr>
            <w:r>
              <w:rPr>
                <w:rFonts w:hint="eastAsia" w:ascii="宋体" w:hAnsi="宋体" w:cs="宋体"/>
                <w:color w:val="auto"/>
                <w:kern w:val="0"/>
                <w:sz w:val="24"/>
                <w:lang w:bidi="ar"/>
              </w:rPr>
              <w:t>30</w:t>
            </w:r>
          </w:p>
        </w:tc>
        <w:tc>
          <w:tcPr>
            <w:tcW w:w="66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cs="宋体"/>
                <w:color w:val="auto"/>
                <w:sz w:val="24"/>
              </w:rPr>
            </w:pPr>
            <w:r>
              <w:rPr>
                <w:rFonts w:hint="eastAsia" w:ascii="宋体" w:hAnsi="宋体" w:cs="宋体"/>
                <w:color w:val="auto"/>
                <w:kern w:val="0"/>
                <w:sz w:val="24"/>
                <w:lang w:bidi="ar"/>
              </w:rPr>
              <w:t>满足招标文件要求且投标价格最低的投标报价为评标基准价，其价格分为满分。其他投标人的报价分统一按下列公式计算：投标报价得分=(评标基准价／投标报价)×价格权值（30%）×100（四舍五入后保留小数点后两位）.</w:t>
            </w:r>
          </w:p>
        </w:tc>
      </w:tr>
      <w:tr>
        <w:tblPrEx>
          <w:tblCellMar>
            <w:top w:w="0" w:type="dxa"/>
            <w:left w:w="0" w:type="dxa"/>
            <w:bottom w:w="0" w:type="dxa"/>
            <w:right w:w="0" w:type="dxa"/>
          </w:tblCellMar>
        </w:tblPrEx>
        <w:trPr>
          <w:trHeight w:val="700" w:hRule="atLeast"/>
          <w:jc w:val="center"/>
        </w:trPr>
        <w:tc>
          <w:tcPr>
            <w:tcW w:w="82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2</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技术指标</w:t>
            </w:r>
          </w:p>
          <w:p>
            <w:pPr>
              <w:pStyle w:val="2"/>
              <w:jc w:val="center"/>
              <w:rPr>
                <w:rFonts w:hint="eastAsia"/>
                <w:color w:val="auto"/>
                <w:lang w:bidi="ar"/>
              </w:rPr>
            </w:pPr>
            <w:r>
              <w:rPr>
                <w:rFonts w:hint="eastAsia"/>
                <w:color w:val="auto"/>
              </w:rPr>
              <w:t>(技术</w:t>
            </w:r>
            <w:r>
              <w:rPr>
                <w:color w:val="auto"/>
              </w:rPr>
              <w:t>评审因素</w:t>
            </w:r>
            <w:r>
              <w:rPr>
                <w:rFonts w:hint="eastAsia"/>
                <w:color w:val="auto"/>
              </w:rPr>
              <w:t>)</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sz w:val="24"/>
              </w:rPr>
            </w:pPr>
            <w:r>
              <w:rPr>
                <w:rFonts w:hint="eastAsia" w:ascii="宋体" w:hAnsi="宋体" w:cs="宋体"/>
                <w:color w:val="auto"/>
                <w:kern w:val="0"/>
                <w:sz w:val="24"/>
                <w:lang w:bidi="ar"/>
              </w:rPr>
              <w:t>32</w:t>
            </w:r>
          </w:p>
        </w:tc>
        <w:tc>
          <w:tcPr>
            <w:tcW w:w="66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cs="宋体"/>
                <w:color w:val="auto"/>
                <w:sz w:val="24"/>
              </w:rPr>
            </w:pPr>
            <w:r>
              <w:rPr>
                <w:rFonts w:hint="eastAsia" w:ascii="宋体" w:hAnsi="宋体" w:cs="仿宋"/>
                <w:color w:val="auto"/>
                <w:sz w:val="24"/>
              </w:rPr>
              <w:t>技术参数要求中共计</w:t>
            </w:r>
            <w:r>
              <w:rPr>
                <w:rFonts w:ascii="宋体" w:hAnsi="宋体" w:cs="仿宋"/>
                <w:color w:val="auto"/>
                <w:sz w:val="24"/>
              </w:rPr>
              <w:t>3</w:t>
            </w:r>
            <w:r>
              <w:rPr>
                <w:rFonts w:hint="eastAsia" w:ascii="宋体" w:hAnsi="宋体" w:cs="仿宋"/>
                <w:color w:val="auto"/>
                <w:sz w:val="24"/>
              </w:rPr>
              <w:t>项，技术要求响应得分=（投标人满足技术服务参数条款的数量÷技术服务参数条款的总数量</w:t>
            </w:r>
            <w:r>
              <w:rPr>
                <w:rFonts w:ascii="宋体" w:hAnsi="宋体" w:cs="仿宋"/>
                <w:color w:val="auto"/>
                <w:sz w:val="24"/>
              </w:rPr>
              <w:t>3</w:t>
            </w:r>
            <w:r>
              <w:rPr>
                <w:rFonts w:hint="eastAsia" w:ascii="宋体" w:hAnsi="宋体" w:cs="仿宋"/>
                <w:color w:val="auto"/>
                <w:sz w:val="24"/>
              </w:rPr>
              <w:t>条）×</w:t>
            </w:r>
            <w:r>
              <w:rPr>
                <w:rFonts w:ascii="宋体" w:hAnsi="宋体" w:cs="仿宋"/>
                <w:color w:val="auto"/>
                <w:sz w:val="24"/>
              </w:rPr>
              <w:t>32</w:t>
            </w:r>
            <w:r>
              <w:rPr>
                <w:rFonts w:hint="eastAsia" w:ascii="宋体" w:hAnsi="宋体" w:cs="仿宋"/>
                <w:color w:val="auto"/>
                <w:sz w:val="24"/>
              </w:rPr>
              <w:t>分。保留两位小数，四舍五入。</w:t>
            </w:r>
            <w:r>
              <w:rPr>
                <w:rFonts w:hint="eastAsia" w:ascii="宋体" w:hAnsi="宋体" w:cs="宋体"/>
                <w:color w:val="auto"/>
                <w:kern w:val="0"/>
                <w:sz w:val="24"/>
                <w:lang w:bidi="ar"/>
              </w:rPr>
              <w:t>（提供支撑材料，如彩页、技术白皮书等证明材料）</w:t>
            </w:r>
          </w:p>
        </w:tc>
      </w:tr>
      <w:tr>
        <w:tblPrEx>
          <w:tblCellMar>
            <w:top w:w="0" w:type="dxa"/>
            <w:left w:w="0" w:type="dxa"/>
            <w:bottom w:w="0" w:type="dxa"/>
            <w:right w:w="0" w:type="dxa"/>
          </w:tblCellMar>
        </w:tblPrEx>
        <w:trPr>
          <w:trHeight w:val="1500" w:hRule="atLeast"/>
          <w:jc w:val="center"/>
        </w:trPr>
        <w:tc>
          <w:tcPr>
            <w:tcW w:w="82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3</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商务要求</w:t>
            </w:r>
          </w:p>
          <w:p>
            <w:pPr>
              <w:pStyle w:val="2"/>
              <w:jc w:val="center"/>
              <w:rPr>
                <w:rFonts w:hint="eastAsia"/>
                <w:color w:val="auto"/>
                <w:lang w:bidi="ar"/>
              </w:rPr>
            </w:pPr>
            <w:r>
              <w:rPr>
                <w:rFonts w:hint="eastAsia"/>
                <w:color w:val="auto"/>
              </w:rPr>
              <w:t>(共同</w:t>
            </w:r>
            <w:r>
              <w:rPr>
                <w:color w:val="auto"/>
              </w:rPr>
              <w:t>评审因素</w:t>
            </w:r>
            <w:r>
              <w:rPr>
                <w:rFonts w:hint="eastAsia"/>
                <w:color w:val="auto"/>
              </w:rPr>
              <w:t>)</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sz w:val="24"/>
              </w:rPr>
            </w:pPr>
            <w:r>
              <w:rPr>
                <w:rFonts w:hint="eastAsia" w:ascii="宋体" w:hAnsi="宋体" w:cs="宋体"/>
                <w:color w:val="auto"/>
                <w:kern w:val="0"/>
                <w:sz w:val="24"/>
                <w:lang w:bidi="ar"/>
              </w:rPr>
              <w:t>6</w:t>
            </w:r>
          </w:p>
        </w:tc>
        <w:tc>
          <w:tcPr>
            <w:tcW w:w="66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ascii="宋体" w:hAnsi="宋体" w:cs="仿宋"/>
                <w:color w:val="auto"/>
                <w:sz w:val="24"/>
              </w:rPr>
            </w:pPr>
            <w:r>
              <w:rPr>
                <w:rFonts w:hint="eastAsia" w:ascii="宋体" w:hAnsi="宋体" w:cs="仿宋"/>
                <w:color w:val="auto"/>
                <w:sz w:val="24"/>
              </w:rPr>
              <w:t>1、完全满足招标文件第四章商务要求的得1分（实质性要求除外）；</w:t>
            </w:r>
          </w:p>
          <w:p>
            <w:pPr>
              <w:pStyle w:val="2"/>
              <w:rPr>
                <w:color w:val="auto"/>
              </w:rPr>
            </w:pPr>
            <w:r>
              <w:rPr>
                <w:rFonts w:hint="eastAsia"/>
                <w:color w:val="auto"/>
              </w:rPr>
              <w:t>2、质保期每延长1年加1分，最多加2分；</w:t>
            </w:r>
          </w:p>
          <w:p>
            <w:pPr>
              <w:pStyle w:val="2"/>
              <w:rPr>
                <w:color w:val="auto"/>
              </w:rPr>
            </w:pPr>
            <w:r>
              <w:rPr>
                <w:rFonts w:hint="eastAsia"/>
                <w:color w:val="auto"/>
              </w:rPr>
              <w:t>3、承诺按照竞赛使用实际需要提供1:1备品的得1分。</w:t>
            </w:r>
          </w:p>
          <w:p>
            <w:pPr>
              <w:pStyle w:val="2"/>
              <w:rPr>
                <w:color w:val="auto"/>
              </w:rPr>
            </w:pPr>
            <w:r>
              <w:rPr>
                <w:rFonts w:hint="eastAsia"/>
                <w:color w:val="auto"/>
              </w:rPr>
              <w:t>4、在满足</w:t>
            </w:r>
            <w:r>
              <w:rPr>
                <w:rFonts w:hint="eastAsia" w:hAnsi="宋体" w:cs="仿宋"/>
                <w:color w:val="auto"/>
              </w:rPr>
              <w:t>招标文件第四章商务要求中关于现场技术服务人员人数的前提下，每多增加1人加1分，最多加2分。</w:t>
            </w:r>
          </w:p>
        </w:tc>
      </w:tr>
      <w:tr>
        <w:tblPrEx>
          <w:tblCellMar>
            <w:top w:w="0" w:type="dxa"/>
            <w:left w:w="0" w:type="dxa"/>
            <w:bottom w:w="0" w:type="dxa"/>
            <w:right w:w="0" w:type="dxa"/>
          </w:tblCellMar>
        </w:tblPrEx>
        <w:trPr>
          <w:trHeight w:val="1200" w:hRule="atLeast"/>
          <w:jc w:val="center"/>
        </w:trPr>
        <w:tc>
          <w:tcPr>
            <w:tcW w:w="828" w:type="dxa"/>
            <w:tcBorders>
              <w:top w:val="single" w:color="000000" w:sz="4" w:space="0"/>
              <w:left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4</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体系认证</w:t>
            </w:r>
          </w:p>
          <w:p>
            <w:pPr>
              <w:pStyle w:val="2"/>
              <w:jc w:val="center"/>
              <w:rPr>
                <w:rFonts w:hint="eastAsia"/>
                <w:color w:val="auto"/>
                <w:lang w:bidi="ar"/>
              </w:rPr>
            </w:pPr>
            <w:r>
              <w:rPr>
                <w:rFonts w:hint="eastAsia"/>
                <w:color w:val="auto"/>
              </w:rPr>
              <w:t>(共同</w:t>
            </w:r>
            <w:r>
              <w:rPr>
                <w:color w:val="auto"/>
              </w:rPr>
              <w:t>评审因素</w:t>
            </w:r>
            <w:r>
              <w:rPr>
                <w:rFonts w:hint="eastAsia"/>
                <w:color w:val="auto"/>
              </w:rPr>
              <w:t>)</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sz w:val="24"/>
              </w:rPr>
            </w:pPr>
            <w:r>
              <w:rPr>
                <w:rFonts w:hint="eastAsia" w:ascii="宋体" w:hAnsi="宋体" w:cs="宋体"/>
                <w:color w:val="auto"/>
                <w:kern w:val="0"/>
                <w:sz w:val="24"/>
                <w:lang w:bidi="ar"/>
              </w:rPr>
              <w:t>4</w:t>
            </w:r>
          </w:p>
        </w:tc>
        <w:tc>
          <w:tcPr>
            <w:tcW w:w="6615" w:type="dxa"/>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pStyle w:val="2"/>
              <w:rPr>
                <w:rFonts w:hAnsi="宋体"/>
                <w:color w:val="auto"/>
                <w:lang w:bidi="ar"/>
              </w:rPr>
            </w:pPr>
            <w:r>
              <w:rPr>
                <w:rFonts w:hint="eastAsia" w:hAnsi="宋体"/>
                <w:color w:val="auto"/>
                <w:lang w:bidi="ar"/>
              </w:rPr>
              <w:t>1、投标人获得省级及以上发展和改革委员会认定的省级射箭器材工程研究中心的，提供证明的得3分；</w:t>
            </w:r>
          </w:p>
          <w:p>
            <w:pPr>
              <w:widowControl/>
              <w:jc w:val="left"/>
              <w:textAlignment w:val="center"/>
              <w:rPr>
                <w:rFonts w:ascii="宋体" w:hAnsi="宋体" w:cs="宋体"/>
                <w:color w:val="auto"/>
                <w:sz w:val="24"/>
              </w:rPr>
            </w:pPr>
            <w:r>
              <w:rPr>
                <w:rFonts w:hint="eastAsia" w:ascii="宋体" w:hAnsi="宋体" w:cs="宋体"/>
                <w:color w:val="auto"/>
                <w:kern w:val="0"/>
                <w:sz w:val="24"/>
                <w:lang w:bidi="ar"/>
              </w:rPr>
              <w:t>2、投标人同时具有ISO9001质量管理体系认证、ISO14001环境管理体系认证、OHSAS18001职业健康安全管理体系认证的得1分。少一项不得分。</w:t>
            </w:r>
          </w:p>
        </w:tc>
      </w:tr>
      <w:tr>
        <w:tblPrEx>
          <w:tblCellMar>
            <w:top w:w="0" w:type="dxa"/>
            <w:left w:w="0" w:type="dxa"/>
            <w:bottom w:w="0" w:type="dxa"/>
            <w:right w:w="0" w:type="dxa"/>
          </w:tblCellMar>
        </w:tblPrEx>
        <w:trPr>
          <w:trHeight w:val="1534" w:hRule="atLeast"/>
          <w:jc w:val="center"/>
        </w:trPr>
        <w:tc>
          <w:tcPr>
            <w:tcW w:w="82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5</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履约能力</w:t>
            </w:r>
          </w:p>
          <w:p>
            <w:pPr>
              <w:pStyle w:val="2"/>
              <w:jc w:val="center"/>
              <w:rPr>
                <w:rFonts w:hint="eastAsia"/>
                <w:color w:val="auto"/>
                <w:lang w:bidi="ar"/>
              </w:rPr>
            </w:pPr>
            <w:r>
              <w:rPr>
                <w:rFonts w:hint="eastAsia"/>
                <w:color w:val="auto"/>
              </w:rPr>
              <w:t>(共同</w:t>
            </w:r>
            <w:r>
              <w:rPr>
                <w:color w:val="auto"/>
              </w:rPr>
              <w:t>评审因素</w:t>
            </w:r>
            <w:r>
              <w:rPr>
                <w:rFonts w:hint="eastAsia"/>
                <w:color w:val="auto"/>
              </w:rPr>
              <w:t>)</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cs="宋体"/>
                <w:color w:val="auto"/>
                <w:sz w:val="24"/>
              </w:rPr>
            </w:pPr>
            <w:r>
              <w:rPr>
                <w:rFonts w:hint="eastAsia" w:ascii="宋体" w:hAnsi="宋体" w:cs="宋体"/>
                <w:color w:val="auto"/>
                <w:kern w:val="0"/>
                <w:sz w:val="24"/>
                <w:lang w:bidi="ar"/>
              </w:rPr>
              <w:t>14</w:t>
            </w:r>
          </w:p>
        </w:tc>
        <w:tc>
          <w:tcPr>
            <w:tcW w:w="6615" w:type="dxa"/>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rPr>
                <w:rFonts w:ascii="宋体" w:hAnsi="宋体" w:cs="仿宋"/>
                <w:color w:val="auto"/>
                <w:sz w:val="24"/>
              </w:rPr>
            </w:pPr>
            <w:r>
              <w:rPr>
                <w:rFonts w:hint="eastAsia" w:ascii="宋体" w:hAnsi="宋体" w:cs="仿宋"/>
                <w:color w:val="auto"/>
                <w:sz w:val="24"/>
              </w:rPr>
              <w:t>投标人本次提供的投标产品在5年内服务过国际级综合型运动会、亚洲级综合型运动会、全国级综合型运动会的射箭比赛项目的，每有一个得2分，最多得14分。</w:t>
            </w:r>
          </w:p>
          <w:p>
            <w:pPr>
              <w:widowControl/>
              <w:jc w:val="left"/>
              <w:textAlignment w:val="center"/>
              <w:rPr>
                <w:rFonts w:ascii="宋体" w:hAnsi="宋体" w:cs="宋体"/>
                <w:color w:val="auto"/>
                <w:sz w:val="24"/>
              </w:rPr>
            </w:pPr>
            <w:r>
              <w:rPr>
                <w:rFonts w:hint="eastAsia" w:ascii="宋体" w:hAnsi="宋体" w:cs="仿宋"/>
                <w:color w:val="auto"/>
                <w:sz w:val="24"/>
              </w:rPr>
              <w:t>需要同时提供采购（租赁）合同的复印件并加盖投标人鲜章方为有效业绩。</w:t>
            </w:r>
          </w:p>
        </w:tc>
      </w:tr>
      <w:tr>
        <w:tblPrEx>
          <w:tblCellMar>
            <w:top w:w="0" w:type="dxa"/>
            <w:left w:w="0" w:type="dxa"/>
            <w:bottom w:w="0" w:type="dxa"/>
            <w:right w:w="0" w:type="dxa"/>
          </w:tblCellMar>
        </w:tblPrEx>
        <w:trPr>
          <w:trHeight w:val="327" w:hRule="atLeast"/>
          <w:jc w:val="center"/>
        </w:trPr>
        <w:tc>
          <w:tcPr>
            <w:tcW w:w="82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6</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仿宋"/>
                <w:color w:val="auto"/>
                <w:sz w:val="24"/>
              </w:rPr>
            </w:pPr>
            <w:r>
              <w:rPr>
                <w:rFonts w:hint="eastAsia" w:ascii="宋体" w:hAnsi="宋体" w:cs="仿宋"/>
                <w:color w:val="auto"/>
                <w:sz w:val="24"/>
              </w:rPr>
              <w:t>售后服务方案</w:t>
            </w:r>
          </w:p>
          <w:p>
            <w:pPr>
              <w:pStyle w:val="2"/>
              <w:jc w:val="center"/>
              <w:rPr>
                <w:rFonts w:hint="eastAsia"/>
                <w:color w:val="auto"/>
              </w:rPr>
            </w:pPr>
            <w:r>
              <w:rPr>
                <w:rFonts w:hint="eastAsia"/>
                <w:color w:val="auto"/>
              </w:rPr>
              <w:t>(技术</w:t>
            </w:r>
            <w:r>
              <w:rPr>
                <w:color w:val="auto"/>
              </w:rPr>
              <w:t>评审因素</w:t>
            </w:r>
            <w:r>
              <w:rPr>
                <w:rFonts w:hint="eastAsia"/>
                <w:color w:val="auto"/>
              </w:rPr>
              <w:t>)</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仿宋"/>
                <w:color w:val="auto"/>
                <w:sz w:val="24"/>
              </w:rPr>
            </w:pPr>
            <w:r>
              <w:rPr>
                <w:rFonts w:hint="eastAsia" w:ascii="宋体" w:hAnsi="宋体" w:cs="仿宋"/>
                <w:color w:val="auto"/>
                <w:sz w:val="24"/>
              </w:rPr>
              <w:t>6</w:t>
            </w:r>
          </w:p>
        </w:tc>
        <w:tc>
          <w:tcPr>
            <w:tcW w:w="66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ascii="宋体" w:hAnsi="宋体" w:cs="仿宋"/>
                <w:color w:val="auto"/>
                <w:sz w:val="24"/>
              </w:rPr>
            </w:pPr>
            <w:r>
              <w:rPr>
                <w:rFonts w:hint="eastAsia" w:ascii="宋体" w:hAnsi="宋体" w:cs="仿宋"/>
                <w:color w:val="auto"/>
                <w:sz w:val="24"/>
              </w:rPr>
              <w:t>根据投标人提供的针对本项目的售后服务方案，包含服务目标、服务质量保证、卸车安装、调试维护、对用户的响应及与用户的沟通和联系等内容进行综合评审：售后服务方案完整，服务目标明确，服务质量及保证措施切实可行，响应时间快速，用户沟通联系迅速，技术培训合理可行的得6分，每有一项缺失或未进行详细阐述、不能满足采购人需求扣2分，扣完为止。</w:t>
            </w:r>
          </w:p>
        </w:tc>
      </w:tr>
      <w:tr>
        <w:tblPrEx>
          <w:tblCellMar>
            <w:top w:w="0" w:type="dxa"/>
            <w:left w:w="0" w:type="dxa"/>
            <w:bottom w:w="0" w:type="dxa"/>
            <w:right w:w="0" w:type="dxa"/>
          </w:tblCellMar>
        </w:tblPrEx>
        <w:trPr>
          <w:trHeight w:val="760" w:hRule="atLeast"/>
          <w:jc w:val="center"/>
        </w:trPr>
        <w:tc>
          <w:tcPr>
            <w:tcW w:w="82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7</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仿宋"/>
                <w:color w:val="auto"/>
                <w:sz w:val="24"/>
              </w:rPr>
            </w:pPr>
            <w:r>
              <w:rPr>
                <w:rFonts w:hint="eastAsia" w:ascii="宋体" w:hAnsi="宋体" w:cs="仿宋"/>
                <w:color w:val="auto"/>
                <w:sz w:val="24"/>
              </w:rPr>
              <w:t>项目实施方案</w:t>
            </w:r>
          </w:p>
          <w:p>
            <w:pPr>
              <w:pStyle w:val="2"/>
              <w:jc w:val="center"/>
              <w:rPr>
                <w:rFonts w:hint="eastAsia"/>
                <w:color w:val="auto"/>
              </w:rPr>
            </w:pPr>
            <w:r>
              <w:rPr>
                <w:rFonts w:hint="eastAsia"/>
                <w:color w:val="auto"/>
              </w:rPr>
              <w:t>(技术</w:t>
            </w:r>
            <w:r>
              <w:rPr>
                <w:color w:val="auto"/>
              </w:rPr>
              <w:t>评审因素</w:t>
            </w:r>
            <w:r>
              <w:rPr>
                <w:rFonts w:hint="eastAsia"/>
                <w:color w:val="auto"/>
              </w:rPr>
              <w:t>)</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仿宋"/>
                <w:color w:val="auto"/>
                <w:sz w:val="24"/>
              </w:rPr>
            </w:pPr>
            <w:r>
              <w:rPr>
                <w:rFonts w:hint="eastAsia" w:ascii="宋体" w:hAnsi="宋体" w:cs="仿宋"/>
                <w:color w:val="auto"/>
                <w:sz w:val="24"/>
              </w:rPr>
              <w:t>6</w:t>
            </w:r>
          </w:p>
        </w:tc>
        <w:tc>
          <w:tcPr>
            <w:tcW w:w="66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ascii="宋体" w:hAnsi="宋体" w:cs="仿宋"/>
                <w:color w:val="auto"/>
                <w:sz w:val="24"/>
              </w:rPr>
            </w:pPr>
            <w:r>
              <w:rPr>
                <w:rFonts w:hint="eastAsia" w:ascii="宋体" w:hAnsi="宋体" w:cs="仿宋"/>
                <w:color w:val="auto"/>
                <w:sz w:val="24"/>
              </w:rPr>
              <w:t>投标人应针对本项目结合采购人实际情况提出实施方案。包含进度安排、质量保证、人员配置、安全保障措施等内容进行综合评审：项目实施方案内容完整，方案严密、内容齐全、有针对性、实施合理、管理制度科学、人员配置合理、项目质量优、进度迅速、安全保障措施完善的得6分，每有一项缺失或未进行详细阐述、不能满足采购人需求扣2分，扣完为止。</w:t>
            </w:r>
          </w:p>
        </w:tc>
      </w:tr>
      <w:tr>
        <w:tblPrEx>
          <w:tblCellMar>
            <w:top w:w="0" w:type="dxa"/>
            <w:left w:w="0" w:type="dxa"/>
            <w:bottom w:w="0" w:type="dxa"/>
            <w:right w:w="0" w:type="dxa"/>
          </w:tblCellMar>
        </w:tblPrEx>
        <w:trPr>
          <w:trHeight w:val="760" w:hRule="atLeast"/>
          <w:jc w:val="center"/>
        </w:trPr>
        <w:tc>
          <w:tcPr>
            <w:tcW w:w="82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color w:val="auto"/>
                <w:kern w:val="0"/>
                <w:sz w:val="24"/>
                <w:lang w:bidi="ar"/>
              </w:rPr>
            </w:pPr>
            <w:r>
              <w:rPr>
                <w:rFonts w:hint="eastAsia" w:ascii="宋体" w:hAnsi="宋体" w:cs="宋体"/>
                <w:color w:val="auto"/>
                <w:kern w:val="0"/>
                <w:sz w:val="24"/>
                <w:lang w:bidi="ar"/>
              </w:rPr>
              <w:t>8</w:t>
            </w:r>
          </w:p>
        </w:tc>
        <w:tc>
          <w:tcPr>
            <w:tcW w:w="14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宋体"/>
                <w:color w:val="auto"/>
                <w:kern w:val="0"/>
                <w:sz w:val="24"/>
                <w:lang w:bidi="ar"/>
              </w:rPr>
            </w:pPr>
            <w:r>
              <w:rPr>
                <w:rFonts w:hint="eastAsia" w:ascii="宋体" w:hAnsi="宋体" w:cs="宋体"/>
                <w:color w:val="auto"/>
                <w:kern w:val="0"/>
                <w:sz w:val="24"/>
                <w:lang w:bidi="ar"/>
              </w:rPr>
              <w:t>节能、环境标志、无线局域网产品</w:t>
            </w:r>
          </w:p>
          <w:p>
            <w:pPr>
              <w:pStyle w:val="2"/>
              <w:jc w:val="center"/>
              <w:rPr>
                <w:rFonts w:hint="eastAsia"/>
                <w:color w:val="auto"/>
                <w:lang w:bidi="ar"/>
              </w:rPr>
            </w:pPr>
            <w:r>
              <w:rPr>
                <w:rFonts w:hint="eastAsia"/>
                <w:color w:val="auto"/>
              </w:rPr>
              <w:t>(共同</w:t>
            </w:r>
            <w:r>
              <w:rPr>
                <w:color w:val="auto"/>
              </w:rPr>
              <w:t>评审因素</w:t>
            </w:r>
            <w:r>
              <w:rPr>
                <w:rFonts w:hint="eastAsia"/>
                <w:color w:val="auto"/>
              </w:rPr>
              <w:t>)</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cs="宋体"/>
                <w:color w:val="auto"/>
                <w:kern w:val="0"/>
                <w:sz w:val="24"/>
                <w:lang w:bidi="ar"/>
              </w:rPr>
            </w:pPr>
            <w:r>
              <w:rPr>
                <w:rFonts w:hint="eastAsia" w:ascii="宋体" w:hAnsi="宋体" w:cs="宋体"/>
                <w:color w:val="auto"/>
                <w:kern w:val="0"/>
                <w:sz w:val="24"/>
                <w:lang w:bidi="ar"/>
              </w:rPr>
              <w:t>2分</w:t>
            </w:r>
          </w:p>
        </w:tc>
        <w:tc>
          <w:tcPr>
            <w:tcW w:w="66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ascii="宋体" w:hAnsi="宋体" w:cs="宋体"/>
                <w:color w:val="auto"/>
                <w:kern w:val="0"/>
                <w:sz w:val="24"/>
                <w:lang w:bidi="ar"/>
              </w:rPr>
            </w:pPr>
            <w:r>
              <w:rPr>
                <w:rFonts w:hint="eastAsia" w:ascii="宋体" w:hAnsi="宋体" w:cs="宋体"/>
                <w:color w:val="auto"/>
                <w:kern w:val="0"/>
                <w:sz w:val="24"/>
                <w:lang w:bidi="ar"/>
              </w:rPr>
              <w:t>每有一项投标产品认定为政府采购节能产品或者政府采购环境标志产品或者无线局域网产品的得0.5分，最多得2分。非政府采购节能、环境标志产品的、无线局域网产品的不得分。（强制采购节能产品的除外）</w:t>
            </w:r>
          </w:p>
          <w:p>
            <w:pPr>
              <w:pStyle w:val="2"/>
              <w:rPr>
                <w:rFonts w:hAnsi="宋体"/>
                <w:color w:val="auto"/>
                <w:lang w:bidi="ar"/>
              </w:rPr>
            </w:pPr>
            <w:r>
              <w:rPr>
                <w:rFonts w:hint="eastAsia" w:hAnsi="宋体"/>
                <w:color w:val="auto"/>
                <w:lang w:bidi="ar"/>
              </w:rPr>
              <w:t>投标产品属于节能环保政府采购品目清单内产品的，提供国家确定的认证机构出具的、处于有效期之内的节能产品、环境标志产品认证证书；投标产品属于无线局域网认证产品政府采购清单内产品的，列出产品所在文号、页码，并复印该页附后。</w:t>
            </w:r>
          </w:p>
        </w:tc>
      </w:tr>
    </w:tbl>
    <w:p>
      <w:pPr>
        <w:pStyle w:val="3"/>
        <w:spacing w:line="400" w:lineRule="exact"/>
        <w:ind w:firstLine="482" w:firstLineChars="200"/>
        <w:rPr>
          <w:rFonts w:ascii="宋体" w:hAnsi="宋体"/>
          <w:color w:val="auto"/>
          <w:sz w:val="24"/>
          <w:szCs w:val="24"/>
        </w:rPr>
      </w:pPr>
      <w:bookmarkStart w:id="209" w:name="_Toc65154650"/>
      <w:bookmarkStart w:id="210" w:name="_Toc527460987"/>
      <w:bookmarkStart w:id="211" w:name="_Toc65154546"/>
      <w:bookmarkStart w:id="212" w:name="_Toc217446060"/>
      <w:r>
        <w:rPr>
          <w:rFonts w:hint="eastAsia" w:ascii="宋体" w:hAnsi="宋体"/>
          <w:color w:val="auto"/>
          <w:sz w:val="24"/>
          <w:szCs w:val="24"/>
        </w:rPr>
        <w:t>5、废 标</w:t>
      </w:r>
      <w:bookmarkEnd w:id="209"/>
      <w:bookmarkEnd w:id="210"/>
      <w:bookmarkEnd w:id="211"/>
    </w:p>
    <w:p>
      <w:pPr>
        <w:spacing w:line="400" w:lineRule="exact"/>
        <w:ind w:firstLine="480" w:firstLineChars="200"/>
        <w:rPr>
          <w:rFonts w:ascii="宋体" w:hAnsi="宋体"/>
          <w:color w:val="auto"/>
          <w:sz w:val="24"/>
        </w:rPr>
      </w:pPr>
      <w:r>
        <w:rPr>
          <w:rFonts w:hint="eastAsia" w:ascii="宋体" w:hAnsi="宋体"/>
          <w:color w:val="auto"/>
          <w:sz w:val="24"/>
        </w:rPr>
        <w:t>5.1本次政府采购活动中，出现下列情形之一的，予以废标：</w:t>
      </w:r>
    </w:p>
    <w:p>
      <w:pPr>
        <w:spacing w:line="400" w:lineRule="exact"/>
        <w:ind w:firstLine="480" w:firstLineChars="200"/>
        <w:rPr>
          <w:rFonts w:ascii="宋体" w:hAnsi="宋体"/>
          <w:color w:val="auto"/>
          <w:sz w:val="24"/>
        </w:rPr>
      </w:pPr>
      <w:r>
        <w:rPr>
          <w:rFonts w:hint="eastAsia" w:ascii="宋体" w:hAnsi="宋体"/>
          <w:color w:val="auto"/>
          <w:sz w:val="24"/>
        </w:rPr>
        <w:t>（1）符合专业条件的投标人或者对招标文件作实质响应的投标人不足三家的；</w:t>
      </w:r>
    </w:p>
    <w:p>
      <w:pPr>
        <w:spacing w:line="400" w:lineRule="exact"/>
        <w:ind w:firstLine="480" w:firstLineChars="200"/>
        <w:rPr>
          <w:rFonts w:ascii="宋体" w:hAnsi="宋体"/>
          <w:color w:val="auto"/>
          <w:sz w:val="24"/>
        </w:rPr>
      </w:pPr>
      <w:r>
        <w:rPr>
          <w:rFonts w:hint="eastAsia" w:ascii="宋体" w:hAnsi="宋体"/>
          <w:color w:val="auto"/>
          <w:sz w:val="24"/>
        </w:rPr>
        <w:t>（2）出现影响采购公正的违法、违规行为的；</w:t>
      </w:r>
    </w:p>
    <w:p>
      <w:pPr>
        <w:spacing w:line="400" w:lineRule="exact"/>
        <w:ind w:firstLine="480" w:firstLineChars="200"/>
        <w:rPr>
          <w:rFonts w:ascii="宋体" w:hAnsi="宋体"/>
          <w:color w:val="auto"/>
          <w:sz w:val="24"/>
        </w:rPr>
      </w:pPr>
      <w:r>
        <w:rPr>
          <w:rFonts w:hint="eastAsia" w:ascii="宋体" w:hAnsi="宋体"/>
          <w:color w:val="auto"/>
          <w:sz w:val="24"/>
        </w:rPr>
        <w:t>（3）投标人的报价均超过了采购预算，采购人不能支付的；</w:t>
      </w:r>
    </w:p>
    <w:p>
      <w:pPr>
        <w:spacing w:line="400" w:lineRule="exact"/>
        <w:ind w:firstLine="480" w:firstLineChars="200"/>
        <w:rPr>
          <w:rFonts w:ascii="宋体" w:hAnsi="宋体"/>
          <w:color w:val="auto"/>
          <w:sz w:val="24"/>
        </w:rPr>
      </w:pPr>
      <w:r>
        <w:rPr>
          <w:rFonts w:hint="eastAsia" w:ascii="宋体" w:hAnsi="宋体"/>
          <w:color w:val="auto"/>
          <w:sz w:val="24"/>
        </w:rPr>
        <w:t>（4）因重大变故，采购任务取消的。</w:t>
      </w:r>
    </w:p>
    <w:p>
      <w:pPr>
        <w:spacing w:line="400" w:lineRule="exact"/>
        <w:ind w:firstLine="480" w:firstLineChars="200"/>
        <w:rPr>
          <w:rFonts w:ascii="宋体" w:hAnsi="宋体"/>
          <w:color w:val="auto"/>
          <w:sz w:val="24"/>
        </w:rPr>
      </w:pPr>
      <w:r>
        <w:rPr>
          <w:rFonts w:hint="eastAsia" w:ascii="宋体" w:hAnsi="宋体"/>
          <w:color w:val="auto"/>
          <w:sz w:val="24"/>
        </w:rPr>
        <w:t>废标后，采购代理机构应在四川政府采购网上公告，并公告废标的理由。投标人需要知晓导致废标情形的具体原因和理由的，可以通过书面形式询问采购人或者采购代理机构。</w:t>
      </w:r>
    </w:p>
    <w:p>
      <w:pPr>
        <w:spacing w:line="400" w:lineRule="exact"/>
        <w:ind w:firstLine="480" w:firstLineChars="200"/>
        <w:rPr>
          <w:rFonts w:ascii="宋体" w:hAnsi="宋体"/>
          <w:color w:val="auto"/>
          <w:sz w:val="24"/>
        </w:rPr>
      </w:pPr>
      <w:r>
        <w:rPr>
          <w:rFonts w:hint="eastAsia" w:ascii="宋体" w:hAnsi="宋体"/>
          <w:color w:val="auto"/>
          <w:sz w:val="24"/>
        </w:rPr>
        <w:t>5.2对于评标过程中废标的采购项目，评标委员会应当对招标文件是否存在倾向性和歧视性、是否存在不合理条款进行论证，并出具书面论证意见。</w:t>
      </w:r>
    </w:p>
    <w:p>
      <w:pPr>
        <w:pStyle w:val="3"/>
        <w:spacing w:line="400" w:lineRule="exact"/>
        <w:ind w:firstLine="482" w:firstLineChars="200"/>
        <w:rPr>
          <w:rFonts w:ascii="宋体" w:hAnsi="宋体"/>
          <w:color w:val="auto"/>
          <w:sz w:val="24"/>
          <w:szCs w:val="24"/>
        </w:rPr>
      </w:pPr>
      <w:bookmarkStart w:id="213" w:name="_Toc527460988"/>
      <w:bookmarkStart w:id="214" w:name="_Toc65154651"/>
      <w:bookmarkStart w:id="215" w:name="_Toc65154547"/>
      <w:r>
        <w:rPr>
          <w:rFonts w:hint="eastAsia" w:ascii="宋体" w:hAnsi="宋体"/>
          <w:color w:val="auto"/>
          <w:sz w:val="24"/>
          <w:szCs w:val="24"/>
        </w:rPr>
        <w:t>6、定标</w:t>
      </w:r>
      <w:bookmarkEnd w:id="212"/>
      <w:bookmarkEnd w:id="213"/>
      <w:bookmarkEnd w:id="214"/>
      <w:bookmarkEnd w:id="215"/>
      <w:bookmarkStart w:id="216" w:name="_Toc217446061"/>
    </w:p>
    <w:p>
      <w:pPr>
        <w:spacing w:line="400" w:lineRule="exact"/>
        <w:ind w:firstLine="480" w:firstLineChars="200"/>
        <w:rPr>
          <w:rFonts w:ascii="宋体" w:hAnsi="宋体"/>
          <w:color w:val="auto"/>
          <w:sz w:val="24"/>
        </w:rPr>
      </w:pPr>
      <w:r>
        <w:rPr>
          <w:rFonts w:hint="eastAsia" w:ascii="宋体" w:hAnsi="宋体"/>
          <w:color w:val="auto"/>
          <w:sz w:val="24"/>
        </w:rPr>
        <w:t>6.1. 定标原则</w:t>
      </w:r>
      <w:bookmarkEnd w:id="216"/>
      <w:r>
        <w:rPr>
          <w:rFonts w:hint="eastAsia" w:ascii="宋体" w:hAnsi="宋体"/>
          <w:color w:val="auto"/>
          <w:sz w:val="24"/>
        </w:rPr>
        <w:t>：根据评标委员会推荐的中标候选人名单，按顺序确定中标人。</w:t>
      </w:r>
    </w:p>
    <w:p>
      <w:pPr>
        <w:spacing w:line="400" w:lineRule="exact"/>
        <w:ind w:firstLine="480" w:firstLineChars="200"/>
        <w:rPr>
          <w:rFonts w:ascii="宋体" w:hAnsi="宋体"/>
          <w:color w:val="auto"/>
          <w:sz w:val="24"/>
        </w:rPr>
      </w:pPr>
      <w:bookmarkStart w:id="217" w:name="_Toc217446062"/>
      <w:r>
        <w:rPr>
          <w:rFonts w:hint="eastAsia" w:ascii="宋体" w:hAnsi="宋体"/>
          <w:color w:val="auto"/>
          <w:sz w:val="24"/>
        </w:rPr>
        <w:t>6.2. 定标程序</w:t>
      </w:r>
      <w:bookmarkEnd w:id="217"/>
    </w:p>
    <w:p>
      <w:pPr>
        <w:spacing w:line="400" w:lineRule="exact"/>
        <w:ind w:firstLine="480" w:firstLineChars="200"/>
        <w:rPr>
          <w:rFonts w:ascii="宋体" w:hAnsi="宋体"/>
          <w:color w:val="auto"/>
          <w:sz w:val="24"/>
        </w:rPr>
      </w:pPr>
      <w:r>
        <w:rPr>
          <w:rFonts w:hint="eastAsia" w:ascii="宋体" w:hAnsi="宋体"/>
          <w:color w:val="auto"/>
          <w:sz w:val="24"/>
        </w:rPr>
        <w:t>6.2.1 评标委员会将评标情况写出书面报告，推荐中标候选人。</w:t>
      </w:r>
    </w:p>
    <w:p>
      <w:pPr>
        <w:spacing w:line="400" w:lineRule="exact"/>
        <w:ind w:firstLine="480" w:firstLineChars="200"/>
        <w:rPr>
          <w:rFonts w:ascii="宋体" w:hAnsi="宋体"/>
          <w:color w:val="auto"/>
          <w:sz w:val="24"/>
        </w:rPr>
      </w:pPr>
      <w:r>
        <w:rPr>
          <w:rFonts w:hint="eastAsia" w:ascii="宋体" w:hAnsi="宋体"/>
          <w:color w:val="auto"/>
          <w:sz w:val="24"/>
        </w:rPr>
        <w:t>6.2.2 采购代理机构在评标结束后2个工作日内将评标报告送采购人。</w:t>
      </w:r>
    </w:p>
    <w:p>
      <w:pPr>
        <w:spacing w:line="400" w:lineRule="exact"/>
        <w:ind w:firstLine="480" w:firstLineChars="200"/>
        <w:rPr>
          <w:rFonts w:ascii="宋体" w:hAnsi="宋体"/>
          <w:color w:val="auto"/>
          <w:sz w:val="24"/>
        </w:rPr>
      </w:pPr>
      <w:r>
        <w:rPr>
          <w:rFonts w:hint="eastAsia" w:ascii="宋体" w:hAnsi="宋体"/>
          <w:color w:val="auto"/>
          <w:sz w:val="24"/>
        </w:rPr>
        <w:t>6.2.3 采购人在收到评标报告后5个工作日内，按照评标报告中推荐的中标候选人顺序确定中标人。评标结果按评审后得分由高到低顺序排列；得分相同的，按投标报价由低到高顺序排列；得分且投标报价相同的并列，投标文件满足招标文件全部实质性要求且按照评审因素的量化指标评审得分最高的供应商为中标候选供应商；报价相同且满足招标文件全部实质性要求且按照评审因素的量化指标评审得分也相同的，由不发达地区或少数民族地区企业的供应商作为中标候选供应商（供应商需提供不发达地区企业的相关证明材料或投标人注册地为少数民族地区）；报价相同且满足招标文件全部实质性要求且按照评审因素的量化指标评审得分也相同的，且不能区分不发达地区或少数民族地区企业的并列，由采购人自主采取公平、择优的方式选择中标供应商。采购人在收到评标报告后5个工作日内未按评标报告推荐的中标候选人顺序确定中标人，又不能说明合法理由的，视同按评标报告推荐的顺序确定排名第一的中标候选人为中标人。</w:t>
      </w:r>
    </w:p>
    <w:p>
      <w:pPr>
        <w:spacing w:line="400" w:lineRule="exact"/>
        <w:ind w:firstLine="482" w:firstLineChars="200"/>
        <w:rPr>
          <w:rFonts w:ascii="宋体" w:hAnsi="宋体"/>
          <w:b/>
          <w:color w:val="auto"/>
          <w:sz w:val="24"/>
        </w:rPr>
      </w:pPr>
      <w:r>
        <w:rPr>
          <w:rFonts w:hint="eastAsia" w:ascii="宋体" w:hAnsi="宋体"/>
          <w:b/>
          <w:color w:val="auto"/>
          <w:sz w:val="24"/>
        </w:rPr>
        <w:t>注意，采购人按照推荐的中标候选人顺序确定中标人，不能认为采购人只能确定第一中标候选人为中标人，采购人有正当理由的，可以确定后一顺序中标候选人为中标人，依次类推。</w:t>
      </w:r>
    </w:p>
    <w:p>
      <w:pPr>
        <w:spacing w:line="400" w:lineRule="exact"/>
        <w:ind w:firstLine="480" w:firstLineChars="200"/>
        <w:rPr>
          <w:rFonts w:ascii="宋体" w:hAnsi="宋体"/>
          <w:color w:val="auto"/>
          <w:sz w:val="24"/>
        </w:rPr>
      </w:pPr>
      <w:r>
        <w:rPr>
          <w:rFonts w:hint="eastAsia" w:ascii="宋体" w:hAnsi="宋体"/>
          <w:color w:val="auto"/>
          <w:sz w:val="24"/>
        </w:rPr>
        <w:t>6.2.4根据采购人确定的中标人，采购代理机构应自采购人确定中标之日起2个工作日内在四川政府采购网上发布中标公告，同时向中标人发出中标通知书。中标公告期限为1个工作日。</w:t>
      </w:r>
    </w:p>
    <w:p>
      <w:pPr>
        <w:spacing w:line="400" w:lineRule="exact"/>
        <w:ind w:firstLine="480" w:firstLineChars="200"/>
        <w:rPr>
          <w:rFonts w:ascii="宋体" w:hAnsi="宋体"/>
          <w:color w:val="auto"/>
          <w:sz w:val="24"/>
        </w:rPr>
      </w:pPr>
      <w:r>
        <w:rPr>
          <w:rFonts w:hint="eastAsia" w:ascii="宋体" w:hAnsi="宋体"/>
          <w:color w:val="auto"/>
          <w:sz w:val="24"/>
        </w:rPr>
        <w:t>6.2.5 采购人或者采购代理机构不退回投标人投标文件和其他投标资料。</w:t>
      </w:r>
    </w:p>
    <w:bookmarkEnd w:id="205"/>
    <w:p>
      <w:pPr>
        <w:pStyle w:val="3"/>
        <w:spacing w:line="400" w:lineRule="exact"/>
        <w:ind w:firstLine="482" w:firstLineChars="200"/>
        <w:rPr>
          <w:rFonts w:ascii="宋体" w:hAnsi="宋体"/>
          <w:color w:val="auto"/>
          <w:sz w:val="24"/>
          <w:szCs w:val="24"/>
        </w:rPr>
      </w:pPr>
      <w:bookmarkStart w:id="218" w:name="_Toc208849022"/>
      <w:bookmarkStart w:id="219" w:name="_Toc183582297"/>
      <w:bookmarkStart w:id="220" w:name="_Toc217446105"/>
      <w:bookmarkStart w:id="221" w:name="_Toc183682432"/>
      <w:bookmarkStart w:id="222" w:name="_Toc65154548"/>
      <w:bookmarkStart w:id="223" w:name="_Toc65154652"/>
      <w:bookmarkStart w:id="224" w:name="_Toc527460989"/>
      <w:r>
        <w:rPr>
          <w:rFonts w:hint="eastAsia" w:ascii="宋体" w:hAnsi="宋体"/>
          <w:color w:val="auto"/>
          <w:sz w:val="24"/>
          <w:szCs w:val="24"/>
        </w:rPr>
        <w:t>7</w:t>
      </w:r>
      <w:bookmarkEnd w:id="218"/>
      <w:bookmarkEnd w:id="219"/>
      <w:bookmarkEnd w:id="220"/>
      <w:bookmarkEnd w:id="221"/>
      <w:r>
        <w:rPr>
          <w:rFonts w:hint="eastAsia" w:ascii="宋体" w:hAnsi="宋体"/>
          <w:color w:val="auto"/>
          <w:sz w:val="24"/>
          <w:szCs w:val="24"/>
        </w:rPr>
        <w:t>、评标专家义务</w:t>
      </w:r>
      <w:bookmarkEnd w:id="222"/>
      <w:bookmarkEnd w:id="223"/>
      <w:bookmarkEnd w:id="224"/>
    </w:p>
    <w:p>
      <w:pPr>
        <w:spacing w:line="400" w:lineRule="exact"/>
        <w:ind w:firstLine="480" w:firstLineChars="200"/>
        <w:rPr>
          <w:rFonts w:ascii="宋体" w:hAnsi="宋体"/>
          <w:color w:val="auto"/>
          <w:sz w:val="24"/>
        </w:rPr>
      </w:pPr>
      <w:r>
        <w:rPr>
          <w:rFonts w:hint="eastAsia" w:ascii="宋体" w:hAnsi="宋体"/>
          <w:color w:val="auto"/>
          <w:sz w:val="24"/>
        </w:rPr>
        <w:t>评标专家在政府采购活动中承担以下义务：</w:t>
      </w:r>
    </w:p>
    <w:p>
      <w:pPr>
        <w:spacing w:line="400" w:lineRule="exact"/>
        <w:ind w:firstLine="480" w:firstLineChars="200"/>
        <w:rPr>
          <w:rFonts w:ascii="宋体" w:hAnsi="宋体"/>
          <w:color w:val="auto"/>
          <w:sz w:val="24"/>
        </w:rPr>
      </w:pPr>
      <w:r>
        <w:rPr>
          <w:rFonts w:hint="eastAsia" w:ascii="宋体" w:hAnsi="宋体"/>
          <w:color w:val="auto"/>
          <w:sz w:val="24"/>
        </w:rPr>
        <w:t xml:space="preserve">（一）遵守评审工作纪律； </w:t>
      </w:r>
    </w:p>
    <w:p>
      <w:pPr>
        <w:spacing w:line="400" w:lineRule="exact"/>
        <w:ind w:firstLine="480" w:firstLineChars="200"/>
        <w:rPr>
          <w:rFonts w:ascii="宋体" w:hAnsi="宋体"/>
          <w:color w:val="auto"/>
          <w:sz w:val="24"/>
        </w:rPr>
      </w:pPr>
      <w:r>
        <w:rPr>
          <w:rFonts w:hint="eastAsia" w:ascii="宋体" w:hAnsi="宋体"/>
          <w:color w:val="auto"/>
          <w:sz w:val="24"/>
        </w:rPr>
        <w:t>（二）按照客观、公正、审慎的原则，根据采购文件规定的评审程序、评审方法和评审标准进行独立评审；</w:t>
      </w:r>
    </w:p>
    <w:p>
      <w:pPr>
        <w:spacing w:line="400" w:lineRule="exact"/>
        <w:ind w:firstLine="480" w:firstLineChars="200"/>
        <w:rPr>
          <w:rFonts w:ascii="宋体" w:hAnsi="宋体"/>
          <w:color w:val="auto"/>
          <w:sz w:val="24"/>
        </w:rPr>
      </w:pPr>
      <w:r>
        <w:rPr>
          <w:rFonts w:hint="eastAsia" w:ascii="宋体" w:hAnsi="宋体"/>
          <w:color w:val="auto"/>
          <w:sz w:val="24"/>
        </w:rPr>
        <w:t>（三）不得泄露评审文件、评审情况和在评审过程中获悉的商业秘密；</w:t>
      </w:r>
    </w:p>
    <w:p>
      <w:pPr>
        <w:spacing w:line="400" w:lineRule="exact"/>
        <w:ind w:firstLine="480" w:firstLineChars="200"/>
        <w:rPr>
          <w:rFonts w:ascii="宋体" w:hAnsi="宋体"/>
          <w:color w:val="auto"/>
          <w:sz w:val="24"/>
        </w:rPr>
      </w:pPr>
      <w:r>
        <w:rPr>
          <w:rFonts w:hint="eastAsia" w:ascii="宋体" w:hAnsi="宋体"/>
          <w:color w:val="auto"/>
          <w:sz w:val="24"/>
        </w:rPr>
        <w:t>（四）及时向监督部门报告评审过程中采购组织单位向评审专家做倾向性、误导性的解释或者说明，投标人行贿、提供虚假材料或者串通、受到的非法干预情况等违法违规行为；</w:t>
      </w:r>
    </w:p>
    <w:p>
      <w:pPr>
        <w:spacing w:line="400" w:lineRule="exact"/>
        <w:ind w:firstLine="480" w:firstLineChars="200"/>
        <w:rPr>
          <w:rFonts w:ascii="宋体" w:hAnsi="宋体"/>
          <w:color w:val="auto"/>
          <w:sz w:val="24"/>
        </w:rPr>
      </w:pPr>
      <w:r>
        <w:rPr>
          <w:rFonts w:hint="eastAsia" w:ascii="宋体" w:hAnsi="宋体"/>
          <w:color w:val="auto"/>
          <w:sz w:val="24"/>
        </w:rPr>
        <w:t>（五）发现采购文件内容违反国家有关强制性规定或者存在歧义、重大缺陷导致评审工作无法进行时，停止评审并向采购组织单位书面说明情况；</w:t>
      </w:r>
    </w:p>
    <w:p>
      <w:pPr>
        <w:spacing w:line="400" w:lineRule="exact"/>
        <w:ind w:firstLine="480" w:firstLineChars="200"/>
        <w:rPr>
          <w:rFonts w:ascii="宋体" w:hAnsi="宋体"/>
          <w:color w:val="auto"/>
          <w:sz w:val="24"/>
        </w:rPr>
      </w:pPr>
      <w:r>
        <w:rPr>
          <w:rFonts w:hint="eastAsia" w:ascii="宋体" w:hAnsi="宋体"/>
          <w:color w:val="auto"/>
          <w:sz w:val="24"/>
        </w:rPr>
        <w:t>（六）配合答复处理投标人的询问、质疑和投诉等事项；</w:t>
      </w:r>
    </w:p>
    <w:p>
      <w:pPr>
        <w:spacing w:line="400" w:lineRule="exact"/>
        <w:ind w:firstLine="480" w:firstLineChars="200"/>
        <w:rPr>
          <w:rFonts w:ascii="宋体" w:hAnsi="宋体"/>
          <w:color w:val="auto"/>
          <w:sz w:val="24"/>
        </w:rPr>
      </w:pPr>
      <w:r>
        <w:rPr>
          <w:rFonts w:hint="eastAsia" w:ascii="宋体" w:hAnsi="宋体"/>
          <w:color w:val="auto"/>
          <w:sz w:val="24"/>
        </w:rPr>
        <w:t>（七）法律、法规和规章规定的其他义务。</w:t>
      </w:r>
    </w:p>
    <w:p>
      <w:pPr>
        <w:pStyle w:val="3"/>
        <w:spacing w:line="400" w:lineRule="exact"/>
        <w:ind w:firstLine="482" w:firstLineChars="200"/>
        <w:rPr>
          <w:rFonts w:ascii="宋体" w:hAnsi="宋体"/>
          <w:color w:val="auto"/>
          <w:sz w:val="24"/>
          <w:szCs w:val="24"/>
        </w:rPr>
      </w:pPr>
      <w:bookmarkStart w:id="225" w:name="_Toc527460990"/>
      <w:bookmarkStart w:id="226" w:name="_Toc65154549"/>
      <w:bookmarkStart w:id="227" w:name="_Toc65154653"/>
      <w:r>
        <w:rPr>
          <w:rFonts w:hint="eastAsia" w:ascii="宋体" w:hAnsi="宋体"/>
          <w:color w:val="auto"/>
          <w:sz w:val="24"/>
          <w:szCs w:val="24"/>
        </w:rPr>
        <w:t>8、评标专家工作纪律</w:t>
      </w:r>
      <w:bookmarkEnd w:id="225"/>
      <w:bookmarkEnd w:id="226"/>
      <w:bookmarkEnd w:id="227"/>
    </w:p>
    <w:p>
      <w:pPr>
        <w:spacing w:line="400" w:lineRule="exact"/>
        <w:ind w:firstLine="480" w:firstLineChars="200"/>
        <w:rPr>
          <w:rFonts w:ascii="宋体" w:hAnsi="宋体"/>
          <w:color w:val="auto"/>
          <w:sz w:val="24"/>
        </w:rPr>
      </w:pPr>
      <w:r>
        <w:rPr>
          <w:rFonts w:hint="eastAsia" w:ascii="宋体" w:hAnsi="宋体"/>
          <w:color w:val="auto"/>
          <w:sz w:val="24"/>
        </w:rPr>
        <w:t>评标专家在政府采购活动中应当遵守以下工作纪律：</w:t>
      </w:r>
    </w:p>
    <w:p>
      <w:pPr>
        <w:spacing w:line="400" w:lineRule="exact"/>
        <w:ind w:firstLine="480" w:firstLineChars="200"/>
        <w:rPr>
          <w:rFonts w:ascii="宋体" w:hAnsi="宋体"/>
          <w:color w:val="auto"/>
          <w:sz w:val="24"/>
        </w:rPr>
      </w:pPr>
      <w:r>
        <w:rPr>
          <w:rFonts w:hint="eastAsia" w:ascii="宋体" w:hAnsi="宋体"/>
          <w:color w:val="auto"/>
          <w:sz w:val="24"/>
        </w:rPr>
        <w:t>（一）遵行《政府采购法》第十二条和《政府采购法实施条例》第九条及财政部关于回避的规定。</w:t>
      </w:r>
    </w:p>
    <w:p>
      <w:pPr>
        <w:spacing w:line="400" w:lineRule="exact"/>
        <w:ind w:firstLine="480" w:firstLineChars="200"/>
        <w:rPr>
          <w:rFonts w:ascii="宋体" w:hAnsi="宋体"/>
          <w:color w:val="auto"/>
          <w:sz w:val="24"/>
        </w:rPr>
      </w:pPr>
      <w:r>
        <w:rPr>
          <w:rFonts w:hint="eastAsia" w:ascii="宋体" w:hAnsi="宋体"/>
          <w:color w:val="auto"/>
          <w:sz w:val="24"/>
        </w:rPr>
        <w:t>（二）评标前，应当将通讯工具或者相关电子设备交由采购人或者采购代理机构统一保管。</w:t>
      </w:r>
    </w:p>
    <w:p>
      <w:pPr>
        <w:spacing w:line="400" w:lineRule="exact"/>
        <w:ind w:firstLine="480" w:firstLineChars="200"/>
        <w:rPr>
          <w:rFonts w:ascii="宋体" w:hAnsi="宋体"/>
          <w:color w:val="auto"/>
          <w:sz w:val="24"/>
        </w:rPr>
      </w:pPr>
      <w:r>
        <w:rPr>
          <w:rFonts w:hint="eastAsia" w:ascii="宋体" w:hAnsi="宋体"/>
          <w:color w:val="auto"/>
          <w:sz w:val="24"/>
        </w:rPr>
        <w:t>（三）评标过程中，不得与外界联系，因发生不可预见情况，确实需要与外界联系的，应当在监督人员监督之下办理。</w:t>
      </w:r>
    </w:p>
    <w:p>
      <w:pPr>
        <w:spacing w:line="400" w:lineRule="exact"/>
        <w:ind w:firstLine="480" w:firstLineChars="200"/>
        <w:rPr>
          <w:rFonts w:ascii="宋体" w:hAnsi="宋体"/>
          <w:color w:val="auto"/>
          <w:sz w:val="24"/>
        </w:rPr>
      </w:pPr>
      <w:r>
        <w:rPr>
          <w:rFonts w:hint="eastAsia" w:ascii="宋体" w:hAnsi="宋体"/>
          <w:color w:val="auto"/>
          <w:sz w:val="24"/>
        </w:rPr>
        <w:t>（四）评标过程中，</w:t>
      </w:r>
      <w:r>
        <w:rPr>
          <w:rFonts w:hint="eastAsia" w:hAnsi="宋体"/>
          <w:color w:val="auto"/>
          <w:sz w:val="24"/>
        </w:rPr>
        <w:t>不得在评标过程中擅离职守，</w:t>
      </w:r>
      <w:r>
        <w:rPr>
          <w:rFonts w:hint="eastAsia" w:ascii="宋体" w:hAnsi="宋体"/>
          <w:color w:val="auto"/>
          <w:sz w:val="24"/>
        </w:rPr>
        <w:t>不得干预或者影响正常评标工作，不得发表倾向性、引导性意见，不得修改或细化招标文件确定的评标程序、评标方法、评标因素和评标标准，不得征询采购人代表的意见，不得</w:t>
      </w:r>
      <w:r>
        <w:rPr>
          <w:rFonts w:hint="eastAsia" w:hAnsi="宋体"/>
          <w:color w:val="auto"/>
          <w:sz w:val="24"/>
        </w:rPr>
        <w:t>对需要专业判断的主观评审因素</w:t>
      </w:r>
      <w:r>
        <w:rPr>
          <w:rFonts w:hint="eastAsia" w:ascii="宋体" w:hAnsi="宋体"/>
          <w:color w:val="auto"/>
          <w:sz w:val="24"/>
        </w:rPr>
        <w:t>协商评分，不得违反规定的评标格式评分和撰写评标意见，不得拒绝对自己的评标意见签字确认。</w:t>
      </w:r>
    </w:p>
    <w:p>
      <w:pPr>
        <w:spacing w:line="400" w:lineRule="exact"/>
        <w:ind w:firstLine="480" w:firstLineChars="200"/>
        <w:rPr>
          <w:rFonts w:ascii="宋体" w:hAnsi="宋体"/>
          <w:color w:val="auto"/>
          <w:sz w:val="24"/>
        </w:rPr>
      </w:pPr>
      <w:r>
        <w:rPr>
          <w:rFonts w:hint="eastAsia" w:ascii="宋体" w:hAnsi="宋体"/>
          <w:color w:val="auto"/>
          <w:sz w:val="24"/>
        </w:rPr>
        <w:t>（五）在评标过程中和评标结束后，不得记录、复制或带走任何评标资料，除因规定的义务外，不得向外界透露评标内容。</w:t>
      </w:r>
    </w:p>
    <w:p>
      <w:pPr>
        <w:spacing w:line="400" w:lineRule="exact"/>
        <w:ind w:firstLine="480" w:firstLineChars="200"/>
        <w:rPr>
          <w:rFonts w:ascii="宋体" w:hAnsi="宋体"/>
          <w:color w:val="auto"/>
          <w:sz w:val="24"/>
        </w:rPr>
      </w:pPr>
      <w:r>
        <w:rPr>
          <w:rFonts w:hint="eastAsia" w:ascii="宋体" w:hAnsi="宋体"/>
          <w:color w:val="auto"/>
          <w:sz w:val="24"/>
        </w:rPr>
        <w:t>（六）服从评标现场采购人或者采购代理机构的现场秩序管理，接受评标现场监督人员的合法监督。</w:t>
      </w:r>
    </w:p>
    <w:p>
      <w:pPr>
        <w:spacing w:line="400" w:lineRule="exact"/>
        <w:ind w:firstLine="480" w:firstLineChars="200"/>
        <w:rPr>
          <w:rFonts w:ascii="宋体" w:hAnsi="宋体"/>
          <w:color w:val="auto"/>
          <w:sz w:val="24"/>
        </w:rPr>
      </w:pPr>
      <w:r>
        <w:rPr>
          <w:rFonts w:hint="eastAsia" w:ascii="宋体" w:hAnsi="宋体"/>
          <w:color w:val="auto"/>
          <w:sz w:val="24"/>
        </w:rPr>
        <w:t>（七）遵守有关廉洁自律规定，不得在确定参与评标至评标结束前私自接触投标人，不得收受投标人及有关业务单位和个人的财物或好处，不得接受采购组织单位的请托。</w:t>
      </w:r>
    </w:p>
    <w:p>
      <w:pPr>
        <w:spacing w:line="400" w:lineRule="exact"/>
        <w:ind w:firstLine="480" w:firstLineChars="200"/>
        <w:rPr>
          <w:rFonts w:ascii="宋体" w:hAnsi="宋体"/>
          <w:color w:val="auto"/>
          <w:sz w:val="24"/>
        </w:rPr>
      </w:pPr>
      <w:r>
        <w:rPr>
          <w:rFonts w:hint="eastAsia" w:ascii="宋体" w:hAnsi="宋体"/>
          <w:color w:val="auto"/>
          <w:sz w:val="24"/>
        </w:rPr>
        <w:t>（八）不得接受投标人主动提出的澄清和解释，不得接受投标人提出的与投标文件不一致的澄清或者说明，财政部第87号令第五十一条规定的情形除外；</w:t>
      </w:r>
    </w:p>
    <w:p>
      <w:pPr>
        <w:spacing w:line="400" w:lineRule="exact"/>
        <w:ind w:firstLine="480" w:firstLineChars="200"/>
        <w:rPr>
          <w:rFonts w:hAnsi="宋体"/>
          <w:color w:val="auto"/>
          <w:sz w:val="24"/>
        </w:rPr>
      </w:pPr>
      <w:r>
        <w:rPr>
          <w:rFonts w:hint="eastAsia" w:hAnsi="宋体"/>
          <w:color w:val="auto"/>
          <w:sz w:val="24"/>
        </w:rPr>
        <w:t>（九）其他不遵守评标纪律的行为。</w:t>
      </w:r>
      <w:r>
        <w:rPr>
          <w:rFonts w:hAnsi="宋体"/>
          <w:color w:val="auto"/>
          <w:sz w:val="24"/>
        </w:rPr>
        <w:br w:type="page"/>
      </w:r>
    </w:p>
    <w:p>
      <w:pPr>
        <w:pStyle w:val="3"/>
        <w:spacing w:line="240" w:lineRule="atLeast"/>
        <w:jc w:val="center"/>
        <w:rPr>
          <w:rFonts w:hAnsi="宋体"/>
          <w:b w:val="0"/>
          <w:color w:val="auto"/>
          <w:sz w:val="36"/>
          <w:szCs w:val="36"/>
        </w:rPr>
      </w:pPr>
      <w:bookmarkStart w:id="228" w:name="_Toc65154654"/>
      <w:r>
        <w:rPr>
          <w:rFonts w:hint="eastAsia" w:ascii="宋体" w:hAnsi="宋体"/>
          <w:color w:val="auto"/>
          <w:sz w:val="36"/>
          <w:szCs w:val="36"/>
        </w:rPr>
        <w:t>第六章  政府采购合同</w:t>
      </w:r>
      <w:bookmarkEnd w:id="228"/>
    </w:p>
    <w:p>
      <w:pPr>
        <w:spacing w:line="400" w:lineRule="exact"/>
        <w:rPr>
          <w:rFonts w:ascii="宋体" w:hAnsi="宋体"/>
          <w:color w:val="auto"/>
          <w:sz w:val="24"/>
        </w:rPr>
      </w:pPr>
    </w:p>
    <w:p>
      <w:pPr>
        <w:spacing w:line="360" w:lineRule="auto"/>
        <w:ind w:firstLine="480" w:firstLineChars="200"/>
        <w:jc w:val="left"/>
        <w:rPr>
          <w:rFonts w:hAnsi="宋体"/>
          <w:color w:val="auto"/>
          <w:sz w:val="24"/>
        </w:rPr>
      </w:pPr>
      <w:r>
        <w:rPr>
          <w:rFonts w:hint="eastAsia" w:hAnsi="宋体"/>
          <w:color w:val="auto"/>
          <w:sz w:val="24"/>
        </w:rPr>
        <w:t>甲方：</w:t>
      </w:r>
    </w:p>
    <w:p>
      <w:pPr>
        <w:spacing w:line="360" w:lineRule="auto"/>
        <w:ind w:firstLine="480" w:firstLineChars="200"/>
        <w:jc w:val="left"/>
        <w:rPr>
          <w:rFonts w:hAnsi="宋体"/>
          <w:color w:val="auto"/>
          <w:sz w:val="24"/>
        </w:rPr>
      </w:pPr>
      <w:r>
        <w:rPr>
          <w:rFonts w:hint="eastAsia" w:hAnsi="宋体"/>
          <w:color w:val="auto"/>
          <w:sz w:val="24"/>
        </w:rPr>
        <w:t>地址：</w:t>
      </w:r>
    </w:p>
    <w:p>
      <w:pPr>
        <w:spacing w:line="360" w:lineRule="auto"/>
        <w:ind w:firstLine="1200" w:firstLineChars="500"/>
        <w:jc w:val="left"/>
        <w:rPr>
          <w:rFonts w:hAnsi="宋体"/>
          <w:color w:val="auto"/>
          <w:sz w:val="24"/>
        </w:rPr>
      </w:pPr>
    </w:p>
    <w:p>
      <w:pPr>
        <w:spacing w:line="360" w:lineRule="auto"/>
        <w:ind w:firstLine="480" w:firstLineChars="200"/>
        <w:jc w:val="left"/>
        <w:rPr>
          <w:rFonts w:hAnsi="宋体"/>
          <w:color w:val="auto"/>
          <w:sz w:val="24"/>
        </w:rPr>
      </w:pPr>
      <w:r>
        <w:rPr>
          <w:rFonts w:hint="eastAsia" w:hAnsi="宋体"/>
          <w:color w:val="auto"/>
          <w:sz w:val="24"/>
        </w:rPr>
        <w:t>乙方：</w:t>
      </w:r>
    </w:p>
    <w:p>
      <w:pPr>
        <w:spacing w:line="360" w:lineRule="auto"/>
        <w:ind w:firstLine="480" w:firstLineChars="200"/>
        <w:jc w:val="left"/>
        <w:rPr>
          <w:rFonts w:hAnsi="宋体"/>
          <w:color w:val="auto"/>
          <w:sz w:val="24"/>
        </w:rPr>
      </w:pPr>
      <w:r>
        <w:rPr>
          <w:rFonts w:hint="eastAsia" w:hAnsi="宋体"/>
          <w:color w:val="auto"/>
          <w:sz w:val="24"/>
        </w:rPr>
        <w:t>地址：</w:t>
      </w:r>
    </w:p>
    <w:p>
      <w:pPr>
        <w:spacing w:line="360" w:lineRule="auto"/>
        <w:ind w:firstLine="480" w:firstLineChars="200"/>
        <w:jc w:val="left"/>
        <w:rPr>
          <w:rFonts w:hAnsi="宋体"/>
          <w:color w:val="auto"/>
          <w:sz w:val="24"/>
        </w:rPr>
      </w:pPr>
    </w:p>
    <w:p>
      <w:pPr>
        <w:spacing w:line="360" w:lineRule="auto"/>
        <w:ind w:firstLine="480" w:firstLineChars="200"/>
        <w:rPr>
          <w:rFonts w:hAnsi="宋体"/>
          <w:color w:val="auto"/>
          <w:sz w:val="24"/>
        </w:rPr>
      </w:pPr>
      <w:r>
        <w:rPr>
          <w:rFonts w:hint="eastAsia" w:hAnsi="宋体"/>
          <w:color w:val="auto"/>
          <w:sz w:val="24"/>
        </w:rPr>
        <w:t>甲乙双方根据《中华人民共和国民法典》及相关法律法规规定，遵循公平、平等、自愿、有偿和诚实信用的原则，就</w:t>
      </w:r>
      <w:r>
        <w:rPr>
          <w:rFonts w:hint="eastAsia" w:ascii="新宋体" w:hAnsi="新宋体" w:eastAsia="新宋体"/>
          <w:bCs/>
          <w:color w:val="auto"/>
          <w:sz w:val="24"/>
        </w:rPr>
        <w:t>成都2021年第31届世界大学生夏季运动会射击、射箭竞赛进口专项器材采购项目</w:t>
      </w:r>
      <w:r>
        <w:rPr>
          <w:rFonts w:hint="eastAsia" w:hAnsi="宋体"/>
          <w:color w:val="auto"/>
          <w:sz w:val="24"/>
        </w:rPr>
        <w:t>协商一致订立本协议，并承诺共同遵守。</w:t>
      </w:r>
    </w:p>
    <w:p>
      <w:pPr>
        <w:spacing w:line="360" w:lineRule="auto"/>
        <w:ind w:firstLine="480" w:firstLineChars="200"/>
        <w:jc w:val="left"/>
        <w:rPr>
          <w:rFonts w:hAnsi="宋体"/>
          <w:color w:val="auto"/>
          <w:sz w:val="24"/>
        </w:rPr>
      </w:pPr>
      <w:r>
        <w:rPr>
          <w:rFonts w:hint="eastAsia" w:hAnsi="宋体"/>
          <w:color w:val="auto"/>
          <w:sz w:val="24"/>
        </w:rPr>
        <w:t>一、合作项目名称</w:t>
      </w:r>
    </w:p>
    <w:p>
      <w:pPr>
        <w:spacing w:line="360" w:lineRule="auto"/>
        <w:ind w:firstLine="480" w:firstLineChars="200"/>
        <w:jc w:val="left"/>
        <w:rPr>
          <w:rFonts w:hAnsi="宋体"/>
          <w:color w:val="auto"/>
          <w:sz w:val="24"/>
        </w:rPr>
      </w:pPr>
      <w:r>
        <w:rPr>
          <w:rFonts w:hint="eastAsia" w:ascii="新宋体" w:hAnsi="新宋体" w:eastAsia="新宋体"/>
          <w:bCs/>
          <w:color w:val="auto"/>
          <w:sz w:val="24"/>
        </w:rPr>
        <w:t>成都2021年第31届世界大学生夏季运动会射击、射箭竞赛进口专项器材采购项目</w:t>
      </w:r>
      <w:r>
        <w:rPr>
          <w:rFonts w:hint="eastAsia" w:hAnsi="宋体"/>
          <w:color w:val="auto"/>
          <w:sz w:val="24"/>
        </w:rPr>
        <w:t>（以下简称本项目）。</w:t>
      </w:r>
    </w:p>
    <w:p>
      <w:pPr>
        <w:spacing w:line="360" w:lineRule="auto"/>
        <w:ind w:firstLine="480" w:firstLineChars="200"/>
        <w:jc w:val="left"/>
        <w:rPr>
          <w:rFonts w:hAnsi="宋体"/>
          <w:color w:val="auto"/>
          <w:sz w:val="24"/>
        </w:rPr>
      </w:pPr>
      <w:r>
        <w:rPr>
          <w:rFonts w:hint="eastAsia" w:hAnsi="宋体"/>
          <w:color w:val="auto"/>
          <w:sz w:val="24"/>
        </w:rPr>
        <w:t xml:space="preserve">二、项目内容概况 </w:t>
      </w:r>
    </w:p>
    <w:p>
      <w:pPr>
        <w:spacing w:line="360" w:lineRule="auto"/>
        <w:ind w:firstLine="480" w:firstLineChars="200"/>
        <w:rPr>
          <w:rFonts w:hAnsi="宋体"/>
          <w:color w:val="auto"/>
          <w:sz w:val="24"/>
        </w:rPr>
      </w:pPr>
      <w:bookmarkStart w:id="229" w:name="_Hlk13499396"/>
      <w:r>
        <w:rPr>
          <w:rFonts w:hint="eastAsia" w:hAnsi="宋体"/>
          <w:color w:val="auto"/>
          <w:sz w:val="24"/>
        </w:rPr>
        <w:t>乙方负责</w:t>
      </w:r>
      <w:bookmarkEnd w:id="229"/>
      <w:r>
        <w:rPr>
          <w:rFonts w:hint="eastAsia" w:hAnsi="宋体"/>
          <w:color w:val="auto"/>
          <w:sz w:val="24"/>
        </w:rPr>
        <w:t>提供</w:t>
      </w:r>
      <w:r>
        <w:rPr>
          <w:rFonts w:hint="eastAsia" w:ascii="新宋体" w:hAnsi="新宋体" w:eastAsia="新宋体"/>
          <w:bCs/>
          <w:color w:val="auto"/>
          <w:sz w:val="24"/>
        </w:rPr>
        <w:t>成都2021年第31届世界大学生夏季运动会射击、射箭竞赛项目所需专项器材</w:t>
      </w:r>
      <w:r>
        <w:rPr>
          <w:rFonts w:hint="eastAsia" w:hAnsi="宋体"/>
          <w:color w:val="auto"/>
          <w:sz w:val="24"/>
        </w:rPr>
        <w:t>专项器材和人员。具体服务内容如下：</w:t>
      </w:r>
    </w:p>
    <w:p>
      <w:pPr>
        <w:pStyle w:val="171"/>
        <w:spacing w:line="360" w:lineRule="auto"/>
        <w:ind w:firstLineChars="0"/>
        <w:rPr>
          <w:rFonts w:hAnsi="宋体"/>
          <w:color w:val="auto"/>
          <w:sz w:val="24"/>
          <w:szCs w:val="24"/>
        </w:rPr>
      </w:pPr>
      <w:r>
        <w:rPr>
          <w:rFonts w:hint="eastAsia" w:hAnsi="宋体"/>
          <w:color w:val="auto"/>
          <w:sz w:val="24"/>
          <w:szCs w:val="24"/>
        </w:rPr>
        <w:t>1、交货时间：</w:t>
      </w:r>
      <w:r>
        <w:rPr>
          <w:rFonts w:hint="eastAsia" w:hAnsi="宋体"/>
          <w:color w:val="auto"/>
          <w:sz w:val="24"/>
        </w:rPr>
        <w:t>合同签订后10日内。</w:t>
      </w:r>
    </w:p>
    <w:p>
      <w:pPr>
        <w:pStyle w:val="171"/>
        <w:spacing w:line="360" w:lineRule="auto"/>
        <w:ind w:firstLineChars="0"/>
        <w:rPr>
          <w:rFonts w:hAnsi="宋体"/>
          <w:color w:val="auto"/>
          <w:sz w:val="24"/>
          <w:szCs w:val="24"/>
        </w:rPr>
      </w:pPr>
      <w:r>
        <w:rPr>
          <w:rFonts w:hint="eastAsia" w:hAnsi="宋体"/>
          <w:color w:val="auto"/>
          <w:sz w:val="24"/>
          <w:szCs w:val="24"/>
        </w:rPr>
        <w:t>2、交货地点：</w:t>
      </w:r>
      <w:r>
        <w:rPr>
          <w:rFonts w:hint="eastAsia" w:hAnsi="宋体"/>
          <w:color w:val="auto"/>
          <w:sz w:val="24"/>
        </w:rPr>
        <w:t>第1包为成都市射击运动学校；第2包为双流现代五项中心。</w:t>
      </w:r>
    </w:p>
    <w:p>
      <w:pPr>
        <w:pStyle w:val="171"/>
        <w:spacing w:line="360" w:lineRule="auto"/>
        <w:ind w:firstLineChars="0"/>
        <w:rPr>
          <w:rFonts w:hAnsi="宋体"/>
          <w:color w:val="auto"/>
          <w:sz w:val="24"/>
          <w:szCs w:val="24"/>
        </w:rPr>
      </w:pPr>
      <w:r>
        <w:rPr>
          <w:rFonts w:hint="eastAsia" w:hAnsi="宋体"/>
          <w:color w:val="auto"/>
          <w:sz w:val="24"/>
          <w:szCs w:val="24"/>
        </w:rPr>
        <w:t>3、确保提供的所有器材与投标文件及合同清单中所列设备一致，满足赛事需要；确保在测试赛和正赛期间，配备足够的备用竞赛专项器材。</w:t>
      </w:r>
    </w:p>
    <w:p>
      <w:pPr>
        <w:pStyle w:val="171"/>
        <w:spacing w:line="360" w:lineRule="auto"/>
        <w:ind w:firstLineChars="0"/>
        <w:rPr>
          <w:rFonts w:hAnsi="宋体"/>
          <w:color w:val="auto"/>
          <w:sz w:val="24"/>
          <w:szCs w:val="24"/>
        </w:rPr>
      </w:pPr>
      <w:r>
        <w:rPr>
          <w:rFonts w:hint="eastAsia" w:hAnsi="宋体"/>
          <w:color w:val="auto"/>
          <w:sz w:val="24"/>
          <w:szCs w:val="24"/>
        </w:rPr>
        <w:t>4、中标人在赛事期间，提供</w:t>
      </w:r>
      <w:r>
        <w:rPr>
          <w:rFonts w:hint="eastAsia" w:hAnsi="宋体"/>
          <w:color w:val="auto"/>
          <w:sz w:val="24"/>
          <w:szCs w:val="24"/>
          <w:u w:val="single"/>
        </w:rPr>
        <w:t xml:space="preserve">       </w:t>
      </w:r>
      <w:r>
        <w:rPr>
          <w:rFonts w:hint="eastAsia" w:hAnsi="宋体"/>
          <w:color w:val="auto"/>
          <w:sz w:val="24"/>
          <w:szCs w:val="24"/>
        </w:rPr>
        <w:t>名技术人员在赛事现场负责竞赛专项器材的维护和修理（相关人员的服务、就餐、住宿、交通和制证等须按照成都大运会相关政策要求执行，期间产生的相关防疫费用由中标人自行承担）。现场竞赛专项器材维修维护响应时间不得超过15分钟，并及时排除故障。</w:t>
      </w:r>
    </w:p>
    <w:p>
      <w:pPr>
        <w:pStyle w:val="171"/>
        <w:spacing w:line="360" w:lineRule="auto"/>
        <w:ind w:firstLineChars="0"/>
        <w:rPr>
          <w:rFonts w:hAnsi="宋体"/>
          <w:color w:val="auto"/>
          <w:sz w:val="24"/>
          <w:szCs w:val="24"/>
        </w:rPr>
      </w:pPr>
      <w:r>
        <w:rPr>
          <w:rFonts w:hint="eastAsia" w:hAnsi="宋体"/>
          <w:color w:val="auto"/>
          <w:sz w:val="24"/>
          <w:szCs w:val="24"/>
        </w:rPr>
        <w:t>5、质保期：</w:t>
      </w:r>
      <w:r>
        <w:rPr>
          <w:rFonts w:hint="eastAsia" w:hAnsi="宋体"/>
          <w:color w:val="auto"/>
          <w:sz w:val="24"/>
        </w:rPr>
        <w:t>从验收合格之日起</w:t>
      </w:r>
      <w:r>
        <w:rPr>
          <w:rFonts w:hint="eastAsia" w:hAnsi="宋体"/>
          <w:color w:val="auto"/>
          <w:sz w:val="24"/>
          <w:szCs w:val="24"/>
          <w:u w:val="single"/>
        </w:rPr>
        <w:t xml:space="preserve">   </w:t>
      </w:r>
      <w:r>
        <w:rPr>
          <w:rFonts w:hint="eastAsia" w:hAnsi="宋体"/>
          <w:color w:val="auto"/>
          <w:sz w:val="24"/>
          <w:szCs w:val="24"/>
        </w:rPr>
        <w:t>年。</w:t>
      </w:r>
    </w:p>
    <w:p>
      <w:pPr>
        <w:pStyle w:val="171"/>
        <w:spacing w:line="360" w:lineRule="auto"/>
        <w:ind w:firstLineChars="0"/>
        <w:rPr>
          <w:rFonts w:hAnsi="宋体"/>
          <w:color w:val="auto"/>
          <w:sz w:val="24"/>
          <w:szCs w:val="24"/>
        </w:rPr>
      </w:pPr>
      <w:r>
        <w:rPr>
          <w:rFonts w:hint="eastAsia" w:hAnsi="宋体"/>
          <w:color w:val="auto"/>
          <w:sz w:val="24"/>
          <w:szCs w:val="24"/>
        </w:rPr>
        <w:t>6、质保期从正式验收合格并交付使用之日算起。非人为因素，在质保期内出现质量问题的，中标人应免费更换损坏的零部件并提供维修服务。</w:t>
      </w:r>
    </w:p>
    <w:p>
      <w:pPr>
        <w:spacing w:line="360" w:lineRule="auto"/>
        <w:ind w:firstLine="480" w:firstLineChars="200"/>
        <w:rPr>
          <w:rFonts w:hAnsi="宋体"/>
          <w:color w:val="auto"/>
          <w:sz w:val="24"/>
        </w:rPr>
      </w:pPr>
      <w:r>
        <w:rPr>
          <w:rFonts w:hint="eastAsia" w:hAnsi="宋体"/>
          <w:color w:val="auto"/>
          <w:sz w:val="24"/>
        </w:rPr>
        <w:t>本项目时间：2021年x月x日-正赛结束。</w:t>
      </w:r>
    </w:p>
    <w:p>
      <w:pPr>
        <w:spacing w:line="360" w:lineRule="auto"/>
        <w:ind w:firstLine="480" w:firstLineChars="200"/>
        <w:jc w:val="left"/>
        <w:rPr>
          <w:rFonts w:hAnsi="宋体"/>
          <w:color w:val="auto"/>
          <w:sz w:val="24"/>
        </w:rPr>
      </w:pPr>
      <w:r>
        <w:rPr>
          <w:rFonts w:hint="eastAsia" w:hAnsi="宋体"/>
          <w:color w:val="auto"/>
          <w:sz w:val="24"/>
        </w:rPr>
        <w:t>三、项目经费</w:t>
      </w:r>
    </w:p>
    <w:p>
      <w:pPr>
        <w:spacing w:line="360" w:lineRule="auto"/>
        <w:ind w:firstLine="480" w:firstLineChars="200"/>
        <w:jc w:val="left"/>
        <w:rPr>
          <w:rFonts w:hAnsi="宋体"/>
          <w:color w:val="auto"/>
          <w:sz w:val="24"/>
        </w:rPr>
      </w:pPr>
      <w:r>
        <w:rPr>
          <w:rFonts w:hint="eastAsia" w:hAnsi="宋体"/>
          <w:color w:val="auto"/>
          <w:sz w:val="24"/>
        </w:rPr>
        <w:t>本合同总价为人民币xx万元（大写：xxx）。该价格为乙方履行本合同所有义务的全部费用，含服务费、税费等，除此之外，乙方不再收取其他任何费用。</w:t>
      </w:r>
    </w:p>
    <w:p>
      <w:pPr>
        <w:spacing w:line="360" w:lineRule="auto"/>
        <w:ind w:firstLine="480" w:firstLineChars="200"/>
        <w:jc w:val="left"/>
        <w:rPr>
          <w:rFonts w:hAnsi="宋体"/>
          <w:color w:val="auto"/>
          <w:sz w:val="24"/>
        </w:rPr>
      </w:pPr>
      <w:r>
        <w:rPr>
          <w:rFonts w:hint="eastAsia" w:hAnsi="宋体"/>
          <w:color w:val="auto"/>
          <w:sz w:val="24"/>
        </w:rPr>
        <w:t>四、项目经费的支付</w:t>
      </w:r>
    </w:p>
    <w:p>
      <w:pPr>
        <w:spacing w:line="360" w:lineRule="auto"/>
        <w:ind w:firstLine="480" w:firstLineChars="200"/>
        <w:jc w:val="left"/>
        <w:rPr>
          <w:rFonts w:hAnsi="宋体"/>
          <w:color w:val="auto"/>
          <w:sz w:val="24"/>
        </w:rPr>
      </w:pPr>
      <w:r>
        <w:rPr>
          <w:rFonts w:hint="eastAsia" w:hAnsi="宋体"/>
          <w:color w:val="auto"/>
          <w:sz w:val="24"/>
        </w:rPr>
        <w:t>1</w:t>
      </w:r>
      <w:r>
        <w:rPr>
          <w:rFonts w:hAnsi="宋体"/>
          <w:color w:val="auto"/>
          <w:sz w:val="24"/>
        </w:rPr>
        <w:t xml:space="preserve">. </w:t>
      </w:r>
      <w:r>
        <w:rPr>
          <w:rFonts w:hint="eastAsia" w:hAnsi="宋体"/>
          <w:color w:val="auto"/>
          <w:sz w:val="24"/>
        </w:rPr>
        <w:t>付款方式：项目经费通过银行转账方式支付，每次付款前，乙方需提供以乙方名义开具的经甲方审核合格的等额增值税发票，否则甲方有权不付款，并不承担任何逾期付款的违约责任，乙方不得以此为由拒绝或延期履行本协议约定义务，否则应承担违约责任。</w:t>
      </w:r>
    </w:p>
    <w:p>
      <w:pPr>
        <w:spacing w:line="360" w:lineRule="auto"/>
        <w:ind w:firstLine="480" w:firstLineChars="200"/>
        <w:jc w:val="left"/>
        <w:rPr>
          <w:rFonts w:hAnsi="宋体"/>
          <w:color w:val="auto"/>
          <w:sz w:val="24"/>
        </w:rPr>
      </w:pPr>
      <w:r>
        <w:rPr>
          <w:rFonts w:hint="eastAsia" w:hAnsi="宋体"/>
          <w:color w:val="auto"/>
          <w:sz w:val="24"/>
        </w:rPr>
        <w:t>2.</w:t>
      </w:r>
      <w:r>
        <w:rPr>
          <w:rFonts w:hAnsi="宋体"/>
          <w:color w:val="auto"/>
          <w:sz w:val="24"/>
        </w:rPr>
        <w:t xml:space="preserve"> </w:t>
      </w:r>
      <w:r>
        <w:rPr>
          <w:rFonts w:hint="eastAsia" w:hAnsi="宋体"/>
          <w:color w:val="auto"/>
          <w:sz w:val="24"/>
        </w:rPr>
        <w:t>乙方指定收款账户信息：</w:t>
      </w:r>
    </w:p>
    <w:p>
      <w:pPr>
        <w:spacing w:line="360" w:lineRule="auto"/>
        <w:ind w:firstLine="480" w:firstLineChars="200"/>
        <w:jc w:val="left"/>
        <w:rPr>
          <w:rFonts w:hAnsi="宋体"/>
          <w:color w:val="auto"/>
          <w:sz w:val="24"/>
        </w:rPr>
      </w:pPr>
      <w:r>
        <w:rPr>
          <w:rFonts w:hint="eastAsia" w:hAnsi="宋体"/>
          <w:color w:val="auto"/>
          <w:sz w:val="24"/>
        </w:rPr>
        <w:t xml:space="preserve">乙方开户名称：   </w:t>
      </w:r>
    </w:p>
    <w:p>
      <w:pPr>
        <w:spacing w:line="360" w:lineRule="auto"/>
        <w:ind w:firstLine="480" w:firstLineChars="200"/>
        <w:jc w:val="left"/>
        <w:rPr>
          <w:rFonts w:hAnsi="宋体"/>
          <w:color w:val="auto"/>
          <w:sz w:val="24"/>
        </w:rPr>
      </w:pPr>
      <w:r>
        <w:rPr>
          <w:rFonts w:hint="eastAsia" w:hAnsi="宋体"/>
          <w:color w:val="auto"/>
          <w:sz w:val="24"/>
        </w:rPr>
        <w:t xml:space="preserve">乙方开户银行：                      </w:t>
      </w:r>
    </w:p>
    <w:p>
      <w:pPr>
        <w:spacing w:line="360" w:lineRule="auto"/>
        <w:ind w:firstLine="480" w:firstLineChars="200"/>
        <w:jc w:val="left"/>
        <w:rPr>
          <w:rFonts w:hAnsi="宋体"/>
          <w:color w:val="auto"/>
          <w:sz w:val="24"/>
        </w:rPr>
      </w:pPr>
      <w:r>
        <w:rPr>
          <w:rFonts w:hint="eastAsia" w:hAnsi="宋体"/>
          <w:color w:val="auto"/>
          <w:sz w:val="24"/>
        </w:rPr>
        <w:t>乙方开户账号：</w:t>
      </w:r>
    </w:p>
    <w:p>
      <w:pPr>
        <w:spacing w:line="360" w:lineRule="auto"/>
        <w:ind w:firstLine="480" w:firstLineChars="200"/>
        <w:jc w:val="left"/>
        <w:rPr>
          <w:rFonts w:hAnsi="宋体"/>
          <w:color w:val="auto"/>
          <w:sz w:val="24"/>
        </w:rPr>
      </w:pPr>
      <w:r>
        <w:rPr>
          <w:rFonts w:hint="eastAsia" w:hAnsi="宋体"/>
          <w:color w:val="auto"/>
          <w:sz w:val="24"/>
        </w:rPr>
        <w:t>乙方如拟变更其指定账号，应在汇款日期前15个工作日书面通知甲方，否则因乙方未及时通知造成的损失，由乙方自己全部负责。</w:t>
      </w:r>
    </w:p>
    <w:p>
      <w:pPr>
        <w:spacing w:line="360" w:lineRule="auto"/>
        <w:ind w:firstLine="480" w:firstLineChars="200"/>
        <w:jc w:val="left"/>
        <w:rPr>
          <w:rFonts w:hAnsi="宋体"/>
          <w:color w:val="auto"/>
          <w:sz w:val="24"/>
        </w:rPr>
      </w:pPr>
      <w:r>
        <w:rPr>
          <w:rFonts w:hint="eastAsia" w:hAnsi="宋体"/>
          <w:color w:val="auto"/>
          <w:sz w:val="24"/>
        </w:rPr>
        <w:t>3</w:t>
      </w:r>
      <w:r>
        <w:rPr>
          <w:rFonts w:hAnsi="宋体"/>
          <w:color w:val="auto"/>
          <w:sz w:val="24"/>
        </w:rPr>
        <w:t xml:space="preserve">. </w:t>
      </w:r>
      <w:r>
        <w:rPr>
          <w:rFonts w:hint="eastAsia" w:hAnsi="宋体"/>
          <w:color w:val="auto"/>
          <w:sz w:val="24"/>
        </w:rPr>
        <w:t>付款时间：</w:t>
      </w:r>
    </w:p>
    <w:p>
      <w:pPr>
        <w:spacing w:line="360" w:lineRule="auto"/>
        <w:ind w:firstLine="480" w:firstLineChars="200"/>
        <w:jc w:val="left"/>
        <w:rPr>
          <w:rFonts w:hAnsi="宋体"/>
          <w:color w:val="auto"/>
          <w:sz w:val="24"/>
        </w:rPr>
      </w:pPr>
      <w:r>
        <w:rPr>
          <w:rFonts w:hint="eastAsia" w:hAnsi="宋体"/>
          <w:color w:val="auto"/>
          <w:sz w:val="24"/>
        </w:rPr>
        <w:t>合同生效后，甲方收到</w:t>
      </w:r>
      <w:r>
        <w:rPr>
          <w:rFonts w:hint="eastAsia" w:hAnsi="宋体" w:cs="仿宋"/>
          <w:color w:val="auto"/>
          <w:sz w:val="24"/>
        </w:rPr>
        <w:t>乙方开具与本次支付金额相对应且符合甲方要求的正规发票后的15个工作日内，向乙方支付合同约定价格的30</w:t>
      </w:r>
      <w:r>
        <w:rPr>
          <w:rFonts w:hint="eastAsia" w:hAnsi="宋体"/>
          <w:color w:val="auto"/>
          <w:sz w:val="24"/>
        </w:rPr>
        <w:t>%作为预付款；货到现场验收合格并</w:t>
      </w:r>
      <w:r>
        <w:rPr>
          <w:rFonts w:hint="eastAsia" w:hAnsi="宋体" w:cs="仿宋"/>
          <w:color w:val="auto"/>
          <w:sz w:val="24"/>
        </w:rPr>
        <w:t>在</w:t>
      </w:r>
      <w:r>
        <w:rPr>
          <w:rFonts w:hint="eastAsia" w:hAnsi="宋体"/>
          <w:color w:val="auto"/>
          <w:sz w:val="24"/>
        </w:rPr>
        <w:t>甲方收到</w:t>
      </w:r>
      <w:r>
        <w:rPr>
          <w:rFonts w:hint="eastAsia" w:hAnsi="宋体" w:cs="仿宋"/>
          <w:color w:val="auto"/>
          <w:sz w:val="24"/>
        </w:rPr>
        <w:t>乙方开具与本次支付金额相对应且符合甲方要求的正规发票后的15个工作日内（最晚于正赛开始前5个工作日），向乙方支付合同约定价格的65</w:t>
      </w:r>
      <w:r>
        <w:rPr>
          <w:rFonts w:hint="eastAsia" w:hAnsi="宋体"/>
          <w:color w:val="auto"/>
          <w:sz w:val="24"/>
        </w:rPr>
        <w:t>%；正赛结束后，甲方收到乙方提供的质量保证函以及</w:t>
      </w:r>
      <w:r>
        <w:rPr>
          <w:rFonts w:hint="eastAsia" w:hAnsi="宋体" w:cs="仿宋"/>
          <w:color w:val="auto"/>
          <w:sz w:val="24"/>
        </w:rPr>
        <w:t>与本次支付金额相对应且符合甲方要求的正规发票后的15个工作日内支付剩余尾款</w:t>
      </w:r>
      <w:r>
        <w:rPr>
          <w:rFonts w:hint="eastAsia" w:hAnsi="宋体"/>
          <w:color w:val="auto"/>
          <w:sz w:val="24"/>
        </w:rPr>
        <w:t>。涉及备用竞赛专项器材使用产生的费用将根据合同中拟定的单价据实结算。</w:t>
      </w:r>
    </w:p>
    <w:p>
      <w:pPr>
        <w:spacing w:line="360" w:lineRule="auto"/>
        <w:ind w:firstLine="480" w:firstLineChars="200"/>
        <w:jc w:val="left"/>
        <w:rPr>
          <w:rFonts w:hAnsi="宋体"/>
          <w:color w:val="auto"/>
          <w:sz w:val="24"/>
        </w:rPr>
      </w:pPr>
      <w:r>
        <w:rPr>
          <w:rFonts w:hint="eastAsia" w:hAnsi="宋体"/>
          <w:color w:val="auto"/>
          <w:sz w:val="24"/>
        </w:rPr>
        <w:t>五、双方的权利与义务</w:t>
      </w:r>
    </w:p>
    <w:p>
      <w:pPr>
        <w:spacing w:line="360" w:lineRule="auto"/>
        <w:ind w:firstLine="480" w:firstLineChars="200"/>
        <w:jc w:val="left"/>
        <w:rPr>
          <w:rFonts w:hAnsi="宋体"/>
          <w:color w:val="auto"/>
          <w:sz w:val="24"/>
        </w:rPr>
      </w:pPr>
      <w:r>
        <w:rPr>
          <w:rFonts w:hint="eastAsia" w:hAnsi="宋体"/>
          <w:color w:val="auto"/>
          <w:sz w:val="24"/>
        </w:rPr>
        <w:t>（一）甲方权利与义务</w:t>
      </w:r>
    </w:p>
    <w:p>
      <w:pPr>
        <w:spacing w:line="360" w:lineRule="auto"/>
        <w:ind w:firstLine="480" w:firstLineChars="200"/>
        <w:jc w:val="left"/>
        <w:rPr>
          <w:rFonts w:hAnsi="宋体"/>
          <w:color w:val="auto"/>
          <w:sz w:val="24"/>
        </w:rPr>
      </w:pPr>
      <w:r>
        <w:rPr>
          <w:rFonts w:hint="eastAsia" w:hAnsi="宋体"/>
          <w:color w:val="auto"/>
          <w:sz w:val="24"/>
        </w:rPr>
        <w:t>1.</w:t>
      </w:r>
      <w:r>
        <w:rPr>
          <w:rFonts w:hAnsi="宋体"/>
          <w:color w:val="auto"/>
          <w:sz w:val="24"/>
        </w:rPr>
        <w:t xml:space="preserve"> </w:t>
      </w:r>
      <w:r>
        <w:rPr>
          <w:rFonts w:hint="eastAsia" w:hAnsi="宋体"/>
          <w:color w:val="auto"/>
          <w:sz w:val="24"/>
        </w:rPr>
        <w:t>在本协议约定的服务期间内，负责总体服务的监督、协调工作；</w:t>
      </w:r>
    </w:p>
    <w:p>
      <w:pPr>
        <w:spacing w:line="360" w:lineRule="auto"/>
        <w:ind w:firstLine="480" w:firstLineChars="200"/>
        <w:jc w:val="left"/>
        <w:rPr>
          <w:rFonts w:hAnsi="宋体"/>
          <w:color w:val="auto"/>
          <w:sz w:val="24"/>
        </w:rPr>
      </w:pPr>
      <w:r>
        <w:rPr>
          <w:rFonts w:hint="eastAsia" w:hAnsi="宋体"/>
          <w:color w:val="auto"/>
          <w:sz w:val="24"/>
        </w:rPr>
        <w:t>2.</w:t>
      </w:r>
      <w:r>
        <w:rPr>
          <w:rFonts w:hAnsi="宋体"/>
          <w:color w:val="auto"/>
          <w:sz w:val="24"/>
        </w:rPr>
        <w:t xml:space="preserve"> </w:t>
      </w:r>
      <w:r>
        <w:rPr>
          <w:rFonts w:hint="eastAsia" w:hAnsi="宋体"/>
          <w:color w:val="auto"/>
          <w:sz w:val="24"/>
        </w:rPr>
        <w:t>审定本项目技术方案和项目经费预算；</w:t>
      </w:r>
    </w:p>
    <w:p>
      <w:pPr>
        <w:spacing w:line="360" w:lineRule="auto"/>
        <w:ind w:firstLine="480" w:firstLineChars="200"/>
        <w:jc w:val="left"/>
        <w:rPr>
          <w:rFonts w:hAnsi="宋体"/>
          <w:color w:val="auto"/>
          <w:sz w:val="24"/>
        </w:rPr>
      </w:pPr>
      <w:r>
        <w:rPr>
          <w:rFonts w:hint="eastAsia" w:hAnsi="宋体"/>
          <w:color w:val="auto"/>
          <w:sz w:val="24"/>
        </w:rPr>
        <w:t>3.</w:t>
      </w:r>
      <w:r>
        <w:rPr>
          <w:rFonts w:hAnsi="宋体"/>
          <w:color w:val="auto"/>
          <w:sz w:val="24"/>
        </w:rPr>
        <w:t xml:space="preserve"> </w:t>
      </w:r>
      <w:r>
        <w:rPr>
          <w:rFonts w:hint="eastAsia" w:hAnsi="宋体"/>
          <w:color w:val="auto"/>
          <w:sz w:val="24"/>
        </w:rPr>
        <w:t>配合乙方实施本项目；</w:t>
      </w:r>
    </w:p>
    <w:p>
      <w:pPr>
        <w:spacing w:line="360" w:lineRule="auto"/>
        <w:ind w:firstLine="480" w:firstLineChars="200"/>
        <w:jc w:val="left"/>
        <w:rPr>
          <w:rFonts w:hAnsi="宋体"/>
          <w:color w:val="auto"/>
          <w:sz w:val="24"/>
        </w:rPr>
      </w:pPr>
      <w:r>
        <w:rPr>
          <w:rFonts w:hint="eastAsia" w:hAnsi="宋体"/>
          <w:color w:val="auto"/>
          <w:sz w:val="24"/>
        </w:rPr>
        <w:t>4.</w:t>
      </w:r>
      <w:r>
        <w:rPr>
          <w:rFonts w:hAnsi="宋体"/>
          <w:color w:val="auto"/>
          <w:sz w:val="24"/>
        </w:rPr>
        <w:t xml:space="preserve"> </w:t>
      </w:r>
      <w:r>
        <w:rPr>
          <w:rFonts w:hint="eastAsia" w:hAnsi="宋体"/>
          <w:color w:val="auto"/>
          <w:sz w:val="24"/>
        </w:rPr>
        <w:t>审查本项目服务效果。</w:t>
      </w:r>
    </w:p>
    <w:p>
      <w:pPr>
        <w:spacing w:line="360" w:lineRule="auto"/>
        <w:ind w:firstLine="480" w:firstLineChars="200"/>
        <w:jc w:val="left"/>
        <w:rPr>
          <w:rFonts w:hAnsi="宋体"/>
          <w:color w:val="auto"/>
          <w:sz w:val="24"/>
        </w:rPr>
      </w:pPr>
      <w:r>
        <w:rPr>
          <w:rFonts w:hint="eastAsia" w:hAnsi="宋体"/>
          <w:color w:val="auto"/>
          <w:sz w:val="24"/>
        </w:rPr>
        <w:t>（二）乙方权利与义务</w:t>
      </w:r>
    </w:p>
    <w:p>
      <w:pPr>
        <w:spacing w:line="360" w:lineRule="auto"/>
        <w:ind w:firstLine="480" w:firstLineChars="200"/>
        <w:jc w:val="left"/>
        <w:rPr>
          <w:rFonts w:hAnsi="宋体"/>
          <w:color w:val="auto"/>
          <w:sz w:val="24"/>
        </w:rPr>
      </w:pPr>
      <w:r>
        <w:rPr>
          <w:rFonts w:hint="eastAsia" w:hAnsi="宋体"/>
          <w:color w:val="auto"/>
          <w:sz w:val="24"/>
        </w:rPr>
        <w:t>1.</w:t>
      </w:r>
      <w:r>
        <w:rPr>
          <w:rFonts w:hAnsi="宋体"/>
          <w:color w:val="auto"/>
          <w:sz w:val="24"/>
        </w:rPr>
        <w:t xml:space="preserve"> </w:t>
      </w:r>
      <w:r>
        <w:rPr>
          <w:rFonts w:hint="eastAsia" w:hAnsi="宋体"/>
          <w:color w:val="auto"/>
          <w:sz w:val="24"/>
        </w:rPr>
        <w:t>遵守本项目服务开展地的有关法律法规，保证本项目实施过程合法合规，并符合服务开展地的传统习惯，并自行承担实施服务过程中违法违规造成的损失；</w:t>
      </w:r>
    </w:p>
    <w:p>
      <w:pPr>
        <w:spacing w:line="360" w:lineRule="auto"/>
        <w:ind w:firstLine="480" w:firstLineChars="200"/>
        <w:jc w:val="left"/>
        <w:rPr>
          <w:rFonts w:hAnsi="宋体"/>
          <w:color w:val="auto"/>
          <w:sz w:val="24"/>
        </w:rPr>
      </w:pPr>
      <w:r>
        <w:rPr>
          <w:rFonts w:hint="eastAsia" w:hAnsi="宋体"/>
          <w:color w:val="auto"/>
          <w:sz w:val="24"/>
        </w:rPr>
        <w:t>2.</w:t>
      </w:r>
      <w:r>
        <w:rPr>
          <w:rFonts w:hAnsi="宋体"/>
          <w:color w:val="auto"/>
          <w:sz w:val="24"/>
        </w:rPr>
        <w:t xml:space="preserve"> </w:t>
      </w:r>
      <w:r>
        <w:rPr>
          <w:rFonts w:hint="eastAsia" w:hAnsi="宋体"/>
          <w:color w:val="auto"/>
          <w:sz w:val="24"/>
        </w:rPr>
        <w:t>保证全面完成本协议约定的各项工作。</w:t>
      </w:r>
    </w:p>
    <w:p>
      <w:pPr>
        <w:spacing w:line="360" w:lineRule="auto"/>
        <w:ind w:firstLine="480" w:firstLineChars="200"/>
        <w:jc w:val="left"/>
        <w:rPr>
          <w:rFonts w:hAnsi="宋体"/>
          <w:color w:val="auto"/>
          <w:sz w:val="24"/>
        </w:rPr>
      </w:pPr>
      <w:r>
        <w:rPr>
          <w:rFonts w:hint="eastAsia" w:hAnsi="宋体"/>
          <w:color w:val="auto"/>
          <w:sz w:val="24"/>
        </w:rPr>
        <w:t>3.</w:t>
      </w:r>
      <w:r>
        <w:rPr>
          <w:rFonts w:hAnsi="宋体"/>
          <w:color w:val="auto"/>
          <w:sz w:val="24"/>
        </w:rPr>
        <w:t xml:space="preserve"> </w:t>
      </w:r>
      <w:r>
        <w:rPr>
          <w:rFonts w:hint="eastAsia" w:hAnsi="宋体"/>
          <w:color w:val="auto"/>
          <w:sz w:val="24"/>
        </w:rPr>
        <w:t>收取本协议约定的项目经费。</w:t>
      </w:r>
    </w:p>
    <w:p>
      <w:pPr>
        <w:spacing w:line="360" w:lineRule="auto"/>
        <w:ind w:firstLine="480" w:firstLineChars="200"/>
        <w:jc w:val="left"/>
        <w:rPr>
          <w:rFonts w:hAnsi="宋体"/>
          <w:color w:val="auto"/>
          <w:sz w:val="24"/>
        </w:rPr>
      </w:pPr>
      <w:r>
        <w:rPr>
          <w:rFonts w:hint="eastAsia" w:hAnsi="宋体"/>
          <w:color w:val="auto"/>
          <w:sz w:val="24"/>
        </w:rPr>
        <w:t>4.</w:t>
      </w:r>
      <w:r>
        <w:rPr>
          <w:rFonts w:hAnsi="宋体"/>
          <w:color w:val="auto"/>
          <w:sz w:val="24"/>
        </w:rPr>
        <w:t xml:space="preserve"> </w:t>
      </w:r>
      <w:r>
        <w:rPr>
          <w:rFonts w:hint="eastAsia" w:hAnsi="宋体"/>
          <w:color w:val="auto"/>
          <w:sz w:val="24"/>
        </w:rPr>
        <w:t>未经甲方书面同意，不得代甲方向任意第三方作出任何承诺；否则，乙方应对此承担全部责任，甲方因此对外承担责任的，有权全额向乙方追偿(包括并不限于第三方索赔费、鉴定费、公证费、诉讼费、律师费、差旅费等费用)。</w:t>
      </w:r>
    </w:p>
    <w:p>
      <w:pPr>
        <w:spacing w:line="360" w:lineRule="auto"/>
        <w:ind w:firstLine="480" w:firstLineChars="200"/>
        <w:jc w:val="left"/>
        <w:rPr>
          <w:rFonts w:hAnsi="宋体"/>
          <w:color w:val="auto"/>
          <w:sz w:val="24"/>
        </w:rPr>
      </w:pPr>
      <w:r>
        <w:rPr>
          <w:rFonts w:hint="eastAsia" w:hAnsi="宋体"/>
          <w:color w:val="auto"/>
          <w:sz w:val="24"/>
        </w:rPr>
        <w:t>5.</w:t>
      </w:r>
      <w:r>
        <w:rPr>
          <w:rFonts w:hAnsi="宋体"/>
          <w:color w:val="auto"/>
          <w:sz w:val="24"/>
        </w:rPr>
        <w:t xml:space="preserve"> </w:t>
      </w:r>
      <w:r>
        <w:rPr>
          <w:rFonts w:hint="eastAsia" w:hAnsi="宋体"/>
          <w:color w:val="auto"/>
          <w:sz w:val="24"/>
        </w:rPr>
        <w:t>乙方确认并同意，乙方在履行合同义务时，应严格遵守《中华人民共和国环境保护法》《中华人民共和国水污染防治法》《中华人民共和国大气污染防治法》《中华人民共和国环境噪声污染防治法》《中华人民共和国固体废物污染环境防治法》《中华人民共和国清洁生产促进法》《中华人民共和国可再生能源法》等环境保护法律法规，推动环境保护和可持续发展。</w:t>
      </w:r>
    </w:p>
    <w:p>
      <w:pPr>
        <w:spacing w:line="360" w:lineRule="auto"/>
        <w:ind w:firstLine="480" w:firstLineChars="200"/>
        <w:jc w:val="left"/>
        <w:rPr>
          <w:rFonts w:hAnsi="宋体"/>
          <w:color w:val="auto"/>
          <w:sz w:val="24"/>
        </w:rPr>
      </w:pPr>
      <w:r>
        <w:rPr>
          <w:rFonts w:hint="eastAsia" w:hAnsi="宋体"/>
          <w:color w:val="auto"/>
          <w:sz w:val="24"/>
        </w:rPr>
        <w:t>6．乙方团队人员的防疫物资属于乙方应承担的后勤保障范围，甲方不承担乙方团队人员的防疫物资。</w:t>
      </w:r>
    </w:p>
    <w:p>
      <w:pPr>
        <w:spacing w:line="360" w:lineRule="auto"/>
        <w:ind w:firstLine="480" w:firstLineChars="200"/>
        <w:jc w:val="left"/>
        <w:rPr>
          <w:rFonts w:hAnsi="宋体"/>
          <w:color w:val="auto"/>
          <w:sz w:val="24"/>
        </w:rPr>
      </w:pPr>
      <w:r>
        <w:rPr>
          <w:rFonts w:hint="eastAsia" w:hAnsi="宋体"/>
          <w:color w:val="auto"/>
          <w:sz w:val="24"/>
        </w:rPr>
        <w:t>7．乙方团队人员应严格遵守成都大运会执委会制定的各项防疫管理制度。</w:t>
      </w:r>
    </w:p>
    <w:p>
      <w:pPr>
        <w:spacing w:line="360" w:lineRule="auto"/>
        <w:ind w:firstLine="480" w:firstLineChars="200"/>
        <w:jc w:val="left"/>
        <w:rPr>
          <w:rFonts w:hAnsi="宋体"/>
          <w:color w:val="auto"/>
          <w:sz w:val="24"/>
        </w:rPr>
      </w:pPr>
      <w:r>
        <w:rPr>
          <w:rFonts w:hint="eastAsia" w:hAnsi="宋体"/>
          <w:color w:val="auto"/>
          <w:sz w:val="24"/>
        </w:rPr>
        <w:t>六、知识产权条款</w:t>
      </w:r>
    </w:p>
    <w:p>
      <w:pPr>
        <w:spacing w:line="360" w:lineRule="auto"/>
        <w:ind w:firstLine="480" w:firstLineChars="200"/>
        <w:rPr>
          <w:rFonts w:hAnsi="宋体"/>
          <w:color w:val="auto"/>
          <w:sz w:val="24"/>
        </w:rPr>
      </w:pPr>
      <w:r>
        <w:rPr>
          <w:rFonts w:hint="eastAsia" w:hAnsi="宋体"/>
          <w:color w:val="auto"/>
          <w:sz w:val="24"/>
        </w:rPr>
        <w:t>乙方确认并同意,本合同的签订和履行,没有明示、暗示或者其他方式许可乙方对由成都大运会执委会在现阶段拥有或者将来拥有的任何知识产权享有任何权利</w:t>
      </w:r>
      <w:r>
        <w:rPr>
          <w:rFonts w:hAnsi="宋体"/>
          <w:color w:val="auto"/>
          <w:sz w:val="24"/>
        </w:rPr>
        <w:t>，</w:t>
      </w:r>
      <w:r>
        <w:rPr>
          <w:rFonts w:hint="eastAsia" w:hAnsi="宋体"/>
          <w:color w:val="auto"/>
          <w:sz w:val="24"/>
        </w:rPr>
        <w:t>乙方无权自行或许可任何第三方使用、复制或开发成都大运会国际大体联标志和授权称谓。乙方不得在合同的履行过程中侵犯成都大运会执委会、国际大体联、中国大体协享有的知识产权</w:t>
      </w:r>
      <w:r>
        <w:rPr>
          <w:rFonts w:hAnsi="宋体"/>
          <w:color w:val="auto"/>
          <w:sz w:val="24"/>
        </w:rPr>
        <w:t>，</w:t>
      </w:r>
      <w:r>
        <w:rPr>
          <w:rFonts w:hint="eastAsia" w:hAnsi="宋体"/>
          <w:color w:val="auto"/>
          <w:sz w:val="24"/>
        </w:rPr>
        <w:t>或侵犯第三方所享有的知识产权。</w:t>
      </w:r>
    </w:p>
    <w:p>
      <w:pPr>
        <w:spacing w:line="360" w:lineRule="auto"/>
        <w:ind w:firstLine="480" w:firstLineChars="200"/>
        <w:jc w:val="left"/>
        <w:rPr>
          <w:rFonts w:hAnsi="宋体"/>
          <w:color w:val="auto"/>
          <w:sz w:val="24"/>
        </w:rPr>
      </w:pPr>
      <w:r>
        <w:rPr>
          <w:rFonts w:hint="eastAsia" w:hAnsi="宋体"/>
          <w:color w:val="auto"/>
          <w:sz w:val="24"/>
        </w:rPr>
        <w:t>乙方确认并同意</w:t>
      </w:r>
      <w:r>
        <w:rPr>
          <w:rFonts w:hAnsi="宋体"/>
          <w:color w:val="auto"/>
          <w:sz w:val="24"/>
        </w:rPr>
        <w:t>，</w:t>
      </w:r>
      <w:r>
        <w:rPr>
          <w:rFonts w:hint="eastAsia" w:hAnsi="宋体"/>
          <w:color w:val="auto"/>
          <w:sz w:val="24"/>
        </w:rPr>
        <w:t>本合同履行过程中产生的与成都大运会有关的知识产权</w:t>
      </w:r>
      <w:r>
        <w:rPr>
          <w:rFonts w:hAnsi="宋体"/>
          <w:color w:val="auto"/>
          <w:sz w:val="24"/>
        </w:rPr>
        <w:t>，</w:t>
      </w:r>
      <w:r>
        <w:rPr>
          <w:rFonts w:hint="eastAsia" w:hAnsi="宋体"/>
          <w:color w:val="auto"/>
          <w:sz w:val="24"/>
        </w:rPr>
        <w:t>以及与知识产权有关的权利</w:t>
      </w:r>
      <w:r>
        <w:rPr>
          <w:rFonts w:hAnsi="宋体"/>
          <w:color w:val="auto"/>
          <w:sz w:val="24"/>
        </w:rPr>
        <w:t>，</w:t>
      </w:r>
      <w:r>
        <w:rPr>
          <w:rFonts w:hint="eastAsia" w:hAnsi="宋体"/>
          <w:color w:val="auto"/>
          <w:sz w:val="24"/>
        </w:rPr>
        <w:t>全部归属于成都大运会执委会</w:t>
      </w:r>
      <w:r>
        <w:rPr>
          <w:rFonts w:hAnsi="宋体"/>
          <w:color w:val="auto"/>
          <w:sz w:val="24"/>
        </w:rPr>
        <w:t>，</w:t>
      </w:r>
      <w:r>
        <w:rPr>
          <w:rFonts w:hint="eastAsia" w:hAnsi="宋体"/>
          <w:color w:val="auto"/>
          <w:sz w:val="24"/>
        </w:rPr>
        <w:t>成都大运会执委会享有管理、使用、处分的权利。乙方放弃包括与人身相关的知识产权有关权利</w:t>
      </w:r>
      <w:r>
        <w:rPr>
          <w:rFonts w:hAnsi="宋体"/>
          <w:color w:val="auto"/>
          <w:sz w:val="24"/>
        </w:rPr>
        <w:t>，</w:t>
      </w:r>
      <w:r>
        <w:rPr>
          <w:rFonts w:hint="eastAsia" w:hAnsi="宋体"/>
          <w:color w:val="auto"/>
          <w:sz w:val="24"/>
        </w:rPr>
        <w:t>并承诺不得对有关知识产权提出任何人身权、财产权权利主张。</w:t>
      </w:r>
    </w:p>
    <w:p>
      <w:pPr>
        <w:spacing w:line="360" w:lineRule="auto"/>
        <w:ind w:firstLine="480" w:firstLineChars="200"/>
        <w:jc w:val="left"/>
        <w:rPr>
          <w:rFonts w:hAnsi="宋体"/>
          <w:color w:val="auto"/>
          <w:sz w:val="24"/>
        </w:rPr>
      </w:pPr>
      <w:r>
        <w:rPr>
          <w:rFonts w:hint="eastAsia" w:hAnsi="宋体"/>
          <w:color w:val="auto"/>
          <w:sz w:val="24"/>
        </w:rPr>
        <w:t>鉴于国际大体联的特殊规定</w:t>
      </w:r>
      <w:r>
        <w:rPr>
          <w:rFonts w:hAnsi="宋体"/>
          <w:color w:val="auto"/>
          <w:sz w:val="24"/>
        </w:rPr>
        <w:t>，</w:t>
      </w:r>
      <w:r>
        <w:rPr>
          <w:rFonts w:hint="eastAsia" w:hAnsi="宋体"/>
          <w:color w:val="auto"/>
          <w:sz w:val="24"/>
        </w:rPr>
        <w:t>乙方确认并同意</w:t>
      </w:r>
      <w:r>
        <w:rPr>
          <w:rFonts w:hAnsi="宋体"/>
          <w:color w:val="auto"/>
          <w:sz w:val="24"/>
        </w:rPr>
        <w:t>，</w:t>
      </w:r>
      <w:r>
        <w:rPr>
          <w:rFonts w:hint="eastAsia" w:hAnsi="宋体"/>
          <w:color w:val="auto"/>
          <w:sz w:val="24"/>
        </w:rPr>
        <w:t>无论作品或设计成果是征集入选还是委托完成的</w:t>
      </w:r>
      <w:r>
        <w:rPr>
          <w:rFonts w:hAnsi="宋体"/>
          <w:color w:val="auto"/>
          <w:sz w:val="24"/>
        </w:rPr>
        <w:t>，</w:t>
      </w:r>
      <w:r>
        <w:rPr>
          <w:rFonts w:hint="eastAsia" w:hAnsi="宋体"/>
          <w:color w:val="auto"/>
          <w:sz w:val="24"/>
        </w:rPr>
        <w:t>作品或设计成果的所有权归成都大运会执委会所有</w:t>
      </w:r>
      <w:r>
        <w:rPr>
          <w:rFonts w:hAnsi="宋体"/>
          <w:color w:val="auto"/>
          <w:sz w:val="24"/>
        </w:rPr>
        <w:t>，</w:t>
      </w:r>
      <w:r>
        <w:rPr>
          <w:rFonts w:hint="eastAsia" w:hAnsi="宋体"/>
          <w:color w:val="auto"/>
          <w:sz w:val="24"/>
        </w:rPr>
        <w:t>与作品有关的署名权等全部无偿转让给成都大运会执委会。</w:t>
      </w:r>
    </w:p>
    <w:p>
      <w:pPr>
        <w:spacing w:line="360" w:lineRule="auto"/>
        <w:ind w:firstLine="480" w:firstLineChars="200"/>
        <w:jc w:val="left"/>
        <w:rPr>
          <w:rFonts w:hAnsi="宋体"/>
          <w:color w:val="auto"/>
          <w:sz w:val="24"/>
        </w:rPr>
      </w:pPr>
      <w:r>
        <w:rPr>
          <w:rFonts w:hint="eastAsia" w:hAnsi="宋体"/>
          <w:color w:val="auto"/>
          <w:sz w:val="24"/>
        </w:rPr>
        <w:t>七、反隐性市场条款</w:t>
      </w:r>
    </w:p>
    <w:p>
      <w:pPr>
        <w:spacing w:line="360" w:lineRule="auto"/>
        <w:ind w:firstLine="480" w:firstLineChars="200"/>
        <w:rPr>
          <w:rFonts w:hAnsi="宋体"/>
          <w:color w:val="auto"/>
          <w:sz w:val="24"/>
        </w:rPr>
      </w:pPr>
      <w:r>
        <w:rPr>
          <w:rFonts w:hint="eastAsia" w:hAnsi="宋体"/>
          <w:color w:val="auto"/>
          <w:sz w:val="24"/>
        </w:rPr>
        <w:t>乙方确认并同意</w:t>
      </w:r>
      <w:r>
        <w:rPr>
          <w:rFonts w:hAnsi="宋体"/>
          <w:color w:val="auto"/>
          <w:sz w:val="24"/>
        </w:rPr>
        <w:t>，</w:t>
      </w:r>
      <w:r>
        <w:rPr>
          <w:rFonts w:hint="eastAsia" w:hAnsi="宋体"/>
          <w:color w:val="auto"/>
          <w:sz w:val="24"/>
        </w:rPr>
        <w:t>成都大运会执委会的重要工作之一是防止与成都大运会有关的隐性市场活动</w:t>
      </w:r>
      <w:r>
        <w:rPr>
          <w:rFonts w:hAnsi="宋体"/>
          <w:color w:val="auto"/>
          <w:sz w:val="24"/>
        </w:rPr>
        <w:t>；</w:t>
      </w:r>
      <w:r>
        <w:rPr>
          <w:rFonts w:hint="eastAsia" w:hAnsi="宋体"/>
          <w:color w:val="auto"/>
          <w:sz w:val="24"/>
        </w:rPr>
        <w:t>乙方不因订立和履行本合同而在将来参与成都大运会赞助商和（或）合同供货商的竞争中获得任何优先于其他竞争者的权利</w:t>
      </w:r>
      <w:r>
        <w:rPr>
          <w:rFonts w:hAnsi="宋体"/>
          <w:color w:val="auto"/>
          <w:sz w:val="24"/>
        </w:rPr>
        <w:t>；</w:t>
      </w:r>
      <w:r>
        <w:rPr>
          <w:rFonts w:hint="eastAsia" w:hAnsi="宋体"/>
          <w:color w:val="auto"/>
          <w:sz w:val="24"/>
        </w:rPr>
        <w:t>乙方不得从事与成都大运会有关的任何形式的隐性市场活动。</w:t>
      </w:r>
    </w:p>
    <w:p>
      <w:pPr>
        <w:spacing w:line="360" w:lineRule="auto"/>
        <w:ind w:firstLine="480" w:firstLineChars="200"/>
        <w:jc w:val="left"/>
        <w:rPr>
          <w:rFonts w:hAnsi="宋体"/>
          <w:color w:val="auto"/>
          <w:sz w:val="24"/>
        </w:rPr>
      </w:pPr>
      <w:r>
        <w:rPr>
          <w:rFonts w:hint="eastAsia" w:hAnsi="宋体"/>
          <w:color w:val="auto"/>
          <w:sz w:val="24"/>
        </w:rPr>
        <w:t>乙方确认并同意</w:t>
      </w:r>
      <w:r>
        <w:rPr>
          <w:rFonts w:hAnsi="宋体"/>
          <w:color w:val="auto"/>
          <w:sz w:val="24"/>
        </w:rPr>
        <w:t>，</w:t>
      </w:r>
      <w:r>
        <w:rPr>
          <w:rFonts w:hint="eastAsia" w:hAnsi="宋体"/>
          <w:color w:val="auto"/>
          <w:sz w:val="24"/>
        </w:rPr>
        <w:t>遵守国际大体联的规则和惯例,反对隐性市场。乙方保证</w:t>
      </w:r>
      <w:r>
        <w:rPr>
          <w:rFonts w:hAnsi="宋体"/>
          <w:color w:val="auto"/>
          <w:sz w:val="24"/>
        </w:rPr>
        <w:t>，</w:t>
      </w:r>
      <w:r>
        <w:rPr>
          <w:rFonts w:hint="eastAsia" w:hAnsi="宋体"/>
          <w:color w:val="auto"/>
          <w:sz w:val="24"/>
        </w:rPr>
        <w:t>未经成都大运会执委会事先书面批准</w:t>
      </w:r>
      <w:r>
        <w:rPr>
          <w:rFonts w:hAnsi="宋体"/>
          <w:color w:val="auto"/>
          <w:sz w:val="24"/>
        </w:rPr>
        <w:t>，</w:t>
      </w:r>
      <w:r>
        <w:rPr>
          <w:rFonts w:hint="eastAsia" w:hAnsi="宋体"/>
          <w:color w:val="auto"/>
          <w:sz w:val="24"/>
        </w:rPr>
        <w:t>不得自行或同意任何关联方在任何时间、任何地点、以任何方式进行任何形式(商业性或非商业性）的市场开发或宣传活动</w:t>
      </w:r>
      <w:r>
        <w:rPr>
          <w:rFonts w:hAnsi="宋体"/>
          <w:color w:val="auto"/>
          <w:sz w:val="24"/>
        </w:rPr>
        <w:t>，</w:t>
      </w:r>
      <w:r>
        <w:rPr>
          <w:rFonts w:hint="eastAsia" w:hAnsi="宋体"/>
          <w:color w:val="auto"/>
          <w:sz w:val="24"/>
        </w:rPr>
        <w:t>亦不得将成都大运会执委会作为乙方的用户予以宣传。乙方应积极配合成都大运会执委会并提供必要的支持</w:t>
      </w:r>
      <w:r>
        <w:rPr>
          <w:rFonts w:hAnsi="宋体"/>
          <w:color w:val="auto"/>
          <w:sz w:val="24"/>
        </w:rPr>
        <w:t>，</w:t>
      </w:r>
      <w:r>
        <w:rPr>
          <w:rFonts w:hint="eastAsia" w:hAnsi="宋体"/>
          <w:color w:val="auto"/>
          <w:sz w:val="24"/>
        </w:rPr>
        <w:t>最大限度地减少任何第三方从事的任何隐性市场活动。(隐性市场主要是指非成都大运会执委会合作伙伴与大运会建立虚假的或未经授权的联系</w:t>
      </w:r>
      <w:r>
        <w:rPr>
          <w:rFonts w:hAnsi="宋体"/>
          <w:color w:val="auto"/>
          <w:sz w:val="24"/>
        </w:rPr>
        <w:t>，</w:t>
      </w:r>
      <w:r>
        <w:rPr>
          <w:rFonts w:hint="eastAsia" w:hAnsi="宋体"/>
          <w:color w:val="auto"/>
          <w:sz w:val="24"/>
        </w:rPr>
        <w:t>获取商业利益的行为)</w:t>
      </w:r>
    </w:p>
    <w:p>
      <w:pPr>
        <w:spacing w:line="360" w:lineRule="auto"/>
        <w:ind w:firstLine="480" w:firstLineChars="200"/>
        <w:jc w:val="left"/>
        <w:rPr>
          <w:rFonts w:hAnsi="宋体"/>
          <w:color w:val="auto"/>
          <w:sz w:val="24"/>
        </w:rPr>
      </w:pPr>
      <w:r>
        <w:rPr>
          <w:rFonts w:hint="eastAsia" w:hAnsi="宋体"/>
          <w:color w:val="auto"/>
          <w:sz w:val="24"/>
        </w:rPr>
        <w:t>八、保密条款</w:t>
      </w:r>
    </w:p>
    <w:p>
      <w:pPr>
        <w:spacing w:line="360" w:lineRule="auto"/>
        <w:ind w:firstLine="480" w:firstLineChars="200"/>
        <w:rPr>
          <w:rFonts w:hAnsi="宋体"/>
          <w:color w:val="auto"/>
          <w:sz w:val="24"/>
        </w:rPr>
      </w:pPr>
      <w:r>
        <w:rPr>
          <w:rFonts w:hint="eastAsia" w:hAnsi="宋体"/>
          <w:color w:val="auto"/>
          <w:sz w:val="24"/>
        </w:rPr>
        <w:t>乙方确认并同意,对成都大运会保密信息予以严格保密。“成都大运会保密信息”,是指涉及成都大运会执委会、国际大体联、中国大体协的具有保密性质的信息、文件和资料</w:t>
      </w:r>
      <w:r>
        <w:rPr>
          <w:rFonts w:hAnsi="宋体"/>
          <w:color w:val="auto"/>
          <w:sz w:val="24"/>
        </w:rPr>
        <w:t>，</w:t>
      </w:r>
      <w:r>
        <w:rPr>
          <w:rFonts w:hint="eastAsia" w:hAnsi="宋体"/>
          <w:color w:val="auto"/>
          <w:sz w:val="24"/>
        </w:rPr>
        <w:t>无论其表现形式如何</w:t>
      </w:r>
      <w:r>
        <w:rPr>
          <w:rFonts w:hAnsi="宋体"/>
          <w:color w:val="auto"/>
          <w:sz w:val="24"/>
        </w:rPr>
        <w:t>，</w:t>
      </w:r>
      <w:r>
        <w:rPr>
          <w:rFonts w:hint="eastAsia" w:hAnsi="宋体"/>
          <w:color w:val="auto"/>
          <w:sz w:val="24"/>
        </w:rPr>
        <w:t>也无论通过何种方式取得</w:t>
      </w:r>
      <w:r>
        <w:rPr>
          <w:rFonts w:hAnsi="宋体"/>
          <w:color w:val="auto"/>
          <w:sz w:val="24"/>
        </w:rPr>
        <w:t>，</w:t>
      </w:r>
      <w:r>
        <w:rPr>
          <w:rFonts w:hint="eastAsia" w:hAnsi="宋体"/>
          <w:color w:val="auto"/>
          <w:sz w:val="24"/>
        </w:rPr>
        <w:t>包括但不限于合同的全部条款以及同成都大运会执委会、国际大体联、中国大体协的有关事务运作、活动计划和决策等相关的信息等。</w:t>
      </w:r>
    </w:p>
    <w:p>
      <w:pPr>
        <w:spacing w:line="360" w:lineRule="auto"/>
        <w:ind w:firstLine="480" w:firstLineChars="200"/>
        <w:rPr>
          <w:rFonts w:hAnsi="宋体"/>
          <w:color w:val="auto"/>
          <w:sz w:val="24"/>
        </w:rPr>
      </w:pPr>
      <w:r>
        <w:rPr>
          <w:rFonts w:hint="eastAsia" w:hAnsi="宋体"/>
          <w:color w:val="auto"/>
          <w:sz w:val="24"/>
        </w:rPr>
        <w:t>当乙方为履行合同之目的接触并了解成都大运会保密信息时</w:t>
      </w:r>
      <w:r>
        <w:rPr>
          <w:rFonts w:hAnsi="宋体"/>
          <w:color w:val="auto"/>
          <w:sz w:val="24"/>
        </w:rPr>
        <w:t>，</w:t>
      </w:r>
      <w:r>
        <w:rPr>
          <w:rFonts w:hint="eastAsia" w:hAnsi="宋体"/>
          <w:color w:val="auto"/>
          <w:sz w:val="24"/>
        </w:rPr>
        <w:t>乙方同意其仅因履行合同之需要使用该保密信息</w:t>
      </w:r>
      <w:r>
        <w:rPr>
          <w:rFonts w:hAnsi="宋体"/>
          <w:color w:val="auto"/>
          <w:sz w:val="24"/>
        </w:rPr>
        <w:t>，</w:t>
      </w:r>
      <w:r>
        <w:rPr>
          <w:rFonts w:hint="eastAsia" w:hAnsi="宋体"/>
          <w:color w:val="auto"/>
          <w:sz w:val="24"/>
        </w:rPr>
        <w:t>而不得为任何其他目的自行使用或授权第三方使用该保密信息的全部或部分</w:t>
      </w:r>
      <w:r>
        <w:rPr>
          <w:rFonts w:hAnsi="宋体"/>
          <w:color w:val="auto"/>
          <w:sz w:val="24"/>
        </w:rPr>
        <w:t>。</w:t>
      </w:r>
      <w:r>
        <w:rPr>
          <w:rFonts w:hint="eastAsia" w:hAnsi="宋体"/>
          <w:color w:val="auto"/>
          <w:sz w:val="24"/>
        </w:rPr>
        <w:t>乙方同意未经成都大运会执委会事先书面许可</w:t>
      </w:r>
      <w:r>
        <w:rPr>
          <w:rFonts w:hAnsi="宋体"/>
          <w:color w:val="auto"/>
          <w:sz w:val="24"/>
        </w:rPr>
        <w:t>，</w:t>
      </w:r>
      <w:r>
        <w:rPr>
          <w:rFonts w:hint="eastAsia" w:hAnsi="宋体"/>
          <w:color w:val="auto"/>
          <w:sz w:val="24"/>
        </w:rPr>
        <w:t>乙方不得向任何第三方以任何方式为任何目的披露任何成都大运会保密信息。</w:t>
      </w:r>
    </w:p>
    <w:p>
      <w:pPr>
        <w:spacing w:line="360" w:lineRule="auto"/>
        <w:ind w:firstLine="480" w:firstLineChars="200"/>
        <w:rPr>
          <w:rFonts w:hAnsi="宋体"/>
          <w:color w:val="auto"/>
          <w:sz w:val="24"/>
        </w:rPr>
      </w:pPr>
      <w:r>
        <w:rPr>
          <w:rFonts w:hint="eastAsia" w:hAnsi="宋体"/>
          <w:color w:val="auto"/>
          <w:sz w:val="24"/>
        </w:rPr>
        <w:t>保密条款不因本协议或本协议其他条款的无效、被撤销、解除、履行完毕等情形而失去法律效力。</w:t>
      </w:r>
    </w:p>
    <w:p>
      <w:pPr>
        <w:spacing w:line="360" w:lineRule="auto"/>
        <w:ind w:firstLine="480" w:firstLineChars="200"/>
        <w:jc w:val="left"/>
        <w:rPr>
          <w:rFonts w:hAnsi="宋体"/>
          <w:color w:val="auto"/>
          <w:sz w:val="24"/>
        </w:rPr>
      </w:pPr>
      <w:r>
        <w:rPr>
          <w:rFonts w:hint="eastAsia" w:hAnsi="宋体"/>
          <w:color w:val="auto"/>
          <w:sz w:val="24"/>
        </w:rPr>
        <w:t>九、不可抗力</w:t>
      </w:r>
    </w:p>
    <w:p>
      <w:pPr>
        <w:spacing w:line="360" w:lineRule="auto"/>
        <w:ind w:firstLine="480" w:firstLineChars="200"/>
        <w:jc w:val="left"/>
        <w:rPr>
          <w:rFonts w:hAnsi="宋体"/>
          <w:color w:val="auto"/>
          <w:sz w:val="24"/>
        </w:rPr>
      </w:pPr>
      <w:r>
        <w:rPr>
          <w:rFonts w:hint="eastAsia" w:hAnsi="宋体"/>
          <w:color w:val="auto"/>
          <w:sz w:val="24"/>
        </w:rPr>
        <w:t>本</w:t>
      </w:r>
      <w:r>
        <w:rPr>
          <w:rFonts w:hint="eastAsia" w:hAnsi="宋体" w:cs="宋体"/>
          <w:color w:val="auto"/>
          <w:sz w:val="24"/>
        </w:rPr>
        <w:t>协议</w:t>
      </w:r>
      <w:r>
        <w:rPr>
          <w:rFonts w:hint="eastAsia" w:hAnsi="宋体"/>
          <w:color w:val="auto"/>
          <w:sz w:val="24"/>
        </w:rPr>
        <w:t>中“不可抗力”，指不能预见、无法避免并不能克服的事件，事件包括地震、台风、水灾、火灾、战争、政策法规变化或国际商事惯例认可的其他事件（包括但不仅限于：气候因素、罢工、暴动、传染性疾病、合同签订后的政府干预、暴风雪或其他自然原因）。</w:t>
      </w:r>
    </w:p>
    <w:p>
      <w:pPr>
        <w:spacing w:line="360" w:lineRule="auto"/>
        <w:ind w:firstLine="480" w:firstLineChars="200"/>
        <w:jc w:val="left"/>
        <w:rPr>
          <w:rFonts w:hAnsi="宋体"/>
          <w:color w:val="auto"/>
          <w:sz w:val="24"/>
        </w:rPr>
      </w:pPr>
      <w:r>
        <w:rPr>
          <w:rFonts w:hint="eastAsia" w:hAnsi="宋体"/>
          <w:color w:val="auto"/>
          <w:sz w:val="24"/>
        </w:rPr>
        <w:t>事件直接影响本协议的执行或导致本协议无法履行的，遭遇上述事件无法控制因素的一方应立即将该事件的相关情形通报予本协议他方，并应于该事件发生后10日内提供关于该不可抗力的详尽书面报告，该方并应于提交书面报告的1个月内提供关于该不可抗力的有效官方证明文件。基于该不可抗力对本协议的履行的影响，双方应协商并决定本协议下的部分责任能否被免除或延迟履行，因不可抗力遭受损失的，任何一方均不得要求赔偿。</w:t>
      </w:r>
    </w:p>
    <w:p>
      <w:pPr>
        <w:spacing w:line="360" w:lineRule="auto"/>
        <w:ind w:firstLine="480" w:firstLineChars="200"/>
        <w:jc w:val="left"/>
        <w:rPr>
          <w:rFonts w:hAnsi="宋体"/>
          <w:color w:val="auto"/>
          <w:sz w:val="24"/>
        </w:rPr>
      </w:pPr>
      <w:r>
        <w:rPr>
          <w:rFonts w:hint="eastAsia" w:hAnsi="宋体"/>
          <w:color w:val="auto"/>
          <w:sz w:val="24"/>
        </w:rPr>
        <w:t>协议中止后，对于本协议中乙方已履行但甲方未支付的部分，甲方需按照乙方已实际完成的工作量结算费用及相应服务费，并在15个工作日内支付。如需退还的，乙方应在结算完毕后15个工作日内将未发生的费用全部退还甲方。一旦该不可抗力消失，双方应协商是否继续履行本协议。</w:t>
      </w:r>
    </w:p>
    <w:p>
      <w:pPr>
        <w:spacing w:line="360" w:lineRule="auto"/>
        <w:ind w:firstLine="480" w:firstLineChars="200"/>
        <w:jc w:val="left"/>
        <w:rPr>
          <w:rFonts w:hAnsi="宋体"/>
          <w:color w:val="auto"/>
          <w:sz w:val="24"/>
        </w:rPr>
      </w:pPr>
      <w:r>
        <w:rPr>
          <w:rFonts w:hint="eastAsia" w:hAnsi="宋体"/>
          <w:color w:val="auto"/>
          <w:sz w:val="24"/>
        </w:rPr>
        <w:t>十、协议的变更和解除</w:t>
      </w:r>
    </w:p>
    <w:p>
      <w:pPr>
        <w:spacing w:line="360" w:lineRule="auto"/>
        <w:ind w:firstLine="480" w:firstLineChars="200"/>
        <w:jc w:val="left"/>
        <w:rPr>
          <w:rFonts w:hAnsi="宋体"/>
          <w:color w:val="auto"/>
          <w:sz w:val="24"/>
        </w:rPr>
      </w:pPr>
      <w:r>
        <w:rPr>
          <w:rFonts w:hint="eastAsia" w:hAnsi="宋体"/>
          <w:color w:val="auto"/>
          <w:sz w:val="24"/>
        </w:rPr>
        <w:t>（一）在本项目实施过程中，因项目实施需要，甲方可以书面通知乙方调整活动内容，由此增加或减少乙方工作量，双方可按预算项目对项目经费总额进行调整，但应签订书面的补充协议。</w:t>
      </w:r>
    </w:p>
    <w:p>
      <w:pPr>
        <w:spacing w:line="360" w:lineRule="auto"/>
        <w:ind w:firstLine="480" w:firstLineChars="200"/>
        <w:jc w:val="left"/>
        <w:rPr>
          <w:rFonts w:hAnsi="宋体"/>
          <w:color w:val="auto"/>
          <w:sz w:val="24"/>
        </w:rPr>
      </w:pPr>
      <w:r>
        <w:rPr>
          <w:rFonts w:hint="eastAsia" w:hAnsi="宋体"/>
          <w:color w:val="auto"/>
          <w:sz w:val="24"/>
        </w:rPr>
        <w:t>（二）在本项目的合作期限内，发生下列情形之一的，双方可解除合作关系：</w:t>
      </w:r>
    </w:p>
    <w:p>
      <w:pPr>
        <w:spacing w:line="360" w:lineRule="auto"/>
        <w:ind w:firstLine="480" w:firstLineChars="200"/>
        <w:jc w:val="left"/>
        <w:rPr>
          <w:rFonts w:hAnsi="宋体"/>
          <w:color w:val="auto"/>
          <w:sz w:val="24"/>
        </w:rPr>
      </w:pPr>
      <w:r>
        <w:rPr>
          <w:rFonts w:hint="eastAsia" w:hAnsi="宋体"/>
          <w:color w:val="auto"/>
          <w:sz w:val="24"/>
        </w:rPr>
        <w:t>1.</w:t>
      </w:r>
      <w:r>
        <w:rPr>
          <w:rFonts w:hAnsi="宋体"/>
          <w:color w:val="auto"/>
          <w:sz w:val="24"/>
        </w:rPr>
        <w:t xml:space="preserve"> </w:t>
      </w:r>
      <w:r>
        <w:rPr>
          <w:rFonts w:hint="eastAsia" w:hAnsi="宋体"/>
          <w:color w:val="auto"/>
          <w:sz w:val="24"/>
        </w:rPr>
        <w:t>因不可抗力致使本项目不可能实施的；</w:t>
      </w:r>
    </w:p>
    <w:p>
      <w:pPr>
        <w:spacing w:line="360" w:lineRule="auto"/>
        <w:ind w:firstLine="480" w:firstLineChars="200"/>
        <w:jc w:val="left"/>
        <w:rPr>
          <w:rFonts w:hAnsi="宋体"/>
          <w:color w:val="auto"/>
          <w:sz w:val="24"/>
        </w:rPr>
      </w:pPr>
      <w:r>
        <w:rPr>
          <w:rFonts w:hint="eastAsia" w:hAnsi="宋体"/>
          <w:color w:val="auto"/>
          <w:sz w:val="24"/>
        </w:rPr>
        <w:t>2.</w:t>
      </w:r>
      <w:r>
        <w:rPr>
          <w:rFonts w:hAnsi="宋体"/>
          <w:color w:val="auto"/>
          <w:sz w:val="24"/>
        </w:rPr>
        <w:t xml:space="preserve"> </w:t>
      </w:r>
      <w:r>
        <w:rPr>
          <w:rFonts w:hint="eastAsia" w:hAnsi="宋体"/>
          <w:color w:val="auto"/>
          <w:sz w:val="24"/>
        </w:rPr>
        <w:t>因甲方主管部门取消本项目的；</w:t>
      </w:r>
    </w:p>
    <w:p>
      <w:pPr>
        <w:spacing w:line="360" w:lineRule="auto"/>
        <w:ind w:firstLine="480" w:firstLineChars="200"/>
        <w:jc w:val="left"/>
        <w:rPr>
          <w:rFonts w:hAnsi="宋体"/>
          <w:color w:val="auto"/>
          <w:sz w:val="24"/>
        </w:rPr>
      </w:pPr>
      <w:r>
        <w:rPr>
          <w:rFonts w:hint="eastAsia" w:hAnsi="宋体"/>
          <w:color w:val="auto"/>
          <w:sz w:val="24"/>
        </w:rPr>
        <w:t>3.</w:t>
      </w:r>
      <w:r>
        <w:rPr>
          <w:rFonts w:hAnsi="宋体"/>
          <w:color w:val="auto"/>
          <w:sz w:val="24"/>
        </w:rPr>
        <w:t xml:space="preserve"> </w:t>
      </w:r>
      <w:r>
        <w:rPr>
          <w:rFonts w:hint="eastAsia" w:hAnsi="宋体"/>
          <w:color w:val="auto"/>
          <w:sz w:val="24"/>
        </w:rPr>
        <w:t>任何一方丧失民事行为能力或者破产的；</w:t>
      </w:r>
    </w:p>
    <w:p>
      <w:pPr>
        <w:spacing w:line="360" w:lineRule="auto"/>
        <w:ind w:firstLine="480" w:firstLineChars="200"/>
        <w:jc w:val="left"/>
        <w:rPr>
          <w:rFonts w:hAnsi="宋体"/>
          <w:color w:val="auto"/>
          <w:sz w:val="24"/>
        </w:rPr>
      </w:pPr>
      <w:r>
        <w:rPr>
          <w:rFonts w:hint="eastAsia" w:hAnsi="宋体"/>
          <w:color w:val="auto"/>
          <w:sz w:val="24"/>
        </w:rPr>
        <w:t>4.</w:t>
      </w:r>
      <w:r>
        <w:rPr>
          <w:rFonts w:hAnsi="宋体"/>
          <w:color w:val="auto"/>
          <w:sz w:val="24"/>
        </w:rPr>
        <w:t xml:space="preserve"> </w:t>
      </w:r>
      <w:r>
        <w:rPr>
          <w:rFonts w:hint="eastAsia" w:hAnsi="宋体"/>
          <w:color w:val="auto"/>
          <w:sz w:val="24"/>
        </w:rPr>
        <w:t>有证据表明乙方的行为将给甲方的合法权益造成重大损失的。</w:t>
      </w:r>
    </w:p>
    <w:p>
      <w:pPr>
        <w:spacing w:line="360" w:lineRule="auto"/>
        <w:ind w:firstLine="480" w:firstLineChars="200"/>
        <w:jc w:val="left"/>
        <w:rPr>
          <w:rFonts w:hAnsi="宋体"/>
          <w:color w:val="auto"/>
          <w:sz w:val="24"/>
        </w:rPr>
      </w:pPr>
      <w:r>
        <w:rPr>
          <w:rFonts w:hint="eastAsia" w:hAnsi="宋体"/>
          <w:color w:val="auto"/>
          <w:sz w:val="24"/>
        </w:rPr>
        <w:t>（三）甲乙双方协商一致可以终止本协议。</w:t>
      </w:r>
    </w:p>
    <w:p>
      <w:pPr>
        <w:spacing w:line="360" w:lineRule="auto"/>
        <w:ind w:firstLine="480" w:firstLineChars="200"/>
        <w:jc w:val="left"/>
        <w:rPr>
          <w:rFonts w:hAnsi="宋体"/>
          <w:color w:val="auto"/>
          <w:sz w:val="24"/>
        </w:rPr>
      </w:pPr>
      <w:r>
        <w:rPr>
          <w:rFonts w:hint="eastAsia" w:hAnsi="宋体"/>
          <w:color w:val="auto"/>
          <w:sz w:val="24"/>
        </w:rPr>
        <w:t>（四）协议终止后，尚未履行的，终止履行；已经履行的，除不可抗力因素外，根据履行情况和解除原因，无过错方有权要求对方赔偿损失。</w:t>
      </w:r>
    </w:p>
    <w:p>
      <w:pPr>
        <w:spacing w:line="360" w:lineRule="auto"/>
        <w:ind w:firstLine="480" w:firstLineChars="200"/>
        <w:jc w:val="left"/>
        <w:rPr>
          <w:rFonts w:ascii="黑体" w:hAnsi="黑体" w:eastAsia="黑体" w:cs="黑体"/>
          <w:i/>
          <w:color w:val="auto"/>
          <w:sz w:val="24"/>
          <w:u w:val="single"/>
        </w:rPr>
      </w:pPr>
      <w:r>
        <w:rPr>
          <w:rFonts w:hint="eastAsia" w:ascii="黑体" w:hAnsi="黑体" w:eastAsia="黑体" w:cs="黑体"/>
          <w:i/>
          <w:color w:val="auto"/>
          <w:sz w:val="24"/>
          <w:u w:val="single"/>
        </w:rPr>
        <w:t>（五）乙方确认并同意，国际大体联对成都大运会的取消、调整，以及疫情对成都大运会的影响属于不能预见、不能避免并不能克服的客观情况，适用不可抗力有关规定。乙方确认并同意，因国际大体联或因疫情原因，取消、推迟举办成都大运会、减少赛事项目、缩小赛事规模的，以及因不可抗力导致合同不能履行或不能完全履行的，甲方不承担违约责任。</w:t>
      </w:r>
    </w:p>
    <w:p>
      <w:pPr>
        <w:spacing w:line="360" w:lineRule="auto"/>
        <w:ind w:firstLine="480" w:firstLineChars="200"/>
        <w:jc w:val="left"/>
        <w:rPr>
          <w:rFonts w:ascii="黑体" w:hAnsi="黑体" w:eastAsia="黑体" w:cs="黑体"/>
          <w:i/>
          <w:color w:val="auto"/>
          <w:sz w:val="24"/>
          <w:u w:val="single"/>
        </w:rPr>
      </w:pPr>
      <w:r>
        <w:rPr>
          <w:rFonts w:hint="eastAsia" w:ascii="黑体" w:hAnsi="黑体" w:eastAsia="黑体" w:cs="黑体"/>
          <w:i/>
          <w:color w:val="auto"/>
          <w:sz w:val="24"/>
          <w:u w:val="single"/>
        </w:rPr>
        <w:t>（六）举办成都大运会面临新冠疫情、境外参会人员入境等诸多不可控因素,订立合同后、合同履行中如出现国际大体联决定或因疫情原因，取消、推迟举办成都大运会,减少赛事项目，缩小赛事规模等情形，乙方确认并同意甲方有权单方对合同进行相应的变更。但合同的重大变更，由甲、乙双方按风险共担的方式予以协商、确定。</w:t>
      </w:r>
    </w:p>
    <w:p>
      <w:pPr>
        <w:spacing w:line="360" w:lineRule="auto"/>
        <w:ind w:firstLine="480" w:firstLineChars="200"/>
        <w:jc w:val="left"/>
        <w:rPr>
          <w:rFonts w:hAnsi="宋体"/>
          <w:color w:val="auto"/>
          <w:sz w:val="24"/>
        </w:rPr>
      </w:pPr>
      <w:r>
        <w:rPr>
          <w:rFonts w:hint="eastAsia" w:hAnsi="宋体"/>
          <w:color w:val="auto"/>
          <w:sz w:val="24"/>
        </w:rPr>
        <w:t>十一、违约责任</w:t>
      </w:r>
    </w:p>
    <w:p>
      <w:pPr>
        <w:spacing w:line="360" w:lineRule="auto"/>
        <w:ind w:firstLine="480" w:firstLineChars="200"/>
        <w:jc w:val="left"/>
        <w:rPr>
          <w:rFonts w:hAnsi="宋体"/>
          <w:color w:val="auto"/>
          <w:sz w:val="24"/>
        </w:rPr>
      </w:pPr>
      <w:r>
        <w:rPr>
          <w:rFonts w:hint="eastAsia" w:hAnsi="宋体"/>
          <w:color w:val="auto"/>
          <w:sz w:val="24"/>
        </w:rPr>
        <w:t>（一）甲方违约：</w:t>
      </w:r>
    </w:p>
    <w:p>
      <w:pPr>
        <w:spacing w:line="360" w:lineRule="auto"/>
        <w:ind w:firstLine="480" w:firstLineChars="200"/>
        <w:jc w:val="left"/>
        <w:rPr>
          <w:rFonts w:hAnsi="宋体"/>
          <w:color w:val="auto"/>
          <w:sz w:val="24"/>
        </w:rPr>
      </w:pPr>
      <w:r>
        <w:rPr>
          <w:rFonts w:hint="eastAsia" w:hAnsi="宋体"/>
          <w:color w:val="auto"/>
          <w:sz w:val="24"/>
        </w:rPr>
        <w:t>甲方不按本协议约定向乙方支付项目经费，除继续申请支付项目经费外，还应向乙方按应付未付项目经费金额的万分之五/日支付滞纳金。</w:t>
      </w:r>
    </w:p>
    <w:p>
      <w:pPr>
        <w:spacing w:line="360" w:lineRule="auto"/>
        <w:ind w:firstLine="480" w:firstLineChars="200"/>
        <w:jc w:val="left"/>
        <w:rPr>
          <w:rFonts w:hAnsi="宋体"/>
          <w:color w:val="auto"/>
          <w:sz w:val="24"/>
        </w:rPr>
      </w:pPr>
      <w:r>
        <w:rPr>
          <w:rFonts w:hint="eastAsia" w:hAnsi="宋体"/>
          <w:color w:val="auto"/>
          <w:sz w:val="24"/>
        </w:rPr>
        <w:t>（二）乙方违约：</w:t>
      </w:r>
    </w:p>
    <w:p>
      <w:pPr>
        <w:spacing w:line="360" w:lineRule="auto"/>
        <w:ind w:firstLine="480" w:firstLineChars="200"/>
        <w:jc w:val="left"/>
        <w:rPr>
          <w:rFonts w:hAnsi="宋体"/>
          <w:color w:val="auto"/>
          <w:sz w:val="24"/>
        </w:rPr>
      </w:pPr>
      <w:r>
        <w:rPr>
          <w:rFonts w:hint="eastAsia" w:hAnsi="宋体"/>
          <w:color w:val="auto"/>
          <w:sz w:val="24"/>
        </w:rPr>
        <w:t>1.</w:t>
      </w:r>
      <w:r>
        <w:rPr>
          <w:rFonts w:hAnsi="宋体"/>
          <w:color w:val="auto"/>
          <w:sz w:val="24"/>
        </w:rPr>
        <w:t xml:space="preserve"> </w:t>
      </w:r>
      <w:r>
        <w:rPr>
          <w:rFonts w:hint="eastAsia" w:hAnsi="宋体"/>
          <w:color w:val="auto"/>
          <w:sz w:val="24"/>
        </w:rPr>
        <w:t>乙方未按经甲方审核后的本项目计划及预算实施的，甲方有权要求乙方限期整改并扣划相应预算项目的项目经费；乙方拒绝整改、在规定期限内未完成整改或整改后仍不符合本项目计划、预算实施或本协议约定的，甲方有权单方解除本协议，不支付协议费用，乙方应向甲方支付本协议费用总金额10%的违约金，并赔偿因违约行为给甲方造成的全部损失(包括并不限于鉴定费、公证费、诉讼费、律师费、差旅费等费用)。</w:t>
      </w:r>
      <w:r>
        <w:rPr>
          <w:rFonts w:hAnsi="宋体"/>
          <w:color w:val="auto"/>
          <w:sz w:val="24"/>
        </w:rPr>
        <w:t xml:space="preserve"> </w:t>
      </w:r>
    </w:p>
    <w:p>
      <w:pPr>
        <w:spacing w:line="360" w:lineRule="auto"/>
        <w:ind w:firstLine="480" w:firstLineChars="200"/>
        <w:jc w:val="left"/>
        <w:rPr>
          <w:rFonts w:hAnsi="宋体"/>
          <w:color w:val="auto"/>
          <w:sz w:val="24"/>
        </w:rPr>
      </w:pPr>
      <w:r>
        <w:rPr>
          <w:rFonts w:hint="eastAsia" w:hAnsi="宋体"/>
          <w:color w:val="auto"/>
          <w:sz w:val="24"/>
        </w:rPr>
        <w:t>2.</w:t>
      </w:r>
      <w:r>
        <w:rPr>
          <w:rFonts w:hAnsi="宋体"/>
          <w:color w:val="auto"/>
          <w:sz w:val="24"/>
        </w:rPr>
        <w:t xml:space="preserve"> </w:t>
      </w:r>
      <w:r>
        <w:rPr>
          <w:rFonts w:hint="eastAsia" w:hAnsi="宋体"/>
          <w:color w:val="auto"/>
          <w:sz w:val="24"/>
        </w:rPr>
        <w:t>因乙方违反保密条款、知识产权条款等情形时应当承担的违约责任，乙方应向甲方支付本协议费用总金额10%的违约金，并赔偿因违约行为给甲方造成的全部损失(包括并不限于鉴定费、公证费、诉讼费、律师费、差旅费等费用)。</w:t>
      </w:r>
    </w:p>
    <w:p>
      <w:pPr>
        <w:spacing w:line="360" w:lineRule="auto"/>
        <w:ind w:firstLine="480" w:firstLineChars="200"/>
        <w:jc w:val="left"/>
        <w:rPr>
          <w:rFonts w:hAnsi="宋体"/>
          <w:color w:val="auto"/>
          <w:sz w:val="24"/>
        </w:rPr>
      </w:pPr>
      <w:r>
        <w:rPr>
          <w:rFonts w:hint="eastAsia" w:hAnsi="宋体"/>
          <w:color w:val="auto"/>
          <w:sz w:val="24"/>
        </w:rPr>
        <w:t>3.</w:t>
      </w:r>
      <w:r>
        <w:rPr>
          <w:rFonts w:hAnsi="宋体"/>
          <w:color w:val="auto"/>
          <w:sz w:val="24"/>
        </w:rPr>
        <w:t xml:space="preserve"> </w:t>
      </w:r>
      <w:r>
        <w:rPr>
          <w:rFonts w:hint="eastAsia" w:hAnsi="宋体"/>
          <w:color w:val="auto"/>
          <w:sz w:val="24"/>
        </w:rPr>
        <w:t>因乙方实施过程中的违法行为而受到的行政处罚和承担的民事责任，由乙方自行承担；</w:t>
      </w:r>
    </w:p>
    <w:p>
      <w:pPr>
        <w:spacing w:line="360" w:lineRule="auto"/>
        <w:ind w:firstLine="480" w:firstLineChars="200"/>
        <w:jc w:val="left"/>
        <w:rPr>
          <w:rFonts w:hAnsi="宋体"/>
          <w:color w:val="auto"/>
          <w:sz w:val="24"/>
        </w:rPr>
      </w:pPr>
      <w:r>
        <w:rPr>
          <w:rFonts w:hint="eastAsia" w:hAnsi="宋体"/>
          <w:color w:val="auto"/>
          <w:sz w:val="24"/>
        </w:rPr>
        <w:t>十二、适用法律及争议的解决</w:t>
      </w:r>
    </w:p>
    <w:p>
      <w:pPr>
        <w:spacing w:line="360" w:lineRule="auto"/>
        <w:ind w:firstLine="480" w:firstLineChars="200"/>
        <w:jc w:val="left"/>
        <w:rPr>
          <w:rFonts w:hAnsi="宋体"/>
          <w:color w:val="auto"/>
          <w:sz w:val="24"/>
        </w:rPr>
      </w:pPr>
      <w:r>
        <w:rPr>
          <w:rFonts w:hint="eastAsia" w:hAnsi="宋体"/>
          <w:color w:val="auto"/>
          <w:sz w:val="24"/>
        </w:rPr>
        <w:t>1．本协议适用中华人民共和国的法律法规；</w:t>
      </w:r>
    </w:p>
    <w:p>
      <w:pPr>
        <w:spacing w:line="360" w:lineRule="auto"/>
        <w:ind w:firstLine="480" w:firstLineChars="200"/>
        <w:jc w:val="left"/>
        <w:rPr>
          <w:rFonts w:hAnsi="宋体"/>
          <w:color w:val="auto"/>
          <w:sz w:val="24"/>
        </w:rPr>
      </w:pPr>
      <w:r>
        <w:rPr>
          <w:rFonts w:hint="eastAsia" w:hAnsi="宋体"/>
          <w:color w:val="auto"/>
          <w:sz w:val="24"/>
        </w:rPr>
        <w:t>2. 凡因本协议所发生的或与本协议有关的一切争议，双方应通过友好协商解决；如果协商不能解决，应按以下第</w:t>
      </w:r>
      <w:r>
        <w:rPr>
          <w:rFonts w:hint="eastAsia" w:hAnsi="宋体"/>
          <w:color w:val="auto"/>
          <w:sz w:val="24"/>
          <w:u w:val="single"/>
        </w:rPr>
        <w:t xml:space="preserve"> （1）</w:t>
      </w:r>
      <w:r>
        <w:rPr>
          <w:rFonts w:hint="eastAsia" w:hAnsi="宋体"/>
          <w:color w:val="auto"/>
          <w:sz w:val="24"/>
        </w:rPr>
        <w:t xml:space="preserve"> 种方式解决：</w:t>
      </w:r>
    </w:p>
    <w:p>
      <w:pPr>
        <w:spacing w:line="360" w:lineRule="auto"/>
        <w:ind w:firstLine="480" w:firstLineChars="200"/>
        <w:jc w:val="left"/>
        <w:rPr>
          <w:rFonts w:hAnsi="宋体"/>
          <w:color w:val="auto"/>
          <w:sz w:val="24"/>
        </w:rPr>
      </w:pPr>
      <w:r>
        <w:rPr>
          <w:rFonts w:hint="eastAsia" w:hAnsi="宋体"/>
          <w:color w:val="auto"/>
          <w:sz w:val="24"/>
        </w:rPr>
        <w:t xml:space="preserve">（1）交由 </w:t>
      </w:r>
      <w:r>
        <w:rPr>
          <w:rFonts w:hint="eastAsia" w:hAnsi="宋体"/>
          <w:color w:val="auto"/>
          <w:sz w:val="24"/>
          <w:u w:val="single"/>
        </w:rPr>
        <w:t xml:space="preserve"> 成都 </w:t>
      </w:r>
      <w:r>
        <w:rPr>
          <w:rFonts w:hint="eastAsia" w:hAnsi="宋体"/>
          <w:color w:val="auto"/>
          <w:sz w:val="24"/>
        </w:rPr>
        <w:t xml:space="preserve"> 仲裁委员会裁决；</w:t>
      </w:r>
    </w:p>
    <w:p>
      <w:pPr>
        <w:spacing w:line="360" w:lineRule="auto"/>
        <w:ind w:firstLine="480" w:firstLineChars="200"/>
        <w:jc w:val="left"/>
        <w:rPr>
          <w:rFonts w:hAnsi="宋体"/>
          <w:color w:val="auto"/>
          <w:sz w:val="24"/>
        </w:rPr>
      </w:pPr>
      <w:r>
        <w:rPr>
          <w:rFonts w:hint="eastAsia" w:hAnsi="宋体"/>
          <w:color w:val="auto"/>
          <w:sz w:val="24"/>
        </w:rPr>
        <w:t>（2）向甲方住所地人民法院起诉。</w:t>
      </w:r>
    </w:p>
    <w:p>
      <w:pPr>
        <w:spacing w:line="360" w:lineRule="auto"/>
        <w:ind w:firstLine="480" w:firstLineChars="200"/>
        <w:jc w:val="left"/>
        <w:rPr>
          <w:rFonts w:hAnsi="宋体"/>
          <w:color w:val="auto"/>
          <w:sz w:val="24"/>
        </w:rPr>
      </w:pPr>
      <w:r>
        <w:rPr>
          <w:rFonts w:hint="eastAsia" w:hAnsi="宋体"/>
          <w:color w:val="auto"/>
          <w:sz w:val="24"/>
        </w:rPr>
        <w:t>十三、附则</w:t>
      </w:r>
    </w:p>
    <w:p>
      <w:pPr>
        <w:spacing w:line="360" w:lineRule="auto"/>
        <w:ind w:firstLine="480" w:firstLineChars="200"/>
        <w:jc w:val="left"/>
        <w:rPr>
          <w:rFonts w:hAnsi="宋体"/>
          <w:color w:val="auto"/>
          <w:sz w:val="24"/>
        </w:rPr>
      </w:pPr>
      <w:r>
        <w:rPr>
          <w:rFonts w:hint="eastAsia" w:hAnsi="宋体"/>
          <w:color w:val="auto"/>
          <w:sz w:val="24"/>
        </w:rPr>
        <w:t>1</w:t>
      </w:r>
      <w:r>
        <w:rPr>
          <w:rFonts w:hAnsi="宋体"/>
          <w:color w:val="auto"/>
          <w:sz w:val="24"/>
        </w:rPr>
        <w:t xml:space="preserve"> </w:t>
      </w:r>
      <w:r>
        <w:rPr>
          <w:rFonts w:hint="eastAsia" w:hAnsi="宋体"/>
          <w:color w:val="auto"/>
          <w:sz w:val="24"/>
        </w:rPr>
        <w:t>根据需要，经双方协商，可以对本协议进行补充或修改。修改或补充的条款以书面形式经双方授权代表签字后，即成为本协议的组成部分，与本协议具有同等效力。补充协议与本协议不一致处，以补充协议为准。　</w:t>
      </w:r>
    </w:p>
    <w:p>
      <w:pPr>
        <w:spacing w:line="360" w:lineRule="auto"/>
        <w:ind w:firstLine="480" w:firstLineChars="200"/>
        <w:jc w:val="left"/>
        <w:rPr>
          <w:rFonts w:hAnsi="宋体"/>
          <w:color w:val="auto"/>
          <w:sz w:val="24"/>
        </w:rPr>
      </w:pPr>
      <w:r>
        <w:rPr>
          <w:rFonts w:hint="eastAsia" w:hAnsi="宋体"/>
          <w:color w:val="auto"/>
          <w:sz w:val="24"/>
        </w:rPr>
        <w:t>2.</w:t>
      </w:r>
      <w:r>
        <w:rPr>
          <w:rFonts w:hAnsi="宋体"/>
          <w:color w:val="auto"/>
          <w:sz w:val="24"/>
        </w:rPr>
        <w:t xml:space="preserve"> </w:t>
      </w:r>
      <w:r>
        <w:rPr>
          <w:rFonts w:hint="eastAsia" w:hAnsi="宋体"/>
          <w:color w:val="auto"/>
          <w:sz w:val="24"/>
        </w:rPr>
        <w:t>乙方拟定的本项目方案在经甲方审核同意后为本协议的附件，是本协议不可分割的一部分，由双方按本协议约定遵照执行。</w:t>
      </w:r>
    </w:p>
    <w:p>
      <w:pPr>
        <w:spacing w:line="360" w:lineRule="auto"/>
        <w:ind w:firstLine="480" w:firstLineChars="200"/>
        <w:jc w:val="left"/>
        <w:rPr>
          <w:rFonts w:hAnsi="宋体"/>
          <w:color w:val="auto"/>
          <w:sz w:val="24"/>
        </w:rPr>
      </w:pPr>
      <w:r>
        <w:rPr>
          <w:rFonts w:hint="eastAsia" w:hAnsi="宋体"/>
          <w:color w:val="auto"/>
          <w:sz w:val="24"/>
        </w:rPr>
        <w:t>3. 本协议一式</w:t>
      </w:r>
      <w:r>
        <w:rPr>
          <w:rFonts w:hint="eastAsia" w:hAnsi="宋体"/>
          <w:color w:val="auto"/>
          <w:sz w:val="24"/>
          <w:u w:val="single"/>
        </w:rPr>
        <w:t>5</w:t>
      </w:r>
      <w:r>
        <w:rPr>
          <w:rFonts w:hint="eastAsia" w:hAnsi="宋体"/>
          <w:color w:val="auto"/>
          <w:sz w:val="24"/>
        </w:rPr>
        <w:t>份，经双方法定代表人或授权代表签字并盖章后即行生效，甲方执</w:t>
      </w:r>
      <w:r>
        <w:rPr>
          <w:rFonts w:hint="eastAsia" w:hAnsi="宋体"/>
          <w:color w:val="auto"/>
          <w:sz w:val="24"/>
          <w:u w:val="single"/>
        </w:rPr>
        <w:t>3</w:t>
      </w:r>
      <w:r>
        <w:rPr>
          <w:rFonts w:hAnsi="宋体"/>
          <w:color w:val="auto"/>
          <w:sz w:val="24"/>
          <w:u w:val="single"/>
        </w:rPr>
        <w:t xml:space="preserve"> </w:t>
      </w:r>
      <w:r>
        <w:rPr>
          <w:rFonts w:hint="eastAsia" w:hAnsi="宋体"/>
          <w:color w:val="auto"/>
          <w:sz w:val="24"/>
        </w:rPr>
        <w:t>份，乙方执</w:t>
      </w:r>
      <w:r>
        <w:rPr>
          <w:rFonts w:hint="eastAsia" w:hAnsi="宋体"/>
          <w:color w:val="auto"/>
          <w:sz w:val="24"/>
          <w:u w:val="single"/>
        </w:rPr>
        <w:t xml:space="preserve"> 2</w:t>
      </w:r>
      <w:r>
        <w:rPr>
          <w:rFonts w:hint="eastAsia" w:hAnsi="宋体"/>
          <w:color w:val="auto"/>
          <w:sz w:val="24"/>
        </w:rPr>
        <w:t>份，均具同等法律效力。双方协议责任完结，本协议自动终止。</w:t>
      </w:r>
    </w:p>
    <w:p>
      <w:pPr>
        <w:spacing w:line="360" w:lineRule="auto"/>
        <w:ind w:firstLine="480" w:firstLineChars="200"/>
        <w:rPr>
          <w:rFonts w:hAnsi="宋体"/>
          <w:color w:val="auto"/>
          <w:sz w:val="24"/>
        </w:rPr>
      </w:pPr>
      <w:r>
        <w:rPr>
          <w:rFonts w:hint="eastAsia" w:hAnsi="宋体"/>
          <w:color w:val="auto"/>
          <w:sz w:val="24"/>
        </w:rPr>
        <w:t>十四、本合同附件包括</w:t>
      </w:r>
    </w:p>
    <w:p>
      <w:pPr>
        <w:spacing w:line="360" w:lineRule="auto"/>
        <w:ind w:firstLine="480" w:firstLineChars="200"/>
        <w:jc w:val="left"/>
        <w:rPr>
          <w:rFonts w:hAnsi="宋体"/>
          <w:color w:val="auto"/>
          <w:sz w:val="24"/>
        </w:rPr>
      </w:pPr>
      <w:r>
        <w:rPr>
          <w:rFonts w:hint="eastAsia" w:hAnsi="宋体"/>
          <w:color w:val="auto"/>
          <w:sz w:val="24"/>
        </w:rPr>
        <w:t>1.中标通知书。</w:t>
      </w:r>
    </w:p>
    <w:p>
      <w:pPr>
        <w:spacing w:line="360" w:lineRule="auto"/>
        <w:ind w:firstLine="480" w:firstLineChars="200"/>
        <w:jc w:val="left"/>
        <w:rPr>
          <w:rFonts w:hAnsi="宋体"/>
          <w:color w:val="auto"/>
          <w:sz w:val="24"/>
        </w:rPr>
      </w:pPr>
      <w:r>
        <w:rPr>
          <w:rFonts w:hint="eastAsia" w:hAnsi="宋体"/>
          <w:color w:val="auto"/>
          <w:sz w:val="24"/>
        </w:rPr>
        <w:t>2.招标文件。</w:t>
      </w:r>
    </w:p>
    <w:p>
      <w:pPr>
        <w:spacing w:line="360" w:lineRule="auto"/>
        <w:ind w:firstLine="480" w:firstLineChars="200"/>
        <w:jc w:val="left"/>
        <w:rPr>
          <w:rFonts w:hAnsi="宋体"/>
          <w:color w:val="auto"/>
          <w:sz w:val="24"/>
        </w:rPr>
      </w:pPr>
      <w:r>
        <w:rPr>
          <w:rFonts w:hint="eastAsia" w:hAnsi="宋体"/>
          <w:color w:val="auto"/>
          <w:sz w:val="24"/>
        </w:rPr>
        <w:t>3.投标文件。</w:t>
      </w:r>
    </w:p>
    <w:p>
      <w:pPr>
        <w:pStyle w:val="2"/>
        <w:ind w:firstLine="480" w:firstLineChars="200"/>
        <w:rPr>
          <w:color w:val="auto"/>
        </w:rPr>
      </w:pPr>
      <w:r>
        <w:rPr>
          <w:rFonts w:hint="eastAsia"/>
          <w:color w:val="auto"/>
        </w:rPr>
        <w:t>4</w:t>
      </w:r>
      <w:r>
        <w:rPr>
          <w:rFonts w:hint="eastAsia" w:hAnsi="宋体"/>
          <w:color w:val="auto"/>
        </w:rPr>
        <w:t>.</w:t>
      </w:r>
      <w:r>
        <w:rPr>
          <w:rFonts w:hint="eastAsia"/>
          <w:color w:val="auto"/>
        </w:rPr>
        <w:t>设备清单。</w:t>
      </w:r>
    </w:p>
    <w:p>
      <w:pPr>
        <w:spacing w:line="360" w:lineRule="auto"/>
        <w:jc w:val="left"/>
        <w:rPr>
          <w:rFonts w:hAnsi="宋体"/>
          <w:color w:val="auto"/>
          <w:sz w:val="24"/>
        </w:rPr>
      </w:pPr>
    </w:p>
    <w:p>
      <w:pPr>
        <w:spacing w:line="360" w:lineRule="auto"/>
        <w:jc w:val="left"/>
        <w:rPr>
          <w:rFonts w:hAnsi="宋体"/>
          <w:color w:val="auto"/>
          <w:sz w:val="24"/>
        </w:rPr>
      </w:pPr>
    </w:p>
    <w:p>
      <w:pPr>
        <w:spacing w:line="360" w:lineRule="auto"/>
        <w:ind w:left="4080" w:hanging="4080" w:hangingChars="1700"/>
        <w:jc w:val="left"/>
        <w:rPr>
          <w:rFonts w:hAnsi="宋体"/>
          <w:color w:val="auto"/>
          <w:sz w:val="24"/>
        </w:rPr>
      </w:pPr>
      <w:r>
        <w:rPr>
          <w:rFonts w:hint="eastAsia" w:hAnsi="宋体"/>
          <w:color w:val="auto"/>
          <w:sz w:val="24"/>
        </w:rPr>
        <w:t xml:space="preserve">甲方（盖章）：                           乙方（盖章）：           </w:t>
      </w:r>
    </w:p>
    <w:p>
      <w:pPr>
        <w:spacing w:line="360" w:lineRule="auto"/>
        <w:jc w:val="left"/>
        <w:rPr>
          <w:rFonts w:hAnsi="宋体"/>
          <w:color w:val="auto"/>
          <w:sz w:val="24"/>
        </w:rPr>
      </w:pPr>
    </w:p>
    <w:p>
      <w:pPr>
        <w:spacing w:line="360" w:lineRule="auto"/>
        <w:jc w:val="left"/>
        <w:rPr>
          <w:rFonts w:hAnsi="宋体"/>
          <w:color w:val="auto"/>
          <w:sz w:val="24"/>
        </w:rPr>
      </w:pPr>
      <w:r>
        <w:rPr>
          <w:rFonts w:hint="eastAsia" w:hAnsi="宋体"/>
          <w:color w:val="auto"/>
          <w:sz w:val="24"/>
        </w:rPr>
        <w:t>负责人                                   法定代表人</w:t>
      </w:r>
    </w:p>
    <w:p>
      <w:pPr>
        <w:spacing w:line="360" w:lineRule="auto"/>
        <w:jc w:val="left"/>
        <w:rPr>
          <w:rFonts w:hAnsi="宋体"/>
          <w:color w:val="auto"/>
          <w:sz w:val="24"/>
          <w:lang w:val="zh-CN"/>
        </w:rPr>
      </w:pPr>
      <w:r>
        <w:rPr>
          <w:rFonts w:hint="eastAsia" w:hAnsi="宋体"/>
          <w:color w:val="auto"/>
          <w:sz w:val="24"/>
        </w:rPr>
        <w:t xml:space="preserve">或被授权人：                             或被授权人：_____________        </w:t>
      </w:r>
    </w:p>
    <w:p>
      <w:pPr>
        <w:spacing w:line="360" w:lineRule="auto"/>
        <w:ind w:firstLine="480" w:firstLineChars="200"/>
        <w:jc w:val="left"/>
        <w:rPr>
          <w:rFonts w:hAnsi="宋体"/>
          <w:color w:val="auto"/>
          <w:sz w:val="24"/>
        </w:rPr>
      </w:pPr>
    </w:p>
    <w:p>
      <w:pPr>
        <w:spacing w:line="360" w:lineRule="auto"/>
        <w:jc w:val="left"/>
        <w:rPr>
          <w:rFonts w:hAnsi="宋体"/>
          <w:color w:val="auto"/>
          <w:sz w:val="24"/>
        </w:rPr>
      </w:pPr>
      <w:r>
        <w:rPr>
          <w:rFonts w:hint="eastAsia" w:hAnsi="宋体"/>
          <w:color w:val="auto"/>
          <w:sz w:val="24"/>
        </w:rPr>
        <w:t>协议订立时间：    年    月    日</w:t>
      </w:r>
    </w:p>
    <w:p>
      <w:pPr>
        <w:rPr>
          <w:color w:val="auto"/>
        </w:rPr>
      </w:pPr>
      <w:r>
        <w:rPr>
          <w:rFonts w:hint="eastAsia" w:hAnsi="宋体"/>
          <w:color w:val="auto"/>
          <w:sz w:val="24"/>
        </w:rPr>
        <w:t xml:space="preserve">协议订立地点：    成都  </w:t>
      </w:r>
    </w:p>
    <w:p>
      <w:pPr>
        <w:pStyle w:val="2"/>
        <w:rPr>
          <w:color w:val="auto"/>
        </w:rPr>
      </w:pPr>
    </w:p>
    <w:p>
      <w:pPr>
        <w:spacing w:line="400" w:lineRule="exact"/>
        <w:ind w:firstLine="480" w:firstLineChars="200"/>
        <w:rPr>
          <w:rFonts w:ascii="宋体" w:hAnsi="宋体"/>
          <w:color w:val="auto"/>
          <w:sz w:val="24"/>
        </w:rPr>
      </w:pPr>
    </w:p>
    <w:sectPr>
      <w:pgSz w:w="11906" w:h="16838"/>
      <w:pgMar w:top="1134" w:right="1134" w:bottom="1134" w:left="1134"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B727CDF-B7B7-40F1-B534-010AE6E39B5F}"/>
  </w:font>
  <w:font w:name="Arial">
    <w:panose1 w:val="020B0604020202020204"/>
    <w:charset w:val="01"/>
    <w:family w:val="swiss"/>
    <w:pitch w:val="default"/>
    <w:sig w:usb0="E0002EFF" w:usb1="C000785B" w:usb2="00000009" w:usb3="00000000" w:csb0="400001FF" w:csb1="FFFF0000"/>
    <w:embedRegular r:id="rId2" w:fontKey="{64D78501-ADB1-408A-A93E-6911A6A4C61E}"/>
  </w:font>
  <w:font w:name="黑体">
    <w:panose1 w:val="02010609060101010101"/>
    <w:charset w:val="86"/>
    <w:family w:val="auto"/>
    <w:pitch w:val="default"/>
    <w:sig w:usb0="800002BF" w:usb1="38CF7CFA" w:usb2="00000016" w:usb3="00000000" w:csb0="00040001" w:csb1="00000000"/>
    <w:embedRegular r:id="rId3" w:fontKey="{CF96CB1D-9B5C-4617-9372-365B19EFEEC8}"/>
  </w:font>
  <w:font w:name="Courier New">
    <w:panose1 w:val="02070309020205020404"/>
    <w:charset w:val="01"/>
    <w:family w:val="modern"/>
    <w:pitch w:val="default"/>
    <w:sig w:usb0="E0002EFF" w:usb1="C0007843" w:usb2="00000009" w:usb3="00000000" w:csb0="400001FF" w:csb1="FFFF0000"/>
    <w:embedRegular r:id="rId4" w:fontKey="{BF1BF9FC-A0D4-4A28-B43E-1178AF699776}"/>
  </w:font>
  <w:font w:name="Symbol">
    <w:panose1 w:val="05050102010706020507"/>
    <w:charset w:val="02"/>
    <w:family w:val="roman"/>
    <w:pitch w:val="default"/>
    <w:sig w:usb0="00000000" w:usb1="00000000" w:usb2="00000000" w:usb3="00000000" w:csb0="80000000" w:csb1="00000000"/>
    <w:embedRegular r:id="rId5" w:fontKey="{50CAEDF7-FA63-4023-9D80-A5F18D04CAE2}"/>
  </w:font>
  <w:font w:name="Calibri">
    <w:panose1 w:val="020F0502020204030204"/>
    <w:charset w:val="00"/>
    <w:family w:val="swiss"/>
    <w:pitch w:val="default"/>
    <w:sig w:usb0="E4002EFF" w:usb1="C000247B" w:usb2="00000009" w:usb3="00000000" w:csb0="200001FF" w:csb1="00000000"/>
    <w:embedRegular r:id="rId6" w:fontKey="{66AE5449-254C-4FF1-85C4-04F737CB30F6}"/>
  </w:font>
  <w:font w:name="Cambria">
    <w:panose1 w:val="02040503050406030204"/>
    <w:charset w:val="00"/>
    <w:family w:val="roman"/>
    <w:pitch w:val="default"/>
    <w:sig w:usb0="E00006FF" w:usb1="420024FF" w:usb2="02000000" w:usb3="00000000" w:csb0="2000019F" w:csb1="00000000"/>
    <w:embedRegular r:id="rId7" w:fontKey="{D9704413-F02D-4DD2-8AD7-E32BF3F45669}"/>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embedRegular r:id="rId8" w:fontKey="{2716B5B6-3250-4A98-BF10-F9FEC765A964}"/>
  </w:font>
  <w:font w:name="Tahoma">
    <w:panose1 w:val="020B0604030504040204"/>
    <w:charset w:val="00"/>
    <w:family w:val="swiss"/>
    <w:pitch w:val="default"/>
    <w:sig w:usb0="E1002EFF" w:usb1="C000605B" w:usb2="00000029" w:usb3="00000000" w:csb0="200101FF" w:csb1="20280000"/>
    <w:embedRegular r:id="rId9" w:fontKey="{5C620990-78FA-48BE-8B38-A65246BD75EF}"/>
  </w:font>
  <w:font w:name="新宋体">
    <w:panose1 w:val="02010609030101010101"/>
    <w:charset w:val="86"/>
    <w:family w:val="modern"/>
    <w:pitch w:val="default"/>
    <w:sig w:usb0="00000283" w:usb1="288F0000" w:usb2="00000006" w:usb3="00000000" w:csb0="00040001" w:csb1="00000000"/>
    <w:embedRegular r:id="rId10" w:fontKey="{369F2198-8627-4ABE-AA91-E7657A6C31CF}"/>
  </w:font>
  <w:font w:name="方正小标宋简体">
    <w:altName w:val="微软雅黑"/>
    <w:panose1 w:val="00000000000000000000"/>
    <w:charset w:val="86"/>
    <w:family w:val="script"/>
    <w:pitch w:val="default"/>
    <w:sig w:usb0="00000000" w:usb1="00000000" w:usb2="00000010" w:usb3="00000000" w:csb0="00040000" w:csb1="00000000"/>
    <w:embedRegular r:id="rId11" w:fontKey="{5C01DC22-5695-472F-9891-467B8DC3BDF6}"/>
  </w:font>
  <w:font w:name="微软雅黑">
    <w:panose1 w:val="020B0503020204020204"/>
    <w:charset w:val="86"/>
    <w:family w:val="auto"/>
    <w:pitch w:val="default"/>
    <w:sig w:usb0="80000287" w:usb1="2ACF3C50" w:usb2="00000016" w:usb3="00000000" w:csb0="0004001F" w:csb1="00000000"/>
  </w:font>
  <w:font w:name="Verdana">
    <w:panose1 w:val="020B0604030504040204"/>
    <w:charset w:val="00"/>
    <w:family w:val="swiss"/>
    <w:pitch w:val="default"/>
    <w:sig w:usb0="A00006FF" w:usb1="4000205B" w:usb2="00000010" w:usb3="00000000" w:csb0="2000019F" w:csb1="00000000"/>
    <w:embedRegular r:id="rId12" w:fontKey="{EC1A8ABA-F072-42B8-B704-B407FF667D55}"/>
  </w:font>
  <w:font w:name="Arial">
    <w:panose1 w:val="020B0604020202020204"/>
    <w:charset w:val="00"/>
    <w:family w:val="auto"/>
    <w:pitch w:val="default"/>
    <w:sig w:usb0="E0002EFF" w:usb1="C000785B" w:usb2="00000009" w:usb3="00000000" w:csb0="400001FF" w:csb1="FFFF0000"/>
    <w:embedRegular r:id="rId13" w:fontKey="{B90BBFF5-5E87-492C-BDA8-F483DF53D95B}"/>
  </w:font>
  <w:font w:name="sans-serif">
    <w:altName w:val="Segoe Print"/>
    <w:panose1 w:val="00000000000000000000"/>
    <w:charset w:val="00"/>
    <w:family w:val="auto"/>
    <w:pitch w:val="default"/>
    <w:sig w:usb0="00000000" w:usb1="00000000" w:usb2="00000000" w:usb3="00000000" w:csb0="00000000" w:csb1="00000000"/>
    <w:embedRegular r:id="rId14" w:fontKey="{ECC16BD1-1A97-4F61-8C6F-67B7A49C21F1}"/>
  </w:font>
  <w:font w:name="Segoe Print">
    <w:panose1 w:val="02000600000000000000"/>
    <w:charset w:val="00"/>
    <w:family w:val="auto"/>
    <w:pitch w:val="default"/>
    <w:sig w:usb0="0000028F" w:usb1="00000000" w:usb2="00000000" w:usb3="00000000" w:csb0="2000009F" w:csb1="47010000"/>
    <w:embedRegular r:id="rId15" w:fontKey="{506CA23E-760E-4B75-BA2E-9DBFDF54EA9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jc w:val="center"/>
      <w:rPr>
        <w:rStyle w:val="38"/>
      </w:rPr>
    </w:pPr>
    <w:r>
      <w:fldChar w:fldCharType="begin"/>
    </w:r>
    <w:r>
      <w:rPr>
        <w:rStyle w:val="38"/>
      </w:rPr>
      <w:instrText xml:space="preserve">PAGE  </w:instrText>
    </w:r>
    <w:r>
      <w:fldChar w:fldCharType="separate"/>
    </w:r>
    <w:r>
      <w:rPr>
        <w:rStyle w:val="38"/>
      </w:rPr>
      <w:t>54</w:t>
    </w:r>
    <w:r>
      <w:fldChar w:fldCharType="end"/>
    </w:r>
  </w:p>
  <w:p>
    <w:pPr>
      <w:pStyle w:val="2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4"/>
    <w:multiLevelType w:val="singleLevel"/>
    <w:tmpl w:val="00000004"/>
    <w:lvl w:ilvl="0" w:tentative="0">
      <w:start w:val="1"/>
      <w:numFmt w:val="chineseCounting"/>
      <w:suff w:val="nothing"/>
      <w:lvlText w:val="（%1）"/>
      <w:lvlJc w:val="left"/>
      <w:rPr>
        <w:rFonts w:hint="eastAsia"/>
      </w:rPr>
    </w:lvl>
  </w:abstractNum>
  <w:abstractNum w:abstractNumId="1">
    <w:nsid w:val="0000000F"/>
    <w:multiLevelType w:val="singleLevel"/>
    <w:tmpl w:val="0000000F"/>
    <w:lvl w:ilvl="0" w:tentative="0">
      <w:start w:val="1"/>
      <w:numFmt w:val="chineseCounting"/>
      <w:suff w:val="nothing"/>
      <w:lvlText w:val="%1、"/>
      <w:lvlJc w:val="left"/>
    </w:lvl>
  </w:abstractNum>
  <w:abstractNum w:abstractNumId="2">
    <w:nsid w:val="00000011"/>
    <w:multiLevelType w:val="singleLevel"/>
    <w:tmpl w:val="00000011"/>
    <w:lvl w:ilvl="0" w:tentative="0">
      <w:start w:val="1"/>
      <w:numFmt w:val="chineseCounting"/>
      <w:suff w:val="nothing"/>
      <w:lvlText w:val="%1、"/>
      <w:lvlJc w:val="left"/>
    </w:lvl>
  </w:abstractNum>
  <w:abstractNum w:abstractNumId="3">
    <w:nsid w:val="00000013"/>
    <w:multiLevelType w:val="singleLevel"/>
    <w:tmpl w:val="00000013"/>
    <w:lvl w:ilvl="0" w:tentative="0">
      <w:start w:val="6"/>
      <w:numFmt w:val="chineseCounting"/>
      <w:suff w:val="nothing"/>
      <w:lvlText w:val="%1、"/>
      <w:lvlJc w:val="left"/>
      <w:rPr>
        <w:rFonts w:hint="eastAsia"/>
      </w:rPr>
    </w:lvl>
  </w:abstractNum>
  <w:abstractNum w:abstractNumId="4">
    <w:nsid w:val="00000025"/>
    <w:multiLevelType w:val="singleLevel"/>
    <w:tmpl w:val="00000025"/>
    <w:lvl w:ilvl="0" w:tentative="0">
      <w:start w:val="1"/>
      <w:numFmt w:val="decimal"/>
      <w:suff w:val="nothing"/>
      <w:lvlText w:val="%1."/>
      <w:lvlJc w:val="left"/>
    </w:lvl>
  </w:abstractNum>
  <w:abstractNum w:abstractNumId="5">
    <w:nsid w:val="56845338"/>
    <w:multiLevelType w:val="multilevel"/>
    <w:tmpl w:val="56845338"/>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1"/>
  </w:num>
  <w:num w:numId="3">
    <w:abstractNumId w:val="4"/>
  </w:num>
  <w:num w:numId="4">
    <w:abstractNumId w:val="3"/>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embedTrueType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16E"/>
    <w:rsid w:val="0000182C"/>
    <w:rsid w:val="00001EB0"/>
    <w:rsid w:val="0000240E"/>
    <w:rsid w:val="00002714"/>
    <w:rsid w:val="000036E1"/>
    <w:rsid w:val="00003968"/>
    <w:rsid w:val="000052E2"/>
    <w:rsid w:val="000056A2"/>
    <w:rsid w:val="00006F7A"/>
    <w:rsid w:val="0001095B"/>
    <w:rsid w:val="00011199"/>
    <w:rsid w:val="0001350A"/>
    <w:rsid w:val="00014F44"/>
    <w:rsid w:val="000155AB"/>
    <w:rsid w:val="00016BEA"/>
    <w:rsid w:val="00016C67"/>
    <w:rsid w:val="00017784"/>
    <w:rsid w:val="00017790"/>
    <w:rsid w:val="00017824"/>
    <w:rsid w:val="00021024"/>
    <w:rsid w:val="000228DB"/>
    <w:rsid w:val="00023972"/>
    <w:rsid w:val="00023D62"/>
    <w:rsid w:val="0002723A"/>
    <w:rsid w:val="000272DB"/>
    <w:rsid w:val="00027BAF"/>
    <w:rsid w:val="00030246"/>
    <w:rsid w:val="00031107"/>
    <w:rsid w:val="0003345A"/>
    <w:rsid w:val="00033DA5"/>
    <w:rsid w:val="00033FBA"/>
    <w:rsid w:val="00034B42"/>
    <w:rsid w:val="00035803"/>
    <w:rsid w:val="000358D0"/>
    <w:rsid w:val="00036FD0"/>
    <w:rsid w:val="000403D9"/>
    <w:rsid w:val="00041CEC"/>
    <w:rsid w:val="000420CB"/>
    <w:rsid w:val="000429C0"/>
    <w:rsid w:val="00043172"/>
    <w:rsid w:val="000440CB"/>
    <w:rsid w:val="00044F04"/>
    <w:rsid w:val="000451C8"/>
    <w:rsid w:val="00050F39"/>
    <w:rsid w:val="0005160C"/>
    <w:rsid w:val="00054326"/>
    <w:rsid w:val="000550CC"/>
    <w:rsid w:val="00055337"/>
    <w:rsid w:val="00055AE6"/>
    <w:rsid w:val="00057105"/>
    <w:rsid w:val="0005717A"/>
    <w:rsid w:val="00057D00"/>
    <w:rsid w:val="00060225"/>
    <w:rsid w:val="00060349"/>
    <w:rsid w:val="00060E86"/>
    <w:rsid w:val="00061286"/>
    <w:rsid w:val="00062ECA"/>
    <w:rsid w:val="000631C7"/>
    <w:rsid w:val="00065524"/>
    <w:rsid w:val="00066216"/>
    <w:rsid w:val="000672A6"/>
    <w:rsid w:val="00067A8B"/>
    <w:rsid w:val="00071579"/>
    <w:rsid w:val="00071797"/>
    <w:rsid w:val="00072361"/>
    <w:rsid w:val="000723B1"/>
    <w:rsid w:val="00074561"/>
    <w:rsid w:val="000803DB"/>
    <w:rsid w:val="00080C89"/>
    <w:rsid w:val="00081052"/>
    <w:rsid w:val="000837CE"/>
    <w:rsid w:val="00083AD0"/>
    <w:rsid w:val="00084E83"/>
    <w:rsid w:val="00087041"/>
    <w:rsid w:val="000915D0"/>
    <w:rsid w:val="00091F88"/>
    <w:rsid w:val="00094BC8"/>
    <w:rsid w:val="00097CB0"/>
    <w:rsid w:val="000A56BC"/>
    <w:rsid w:val="000A5FF0"/>
    <w:rsid w:val="000A6DCF"/>
    <w:rsid w:val="000B17A8"/>
    <w:rsid w:val="000B1E01"/>
    <w:rsid w:val="000B1FDE"/>
    <w:rsid w:val="000B2689"/>
    <w:rsid w:val="000B6AF9"/>
    <w:rsid w:val="000B7527"/>
    <w:rsid w:val="000B7CBB"/>
    <w:rsid w:val="000C20E0"/>
    <w:rsid w:val="000C32F8"/>
    <w:rsid w:val="000C4739"/>
    <w:rsid w:val="000C573A"/>
    <w:rsid w:val="000C6161"/>
    <w:rsid w:val="000C7700"/>
    <w:rsid w:val="000D0AE5"/>
    <w:rsid w:val="000D0DA8"/>
    <w:rsid w:val="000D0DDB"/>
    <w:rsid w:val="000D1E70"/>
    <w:rsid w:val="000D22F2"/>
    <w:rsid w:val="000D3C70"/>
    <w:rsid w:val="000D44D4"/>
    <w:rsid w:val="000D4FE9"/>
    <w:rsid w:val="000D5168"/>
    <w:rsid w:val="000D68A1"/>
    <w:rsid w:val="000D70F5"/>
    <w:rsid w:val="000E0891"/>
    <w:rsid w:val="000E101B"/>
    <w:rsid w:val="000E122C"/>
    <w:rsid w:val="000E15EB"/>
    <w:rsid w:val="000E1BA2"/>
    <w:rsid w:val="000F2C99"/>
    <w:rsid w:val="000F2CA4"/>
    <w:rsid w:val="000F34AD"/>
    <w:rsid w:val="000F5C31"/>
    <w:rsid w:val="000F6A3E"/>
    <w:rsid w:val="000F72F1"/>
    <w:rsid w:val="001005C7"/>
    <w:rsid w:val="00102EC2"/>
    <w:rsid w:val="001031DE"/>
    <w:rsid w:val="001037A3"/>
    <w:rsid w:val="00105558"/>
    <w:rsid w:val="00106478"/>
    <w:rsid w:val="00111DAA"/>
    <w:rsid w:val="0011267A"/>
    <w:rsid w:val="00112A17"/>
    <w:rsid w:val="00115664"/>
    <w:rsid w:val="00116F80"/>
    <w:rsid w:val="00117830"/>
    <w:rsid w:val="00120470"/>
    <w:rsid w:val="00120907"/>
    <w:rsid w:val="00120A48"/>
    <w:rsid w:val="001222C5"/>
    <w:rsid w:val="0012260B"/>
    <w:rsid w:val="00122636"/>
    <w:rsid w:val="001230E2"/>
    <w:rsid w:val="00125306"/>
    <w:rsid w:val="00125375"/>
    <w:rsid w:val="00125D3F"/>
    <w:rsid w:val="00125EBB"/>
    <w:rsid w:val="00130006"/>
    <w:rsid w:val="00133A3D"/>
    <w:rsid w:val="00133ADD"/>
    <w:rsid w:val="00134A76"/>
    <w:rsid w:val="00141586"/>
    <w:rsid w:val="0014401E"/>
    <w:rsid w:val="001442FE"/>
    <w:rsid w:val="001446B1"/>
    <w:rsid w:val="00145B0E"/>
    <w:rsid w:val="00146D58"/>
    <w:rsid w:val="001470A9"/>
    <w:rsid w:val="00150E41"/>
    <w:rsid w:val="00150F77"/>
    <w:rsid w:val="00152CC9"/>
    <w:rsid w:val="00153252"/>
    <w:rsid w:val="00153849"/>
    <w:rsid w:val="00153902"/>
    <w:rsid w:val="00154648"/>
    <w:rsid w:val="00160745"/>
    <w:rsid w:val="00161050"/>
    <w:rsid w:val="00161437"/>
    <w:rsid w:val="00164DF0"/>
    <w:rsid w:val="00167AB8"/>
    <w:rsid w:val="00170F6B"/>
    <w:rsid w:val="001713F6"/>
    <w:rsid w:val="00172443"/>
    <w:rsid w:val="0017281C"/>
    <w:rsid w:val="00172A27"/>
    <w:rsid w:val="00172D44"/>
    <w:rsid w:val="00172DAC"/>
    <w:rsid w:val="001730D4"/>
    <w:rsid w:val="00176BBD"/>
    <w:rsid w:val="00177CC8"/>
    <w:rsid w:val="00182EA1"/>
    <w:rsid w:val="001832AE"/>
    <w:rsid w:val="00183C2A"/>
    <w:rsid w:val="00183D84"/>
    <w:rsid w:val="00193C82"/>
    <w:rsid w:val="001953FB"/>
    <w:rsid w:val="00196EA6"/>
    <w:rsid w:val="001A34C3"/>
    <w:rsid w:val="001A40A6"/>
    <w:rsid w:val="001A4A8F"/>
    <w:rsid w:val="001A63F3"/>
    <w:rsid w:val="001B019B"/>
    <w:rsid w:val="001B156E"/>
    <w:rsid w:val="001B53FE"/>
    <w:rsid w:val="001B57F1"/>
    <w:rsid w:val="001C10B8"/>
    <w:rsid w:val="001C1FA9"/>
    <w:rsid w:val="001C2221"/>
    <w:rsid w:val="001C672A"/>
    <w:rsid w:val="001C67A1"/>
    <w:rsid w:val="001C700A"/>
    <w:rsid w:val="001D0AD9"/>
    <w:rsid w:val="001D3E45"/>
    <w:rsid w:val="001D6A24"/>
    <w:rsid w:val="001E0391"/>
    <w:rsid w:val="001E1DC0"/>
    <w:rsid w:val="001E3428"/>
    <w:rsid w:val="001E3FE4"/>
    <w:rsid w:val="001E4396"/>
    <w:rsid w:val="001E52E0"/>
    <w:rsid w:val="001E7F51"/>
    <w:rsid w:val="001F3163"/>
    <w:rsid w:val="001F6106"/>
    <w:rsid w:val="001F66B6"/>
    <w:rsid w:val="001F73E9"/>
    <w:rsid w:val="0020108E"/>
    <w:rsid w:val="00205F0A"/>
    <w:rsid w:val="00206D58"/>
    <w:rsid w:val="002078F0"/>
    <w:rsid w:val="00207BEE"/>
    <w:rsid w:val="0021036E"/>
    <w:rsid w:val="002114B6"/>
    <w:rsid w:val="00213E4E"/>
    <w:rsid w:val="002142F3"/>
    <w:rsid w:val="002144C8"/>
    <w:rsid w:val="00214776"/>
    <w:rsid w:val="002153BC"/>
    <w:rsid w:val="00216247"/>
    <w:rsid w:val="002162A1"/>
    <w:rsid w:val="00217C49"/>
    <w:rsid w:val="00220468"/>
    <w:rsid w:val="00223181"/>
    <w:rsid w:val="00223859"/>
    <w:rsid w:val="00224343"/>
    <w:rsid w:val="00225390"/>
    <w:rsid w:val="0022751A"/>
    <w:rsid w:val="0023044E"/>
    <w:rsid w:val="00231B90"/>
    <w:rsid w:val="00232B3B"/>
    <w:rsid w:val="00235060"/>
    <w:rsid w:val="002358D0"/>
    <w:rsid w:val="00236611"/>
    <w:rsid w:val="00242DE3"/>
    <w:rsid w:val="00244049"/>
    <w:rsid w:val="00245EAC"/>
    <w:rsid w:val="00246126"/>
    <w:rsid w:val="00246908"/>
    <w:rsid w:val="00246D19"/>
    <w:rsid w:val="00247C80"/>
    <w:rsid w:val="00250472"/>
    <w:rsid w:val="00251471"/>
    <w:rsid w:val="002519DD"/>
    <w:rsid w:val="002522BB"/>
    <w:rsid w:val="00256496"/>
    <w:rsid w:val="0026151D"/>
    <w:rsid w:val="00262A44"/>
    <w:rsid w:val="00262D9C"/>
    <w:rsid w:val="0026345C"/>
    <w:rsid w:val="00266216"/>
    <w:rsid w:val="002673A1"/>
    <w:rsid w:val="0026754F"/>
    <w:rsid w:val="00270686"/>
    <w:rsid w:val="00272315"/>
    <w:rsid w:val="00272497"/>
    <w:rsid w:val="002773D4"/>
    <w:rsid w:val="002829F7"/>
    <w:rsid w:val="0028442A"/>
    <w:rsid w:val="002866DD"/>
    <w:rsid w:val="00290C51"/>
    <w:rsid w:val="00292002"/>
    <w:rsid w:val="00293B2B"/>
    <w:rsid w:val="00294D6C"/>
    <w:rsid w:val="00295481"/>
    <w:rsid w:val="002970B7"/>
    <w:rsid w:val="00297151"/>
    <w:rsid w:val="002A0C2D"/>
    <w:rsid w:val="002A1266"/>
    <w:rsid w:val="002A1D45"/>
    <w:rsid w:val="002A1DD1"/>
    <w:rsid w:val="002A30E0"/>
    <w:rsid w:val="002A313C"/>
    <w:rsid w:val="002A55E5"/>
    <w:rsid w:val="002A5797"/>
    <w:rsid w:val="002A5BE4"/>
    <w:rsid w:val="002A66FA"/>
    <w:rsid w:val="002A70D9"/>
    <w:rsid w:val="002B0CB9"/>
    <w:rsid w:val="002B1C00"/>
    <w:rsid w:val="002B1E3C"/>
    <w:rsid w:val="002B2F8A"/>
    <w:rsid w:val="002B49C8"/>
    <w:rsid w:val="002B7176"/>
    <w:rsid w:val="002B73F4"/>
    <w:rsid w:val="002C37A7"/>
    <w:rsid w:val="002C40F0"/>
    <w:rsid w:val="002C504B"/>
    <w:rsid w:val="002C635C"/>
    <w:rsid w:val="002D3C6D"/>
    <w:rsid w:val="002D4F6E"/>
    <w:rsid w:val="002D6713"/>
    <w:rsid w:val="002E2101"/>
    <w:rsid w:val="002E5625"/>
    <w:rsid w:val="002E6C8C"/>
    <w:rsid w:val="002E7705"/>
    <w:rsid w:val="002E7BBD"/>
    <w:rsid w:val="002E7D19"/>
    <w:rsid w:val="002F03D1"/>
    <w:rsid w:val="002F4222"/>
    <w:rsid w:val="002F5B40"/>
    <w:rsid w:val="002F6559"/>
    <w:rsid w:val="002F757D"/>
    <w:rsid w:val="002F771A"/>
    <w:rsid w:val="0030002D"/>
    <w:rsid w:val="0030026F"/>
    <w:rsid w:val="003008F7"/>
    <w:rsid w:val="003018E9"/>
    <w:rsid w:val="00301978"/>
    <w:rsid w:val="003025B7"/>
    <w:rsid w:val="00303940"/>
    <w:rsid w:val="00304446"/>
    <w:rsid w:val="00304795"/>
    <w:rsid w:val="003049D2"/>
    <w:rsid w:val="003054F9"/>
    <w:rsid w:val="0030553B"/>
    <w:rsid w:val="0030692B"/>
    <w:rsid w:val="00311356"/>
    <w:rsid w:val="003124E7"/>
    <w:rsid w:val="00313CE3"/>
    <w:rsid w:val="00316D3D"/>
    <w:rsid w:val="0031722C"/>
    <w:rsid w:val="00317720"/>
    <w:rsid w:val="00317B82"/>
    <w:rsid w:val="00321021"/>
    <w:rsid w:val="003214A5"/>
    <w:rsid w:val="003224EA"/>
    <w:rsid w:val="003233DC"/>
    <w:rsid w:val="00323B4C"/>
    <w:rsid w:val="00331164"/>
    <w:rsid w:val="00333553"/>
    <w:rsid w:val="00333AC7"/>
    <w:rsid w:val="003367AD"/>
    <w:rsid w:val="00336CD2"/>
    <w:rsid w:val="003374C9"/>
    <w:rsid w:val="003374CB"/>
    <w:rsid w:val="00341488"/>
    <w:rsid w:val="003423DC"/>
    <w:rsid w:val="00342E3B"/>
    <w:rsid w:val="003431CE"/>
    <w:rsid w:val="003435CF"/>
    <w:rsid w:val="00343F87"/>
    <w:rsid w:val="00344BD9"/>
    <w:rsid w:val="003457A3"/>
    <w:rsid w:val="0034774E"/>
    <w:rsid w:val="003512FB"/>
    <w:rsid w:val="0035366D"/>
    <w:rsid w:val="00357D77"/>
    <w:rsid w:val="00360794"/>
    <w:rsid w:val="00361C50"/>
    <w:rsid w:val="00361F4C"/>
    <w:rsid w:val="003625DC"/>
    <w:rsid w:val="00362A2B"/>
    <w:rsid w:val="0036436A"/>
    <w:rsid w:val="0036442E"/>
    <w:rsid w:val="00365DFE"/>
    <w:rsid w:val="003665FD"/>
    <w:rsid w:val="0036669B"/>
    <w:rsid w:val="00370182"/>
    <w:rsid w:val="00370CDD"/>
    <w:rsid w:val="0037139D"/>
    <w:rsid w:val="00372899"/>
    <w:rsid w:val="00375C02"/>
    <w:rsid w:val="00376596"/>
    <w:rsid w:val="00377659"/>
    <w:rsid w:val="00377C71"/>
    <w:rsid w:val="003802A8"/>
    <w:rsid w:val="00380381"/>
    <w:rsid w:val="00380BFB"/>
    <w:rsid w:val="003834AC"/>
    <w:rsid w:val="0038377A"/>
    <w:rsid w:val="00384B6B"/>
    <w:rsid w:val="00384B77"/>
    <w:rsid w:val="00385BEA"/>
    <w:rsid w:val="00385CE6"/>
    <w:rsid w:val="00385D7F"/>
    <w:rsid w:val="00386B66"/>
    <w:rsid w:val="003913AA"/>
    <w:rsid w:val="00392751"/>
    <w:rsid w:val="0039371B"/>
    <w:rsid w:val="003970B1"/>
    <w:rsid w:val="003A0E2B"/>
    <w:rsid w:val="003A17AE"/>
    <w:rsid w:val="003A2119"/>
    <w:rsid w:val="003A4535"/>
    <w:rsid w:val="003A682A"/>
    <w:rsid w:val="003B1CF8"/>
    <w:rsid w:val="003B2450"/>
    <w:rsid w:val="003B56D2"/>
    <w:rsid w:val="003B79F8"/>
    <w:rsid w:val="003C0217"/>
    <w:rsid w:val="003C1E9A"/>
    <w:rsid w:val="003C3281"/>
    <w:rsid w:val="003C5B4D"/>
    <w:rsid w:val="003D058C"/>
    <w:rsid w:val="003D105C"/>
    <w:rsid w:val="003D11B9"/>
    <w:rsid w:val="003D6F61"/>
    <w:rsid w:val="003E1401"/>
    <w:rsid w:val="003E374D"/>
    <w:rsid w:val="003E4FB9"/>
    <w:rsid w:val="003E5217"/>
    <w:rsid w:val="003E551B"/>
    <w:rsid w:val="003E6A39"/>
    <w:rsid w:val="003F10C6"/>
    <w:rsid w:val="003F2125"/>
    <w:rsid w:val="003F23F8"/>
    <w:rsid w:val="003F4B30"/>
    <w:rsid w:val="003F5892"/>
    <w:rsid w:val="003F660E"/>
    <w:rsid w:val="003F7099"/>
    <w:rsid w:val="00401C13"/>
    <w:rsid w:val="00403B1C"/>
    <w:rsid w:val="00404314"/>
    <w:rsid w:val="00405CE2"/>
    <w:rsid w:val="00405E4C"/>
    <w:rsid w:val="00405F87"/>
    <w:rsid w:val="0041036C"/>
    <w:rsid w:val="00413129"/>
    <w:rsid w:val="00413406"/>
    <w:rsid w:val="00413CBE"/>
    <w:rsid w:val="004144A3"/>
    <w:rsid w:val="00414564"/>
    <w:rsid w:val="0041666B"/>
    <w:rsid w:val="00420222"/>
    <w:rsid w:val="004229BE"/>
    <w:rsid w:val="004254B0"/>
    <w:rsid w:val="00426432"/>
    <w:rsid w:val="00431992"/>
    <w:rsid w:val="004319AC"/>
    <w:rsid w:val="00432014"/>
    <w:rsid w:val="004346DF"/>
    <w:rsid w:val="00435C35"/>
    <w:rsid w:val="00435C9C"/>
    <w:rsid w:val="004365D1"/>
    <w:rsid w:val="00436AAE"/>
    <w:rsid w:val="004376C1"/>
    <w:rsid w:val="00440424"/>
    <w:rsid w:val="004417DF"/>
    <w:rsid w:val="00441DBF"/>
    <w:rsid w:val="00443032"/>
    <w:rsid w:val="004450F9"/>
    <w:rsid w:val="00445316"/>
    <w:rsid w:val="00445F7C"/>
    <w:rsid w:val="0045183E"/>
    <w:rsid w:val="0045442F"/>
    <w:rsid w:val="00454892"/>
    <w:rsid w:val="00455B93"/>
    <w:rsid w:val="00456894"/>
    <w:rsid w:val="00457D98"/>
    <w:rsid w:val="004615EF"/>
    <w:rsid w:val="00461E4D"/>
    <w:rsid w:val="00464820"/>
    <w:rsid w:val="004729BA"/>
    <w:rsid w:val="00480AEF"/>
    <w:rsid w:val="004827DA"/>
    <w:rsid w:val="004828A5"/>
    <w:rsid w:val="00483764"/>
    <w:rsid w:val="00486E0F"/>
    <w:rsid w:val="00486F54"/>
    <w:rsid w:val="004903B4"/>
    <w:rsid w:val="00493662"/>
    <w:rsid w:val="00493C01"/>
    <w:rsid w:val="00494749"/>
    <w:rsid w:val="004950B8"/>
    <w:rsid w:val="004974B6"/>
    <w:rsid w:val="004976AB"/>
    <w:rsid w:val="00497DAA"/>
    <w:rsid w:val="004A1AE2"/>
    <w:rsid w:val="004A3989"/>
    <w:rsid w:val="004A6FCA"/>
    <w:rsid w:val="004B07E3"/>
    <w:rsid w:val="004B0AA2"/>
    <w:rsid w:val="004B1FE4"/>
    <w:rsid w:val="004B3110"/>
    <w:rsid w:val="004B75AC"/>
    <w:rsid w:val="004B7614"/>
    <w:rsid w:val="004C1C55"/>
    <w:rsid w:val="004C322D"/>
    <w:rsid w:val="004C416D"/>
    <w:rsid w:val="004C48D9"/>
    <w:rsid w:val="004C71CB"/>
    <w:rsid w:val="004D089A"/>
    <w:rsid w:val="004D0CD4"/>
    <w:rsid w:val="004D147D"/>
    <w:rsid w:val="004D17C2"/>
    <w:rsid w:val="004D1E35"/>
    <w:rsid w:val="004D1F81"/>
    <w:rsid w:val="004D2555"/>
    <w:rsid w:val="004D5082"/>
    <w:rsid w:val="004D76A0"/>
    <w:rsid w:val="004E0B70"/>
    <w:rsid w:val="004E2866"/>
    <w:rsid w:val="004E37B6"/>
    <w:rsid w:val="004E3EC8"/>
    <w:rsid w:val="004E6309"/>
    <w:rsid w:val="004E7247"/>
    <w:rsid w:val="004F0844"/>
    <w:rsid w:val="004F0E35"/>
    <w:rsid w:val="004F3374"/>
    <w:rsid w:val="004F43F0"/>
    <w:rsid w:val="004F70F1"/>
    <w:rsid w:val="004F767D"/>
    <w:rsid w:val="005004EE"/>
    <w:rsid w:val="00500862"/>
    <w:rsid w:val="005012B7"/>
    <w:rsid w:val="00503551"/>
    <w:rsid w:val="0050542A"/>
    <w:rsid w:val="0050564D"/>
    <w:rsid w:val="00507048"/>
    <w:rsid w:val="00510376"/>
    <w:rsid w:val="005108BC"/>
    <w:rsid w:val="00510A80"/>
    <w:rsid w:val="00510C7C"/>
    <w:rsid w:val="005115AC"/>
    <w:rsid w:val="00511F62"/>
    <w:rsid w:val="00513404"/>
    <w:rsid w:val="00515ABF"/>
    <w:rsid w:val="00515FF2"/>
    <w:rsid w:val="005165F0"/>
    <w:rsid w:val="00516923"/>
    <w:rsid w:val="00520BD5"/>
    <w:rsid w:val="00520D1B"/>
    <w:rsid w:val="0052146B"/>
    <w:rsid w:val="0052700A"/>
    <w:rsid w:val="00527B36"/>
    <w:rsid w:val="00532C07"/>
    <w:rsid w:val="0053449B"/>
    <w:rsid w:val="0053499E"/>
    <w:rsid w:val="0053534D"/>
    <w:rsid w:val="0054058D"/>
    <w:rsid w:val="0054404C"/>
    <w:rsid w:val="00546306"/>
    <w:rsid w:val="005473C2"/>
    <w:rsid w:val="0055090D"/>
    <w:rsid w:val="00552159"/>
    <w:rsid w:val="005559DB"/>
    <w:rsid w:val="00556718"/>
    <w:rsid w:val="005578FB"/>
    <w:rsid w:val="005601A5"/>
    <w:rsid w:val="00562E10"/>
    <w:rsid w:val="005641F1"/>
    <w:rsid w:val="0056495F"/>
    <w:rsid w:val="00565145"/>
    <w:rsid w:val="00565BD1"/>
    <w:rsid w:val="00566CFA"/>
    <w:rsid w:val="00567716"/>
    <w:rsid w:val="005679F4"/>
    <w:rsid w:val="00570D4A"/>
    <w:rsid w:val="00571DFA"/>
    <w:rsid w:val="005747F0"/>
    <w:rsid w:val="0057491B"/>
    <w:rsid w:val="005801FD"/>
    <w:rsid w:val="005806E6"/>
    <w:rsid w:val="005816FA"/>
    <w:rsid w:val="0058191A"/>
    <w:rsid w:val="005831C0"/>
    <w:rsid w:val="00583EB5"/>
    <w:rsid w:val="005873F9"/>
    <w:rsid w:val="005902FB"/>
    <w:rsid w:val="005907C1"/>
    <w:rsid w:val="00590CBA"/>
    <w:rsid w:val="00593DC3"/>
    <w:rsid w:val="005941A8"/>
    <w:rsid w:val="00596A40"/>
    <w:rsid w:val="00596E97"/>
    <w:rsid w:val="00597B65"/>
    <w:rsid w:val="005A0C0E"/>
    <w:rsid w:val="005A224A"/>
    <w:rsid w:val="005A5E50"/>
    <w:rsid w:val="005A68E9"/>
    <w:rsid w:val="005B193A"/>
    <w:rsid w:val="005B381B"/>
    <w:rsid w:val="005B5169"/>
    <w:rsid w:val="005B53D3"/>
    <w:rsid w:val="005C16B2"/>
    <w:rsid w:val="005C26D1"/>
    <w:rsid w:val="005C4CAB"/>
    <w:rsid w:val="005C7649"/>
    <w:rsid w:val="005D2AB1"/>
    <w:rsid w:val="005D311B"/>
    <w:rsid w:val="005D39D5"/>
    <w:rsid w:val="005D414C"/>
    <w:rsid w:val="005D44E6"/>
    <w:rsid w:val="005D457F"/>
    <w:rsid w:val="005D5AD9"/>
    <w:rsid w:val="005D6715"/>
    <w:rsid w:val="005D6DC8"/>
    <w:rsid w:val="005D74D3"/>
    <w:rsid w:val="005D7516"/>
    <w:rsid w:val="005E3A79"/>
    <w:rsid w:val="005E411B"/>
    <w:rsid w:val="005E542B"/>
    <w:rsid w:val="005E5CAC"/>
    <w:rsid w:val="005E6A00"/>
    <w:rsid w:val="005F016D"/>
    <w:rsid w:val="005F128C"/>
    <w:rsid w:val="005F2E93"/>
    <w:rsid w:val="005F3883"/>
    <w:rsid w:val="005F42C6"/>
    <w:rsid w:val="005F4542"/>
    <w:rsid w:val="005F46C2"/>
    <w:rsid w:val="005F7109"/>
    <w:rsid w:val="005F7147"/>
    <w:rsid w:val="00600319"/>
    <w:rsid w:val="00600586"/>
    <w:rsid w:val="00601560"/>
    <w:rsid w:val="006022F1"/>
    <w:rsid w:val="006033AC"/>
    <w:rsid w:val="00603AC2"/>
    <w:rsid w:val="00604039"/>
    <w:rsid w:val="00604B19"/>
    <w:rsid w:val="0060532E"/>
    <w:rsid w:val="00606D28"/>
    <w:rsid w:val="00610EC7"/>
    <w:rsid w:val="006115FA"/>
    <w:rsid w:val="006157A8"/>
    <w:rsid w:val="00615A3F"/>
    <w:rsid w:val="00621767"/>
    <w:rsid w:val="00622313"/>
    <w:rsid w:val="00623851"/>
    <w:rsid w:val="00626B21"/>
    <w:rsid w:val="006319DB"/>
    <w:rsid w:val="00632996"/>
    <w:rsid w:val="00636042"/>
    <w:rsid w:val="00640739"/>
    <w:rsid w:val="0064129B"/>
    <w:rsid w:val="006465BC"/>
    <w:rsid w:val="00646D47"/>
    <w:rsid w:val="00647F18"/>
    <w:rsid w:val="00650A67"/>
    <w:rsid w:val="006528D1"/>
    <w:rsid w:val="00652B81"/>
    <w:rsid w:val="00654F9A"/>
    <w:rsid w:val="00655504"/>
    <w:rsid w:val="00662BD5"/>
    <w:rsid w:val="00663E89"/>
    <w:rsid w:val="00666EC6"/>
    <w:rsid w:val="006706A0"/>
    <w:rsid w:val="00670A1C"/>
    <w:rsid w:val="006710F5"/>
    <w:rsid w:val="00671CC7"/>
    <w:rsid w:val="00673C57"/>
    <w:rsid w:val="00674668"/>
    <w:rsid w:val="006754C9"/>
    <w:rsid w:val="006755DA"/>
    <w:rsid w:val="006801C5"/>
    <w:rsid w:val="006806A1"/>
    <w:rsid w:val="00680A51"/>
    <w:rsid w:val="006836AB"/>
    <w:rsid w:val="0068423E"/>
    <w:rsid w:val="00690E8E"/>
    <w:rsid w:val="00691B18"/>
    <w:rsid w:val="0069208C"/>
    <w:rsid w:val="006927A1"/>
    <w:rsid w:val="0069318F"/>
    <w:rsid w:val="0069404A"/>
    <w:rsid w:val="00694C75"/>
    <w:rsid w:val="00695B0B"/>
    <w:rsid w:val="00695CD6"/>
    <w:rsid w:val="006965EF"/>
    <w:rsid w:val="00696934"/>
    <w:rsid w:val="006A3475"/>
    <w:rsid w:val="006A4451"/>
    <w:rsid w:val="006A643B"/>
    <w:rsid w:val="006A648A"/>
    <w:rsid w:val="006A6A8E"/>
    <w:rsid w:val="006A6B41"/>
    <w:rsid w:val="006A6F84"/>
    <w:rsid w:val="006A783E"/>
    <w:rsid w:val="006A7F7E"/>
    <w:rsid w:val="006B12DC"/>
    <w:rsid w:val="006B2876"/>
    <w:rsid w:val="006B45A3"/>
    <w:rsid w:val="006B6410"/>
    <w:rsid w:val="006B685C"/>
    <w:rsid w:val="006B6B25"/>
    <w:rsid w:val="006B70D9"/>
    <w:rsid w:val="006C1B87"/>
    <w:rsid w:val="006C22DC"/>
    <w:rsid w:val="006C43B0"/>
    <w:rsid w:val="006C5613"/>
    <w:rsid w:val="006D0223"/>
    <w:rsid w:val="006D13E5"/>
    <w:rsid w:val="006D2E6C"/>
    <w:rsid w:val="006D3CA9"/>
    <w:rsid w:val="006D45F0"/>
    <w:rsid w:val="006D64EC"/>
    <w:rsid w:val="006E0A7A"/>
    <w:rsid w:val="006E17C5"/>
    <w:rsid w:val="006E1F76"/>
    <w:rsid w:val="006E2817"/>
    <w:rsid w:val="006E2920"/>
    <w:rsid w:val="006E3B3D"/>
    <w:rsid w:val="006E436F"/>
    <w:rsid w:val="006E4A80"/>
    <w:rsid w:val="006E54D8"/>
    <w:rsid w:val="006E6AFF"/>
    <w:rsid w:val="006F09A4"/>
    <w:rsid w:val="006F1885"/>
    <w:rsid w:val="006F2E6A"/>
    <w:rsid w:val="006F35AB"/>
    <w:rsid w:val="006F3AA3"/>
    <w:rsid w:val="006F3CF8"/>
    <w:rsid w:val="006F5D7A"/>
    <w:rsid w:val="006F7570"/>
    <w:rsid w:val="006F79B4"/>
    <w:rsid w:val="007018D3"/>
    <w:rsid w:val="00711A65"/>
    <w:rsid w:val="0071397C"/>
    <w:rsid w:val="00713FC6"/>
    <w:rsid w:val="007166B7"/>
    <w:rsid w:val="00716D9A"/>
    <w:rsid w:val="00721F28"/>
    <w:rsid w:val="00722F5C"/>
    <w:rsid w:val="00723E2A"/>
    <w:rsid w:val="00725A08"/>
    <w:rsid w:val="00726940"/>
    <w:rsid w:val="00727295"/>
    <w:rsid w:val="007302D2"/>
    <w:rsid w:val="00730D8C"/>
    <w:rsid w:val="00730F9B"/>
    <w:rsid w:val="007311A3"/>
    <w:rsid w:val="00732E69"/>
    <w:rsid w:val="00733032"/>
    <w:rsid w:val="00733071"/>
    <w:rsid w:val="00733656"/>
    <w:rsid w:val="00733A22"/>
    <w:rsid w:val="00735A7C"/>
    <w:rsid w:val="00736A7B"/>
    <w:rsid w:val="00736C6F"/>
    <w:rsid w:val="007371C5"/>
    <w:rsid w:val="0073790C"/>
    <w:rsid w:val="00737B22"/>
    <w:rsid w:val="00737EE6"/>
    <w:rsid w:val="00741543"/>
    <w:rsid w:val="00742A60"/>
    <w:rsid w:val="00742D61"/>
    <w:rsid w:val="00744AEE"/>
    <w:rsid w:val="00745D13"/>
    <w:rsid w:val="00750AE8"/>
    <w:rsid w:val="00750D32"/>
    <w:rsid w:val="0075124F"/>
    <w:rsid w:val="00752F16"/>
    <w:rsid w:val="007548DA"/>
    <w:rsid w:val="0075553C"/>
    <w:rsid w:val="007555BC"/>
    <w:rsid w:val="00756039"/>
    <w:rsid w:val="007563E1"/>
    <w:rsid w:val="00757850"/>
    <w:rsid w:val="00757D9C"/>
    <w:rsid w:val="00757ED3"/>
    <w:rsid w:val="0076056A"/>
    <w:rsid w:val="00761602"/>
    <w:rsid w:val="007616C7"/>
    <w:rsid w:val="0076288E"/>
    <w:rsid w:val="00763931"/>
    <w:rsid w:val="00763E8A"/>
    <w:rsid w:val="007646BA"/>
    <w:rsid w:val="00766A1D"/>
    <w:rsid w:val="0077034A"/>
    <w:rsid w:val="00771182"/>
    <w:rsid w:val="00774CA7"/>
    <w:rsid w:val="007754C4"/>
    <w:rsid w:val="007756AC"/>
    <w:rsid w:val="00775A4F"/>
    <w:rsid w:val="00775D9F"/>
    <w:rsid w:val="00776A06"/>
    <w:rsid w:val="00780C70"/>
    <w:rsid w:val="00781943"/>
    <w:rsid w:val="00781B21"/>
    <w:rsid w:val="00782626"/>
    <w:rsid w:val="007830B3"/>
    <w:rsid w:val="00784833"/>
    <w:rsid w:val="0078559F"/>
    <w:rsid w:val="00786347"/>
    <w:rsid w:val="007879B4"/>
    <w:rsid w:val="00790677"/>
    <w:rsid w:val="00793346"/>
    <w:rsid w:val="0079447D"/>
    <w:rsid w:val="00795153"/>
    <w:rsid w:val="00796F91"/>
    <w:rsid w:val="007A19C7"/>
    <w:rsid w:val="007A438D"/>
    <w:rsid w:val="007A57EA"/>
    <w:rsid w:val="007B02C1"/>
    <w:rsid w:val="007B1270"/>
    <w:rsid w:val="007B22C2"/>
    <w:rsid w:val="007B330F"/>
    <w:rsid w:val="007B4BF1"/>
    <w:rsid w:val="007B4E6C"/>
    <w:rsid w:val="007B74DF"/>
    <w:rsid w:val="007B7748"/>
    <w:rsid w:val="007C1C35"/>
    <w:rsid w:val="007C280D"/>
    <w:rsid w:val="007C2961"/>
    <w:rsid w:val="007C42D0"/>
    <w:rsid w:val="007C7DD1"/>
    <w:rsid w:val="007D03C0"/>
    <w:rsid w:val="007D210F"/>
    <w:rsid w:val="007D4F47"/>
    <w:rsid w:val="007D5D97"/>
    <w:rsid w:val="007D6E3A"/>
    <w:rsid w:val="007D754F"/>
    <w:rsid w:val="007D7D8A"/>
    <w:rsid w:val="007E04DA"/>
    <w:rsid w:val="007E0643"/>
    <w:rsid w:val="007E08CA"/>
    <w:rsid w:val="007E134D"/>
    <w:rsid w:val="007E1ADA"/>
    <w:rsid w:val="007E1E2D"/>
    <w:rsid w:val="007E2F2C"/>
    <w:rsid w:val="007E5938"/>
    <w:rsid w:val="007E7ED1"/>
    <w:rsid w:val="007F029A"/>
    <w:rsid w:val="007F07EF"/>
    <w:rsid w:val="007F4017"/>
    <w:rsid w:val="007F54C0"/>
    <w:rsid w:val="0080039D"/>
    <w:rsid w:val="00801354"/>
    <w:rsid w:val="00802602"/>
    <w:rsid w:val="0080308D"/>
    <w:rsid w:val="008035BF"/>
    <w:rsid w:val="0080423B"/>
    <w:rsid w:val="00806DB9"/>
    <w:rsid w:val="00810433"/>
    <w:rsid w:val="00813E21"/>
    <w:rsid w:val="008142FE"/>
    <w:rsid w:val="0081566E"/>
    <w:rsid w:val="008160A3"/>
    <w:rsid w:val="008172FD"/>
    <w:rsid w:val="00820095"/>
    <w:rsid w:val="008204BF"/>
    <w:rsid w:val="00822016"/>
    <w:rsid w:val="008260EB"/>
    <w:rsid w:val="008260FD"/>
    <w:rsid w:val="008271C8"/>
    <w:rsid w:val="008314B0"/>
    <w:rsid w:val="00833288"/>
    <w:rsid w:val="0083443B"/>
    <w:rsid w:val="00835FE4"/>
    <w:rsid w:val="00837B38"/>
    <w:rsid w:val="008413F4"/>
    <w:rsid w:val="00842DC6"/>
    <w:rsid w:val="00845478"/>
    <w:rsid w:val="00846833"/>
    <w:rsid w:val="00846835"/>
    <w:rsid w:val="008475A3"/>
    <w:rsid w:val="00847A7A"/>
    <w:rsid w:val="00847B36"/>
    <w:rsid w:val="00850FD4"/>
    <w:rsid w:val="00851241"/>
    <w:rsid w:val="00852126"/>
    <w:rsid w:val="0085242D"/>
    <w:rsid w:val="00857640"/>
    <w:rsid w:val="008605F7"/>
    <w:rsid w:val="00861759"/>
    <w:rsid w:val="00861E95"/>
    <w:rsid w:val="008628B7"/>
    <w:rsid w:val="00864A1A"/>
    <w:rsid w:val="00865767"/>
    <w:rsid w:val="00866537"/>
    <w:rsid w:val="00866FF3"/>
    <w:rsid w:val="0086766E"/>
    <w:rsid w:val="00867895"/>
    <w:rsid w:val="00871051"/>
    <w:rsid w:val="0087195D"/>
    <w:rsid w:val="0087264B"/>
    <w:rsid w:val="008744DC"/>
    <w:rsid w:val="00875FF1"/>
    <w:rsid w:val="008762F9"/>
    <w:rsid w:val="008769D7"/>
    <w:rsid w:val="00876ABC"/>
    <w:rsid w:val="0087771E"/>
    <w:rsid w:val="00885A9C"/>
    <w:rsid w:val="00885B12"/>
    <w:rsid w:val="00887644"/>
    <w:rsid w:val="0089112C"/>
    <w:rsid w:val="00891E5D"/>
    <w:rsid w:val="008934CF"/>
    <w:rsid w:val="008A2D30"/>
    <w:rsid w:val="008A3B07"/>
    <w:rsid w:val="008A486D"/>
    <w:rsid w:val="008A55A6"/>
    <w:rsid w:val="008A7A2A"/>
    <w:rsid w:val="008A7D9A"/>
    <w:rsid w:val="008B08C8"/>
    <w:rsid w:val="008B0BD4"/>
    <w:rsid w:val="008B143A"/>
    <w:rsid w:val="008B365B"/>
    <w:rsid w:val="008B51FF"/>
    <w:rsid w:val="008B74CF"/>
    <w:rsid w:val="008C254D"/>
    <w:rsid w:val="008C258D"/>
    <w:rsid w:val="008C60AE"/>
    <w:rsid w:val="008C64C9"/>
    <w:rsid w:val="008D0BB6"/>
    <w:rsid w:val="008D0CA2"/>
    <w:rsid w:val="008D2859"/>
    <w:rsid w:val="008D3C99"/>
    <w:rsid w:val="008D501A"/>
    <w:rsid w:val="008D5B6A"/>
    <w:rsid w:val="008D68A4"/>
    <w:rsid w:val="008D71DF"/>
    <w:rsid w:val="008D7A8F"/>
    <w:rsid w:val="008E0357"/>
    <w:rsid w:val="008E086A"/>
    <w:rsid w:val="008E0D6C"/>
    <w:rsid w:val="008E11DA"/>
    <w:rsid w:val="008E272C"/>
    <w:rsid w:val="008E4A84"/>
    <w:rsid w:val="008E6F1C"/>
    <w:rsid w:val="008F092D"/>
    <w:rsid w:val="008F20F7"/>
    <w:rsid w:val="008F2139"/>
    <w:rsid w:val="008F5619"/>
    <w:rsid w:val="00900F6C"/>
    <w:rsid w:val="00902BBD"/>
    <w:rsid w:val="00906A24"/>
    <w:rsid w:val="00906C72"/>
    <w:rsid w:val="009104D5"/>
    <w:rsid w:val="00910CE3"/>
    <w:rsid w:val="0091119D"/>
    <w:rsid w:val="00911CED"/>
    <w:rsid w:val="009123A7"/>
    <w:rsid w:val="00913148"/>
    <w:rsid w:val="00913226"/>
    <w:rsid w:val="0091322D"/>
    <w:rsid w:val="00913404"/>
    <w:rsid w:val="00913FAE"/>
    <w:rsid w:val="0091428D"/>
    <w:rsid w:val="009160BC"/>
    <w:rsid w:val="00916947"/>
    <w:rsid w:val="00920AD0"/>
    <w:rsid w:val="00922BCC"/>
    <w:rsid w:val="0092376F"/>
    <w:rsid w:val="009247F8"/>
    <w:rsid w:val="00925F19"/>
    <w:rsid w:val="00927A24"/>
    <w:rsid w:val="00930569"/>
    <w:rsid w:val="009308E8"/>
    <w:rsid w:val="00932C57"/>
    <w:rsid w:val="00933835"/>
    <w:rsid w:val="00934008"/>
    <w:rsid w:val="009348CA"/>
    <w:rsid w:val="009349C9"/>
    <w:rsid w:val="00934B2A"/>
    <w:rsid w:val="00934CBE"/>
    <w:rsid w:val="009427AF"/>
    <w:rsid w:val="0094471A"/>
    <w:rsid w:val="00945AB0"/>
    <w:rsid w:val="0094626F"/>
    <w:rsid w:val="00946D4E"/>
    <w:rsid w:val="00947025"/>
    <w:rsid w:val="009528E7"/>
    <w:rsid w:val="00953DE4"/>
    <w:rsid w:val="009543C1"/>
    <w:rsid w:val="00955A3B"/>
    <w:rsid w:val="009563AA"/>
    <w:rsid w:val="00957130"/>
    <w:rsid w:val="00957515"/>
    <w:rsid w:val="00960316"/>
    <w:rsid w:val="00960779"/>
    <w:rsid w:val="0096096D"/>
    <w:rsid w:val="0096168E"/>
    <w:rsid w:val="00963566"/>
    <w:rsid w:val="0096467F"/>
    <w:rsid w:val="00965923"/>
    <w:rsid w:val="00965F2A"/>
    <w:rsid w:val="009671AB"/>
    <w:rsid w:val="009713F7"/>
    <w:rsid w:val="00971F9E"/>
    <w:rsid w:val="0097344D"/>
    <w:rsid w:val="00975495"/>
    <w:rsid w:val="0097569E"/>
    <w:rsid w:val="00975D77"/>
    <w:rsid w:val="00976060"/>
    <w:rsid w:val="0098002C"/>
    <w:rsid w:val="00982CFB"/>
    <w:rsid w:val="00985F7F"/>
    <w:rsid w:val="009901FC"/>
    <w:rsid w:val="00991703"/>
    <w:rsid w:val="00992042"/>
    <w:rsid w:val="00992386"/>
    <w:rsid w:val="009969DE"/>
    <w:rsid w:val="009976F4"/>
    <w:rsid w:val="009A03B7"/>
    <w:rsid w:val="009A6CEC"/>
    <w:rsid w:val="009A7A0F"/>
    <w:rsid w:val="009B1711"/>
    <w:rsid w:val="009B37C4"/>
    <w:rsid w:val="009B559E"/>
    <w:rsid w:val="009B6F5A"/>
    <w:rsid w:val="009C1101"/>
    <w:rsid w:val="009C532F"/>
    <w:rsid w:val="009C592C"/>
    <w:rsid w:val="009C6E5F"/>
    <w:rsid w:val="009C72ED"/>
    <w:rsid w:val="009C7666"/>
    <w:rsid w:val="009D19A3"/>
    <w:rsid w:val="009D2584"/>
    <w:rsid w:val="009D4FBA"/>
    <w:rsid w:val="009E18E8"/>
    <w:rsid w:val="009E4874"/>
    <w:rsid w:val="009E7BCC"/>
    <w:rsid w:val="009F0C07"/>
    <w:rsid w:val="009F2A4D"/>
    <w:rsid w:val="009F4331"/>
    <w:rsid w:val="009F505D"/>
    <w:rsid w:val="009F5A3D"/>
    <w:rsid w:val="009F5D8B"/>
    <w:rsid w:val="009F6BA2"/>
    <w:rsid w:val="009F7F1E"/>
    <w:rsid w:val="00A0029D"/>
    <w:rsid w:val="00A0099E"/>
    <w:rsid w:val="00A00A95"/>
    <w:rsid w:val="00A011DD"/>
    <w:rsid w:val="00A01335"/>
    <w:rsid w:val="00A014BF"/>
    <w:rsid w:val="00A04B15"/>
    <w:rsid w:val="00A0554C"/>
    <w:rsid w:val="00A05571"/>
    <w:rsid w:val="00A05DC8"/>
    <w:rsid w:val="00A078FB"/>
    <w:rsid w:val="00A124A3"/>
    <w:rsid w:val="00A12FBD"/>
    <w:rsid w:val="00A16F11"/>
    <w:rsid w:val="00A2011D"/>
    <w:rsid w:val="00A2109F"/>
    <w:rsid w:val="00A22617"/>
    <w:rsid w:val="00A25DED"/>
    <w:rsid w:val="00A26845"/>
    <w:rsid w:val="00A27036"/>
    <w:rsid w:val="00A2729D"/>
    <w:rsid w:val="00A32448"/>
    <w:rsid w:val="00A33522"/>
    <w:rsid w:val="00A338E8"/>
    <w:rsid w:val="00A34E38"/>
    <w:rsid w:val="00A37C10"/>
    <w:rsid w:val="00A37EC5"/>
    <w:rsid w:val="00A41E5B"/>
    <w:rsid w:val="00A45A70"/>
    <w:rsid w:val="00A4660E"/>
    <w:rsid w:val="00A500BF"/>
    <w:rsid w:val="00A519DF"/>
    <w:rsid w:val="00A55926"/>
    <w:rsid w:val="00A55A3D"/>
    <w:rsid w:val="00A576B6"/>
    <w:rsid w:val="00A60A34"/>
    <w:rsid w:val="00A61241"/>
    <w:rsid w:val="00A61F55"/>
    <w:rsid w:val="00A64DAE"/>
    <w:rsid w:val="00A6521F"/>
    <w:rsid w:val="00A6731B"/>
    <w:rsid w:val="00A70C50"/>
    <w:rsid w:val="00A7226D"/>
    <w:rsid w:val="00A73082"/>
    <w:rsid w:val="00A73F86"/>
    <w:rsid w:val="00A74431"/>
    <w:rsid w:val="00A75325"/>
    <w:rsid w:val="00A77F12"/>
    <w:rsid w:val="00A77F5E"/>
    <w:rsid w:val="00A80607"/>
    <w:rsid w:val="00A81C3E"/>
    <w:rsid w:val="00A83B94"/>
    <w:rsid w:val="00A844F2"/>
    <w:rsid w:val="00A8682A"/>
    <w:rsid w:val="00A86D20"/>
    <w:rsid w:val="00A909E7"/>
    <w:rsid w:val="00A912B7"/>
    <w:rsid w:val="00A92246"/>
    <w:rsid w:val="00A92D7D"/>
    <w:rsid w:val="00AA032A"/>
    <w:rsid w:val="00AA0984"/>
    <w:rsid w:val="00AA1ACD"/>
    <w:rsid w:val="00AA3DA1"/>
    <w:rsid w:val="00AA4721"/>
    <w:rsid w:val="00AA4B5C"/>
    <w:rsid w:val="00AB2BAA"/>
    <w:rsid w:val="00AB5872"/>
    <w:rsid w:val="00AB5F25"/>
    <w:rsid w:val="00AB77D1"/>
    <w:rsid w:val="00AC12EE"/>
    <w:rsid w:val="00AC153F"/>
    <w:rsid w:val="00AD08A5"/>
    <w:rsid w:val="00AD103F"/>
    <w:rsid w:val="00AD27B4"/>
    <w:rsid w:val="00AD40DF"/>
    <w:rsid w:val="00AD51EE"/>
    <w:rsid w:val="00AD5C35"/>
    <w:rsid w:val="00AE0A99"/>
    <w:rsid w:val="00AE34AA"/>
    <w:rsid w:val="00AE54B3"/>
    <w:rsid w:val="00AE5977"/>
    <w:rsid w:val="00AE5A1C"/>
    <w:rsid w:val="00AE66F3"/>
    <w:rsid w:val="00AE6859"/>
    <w:rsid w:val="00AE68F6"/>
    <w:rsid w:val="00AE6F22"/>
    <w:rsid w:val="00AF0EC4"/>
    <w:rsid w:val="00AF18C2"/>
    <w:rsid w:val="00B00719"/>
    <w:rsid w:val="00B02D89"/>
    <w:rsid w:val="00B04CA7"/>
    <w:rsid w:val="00B04FEC"/>
    <w:rsid w:val="00B12093"/>
    <w:rsid w:val="00B1210B"/>
    <w:rsid w:val="00B14E99"/>
    <w:rsid w:val="00B1722F"/>
    <w:rsid w:val="00B176E6"/>
    <w:rsid w:val="00B17897"/>
    <w:rsid w:val="00B17B35"/>
    <w:rsid w:val="00B21955"/>
    <w:rsid w:val="00B22636"/>
    <w:rsid w:val="00B23DB5"/>
    <w:rsid w:val="00B248FA"/>
    <w:rsid w:val="00B24A8B"/>
    <w:rsid w:val="00B2566E"/>
    <w:rsid w:val="00B26F77"/>
    <w:rsid w:val="00B27AB3"/>
    <w:rsid w:val="00B30DDC"/>
    <w:rsid w:val="00B3113F"/>
    <w:rsid w:val="00B314A4"/>
    <w:rsid w:val="00B32C3C"/>
    <w:rsid w:val="00B32C4D"/>
    <w:rsid w:val="00B32CFD"/>
    <w:rsid w:val="00B337C9"/>
    <w:rsid w:val="00B35827"/>
    <w:rsid w:val="00B375A4"/>
    <w:rsid w:val="00B40347"/>
    <w:rsid w:val="00B43377"/>
    <w:rsid w:val="00B45F53"/>
    <w:rsid w:val="00B4686E"/>
    <w:rsid w:val="00B4755F"/>
    <w:rsid w:val="00B4784E"/>
    <w:rsid w:val="00B47FCD"/>
    <w:rsid w:val="00B5151B"/>
    <w:rsid w:val="00B52BB0"/>
    <w:rsid w:val="00B53B4C"/>
    <w:rsid w:val="00B53B7B"/>
    <w:rsid w:val="00B57969"/>
    <w:rsid w:val="00B57D10"/>
    <w:rsid w:val="00B605D8"/>
    <w:rsid w:val="00B6741D"/>
    <w:rsid w:val="00B75FFC"/>
    <w:rsid w:val="00B76B5C"/>
    <w:rsid w:val="00B80850"/>
    <w:rsid w:val="00B80B20"/>
    <w:rsid w:val="00B83B44"/>
    <w:rsid w:val="00B85BFE"/>
    <w:rsid w:val="00B9016E"/>
    <w:rsid w:val="00B902A4"/>
    <w:rsid w:val="00B90BB5"/>
    <w:rsid w:val="00B91B14"/>
    <w:rsid w:val="00B93183"/>
    <w:rsid w:val="00B958EA"/>
    <w:rsid w:val="00B96313"/>
    <w:rsid w:val="00B9665F"/>
    <w:rsid w:val="00B9725C"/>
    <w:rsid w:val="00B97AC1"/>
    <w:rsid w:val="00BA2EC6"/>
    <w:rsid w:val="00BA49AD"/>
    <w:rsid w:val="00BA4B67"/>
    <w:rsid w:val="00BA4D5C"/>
    <w:rsid w:val="00BA6752"/>
    <w:rsid w:val="00BB3F74"/>
    <w:rsid w:val="00BB3FFC"/>
    <w:rsid w:val="00BB6324"/>
    <w:rsid w:val="00BB6B63"/>
    <w:rsid w:val="00BB71BD"/>
    <w:rsid w:val="00BC1285"/>
    <w:rsid w:val="00BC1A9F"/>
    <w:rsid w:val="00BC4FAA"/>
    <w:rsid w:val="00BC5002"/>
    <w:rsid w:val="00BC6199"/>
    <w:rsid w:val="00BC6698"/>
    <w:rsid w:val="00BC6A09"/>
    <w:rsid w:val="00BC79B5"/>
    <w:rsid w:val="00BC7C5F"/>
    <w:rsid w:val="00BD2046"/>
    <w:rsid w:val="00BD2909"/>
    <w:rsid w:val="00BD2CC3"/>
    <w:rsid w:val="00BD2DAD"/>
    <w:rsid w:val="00BD3370"/>
    <w:rsid w:val="00BD5842"/>
    <w:rsid w:val="00BD66FD"/>
    <w:rsid w:val="00BD6D76"/>
    <w:rsid w:val="00BE00C6"/>
    <w:rsid w:val="00BE0145"/>
    <w:rsid w:val="00BE09B8"/>
    <w:rsid w:val="00BE1384"/>
    <w:rsid w:val="00BE1A94"/>
    <w:rsid w:val="00BE1DCA"/>
    <w:rsid w:val="00BE2827"/>
    <w:rsid w:val="00BE3CD6"/>
    <w:rsid w:val="00BE4157"/>
    <w:rsid w:val="00BE5A92"/>
    <w:rsid w:val="00BE7EAF"/>
    <w:rsid w:val="00BF1624"/>
    <w:rsid w:val="00BF17C2"/>
    <w:rsid w:val="00BF5295"/>
    <w:rsid w:val="00BF5517"/>
    <w:rsid w:val="00BF6FBF"/>
    <w:rsid w:val="00C0025B"/>
    <w:rsid w:val="00C03030"/>
    <w:rsid w:val="00C03E69"/>
    <w:rsid w:val="00C06ACE"/>
    <w:rsid w:val="00C06FFB"/>
    <w:rsid w:val="00C10FA8"/>
    <w:rsid w:val="00C110F0"/>
    <w:rsid w:val="00C13E93"/>
    <w:rsid w:val="00C14977"/>
    <w:rsid w:val="00C15FDB"/>
    <w:rsid w:val="00C164D9"/>
    <w:rsid w:val="00C16918"/>
    <w:rsid w:val="00C22DF6"/>
    <w:rsid w:val="00C24881"/>
    <w:rsid w:val="00C248D5"/>
    <w:rsid w:val="00C25E8E"/>
    <w:rsid w:val="00C261AD"/>
    <w:rsid w:val="00C3089F"/>
    <w:rsid w:val="00C31D81"/>
    <w:rsid w:val="00C31DF3"/>
    <w:rsid w:val="00C338F6"/>
    <w:rsid w:val="00C35719"/>
    <w:rsid w:val="00C360EE"/>
    <w:rsid w:val="00C36E0A"/>
    <w:rsid w:val="00C4156B"/>
    <w:rsid w:val="00C42EC4"/>
    <w:rsid w:val="00C42FC5"/>
    <w:rsid w:val="00C43227"/>
    <w:rsid w:val="00C434B4"/>
    <w:rsid w:val="00C437FA"/>
    <w:rsid w:val="00C45852"/>
    <w:rsid w:val="00C50944"/>
    <w:rsid w:val="00C5486F"/>
    <w:rsid w:val="00C55973"/>
    <w:rsid w:val="00C57D48"/>
    <w:rsid w:val="00C61C7F"/>
    <w:rsid w:val="00C630D6"/>
    <w:rsid w:val="00C64C17"/>
    <w:rsid w:val="00C67D38"/>
    <w:rsid w:val="00C70924"/>
    <w:rsid w:val="00C71F72"/>
    <w:rsid w:val="00C74DFB"/>
    <w:rsid w:val="00C75041"/>
    <w:rsid w:val="00C760D7"/>
    <w:rsid w:val="00C774A2"/>
    <w:rsid w:val="00C775F1"/>
    <w:rsid w:val="00C8115E"/>
    <w:rsid w:val="00C81FEC"/>
    <w:rsid w:val="00C83CBD"/>
    <w:rsid w:val="00C85C82"/>
    <w:rsid w:val="00C868F6"/>
    <w:rsid w:val="00C86F70"/>
    <w:rsid w:val="00C86FDE"/>
    <w:rsid w:val="00C872E3"/>
    <w:rsid w:val="00C90723"/>
    <w:rsid w:val="00C90CFF"/>
    <w:rsid w:val="00C91349"/>
    <w:rsid w:val="00C91875"/>
    <w:rsid w:val="00C925FD"/>
    <w:rsid w:val="00C94D48"/>
    <w:rsid w:val="00C96932"/>
    <w:rsid w:val="00C96951"/>
    <w:rsid w:val="00CA1273"/>
    <w:rsid w:val="00CA3918"/>
    <w:rsid w:val="00CA4011"/>
    <w:rsid w:val="00CA5846"/>
    <w:rsid w:val="00CA5E7F"/>
    <w:rsid w:val="00CA6BAF"/>
    <w:rsid w:val="00CB150A"/>
    <w:rsid w:val="00CB358C"/>
    <w:rsid w:val="00CB403B"/>
    <w:rsid w:val="00CB7C5F"/>
    <w:rsid w:val="00CC0AAF"/>
    <w:rsid w:val="00CC26B4"/>
    <w:rsid w:val="00CC63E7"/>
    <w:rsid w:val="00CC645C"/>
    <w:rsid w:val="00CC79E9"/>
    <w:rsid w:val="00CD17DB"/>
    <w:rsid w:val="00CD3973"/>
    <w:rsid w:val="00CD6418"/>
    <w:rsid w:val="00CD6707"/>
    <w:rsid w:val="00CD726D"/>
    <w:rsid w:val="00CE0512"/>
    <w:rsid w:val="00CE278F"/>
    <w:rsid w:val="00CE2948"/>
    <w:rsid w:val="00CE2C62"/>
    <w:rsid w:val="00CF2A31"/>
    <w:rsid w:val="00CF479C"/>
    <w:rsid w:val="00CF54E6"/>
    <w:rsid w:val="00CF7043"/>
    <w:rsid w:val="00D0200B"/>
    <w:rsid w:val="00D02D61"/>
    <w:rsid w:val="00D03DE8"/>
    <w:rsid w:val="00D04348"/>
    <w:rsid w:val="00D0441F"/>
    <w:rsid w:val="00D0591D"/>
    <w:rsid w:val="00D07F18"/>
    <w:rsid w:val="00D106A7"/>
    <w:rsid w:val="00D12369"/>
    <w:rsid w:val="00D13B32"/>
    <w:rsid w:val="00D15A65"/>
    <w:rsid w:val="00D16100"/>
    <w:rsid w:val="00D17433"/>
    <w:rsid w:val="00D203C0"/>
    <w:rsid w:val="00D2159D"/>
    <w:rsid w:val="00D23047"/>
    <w:rsid w:val="00D2317F"/>
    <w:rsid w:val="00D27103"/>
    <w:rsid w:val="00D277EA"/>
    <w:rsid w:val="00D31359"/>
    <w:rsid w:val="00D31929"/>
    <w:rsid w:val="00D319D6"/>
    <w:rsid w:val="00D3393A"/>
    <w:rsid w:val="00D34663"/>
    <w:rsid w:val="00D36643"/>
    <w:rsid w:val="00D3698B"/>
    <w:rsid w:val="00D37A5B"/>
    <w:rsid w:val="00D40451"/>
    <w:rsid w:val="00D43957"/>
    <w:rsid w:val="00D43FC1"/>
    <w:rsid w:val="00D44C32"/>
    <w:rsid w:val="00D46E1F"/>
    <w:rsid w:val="00D4732A"/>
    <w:rsid w:val="00D52FB7"/>
    <w:rsid w:val="00D54D55"/>
    <w:rsid w:val="00D577D5"/>
    <w:rsid w:val="00D57C60"/>
    <w:rsid w:val="00D60658"/>
    <w:rsid w:val="00D60BC9"/>
    <w:rsid w:val="00D62993"/>
    <w:rsid w:val="00D62FFC"/>
    <w:rsid w:val="00D644A2"/>
    <w:rsid w:val="00D6563D"/>
    <w:rsid w:val="00D65B82"/>
    <w:rsid w:val="00D6731E"/>
    <w:rsid w:val="00D708C8"/>
    <w:rsid w:val="00D72340"/>
    <w:rsid w:val="00D74869"/>
    <w:rsid w:val="00D75330"/>
    <w:rsid w:val="00D80BE2"/>
    <w:rsid w:val="00D81930"/>
    <w:rsid w:val="00D82448"/>
    <w:rsid w:val="00D82831"/>
    <w:rsid w:val="00D83490"/>
    <w:rsid w:val="00D837ED"/>
    <w:rsid w:val="00D84B69"/>
    <w:rsid w:val="00D84F5D"/>
    <w:rsid w:val="00D86010"/>
    <w:rsid w:val="00D86142"/>
    <w:rsid w:val="00D86375"/>
    <w:rsid w:val="00D873CB"/>
    <w:rsid w:val="00D91C41"/>
    <w:rsid w:val="00D925A0"/>
    <w:rsid w:val="00D93166"/>
    <w:rsid w:val="00D93B9E"/>
    <w:rsid w:val="00D9475C"/>
    <w:rsid w:val="00D95296"/>
    <w:rsid w:val="00D95449"/>
    <w:rsid w:val="00D97ABB"/>
    <w:rsid w:val="00D97CE1"/>
    <w:rsid w:val="00DA052D"/>
    <w:rsid w:val="00DA1F74"/>
    <w:rsid w:val="00DA41EE"/>
    <w:rsid w:val="00DA42C6"/>
    <w:rsid w:val="00DA6AEB"/>
    <w:rsid w:val="00DB36C4"/>
    <w:rsid w:val="00DB3DD3"/>
    <w:rsid w:val="00DB4013"/>
    <w:rsid w:val="00DB7C5F"/>
    <w:rsid w:val="00DC09AC"/>
    <w:rsid w:val="00DC0CE3"/>
    <w:rsid w:val="00DC4314"/>
    <w:rsid w:val="00DC5CC2"/>
    <w:rsid w:val="00DC71CC"/>
    <w:rsid w:val="00DD0D04"/>
    <w:rsid w:val="00DD1466"/>
    <w:rsid w:val="00DD4D15"/>
    <w:rsid w:val="00DD65F5"/>
    <w:rsid w:val="00DE255A"/>
    <w:rsid w:val="00DE25D4"/>
    <w:rsid w:val="00DE4C5D"/>
    <w:rsid w:val="00DE50B9"/>
    <w:rsid w:val="00DF0781"/>
    <w:rsid w:val="00DF12E6"/>
    <w:rsid w:val="00DF1D9A"/>
    <w:rsid w:val="00DF2DA9"/>
    <w:rsid w:val="00DF454B"/>
    <w:rsid w:val="00DF5555"/>
    <w:rsid w:val="00E01945"/>
    <w:rsid w:val="00E046EA"/>
    <w:rsid w:val="00E05E46"/>
    <w:rsid w:val="00E06687"/>
    <w:rsid w:val="00E130FE"/>
    <w:rsid w:val="00E14620"/>
    <w:rsid w:val="00E14BAE"/>
    <w:rsid w:val="00E2245D"/>
    <w:rsid w:val="00E276D0"/>
    <w:rsid w:val="00E3099F"/>
    <w:rsid w:val="00E330A9"/>
    <w:rsid w:val="00E33FB6"/>
    <w:rsid w:val="00E352FA"/>
    <w:rsid w:val="00E3621A"/>
    <w:rsid w:val="00E41C7C"/>
    <w:rsid w:val="00E43DAD"/>
    <w:rsid w:val="00E45A43"/>
    <w:rsid w:val="00E47DAE"/>
    <w:rsid w:val="00E5060C"/>
    <w:rsid w:val="00E51533"/>
    <w:rsid w:val="00E51AB0"/>
    <w:rsid w:val="00E51DC6"/>
    <w:rsid w:val="00E51F0C"/>
    <w:rsid w:val="00E52AA4"/>
    <w:rsid w:val="00E559E8"/>
    <w:rsid w:val="00E56170"/>
    <w:rsid w:val="00E565BF"/>
    <w:rsid w:val="00E62705"/>
    <w:rsid w:val="00E62C54"/>
    <w:rsid w:val="00E6351F"/>
    <w:rsid w:val="00E63D07"/>
    <w:rsid w:val="00E649A9"/>
    <w:rsid w:val="00E64CD0"/>
    <w:rsid w:val="00E64D3E"/>
    <w:rsid w:val="00E65085"/>
    <w:rsid w:val="00E67999"/>
    <w:rsid w:val="00E67D65"/>
    <w:rsid w:val="00E70B38"/>
    <w:rsid w:val="00E72F07"/>
    <w:rsid w:val="00E734E4"/>
    <w:rsid w:val="00E75C44"/>
    <w:rsid w:val="00E75DA0"/>
    <w:rsid w:val="00E777D2"/>
    <w:rsid w:val="00E822FB"/>
    <w:rsid w:val="00E82529"/>
    <w:rsid w:val="00E834D5"/>
    <w:rsid w:val="00E8618C"/>
    <w:rsid w:val="00E8636B"/>
    <w:rsid w:val="00E8691D"/>
    <w:rsid w:val="00E90B68"/>
    <w:rsid w:val="00E91C61"/>
    <w:rsid w:val="00E924C7"/>
    <w:rsid w:val="00E9376D"/>
    <w:rsid w:val="00E93B5C"/>
    <w:rsid w:val="00E9590E"/>
    <w:rsid w:val="00E96BA9"/>
    <w:rsid w:val="00EA4542"/>
    <w:rsid w:val="00EA720F"/>
    <w:rsid w:val="00EB060B"/>
    <w:rsid w:val="00EB29EA"/>
    <w:rsid w:val="00EB355E"/>
    <w:rsid w:val="00EB3BAF"/>
    <w:rsid w:val="00EB4E9E"/>
    <w:rsid w:val="00EB6AE2"/>
    <w:rsid w:val="00EB6D3B"/>
    <w:rsid w:val="00EB7447"/>
    <w:rsid w:val="00EC00DC"/>
    <w:rsid w:val="00EC1103"/>
    <w:rsid w:val="00EC2CD5"/>
    <w:rsid w:val="00EC36C0"/>
    <w:rsid w:val="00EC4686"/>
    <w:rsid w:val="00EC47F1"/>
    <w:rsid w:val="00EC52D1"/>
    <w:rsid w:val="00EC57D5"/>
    <w:rsid w:val="00EC5F35"/>
    <w:rsid w:val="00EC7CCA"/>
    <w:rsid w:val="00ED0803"/>
    <w:rsid w:val="00ED1699"/>
    <w:rsid w:val="00ED184E"/>
    <w:rsid w:val="00ED403A"/>
    <w:rsid w:val="00ED4E02"/>
    <w:rsid w:val="00ED5ED7"/>
    <w:rsid w:val="00ED7566"/>
    <w:rsid w:val="00ED7BDB"/>
    <w:rsid w:val="00EE0228"/>
    <w:rsid w:val="00EE0E51"/>
    <w:rsid w:val="00EE1415"/>
    <w:rsid w:val="00EE460C"/>
    <w:rsid w:val="00EE5280"/>
    <w:rsid w:val="00EE58DA"/>
    <w:rsid w:val="00EE64E3"/>
    <w:rsid w:val="00EE67DA"/>
    <w:rsid w:val="00EF14A8"/>
    <w:rsid w:val="00EF169B"/>
    <w:rsid w:val="00EF2356"/>
    <w:rsid w:val="00EF3A06"/>
    <w:rsid w:val="00EF4CDA"/>
    <w:rsid w:val="00EF505B"/>
    <w:rsid w:val="00EF5C77"/>
    <w:rsid w:val="00EF6513"/>
    <w:rsid w:val="00F019F9"/>
    <w:rsid w:val="00F030F9"/>
    <w:rsid w:val="00F03726"/>
    <w:rsid w:val="00F03E60"/>
    <w:rsid w:val="00F04479"/>
    <w:rsid w:val="00F0698C"/>
    <w:rsid w:val="00F13035"/>
    <w:rsid w:val="00F13EBB"/>
    <w:rsid w:val="00F16933"/>
    <w:rsid w:val="00F16EA3"/>
    <w:rsid w:val="00F17EE9"/>
    <w:rsid w:val="00F17F85"/>
    <w:rsid w:val="00F229BA"/>
    <w:rsid w:val="00F23E53"/>
    <w:rsid w:val="00F248A8"/>
    <w:rsid w:val="00F250CD"/>
    <w:rsid w:val="00F250E5"/>
    <w:rsid w:val="00F309A7"/>
    <w:rsid w:val="00F30B45"/>
    <w:rsid w:val="00F34140"/>
    <w:rsid w:val="00F35231"/>
    <w:rsid w:val="00F37B1D"/>
    <w:rsid w:val="00F37E95"/>
    <w:rsid w:val="00F418C2"/>
    <w:rsid w:val="00F435BA"/>
    <w:rsid w:val="00F4360F"/>
    <w:rsid w:val="00F4479B"/>
    <w:rsid w:val="00F44D5D"/>
    <w:rsid w:val="00F451F2"/>
    <w:rsid w:val="00F50575"/>
    <w:rsid w:val="00F50917"/>
    <w:rsid w:val="00F50D8F"/>
    <w:rsid w:val="00F5137D"/>
    <w:rsid w:val="00F525B1"/>
    <w:rsid w:val="00F5429F"/>
    <w:rsid w:val="00F55A2F"/>
    <w:rsid w:val="00F55A91"/>
    <w:rsid w:val="00F55E63"/>
    <w:rsid w:val="00F56AAC"/>
    <w:rsid w:val="00F60DED"/>
    <w:rsid w:val="00F619CB"/>
    <w:rsid w:val="00F649E0"/>
    <w:rsid w:val="00F65657"/>
    <w:rsid w:val="00F6667A"/>
    <w:rsid w:val="00F6776A"/>
    <w:rsid w:val="00F700A9"/>
    <w:rsid w:val="00F7067F"/>
    <w:rsid w:val="00F73125"/>
    <w:rsid w:val="00F73473"/>
    <w:rsid w:val="00F75A82"/>
    <w:rsid w:val="00F7646A"/>
    <w:rsid w:val="00F765A4"/>
    <w:rsid w:val="00F768F2"/>
    <w:rsid w:val="00F80D3D"/>
    <w:rsid w:val="00F8167E"/>
    <w:rsid w:val="00F82DCF"/>
    <w:rsid w:val="00F854B4"/>
    <w:rsid w:val="00F8572F"/>
    <w:rsid w:val="00F86607"/>
    <w:rsid w:val="00F91722"/>
    <w:rsid w:val="00F91977"/>
    <w:rsid w:val="00F94373"/>
    <w:rsid w:val="00F95447"/>
    <w:rsid w:val="00FA1418"/>
    <w:rsid w:val="00FA15CC"/>
    <w:rsid w:val="00FA2985"/>
    <w:rsid w:val="00FA3FC2"/>
    <w:rsid w:val="00FA40D7"/>
    <w:rsid w:val="00FA4D03"/>
    <w:rsid w:val="00FA70F0"/>
    <w:rsid w:val="00FA7940"/>
    <w:rsid w:val="00FB002B"/>
    <w:rsid w:val="00FB012B"/>
    <w:rsid w:val="00FB0C46"/>
    <w:rsid w:val="00FB0E61"/>
    <w:rsid w:val="00FB1779"/>
    <w:rsid w:val="00FB27D9"/>
    <w:rsid w:val="00FB72CC"/>
    <w:rsid w:val="00FC0371"/>
    <w:rsid w:val="00FC043B"/>
    <w:rsid w:val="00FC1339"/>
    <w:rsid w:val="00FC2225"/>
    <w:rsid w:val="00FC255B"/>
    <w:rsid w:val="00FC377D"/>
    <w:rsid w:val="00FC6C30"/>
    <w:rsid w:val="00FD071B"/>
    <w:rsid w:val="00FD0BE9"/>
    <w:rsid w:val="00FD1C03"/>
    <w:rsid w:val="00FD2FA8"/>
    <w:rsid w:val="00FD3358"/>
    <w:rsid w:val="00FD3CE0"/>
    <w:rsid w:val="00FD47AA"/>
    <w:rsid w:val="00FD5C16"/>
    <w:rsid w:val="00FE1EC2"/>
    <w:rsid w:val="00FE27BE"/>
    <w:rsid w:val="00FE2879"/>
    <w:rsid w:val="00FE3DAB"/>
    <w:rsid w:val="00FE504A"/>
    <w:rsid w:val="00FE54AF"/>
    <w:rsid w:val="00FF0019"/>
    <w:rsid w:val="00FF2006"/>
    <w:rsid w:val="00FF28E2"/>
    <w:rsid w:val="00FF2929"/>
    <w:rsid w:val="00FF4815"/>
    <w:rsid w:val="00FF779A"/>
    <w:rsid w:val="01237F32"/>
    <w:rsid w:val="01455047"/>
    <w:rsid w:val="02632D00"/>
    <w:rsid w:val="02684A78"/>
    <w:rsid w:val="02BD0B6B"/>
    <w:rsid w:val="035262CB"/>
    <w:rsid w:val="04322AD1"/>
    <w:rsid w:val="09432D35"/>
    <w:rsid w:val="0AA0363B"/>
    <w:rsid w:val="0B0A1188"/>
    <w:rsid w:val="0B483148"/>
    <w:rsid w:val="0E64492D"/>
    <w:rsid w:val="0ED15200"/>
    <w:rsid w:val="12661B23"/>
    <w:rsid w:val="139611AA"/>
    <w:rsid w:val="14D30D68"/>
    <w:rsid w:val="17D27D03"/>
    <w:rsid w:val="196A1683"/>
    <w:rsid w:val="1BA25554"/>
    <w:rsid w:val="1D326245"/>
    <w:rsid w:val="1D4C5A00"/>
    <w:rsid w:val="1F3D78C0"/>
    <w:rsid w:val="27C00AF6"/>
    <w:rsid w:val="28D11192"/>
    <w:rsid w:val="2DD61EA5"/>
    <w:rsid w:val="302F3F1E"/>
    <w:rsid w:val="3263234D"/>
    <w:rsid w:val="34531532"/>
    <w:rsid w:val="35023D7E"/>
    <w:rsid w:val="366A5925"/>
    <w:rsid w:val="37506EA1"/>
    <w:rsid w:val="3B8F07E4"/>
    <w:rsid w:val="3BD01C87"/>
    <w:rsid w:val="3BFE361C"/>
    <w:rsid w:val="3D0111F2"/>
    <w:rsid w:val="3D1135B9"/>
    <w:rsid w:val="3F993C70"/>
    <w:rsid w:val="40AB2A6B"/>
    <w:rsid w:val="41E12944"/>
    <w:rsid w:val="42337E6D"/>
    <w:rsid w:val="43F93676"/>
    <w:rsid w:val="454463D4"/>
    <w:rsid w:val="48997E36"/>
    <w:rsid w:val="4B3C0C8F"/>
    <w:rsid w:val="4C663FBC"/>
    <w:rsid w:val="50E37E23"/>
    <w:rsid w:val="514B23F7"/>
    <w:rsid w:val="530C12CC"/>
    <w:rsid w:val="53FD7220"/>
    <w:rsid w:val="545F4E56"/>
    <w:rsid w:val="5516320A"/>
    <w:rsid w:val="55DF4023"/>
    <w:rsid w:val="5C366352"/>
    <w:rsid w:val="5FD97A52"/>
    <w:rsid w:val="62BF1138"/>
    <w:rsid w:val="631322E1"/>
    <w:rsid w:val="688B79B2"/>
    <w:rsid w:val="68B70F15"/>
    <w:rsid w:val="6993497B"/>
    <w:rsid w:val="6A792A95"/>
    <w:rsid w:val="743B7F8C"/>
    <w:rsid w:val="771F6E46"/>
    <w:rsid w:val="777432BC"/>
    <w:rsid w:val="77F62A4B"/>
    <w:rsid w:val="780159FB"/>
    <w:rsid w:val="79D64BFF"/>
  </w:rsids>
  <m:mathPr>
    <m:mathFont m:val="Cambria Math"/>
    <m:brkBin m:val="before"/>
    <m:brkBinSub m:val="--"/>
    <m:smallFrac m:val="1"/>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nhideWhenUsed="0" w:uiPriority="9" w:semiHidden="0" w:name="heading 5"/>
    <w:lsdException w:qFormat="1"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0" w:name="index heading"/>
    <w:lsdException w:qFormat="1" w:unhideWhenUsed="0" w:uiPriority="35"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uiPriority="0" w:name="Body Text First Indent"/>
    <w:lsdException w:uiPriority="0" w:name="Body Text First Indent 2"/>
    <w:lsdException w:uiPriority="0" w:name="Note Heading"/>
    <w:lsdException w:uiPriority="0" w:name="Body Text 2"/>
    <w:lsdException w:uiPriority="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1"/>
    <w:basedOn w:val="1"/>
    <w:next w:val="1"/>
    <w:link w:val="44"/>
    <w:qFormat/>
    <w:uiPriority w:val="9"/>
    <w:pPr>
      <w:keepNext/>
      <w:keepLines/>
      <w:spacing w:before="340" w:after="330" w:line="576" w:lineRule="auto"/>
      <w:outlineLvl w:val="0"/>
    </w:pPr>
    <w:rPr>
      <w:b/>
      <w:bCs/>
      <w:kern w:val="44"/>
      <w:sz w:val="44"/>
      <w:szCs w:val="44"/>
    </w:rPr>
  </w:style>
  <w:style w:type="paragraph" w:styleId="4">
    <w:name w:val="heading 2"/>
    <w:basedOn w:val="1"/>
    <w:next w:val="1"/>
    <w:link w:val="45"/>
    <w:qFormat/>
    <w:uiPriority w:val="9"/>
    <w:pPr>
      <w:keepNext/>
      <w:keepLines/>
      <w:spacing w:before="260" w:after="260" w:line="413" w:lineRule="auto"/>
      <w:outlineLvl w:val="1"/>
    </w:pPr>
    <w:rPr>
      <w:rFonts w:ascii="Arial" w:hAnsi="Arial" w:eastAsia="黑体"/>
      <w:b/>
      <w:bCs/>
      <w:sz w:val="32"/>
      <w:szCs w:val="32"/>
    </w:rPr>
  </w:style>
  <w:style w:type="paragraph" w:styleId="5">
    <w:name w:val="heading 3"/>
    <w:basedOn w:val="1"/>
    <w:next w:val="1"/>
    <w:link w:val="46"/>
    <w:qFormat/>
    <w:uiPriority w:val="0"/>
    <w:pPr>
      <w:keepNext/>
      <w:keepLines/>
      <w:spacing w:before="260" w:after="260" w:line="413" w:lineRule="auto"/>
      <w:outlineLvl w:val="2"/>
    </w:pPr>
    <w:rPr>
      <w:b/>
      <w:bCs/>
      <w:sz w:val="32"/>
      <w:szCs w:val="32"/>
    </w:rPr>
  </w:style>
  <w:style w:type="paragraph" w:styleId="6">
    <w:name w:val="heading 4"/>
    <w:basedOn w:val="1"/>
    <w:next w:val="1"/>
    <w:link w:val="47"/>
    <w:qFormat/>
    <w:uiPriority w:val="0"/>
    <w:pPr>
      <w:keepNext/>
      <w:keepLines/>
      <w:spacing w:before="280" w:after="290" w:line="376" w:lineRule="auto"/>
      <w:outlineLvl w:val="3"/>
    </w:pPr>
    <w:rPr>
      <w:rFonts w:ascii="Cambria" w:hAnsi="Cambria"/>
      <w:b/>
      <w:bCs/>
      <w:sz w:val="28"/>
      <w:szCs w:val="28"/>
    </w:rPr>
  </w:style>
  <w:style w:type="paragraph" w:styleId="7">
    <w:name w:val="heading 5"/>
    <w:basedOn w:val="1"/>
    <w:next w:val="1"/>
    <w:link w:val="48"/>
    <w:qFormat/>
    <w:uiPriority w:val="9"/>
    <w:pPr>
      <w:keepNext/>
      <w:keepLines/>
      <w:spacing w:before="280" w:after="290" w:line="376" w:lineRule="auto"/>
      <w:outlineLvl w:val="4"/>
    </w:pPr>
    <w:rPr>
      <w:b/>
      <w:bCs/>
      <w:sz w:val="28"/>
      <w:szCs w:val="28"/>
    </w:rPr>
  </w:style>
  <w:style w:type="paragraph" w:styleId="8">
    <w:name w:val="heading 6"/>
    <w:basedOn w:val="1"/>
    <w:next w:val="1"/>
    <w:link w:val="49"/>
    <w:unhideWhenUsed/>
    <w:qFormat/>
    <w:uiPriority w:val="9"/>
    <w:pPr>
      <w:keepNext/>
      <w:keepLines/>
      <w:spacing w:before="240" w:after="64" w:line="320" w:lineRule="auto"/>
      <w:outlineLvl w:val="5"/>
    </w:pPr>
    <w:rPr>
      <w:rFonts w:ascii="Cambria" w:hAnsi="Cambria"/>
      <w:b/>
      <w:bCs/>
      <w:sz w:val="24"/>
    </w:rPr>
  </w:style>
  <w:style w:type="paragraph" w:styleId="9">
    <w:name w:val="heading 7"/>
    <w:basedOn w:val="1"/>
    <w:next w:val="1"/>
    <w:link w:val="50"/>
    <w:qFormat/>
    <w:uiPriority w:val="9"/>
    <w:pPr>
      <w:widowControl/>
      <w:spacing w:before="240" w:after="60"/>
      <w:jc w:val="left"/>
      <w:outlineLvl w:val="6"/>
    </w:pPr>
    <w:rPr>
      <w:rFonts w:ascii="Times New Roman" w:hAnsi="Times New Roman"/>
      <w:kern w:val="0"/>
      <w:sz w:val="24"/>
    </w:rPr>
  </w:style>
  <w:style w:type="paragraph" w:styleId="10">
    <w:name w:val="heading 8"/>
    <w:basedOn w:val="1"/>
    <w:next w:val="1"/>
    <w:link w:val="51"/>
    <w:qFormat/>
    <w:uiPriority w:val="9"/>
    <w:pPr>
      <w:widowControl/>
      <w:spacing w:before="240" w:after="60"/>
      <w:jc w:val="left"/>
      <w:outlineLvl w:val="7"/>
    </w:pPr>
    <w:rPr>
      <w:rFonts w:ascii="Times New Roman" w:hAnsi="Times New Roman"/>
      <w:i/>
      <w:iCs/>
      <w:kern w:val="0"/>
      <w:sz w:val="24"/>
    </w:rPr>
  </w:style>
  <w:style w:type="paragraph" w:styleId="11">
    <w:name w:val="heading 9"/>
    <w:basedOn w:val="1"/>
    <w:next w:val="1"/>
    <w:link w:val="52"/>
    <w:qFormat/>
    <w:uiPriority w:val="9"/>
    <w:pPr>
      <w:widowControl/>
      <w:spacing w:before="240" w:after="60"/>
      <w:jc w:val="left"/>
      <w:outlineLvl w:val="8"/>
    </w:pPr>
    <w:rPr>
      <w:rFonts w:ascii="Cambria" w:hAnsi="Cambria"/>
      <w:kern w:val="0"/>
      <w:sz w:val="20"/>
      <w:szCs w:val="20"/>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12">
    <w:name w:val="Normal Indent"/>
    <w:basedOn w:val="1"/>
    <w:link w:val="53"/>
    <w:qFormat/>
    <w:uiPriority w:val="0"/>
    <w:pPr>
      <w:ind w:firstLine="200" w:firstLineChars="200"/>
    </w:pPr>
  </w:style>
  <w:style w:type="paragraph" w:styleId="13">
    <w:name w:val="caption"/>
    <w:basedOn w:val="1"/>
    <w:next w:val="1"/>
    <w:link w:val="54"/>
    <w:qFormat/>
    <w:uiPriority w:val="35"/>
    <w:pPr>
      <w:spacing w:before="152" w:after="160"/>
    </w:pPr>
    <w:rPr>
      <w:rFonts w:ascii="Arial" w:hAnsi="Arial" w:eastAsia="黑体" w:cs="Arial"/>
      <w:sz w:val="20"/>
      <w:szCs w:val="20"/>
    </w:rPr>
  </w:style>
  <w:style w:type="paragraph" w:styleId="14">
    <w:name w:val="Document Map"/>
    <w:basedOn w:val="1"/>
    <w:link w:val="55"/>
    <w:qFormat/>
    <w:uiPriority w:val="0"/>
    <w:pPr>
      <w:shd w:val="clear" w:color="auto" w:fill="000080"/>
    </w:pPr>
  </w:style>
  <w:style w:type="paragraph" w:styleId="15">
    <w:name w:val="annotation text"/>
    <w:basedOn w:val="1"/>
    <w:link w:val="56"/>
    <w:qFormat/>
    <w:uiPriority w:val="0"/>
    <w:pPr>
      <w:jc w:val="left"/>
    </w:pPr>
  </w:style>
  <w:style w:type="paragraph" w:styleId="16">
    <w:name w:val="Body Text"/>
    <w:basedOn w:val="1"/>
    <w:link w:val="57"/>
    <w:qFormat/>
    <w:uiPriority w:val="99"/>
    <w:pPr>
      <w:spacing w:after="120"/>
    </w:pPr>
  </w:style>
  <w:style w:type="paragraph" w:styleId="17">
    <w:name w:val="Body Text Indent"/>
    <w:basedOn w:val="1"/>
    <w:link w:val="58"/>
    <w:qFormat/>
    <w:uiPriority w:val="0"/>
    <w:pPr>
      <w:ind w:firstLine="630"/>
    </w:pPr>
    <w:rPr>
      <w:sz w:val="32"/>
      <w:szCs w:val="20"/>
    </w:rPr>
  </w:style>
  <w:style w:type="paragraph" w:styleId="18">
    <w:name w:val="toc 3"/>
    <w:basedOn w:val="1"/>
    <w:next w:val="1"/>
    <w:unhideWhenUsed/>
    <w:qFormat/>
    <w:uiPriority w:val="39"/>
    <w:pPr>
      <w:widowControl/>
      <w:ind w:left="840" w:leftChars="400"/>
      <w:jc w:val="left"/>
    </w:pPr>
    <w:rPr>
      <w:rFonts w:ascii="Times New Roman" w:hAnsi="Times New Roman"/>
      <w:kern w:val="0"/>
      <w:sz w:val="24"/>
    </w:rPr>
  </w:style>
  <w:style w:type="paragraph" w:styleId="19">
    <w:name w:val="Plain Text"/>
    <w:basedOn w:val="1"/>
    <w:link w:val="59"/>
    <w:qFormat/>
    <w:uiPriority w:val="0"/>
    <w:pPr>
      <w:spacing w:line="360" w:lineRule="auto"/>
    </w:pPr>
    <w:rPr>
      <w:rFonts w:ascii="宋体" w:hAnsi="Courier New" w:cs="Courier New"/>
      <w:szCs w:val="21"/>
    </w:rPr>
  </w:style>
  <w:style w:type="paragraph" w:styleId="20">
    <w:name w:val="Date"/>
    <w:basedOn w:val="1"/>
    <w:next w:val="1"/>
    <w:link w:val="60"/>
    <w:qFormat/>
    <w:uiPriority w:val="0"/>
    <w:pPr>
      <w:ind w:left="100" w:leftChars="2500"/>
    </w:pPr>
  </w:style>
  <w:style w:type="paragraph" w:styleId="21">
    <w:name w:val="Body Text Indent 2"/>
    <w:basedOn w:val="1"/>
    <w:link w:val="61"/>
    <w:qFormat/>
    <w:uiPriority w:val="0"/>
    <w:pPr>
      <w:spacing w:after="120" w:line="480" w:lineRule="auto"/>
      <w:ind w:left="200" w:leftChars="200"/>
    </w:pPr>
  </w:style>
  <w:style w:type="paragraph" w:styleId="22">
    <w:name w:val="Balloon Text"/>
    <w:basedOn w:val="1"/>
    <w:link w:val="62"/>
    <w:qFormat/>
    <w:uiPriority w:val="0"/>
    <w:rPr>
      <w:sz w:val="18"/>
      <w:szCs w:val="18"/>
    </w:rPr>
  </w:style>
  <w:style w:type="paragraph" w:styleId="23">
    <w:name w:val="footer"/>
    <w:basedOn w:val="1"/>
    <w:link w:val="63"/>
    <w:qFormat/>
    <w:uiPriority w:val="0"/>
    <w:pPr>
      <w:tabs>
        <w:tab w:val="center" w:pos="4153"/>
        <w:tab w:val="right" w:pos="8306"/>
      </w:tabs>
      <w:snapToGrid w:val="0"/>
      <w:jc w:val="left"/>
    </w:pPr>
    <w:rPr>
      <w:sz w:val="18"/>
      <w:szCs w:val="20"/>
    </w:rPr>
  </w:style>
  <w:style w:type="paragraph" w:styleId="24">
    <w:name w:val="header"/>
    <w:basedOn w:val="1"/>
    <w:link w:val="64"/>
    <w:qFormat/>
    <w:uiPriority w:val="0"/>
    <w:pPr>
      <w:pBdr>
        <w:bottom w:val="single" w:color="auto" w:sz="6" w:space="1"/>
      </w:pBdr>
      <w:tabs>
        <w:tab w:val="center" w:pos="4153"/>
        <w:tab w:val="right" w:pos="8306"/>
      </w:tabs>
      <w:snapToGrid w:val="0"/>
      <w:jc w:val="center"/>
    </w:pPr>
    <w:rPr>
      <w:sz w:val="18"/>
      <w:szCs w:val="20"/>
    </w:rPr>
  </w:style>
  <w:style w:type="paragraph" w:styleId="25">
    <w:name w:val="toc 1"/>
    <w:basedOn w:val="1"/>
    <w:next w:val="1"/>
    <w:qFormat/>
    <w:uiPriority w:val="39"/>
  </w:style>
  <w:style w:type="paragraph" w:styleId="26">
    <w:name w:val="Subtitle"/>
    <w:basedOn w:val="1"/>
    <w:next w:val="1"/>
    <w:link w:val="65"/>
    <w:qFormat/>
    <w:uiPriority w:val="11"/>
    <w:pPr>
      <w:widowControl/>
      <w:spacing w:after="60"/>
      <w:jc w:val="center"/>
      <w:outlineLvl w:val="1"/>
    </w:pPr>
    <w:rPr>
      <w:rFonts w:ascii="Cambria" w:hAnsi="Cambria"/>
      <w:kern w:val="0"/>
      <w:sz w:val="24"/>
    </w:rPr>
  </w:style>
  <w:style w:type="paragraph" w:styleId="27">
    <w:name w:val="Body Text Indent 3"/>
    <w:basedOn w:val="1"/>
    <w:qFormat/>
    <w:uiPriority w:val="0"/>
    <w:pPr>
      <w:spacing w:after="120"/>
      <w:ind w:left="200" w:leftChars="200"/>
    </w:pPr>
    <w:rPr>
      <w:sz w:val="16"/>
      <w:szCs w:val="16"/>
    </w:rPr>
  </w:style>
  <w:style w:type="paragraph" w:styleId="28">
    <w:name w:val="toc 2"/>
    <w:basedOn w:val="1"/>
    <w:next w:val="1"/>
    <w:qFormat/>
    <w:uiPriority w:val="39"/>
    <w:pPr>
      <w:ind w:left="420" w:leftChars="200"/>
    </w:pPr>
  </w:style>
  <w:style w:type="paragraph" w:styleId="29">
    <w:name w:val="HTML Preformatted"/>
    <w:basedOn w:val="1"/>
    <w:link w:val="66"/>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0">
    <w:name w:val="Normal (Web)"/>
    <w:basedOn w:val="1"/>
    <w:qFormat/>
    <w:uiPriority w:val="99"/>
    <w:pPr>
      <w:widowControl/>
      <w:spacing w:before="100" w:beforeAutospacing="1" w:after="100" w:afterAutospacing="1"/>
      <w:jc w:val="left"/>
    </w:pPr>
    <w:rPr>
      <w:rFonts w:ascii="宋体"/>
      <w:kern w:val="0"/>
      <w:sz w:val="18"/>
      <w:szCs w:val="18"/>
    </w:rPr>
  </w:style>
  <w:style w:type="paragraph" w:styleId="31">
    <w:name w:val="index 1"/>
    <w:basedOn w:val="1"/>
    <w:next w:val="1"/>
    <w:qFormat/>
    <w:uiPriority w:val="0"/>
    <w:pPr>
      <w:snapToGrid w:val="0"/>
    </w:pPr>
    <w:rPr>
      <w:sz w:val="24"/>
    </w:rPr>
  </w:style>
  <w:style w:type="paragraph" w:styleId="32">
    <w:name w:val="Title"/>
    <w:basedOn w:val="1"/>
    <w:next w:val="1"/>
    <w:link w:val="67"/>
    <w:qFormat/>
    <w:uiPriority w:val="10"/>
    <w:pPr>
      <w:widowControl/>
      <w:spacing w:before="240" w:after="60"/>
      <w:jc w:val="center"/>
      <w:outlineLvl w:val="0"/>
    </w:pPr>
    <w:rPr>
      <w:rFonts w:ascii="Cambria" w:hAnsi="Cambria"/>
      <w:b/>
      <w:bCs/>
      <w:kern w:val="28"/>
      <w:sz w:val="32"/>
      <w:szCs w:val="32"/>
    </w:rPr>
  </w:style>
  <w:style w:type="paragraph" w:styleId="33">
    <w:name w:val="annotation subject"/>
    <w:basedOn w:val="15"/>
    <w:next w:val="15"/>
    <w:link w:val="68"/>
    <w:qFormat/>
    <w:uiPriority w:val="99"/>
    <w:rPr>
      <w:b/>
      <w:bCs/>
    </w:rPr>
  </w:style>
  <w:style w:type="table" w:styleId="35">
    <w:name w:val="Table Grid"/>
    <w:basedOn w:val="34"/>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qFormat/>
    <w:uiPriority w:val="22"/>
    <w:rPr>
      <w:b/>
      <w:bCs/>
      <w:szCs w:val="24"/>
    </w:rPr>
  </w:style>
  <w:style w:type="character" w:styleId="38">
    <w:name w:val="page number"/>
    <w:basedOn w:val="36"/>
    <w:qFormat/>
    <w:uiPriority w:val="0"/>
  </w:style>
  <w:style w:type="character" w:styleId="39">
    <w:name w:val="FollowedHyperlink"/>
    <w:qFormat/>
    <w:uiPriority w:val="99"/>
    <w:rPr>
      <w:color w:val="800080"/>
      <w:u w:val="single"/>
    </w:rPr>
  </w:style>
  <w:style w:type="character" w:styleId="40">
    <w:name w:val="Emphasis"/>
    <w:qFormat/>
    <w:uiPriority w:val="20"/>
    <w:rPr>
      <w:rFonts w:ascii="Calibri" w:hAnsi="Calibri"/>
      <w:b/>
      <w:i/>
      <w:iCs/>
    </w:rPr>
  </w:style>
  <w:style w:type="character" w:styleId="41">
    <w:name w:val="Hyperlink"/>
    <w:qFormat/>
    <w:uiPriority w:val="99"/>
    <w:rPr>
      <w:color w:val="0000FF"/>
      <w:u w:val="single"/>
    </w:rPr>
  </w:style>
  <w:style w:type="character" w:styleId="42">
    <w:name w:val="annotation reference"/>
    <w:qFormat/>
    <w:uiPriority w:val="0"/>
    <w:rPr>
      <w:sz w:val="21"/>
      <w:szCs w:val="21"/>
    </w:rPr>
  </w:style>
  <w:style w:type="character" w:styleId="43">
    <w:name w:val="HTML Sample"/>
    <w:basedOn w:val="36"/>
    <w:semiHidden/>
    <w:unhideWhenUsed/>
    <w:uiPriority w:val="0"/>
    <w:rPr>
      <w:rFonts w:ascii="Courier New" w:hAnsi="Courier New"/>
    </w:rPr>
  </w:style>
  <w:style w:type="character" w:customStyle="1" w:styleId="44">
    <w:name w:val="标题 1 Char1"/>
    <w:link w:val="3"/>
    <w:qFormat/>
    <w:uiPriority w:val="0"/>
    <w:rPr>
      <w:rFonts w:ascii="Calibri" w:hAnsi="Calibri"/>
      <w:b/>
      <w:bCs/>
      <w:kern w:val="44"/>
      <w:sz w:val="44"/>
      <w:szCs w:val="44"/>
    </w:rPr>
  </w:style>
  <w:style w:type="character" w:customStyle="1" w:styleId="45">
    <w:name w:val="标题 2 Char"/>
    <w:link w:val="4"/>
    <w:qFormat/>
    <w:uiPriority w:val="9"/>
    <w:rPr>
      <w:rFonts w:ascii="Arial" w:hAnsi="Arial" w:eastAsia="黑体"/>
      <w:b/>
      <w:bCs/>
      <w:kern w:val="2"/>
      <w:sz w:val="32"/>
      <w:szCs w:val="32"/>
    </w:rPr>
  </w:style>
  <w:style w:type="character" w:customStyle="1" w:styleId="46">
    <w:name w:val="标题 3 Char"/>
    <w:link w:val="5"/>
    <w:qFormat/>
    <w:uiPriority w:val="0"/>
    <w:rPr>
      <w:rFonts w:ascii="Calibri" w:hAnsi="Calibri"/>
      <w:b/>
      <w:bCs/>
      <w:kern w:val="2"/>
      <w:sz w:val="32"/>
      <w:szCs w:val="32"/>
    </w:rPr>
  </w:style>
  <w:style w:type="character" w:customStyle="1" w:styleId="47">
    <w:name w:val="标题 4 Char"/>
    <w:link w:val="6"/>
    <w:qFormat/>
    <w:uiPriority w:val="0"/>
    <w:rPr>
      <w:rFonts w:ascii="Cambria" w:hAnsi="Cambria"/>
      <w:b/>
      <w:bCs/>
      <w:kern w:val="2"/>
      <w:sz w:val="28"/>
      <w:szCs w:val="28"/>
    </w:rPr>
  </w:style>
  <w:style w:type="character" w:customStyle="1" w:styleId="48">
    <w:name w:val="标题 5 Char"/>
    <w:link w:val="7"/>
    <w:qFormat/>
    <w:uiPriority w:val="9"/>
    <w:rPr>
      <w:rFonts w:ascii="Calibri" w:hAnsi="Calibri"/>
      <w:b/>
      <w:bCs/>
      <w:kern w:val="2"/>
      <w:sz w:val="28"/>
      <w:szCs w:val="28"/>
    </w:rPr>
  </w:style>
  <w:style w:type="character" w:customStyle="1" w:styleId="49">
    <w:name w:val="标题 6 Char"/>
    <w:link w:val="8"/>
    <w:qFormat/>
    <w:uiPriority w:val="9"/>
    <w:rPr>
      <w:rFonts w:ascii="Cambria" w:hAnsi="Cambria" w:eastAsia="宋体" w:cs="Times New Roman"/>
      <w:b/>
      <w:bCs/>
      <w:kern w:val="2"/>
      <w:sz w:val="24"/>
      <w:szCs w:val="24"/>
    </w:rPr>
  </w:style>
  <w:style w:type="character" w:customStyle="1" w:styleId="50">
    <w:name w:val="标题 7 Char"/>
    <w:link w:val="9"/>
    <w:qFormat/>
    <w:uiPriority w:val="9"/>
    <w:rPr>
      <w:sz w:val="24"/>
      <w:szCs w:val="24"/>
    </w:rPr>
  </w:style>
  <w:style w:type="character" w:customStyle="1" w:styleId="51">
    <w:name w:val="标题 8 Char"/>
    <w:link w:val="10"/>
    <w:qFormat/>
    <w:uiPriority w:val="9"/>
    <w:rPr>
      <w:i/>
      <w:iCs/>
      <w:sz w:val="24"/>
      <w:szCs w:val="24"/>
    </w:rPr>
  </w:style>
  <w:style w:type="character" w:customStyle="1" w:styleId="52">
    <w:name w:val="标题 9 Char"/>
    <w:link w:val="11"/>
    <w:qFormat/>
    <w:uiPriority w:val="9"/>
    <w:rPr>
      <w:rFonts w:ascii="Cambria" w:hAnsi="Cambria"/>
    </w:rPr>
  </w:style>
  <w:style w:type="character" w:customStyle="1" w:styleId="53">
    <w:name w:val="正文缩进 Char"/>
    <w:link w:val="12"/>
    <w:qFormat/>
    <w:uiPriority w:val="0"/>
    <w:rPr>
      <w:kern w:val="2"/>
      <w:sz w:val="21"/>
      <w:szCs w:val="24"/>
    </w:rPr>
  </w:style>
  <w:style w:type="character" w:customStyle="1" w:styleId="54">
    <w:name w:val="题注 Char"/>
    <w:link w:val="13"/>
    <w:qFormat/>
    <w:uiPriority w:val="35"/>
    <w:rPr>
      <w:rFonts w:ascii="Arial" w:hAnsi="Arial" w:eastAsia="黑体" w:cs="Arial"/>
      <w:kern w:val="2"/>
    </w:rPr>
  </w:style>
  <w:style w:type="character" w:customStyle="1" w:styleId="55">
    <w:name w:val="文档结构图 Char1"/>
    <w:link w:val="14"/>
    <w:qFormat/>
    <w:uiPriority w:val="0"/>
    <w:rPr>
      <w:rFonts w:ascii="Calibri" w:hAnsi="Calibri"/>
      <w:kern w:val="2"/>
      <w:sz w:val="21"/>
      <w:szCs w:val="24"/>
      <w:shd w:val="clear" w:color="auto" w:fill="000080"/>
    </w:rPr>
  </w:style>
  <w:style w:type="character" w:customStyle="1" w:styleId="56">
    <w:name w:val="批注文字 Char"/>
    <w:link w:val="15"/>
    <w:qFormat/>
    <w:uiPriority w:val="0"/>
    <w:rPr>
      <w:kern w:val="2"/>
      <w:sz w:val="21"/>
      <w:szCs w:val="24"/>
    </w:rPr>
  </w:style>
  <w:style w:type="character" w:customStyle="1" w:styleId="57">
    <w:name w:val="正文文本 Char"/>
    <w:link w:val="16"/>
    <w:qFormat/>
    <w:uiPriority w:val="99"/>
    <w:rPr>
      <w:rFonts w:ascii="Calibri" w:hAnsi="Calibri"/>
      <w:kern w:val="2"/>
      <w:sz w:val="21"/>
      <w:szCs w:val="24"/>
    </w:rPr>
  </w:style>
  <w:style w:type="character" w:customStyle="1" w:styleId="58">
    <w:name w:val="正文文本缩进 Char"/>
    <w:link w:val="17"/>
    <w:qFormat/>
    <w:uiPriority w:val="99"/>
    <w:rPr>
      <w:rFonts w:ascii="Calibri" w:hAnsi="Calibri"/>
      <w:kern w:val="2"/>
      <w:sz w:val="32"/>
    </w:rPr>
  </w:style>
  <w:style w:type="character" w:customStyle="1" w:styleId="59">
    <w:name w:val="纯文本 Char"/>
    <w:link w:val="19"/>
    <w:qFormat/>
    <w:uiPriority w:val="0"/>
    <w:rPr>
      <w:rFonts w:ascii="宋体" w:hAnsi="Courier New" w:cs="Courier New"/>
      <w:szCs w:val="21"/>
    </w:rPr>
  </w:style>
  <w:style w:type="character" w:customStyle="1" w:styleId="60">
    <w:name w:val="日期 Char"/>
    <w:link w:val="20"/>
    <w:qFormat/>
    <w:uiPriority w:val="0"/>
    <w:rPr>
      <w:rFonts w:ascii="Calibri" w:hAnsi="Calibri"/>
      <w:kern w:val="2"/>
      <w:sz w:val="21"/>
      <w:szCs w:val="24"/>
    </w:rPr>
  </w:style>
  <w:style w:type="character" w:customStyle="1" w:styleId="61">
    <w:name w:val="正文文本缩进 2 Char"/>
    <w:link w:val="21"/>
    <w:qFormat/>
    <w:uiPriority w:val="0"/>
    <w:rPr>
      <w:rFonts w:ascii="Calibri" w:hAnsi="Calibri"/>
      <w:kern w:val="2"/>
      <w:sz w:val="21"/>
      <w:szCs w:val="24"/>
    </w:rPr>
  </w:style>
  <w:style w:type="character" w:customStyle="1" w:styleId="62">
    <w:name w:val="批注框文本 Char"/>
    <w:link w:val="22"/>
    <w:qFormat/>
    <w:uiPriority w:val="0"/>
    <w:rPr>
      <w:kern w:val="2"/>
      <w:sz w:val="18"/>
      <w:szCs w:val="18"/>
    </w:rPr>
  </w:style>
  <w:style w:type="character" w:customStyle="1" w:styleId="63">
    <w:name w:val="页脚 Char1"/>
    <w:link w:val="23"/>
    <w:qFormat/>
    <w:uiPriority w:val="99"/>
    <w:rPr>
      <w:rFonts w:ascii="Calibri" w:hAnsi="Calibri"/>
      <w:kern w:val="2"/>
      <w:sz w:val="18"/>
    </w:rPr>
  </w:style>
  <w:style w:type="character" w:customStyle="1" w:styleId="64">
    <w:name w:val="页眉 Char1"/>
    <w:link w:val="24"/>
    <w:qFormat/>
    <w:uiPriority w:val="99"/>
    <w:rPr>
      <w:rFonts w:ascii="Calibri" w:hAnsi="Calibri"/>
      <w:kern w:val="2"/>
      <w:sz w:val="18"/>
    </w:rPr>
  </w:style>
  <w:style w:type="character" w:customStyle="1" w:styleId="65">
    <w:name w:val="副标题 Char"/>
    <w:link w:val="26"/>
    <w:qFormat/>
    <w:uiPriority w:val="11"/>
    <w:rPr>
      <w:rFonts w:ascii="Cambria" w:hAnsi="Cambria"/>
      <w:sz w:val="24"/>
      <w:szCs w:val="24"/>
    </w:rPr>
  </w:style>
  <w:style w:type="character" w:customStyle="1" w:styleId="66">
    <w:name w:val="HTML 预设格式 Char"/>
    <w:link w:val="29"/>
    <w:qFormat/>
    <w:uiPriority w:val="99"/>
    <w:rPr>
      <w:rFonts w:ascii="宋体" w:hAnsi="宋体" w:cs="宋体"/>
      <w:sz w:val="24"/>
      <w:szCs w:val="24"/>
    </w:rPr>
  </w:style>
  <w:style w:type="character" w:customStyle="1" w:styleId="67">
    <w:name w:val="标题 Char"/>
    <w:link w:val="32"/>
    <w:qFormat/>
    <w:uiPriority w:val="10"/>
    <w:rPr>
      <w:rFonts w:ascii="Cambria" w:hAnsi="Cambria"/>
      <w:b/>
      <w:bCs/>
      <w:kern w:val="28"/>
      <w:sz w:val="32"/>
      <w:szCs w:val="32"/>
    </w:rPr>
  </w:style>
  <w:style w:type="character" w:customStyle="1" w:styleId="68">
    <w:name w:val="批注主题 Char"/>
    <w:link w:val="33"/>
    <w:qFormat/>
    <w:uiPriority w:val="99"/>
    <w:rPr>
      <w:b/>
      <w:bCs/>
      <w:kern w:val="2"/>
      <w:sz w:val="21"/>
      <w:szCs w:val="24"/>
    </w:rPr>
  </w:style>
  <w:style w:type="character" w:customStyle="1" w:styleId="69">
    <w:name w:val="页码1"/>
    <w:qFormat/>
    <w:uiPriority w:val="0"/>
  </w:style>
  <w:style w:type="character" w:customStyle="1" w:styleId="70">
    <w:name w:val="纯文本 Char1"/>
    <w:qFormat/>
    <w:uiPriority w:val="0"/>
    <w:rPr>
      <w:rFonts w:ascii="宋体" w:hAnsi="Courier New" w:cs="Courier New"/>
      <w:kern w:val="2"/>
      <w:sz w:val="21"/>
      <w:szCs w:val="21"/>
    </w:rPr>
  </w:style>
  <w:style w:type="character" w:customStyle="1" w:styleId="71">
    <w:name w:val="font31"/>
    <w:qFormat/>
    <w:uiPriority w:val="0"/>
    <w:rPr>
      <w:rFonts w:hint="default" w:ascii="Calibri" w:hAnsi="Calibri" w:cs="Calibri"/>
      <w:color w:val="000000"/>
      <w:sz w:val="28"/>
      <w:szCs w:val="28"/>
      <w:u w:val="none"/>
    </w:rPr>
  </w:style>
  <w:style w:type="character" w:customStyle="1" w:styleId="72">
    <w:name w:val="font101"/>
    <w:qFormat/>
    <w:uiPriority w:val="0"/>
    <w:rPr>
      <w:rFonts w:hint="default" w:ascii="Times New Roman" w:hAnsi="Times New Roman" w:cs="Times New Roman"/>
      <w:color w:val="000000"/>
      <w:sz w:val="28"/>
      <w:szCs w:val="28"/>
      <w:u w:val="none"/>
    </w:rPr>
  </w:style>
  <w:style w:type="character" w:customStyle="1" w:styleId="73">
    <w:name w:val="op-map-singlepoint-info-right1"/>
    <w:basedOn w:val="36"/>
    <w:qFormat/>
    <w:uiPriority w:val="0"/>
  </w:style>
  <w:style w:type="character" w:customStyle="1" w:styleId="74">
    <w:name w:val="font51"/>
    <w:qFormat/>
    <w:uiPriority w:val="0"/>
    <w:rPr>
      <w:rFonts w:hint="default" w:ascii="Times New Roman" w:hAnsi="Times New Roman" w:cs="Times New Roman"/>
      <w:color w:val="000000"/>
      <w:sz w:val="28"/>
      <w:szCs w:val="28"/>
      <w:u w:val="none"/>
    </w:rPr>
  </w:style>
  <w:style w:type="character" w:customStyle="1" w:styleId="75">
    <w:name w:val="font01"/>
    <w:qFormat/>
    <w:uiPriority w:val="0"/>
    <w:rPr>
      <w:rFonts w:hint="eastAsia" w:ascii="宋体" w:hAnsi="宋体" w:eastAsia="宋体" w:cs="宋体"/>
      <w:color w:val="000000"/>
      <w:sz w:val="24"/>
      <w:szCs w:val="24"/>
      <w:u w:val="none"/>
    </w:rPr>
  </w:style>
  <w:style w:type="character" w:customStyle="1" w:styleId="76">
    <w:name w:val="font81"/>
    <w:qFormat/>
    <w:uiPriority w:val="0"/>
    <w:rPr>
      <w:rFonts w:hint="default" w:ascii="Times New Roman" w:hAnsi="Times New Roman" w:cs="Times New Roman"/>
      <w:color w:val="000000"/>
      <w:sz w:val="28"/>
      <w:szCs w:val="28"/>
      <w:u w:val="none"/>
    </w:rPr>
  </w:style>
  <w:style w:type="character" w:customStyle="1" w:styleId="77">
    <w:name w:val="fontstyle01"/>
    <w:qFormat/>
    <w:uiPriority w:val="0"/>
    <w:rPr>
      <w:rFonts w:hint="eastAsia" w:ascii="宋体" w:hAnsi="宋体" w:eastAsia="宋体"/>
      <w:color w:val="000000"/>
      <w:sz w:val="22"/>
    </w:rPr>
  </w:style>
  <w:style w:type="character" w:customStyle="1" w:styleId="78">
    <w:name w:val="（符号）邀请函中一、"/>
    <w:qFormat/>
    <w:uiPriority w:val="0"/>
    <w:rPr>
      <w:rFonts w:ascii="黑体" w:eastAsia="黑体"/>
      <w:b/>
      <w:bCs/>
      <w:sz w:val="24"/>
    </w:rPr>
  </w:style>
  <w:style w:type="character" w:customStyle="1" w:styleId="79">
    <w:name w:val="font21"/>
    <w:qFormat/>
    <w:uiPriority w:val="0"/>
    <w:rPr>
      <w:rFonts w:hint="eastAsia" w:ascii="宋体" w:hAnsi="宋体" w:eastAsia="宋体" w:cs="宋体"/>
      <w:color w:val="000000"/>
      <w:sz w:val="28"/>
      <w:szCs w:val="28"/>
      <w:u w:val="none"/>
    </w:rPr>
  </w:style>
  <w:style w:type="character" w:customStyle="1" w:styleId="80">
    <w:name w:val="font61"/>
    <w:qFormat/>
    <w:uiPriority w:val="0"/>
    <w:rPr>
      <w:rFonts w:hint="default" w:ascii="Times New Roman" w:hAnsi="Times New Roman" w:cs="Times New Roman"/>
      <w:color w:val="000000"/>
      <w:sz w:val="24"/>
      <w:szCs w:val="24"/>
      <w:u w:val="none"/>
    </w:rPr>
  </w:style>
  <w:style w:type="character" w:customStyle="1" w:styleId="81">
    <w:name w:val="font11"/>
    <w:qFormat/>
    <w:uiPriority w:val="0"/>
    <w:rPr>
      <w:rFonts w:hint="eastAsia" w:ascii="宋体" w:hAnsi="宋体" w:eastAsia="宋体" w:cs="宋体"/>
      <w:color w:val="000000"/>
      <w:sz w:val="28"/>
      <w:szCs w:val="28"/>
      <w:u w:val="none"/>
    </w:rPr>
  </w:style>
  <w:style w:type="character" w:customStyle="1" w:styleId="82">
    <w:name w:val="font71"/>
    <w:qFormat/>
    <w:uiPriority w:val="0"/>
    <w:rPr>
      <w:rFonts w:hint="eastAsia" w:ascii="宋体" w:hAnsi="宋体" w:eastAsia="宋体" w:cs="宋体"/>
      <w:color w:val="000000"/>
      <w:sz w:val="28"/>
      <w:szCs w:val="28"/>
      <w:u w:val="none"/>
    </w:rPr>
  </w:style>
  <w:style w:type="paragraph" w:customStyle="1" w:styleId="83">
    <w:name w:val="列出段落1"/>
    <w:basedOn w:val="1"/>
    <w:link w:val="84"/>
    <w:qFormat/>
    <w:uiPriority w:val="34"/>
    <w:pPr>
      <w:ind w:firstLine="420" w:firstLineChars="200"/>
    </w:pPr>
    <w:rPr>
      <w:szCs w:val="22"/>
    </w:rPr>
  </w:style>
  <w:style w:type="character" w:customStyle="1" w:styleId="84">
    <w:name w:val="列出段落 Char"/>
    <w:link w:val="83"/>
    <w:qFormat/>
    <w:locked/>
    <w:uiPriority w:val="0"/>
    <w:rPr>
      <w:rFonts w:ascii="Calibri" w:hAnsi="Calibri"/>
      <w:kern w:val="2"/>
      <w:sz w:val="21"/>
      <w:szCs w:val="22"/>
    </w:rPr>
  </w:style>
  <w:style w:type="paragraph" w:customStyle="1" w:styleId="85">
    <w:name w:val="_Style 1"/>
    <w:basedOn w:val="1"/>
    <w:qFormat/>
    <w:uiPriority w:val="0"/>
    <w:pPr>
      <w:ind w:firstLine="420" w:firstLineChars="200"/>
    </w:pPr>
    <w:rPr>
      <w:szCs w:val="22"/>
    </w:rPr>
  </w:style>
  <w:style w:type="paragraph" w:customStyle="1" w:styleId="86">
    <w:name w:val="列表段落1"/>
    <w:basedOn w:val="1"/>
    <w:link w:val="87"/>
    <w:qFormat/>
    <w:uiPriority w:val="0"/>
    <w:pPr>
      <w:ind w:firstLine="420" w:firstLineChars="200"/>
    </w:pPr>
  </w:style>
  <w:style w:type="character" w:customStyle="1" w:styleId="87">
    <w:name w:val="列表段落 字符"/>
    <w:link w:val="86"/>
    <w:qFormat/>
    <w:uiPriority w:val="0"/>
    <w:rPr>
      <w:rFonts w:ascii="Calibri" w:hAnsi="Calibri"/>
      <w:kern w:val="2"/>
      <w:sz w:val="21"/>
      <w:szCs w:val="24"/>
    </w:rPr>
  </w:style>
  <w:style w:type="paragraph" w:customStyle="1" w:styleId="88">
    <w:name w:val="正文首行缩进两字符"/>
    <w:basedOn w:val="1"/>
    <w:qFormat/>
    <w:uiPriority w:val="0"/>
    <w:pPr>
      <w:spacing w:line="360" w:lineRule="auto"/>
      <w:ind w:firstLine="200" w:firstLineChars="200"/>
    </w:pPr>
  </w:style>
  <w:style w:type="paragraph" w:customStyle="1" w:styleId="89">
    <w:name w:val="表格"/>
    <w:basedOn w:val="1"/>
    <w:qFormat/>
    <w:uiPriority w:val="0"/>
    <w:pPr>
      <w:spacing w:line="400" w:lineRule="exact"/>
    </w:pPr>
    <w:rPr>
      <w:sz w:val="24"/>
    </w:rPr>
  </w:style>
  <w:style w:type="paragraph" w:customStyle="1" w:styleId="90">
    <w:name w:val="Table Paragraph"/>
    <w:basedOn w:val="1"/>
    <w:qFormat/>
    <w:uiPriority w:val="0"/>
    <w:rPr>
      <w:rFonts w:ascii="宋体" w:hAnsi="宋体" w:cs="宋体"/>
      <w:kern w:val="0"/>
      <w:sz w:val="34"/>
      <w:szCs w:val="20"/>
    </w:rPr>
  </w:style>
  <w:style w:type="paragraph" w:customStyle="1" w:styleId="91">
    <w:name w:val="修订1"/>
    <w:qFormat/>
    <w:uiPriority w:val="0"/>
    <w:rPr>
      <w:rFonts w:ascii="Calibri" w:hAnsi="Calibri" w:eastAsia="宋体" w:cs="Times New Roman"/>
      <w:kern w:val="2"/>
      <w:sz w:val="21"/>
      <w:szCs w:val="24"/>
      <w:lang w:val="en-US" w:eastAsia="zh-CN" w:bidi="ar-SA"/>
    </w:rPr>
  </w:style>
  <w:style w:type="paragraph" w:customStyle="1" w:styleId="92">
    <w:name w:val="列出段落11"/>
    <w:basedOn w:val="1"/>
    <w:qFormat/>
    <w:uiPriority w:val="0"/>
    <w:pPr>
      <w:ind w:firstLine="420" w:firstLineChars="200"/>
    </w:pPr>
    <w:rPr>
      <w:szCs w:val="22"/>
    </w:rPr>
  </w:style>
  <w:style w:type="paragraph" w:customStyle="1" w:styleId="93">
    <w:name w:val="p0"/>
    <w:basedOn w:val="1"/>
    <w:qFormat/>
    <w:uiPriority w:val="0"/>
    <w:pPr>
      <w:widowControl/>
      <w:spacing w:before="100" w:beforeAutospacing="1" w:after="100" w:afterAutospacing="1"/>
      <w:jc w:val="left"/>
    </w:pPr>
    <w:rPr>
      <w:rFonts w:ascii="宋体" w:hAnsi="宋体" w:cs="宋体"/>
      <w:kern w:val="0"/>
      <w:sz w:val="24"/>
      <w:szCs w:val="20"/>
    </w:rPr>
  </w:style>
  <w:style w:type="paragraph" w:customStyle="1" w:styleId="94">
    <w:name w:val="Char Char Char Char Char Char Char Char Char Char Char Char Char Char1 Char Char Char Char"/>
    <w:basedOn w:val="1"/>
    <w:qFormat/>
    <w:uiPriority w:val="0"/>
    <w:rPr>
      <w:szCs w:val="21"/>
    </w:rPr>
  </w:style>
  <w:style w:type="paragraph" w:customStyle="1" w:styleId="95">
    <w:name w:val="正文1"/>
    <w:qFormat/>
    <w:uiPriority w:val="0"/>
    <w:pPr>
      <w:widowControl w:val="0"/>
      <w:adjustRightInd w:val="0"/>
      <w:spacing w:line="312" w:lineRule="atLeast"/>
      <w:jc w:val="both"/>
      <w:textAlignment w:val="baseline"/>
    </w:pPr>
    <w:rPr>
      <w:rFonts w:ascii="宋体" w:hAnsi="Calibri" w:eastAsia="宋体" w:cs="Times New Roman"/>
      <w:sz w:val="34"/>
      <w:lang w:val="en-US" w:eastAsia="zh-CN" w:bidi="ar-SA"/>
    </w:rPr>
  </w:style>
  <w:style w:type="paragraph" w:customStyle="1" w:styleId="96">
    <w:name w:val="List Paragraph1"/>
    <w:basedOn w:val="1"/>
    <w:qFormat/>
    <w:uiPriority w:val="0"/>
    <w:pPr>
      <w:ind w:firstLine="420" w:firstLineChars="200"/>
    </w:pPr>
    <w:rPr>
      <w:szCs w:val="22"/>
    </w:rPr>
  </w:style>
  <w:style w:type="paragraph" w:customStyle="1" w:styleId="97">
    <w:name w:val="C503-正文格式"/>
    <w:basedOn w:val="1"/>
    <w:qFormat/>
    <w:uiPriority w:val="0"/>
    <w:pPr>
      <w:spacing w:line="360" w:lineRule="auto"/>
      <w:ind w:firstLine="480" w:firstLineChars="200"/>
    </w:pPr>
    <w:rPr>
      <w:rFonts w:ascii="Times New Roman" w:hAnsi="Times New Roman"/>
      <w:kern w:val="0"/>
      <w:sz w:val="20"/>
      <w:szCs w:val="20"/>
    </w:rPr>
  </w:style>
  <w:style w:type="paragraph" w:customStyle="1" w:styleId="98">
    <w:name w:val="样式 首行缩进:  2 字符"/>
    <w:basedOn w:val="1"/>
    <w:qFormat/>
    <w:uiPriority w:val="0"/>
    <w:pPr>
      <w:spacing w:line="400" w:lineRule="exact"/>
      <w:ind w:firstLine="200" w:firstLineChars="200"/>
    </w:pPr>
    <w:rPr>
      <w:rFonts w:cs="宋体"/>
      <w:sz w:val="24"/>
    </w:rPr>
  </w:style>
  <w:style w:type="paragraph" w:customStyle="1" w:styleId="99">
    <w:name w:val="Char Char1"/>
    <w:basedOn w:val="1"/>
    <w:qFormat/>
    <w:uiPriority w:val="0"/>
    <w:rPr>
      <w:rFonts w:ascii="Times New Roman" w:hAnsi="Times New Roman"/>
    </w:rPr>
  </w:style>
  <w:style w:type="paragraph" w:customStyle="1" w:styleId="100">
    <w:name w:val="标二"/>
    <w:basedOn w:val="4"/>
    <w:qFormat/>
    <w:uiPriority w:val="0"/>
    <w:rPr>
      <w:rFonts w:ascii="Cambria" w:hAnsi="Cambria"/>
    </w:rPr>
  </w:style>
  <w:style w:type="paragraph" w:customStyle="1" w:styleId="101">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character" w:customStyle="1" w:styleId="102">
    <w:name w:val="批注框文本 字符"/>
    <w:qFormat/>
    <w:uiPriority w:val="0"/>
    <w:rPr>
      <w:kern w:val="2"/>
      <w:sz w:val="18"/>
      <w:szCs w:val="18"/>
    </w:rPr>
  </w:style>
  <w:style w:type="paragraph" w:customStyle="1" w:styleId="103">
    <w:name w:val="1"/>
    <w:basedOn w:val="1"/>
    <w:next w:val="86"/>
    <w:qFormat/>
    <w:uiPriority w:val="34"/>
    <w:pPr>
      <w:ind w:firstLine="420" w:firstLineChars="200"/>
    </w:pPr>
    <w:rPr>
      <w:kern w:val="0"/>
      <w:sz w:val="18"/>
      <w:szCs w:val="18"/>
    </w:rPr>
  </w:style>
  <w:style w:type="paragraph" w:styleId="104">
    <w:name w:val="No Spacing"/>
    <w:qFormat/>
    <w:uiPriority w:val="1"/>
    <w:pPr>
      <w:widowControl w:val="0"/>
      <w:jc w:val="both"/>
    </w:pPr>
    <w:rPr>
      <w:rFonts w:ascii="Calibri" w:hAnsi="Calibri" w:eastAsia="宋体" w:cs="Times New Roman"/>
      <w:kern w:val="2"/>
      <w:sz w:val="21"/>
      <w:szCs w:val="24"/>
      <w:lang w:val="en-US" w:eastAsia="zh-CN" w:bidi="ar-SA"/>
    </w:rPr>
  </w:style>
  <w:style w:type="paragraph" w:customStyle="1" w:styleId="105">
    <w:name w:val="_Style 28"/>
    <w:basedOn w:val="17"/>
    <w:next w:val="106"/>
    <w:unhideWhenUsed/>
    <w:qFormat/>
    <w:uiPriority w:val="99"/>
    <w:pPr>
      <w:spacing w:after="120"/>
      <w:ind w:left="420" w:leftChars="200" w:firstLine="420" w:firstLineChars="200"/>
      <w:jc w:val="left"/>
    </w:pPr>
    <w:rPr>
      <w:rFonts w:ascii="Times New Roman" w:hAnsi="Times New Roman" w:eastAsia="仿宋_GB2312"/>
      <w:szCs w:val="24"/>
    </w:rPr>
  </w:style>
  <w:style w:type="paragraph" w:customStyle="1" w:styleId="106">
    <w:name w:val="正文文本首行缩进 21"/>
    <w:basedOn w:val="17"/>
    <w:link w:val="107"/>
    <w:qFormat/>
    <w:uiPriority w:val="0"/>
    <w:pPr>
      <w:spacing w:after="120"/>
      <w:ind w:left="420" w:leftChars="200" w:firstLine="420" w:firstLineChars="200"/>
    </w:pPr>
    <w:rPr>
      <w:sz w:val="21"/>
      <w:szCs w:val="24"/>
    </w:rPr>
  </w:style>
  <w:style w:type="character" w:customStyle="1" w:styleId="107">
    <w:name w:val="正文首行缩进 2 Char"/>
    <w:link w:val="106"/>
    <w:qFormat/>
    <w:uiPriority w:val="0"/>
    <w:rPr>
      <w:rFonts w:ascii="Calibri" w:hAnsi="Calibri"/>
      <w:kern w:val="2"/>
      <w:sz w:val="21"/>
      <w:szCs w:val="24"/>
    </w:rPr>
  </w:style>
  <w:style w:type="paragraph" w:customStyle="1" w:styleId="108">
    <w:name w:val="a3"/>
    <w:basedOn w:val="1"/>
    <w:qFormat/>
    <w:uiPriority w:val="0"/>
    <w:pPr>
      <w:widowControl/>
      <w:spacing w:before="100" w:beforeAutospacing="1" w:after="100" w:afterAutospacing="1"/>
      <w:jc w:val="left"/>
    </w:pPr>
    <w:rPr>
      <w:rFonts w:ascii="宋体" w:hAnsi="宋体" w:cs="宋体"/>
      <w:kern w:val="0"/>
      <w:sz w:val="24"/>
    </w:rPr>
  </w:style>
  <w:style w:type="paragraph" w:customStyle="1" w:styleId="109">
    <w:name w:val="样式 方案正文 +"/>
    <w:basedOn w:val="1"/>
    <w:qFormat/>
    <w:uiPriority w:val="0"/>
    <w:pPr>
      <w:spacing w:line="360" w:lineRule="auto"/>
      <w:ind w:left="420"/>
    </w:pPr>
    <w:rPr>
      <w:rFonts w:ascii="宋体" w:hAnsi="宋体"/>
      <w:bCs/>
      <w:kern w:val="0"/>
      <w:sz w:val="24"/>
    </w:rPr>
  </w:style>
  <w:style w:type="paragraph" w:customStyle="1" w:styleId="110">
    <w:name w:val="正文（绿盟科技）"/>
    <w:qFormat/>
    <w:uiPriority w:val="0"/>
    <w:pPr>
      <w:spacing w:line="300" w:lineRule="auto"/>
    </w:pPr>
    <w:rPr>
      <w:rFonts w:ascii="Arial" w:hAnsi="Arial" w:eastAsia="宋体" w:cs="黑体"/>
      <w:sz w:val="21"/>
      <w:szCs w:val="21"/>
      <w:lang w:val="en-US" w:eastAsia="zh-CN" w:bidi="ar-SA"/>
    </w:rPr>
  </w:style>
  <w:style w:type="character" w:customStyle="1" w:styleId="111">
    <w:name w:val="批注文字 字符"/>
    <w:qFormat/>
    <w:uiPriority w:val="0"/>
    <w:rPr>
      <w:kern w:val="2"/>
      <w:sz w:val="21"/>
      <w:szCs w:val="24"/>
    </w:rPr>
  </w:style>
  <w:style w:type="character" w:customStyle="1" w:styleId="112">
    <w:name w:val="批注主题 字符"/>
    <w:qFormat/>
    <w:uiPriority w:val="0"/>
    <w:rPr>
      <w:b/>
      <w:bCs/>
      <w:kern w:val="2"/>
      <w:sz w:val="21"/>
      <w:szCs w:val="24"/>
    </w:rPr>
  </w:style>
  <w:style w:type="paragraph" w:customStyle="1" w:styleId="113">
    <w:name w:val="正文文本首行缩进1"/>
    <w:basedOn w:val="16"/>
    <w:link w:val="114"/>
    <w:qFormat/>
    <w:uiPriority w:val="0"/>
    <w:pPr>
      <w:ind w:firstLine="420" w:firstLineChars="100"/>
    </w:pPr>
  </w:style>
  <w:style w:type="character" w:customStyle="1" w:styleId="114">
    <w:name w:val="正文首行缩进 Char"/>
    <w:basedOn w:val="57"/>
    <w:link w:val="113"/>
    <w:qFormat/>
    <w:uiPriority w:val="0"/>
    <w:rPr>
      <w:rFonts w:ascii="Calibri" w:hAnsi="Calibri"/>
      <w:kern w:val="2"/>
      <w:sz w:val="21"/>
      <w:szCs w:val="24"/>
    </w:rPr>
  </w:style>
  <w:style w:type="paragraph" w:customStyle="1" w:styleId="115">
    <w:name w:val="修订2"/>
    <w:hidden/>
    <w:unhideWhenUsed/>
    <w:qFormat/>
    <w:uiPriority w:val="99"/>
    <w:rPr>
      <w:rFonts w:ascii="Calibri" w:hAnsi="Calibri" w:eastAsia="宋体" w:cs="Times New Roman"/>
      <w:kern w:val="2"/>
      <w:sz w:val="21"/>
      <w:szCs w:val="24"/>
      <w:lang w:val="en-US" w:eastAsia="zh-CN" w:bidi="ar-SA"/>
    </w:rPr>
  </w:style>
  <w:style w:type="character" w:customStyle="1" w:styleId="116">
    <w:name w:val="标题 6 字符"/>
    <w:qFormat/>
    <w:uiPriority w:val="0"/>
    <w:rPr>
      <w:rFonts w:ascii="Arial" w:hAnsi="Arial" w:eastAsia="黑体" w:cs="Arial"/>
      <w:b/>
      <w:kern w:val="2"/>
      <w:sz w:val="24"/>
    </w:rPr>
  </w:style>
  <w:style w:type="paragraph" w:customStyle="1" w:styleId="117">
    <w:name w:val="列出段落2"/>
    <w:basedOn w:val="1"/>
    <w:qFormat/>
    <w:uiPriority w:val="34"/>
    <w:pPr>
      <w:ind w:firstLine="420" w:firstLineChars="200"/>
    </w:pPr>
    <w:rPr>
      <w:rFonts w:ascii="Times New Roman" w:hAnsi="Times New Roman"/>
      <w:szCs w:val="20"/>
    </w:rPr>
  </w:style>
  <w:style w:type="character" w:customStyle="1" w:styleId="118">
    <w:name w:val="gjfg"/>
    <w:qFormat/>
    <w:uiPriority w:val="0"/>
  </w:style>
  <w:style w:type="character" w:customStyle="1" w:styleId="119">
    <w:name w:val="明显引用 Char1"/>
    <w:qFormat/>
    <w:uiPriority w:val="30"/>
    <w:rPr>
      <w:b/>
      <w:bCs/>
      <w:i/>
      <w:iCs/>
      <w:color w:val="4F81BD"/>
      <w:kern w:val="2"/>
      <w:sz w:val="21"/>
      <w:szCs w:val="24"/>
    </w:rPr>
  </w:style>
  <w:style w:type="paragraph" w:customStyle="1" w:styleId="120">
    <w:name w:val="_Style 103"/>
    <w:unhideWhenUsed/>
    <w:qFormat/>
    <w:uiPriority w:val="99"/>
    <w:rPr>
      <w:rFonts w:ascii="Times New Roman" w:hAnsi="Times New Roman" w:eastAsia="宋体" w:cs="Times New Roman"/>
      <w:lang w:val="en-US" w:eastAsia="zh-CN" w:bidi="ar-SA"/>
    </w:rPr>
  </w:style>
  <w:style w:type="character" w:customStyle="1" w:styleId="121">
    <w:name w:val="Char Char12"/>
    <w:qFormat/>
    <w:uiPriority w:val="0"/>
    <w:rPr>
      <w:rFonts w:ascii="宋体"/>
      <w:kern w:val="0"/>
      <w:sz w:val="32"/>
      <w:szCs w:val="32"/>
    </w:rPr>
  </w:style>
  <w:style w:type="character" w:customStyle="1" w:styleId="122">
    <w:name w:val="不明显参考1"/>
    <w:qFormat/>
    <w:uiPriority w:val="31"/>
    <w:rPr>
      <w:sz w:val="24"/>
      <w:szCs w:val="24"/>
      <w:u w:val="single"/>
    </w:rPr>
  </w:style>
  <w:style w:type="character" w:customStyle="1" w:styleId="123">
    <w:name w:val="mh-map_new-info"/>
    <w:qFormat/>
    <w:uiPriority w:val="0"/>
  </w:style>
  <w:style w:type="character" w:customStyle="1" w:styleId="124">
    <w:name w:val="文档结构图 Char"/>
    <w:qFormat/>
    <w:uiPriority w:val="0"/>
    <w:rPr>
      <w:rFonts w:ascii="宋体"/>
      <w:sz w:val="18"/>
      <w:szCs w:val="18"/>
    </w:rPr>
  </w:style>
  <w:style w:type="character" w:customStyle="1" w:styleId="125">
    <w:name w:val="明显强调1"/>
    <w:qFormat/>
    <w:uiPriority w:val="21"/>
    <w:rPr>
      <w:b/>
      <w:i/>
      <w:sz w:val="24"/>
      <w:szCs w:val="24"/>
      <w:u w:val="single"/>
    </w:rPr>
  </w:style>
  <w:style w:type="character" w:customStyle="1" w:styleId="126">
    <w:name w:val="引用 Char1"/>
    <w:qFormat/>
    <w:uiPriority w:val="29"/>
    <w:rPr>
      <w:i/>
      <w:iCs/>
      <w:color w:val="000000"/>
      <w:kern w:val="2"/>
      <w:sz w:val="21"/>
      <w:szCs w:val="24"/>
    </w:rPr>
  </w:style>
  <w:style w:type="character" w:customStyle="1" w:styleId="127">
    <w:name w:val="style31"/>
    <w:qFormat/>
    <w:uiPriority w:val="0"/>
    <w:rPr>
      <w:rFonts w:cs="Times New Roman"/>
      <w:b/>
      <w:bCs/>
      <w:sz w:val="27"/>
      <w:szCs w:val="27"/>
    </w:rPr>
  </w:style>
  <w:style w:type="character" w:customStyle="1" w:styleId="128">
    <w:name w:val="批注主题 Char1"/>
    <w:qFormat/>
    <w:uiPriority w:val="0"/>
    <w:rPr>
      <w:b/>
      <w:bCs/>
      <w:kern w:val="2"/>
      <w:sz w:val="21"/>
      <w:szCs w:val="24"/>
    </w:rPr>
  </w:style>
  <w:style w:type="character" w:customStyle="1" w:styleId="129">
    <w:name w:val="redfilefwwh"/>
    <w:qFormat/>
    <w:uiPriority w:val="0"/>
    <w:rPr>
      <w:color w:val="BA2636"/>
      <w:sz w:val="18"/>
      <w:szCs w:val="18"/>
    </w:rPr>
  </w:style>
  <w:style w:type="character" w:customStyle="1" w:styleId="130">
    <w:name w:val="引用 Char"/>
    <w:link w:val="131"/>
    <w:qFormat/>
    <w:uiPriority w:val="29"/>
    <w:rPr>
      <w:i/>
      <w:sz w:val="24"/>
      <w:szCs w:val="24"/>
    </w:rPr>
  </w:style>
  <w:style w:type="paragraph" w:styleId="131">
    <w:name w:val="Quote"/>
    <w:basedOn w:val="1"/>
    <w:next w:val="1"/>
    <w:link w:val="130"/>
    <w:qFormat/>
    <w:uiPriority w:val="29"/>
    <w:pPr>
      <w:widowControl/>
      <w:jc w:val="left"/>
    </w:pPr>
    <w:rPr>
      <w:rFonts w:ascii="Times New Roman" w:hAnsi="Times New Roman"/>
      <w:i/>
      <w:kern w:val="0"/>
      <w:sz w:val="24"/>
    </w:rPr>
  </w:style>
  <w:style w:type="character" w:customStyle="1" w:styleId="132">
    <w:name w:val="displayarti"/>
    <w:qFormat/>
    <w:uiPriority w:val="0"/>
    <w:rPr>
      <w:color w:val="FFFFFF"/>
      <w:shd w:val="clear" w:color="auto" w:fill="A00000"/>
    </w:rPr>
  </w:style>
  <w:style w:type="character" w:customStyle="1" w:styleId="133">
    <w:name w:val="正文文本缩进 Char1"/>
    <w:semiHidden/>
    <w:qFormat/>
    <w:uiPriority w:val="99"/>
    <w:rPr>
      <w:sz w:val="24"/>
      <w:szCs w:val="24"/>
    </w:rPr>
  </w:style>
  <w:style w:type="character" w:customStyle="1" w:styleId="134">
    <w:name w:val="不明显强调1"/>
    <w:qFormat/>
    <w:uiPriority w:val="19"/>
    <w:rPr>
      <w:i/>
      <w:color w:val="5A5A5A"/>
    </w:rPr>
  </w:style>
  <w:style w:type="character" w:customStyle="1" w:styleId="135">
    <w:name w:val="书籍标题1"/>
    <w:qFormat/>
    <w:uiPriority w:val="33"/>
    <w:rPr>
      <w:rFonts w:ascii="Cambria" w:hAnsi="Cambria" w:eastAsia="宋体"/>
      <w:b/>
      <w:i/>
      <w:sz w:val="24"/>
      <w:szCs w:val="24"/>
    </w:rPr>
  </w:style>
  <w:style w:type="character" w:customStyle="1" w:styleId="136">
    <w:name w:val="正文文本 Char1"/>
    <w:qFormat/>
    <w:uiPriority w:val="0"/>
    <w:rPr>
      <w:kern w:val="2"/>
      <w:sz w:val="21"/>
      <w:szCs w:val="24"/>
    </w:rPr>
  </w:style>
  <w:style w:type="character" w:customStyle="1" w:styleId="137">
    <w:name w:val="cfdate"/>
    <w:qFormat/>
    <w:uiPriority w:val="0"/>
    <w:rPr>
      <w:color w:val="333333"/>
      <w:sz w:val="18"/>
      <w:szCs w:val="18"/>
    </w:rPr>
  </w:style>
  <w:style w:type="character" w:customStyle="1" w:styleId="138">
    <w:name w:val="标题 1 Char"/>
    <w:qFormat/>
    <w:uiPriority w:val="9"/>
    <w:rPr>
      <w:b/>
      <w:bCs/>
      <w:kern w:val="44"/>
      <w:sz w:val="44"/>
      <w:szCs w:val="44"/>
    </w:rPr>
  </w:style>
  <w:style w:type="character" w:customStyle="1" w:styleId="139">
    <w:name w:val="页脚 Char"/>
    <w:qFormat/>
    <w:uiPriority w:val="99"/>
    <w:rPr>
      <w:kern w:val="2"/>
      <w:sz w:val="18"/>
    </w:rPr>
  </w:style>
  <w:style w:type="character" w:customStyle="1" w:styleId="140">
    <w:name w:val="列出段落字符"/>
    <w:qFormat/>
    <w:uiPriority w:val="0"/>
    <w:rPr>
      <w:rFonts w:eastAsia="宋体"/>
      <w:color w:val="000000"/>
      <w:sz w:val="21"/>
      <w:u w:color="000000"/>
      <w:lang w:val="en-US" w:eastAsia="zh-CN" w:bidi="ar-SA"/>
    </w:rPr>
  </w:style>
  <w:style w:type="character" w:customStyle="1" w:styleId="141">
    <w:name w:val="qxdate"/>
    <w:qFormat/>
    <w:uiPriority w:val="0"/>
    <w:rPr>
      <w:color w:val="333333"/>
      <w:sz w:val="18"/>
      <w:szCs w:val="18"/>
    </w:rPr>
  </w:style>
  <w:style w:type="character" w:customStyle="1" w:styleId="142">
    <w:name w:val="页眉 Char"/>
    <w:qFormat/>
    <w:uiPriority w:val="99"/>
    <w:rPr>
      <w:kern w:val="2"/>
      <w:sz w:val="18"/>
    </w:rPr>
  </w:style>
  <w:style w:type="character" w:customStyle="1" w:styleId="143">
    <w:name w:val="副标题 Char1"/>
    <w:qFormat/>
    <w:uiPriority w:val="0"/>
    <w:rPr>
      <w:rFonts w:ascii="Cambria" w:hAnsi="Cambria" w:cs="Times New Roman"/>
      <w:b/>
      <w:bCs/>
      <w:kern w:val="28"/>
      <w:sz w:val="32"/>
      <w:szCs w:val="32"/>
    </w:rPr>
  </w:style>
  <w:style w:type="character" w:customStyle="1" w:styleId="144">
    <w:name w:val="标题 Char1"/>
    <w:qFormat/>
    <w:uiPriority w:val="0"/>
    <w:rPr>
      <w:rFonts w:ascii="Cambria" w:hAnsi="Cambria" w:cs="Times New Roman"/>
      <w:b/>
      <w:bCs/>
      <w:kern w:val="2"/>
      <w:sz w:val="32"/>
      <w:szCs w:val="32"/>
    </w:rPr>
  </w:style>
  <w:style w:type="character" w:customStyle="1" w:styleId="145">
    <w:name w:val="明显引用 Char"/>
    <w:link w:val="146"/>
    <w:qFormat/>
    <w:uiPriority w:val="30"/>
    <w:rPr>
      <w:b/>
      <w:i/>
      <w:sz w:val="24"/>
    </w:rPr>
  </w:style>
  <w:style w:type="paragraph" w:styleId="146">
    <w:name w:val="Intense Quote"/>
    <w:basedOn w:val="1"/>
    <w:next w:val="1"/>
    <w:link w:val="145"/>
    <w:qFormat/>
    <w:uiPriority w:val="30"/>
    <w:pPr>
      <w:widowControl/>
      <w:ind w:left="720" w:right="720"/>
      <w:jc w:val="left"/>
    </w:pPr>
    <w:rPr>
      <w:rFonts w:ascii="Times New Roman" w:hAnsi="Times New Roman"/>
      <w:b/>
      <w:i/>
      <w:kern w:val="0"/>
      <w:sz w:val="24"/>
      <w:szCs w:val="20"/>
    </w:rPr>
  </w:style>
  <w:style w:type="character" w:customStyle="1" w:styleId="147">
    <w:name w:val="明显参考1"/>
    <w:qFormat/>
    <w:uiPriority w:val="32"/>
    <w:rPr>
      <w:b/>
      <w:sz w:val="24"/>
      <w:u w:val="single"/>
    </w:rPr>
  </w:style>
  <w:style w:type="character" w:customStyle="1" w:styleId="148">
    <w:name w:val="Char Char121"/>
    <w:qFormat/>
    <w:uiPriority w:val="0"/>
    <w:rPr>
      <w:rFonts w:ascii="宋体"/>
      <w:kern w:val="0"/>
      <w:sz w:val="32"/>
      <w:szCs w:val="32"/>
    </w:rPr>
  </w:style>
  <w:style w:type="character" w:customStyle="1" w:styleId="149">
    <w:name w:val="redfilenumber"/>
    <w:qFormat/>
    <w:uiPriority w:val="0"/>
    <w:rPr>
      <w:color w:val="BA2636"/>
      <w:sz w:val="18"/>
      <w:szCs w:val="18"/>
    </w:rPr>
  </w:style>
  <w:style w:type="character" w:customStyle="1" w:styleId="150">
    <w:name w:val="批注文字 Char1"/>
    <w:qFormat/>
    <w:uiPriority w:val="0"/>
    <w:rPr>
      <w:kern w:val="2"/>
      <w:sz w:val="21"/>
      <w:szCs w:val="24"/>
    </w:rPr>
  </w:style>
  <w:style w:type="character" w:customStyle="1" w:styleId="151">
    <w:name w:val="正文文本缩进 2 Char1"/>
    <w:qFormat/>
    <w:uiPriority w:val="0"/>
    <w:rPr>
      <w:kern w:val="2"/>
      <w:sz w:val="21"/>
      <w:szCs w:val="24"/>
    </w:rPr>
  </w:style>
  <w:style w:type="character" w:customStyle="1" w:styleId="152">
    <w:name w:val="font41"/>
    <w:qFormat/>
    <w:uiPriority w:val="0"/>
    <w:rPr>
      <w:rFonts w:hint="default" w:ascii="Times New Roman" w:hAnsi="Times New Roman" w:cs="Times New Roman"/>
      <w:color w:val="000000"/>
      <w:sz w:val="20"/>
      <w:szCs w:val="20"/>
      <w:u w:val="none"/>
    </w:rPr>
  </w:style>
  <w:style w:type="paragraph" w:customStyle="1" w:styleId="153">
    <w:name w:val="TOC 标题1"/>
    <w:basedOn w:val="3"/>
    <w:next w:val="1"/>
    <w:qFormat/>
    <w:uiPriority w:val="39"/>
    <w:pPr>
      <w:keepLines w:val="0"/>
      <w:widowControl/>
      <w:spacing w:before="240" w:after="60" w:line="240" w:lineRule="auto"/>
      <w:jc w:val="left"/>
      <w:outlineLvl w:val="9"/>
    </w:pPr>
    <w:rPr>
      <w:rFonts w:ascii="Cambria" w:hAnsi="Cambria"/>
      <w:kern w:val="32"/>
      <w:sz w:val="32"/>
      <w:szCs w:val="32"/>
      <w:lang w:val="zh-CN"/>
    </w:rPr>
  </w:style>
  <w:style w:type="character" w:customStyle="1" w:styleId="154">
    <w:name w:val="副标题 Char2"/>
    <w:qFormat/>
    <w:uiPriority w:val="0"/>
    <w:rPr>
      <w:rFonts w:ascii="Cambria" w:hAnsi="Cambria" w:cs="Times New Roman"/>
      <w:b/>
      <w:bCs/>
      <w:kern w:val="28"/>
      <w:sz w:val="32"/>
      <w:szCs w:val="32"/>
    </w:rPr>
  </w:style>
  <w:style w:type="paragraph" w:customStyle="1" w:styleId="155">
    <w:name w:val="无间隔1"/>
    <w:qFormat/>
    <w:uiPriority w:val="1"/>
    <w:pPr>
      <w:widowControl w:val="0"/>
      <w:jc w:val="both"/>
    </w:pPr>
    <w:rPr>
      <w:rFonts w:ascii="Calibri" w:hAnsi="Calibri" w:eastAsia="宋体" w:cs="Times New Roman"/>
      <w:kern w:val="2"/>
      <w:sz w:val="21"/>
      <w:szCs w:val="22"/>
      <w:lang w:val="en-US" w:eastAsia="zh-CN" w:bidi="ar-SA"/>
    </w:rPr>
  </w:style>
  <w:style w:type="character" w:customStyle="1" w:styleId="156">
    <w:name w:val="引用 Char2"/>
    <w:qFormat/>
    <w:uiPriority w:val="99"/>
    <w:rPr>
      <w:rFonts w:ascii="Calibri" w:hAnsi="Calibri"/>
      <w:i/>
      <w:iCs/>
      <w:color w:val="000000"/>
      <w:kern w:val="2"/>
      <w:sz w:val="21"/>
      <w:szCs w:val="24"/>
    </w:rPr>
  </w:style>
  <w:style w:type="character" w:customStyle="1" w:styleId="157">
    <w:name w:val="明显引用 Char2"/>
    <w:qFormat/>
    <w:uiPriority w:val="99"/>
    <w:rPr>
      <w:rFonts w:ascii="Calibri" w:hAnsi="Calibri"/>
      <w:b/>
      <w:bCs/>
      <w:i/>
      <w:iCs/>
      <w:color w:val="4F81BD"/>
      <w:kern w:val="2"/>
      <w:sz w:val="21"/>
      <w:szCs w:val="24"/>
    </w:rPr>
  </w:style>
  <w:style w:type="paragraph" w:customStyle="1" w:styleId="158">
    <w:name w:val="!正文(无缩)"/>
    <w:basedOn w:val="1"/>
    <w:qFormat/>
    <w:uiPriority w:val="0"/>
    <w:pPr>
      <w:widowControl/>
      <w:spacing w:line="360" w:lineRule="auto"/>
      <w:jc w:val="left"/>
    </w:pPr>
    <w:rPr>
      <w:rFonts w:ascii="Times New Roman" w:hAnsi="Times New Roman"/>
      <w:sz w:val="24"/>
      <w:szCs w:val="21"/>
    </w:rPr>
  </w:style>
  <w:style w:type="paragraph" w:customStyle="1" w:styleId="159">
    <w:name w:val="_Style 2"/>
    <w:basedOn w:val="1"/>
    <w:qFormat/>
    <w:uiPriority w:val="0"/>
    <w:pPr>
      <w:widowControl/>
      <w:ind w:firstLine="420" w:firstLineChars="200"/>
      <w:jc w:val="left"/>
    </w:pPr>
    <w:rPr>
      <w:rFonts w:ascii="Times New Roman" w:hAnsi="Times New Roman"/>
      <w:kern w:val="0"/>
      <w:sz w:val="20"/>
      <w:szCs w:val="20"/>
    </w:rPr>
  </w:style>
  <w:style w:type="paragraph" w:customStyle="1" w:styleId="160">
    <w:name w:val="样式1"/>
    <w:basedOn w:val="1"/>
    <w:qFormat/>
    <w:uiPriority w:val="0"/>
    <w:pPr>
      <w:adjustRightInd w:val="0"/>
      <w:spacing w:line="440" w:lineRule="atLeast"/>
      <w:ind w:firstLine="482"/>
      <w:textAlignment w:val="baseline"/>
    </w:pPr>
    <w:rPr>
      <w:kern w:val="0"/>
      <w:sz w:val="24"/>
    </w:rPr>
  </w:style>
  <w:style w:type="character" w:customStyle="1" w:styleId="161">
    <w:name w:val="标题 Char2"/>
    <w:qFormat/>
    <w:uiPriority w:val="0"/>
    <w:rPr>
      <w:rFonts w:ascii="Cambria" w:hAnsi="Cambria" w:cs="Times New Roman"/>
      <w:b/>
      <w:bCs/>
      <w:kern w:val="2"/>
      <w:sz w:val="32"/>
      <w:szCs w:val="32"/>
    </w:rPr>
  </w:style>
  <w:style w:type="paragraph" w:customStyle="1" w:styleId="162">
    <w:name w:val="标题 2 + Times New Roman 加粗 黑色 首行缩进:  2 字符 行距: 2 倍行距 + 段前..."/>
    <w:basedOn w:val="1"/>
    <w:next w:val="1"/>
    <w:qFormat/>
    <w:uiPriority w:val="0"/>
    <w:pPr>
      <w:adjustRightInd w:val="0"/>
      <w:snapToGrid w:val="0"/>
      <w:spacing w:beforeLines="150" w:afterLines="50" w:line="360" w:lineRule="auto"/>
      <w:outlineLvl w:val="0"/>
    </w:pPr>
    <w:rPr>
      <w:rFonts w:ascii="Times New Roman" w:hAnsi="Times New Roman" w:eastAsia="黑体"/>
      <w:b/>
      <w:color w:val="000000"/>
      <w:kern w:val="0"/>
      <w:sz w:val="32"/>
      <w:szCs w:val="32"/>
    </w:rPr>
  </w:style>
  <w:style w:type="character" w:customStyle="1" w:styleId="163">
    <w:name w:val="HTML 预设格式 Char1"/>
    <w:qFormat/>
    <w:uiPriority w:val="0"/>
    <w:rPr>
      <w:rFonts w:ascii="Courier New" w:hAnsi="Courier New" w:cs="Courier New"/>
      <w:kern w:val="2"/>
    </w:rPr>
  </w:style>
  <w:style w:type="paragraph" w:customStyle="1" w:styleId="164">
    <w:name w:val="列出段落21"/>
    <w:basedOn w:val="1"/>
    <w:unhideWhenUsed/>
    <w:qFormat/>
    <w:uiPriority w:val="34"/>
    <w:pPr>
      <w:ind w:firstLine="420" w:firstLineChars="200"/>
    </w:pPr>
    <w:rPr>
      <w:szCs w:val="22"/>
    </w:rPr>
  </w:style>
  <w:style w:type="paragraph" w:customStyle="1" w:styleId="165">
    <w:name w:val="正文2"/>
    <w:qFormat/>
    <w:uiPriority w:val="0"/>
    <w:pPr>
      <w:widowControl w:val="0"/>
      <w:adjustRightInd w:val="0"/>
      <w:spacing w:line="312" w:lineRule="atLeast"/>
      <w:jc w:val="both"/>
      <w:textAlignment w:val="baseline"/>
    </w:pPr>
    <w:rPr>
      <w:rFonts w:ascii="宋体" w:hAnsi="Times New Roman" w:eastAsia="宋体" w:cs="Times New Roman"/>
      <w:sz w:val="34"/>
      <w:szCs w:val="22"/>
      <w:lang w:val="en-US" w:eastAsia="zh-CN" w:bidi="ar-SA"/>
    </w:rPr>
  </w:style>
  <w:style w:type="paragraph" w:customStyle="1" w:styleId="166">
    <w:name w:val="WW-正文（首行缩进两字）"/>
    <w:basedOn w:val="1"/>
    <w:qFormat/>
    <w:uiPriority w:val="0"/>
    <w:pPr>
      <w:suppressAutoHyphens/>
      <w:spacing w:line="360" w:lineRule="auto"/>
      <w:ind w:firstLine="480"/>
    </w:pPr>
    <w:rPr>
      <w:rFonts w:ascii="Times New Roman" w:hAnsi="Times New Roman" w:eastAsia="仿宋_GB2312"/>
      <w:color w:val="FF00FF"/>
      <w:kern w:val="1"/>
      <w:sz w:val="24"/>
    </w:rPr>
  </w:style>
  <w:style w:type="paragraph" w:customStyle="1" w:styleId="167">
    <w:name w:val="msonormalcxspmiddle"/>
    <w:basedOn w:val="1"/>
    <w:qFormat/>
    <w:uiPriority w:val="0"/>
    <w:pPr>
      <w:spacing w:before="100" w:beforeAutospacing="1" w:after="100" w:afterAutospacing="1"/>
      <w:jc w:val="left"/>
    </w:pPr>
    <w:rPr>
      <w:rFonts w:ascii="Times New Roman"/>
      <w:sz w:val="24"/>
    </w:rPr>
  </w:style>
  <w:style w:type="character" w:customStyle="1" w:styleId="168">
    <w:name w:val="Char Char2"/>
    <w:qFormat/>
    <w:uiPriority w:val="0"/>
    <w:rPr>
      <w:rFonts w:ascii="Tahoma" w:hAnsi="Tahoma"/>
      <w:kern w:val="2"/>
      <w:sz w:val="18"/>
      <w:szCs w:val="18"/>
    </w:rPr>
  </w:style>
  <w:style w:type="paragraph" w:customStyle="1" w:styleId="169">
    <w:name w:val="正文3"/>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character" w:customStyle="1" w:styleId="170">
    <w:name w:val="NormalCharacter"/>
    <w:qFormat/>
    <w:uiPriority w:val="0"/>
  </w:style>
  <w:style w:type="paragraph" w:styleId="171">
    <w:name w:val="List Paragraph"/>
    <w:basedOn w:val="1"/>
    <w:qFormat/>
    <w:uiPriority w:val="0"/>
    <w:pPr>
      <w:ind w:firstLine="420" w:firstLineChars="200"/>
    </w:pPr>
    <w:rPr>
      <w:rFonts w:asciiTheme="minorHAnsi" w:hAnsiTheme="minorHAnsi" w:eastAsiaTheme="minorEastAsia" w:cstheme="minorBidi"/>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0" Type="http://schemas.openxmlformats.org/officeDocument/2006/relationships/fontTable" Target="fontTable.xml"/><Relationship Id="rId3" Type="http://schemas.openxmlformats.org/officeDocument/2006/relationships/footer" Target="footer1.xml"/><Relationship Id="rId29" Type="http://schemas.openxmlformats.org/officeDocument/2006/relationships/customXml" Target="../customXml/item2.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EB4F07C-5A27-4D04-8635-1CDC5C7F0390}">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64</Pages>
  <Words>37386</Words>
  <Characters>38851</Characters>
  <Lines>294</Lines>
  <Paragraphs>82</Paragraphs>
  <TotalTime>157</TotalTime>
  <ScaleCrop>false</ScaleCrop>
  <LinksUpToDate>false</LinksUpToDate>
  <CharactersWithSpaces>39628</CharactersWithSpaces>
  <Application>WPS Office_11.1.0.10577_F1E327BC-269C-435d-A152-05C5408002CA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2021-03-02T06:41:00Z</dcterms:created>
  <dc:creator>雨林木风</dc:creator>
  <cp:lastModifiedBy>苏打粉火炎焱</cp:lastModifiedBy>
  <cp:lastPrinted>2021-04-23T06:22:00Z</cp:lastPrinted>
  <dcterms:modified xsi:type="dcterms:W3CDTF">2021-06-21T04:07:39Z</dcterms:modified>
  <dc:title>招标编号：xx政采招[xxxx] xx号</dc:title>
  <cp:revision>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2052-11.1.0.10577</vt:lpwstr>
  </property>
  <property fmtid="{D5CDD505-2E9C-101B-9397-08002B2CF9AE}" pid="3" name="KSOSaveFontToCloudKey">
    <vt:lpwstr>0_embed</vt:lpwstr>
  </property>
  <property fmtid="{D5CDD505-2E9C-101B-9397-08002B2CF9AE}" pid="4" name="ICV">
    <vt:lpwstr>CFE8744222D94FA4B2815D629611F990</vt:lpwstr>
  </property>
</Properties>
</file>