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000000" w:themeColor="text1"/>
          <w:sz w:val="36"/>
          <w:szCs w:val="36"/>
          <w:highlight w:val="none"/>
          <w:lang w:eastAsia="zh-CN"/>
          <w14:textFill>
            <w14:solidFill>
              <w14:schemeClr w14:val="tx1"/>
            </w14:solidFill>
          </w14:textFill>
        </w:rPr>
      </w:pPr>
      <w:r>
        <w:rPr>
          <w:rFonts w:hint="eastAsia" w:ascii="宋体" w:hAnsi="宋体" w:cs="宋体"/>
          <w:b/>
          <w:color w:val="000000" w:themeColor="text1"/>
          <w:sz w:val="36"/>
          <w:szCs w:val="36"/>
          <w:highlight w:val="none"/>
          <w:lang w:val="en-US" w:eastAsia="zh-CN"/>
          <w14:textFill>
            <w14:solidFill>
              <w14:schemeClr w14:val="tx1"/>
            </w14:solidFill>
          </w14:textFill>
        </w:rPr>
        <w:t>采购项目编号：510104202100115</w:t>
      </w:r>
    </w:p>
    <w:p>
      <w:pPr>
        <w:jc w:val="center"/>
        <w:rPr>
          <w:rFonts w:hint="eastAsia" w:ascii="宋体" w:hAnsi="宋体" w:eastAsia="宋体" w:cs="宋体"/>
          <w:b/>
          <w:color w:val="000000" w:themeColor="text1"/>
          <w:sz w:val="52"/>
          <w:szCs w:val="52"/>
          <w:highlight w:val="none"/>
          <w:lang w:eastAsia="zh-CN"/>
          <w14:textFill>
            <w14:solidFill>
              <w14:schemeClr w14:val="tx1"/>
            </w14:solidFill>
          </w14:textFill>
        </w:rPr>
      </w:pPr>
      <w:r>
        <w:rPr>
          <w:rFonts w:hint="eastAsia" w:ascii="宋体" w:hAnsi="宋体" w:cs="宋体"/>
          <w:b/>
          <w:bCs w:val="0"/>
          <w:color w:val="000000" w:themeColor="text1"/>
          <w:sz w:val="52"/>
          <w:szCs w:val="52"/>
          <w:highlight w:val="none"/>
          <w:lang w:eastAsia="zh-CN"/>
          <w14:textFill>
            <w14:solidFill>
              <w14:schemeClr w14:val="tx1"/>
            </w14:solidFill>
          </w14:textFill>
        </w:rPr>
        <w:t>现代职业教育质量提升计划建设项目设施设备采购（第二次）</w:t>
      </w:r>
    </w:p>
    <w:p>
      <w:pPr>
        <w:pStyle w:val="38"/>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38"/>
        <w:jc w:val="center"/>
        <w:rPr>
          <w:rFonts w:hint="eastAsia" w:ascii="宋体" w:hAnsi="宋体" w:eastAsia="宋体" w:cs="宋体"/>
          <w:b/>
          <w:color w:val="000000" w:themeColor="text1"/>
          <w:sz w:val="28"/>
          <w:szCs w:val="28"/>
          <w:highlight w:val="none"/>
          <w14:textFill>
            <w14:solidFill>
              <w14:schemeClr w14:val="tx1"/>
            </w14:solidFill>
          </w14:textFill>
        </w:rPr>
      </w:pP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竞</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争</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性</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磋</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商</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文</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件</w:t>
      </w:r>
    </w:p>
    <w:p>
      <w:pPr>
        <w:spacing w:line="580" w:lineRule="exact"/>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38"/>
        <w:rPr>
          <w:rFonts w:hint="eastAsia"/>
          <w:color w:val="000000" w:themeColor="text1"/>
          <w:highlight w:val="none"/>
          <w14:textFill>
            <w14:solidFill>
              <w14:schemeClr w14:val="tx1"/>
            </w14:solidFill>
          </w14:textFill>
        </w:rPr>
      </w:pPr>
      <w:bookmarkStart w:id="0" w:name="_Hlt101233737"/>
      <w:bookmarkEnd w:id="0"/>
      <w:bookmarkStart w:id="1" w:name="_Hlt101843627"/>
      <w:bookmarkEnd w:id="1"/>
    </w:p>
    <w:p>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中国·四川（成都）</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4422775</wp:posOffset>
                </wp:positionH>
                <wp:positionV relativeFrom="paragraph">
                  <wp:posOffset>100965</wp:posOffset>
                </wp:positionV>
                <wp:extent cx="1141730" cy="4514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1730" cy="451485"/>
                        </a:xfrm>
                        <a:prstGeom prst="rect">
                          <a:avLst/>
                        </a:prstGeom>
                        <a:noFill/>
                        <a:ln>
                          <a:noFill/>
                        </a:ln>
                      </wps:spPr>
                      <wps:txbx>
                        <w:txbxContent>
                          <w:p>
                            <w:pPr>
                              <w:spacing w:line="360" w:lineRule="auto"/>
                              <w:jc w:val="center"/>
                              <w:rPr>
                                <w:b/>
                                <w:sz w:val="30"/>
                                <w:szCs w:val="30"/>
                              </w:rPr>
                            </w:pPr>
                            <w:r>
                              <w:rPr>
                                <w:rFonts w:hint="eastAsia"/>
                                <w:b/>
                                <w:sz w:val="30"/>
                                <w:szCs w:val="30"/>
                              </w:rPr>
                              <w:t>共同编制</w:t>
                            </w:r>
                          </w:p>
                        </w:txbxContent>
                      </wps:txbx>
                      <wps:bodyPr upright="1"/>
                    </wps:wsp>
                  </a:graphicData>
                </a:graphic>
              </wp:anchor>
            </w:drawing>
          </mc:Choice>
          <mc:Fallback>
            <w:pict>
              <v:shape id="_x0000_s1026" o:spid="_x0000_s1026" o:spt="202" type="#_x0000_t202" style="position:absolute;left:0pt;margin-left:348.25pt;margin-top:7.95pt;height:35.55pt;width:89.9pt;z-index:251662336;mso-width-relative:page;mso-height-relative:page;" filled="f" stroked="f" coordsize="21600,21600" o:gfxdata="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jXT41gAA&#10;AAkBAAAPAAAAAAAAAAEAIAAAACIAAABkcnMvZG93bnJldi54bWxQSwECFAAUAAAACACHTuJAolv+&#10;064BAABQAwAADgAAAAAAAAABACAAAAAlAQAAZHJzL2Uyb0RvYy54bWxQSwUGAAAAAAYABgBZAQAA&#10;RQUAAAAA&#10;">
                <v:fill on="f" focussize="0,0"/>
                <v:stroke on="f"/>
                <v:imagedata o:title=""/>
                <o:lock v:ext="edit" aspectratio="f"/>
                <v:textbox>
                  <w:txbxContent>
                    <w:p>
                      <w:pPr>
                        <w:spacing w:line="360" w:lineRule="auto"/>
                        <w:jc w:val="center"/>
                        <w:rPr>
                          <w:b/>
                          <w:sz w:val="30"/>
                          <w:szCs w:val="30"/>
                        </w:rPr>
                      </w:pPr>
                      <w:r>
                        <w:rPr>
                          <w:rFonts w:hint="eastAsia"/>
                          <w:b/>
                          <w:sz w:val="30"/>
                          <w:szCs w:val="30"/>
                        </w:rPr>
                        <w:t>共同编制</w:t>
                      </w:r>
                    </w:p>
                  </w:txbxContent>
                </v:textbox>
              </v:shape>
            </w:pict>
          </mc:Fallback>
        </mc:AlternateContent>
      </w:r>
      <w:r>
        <w:rPr>
          <w:rFonts w:hint="eastAsia" w:ascii="宋体" w:hAnsi="宋体" w:cs="宋体"/>
          <w:b/>
          <w:color w:val="000000" w:themeColor="text1"/>
          <w:sz w:val="32"/>
          <w:szCs w:val="32"/>
          <w:highlight w:val="none"/>
          <w:lang w:eastAsia="zh-CN"/>
          <w14:textFill>
            <w14:solidFill>
              <w14:schemeClr w14:val="tx1"/>
            </w14:solidFill>
          </w14:textFill>
        </w:rPr>
        <w:t>成都市现代职业技术学校</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b/>
          <w:color w:val="000000" w:themeColor="text1"/>
          <w:sz w:val="32"/>
          <w:szCs w:val="32"/>
          <w:highlight w:val="none"/>
          <w:lang w:eastAsia="zh-CN"/>
          <w14:textFill>
            <w14:solidFill>
              <w14:schemeClr w14:val="tx1"/>
            </w14:solidFill>
          </w14:textFill>
        </w:rPr>
        <w:t>成都金牡丹工程管理咨询有限公司</w:t>
      </w:r>
    </w:p>
    <w:p>
      <w:pPr>
        <w:pStyle w:val="12"/>
        <w:jc w:val="center"/>
        <w:rPr>
          <w:rFonts w:hint="eastAsia" w:ascii="宋体" w:hAnsi="宋体" w:eastAsia="宋体" w:cs="宋体"/>
          <w:b/>
          <w:color w:val="000000" w:themeColor="text1"/>
          <w:szCs w:val="32"/>
          <w:highlight w:val="none"/>
          <w14:textFill>
            <w14:solidFill>
              <w14:schemeClr w14:val="tx1"/>
            </w14:solidFill>
          </w14:textFill>
        </w:rPr>
        <w:sectPr>
          <w:headerReference r:id="rId5" w:type="first"/>
          <w:headerReference r:id="rId3" w:type="default"/>
          <w:headerReference r:id="rId4" w:type="even"/>
          <w:footerReference r:id="rId6" w:type="even"/>
          <w:pgSz w:w="11849" w:h="16781"/>
          <w:pgMar w:top="1324" w:right="1440" w:bottom="1440" w:left="1440" w:header="709" w:footer="770" w:gutter="0"/>
          <w:pgNumType w:start="1"/>
          <w:cols w:space="720" w:num="1"/>
          <w:titlePg/>
          <w:docGrid w:type="linesAndChars" w:linePitch="312" w:charSpace="1060"/>
        </w:sectPr>
      </w:pPr>
      <w:r>
        <w:rPr>
          <w:rFonts w:hint="eastAsia" w:ascii="宋体" w:hAnsi="宋体" w:eastAsia="宋体" w:cs="宋体"/>
          <w:b/>
          <w:color w:val="000000" w:themeColor="text1"/>
          <w:szCs w:val="32"/>
          <w:highlight w:val="none"/>
          <w14:textFill>
            <w14:solidFill>
              <w14:schemeClr w14:val="tx1"/>
            </w14:solidFill>
          </w14:textFill>
        </w:rPr>
        <w:t>202</w:t>
      </w:r>
      <w:r>
        <w:rPr>
          <w:rFonts w:hint="eastAsia" w:ascii="宋体" w:hAnsi="宋体" w:eastAsia="宋体" w:cs="宋体"/>
          <w:b/>
          <w:color w:val="000000" w:themeColor="text1"/>
          <w:szCs w:val="32"/>
          <w:highlight w:val="none"/>
          <w:lang w:val="en-US" w:eastAsia="zh-CN"/>
          <w14:textFill>
            <w14:solidFill>
              <w14:schemeClr w14:val="tx1"/>
            </w14:solidFill>
          </w14:textFill>
        </w:rPr>
        <w:t>1</w:t>
      </w:r>
      <w:r>
        <w:rPr>
          <w:rFonts w:hint="eastAsia" w:ascii="宋体" w:hAnsi="宋体" w:eastAsia="宋体" w:cs="宋体"/>
          <w:b/>
          <w:color w:val="000000" w:themeColor="text1"/>
          <w:szCs w:val="32"/>
          <w:highlight w:val="none"/>
          <w14:textFill>
            <w14:solidFill>
              <w14:schemeClr w14:val="tx1"/>
            </w14:solidFill>
          </w14:textFill>
        </w:rPr>
        <w:t>年0</w:t>
      </w:r>
      <w:r>
        <w:rPr>
          <w:rFonts w:hint="eastAsia" w:ascii="宋体" w:hAnsi="宋体" w:eastAsia="宋体" w:cs="宋体"/>
          <w:b/>
          <w:color w:val="000000" w:themeColor="text1"/>
          <w:szCs w:val="32"/>
          <w:highlight w:val="none"/>
          <w:lang w:val="en-US" w:eastAsia="zh-CN"/>
          <w14:textFill>
            <w14:solidFill>
              <w14:schemeClr w14:val="tx1"/>
            </w14:solidFill>
          </w14:textFill>
        </w:rPr>
        <w:t>9</w:t>
      </w:r>
      <w:r>
        <w:rPr>
          <w:rFonts w:hint="eastAsia" w:ascii="宋体" w:hAnsi="宋体" w:eastAsia="宋体" w:cs="宋体"/>
          <w:b/>
          <w:color w:val="000000" w:themeColor="text1"/>
          <w:szCs w:val="32"/>
          <w:highlight w:val="none"/>
          <w14:textFill>
            <w14:solidFill>
              <w14:schemeClr w14:val="tx1"/>
            </w14:solidFill>
          </w14:textFill>
        </w:rPr>
        <w:t>月</w:t>
      </w:r>
    </w:p>
    <w:sdt>
      <w:sdtPr>
        <w:rPr>
          <w:rFonts w:hint="eastAsia" w:ascii="宋体" w:hAnsi="宋体" w:eastAsia="宋体" w:cs="宋体"/>
          <w:color w:val="000000" w:themeColor="text1"/>
          <w:highlight w:val="none"/>
          <w14:textFill>
            <w14:solidFill>
              <w14:schemeClr w14:val="tx1"/>
            </w14:solidFill>
          </w14:textFill>
        </w:rPr>
        <w:id w:val="147466698"/>
        <w15:color w:val="DBDBDB"/>
        <w:docPartObj>
          <w:docPartGallery w:val="Table of Contents"/>
          <w:docPartUnique/>
        </w:docPartObj>
      </w:sdtPr>
      <w:sdtEndPr>
        <w:rPr>
          <w:rFonts w:hint="eastAsia" w:ascii="宋体" w:hAnsi="宋体" w:eastAsia="宋体" w:cs="宋体"/>
          <w:b/>
          <w:bCs/>
          <w:color w:val="000000" w:themeColor="text1"/>
          <w:sz w:val="28"/>
          <w:szCs w:val="28"/>
          <w:highlight w:val="none"/>
          <w14:textFill>
            <w14:solidFill>
              <w14:schemeClr w14:val="tx1"/>
            </w14:solidFill>
          </w14:textFill>
        </w:rPr>
      </w:sdtEndPr>
      <w:sdtContent>
        <w:p>
          <w:pPr>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目录</w:t>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TOC \o "1-3" \h \u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"_Toc16401"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第一章  磋商邀请</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_Toc16401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"_Toc16020"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第二章  磋商须知</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_Toc16020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- 5 -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"_Toc32478"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第三章  供应商的资格、资质性及其他类似效力要求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_Toc32478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- 22 -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"_Toc31811"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第四章  供应商的资格、资质性及其他类似效力要求证明材料</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_Toc31811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- 24 -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"_Toc29484"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第五章  采购项目技术、服务、及其他商务要求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_Toc29484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- 26 -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"_Toc32508"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第六章  响应文件格式</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_Toc32508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- 52 -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0"/>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"_Toc16511"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第八章  政府采购合同（草案）</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_Toc16511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- 96 -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sdtContent>
    </w:sdt>
    <w:p>
      <w:pPr>
        <w:spacing w:line="360" w:lineRule="auto"/>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2" w:name="_Toc7961743"/>
      <w:bookmarkStart w:id="3" w:name="_Toc27900"/>
      <w:bookmarkStart w:id="4" w:name="_Toc12105"/>
      <w:bookmarkStart w:id="5" w:name="_Toc16401"/>
      <w:r>
        <w:rPr>
          <w:rFonts w:hint="eastAsia" w:ascii="宋体" w:hAnsi="宋体" w:eastAsia="宋体" w:cs="宋体"/>
          <w:color w:val="000000" w:themeColor="text1"/>
          <w:sz w:val="36"/>
          <w:szCs w:val="36"/>
          <w:highlight w:val="none"/>
          <w14:textFill>
            <w14:solidFill>
              <w14:schemeClr w14:val="tx1"/>
            </w14:solidFill>
          </w14:textFill>
        </w:rPr>
        <w:t>第一章  磋商邀请</w:t>
      </w:r>
      <w:bookmarkEnd w:id="2"/>
      <w:bookmarkEnd w:id="3"/>
      <w:bookmarkEnd w:id="4"/>
      <w:bookmarkEnd w:id="5"/>
    </w:p>
    <w:p>
      <w:pPr>
        <w:spacing w:line="360" w:lineRule="auto"/>
        <w:ind w:firstLine="630" w:firstLineChars="300"/>
        <w:jc w:val="left"/>
        <w:rPr>
          <w:rFonts w:hint="eastAsia" w:ascii="宋体" w:hAnsi="宋体" w:eastAsia="宋体" w:cs="宋体"/>
          <w:color w:val="000000" w:themeColor="text1"/>
          <w:highlight w:val="none"/>
          <w:u w:val="single"/>
          <w14:textFill>
            <w14:solidFill>
              <w14:schemeClr w14:val="tx1"/>
            </w14:solidFill>
          </w14:textFill>
        </w:rPr>
      </w:pPr>
    </w:p>
    <w:p>
      <w:pPr>
        <w:spacing w:line="360" w:lineRule="auto"/>
        <w:ind w:firstLine="482"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szCs w:val="24"/>
          <w:highlight w:val="none"/>
          <w14:textFill>
            <w14:solidFill>
              <w14:schemeClr w14:val="tx1"/>
            </w14:solidFill>
          </w14:textFill>
        </w:rPr>
        <w:t>（采购代理机构）受</w:t>
      </w:r>
      <w:r>
        <w:rPr>
          <w:rFonts w:hint="eastAsia" w:ascii="宋体" w:hAnsi="宋体" w:cs="宋体"/>
          <w:b/>
          <w:color w:val="000000" w:themeColor="text1"/>
          <w:sz w:val="24"/>
          <w:szCs w:val="24"/>
          <w:highlight w:val="none"/>
          <w:u w:val="single"/>
          <w:lang w:eastAsia="zh-CN"/>
          <w14:textFill>
            <w14:solidFill>
              <w14:schemeClr w14:val="tx1"/>
            </w14:solidFill>
          </w14:textFill>
        </w:rPr>
        <w:t>成都市现代职业技术学校</w:t>
      </w:r>
      <w:r>
        <w:rPr>
          <w:rFonts w:hint="eastAsia" w:ascii="宋体" w:hAnsi="宋体" w:eastAsia="宋体" w:cs="宋体"/>
          <w:bCs/>
          <w:color w:val="000000" w:themeColor="text1"/>
          <w:sz w:val="24"/>
          <w:szCs w:val="24"/>
          <w:highlight w:val="non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委托，拟对</w:t>
      </w:r>
      <w:r>
        <w:rPr>
          <w:rFonts w:hint="eastAsia" w:ascii="宋体" w:hAnsi="宋体" w:cs="宋体"/>
          <w:b/>
          <w:color w:val="000000" w:themeColor="text1"/>
          <w:sz w:val="24"/>
          <w:szCs w:val="24"/>
          <w:highlight w:val="none"/>
          <w:u w:val="single"/>
          <w:lang w:eastAsia="zh-CN"/>
          <w14:textFill>
            <w14:solidFill>
              <w14:schemeClr w14:val="tx1"/>
            </w14:solidFill>
          </w14:textFill>
        </w:rPr>
        <w:t>现代职业教育质量提升计划建设项目设施设备采购（第二次）</w:t>
      </w:r>
      <w:r>
        <w:rPr>
          <w:rFonts w:hint="eastAsia" w:ascii="宋体" w:hAnsi="宋体" w:eastAsia="宋体" w:cs="宋体"/>
          <w:color w:val="000000" w:themeColor="text1"/>
          <w:sz w:val="24"/>
          <w:szCs w:val="24"/>
          <w:highlight w:val="none"/>
          <w14:textFill>
            <w14:solidFill>
              <w14:schemeClr w14:val="tx1"/>
            </w14:solidFill>
          </w14:textFill>
        </w:rPr>
        <w:t>采用竞争性磋商方式进行采购，特邀请符合本次采购要求的供应商参加本项目的竞争性磋商。</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一、采购项目基本情况</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1.项目编号：</w:t>
      </w:r>
      <w:r>
        <w:rPr>
          <w:rFonts w:hint="eastAsia" w:ascii="宋体" w:hAnsi="宋体" w:cs="宋体"/>
          <w:color w:val="000000" w:themeColor="text1"/>
          <w:sz w:val="24"/>
          <w:szCs w:val="24"/>
          <w:highlight w:val="none"/>
          <w:lang w:eastAsia="zh-CN"/>
          <w14:textFill>
            <w14:solidFill>
              <w14:schemeClr w14:val="tx1"/>
            </w14:solidFill>
          </w14:textFill>
        </w:rPr>
        <w:t>510104202100115</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2.采购项目名称：</w:t>
      </w:r>
      <w:r>
        <w:rPr>
          <w:rFonts w:hint="eastAsia" w:ascii="宋体" w:hAnsi="宋体" w:cs="宋体"/>
          <w:color w:val="000000" w:themeColor="text1"/>
          <w:sz w:val="24"/>
          <w:szCs w:val="24"/>
          <w:highlight w:val="none"/>
          <w:lang w:eastAsia="zh-CN"/>
          <w14:textFill>
            <w14:solidFill>
              <w14:schemeClr w14:val="tx1"/>
            </w14:solidFill>
          </w14:textFill>
        </w:rPr>
        <w:t>现代职业教育质量提升计划建设项目设施设备采购（第二次）</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3.采购人：</w:t>
      </w:r>
      <w:r>
        <w:rPr>
          <w:rFonts w:hint="eastAsia" w:ascii="宋体" w:hAnsi="宋体" w:cs="宋体"/>
          <w:color w:val="000000" w:themeColor="text1"/>
          <w:sz w:val="24"/>
          <w:szCs w:val="24"/>
          <w:highlight w:val="none"/>
          <w:lang w:eastAsia="zh-CN"/>
          <w14:textFill>
            <w14:solidFill>
              <w14:schemeClr w14:val="tx1"/>
            </w14:solidFill>
          </w14:textFill>
        </w:rPr>
        <w:t>成都市现代职业技术学校</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4.采购代理机构：</w:t>
      </w:r>
      <w:r>
        <w:rPr>
          <w:rFonts w:hint="eastAsia" w:ascii="宋体" w:hAnsi="宋体" w:eastAsia="宋体" w:cs="宋体"/>
          <w:color w:val="000000" w:themeColor="text1"/>
          <w:sz w:val="24"/>
          <w:szCs w:val="24"/>
          <w:highlight w:val="none"/>
          <w:lang w:eastAsia="zh-CN"/>
          <w14:textFill>
            <w14:solidFill>
              <w14:schemeClr w14:val="tx1"/>
            </w14:solidFill>
          </w14:textFill>
        </w:rPr>
        <w:t>成都金牡丹工程管理咨询有限公司</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二、资金情况</w:t>
      </w:r>
    </w:p>
    <w:p>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资金来源及金额：</w:t>
      </w:r>
      <w:r>
        <w:rPr>
          <w:rFonts w:hint="eastAsia" w:ascii="宋体" w:hAnsi="宋体" w:eastAsia="宋体" w:cs="宋体"/>
          <w:bCs/>
          <w:color w:val="000000" w:themeColor="text1"/>
          <w:sz w:val="24"/>
          <w:szCs w:val="24"/>
          <w:highlight w:val="none"/>
          <w:lang w:eastAsia="zh-CN"/>
          <w14:textFill>
            <w14:solidFill>
              <w14:schemeClr w14:val="tx1"/>
            </w14:solidFill>
          </w14:textFill>
        </w:rPr>
        <w:t>财政性资金</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
          <w:bCs w:val="0"/>
          <w:color w:val="000000" w:themeColor="text1"/>
          <w:sz w:val="24"/>
          <w:szCs w:val="24"/>
          <w:highlight w:val="none"/>
          <w14:textFill>
            <w14:solidFill>
              <w14:schemeClr w14:val="tx1"/>
            </w14:solidFill>
          </w14:textFill>
        </w:rPr>
        <w:t>采购预算（</w:t>
      </w:r>
      <w:r>
        <w:rPr>
          <w:rFonts w:hint="eastAsia" w:ascii="宋体" w:hAnsi="宋体" w:cs="宋体"/>
          <w:b/>
          <w:bCs w:val="0"/>
          <w:color w:val="000000" w:themeColor="text1"/>
          <w:sz w:val="24"/>
          <w:szCs w:val="24"/>
          <w:highlight w:val="none"/>
          <w:lang w:eastAsia="zh-CN"/>
          <w14:textFill>
            <w14:solidFill>
              <w14:schemeClr w14:val="tx1"/>
            </w14:solidFill>
          </w14:textFill>
        </w:rPr>
        <w:t>同</w:t>
      </w:r>
      <w:r>
        <w:rPr>
          <w:rFonts w:hint="eastAsia" w:ascii="宋体" w:hAnsi="宋体" w:eastAsia="宋体" w:cs="宋体"/>
          <w:b/>
          <w:bCs w:val="0"/>
          <w:color w:val="000000" w:themeColor="text1"/>
          <w:sz w:val="24"/>
          <w:szCs w:val="24"/>
          <w:highlight w:val="none"/>
          <w14:textFill>
            <w14:solidFill>
              <w14:schemeClr w14:val="tx1"/>
            </w14:solidFill>
          </w14:textFill>
        </w:rPr>
        <w:t>最高限价）：</w:t>
      </w:r>
      <w:r>
        <w:rPr>
          <w:rFonts w:hint="eastAsia" w:ascii="宋体" w:hAnsi="宋体" w:cs="宋体"/>
          <w:b/>
          <w:bCs w:val="0"/>
          <w:color w:val="000000" w:themeColor="text1"/>
          <w:sz w:val="24"/>
          <w:szCs w:val="24"/>
          <w:highlight w:val="none"/>
          <w:lang w:eastAsia="zh-CN"/>
          <w14:textFill>
            <w14:solidFill>
              <w14:schemeClr w14:val="tx1"/>
            </w14:solidFill>
          </w14:textFill>
        </w:rPr>
        <w:t>219.9258万元</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采购计划文号：</w:t>
      </w:r>
      <w:r>
        <w:rPr>
          <w:rFonts w:hint="eastAsia" w:ascii="宋体" w:hAnsi="宋体" w:eastAsia="宋体" w:cs="宋体"/>
          <w:b/>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bCs w:val="0"/>
          <w:color w:val="000000" w:themeColor="text1"/>
          <w:sz w:val="24"/>
          <w:szCs w:val="24"/>
          <w:highlight w:val="none"/>
          <w14:textFill>
            <w14:solidFill>
              <w14:schemeClr w14:val="tx1"/>
            </w14:solidFill>
          </w14:textFill>
        </w:rPr>
        <w:instrText xml:space="preserve"> HYPERLINK "https://pay.zcygov.cn/purchaseplan_front/" \l "/plan/list/detail?id=1000000000005955744&amp;encrypt=562b2ddd91a56d885fd50db55c7742b0" \o "(2021)0298号" \t "https://www.zcygov.cn/delegation-order/order/_blank" </w:instrText>
      </w:r>
      <w:r>
        <w:rPr>
          <w:rFonts w:hint="eastAsia" w:ascii="宋体" w:hAnsi="宋体" w:eastAsia="宋体" w:cs="宋体"/>
          <w:b/>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bCs w:val="0"/>
          <w:color w:val="000000" w:themeColor="text1"/>
          <w:sz w:val="24"/>
          <w:szCs w:val="24"/>
          <w:highlight w:val="none"/>
          <w14:textFill>
            <w14:solidFill>
              <w14:schemeClr w14:val="tx1"/>
            </w14:solidFill>
          </w14:textFill>
        </w:rPr>
        <w:t>(2021)0298</w:t>
      </w:r>
      <w:r>
        <w:rPr>
          <w:rFonts w:hint="eastAsia" w:ascii="宋体" w:hAnsi="宋体" w:eastAsia="宋体" w:cs="宋体"/>
          <w:b/>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号</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采购品目编码：</w:t>
      </w:r>
      <w:r>
        <w:rPr>
          <w:rFonts w:hint="eastAsia" w:hAnsi="宋体" w:cs="宋体"/>
          <w:b/>
          <w:bCs w:val="0"/>
          <w:color w:val="000000" w:themeColor="text1"/>
          <w:sz w:val="24"/>
          <w:szCs w:val="24"/>
          <w:highlight w:val="none"/>
          <w:lang w:val="en-US" w:eastAsia="zh-CN"/>
          <w14:textFill>
            <w14:solidFill>
              <w14:schemeClr w14:val="tx1"/>
            </w14:solidFill>
          </w14:textFill>
        </w:rPr>
        <w:t>A033412 实验室建设</w:t>
      </w:r>
      <w:r>
        <w:rPr>
          <w:rFonts w:hint="eastAsia" w:ascii="宋体" w:hAnsi="宋体" w:eastAsia="宋体" w:cs="宋体"/>
          <w:bCs/>
          <w:color w:val="000000" w:themeColor="text1"/>
          <w:sz w:val="24"/>
          <w:szCs w:val="24"/>
          <w:highlight w:val="none"/>
          <w14:textFill>
            <w14:solidFill>
              <w14:schemeClr w14:val="tx1"/>
            </w14:solidFill>
          </w14:textFill>
        </w:rPr>
        <w:t>。</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三、采购项目简介：</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本项目共</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个包</w:t>
      </w:r>
      <w:bookmarkStart w:id="6" w:name="_Toc367783318"/>
      <w:bookmarkStart w:id="7" w:name="_Toc371692913"/>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本项目为</w:t>
      </w:r>
      <w:r>
        <w:rPr>
          <w:rFonts w:hint="eastAsia" w:ascii="宋体" w:hAnsi="宋体" w:eastAsia="宋体" w:cs="宋体"/>
          <w:color w:val="000000" w:themeColor="text1"/>
          <w:sz w:val="24"/>
          <w:szCs w:val="24"/>
          <w:highlight w:val="none"/>
          <w:lang w:eastAsia="zh-CN"/>
          <w14:textFill>
            <w14:solidFill>
              <w14:schemeClr w14:val="tx1"/>
            </w14:solidFill>
          </w14:textFill>
        </w:rPr>
        <w:t>成都市现代职业技术学校</w:t>
      </w:r>
      <w:r>
        <w:rPr>
          <w:rFonts w:hint="eastAsia" w:ascii="宋体" w:hAnsi="宋体" w:cs="宋体"/>
          <w:color w:val="000000" w:themeColor="text1"/>
          <w:sz w:val="24"/>
          <w:szCs w:val="24"/>
          <w:highlight w:val="none"/>
          <w:lang w:eastAsia="zh-CN"/>
          <w14:textFill>
            <w14:solidFill>
              <w14:schemeClr w14:val="tx1"/>
            </w14:solidFill>
          </w14:textFill>
        </w:rPr>
        <w:t>现代职业教育质量提升计划建设项目设施设备采购（第二次）</w:t>
      </w:r>
      <w:r>
        <w:rPr>
          <w:rFonts w:hint="eastAsia" w:ascii="宋体" w:hAnsi="宋体" w:eastAsia="宋体" w:cs="宋体"/>
          <w:color w:val="000000" w:themeColor="text1"/>
          <w:sz w:val="24"/>
          <w:szCs w:val="24"/>
          <w:highlight w:val="none"/>
          <w14:textFill>
            <w14:solidFill>
              <w14:schemeClr w14:val="tx1"/>
            </w14:solidFill>
          </w14:textFill>
        </w:rPr>
        <w:t>择优选择一家合格供应商提供</w:t>
      </w:r>
      <w:bookmarkEnd w:id="6"/>
      <w:bookmarkEnd w:id="7"/>
      <w:r>
        <w:rPr>
          <w:rFonts w:hint="eastAsia" w:ascii="宋体" w:hAnsi="宋体" w:cs="宋体"/>
          <w:color w:val="000000" w:themeColor="text1"/>
          <w:sz w:val="24"/>
          <w:szCs w:val="24"/>
          <w:highlight w:val="none"/>
          <w:lang w:eastAsia="zh-CN"/>
          <w14:textFill>
            <w14:solidFill>
              <w14:schemeClr w14:val="tx1"/>
            </w14:solidFill>
          </w14:textFill>
        </w:rPr>
        <w:t>货物和服务</w:t>
      </w:r>
      <w:r>
        <w:rPr>
          <w:rFonts w:hint="eastAsia" w:ascii="宋体" w:hAnsi="宋体" w:eastAsia="宋体" w:cs="宋体"/>
          <w:b/>
          <w:bCs/>
          <w:color w:val="000000" w:themeColor="text1"/>
          <w:sz w:val="24"/>
          <w:szCs w:val="24"/>
          <w:highlight w:val="none"/>
          <w14:textFill>
            <w14:solidFill>
              <w14:schemeClr w14:val="tx1"/>
            </w14:solidFill>
          </w14:textFill>
        </w:rPr>
        <w:t>（具体要求详见磋商文件第五章）</w:t>
      </w:r>
      <w:r>
        <w:rPr>
          <w:rFonts w:hint="eastAsia" w:ascii="宋体" w:hAnsi="宋体" w:eastAsia="宋体" w:cs="宋体"/>
          <w:color w:val="000000" w:themeColor="text1"/>
          <w:sz w:val="24"/>
          <w:szCs w:val="24"/>
          <w:highlight w:val="none"/>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四、供应商邀请方式</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本次竞争性磋商邀请在</w:t>
      </w:r>
      <w:r>
        <w:rPr>
          <w:rFonts w:hint="eastAsia" w:ascii="宋体" w:hAnsi="宋体" w:eastAsia="宋体" w:cs="宋体"/>
          <w:b/>
          <w:bCs/>
          <w:color w:val="000000" w:themeColor="text1"/>
          <w:sz w:val="24"/>
          <w:szCs w:val="24"/>
          <w:highlight w:val="none"/>
          <w14:textFill>
            <w14:solidFill>
              <w14:schemeClr w14:val="tx1"/>
            </w14:solidFill>
          </w14:textFill>
        </w:rPr>
        <w:t>四川政府采购网（www.ccgp-sichuan.gov.cn）</w:t>
      </w:r>
      <w:r>
        <w:rPr>
          <w:rFonts w:hint="eastAsia" w:ascii="宋体" w:hAnsi="宋体" w:eastAsia="宋体" w:cs="宋体"/>
          <w:color w:val="000000" w:themeColor="text1"/>
          <w:sz w:val="24"/>
          <w:szCs w:val="24"/>
          <w:highlight w:val="none"/>
          <w14:textFill>
            <w14:solidFill>
              <w14:schemeClr w14:val="tx1"/>
            </w14:solidFill>
          </w14:textFill>
        </w:rPr>
        <w:t>上以公告形式发布。</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五、供应商参加本次政府采购活动应具备下列条件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、本项目不接受联合体响应。</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七</w:t>
      </w:r>
      <w:r>
        <w:rPr>
          <w:rFonts w:hint="eastAsia" w:ascii="宋体" w:hAnsi="宋体" w:eastAsia="宋体" w:cs="宋体"/>
          <w:b/>
          <w:bCs/>
          <w:color w:val="000000" w:themeColor="text1"/>
          <w:sz w:val="24"/>
          <w:szCs w:val="24"/>
          <w:highlight w:val="none"/>
          <w14:textFill>
            <w14:solidFill>
              <w14:schemeClr w14:val="tx1"/>
            </w14:solidFill>
          </w14:textFill>
        </w:rPr>
        <w:t>、禁止参加本次采购活动的供应商</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1.根据《</w:t>
      </w:r>
      <w:r>
        <w:rPr>
          <w:rFonts w:hint="eastAsia" w:ascii="宋体" w:hAnsi="宋体" w:eastAsia="宋体" w:cs="宋体"/>
          <w:color w:val="000000" w:themeColor="text1"/>
          <w:sz w:val="24"/>
          <w:szCs w:val="24"/>
          <w:highlight w:val="none"/>
          <w:lang w:val="zh-CN"/>
          <w14:textFill>
            <w14:solidFill>
              <w14:schemeClr w14:val="tx1"/>
            </w14:solidFill>
          </w14:textFill>
        </w:rPr>
        <w:t>财政部</w:t>
      </w:r>
      <w:r>
        <w:rPr>
          <w:rFonts w:hint="eastAsia" w:ascii="宋体" w:hAnsi="宋体" w:eastAsia="宋体" w:cs="宋体"/>
          <w:color w:val="000000" w:themeColor="text1"/>
          <w:sz w:val="24"/>
          <w:szCs w:val="24"/>
          <w:highlight w:val="none"/>
          <w14:textFill>
            <w14:solidFill>
              <w14:schemeClr w14:val="tx1"/>
            </w14:solidFill>
          </w14:textFill>
        </w:rPr>
        <w:t>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line="360" w:lineRule="auto"/>
        <w:ind w:firstLine="463" w:firstLineChars="193"/>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lang w:val="zh-CN" w:eastAsia="zh-CN"/>
          <w14:textFill>
            <w14:solidFill>
              <w14:schemeClr w14:val="tx1"/>
            </w14:solidFill>
          </w14:textFill>
        </w:rPr>
        <w:t>参加本项目政府采购活动的供应商</w:t>
      </w:r>
      <w:r>
        <w:rPr>
          <w:rFonts w:hint="eastAsia" w:ascii="宋体" w:hAnsi="宋体" w:eastAsia="宋体" w:cs="宋体"/>
          <w:color w:val="000000" w:themeColor="text1"/>
          <w:sz w:val="24"/>
          <w:highlight w:val="none"/>
          <w14:textFill>
            <w14:solidFill>
              <w14:schemeClr w14:val="tx1"/>
            </w14:solidFill>
          </w14:textFill>
        </w:rPr>
        <w:t>及其现任法定代表人/主要负责人不得具有行贿犯罪记录</w:t>
      </w:r>
      <w:r>
        <w:rPr>
          <w:rFonts w:hint="eastAsia" w:ascii="宋体" w:hAnsi="宋体" w:eastAsia="宋体" w:cs="宋体"/>
          <w:color w:val="000000" w:themeColor="text1"/>
          <w:sz w:val="24"/>
          <w:highlight w:val="none"/>
          <w:lang w:eastAsia="zh-CN"/>
          <w14:textFill>
            <w14:solidFill>
              <w14:schemeClr w14:val="tx1"/>
            </w14:solidFill>
          </w14:textFill>
        </w:rPr>
        <w:t>。</w:t>
      </w:r>
    </w:p>
    <w:p>
      <w:pPr>
        <w:spacing w:line="360" w:lineRule="auto"/>
        <w:ind w:firstLine="463" w:firstLineChars="193"/>
        <w:rPr>
          <w:rFonts w:hint="eastAsia" w:ascii="宋体" w:hAnsi="宋体" w:eastAsia="宋体" w:cs="宋体"/>
          <w:color w:val="000000" w:themeColor="text1"/>
          <w:sz w:val="24"/>
          <w:highlight w:val="none"/>
          <w:lang w:val="zh-CN"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val="zh-CN" w:eastAsia="zh-CN"/>
          <w14:textFill>
            <w14:solidFill>
              <w14:schemeClr w14:val="tx1"/>
            </w14:solidFill>
          </w14:textFill>
        </w:rPr>
        <w:t>单位负责人为同一人或者存在直接控股、管理关系的不同供应商。</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八</w:t>
      </w:r>
      <w:r>
        <w:rPr>
          <w:rFonts w:hint="eastAsia" w:ascii="宋体" w:hAnsi="宋体" w:eastAsia="宋体" w:cs="宋体"/>
          <w:b/>
          <w:bCs/>
          <w:color w:val="000000" w:themeColor="text1"/>
          <w:sz w:val="24"/>
          <w:szCs w:val="24"/>
          <w:highlight w:val="none"/>
          <w14:textFill>
            <w14:solidFill>
              <w14:schemeClr w14:val="tx1"/>
            </w14:solidFill>
          </w14:textFill>
        </w:rPr>
        <w:t>、磋商文件获取方式、时间、地点：</w:t>
      </w:r>
    </w:p>
    <w:p>
      <w:pPr>
        <w:spacing w:line="440" w:lineRule="exact"/>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磋商文件</w:t>
      </w:r>
      <w:r>
        <w:rPr>
          <w:rFonts w:hint="eastAsia" w:hAnsi="宋体" w:cs="宋体"/>
          <w:color w:val="000000" w:themeColor="text1"/>
          <w:sz w:val="24"/>
          <w:szCs w:val="24"/>
          <w:highlight w:val="none"/>
          <w:lang w:eastAsia="zh-CN"/>
          <w14:textFill>
            <w14:solidFill>
              <w14:schemeClr w14:val="tx1"/>
            </w14:solidFill>
          </w14:textFill>
        </w:rPr>
        <w:t>获取（即报名）时间：</w:t>
      </w:r>
      <w:r>
        <w:rPr>
          <w:rFonts w:hint="eastAsia" w:hAnsi="宋体" w:eastAsia="宋体" w:cs="宋体"/>
          <w:b/>
          <w:bCs/>
          <w:color w:val="000000" w:themeColor="text1"/>
          <w:sz w:val="24"/>
          <w:szCs w:val="24"/>
          <w:highlight w:val="none"/>
          <w14:textFill>
            <w14:solidFill>
              <w14:schemeClr w14:val="tx1"/>
            </w14:solidFill>
          </w14:textFill>
        </w:rPr>
        <w:t>自202</w:t>
      </w:r>
      <w:r>
        <w:rPr>
          <w:rFonts w:hint="eastAsia" w:hAnsi="宋体" w:cs="宋体"/>
          <w:b/>
          <w:bCs/>
          <w:color w:val="000000" w:themeColor="text1"/>
          <w:sz w:val="24"/>
          <w:szCs w:val="24"/>
          <w:highlight w:val="none"/>
          <w14:textFill>
            <w14:solidFill>
              <w14:schemeClr w14:val="tx1"/>
            </w14:solidFill>
          </w14:textFill>
        </w:rPr>
        <w:t>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08</w:t>
      </w:r>
      <w:r>
        <w:rPr>
          <w:rFonts w:hint="eastAsia" w:hAnsi="宋体" w:cs="宋体"/>
          <w:b/>
          <w:bCs/>
          <w:color w:val="000000" w:themeColor="text1"/>
          <w:sz w:val="24"/>
          <w:szCs w:val="24"/>
          <w:highlight w:val="none"/>
          <w14:textFill>
            <w14:solidFill>
              <w14:schemeClr w14:val="tx1"/>
            </w14:solidFill>
          </w14:textFill>
        </w:rPr>
        <w:t>日至2021年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13</w:t>
      </w:r>
      <w:r>
        <w:rPr>
          <w:rFonts w:hint="eastAsia" w:hAnsi="宋体" w:cs="宋体"/>
          <w:b/>
          <w:bCs/>
          <w:color w:val="000000" w:themeColor="text1"/>
          <w:sz w:val="24"/>
          <w:szCs w:val="24"/>
          <w:highlight w:val="none"/>
          <w14:textFill>
            <w14:solidFill>
              <w14:schemeClr w14:val="tx1"/>
            </w14:solidFill>
          </w14:textFill>
        </w:rPr>
        <w:t>日09:00- 17:00</w:t>
      </w:r>
      <w:r>
        <w:rPr>
          <w:rFonts w:hint="eastAsia" w:hAnsi="宋体" w:cs="宋体"/>
          <w:color w:val="000000" w:themeColor="text1"/>
          <w:sz w:val="24"/>
          <w:szCs w:val="24"/>
          <w:highlight w:val="none"/>
          <w14:textFill>
            <w14:solidFill>
              <w14:schemeClr w14:val="tx1"/>
            </w14:solidFill>
          </w14:textFill>
        </w:rPr>
        <w:t>（北京时间，法定节假日除外）</w:t>
      </w:r>
      <w:r>
        <w:rPr>
          <w:rFonts w:hint="eastAsia" w:hAnsi="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无偿获取（</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售后不退，</w:t>
      </w:r>
      <w:r>
        <w:rPr>
          <w:rFonts w:hint="eastAsia" w:ascii="宋体" w:hAnsi="宋体" w:cs="宋体"/>
          <w:b/>
          <w:bCs/>
          <w:color w:val="000000" w:themeColor="text1"/>
          <w:sz w:val="24"/>
          <w:szCs w:val="24"/>
          <w:highlight w:val="none"/>
          <w:lang w:eastAsia="zh-CN"/>
          <w14:textFill>
            <w14:solidFill>
              <w14:schemeClr w14:val="tx1"/>
            </w14:solidFill>
          </w14:textFill>
        </w:rPr>
        <w:t>磋商</w:t>
      </w:r>
      <w:r>
        <w:rPr>
          <w:rFonts w:hint="eastAsia" w:ascii="宋体" w:hAnsi="宋体" w:eastAsia="宋体" w:cs="宋体"/>
          <w:b/>
          <w:bCs/>
          <w:color w:val="000000" w:themeColor="text1"/>
          <w:sz w:val="24"/>
          <w:szCs w:val="24"/>
          <w:highlight w:val="none"/>
          <w14:textFill>
            <w14:solidFill>
              <w14:schemeClr w14:val="tx1"/>
            </w14:solidFill>
          </w14:textFill>
        </w:rPr>
        <w:t>资格不能转让）</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after="120" w:line="440" w:lineRule="exact"/>
        <w:ind w:firstLine="480" w:firstLineChars="200"/>
        <w:rPr>
          <w:rFonts w:hint="eastAsia" w:ascii="Times New Roman" w:hAnsi="宋体" w:cs="宋体"/>
          <w:color w:val="000000" w:themeColor="text1"/>
          <w:sz w:val="24"/>
          <w:szCs w:val="24"/>
          <w:highlight w:val="none"/>
          <w14:textFill>
            <w14:solidFill>
              <w14:schemeClr w14:val="tx1"/>
            </w14:solidFill>
          </w14:textFill>
        </w:rPr>
      </w:pPr>
      <w:r>
        <w:rPr>
          <w:rFonts w:hint="eastAsia" w:ascii="Times New Roman" w:hAnsi="宋体" w:cs="宋体"/>
          <w:color w:val="000000" w:themeColor="text1"/>
          <w:sz w:val="24"/>
          <w:szCs w:val="24"/>
          <w:highlight w:val="none"/>
          <w:lang w:val="en-US" w:eastAsia="zh-CN"/>
          <w14:textFill>
            <w14:solidFill>
              <w14:schemeClr w14:val="tx1"/>
            </w14:solidFill>
          </w14:textFill>
        </w:rPr>
        <w:t>本项目磋商文件，供应商从“政府采购云平台”（https://www.zcygov.cn）获取：登录“政府采购云平台”→项目采购→获取采购文件→申请获取采购文件</w:t>
      </w:r>
      <w:r>
        <w:rPr>
          <w:rFonts w:hint="eastAsia" w:ascii="Times New Roman" w:hAnsi="宋体" w:cs="宋体"/>
          <w:color w:val="000000" w:themeColor="text1"/>
          <w:sz w:val="24"/>
          <w:szCs w:val="24"/>
          <w:highlight w:val="none"/>
          <w14:textFill>
            <w14:solidFill>
              <w14:schemeClr w14:val="tx1"/>
            </w14:solidFill>
          </w14:textFill>
        </w:rPr>
        <w:t>。</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九</w:t>
      </w:r>
      <w:r>
        <w:rPr>
          <w:rFonts w:hint="eastAsia" w:hAnsi="宋体" w:cs="宋体"/>
          <w:b/>
          <w:color w:val="000000" w:themeColor="text1"/>
          <w:sz w:val="24"/>
          <w:szCs w:val="24"/>
          <w:highlight w:val="none"/>
          <w14:textFill>
            <w14:solidFill>
              <w14:schemeClr w14:val="tx1"/>
            </w14:solidFill>
          </w14:textFill>
        </w:rPr>
        <w:t>、递交响应文件截止时间：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18</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w:t>
      </w:r>
      <w:r>
        <w:rPr>
          <w:rFonts w:hint="eastAsia" w:hAnsi="宋体" w:cs="宋体"/>
          <w:b/>
          <w:bCs w:val="0"/>
          <w:color w:val="000000" w:themeColor="text1"/>
          <w:sz w:val="24"/>
          <w:szCs w:val="24"/>
          <w:highlight w:val="none"/>
          <w:lang w:val="en-US" w:eastAsia="zh-CN"/>
          <w14:textFill>
            <w14:solidFill>
              <w14:schemeClr w14:val="tx1"/>
            </w14:solidFill>
          </w14:textFill>
        </w:rPr>
        <w:t>0</w:t>
      </w:r>
      <w:r>
        <w:rPr>
          <w:rFonts w:hint="eastAsia" w:hAnsi="宋体" w:cs="宋体"/>
          <w:b/>
          <w:bCs w:val="0"/>
          <w:color w:val="000000" w:themeColor="text1"/>
          <w:sz w:val="24"/>
          <w:szCs w:val="24"/>
          <w:highlight w:val="none"/>
          <w14:textFill>
            <w14:solidFill>
              <w14:schemeClr w14:val="tx1"/>
            </w14:solidFill>
          </w14:textFill>
        </w:rPr>
        <w:t xml:space="preserve">0 </w:t>
      </w:r>
      <w:r>
        <w:rPr>
          <w:rFonts w:hint="eastAsia" w:hAnsi="宋体" w:cs="宋体"/>
          <w:color w:val="000000" w:themeColor="text1"/>
          <w:sz w:val="24"/>
          <w:szCs w:val="24"/>
          <w:highlight w:val="none"/>
          <w14:textFill>
            <w14:solidFill>
              <w14:schemeClr w14:val="tx1"/>
            </w14:solidFill>
          </w14:textFill>
        </w:rPr>
        <w:t>（北京时间）。</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十</w:t>
      </w:r>
      <w:r>
        <w:rPr>
          <w:rFonts w:hint="eastAsia" w:hAnsi="宋体" w:cs="宋体"/>
          <w:b/>
          <w:color w:val="000000" w:themeColor="text1"/>
          <w:sz w:val="24"/>
          <w:szCs w:val="24"/>
          <w:highlight w:val="none"/>
          <w14:textFill>
            <w14:solidFill>
              <w14:schemeClr w14:val="tx1"/>
            </w14:solidFill>
          </w14:textFill>
        </w:rPr>
        <w:t>、递交响应文件地点：</w:t>
      </w:r>
      <w:r>
        <w:rPr>
          <w:rFonts w:hint="eastAsia" w:hAnsi="宋体" w:cs="宋体"/>
          <w:color w:val="000000" w:themeColor="text1"/>
          <w:sz w:val="24"/>
          <w:szCs w:val="24"/>
          <w:highlight w:val="none"/>
          <w14:textFill>
            <w14:solidFill>
              <w14:schemeClr w14:val="tx1"/>
            </w14:solidFill>
          </w14:textFill>
        </w:rPr>
        <w:t>响应文件必须在递交响应文件截止时间前送达磋商地点。逾期送达、密封和标注错误的响应文件，采购代理机构恕不接收。本次采购不接收邮寄的响应文件。</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一</w:t>
      </w:r>
      <w:r>
        <w:rPr>
          <w:rFonts w:hint="eastAsia" w:hAnsi="宋体" w:cs="宋体"/>
          <w:b/>
          <w:color w:val="000000" w:themeColor="text1"/>
          <w:sz w:val="24"/>
          <w:szCs w:val="24"/>
          <w:highlight w:val="none"/>
          <w14:textFill>
            <w14:solidFill>
              <w14:schemeClr w14:val="tx1"/>
            </w14:solidFill>
          </w14:textFill>
        </w:rPr>
        <w:t>、响应文件开启时间：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18</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w:t>
      </w:r>
      <w:r>
        <w:rPr>
          <w:rFonts w:hint="eastAsia" w:hAnsi="宋体" w:cs="宋体"/>
          <w:b/>
          <w:bCs w:val="0"/>
          <w:color w:val="000000" w:themeColor="text1"/>
          <w:sz w:val="24"/>
          <w:szCs w:val="24"/>
          <w:highlight w:val="none"/>
          <w:lang w:val="en-US" w:eastAsia="zh-CN"/>
          <w14:textFill>
            <w14:solidFill>
              <w14:schemeClr w14:val="tx1"/>
            </w14:solidFill>
          </w14:textFill>
        </w:rPr>
        <w:t>0</w:t>
      </w:r>
      <w:r>
        <w:rPr>
          <w:rFonts w:hint="eastAsia" w:hAnsi="宋体" w:cs="宋体"/>
          <w:b/>
          <w:bCs w:val="0"/>
          <w:color w:val="000000" w:themeColor="text1"/>
          <w:sz w:val="24"/>
          <w:szCs w:val="24"/>
          <w:highlight w:val="none"/>
          <w14:textFill>
            <w14:solidFill>
              <w14:schemeClr w14:val="tx1"/>
            </w14:solidFill>
          </w14:textFill>
        </w:rPr>
        <w:t>0</w:t>
      </w:r>
      <w:r>
        <w:rPr>
          <w:rFonts w:hint="eastAsia" w:hAnsi="宋体" w:cs="宋体"/>
          <w:color w:val="000000" w:themeColor="text1"/>
          <w:sz w:val="24"/>
          <w:szCs w:val="24"/>
          <w:highlight w:val="none"/>
          <w14:textFill>
            <w14:solidFill>
              <w14:schemeClr w14:val="tx1"/>
            </w14:solidFill>
          </w14:textFill>
        </w:rPr>
        <w:t>（北京时间）在磋商地点开启。</w:t>
      </w:r>
    </w:p>
    <w:p>
      <w:pPr>
        <w:spacing w:line="440" w:lineRule="exact"/>
        <w:ind w:firstLine="489" w:firstLineChars="203"/>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二</w:t>
      </w:r>
      <w:r>
        <w:rPr>
          <w:rFonts w:hint="eastAsia" w:hAnsi="宋体" w:cs="宋体"/>
          <w:b/>
          <w:color w:val="000000" w:themeColor="text1"/>
          <w:sz w:val="24"/>
          <w:szCs w:val="24"/>
          <w:highlight w:val="none"/>
          <w14:textFill>
            <w14:solidFill>
              <w14:schemeClr w14:val="tx1"/>
            </w14:solidFill>
          </w14:textFill>
        </w:rPr>
        <w:t>、磋商地点：</w:t>
      </w:r>
      <w:r>
        <w:rPr>
          <w:rFonts w:hint="eastAsia" w:hAnsi="宋体" w:cs="宋体"/>
          <w:color w:val="000000" w:themeColor="text1"/>
          <w:sz w:val="24"/>
          <w:szCs w:val="24"/>
          <w:highlight w:val="none"/>
          <w:u w:val="none"/>
          <w:lang w:eastAsia="zh-CN"/>
          <w14:textFill>
            <w14:solidFill>
              <w14:schemeClr w14:val="tx1"/>
            </w14:solidFill>
          </w14:textFill>
        </w:rPr>
        <w:t>成都市金牛区金沙路69号金沙楼4楼</w:t>
      </w:r>
      <w:r>
        <w:rPr>
          <w:rFonts w:hint="eastAsia" w:hAnsi="宋体" w:cs="宋体"/>
          <w:color w:val="000000" w:themeColor="text1"/>
          <w:sz w:val="24"/>
          <w:szCs w:val="24"/>
          <w:highlight w:val="none"/>
          <w14:textFill>
            <w14:solidFill>
              <w14:schemeClr w14:val="tx1"/>
            </w14:solidFill>
          </w14:textFill>
        </w:rPr>
        <w:t>。</w:t>
      </w:r>
    </w:p>
    <w:p>
      <w:pPr>
        <w:pStyle w:val="67"/>
        <w:spacing w:line="440" w:lineRule="exact"/>
        <w:ind w:firstLine="482"/>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三</w:t>
      </w:r>
      <w:r>
        <w:rPr>
          <w:rFonts w:hint="eastAsia" w:hAnsi="宋体" w:cs="宋体"/>
          <w:b/>
          <w:color w:val="000000" w:themeColor="text1"/>
          <w:sz w:val="24"/>
          <w:szCs w:val="24"/>
          <w:highlight w:val="none"/>
          <w14:textFill>
            <w14:solidFill>
              <w14:schemeClr w14:val="tx1"/>
            </w14:solidFill>
          </w14:textFill>
        </w:rPr>
        <w:t>、联系方式</w:t>
      </w:r>
    </w:p>
    <w:p>
      <w:pPr>
        <w:pStyle w:val="67"/>
        <w:spacing w:line="440" w:lineRule="exact"/>
        <w:ind w:firstLine="954" w:firstLineChars="396"/>
        <w:rPr>
          <w:rFonts w:hint="eastAsia" w:hAnsi="宋体" w:eastAsia="宋体" w:cs="宋体"/>
          <w:b/>
          <w:bCs/>
          <w:color w:val="000000" w:themeColor="text1"/>
          <w:sz w:val="24"/>
          <w:szCs w:val="24"/>
          <w:highlight w:val="none"/>
          <w:lang w:eastAsia="zh-CN"/>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  采购人：</w:t>
      </w:r>
      <w:r>
        <w:rPr>
          <w:rFonts w:hint="eastAsia" w:hAnsi="宋体" w:cs="宋体"/>
          <w:b/>
          <w:bCs/>
          <w:color w:val="000000" w:themeColor="text1"/>
          <w:sz w:val="24"/>
          <w:szCs w:val="24"/>
          <w:highlight w:val="none"/>
          <w:lang w:eastAsia="zh-CN"/>
          <w14:textFill>
            <w14:solidFill>
              <w14:schemeClr w14:val="tx1"/>
            </w14:solidFill>
          </w14:textFill>
        </w:rPr>
        <w:t>成都市现代职业技术学校</w:t>
      </w:r>
    </w:p>
    <w:p>
      <w:pPr>
        <w:pStyle w:val="67"/>
        <w:spacing w:line="440" w:lineRule="exact"/>
        <w:ind w:firstLine="1200" w:firstLineChars="500"/>
        <w:rPr>
          <w:rFonts w:hint="eastAsia" w:hAnsi="宋体" w:eastAsia="宋体" w:cs="宋体"/>
          <w:bCs/>
          <w:color w:val="000000" w:themeColor="text1"/>
          <w:sz w:val="24"/>
          <w:szCs w:val="24"/>
          <w:highlight w:val="none"/>
          <w:lang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通讯地址：</w:t>
      </w:r>
      <w:r>
        <w:rPr>
          <w:rFonts w:hint="eastAsia" w:hAnsi="宋体" w:cs="宋体"/>
          <w:bCs/>
          <w:color w:val="000000" w:themeColor="text1"/>
          <w:sz w:val="24"/>
          <w:szCs w:val="24"/>
          <w:highlight w:val="none"/>
          <w:lang w:eastAsia="zh-CN"/>
          <w14:textFill>
            <w14:solidFill>
              <w14:schemeClr w14:val="tx1"/>
            </w14:solidFill>
          </w14:textFill>
        </w:rPr>
        <w:t>成都市锦江区枫树街899号</w:t>
      </w:r>
    </w:p>
    <w:p>
      <w:pPr>
        <w:pStyle w:val="67"/>
        <w:spacing w:line="440" w:lineRule="exact"/>
        <w:ind w:firstLine="1200" w:firstLineChars="500"/>
        <w:rPr>
          <w:rFonts w:hint="default" w:hAnsi="宋体" w:eastAsia="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 系 人</w:t>
      </w:r>
      <w:r>
        <w:rPr>
          <w:rFonts w:hint="eastAsia" w:hAnsi="宋体" w:cs="宋体"/>
          <w:color w:val="000000" w:themeColor="text1"/>
          <w:sz w:val="24"/>
          <w:szCs w:val="24"/>
          <w:highlight w:val="none"/>
          <w:lang w:eastAsia="zh-CN"/>
          <w14:textFill>
            <w14:solidFill>
              <w14:schemeClr w14:val="tx1"/>
            </w14:solidFill>
          </w14:textFill>
        </w:rPr>
        <w:t>：袁老师</w:t>
      </w:r>
    </w:p>
    <w:p>
      <w:pPr>
        <w:pStyle w:val="67"/>
        <w:spacing w:line="440" w:lineRule="exact"/>
        <w:ind w:firstLine="1200" w:firstLineChars="500"/>
        <w:rPr>
          <w:rFonts w:hint="default" w:hAnsi="宋体" w:eastAsia="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r>
        <w:rPr>
          <w:rFonts w:hint="eastAsia" w:hAnsi="宋体" w:cs="宋体"/>
          <w:color w:val="000000" w:themeColor="text1"/>
          <w:sz w:val="24"/>
          <w:szCs w:val="24"/>
          <w:highlight w:val="none"/>
          <w:lang w:val="en-US" w:eastAsia="zh-CN"/>
          <w14:textFill>
            <w14:solidFill>
              <w14:schemeClr w14:val="tx1"/>
            </w14:solidFill>
          </w14:textFill>
        </w:rPr>
        <w:t>028-85532253</w:t>
      </w:r>
    </w:p>
    <w:p>
      <w:pPr>
        <w:pStyle w:val="67"/>
        <w:spacing w:line="440" w:lineRule="exact"/>
        <w:ind w:firstLine="1135" w:firstLineChars="471"/>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采购代理机构：</w:t>
      </w:r>
      <w:r>
        <w:rPr>
          <w:rFonts w:hint="eastAsia" w:hAnsi="宋体" w:cs="宋体"/>
          <w:b/>
          <w:color w:val="000000" w:themeColor="text1"/>
          <w:sz w:val="24"/>
          <w:szCs w:val="24"/>
          <w:highlight w:val="none"/>
          <w:lang w:eastAsia="zh-CN"/>
          <w14:textFill>
            <w14:solidFill>
              <w14:schemeClr w14:val="tx1"/>
            </w14:solidFill>
          </w14:textFill>
        </w:rPr>
        <w:t>成都金牡丹工程管理咨询有限公司</w:t>
      </w:r>
      <w:r>
        <w:rPr>
          <w:rFonts w:hint="eastAsia" w:hAnsi="宋体" w:cs="宋体"/>
          <w:b/>
          <w:color w:val="000000" w:themeColor="text1"/>
          <w:sz w:val="24"/>
          <w:szCs w:val="24"/>
          <w:highlight w:val="none"/>
          <w14:textFill>
            <w14:solidFill>
              <w14:schemeClr w14:val="tx1"/>
            </w14:solidFill>
          </w14:textFill>
        </w:rPr>
        <w:t xml:space="preserve"> </w:t>
      </w:r>
    </w:p>
    <w:p>
      <w:pPr>
        <w:pStyle w:val="67"/>
        <w:spacing w:line="440" w:lineRule="exact"/>
        <w:ind w:firstLine="1200" w:firstLineChars="500"/>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通讯地址：</w:t>
      </w:r>
      <w:r>
        <w:rPr>
          <w:rFonts w:hint="eastAsia" w:ascii="宋体" w:hAnsi="宋体" w:eastAsia="宋体" w:cs="宋体"/>
          <w:color w:val="000000" w:themeColor="text1"/>
          <w:sz w:val="24"/>
          <w:szCs w:val="24"/>
          <w:highlight w:val="none"/>
          <w:lang w:val="zh-CN" w:eastAsia="zh-CN"/>
          <w14:textFill>
            <w14:solidFill>
              <w14:schemeClr w14:val="tx1"/>
            </w14:solidFill>
          </w14:textFill>
        </w:rPr>
        <w:t>成都市金牛区金沙路69号</w:t>
      </w:r>
      <w:r>
        <w:rPr>
          <w:rFonts w:hint="eastAsia" w:ascii="宋体" w:hAnsi="宋体" w:cs="宋体"/>
          <w:color w:val="000000" w:themeColor="text1"/>
          <w:sz w:val="24"/>
          <w:szCs w:val="24"/>
          <w:highlight w:val="none"/>
          <w:lang w:val="zh-CN" w:eastAsia="zh-CN"/>
          <w14:textFill>
            <w14:solidFill>
              <w14:schemeClr w14:val="tx1"/>
            </w14:solidFill>
          </w14:textFill>
        </w:rPr>
        <w:t>金沙楼4楼</w:t>
      </w:r>
    </w:p>
    <w:p>
      <w:pPr>
        <w:pStyle w:val="67"/>
        <w:spacing w:line="440" w:lineRule="exact"/>
        <w:ind w:firstLine="1200" w:firstLineChars="5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 系 人：</w:t>
      </w:r>
      <w:r>
        <w:rPr>
          <w:rFonts w:hint="eastAsia" w:ascii="宋体" w:hAnsi="宋体" w:eastAsia="宋体" w:cs="宋体"/>
          <w:color w:val="000000" w:themeColor="text1"/>
          <w:sz w:val="24"/>
          <w:szCs w:val="24"/>
          <w:highlight w:val="none"/>
          <w:lang w:val="zh-CN" w:eastAsia="zh-CN"/>
          <w14:textFill>
            <w14:solidFill>
              <w14:schemeClr w14:val="tx1"/>
            </w14:solidFill>
          </w14:textFill>
        </w:rPr>
        <w:t>王老师</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联系电话：028-62467087</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开户行：交通银行成都西安路支行</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银行帐号：511511093013000448705</w:t>
      </w:r>
    </w:p>
    <w:p>
      <w:pPr>
        <w:widowControl/>
        <w:jc w:val="left"/>
        <w:rPr>
          <w:rFonts w:hint="eastAsia" w:ascii="宋体" w:hAnsi="宋体" w:eastAsia="宋体" w:cs="宋体"/>
          <w:b/>
          <w:bCs/>
          <w:color w:val="000000" w:themeColor="text1"/>
          <w:kern w:val="44"/>
          <w:sz w:val="36"/>
          <w:szCs w:val="36"/>
          <w:highlight w:val="none"/>
          <w14:textFill>
            <w14:solidFill>
              <w14:schemeClr w14:val="tx1"/>
            </w14:solidFill>
          </w14:textFill>
        </w:rPr>
      </w:pPr>
      <w:bookmarkStart w:id="8" w:name="_Toc213397009"/>
      <w:bookmarkStart w:id="9" w:name="_Toc213496267"/>
      <w:bookmarkStart w:id="10" w:name="_Toc213396945"/>
      <w:bookmarkStart w:id="11" w:name="_Toc217446031"/>
      <w:bookmarkStart w:id="12" w:name="_Toc213396759"/>
      <w:r>
        <w:rPr>
          <w:rFonts w:hint="eastAsia" w:ascii="宋体" w:hAnsi="宋体" w:eastAsia="宋体" w:cs="宋体"/>
          <w:color w:val="000000" w:themeColor="text1"/>
          <w:sz w:val="36"/>
          <w:szCs w:val="36"/>
          <w:highlight w:val="none"/>
          <w14:textFill>
            <w14:solidFill>
              <w14:schemeClr w14:val="tx1"/>
            </w14:solidFill>
          </w14:textFill>
        </w:rPr>
        <w:br w:type="page"/>
      </w: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3" w:name="_Toc29422"/>
      <w:bookmarkStart w:id="14" w:name="_Toc7961744"/>
      <w:bookmarkStart w:id="15" w:name="_Toc16020"/>
      <w:bookmarkStart w:id="16" w:name="_Toc19616"/>
      <w:r>
        <w:rPr>
          <w:rFonts w:hint="eastAsia" w:ascii="宋体" w:hAnsi="宋体" w:eastAsia="宋体" w:cs="宋体"/>
          <w:color w:val="000000" w:themeColor="text1"/>
          <w:sz w:val="36"/>
          <w:szCs w:val="36"/>
          <w:highlight w:val="none"/>
          <w14:textFill>
            <w14:solidFill>
              <w14:schemeClr w14:val="tx1"/>
            </w14:solidFill>
          </w14:textFill>
        </w:rPr>
        <w:t>第二章  磋商须知</w:t>
      </w:r>
      <w:bookmarkEnd w:id="8"/>
      <w:bookmarkEnd w:id="9"/>
      <w:bookmarkEnd w:id="10"/>
      <w:bookmarkEnd w:id="11"/>
      <w:bookmarkEnd w:id="12"/>
      <w:bookmarkEnd w:id="13"/>
      <w:bookmarkEnd w:id="14"/>
      <w:bookmarkEnd w:id="15"/>
      <w:bookmarkEnd w:id="16"/>
    </w:p>
    <w:p>
      <w:pPr>
        <w:pStyle w:val="2"/>
        <w:keepNext w:val="0"/>
        <w:keepLines w:val="0"/>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17" w:name="_Toc22467"/>
      <w:r>
        <w:rPr>
          <w:rFonts w:hint="eastAsia" w:ascii="宋体" w:hAnsi="宋体" w:eastAsia="宋体" w:cs="宋体"/>
          <w:color w:val="000000" w:themeColor="text1"/>
          <w:highlight w:val="none"/>
          <w14:textFill>
            <w14:solidFill>
              <w14:schemeClr w14:val="tx1"/>
            </w14:solidFill>
          </w14:textFill>
        </w:rPr>
        <w:t>一、供应商须知附表</w:t>
      </w:r>
      <w:bookmarkEnd w:id="17"/>
    </w:p>
    <w:tbl>
      <w:tblPr>
        <w:tblStyle w:val="28"/>
        <w:tblW w:w="944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6"/>
        <w:gridCol w:w="1954"/>
        <w:gridCol w:w="678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706" w:type="dxa"/>
            <w:vAlign w:val="center"/>
          </w:tcPr>
          <w:p>
            <w:pPr>
              <w:bidi w:val="0"/>
              <w:jc w:val="center"/>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序号</w:t>
            </w:r>
          </w:p>
        </w:tc>
        <w:tc>
          <w:tcPr>
            <w:tcW w:w="1954" w:type="dxa"/>
            <w:vAlign w:val="center"/>
          </w:tcPr>
          <w:p>
            <w:pPr>
              <w:bidi w:val="0"/>
              <w:jc w:val="center"/>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应知事项</w:t>
            </w:r>
          </w:p>
        </w:tc>
        <w:tc>
          <w:tcPr>
            <w:tcW w:w="6786" w:type="dxa"/>
            <w:vAlign w:val="center"/>
          </w:tcPr>
          <w:p>
            <w:pPr>
              <w:bidi w:val="0"/>
              <w:jc w:val="center"/>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确定邀请磋商的供应商数量和方式</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本次磋商邀请的供应商数量：3个及以上；</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本次采购采取公开发布公告的方式邀请参加磋商的供应商。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r>
              <w:rPr>
                <w:rFonts w:hint="eastAsia" w:ascii="宋体" w:hAnsi="宋体" w:eastAsia="宋体" w:cs="宋体"/>
                <w:color w:val="000000" w:themeColor="text1"/>
                <w:sz w:val="21"/>
                <w:szCs w:val="21"/>
                <w:highlight w:val="none"/>
                <w:lang w:val="zh-CN" w:eastAsia="zh-CN"/>
                <w14:textFill>
                  <w14:solidFill>
                    <w14:schemeClr w14:val="tx1"/>
                  </w14:solidFill>
                </w14:textFill>
              </w:rPr>
              <w:t>219.9258</w:t>
            </w:r>
            <w:r>
              <w:rPr>
                <w:rFonts w:hint="eastAsia" w:ascii="宋体" w:hAnsi="宋体" w:cs="宋体"/>
                <w:color w:val="000000" w:themeColor="text1"/>
                <w:sz w:val="21"/>
                <w:szCs w:val="21"/>
                <w:highlight w:val="none"/>
                <w:lang w:val="zh-CN" w:eastAsia="zh-CN"/>
                <w14:textFill>
                  <w14:solidFill>
                    <w14:schemeClr w14:val="tx1"/>
                  </w14:solidFill>
                </w14:textFill>
              </w:rPr>
              <w:t>万</w:t>
            </w:r>
            <w:r>
              <w:rPr>
                <w:rFonts w:hint="eastAsia" w:ascii="宋体" w:hAnsi="宋体" w:eastAsia="宋体" w:cs="宋体"/>
                <w:color w:val="000000" w:themeColor="text1"/>
                <w:sz w:val="21"/>
                <w:szCs w:val="21"/>
                <w:highlight w:val="none"/>
                <w:lang w:val="zh-CN" w:eastAsia="zh-CN"/>
                <w14:textFill>
                  <w14:solidFill>
                    <w14:schemeClr w14:val="tx1"/>
                  </w14:solidFill>
                </w14:textFill>
              </w:rPr>
              <w:t>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超过采购预算的报价无效。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r>
              <w:rPr>
                <w:rFonts w:hint="eastAsia" w:ascii="宋体" w:hAnsi="宋体" w:eastAsia="宋体" w:cs="宋体"/>
                <w:color w:val="000000" w:themeColor="text1"/>
                <w:sz w:val="21"/>
                <w:szCs w:val="21"/>
                <w:highlight w:val="none"/>
                <w:lang w:val="zh-CN" w:eastAsia="zh-CN"/>
                <w14:textFill>
                  <w14:solidFill>
                    <w14:schemeClr w14:val="tx1"/>
                  </w14:solidFill>
                </w14:textFill>
              </w:rPr>
              <w:t>219.9258</w:t>
            </w:r>
            <w:r>
              <w:rPr>
                <w:rFonts w:hint="eastAsia" w:ascii="宋体" w:hAnsi="宋体" w:cs="宋体"/>
                <w:color w:val="000000" w:themeColor="text1"/>
                <w:sz w:val="21"/>
                <w:szCs w:val="21"/>
                <w:highlight w:val="none"/>
                <w:lang w:val="zh-CN" w:eastAsia="zh-CN"/>
                <w14:textFill>
                  <w14:solidFill>
                    <w14:schemeClr w14:val="tx1"/>
                  </w14:solidFill>
                </w14:textFill>
              </w:rPr>
              <w:t>万</w:t>
            </w:r>
            <w:r>
              <w:rPr>
                <w:rFonts w:hint="eastAsia" w:ascii="宋体" w:hAnsi="宋体" w:eastAsia="宋体" w:cs="宋体"/>
                <w:color w:val="000000" w:themeColor="text1"/>
                <w:sz w:val="21"/>
                <w:szCs w:val="21"/>
                <w:highlight w:val="none"/>
                <w:lang w:val="zh-CN" w:eastAsia="zh-CN"/>
                <w14:textFill>
                  <w14:solidFill>
                    <w14:schemeClr w14:val="tx1"/>
                  </w14:solidFill>
                </w14:textFill>
              </w:rPr>
              <w:t>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超过最高限价的报价无效。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联合体</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不允许联合体。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458"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低于成本价不正当竞争预防措施</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评审过程中，供应商报价明显低于其他有效供应商的报价，有可能影响产品质量或者不能诚信履约的，磋商小组应当要求其在磋商现场合理的时间内提供书面说明，并提交相关证明材料，供应商不能证明其报价合理性的，磋商小组应当将其作为无效处理。</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供应商的书面说明材料应当按照国家财务会计制度的规定要求，逐项就供应商提供的货物、工程和服务的主营业务成本、税金及附加、销售费用、管理费用、财务费用等成本构成事项详细陈述。</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 xml:space="preserve">供应商书面说明应当签字确认或者加盖公章，否则无效。书面说明的签字确认，由其法定代表人/主要负责人/本人或者其授权代表签字确认。 </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是否专门面向中小企业的项目或专门面向小微企业采购的项目</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（否）</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非专门面向中小微企业采购</w:t>
            </w:r>
            <w:r>
              <w:rPr>
                <w:rFonts w:hint="eastAsia" w:ascii="宋体" w:hAnsi="宋体" w:eastAsia="宋体" w:cs="宋体"/>
                <w:b/>
                <w:bCs/>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小微企业（监狱企业、残疾人福利性单位视同小微企业）政府采购政策扶持</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一、小微企业价格扣除</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1.根据《政府采购促进中小企业发展管理办法》（财库﹝2020﹞46 号）的规定，对小型和微型企业产品的价格给予10%的价格扣除，用扣除后的价格参与评审。</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w:t>
            </w:r>
            <w:r>
              <w:rPr>
                <w:rFonts w:hint="eastAsia" w:ascii="宋体" w:hAnsi="宋体" w:eastAsia="宋体" w:cs="宋体"/>
                <w:b/>
                <w:bCs/>
                <w:color w:val="000000" w:themeColor="text1"/>
                <w:sz w:val="21"/>
                <w:szCs w:val="21"/>
                <w:highlight w:val="none"/>
                <w:lang w:val="zh-CN"/>
                <w14:textFill>
                  <w14:solidFill>
                    <w14:schemeClr w14:val="tx1"/>
                  </w14:solidFill>
                </w14:textFill>
              </w:rPr>
              <w:t>参加政府采购活动的中小企业应当提供《中小企业声明函》原件</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二、监狱企业价格扣除</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财政部、司法部关于政府采购支持监狱企业有关问题的通知（财库［2014］68号）规定，在政府采购活动中，监狱企业视同小型、微型企业，享受预留份额、评审中价格扣除等政府采购促进中小企业发展的政府采购政策。</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2.本项目对监狱企业参与磋商的价格给予10%的扣除，用扣除后的价格参与评审。</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3.监狱企业参加政府采购活动时，就当提供由省级以上监狱管理局、戒毒管理局（含新彊生产建设兵团）出具的属于监狱企业的证明文件。</w:t>
            </w:r>
          </w:p>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三、残疾人福利性单位价格扣除</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1.根据《三部门联合发布关于促进残疾人就业政府采购政策的通知》(财库〔2017〕141 号)的要求，在政府采购活动中，残疾人福利性单位视同小型、微型企业，享受预留份额、评审中价格扣除等促进中小企业发展的政府采购政策。</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2.本项目对残疾人福利性单位参与磋商响应的价格给予10%的扣除，用扣除后的价格参与评审。</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3.残疾人福利性单位参加政府采购活动时，应当提供本通知规定的《残疾人福利性单位声明函》。</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4.供应商提供的《残疾人福利性单位声明函》与事实不符的，依照《政府采购法》第七十七条第一款的规定追究法律责任。</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5.残疾人福利性单位属于小型、微型企业的，不重复享受政策。</w:t>
            </w:r>
          </w:p>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四、在技术、商务、服务条件相同时，优先采购不发达地区和少数民族地区企业的产品。【供应商需提供相关证明材料才能享受优先】</w:t>
            </w:r>
          </w:p>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五、失信企业报价加成或者扣分</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对记入诚信档案的且在有效期内的失信供应商，在参加政府采购活动中实行10%/次的报价加成，以加成后报价作为该供应商报价评审。因其失信行为进行报价惩戒后报价超过政府采购预算时，其响应文件按无效处理。</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2.供应商参加政府采购活动时，应当就自己的诚信情况在响应文件中进行承诺。</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信用中国”网站（www.creditchina.gov.cn）中列入失信被执行人和重大税收违法案件当事人名单的供应商和四川政府采购网（http://www.ccgp-sichuan.gov.cn）政府采购严重违法失信行为记录名单中被财政部门禁止参加政府采购活动的供应商参加项目磋商直接作废标处理，不予报价加成或者加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15"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强制认证产品</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(如涉及)</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如涉及3C认证产品的认证证书在响应文件中可提供相应证书，</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也可在响应文件中</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作出承诺：在签订采购合同时提供3C认证证书至采购人</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，未提供或不能提供的视为放弃成交</w:t>
            </w:r>
            <w:r>
              <w:rPr>
                <w:rFonts w:hint="eastAsia" w:ascii="宋体" w:hAnsi="宋体" w:cs="宋体"/>
                <w:b w:val="0"/>
                <w:bCs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采购人有权另行确定成交人或重新组织采购</w:t>
            </w:r>
            <w:r>
              <w:rPr>
                <w:rFonts w:hint="eastAsia" w:ascii="宋体" w:hAnsi="宋体" w:cs="宋体"/>
                <w:b w:val="0"/>
                <w:bCs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（提供承诺函原件）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492"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节能产品、环境标志产品、无线局域网产品采购政策</w:t>
            </w:r>
          </w:p>
        </w:tc>
        <w:tc>
          <w:tcPr>
            <w:tcW w:w="6786" w:type="dxa"/>
            <w:vAlign w:val="center"/>
          </w:tcPr>
          <w:p>
            <w:pPr>
              <w:bidi w:val="0"/>
              <w:ind w:left="59" w:leftChars="28" w:right="80" w:rightChars="38" w:firstLine="0" w:firstLineChars="0"/>
              <w:rPr>
                <w:rFonts w:hint="eastAsia" w:ascii="宋体" w:hAnsi="宋体" w:eastAsia="宋体" w:cs="宋体"/>
                <w:b/>
                <w:bCs/>
                <w:color w:val="000000" w:themeColor="text1"/>
                <w:sz w:val="21"/>
                <w:szCs w:val="21"/>
                <w:highlight w:val="none"/>
                <w:lang w:val="zh-CN" w:eastAsia="zh-CN"/>
                <w14:textFill>
                  <w14:solidFill>
                    <w14:schemeClr w14:val="tx1"/>
                  </w14:solidFill>
                </w14:textFill>
              </w:rPr>
            </w:pP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一、节能、环保产品政府采购政策：</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本项目采购的产品属于节能产品政府采购品目清单中带“★”号产品的，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color w:val="000000" w:themeColor="text1"/>
                <w:sz w:val="21"/>
                <w:szCs w:val="21"/>
                <w:highlight w:val="none"/>
                <w:lang w:val="en-US" w:eastAsia="zh-CN"/>
                <w14:textFill>
                  <w14:solidFill>
                    <w14:schemeClr w14:val="tx1"/>
                  </w14:solidFill>
                </w14:textFill>
              </w:rPr>
              <w:t>为准，详见附件。</w:t>
            </w:r>
            <w:r>
              <w:rPr>
                <w:rFonts w:hint="eastAsia" w:ascii="宋体" w:hAnsi="宋体" w:eastAsia="宋体" w:cs="宋体"/>
                <w:color w:val="000000" w:themeColor="text1"/>
                <w:sz w:val="21"/>
                <w:szCs w:val="21"/>
                <w:highlight w:val="none"/>
                <w:lang w:val="zh-CN" w:eastAsia="zh-CN"/>
                <w14:textFill>
                  <w14:solidFill>
                    <w14:schemeClr w14:val="tx1"/>
                  </w14:solidFill>
                </w14:textFill>
              </w:rPr>
              <w:t>供应商应按上述要求提供产品认证证书复印件加盖供应商单位公章（鲜章）；或者提供国家确定的认证机构的认证结果信息发布平台公布的该产品认证信息截图或者打印资料并加盖供应商公章（鲜章），否则响应无效。</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（实质性要求）</w:t>
            </w:r>
          </w:p>
          <w:p>
            <w:pPr>
              <w:bidi w:val="0"/>
              <w:ind w:left="59" w:leftChars="2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eastAsia="zh-CN"/>
                <w14:textFill>
                  <w14:solidFill>
                    <w14:schemeClr w14:val="tx1"/>
                  </w14:solidFill>
                </w14:textFill>
              </w:rPr>
              <w:t>本项目采购的产品属于节能、环境标志产品目清单优先采购范围的，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color w:val="000000" w:themeColor="text1"/>
                <w:sz w:val="21"/>
                <w:szCs w:val="21"/>
                <w:highlight w:val="none"/>
                <w:lang w:val="en-US" w:eastAsia="zh-CN"/>
                <w14:textFill>
                  <w14:solidFill>
                    <w14:schemeClr w14:val="tx1"/>
                  </w14:solidFill>
                </w14:textFill>
              </w:rPr>
              <w:t>为准，详见附件。供应商提供国家确定的认证机构出具的、处于有效期之内的节能产品、环境标志产品认证证书复印件并加盖供应商单位公章的，在参与询价时的价格给予扣除</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（详见评分明细表）</w:t>
            </w:r>
            <w:r>
              <w:rPr>
                <w:rFonts w:hint="eastAsia" w:ascii="宋体" w:hAnsi="宋体" w:eastAsia="宋体" w:cs="宋体"/>
                <w:color w:val="000000" w:themeColor="text1"/>
                <w:sz w:val="21"/>
                <w:szCs w:val="21"/>
                <w:highlight w:val="none"/>
                <w:lang w:val="en-US" w:eastAsia="zh-CN"/>
                <w14:textFill>
                  <w14:solidFill>
                    <w14:schemeClr w14:val="tx1"/>
                  </w14:solidFill>
                </w14:textFill>
              </w:rPr>
              <w:t>，用扣除后的价格参与评审。</w:t>
            </w:r>
          </w:p>
          <w:p>
            <w:pPr>
              <w:bidi w:val="0"/>
              <w:ind w:left="59" w:leftChars="28" w:right="80" w:rightChars="38" w:firstLine="0" w:firstLineChars="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二、无线局域网产品政府采购政策：</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本项目采购的产品属于中国政府采购网公布的《无线局域网认证产品政府采购清单》的，具体以无线局域网认证产品政府采购清单为准，详见附件</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供应商提供《无线局域网认证产品政府采购清单》对应页复印件并加盖供应商单位公章的，在参与询价时的价格给予扣除</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（详见评分明细表）</w:t>
            </w:r>
            <w:r>
              <w:rPr>
                <w:rFonts w:hint="eastAsia" w:ascii="宋体" w:hAnsi="宋体" w:eastAsia="宋体" w:cs="宋体"/>
                <w:color w:val="000000" w:themeColor="text1"/>
                <w:sz w:val="21"/>
                <w:szCs w:val="21"/>
                <w:highlight w:val="none"/>
                <w:lang w:val="en-US" w:eastAsia="zh-CN"/>
                <w14:textFill>
                  <w14:solidFill>
                    <w14:schemeClr w14:val="tx1"/>
                  </w14:solidFill>
                </w14:textFill>
              </w:rPr>
              <w:t>，用扣除后的价格参与评审。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是否允许进口产品报价</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项目磋商文件中未载明“允许采购进口产品”的产品，视为拒绝进口产品参与竞争，供应商以进口产品进行报价时，将在有效性、完整性和其他响应程度审查时按无效处理。本项目所称“进口产品”是指整个产品原装进口。本项目不允许采购进口产品。</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2.国家关于政府采购进口产品的规定：</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没有注明“允许进口产品参与报价”的情况下，只有国产产品（其中可以含进口部件，见以下释义）才可成交，只有技术需求中标明为“允许进口产品参与报价”，才允许进口产品报价，但不排斥满足条件国产产品报价和成交。</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（2）国产产品定义：在中华人民共和国关境内生产的产品。</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（3）根据《中华人民共和国海关法》（以下简称海关法）的规定，我国现行关境是指适用海关法的中华人民共和国行政管辖区域，不包括香港、澳门和台湾金马等单独关境地区。</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保税区、出口加工区、保税港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（5）对从境外进入海关特殊监管区域，再经办理报关手续后从海关特殊监管区进入境内其他地区的产品，应当认定为进口产品。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磋商情况公告</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1、供应商资格审查情况、有效性、完整性和其他响应情况、报价情况、磋商结果等在四川政府采购网上采购结果公告栏中予以公告。</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2、供应商应对响应文件中涉及商业秘密和知识产权的内容进行标注和说明，若未进行标注和说明的，视为响应文件全部内容均可公布，采购人或者采购代理机构对相关内容予以公告不承担任何责任。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磋商保证金</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根据四川省财政厅发布的《四川省财政厅关于进一步做好疫情防控期间政府采购工作有关事项的通知》川财采（2020）28号文相关规定，本项目不收取磋商保证金。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履约保证金</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本项目不收取履约保证金。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采购项目具体事项/采购文件内容咨询</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磋商过程、结果工作咨询</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成交通知书领取</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采购结果公告在四川政府采购网上发布后，请成交供应商凭有效身份证明（介绍信及经办人身份证复印件加盖鲜章）到成都金牡丹工程管理咨询有限公司领取成交通知书。</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人：王女士</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地址：成都金牡丹工程管理咨询有限公司（成都市金牛区金沙路69号</w:t>
            </w:r>
            <w:r>
              <w:rPr>
                <w:rFonts w:hint="eastAsia" w:ascii="宋体" w:hAnsi="宋体" w:cs="宋体"/>
                <w:color w:val="000000" w:themeColor="text1"/>
                <w:sz w:val="21"/>
                <w:szCs w:val="21"/>
                <w:highlight w:val="none"/>
                <w:lang w:val="zh-CN"/>
                <w14:textFill>
                  <w14:solidFill>
                    <w14:schemeClr w14:val="tx1"/>
                  </w14:solidFill>
                </w14:textFill>
              </w:rPr>
              <w:t>金沙楼4楼</w:t>
            </w:r>
            <w:r>
              <w:rPr>
                <w:rFonts w:hint="eastAsia" w:ascii="宋体" w:hAnsi="宋体" w:eastAsia="宋体" w:cs="宋体"/>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供应商询问</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根据委托代理协议约定，供应商询问由成都金牡丹工程管理咨询有限公司负责答复。</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地址：成都市金牛区金沙路69号</w:t>
            </w:r>
            <w:r>
              <w:rPr>
                <w:rFonts w:hint="eastAsia" w:ascii="宋体" w:hAnsi="宋体" w:cs="宋体"/>
                <w:color w:val="000000" w:themeColor="text1"/>
                <w:sz w:val="21"/>
                <w:szCs w:val="21"/>
                <w:highlight w:val="none"/>
                <w:lang w:val="zh-CN"/>
                <w14:textFill>
                  <w14:solidFill>
                    <w14:schemeClr w14:val="tx1"/>
                  </w14:solidFill>
                </w14:textFill>
              </w:rPr>
              <w:t>金沙楼4楼</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联系人：王女士</w:t>
            </w:r>
          </w:p>
          <w:p>
            <w:pPr>
              <w:bidi w:val="0"/>
              <w:ind w:left="59" w:leftChars="2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供应商质疑</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根据委托代理协议约定，对磋商文件、磋商过程、磋商结果的质疑由成都金牡丹工程管理咨询有限公司负责答复。</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人：向女士</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联系地址：成都市金牛区金沙路69号</w:t>
            </w:r>
            <w:r>
              <w:rPr>
                <w:rFonts w:hint="eastAsia" w:ascii="宋体" w:hAnsi="宋体" w:cs="宋体"/>
                <w:color w:val="000000" w:themeColor="text1"/>
                <w:sz w:val="21"/>
                <w:szCs w:val="21"/>
                <w:highlight w:val="none"/>
                <w:lang w:val="zh-CN"/>
                <w14:textFill>
                  <w14:solidFill>
                    <w14:schemeClr w14:val="tx1"/>
                  </w14:solidFill>
                </w14:textFill>
              </w:rPr>
              <w:t>金沙楼4楼</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注：根据《中华人民共和国政府采购法》的规定，供应商质疑不得超出磋商文件、磋商过程、磋商结果的范围。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供应商投诉</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投诉受理单位：本项目同级财政部门，即成都市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w:t>
            </w:r>
          </w:p>
          <w:p>
            <w:pPr>
              <w:bidi w:val="0"/>
              <w:ind w:left="59" w:leftChars="28" w:right="80" w:rightChars="38" w:firstLine="0" w:firstLineChars="0"/>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联系电话：028-86</w:t>
            </w:r>
            <w:r>
              <w:rPr>
                <w:rFonts w:hint="eastAsia" w:ascii="宋体" w:hAnsi="宋体" w:cs="宋体"/>
                <w:color w:val="000000" w:themeColor="text1"/>
                <w:sz w:val="21"/>
                <w:szCs w:val="21"/>
                <w:highlight w:val="none"/>
                <w:lang w:val="en-US" w:eastAsia="zh-CN"/>
                <w14:textFill>
                  <w14:solidFill>
                    <w14:schemeClr w14:val="tx1"/>
                  </w14:solidFill>
                </w14:textFill>
              </w:rPr>
              <w:t>513373</w:t>
            </w:r>
          </w:p>
          <w:p>
            <w:pPr>
              <w:bidi w:val="0"/>
              <w:ind w:left="59" w:leftChars="28" w:right="80" w:rightChars="38"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注：根据《中华人民共和国政府采购法实施条例》的规定，供应商投诉事项不得超出已质疑事项的范围。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政府采购合同公告</w:t>
            </w:r>
          </w:p>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备案</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招标代理服务费</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本项目的招标代理服务费参照国家计委委员会发布的《招标代理服务收费管理暂行办法》（计价格〔2002〕1980号）《招标代理服务收费标准》规定收取，</w:t>
            </w:r>
            <w:r>
              <w:rPr>
                <w:rFonts w:hint="eastAsia" w:ascii="宋体" w:hAnsi="宋体" w:eastAsia="宋体" w:cs="宋体"/>
                <w:color w:val="000000" w:themeColor="text1"/>
                <w:sz w:val="21"/>
                <w:szCs w:val="21"/>
                <w:highlight w:val="none"/>
                <w:lang w:val="en-US" w:eastAsia="zh-CN"/>
                <w14:textFill>
                  <w14:solidFill>
                    <w14:schemeClr w14:val="tx1"/>
                  </w14:solidFill>
                </w14:textFill>
              </w:rPr>
              <w:t>不足5</w:t>
            </w:r>
            <w:r>
              <w:rPr>
                <w:rFonts w:hint="eastAsia" w:ascii="宋体" w:hAnsi="宋体" w:eastAsia="宋体" w:cs="宋体"/>
                <w:color w:val="000000" w:themeColor="text1"/>
                <w:sz w:val="21"/>
                <w:szCs w:val="21"/>
                <w:highlight w:val="none"/>
                <w:lang w:val="zh-CN"/>
                <w14:textFill>
                  <w14:solidFill>
                    <w14:schemeClr w14:val="tx1"/>
                  </w14:solidFill>
                </w14:textFill>
              </w:rPr>
              <w:t>000</w:t>
            </w:r>
            <w:r>
              <w:rPr>
                <w:rFonts w:hint="eastAsia" w:ascii="宋体" w:hAnsi="宋体" w:eastAsia="宋体" w:cs="宋体"/>
                <w:color w:val="000000" w:themeColor="text1"/>
                <w:sz w:val="21"/>
                <w:szCs w:val="21"/>
                <w:highlight w:val="none"/>
                <w:lang w:val="en-US" w:eastAsia="zh-CN"/>
                <w14:textFill>
                  <w14:solidFill>
                    <w14:schemeClr w14:val="tx1"/>
                  </w14:solidFill>
                </w14:textFill>
              </w:rPr>
              <w:t>.00</w:t>
            </w:r>
            <w:r>
              <w:rPr>
                <w:rFonts w:hint="eastAsia" w:ascii="宋体" w:hAnsi="宋体" w:eastAsia="宋体" w:cs="宋体"/>
                <w:color w:val="000000" w:themeColor="text1"/>
                <w:sz w:val="21"/>
                <w:szCs w:val="21"/>
                <w:highlight w:val="none"/>
                <w:lang w:val="zh-CN"/>
                <w14:textFill>
                  <w14:solidFill>
                    <w14:schemeClr w14:val="tx1"/>
                  </w14:solidFill>
                </w14:textFill>
              </w:rPr>
              <w:t>元</w:t>
            </w:r>
            <w:r>
              <w:rPr>
                <w:rFonts w:hint="eastAsia" w:ascii="宋体" w:hAnsi="宋体" w:eastAsia="宋体" w:cs="宋体"/>
                <w:color w:val="000000" w:themeColor="text1"/>
                <w:sz w:val="21"/>
                <w:szCs w:val="21"/>
                <w:highlight w:val="none"/>
                <w:lang w:val="zh-CN" w:eastAsia="zh-CN"/>
                <w14:textFill>
                  <w14:solidFill>
                    <w14:schemeClr w14:val="tx1"/>
                  </w14:solidFill>
                </w14:textFill>
              </w:rPr>
              <w:t>的按</w:t>
            </w:r>
            <w:r>
              <w:rPr>
                <w:rFonts w:hint="eastAsia" w:ascii="宋体" w:hAnsi="宋体" w:eastAsia="宋体" w:cs="宋体"/>
                <w:color w:val="000000" w:themeColor="text1"/>
                <w:sz w:val="21"/>
                <w:szCs w:val="21"/>
                <w:highlight w:val="none"/>
                <w:lang w:val="en-US" w:eastAsia="zh-CN"/>
                <w14:textFill>
                  <w14:solidFill>
                    <w14:schemeClr w14:val="tx1"/>
                  </w14:solidFill>
                </w14:textFill>
              </w:rPr>
              <w:t>5000.00元收取</w:t>
            </w: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b/>
                <w:bCs/>
                <w:color w:val="000000" w:themeColor="text1"/>
                <w:sz w:val="21"/>
                <w:szCs w:val="21"/>
                <w:highlight w:val="none"/>
                <w:lang w:val="zh-CN"/>
                <w14:textFill>
                  <w14:solidFill>
                    <w14:schemeClr w14:val="tx1"/>
                  </w14:solidFill>
                </w14:textFill>
              </w:rPr>
              <w:t>由成交人在领取</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成交</w:t>
            </w:r>
            <w:r>
              <w:rPr>
                <w:rFonts w:hint="eastAsia" w:ascii="宋体" w:hAnsi="宋体" w:eastAsia="宋体" w:cs="宋体"/>
                <w:b/>
                <w:bCs/>
                <w:color w:val="000000" w:themeColor="text1"/>
                <w:sz w:val="21"/>
                <w:szCs w:val="21"/>
                <w:highlight w:val="none"/>
                <w:lang w:val="zh-CN"/>
                <w14:textFill>
                  <w14:solidFill>
                    <w14:schemeClr w14:val="tx1"/>
                  </w14:solidFill>
                </w14:textFill>
              </w:rPr>
              <w:t>通知书时</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一次性</w:t>
            </w:r>
            <w:r>
              <w:rPr>
                <w:rFonts w:hint="eastAsia" w:ascii="宋体" w:hAnsi="宋体" w:eastAsia="宋体" w:cs="宋体"/>
                <w:b/>
                <w:bCs/>
                <w:color w:val="000000" w:themeColor="text1"/>
                <w:sz w:val="21"/>
                <w:szCs w:val="21"/>
                <w:highlight w:val="none"/>
                <w:lang w:val="zh-CN"/>
                <w14:textFill>
                  <w14:solidFill>
                    <w14:schemeClr w14:val="tx1"/>
                  </w14:solidFill>
                </w14:textFill>
              </w:rPr>
              <w:t>支付招标代理</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机构</w:t>
            </w:r>
            <w:r>
              <w:rPr>
                <w:rFonts w:hint="eastAsia" w:ascii="宋体" w:hAnsi="宋体" w:eastAsia="宋体" w:cs="宋体"/>
                <w:b/>
                <w:bCs/>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84"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日期、数量的计算</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1、本磋商文件按日计算期间的，开始当天不计入，从次日开始计算。期限的最后一日是国家法定节假日的，顺延到节假日后的次日为期限的最后一日。</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2、本磋商文件所称的“以上”、“以下”、“内”、“以内”，包括本数；所称的“不足”，不包括本数。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864" w:hRule="atLeast"/>
          <w:jc w:val="center"/>
        </w:trPr>
        <w:tc>
          <w:tcPr>
            <w:tcW w:w="706"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1954" w:type="dxa"/>
            <w:vAlign w:val="center"/>
          </w:tcPr>
          <w:p>
            <w:pPr>
              <w:bidi w:val="0"/>
              <w:ind w:left="59" w:leftChars="28" w:right="63" w:rightChars="30"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w:t>
            </w:r>
          </w:p>
        </w:tc>
        <w:tc>
          <w:tcPr>
            <w:tcW w:w="6786" w:type="dxa"/>
            <w:vAlign w:val="center"/>
          </w:tcPr>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bidi w:val="0"/>
              <w:ind w:left="59" w:leftChars="2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根据《四川省财政厅关于推进四川省政府采购供应商信用融资工作的通知》（川财采[2018]123 号文)文件要求，有融资需求的供应商可根据四川政府采购网公示的银行及其“政采贷”产品，自行选择符合自身情况的“政采贷”银行及其产品，凭中标（成交)通知书向银行提出贷款意向申请。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446" w:type="dxa"/>
            <w:gridSpan w:val="3"/>
            <w:vAlign w:val="center"/>
          </w:tcPr>
          <w:p>
            <w:pPr>
              <w:bidi w:val="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备注：磋商文件其他地方与本须知前附表不一致的地方，以本须知前附表为准，有更正文件的，以更正文件为准。</w:t>
            </w:r>
          </w:p>
        </w:tc>
      </w:tr>
    </w:tbl>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2"/>
        <w:keepNext w:val="0"/>
        <w:keepLines w:val="0"/>
        <w:spacing w:before="0" w:after="0" w:line="400" w:lineRule="exact"/>
        <w:jc w:val="center"/>
        <w:rPr>
          <w:rFonts w:hint="eastAsia" w:ascii="宋体" w:hAnsi="宋体" w:eastAsia="宋体" w:cs="宋体"/>
          <w:bCs w:val="0"/>
          <w:color w:val="000000" w:themeColor="text1"/>
          <w:highlight w:val="none"/>
          <w14:textFill>
            <w14:solidFill>
              <w14:schemeClr w14:val="tx1"/>
            </w14:solidFill>
          </w14:textFill>
        </w:rPr>
      </w:pPr>
      <w:bookmarkStart w:id="18" w:name="_Toc11728"/>
      <w:r>
        <w:rPr>
          <w:rFonts w:hint="eastAsia" w:ascii="宋体" w:hAnsi="宋体" w:eastAsia="宋体" w:cs="宋体"/>
          <w:bCs w:val="0"/>
          <w:color w:val="000000" w:themeColor="text1"/>
          <w:highlight w:val="none"/>
          <w14:textFill>
            <w14:solidFill>
              <w14:schemeClr w14:val="tx1"/>
            </w14:solidFill>
          </w14:textFill>
        </w:rPr>
        <w:t>二、总  则</w:t>
      </w:r>
      <w:bookmarkEnd w:id="18"/>
      <w:bookmarkStart w:id="19" w:name="_Toc183682342"/>
      <w:bookmarkStart w:id="20" w:name="_Toc183582205"/>
      <w:bookmarkStart w:id="21" w:name="_Toc217446034"/>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2" w:name="_Toc11981"/>
      <w:r>
        <w:rPr>
          <w:rFonts w:hint="eastAsia" w:ascii="宋体" w:hAnsi="宋体" w:eastAsia="宋体" w:cs="宋体"/>
          <w:color w:val="000000" w:themeColor="text1"/>
          <w:sz w:val="24"/>
          <w:highlight w:val="none"/>
          <w14:textFill>
            <w14:solidFill>
              <w14:schemeClr w14:val="tx1"/>
            </w14:solidFill>
          </w14:textFill>
        </w:rPr>
        <w:t>1.</w:t>
      </w:r>
      <w:bookmarkEnd w:id="19"/>
      <w:bookmarkEnd w:id="20"/>
      <w:r>
        <w:rPr>
          <w:rFonts w:hint="eastAsia" w:ascii="宋体" w:hAnsi="宋体" w:eastAsia="宋体" w:cs="宋体"/>
          <w:color w:val="000000" w:themeColor="text1"/>
          <w:sz w:val="24"/>
          <w:szCs w:val="24"/>
          <w:highlight w:val="none"/>
          <w14:textFill>
            <w14:solidFill>
              <w14:schemeClr w14:val="tx1"/>
            </w14:solidFill>
          </w14:textFill>
        </w:rPr>
        <w:t>适用范围</w:t>
      </w:r>
      <w:bookmarkEnd w:id="21"/>
      <w:bookmarkEnd w:id="22"/>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 本磋商文件仅适用于本次磋商所叙述的货物采购。</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本磋商文件的解释权归采购人和采购代理机构所有。</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3" w:name="_Toc183582206"/>
      <w:bookmarkStart w:id="24" w:name="_Toc183682343"/>
      <w:bookmarkStart w:id="25" w:name="_Toc217446035"/>
      <w:bookmarkStart w:id="26" w:name="_Toc10905"/>
      <w:r>
        <w:rPr>
          <w:rFonts w:hint="eastAsia" w:ascii="宋体" w:hAnsi="宋体" w:eastAsia="宋体" w:cs="宋体"/>
          <w:color w:val="000000" w:themeColor="text1"/>
          <w:sz w:val="24"/>
          <w:highlight w:val="none"/>
          <w14:textFill>
            <w14:solidFill>
              <w14:schemeClr w14:val="tx1"/>
            </w14:solidFill>
          </w14:textFill>
        </w:rPr>
        <w:t>2.</w:t>
      </w:r>
      <w:bookmarkEnd w:id="23"/>
      <w:bookmarkEnd w:id="24"/>
      <w:bookmarkEnd w:id="25"/>
      <w:r>
        <w:rPr>
          <w:rFonts w:hint="eastAsia" w:ascii="宋体" w:hAnsi="宋体" w:eastAsia="宋体" w:cs="宋体"/>
          <w:color w:val="000000" w:themeColor="text1"/>
          <w:sz w:val="24"/>
          <w:highlight w:val="none"/>
          <w14:textFill>
            <w14:solidFill>
              <w14:schemeClr w14:val="tx1"/>
            </w14:solidFill>
          </w14:textFill>
        </w:rPr>
        <w:t>采购主体</w:t>
      </w:r>
      <w:bookmarkEnd w:id="26"/>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2.1本次磋商的采购人是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zh-CN"/>
          <w14:textFill>
            <w14:solidFill>
              <w14:schemeClr w14:val="tx1"/>
            </w14:solidFill>
          </w14:textFill>
        </w:rPr>
        <w:t>成都市现代职业技术学校</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2.2本次磋商的采购代理机构是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7" w:name="_Toc25181"/>
      <w:r>
        <w:rPr>
          <w:rFonts w:hint="eastAsia" w:ascii="宋体" w:hAnsi="宋体" w:eastAsia="宋体" w:cs="宋体"/>
          <w:color w:val="000000" w:themeColor="text1"/>
          <w:sz w:val="24"/>
          <w:highlight w:val="none"/>
          <w14:textFill>
            <w14:solidFill>
              <w14:schemeClr w14:val="tx1"/>
            </w14:solidFill>
          </w14:textFill>
        </w:rPr>
        <w:t>3.合格供应商（实质性要求）</w:t>
      </w:r>
      <w:bookmarkEnd w:id="27"/>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合格供应商应具备以下条件：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 具备法律法规和本采购文件规定的资格条件；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 不属于禁止参加本项目采购活动的供应商；</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 按照规定获取了磋商文件，属于实质性参加政府采购活动的供应商。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8" w:name="_Toc844"/>
      <w:r>
        <w:rPr>
          <w:rFonts w:hint="eastAsia" w:ascii="宋体" w:hAnsi="宋体" w:eastAsia="宋体" w:cs="宋体"/>
          <w:color w:val="000000" w:themeColor="text1"/>
          <w:sz w:val="24"/>
          <w:highlight w:val="none"/>
          <w14:textFill>
            <w14:solidFill>
              <w14:schemeClr w14:val="tx1"/>
            </w14:solidFill>
          </w14:textFill>
        </w:rPr>
        <w:t>4.磋商费用</w:t>
      </w:r>
      <w:bookmarkEnd w:id="28"/>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无论竞争性磋商采购的结果如何，供应商自行承担本次参加竞争性磋商有关的全部费用。</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9" w:name="_Toc10940"/>
      <w:r>
        <w:rPr>
          <w:rFonts w:hint="eastAsia" w:ascii="宋体" w:hAnsi="宋体" w:eastAsia="宋体" w:cs="宋体"/>
          <w:color w:val="000000" w:themeColor="text1"/>
          <w:sz w:val="24"/>
          <w:highlight w:val="none"/>
          <w14:textFill>
            <w14:solidFill>
              <w14:schemeClr w14:val="tx1"/>
            </w14:solidFill>
          </w14:textFill>
        </w:rPr>
        <w:t>5.充分、公平竞争保障措施（实质性要求）</w:t>
      </w:r>
      <w:bookmarkEnd w:id="2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5.4供应商实际控制人或者中高级管理人员，同时是采购代理机构工作人员，不得参与本项目政府采购活动。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5.5综合评分法的采购项目，提供相同品牌产品且通过资格审查、符合性审查的不同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参加同一合同项下投标的，按一家投标人计算，评审后得分最高的同品牌投标人获得中标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人推荐资格；评审得分相同的，</w:t>
      </w:r>
      <w:r>
        <w:rPr>
          <w:rFonts w:hint="eastAsia" w:ascii="宋体" w:hAnsi="宋体" w:eastAsia="宋体" w:cs="宋体"/>
          <w:b/>
          <w:bCs/>
          <w:color w:val="000000" w:themeColor="text1"/>
          <w:sz w:val="24"/>
          <w:highlight w:val="none"/>
          <w14:textFill>
            <w14:solidFill>
              <w14:schemeClr w14:val="tx1"/>
            </w14:solidFill>
          </w14:textFill>
        </w:rPr>
        <w:t>委托</w:t>
      </w:r>
      <w:r>
        <w:rPr>
          <w:rFonts w:hint="eastAsia" w:ascii="宋体" w:hAnsi="宋体" w:cs="宋体"/>
          <w:b/>
          <w:bCs/>
          <w:color w:val="000000" w:themeColor="text1"/>
          <w:sz w:val="24"/>
          <w:highlight w:val="none"/>
          <w:lang w:eastAsia="zh-CN"/>
          <w14:textFill>
            <w14:solidFill>
              <w14:schemeClr w14:val="tx1"/>
            </w14:solidFill>
          </w14:textFill>
        </w:rPr>
        <w:t>评审委员会</w:t>
      </w:r>
      <w:r>
        <w:rPr>
          <w:rFonts w:hint="eastAsia" w:ascii="宋体" w:hAnsi="宋体" w:eastAsia="宋体" w:cs="宋体"/>
          <w:b/>
          <w:bCs/>
          <w:color w:val="000000" w:themeColor="text1"/>
          <w:sz w:val="24"/>
          <w:highlight w:val="none"/>
          <w14:textFill>
            <w14:solidFill>
              <w14:schemeClr w14:val="tx1"/>
            </w14:solidFill>
          </w14:textFill>
        </w:rPr>
        <w:t>按</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报价最低的确定一个</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获得中标人推荐资格</w:t>
      </w:r>
      <w:r>
        <w:rPr>
          <w:rFonts w:hint="eastAsia" w:ascii="宋体" w:hAnsi="宋体" w:eastAsia="宋体" w:cs="宋体"/>
          <w:color w:val="000000" w:themeColor="text1"/>
          <w:sz w:val="24"/>
          <w:highlight w:val="none"/>
          <w14:textFill>
            <w14:solidFill>
              <w14:schemeClr w14:val="tx1"/>
            </w14:solidFill>
          </w14:textFill>
        </w:rPr>
        <w:t>，采购文件未规定的采取随机抽取方式确定，其他同品牌投标人</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不作为中标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候选人。</w:t>
      </w:r>
    </w:p>
    <w:p>
      <w:pPr>
        <w:spacing w:line="360" w:lineRule="auto"/>
        <w:ind w:firstLine="482"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非单一产品采购项目中，多家</w:t>
      </w:r>
      <w:r>
        <w:rPr>
          <w:rFonts w:hint="eastAsia" w:ascii="宋体" w:hAnsi="宋体" w:cs="宋体"/>
          <w:b/>
          <w:bCs/>
          <w:color w:val="000000" w:themeColor="text1"/>
          <w:sz w:val="24"/>
          <w:highlight w:val="none"/>
          <w:lang w:val="en-US" w:eastAsia="zh-CN"/>
          <w14:textFill>
            <w14:solidFill>
              <w14:schemeClr w14:val="tx1"/>
            </w14:solidFill>
          </w14:textFill>
        </w:rPr>
        <w:t>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提供的所有核心产品品牌相同的，视为提供相同品牌产品，本项目核心产品为：</w:t>
      </w:r>
      <w:r>
        <w:rPr>
          <w:rFonts w:hint="eastAsia" w:ascii="宋体" w:hAnsi="宋体" w:cs="宋体"/>
          <w:b/>
          <w:bCs/>
          <w:color w:val="000000" w:themeColor="text1"/>
          <w:sz w:val="24"/>
          <w:highlight w:val="none"/>
          <w:lang w:val="en-US" w:eastAsia="zh-CN"/>
          <w14:textFill>
            <w14:solidFill>
              <w14:schemeClr w14:val="tx1"/>
            </w14:solidFill>
          </w14:textFill>
        </w:rPr>
        <w:t>智慧教室终端</w:t>
      </w:r>
      <w:r>
        <w:rPr>
          <w:rFonts w:hint="eastAsia" w:ascii="宋体" w:hAnsi="宋体" w:eastAsia="宋体" w:cs="宋体"/>
          <w:b/>
          <w:bCs/>
          <w:color w:val="000000" w:themeColor="text1"/>
          <w:sz w:val="24"/>
          <w:highlight w:val="none"/>
          <w:lang w:val="zh-TW"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5.6供应商与采购代理机构存在关联关系，或者是采购代理机构的母公司或子公司，不得参加本项目政府采购活动。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5.7回避。政府采购活动中，采购人员及相关人员与供应商有下列利害关系之一的，应当回避：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（1）参加采购活动前3年内与供应商存在劳动关系；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（2）参加采购活动前3年内担任供应商的董事、监事；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（3）参加采购活动前3年内是供应商的控股股东或者实际控制人；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（4）与供应商的法定代表人或者负责人有夫妻、直系血亲、三代以内旁系血亲或者近姻亲关系；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（5）与供应商有其他可能影响政府采购活动公平、公正进行的关系。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0" w:name="_Toc11494"/>
      <w:r>
        <w:rPr>
          <w:rFonts w:hint="eastAsia" w:ascii="宋体" w:hAnsi="宋体" w:eastAsia="宋体" w:cs="宋体"/>
          <w:color w:val="000000" w:themeColor="text1"/>
          <w:sz w:val="24"/>
          <w:highlight w:val="none"/>
          <w14:textFill>
            <w14:solidFill>
              <w14:schemeClr w14:val="tx1"/>
            </w14:solidFill>
          </w14:textFill>
        </w:rPr>
        <w:t>6.联合体竞争性磋商（实质性要求）</w:t>
      </w:r>
      <w:bookmarkEnd w:id="3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不接受联合体</w:t>
      </w:r>
      <w:r>
        <w:rPr>
          <w:rFonts w:hint="eastAsia" w:ascii="宋体" w:hAnsi="宋体" w:eastAsia="宋体" w:cs="宋体"/>
          <w:color w:val="000000" w:themeColor="text1"/>
          <w:sz w:val="24"/>
          <w:highlight w:val="none"/>
          <w14:textFill>
            <w14:solidFill>
              <w14:schemeClr w14:val="tx1"/>
            </w14:solidFill>
          </w14:textFill>
        </w:rPr>
        <w:t>参与采购活动。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6.1两个以上供应商可以组成一个联合体竞争性磋商，以一个供应商的身份竞争性磋商。以联合体形式参加竞争性磋商的，联合体各方均应当符合政府采购法第二十二条规定的条件。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6.2 联合体各方之间应当签订联合体竞争性磋商协议，明确约定联合体各方承担的工作和相应的责任。联合体参与竞争性磋商的，应在响应文件中提供联合体协议原件。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6.3 联合体应当确定其中一个单位为竞争性磋商的全权代表，负责参加竞争性磋商的一切事务。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6.4 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6.5联合体中有同类资质的供应商按照联合体分工承担相同工作的，将按照资质等级较低的供应商确定资质等级。</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6.6以联合体形式参加政府采购活动的，联合体各方不得再单独参加或者与其他供应商另外组成联合体参加同一合同项下的政府采购活动。</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1" w:name="_Toc14182"/>
      <w:r>
        <w:rPr>
          <w:rFonts w:hint="eastAsia" w:ascii="宋体" w:hAnsi="宋体" w:eastAsia="宋体" w:cs="宋体"/>
          <w:color w:val="000000" w:themeColor="text1"/>
          <w:sz w:val="24"/>
          <w:highlight w:val="none"/>
          <w14:textFill>
            <w14:solidFill>
              <w14:schemeClr w14:val="tx1"/>
            </w14:solidFill>
          </w14:textFill>
        </w:rPr>
        <w:t>7.磋商保证金（实质性要求）</w:t>
      </w:r>
      <w:bookmarkEnd w:id="31"/>
    </w:p>
    <w:p>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本项目不收取磋商保证金。</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2" w:name="_Toc13728"/>
      <w:r>
        <w:rPr>
          <w:rFonts w:hint="eastAsia" w:ascii="宋体" w:hAnsi="宋体" w:eastAsia="宋体" w:cs="宋体"/>
          <w:color w:val="000000" w:themeColor="text1"/>
          <w:sz w:val="24"/>
          <w:highlight w:val="none"/>
          <w14:textFill>
            <w14:solidFill>
              <w14:schemeClr w14:val="tx1"/>
            </w14:solidFill>
          </w14:textFill>
        </w:rPr>
        <w:t>8.响应文件有效期（实质性要求）</w:t>
      </w:r>
      <w:bookmarkEnd w:id="3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本项目响应文件有效期</w:t>
      </w:r>
      <w:r>
        <w:rPr>
          <w:rFonts w:hint="eastAsia" w:ascii="宋体" w:hAnsi="宋体" w:eastAsia="宋体" w:cs="宋体"/>
          <w:bCs/>
          <w:color w:val="000000" w:themeColor="text1"/>
          <w:sz w:val="24"/>
          <w:highlight w:val="none"/>
          <w14:textFill>
            <w14:solidFill>
              <w14:schemeClr w14:val="tx1"/>
            </w14:solidFill>
          </w14:textFill>
        </w:rPr>
        <w:t>为递交磋商响应文件截止之日起</w:t>
      </w:r>
      <w:r>
        <w:rPr>
          <w:rFonts w:hint="eastAsia" w:ascii="宋体" w:hAnsi="宋体" w:eastAsia="宋体" w:cs="宋体"/>
          <w:b/>
          <w:color w:val="000000" w:themeColor="text1"/>
          <w:sz w:val="24"/>
          <w:highlight w:val="none"/>
          <w14:textFill>
            <w14:solidFill>
              <w14:schemeClr w14:val="tx1"/>
            </w14:solidFill>
          </w14:textFill>
        </w:rPr>
        <w:t>90天</w:t>
      </w:r>
      <w:r>
        <w:rPr>
          <w:rFonts w:hint="eastAsia" w:ascii="宋体" w:hAnsi="宋体" w:eastAsia="宋体" w:cs="宋体"/>
          <w:color w:val="000000" w:themeColor="text1"/>
          <w:sz w:val="24"/>
          <w:highlight w:val="none"/>
          <w14:textFill>
            <w14:solidFill>
              <w14:schemeClr w14:val="tx1"/>
            </w14:solidFill>
          </w14:textFill>
        </w:rPr>
        <w:t>。供应商响应文件中必须载明响应文件有效期，响应文件中载明的响应文件有效期可以长于磋商文件规定的期限，但不得短于磋商文件规定的期限。否则，其响应文件将作为无效处理。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3" w:name="_Toc12210"/>
      <w:r>
        <w:rPr>
          <w:rFonts w:hint="eastAsia" w:ascii="宋体" w:hAnsi="宋体" w:eastAsia="宋体" w:cs="宋体"/>
          <w:color w:val="000000" w:themeColor="text1"/>
          <w:sz w:val="24"/>
          <w:highlight w:val="none"/>
          <w14:textFill>
            <w14:solidFill>
              <w14:schemeClr w14:val="tx1"/>
            </w14:solidFill>
          </w14:textFill>
        </w:rPr>
        <w:t>9.知识产权（实质性要求）</w:t>
      </w:r>
      <w:bookmarkEnd w:id="33"/>
    </w:p>
    <w:p>
      <w:pPr>
        <w:pStyle w:val="13"/>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（需单独提供承诺函原件）</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13"/>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9.2 除非磋商文件特别规定，采购人享有本项目实施过程中产生的知识成果及知识产权。</w:t>
      </w:r>
    </w:p>
    <w:p>
      <w:pPr>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9.4 如采用供应商所不拥有的知识产权，则在报价中必须包括合法获取该知识产权的相关费用。 </w:t>
      </w:r>
    </w:p>
    <w:p>
      <w:pPr>
        <w:pStyle w:val="2"/>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34" w:name="_Toc183582209"/>
      <w:bookmarkStart w:id="35" w:name="_Toc89075875"/>
      <w:bookmarkStart w:id="36" w:name="_Toc183682346"/>
      <w:bookmarkStart w:id="37" w:name="_Toc14699"/>
      <w:bookmarkStart w:id="38" w:name="_Toc217446038"/>
      <w:bookmarkStart w:id="39" w:name="_Toc77400779"/>
      <w:r>
        <w:rPr>
          <w:rFonts w:hint="eastAsia" w:ascii="宋体" w:hAnsi="宋体" w:eastAsia="宋体" w:cs="宋体"/>
          <w:bCs w:val="0"/>
          <w:color w:val="000000" w:themeColor="text1"/>
          <w:highlight w:val="none"/>
          <w14:textFill>
            <w14:solidFill>
              <w14:schemeClr w14:val="tx1"/>
            </w14:solidFill>
          </w14:textFill>
        </w:rPr>
        <w:t>三、磋商文件</w:t>
      </w:r>
      <w:bookmarkEnd w:id="34"/>
      <w:bookmarkEnd w:id="35"/>
      <w:bookmarkEnd w:id="36"/>
      <w:bookmarkEnd w:id="37"/>
      <w:bookmarkEnd w:id="38"/>
      <w:bookmarkEnd w:id="39"/>
      <w:bookmarkStart w:id="40" w:name="_Toc217446039"/>
      <w:bookmarkStart w:id="41" w:name="_Toc183682347"/>
      <w:bookmarkStart w:id="42" w:name="_Toc183582210"/>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3" w:name="_Toc29151"/>
      <w:r>
        <w:rPr>
          <w:rFonts w:hint="eastAsia" w:ascii="宋体" w:hAnsi="宋体" w:eastAsia="宋体" w:cs="宋体"/>
          <w:color w:val="000000" w:themeColor="text1"/>
          <w:sz w:val="24"/>
          <w:highlight w:val="none"/>
          <w14:textFill>
            <w14:solidFill>
              <w14:schemeClr w14:val="tx1"/>
            </w14:solidFill>
          </w14:textFill>
        </w:rPr>
        <w:t>10</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磋商文件的构成</w:t>
      </w:r>
      <w:bookmarkEnd w:id="40"/>
      <w:bookmarkEnd w:id="41"/>
      <w:bookmarkEnd w:id="42"/>
      <w:r>
        <w:rPr>
          <w:rFonts w:hint="eastAsia" w:ascii="宋体" w:hAnsi="宋体" w:eastAsia="宋体" w:cs="宋体"/>
          <w:color w:val="000000" w:themeColor="text1"/>
          <w:sz w:val="24"/>
          <w:highlight w:val="none"/>
          <w14:textFill>
            <w14:solidFill>
              <w14:schemeClr w14:val="tx1"/>
            </w14:solidFill>
          </w14:textFill>
        </w:rPr>
        <w:t>（实质性要求）</w:t>
      </w:r>
      <w:bookmarkEnd w:id="4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10.1 磋商文件是供应商准备响应文件和参加磋商的依据，同时也是磋商的重要依据。磋商文件用以阐明磋商项目所需的资质、技术、服务及报价等要求、磋商程序、有关规定和注意事项以及合同主要条款等。</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4" w:name="_Toc183582211"/>
      <w:bookmarkStart w:id="45" w:name="_Toc183682348"/>
      <w:bookmarkStart w:id="46" w:name="_Toc217446040"/>
      <w:bookmarkStart w:id="47" w:name="_Toc20312"/>
      <w:r>
        <w:rPr>
          <w:rFonts w:hint="eastAsia" w:ascii="宋体" w:hAnsi="宋体" w:eastAsia="宋体" w:cs="宋体"/>
          <w:color w:val="000000" w:themeColor="text1"/>
          <w:sz w:val="24"/>
          <w:highlight w:val="none"/>
          <w14:textFill>
            <w14:solidFill>
              <w14:schemeClr w14:val="tx1"/>
            </w14:solidFill>
          </w14:textFill>
        </w:rPr>
        <w:t>11</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磋商文件的澄清</w:t>
      </w:r>
      <w:bookmarkEnd w:id="44"/>
      <w:bookmarkEnd w:id="45"/>
      <w:r>
        <w:rPr>
          <w:rFonts w:hint="eastAsia" w:ascii="宋体" w:hAnsi="宋体" w:eastAsia="宋体" w:cs="宋体"/>
          <w:color w:val="000000" w:themeColor="text1"/>
          <w:sz w:val="24"/>
          <w:highlight w:val="none"/>
          <w14:textFill>
            <w14:solidFill>
              <w14:schemeClr w14:val="tx1"/>
            </w14:solidFill>
          </w14:textFill>
        </w:rPr>
        <w:t>和修改</w:t>
      </w:r>
      <w:bookmarkEnd w:id="46"/>
      <w:bookmarkEnd w:id="4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 在递交响应文件截止时间前，采购人、采购代理机构可以对磋商文件进行澄清或者修改。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11.3供应商认为采购代理机构需要对磋商文件进行澄清或者修改的，可以在5日前以书面形式向采购代理机构提出申请，由采购代理机构决定是否采纳供应商的申请事项。</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8" w:name="_Toc208848971"/>
      <w:bookmarkStart w:id="49" w:name="_Toc217446041"/>
      <w:bookmarkStart w:id="50" w:name="_Toc19294"/>
      <w:r>
        <w:rPr>
          <w:rFonts w:hint="eastAsia" w:ascii="宋体" w:hAnsi="宋体" w:eastAsia="宋体" w:cs="宋体"/>
          <w:color w:val="000000" w:themeColor="text1"/>
          <w:sz w:val="24"/>
          <w:highlight w:val="none"/>
          <w14:textFill>
            <w14:solidFill>
              <w14:schemeClr w14:val="tx1"/>
            </w14:solidFill>
          </w14:textFill>
        </w:rPr>
        <w:t>12</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答疑会和现场考察</w:t>
      </w:r>
      <w:bookmarkEnd w:id="48"/>
      <w:bookmarkEnd w:id="49"/>
      <w:bookmarkEnd w:id="5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12.3 供应商考察现场或者参加答疑会所发生的一切费用由供应商自己承担。</w:t>
      </w:r>
    </w:p>
    <w:p>
      <w:pPr>
        <w:pStyle w:val="2"/>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51" w:name="_Toc217446042"/>
      <w:bookmarkStart w:id="52" w:name="_Toc89075876"/>
      <w:bookmarkStart w:id="53" w:name="_Toc183582214"/>
      <w:bookmarkStart w:id="54" w:name="_Toc183682351"/>
      <w:bookmarkStart w:id="55" w:name="_Toc24364"/>
      <w:bookmarkStart w:id="56" w:name="_Toc77400780"/>
      <w:r>
        <w:rPr>
          <w:rFonts w:hint="eastAsia" w:ascii="宋体" w:hAnsi="宋体" w:eastAsia="宋体" w:cs="宋体"/>
          <w:bCs w:val="0"/>
          <w:color w:val="000000" w:themeColor="text1"/>
          <w:highlight w:val="none"/>
          <w14:textFill>
            <w14:solidFill>
              <w14:schemeClr w14:val="tx1"/>
            </w14:solidFill>
          </w14:textFill>
        </w:rPr>
        <w:t>四、响应文件</w:t>
      </w:r>
      <w:bookmarkEnd w:id="51"/>
      <w:bookmarkEnd w:id="52"/>
      <w:bookmarkEnd w:id="53"/>
      <w:bookmarkEnd w:id="54"/>
      <w:bookmarkEnd w:id="55"/>
      <w:bookmarkEnd w:id="56"/>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57" w:name="_Toc31886"/>
      <w:bookmarkStart w:id="58" w:name="_Toc183682352"/>
      <w:bookmarkStart w:id="59" w:name="_Toc217446043"/>
      <w:bookmarkStart w:id="60" w:name="_Toc183582215"/>
      <w:r>
        <w:rPr>
          <w:rFonts w:hint="eastAsia" w:ascii="宋体" w:hAnsi="宋体" w:eastAsia="宋体" w:cs="宋体"/>
          <w:color w:val="000000" w:themeColor="text1"/>
          <w:sz w:val="24"/>
          <w:highlight w:val="none"/>
          <w14:textFill>
            <w14:solidFill>
              <w14:schemeClr w14:val="tx1"/>
            </w14:solidFill>
          </w14:textFill>
        </w:rPr>
        <w:t>13.响应文件的组成</w:t>
      </w:r>
      <w:bookmarkEnd w:id="57"/>
    </w:p>
    <w:p>
      <w:pPr>
        <w:numPr>
          <w:ilvl w:val="255"/>
          <w:numId w:val="0"/>
        </w:num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供应商应按照磋商文件的规定和要求编制响应文件。供应商在成交后将成交项目的非主体、非关键性工作分包他人完成的，应当在响应文件中载明或磋商过程中澄清。</w:t>
      </w:r>
    </w:p>
    <w:p>
      <w:pPr>
        <w:numPr>
          <w:ilvl w:val="255"/>
          <w:numId w:val="0"/>
        </w:numPr>
        <w:spacing w:line="360" w:lineRule="auto"/>
        <w:ind w:firstLine="482"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供应商编写的响应文件应包括资格性响应文件和其他响应文件两部分，分册装订。</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1" w:name="_Toc2229"/>
      <w:r>
        <w:rPr>
          <w:rFonts w:hint="eastAsia" w:ascii="宋体" w:hAnsi="宋体" w:eastAsia="宋体" w:cs="宋体"/>
          <w:color w:val="000000" w:themeColor="text1"/>
          <w:sz w:val="24"/>
          <w:highlight w:val="none"/>
          <w14:textFill>
            <w14:solidFill>
              <w14:schemeClr w14:val="tx1"/>
            </w14:solidFill>
          </w14:textFill>
        </w:rPr>
        <w:t>14.响应文件的语言</w:t>
      </w:r>
      <w:bookmarkEnd w:id="58"/>
      <w:bookmarkEnd w:id="59"/>
      <w:bookmarkEnd w:id="60"/>
      <w:r>
        <w:rPr>
          <w:rFonts w:hint="eastAsia" w:ascii="宋体" w:hAnsi="宋体" w:eastAsia="宋体" w:cs="宋体"/>
          <w:color w:val="000000" w:themeColor="text1"/>
          <w:sz w:val="24"/>
          <w:highlight w:val="none"/>
          <w14:textFill>
            <w14:solidFill>
              <w14:schemeClr w14:val="tx1"/>
            </w14:solidFill>
          </w14:textFill>
        </w:rPr>
        <w:t>（实质性要求）</w:t>
      </w:r>
      <w:bookmarkEnd w:id="6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外文资料将作为无效处理。（说明：供应商的法定代表人为外籍人士的，法定代表人的签字和护照除外。）</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14.2翻译的中文资料与外文资料如果出现差异和矛盾，以中文为准。但不能故意错误翻译，否则，供应商的外文资料将作为无效处理。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2" w:name="_Toc183582216"/>
      <w:bookmarkStart w:id="63" w:name="_Toc183682353"/>
      <w:bookmarkStart w:id="64" w:name="_Toc217446044"/>
      <w:bookmarkStart w:id="65" w:name="_Toc11084"/>
      <w:r>
        <w:rPr>
          <w:rFonts w:hint="eastAsia" w:ascii="宋体" w:hAnsi="宋体" w:eastAsia="宋体" w:cs="宋体"/>
          <w:color w:val="000000" w:themeColor="text1"/>
          <w:sz w:val="24"/>
          <w:highlight w:val="none"/>
          <w14:textFill>
            <w14:solidFill>
              <w14:schemeClr w14:val="tx1"/>
            </w14:solidFill>
          </w14:textFill>
        </w:rPr>
        <w:t>15.计量单位</w:t>
      </w:r>
      <w:bookmarkEnd w:id="62"/>
      <w:bookmarkEnd w:id="63"/>
      <w:bookmarkEnd w:id="64"/>
      <w:r>
        <w:rPr>
          <w:rFonts w:hint="eastAsia" w:ascii="宋体" w:hAnsi="宋体" w:eastAsia="宋体" w:cs="宋体"/>
          <w:color w:val="000000" w:themeColor="text1"/>
          <w:sz w:val="24"/>
          <w:highlight w:val="none"/>
          <w14:textFill>
            <w14:solidFill>
              <w14:schemeClr w14:val="tx1"/>
            </w14:solidFill>
          </w14:textFill>
        </w:rPr>
        <w:t>（实质性要求）</w:t>
      </w:r>
      <w:bookmarkEnd w:id="6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除磋商文件中另有规定外，本次采购项目所有合同项下的报价均采用国家法定的计量单位。</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6" w:name="_Toc21141"/>
      <w:bookmarkStart w:id="67" w:name="_Toc217446045"/>
      <w:r>
        <w:rPr>
          <w:rFonts w:hint="eastAsia" w:ascii="宋体" w:hAnsi="宋体" w:eastAsia="宋体" w:cs="宋体"/>
          <w:color w:val="000000" w:themeColor="text1"/>
          <w:sz w:val="24"/>
          <w:highlight w:val="none"/>
          <w14:textFill>
            <w14:solidFill>
              <w14:schemeClr w14:val="tx1"/>
            </w14:solidFill>
          </w14:textFill>
        </w:rPr>
        <w:t>16.报价货币</w:t>
      </w:r>
      <w:bookmarkEnd w:id="6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本次磋商项目的货币为人民币，</w:t>
      </w:r>
      <w:r>
        <w:rPr>
          <w:rFonts w:hint="eastAsia" w:ascii="宋体" w:hAnsi="宋体" w:eastAsia="宋体" w:cs="宋体"/>
          <w:bCs/>
          <w:color w:val="000000" w:themeColor="text1"/>
          <w:sz w:val="24"/>
          <w:szCs w:val="24"/>
          <w:highlight w:val="none"/>
          <w14:textFill>
            <w14:solidFill>
              <w14:schemeClr w14:val="tx1"/>
            </w14:solidFill>
          </w14:textFill>
        </w:rPr>
        <w:t>磋商报价应是采购文件载明的所有服务内容的总价</w:t>
      </w:r>
      <w:r>
        <w:rPr>
          <w:rFonts w:hint="eastAsia" w:ascii="宋体" w:hAnsi="宋体" w:eastAsia="宋体" w:cs="宋体"/>
          <w:bCs/>
          <w:color w:val="000000" w:themeColor="text1"/>
          <w:sz w:val="24"/>
          <w:szCs w:val="24"/>
          <w:highlight w:val="none"/>
          <w:lang w:val="zh-TW"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包含：产品设计、生产制造、包装、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color w:val="000000" w:themeColor="text1"/>
          <w:sz w:val="24"/>
          <w:highlight w:val="none"/>
          <w14:textFill>
            <w14:solidFill>
              <w14:schemeClr w14:val="tx1"/>
            </w14:solidFill>
          </w14:textFill>
        </w:rPr>
        <w:t>。</w:t>
      </w:r>
    </w:p>
    <w:bookmarkEnd w:id="67"/>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8" w:name="_Toc17150"/>
      <w:r>
        <w:rPr>
          <w:rFonts w:hint="eastAsia" w:ascii="宋体" w:hAnsi="宋体" w:eastAsia="宋体" w:cs="宋体"/>
          <w:color w:val="000000" w:themeColor="text1"/>
          <w:sz w:val="24"/>
          <w:highlight w:val="none"/>
          <w14:textFill>
            <w14:solidFill>
              <w14:schemeClr w14:val="tx1"/>
            </w14:solidFill>
          </w14:textFill>
        </w:rPr>
        <w:t>17.响应文件格式</w:t>
      </w:r>
      <w:bookmarkEnd w:id="6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17.1供应商应执行磋商文件</w:t>
      </w:r>
      <w:r>
        <w:rPr>
          <w:rFonts w:hint="eastAsia" w:ascii="宋体" w:hAnsi="宋体" w:eastAsia="宋体" w:cs="宋体"/>
          <w:b/>
          <w:bCs/>
          <w:color w:val="000000" w:themeColor="text1"/>
          <w:sz w:val="24"/>
          <w:highlight w:val="none"/>
          <w14:textFill>
            <w14:solidFill>
              <w14:schemeClr w14:val="tx1"/>
            </w14:solidFill>
          </w14:textFill>
        </w:rPr>
        <w:t>第六章</w:t>
      </w:r>
      <w:r>
        <w:rPr>
          <w:rFonts w:hint="eastAsia" w:ascii="宋体" w:hAnsi="宋体" w:eastAsia="宋体" w:cs="宋体"/>
          <w:color w:val="000000" w:themeColor="text1"/>
          <w:sz w:val="24"/>
          <w:highlight w:val="none"/>
          <w14:textFill>
            <w14:solidFill>
              <w14:schemeClr w14:val="tx1"/>
            </w14:solidFill>
          </w14:textFill>
        </w:rPr>
        <w:t>的规定要求。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17.2对于没有格式要求的磋商文件由供应商自行编写。</w:t>
      </w:r>
      <w:bookmarkStart w:id="69" w:name="_Toc183682361"/>
      <w:bookmarkStart w:id="70" w:name="_Toc217446051"/>
      <w:bookmarkStart w:id="71" w:name="_Toc183582224"/>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2" w:name="_Toc17571"/>
      <w:r>
        <w:rPr>
          <w:rFonts w:hint="eastAsia" w:ascii="宋体" w:hAnsi="宋体" w:eastAsia="宋体" w:cs="宋体"/>
          <w:color w:val="000000" w:themeColor="text1"/>
          <w:sz w:val="24"/>
          <w:highlight w:val="none"/>
          <w14:textFill>
            <w14:solidFill>
              <w14:schemeClr w14:val="tx1"/>
            </w14:solidFill>
          </w14:textFill>
        </w:rPr>
        <w:t>18.响应文件的编制和签署</w:t>
      </w:r>
      <w:bookmarkEnd w:id="7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资格性响应文件正本1份副本2份，并在其封面上清楚地标明资格性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18.3响应文件正本和副本均需在规定签章处签字和盖章。响应文件副本可采用正本的复印件。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18.4响应文件的打印和书写应清楚工整，任何行间插字、涂改或增删，必须由供应商的法定代表人或其授权代表签字并盖供应商公章。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18.5</w:t>
      </w:r>
      <w:r>
        <w:rPr>
          <w:rFonts w:hint="eastAsia" w:ascii="宋体" w:hAnsi="宋体" w:eastAsia="宋体" w:cs="宋体"/>
          <w:b/>
          <w:bCs/>
          <w:color w:val="000000" w:themeColor="text1"/>
          <w:sz w:val="24"/>
          <w:highlight w:val="none"/>
          <w14:textFill>
            <w14:solidFill>
              <w14:schemeClr w14:val="tx1"/>
            </w14:solidFill>
          </w14:textFill>
        </w:rPr>
        <w:t>（实质性要求）</w:t>
      </w:r>
      <w:r>
        <w:rPr>
          <w:rFonts w:hint="eastAsia" w:ascii="宋体" w:hAnsi="宋体" w:eastAsia="宋体" w:cs="宋体"/>
          <w:color w:val="000000" w:themeColor="text1"/>
          <w:sz w:val="24"/>
          <w:highlight w:val="none"/>
          <w14:textFill>
            <w14:solidFill>
              <w14:schemeClr w14:val="tx1"/>
            </w14:solidFill>
          </w14:textFill>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18.6响应文件正本和副本需要逐页编目编码。</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18.7响应文件正本和副本应当采用胶装方式装订成册，不得散装或者合页装订。</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18.8响应文件应根据磋商文件的要求制作，签署、盖章。（按照《四川省政府采购评审工作规程（修订）》规范）</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18.9响应文件统一用A4幅面纸印制，除另有规定外。</w:t>
      </w:r>
    </w:p>
    <w:bookmarkEnd w:id="69"/>
    <w:bookmarkEnd w:id="70"/>
    <w:bookmarkEnd w:id="71"/>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3" w:name="_Toc30216"/>
      <w:bookmarkStart w:id="74" w:name="_Toc217446053"/>
      <w:bookmarkStart w:id="75" w:name="_Toc183682363"/>
      <w:bookmarkStart w:id="76" w:name="_Toc183582226"/>
      <w:bookmarkStart w:id="77" w:name="_Toc89075877"/>
      <w:bookmarkStart w:id="78" w:name="_Toc77400781"/>
      <w:r>
        <w:rPr>
          <w:rFonts w:hint="eastAsia" w:ascii="宋体" w:hAnsi="宋体" w:eastAsia="宋体" w:cs="宋体"/>
          <w:color w:val="000000" w:themeColor="text1"/>
          <w:sz w:val="24"/>
          <w:highlight w:val="none"/>
          <w14:textFill>
            <w14:solidFill>
              <w14:schemeClr w14:val="tx1"/>
            </w14:solidFill>
          </w14:textFill>
        </w:rPr>
        <w:t>19.响应文件的密封和标注（不属于本项目磋商小组评审范畴，由采购人、采购代理机构在接收响应文件时及时处理）</w:t>
      </w:r>
      <w:bookmarkEnd w:id="7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19.1响应文件可以单独密封包装，也可以所有响应文件密封包装在一个密封袋内。</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19.2响应文件密封袋的最外层应清楚地标明采购项目名称、采购项目编号、包件号及名称（若有）、供应商名称。</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19.3所有外层密封袋的封口处应粘贴牢固。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19.4未按以上要求进行密封和标注的响应文件，采购人、采购代理机构将拒收或者在时间允许的范围内，要求修改完善后接收。</w:t>
      </w:r>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9" w:name="_Toc29198"/>
      <w:r>
        <w:rPr>
          <w:rFonts w:hint="eastAsia" w:ascii="宋体" w:hAnsi="宋体" w:eastAsia="宋体" w:cs="宋体"/>
          <w:color w:val="000000" w:themeColor="text1"/>
          <w:sz w:val="24"/>
          <w:highlight w:val="none"/>
          <w14:textFill>
            <w14:solidFill>
              <w14:schemeClr w14:val="tx1"/>
            </w14:solidFill>
          </w14:textFill>
        </w:rPr>
        <w:t>20.响应文件的递交</w:t>
      </w:r>
      <w:bookmarkEnd w:id="7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20.1资格性响应文件和其他响应文件应于递交响应文件截止时间前送达指定地点，采购代理机构拒绝接收截止时间后送达的响应文件。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20.2采购代理机构将向通过资格审查的供应商发出磋商邀请；告知未通过资格审查的供应商未通过的原因。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20.3报价表在磋商后，磋商小组要求供应商进行最后报价时递交。</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20.4本次采购不接收邮寄的响应文件。</w:t>
      </w:r>
    </w:p>
    <w:bookmarkEnd w:id="74"/>
    <w:bookmarkEnd w:id="75"/>
    <w:bookmarkEnd w:id="76"/>
    <w:bookmarkEnd w:id="77"/>
    <w:bookmarkEnd w:id="78"/>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80" w:name="_Toc29639"/>
      <w:bookmarkStart w:id="81" w:name="_Toc183582228"/>
      <w:bookmarkStart w:id="82" w:name="_Toc217446055"/>
      <w:bookmarkStart w:id="83" w:name="_Toc183682365"/>
      <w:r>
        <w:rPr>
          <w:rFonts w:hint="eastAsia" w:ascii="宋体" w:hAnsi="宋体" w:eastAsia="宋体" w:cs="宋体"/>
          <w:color w:val="000000" w:themeColor="text1"/>
          <w:sz w:val="24"/>
          <w:highlight w:val="none"/>
          <w14:textFill>
            <w14:solidFill>
              <w14:schemeClr w14:val="tx1"/>
            </w14:solidFill>
          </w14:textFill>
        </w:rPr>
        <w:t>21.响应文件的修改和撤回（补充、修改响应文件的密封和标注按照本章“19.响应文件的密封和标注”规定处理）</w:t>
      </w:r>
      <w:bookmarkEnd w:id="80"/>
    </w:p>
    <w:p>
      <w:pPr>
        <w:pStyle w:val="10"/>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21.3供应商不得在递交截止时间起至响应文件有效期期满前撤销其响应文件。否则将报财政部门进行处理。</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21.4 响应文件中报价如果出现下列不一致的，可按以下原则进行修改：</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（一）大写金额和小写金额不一致的，以大写金额为准，但大写金额文字存在错误的，应当先对大写金额的文字错误进行澄清、说明或者更正，再行修正。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（二）总价金额与按单价汇总金额不一致的，以单价金额计算结果为准，但单</w:t>
      </w:r>
      <w:r>
        <w:rPr>
          <w:rFonts w:hint="eastAsia" w:ascii="宋体" w:hAnsi="宋体" w:eastAsia="宋体" w:cs="宋体"/>
          <w:color w:val="000000" w:themeColor="text1"/>
          <w:sz w:val="24"/>
          <w:highlight w:val="none"/>
          <w:lang w:val="en-US" w:eastAsia="zh-CN"/>
          <w14:textFill>
            <w14:solidFill>
              <w14:schemeClr w14:val="tx1"/>
            </w14:solidFill>
          </w14:textFill>
        </w:rPr>
        <w:t>价或者单价汇总金额存在数字或者文字错误的，应当先对数字或者文字错误进行澄清、说明或者更正，再行修正。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（三）单价金额小数点或者百分比有明显错位的，以总价为准，修正单价。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同时出现两种以上不一致的，按照上述规定的顺序修正。修正后的报价经供应</w:t>
      </w:r>
      <w:r>
        <w:rPr>
          <w:rFonts w:hint="eastAsia" w:ascii="宋体" w:hAnsi="宋体" w:eastAsia="宋体" w:cs="宋体"/>
          <w:color w:val="000000" w:themeColor="text1"/>
          <w:sz w:val="24"/>
          <w:highlight w:val="none"/>
          <w14:textFill>
            <w14:solidFill>
              <w14:schemeClr w14:val="tx1"/>
            </w14:solidFill>
          </w14:textFill>
        </w:rPr>
        <w:t>商确认后产生约束力，供应商不确认的，其响应文件作为无效处理。供应商确认采取书面且加盖单位公章或者供应商授权代表签字的方式。</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21.5供应商对其提交的响应文件的真实性、合法性承担法律责任。</w:t>
      </w:r>
    </w:p>
    <w:bookmarkEnd w:id="81"/>
    <w:bookmarkEnd w:id="82"/>
    <w:bookmarkEnd w:id="83"/>
    <w:p>
      <w:pPr>
        <w:pStyle w:val="2"/>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84" w:name="_Toc23019"/>
      <w:bookmarkStart w:id="85" w:name="_Toc183682368"/>
      <w:bookmarkStart w:id="86" w:name="_Toc217446056"/>
      <w:bookmarkStart w:id="87" w:name="_Toc77400782"/>
      <w:bookmarkStart w:id="88" w:name="_Toc183582231"/>
      <w:bookmarkStart w:id="89" w:name="_Toc89075878"/>
      <w:r>
        <w:rPr>
          <w:rFonts w:hint="eastAsia" w:ascii="宋体" w:hAnsi="宋体" w:eastAsia="宋体" w:cs="宋体"/>
          <w:color w:val="000000" w:themeColor="text1"/>
          <w:highlight w:val="none"/>
          <w14:textFill>
            <w14:solidFill>
              <w14:schemeClr w14:val="tx1"/>
            </w14:solidFill>
          </w14:textFill>
        </w:rPr>
        <w:t>五、评审</w:t>
      </w:r>
      <w:bookmarkEnd w:id="84"/>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0" w:name="_Toc30928"/>
      <w:r>
        <w:rPr>
          <w:rFonts w:hint="eastAsia" w:ascii="宋体" w:hAnsi="宋体" w:eastAsia="宋体" w:cs="宋体"/>
          <w:color w:val="000000" w:themeColor="text1"/>
          <w:sz w:val="24"/>
          <w:highlight w:val="none"/>
          <w:lang w:val="en-US" w:eastAsia="zh-CN"/>
          <w14:textFill>
            <w14:solidFill>
              <w14:schemeClr w14:val="tx1"/>
            </w14:solidFill>
          </w14:textFill>
        </w:rPr>
        <w:t>22.磋商小组的组建及其评审工作按照有关法律制度和本文件第七章的规定进行。</w:t>
      </w:r>
    </w:p>
    <w:p>
      <w:pPr>
        <w:pStyle w:val="2"/>
        <w:keepNext w:val="0"/>
        <w:keepLines w:val="0"/>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六、成交事项</w:t>
      </w:r>
      <w:bookmarkEnd w:id="90"/>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1" w:name="_Toc14351"/>
      <w:r>
        <w:rPr>
          <w:rFonts w:hint="eastAsia" w:ascii="宋体" w:hAnsi="宋体" w:eastAsia="宋体" w:cs="宋体"/>
          <w:color w:val="000000" w:themeColor="text1"/>
          <w:sz w:val="24"/>
          <w:highlight w:val="none"/>
          <w:lang w:val="en-US" w:eastAsia="zh-CN"/>
          <w14:textFill>
            <w14:solidFill>
              <w14:schemeClr w14:val="tx1"/>
            </w14:solidFill>
          </w14:textFill>
        </w:rPr>
        <w:t>23.确定成交供应商</w:t>
      </w:r>
      <w:bookmarkEnd w:id="91"/>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采购人将按磋商小组推荐的成交候选供应商顺序确定成交供应商。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23.1采购代理机构自评审结束后2个工作日内将磋商报告及有关资料送交采购人确定成交供应商。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采购人应综合考虑节约能源、保护环境、扶持不发达地区和少数民族地区、促进中小企业发展等政府采购政策因素确定成交候选人。</w:t>
      </w:r>
      <w:r>
        <w:rPr>
          <w:rFonts w:hint="eastAsia" w:ascii="宋体" w:hAnsi="宋体" w:eastAsia="宋体" w:cs="宋体"/>
          <w:color w:val="000000" w:themeColor="text1"/>
          <w:sz w:val="24"/>
          <w:highlight w:val="none"/>
          <w:lang w:val="en-US" w:eastAsia="zh-CN"/>
          <w14:textFill>
            <w14:solidFill>
              <w14:schemeClr w14:val="tx1"/>
            </w14:solidFill>
          </w14:textFill>
        </w:rPr>
        <w:t>采购人逾期未确定成交供应商且不提出异议的，视为确定磋商报告提出的排序第一的供应商为成交供应商。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23.3采购人确定成交供应商过程中，发现成交候选供应商有下列情形之一的，应当不予确定其为成交供应商：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（1）发现成交候选供应商存在禁止参加本项目采购活动的违法行为的；</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（2）成交候选供应商因不可抗力，不能继续参加政府采购活动；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（3）成交候选供应商无偿赠与或者低于成本价竞争；</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（4）成交候选供应商提供虚假材料；</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（5）成交候选供应商恶意串通。</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成交候选供应商有本条情形之一的，采购人可以确定后一位成交候选供应商为成交供应商，依次类推。无法确定成交供应商的，应当重新组织采购。</w:t>
      </w:r>
    </w:p>
    <w:p>
      <w:pPr>
        <w:pStyle w:val="4"/>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2" w:name="_Toc31914"/>
      <w:r>
        <w:rPr>
          <w:rFonts w:hint="eastAsia" w:ascii="宋体" w:hAnsi="宋体" w:eastAsia="宋体" w:cs="宋体"/>
          <w:color w:val="000000" w:themeColor="text1"/>
          <w:sz w:val="24"/>
          <w:highlight w:val="none"/>
          <w:lang w:val="en-US" w:eastAsia="zh-CN"/>
          <w14:textFill>
            <w14:solidFill>
              <w14:schemeClr w14:val="tx1"/>
            </w14:solidFill>
          </w14:textFill>
        </w:rPr>
        <w:t>24.</w:t>
      </w:r>
      <w:bookmarkEnd w:id="92"/>
      <w:r>
        <w:rPr>
          <w:rFonts w:hint="eastAsia" w:ascii="宋体" w:hAnsi="宋体" w:eastAsia="宋体" w:cs="宋体"/>
          <w:color w:val="000000" w:themeColor="text1"/>
          <w:sz w:val="24"/>
          <w:highlight w:val="none"/>
          <w:lang w:val="en-US" w:eastAsia="zh-CN"/>
          <w14:textFill>
            <w14:solidFill>
              <w14:schemeClr w14:val="tx1"/>
            </w14:solidFill>
          </w14:textFill>
        </w:rPr>
        <w:t>行贿犯罪档案查询和记录的使用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根据《最高人民检察院关于行贿犯罪档案查询工作的规定》和《关于在政府采购活动中全面开展行贿犯罪档案查询的通知》（川检会[2016]5号）的要求，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3" w:name="_Toc7361"/>
      <w:r>
        <w:rPr>
          <w:rFonts w:hint="eastAsia" w:ascii="宋体" w:hAnsi="宋体" w:eastAsia="宋体" w:cs="宋体"/>
          <w:color w:val="000000" w:themeColor="text1"/>
          <w:sz w:val="24"/>
          <w:highlight w:val="none"/>
          <w14:textFill>
            <w14:solidFill>
              <w14:schemeClr w14:val="tx1"/>
            </w14:solidFill>
          </w14:textFill>
        </w:rPr>
        <w:t>25.成交结果</w:t>
      </w:r>
      <w:bookmarkEnd w:id="9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25.1采购人确定成交供应商后，及时书面通知采购代理机构，发出成交通知书并发布成交结果公告。</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25.2成交供应商应当及时领取成交通知书。</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25.3成家供应商不能及时领取成交通知书，采购人或者采购代理机应当通过邮寄、快递等方式将项目成交通知书送达成交供应商。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4" w:name="_Toc21495"/>
      <w:r>
        <w:rPr>
          <w:rFonts w:hint="eastAsia" w:ascii="宋体" w:hAnsi="宋体" w:eastAsia="宋体" w:cs="宋体"/>
          <w:color w:val="000000" w:themeColor="text1"/>
          <w:sz w:val="24"/>
          <w:highlight w:val="none"/>
          <w14:textFill>
            <w14:solidFill>
              <w14:schemeClr w14:val="tx1"/>
            </w14:solidFill>
          </w14:textFill>
        </w:rPr>
        <w:t>26.成交通知书</w:t>
      </w:r>
      <w:bookmarkEnd w:id="94"/>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26.1成交通知书为签订政府采购合同的依据之一，是合同的有效组成部分。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2"/>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95" w:name="_Toc1105"/>
      <w:r>
        <w:rPr>
          <w:rFonts w:hint="eastAsia" w:ascii="宋体" w:hAnsi="宋体" w:eastAsia="宋体" w:cs="宋体"/>
          <w:color w:val="000000" w:themeColor="text1"/>
          <w:highlight w:val="none"/>
          <w14:textFill>
            <w14:solidFill>
              <w14:schemeClr w14:val="tx1"/>
            </w14:solidFill>
          </w14:textFill>
        </w:rPr>
        <w:t>七、合同事项</w:t>
      </w:r>
      <w:bookmarkEnd w:id="95"/>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6" w:name="_Toc101338364"/>
      <w:bookmarkStart w:id="97" w:name="_Toc430773927"/>
      <w:bookmarkStart w:id="98" w:name="_Toc23554"/>
      <w:bookmarkStart w:id="99" w:name="_Toc209847069"/>
      <w:bookmarkStart w:id="100" w:name="_Toc101174151"/>
      <w:bookmarkStart w:id="101" w:name="_Toc101250646"/>
      <w:r>
        <w:rPr>
          <w:rFonts w:hint="eastAsia" w:ascii="宋体" w:hAnsi="宋体" w:eastAsia="宋体" w:cs="宋体"/>
          <w:color w:val="000000" w:themeColor="text1"/>
          <w:sz w:val="24"/>
          <w:highlight w:val="none"/>
          <w14:textFill>
            <w14:solidFill>
              <w14:schemeClr w14:val="tx1"/>
            </w14:solidFill>
          </w14:textFill>
        </w:rPr>
        <w:t>27.签订合同</w:t>
      </w:r>
      <w:bookmarkEnd w:id="96"/>
      <w:bookmarkEnd w:id="97"/>
      <w:bookmarkEnd w:id="98"/>
      <w:bookmarkEnd w:id="99"/>
      <w:bookmarkEnd w:id="100"/>
      <w:bookmarkEnd w:id="10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27.2 磋商文件、成交供应商的响应文件及双方确认的澄清文件等，均为有法律约束力的合同组成部分。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27.5竞争性磋商文件、成交供应商提交的响应文件、磋商中的最后报价、成交供应商承诺书、成交通知书等均称为有法律约束力的合同组成内容。</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2" w:name="_Toc6819"/>
      <w:r>
        <w:rPr>
          <w:rFonts w:hint="eastAsia" w:ascii="宋体" w:hAnsi="宋体" w:eastAsia="宋体" w:cs="宋体"/>
          <w:color w:val="000000" w:themeColor="text1"/>
          <w:sz w:val="24"/>
          <w:highlight w:val="none"/>
          <w14:textFill>
            <w14:solidFill>
              <w14:schemeClr w14:val="tx1"/>
            </w14:solidFill>
          </w14:textFill>
        </w:rPr>
        <w:t>28.合同分包（实质性要求）</w:t>
      </w:r>
      <w:bookmarkEnd w:id="10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分包履行合同的部分应当为采购项目的非主体、非关键性工作，不属于成交供应商的主要合同义务。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28.2 采购合同实行分包履行的，成交供应商就采购项目和分包项目向采购人负责，分包供应商就分包项目承担责任。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28.3 中小企业依据《政府采购促进中小企业发展管理办法》（财库﹝2020﹞46 号）规定的政策获取政府采购合同后，小型、微型企业不得分包或转包给大型、中型企业，中型企业不得分包或转包给大型企业。</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3" w:name="_Toc19928"/>
      <w:r>
        <w:rPr>
          <w:rFonts w:hint="eastAsia" w:ascii="宋体" w:hAnsi="宋体" w:eastAsia="宋体" w:cs="宋体"/>
          <w:color w:val="000000" w:themeColor="text1"/>
          <w:sz w:val="24"/>
          <w:highlight w:val="none"/>
          <w14:textFill>
            <w14:solidFill>
              <w14:schemeClr w14:val="tx1"/>
            </w14:solidFill>
          </w14:textFill>
        </w:rPr>
        <w:t>29.合同转包（实质性要求）</w:t>
      </w:r>
      <w:bookmarkEnd w:id="10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成交供应商转包的，视同拒绝履行政府采购合同义务，将依法追究法律责任。</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4" w:name="_Toc26206"/>
      <w:r>
        <w:rPr>
          <w:rFonts w:hint="eastAsia" w:ascii="宋体" w:hAnsi="宋体" w:eastAsia="宋体" w:cs="宋体"/>
          <w:color w:val="000000" w:themeColor="text1"/>
          <w:sz w:val="24"/>
          <w:highlight w:val="none"/>
          <w14:textFill>
            <w14:solidFill>
              <w14:schemeClr w14:val="tx1"/>
            </w14:solidFill>
          </w14:textFill>
        </w:rPr>
        <w:t>30.补充合同</w:t>
      </w:r>
      <w:bookmarkEnd w:id="104"/>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5" w:name="_Toc18447"/>
      <w:r>
        <w:rPr>
          <w:rFonts w:hint="eastAsia" w:ascii="宋体" w:hAnsi="宋体" w:eastAsia="宋体" w:cs="宋体"/>
          <w:color w:val="000000" w:themeColor="text1"/>
          <w:sz w:val="24"/>
          <w:highlight w:val="none"/>
          <w14:textFill>
            <w14:solidFill>
              <w14:schemeClr w14:val="tx1"/>
            </w14:solidFill>
          </w14:textFill>
        </w:rPr>
        <w:t>31.履约保证金（实质性要求）</w:t>
      </w:r>
      <w:bookmarkEnd w:id="10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不收取</w:t>
      </w:r>
      <w:r>
        <w:rPr>
          <w:rFonts w:hint="eastAsia" w:ascii="宋体" w:hAnsi="宋体" w:eastAsia="宋体" w:cs="宋体"/>
          <w:color w:val="000000" w:themeColor="text1"/>
          <w:sz w:val="24"/>
          <w:highlight w:val="none"/>
          <w14:textFill>
            <w14:solidFill>
              <w14:schemeClr w14:val="tx1"/>
            </w14:solidFill>
          </w14:textFill>
        </w:rPr>
        <w:t>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31.1成交供应商应在合同签订之前交纳采购文件规定数额的履约保证金。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31.2如果成交供应商在规定的合同签订时间内，没有按照采购文件的规定交纳履约保证金，且又无正当理由的，将视为放弃成交。</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6" w:name="_Toc7205"/>
      <w:r>
        <w:rPr>
          <w:rFonts w:hint="eastAsia" w:ascii="宋体" w:hAnsi="宋体" w:eastAsia="宋体" w:cs="宋体"/>
          <w:color w:val="000000" w:themeColor="text1"/>
          <w:sz w:val="24"/>
          <w:highlight w:val="none"/>
          <w14:textFill>
            <w14:solidFill>
              <w14:schemeClr w14:val="tx1"/>
            </w14:solidFill>
          </w14:textFill>
        </w:rPr>
        <w:t>32.合同公告</w:t>
      </w:r>
      <w:bookmarkEnd w:id="10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7" w:name="_Toc916"/>
      <w:r>
        <w:rPr>
          <w:rFonts w:hint="eastAsia" w:ascii="宋体" w:hAnsi="宋体" w:eastAsia="宋体" w:cs="宋体"/>
          <w:color w:val="000000" w:themeColor="text1"/>
          <w:sz w:val="24"/>
          <w:highlight w:val="none"/>
          <w14:textFill>
            <w14:solidFill>
              <w14:schemeClr w14:val="tx1"/>
            </w14:solidFill>
          </w14:textFill>
        </w:rPr>
        <w:t>33.合同备案</w:t>
      </w:r>
      <w:bookmarkEnd w:id="107"/>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8" w:name="_Toc29857"/>
      <w:r>
        <w:rPr>
          <w:rFonts w:hint="eastAsia" w:ascii="宋体" w:hAnsi="宋体" w:eastAsia="宋体" w:cs="宋体"/>
          <w:color w:val="000000" w:themeColor="text1"/>
          <w:sz w:val="24"/>
          <w:highlight w:val="none"/>
          <w14:textFill>
            <w14:solidFill>
              <w14:schemeClr w14:val="tx1"/>
            </w14:solidFill>
          </w14:textFill>
        </w:rPr>
        <w:t>34.履行合同</w:t>
      </w:r>
      <w:bookmarkEnd w:id="10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34.1成交供应商与采购人签订合同后，合同双方应严格执行合同条款，履行合同规定的义务，保证合同的顺利完成。</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34.2在合同履行过程中，如发生合同纠纷，合同双方应按照《民法典》的有关规定进行处理。</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9" w:name="_Toc29724"/>
      <w:r>
        <w:rPr>
          <w:rFonts w:hint="eastAsia" w:ascii="宋体" w:hAnsi="宋体" w:eastAsia="宋体" w:cs="宋体"/>
          <w:color w:val="000000" w:themeColor="text1"/>
          <w:sz w:val="24"/>
          <w:highlight w:val="none"/>
          <w14:textFill>
            <w14:solidFill>
              <w14:schemeClr w14:val="tx1"/>
            </w14:solidFill>
          </w14:textFill>
        </w:rPr>
        <w:t>35.验收</w:t>
      </w:r>
      <w:bookmarkEnd w:id="10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35.1本项目将严格按照政府采购相关法律法规以及《财政部关于进一步加强政府采购需求和履约验收管理的指导意见》（财库〔2016〕205 号）的要求进行验收。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35.2 验收结果合格的，成交供应商凭采购人出具的验收合格书面证明到采购人处办理相关手续；验收结果不合格的，将不予支付采购资金，还可能会报本项目同级财政部门</w:t>
      </w:r>
      <w:r>
        <w:rPr>
          <w:rFonts w:hint="eastAsia" w:ascii="宋体" w:hAnsi="宋体" w:eastAsia="宋体" w:cs="宋体"/>
          <w:color w:val="000000" w:themeColor="text1"/>
          <w:sz w:val="24"/>
          <w:highlight w:val="none"/>
          <w:lang w:eastAsia="zh-CN"/>
          <w14:textFill>
            <w14:solidFill>
              <w14:schemeClr w14:val="tx1"/>
            </w14:solidFill>
          </w14:textFill>
        </w:rPr>
        <w:t>，将严格</w:t>
      </w:r>
      <w:r>
        <w:rPr>
          <w:rFonts w:hint="eastAsia" w:ascii="宋体" w:hAnsi="宋体" w:eastAsia="宋体" w:cs="宋体"/>
          <w:color w:val="000000" w:themeColor="text1"/>
          <w:sz w:val="24"/>
          <w:highlight w:val="none"/>
          <w14:textFill>
            <w14:solidFill>
              <w14:schemeClr w14:val="tx1"/>
            </w14:solidFill>
          </w14:textFill>
        </w:rPr>
        <w:t>按照《四川省公共资源交易领域严重失信联合惩戒实施办法》（川发改信用规〔2019〕405号）、《关于对政府采购领域严重违法失信主体开展联合惩戒的合作备忘录》（发改财金〔2018〕1614号）</w:t>
      </w:r>
      <w:r>
        <w:rPr>
          <w:rFonts w:hint="eastAsia" w:ascii="宋体" w:hAnsi="宋体" w:eastAsia="宋体" w:cs="宋体"/>
          <w:color w:val="000000" w:themeColor="text1"/>
          <w:sz w:val="24"/>
          <w:highlight w:val="none"/>
          <w:lang w:eastAsia="zh-CN"/>
          <w14:textFill>
            <w14:solidFill>
              <w14:schemeClr w14:val="tx1"/>
            </w14:solidFill>
          </w14:textFill>
        </w:rPr>
        <w:t>等</w:t>
      </w:r>
      <w:r>
        <w:rPr>
          <w:rFonts w:hint="eastAsia" w:ascii="宋体" w:hAnsi="宋体" w:eastAsia="宋体" w:cs="宋体"/>
          <w:color w:val="000000" w:themeColor="text1"/>
          <w:sz w:val="24"/>
          <w:highlight w:val="none"/>
          <w14:textFill>
            <w14:solidFill>
              <w14:schemeClr w14:val="tx1"/>
            </w14:solidFill>
          </w14:textFill>
        </w:rPr>
        <w:t>政府采购法律法规</w:t>
      </w:r>
      <w:r>
        <w:rPr>
          <w:rFonts w:hint="eastAsia" w:ascii="宋体" w:hAnsi="宋体" w:eastAsia="宋体" w:cs="宋体"/>
          <w:color w:val="000000" w:themeColor="text1"/>
          <w:sz w:val="24"/>
          <w:highlight w:val="none"/>
          <w:lang w:eastAsia="zh-CN"/>
          <w14:textFill>
            <w14:solidFill>
              <w14:schemeClr w14:val="tx1"/>
            </w14:solidFill>
          </w14:textFill>
        </w:rPr>
        <w:t>相关规定</w:t>
      </w:r>
      <w:r>
        <w:rPr>
          <w:rFonts w:hint="eastAsia" w:ascii="宋体" w:hAnsi="宋体" w:eastAsia="宋体" w:cs="宋体"/>
          <w:color w:val="000000" w:themeColor="text1"/>
          <w:sz w:val="24"/>
          <w:highlight w:val="none"/>
          <w14:textFill>
            <w14:solidFill>
              <w14:schemeClr w14:val="tx1"/>
            </w14:solidFill>
          </w14:textFill>
        </w:rPr>
        <w:t>执行。</w:t>
      </w:r>
    </w:p>
    <w:p>
      <w:pPr>
        <w:pStyle w:val="4"/>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0" w:name="_Toc25527"/>
      <w:r>
        <w:rPr>
          <w:rFonts w:hint="eastAsia" w:ascii="宋体" w:hAnsi="宋体" w:eastAsia="宋体" w:cs="宋体"/>
          <w:color w:val="000000" w:themeColor="text1"/>
          <w:sz w:val="24"/>
          <w:highlight w:val="none"/>
          <w14:textFill>
            <w14:solidFill>
              <w14:schemeClr w14:val="tx1"/>
            </w14:solidFill>
          </w14:textFill>
        </w:rPr>
        <w:t>36.资金支付</w:t>
      </w:r>
      <w:bookmarkEnd w:id="11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采购人将按照政府采购合同规定，及时向成交供应商支付采购资金。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本项目采购资金支付程序详见</w:t>
      </w:r>
      <w:r>
        <w:rPr>
          <w:rFonts w:hint="eastAsia" w:ascii="宋体" w:hAnsi="宋体" w:eastAsia="宋体" w:cs="宋体"/>
          <w:b/>
          <w:bCs/>
          <w:color w:val="000000" w:themeColor="text1"/>
          <w:sz w:val="24"/>
          <w:highlight w:val="none"/>
          <w14:textFill>
            <w14:solidFill>
              <w14:schemeClr w14:val="tx1"/>
            </w14:solidFill>
          </w14:textFill>
        </w:rPr>
        <w:t>第五章</w:t>
      </w:r>
      <w:r>
        <w:rPr>
          <w:rFonts w:hint="eastAsia" w:ascii="宋体" w:hAnsi="宋体" w:eastAsia="宋体" w:cs="宋体"/>
          <w:color w:val="000000" w:themeColor="text1"/>
          <w:sz w:val="24"/>
          <w:highlight w:val="none"/>
          <w14:textFill>
            <w14:solidFill>
              <w14:schemeClr w14:val="tx1"/>
            </w14:solidFill>
          </w14:textFill>
        </w:rPr>
        <w:t>。</w:t>
      </w:r>
    </w:p>
    <w:p>
      <w:pPr>
        <w:pStyle w:val="2"/>
        <w:keepNext w:val="0"/>
        <w:keepLines w:val="0"/>
        <w:spacing w:before="0" w:after="0"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111" w:name="_Toc22766"/>
      <w:r>
        <w:rPr>
          <w:rFonts w:hint="eastAsia" w:ascii="宋体" w:hAnsi="宋体" w:eastAsia="宋体" w:cs="宋体"/>
          <w:color w:val="000000" w:themeColor="text1"/>
          <w:highlight w:val="none"/>
          <w14:textFill>
            <w14:solidFill>
              <w14:schemeClr w14:val="tx1"/>
            </w14:solidFill>
          </w14:textFill>
        </w:rPr>
        <w:t>八、磋商纪律要求</w:t>
      </w:r>
      <w:bookmarkEnd w:id="111"/>
    </w:p>
    <w:p>
      <w:pPr>
        <w:pStyle w:val="4"/>
        <w:keepNext w:val="0"/>
        <w:keepLines w:val="0"/>
        <w:tabs>
          <w:tab w:val="left" w:pos="851"/>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2" w:name="_Toc17062"/>
      <w:r>
        <w:rPr>
          <w:rFonts w:hint="eastAsia" w:ascii="宋体" w:hAnsi="宋体" w:eastAsia="宋体" w:cs="宋体"/>
          <w:color w:val="000000" w:themeColor="text1"/>
          <w:sz w:val="24"/>
          <w:highlight w:val="none"/>
          <w14:textFill>
            <w14:solidFill>
              <w14:schemeClr w14:val="tx1"/>
            </w14:solidFill>
          </w14:textFill>
        </w:rPr>
        <w:t>37.供应商不得具有的情形</w:t>
      </w:r>
      <w:bookmarkEnd w:id="112"/>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供应商参加本项目磋商不得有下列情形：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（1）提供虚假材料谋取成交；</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（2）采取不正当手段诋毁、排挤其他供应商；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（3）与采购人、采购代理机构、或其他供应商恶意串通；</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（5）在磋商过程中与采购人、采购代理机构进行协商；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（7）未按照磋商文件确定的事项签订政府采购合同；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（8）将政府采购合同转包或者违规分包；</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（9）提供假冒伪劣产品；</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（10）擅自变更、中止或者终止政府采购合同；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（12）法律法规规定的其他情形。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九、询问、质疑和投诉</w:t>
      </w:r>
    </w:p>
    <w:p>
      <w:pPr>
        <w:pStyle w:val="4"/>
        <w:keepNext w:val="0"/>
        <w:keepLines w:val="0"/>
        <w:tabs>
          <w:tab w:val="left" w:pos="851"/>
        </w:tabs>
        <w:spacing w:before="0"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bookmarkStart w:id="113" w:name="_Toc10519"/>
      <w:r>
        <w:rPr>
          <w:rFonts w:hint="eastAsia" w:ascii="宋体" w:hAnsi="宋体" w:eastAsia="宋体" w:cs="宋体"/>
          <w:b w:val="0"/>
          <w:bCs/>
          <w:color w:val="000000" w:themeColor="text1"/>
          <w:kern w:val="2"/>
          <w:sz w:val="24"/>
          <w:szCs w:val="32"/>
          <w:highlight w:val="none"/>
          <w:lang w:val="en-US" w:eastAsia="zh-CN" w:bidi="ar-SA"/>
          <w14:textFill>
            <w14:solidFill>
              <w14:schemeClr w14:val="tx1"/>
            </w14:solidFill>
          </w14:textFill>
        </w:rPr>
        <w:t>38.询问、质疑、投诉的接收和处理严格按照《中华人民共和国政府采购法》、《中华人民共和国政府采购法实施条例》、《政府采购质疑和投诉办法（财政部第 94 号令）》、《财政部关于加强政府采购供应商投诉受理审查工作的通知》和四川省的有关规定办理（详细规定请在四川政府采购网政策法规模块查询）。</w:t>
      </w:r>
      <w:bookmarkEnd w:id="113"/>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十、其  他</w:t>
      </w:r>
    </w:p>
    <w:p>
      <w:pPr>
        <w:pStyle w:val="4"/>
        <w:keepNext w:val="0"/>
        <w:keepLines w:val="0"/>
        <w:tabs>
          <w:tab w:val="left" w:pos="851"/>
        </w:tabs>
        <w:spacing w:before="0" w:after="0" w:line="360" w:lineRule="auto"/>
        <w:ind w:firstLine="480" w:firstLineChars="200"/>
        <w:rPr>
          <w:rFonts w:hint="eastAsia" w:ascii="宋体" w:hAnsi="宋体" w:eastAsia="宋体" w:cs="宋体"/>
          <w:b w:val="0"/>
          <w:bCs w:val="0"/>
          <w:color w:val="000000" w:themeColor="text1"/>
          <w:sz w:val="24"/>
          <w:highlight w:val="none"/>
          <w14:textFill>
            <w14:solidFill>
              <w14:schemeClr w14:val="tx1"/>
            </w14:solidFill>
          </w14:textFill>
        </w:rPr>
      </w:pPr>
      <w:bookmarkStart w:id="114" w:name="_Toc24153"/>
      <w:r>
        <w:rPr>
          <w:rFonts w:hint="eastAsia" w:ascii="宋体" w:hAnsi="宋体" w:eastAsia="宋体" w:cs="宋体"/>
          <w:b w:val="0"/>
          <w:bCs w:val="0"/>
          <w:color w:val="000000" w:themeColor="text1"/>
          <w:sz w:val="24"/>
          <w:highlight w:val="none"/>
          <w14:textFill>
            <w14:solidFill>
              <w14:schemeClr w14:val="tx1"/>
            </w14:solidFill>
          </w14:textFill>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bookmarkEnd w:id="114"/>
    </w:p>
    <w:p>
      <w:pPr>
        <w:rPr>
          <w:rFonts w:hint="eastAsia" w:ascii="宋体" w:hAnsi="宋体" w:eastAsia="宋体" w:cs="宋体"/>
          <w:b w:val="0"/>
          <w:bCs w:val="0"/>
          <w:color w:val="000000" w:themeColor="text1"/>
          <w:sz w:val="24"/>
          <w:highlight w:val="none"/>
          <w14:textFill>
            <w14:solidFill>
              <w14:schemeClr w14:val="tx1"/>
            </w14:solidFill>
          </w14:textFill>
        </w:r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bCs w:val="0"/>
          <w:color w:val="000000" w:themeColor="text1"/>
          <w:kern w:val="2"/>
          <w:sz w:val="24"/>
          <w:szCs w:val="32"/>
          <w:highlight w:val="none"/>
          <w:lang w:val="en-US" w:eastAsia="zh-CN" w:bidi="ar-SA"/>
          <w14:textFill>
            <w14:solidFill>
              <w14:schemeClr w14:val="tx1"/>
            </w14:solidFill>
          </w14:textFill>
        </w:rPr>
        <w:br w:type="page"/>
      </w:r>
      <w:bookmarkStart w:id="115" w:name="_Toc7961745"/>
      <w:bookmarkStart w:id="116" w:name="_Toc32478"/>
      <w:bookmarkStart w:id="117" w:name="_Toc13841"/>
      <w:bookmarkStart w:id="118" w:name="_Toc23984"/>
      <w:r>
        <w:rPr>
          <w:rFonts w:hint="eastAsia" w:ascii="宋体" w:hAnsi="宋体" w:eastAsia="宋体" w:cs="宋体"/>
          <w:color w:val="000000" w:themeColor="text1"/>
          <w:sz w:val="36"/>
          <w:szCs w:val="36"/>
          <w:highlight w:val="none"/>
          <w14:textFill>
            <w14:solidFill>
              <w14:schemeClr w14:val="tx1"/>
            </w14:solidFill>
          </w14:textFill>
        </w:rPr>
        <w:t>第三章  供应商的资格、资质性及其他类似效力要求</w:t>
      </w:r>
      <w:bookmarkEnd w:id="115"/>
      <w:bookmarkEnd w:id="116"/>
      <w:bookmarkEnd w:id="117"/>
      <w:bookmarkEnd w:id="118"/>
    </w:p>
    <w:p>
      <w:pPr>
        <w:pStyle w:val="67"/>
        <w:ind w:firstLine="195" w:firstLineChars="81"/>
        <w:rPr>
          <w:rFonts w:hint="eastAsia" w:ascii="宋体" w:hAnsi="宋体" w:eastAsia="宋体" w:cs="宋体"/>
          <w:b/>
          <w:bCs/>
          <w:color w:val="000000" w:themeColor="text1"/>
          <w:sz w:val="24"/>
          <w:szCs w:val="22"/>
          <w:highlight w:val="none"/>
          <w14:textFill>
            <w14:solidFill>
              <w14:schemeClr w14:val="tx1"/>
            </w14:solidFill>
          </w14:textFill>
        </w:rPr>
      </w:pP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一、参加磋商的供应商应具备下列资格条件：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二、其他类似效力要求：</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参加本项目政府采购活动的供应商及其现任法定代表人/主要负责人不得具有行贿犯罪记录；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供应商与其他供应商之间，单位负责人不为同一人而且不存在直接控股、管理关系。</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未参加过本项目整体设计、规范编制或者项目管理、监理、检测等服务；</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本项目不接受联合体参与采购活动。</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p>
    <w:p>
      <w:pPr>
        <w:spacing w:line="360" w:lineRule="auto"/>
        <w:ind w:firstLine="474" w:firstLineChars="225"/>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注：</w:t>
      </w:r>
    </w:p>
    <w:p>
      <w:pPr>
        <w:spacing w:line="360" w:lineRule="auto"/>
        <w:ind w:firstLine="474" w:firstLineChars="225"/>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67"/>
        <w:numPr>
          <w:ilvl w:val="0"/>
          <w:numId w:val="0"/>
        </w:numPr>
        <w:tabs>
          <w:tab w:val="left" w:pos="0"/>
        </w:tabs>
        <w:ind w:left="0" w:leftChars="0" w:firstLine="430" w:firstLineChars="204"/>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br w:type="page"/>
      </w:r>
      <w:bookmarkStart w:id="119" w:name="_Toc28172"/>
      <w:bookmarkStart w:id="120" w:name="_Toc7961746"/>
      <w:bookmarkStart w:id="121" w:name="_Toc31811"/>
      <w:bookmarkStart w:id="122" w:name="_Toc31689"/>
      <w:r>
        <w:rPr>
          <w:rFonts w:hint="eastAsia" w:ascii="宋体" w:hAnsi="宋体" w:eastAsia="宋体" w:cs="宋体"/>
          <w:color w:val="000000" w:themeColor="text1"/>
          <w:sz w:val="36"/>
          <w:szCs w:val="36"/>
          <w:highlight w:val="none"/>
          <w14:textFill>
            <w14:solidFill>
              <w14:schemeClr w14:val="tx1"/>
            </w14:solidFill>
          </w14:textFill>
        </w:rPr>
        <w:t>第四章  供应商的资格、资质性及其他类似效力要求证明材料</w:t>
      </w:r>
      <w:bookmarkEnd w:id="119"/>
      <w:bookmarkEnd w:id="120"/>
      <w:bookmarkEnd w:id="121"/>
      <w:bookmarkEnd w:id="122"/>
    </w:p>
    <w:p>
      <w:pPr>
        <w:spacing w:line="360" w:lineRule="auto"/>
        <w:rPr>
          <w:rFonts w:hint="eastAsia" w:ascii="宋体" w:hAnsi="宋体" w:eastAsia="宋体" w:cs="宋体"/>
          <w:b/>
          <w:bCs/>
          <w:color w:val="000000" w:themeColor="text1"/>
          <w:sz w:val="24"/>
          <w:szCs w:val="22"/>
          <w:highlight w:val="none"/>
          <w14:textFill>
            <w14:solidFill>
              <w14:schemeClr w14:val="tx1"/>
            </w14:solidFill>
          </w14:textFill>
        </w:rPr>
      </w:pPr>
    </w:p>
    <w:tbl>
      <w:tblPr>
        <w:tblStyle w:val="28"/>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164"/>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395" w:type="dxa"/>
            <w:gridSpan w:val="3"/>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供应商资格、资质性要求相关证明材料对应表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序号</w:t>
            </w:r>
          </w:p>
        </w:tc>
        <w:tc>
          <w:tcPr>
            <w:tcW w:w="3164" w:type="dxa"/>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w:t>
            </w:r>
          </w:p>
        </w:tc>
        <w:tc>
          <w:tcPr>
            <w:tcW w:w="5536"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lang w:eastAsia="zh-CN"/>
                <w14:textFill>
                  <w14:solidFill>
                    <w14:schemeClr w14:val="tx1"/>
                  </w14:solidFill>
                </w14:textFill>
              </w:rPr>
              <w:t>满足</w:t>
            </w:r>
            <w:r>
              <w:rPr>
                <w:rFonts w:hint="eastAsia" w:ascii="宋体" w:hAnsi="宋体" w:eastAsia="宋体" w:cs="宋体"/>
                <w:bCs/>
                <w:color w:val="000000" w:themeColor="text1"/>
                <w:sz w:val="22"/>
                <w:szCs w:val="22"/>
                <w:highlight w:val="none"/>
                <w14:textFill>
                  <w14:solidFill>
                    <w14:schemeClr w14:val="tx1"/>
                  </w14:solidFill>
                </w14:textFill>
              </w:rPr>
              <w:t>《中华人民共和国政府采购法》第二十二条规定</w:t>
            </w:r>
          </w:p>
        </w:tc>
        <w:tc>
          <w:tcPr>
            <w:tcW w:w="5536"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1.</w:t>
            </w:r>
            <w:r>
              <w:rPr>
                <w:rFonts w:hint="eastAsia" w:ascii="宋体" w:hAnsi="宋体" w:eastAsia="宋体" w:cs="宋体"/>
                <w:bCs/>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具有独立承担民事责任的能力</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w:t>
            </w:r>
            <w:r>
              <w:rPr>
                <w:rFonts w:hint="eastAsia" w:ascii="宋体" w:hAnsi="宋体" w:eastAsia="宋体" w:cs="宋体"/>
                <w:color w:val="000000" w:themeColor="text1"/>
                <w:sz w:val="22"/>
                <w:szCs w:val="22"/>
                <w:highlight w:val="none"/>
                <w:lang w:eastAsia="zh-CN"/>
                <w14:textFill>
                  <w14:solidFill>
                    <w14:schemeClr w14:val="tx1"/>
                  </w14:solidFill>
                </w14:textFill>
              </w:rPr>
              <w:t>民间非营利组织或</w:t>
            </w:r>
            <w:r>
              <w:rPr>
                <w:rFonts w:hint="eastAsia" w:ascii="宋体" w:hAnsi="宋体" w:eastAsia="宋体" w:cs="宋体"/>
                <w:color w:val="000000" w:themeColor="text1"/>
                <w:sz w:val="22"/>
                <w:szCs w:val="22"/>
                <w:highlight w:val="none"/>
                <w14:textFill>
                  <w14:solidFill>
                    <w14:schemeClr w14:val="tx1"/>
                  </w14:solidFill>
                </w14:textFill>
              </w:rPr>
              <w:t>其他</w:t>
            </w:r>
            <w:r>
              <w:rPr>
                <w:rFonts w:hint="eastAsia" w:ascii="宋体" w:hAnsi="宋体" w:eastAsia="宋体" w:cs="宋体"/>
                <w:color w:val="000000" w:themeColor="text1"/>
                <w:sz w:val="22"/>
                <w:szCs w:val="22"/>
                <w:highlight w:val="none"/>
                <w:lang w:eastAsia="zh-CN"/>
                <w14:textFill>
                  <w14:solidFill>
                    <w14:schemeClr w14:val="tx1"/>
                  </w14:solidFill>
                </w14:textFill>
              </w:rPr>
              <w:t>未列明</w:t>
            </w:r>
            <w:r>
              <w:rPr>
                <w:rFonts w:hint="eastAsia" w:ascii="宋体" w:hAnsi="宋体" w:eastAsia="宋体" w:cs="宋体"/>
                <w:color w:val="000000" w:themeColor="text1"/>
                <w:sz w:val="22"/>
                <w:szCs w:val="22"/>
                <w:highlight w:val="none"/>
                <w14:textFill>
                  <w14:solidFill>
                    <w14:schemeClr w14:val="tx1"/>
                  </w14:solidFill>
                </w14:textFill>
              </w:rPr>
              <w:t>组织法人：提供“对应主管部门颁发的准许执业证明文件或</w:t>
            </w:r>
            <w:r>
              <w:rPr>
                <w:rFonts w:hint="eastAsia" w:ascii="宋体" w:hAnsi="宋体" w:eastAsia="宋体" w:cs="宋体"/>
                <w:color w:val="000000" w:themeColor="text1"/>
                <w:sz w:val="22"/>
                <w:szCs w:val="22"/>
                <w:highlight w:val="none"/>
                <w:lang w:eastAsia="zh-CN"/>
                <w14:textFill>
                  <w14:solidFill>
                    <w14:schemeClr w14:val="tx1"/>
                  </w14:solidFill>
                </w14:textFill>
              </w:rPr>
              <w:t>登记证书</w:t>
            </w:r>
            <w:r>
              <w:rPr>
                <w:rFonts w:hint="eastAsia" w:ascii="宋体" w:hAnsi="宋体" w:eastAsia="宋体" w:cs="宋体"/>
                <w:color w:val="000000" w:themeColor="text1"/>
                <w:sz w:val="22"/>
                <w:szCs w:val="22"/>
                <w:highlight w:val="none"/>
                <w14:textFill>
                  <w14:solidFill>
                    <w14:schemeClr w14:val="tx1"/>
                  </w14:solidFill>
                </w14:textFill>
              </w:rPr>
              <w:t>”；④若为</w:t>
            </w:r>
            <w:r>
              <w:rPr>
                <w:rFonts w:hint="eastAsia" w:ascii="宋体" w:hAnsi="宋体" w:eastAsia="宋体" w:cs="宋体"/>
                <w:color w:val="000000" w:themeColor="text1"/>
                <w:sz w:val="22"/>
                <w:szCs w:val="22"/>
                <w:highlight w:val="none"/>
                <w:lang w:eastAsia="zh-CN"/>
                <w14:textFill>
                  <w14:solidFill>
                    <w14:schemeClr w14:val="tx1"/>
                  </w14:solidFill>
                </w14:textFill>
              </w:rPr>
              <w:t>银行、保险、石油石化、电力、电信（含广电网络）等特殊行业可以以分支机构的身份参加政府采购项目；⑤若为</w:t>
            </w:r>
            <w:r>
              <w:rPr>
                <w:rFonts w:hint="eastAsia" w:ascii="宋体" w:hAnsi="宋体" w:eastAsia="宋体" w:cs="宋体"/>
                <w:color w:val="000000" w:themeColor="text1"/>
                <w:sz w:val="22"/>
                <w:szCs w:val="22"/>
                <w:highlight w:val="none"/>
                <w14:textFill>
                  <w14:solidFill>
                    <w14:schemeClr w14:val="tx1"/>
                  </w14:solidFill>
                </w14:textFill>
              </w:rPr>
              <w:t>自然人：提供“</w:t>
            </w:r>
            <w:r>
              <w:rPr>
                <w:rFonts w:hint="eastAsia" w:ascii="宋体" w:hAnsi="宋体" w:eastAsia="宋体" w:cs="宋体"/>
                <w:color w:val="000000" w:themeColor="text1"/>
                <w:sz w:val="22"/>
                <w:szCs w:val="22"/>
                <w:highlight w:val="none"/>
                <w:lang w:eastAsia="zh-CN"/>
                <w14:textFill>
                  <w14:solidFill>
                    <w14:schemeClr w14:val="tx1"/>
                  </w14:solidFill>
                </w14:textFill>
              </w:rPr>
              <w:t>有效</w:t>
            </w:r>
            <w:r>
              <w:rPr>
                <w:rFonts w:hint="eastAsia" w:ascii="宋体" w:hAnsi="宋体" w:eastAsia="宋体" w:cs="宋体"/>
                <w:color w:val="000000" w:themeColor="text1"/>
                <w:sz w:val="22"/>
                <w:szCs w:val="22"/>
                <w:highlight w:val="none"/>
                <w14:textFill>
                  <w14:solidFill>
                    <w14:schemeClr w14:val="tx1"/>
                  </w14:solidFill>
                </w14:textFill>
              </w:rPr>
              <w:t>身份证明材料”。</w:t>
            </w:r>
          </w:p>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eastAsia="zh-CN"/>
                <w14:textFill>
                  <w14:solidFill>
                    <w14:schemeClr w14:val="tx1"/>
                  </w14:solidFill>
                </w14:textFill>
              </w:rPr>
              <w:t>注：供应商根据自身情况任选其一提供证明资料，证明材料以复印件加盖单位公章为准。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1"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具有良好的商业信誉和健全的财务会计制度</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①提供2</w:t>
            </w:r>
            <w:r>
              <w:rPr>
                <w:rFonts w:hint="eastAsia" w:ascii="宋体" w:hAnsi="宋体" w:eastAsia="宋体" w:cs="宋体"/>
                <w:color w:val="000000" w:themeColor="text1"/>
                <w:sz w:val="22"/>
                <w:szCs w:val="22"/>
                <w:highlight w:val="none"/>
                <w:lang w:val="en-US" w:eastAsia="zh-CN"/>
                <w14:textFill>
                  <w14:solidFill>
                    <w14:schemeClr w14:val="tx1"/>
                  </w14:solidFill>
                </w14:textFill>
              </w:rPr>
              <w:t>020</w:t>
            </w:r>
            <w:r>
              <w:rPr>
                <w:rFonts w:hint="eastAsia" w:ascii="宋体" w:hAnsi="宋体" w:eastAsia="宋体" w:cs="宋体"/>
                <w:color w:val="000000" w:themeColor="text1"/>
                <w:sz w:val="22"/>
                <w:szCs w:val="22"/>
                <w:highlight w:val="none"/>
                <w14:textFill>
                  <w14:solidFill>
                    <w14:schemeClr w14:val="tx1"/>
                  </w14:solidFill>
                </w14:textFill>
              </w:rPr>
              <w:t>或201</w:t>
            </w:r>
            <w:r>
              <w:rPr>
                <w:rFonts w:hint="eastAsia" w:ascii="宋体" w:hAnsi="宋体" w:eastAsia="宋体" w:cs="宋体"/>
                <w:color w:val="000000" w:themeColor="text1"/>
                <w:sz w:val="22"/>
                <w:szCs w:val="22"/>
                <w:highlight w:val="none"/>
                <w:lang w:val="en-US" w:eastAsia="zh-CN"/>
                <w14:textFill>
                  <w14:solidFill>
                    <w14:schemeClr w14:val="tx1"/>
                  </w14:solidFill>
                </w14:textFill>
              </w:rPr>
              <w:t>9</w:t>
            </w:r>
            <w:r>
              <w:rPr>
                <w:rFonts w:hint="eastAsia" w:ascii="宋体" w:hAnsi="宋体" w:eastAsia="宋体" w:cs="宋体"/>
                <w:color w:val="000000" w:themeColor="text1"/>
                <w:sz w:val="22"/>
                <w:szCs w:val="22"/>
                <w:highlight w:val="none"/>
                <w14:textFill>
                  <w14:solidFill>
                    <w14:schemeClr w14:val="tx1"/>
                  </w14:solidFill>
                </w14:textFill>
              </w:rPr>
              <w:t>年度第三方机构出具的财务报告</w:t>
            </w:r>
            <w:r>
              <w:rPr>
                <w:rFonts w:hint="eastAsia" w:ascii="宋体" w:hAnsi="宋体" w:eastAsia="宋体" w:cs="宋体"/>
                <w:color w:val="000000" w:themeColor="text1"/>
                <w:sz w:val="22"/>
                <w:szCs w:val="22"/>
                <w:highlight w:val="none"/>
                <w:lang w:val="zh-CN"/>
                <w14:textFill>
                  <w14:solidFill>
                    <w14:schemeClr w14:val="tx1"/>
                  </w14:solidFill>
                </w14:textFill>
              </w:rPr>
              <w:t>（经审计的有效财务报告包含审计报告和审计报告中所涉及的财务报表和报表附注等完整内容，并由注册会计师签名、盖章以及会计师事务所盖章)（复印件）；也可提供</w:t>
            </w:r>
            <w:r>
              <w:rPr>
                <w:rFonts w:hint="eastAsia" w:ascii="宋体" w:hAnsi="宋体" w:eastAsia="宋体" w:cs="宋体"/>
                <w:color w:val="000000" w:themeColor="text1"/>
                <w:sz w:val="22"/>
                <w:szCs w:val="22"/>
                <w:highlight w:val="none"/>
                <w:lang w:val="en-US" w:eastAsia="zh-CN"/>
                <w14:textFill>
                  <w14:solidFill>
                    <w14:schemeClr w14:val="tx1"/>
                  </w14:solidFill>
                </w14:textFill>
              </w:rPr>
              <w:t>2020</w:t>
            </w:r>
            <w:r>
              <w:rPr>
                <w:rFonts w:hint="eastAsia" w:ascii="宋体" w:hAnsi="宋体" w:eastAsia="宋体" w:cs="宋体"/>
                <w:color w:val="000000" w:themeColor="text1"/>
                <w:sz w:val="22"/>
                <w:szCs w:val="22"/>
                <w:highlight w:val="none"/>
                <w:lang w:val="zh-CN"/>
                <w14:textFill>
                  <w14:solidFill>
                    <w14:schemeClr w14:val="tx1"/>
                  </w14:solidFill>
                </w14:textFill>
              </w:rPr>
              <w:t>或201</w:t>
            </w:r>
            <w:r>
              <w:rPr>
                <w:rFonts w:hint="eastAsia" w:ascii="宋体" w:hAnsi="宋体" w:eastAsia="宋体" w:cs="宋体"/>
                <w:color w:val="000000" w:themeColor="text1"/>
                <w:sz w:val="22"/>
                <w:szCs w:val="22"/>
                <w:highlight w:val="none"/>
                <w:lang w:val="en-US" w:eastAsia="zh-CN"/>
                <w14:textFill>
                  <w14:solidFill>
                    <w14:schemeClr w14:val="tx1"/>
                  </w14:solidFill>
                </w14:textFill>
              </w:rPr>
              <w:t>9</w:t>
            </w:r>
            <w:r>
              <w:rPr>
                <w:rFonts w:hint="eastAsia" w:ascii="宋体" w:hAnsi="宋体" w:eastAsia="宋体" w:cs="宋体"/>
                <w:color w:val="000000" w:themeColor="text1"/>
                <w:sz w:val="22"/>
                <w:szCs w:val="22"/>
                <w:highlight w:val="none"/>
                <w:lang w:val="zh-CN"/>
                <w14:textFill>
                  <w14:solidFill>
                    <w14:schemeClr w14:val="tx1"/>
                  </w14:solidFill>
                </w14:textFill>
              </w:rPr>
              <w:t>年度供应商内部的财务报表【（至少包含资产负债表、现金流量表、利润表（或损益表或业务活动表）】（复印件）</w:t>
            </w:r>
            <w:r>
              <w:rPr>
                <w:rFonts w:hint="eastAsia" w:ascii="宋体" w:hAnsi="宋体" w:eastAsia="宋体" w:cs="宋体"/>
                <w:color w:val="000000" w:themeColor="text1"/>
                <w:sz w:val="22"/>
                <w:szCs w:val="22"/>
                <w:highlight w:val="none"/>
                <w14:textFill>
                  <w14:solidFill>
                    <w14:schemeClr w14:val="tx1"/>
                  </w14:solidFill>
                </w14:textFill>
              </w:rPr>
              <w:t>；也可提供响应文件递交截止日一年内银行出具的资信证明（复印件）；也可提供财政部门认可的政府采购专业担保机构出具的投标担保函（复印件）；供应商注册时间至文件递交截止日不足一年的，也可提供在工商备案的公司章程（复印件）或承诺函。</w:t>
            </w:r>
          </w:p>
          <w:p>
            <w:pPr>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②提供具有良好的商业信誉提供承诺函。</w:t>
            </w:r>
          </w:p>
          <w:p>
            <w:pPr>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以上提供的复印件并盖单位公章</w:t>
            </w:r>
            <w:r>
              <w:rPr>
                <w:rFonts w:hint="eastAsia" w:ascii="宋体" w:hAnsi="宋体" w:eastAsia="宋体" w:cs="宋体"/>
                <w:color w:val="000000" w:themeColor="text1"/>
                <w:sz w:val="22"/>
                <w:szCs w:val="22"/>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3</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具有履行合同所必需的设备和专业技术能力</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提供承诺函</w:t>
            </w:r>
            <w:r>
              <w:rPr>
                <w:rFonts w:hint="eastAsia" w:ascii="宋体" w:hAnsi="宋体" w:eastAsia="宋体" w:cs="宋体"/>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4</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具有</w:t>
            </w:r>
            <w:r>
              <w:rPr>
                <w:rFonts w:hint="eastAsia" w:ascii="宋体" w:hAnsi="宋体" w:eastAsia="宋体" w:cs="宋体"/>
                <w:bCs/>
                <w:color w:val="000000" w:themeColor="text1"/>
                <w:sz w:val="22"/>
                <w:szCs w:val="22"/>
                <w:highlight w:val="none"/>
                <w:lang w:val="zh-CN"/>
                <w14:textFill>
                  <w14:solidFill>
                    <w14:schemeClr w14:val="tx1"/>
                  </w14:solidFill>
                </w14:textFill>
              </w:rPr>
              <w:t>依法缴纳税收和社会保障资金的良好记录</w:t>
            </w:r>
          </w:p>
        </w:tc>
        <w:tc>
          <w:tcPr>
            <w:tcW w:w="5536" w:type="dxa"/>
            <w:noWrap w:val="0"/>
            <w:vAlign w:val="center"/>
          </w:tcPr>
          <w:p>
            <w:pPr>
              <w:pStyle w:val="2"/>
              <w:numPr>
                <w:ilvl w:val="0"/>
                <w:numId w:val="0"/>
              </w:numPr>
              <w:spacing w:line="240" w:lineRule="auto"/>
              <w:ind w:leftChars="0"/>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提供承诺函</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5</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参加本次政府采购活动前三年内，在经营活动中没有重大违法记录</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1.6</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法律、行政法规规定的其他条件</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供应商及其现任法定代表人/主要负责人不得具有行贿犯罪记录</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3</w:t>
            </w:r>
          </w:p>
        </w:tc>
        <w:tc>
          <w:tcPr>
            <w:tcW w:w="3164" w:type="dxa"/>
            <w:noWrap w:val="0"/>
            <w:vAlign w:val="center"/>
          </w:tcPr>
          <w:p>
            <w:pPr>
              <w:spacing w:line="240" w:lineRule="auto"/>
              <w:jc w:val="both"/>
              <w:rPr>
                <w:rStyle w:val="78"/>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Style w:val="78"/>
                <w:rFonts w:hint="eastAsia" w:ascii="宋体" w:hAnsi="宋体" w:eastAsia="宋体" w:cs="宋体"/>
                <w:bCs/>
                <w:color w:val="000000" w:themeColor="text1"/>
                <w:sz w:val="22"/>
                <w:szCs w:val="22"/>
                <w:highlight w:val="none"/>
                <w:lang w:val="zh-CN" w:eastAsia="zh-CN"/>
                <w14:textFill>
                  <w14:solidFill>
                    <w14:schemeClr w14:val="tx1"/>
                  </w14:solidFill>
                </w14:textFill>
              </w:rPr>
              <w:t>供应商与其他供应商之间，单位负责人不为同一人而且不存在直接控股、管理关系</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提供承诺函</w:t>
            </w:r>
            <w:r>
              <w:rPr>
                <w:rFonts w:hint="eastAsia" w:ascii="宋体" w:hAnsi="宋体" w:eastAsia="宋体" w:cs="宋体"/>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4</w:t>
            </w:r>
          </w:p>
        </w:tc>
        <w:tc>
          <w:tcPr>
            <w:tcW w:w="3164" w:type="dxa"/>
            <w:noWrap w:val="0"/>
            <w:vAlign w:val="center"/>
          </w:tcPr>
          <w:p>
            <w:pPr>
              <w:spacing w:line="240" w:lineRule="auto"/>
              <w:jc w:val="both"/>
              <w:rPr>
                <w:rStyle w:val="78"/>
                <w:rFonts w:hint="eastAsia" w:ascii="宋体" w:hAnsi="宋体" w:eastAsia="宋体" w:cs="宋体"/>
                <w:bCs/>
                <w:color w:val="000000" w:themeColor="text1"/>
                <w:sz w:val="22"/>
                <w:szCs w:val="22"/>
                <w:highlight w:val="none"/>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供应商不得为“信用中国”网站中列入失信被执行人和重大税收违法案件当事人名单的供应商，不得为中国政府采购网政府采购严重违法失信行为记录名单中被财政部门禁止参加政府采购活动的供应商</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根据《关于在政府采购活动中查询及使用信用记录有关问题的通知》（财库〔2016〕125号）的要求，采购人及采购代理机构将通过“信用中国”网站（www.creditchina.gov.cn）、“中国政府采购网”网站（www.ccgp.gov.cn）等渠道查询供应商在采购公告发布之日前的信用记录，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2.企业参与投标时无需对此条进行响应， 非企业参与磋商时由供应商在响应文件中自行提供承诺函，格式自拟。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5</w:t>
            </w:r>
          </w:p>
        </w:tc>
        <w:tc>
          <w:tcPr>
            <w:tcW w:w="3164" w:type="dxa"/>
            <w:noWrap w:val="0"/>
            <w:vAlign w:val="center"/>
          </w:tcPr>
          <w:p>
            <w:pPr>
              <w:snapToGrid w:val="0"/>
              <w:spacing w:line="240" w:lineRule="auto"/>
              <w:jc w:val="both"/>
              <w:rPr>
                <w:rStyle w:val="78"/>
                <w:rFonts w:hint="eastAsia" w:ascii="宋体" w:hAnsi="宋体" w:eastAsia="宋体" w:cs="宋体"/>
                <w:bCs/>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法定代表人身份证明书</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按磋商文件格式提供，附件应齐全。注：法定代表人亲自参与磋商的提供。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6</w:t>
            </w:r>
          </w:p>
        </w:tc>
        <w:tc>
          <w:tcPr>
            <w:tcW w:w="3164" w:type="dxa"/>
            <w:noWrap w:val="0"/>
            <w:vAlign w:val="center"/>
          </w:tcPr>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授权委托书</w:t>
            </w:r>
          </w:p>
        </w:tc>
        <w:tc>
          <w:tcPr>
            <w:tcW w:w="5536" w:type="dxa"/>
            <w:noWrap w:val="0"/>
            <w:vAlign w:val="center"/>
          </w:tcPr>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按磋商文件格式提供，附件应齐全。注：授权代表参与磋商的提供。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395" w:type="dxa"/>
            <w:gridSpan w:val="3"/>
            <w:noWrap w:val="0"/>
            <w:vAlign w:val="center"/>
          </w:tcPr>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注：</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1.</w:t>
            </w:r>
            <w:r>
              <w:rPr>
                <w:rFonts w:hint="eastAsia" w:ascii="宋体" w:hAnsi="宋体" w:eastAsia="宋体" w:cs="宋体"/>
                <w:b/>
                <w:bCs/>
                <w:color w:val="000000" w:themeColor="text1"/>
                <w:sz w:val="22"/>
                <w:szCs w:val="22"/>
                <w:highlight w:val="none"/>
                <w14:textFill>
                  <w14:solidFill>
                    <w14:schemeClr w14:val="tx1"/>
                  </w14:solidFill>
                </w14:textFill>
              </w:rPr>
              <w:t>本项目不接受联合体。</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2.</w:t>
            </w:r>
            <w:r>
              <w:rPr>
                <w:rFonts w:hint="eastAsia" w:ascii="宋体" w:hAnsi="宋体" w:eastAsia="宋体" w:cs="宋体"/>
                <w:b/>
                <w:bCs/>
                <w:color w:val="000000" w:themeColor="text1"/>
                <w:sz w:val="22"/>
                <w:szCs w:val="22"/>
                <w:highlight w:val="none"/>
                <w14:textFill>
                  <w14:solidFill>
                    <w14:schemeClr w14:val="tx1"/>
                  </w14:solidFill>
                </w14:textFill>
              </w:rPr>
              <w:t>供应商须严格按照上述要求提供资格证明文件，未按</w:t>
            </w:r>
            <w:r>
              <w:rPr>
                <w:rFonts w:hint="eastAsia" w:ascii="宋体" w:hAnsi="宋体" w:cs="宋体"/>
                <w:b/>
                <w:bCs/>
                <w:color w:val="000000" w:themeColor="text1"/>
                <w:sz w:val="22"/>
                <w:szCs w:val="22"/>
                <w:highlight w:val="none"/>
                <w:lang w:eastAsia="zh-CN"/>
                <w14:textFill>
                  <w14:solidFill>
                    <w14:schemeClr w14:val="tx1"/>
                  </w14:solidFill>
                </w14:textFill>
              </w:rPr>
              <w:t>磋商</w:t>
            </w:r>
            <w:r>
              <w:rPr>
                <w:rFonts w:hint="eastAsia" w:ascii="宋体" w:hAnsi="宋体" w:eastAsia="宋体" w:cs="宋体"/>
                <w:b/>
                <w:bCs/>
                <w:color w:val="000000" w:themeColor="text1"/>
                <w:sz w:val="22"/>
                <w:szCs w:val="22"/>
                <w:highlight w:val="none"/>
                <w14:textFill>
                  <w14:solidFill>
                    <w14:schemeClr w14:val="tx1"/>
                  </w14:solidFill>
                </w14:textFill>
              </w:rPr>
              <w:t>文件格式提供的，自行承担无法通过资格性审查的风险。</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3.</w:t>
            </w:r>
            <w:r>
              <w:rPr>
                <w:rFonts w:hint="eastAsia" w:ascii="宋体" w:hAnsi="宋体" w:eastAsia="宋体" w:cs="宋体"/>
                <w:b/>
                <w:bCs/>
                <w:color w:val="000000" w:themeColor="text1"/>
                <w:sz w:val="22"/>
                <w:szCs w:val="22"/>
                <w:highlight w:val="none"/>
                <w:lang w:val="zh-CN"/>
                <w14:textFill>
                  <w14:solidFill>
                    <w14:schemeClr w14:val="tx1"/>
                  </w14:solidFill>
                </w14:textFill>
              </w:rPr>
              <w:t>以上证明材料要求提供承诺函的，不同承诺项要求在同一承诺函格式内的，可仅提供一次相应承诺函。</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4</w:t>
            </w:r>
            <w:r>
              <w:rPr>
                <w:rFonts w:hint="eastAsia" w:ascii="宋体" w:hAnsi="宋体" w:eastAsia="宋体" w:cs="宋体"/>
                <w:b/>
                <w:bCs/>
                <w:color w:val="000000" w:themeColor="text1"/>
                <w:sz w:val="22"/>
                <w:szCs w:val="22"/>
                <w:highlight w:val="none"/>
                <w14:textFill>
                  <w14:solidFill>
                    <w14:schemeClr w14:val="tx1"/>
                  </w14:solidFill>
                </w14:textFill>
              </w:rPr>
              <w:t>.供应商应对其所提供的资格证明材料来源的合法性、真实性负责。</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5.</w:t>
            </w:r>
            <w:r>
              <w:rPr>
                <w:rFonts w:hint="eastAsia" w:ascii="宋体" w:hAnsi="宋体" w:eastAsia="宋体" w:cs="宋体"/>
                <w:b/>
                <w:bCs/>
                <w:color w:val="000000" w:themeColor="text1"/>
                <w:sz w:val="22"/>
                <w:szCs w:val="22"/>
                <w:highlight w:val="none"/>
                <w14:textFill>
                  <w14:solidFill>
                    <w14:schemeClr w14:val="tx1"/>
                  </w14:solidFill>
                </w14:textFill>
              </w:rPr>
              <w:t>本资格审核表格内容与本磋商文件其他地方出现前后不一致情况时，以此表格要求为准，在不影响公平，公正，不违反相关法律法规规定的前提下，做出对供应商有利的解释。</w:t>
            </w:r>
          </w:p>
        </w:tc>
      </w:tr>
    </w:tbl>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23" w:name="_Toc32551"/>
      <w:bookmarkStart w:id="124" w:name="_Toc7961747"/>
      <w:bookmarkStart w:id="125" w:name="_Toc2959"/>
      <w:bookmarkStart w:id="126" w:name="_Toc29484"/>
      <w:r>
        <w:rPr>
          <w:rFonts w:hint="eastAsia" w:ascii="宋体" w:hAnsi="宋体" w:eastAsia="宋体" w:cs="宋体"/>
          <w:color w:val="000000" w:themeColor="text1"/>
          <w:sz w:val="36"/>
          <w:szCs w:val="36"/>
          <w:highlight w:val="none"/>
          <w14:textFill>
            <w14:solidFill>
              <w14:schemeClr w14:val="tx1"/>
            </w14:solidFill>
          </w14:textFill>
        </w:rPr>
        <w:t>第五章  采购项目技术、服务及其他商务要求</w:t>
      </w:r>
      <w:bookmarkEnd w:id="123"/>
      <w:bookmarkEnd w:id="124"/>
      <w:bookmarkEnd w:id="125"/>
      <w:bookmarkEnd w:id="126"/>
    </w:p>
    <w:bookmarkEnd w:id="85"/>
    <w:bookmarkEnd w:id="86"/>
    <w:bookmarkEnd w:id="87"/>
    <w:bookmarkEnd w:id="88"/>
    <w:bookmarkEnd w:id="89"/>
    <w:p>
      <w:pPr>
        <w:spacing w:line="360" w:lineRule="auto"/>
        <w:jc w:val="left"/>
        <w:rPr>
          <w:rFonts w:hint="eastAsia" w:ascii="宋体" w:hAnsi="宋体" w:eastAsia="宋体" w:cs="宋体"/>
          <w:b/>
          <w:color w:val="000000" w:themeColor="text1"/>
          <w:sz w:val="24"/>
          <w:highlight w:val="none"/>
          <w14:textFill>
            <w14:solidFill>
              <w14:schemeClr w14:val="tx1"/>
            </w14:solidFill>
          </w14:textFill>
        </w:rPr>
      </w:pPr>
      <w:bookmarkStart w:id="127" w:name="_Toc183682369"/>
      <w:bookmarkStart w:id="128" w:name="_Toc217446057"/>
      <w:bookmarkStart w:id="129" w:name="_Toc183582232"/>
    </w:p>
    <w:p>
      <w:pPr>
        <w:tabs>
          <w:tab w:val="left" w:pos="0"/>
        </w:tabs>
        <w:spacing w:line="360" w:lineRule="auto"/>
        <w:outlineLvl w:val="1"/>
        <w:rPr>
          <w:rFonts w:hint="eastAsia" w:ascii="宋体" w:hAnsi="宋体" w:eastAsia="宋体" w:cs="宋体"/>
          <w:b/>
          <w:color w:val="000000" w:themeColor="text1"/>
          <w:sz w:val="24"/>
          <w:highlight w:val="none"/>
          <w14:textFill>
            <w14:solidFill>
              <w14:schemeClr w14:val="tx1"/>
            </w14:solidFill>
          </w14:textFill>
        </w:rPr>
      </w:pPr>
      <w:bookmarkStart w:id="130" w:name="_Toc14684"/>
      <w:bookmarkStart w:id="131" w:name="_Toc9074"/>
      <w:bookmarkStart w:id="132" w:name="_Toc5856"/>
      <w:bookmarkStart w:id="133" w:name="_Toc21125"/>
      <w:bookmarkStart w:id="134" w:name="_Toc534570468"/>
      <w:bookmarkStart w:id="135" w:name="_Toc534971195"/>
      <w:bookmarkStart w:id="136" w:name="_Toc32243"/>
      <w:bookmarkStart w:id="137" w:name="_Toc25482"/>
      <w:bookmarkStart w:id="138" w:name="_Toc217446094"/>
      <w:bookmarkStart w:id="139" w:name="_Toc11339"/>
      <w:bookmarkStart w:id="140" w:name="_Toc1917883"/>
      <w:bookmarkStart w:id="141" w:name="_Toc534570383"/>
      <w:bookmarkStart w:id="142" w:name="_Toc534570386"/>
      <w:bookmarkStart w:id="143" w:name="_Toc534570459"/>
      <w:bookmarkStart w:id="144" w:name="_Toc1918101"/>
      <w:bookmarkStart w:id="145" w:name="_Toc534971198"/>
      <w:bookmarkStart w:id="146" w:name="_Toc8617"/>
      <w:bookmarkStart w:id="147" w:name="_Toc5749"/>
      <w:bookmarkStart w:id="148" w:name="_Toc27605"/>
      <w:bookmarkStart w:id="149" w:name="_Toc217446095"/>
      <w:bookmarkStart w:id="150" w:name="_Toc23893"/>
      <w:bookmarkStart w:id="151" w:name="_Toc14456"/>
      <w:r>
        <w:rPr>
          <w:rFonts w:hint="eastAsia" w:ascii="宋体" w:hAnsi="宋体" w:eastAsia="宋体" w:cs="宋体"/>
          <w:b/>
          <w:color w:val="000000" w:themeColor="text1"/>
          <w:sz w:val="24"/>
          <w:highlight w:val="none"/>
          <w14:textFill>
            <w14:solidFill>
              <w14:schemeClr w14:val="tx1"/>
            </w14:solidFill>
          </w14:textFill>
        </w:rPr>
        <w:t>一、项目概况</w:t>
      </w:r>
      <w:bookmarkEnd w:id="130"/>
    </w:p>
    <w:p>
      <w:pPr>
        <w:spacing w:line="360" w:lineRule="auto"/>
        <w:ind w:firstLine="482"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cs="宋体"/>
          <w:b/>
          <w:color w:val="000000" w:themeColor="text1"/>
          <w:sz w:val="24"/>
          <w:szCs w:val="24"/>
          <w:highlight w:val="none"/>
          <w14:textFill>
            <w14:solidFill>
              <w14:schemeClr w14:val="tx1"/>
            </w14:solidFill>
          </w14:textFill>
        </w:rPr>
        <w:t>1、项目名称：</w:t>
      </w:r>
      <w:r>
        <w:rPr>
          <w:rFonts w:hint="eastAsia" w:ascii="宋体" w:hAnsi="宋体" w:cs="宋体"/>
          <w:color w:val="000000" w:themeColor="text1"/>
          <w:sz w:val="24"/>
          <w:szCs w:val="24"/>
          <w:highlight w:val="none"/>
          <w:lang w:eastAsia="zh-CN"/>
          <w14:textFill>
            <w14:solidFill>
              <w14:schemeClr w14:val="tx1"/>
            </w14:solidFill>
          </w14:textFill>
        </w:rPr>
        <w:t>现代职业教育质量提升计划建设项目设施设备采购（第二次）</w:t>
      </w:r>
    </w:p>
    <w:p>
      <w:pPr>
        <w:spacing w:line="360" w:lineRule="auto"/>
        <w:ind w:firstLine="422" w:firstLineChars="175"/>
        <w:rPr>
          <w:rFonts w:hint="eastAsia" w:ascii="宋体" w:hAnsi="宋体" w:eastAsia="宋体" w:cs="宋体"/>
          <w:color w:val="000000" w:themeColor="text1"/>
          <w:sz w:val="24"/>
          <w:highlight w:val="none"/>
          <w14:textFill>
            <w14:solidFill>
              <w14:schemeClr w14:val="tx1"/>
            </w14:solidFill>
          </w14:textFill>
        </w:rPr>
      </w:pPr>
      <w:r>
        <w:rPr>
          <w:rFonts w:hint="eastAsia" w:cs="宋体"/>
          <w:b/>
          <w:color w:val="000000" w:themeColor="text1"/>
          <w:sz w:val="24"/>
          <w:szCs w:val="24"/>
          <w:highlight w:val="none"/>
          <w14:textFill>
            <w14:solidFill>
              <w14:schemeClr w14:val="tx1"/>
            </w14:solidFill>
          </w14:textFill>
        </w:rPr>
        <w:t>2、项目概况：</w:t>
      </w:r>
      <w:r>
        <w:rPr>
          <w:rFonts w:hint="eastAsia" w:ascii="宋体" w:hAnsi="宋体" w:cs="宋体"/>
          <w:color w:val="000000" w:themeColor="text1"/>
          <w:sz w:val="24"/>
          <w:szCs w:val="24"/>
          <w:highlight w:val="none"/>
          <w:lang w:eastAsia="zh-CN"/>
          <w14:textFill>
            <w14:solidFill>
              <w14:schemeClr w14:val="tx1"/>
            </w14:solidFill>
          </w14:textFill>
        </w:rPr>
        <w:t>按照市财政局、市教育局2021年现代职业教育质量提升计划要求，我校拟实施美发美容校内一体化实训基地、精品课程制作室、旅游专业多功能训练室、劳动体验中心等项目设施设备采购采用竞争性磋商择</w:t>
      </w:r>
      <w:r>
        <w:rPr>
          <w:rFonts w:hint="eastAsia" w:ascii="宋体" w:hAnsi="宋体" w:eastAsia="宋体" w:cs="宋体"/>
          <w:color w:val="000000" w:themeColor="text1"/>
          <w:sz w:val="24"/>
          <w:szCs w:val="24"/>
          <w:highlight w:val="none"/>
          <w14:textFill>
            <w14:solidFill>
              <w14:schemeClr w14:val="tx1"/>
            </w14:solidFill>
          </w14:textFill>
        </w:rPr>
        <w:t>优选择一家合格供应商</w:t>
      </w:r>
      <w:r>
        <w:rPr>
          <w:rFonts w:hint="eastAsia" w:ascii="宋体" w:hAnsi="宋体" w:eastAsia="宋体" w:cs="宋体"/>
          <w:color w:val="000000" w:themeColor="text1"/>
          <w:sz w:val="24"/>
          <w:szCs w:val="24"/>
          <w:highlight w:val="none"/>
          <w:lang w:eastAsia="zh-CN"/>
          <w14:textFill>
            <w14:solidFill>
              <w14:schemeClr w14:val="tx1"/>
            </w14:solidFill>
          </w14:textFill>
        </w:rPr>
        <w:t>为本项目</w:t>
      </w:r>
      <w:r>
        <w:rPr>
          <w:rFonts w:hint="eastAsia" w:ascii="宋体" w:hAnsi="宋体" w:eastAsia="宋体" w:cs="宋体"/>
          <w:color w:val="000000" w:themeColor="text1"/>
          <w:sz w:val="24"/>
          <w:szCs w:val="24"/>
          <w:highlight w:val="none"/>
          <w14:textFill>
            <w14:solidFill>
              <w14:schemeClr w14:val="tx1"/>
            </w14:solidFill>
          </w14:textFill>
        </w:rPr>
        <w:t>提供</w:t>
      </w:r>
      <w:r>
        <w:rPr>
          <w:rFonts w:hint="eastAsia" w:ascii="宋体" w:hAnsi="宋体" w:cs="宋体"/>
          <w:color w:val="000000" w:themeColor="text1"/>
          <w:sz w:val="24"/>
          <w:szCs w:val="24"/>
          <w:highlight w:val="none"/>
          <w:lang w:eastAsia="zh-CN"/>
          <w14:textFill>
            <w14:solidFill>
              <w14:schemeClr w14:val="tx1"/>
            </w14:solidFill>
          </w14:textFill>
        </w:rPr>
        <w:t>货物和服务</w:t>
      </w:r>
      <w:r>
        <w:rPr>
          <w:rFonts w:hint="eastAsia" w:ascii="宋体" w:hAnsi="宋体" w:eastAsia="宋体" w:cs="宋体"/>
          <w:color w:val="000000" w:themeColor="text1"/>
          <w:sz w:val="24"/>
          <w:highlight w:val="none"/>
          <w14:textFill>
            <w14:solidFill>
              <w14:schemeClr w14:val="tx1"/>
            </w14:solidFill>
          </w14:textFill>
        </w:rPr>
        <w:t>。</w:t>
      </w:r>
    </w:p>
    <w:p>
      <w:pPr>
        <w:tabs>
          <w:tab w:val="left" w:pos="0"/>
        </w:tabs>
        <w:spacing w:line="360" w:lineRule="auto"/>
        <w:outlineLvl w:val="1"/>
        <w:rPr>
          <w:rFonts w:hint="eastAsia" w:ascii="宋体" w:hAnsi="宋体" w:eastAsia="宋体" w:cs="宋体"/>
          <w:b/>
          <w:color w:val="000000" w:themeColor="text1"/>
          <w:sz w:val="24"/>
          <w:highlight w:val="none"/>
          <w:lang w:val="en-US" w:eastAsia="zh-CN"/>
          <w14:textFill>
            <w14:solidFill>
              <w14:schemeClr w14:val="tx1"/>
            </w14:solidFill>
          </w14:textFill>
        </w:rPr>
      </w:pPr>
      <w:bookmarkStart w:id="152" w:name="_Toc23810"/>
      <w:bookmarkStart w:id="153" w:name="_Toc8368"/>
      <w:bookmarkStart w:id="154" w:name="_Toc21510"/>
      <w:r>
        <w:rPr>
          <w:rFonts w:hint="eastAsia" w:ascii="宋体" w:hAnsi="宋体" w:eastAsia="宋体" w:cs="宋体"/>
          <w:b/>
          <w:color w:val="000000" w:themeColor="text1"/>
          <w:sz w:val="24"/>
          <w:highlight w:val="none"/>
          <w:lang w:val="en-US" w:eastAsia="zh-CN"/>
          <w14:textFill>
            <w14:solidFill>
              <w14:schemeClr w14:val="tx1"/>
            </w14:solidFill>
          </w14:textFill>
        </w:rPr>
        <w:t>二、技术、服务内容及</w:t>
      </w:r>
      <w:bookmarkEnd w:id="152"/>
      <w:bookmarkEnd w:id="153"/>
      <w:bookmarkEnd w:id="154"/>
      <w:r>
        <w:rPr>
          <w:rFonts w:hint="eastAsia" w:ascii="宋体" w:hAnsi="宋体" w:cs="宋体"/>
          <w:b/>
          <w:color w:val="000000" w:themeColor="text1"/>
          <w:sz w:val="24"/>
          <w:highlight w:val="none"/>
          <w:lang w:val="en-US" w:eastAsia="zh-CN"/>
          <w14:textFill>
            <w14:solidFill>
              <w14:schemeClr w14:val="tx1"/>
            </w14:solidFill>
          </w14:textFill>
        </w:rPr>
        <w:t>要求</w:t>
      </w:r>
    </w:p>
    <w:p>
      <w:pPr>
        <w:pStyle w:val="10"/>
        <w:spacing w:line="360" w:lineRule="auto"/>
        <w:ind w:left="0" w:leftChars="0" w:firstLine="0" w:firstLineChars="0"/>
        <w:outlineLvl w:val="1"/>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1、采购清单及参数要求</w:t>
      </w:r>
    </w:p>
    <w:tbl>
      <w:tblPr>
        <w:tblStyle w:val="28"/>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230"/>
        <w:gridCol w:w="5234"/>
        <w:gridCol w:w="510"/>
        <w:gridCol w:w="645"/>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1230"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标的名称</w:t>
            </w:r>
          </w:p>
        </w:tc>
        <w:tc>
          <w:tcPr>
            <w:tcW w:w="5234"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参数</w:t>
            </w:r>
          </w:p>
        </w:tc>
        <w:tc>
          <w:tcPr>
            <w:tcW w:w="510"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单位</w:t>
            </w:r>
          </w:p>
        </w:tc>
        <w:tc>
          <w:tcPr>
            <w:tcW w:w="645"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数量</w:t>
            </w:r>
          </w:p>
        </w:tc>
        <w:tc>
          <w:tcPr>
            <w:tcW w:w="1104"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美发美容校内一体化实训基地设施设备采购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w:t>
            </w:r>
          </w:p>
        </w:tc>
        <w:tc>
          <w:tcPr>
            <w:tcW w:w="8723" w:type="dxa"/>
            <w:gridSpan w:val="5"/>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美发与造型理实一体化实训室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可移动高清电视</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1、显示技术</w:t>
            </w:r>
            <w:r>
              <w:rPr>
                <w:rFonts w:hint="eastAsia" w:ascii="宋体" w:hAnsi="宋体" w:cs="宋体"/>
                <w:color w:val="000000" w:themeColor="text1"/>
                <w:szCs w:val="21"/>
                <w:highlight w:val="none"/>
                <w:shd w:val="clear" w:color="auto" w:fill="FFFFFF"/>
                <w14:textFill>
                  <w14:solidFill>
                    <w14:schemeClr w14:val="tx1"/>
                  </w14:solidFill>
                </w14:textFill>
              </w:rPr>
              <w:t>：86英寸；</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2、LED背光源；</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3、显示比例:16:9﹔可视角度:≥178°；</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4、分辨率:≥3840×2160，显示性能达到UHD超高清点对点；</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5、亮度:≥390cd/m2，对比度:≥4000:1。</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智慧黑板</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三拼接平面（1平面LED86英寸，二侧白板链接），无推拉式结构及外露连接线，86英寸超高清LED 液晶屏；</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2、内置ops电脑，i5处理器，8G内存，256G硬盘，备授课软件；</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3、电脑与白板相连。</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上网镜台</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美发实训镜</w:t>
            </w:r>
            <w:r>
              <w:rPr>
                <w:rFonts w:hint="eastAsia" w:ascii="宋体" w:hAnsi="宋体" w:cs="宋体"/>
                <w:color w:val="000000" w:themeColor="text1"/>
                <w:szCs w:val="21"/>
                <w:highlight w:val="none"/>
                <w:shd w:val="clear" w:color="auto" w:fill="FFFFFF"/>
                <w14:textFill>
                  <w14:solidFill>
                    <w14:schemeClr w14:val="tx1"/>
                  </w14:solidFill>
                </w14:textFill>
              </w:rPr>
              <w:t>80cm*70cm*5cm，</w:t>
            </w:r>
            <w:r>
              <w:rPr>
                <w:rFonts w:hint="eastAsia" w:ascii="宋体" w:hAnsi="宋体" w:cs="宋体"/>
                <w:color w:val="000000" w:themeColor="text1"/>
                <w:szCs w:val="21"/>
                <w:highlight w:val="none"/>
                <w14:textFill>
                  <w14:solidFill>
                    <w14:schemeClr w14:val="tx1"/>
                  </w14:solidFill>
                </w14:textFill>
              </w:rPr>
              <w:t>及配套设备（支架、镜台台面、摄像头等）。</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双面可移动镜台</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双面实训镜180cm*90cm*10cm，黑色整体色调。</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配套推车</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高80cm，宽40cm，长≧20cm，底座带转向四轮方便移动，整体黑色塑料材质加把手不锈钢，可分别收纳</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层。</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吊顶电源</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1、吊顶长度可拉伸300cm，可移动使用电源，每个电源配备4-6个插孔；</w:t>
            </w:r>
          </w:p>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2、电源线选银色或者黑色；</w:t>
            </w:r>
          </w:p>
          <w:p>
            <w:pPr>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3、电源可供5000瓦（3台吹风）同时使用，三相电源。</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新风系统或中央空调</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满足300多个平方米的换气及制冷制暖，镶入式空调，不占地面面积。</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高80cm,宽60cm，</w:t>
            </w:r>
            <w:r>
              <w:rPr>
                <w:rFonts w:hint="eastAsia" w:ascii="宋体" w:hAnsi="宋体" w:cs="宋体"/>
                <w:color w:val="000000" w:themeColor="text1"/>
                <w:szCs w:val="21"/>
                <w:highlight w:val="none"/>
                <w:shd w:val="clear" w:color="auto" w:fill="FFFFFF"/>
                <w14:textFill>
                  <w14:solidFill>
                    <w14:schemeClr w14:val="tx1"/>
                  </w14:solidFill>
                </w14:textFill>
              </w:rPr>
              <w:t>长度≧40cm，</w:t>
            </w:r>
            <w:r>
              <w:rPr>
                <w:rFonts w:hint="eastAsia" w:ascii="宋体" w:hAnsi="宋体" w:cs="宋体"/>
                <w:color w:val="000000" w:themeColor="text1"/>
                <w:szCs w:val="21"/>
                <w:highlight w:val="none"/>
                <w14:textFill>
                  <w14:solidFill>
                    <w14:schemeClr w14:val="tx1"/>
                  </w14:solidFill>
                </w14:textFill>
              </w:rPr>
              <w:t>可分别为2层，带电子密码锁，色彩白色或者木头原色。</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收银台</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风格现代简约，400cm*60cm*120cm，带抽屉，收银台木质结构，外观白色或者是木头原色，形状为长条形。</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洗头床</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195cm*80cm，高度可调节升降，洗头床外观设计符合人体工学，色彩为黑色或者白色外观，陶瓷质感方便清洗。</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物品陈列展示台</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风格现代简约，长250cm，高180cm，</w:t>
            </w:r>
            <w:r>
              <w:rPr>
                <w:rFonts w:hint="eastAsia" w:ascii="宋体" w:hAnsi="宋体" w:cs="宋体"/>
                <w:color w:val="000000" w:themeColor="text1"/>
                <w:szCs w:val="21"/>
                <w:highlight w:val="none"/>
                <w:shd w:val="clear" w:color="auto" w:fill="FFFFFF"/>
                <w14:textFill>
                  <w14:solidFill>
                    <w14:schemeClr w14:val="tx1"/>
                  </w14:solidFill>
                </w14:textFill>
              </w:rPr>
              <w:t>深度≧40cm</w:t>
            </w:r>
            <w:r>
              <w:rPr>
                <w:rFonts w:hint="eastAsia" w:ascii="宋体" w:hAnsi="宋体" w:cs="宋体"/>
                <w:color w:val="000000" w:themeColor="text1"/>
                <w:szCs w:val="21"/>
                <w:highlight w:val="none"/>
                <w14:textFill>
                  <w14:solidFill>
                    <w14:schemeClr w14:val="tx1"/>
                  </w14:solidFill>
                </w14:textFill>
              </w:rPr>
              <w:t>原，色实木材质。</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水槽</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长200cm，宽40-60cm，不锈钢。</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直排式热水器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满足8个洗头床使用热水的需求；</w:t>
            </w:r>
            <w:r>
              <w:rPr>
                <w:rFonts w:hint="eastAsia" w:ascii="宋体" w:hAnsi="宋体" w:cs="宋体"/>
                <w:color w:val="000000" w:themeColor="text1"/>
                <w:szCs w:val="21"/>
                <w:highlight w:val="none"/>
                <w:shd w:val="clear" w:color="auto" w:fill="FFFFFF"/>
                <w14:textFill>
                  <w14:solidFill>
                    <w14:schemeClr w14:val="tx1"/>
                  </w14:solidFill>
                </w14:textFill>
              </w:rPr>
              <w:t>容量：20L。</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230平米（M17+SC20*13）低音调节；支持低音调节，音箱控制遥控，理论功率100W以上频响范围60HZ-15KHZ，</w:t>
            </w:r>
            <w:r>
              <w:rPr>
                <w:rFonts w:hint="eastAsia" w:ascii="宋体" w:hAnsi="宋体" w:cs="宋体"/>
                <w:color w:val="000000" w:themeColor="text1"/>
                <w:szCs w:val="21"/>
                <w:highlight w:val="none"/>
                <w:shd w:val="clear" w:color="auto" w:fill="FFFFFF"/>
                <w14:textFill>
                  <w14:solidFill>
                    <w14:schemeClr w14:val="tx1"/>
                  </w14:solidFill>
                </w14:textFill>
              </w:rPr>
              <w:t>音响外观颜色:白色。</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w:t>
            </w:r>
          </w:p>
        </w:tc>
        <w:tc>
          <w:tcPr>
            <w:tcW w:w="8723" w:type="dxa"/>
            <w:gridSpan w:val="5"/>
            <w:vAlign w:val="center"/>
          </w:tcPr>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美容美体艺术理实一体化实训室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美容床</w:t>
            </w:r>
          </w:p>
        </w:tc>
        <w:tc>
          <w:tcPr>
            <w:tcW w:w="5234" w:type="dxa"/>
            <w:vAlign w:val="center"/>
          </w:tcPr>
          <w:p>
            <w:pPr>
              <w:jc w:val="left"/>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190cm*70cm*65cm，</w:t>
            </w:r>
            <w:r>
              <w:rPr>
                <w:rFonts w:hint="eastAsia" w:ascii="宋体" w:hAnsi="宋体" w:cs="宋体"/>
                <w:b w:val="0"/>
                <w:bCs w:val="0"/>
                <w:color w:val="000000" w:themeColor="text1"/>
                <w:szCs w:val="21"/>
                <w:highlight w:val="none"/>
                <w:shd w:val="clear" w:color="auto" w:fill="FFFFFF"/>
                <w14:textFill>
                  <w14:solidFill>
                    <w14:schemeClr w14:val="tx1"/>
                  </w14:solidFill>
                </w14:textFill>
              </w:rPr>
              <w:t>配一根不锈钢凳，美容床可升降15—90度，</w:t>
            </w:r>
            <w:r>
              <w:rPr>
                <w:rFonts w:hint="eastAsia" w:ascii="宋体" w:hAnsi="宋体" w:cs="宋体"/>
                <w:b w:val="0"/>
                <w:bCs w:val="0"/>
                <w:color w:val="000000" w:themeColor="text1"/>
                <w:szCs w:val="21"/>
                <w:highlight w:val="none"/>
                <w14:textFill>
                  <w14:solidFill>
                    <w14:schemeClr w14:val="tx1"/>
                  </w14:solidFill>
                </w14:textFill>
              </w:rPr>
              <w:t>配套美容床套及板凳套，床套颜色深蓝或晦涩外观。</w:t>
            </w:r>
          </w:p>
        </w:tc>
        <w:tc>
          <w:tcPr>
            <w:tcW w:w="510" w:type="dxa"/>
            <w:vAlign w:val="center"/>
          </w:tcPr>
          <w:p>
            <w:pPr>
              <w:jc w:val="center"/>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22</w:t>
            </w:r>
          </w:p>
        </w:tc>
        <w:tc>
          <w:tcPr>
            <w:tcW w:w="1104" w:type="dxa"/>
            <w:vAlign w:val="center"/>
          </w:tcPr>
          <w:p>
            <w:pPr>
              <w:jc w:val="center"/>
              <w:rPr>
                <w:rFonts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可移动高清电视</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1、显示技术：</w:t>
            </w:r>
            <w:r>
              <w:rPr>
                <w:rFonts w:hint="eastAsia" w:ascii="宋体" w:hAnsi="宋体" w:cs="宋体"/>
                <w:color w:val="000000" w:themeColor="text1"/>
                <w:szCs w:val="21"/>
                <w:highlight w:val="none"/>
                <w:shd w:val="clear" w:color="auto" w:fill="FFFFFF"/>
                <w14:textFill>
                  <w14:solidFill>
                    <w14:schemeClr w14:val="tx1"/>
                  </w14:solidFill>
                </w14:textFill>
              </w:rPr>
              <w:t>86英寸；</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2、LED背光源；</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3、显示比例:16:9﹔可视角度:≥178°；</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4、分辨率:≥3840×2160，显示性能达到UHD超高清点对点；</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5、亮度:≥390cd/m2，对比度:≥4000:1。</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配套推车</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高80cm,宽40cm，可分别收纳4-5层，原木色的木质结构或者钢配白色均可。</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消毒柜、清洗池（热水）、热水器等</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1、消毒柜：60cm*44cm*65cm；</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2、白或者黑色外观；清洗池：长100cm*40cm，不锈钢材质。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3、直排式</w:t>
            </w:r>
            <w:r>
              <w:rPr>
                <w:rFonts w:hint="eastAsia" w:ascii="宋体" w:hAnsi="宋体" w:cs="宋体"/>
                <w:color w:val="000000" w:themeColor="text1"/>
                <w:szCs w:val="21"/>
                <w:highlight w:val="none"/>
                <w:shd w:val="clear" w:color="auto" w:fill="FFFFFF"/>
                <w14:textFill>
                  <w14:solidFill>
                    <w14:schemeClr w14:val="tx1"/>
                  </w14:solidFill>
                </w14:textFill>
              </w:rPr>
              <w:t>热水器</w:t>
            </w:r>
            <w:r>
              <w:rPr>
                <w:rFonts w:hint="eastAsia" w:ascii="宋体" w:hAnsi="宋体" w:cs="宋体"/>
                <w:color w:val="000000" w:themeColor="text1"/>
                <w:szCs w:val="21"/>
                <w:highlight w:val="none"/>
                <w14:textFill>
                  <w14:solidFill>
                    <w14:schemeClr w14:val="tx1"/>
                  </w14:solidFill>
                </w14:textFill>
              </w:rPr>
              <w:t>，墙挂式</w:t>
            </w:r>
            <w:r>
              <w:rPr>
                <w:rFonts w:hint="eastAsia" w:ascii="宋体" w:hAnsi="宋体" w:cs="宋体"/>
                <w:color w:val="000000" w:themeColor="text1"/>
                <w:szCs w:val="21"/>
                <w:highlight w:val="none"/>
                <w:shd w:val="clear" w:color="auto" w:fill="FFFFFF"/>
                <w14:textFill>
                  <w14:solidFill>
                    <w14:schemeClr w14:val="tx1"/>
                  </w14:solidFill>
                </w14:textFill>
              </w:rPr>
              <w:t>，容量：20L。</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美容化妆环形LED灯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1、风格现代简约，长臂（长：23.5cm、宽18cm、高2.5cm）、可折叠，黑色外观，照射面积（15-30m2），底座稳固，开关智能触摸式；</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2、高度、亮度、色温可调节，带放大镜。</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230平米（M17+SC20*13）低音调节,支持低音调节，音箱控制遥控，理论功率100W以上频响范围60HZ-15KHZ。</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高80cm,宽60cm，可分别为2层，带电子密码锁，原木色北欧简约风。</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物品陈列及展示柜</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200cm*180cm*80cm，原色实木材质，北欧简约风。</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新风系统或中央空调</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满足150多个平方米的换气及制冷制暖，柜体主体部分不外露。</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08"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w:t>
            </w:r>
          </w:p>
        </w:tc>
        <w:tc>
          <w:tcPr>
            <w:tcW w:w="8723" w:type="dxa"/>
            <w:gridSpan w:val="5"/>
            <w:vAlign w:val="center"/>
          </w:tcPr>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化妆造型理实一体化实训室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电动背景</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6轴电动背景布，可挂篇幅6副，适应电压110-220v，承重量20kg，距离20米内遥控。</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套</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闪光灯</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产品净重≥2.6kg；闪光指数≥80；造型灯功率≥150W；闪光持续时间1/2000-1/800s</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柔光箱</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≥50*70cm，4角长方形，有收纳包，反光面料，双层柔光。</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灯架</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高度可调节；可以1.6米-2米，铝合金材质，承重≧5kg。</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引闪器</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TTL高速同步1/8000引闪器，多种闪光模式，无线快门，液晶屏，无线传输功能。</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相机脚架</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4节调节功能，合金材料，翻转功能，承重≧12kg，带云台，球形云台，高度1.6米以上。</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单反相机</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显示屏像素≥104万；支持静音连拍，最高约3张/秒；机身重量≥675g；电池类型为锂电池，WiFi功能，全高清视频，11点对焦。</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相机镜头</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伸缩式变焦方式；光圈叶片数≥8片；焦距范围24-105mm；≥3级IS手持防抖，恒定光圈，F4,镜头口径77mm。</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清洗池（热水）、热水器等</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20升的美容美发专用空气源热泵热水器、清洗池。</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单反相机干燥箱镜头防潮箱</w:t>
            </w:r>
          </w:p>
        </w:tc>
        <w:tc>
          <w:tcPr>
            <w:tcW w:w="5234" w:type="dxa"/>
            <w:vAlign w:val="center"/>
          </w:tcPr>
          <w:p>
            <w:pPr>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单反相机干燥箱镜头防潮箱净重不超过：8kg；</w:t>
            </w:r>
          </w:p>
          <w:p>
            <w:pPr>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容量：40L以上；</w:t>
            </w:r>
          </w:p>
          <w:p>
            <w:pPr>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最大功率：5W；</w:t>
            </w:r>
          </w:p>
          <w:p>
            <w:pPr>
              <w:jc w:val="left"/>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隔板：2块，含3张海绵垫；</w:t>
            </w:r>
          </w:p>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尺寸：290mmX320mmX490mm。</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储物柜</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250cm*180cm*80cm，原色实木材质，提供多层分格，可挂服装及摆放头饰、鞋子等的储物柜</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2</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展示柜</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高80cm,宽60cm，可分别为2层，原色实木材质。</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10</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1230"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新风系统或中央空调。</w:t>
            </w:r>
          </w:p>
        </w:tc>
        <w:tc>
          <w:tcPr>
            <w:tcW w:w="5234"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满足100多个平方米的换气及制冷制暖，柜体主体部分不外露。</w:t>
            </w:r>
          </w:p>
        </w:tc>
        <w:tc>
          <w:tcPr>
            <w:tcW w:w="510"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645" w:type="dxa"/>
            <w:vAlign w:val="center"/>
          </w:tcPr>
          <w:p>
            <w:pPr>
              <w:keepNext w:val="0"/>
              <w:keepLines w:val="0"/>
              <w:widowControl/>
              <w:suppressLineNumbers w:val="0"/>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104"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精品课程制作室设施设备采购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智慧黑板</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智慧互动黑板采用一体化设计，由三个部分拼接而成，整机前侧黑板均可书写板书，包含中间区域及两侧区域，便于老师完整书写教学内容，板书区域均支持普通粉笔、液体粉笔、水溶性粉笔书写；整个黑板结构须为无推拉式，可实现整块黑板在同一平面书写；智慧互动黑板产品所有核心驱动模块位于黑板中间区域，不允许采用分离式接线连接等设计方式，整机尺寸：宽≥4000mm ，高≥1270mm ，厚≤80mm；智慧互动黑板尺寸≥ 86英寸，对比度≥1400:1，亮度≥300cd/㎡，可视角度≥178°，物理分辨率：≥3840×2160。</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触控特性：手指轻触式≥10点互动体验；置USB接口全部支持Windows及Android双系统数据读取，方便数据共享操作；智慧互动黑板自带安卓系统，内存不低于2GB，存储不低于8GB；智慧互动黑板具有前置朝向音箱设计，高保质悬浮扬声器组合，整体功率：≥2*15W。3、能诊断功能：无需借助PC，可对触摸框、PC模块、光感系统等模块进行智能自检，对不同模块给出问题原因提示，诊断完成需要报修时可扫描二维码报修；智慧互动黑板产品为了适应不同身高老师的操作，可通过五指实现液晶屏显示窗口缩小下移，缩小后可以任意位置移动，并支持触摸、批注等操作，方便老师教学。内置模块化OPS：整机电脑架构，电脑厚度≤30mm；采用插拔式80pin模块架构，与大屏无单独接线；主板规格:支持无盘启动、网络唤醒、上电开机、看门狗等功能；处理器性能: CPU：Intel i5；内存≥DDR4 8G；硬盘≥256G 固态硬盘。</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智慧教室终端</w:t>
            </w:r>
          </w:p>
        </w:tc>
        <w:tc>
          <w:tcPr>
            <w:tcW w:w="5234" w:type="dxa"/>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内置无线路由模块，实现整个教室的WiFi覆盖；内置无线投屏模块，支持手机、PAD等设备投屏显示；内置高拍仪模块，1/3英寸CMOS镜头，分辨率≥2592×1944（500万像素），摄像头和支架折叠于终端一体机内部；内置OPS电脑模块，处理器不低于I5系列，8G及以上内存，256G及以上固态硬盘，2T储存硬盘；内置校园信息发布接收模块，可实时接收管理平台推送的音频、视频、文字、图片等多媒体信息；内嵌10英寸以上液晶触控屏；支持控制内置模块如OPS电脑、录播系统等设备的开关；支持控制外接设备如触控一体、投影的开关控制；具备权限管理模块，提供多种方式开启智慧教室终端，包括但不仅限于IC卡插卡、账号密码、手机APP扫码等方式；支持通过终端触摸屏一键预览录播画面，一键启停录制。支持教室环境集中控制，通过扩展物联网套件，可以实现对教室内灯光、窗帘、空调等环境设备的集中控制管理，支持手动控制和智能控制。</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▲2、支持笔记本电脑、OPS电脑、手机、远程教室等等投屏信号源同时接入，并可以在信号源之间一键切换；支持在中控界面和电脑桌面间任意切换。</w:t>
            </w:r>
            <w:r>
              <w:rPr>
                <w:rFonts w:hint="eastAsia" w:ascii="宋体" w:hAnsi="宋体" w:cs="宋体"/>
                <w:b/>
                <w:bCs/>
                <w:color w:val="000000" w:themeColor="text1"/>
                <w:szCs w:val="21"/>
                <w:highlight w:val="none"/>
                <w14:textFill>
                  <w14:solidFill>
                    <w14:schemeClr w14:val="tx1"/>
                  </w14:solidFill>
                </w14:textFill>
              </w:rPr>
              <w:t>（提供功能截图加盖供应商公章）</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▲3、内置录播系统，具备≥5路SDI输入接口、≥4路RJ-45网络接口、≥1路HDMI输入接口、≥2个HDMI输出接口；具备≥6路Mic音频输入接口。</w:t>
            </w:r>
            <w:r>
              <w:rPr>
                <w:rFonts w:hint="eastAsia" w:ascii="宋体" w:hAnsi="宋体" w:cs="宋体"/>
                <w:b/>
                <w:bCs/>
                <w:color w:val="000000" w:themeColor="text1"/>
                <w:szCs w:val="21"/>
                <w:highlight w:val="none"/>
                <w14:textFill>
                  <w14:solidFill>
                    <w14:schemeClr w14:val="tx1"/>
                  </w14:solidFill>
                </w14:textFill>
              </w:rPr>
              <w:t>（提供相关产品图片加盖供应商公章）</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▲4、内置数字音频处理模块，具备自适应背景降噪(ANS)、自动增益控制(AGC)，实现高清晰、高还原；内置回声消除（AEC）功能，互动过程中自动消除远端回声；支持网络远程调试。</w:t>
            </w:r>
            <w:r>
              <w:rPr>
                <w:rFonts w:hint="eastAsia" w:ascii="宋体" w:hAnsi="宋体" w:cs="宋体"/>
                <w:b/>
                <w:bCs/>
                <w:color w:val="000000" w:themeColor="text1"/>
                <w:szCs w:val="21"/>
                <w:highlight w:val="none"/>
                <w14:textFill>
                  <w14:solidFill>
                    <w14:schemeClr w14:val="tx1"/>
                  </w14:solidFill>
                </w14:textFill>
              </w:rPr>
              <w:t>（提供相关功能截图加盖供应商公章）</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智慧终端管理系统</w:t>
            </w:r>
          </w:p>
        </w:tc>
        <w:tc>
          <w:tcPr>
            <w:tcW w:w="5234" w:type="dxa"/>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1、功能要求：</w:t>
            </w:r>
            <w:r>
              <w:rPr>
                <w:rFonts w:hint="eastAsia" w:ascii="宋体" w:hAnsi="宋体" w:cs="宋体"/>
                <w:color w:val="000000" w:themeColor="text1"/>
                <w:szCs w:val="21"/>
                <w:highlight w:val="none"/>
                <w14:textFill>
                  <w14:solidFill>
                    <w14:schemeClr w14:val="tx1"/>
                  </w14:solidFill>
                </w14:textFill>
              </w:rPr>
              <w:t>支持可视化集中管控调度终端所有功能，具备多媒体视频切换、多屏互动控制、录播启停、互动拨号、物联控制等触控界面；管理员可远程统一开/关设备，统一修改无线网络信息，并可设置触控一体机或投影开关机串口码；支持在线巡课、在线教学督导；可形成教学大数据，记录老师使用设备时长，分析老师授课情况，学校使用设备情况，支持统一身份认证；内置视频会议功能模块，支持视频会议软、硬终端互联互通，兼容市场主流的视频会系统。</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2、远程互动教学：</w:t>
            </w:r>
            <w:r>
              <w:rPr>
                <w:rFonts w:hint="eastAsia" w:ascii="宋体" w:hAnsi="宋体" w:cs="宋体"/>
                <w:color w:val="000000" w:themeColor="text1"/>
                <w:szCs w:val="21"/>
                <w:highlight w:val="none"/>
                <w14:textFill>
                  <w14:solidFill>
                    <w14:schemeClr w14:val="tx1"/>
                  </w14:solidFill>
                </w14:textFill>
              </w:rPr>
              <w:t>采用标准H.323协议，支持高、中、低多码流功能，支持H.239双流功能，可直接与采用标准H.323协议的视频会议MCU、视频会议终端、PC、手机（平板电脑）终端APP、第三方互动录播系统等进行互联互通，支持多种终端的远程互动教学应用；通过触控液晶屏直接拨号可与其它互动教室进行音视频互动，不得使用IP地址拨号等不适应常态化教学的复杂呼叫方式；互动上课过程中，主讲教室和听课教室看到的远端画面是不同的画面布局：授课状态时，主讲老师看到的是远端多个听课教室的多分屏画面，所有听课教室学生看到的是主讲教室的单画面；在互动状态时，主讲老师看到的是互动听课教室的单画面，互动听课教室和其他听课教室看到的是主讲教室和互动听课教室的对话双分屏画面；支持快速选择虚拟互动教室，并“一键式”连接开启多点互动； 支持双流互动功能，支持所有接入点的视频与电脑信号同步双流输入输出；支持双流画面显示模式的选择：单显示器时画中画显示，双显示器时独立显示；支持双流画面的互相切换，单显示器下画中画的主画面和子画面可以随时互换，双显示器下两个独立画面可以随时互换；同屏板书互动：互动教学过程中，主讲教室电脑画面可以同步显示给所有听课教室，主讲教室老师和所有听课教室学生可以对该画面共同进行板书批注圈点，展开多方问答式板书教学；支持实时修改画笔尺寸与颜色，方便区分不同教室板书。</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录播系统</w:t>
            </w:r>
          </w:p>
        </w:tc>
        <w:tc>
          <w:tcPr>
            <w:tcW w:w="5234" w:type="dxa"/>
            <w:vAlign w:val="center"/>
          </w:tcPr>
          <w:p>
            <w:pPr>
              <w:numPr>
                <w:ilvl w:val="0"/>
                <w:numId w:val="3"/>
              </w:num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内置于智慧教室终端；具备在线直播、点播、录制、导播管理、设备控制、参数修改等功能，支持Linux、mac、Windows多操作系统访问，支持IE、谷歌、火狐等各版本浏览器访问；支持多种云台控制协议：要求支持PELCO-D、PELCO-P、VISCA等协议；要求平台支持RTP、RTSP、RTMP等音视频传输协议；录制模式支持本地电影模式、资源模式视频录制和课堂交互视频录制；多码流功能，各路输入视频以及导播视频均具备高、中、低多码流直播、点播和录制功能，在直播和点播时可按需要切换视频的清晰度，以适应不同带宽用户的观看需求；支持分辨率自适应功能，以适应老师中途更换课件信号源设备，自适应1920×1080以下任意分辨率。</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▲2、具有公网CDN直播推送，支持公网视频平台进行直播对接，支持平台数量≥3个。</w:t>
            </w:r>
            <w:r>
              <w:rPr>
                <w:rFonts w:hint="eastAsia" w:ascii="宋体" w:hAnsi="宋体" w:cs="宋体"/>
                <w:b/>
                <w:bCs/>
                <w:color w:val="000000" w:themeColor="text1"/>
                <w:szCs w:val="21"/>
                <w:highlight w:val="none"/>
                <w14:textFill>
                  <w14:solidFill>
                    <w14:schemeClr w14:val="tx1"/>
                  </w14:solidFill>
                </w14:textFill>
              </w:rPr>
              <w:t>（提供公网视频平台对接界面截图，并加盖供应商公章）</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教师、学生3D跟踪探测器</w:t>
            </w:r>
          </w:p>
        </w:tc>
        <w:tc>
          <w:tcPr>
            <w:tcW w:w="5234" w:type="dxa"/>
            <w:vAlign w:val="center"/>
          </w:tcPr>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▲1、要求传感器能够对可视范围内所有人物目标追踪，标定人物目标三维坐标。</w:t>
            </w:r>
            <w:r>
              <w:rPr>
                <w:rFonts w:hint="eastAsia" w:ascii="宋体" w:hAnsi="宋体" w:cs="宋体"/>
                <w:b/>
                <w:bCs/>
                <w:color w:val="000000" w:themeColor="text1"/>
                <w:szCs w:val="21"/>
                <w:highlight w:val="none"/>
                <w14:textFill>
                  <w14:solidFill>
                    <w14:schemeClr w14:val="tx1"/>
                  </w14:solidFill>
                </w14:textFill>
              </w:rPr>
              <w:t>（提供截图证明加盖</w:t>
            </w:r>
            <w:r>
              <w:rPr>
                <w:rFonts w:hint="eastAsia" w:ascii="宋体" w:hAnsi="宋体" w:cs="宋体"/>
                <w:b/>
                <w:bCs/>
                <w:color w:val="000000" w:themeColor="text1"/>
                <w:szCs w:val="21"/>
                <w:highlight w:val="none"/>
                <w:lang w:val="en-US" w:eastAsia="zh-CN"/>
                <w14:textFill>
                  <w14:solidFill>
                    <w14:schemeClr w14:val="tx1"/>
                  </w14:solidFill>
                </w14:textFill>
              </w:rPr>
              <w:t>供应商</w:t>
            </w:r>
            <w:r>
              <w:rPr>
                <w:rFonts w:hint="eastAsia" w:ascii="宋体" w:hAnsi="宋体" w:cs="宋体"/>
                <w:b/>
                <w:bCs/>
                <w:color w:val="000000" w:themeColor="text1"/>
                <w:szCs w:val="21"/>
                <w:highlight w:val="none"/>
                <w14:textFill>
                  <w14:solidFill>
                    <w14:schemeClr w14:val="tx1"/>
                  </w14:solidFill>
                </w14:textFill>
              </w:rPr>
              <w:t>公章）</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传感器内置视频摄像头和光学感应镜头，双目深度信息测量。静态像素130万，支持1280*720分辨率；传感深度范围：1.2-9.8米；接口：RS232，RJ45；网络协议：UDP、TCP；传感器内置定位检测智能算法，能独立使用，可根据教室长度和宽度进行灵活的组合；侦测内容需含人物高度、纵向距离和横向距离等数据；综合运用景深识别、视觉感知分析、面部识别分析等多种算法，准确定位目标。</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自动跟踪系统</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嵌入式全自动跟踪系统，无需另配置跟踪主机。采用图像识别主动跟踪技术，有较强的防干扰性，教师和学生无需佩戴任何辅助设备，也无需在学生触碰范围内安装辅助定位头；全自动录制时，具有合理的画面跟踪切换机制，能智能进行老师特写、老师全景、学生特写、学生全景、老师PPT课件的画面的自动切换。</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▲2、支持学生、老师身高自适应功能，系统能根据跟踪目标身高自动调整镜头，使目标头部始终处于画面最佳位置。</w:t>
            </w:r>
            <w:r>
              <w:rPr>
                <w:rFonts w:hint="eastAsia" w:ascii="宋体" w:hAnsi="宋体" w:cs="宋体"/>
                <w:b/>
                <w:bCs/>
                <w:color w:val="000000" w:themeColor="text1"/>
                <w:szCs w:val="21"/>
                <w:highlight w:val="none"/>
                <w14:textFill>
                  <w14:solidFill>
                    <w14:schemeClr w14:val="tx1"/>
                  </w14:solidFill>
                </w14:textFill>
              </w:rPr>
              <w:t>（提供相关功能截图加盖供应商公章）</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导播系统</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1、软件要求:</w:t>
            </w:r>
            <w:r>
              <w:rPr>
                <w:rFonts w:hint="eastAsia" w:ascii="宋体" w:hAnsi="宋体" w:cs="宋体"/>
                <w:color w:val="000000" w:themeColor="text1"/>
                <w:szCs w:val="21"/>
                <w:highlight w:val="none"/>
                <w14:textFill>
                  <w14:solidFill>
                    <w14:schemeClr w14:val="tx1"/>
                  </w14:solidFill>
                </w14:textFill>
              </w:rPr>
              <w:t>具备互动控制、录播控制、导播切换等功能；支持系统的直播预览、录制控制、手动导播切换和摄像机云台控制等功能；直播预览功能：教室内各摄像机视频和VGA信号与导播平板端同步，可以实时通过导播控制客户端进行直播预览观看；视频直播延时小于300ms；支持“一键式”录制启停功能，录制时长可选，并可追加录制时长；支持录制视频“片头、片尾”的添加；支持设置台标、字幕，并可修改显示位置，可根据需要编辑台标、字幕内容及修改其在输出视频中显示的位置、大小；导播画面布局设置，支持单画面、画中画等画面布局样式选择；支持摄像机控制功能，摄像机支持13个预置位的设置与调用、自定义变倍值的快速变倍；支持视频画面点击居中功能；支持云台转速自动或手动调节等功能，在自动模式下转动速度和摄像机镜头变倍自动调节到合适转动速度，实现云台的匀速转动，让录制内容平稳转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导播平板支持录制视频课件的预览观看，并支持拖动进度条从任意时刻开始播放；可进行视频文件的批量删除、单个删除、视频名称编辑等功能。</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2、硬件要求:</w:t>
            </w:r>
            <w:r>
              <w:rPr>
                <w:rFonts w:hint="eastAsia" w:ascii="宋体" w:hAnsi="宋体" w:cs="宋体"/>
                <w:color w:val="000000" w:themeColor="text1"/>
                <w:szCs w:val="21"/>
                <w:highlight w:val="none"/>
                <w14:textFill>
                  <w14:solidFill>
                    <w14:schemeClr w14:val="tx1"/>
                  </w14:solidFill>
                </w14:textFill>
              </w:rPr>
              <w:t>处理器：≥1.9GHz+1.3GHz（四核+四核）；显示屏：≥8英寸Super AMOLED；显示屏分辨率：≥2048x1536(QXGA)；系统内存:≥3GB,存储容量: ≥32GB,可扩展容量: ≥128GB；LAN：802.11a/b/g/n/ac2.4G+5GHz,VHT80MIMO；电池容量：≥4,000mAh。</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录播终端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1、传感器支持WDR（宽动态范围）；应用2D和基于运动估计的3D降噪算法；采用高精度步进电机以及精密电机驱动控制器，确保云台低速运行平稳，并且无噪声；</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视频格式：1080p/60向下兼容；输入输出接口：HD-SDI，1路DVI-D接口；传感器类型：1/2.8英寸CMOS传感器；传感器像素：总像素不低于214万；镜头焦距不低于12倍光学变焦；f＝3.9～46.8mm；视角：6.3°(窄角)～72.5°(广角)；信噪比：≥50dB；</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水平控制速度：0.1～120°/秒；俯仰控制速度：0.1～80°/秒；水平转动范围：±170°；垂直转动范围：-30°~+90°；Line in：3.5mm音频接口；支持协议：VISCA、Pelco-D、Pelco-P；支持倒装；支持网口版本升级。</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收音系统</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1、频率范围：40-18000 Hz；可隐藏式安装。</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支</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云直播互动服务</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云直播功能，支持多终端观看，与教学平台及APP对接，可在教学APP中定制直播间，同时直播时长、互动数据等均可统计到教学平台，实现无缝对接；支持扫码进入直播间，同时也支持观看地址连接加入直播间；具备直播管理行为，可设置云直播是否允许回放，是否允许评论，是否允许转发等功能。</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音频处理器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1、具备参数保存、参数恢复、恢复出厂设置等功能；</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二路平衡式凤凰接口话筒输入，二路非平衡话筒输入，一路无线话筒输入，一路USB型2.4G无线话筒输入；三组线路输入，一路定压广播信号输入；一组线路输出，一组录音输出，A+B组功率输出；话筒、线路的音量可独立调节并具有高低音2段均衡；凤凰接口话筒：话筒反馈消除能力：提升增益8-12dB，环境噪声消除能力：30dB（稳态噪声）；平衡式凤凰接口话筒输入端口具备+48V标准幻像，二路有线话筒具有环保麦克风插口带+48V幻像电源和供电开关；带有RS232接口，可实现电脑联机或中控控制；带有定压广播信号优先播放功能；保护功能：过流、过载、超温、DC保护等；</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3、具有高保真、高清晰、性能稳定可靠等特点。</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智慧课堂系统</w:t>
            </w:r>
          </w:p>
        </w:tc>
        <w:tc>
          <w:tcPr>
            <w:tcW w:w="5234" w:type="dxa"/>
            <w:vAlign w:val="center"/>
          </w:tcPr>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备课系统：</w:t>
            </w:r>
          </w:p>
          <w:p>
            <w:pPr>
              <w:numPr>
                <w:ilvl w:val="0"/>
                <w:numId w:val="4"/>
              </w:num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通过“选择模板、编辑课程信息、编辑课程章节”等几个简单的步骤，就可以快速地建设课程网站。提供多套精美网络课程建课模板，教师可进行个性化的设置，支持教师在建课程自动生成课程网站。开始建课前，可以选择按周、课时自动生成课程章节，快速创建课程章节目录。可以发布通告、课程资料、任务、教学资源链接、教师简介等信息。可以任意编写和设置课程的介绍、封面、教学要求、教师团队等等，并支持模块的添加、删除和位置调整，支持是否公开显示的设置，可以上传课程片花。课程负责人可指派其他人作为具有同等或者小于本身课程建设管理权限的课程建设者共建同一门课程，也可为自己指定助教辅助自己进行课程建设和教学管理。并且可以对助教的权限进行设置，比如，是否允许查看成绩、允许管理作业、允许管理考试、允许管理论坛、允许发布通知、允许管理课程设置等。教师可通过平台上传课程所需要的教材、参考书、参考文献、视频等资源。课程的内容建设，参考资料，课程介绍等任何位置都可以使用平台提供的图书、图片、视频的资源一键式搜索插入，插入的资源可以直接点击在线播放查阅，也支持自己上传资料，支持引用图书馆资源和联盟共享资源。支持课程教学流程管理，可在课程学习过程中任意位置添加随堂测验，可在单元学习完成后布置作业，可以在章节学习完成后安排考试。</w:t>
            </w:r>
          </w:p>
          <w:p>
            <w:pPr>
              <w:numPr>
                <w:ilvl w:val="0"/>
                <w:numId w:val="4"/>
              </w:num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课程单元内容建设采用富媒体编辑器，编辑器包含视频、文档、图片、音频、图书、公式、符号、附件、网页、动画等常用组件；支持直接将从word中将内容复制粘贴到富媒体编辑器内，并完整保留里面的文字和图片等内容；支持rmvb、3gp、mpg、mpeg、mov、wmv、avi、mkv、mp4、flv、vob、f4v等高清和网络格式视频上传，视频上传后自动转码，无需下载可以直接在线进行播放；支持多种文档格式的上传，包括DOC、PPT、PDF、XLS等，上传后自动转码，无需下载可以直接在线阅读；支持将资源先批量上传至个人云盘中，然后在课程中引用。</w:t>
            </w:r>
            <w:r>
              <w:rPr>
                <w:rFonts w:hint="eastAsia" w:ascii="宋体" w:hAnsi="宋体" w:cs="宋体"/>
                <w:b/>
                <w:bCs/>
                <w:color w:val="000000" w:themeColor="text1"/>
                <w:szCs w:val="21"/>
                <w:highlight w:val="none"/>
                <w14:textFill>
                  <w14:solidFill>
                    <w14:schemeClr w14:val="tx1"/>
                  </w14:solidFill>
                </w14:textFill>
              </w:rPr>
              <w:t>（此条需演示）</w:t>
            </w:r>
          </w:p>
          <w:p>
            <w:pPr>
              <w:numPr>
                <w:ilvl w:val="0"/>
                <w:numId w:val="4"/>
              </w:num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支持视频的虚拟剪辑，可以将视频文件按照课程的要求剪辑成适当长度；提供可视化的公式编辑器，可以在线进行公式的录入与编辑；支持在线录音功能，录完的声音可以直接在线播放；知识点拓展阅读功能，可以根据一个关键词自动生成相关知识点的知识树，插入到课程单元中，并自动推送知识点相关的图书、期刊、论文等资料；支持课程管理，设置试读范围、设置学生导航栏目、克隆与映射课程等；提供课程编辑的详细操作日志和学生退课日志；教师可以在系统中将学生的学习成绩导出，提取成绩达标的学生ID，并为其发放学习证书，学生可以将学习证书下载并打印。</w:t>
            </w:r>
            <w:r>
              <w:rPr>
                <w:rFonts w:hint="eastAsia" w:ascii="宋体" w:hAnsi="宋体" w:cs="宋体"/>
                <w:b/>
                <w:bCs/>
                <w:color w:val="000000" w:themeColor="text1"/>
                <w:szCs w:val="21"/>
                <w:highlight w:val="none"/>
                <w14:textFill>
                  <w14:solidFill>
                    <w14:schemeClr w14:val="tx1"/>
                  </w14:solidFill>
                </w14:textFill>
              </w:rPr>
              <w:t>（此条需演示）</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支持视频中任意时间点插入测验：上传视频后，可以在任意时间点插入测试题，包含单选题、多选题和对错题；支持视频中任意时间点插入图片或PPT：可以在任意时间点插入图片或PPT，同时支持对插入的内容在时间轴上随意拖动。插入的PPT可以任意拖动位置。</w:t>
            </w:r>
            <w:r>
              <w:rPr>
                <w:rFonts w:hint="eastAsia" w:ascii="宋体" w:hAnsi="宋体" w:cs="宋体"/>
                <w:b/>
                <w:bCs/>
                <w:color w:val="000000" w:themeColor="text1"/>
                <w:szCs w:val="21"/>
                <w:highlight w:val="none"/>
                <w14:textFill>
                  <w14:solidFill>
                    <w14:schemeClr w14:val="tx1"/>
                  </w14:solidFill>
                </w14:textFill>
              </w:rPr>
              <w:t>（此条需演示）</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无缝对接海量资源，教师在使用备课系统平台进行课程建设、备课、授课过程中随时可以搜索、引用、无缝插入备课资源库中的资源，全面辅助教师教学和学生学习。需包含以下资源：电子书。可以进行在线阅读，可以进行文字摘录;学术视频，需支持视频检索及一键式插入建课内容，视频需包含名校、名师的课程视频及讲座，可以在线进行播放；电子书和学术视频要求必须取得著作权人的授权，没有版权问题。（提供至少10份著作权授权书复印件）。</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资源调用：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◆6、课程资源：可实现与备课系统中课程的对接，包含课程章节内容、作业模块、考试模块、学生管理等内容。支持教师在课堂中，随时调用备课系统中事先准备好的内容，实现课前、课中、课后的连贯性。</w:t>
            </w:r>
            <w:r>
              <w:rPr>
                <w:rFonts w:hint="eastAsia" w:ascii="宋体" w:hAnsi="宋体" w:cs="宋体"/>
                <w:b/>
                <w:bCs/>
                <w:color w:val="000000" w:themeColor="text1"/>
                <w:szCs w:val="21"/>
                <w:highlight w:val="none"/>
                <w14:textFill>
                  <w14:solidFill>
                    <w14:schemeClr w14:val="tx1"/>
                  </w14:solidFill>
                </w14:textFill>
              </w:rPr>
              <w:t>（此条需演示）</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可实现与备课系统中课程资料的对接，支持教师课前在备课系统或移动端准备的资料直接在课堂上使用；可实现与备课系统中课程教案的对接，支持教师课前在备课系统或移动端准备的教案直接在课堂上使用；可以实现与教师云盘对接，可以随时调用云盘内容，支持云盘资源的在线查看、下载、发放等操作；支持将云盘中PPT文件直接点击上课使用；支持直接调用本地文件进行发放。</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教学互动：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支持教师通过软件系统发起普通签到、手势签到、位置签到、二维码签到等多种签到方式功能，学生通过笔记本、PAD或移动端进行签到，学生端确认签到之后，教师端可以在主屏幕实时查看学生的签到情况，同时记录签到信息，汇总到平台中，支持教师手动修改学生出勤状态；支持教师发起随机选人，屏幕上快速滚动学生的头像信息，最终定格在某一位学生，教师可以选择他起来回答，根据回答的情况进行打分，也可以继续选人，学生获得的分值将统计到智慧教学系统学生个人成绩中；支持教师发起抢答，教师可以看到所有学生的抢答情况，并可按排名选择某位学生回答问题，每一次抢答教师都可以根据学生回答情况进行相应打分；支持教师发起主题讨论，学生端收到讨论点击进行发表自己的看法，支持文字、图片等方式上传，学生端提交讨论后，教室主屏按提交顺序以不同颜色一一列举学生提交的内容，讨论完后，教师可点击词云进行分析本次讨论的高频词；支持教师发起投票，投票结果可实时呈现。查看选项选择人员，点击头像给学生进行打分；支持教师发起评分，学生与学生之间的互评，小组评分，以及学生的自评，教师点击评分口述本次评分的对象及题目，点击开始则发放评分，学生相应的就会接收到教师的发放的评分，学生可以进行打分，写评语。学生参与评分后，教师可以查看总的平均分及已评分的人数和未评分的人数；支持与备课系统题库对接，教师从题库中选择一道题目进行随堂问答，也可选择多道题或已准备试卷进行随堂测验，教师端可随时看到学生的提交情况，以及测验中学生每个题目的作答情况。</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多屏互动：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支持电子白板功能，教师点击板书标签，则进入白板模式出现白板菜单栏，功能菜单依次是设置画笔的粗细，设置画笔颜色、重置内容、设置背景颜色、导入图片做背景、保存图片、退出画板；支持画笔功能，实现对教室主屏画面的圈点、批注等功能；支持在网络条件允许的情况下，不限制教室侧屏接入，不限制学生端接入。</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教师共享：支持把教室主屏显示画面共享给学生端（PC、平板或手机）；在多屏模式下，支持把教室主屏共享给任意一个或多个教室侧屏，支持在单独共享给某个侧屏时，可以追加显示共享给多个侧屏，支持同时共享给教室侧屏和学生端。</w:t>
            </w:r>
            <w:r>
              <w:rPr>
                <w:rFonts w:hint="eastAsia" w:ascii="宋体" w:hAnsi="宋体" w:cs="宋体"/>
                <w:b/>
                <w:bCs/>
                <w:color w:val="000000" w:themeColor="text1"/>
                <w:szCs w:val="21"/>
                <w:highlight w:val="none"/>
                <w14:textFill>
                  <w14:solidFill>
                    <w14:schemeClr w14:val="tx1"/>
                  </w14:solidFill>
                </w14:textFill>
              </w:rPr>
              <w:t>（需提供截图证明加盖软件供应商公章）</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▲11、学生展示：支持将学生端的画面同步显示到教室主屏，点击学生展示,选择要展示的学生,学生端点击开始投屏后，教师的屏幕展示当前学生端的屏幕画面。</w:t>
            </w:r>
            <w:r>
              <w:rPr>
                <w:rFonts w:hint="eastAsia" w:ascii="宋体" w:hAnsi="宋体" w:cs="宋体"/>
                <w:b/>
                <w:bCs/>
                <w:color w:val="000000" w:themeColor="text1"/>
                <w:szCs w:val="21"/>
                <w:highlight w:val="none"/>
                <w14:textFill>
                  <w14:solidFill>
                    <w14:schemeClr w14:val="tx1"/>
                  </w14:solidFill>
                </w14:textFill>
              </w:rPr>
              <w:t>（需提供截图证明加盖软件供应商公章）</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▲12、侧屏展示：支持将正在显示内容的侧屏画面共享给教室主屏，教师通过操作智慧课堂教师端选取任意一个侧屏，即可将侧屏显示内容共享到教室主屏，实现侧屏展示。</w:t>
            </w:r>
            <w:r>
              <w:rPr>
                <w:rFonts w:hint="eastAsia" w:ascii="宋体" w:hAnsi="宋体" w:cs="宋体"/>
                <w:b/>
                <w:bCs/>
                <w:color w:val="000000" w:themeColor="text1"/>
                <w:szCs w:val="21"/>
                <w:highlight w:val="none"/>
                <w14:textFill>
                  <w14:solidFill>
                    <w14:schemeClr w14:val="tx1"/>
                  </w14:solidFill>
                </w14:textFill>
              </w:rPr>
              <w:t>（需提供截图证明加盖软件供应商公章）</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课堂管理：</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支持对教室侧屏进行设置，可设置指定小组能投哪个侧屏，未被设置的小组则点击投屏时，不展示侧屏信息，防止学生乱投屏，点击侧屏设置，系统自动搜索当前教室的侧屏IP，并显示出来，点击选择小组，系统根据分组信息弹出当前所有的小组，教师根据侧屏选中小组，来进行设置当前侧屏哪个小组能投屏；当学生使用PC或平板的时候，可以实时查看在线学生和离线学生的人数；支持将班级成员分成若干个固定班组，基于班组可发放小组任务让小组协同完成及根据小组设置课堂侧屏信息；支持活动库功能，可以实时记录、回顾当前课程教师通过智慧课堂教师端发起的所有课堂活动；支持扫二维码加入班级功能，点击班级码，支持通过移动端、微信扫码进班；支持课堂报告，老师在上课过程中，所有的教学活动都可在课堂中展示，并记录下来，生成每堂课的课堂报告，包括课堂表现得分、签到情况、课堂活动回顾等；教师端点击下课，教师端则退出到登录界面。</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14、手机投屏：支持手机投屏功能且不局限于同一网络，不需要使用数据线或其他投屏设备，教室主屏无需再次下载任何软件，即可实现手机投屏，且不受外界通讯影响，支持通过手机端投屏功能把PPT直接在投屏上播放，PPT投屏演示保留动画效果，播放流畅，手机可以作为翻页笔使用同时具备聚光灯等效果；支持通过手机端投屏功能把课程相关图片、视频、音频等资源直接在投屏上展示、播放，无需任何外部设备；支持通过手机端投屏功能，对上课PPT进行画笔标注，同时在投屏端同步展示画笔标注内容。支持速课录制，教师在投屏上课时，开启速课功能，系统自动录制教师上课PPT及语音，学生在另一教室内或其他地点，可通过同步课堂码在电脑端或手机端轻松听课，课程结束后形成课程教学内容实录，直接保存于课程资源中。</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智慧课堂侧屏端：</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15、采用客户端安装包的形式，安装到教室侧屏；支持安卓设备通过扫码将屏幕镜像投屏显示到教室侧屏；支持IOS、PC设备通过镜像直接显示到教室侧屏；支持接收教室主屏的共享屏幕画面。</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智慧课堂移动端：</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具有移动客户端，支持iOS和Android操作系统，用于手机、Pad等智能移动终端中，实现在线移动学习；PC端与移动端的学习进度保持同步，学生在任何终端上，都可以实现学习记录的持续性，系统也可对任何终端的学习行为进行监控；可在移动端组织教学内容，有序安排资料推送、签到、问答、抢答、投票等教学活动，可实现互动内容课堂发放并复用；教师可以发布课堂签到，学生直接用手机通过扫描二维码、或输入教师分享的邀请码等方式进行签到，显示距离发起者的签到距离；教师可以在课堂上发布问题，通过抢答进行提问，学生同时在手机收到抢答请求进行抢答；教师可通过随机选人功能选择学生回答问题，并可以将选择结果投屏显示；教师可以在课堂上实时发布调查问卷，学生通过移动端进行投票，教师端可以立即统计投票结果；可基于课程形成师生互动交流群，实时进行即时通讯，进行讨论与交流；教师可以编辑问答题并可将题目发布到学生端，学生可以回答问题并提交，教师可以实时查看学生提交结果；.教师和学生可以开展话题讨论，利用发帖形式进行小组话题交流；教师在课前对资料进行云盘存储，课堂上可以利用云盘功能选择和自己课程相关的资料进行资料推送，推送完成后参与教学的学生和教师都可以查看资料的详细内容；在线课程的学习、做作业、考试，讨论、答疑等支持闯关模式学习，视频防拖拽、防窗口切换、防跳集等学习监控；学生的课堂签到情况、课堂表现等都以积分形式形成评价，可转换为平时成绩；在线课程的学习同时记录作业成绩、考试成绩、按照老师设计的成绩权重给出综合评价。</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移动端可以阅读海量电子图书、报纸、期刊、专题等资源，可以订阅到自己的空间，并进行分类管理；可以对所有精彩的内容进行分享；基于真实身份、课程、读书等学习行为及学生活动的社交互动，形成趣味式的成长花瓣，引发学习激励，包括：小组、私有笔记、共享笔记、阅读时间等；可以按照组织架构建立通讯录，可查看组织内所有人的联系方式，也可以根据实际情况进行个人信息适当范围的私密保护设置；教务通知、教师课程通知、小组通知、个人互相通知的即时消息任意组合设置，实时发送，实时接收，并可查看通知阅读状态，已读和未读名单，教师、学生都可以进行实时的学习通知、组建小组群聊（也可设置屏蔽提醒）、好友验证等即时通信。</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18、支持手机端、电脑端发起视频直播，学生可以通过手机观看直播并留言；支持移动端监考，教师发布考试后，可在移动端在线监控学生切出考试页面的次数和时间，并且有权强制收卷中止学生的作弊行为。</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▲19、课堂结束后，可以将所有课堂上发布的控件进行记录，生成课堂历史记录。能实时查看任一活动的详细参与情况。</w:t>
            </w:r>
            <w:r>
              <w:rPr>
                <w:rFonts w:hint="eastAsia" w:ascii="宋体" w:hAnsi="宋体" w:cs="宋体"/>
                <w:b/>
                <w:bCs/>
                <w:color w:val="000000" w:themeColor="text1"/>
                <w:szCs w:val="21"/>
                <w:highlight w:val="none"/>
                <w14:textFill>
                  <w14:solidFill>
                    <w14:schemeClr w14:val="tx1"/>
                  </w14:solidFill>
                </w14:textFill>
              </w:rPr>
              <w:t>（需提供截图证明加盖</w:t>
            </w:r>
            <w:r>
              <w:rPr>
                <w:rFonts w:hint="eastAsia" w:ascii="宋体" w:hAnsi="宋体" w:cs="宋体"/>
                <w:b/>
                <w:bCs/>
                <w:color w:val="000000" w:themeColor="text1"/>
                <w:szCs w:val="21"/>
                <w:highlight w:val="none"/>
                <w:lang w:val="en-US" w:eastAsia="zh-CN"/>
                <w14:textFill>
                  <w14:solidFill>
                    <w14:schemeClr w14:val="tx1"/>
                  </w14:solidFill>
                </w14:textFill>
              </w:rPr>
              <w:t>软件</w:t>
            </w:r>
            <w:r>
              <w:rPr>
                <w:rFonts w:hint="eastAsia" w:ascii="宋体" w:hAnsi="宋体" w:cs="宋体"/>
                <w:b/>
                <w:bCs/>
                <w:color w:val="000000" w:themeColor="text1"/>
                <w:szCs w:val="21"/>
                <w:highlight w:val="none"/>
                <w14:textFill>
                  <w14:solidFill>
                    <w14:schemeClr w14:val="tx1"/>
                  </w14:solidFill>
                </w14:textFill>
              </w:rPr>
              <w:t>供应商公章）</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无线控制终端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1、鼠标规格：分辨率：≤3000dpi；</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2、键盘规格：89-108键。</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智慧无线AP</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1、企业级无线路由器；同时连接数支持&gt;60个终端；</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传输速率：单射频卡最大提供1300Mbps和1300Mbps接入速率，整机最大提供2600Mbps接入速率；接收灵敏度：11b：-96dBm(1Mbps)，-91dBm(5Mbps)，-89dBm(11Mbps)；11a/g：-91dBm（6Mbps），-83dBm（24Mbps），-79dBm（36Mbps），-74dBm（54Mbps）；11n：-88dBm@MCS0，-70dBm@MCS7；-85dBm@MCS8，-67dBm@MCS15；11ac HT20：-88dBm（MCS0）, -63dBm（MCS9）；11ac HT40：-85dBm（MCS0）, -60dBm（MCS9）；11ac HT80：-82dBm（MCS0）, -57dBm（MCS9）；支持PoE+ 以太网供电（802.3at，30W标准）。</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企业级VPN路由器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1、LAN输出口：千兆网口；WAN接入口：千兆网口；</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2、机身材质工艺：金属机身；</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3、企业VPN：支持；8口PoE供电。</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交换机</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1、16口千兆交换机，用于教室网络搭建。</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电源时序器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整机额定输入：220V/30A；每通道额定输出：220V/10A；工作电压：180V-240V/50-60Hz；两台机器可以进行联机控制，从而扩展为16路时序电源；输出采用8个万用插座，方便各种插头插入；面板带USB灯插口及RS232控制接口；带过流和短路保护功能；时序控制路数：8路；单路额定输出电流：10A；插座模式：8个万用电源插座；时序开关频率：1秒/步；时序通道独立开关功能：按下相应通道键实现；时序联机控制：两端为6.35三芯插头信号线作联机控制线。</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电动窗帘滑轨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1、远程控制、智能联动，静音机芯。</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窗帘</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1、窗帘材质及尺寸根据实际需求进行定制。</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学生定制控制平板</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1.操作系统：Android  8.1及以上；系统内存：LPDDR3 3GB及以上；存储容量：32GB及以上；分辨率：1920x1200；存储扩展：支持Micro SD（TF）卡，最大支持128GB及以上；屏幕尺寸：≥10.1英寸, 全高清IPS屏幕，10点触控；网络：支持802.11a/b/g/n/ac无线协议；</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8.蓝牙：支持，蓝牙BT4.2；摄像头：后置800万像素自动对焦/前置500万像素定焦摄像头；</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多媒体功能：杜比全景声，麦克风内置麦克风，视频播放支持播放1080P视频，视频录制支持录制1080P视频；格式支持：音频格式支持MP3等格式，视频格式支持MP4等格式，图片格式支持JPEG，GIF，BMP格式，文本格式支持TXT等格式；按键/接口：数据接口Micro-USB2.0，音频接口3.5mm耳机接口，其他接口电源接口，存储卡接口，功能按键开关按键，音量按键；GPS导航：内置GPS导航，GLONASS导航，北斗导航；内置感应：重力感应器、霍尔感应器、光线感应器、振动马达、指纹识别；</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3、定制版专用学生pad，开机预装智慧课堂系统教学软件，只保留与学习相关的软件系统。</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智能充电桩</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1、可提供不低于48台平板电脑同时管理储存和USB端口充电，带刹车及万向轮。</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交互软件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1、支持课堂互动、资料回顾、同步课件，不需借助任何外接设备。</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w:t>
            </w:r>
          </w:p>
        </w:tc>
        <w:tc>
          <w:tcPr>
            <w:tcW w:w="1230" w:type="dxa"/>
            <w:vAlign w:val="center"/>
          </w:tcPr>
          <w:p>
            <w:pPr>
              <w:widowControl/>
              <w:jc w:val="left"/>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音箱</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1、输入接口：压缩接线柱；吊挂点：背部安装吊挂支架。</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扩音吊麦</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1、抗手机等电磁脉冲干扰；平衡输出；类型:ECM；指向性：心形指向；结构：枪式。</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支</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互动教学桌椅</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1、每套包含6人位桌椅，6组拼成一套；</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2、椅子可移动，结实舒适。</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104"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26</w:t>
            </w:r>
          </w:p>
        </w:tc>
        <w:tc>
          <w:tcPr>
            <w:tcW w:w="1230" w:type="dxa"/>
            <w:vAlign w:val="center"/>
          </w:tcPr>
          <w:p>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多媒体讲桌</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1、采用上下分体式结构，总体尺寸：不低于长1000mm*宽700mm*高1000mm；</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2、主体采用冷轧钢板，可安装17-21寸显示器，键盘，鼠标，下体可安装：可调节隔层。</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旅游专业多功能训练室设施设备采购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机柜</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1、钢制，1250*600*600网络机柜。</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widowControl/>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单10寸音响</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1、单元配置高音，二分频，功率:280W（烤漆箱体）。</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2、（M17+SC20*13）低音调节；</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3、支持低音调节，音箱控制遥控，理论功率100W以上频响范围60HZ-15KHZ。</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卡包功放</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1铝合金面板，AB类放大电路，采用高效混响芯片，大显示屏显示，带USB/SD/蓝牙、话筒输入，提供A/USB和B两组立体声输入通道，后板设断开扬声器开关，另设3.5耳塞座，方便联接。</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widowControl/>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电源时序器</w:t>
            </w:r>
          </w:p>
        </w:tc>
        <w:tc>
          <w:tcPr>
            <w:tcW w:w="5234" w:type="dxa"/>
            <w:vAlign w:val="center"/>
          </w:tcPr>
          <w:p>
            <w:pPr>
              <w:widowControl/>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1、电源通道数目88位，最大输入电流80A，单路最大输出电流30A，单路额定输出功率3KW。后面板输出电源插座、8位16A受控万用插座，空气开关，电源总控制，带电源电压显示，遥控开关机。</w:t>
            </w:r>
          </w:p>
          <w:p>
            <w:pPr>
              <w:widowControl/>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2、电源通道数目88位，最大输入电流80A，单路最大输出电流30A，单路额定输出功率3KW。后面板输出电源插座、8位16A受控万用插座，空气开关，电源总控制，带电源电压显示，遥控开关机。</w:t>
            </w:r>
          </w:p>
        </w:tc>
        <w:tc>
          <w:tcPr>
            <w:tcW w:w="510" w:type="dxa"/>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音响挂架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钢制、加强型。</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付</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音箱线材</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纯铜、300芯。</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米</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移动白板</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120cm*90cm，可移动。</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壁挂式音响</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一拖二话筒；功率：20W，输出功率：20w。</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劳动体验中心设施设备采购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移动白板</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120cm*90cm，可移动。</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实训桌椅</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木质长条桌120cm*40cm*75cm，带轮子，可折叠可拼接，一桌配2椅，方便重叠收纳。</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一拖二，含话筒。</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收纳整理箱</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塑料，72cm*52cm*43cm。</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置物架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冷扎钢，1.5*0.5*2.0米。</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收纳袋</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无纺布，75升、105升等规格，拉链式、手提式。</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行李箱</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材质：ABS+PC,带密码锁，大、中、小各两套（20英寸，24英寸，28英寸）。</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衣架、裤架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塑料衣架10个一组、木质衣架10个一组、木质裤架5个一组。</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物料、衣物</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用于收纳整理，不限质量：</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1、棉质衬衣男女大号5套；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2、聚酯纤维男女衬衣大号各5件；</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3、涤纶裤子男女大号5套；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4、牛仔裤男女款大号各5件；</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5、羽绒服女款5件；</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6、运动服套装女款3套；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7、毛衣男女款各5件；</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8、袜子男女款各10双；</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9、仿丝质女士裙子大号5条；</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10、童装100公分棉外套5套、春秋款运动服5套、羽绒服5件。</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物料、书籍、玩具</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1、儿童塑料428颗粒积木2套，儿童35件套厨房玩具共2套；儿童玩具机器人、工程车系列共5套；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2、要求玩具质量过关，无毒无害。</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物料、餐厨用具</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1、不锈钢厨具锅铲等7件套1套；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2、厨房炊具三件套（奶锅、炒锅、煎锅）1套；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3、厨房碗碟10件套2套；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4、厨房桌面收纳置物架1个；厨房调味盒1个；</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30"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收纳其他小工具、用品</w:t>
            </w:r>
          </w:p>
        </w:tc>
        <w:tc>
          <w:tcPr>
            <w:tcW w:w="5234" w:type="dxa"/>
            <w:vAlign w:val="center"/>
          </w:tcPr>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1、塑料晾衣夹子24只装2套；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2、免打孔挂钩排钩2组、单个装挂钩20个；</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3、旅行收纳袋衣服收纳袋，塑料，小中大一套共5套；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4、棉被收纳袋小中大一套共2套，含真空泵；</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5、牛津布收纳箱小中大一套共5套；</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6、塑料抽屉式收纳箱，28升3个装5个</w:t>
            </w:r>
          </w:p>
          <w:p>
            <w:pPr>
              <w:jc w:val="left"/>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7、塑料收纳箱60升、80升，各3个</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五</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双桂校区心理健康咨询室设施设备采购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便携式办公投影器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16G内存，4K超清，带蓝牙功能，手机投屏，带VGA+高清输入。</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心健室制度、知识图片</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40cm*60cm压力板，上墙。</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落地灯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夜光黑+5w（三档调光）。</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双桂校区创客中心设施设备采购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白板</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1、H型支架白板；</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2、尺寸要求：150cm×90cm；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3、移动方式：滚轮（带刹车）；</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4、调节方式：翻转+上下；</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5、可用面板：双面；</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6、面板结构：双面磁吸式；</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7、支架材料：金属烤漆。</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液晶电视落地支架</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1、移动式电视挂架；</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2、适用电视尺寸：55~80英寸；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3、承重：≧150kg；</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4、适用电视孔距：800x500范围内（横向x纵向）；</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5、调节方式：上下调节；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6、材质：冷轧板+喷涂；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7、移动方式：滚轮。</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微单套机1</w:t>
            </w:r>
          </w:p>
        </w:tc>
        <w:tc>
          <w:tcPr>
            <w:tcW w:w="5234" w:type="dxa"/>
            <w:vAlign w:val="center"/>
          </w:tcPr>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微单机身+镜头</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1、机身：</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1.全画幅无反微单机身；</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2.传感器类型：CMOS；</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3.有效像素：≥2000万对焦系统,全像素双核CMOS；</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4.机身5轴防抖；4K超高清视频拍摄；</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5.接口包括HDMI，WIFI，蓝牙；</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6.液晶尺寸：≥3mm，触摸屏；</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7.电子取景器；</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8.高速连拍：≥10张/秒；</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9.存储介支持SD卡、SDHC卡、SDXC卡；</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10.使用可充电锂离子电池，支持外接电源；</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11.内置WIFI；</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12.上市时间2020年7月以后。</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2、镜头：</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适配机身；支持防抖；焦段24-70mm；最大光圈F4；支持自动对焦；滤镜直径82mm；远射变焦；全画幅。</w:t>
            </w:r>
          </w:p>
        </w:tc>
        <w:tc>
          <w:tcPr>
            <w:tcW w:w="510"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微单套机4</w:t>
            </w:r>
          </w:p>
        </w:tc>
        <w:tc>
          <w:tcPr>
            <w:tcW w:w="5234" w:type="dxa"/>
            <w:vAlign w:val="center"/>
          </w:tcPr>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微单机身+镜头</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1、机身：</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1.半画幅机身；</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2.传感器类型：CMOS，有效像素≥2000万；</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3.接口HDMI；</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4.液晶尺寸：≥3英寸，触摸屏；</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5.光学取景器；</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6.高速连拍≥4张/秒；存储介支持SD卡、SDHC卡、SDXC卡；</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7.使用可充电锂离子电池。</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2、镜头：</w:t>
            </w:r>
          </w:p>
          <w:p>
            <w:pPr>
              <w:jc w:val="left"/>
              <w:textAlignment w:val="baseline"/>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适配机身；焦段18-135mm，F3.5-5.6；支持自动对焦；远摄变焦。</w:t>
            </w:r>
          </w:p>
        </w:tc>
        <w:tc>
          <w:tcPr>
            <w:tcW w:w="510"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5</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图形图像处理工作站1</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1、一体式电脑主机</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Intel平台；CPU不低于第十代智能英特酷睿i5处理器,核心数≥6，主频≥</w:t>
            </w:r>
            <w:r>
              <w:rPr>
                <w:rFonts w:ascii="宋体" w:hAnsi="宋体" w:cs="宋体"/>
                <w:color w:val="000000" w:themeColor="text1"/>
                <w:szCs w:val="21"/>
                <w:highlight w:val="none"/>
                <w:shd w:val="clear" w:color="auto" w:fill="FFFFFF"/>
                <w14:textFill>
                  <w14:solidFill>
                    <w14:schemeClr w14:val="tx1"/>
                  </w14:solidFill>
                </w14:textFill>
              </w:rPr>
              <w:t>2.8</w:t>
            </w:r>
            <w:r>
              <w:rPr>
                <w:rFonts w:hint="eastAsia" w:ascii="宋体" w:hAnsi="宋体" w:cs="宋体"/>
                <w:color w:val="000000" w:themeColor="text1"/>
                <w:szCs w:val="21"/>
                <w:highlight w:val="none"/>
                <w:shd w:val="clear" w:color="auto" w:fill="FFFFFF"/>
                <w14:textFill>
                  <w14:solidFill>
                    <w14:schemeClr w14:val="tx1"/>
                  </w14:solidFill>
                </w14:textFill>
              </w:rPr>
              <w:t>GHz;独立显卡，显存容量≥4GB；内存容量≥8GB；固态硬盘，容量≥256GB；屏幕尺寸≥27英寸，适用设计制图视频剪辑；USB-A接口数≥4，SDXC卡插槽数≥1，3.5mm耳机接口数≥1，千兆以太网端口数≥1。</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2、本机原装鼠标键盘套装。</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6</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引闪器</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1、兼容相机：佳能、尼康</w:t>
            </w:r>
            <w:r>
              <w:rPr>
                <w:rFonts w:hint="eastAsia" w:ascii="宋体" w:hAnsi="宋体" w:cs="宋体"/>
                <w:color w:val="000000" w:themeColor="text1"/>
                <w:szCs w:val="21"/>
                <w:highlight w:val="none"/>
                <w14:textFill>
                  <w14:solidFill>
                    <w14:schemeClr w14:val="tx1"/>
                  </w14:solidFill>
                </w14:textFill>
              </w:rPr>
              <w:t>等市场相机</w:t>
            </w:r>
            <w:r>
              <w:rPr>
                <w:rFonts w:hint="eastAsia" w:ascii="宋体" w:hAnsi="宋体" w:cs="宋体"/>
                <w:color w:val="000000" w:themeColor="text1"/>
                <w:szCs w:val="21"/>
                <w:highlight w:val="none"/>
                <w:shd w:val="clear" w:color="auto" w:fill="FFFFFF"/>
                <w14:textFill>
                  <w14:solidFill>
                    <w14:schemeClr w14:val="tx1"/>
                  </w14:solidFill>
                </w14:textFill>
              </w:rPr>
              <w:t>；</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2、兼容手机：苹果，华为，三星等</w:t>
            </w:r>
            <w:r>
              <w:rPr>
                <w:rFonts w:hint="eastAsia" w:ascii="宋体" w:hAnsi="宋体" w:cs="宋体"/>
                <w:color w:val="000000" w:themeColor="text1"/>
                <w:szCs w:val="21"/>
                <w:highlight w:val="none"/>
                <w14:textFill>
                  <w14:solidFill>
                    <w14:schemeClr w14:val="tx1"/>
                  </w14:solidFill>
                </w14:textFill>
              </w:rPr>
              <w:t>市场主流手机</w:t>
            </w:r>
            <w:r>
              <w:rPr>
                <w:rFonts w:hint="eastAsia" w:ascii="宋体" w:hAnsi="宋体" w:cs="宋体"/>
                <w:color w:val="000000" w:themeColor="text1"/>
                <w:szCs w:val="21"/>
                <w:highlight w:val="none"/>
                <w:shd w:val="clear" w:color="auto" w:fill="FFFFFF"/>
                <w14:textFill>
                  <w14:solidFill>
                    <w14:schemeClr w14:val="tx1"/>
                  </w14:solidFill>
                </w14:textFill>
              </w:rPr>
              <w:t>；</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3、供电方式：AA电池；</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4、闪光模式：E-TTL II自动/手动/频闪；</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5、无线快门：接收器通过3.5mm接口控制相机；</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6、无线控制：0-100米；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7、无线频率：2.4G；</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8、频道：32个；</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9、无线ID：01-99；</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10、引闪器尺寸要求：72*70*58mm。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7</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稳定器</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1、专业防抖手持稳定器；</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2、支持单反、微单相机；</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3、负载重量：≥3KG；</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4、OLED调参屏，尺寸≥1英寸；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5、电池续航时间≥14小时，支持快充；</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6、俯仰轴机械动作范围：-112°至 +214°；</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7、横滚轴机械动作范围：-240°至 +95°；</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8、航向轴动作范围：360°（无限旋转）。</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8</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数位板</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1、笔活动区域：≥216*135mm；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2、压感级别：≥2048M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3、读取速度：≥133点/秒；</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4、分辨率：≥0.01毫米/点（2540LPI）；</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5、感应高度：≥7毫米；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6、连接方式：USB；</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7、系统兼容：WINDOWS7或更高版本，MAC OS10.10，或更高版本；</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8、数位笔压感级别：≥2048M。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808" w:type="dxa"/>
            <w:vAlign w:val="center"/>
          </w:tcPr>
          <w:p>
            <w:pPr>
              <w:jc w:val="center"/>
              <w:textAlignment w:val="baseline"/>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9</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数位屏</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1、屏幕尺寸：≥15.6英寸；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2、分辨率：≥1920*1080（FHD全高清）；</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3、色域：≥96%sRGB / 72%NTSC(CIE1931)典型值；</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4、色彩显示：≥1670万；</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5、反应时间：≤25毫秒；</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6、压感级别：≥8192M；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7、感应高度：≥10毫米；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8、读取速度：≥266点/秒；</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9、感应方式电磁式；</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10、系统兼容：WINDOWS7或更高版本，MAC OS10.10，或更高版本；</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11、数位笔压感级别≥8192M。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10</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便携三脚架</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1、适用机型：单反相机、微单相机、卡片相机；</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2、主体材质：炭纤维；</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3、轴套材质：铝镁合金；</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4、重量：小于1.5kg；</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5、云台类型：球形；</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6、脚关节数：5节；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7、脚关节锁：旋钮套管；</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8、脚管径：粗管不小于25mm，细管不小于12mm；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9、高度范围：低36cm、中118.5cm、高150cm。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4"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11</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摄影补光灯</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1、色温：冷5600K±300K，暖3300K±300K；</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2、亮度：10~100%可调；</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3、续航：最大亮度连续可工作2小时以上；</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4、显示方式：LCD屏幕显示，可调节参数；</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5、电池：锂电池2600mAh；</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6、光源：LED；</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7、挡光板：有（可拆卸）；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8、配件：2米灯架和灯座固定器；</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9、透光面：磨砂；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10、亮度模式：16个频道，可记忆调节光照度：1200 LUX（距离1米）；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11、尺寸要求：不小于550*50*50mm（长宽高）。</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12</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摄影常亮灯</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1、功率：200W；</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2、亮度：10~100%可调；</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3、光照度：74000LUX（距离1米）；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4、光源：LED；</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5、支架：360°可调节光源方向；</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6、色温：5600K±200K；</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7、亮度模式：32个频道，可记忆调节；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8、光源口径：不小于10cm。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13</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多媒体音响</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1、颜色：白色；</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2、材质：木；</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3、音响组合：1拖2；</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4、声道：2.1；</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5、防磁功能：有；</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6、低音调节：有；</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7、音箱控制：遥控；</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8、功率：100W；</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9、频率范围：55Hz~140Hz；</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10、输出功率：30W RMS；</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11、中低音喇叭直径：3英寸；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12、高音喇叭直径：20mm；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13、超低音喇叭直径：5英寸；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14、连接类型：蓝牙输入、同轴输入、光纤输入；</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15、尺寸要求：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1.主机不小于250*200*170mm 长宽高；</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2.音箱不小于100*100*170mm 长宽高。</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14</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虚拟直播设备</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1、直播主机（含全套软件）、音频采集、高清摄像头、支架、提词器等；</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2、55寸高清显示屏，展示播放内容，实时互动，直播时的背景屏幕；</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3、24电脑一体机，CPU十代i5，运行内存16G，SSD固态硬盘256G，显示屏尺寸24英寸，USB数量不少于4个；</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4、专业麦克风，有线连接，HIFI芯片高保真无损音质，主动降噪，高采样频率；</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5、配置专业直播电脑主机；</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6、绿幕背景，保证播放画质，方便后期制作；</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7、高清60帧摄像头，实时录制；</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8、配置万向支架，可放麦克风和补光灯；</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9、大品牌无线键鼠套装。</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15</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直播补光灯</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1、色温：冷5600K±300K，暖3300K±300K；</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2、亮度：10~100%可调；</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3、续航：最大亮度连续可工作2小时以上；</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4、显示方式：LCD屏幕显示，可调节参数；</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5、电池：锂电池2600mAh；</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6、光源：LED；</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7、挡光板：有（可拆卸）；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8、配件：2米灯架高度可调整和灯座固定器；</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9、亮度模式：16个频道，可记忆调节。</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10、光照度：1200 LUX（距离1米）；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11、灯箱尺寸：500*700mm。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08" w:type="dxa"/>
            <w:vAlign w:val="center"/>
          </w:tcPr>
          <w:p>
            <w:pPr>
              <w:jc w:val="center"/>
              <w:textAlignment w:val="baseline"/>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16</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收银一体机</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1、收银机、条码打印机、扫描枪、支付终端。</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1.液晶显示器屏幕尺寸≥15英寸；</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2.主机配置：CPU不低于i3，五内存≥4G,固态硬盘≥128G，有线鼠标；</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3.系统配置：Windows平台，预装终身版收银系统+云端数据管理系统。</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2、功能：</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1.实现零售或商超便利店收银、打印、刷卡、扫码收款、报表等，支持断电收银，数据可云端保存；</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2.实现商品录入、进销存管理、对接外卖、经营报表、会员管理、员工管理等功能。</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808" w:type="dxa"/>
            <w:vAlign w:val="center"/>
          </w:tcPr>
          <w:p>
            <w:pPr>
              <w:jc w:val="center"/>
              <w:textAlignment w:val="baseline"/>
              <w:rPr>
                <w:rFonts w:hint="default" w:ascii="宋体" w:hAnsi="宋体" w:eastAsia="宋体" w:cs="宋体"/>
                <w:color w:val="000000" w:themeColor="text1"/>
                <w:szCs w:val="21"/>
                <w:highlight w:val="none"/>
                <w:shd w:val="clear" w:color="auto" w:fill="FFFFFF"/>
                <w:lang w:val="en-US" w:eastAsia="zh-CN"/>
                <w14:textFill>
                  <w14:solidFill>
                    <w14:schemeClr w14:val="tx1"/>
                  </w14:solidFill>
                </w14:textFill>
              </w:rPr>
            </w:pP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17</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电子电工工具箱套</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电工工具箱套装配置清单：卷尺、尖嘴钳、大力钳、剥线钳、吸锡枪、美工刀、小号一字螺丝刀、小号十字螺丝刀、中号一字螺丝刀、中号十字螺丝刀、大号一字螺丝刀、大号十字螺丝刀、万用表、活动扳手、电烙铁、锤子、内六角、手电筒。</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08" w:type="dxa"/>
            <w:vAlign w:val="center"/>
          </w:tcPr>
          <w:p>
            <w:pPr>
              <w:jc w:val="center"/>
              <w:textAlignment w:val="baseline"/>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18</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电烙铁套装</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焊锡电烙铁7件套装装配置清单：40W电烙铁、发热芯、焊锡丝、松香、吸锡枪、海绵、烙铁支架。</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2" w:hRule="atLeast"/>
          <w:jc w:val="center"/>
        </w:trPr>
        <w:tc>
          <w:tcPr>
            <w:tcW w:w="808" w:type="dxa"/>
            <w:vAlign w:val="center"/>
          </w:tcPr>
          <w:p>
            <w:pPr>
              <w:jc w:val="center"/>
              <w:textAlignment w:val="baseline"/>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19</w:t>
            </w:r>
          </w:p>
        </w:tc>
        <w:tc>
          <w:tcPr>
            <w:tcW w:w="1230" w:type="dxa"/>
            <w:vAlign w:val="center"/>
          </w:tcPr>
          <w:p>
            <w:pPr>
              <w:jc w:val="left"/>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航拍无人机器</w:t>
            </w:r>
          </w:p>
        </w:tc>
        <w:tc>
          <w:tcPr>
            <w:tcW w:w="5234" w:type="dxa"/>
            <w:vAlign w:val="center"/>
          </w:tcPr>
          <w:p>
            <w:pPr>
              <w:widowControl/>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飞行器：</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1、DJ带屏遥控器，发射功率2.4G，支持移动设备尺寸：≥180 ×86×10 mm；</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2、飞行时间(无风环境)≥30分钟；</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3、悬停时间(无风环境) ≥30分钟；</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4、续航里程(无风环境) ≥18 km；</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5、水平飞行速度≥19 m/s(运动档)、≥15 m/s (普通档)、≥5 m/s (平稳档)；</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6、大抗风等级≥5级风（10.7 m/s）；</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7、机载内存≥8 GB。</w:t>
            </w:r>
          </w:p>
          <w:p>
            <w:pPr>
              <w:widowControl/>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相机：</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1、影像传感器尺寸≥1英寸，采用CMOS传感器、数字变焦，视角≥88°，AF等效焦距≥22 mm最大光圈F2.8，焦点0.6 m至无穷远；</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2、图片规格支持：5472×3648(3:2)、5472×3078(16:9)，图片像素≥2000万像素等；</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w:t>
            </w:r>
            <w:r>
              <w:rPr>
                <w:rFonts w:ascii="宋体" w:hAnsi="宋体" w:cs="宋体"/>
                <w:color w:val="000000" w:themeColor="text1"/>
                <w:szCs w:val="21"/>
                <w:highlight w:val="none"/>
                <w14:textFill>
                  <w14:solidFill>
                    <w14:schemeClr w14:val="tx1"/>
                  </w14:solidFill>
                </w14:textFill>
              </w:rPr>
              <w:t>K</w:t>
            </w:r>
            <w:r>
              <w:rPr>
                <w:rFonts w:hint="eastAsia" w:ascii="宋体" w:hAnsi="宋体" w:cs="宋体"/>
                <w:color w:val="000000" w:themeColor="text1"/>
                <w:szCs w:val="21"/>
                <w:highlight w:val="none"/>
                <w14:textFill>
                  <w14:solidFill>
                    <w14:schemeClr w14:val="tx1"/>
                  </w14:solidFill>
                </w14:textFill>
              </w:rPr>
              <w:t>高清视频拍摄；</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4、支持2.4 GHz 12公里1080p图传模式；</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5、支持连拍、定时拍摄、全景拍摄模式；</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6、云台轴数≥机械3轴；</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7、遥控器。</w:t>
            </w:r>
          </w:p>
        </w:tc>
        <w:tc>
          <w:tcPr>
            <w:tcW w:w="510" w:type="dxa"/>
            <w:vAlign w:val="center"/>
          </w:tcPr>
          <w:p>
            <w:pPr>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645" w:type="dxa"/>
            <w:vAlign w:val="center"/>
          </w:tcPr>
          <w:p>
            <w:pPr>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08" w:type="dxa"/>
            <w:vAlign w:val="center"/>
          </w:tcPr>
          <w:p>
            <w:pPr>
              <w:jc w:val="center"/>
              <w:textAlignment w:val="baseline"/>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0</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长方形实训桌</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双层办公桌，U型钢架结构，120*60cm*75cm。</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张</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808" w:type="dxa"/>
            <w:vAlign w:val="center"/>
          </w:tcPr>
          <w:p>
            <w:pPr>
              <w:jc w:val="center"/>
              <w:textAlignment w:val="baseline"/>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1</w:t>
            </w:r>
          </w:p>
        </w:tc>
        <w:tc>
          <w:tcPr>
            <w:tcW w:w="1230" w:type="dxa"/>
            <w:vAlign w:val="center"/>
          </w:tcPr>
          <w:p>
            <w:pPr>
              <w:jc w:val="left"/>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电工实训桌</w:t>
            </w:r>
          </w:p>
        </w:tc>
        <w:tc>
          <w:tcPr>
            <w:tcW w:w="5234" w:type="dxa"/>
            <w:vAlign w:val="center"/>
          </w:tcPr>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1、组成结构：桌面+金属方管；</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2、桌面材质：木板；</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3、桌面尺寸：1200*60*25mm（长宽厚）；</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4、框架材质：方管40*40mm；</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5、桌子尺寸：1200*60*75mm（长宽高）；</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6、桌脚调节：带脚杯，可调节高度和水平；</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7、台面：防静电；</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8、承重：≧300kg；</w:t>
            </w:r>
          </w:p>
          <w:p>
            <w:pPr>
              <w:jc w:val="left"/>
              <w:textAlignment w:val="baseline"/>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9、桌面木板封边处理，桌面铺设防静电胶皮。</w:t>
            </w:r>
          </w:p>
        </w:tc>
        <w:tc>
          <w:tcPr>
            <w:tcW w:w="510"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张</w:t>
            </w:r>
          </w:p>
        </w:tc>
        <w:tc>
          <w:tcPr>
            <w:tcW w:w="645"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04" w:type="dxa"/>
            <w:vAlign w:val="center"/>
          </w:tcPr>
          <w:p>
            <w:pPr>
              <w:jc w:val="center"/>
              <w:textAlignment w:val="baseline"/>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七</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成龙校区演播厅设施设备采购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会标屏</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LED会标屏、尺寸：13M*0.5M、点间距(mm):4.75、像素点组成:1红、点密度(点/m2)：44321、亮度(cd/m2)：200、灰度等级：256级、含外框，电源，接收卡，辅材及安装调试。</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平米</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三合一电脑摇头灯</w:t>
            </w:r>
          </w:p>
        </w:tc>
        <w:tc>
          <w:tcPr>
            <w:tcW w:w="5234" w:type="dxa"/>
            <w:vAlign w:val="center"/>
          </w:tcPr>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1、电压：110V-250V 50/60HZ； </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2、功率：600W；</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3、光源：380W；</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4、款式：图案，染色，光束三合一灯具；</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5、光通量：7950lm，色温可达8000K；</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6、颜色盘：一个色盘，一个颜色盘，有13个色片+白光组成；</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7、图案盘：两个图案盘，固定图案盘14个图案+白光，9个旋转图案； </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8、旋转图案片直径:15.4mm 有效内直径:13mm；</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9、效果轮：两个可旋转棱镜，是16棱镜+排镜，雾化功能；</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10、水平540度，解析度 8Bit/16Bit，垂直270度，解析度 8Bit/16Bit；</w:t>
            </w:r>
          </w:p>
          <w:p>
            <w:pPr>
              <w:widowControl/>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11、DMX通道：16CH/24CH。</w:t>
            </w:r>
          </w:p>
        </w:tc>
        <w:tc>
          <w:tcPr>
            <w:tcW w:w="510" w:type="dxa"/>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LED平板会议灯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1、额定电压：AC110V-230V  50HZ-60HZ；</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2、额定功率：200W ，光源：0.5W 5730LED；</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3、灯珠数量：432颗贴片式进口灯珠；</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4、颜色：暖白色；</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5、通道数：2个DMX512通道（调光，频闪）；</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6、色温：3200K；</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7、工作环境：适合用在多媒体会议室，礼堂；</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8、外壳材料：铁片+柔光板。</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COB面光灯</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1、额定电压：AC100~240V，50/60Hz；</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2、额定功率：200W；</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3、光源功率：COB光源；≧50W；</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4、光源数量：4颗；</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5、光源颜色：正白.暖白(可选)；</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6、发光效果：大面积铺光；</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7、出光角度：60°大面积覆盖；</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8、调光方式：线性调光0~100%；</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9、电子频闪：0~25次/秒，可以调节频闪速度；</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10、使用寿命：约50000小时；</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11、通讯信号：标准DMX512信号；</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12、控制模式：自走、DMX模式、声控模式；</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13、DMX通道：8CH；</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14、工作环境：室内使用；</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15、冷却方式：智能风冷；</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16、防护等级：IP20。</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灯光控制台</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1、DMX512/1990标准，最大1024个DMX控制通道，光电隔离信号输出；</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2、最大控制96台电脑灯或96路调光，使用珍珠灯库；</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3、内置图形轨迹发生器，有135个内置图形，方便用户对电脑灯进行图形轨迹控制，如画圆、螺旋、彩虹、追逐等多种效果，图形参数（如：振幅、速度、间隔、波浪、方向）均可独立设置；</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4、60个重演场景，用于储存多步场景和单步场景，多步场景最多可储存600步；</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5、带背光的LCD显示屏，中英文显示，关机数据保持，</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U盘备份和升级；</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6、电源：AC 100 240V / 50-60Hz。</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信号放大器</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1、1路非隔离的直通输出8路光隔离输出；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2、各输入输出接口之间的电气隔离电压：&gt;1000V ,电源：AC220V，50-60Hz。</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音响系统改造</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1、主扩声线阵音箱的位移及恢复；</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2、音响系统的调试；</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3、含所需材料。</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专业灯钩</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全铝合金灯具专用挂勾，适合口径：40mm-60mm，最大承重量60kg。</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灯具保险绳</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优质钢绳，长度750mm，带保险扣，最大重承重量：80kg。</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信号接插件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卡侬公母接插件，铜芯。</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信号线、电缆线等辅材</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（26*0.12）*2 + 96*0.12带屏敝信号线，ZR RVV3*2.5mm²舞台灯光专用阻燃电缆线，插件，接线端子，金属套管，穿线管等。</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textAlignment w:val="baseline"/>
              <w:rPr>
                <w:rFonts w:hint="default" w:ascii="宋体" w:hAnsi="宋体" w:cs="宋体"/>
                <w:color w:val="000000" w:themeColor="text1"/>
                <w:szCs w:val="21"/>
                <w:highlight w:val="none"/>
                <w:lang w:val="en-US"/>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2</w:t>
            </w:r>
          </w:p>
        </w:tc>
        <w:tc>
          <w:tcPr>
            <w:tcW w:w="1230" w:type="dxa"/>
            <w:vAlign w:val="center"/>
          </w:tcPr>
          <w:p>
            <w:pPr>
              <w:jc w:val="left"/>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无线传屏器</w:t>
            </w:r>
          </w:p>
        </w:tc>
        <w:tc>
          <w:tcPr>
            <w:tcW w:w="5234" w:type="dxa"/>
            <w:vAlign w:val="center"/>
          </w:tcPr>
          <w:p>
            <w:pPr>
              <w:jc w:val="left"/>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1、Linux平台，无线支持PC和移动设备同时投屏演示，支持按键切换两画面，无需通过软件选择方式切换；</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2、支持WIN7/8.1/10</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MAC OSX10.10及以上</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；iOS9.0</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及以上</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Android5.0及以上操作系统</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且MAC电脑、iPhone、iPad 直接Airplay镜像输出，无需安装任何软件；</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3、视频输入分辨率：≥3840x2160；</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4、视频输出：通过HDMI和VGA输出，输出的有效画面与源端的有效画面比例相同。可同时通过HDMI和VGA输出相同内容，输出的分辨率可以不同；HDMI和VGA分辨率最高支持1920x1200</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5、显示端画面比例可调：等比、4：3、16：9、16：10；</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6、支持ios、安卓移动端和win、mac多平台显示；</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10、无线传输速率：≥867Mbps；无线传输距离：≥30米（无遮挡）；</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11、无线连接方式：PC端插入按键自动连接，自动运行，一键分享；无需在PC上安装软件，无需占用电脑Wi-Fi</w:t>
            </w:r>
            <w:r>
              <w:rPr>
                <w:rFonts w:hint="eastAsia" w:ascii="宋体" w:hAnsi="宋体" w:cs="宋体"/>
                <w:color w:val="000000" w:themeColor="text1"/>
                <w:szCs w:val="21"/>
                <w:highlight w:val="none"/>
                <w:shd w:val="clear" w:color="auto" w:fill="FFFFFF"/>
                <w:lang w:val="en-US" w:eastAsia="zh-CN"/>
                <w14:textFill>
                  <w14:solidFill>
                    <w14:schemeClr w14:val="tx1"/>
                  </w14:solidFill>
                </w14:textFill>
              </w:rPr>
              <w:t>。</w:t>
            </w:r>
          </w:p>
        </w:tc>
        <w:tc>
          <w:tcPr>
            <w:tcW w:w="510"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台</w:t>
            </w:r>
          </w:p>
        </w:tc>
        <w:tc>
          <w:tcPr>
            <w:tcW w:w="645"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1</w:t>
            </w:r>
          </w:p>
        </w:tc>
        <w:tc>
          <w:tcPr>
            <w:tcW w:w="1104"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08" w:type="dxa"/>
            <w:vAlign w:val="center"/>
          </w:tcPr>
          <w:p>
            <w:pPr>
              <w:jc w:val="center"/>
              <w:textAlignment w:val="baseline"/>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13</w:t>
            </w:r>
          </w:p>
        </w:tc>
        <w:tc>
          <w:tcPr>
            <w:tcW w:w="1230" w:type="dxa"/>
            <w:vAlign w:val="center"/>
          </w:tcPr>
          <w:p>
            <w:pPr>
              <w:jc w:val="left"/>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无线会议话筒</w:t>
            </w:r>
          </w:p>
        </w:tc>
        <w:tc>
          <w:tcPr>
            <w:tcW w:w="5234" w:type="dxa"/>
            <w:vAlign w:val="center"/>
          </w:tcPr>
          <w:p>
            <w:pPr>
              <w:jc w:val="left"/>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1、一拖二无线会议话筒，一接收主机、二只鹅颈会议话筒，UHF频段传输信号，频率范围：500MHz-900MHz；</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2、二通道接收信号,每通道有≥100个信道可选，每个信道以250KHz步进；每通道用24.75MHz；</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3、采用稳定的PLL数位锁相环合成技术和智能数字线路；</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4、各通道配备独有的ID号，增强抗干扰功能，支持10台同时使用；</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5、高保真单指向性电容咪芯。拾音距离可达到30-50CM；</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6、接收机背面设置2条橡胶接收天线，增强接收的信号；</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7、背面设有2个平衡输出和1个混合非平衡输出；</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8、≥400个信道中互通互用，尽显人性化的高新技术设计；</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9、鹅颈式咪杆设计可360°全方位调节，咪杆灯环指示发言状态。</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10使用1.5V电池（3粒）供电，续航时长≥8小时；</w:t>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br w:type="textWrapping"/>
            </w:r>
            <w:r>
              <w:rPr>
                <w:rFonts w:hint="default" w:ascii="宋体" w:hAnsi="宋体" w:cs="宋体"/>
                <w:color w:val="000000" w:themeColor="text1"/>
                <w:szCs w:val="21"/>
                <w:highlight w:val="none"/>
                <w:shd w:val="clear" w:color="auto" w:fill="FFFFFF"/>
                <w:lang w:val="en-US" w:eastAsia="zh-CN"/>
                <w14:textFill>
                  <w14:solidFill>
                    <w14:schemeClr w14:val="tx1"/>
                  </w14:solidFill>
                </w14:textFill>
              </w:rPr>
              <w:t xml:space="preserve">11、使用距离: ≥50米。   </w:t>
            </w:r>
          </w:p>
        </w:tc>
        <w:tc>
          <w:tcPr>
            <w:tcW w:w="510"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套</w:t>
            </w:r>
          </w:p>
        </w:tc>
        <w:tc>
          <w:tcPr>
            <w:tcW w:w="645"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3</w:t>
            </w:r>
          </w:p>
        </w:tc>
        <w:tc>
          <w:tcPr>
            <w:tcW w:w="1104" w:type="dxa"/>
            <w:vAlign w:val="center"/>
          </w:tcPr>
          <w:p>
            <w:pPr>
              <w:jc w:val="center"/>
              <w:textAlignment w:val="baseline"/>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八</w:t>
            </w:r>
          </w:p>
        </w:tc>
        <w:tc>
          <w:tcPr>
            <w:tcW w:w="8723" w:type="dxa"/>
            <w:gridSpan w:val="5"/>
            <w:vAlign w:val="center"/>
          </w:tcPr>
          <w:p>
            <w:pPr>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成龙校区文创学院设施设备采购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抽拉式挂画展架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265cm*109cm*264cm，可折叠。材质：优质家居钢管，高温烤漆，铜制金属导轮，摩擦力强。</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注塑双杆直面展架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400cm*180cm，材质：优质铁质烤漆，黑色10、白色10，展架需要稳定，加厚底座，防风底部附防滑泡沫片，简易安装。</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立式双面单独展架</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300cm*180cm，加厚底座，承重力强，有防滑底垫，铁质喷漆。</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08" w:type="dxa"/>
            <w:vAlign w:val="center"/>
          </w:tcPr>
          <w:p>
            <w:pPr>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九</w:t>
            </w:r>
          </w:p>
        </w:tc>
        <w:tc>
          <w:tcPr>
            <w:tcW w:w="8723" w:type="dxa"/>
            <w:gridSpan w:val="5"/>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成龙校区学生公寓床椅柜采购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三人组床</w:t>
            </w:r>
          </w:p>
        </w:tc>
        <w:tc>
          <w:tcPr>
            <w:tcW w:w="5234" w:type="dxa"/>
            <w:vAlign w:val="center"/>
          </w:tcPr>
          <w:p>
            <w:pPr>
              <w:jc w:val="left"/>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一、三人组床</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1、4000*900*2000，床体由床柱、床边、床栏、横梁、扶梯、床垫构成，均为全钢结构，表面经脱脂、水洗、酸洗、磷化、钝化工艺，再喷涂环 氧聚脂环保粉末，无甲醛，无异味，具备防潮、耐腐蚀功能；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（1）床柱：采用 40mm*40mm（±2%）壁厚≥1.2mm 方形钢管；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（2）床边：采用 80mm*30mm（±2%）壁厚≥1.2mm 波纹管；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（3）床栏：采用 20mm*20mm（±2%）壁厚≥1.2mm 方形钢管，高度≥250mm；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（4）横梁：采用 25mm*25mm（±2%）壁厚≥1.0mm 方形钢管，数 量≥7 根；硬度≥3H，冲击高度 400mm，无锈迹、剥落、起皱、 变色和失光等现象，附着力 1 级；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（5）扶梯：不低于 25mm*25mm 壁厚≥1.2mm（±2%）方形钢管，梯步安装塑料防滑脚垫，梯步与床体连接牢固；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3、实木多层板（床铺板）：采用厚度≥12mm 多层实木板，符合GB 18580-2017室内装饰装修材料人造板及其制品中甲醛释放量，甲醛释放量≦0.124 mg/m³。</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4、配件：紧固件、三点式嵌入连接件； 三点式嵌入连接件管材应无裂缝、叠缝，焊接处应无脱焊、虚焊、焊穿、错位，且壁厚≥2mm。</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5、结构：扶梯落地，每套公寓床附带1个钢制行李架 。</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二、床铺板</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1、采用厚度≥9mm 多层实木板，符合GB 18580-2017室内装饰装修材料人造板及其制品中甲醛释放量，甲醛释放量≦0.124 mg/m³；</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2、与宿舍床配套。</w:t>
            </w:r>
          </w:p>
          <w:p>
            <w:pPr>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三、棕垫</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1、无胶水3E棕，E1及环保材料；</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2、面料舒适柔软，触感细腻，具有良好的透气性；</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3、与宿舍床配套。 </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椅子</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坐板背板基材：采用颗粒板，三聚氰胺板饰面，符合GB/T15102-2017浸渍胶膜纸饰面纤维板和刨花板、GB18580-2017室内装饰装修材料人造板及其制品中甲醛释放量标准，含水率3-13%,24h吸水厚度膨胀率≦12%,无露底现象，表面耐香烟灼烧、耐干热、耐污染腐蚀不低于4级，无裂缝、鼓泡、变色、起皱，甲醛释放量≦0.0.124mg/m³。</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2、封边：符合QB/T4463-2013家具用封边条技术要求标准，表面无皱纹、裂纹、折痕、暗条痕、染色线、刀线、油渍、污点、黑斑封边条甲醛释放量≦0.1mg/L。</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3、框架：优质钢制框架；</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4、五金配件：所有五金配件符合GB/T3325-2017金属家具通用技术条件。</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5、尺寸：标准。</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把</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108</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0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30"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5234" w:type="dxa"/>
            <w:vAlign w:val="center"/>
          </w:tcPr>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1、柜体钢板：采用优质冷轧钢板，柜体板件0.6MM钢板，检验依据 参照：GB/T 3325-2017《金属家具通用技术条件》、QB/T3832-1999，QB/T3827-1999，金属表面耐腐蚀检测乙酸盐雾连续喷雾120小时或以上试验，且达到10级；</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2、加强筋件：利用电脑数控冲床、压床成型，确保精确度高；</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3、表面处理：静电粉末喷涂，事前更经清洗，除油、磷化等七个前置处理程序，确保质量完美,检验依据 HG/T 2006-2006《热固性粉末涂实》(室内用优等品)光泽（60。）&gt;60；</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4、柜体结构：采用整体或拆裝焊接式，焊点平整，结构稳固，承重、承压性好；所有部件均经打磨，砂光处理，打磨均匀，免除钢板表面的毛刺、棱角对人体可能造成的伤害；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5、采用优质U型钢把手，检验依据QB/T 3827-1999 QB/T 3832-1999,经过乙酸盐雾化检测。 </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6、钢制更衣柜检验合格：符合GB/T3325-2017（金属家具通用技术条件），其中着地平稳性 底脚与水平面的差值≤1.0mm，金属喷漆（塑）涂层-硬度≥3H，可溶性铅≤2mg/kg、可溶性镉≤2mg/kg、可溶性铬≤2mg/kg、可溶性汞≤2mg/kg。</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7、配置：每层分别带锁。</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8、厚度：0.6MM以上。</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9、尺寸：1000*500*1800。</w:t>
            </w:r>
          </w:p>
          <w:p>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10、分三层，带锁。</w:t>
            </w:r>
          </w:p>
        </w:tc>
        <w:tc>
          <w:tcPr>
            <w:tcW w:w="51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64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10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工业</w:t>
            </w:r>
          </w:p>
        </w:tc>
      </w:tr>
    </w:tbl>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备注：磋商文件中的相关内容若存在品牌型号，则仅作为参照，各供应商在满足采购要求的前提下，可以提供质量、技术要求同档次或高于参照品牌要求的其他合格产品</w:t>
      </w:r>
      <w:bookmarkStart w:id="155" w:name="_Toc12159"/>
      <w:r>
        <w:rPr>
          <w:rFonts w:hint="eastAsia" w:ascii="宋体" w:hAnsi="宋体" w:eastAsia="宋体" w:cs="宋体"/>
          <w:b/>
          <w:bCs/>
          <w:color w:val="000000" w:themeColor="text1"/>
          <w:sz w:val="21"/>
          <w:szCs w:val="21"/>
          <w:highlight w:val="none"/>
          <w:lang w:val="en-US" w:eastAsia="zh-CN"/>
          <w14:textFill>
            <w14:solidFill>
              <w14:schemeClr w14:val="tx1"/>
            </w14:solidFill>
          </w14:textFill>
        </w:rPr>
        <w:t>。</w:t>
      </w:r>
    </w:p>
    <w:p>
      <w:pPr>
        <w:bidi w:val="0"/>
        <w:rPr>
          <w:rFonts w:hint="eastAsia"/>
          <w:color w:val="000000" w:themeColor="text1"/>
          <w:highlight w:val="none"/>
          <w:lang w:val="en-US" w:eastAsia="zh-CN"/>
          <w14:textFill>
            <w14:solidFill>
              <w14:schemeClr w14:val="tx1"/>
            </w14:solidFill>
          </w14:textFill>
        </w:rPr>
      </w:pPr>
    </w:p>
    <w:p>
      <w:pPr>
        <w:pStyle w:val="10"/>
        <w:spacing w:line="360" w:lineRule="auto"/>
        <w:ind w:left="0" w:leftChars="0" w:firstLine="0" w:firstLineChars="0"/>
        <w:outlineLvl w:val="1"/>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2、服务要求</w:t>
      </w:r>
    </w:p>
    <w:p>
      <w:pPr>
        <w:spacing w:line="360" w:lineRule="auto"/>
        <w:ind w:firstLine="420" w:firstLineChars="175"/>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提供全新（表面无划伤、无碰撞痕迹）的货物，且权属清楚，不得侵害他人的知识产权。如供货时出现不正常情况（如设备（含零部件、配件）损坏、故障、达不到良好效果、达不到技术规范或设备使用说明书指标等）,供应商应负责三包(包修、包换、包退)，费用由供应商负担。</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、售后服务：产品出现问题时供应商自接到采购人通知2小时内响应，如不能电话指导解决问题，供应商需在接到客户维修通知后8小时内到达现场，及时排除故障。</w:t>
      </w:r>
      <w:r>
        <w:rPr>
          <w:rFonts w:hint="eastAsia" w:ascii="宋体" w:hAnsi="宋体" w:eastAsia="宋体" w:cs="宋体"/>
          <w:color w:val="000000" w:themeColor="text1"/>
          <w:sz w:val="24"/>
          <w:highlight w:val="none"/>
          <w:lang w:val="en-US" w:eastAsia="zh-CN"/>
          <w14:textFill>
            <w14:solidFill>
              <w14:schemeClr w14:val="tx1"/>
            </w14:solidFill>
          </w14:textFill>
        </w:rPr>
        <w:t>在使用中，使用方在使用中有任何疑问，可向供应商电询，需要专门技术人员进行解答。</w:t>
      </w:r>
    </w:p>
    <w:p>
      <w:pPr>
        <w:tabs>
          <w:tab w:val="left" w:pos="0"/>
        </w:tabs>
        <w:spacing w:line="360" w:lineRule="auto"/>
        <w:outlineLvl w:val="1"/>
        <w:rPr>
          <w:rFonts w:hint="eastAsia" w:ascii="宋体" w:hAnsi="宋体" w:eastAsia="宋体" w:cs="宋体"/>
          <w:b/>
          <w:color w:val="000000" w:themeColor="text1"/>
          <w:sz w:val="24"/>
          <w:highlight w:val="none"/>
          <w:lang w:val="zh-CN" w:eastAsia="zh-CN"/>
          <w14:textFill>
            <w14:solidFill>
              <w14:schemeClr w14:val="tx1"/>
            </w14:solidFill>
          </w14:textFill>
        </w:rPr>
      </w:pPr>
      <w:r>
        <w:rPr>
          <w:rFonts w:hint="eastAsia" w:ascii="宋体" w:hAnsi="宋体" w:cs="宋体"/>
          <w:b/>
          <w:color w:val="000000" w:themeColor="text1"/>
          <w:sz w:val="24"/>
          <w:highlight w:val="none"/>
          <w:lang w:val="zh-CN" w:eastAsia="zh-CN"/>
          <w14:textFill>
            <w14:solidFill>
              <w14:schemeClr w14:val="tx1"/>
            </w14:solidFill>
          </w14:textFill>
        </w:rPr>
        <w:t>三</w:t>
      </w:r>
      <w:r>
        <w:rPr>
          <w:rFonts w:hint="eastAsia" w:ascii="宋体" w:hAnsi="宋体" w:eastAsia="宋体" w:cs="宋体"/>
          <w:b/>
          <w:color w:val="000000" w:themeColor="text1"/>
          <w:sz w:val="24"/>
          <w:highlight w:val="none"/>
          <w:lang w:val="zh-CN" w:eastAsia="zh-CN"/>
          <w14:textFill>
            <w14:solidFill>
              <w14:schemeClr w14:val="tx1"/>
            </w14:solidFill>
          </w14:textFill>
        </w:rPr>
        <w:t>、商务及其他要求（</w:t>
      </w:r>
      <w:r>
        <w:rPr>
          <w:rFonts w:hint="eastAsia" w:ascii="宋体" w:hAnsi="宋体" w:eastAsia="宋体" w:cs="宋体"/>
          <w:b/>
          <w:bCs/>
          <w:color w:val="000000" w:themeColor="text1"/>
          <w:szCs w:val="21"/>
          <w:highlight w:val="none"/>
          <w14:textFill>
            <w14:solidFill>
              <w14:schemeClr w14:val="tx1"/>
            </w14:solidFill>
          </w14:textFill>
        </w:rPr>
        <w:t>实质性要求</w:t>
      </w:r>
      <w:r>
        <w:rPr>
          <w:rFonts w:hint="eastAsia" w:ascii="宋体" w:hAnsi="宋体" w:eastAsia="宋体" w:cs="宋体"/>
          <w:b/>
          <w:bCs/>
          <w:color w:val="000000" w:themeColor="text1"/>
          <w:szCs w:val="21"/>
          <w:highlight w:val="none"/>
          <w:lang w:eastAsia="zh-CN"/>
          <w14:textFill>
            <w14:solidFill>
              <w14:schemeClr w14:val="tx1"/>
            </w14:solidFill>
          </w14:textFill>
        </w:rPr>
        <w:t>）</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1、交货时间：</w:t>
      </w:r>
      <w:r>
        <w:rPr>
          <w:rFonts w:hint="eastAsia" w:hAnsi="宋体" w:cs="宋体"/>
          <w:bCs/>
          <w:color w:val="000000" w:themeColor="text1"/>
          <w:sz w:val="24"/>
          <w:szCs w:val="24"/>
          <w:highlight w:val="none"/>
          <w14:textFill>
            <w14:solidFill>
              <w14:schemeClr w14:val="tx1"/>
            </w14:solidFill>
          </w14:textFill>
        </w:rPr>
        <w:t>自合同签</w:t>
      </w:r>
      <w:r>
        <w:rPr>
          <w:rFonts w:hint="eastAsia" w:ascii="宋体" w:hAnsi="宋体" w:eastAsia="宋体" w:cs="宋体"/>
          <w:color w:val="000000" w:themeColor="text1"/>
          <w:sz w:val="24"/>
          <w:highlight w:val="none"/>
          <w:lang w:val="en-US" w:eastAsia="zh-CN"/>
          <w14:textFill>
            <w14:solidFill>
              <w14:schemeClr w14:val="tx1"/>
            </w14:solidFill>
          </w14:textFill>
        </w:rPr>
        <w:t>订之日起30日历天完成。</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2、交货地点：采购人指定地点。</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3、付款方式：</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1全部货物安装调试完毕并验收完毕后，采购方接到供应商开具的有效发票之日起15日内，按照财政性资金支付有关规定，向供应商支付合同金额的100%货款。</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2供应商在货物验收合格之后</w:t>
      </w:r>
      <w:bookmarkStart w:id="256" w:name="_GoBack"/>
      <w:bookmarkEnd w:id="256"/>
      <w:r>
        <w:rPr>
          <w:rFonts w:hint="eastAsia" w:ascii="宋体" w:hAnsi="宋体" w:eastAsia="宋体" w:cs="宋体"/>
          <w:color w:val="000000" w:themeColor="text1"/>
          <w:sz w:val="24"/>
          <w:highlight w:val="none"/>
          <w:lang w:val="en-US" w:eastAsia="zh-CN"/>
          <w14:textFill>
            <w14:solidFill>
              <w14:schemeClr w14:val="tx1"/>
            </w14:solidFill>
          </w14:textFill>
        </w:rPr>
        <w:t>7个工作日内向采购方支付质保金（合同金额的3%），质保期限为</w:t>
      </w:r>
      <w:r>
        <w:rPr>
          <w:rFonts w:hint="eastAsia" w:ascii="宋体" w:hAnsi="宋体" w:cs="宋体"/>
          <w:color w:val="000000" w:themeColor="text1"/>
          <w:sz w:val="24"/>
          <w:highlight w:val="none"/>
          <w:lang w:val="en-US" w:eastAsia="zh-CN"/>
          <w14:textFill>
            <w14:solidFill>
              <w14:schemeClr w14:val="tx1"/>
            </w14:solidFill>
          </w14:textFill>
        </w:rPr>
        <w:t>：自</w:t>
      </w:r>
      <w:r>
        <w:rPr>
          <w:rFonts w:hint="eastAsia" w:ascii="宋体" w:hAnsi="宋体" w:eastAsia="宋体" w:cs="宋体"/>
          <w:color w:val="000000" w:themeColor="text1"/>
          <w:sz w:val="24"/>
          <w:highlight w:val="none"/>
          <w:lang w:val="en-US" w:eastAsia="zh-CN"/>
          <w14:textFill>
            <w14:solidFill>
              <w14:schemeClr w14:val="tx1"/>
            </w14:solidFill>
          </w14:textFill>
        </w:rPr>
        <w:t>验收完成之日起开始计算12个月</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质保期内出现产品问题供应商应负责免费维修及更换</w:t>
      </w:r>
      <w:r>
        <w:rPr>
          <w:rFonts w:hint="eastAsia" w:ascii="宋体" w:hAnsi="宋体" w:cs="宋体"/>
          <w:color w:val="000000" w:themeColor="text1"/>
          <w:sz w:val="24"/>
          <w:highlight w:val="none"/>
          <w:lang w:val="en-US" w:eastAsia="zh-CN"/>
          <w14:textFill>
            <w14:solidFill>
              <w14:schemeClr w14:val="tx1"/>
            </w14:solidFill>
          </w14:textFill>
        </w:rPr>
        <w:t>），质保期满</w:t>
      </w:r>
      <w:r>
        <w:rPr>
          <w:rFonts w:hint="eastAsia" w:ascii="宋体" w:hAnsi="宋体" w:eastAsia="宋体" w:cs="宋体"/>
          <w:color w:val="000000" w:themeColor="text1"/>
          <w:sz w:val="24"/>
          <w:highlight w:val="none"/>
          <w:lang w:val="en-US" w:eastAsia="zh-CN"/>
          <w14:textFill>
            <w14:solidFill>
              <w14:schemeClr w14:val="tx1"/>
            </w14:solidFill>
          </w14:textFill>
        </w:rPr>
        <w:t>后由采购方无息退还给供应商。</w:t>
      </w:r>
      <w:r>
        <w:rPr>
          <w:rFonts w:hint="eastAsia" w:ascii="宋体" w:hAnsi="宋体" w:eastAsia="宋体" w:cs="宋体"/>
          <w:color w:val="000000" w:themeColor="text1"/>
          <w:sz w:val="24"/>
          <w:highlight w:val="none"/>
          <w:lang w:val="en-US" w:eastAsia="zh-CN"/>
          <w14:textFill>
            <w14:solidFill>
              <w14:schemeClr w14:val="tx1"/>
            </w14:solidFill>
          </w14:textFill>
        </w:rPr>
        <w:br w:type="textWrapping"/>
      </w:r>
      <w:r>
        <w:rPr>
          <w:rFonts w:hint="eastAsia" w:ascii="宋体" w:hAnsi="宋体" w:eastAsia="宋体" w:cs="宋体"/>
          <w:color w:val="000000" w:themeColor="text1"/>
          <w:sz w:val="24"/>
          <w:highlight w:val="none"/>
          <w:lang w:val="en-US" w:eastAsia="zh-CN"/>
          <w14:textFill>
            <w14:solidFill>
              <w14:schemeClr w14:val="tx1"/>
            </w14:solidFill>
          </w14:textFill>
        </w:rPr>
        <w:t>4、履约验收：按照《财政部关于进一步加强政府采购需求和履约验收管理的指导意见》(财库〔2016〕205 号)及采购人的要求进行验收。</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5、货物要求：</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5.1供应商所提供的货物均为货物出厂时原包装。供应商所提供的货物在装卸、运输和仓储过程中有足够的包装保护，防止货物受潮、生锈、被腐蚀、受到冲撞以及其他不可预见的损坏。供应商所提供货物内必须附有详细的装箱清单，主体、附件、各种零部件和消耗品，有清楚的与装箱单相对应的名称和编号。在包装箱中必须附有本合同中所要求的所有文件和资料。货物运输中的运输费用和保险费用均由供应商承担。运输过程中的一切损伤、损坏均由供应商负责。</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5.2供应商提供</w:t>
      </w:r>
      <w:r>
        <w:rPr>
          <w:rFonts w:hint="eastAsia" w:ascii="宋体" w:hAnsi="宋体" w:cs="宋体"/>
          <w:color w:val="000000" w:themeColor="text1"/>
          <w:sz w:val="24"/>
          <w:highlight w:val="none"/>
          <w:lang w:val="en-US" w:eastAsia="zh-CN"/>
          <w14:textFill>
            <w14:solidFill>
              <w14:schemeClr w14:val="tx1"/>
            </w14:solidFill>
          </w14:textFill>
        </w:rPr>
        <w:t>货物须</w:t>
      </w:r>
      <w:r>
        <w:rPr>
          <w:rFonts w:hint="eastAsia" w:ascii="宋体" w:hAnsi="宋体" w:eastAsia="宋体" w:cs="宋体"/>
          <w:color w:val="000000" w:themeColor="text1"/>
          <w:sz w:val="24"/>
          <w:highlight w:val="none"/>
          <w:lang w:val="en-US" w:eastAsia="zh-CN"/>
          <w14:textFill>
            <w14:solidFill>
              <w14:schemeClr w14:val="tx1"/>
            </w14:solidFill>
          </w14:textFill>
        </w:rPr>
        <w:t>符合国（际）家质量检测标准。</w:t>
      </w:r>
    </w:p>
    <w:p>
      <w:pPr>
        <w:spacing w:line="360" w:lineRule="auto"/>
        <w:ind w:firstLine="420" w:firstLineChars="175"/>
        <w:rPr>
          <w:rFonts w:hint="eastAsia" w:ascii="宋体" w:hAnsi="宋体" w:eastAsia="宋体" w:cs="宋体"/>
          <w:color w:val="000000" w:themeColor="text1"/>
          <w:sz w:val="24"/>
          <w:highlight w:val="none"/>
          <w:lang w:val="en-US" w:eastAsia="en-US"/>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6、其他要求：供应商需</w:t>
      </w:r>
      <w:r>
        <w:rPr>
          <w:rFonts w:hint="eastAsia" w:ascii="宋体" w:hAnsi="宋体" w:eastAsia="宋体" w:cs="宋体"/>
          <w:color w:val="000000" w:themeColor="text1"/>
          <w:sz w:val="24"/>
          <w:highlight w:val="none"/>
          <w:lang w:val="en-US" w:eastAsia="en-US"/>
          <w14:textFill>
            <w14:solidFill>
              <w14:schemeClr w14:val="tx1"/>
            </w14:solidFill>
          </w14:textFill>
        </w:rPr>
        <w:t>协助采购</w:t>
      </w:r>
      <w:r>
        <w:rPr>
          <w:rFonts w:hint="eastAsia" w:ascii="宋体" w:hAnsi="宋体" w:eastAsia="宋体" w:cs="宋体"/>
          <w:color w:val="000000" w:themeColor="text1"/>
          <w:sz w:val="24"/>
          <w:highlight w:val="none"/>
          <w:lang w:val="en-US" w:eastAsia="zh-CN"/>
          <w14:textFill>
            <w14:solidFill>
              <w14:schemeClr w14:val="tx1"/>
            </w14:solidFill>
          </w14:textFill>
        </w:rPr>
        <w:t>人</w:t>
      </w:r>
      <w:r>
        <w:rPr>
          <w:rFonts w:hint="eastAsia" w:ascii="宋体" w:hAnsi="宋体" w:eastAsia="宋体" w:cs="宋体"/>
          <w:color w:val="000000" w:themeColor="text1"/>
          <w:sz w:val="24"/>
          <w:highlight w:val="none"/>
          <w:lang w:val="en-US" w:eastAsia="en-US"/>
          <w14:textFill>
            <w14:solidFill>
              <w14:schemeClr w14:val="tx1"/>
            </w14:solidFill>
          </w14:textFill>
        </w:rPr>
        <w:t>做好数据统计、系统录入等相关工作。应负责做好技术培训等工作。</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lang w:val="en-US" w:eastAsia="zh-CN"/>
          <w14:textFill>
            <w14:solidFill>
              <w14:schemeClr w14:val="tx1"/>
            </w14:solidFill>
          </w14:textFill>
        </w:rPr>
        <w:t>、发货时随机提供使用说明书，产品手册，产品维护手册和保修服务卡</w:t>
      </w:r>
      <w:r>
        <w:rPr>
          <w:rFonts w:hint="eastAsia" w:ascii="宋体" w:hAnsi="宋体" w:cs="宋体"/>
          <w:color w:val="000000" w:themeColor="text1"/>
          <w:sz w:val="24"/>
          <w:highlight w:val="none"/>
          <w:lang w:val="en-US" w:eastAsia="zh-CN"/>
          <w14:textFill>
            <w14:solidFill>
              <w14:schemeClr w14:val="tx1"/>
            </w14:solidFill>
          </w14:textFill>
        </w:rPr>
        <w:t>等</w:t>
      </w:r>
      <w:r>
        <w:rPr>
          <w:rFonts w:hint="eastAsia" w:ascii="宋体" w:hAnsi="宋体" w:eastAsia="宋体" w:cs="宋体"/>
          <w:color w:val="000000" w:themeColor="text1"/>
          <w:sz w:val="24"/>
          <w:highlight w:val="none"/>
          <w:lang w:val="en-US" w:eastAsia="zh-CN"/>
          <w14:textFill>
            <w14:solidFill>
              <w14:schemeClr w14:val="tx1"/>
            </w14:solidFill>
          </w14:textFill>
        </w:rPr>
        <w:t>。</w:t>
      </w:r>
    </w:p>
    <w:p>
      <w:pPr>
        <w:spacing w:line="240" w:lineRule="auto"/>
        <w:rPr>
          <w:rFonts w:hint="eastAsia" w:ascii="宋体" w:hAnsi="宋体" w:eastAsia="宋体" w:cs="宋体"/>
          <w:b/>
          <w:bCs/>
          <w:color w:val="000000" w:themeColor="text1"/>
          <w:szCs w:val="21"/>
          <w:highlight w:val="none"/>
          <w14:textFill>
            <w14:solidFill>
              <w14:schemeClr w14:val="tx1"/>
            </w14:solidFill>
          </w14:textFill>
        </w:rPr>
      </w:pPr>
    </w:p>
    <w:p>
      <w:pPr>
        <w:spacing w:line="360" w:lineRule="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注：1、本章采购清单中</w:t>
      </w:r>
      <w:r>
        <w:rPr>
          <w:rFonts w:hint="eastAsia" w:ascii="宋体" w:hAnsi="宋体" w:eastAsia="宋体" w:cs="宋体"/>
          <w:b/>
          <w:bCs/>
          <w:color w:val="000000" w:themeColor="text1"/>
          <w:szCs w:val="21"/>
          <w:highlight w:val="none"/>
          <w:lang w:val="en-US" w:eastAsia="zh-CN"/>
          <w14:textFill>
            <w14:solidFill>
              <w14:schemeClr w14:val="tx1"/>
            </w14:solidFill>
          </w14:textFill>
        </w:rPr>
        <w:t>带“▲”的为重点参数，不带“▲”的为一般参数，带“◆”为演示参数，</w:t>
      </w:r>
      <w:r>
        <w:rPr>
          <w:rFonts w:hint="eastAsia" w:ascii="宋体" w:hAnsi="宋体" w:eastAsia="宋体" w:cs="宋体"/>
          <w:b/>
          <w:bCs/>
          <w:color w:val="000000" w:themeColor="text1"/>
          <w:szCs w:val="21"/>
          <w:highlight w:val="none"/>
          <w:lang w:eastAsia="zh-CN"/>
          <w14:textFill>
            <w14:solidFill>
              <w14:schemeClr w14:val="tx1"/>
            </w14:solidFill>
          </w14:textFill>
        </w:rPr>
        <w:t>带“※”的为</w:t>
      </w:r>
      <w:r>
        <w:rPr>
          <w:rFonts w:hint="eastAsia" w:ascii="宋体" w:hAnsi="宋体" w:eastAsia="宋体" w:cs="宋体"/>
          <w:b/>
          <w:bCs/>
          <w:color w:val="000000" w:themeColor="text1"/>
          <w:szCs w:val="21"/>
          <w:highlight w:val="none"/>
          <w14:textFill>
            <w14:solidFill>
              <w14:schemeClr w14:val="tx1"/>
            </w14:solidFill>
          </w14:textFill>
        </w:rPr>
        <w:t>本项目的核心产品</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lang w:val="en-US" w:eastAsia="zh-CN"/>
          <w14:textFill>
            <w14:solidFill>
              <w14:schemeClr w14:val="tx1"/>
            </w14:solidFill>
          </w14:textFill>
        </w:rPr>
        <w:t>即：</w:t>
      </w:r>
      <w:r>
        <w:rPr>
          <w:rFonts w:hint="eastAsia" w:ascii="宋体" w:hAnsi="宋体" w:eastAsia="宋体" w:cs="宋体"/>
          <w:b/>
          <w:bCs/>
          <w:color w:val="000000" w:themeColor="text1"/>
          <w:szCs w:val="21"/>
          <w:highlight w:val="none"/>
          <w14:textFill>
            <w14:solidFill>
              <w14:schemeClr w14:val="tx1"/>
            </w14:solidFill>
          </w14:textFill>
        </w:rPr>
        <w:t>智慧教室终端。在磋商过程中，磋商小组可以根据磋商文件和磋商情况实质性变动磋商文件的技术、服务要求以及合同草案条款，但不得变动磋商文件中的其他内容。实质性变动的内容，须经采购人代表书面确认。</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2、本章所述事项最终以本项目磋商文件及合同约定为准</w:t>
      </w:r>
      <w:r>
        <w:rPr>
          <w:rFonts w:hint="eastAsia" w:hAnsi="宋体" w:cs="宋体"/>
          <w:b/>
          <w:bCs/>
          <w:color w:val="000000" w:themeColor="text1"/>
          <w:kern w:val="0"/>
          <w:sz w:val="24"/>
          <w:szCs w:val="24"/>
          <w:highlight w:val="none"/>
          <w:lang w:val="en-US" w:eastAsia="zh-CN"/>
          <w14:textFill>
            <w14:solidFill>
              <w14:schemeClr w14:val="tx1"/>
            </w14:solidFill>
          </w14:textFill>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5"/>
      <w:bookmarkStart w:id="156" w:name="_Toc7961748"/>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57" w:name="_Toc20090"/>
      <w:bookmarkStart w:id="158" w:name="_Toc32508"/>
      <w:bookmarkStart w:id="159" w:name="_Toc7912"/>
      <w:r>
        <w:rPr>
          <w:rFonts w:hint="eastAsia" w:ascii="宋体" w:hAnsi="宋体" w:eastAsia="宋体" w:cs="宋体"/>
          <w:color w:val="000000" w:themeColor="text1"/>
          <w:sz w:val="36"/>
          <w:szCs w:val="36"/>
          <w:highlight w:val="none"/>
          <w14:textFill>
            <w14:solidFill>
              <w14:schemeClr w14:val="tx1"/>
            </w14:solidFill>
          </w14:textFill>
        </w:rPr>
        <w:t>第六章  响应文件格式</w:t>
      </w:r>
      <w:bookmarkEnd w:id="156"/>
      <w:bookmarkEnd w:id="157"/>
      <w:bookmarkEnd w:id="158"/>
      <w:bookmarkEnd w:id="159"/>
    </w:p>
    <w:p>
      <w:pPr>
        <w:pStyle w:val="62"/>
        <w:spacing w:line="360" w:lineRule="auto"/>
        <w:ind w:firstLine="490"/>
        <w:rPr>
          <w:rFonts w:hint="eastAsia" w:ascii="宋体" w:hAnsi="宋体" w:eastAsia="宋体" w:cs="宋体"/>
          <w:color w:val="000000" w:themeColor="text1"/>
          <w:highlight w:val="none"/>
          <w14:textFill>
            <w14:solidFill>
              <w14:schemeClr w14:val="tx1"/>
            </w14:solidFill>
          </w14:textFill>
        </w:rPr>
      </w:pP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一、本章所制响应文件格式，除格式中明确将该格式作为实质性要求的，一律不具有强制性。</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二、本章所制响应文件格式有关表格中的备注栏，由供应商根据自身响应情况作解释性说明，不作为必填项。</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四、格式涉及“法定代表人”相关描述，供应商为法人单位时按照“法定代表人”进行描述，供应商为其他组织时可自行修改为“单位负责人”。</w:t>
      </w:r>
    </w:p>
    <w:p>
      <w:pPr>
        <w:jc w:val="left"/>
        <w:rPr>
          <w:rFonts w:hint="eastAsia" w:ascii="宋体" w:hAnsi="宋体" w:eastAsia="宋体" w:cs="宋体"/>
          <w:b/>
          <w:color w:val="000000" w:themeColor="text1"/>
          <w:szCs w:val="21"/>
          <w:highlight w:val="none"/>
          <w14:textFill>
            <w14:solidFill>
              <w14:schemeClr w14:val="tx1"/>
            </w14:solidFill>
          </w14:textFill>
        </w:rPr>
      </w:pPr>
    </w:p>
    <w:p>
      <w:pPr>
        <w:jc w:val="left"/>
        <w:rPr>
          <w:rFonts w:hint="eastAsia" w:ascii="宋体" w:hAnsi="宋体" w:eastAsia="宋体" w:cs="宋体"/>
          <w:b/>
          <w:color w:val="000000" w:themeColor="text1"/>
          <w:szCs w:val="21"/>
          <w:highlight w:val="none"/>
          <w14:textFill>
            <w14:solidFill>
              <w14:schemeClr w14:val="tx1"/>
            </w14:solidFill>
          </w14:textFill>
        </w:rPr>
      </w:pPr>
    </w:p>
    <w:p>
      <w:pPr>
        <w:pStyle w:val="2"/>
        <w:tabs>
          <w:tab w:val="left" w:pos="720"/>
        </w:tabs>
        <w:spacing w:line="400" w:lineRule="exact"/>
        <w:ind w:firstLine="56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br w:type="page"/>
      </w:r>
      <w:bookmarkStart w:id="160" w:name="OLE_LINK32"/>
      <w:r>
        <w:rPr>
          <w:rFonts w:hint="eastAsia" w:ascii="宋体" w:hAnsi="宋体" w:eastAsia="宋体" w:cs="宋体"/>
          <w:color w:val="000000" w:themeColor="text1"/>
          <w:sz w:val="24"/>
          <w:szCs w:val="24"/>
          <w:highlight w:val="none"/>
          <w14:textFill>
            <w14:solidFill>
              <w14:schemeClr w14:val="tx1"/>
            </w14:solidFill>
          </w14:textFill>
        </w:rPr>
        <w:t>第一部分  资格性响应文件（格式）</w:t>
      </w:r>
    </w:p>
    <w:bookmarkEnd w:id="160"/>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lang w:eastAsia="zh-CN"/>
          <w14:textFill>
            <w14:solidFill>
              <w14:schemeClr w14:val="tx1"/>
            </w14:solidFill>
          </w14:textFill>
        </w:rPr>
        <w:t>一、</w:t>
      </w:r>
      <w:r>
        <w:rPr>
          <w:rFonts w:hint="eastAsia" w:ascii="宋体" w:hAnsi="宋体" w:eastAsia="宋体" w:cs="宋体"/>
          <w:bCs w:val="0"/>
          <w:color w:val="000000" w:themeColor="text1"/>
          <w:sz w:val="24"/>
          <w:szCs w:val="24"/>
          <w:highlight w:val="none"/>
          <w14:textFill>
            <w14:solidFill>
              <w14:schemeClr w14:val="tx1"/>
            </w14:solidFill>
          </w14:textFill>
        </w:rPr>
        <w:t>关于资格的声明函</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（采购代理机构）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关于贵方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（项目编号）磋商邀请，我方愿意参加磋商并提供采购文件中规定的采购需求。本签字人确认资格文件中的说明以及响应文件中所有提交的文件和材料是真实的、准确的。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我方在此声明，已提供了全部现有资料和数据，我方同意根据贵方要求出示文件予以证实，并确定所有文件资料真实。本声明如有虚假或不实之外，我方将失去合格供应商资格。</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ind w:firstLine="48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二、法定代表人身份证明</w:t>
      </w:r>
    </w:p>
    <w:p>
      <w:pPr>
        <w:ind w:firstLine="482"/>
        <w:jc w:val="center"/>
        <w:rPr>
          <w:rFonts w:hint="eastAsia" w:ascii="宋体" w:hAnsi="宋体" w:eastAsia="宋体" w:cs="宋体"/>
          <w:b/>
          <w:color w:val="000000" w:themeColor="text1"/>
          <w:sz w:val="24"/>
          <w:szCs w:val="24"/>
          <w:highlight w:val="none"/>
          <w:u w:val="singl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经营期限：</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w:t>
      </w:r>
    </w:p>
    <w:p>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附：法定代表人身份证复印件（身份证正反面复印并加盖公章）</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供应商名称：</w:t>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（公章）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期：</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注：(1)法定代表人亲自参与磋商而不是委托代理人磋商适用。</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(2)法定代表人在递交响应文件时，应携带法定代表人身份证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原件备查。</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(3)法定代表人提供的证件、证明不齐或不符合要求的，响应文件不予接收。</w:t>
      </w: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sectPr>
          <w:headerReference r:id="rId7" w:type="default"/>
          <w:footerReference r:id="rId8" w:type="default"/>
          <w:footerReference r:id="rId9" w:type="even"/>
          <w:pgSz w:w="11906" w:h="16838"/>
          <w:pgMar w:top="1440" w:right="1440" w:bottom="1440" w:left="1440" w:header="851" w:footer="992" w:gutter="0"/>
          <w:pgNumType w:fmt="numberInDash" w:start="1"/>
          <w:cols w:space="720" w:num="1"/>
          <w:docGrid w:type="lines" w:linePitch="312" w:charSpace="0"/>
        </w:sectPr>
      </w:pPr>
    </w:p>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161" w:name="_Toc217446083"/>
      <w:bookmarkStart w:id="162" w:name="_Toc317509429"/>
      <w:bookmarkStart w:id="163" w:name="_Toc319937308"/>
      <w:r>
        <w:rPr>
          <w:rFonts w:hint="eastAsia" w:ascii="宋体" w:hAnsi="宋体" w:eastAsia="宋体" w:cs="宋体"/>
          <w:bCs w:val="0"/>
          <w:color w:val="000000" w:themeColor="text1"/>
          <w:sz w:val="24"/>
          <w:szCs w:val="24"/>
          <w:highlight w:val="none"/>
          <w:lang w:eastAsia="zh-CN"/>
          <w14:textFill>
            <w14:solidFill>
              <w14:schemeClr w14:val="tx1"/>
            </w14:solidFill>
          </w14:textFill>
        </w:rPr>
        <w:t>二、</w:t>
      </w:r>
      <w:r>
        <w:rPr>
          <w:rFonts w:hint="eastAsia" w:ascii="宋体" w:hAnsi="宋体" w:eastAsia="宋体" w:cs="宋体"/>
          <w:bCs w:val="0"/>
          <w:color w:val="000000" w:themeColor="text1"/>
          <w:sz w:val="24"/>
          <w:szCs w:val="24"/>
          <w:highlight w:val="none"/>
          <w14:textFill>
            <w14:solidFill>
              <w14:schemeClr w14:val="tx1"/>
            </w14:solidFill>
          </w14:textFill>
        </w:rPr>
        <w:t>法定代表人授权书</w:t>
      </w:r>
      <w:bookmarkEnd w:id="161"/>
      <w:bookmarkEnd w:id="162"/>
      <w:bookmarkEnd w:id="163"/>
    </w:p>
    <w:p>
      <w:pPr>
        <w:spacing w:line="400" w:lineRule="exact"/>
        <w:ind w:firstLine="883"/>
        <w:jc w:val="center"/>
        <w:rPr>
          <w:rFonts w:hint="eastAsia" w:ascii="宋体" w:hAnsi="宋体" w:eastAsia="宋体" w:cs="宋体"/>
          <w:b/>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（法定代表人姓名、职务）授权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（授权代理人姓名、职务、身份证号码）为我方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）磋商采购活动的合法代表，全权代表本公司处理响应过程的一切事宜。授权代理人在响应过程中所签署的一切文件和处理与之有关的一切事务，本公司均予以认可并对此承担责任。授权代理人无转让委托权。</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本授权书有效期自签署之日起至本项目采购文件第二章规定的磋商有效期结束为止。特此声明。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部门：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详细通讯地址：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附：法定代表人和授权代理人有效的身份证复印件（身份证正反面复印并加盖公章）</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left="0" w:leftChars="0" w:firstLine="3015" w:firstLineChars="1231"/>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注：(1)法定代表人不亲自参与磋商而是由委托代理人参与磋商适用。</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(2)法定代表人委托他人参与磋商的，委托代理人应是供应商本单位的人员。</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(3)委托代理人在递交响应文件时，应携带委托代理人身份证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w:t>
      </w:r>
    </w:p>
    <w:p>
      <w:pPr>
        <w:ind w:firstLine="48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(4)委托代理人提供的证件、证明不齐或不符合要求的，响应文件不予接收。</w:t>
      </w:r>
    </w:p>
    <w:p>
      <w:pPr>
        <w:pStyle w:val="2"/>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三、供应商基本情况表</w:t>
      </w:r>
    </w:p>
    <w:p>
      <w:pPr>
        <w:pStyle w:val="10"/>
        <w:spacing w:line="400" w:lineRule="exact"/>
        <w:ind w:firstLine="482"/>
        <w:jc w:val="center"/>
        <w:rPr>
          <w:rFonts w:hint="eastAsia" w:ascii="宋体" w:hAnsi="宋体" w:eastAsia="宋体" w:cs="宋体"/>
          <w:b/>
          <w:color w:val="000000" w:themeColor="text1"/>
          <w:kern w:val="10"/>
          <w:sz w:val="24"/>
          <w:szCs w:val="24"/>
          <w:highlight w:val="none"/>
          <w14:textFill>
            <w14:solidFill>
              <w14:schemeClr w14:val="tx1"/>
            </w14:solidFill>
          </w14:textFill>
        </w:rPr>
      </w:pPr>
    </w:p>
    <w:tbl>
      <w:tblPr>
        <w:tblStyle w:val="28"/>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265"/>
        <w:gridCol w:w="2089"/>
        <w:gridCol w:w="142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37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379" w:type="dxa"/>
            <w:vMerge w:val="continue"/>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602"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统一社会信用代码</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四、承诺书</w:t>
      </w:r>
    </w:p>
    <w:p>
      <w:pPr>
        <w:snapToGrid w:val="0"/>
        <w:spacing w:line="36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一、具备《中华人民共和国政府采购法》第二十二条和本项目规定的条件：</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（一）具有独立承担民事责任的能力；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（二）具有良好的商业信誉和健全的财务会计制度；</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（三）具有履行合同所必需的设备和专业技术能力；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（四）有依法缴纳税收和社会保障资金的良好记录；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（五）参加政府采购活动前三年内，在经营活动中没有重大违法记录；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（六）法律、行政法规规定的其他条件。</w:t>
      </w:r>
    </w:p>
    <w:p>
      <w:pPr>
        <w:spacing w:line="360" w:lineRule="exact"/>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、我方及现任法定代表人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（姓名、身份证</w:t>
      </w:r>
      <w:r>
        <w:rPr>
          <w:rFonts w:hint="eastAsia" w:ascii="宋体" w:hAnsi="宋体" w:eastAsia="宋体" w:cs="宋体"/>
          <w:color w:val="000000" w:themeColor="text1"/>
          <w:highlight w:val="none"/>
          <w:u w:val="single"/>
          <w14:textFill>
            <w14:solidFill>
              <w14:schemeClr w14:val="tx1"/>
            </w14:solidFill>
          </w14:textFill>
        </w:rPr>
        <w:t>号</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、主要负责人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（姓名、身份证</w:t>
      </w:r>
      <w:r>
        <w:rPr>
          <w:rFonts w:hint="eastAsia" w:ascii="宋体" w:hAnsi="宋体" w:eastAsia="宋体" w:cs="宋体"/>
          <w:color w:val="000000" w:themeColor="text1"/>
          <w:highlight w:val="none"/>
          <w:u w:val="single"/>
          <w14:textFill>
            <w14:solidFill>
              <w14:schemeClr w14:val="tx1"/>
            </w14:solidFill>
          </w14:textFill>
        </w:rPr>
        <w:t>号</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不具有行贿犯罪记录；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参加本次采购活动，不存在与</w:t>
      </w:r>
      <w:r>
        <w:rPr>
          <w:rFonts w:hint="eastAsia" w:ascii="宋体" w:hAnsi="宋体" w:eastAsia="宋体" w:cs="宋体"/>
          <w:snapToGrid w:val="0"/>
          <w:color w:val="000000" w:themeColor="text1"/>
          <w:sz w:val="24"/>
          <w:szCs w:val="24"/>
          <w:highlight w:val="none"/>
          <w:lang w:val="zh-CN" w:eastAsia="zh-CN"/>
          <w14:textFill>
            <w14:solidFill>
              <w14:schemeClr w14:val="tx1"/>
            </w14:solidFill>
          </w14:textFill>
        </w:rPr>
        <w:t>其他供应商之间，</w:t>
      </w:r>
      <w:r>
        <w:rPr>
          <w:rFonts w:hint="eastAsia" w:ascii="宋体" w:hAnsi="宋体" w:eastAsia="宋体" w:cs="宋体"/>
          <w:snapToGrid w:val="0"/>
          <w:color w:val="000000" w:themeColor="text1"/>
          <w:sz w:val="24"/>
          <w:szCs w:val="24"/>
          <w:highlight w:val="none"/>
          <w14:textFill>
            <w14:solidFill>
              <w14:schemeClr w14:val="tx1"/>
            </w14:solidFill>
          </w14:textFill>
        </w:rPr>
        <w:t>单位负责人为同一人或者存在直接控股、管理关系</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同时委托同一个自然人、同一家庭的人员、同一单位的人员作为代理人或参与同一合同项下的政府采购活动的行为</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完全接受和满足本项目采购文件中规定的实质性要求（如报价、响应文件有效期、采购文件的构成、响应文件的组成、计量单位、报价货币、合同分包、合同转包等），如对采购文件有异议，已经在磋商截止时间届满前依法进行维权救济，不存在对采购文件有异议的同时又参加磋商以求侥幸中标或者为实现其他非法目的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三、参加本次采购活动，不存在与单位负责人为同一人或者存在直接控股、管理关系的其他供应商参与同一合同项下的政府采购活动的行为。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四、参加本次采购活动，不存在和其他供应商在同一合同项下的采购项目中，同时委托同一个自然人、同一家庭的人员、同一单位的人员作为代理人或参与供应商的行为。</w:t>
      </w:r>
    </w:p>
    <w:p>
      <w:pPr>
        <w:numPr>
          <w:ilvl w:val="0"/>
          <w:numId w:val="5"/>
        </w:numPr>
        <w:spacing w:line="360" w:lineRule="auto"/>
        <w:ind w:right="80" w:firstLine="480"/>
        <w:rPr>
          <w:rFonts w:hint="eastAsia" w:ascii="宋体" w:hAnsi="宋体" w:eastAsia="宋体" w:cs="宋体"/>
          <w:snapToGrid w:val="0"/>
          <w:color w:val="000000" w:themeColor="text1"/>
          <w:sz w:val="24"/>
          <w:szCs w:val="24"/>
          <w:highlight w:val="none"/>
          <w14:textFill>
            <w14:solidFill>
              <w14:schemeClr w14:val="tx1"/>
            </w14:solidFill>
          </w14:textFill>
        </w:rPr>
      </w:pPr>
      <w:bookmarkStart w:id="164" w:name="_Toc14469"/>
      <w:bookmarkStart w:id="165" w:name="_Toc18873"/>
      <w:r>
        <w:rPr>
          <w:rFonts w:hint="eastAsia" w:ascii="宋体" w:hAnsi="宋体" w:eastAsia="宋体" w:cs="宋体"/>
          <w:color w:val="000000" w:themeColor="text1"/>
          <w:sz w:val="24"/>
          <w:szCs w:val="24"/>
          <w:highlight w:val="none"/>
          <w14:textFill>
            <w14:solidFill>
              <w14:schemeClr w14:val="tx1"/>
            </w14:solidFill>
          </w14:textFill>
        </w:rPr>
        <w:t>在磋商截止日前，</w:t>
      </w:r>
      <w:r>
        <w:rPr>
          <w:rFonts w:hint="eastAsia" w:ascii="宋体" w:hAnsi="宋体" w:cs="宋体"/>
          <w:color w:val="000000" w:themeColor="text1"/>
          <w:sz w:val="24"/>
          <w:szCs w:val="24"/>
          <w:highlight w:val="none"/>
          <w:lang w:eastAsia="zh-CN"/>
          <w14:textFill>
            <w14:solidFill>
              <w14:schemeClr w14:val="tx1"/>
            </w14:solidFill>
          </w14:textFill>
        </w:rPr>
        <w:t>参照</w:t>
      </w:r>
      <w:r>
        <w:rPr>
          <w:rFonts w:hint="eastAsia" w:hAnsi="宋体" w:cs="宋体"/>
          <w:color w:val="000000" w:themeColor="text1"/>
          <w:sz w:val="24"/>
          <w:szCs w:val="24"/>
          <w:highlight w:val="none"/>
          <w:lang w:eastAsia="zh-CN"/>
          <w14:textFill>
            <w14:solidFill>
              <w14:schemeClr w14:val="tx1"/>
            </w14:solidFill>
          </w14:textFill>
        </w:rPr>
        <w:t>《四川省政府采购当事人诚信管理办法》（川财采〔2015〕33号文件）、严格按照《四川省公共资源交易领域严重失信联合惩戒实施办法》（川发改信用规〔2019〕405号）、《关于对政府采购领域严重违法失信主体开展联合惩戒的合作备忘录》（发改财金〔2018〕1614号）</w:t>
      </w:r>
      <w:r>
        <w:rPr>
          <w:rFonts w:hint="eastAsia" w:ascii="宋体" w:hAnsi="宋体" w:eastAsia="宋体" w:cs="宋体"/>
          <w:color w:val="000000" w:themeColor="text1"/>
          <w:sz w:val="24"/>
          <w:szCs w:val="24"/>
          <w:highlight w:val="none"/>
          <w14:textFill>
            <w14:solidFill>
              <w14:schemeClr w14:val="tx1"/>
            </w14:solidFill>
          </w14:textFill>
        </w:rPr>
        <w:t>等相关规定失信行为的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在磋商截止日前被工商部门、税务部门、审判机关及其他有关部门单位认定且处于有效期内的失信行为的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w:t>
      </w:r>
      <w:bookmarkEnd w:id="164"/>
      <w:bookmarkEnd w:id="165"/>
    </w:p>
    <w:p>
      <w:pPr>
        <w:numPr>
          <w:ilvl w:val="0"/>
          <w:numId w:val="5"/>
        </w:num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响应文件中提供的能够给予我公司带来优惠、好处的任何材料资料和技术、服务、商务等响应承诺情况都是真实的、有效的、合法的。</w:t>
      </w:r>
    </w:p>
    <w:p>
      <w:pPr>
        <w:numPr>
          <w:ilvl w:val="0"/>
          <w:numId w:val="5"/>
        </w:numPr>
        <w:spacing w:line="360" w:lineRule="auto"/>
        <w:ind w:firstLine="480"/>
        <w:outlineLvl w:val="1"/>
        <w:rPr>
          <w:rFonts w:hint="eastAsia" w:ascii="宋体" w:hAnsi="宋体" w:eastAsia="宋体" w:cs="宋体"/>
          <w:color w:val="000000" w:themeColor="text1"/>
          <w:sz w:val="24"/>
          <w:szCs w:val="24"/>
          <w:highlight w:val="none"/>
          <w14:textFill>
            <w14:solidFill>
              <w14:schemeClr w14:val="tx1"/>
            </w14:solidFill>
          </w14:textFill>
        </w:rPr>
      </w:pPr>
      <w:bookmarkStart w:id="166" w:name="_Toc15366"/>
      <w:bookmarkStart w:id="167" w:name="_Toc13363"/>
      <w:bookmarkStart w:id="168" w:name="_Toc31010"/>
      <w:r>
        <w:rPr>
          <w:rFonts w:hint="eastAsia" w:ascii="宋体" w:hAnsi="宋体" w:eastAsia="宋体" w:cs="宋体"/>
          <w:color w:val="000000" w:themeColor="text1"/>
          <w:sz w:val="24"/>
          <w:szCs w:val="24"/>
          <w:highlight w:val="none"/>
          <w14:textFill>
            <w14:solidFill>
              <w14:schemeClr w14:val="tx1"/>
            </w14:solidFill>
          </w14:textFill>
        </w:rPr>
        <w:t>在磋商截止日前，未被列入“信用中国”网站(www.creditchina.gov.cn)中列入失信被执行人和重大税收违法案件当事人名单的供应商，未被列入中国政府采购网(www.ccgp.gov. cn)、四川政府采购网（</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"http://www.ccgp-sichuan.gov.cn"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http://www.ccgp-sichuan.gov.cn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）政府采购严重违法失信行为记录名单中被财政部门禁止参加政府采购活动的供应商(处罚决定规定的时间和地域范围内)。</w:t>
      </w:r>
      <w:bookmarkEnd w:id="166"/>
      <w:bookmarkEnd w:id="167"/>
      <w:bookmarkEnd w:id="168"/>
    </w:p>
    <w:p>
      <w:pPr>
        <w:spacing w:line="360" w:lineRule="auto"/>
        <w:ind w:firstLine="490" w:firstLineChars="20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本公司对上述承诺的内容事项真实性负责。如经查实上述承诺的内容事项存在虚假，我公司愿意接受以提供虚假材料谋取中标追究法律责任。</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p>
    <w:p>
      <w:pPr>
        <w:pStyle w:val="38"/>
        <w:spacing w:line="360" w:lineRule="exact"/>
        <w:rPr>
          <w:rFonts w:hint="eastAsia" w:ascii="宋体" w:hAnsi="宋体" w:eastAsia="宋体" w:cs="宋体"/>
          <w:snapToGrid w:val="0"/>
          <w:color w:val="000000" w:themeColor="text1"/>
          <w:szCs w:val="24"/>
          <w:highlight w:val="none"/>
          <w14:textFill>
            <w14:solidFill>
              <w14:schemeClr w14:val="tx1"/>
            </w14:solidFill>
          </w14:textFill>
        </w:rPr>
      </w:pPr>
    </w:p>
    <w:p>
      <w:pPr>
        <w:spacing w:line="360" w:lineRule="exact"/>
        <w:ind w:firstLine="4716" w:firstLineChars="1925"/>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z w:val="30"/>
          <w:szCs w:val="30"/>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五、中小企业声明函（如适用）</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sz w:val="24"/>
          <w:highlight w:val="none"/>
          <w:u w:val="single"/>
          <w14:textFill>
            <w14:solidFill>
              <w14:schemeClr w14:val="tx1"/>
            </w14:solidFill>
          </w14:textFill>
        </w:rPr>
        <w:t xml:space="preserve">  （单位名称）</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color w:val="000000" w:themeColor="text1"/>
          <w:sz w:val="24"/>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numPr>
          <w:ilvl w:val="0"/>
          <w:numId w:val="6"/>
        </w:num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（标的名称） </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pPr>
        <w:pStyle w:val="38"/>
        <w:rPr>
          <w:rFonts w:hint="eastAsia" w:ascii="宋体" w:hAnsi="宋体" w:eastAsia="宋体" w:cs="宋体"/>
          <w:color w:val="000000" w:themeColor="text1"/>
          <w:highlight w:val="none"/>
          <w14:textFill>
            <w14:solidFill>
              <w14:schemeClr w14:val="tx1"/>
            </w14:solidFill>
          </w14:textFill>
        </w:rPr>
      </w:pPr>
    </w:p>
    <w:p>
      <w:pPr>
        <w:pStyle w:val="38"/>
        <w:rPr>
          <w:rFonts w:hint="eastAsia" w:ascii="宋体" w:hAnsi="宋体" w:eastAsia="宋体" w:cs="宋体"/>
          <w:color w:val="000000" w:themeColor="text1"/>
          <w:highlight w:val="none"/>
          <w14:textFill>
            <w14:solidFill>
              <w14:schemeClr w14:val="tx1"/>
            </w14:solidFill>
          </w14:textFill>
        </w:rPr>
      </w:pP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企业名称（盖章）：</w:t>
      </w: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日期：</w:t>
      </w:r>
    </w:p>
    <w:p>
      <w:pPr>
        <w:pStyle w:val="38"/>
        <w:rPr>
          <w:rFonts w:hint="eastAsia" w:ascii="宋体" w:hAnsi="宋体" w:eastAsia="宋体" w:cs="宋体"/>
          <w:color w:val="000000" w:themeColor="text1"/>
          <w:highlight w:val="none"/>
          <w14:textFill>
            <w14:solidFill>
              <w14:schemeClr w14:val="tx1"/>
            </w14:solidFill>
          </w14:textFill>
        </w:rPr>
      </w:pPr>
    </w:p>
    <w:p>
      <w:pPr>
        <w:pStyle w:val="38"/>
        <w:rPr>
          <w:rFonts w:hint="eastAsia" w:ascii="宋体" w:hAnsi="宋体" w:eastAsia="宋体" w:cs="宋体"/>
          <w:color w:val="000000" w:themeColor="text1"/>
          <w:highlight w:val="none"/>
          <w14:textFill>
            <w14:solidFill>
              <w14:schemeClr w14:val="tx1"/>
            </w14:solidFill>
          </w14:textFill>
        </w:rPr>
      </w:pPr>
    </w:p>
    <w:p>
      <w:pPr>
        <w:spacing w:line="240" w:lineRule="auto"/>
        <w:ind w:firstLine="610" w:firstLineChars="284"/>
        <w:rPr>
          <w:rFonts w:hint="eastAsia" w:ascii="宋体" w:hAnsi="宋体" w:eastAsia="宋体" w:cs="宋体"/>
          <w:b/>
          <w:bCs/>
          <w:color w:val="000000" w:themeColor="text1"/>
          <w:sz w:val="21"/>
          <w:szCs w:val="21"/>
          <w:highlight w:val="none"/>
          <w14:textFill>
            <w14:solidFill>
              <w14:schemeClr w14:val="tx1"/>
            </w14:solidFill>
          </w14:textFill>
        </w:rPr>
      </w:pPr>
      <w:bookmarkStart w:id="169" w:name="_bookmark1"/>
      <w:bookmarkEnd w:id="169"/>
      <w:r>
        <w:rPr>
          <w:rFonts w:hint="eastAsia" w:ascii="宋体" w:hAnsi="宋体" w:eastAsia="宋体" w:cs="宋体"/>
          <w:b/>
          <w:bCs/>
          <w:color w:val="000000" w:themeColor="text1"/>
          <w:sz w:val="21"/>
          <w:szCs w:val="21"/>
          <w:highlight w:val="none"/>
          <w14:textFill>
            <w14:solidFill>
              <w14:schemeClr w14:val="tx1"/>
            </w14:solidFill>
          </w14:textFill>
        </w:rPr>
        <w:t>注：1.从业人员、营业收入、资产总额填报上一年度数据，无上一年度数据的新成立企业可不填报。</w:t>
      </w:r>
    </w:p>
    <w:p>
      <w:pPr>
        <w:spacing w:line="240" w:lineRule="auto"/>
        <w:ind w:firstLine="610" w:firstLineChars="284"/>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2.根据“工信部联企业〔2011〕300号——关于印发中小企业划型标准规定的通知”，本项目</w:t>
      </w:r>
      <w:r>
        <w:rPr>
          <w:rFonts w:hint="eastAsia" w:ascii="宋体" w:hAnsi="宋体" w:cs="宋体"/>
          <w:b/>
          <w:bCs/>
          <w:color w:val="000000" w:themeColor="text1"/>
          <w:sz w:val="21"/>
          <w:szCs w:val="21"/>
          <w:highlight w:val="none"/>
          <w:lang w:val="en-US" w:eastAsia="zh-CN"/>
          <w14:textFill>
            <w14:solidFill>
              <w14:schemeClr w14:val="tx1"/>
            </w14:solidFill>
          </w14:textFill>
        </w:rPr>
        <w:t>采购标的</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所属行业为：</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 xml:space="preserve">工业、其他未列明行业 </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，工业划分标准为：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其他未列明行业划分标准为</w:t>
      </w:r>
      <w:r>
        <w:rPr>
          <w:rFonts w:hint="eastAsia" w:ascii="宋体" w:hAnsi="宋体" w:cs="宋体"/>
          <w:b/>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从业人员300人以下的为中小微型企业。其中，从业人员100人及以上的为中型企业；从业人员10人及以上的为小型企业；从业人员10人以下的为微型企业</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六、监狱企业证明文件（如涉及）</w:t>
      </w:r>
    </w:p>
    <w:p>
      <w:pPr>
        <w:ind w:firstLine="480"/>
        <w:rPr>
          <w:rFonts w:hint="eastAsia" w:ascii="宋体" w:hAnsi="宋体" w:eastAsia="宋体" w:cs="宋体"/>
          <w:color w:val="000000" w:themeColor="text1"/>
          <w:highlight w:val="none"/>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监狱企业参加政府采购活动时，应当提供由省级以上监狱管理局、戒毒管理局（含新疆生产建设兵团）出具的属于监狱企业的证明文件。</w:t>
      </w: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注：在政府采购活动中，监狱企业视同小型、微型企业，享受预留份额。</w:t>
      </w:r>
    </w:p>
    <w:p>
      <w:pPr>
        <w:pStyle w:val="12"/>
        <w:ind w:firstLine="420"/>
        <w:rPr>
          <w:rFonts w:hint="eastAsia" w:ascii="宋体" w:hAnsi="宋体" w:eastAsia="宋体" w:cs="宋体"/>
          <w:color w:val="000000" w:themeColor="text1"/>
          <w:highlight w:val="none"/>
          <w14:textFill>
            <w14:solidFill>
              <w14:schemeClr w14:val="tx1"/>
            </w14:solidFill>
          </w14:textFill>
        </w:rPr>
      </w:pPr>
    </w:p>
    <w:p>
      <w:pPr>
        <w:pStyle w:val="12"/>
        <w:ind w:firstLine="420"/>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pacing w:val="6"/>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七、残疾人福利性单位声明函（如涉及）</w:t>
      </w:r>
    </w:p>
    <w:p>
      <w:pPr>
        <w:spacing w:line="588" w:lineRule="exact"/>
        <w:ind w:firstLine="626"/>
        <w:rPr>
          <w:rFonts w:hint="eastAsia" w:ascii="宋体" w:hAnsi="宋体" w:eastAsia="宋体" w:cs="宋体"/>
          <w:b/>
          <w:color w:val="000000" w:themeColor="text1"/>
          <w:spacing w:val="6"/>
          <w:sz w:val="30"/>
          <w:szCs w:val="30"/>
          <w:highlight w:val="none"/>
          <w14:textFill>
            <w14:solidFill>
              <w14:schemeClr w14:val="tx1"/>
            </w14:solidFill>
          </w14:textFill>
        </w:rPr>
      </w:pPr>
    </w:p>
    <w:p>
      <w:pPr>
        <w:spacing w:line="588" w:lineRule="exact"/>
        <w:jc w:val="center"/>
        <w:rPr>
          <w:rFonts w:hint="eastAsia" w:ascii="宋体" w:hAnsi="宋体" w:eastAsia="宋体" w:cs="宋体"/>
          <w:b/>
          <w:bCs/>
          <w:color w:val="000000" w:themeColor="text1"/>
          <w:szCs w:val="28"/>
          <w:highlight w:val="none"/>
          <w14:textFill>
            <w14:solidFill>
              <w14:schemeClr w14:val="tx1"/>
            </w14:solidFill>
          </w14:textFill>
        </w:rPr>
      </w:pPr>
      <w:r>
        <w:rPr>
          <w:rFonts w:hint="eastAsia" w:ascii="宋体" w:hAnsi="宋体" w:eastAsia="宋体" w:cs="宋体"/>
          <w:b/>
          <w:bCs/>
          <w:color w:val="000000" w:themeColor="text1"/>
          <w:szCs w:val="28"/>
          <w:highlight w:val="none"/>
          <w14:textFill>
            <w14:solidFill>
              <w14:schemeClr w14:val="tx1"/>
            </w14:solidFill>
          </w14:textFill>
        </w:rPr>
        <w:t>（注：仅残疾人福利性单位提供，非残疾人福利性单位不提供本声明函）</w:t>
      </w:r>
    </w:p>
    <w:p>
      <w:pPr>
        <w:pStyle w:val="12"/>
        <w:rPr>
          <w:rFonts w:hint="eastAsia" w:ascii="宋体" w:hAnsi="宋体" w:eastAsia="宋体" w:cs="宋体"/>
          <w:color w:val="000000" w:themeColor="text1"/>
          <w:highlight w:val="none"/>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highlight w:val="none"/>
          <w14:textFill>
            <w14:solidFill>
              <w14:schemeClr w14:val="tx1"/>
            </w14:solidFill>
          </w14:textFill>
        </w:rPr>
        <w:t>〔2017〕 141</w:t>
      </w:r>
      <w:r>
        <w:rPr>
          <w:rFonts w:hint="eastAsia" w:ascii="宋体" w:hAnsi="宋体" w:eastAsia="宋体" w:cs="宋体"/>
          <w:color w:val="000000" w:themeColor="text1"/>
          <w:spacing w:val="6"/>
          <w:sz w:val="24"/>
          <w:highlight w:val="none"/>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单位的</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widowControl/>
        <w:spacing w:line="360" w:lineRule="auto"/>
        <w:ind w:firstLine="624"/>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w:t>
      </w: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注：在政府采购活动中，残疾人福利性单位视同小型、微型企业，享受预留份额。</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八、供应商资格证明材料</w:t>
      </w:r>
    </w:p>
    <w:p>
      <w:pPr>
        <w:rPr>
          <w:rFonts w:hint="eastAsia" w:ascii="宋体" w:hAnsi="宋体" w:eastAsia="宋体" w:cs="宋体"/>
          <w:color w:val="000000" w:themeColor="text1"/>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注：供应商应按照第四章的要求提供相应其他证明材料。格式自拟。</w:t>
      </w:r>
    </w:p>
    <w:p>
      <w:pPr>
        <w:pStyle w:val="12"/>
        <w:ind w:firstLine="480"/>
        <w:rPr>
          <w:rFonts w:hint="eastAsia" w:ascii="宋体" w:hAnsi="宋体" w:eastAsia="宋体" w:cs="宋体"/>
          <w:color w:val="000000" w:themeColor="text1"/>
          <w:kern w:val="0"/>
          <w:sz w:val="24"/>
          <w:highlight w:val="none"/>
          <w14:textFill>
            <w14:solidFill>
              <w14:schemeClr w14:val="tx1"/>
            </w14:solidFill>
          </w14:textFill>
        </w:rPr>
      </w:pPr>
    </w:p>
    <w:p>
      <w:pPr>
        <w:autoSpaceDE w:val="0"/>
        <w:autoSpaceDN w:val="0"/>
        <w:adjustRightInd w:val="0"/>
        <w:spacing w:line="440" w:lineRule="exact"/>
        <w:ind w:firstLine="480"/>
        <w:jc w:val="left"/>
        <w:rPr>
          <w:rFonts w:hint="eastAsia" w:ascii="宋体" w:hAnsi="宋体" w:eastAsia="宋体" w:cs="宋体"/>
          <w:color w:val="000000" w:themeColor="text1"/>
          <w:sz w:val="36"/>
          <w:szCs w:val="36"/>
          <w:highlight w:val="none"/>
          <w14:textFill>
            <w14:solidFill>
              <w14:schemeClr w14:val="tx1"/>
            </w14:solidFill>
          </w14:textFill>
        </w:rPr>
      </w:pPr>
    </w:p>
    <w:p>
      <w:pPr>
        <w:pStyle w:val="12"/>
        <w:ind w:firstLine="0"/>
        <w:rPr>
          <w:rFonts w:hint="eastAsia" w:ascii="宋体" w:hAnsi="宋体" w:eastAsia="宋体" w:cs="宋体"/>
          <w:color w:val="000000" w:themeColor="text1"/>
          <w:sz w:val="36"/>
          <w:szCs w:val="36"/>
          <w:highlight w:val="none"/>
          <w14:textFill>
            <w14:solidFill>
              <w14:schemeClr w14:val="tx1"/>
            </w14:solidFill>
          </w14:textFill>
        </w:rPr>
      </w:pPr>
    </w:p>
    <w:p>
      <w:pPr>
        <w:pStyle w:val="2"/>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bookmarkStart w:id="170" w:name="_Toc27691"/>
      <w:r>
        <w:rPr>
          <w:rFonts w:hint="eastAsia" w:ascii="宋体" w:hAnsi="宋体" w:eastAsia="宋体" w:cs="宋体"/>
          <w:color w:val="000000" w:themeColor="text1"/>
          <w:highlight w:val="none"/>
          <w:lang w:val="zh-CN"/>
          <w14:textFill>
            <w14:solidFill>
              <w14:schemeClr w14:val="tx1"/>
            </w14:solidFill>
          </w14:textFill>
        </w:rPr>
        <w:br w:type="page"/>
      </w:r>
      <w:bookmarkEnd w:id="170"/>
      <w:r>
        <w:rPr>
          <w:rFonts w:hint="eastAsia" w:ascii="宋体" w:hAnsi="宋体" w:eastAsia="宋体" w:cs="宋体"/>
          <w:color w:val="000000" w:themeColor="text1"/>
          <w:sz w:val="24"/>
          <w:szCs w:val="24"/>
          <w:highlight w:val="none"/>
          <w14:textFill>
            <w14:solidFill>
              <w14:schemeClr w14:val="tx1"/>
            </w14:solidFill>
          </w14:textFill>
        </w:rPr>
        <w:t>第二部分  其他响应文件（格式）</w:t>
      </w:r>
    </w:p>
    <w:p>
      <w:pPr>
        <w:ind w:firstLine="345" w:firstLineChars="141"/>
        <w:jc w:val="center"/>
        <w:rPr>
          <w:rFonts w:hint="eastAsia" w:ascii="宋体" w:hAnsi="宋体" w:eastAsia="宋体" w:cs="宋体"/>
          <w:color w:val="000000" w:themeColor="text1"/>
          <w:sz w:val="24"/>
          <w:szCs w:val="24"/>
          <w:highlight w:val="none"/>
          <w14:textFill>
            <w14:solidFill>
              <w14:schemeClr w14:val="tx1"/>
            </w14:solidFill>
          </w14:textFill>
        </w:rPr>
      </w:pPr>
    </w:p>
    <w:p>
      <w:pPr>
        <w:pStyle w:val="2"/>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一、</w:t>
      </w:r>
      <w:r>
        <w:rPr>
          <w:rFonts w:hint="eastAsia" w:ascii="宋体" w:hAnsi="宋体" w:eastAsia="宋体" w:cs="宋体"/>
          <w:bCs w:val="0"/>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val="0"/>
          <w:color w:val="000000" w:themeColor="text1"/>
          <w:sz w:val="24"/>
          <w:szCs w:val="24"/>
          <w:highlight w:val="none"/>
          <w14:textFill>
            <w14:solidFill>
              <w14:schemeClr w14:val="tx1"/>
            </w14:solidFill>
          </w14:textFill>
        </w:rPr>
        <w:t>函</w:t>
      </w:r>
    </w:p>
    <w:p>
      <w:pPr>
        <w:pStyle w:val="16"/>
        <w:spacing w:line="400" w:lineRule="exact"/>
        <w:ind w:left="0" w:leftChars="0" w:firstLine="345" w:firstLineChars="141"/>
        <w:rPr>
          <w:rFonts w:hint="eastAsia" w:ascii="宋体" w:hAnsi="宋体" w:eastAsia="宋体" w:cs="宋体"/>
          <w:color w:val="000000" w:themeColor="text1"/>
          <w:sz w:val="24"/>
          <w:szCs w:val="24"/>
          <w:highlight w:val="none"/>
          <w:u w:val="single"/>
          <w14:textFill>
            <w14:solidFill>
              <w14:schemeClr w14:val="tx1"/>
            </w14:solidFill>
          </w14:textFill>
        </w:rPr>
      </w:pPr>
    </w:p>
    <w:p>
      <w:pPr>
        <w:pStyle w:val="16"/>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pStyle w:val="16"/>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项目采购文件（项目编号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），决定参加贵单位组织的本项目</w:t>
      </w:r>
      <w:r>
        <w:rPr>
          <w:rFonts w:hint="eastAsia" w:ascii="宋体" w:hAnsi="宋体" w:eastAsia="宋体" w:cs="宋体"/>
          <w:color w:val="000000" w:themeColor="text1"/>
          <w:sz w:val="24"/>
          <w:szCs w:val="24"/>
          <w:highlight w:val="none"/>
          <w:lang w:val="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我方自愿按照报价单上的价格及采购文件规定的各项要求向采购人提供所需服务。</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一旦我方成交，我方将严格履行合同规定的责任和义务。</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同意本磋商文件依据《四川省公共资源交易领域严重失信联合惩戒实施办法》（川发改信用规〔2019〕405号）、《关于对政府采购领域严重违法失信主体开展联合惩戒的合作备忘录》（发改财金〔2018〕1614号）等相关规定对我方可能存在的失信行为进行惩戒。</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我方为本项目提交的响应文件正本各1份，副本各2份，用于磋商。</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我方愿意提供贵单位可能另外要求的，与磋商报价有关的文件资料，并保证我方已提供和将要提供的文件资料是真实、准确的。</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本次磋商，我方递交的响应文件有效期为磋商文件规定起算之日起</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天。</w:t>
      </w:r>
    </w:p>
    <w:p>
      <w:pPr>
        <w:pStyle w:val="16"/>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我方完全理解采购人不一定将合同授予最低报价的供应商的行为。</w:t>
      </w:r>
    </w:p>
    <w:p>
      <w:pPr>
        <w:pStyle w:val="16"/>
        <w:spacing w:line="400" w:lineRule="exact"/>
        <w:ind w:left="0" w:leftChars="0" w:firstLine="3468" w:firstLineChars="1416"/>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bookmarkStart w:id="171" w:name="_Toc217446085"/>
      <w:bookmarkStart w:id="172" w:name="_Toc317509430"/>
      <w:bookmarkStart w:id="173" w:name="_Toc319937309"/>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sectPr>
          <w:headerReference r:id="rId10" w:type="first"/>
          <w:footerReference r:id="rId12" w:type="first"/>
          <w:footerReference r:id="rId11" w:type="default"/>
          <w:pgSz w:w="11849" w:h="16781"/>
          <w:pgMar w:top="1440" w:right="1440" w:bottom="1440" w:left="1440" w:header="851" w:footer="992" w:gutter="0"/>
          <w:pgNumType w:fmt="numberInDash"/>
          <w:cols w:space="720" w:num="1"/>
          <w:titlePg/>
          <w:docGrid w:type="linesAndChars" w:linePitch="312" w:charSpace="1060"/>
        </w:sectPr>
      </w:pPr>
    </w:p>
    <w:p>
      <w:pPr>
        <w:pStyle w:val="38"/>
        <w:rPr>
          <w:rFonts w:hint="eastAsia" w:ascii="宋体" w:hAnsi="宋体" w:eastAsia="宋体" w:cs="宋体"/>
          <w:color w:val="000000" w:themeColor="text1"/>
          <w:szCs w:val="24"/>
          <w:highlight w:val="none"/>
          <w14:textFill>
            <w14:solidFill>
              <w14:schemeClr w14:val="tx1"/>
            </w14:solidFill>
          </w14:textFill>
        </w:rPr>
      </w:pPr>
    </w:p>
    <w:p>
      <w:pPr>
        <w:pStyle w:val="2"/>
        <w:tabs>
          <w:tab w:val="left" w:pos="720"/>
        </w:tabs>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二、</w:t>
      </w:r>
      <w:bookmarkEnd w:id="171"/>
      <w:r>
        <w:rPr>
          <w:rFonts w:hint="eastAsia" w:ascii="宋体" w:hAnsi="宋体" w:eastAsia="宋体" w:cs="宋体"/>
          <w:bCs w:val="0"/>
          <w:color w:val="000000" w:themeColor="text1"/>
          <w:sz w:val="24"/>
          <w:szCs w:val="24"/>
          <w:highlight w:val="none"/>
          <w14:textFill>
            <w14:solidFill>
              <w14:schemeClr w14:val="tx1"/>
            </w14:solidFill>
          </w14:textFill>
        </w:rPr>
        <w:t>报价一览表</w:t>
      </w:r>
      <w:bookmarkEnd w:id="172"/>
      <w:bookmarkEnd w:id="173"/>
    </w:p>
    <w:p>
      <w:pPr>
        <w:pStyle w:val="10"/>
        <w:spacing w:before="100" w:beforeAutospacing="1"/>
        <w:ind w:firstLine="482"/>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（第一次报价）</w:t>
      </w:r>
    </w:p>
    <w:p>
      <w:pPr>
        <w:ind w:firstLine="367" w:firstLineChars="150"/>
        <w:jc w:val="center"/>
        <w:rPr>
          <w:rFonts w:hint="eastAsia" w:ascii="宋体" w:hAnsi="宋体" w:eastAsia="宋体" w:cs="宋体"/>
          <w:color w:val="000000" w:themeColor="text1"/>
          <w:sz w:val="24"/>
          <w:szCs w:val="24"/>
          <w:highlight w:val="none"/>
          <w14:textFill>
            <w14:solidFill>
              <w14:schemeClr w14:val="tx1"/>
            </w14:solidFill>
          </w14:textFill>
        </w:rPr>
      </w:pPr>
    </w:p>
    <w:tbl>
      <w:tblPr>
        <w:tblStyle w:val="28"/>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8"/>
        <w:gridCol w:w="306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3060" w:type="dxa"/>
            <w:tcBorders>
              <w:top w:val="single" w:color="auto" w:sz="4" w:space="0"/>
              <w:left w:val="single" w:color="auto" w:sz="4" w:space="0"/>
              <w:right w:val="single" w:color="auto" w:sz="4" w:space="0"/>
            </w:tcBorders>
            <w:vAlign w:val="center"/>
          </w:tcPr>
          <w:p>
            <w:pPr>
              <w:ind w:right="-670" w:firstLine="98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tc>
        <w:tc>
          <w:tcPr>
            <w:tcW w:w="2385" w:type="dxa"/>
            <w:tcBorders>
              <w:top w:val="single" w:color="auto" w:sz="4" w:space="0"/>
              <w:left w:val="single" w:color="auto" w:sz="4" w:space="0"/>
              <w:bottom w:val="single" w:color="auto" w:sz="4" w:space="0"/>
              <w:right w:val="single" w:color="auto" w:sz="4" w:space="0"/>
            </w:tcBorders>
            <w:vAlign w:val="center"/>
          </w:tcPr>
          <w:p>
            <w:pPr>
              <w:ind w:right="-670"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060" w:type="dxa"/>
            <w:tcBorders>
              <w:top w:val="single" w:color="auto" w:sz="4" w:space="0"/>
              <w:left w:val="single" w:color="auto" w:sz="4" w:space="0"/>
              <w:right w:val="single" w:color="auto" w:sz="4" w:space="0"/>
            </w:tcBorders>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85" w:type="dxa"/>
            <w:tcBorders>
              <w:top w:val="single" w:color="auto" w:sz="4" w:space="0"/>
              <w:left w:val="single" w:color="auto" w:sz="4" w:space="0"/>
              <w:right w:val="single" w:color="auto" w:sz="4" w:space="0"/>
            </w:tcBorders>
            <w:vAlign w:val="center"/>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073" w:type="dxa"/>
            <w:gridSpan w:val="3"/>
            <w:vAlign w:val="center"/>
          </w:tcPr>
          <w:p>
            <w:pPr>
              <w:ind w:right="-67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大写：</w:t>
            </w:r>
            <w:r>
              <w:rPr>
                <w:rFonts w:hint="eastAsia" w:ascii="宋体" w:hAnsi="宋体" w:eastAsia="宋体" w:cs="宋体"/>
                <w:color w:val="000000" w:themeColor="text1"/>
                <w:sz w:val="24"/>
                <w:highlight w:val="none"/>
                <w:lang w:eastAsia="zh-CN"/>
                <w14:textFill>
                  <w14:solidFill>
                    <w14:schemeClr w14:val="tx1"/>
                  </w14:solidFill>
                </w14:textFill>
              </w:rPr>
              <w:t>人民币</w:t>
            </w:r>
            <w:r>
              <w:rPr>
                <w:rFonts w:hint="eastAsia" w:ascii="宋体" w:hAnsi="宋体" w:eastAsia="宋体" w:cs="宋体"/>
                <w:color w:val="000000" w:themeColor="text1"/>
                <w:sz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tc>
      </w:tr>
    </w:tbl>
    <w:p>
      <w:pPr>
        <w:ind w:firstLine="490" w:firstLineChars="20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注：1.磋商报价应是采购文件载明的所有服务内容的总价</w:t>
      </w:r>
      <w:r>
        <w:rPr>
          <w:rFonts w:hint="eastAsia" w:ascii="宋体" w:hAnsi="宋体" w:eastAsia="宋体" w:cs="宋体"/>
          <w:bCs/>
          <w:color w:val="000000" w:themeColor="text1"/>
          <w:sz w:val="24"/>
          <w:szCs w:val="24"/>
          <w:highlight w:val="none"/>
          <w:lang w:val="zh-TW"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包含：产品设计、生产制造、包装、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pPr>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.报价超过采购预算的将视为无效报价。</w:t>
      </w:r>
    </w:p>
    <w:p>
      <w:pPr>
        <w:ind w:firstLine="367" w:firstLineChars="15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4"/>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分项报价明细表</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项目编号：</w:t>
      </w:r>
    </w:p>
    <w:tbl>
      <w:tblPr>
        <w:tblStyle w:val="28"/>
        <w:tblW w:w="14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676"/>
        <w:gridCol w:w="1920"/>
        <w:gridCol w:w="870"/>
        <w:gridCol w:w="975"/>
        <w:gridCol w:w="1200"/>
        <w:gridCol w:w="1260"/>
        <w:gridCol w:w="885"/>
        <w:gridCol w:w="1155"/>
        <w:gridCol w:w="1095"/>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序号</w:t>
            </w:r>
          </w:p>
        </w:tc>
        <w:tc>
          <w:tcPr>
            <w:tcW w:w="2676"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产品名称</w:t>
            </w:r>
          </w:p>
        </w:tc>
        <w:tc>
          <w:tcPr>
            <w:tcW w:w="1920"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型号规格</w:t>
            </w:r>
          </w:p>
        </w:tc>
        <w:tc>
          <w:tcPr>
            <w:tcW w:w="870"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单位</w:t>
            </w:r>
          </w:p>
        </w:tc>
        <w:tc>
          <w:tcPr>
            <w:tcW w:w="975" w:type="dxa"/>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数量</w:t>
            </w:r>
          </w:p>
        </w:tc>
        <w:tc>
          <w:tcPr>
            <w:tcW w:w="1200" w:type="dxa"/>
            <w:noWrap w:val="0"/>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单价</w:t>
            </w:r>
          </w:p>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（元）</w:t>
            </w:r>
          </w:p>
        </w:tc>
        <w:tc>
          <w:tcPr>
            <w:tcW w:w="1260" w:type="dxa"/>
            <w:noWrap w:val="0"/>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总价</w:t>
            </w:r>
          </w:p>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（元）</w:t>
            </w:r>
          </w:p>
        </w:tc>
        <w:tc>
          <w:tcPr>
            <w:tcW w:w="885" w:type="dxa"/>
            <w:noWrap w:val="0"/>
            <w:vAlign w:val="center"/>
          </w:tcPr>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品牌</w:t>
            </w:r>
          </w:p>
        </w:tc>
        <w:tc>
          <w:tcPr>
            <w:tcW w:w="1155" w:type="dxa"/>
            <w:noWrap w:val="0"/>
            <w:vAlign w:val="center"/>
          </w:tcPr>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生产厂家</w:t>
            </w:r>
          </w:p>
        </w:tc>
        <w:tc>
          <w:tcPr>
            <w:tcW w:w="1095" w:type="dxa"/>
            <w:noWrap w:val="0"/>
            <w:vAlign w:val="center"/>
          </w:tcPr>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是否属于进口产品</w:t>
            </w:r>
          </w:p>
        </w:tc>
        <w:tc>
          <w:tcPr>
            <w:tcW w:w="1113" w:type="dxa"/>
            <w:noWrap w:val="0"/>
            <w:vAlign w:val="center"/>
          </w:tcPr>
          <w:p>
            <w:pPr>
              <w:widowControl/>
              <w:spacing w:line="240" w:lineRule="auto"/>
              <w:jc w:val="center"/>
              <w:textAlignment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一</w:t>
            </w:r>
          </w:p>
        </w:tc>
        <w:tc>
          <w:tcPr>
            <w:tcW w:w="13149" w:type="dxa"/>
            <w:gridSpan w:val="10"/>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美发美容校内一体化实训基地设施设备采购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53" w:type="dxa"/>
            <w:noWrap w:val="0"/>
            <w:vAlign w:val="center"/>
          </w:tcPr>
          <w:p>
            <w:pPr>
              <w:spacing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（一）</w:t>
            </w:r>
          </w:p>
        </w:tc>
        <w:tc>
          <w:tcPr>
            <w:tcW w:w="13149" w:type="dxa"/>
            <w:gridSpan w:val="10"/>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美发与造型理实一体化实训室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可移动高清电视</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智慧黑板</w:t>
            </w:r>
          </w:p>
        </w:tc>
        <w:tc>
          <w:tcPr>
            <w:tcW w:w="1920" w:type="dxa"/>
            <w:noWrap w:val="0"/>
            <w:vAlign w:val="center"/>
          </w:tcPr>
          <w:p>
            <w:pPr>
              <w:jc w:val="left"/>
              <w:rPr>
                <w:rFonts w:hint="eastAsia" w:ascii="宋体" w:hAnsi="宋体" w:eastAsia="宋体" w:cs="宋体"/>
                <w:color w:val="000000" w:themeColor="text1"/>
                <w:kern w:val="2"/>
                <w:sz w:val="21"/>
                <w:szCs w:val="21"/>
                <w:highlight w:val="none"/>
                <w:shd w:val="clear" w:color="auto" w:fill="FFFFFF"/>
                <w:lang w:val="en-US" w:eastAsia="zh-CN" w:bidi="ar-SA"/>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上网镜台</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双面可移动镜台</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配套推车</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吊顶电源</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新风系统或中央空调</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收银台</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洗头床</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物品陈列展示台</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水槽</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直排式热水器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1920" w:type="dxa"/>
            <w:noWrap w:val="0"/>
            <w:vAlign w:val="center"/>
          </w:tcPr>
          <w:p>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94" w:type="dxa"/>
            <w:gridSpan w:val="6"/>
            <w:noWrap w:val="0"/>
            <w:vAlign w:val="center"/>
          </w:tcPr>
          <w:p>
            <w:pPr>
              <w:spacing w:line="240" w:lineRule="auto"/>
              <w:jc w:val="right"/>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53" w:type="dxa"/>
            <w:noWrap w:val="0"/>
            <w:vAlign w:val="center"/>
          </w:tcPr>
          <w:p>
            <w:pPr>
              <w:spacing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（二）</w:t>
            </w:r>
          </w:p>
        </w:tc>
        <w:tc>
          <w:tcPr>
            <w:tcW w:w="13149" w:type="dxa"/>
            <w:gridSpan w:val="10"/>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美容美体艺术理实一体化实训室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美容床</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22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可移动高清电视</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配套推车</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消毒柜、清洗池（热水）、热水器等</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美容化妆环形LED灯</w:t>
            </w:r>
          </w:p>
        </w:tc>
        <w:tc>
          <w:tcPr>
            <w:tcW w:w="1920" w:type="dxa"/>
            <w:noWrap w:val="0"/>
            <w:vAlign w:val="center"/>
          </w:tcPr>
          <w:p>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物品陈列及展示柜</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新风系统或中央空调</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594" w:type="dxa"/>
            <w:gridSpan w:val="6"/>
            <w:noWrap w:val="0"/>
            <w:vAlign w:val="center"/>
          </w:tcPr>
          <w:p>
            <w:pPr>
              <w:spacing w:line="240" w:lineRule="auto"/>
              <w:jc w:val="right"/>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53" w:type="dxa"/>
            <w:noWrap w:val="0"/>
            <w:vAlign w:val="center"/>
          </w:tcPr>
          <w:p>
            <w:pPr>
              <w:spacing w:line="24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（三）</w:t>
            </w:r>
          </w:p>
        </w:tc>
        <w:tc>
          <w:tcPr>
            <w:tcW w:w="13149" w:type="dxa"/>
            <w:gridSpan w:val="10"/>
            <w:noWrap w:val="0"/>
            <w:vAlign w:val="center"/>
          </w:tcPr>
          <w:p>
            <w:pPr>
              <w:spacing w:line="240" w:lineRule="auto"/>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化妆造型理实一体化实训室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电动背景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套</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闪光灯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柔光箱</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灯架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3</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引闪器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相机脚架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单反相机</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相机镜头</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清洗池（热水）、热水器等</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单反相机干燥箱镜头防潮箱</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台</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2676"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储物柜</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展示柜</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新风系统或中央空调。</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个</w:t>
            </w:r>
          </w:p>
        </w:tc>
        <w:tc>
          <w:tcPr>
            <w:tcW w:w="975" w:type="dxa"/>
            <w:noWrap w:val="0"/>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94" w:type="dxa"/>
            <w:gridSpan w:val="6"/>
            <w:noWrap w:val="0"/>
            <w:vAlign w:val="center"/>
          </w:tcPr>
          <w:p>
            <w:pPr>
              <w:spacing w:line="240" w:lineRule="auto"/>
              <w:jc w:val="right"/>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594" w:type="dxa"/>
            <w:gridSpan w:val="6"/>
            <w:noWrap w:val="0"/>
            <w:vAlign w:val="center"/>
          </w:tcPr>
          <w:p>
            <w:pPr>
              <w:spacing w:line="240" w:lineRule="auto"/>
              <w:jc w:val="right"/>
              <w:rPr>
                <w:rFonts w:hint="eastAsia" w:ascii="宋体" w:hAnsi="宋体" w:cs="宋体"/>
                <w:b/>
                <w:bCs/>
                <w:color w:val="000000" w:themeColor="text1"/>
                <w:sz w:val="21"/>
                <w:szCs w:val="2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本项小计：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二</w:t>
            </w:r>
          </w:p>
        </w:tc>
        <w:tc>
          <w:tcPr>
            <w:tcW w:w="13149" w:type="dxa"/>
            <w:gridSpan w:val="10"/>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精品课程制作室设施设备采购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智慧黑板</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智慧教室终端</w:t>
            </w:r>
          </w:p>
        </w:tc>
        <w:tc>
          <w:tcPr>
            <w:tcW w:w="1920" w:type="dxa"/>
            <w:noWrap w:val="0"/>
            <w:vAlign w:val="top"/>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智慧终端管理系统</w:t>
            </w:r>
          </w:p>
        </w:tc>
        <w:tc>
          <w:tcPr>
            <w:tcW w:w="1920" w:type="dxa"/>
            <w:noWrap w:val="0"/>
            <w:vAlign w:val="top"/>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录播系统</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教师、学生3D跟踪探测器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自动跟踪系统</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导播系统</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录播终端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收音系统</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支</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云直播互动服务</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音频处理器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智慧课堂系统</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13</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无线控制终端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14</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智慧无线AP</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企业级VPN路由器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交换机</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17</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电源时序器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18</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电动窗帘滑轨</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窗帘</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学生定制控制平板</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智能充电桩</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22</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交互软件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2676" w:type="dxa"/>
            <w:noWrap w:val="0"/>
            <w:vAlign w:val="center"/>
          </w:tcPr>
          <w:p>
            <w:pPr>
              <w:widowControl/>
              <w:jc w:val="left"/>
              <w:textAlignment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音箱</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扩音吊麦</w:t>
            </w:r>
          </w:p>
        </w:tc>
        <w:tc>
          <w:tcPr>
            <w:tcW w:w="1920" w:type="dxa"/>
            <w:noWrap w:val="0"/>
            <w:vAlign w:val="center"/>
          </w:tcPr>
          <w:p>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支</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互动教学桌椅</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00"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26</w:t>
            </w:r>
          </w:p>
        </w:tc>
        <w:tc>
          <w:tcPr>
            <w:tcW w:w="2676" w:type="dxa"/>
            <w:noWrap w:val="0"/>
            <w:vAlign w:val="center"/>
          </w:tcPr>
          <w:p>
            <w:pPr>
              <w:widowControl/>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多媒体讲桌</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widowControl/>
              <w:spacing w:line="240" w:lineRule="auto"/>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94" w:type="dxa"/>
            <w:gridSpan w:val="6"/>
            <w:noWrap w:val="0"/>
            <w:vAlign w:val="center"/>
          </w:tcPr>
          <w:p>
            <w:pPr>
              <w:spacing w:line="240" w:lineRule="auto"/>
              <w:jc w:val="right"/>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b/>
                <w:bCs/>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三</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旅游专业多功能训练室设施设备采购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机柜</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widowControl/>
              <w:jc w:val="lef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单10寸音响</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卡包功放</w:t>
            </w:r>
          </w:p>
        </w:tc>
        <w:tc>
          <w:tcPr>
            <w:tcW w:w="1920"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widowControl/>
              <w:jc w:val="left"/>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电源时序器</w:t>
            </w:r>
          </w:p>
        </w:tc>
        <w:tc>
          <w:tcPr>
            <w:tcW w:w="1920" w:type="dxa"/>
            <w:noWrap w:val="0"/>
            <w:vAlign w:val="center"/>
          </w:tcPr>
          <w:p>
            <w:pPr>
              <w:widowControl/>
              <w:jc w:val="left"/>
              <w:rPr>
                <w:rFonts w:hint="eastAsia" w:ascii="宋体" w:hAnsi="宋体" w:eastAsia="宋体" w:cs="宋体"/>
                <w:color w:val="000000" w:themeColor="text1"/>
                <w:kern w:val="0"/>
                <w:sz w:val="21"/>
                <w:szCs w:val="21"/>
                <w:highlight w:val="none"/>
                <w:lang w:eastAsia="zh-CN"/>
                <w14:textFill>
                  <w14:solidFill>
                    <w14:schemeClr w14:val="tx1"/>
                  </w14:solidFill>
                </w14:textFill>
              </w:rPr>
            </w:pPr>
          </w:p>
        </w:tc>
        <w:tc>
          <w:tcPr>
            <w:tcW w:w="870" w:type="dxa"/>
            <w:noWrap w:val="0"/>
            <w:vAlign w:val="center"/>
          </w:tcPr>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widowControl/>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音响挂架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付</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音箱线材</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米</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移动白板</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壁挂式音响</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四</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劳动体验中心设施设备采购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移动白板</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实训桌椅</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壁挂式音响</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收纳整理箱</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置物架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收纳袋</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行李箱</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衣架、裤架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物料、衣物</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物料、书籍、玩具</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物料、餐厨用具</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2676"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收纳其他小工具、用品</w:t>
            </w:r>
          </w:p>
        </w:tc>
        <w:tc>
          <w:tcPr>
            <w:tcW w:w="1920" w:type="dxa"/>
            <w:noWrap w:val="0"/>
            <w:vAlign w:val="center"/>
          </w:tcPr>
          <w:p>
            <w:pPr>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五</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双桂校区心理健康咨询室设施设备采购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便携式办公投影器</w:t>
            </w:r>
          </w:p>
        </w:tc>
        <w:tc>
          <w:tcPr>
            <w:tcW w:w="1920" w:type="dxa"/>
            <w:noWrap w:val="0"/>
            <w:vAlign w:val="center"/>
          </w:tcPr>
          <w:p>
            <w:pPr>
              <w:spacing w:line="240" w:lineRule="auto"/>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台</w:t>
            </w:r>
          </w:p>
        </w:tc>
        <w:tc>
          <w:tcPr>
            <w:tcW w:w="97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心健室制度、知识图片</w:t>
            </w:r>
          </w:p>
        </w:tc>
        <w:tc>
          <w:tcPr>
            <w:tcW w:w="1920" w:type="dxa"/>
            <w:noWrap w:val="0"/>
            <w:vAlign w:val="center"/>
          </w:tcPr>
          <w:p>
            <w:pPr>
              <w:spacing w:line="240" w:lineRule="auto"/>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个</w:t>
            </w:r>
          </w:p>
        </w:tc>
        <w:tc>
          <w:tcPr>
            <w:tcW w:w="97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落地灯</w:t>
            </w:r>
          </w:p>
        </w:tc>
        <w:tc>
          <w:tcPr>
            <w:tcW w:w="1920" w:type="dxa"/>
            <w:noWrap w:val="0"/>
            <w:vAlign w:val="center"/>
          </w:tcPr>
          <w:p>
            <w:pPr>
              <w:spacing w:line="240" w:lineRule="auto"/>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个</w:t>
            </w:r>
          </w:p>
        </w:tc>
        <w:tc>
          <w:tcPr>
            <w:tcW w:w="975"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六</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双桂校区创客中心设施设备采购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白板</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液晶电视落地支架</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微单套机1</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微单套机4</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图形图像处理工作站1</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引闪器</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7</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稳定器</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8</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数位板</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9</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数位屏</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10</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便携三脚架</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11</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摄影补光灯</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12</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摄影常亮灯</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13</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多媒体音响</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14</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虚拟直播设备</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15</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直播补光灯</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16</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收银一体机</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17</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电子电工工具箱套</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18</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电烙铁套装</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19</w:t>
            </w:r>
          </w:p>
        </w:tc>
        <w:tc>
          <w:tcPr>
            <w:tcW w:w="2676" w:type="dxa"/>
            <w:noWrap w:val="0"/>
            <w:vAlign w:val="center"/>
          </w:tcPr>
          <w:p>
            <w:pPr>
              <w:jc w:val="left"/>
              <w:textAlignment w:val="baseline"/>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航拍无人机器</w:t>
            </w:r>
          </w:p>
        </w:tc>
        <w:tc>
          <w:tcPr>
            <w:tcW w:w="1920" w:type="dxa"/>
            <w:noWrap w:val="0"/>
            <w:vAlign w:val="center"/>
          </w:tcPr>
          <w:p>
            <w:pPr>
              <w:widowControl/>
              <w:jc w:val="left"/>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20</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长方形实训桌</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张</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5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21</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电工实训桌</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张</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20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594" w:type="dxa"/>
            <w:gridSpan w:val="6"/>
            <w:noWrap w:val="0"/>
            <w:vAlign w:val="center"/>
          </w:tcPr>
          <w:p>
            <w:pPr>
              <w:spacing w:line="240" w:lineRule="auto"/>
              <w:jc w:val="righ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七</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成龙校区演播厅设施设备采购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会标屏</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平米</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widowControl/>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三合一电脑摇头灯</w:t>
            </w:r>
          </w:p>
        </w:tc>
        <w:tc>
          <w:tcPr>
            <w:tcW w:w="1920" w:type="dxa"/>
            <w:noWrap w:val="0"/>
            <w:vAlign w:val="center"/>
          </w:tcPr>
          <w:p>
            <w:pPr>
              <w:widowControl/>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widowControl/>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LED平板会议灯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COB面光灯</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灯光控制台</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信号放大器</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台</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音响系统改造</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专业灯钩</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灯具保险绳</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信号接插件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信号线、电缆线等辅材</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批</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12</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无线传屏器</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台</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3" w:type="dxa"/>
            <w:noWrap w:val="0"/>
            <w:vAlign w:val="center"/>
          </w:tcPr>
          <w:p>
            <w:pPr>
              <w:spacing w:line="240" w:lineRule="auto"/>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13</w:t>
            </w:r>
          </w:p>
        </w:tc>
        <w:tc>
          <w:tcPr>
            <w:tcW w:w="2676" w:type="dxa"/>
            <w:noWrap w:val="0"/>
            <w:vAlign w:val="center"/>
          </w:tcPr>
          <w:p>
            <w:pPr>
              <w:jc w:val="lef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无线会议话筒</w:t>
            </w:r>
          </w:p>
        </w:tc>
        <w:tc>
          <w:tcPr>
            <w:tcW w:w="1920" w:type="dxa"/>
            <w:noWrap w:val="0"/>
            <w:vAlign w:val="center"/>
          </w:tcPr>
          <w:p>
            <w:pPr>
              <w:jc w:val="left"/>
              <w:textAlignment w:val="baseline"/>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套</w:t>
            </w:r>
          </w:p>
        </w:tc>
        <w:tc>
          <w:tcPr>
            <w:tcW w:w="975" w:type="dxa"/>
            <w:noWrap w:val="0"/>
            <w:vAlign w:val="center"/>
          </w:tcPr>
          <w:p>
            <w:pPr>
              <w:jc w:val="center"/>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default" w:ascii="宋体" w:hAnsi="宋体" w:cs="宋体"/>
                <w:color w:val="000000" w:themeColor="text1"/>
                <w:szCs w:val="21"/>
                <w:highlight w:val="none"/>
                <w:lang w:val="en-US" w:eastAsia="zh-CN"/>
                <w14:textFill>
                  <w14:solidFill>
                    <w14:schemeClr w14:val="tx1"/>
                  </w14:solidFill>
                </w14:textFill>
              </w:rPr>
              <w:t>3</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八</w:t>
            </w:r>
          </w:p>
        </w:tc>
        <w:tc>
          <w:tcPr>
            <w:tcW w:w="7641" w:type="dxa"/>
            <w:gridSpan w:val="5"/>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成龙校区文创学院设施设备采购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抽拉式挂画展架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注塑双杆直面展架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立式双面单独展架</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53" w:type="dxa"/>
            <w:noWrap w:val="0"/>
            <w:vAlign w:val="center"/>
          </w:tcPr>
          <w:p>
            <w:pPr>
              <w:spacing w:line="24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九</w:t>
            </w:r>
          </w:p>
        </w:tc>
        <w:tc>
          <w:tcPr>
            <w:tcW w:w="7641" w:type="dxa"/>
            <w:gridSpan w:val="5"/>
            <w:noWrap w:val="0"/>
            <w:vAlign w:val="center"/>
          </w:tcPr>
          <w:p>
            <w:pPr>
              <w:spacing w:line="24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成龙校区学生公寓床椅柜采购</w:t>
            </w:r>
          </w:p>
        </w:tc>
        <w:tc>
          <w:tcPr>
            <w:tcW w:w="1260"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88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5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095"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c>
          <w:tcPr>
            <w:tcW w:w="1113" w:type="dxa"/>
            <w:noWrap w:val="0"/>
            <w:vAlign w:val="center"/>
          </w:tcPr>
          <w:p>
            <w:pPr>
              <w:spacing w:line="240" w:lineRule="auto"/>
              <w:jc w:val="left"/>
              <w:rPr>
                <w:rFonts w:hint="eastAsia" w:ascii="宋体" w:hAnsi="宋体" w:eastAsia="宋体" w:cs="宋体"/>
                <w:b/>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三人组床</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椅子</w:t>
            </w:r>
          </w:p>
        </w:tc>
        <w:tc>
          <w:tcPr>
            <w:tcW w:w="1920" w:type="dxa"/>
            <w:noWrap w:val="0"/>
            <w:vAlign w:val="center"/>
          </w:tcPr>
          <w:p>
            <w:pPr>
              <w:jc w:val="left"/>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把</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108</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53"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676" w:type="dxa"/>
            <w:noWrap w:val="0"/>
            <w:vAlign w:val="center"/>
          </w:tcPr>
          <w:p>
            <w:pPr>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储物柜</w:t>
            </w:r>
          </w:p>
        </w:tc>
        <w:tc>
          <w:tcPr>
            <w:tcW w:w="1920" w:type="dxa"/>
            <w:noWrap w:val="0"/>
            <w:vAlign w:val="center"/>
          </w:tcPr>
          <w:p>
            <w:pPr>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p>
        </w:tc>
        <w:tc>
          <w:tcPr>
            <w:tcW w:w="870"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w:t>
            </w:r>
          </w:p>
        </w:tc>
        <w:tc>
          <w:tcPr>
            <w:tcW w:w="975" w:type="dxa"/>
            <w:noWrap w:val="0"/>
            <w:vAlign w:val="center"/>
          </w:tcPr>
          <w:p>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w:t>
            </w:r>
          </w:p>
        </w:tc>
        <w:tc>
          <w:tcPr>
            <w:tcW w:w="1200" w:type="dxa"/>
            <w:noWrap w:val="0"/>
            <w:vAlign w:val="center"/>
          </w:tcPr>
          <w:p>
            <w:pPr>
              <w:spacing w:line="240" w:lineRule="auto"/>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594" w:type="dxa"/>
            <w:gridSpan w:val="6"/>
            <w:noWrap w:val="0"/>
            <w:vAlign w:val="center"/>
          </w:tcPr>
          <w:p>
            <w:pPr>
              <w:spacing w:line="240" w:lineRule="auto"/>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小计：</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594" w:type="dxa"/>
            <w:gridSpan w:val="6"/>
            <w:noWrap w:val="0"/>
            <w:vAlign w:val="center"/>
          </w:tcPr>
          <w:p>
            <w:pPr>
              <w:wordWrap w:val="0"/>
              <w:spacing w:line="240" w:lineRule="auto"/>
              <w:jc w:val="right"/>
              <w:rPr>
                <w:rFonts w:hint="default" w:ascii="宋体" w:hAnsi="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合计：（大写：人民币</w:t>
            </w:r>
            <w:r>
              <w:rPr>
                <w:rFonts w:hint="eastAsia" w:ascii="宋体" w:hAnsi="宋体" w:cs="宋体"/>
                <w:b/>
                <w:bCs/>
                <w:color w:val="000000" w:themeColor="text1"/>
                <w:sz w:val="21"/>
                <w:szCs w:val="21"/>
                <w:highlight w:val="none"/>
                <w:lang w:val="en-US" w:eastAsia="zh-CN"/>
                <w14:textFill>
                  <w14:solidFill>
                    <w14:schemeClr w14:val="tx1"/>
                  </w14:solidFill>
                </w14:textFill>
              </w:rPr>
              <w:t xml:space="preserve">             ）。</w:t>
            </w:r>
          </w:p>
        </w:tc>
        <w:tc>
          <w:tcPr>
            <w:tcW w:w="1260"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88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5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095"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c>
          <w:tcPr>
            <w:tcW w:w="1113" w:type="dxa"/>
            <w:noWrap w:val="0"/>
            <w:vAlign w:val="center"/>
          </w:tcPr>
          <w:p>
            <w:pPr>
              <w:spacing w:line="24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p>
        </w:tc>
      </w:tr>
    </w:tbl>
    <w:p>
      <w:pPr>
        <w:spacing w:line="360" w:lineRule="auto"/>
        <w:ind w:firstLine="645" w:firstLineChars="3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注：1、供应商必须按采购清单逐一报价，不得有缺项漏项，否则视该项免费为采购人提供货物。</w:t>
      </w:r>
    </w:p>
    <w:p>
      <w:pPr>
        <w:spacing w:line="360" w:lineRule="auto"/>
        <w:ind w:firstLine="645" w:firstLineChars="3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2、“分项报价明细表”各分项报价合计应当与“</w:t>
      </w:r>
      <w:r>
        <w:rPr>
          <w:rFonts w:hint="eastAsia" w:ascii="宋体" w:hAnsi="宋体" w:eastAsia="宋体" w:cs="宋体"/>
          <w:color w:val="000000" w:themeColor="text1"/>
          <w:szCs w:val="21"/>
          <w:highlight w:val="none"/>
          <w:lang w:val="zh-CN"/>
          <w14:textFill>
            <w14:solidFill>
              <w14:schemeClr w14:val="tx1"/>
            </w14:solidFill>
          </w14:textFill>
        </w:rPr>
        <w:t>第一次报价</w:t>
      </w:r>
      <w:r>
        <w:rPr>
          <w:rFonts w:hint="eastAsia" w:ascii="宋体" w:hAnsi="宋体" w:eastAsia="宋体" w:cs="宋体"/>
          <w:color w:val="000000" w:themeColor="text1"/>
          <w:szCs w:val="21"/>
          <w:highlight w:val="none"/>
          <w14:textFill>
            <w14:solidFill>
              <w14:schemeClr w14:val="tx1"/>
            </w14:solidFill>
          </w14:textFill>
        </w:rPr>
        <w:t>”合计相等。</w:t>
      </w:r>
    </w:p>
    <w:p>
      <w:pPr>
        <w:pStyle w:val="12"/>
        <w:rPr>
          <w:rFonts w:hint="eastAsia" w:ascii="宋体" w:hAnsi="宋体" w:eastAsia="宋体" w:cs="宋体"/>
          <w:color w:val="000000" w:themeColor="text1"/>
          <w:highlight w:val="none"/>
          <w:lang w:val="zh-CN"/>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32"/>
          <w:szCs w:val="32"/>
          <w:highlight w:val="none"/>
          <w14:textFill>
            <w14:solidFill>
              <w14:schemeClr w14:val="tx1"/>
            </w14:solidFill>
          </w14:textFill>
        </w:rPr>
        <w:sectPr>
          <w:pgSz w:w="16781" w:h="11849" w:orient="landscape"/>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32"/>
          <w:szCs w:val="32"/>
          <w:highlight w:val="none"/>
          <w14:textFill>
            <w14:solidFill>
              <w14:schemeClr w14:val="tx1"/>
            </w14:solidFill>
          </w14:textFill>
        </w:rPr>
        <w:br w:type="page"/>
      </w:r>
    </w:p>
    <w:p>
      <w:pPr>
        <w:pStyle w:val="4"/>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最终报价及承诺书（现场填写）</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项目编号：</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最终报价（小写）</w:t>
      </w:r>
      <w:r>
        <w:rPr>
          <w:rFonts w:hint="eastAsia" w:ascii="宋体" w:hAnsi="宋体" w:eastAsia="宋体" w:cs="宋体"/>
          <w:bCs/>
          <w:color w:val="000000" w:themeColor="text1"/>
          <w:sz w:val="24"/>
          <w:szCs w:val="24"/>
          <w:highlight w:val="none"/>
          <w:u w:val="none"/>
          <w14:textFill>
            <w14:solidFill>
              <w14:schemeClr w14:val="tx1"/>
            </w14:solidFill>
          </w14:textFill>
        </w:rPr>
        <w:t>：</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其他承诺：</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（盖章）</w:t>
      </w: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left="0" w:leftChars="0" w:firstLine="3015" w:firstLineChars="1231"/>
        <w:rPr>
          <w:rFonts w:hint="eastAsia" w:ascii="宋体" w:hAnsi="宋体" w:eastAsia="宋体" w:cs="宋体"/>
          <w:bCs/>
          <w:color w:val="000000" w:themeColor="text1"/>
          <w:sz w:val="24"/>
          <w:szCs w:val="24"/>
          <w:highlight w:val="none"/>
          <w14:textFill>
            <w14:solidFill>
              <w14:schemeClr w14:val="tx1"/>
            </w14:solidFill>
          </w14:textFill>
        </w:rPr>
      </w:pPr>
    </w:p>
    <w:p>
      <w:pPr>
        <w:pStyle w:val="38"/>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此页需持空白页至磋商现场根据实际需要填写（现场填写）。</w:t>
      </w:r>
    </w:p>
    <w:p>
      <w:pPr>
        <w:snapToGrid w:val="0"/>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bookmarkStart w:id="174" w:name="OLE_LINK27"/>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zh-CN" w:eastAsia="zh-CN"/>
          <w14:textFill>
            <w14:solidFill>
              <w14:schemeClr w14:val="tx1"/>
            </w14:solidFill>
          </w14:textFill>
        </w:rPr>
        <w:t>根据成交供应商“最终报价”磋商总价与“第一次报价”总价下浮比例</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，分别调整分项报价明细表中的单价及总价，调整工作在成交后及结算中完成。</w:t>
      </w:r>
      <w:bookmarkEnd w:id="174"/>
    </w:p>
    <w:p>
      <w:pPr>
        <w:ind w:firstLine="490" w:firstLineChars="200"/>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3.磋商报价应是采购文件载明的所有服务内容的总价</w:t>
      </w:r>
      <w:r>
        <w:rPr>
          <w:rFonts w:hint="eastAsia" w:ascii="宋体" w:hAnsi="宋体" w:cs="宋体"/>
          <w:bCs/>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bCs/>
          <w:color w:val="000000" w:themeColor="text1"/>
          <w:sz w:val="24"/>
          <w:szCs w:val="24"/>
          <w:highlight w:val="none"/>
          <w:lang w:eastAsia="zh-CN"/>
          <w14:textFill>
            <w14:solidFill>
              <w14:schemeClr w14:val="tx1"/>
            </w14:solidFill>
          </w14:textFill>
        </w:rPr>
        <w:t>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p>
      <w:pPr>
        <w:snapToGrid w:val="0"/>
        <w:spacing w:line="360" w:lineRule="auto"/>
        <w:ind w:firstLine="480"/>
        <w:rPr>
          <w:rFonts w:hint="eastAsia"/>
          <w:color w:val="000000" w:themeColor="text1"/>
          <w:sz w:val="20"/>
          <w:szCs w:val="15"/>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报价表需供应商法定代表人或代理人签字，并加盖供应商公章</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r>
        <w:rPr>
          <w:rFonts w:hint="eastAsia" w:hAnsi="宋体" w:cs="宋体"/>
          <w:b/>
          <w:bCs w:val="0"/>
          <w:color w:val="000000" w:themeColor="text1"/>
          <w:sz w:val="24"/>
          <w:szCs w:val="24"/>
          <w:highlight w:val="none"/>
          <w14:textFill>
            <w14:solidFill>
              <w14:schemeClr w14:val="tx1"/>
            </w14:solidFill>
          </w14:textFill>
        </w:rPr>
        <w:t>并自行密封</w:t>
      </w:r>
      <w:r>
        <w:rPr>
          <w:rFonts w:hint="eastAsia" w:hAnsi="宋体" w:cs="宋体"/>
          <w:b/>
          <w:bCs w:val="0"/>
          <w:color w:val="000000" w:themeColor="text1"/>
          <w:sz w:val="24"/>
          <w:szCs w:val="24"/>
          <w:highlight w:val="none"/>
          <w:lang w:val="zh-CN" w:eastAsia="zh-CN"/>
          <w14:textFill>
            <w14:solidFill>
              <w14:schemeClr w14:val="tx1"/>
            </w14:solidFill>
          </w14:textFill>
        </w:rPr>
        <w:t>递交</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p>
    <w:p>
      <w:pPr>
        <w:snapToGrid w:val="0"/>
        <w:spacing w:line="360" w:lineRule="auto"/>
        <w:ind w:firstLine="480"/>
        <w:rPr>
          <w:rFonts w:hint="eastAsia" w:ascii="宋体" w:hAnsi="宋体" w:eastAsia="宋体" w:cs="宋体"/>
          <w:bCs/>
          <w:color w:val="000000" w:themeColor="text1"/>
          <w:sz w:val="24"/>
          <w:szCs w:val="24"/>
          <w:highlight w:val="none"/>
          <w:lang w:val="en-US" w:eastAsia="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2"/>
        <w:tabs>
          <w:tab w:val="left" w:pos="720"/>
        </w:tabs>
        <w:spacing w:before="0" w:after="0" w:line="400" w:lineRule="exact"/>
        <w:jc w:val="center"/>
        <w:rPr>
          <w:rFonts w:hint="eastAsia" w:ascii="宋体" w:hAnsi="宋体" w:eastAsia="宋体" w:cs="宋体"/>
          <w:bCs w:val="0"/>
          <w:color w:val="000000" w:themeColor="text1"/>
          <w:sz w:val="24"/>
          <w:szCs w:val="24"/>
          <w:highlight w:val="none"/>
          <w:lang w:val="zh-CN"/>
          <w14:textFill>
            <w14:solidFill>
              <w14:schemeClr w14:val="tx1"/>
            </w14:solidFill>
          </w14:textFill>
        </w:rPr>
      </w:pPr>
      <w:r>
        <w:rPr>
          <w:rFonts w:hint="eastAsia" w:ascii="宋体" w:hAnsi="宋体" w:eastAsia="宋体" w:cs="宋体"/>
          <w:bCs w:val="0"/>
          <w:color w:val="000000" w:themeColor="text1"/>
          <w:sz w:val="24"/>
          <w:szCs w:val="24"/>
          <w:highlight w:val="none"/>
          <w:lang w:val="zh-CN"/>
          <w14:textFill>
            <w14:solidFill>
              <w14:schemeClr w14:val="tx1"/>
            </w14:solidFill>
          </w14:textFill>
        </w:rPr>
        <w:t>三、技术、服务条款偏离表</w:t>
      </w: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88"/>
        <w:gridCol w:w="2878"/>
        <w:gridCol w:w="275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128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产品名称</w:t>
            </w:r>
          </w:p>
        </w:tc>
        <w:tc>
          <w:tcPr>
            <w:tcW w:w="2878"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磋商文件的技术参数条款</w:t>
            </w:r>
          </w:p>
        </w:tc>
        <w:tc>
          <w:tcPr>
            <w:tcW w:w="275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技术参数条款响应</w:t>
            </w:r>
          </w:p>
        </w:tc>
        <w:tc>
          <w:tcPr>
            <w:tcW w:w="1880"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r>
              <w:rPr>
                <w:rFonts w:hint="eastAsia" w:ascii="宋体" w:hAnsi="宋体" w:cs="宋体"/>
                <w:color w:val="000000" w:themeColor="text1"/>
                <w:szCs w:val="21"/>
                <w:highlight w:val="none"/>
                <w:lang w:eastAsia="zh-CN"/>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880"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bl>
    <w:p>
      <w:pPr>
        <w:spacing w:line="360" w:lineRule="auto"/>
        <w:ind w:firstLine="21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注：1.供应商必须根据磋商文件</w:t>
      </w:r>
      <w:r>
        <w:rPr>
          <w:rFonts w:hint="eastAsia" w:ascii="宋体" w:hAnsi="宋体" w:cs="宋体"/>
          <w:color w:val="000000" w:themeColor="text1"/>
          <w:highlight w:val="none"/>
          <w:lang w:eastAsia="zh-CN"/>
          <w14:textFill>
            <w14:solidFill>
              <w14:schemeClr w14:val="tx1"/>
            </w14:solidFill>
          </w14:textFill>
        </w:rPr>
        <w:t>“第五章</w:t>
      </w:r>
      <w:r>
        <w:rPr>
          <w:rFonts w:hint="eastAsia" w:ascii="宋体" w:hAnsi="宋体" w:cs="宋体"/>
          <w:color w:val="000000" w:themeColor="text1"/>
          <w:highlight w:val="none"/>
          <w:lang w:val="en-US" w:eastAsia="zh-CN"/>
          <w14:textFill>
            <w14:solidFill>
              <w14:schemeClr w14:val="tx1"/>
            </w14:solidFill>
          </w14:textFill>
        </w:rPr>
        <w:t xml:space="preserve"> 采购项目技术、服务及其他商务</w:t>
      </w:r>
      <w:r>
        <w:rPr>
          <w:rFonts w:hint="eastAsia" w:ascii="宋体" w:hAnsi="宋体" w:eastAsia="宋体" w:cs="宋体"/>
          <w:color w:val="000000" w:themeColor="text1"/>
          <w:highlight w:val="none"/>
          <w14:textFill>
            <w14:solidFill>
              <w14:schemeClr w14:val="tx1"/>
            </w14:solidFill>
          </w14:textFill>
        </w:rPr>
        <w:t>要求</w:t>
      </w:r>
      <w:r>
        <w:rPr>
          <w:rFonts w:hint="eastAsia" w:ascii="宋体" w:hAnsi="宋体" w:cs="宋体"/>
          <w:color w:val="000000" w:themeColor="text1"/>
          <w:highlight w:val="none"/>
          <w:lang w:val="en-US" w:eastAsia="zh-CN"/>
          <w14:textFill>
            <w14:solidFill>
              <w14:schemeClr w14:val="tx1"/>
            </w14:solidFill>
          </w14:textFill>
        </w:rPr>
        <w:t xml:space="preserve"> 二、技术、服务内容及要求”的要求</w:t>
      </w:r>
      <w:r>
        <w:rPr>
          <w:rFonts w:hint="eastAsia" w:ascii="宋体" w:hAnsi="宋体" w:eastAsia="宋体" w:cs="宋体"/>
          <w:color w:val="000000" w:themeColor="text1"/>
          <w:highlight w:val="none"/>
          <w14:textFill>
            <w14:solidFill>
              <w14:schemeClr w14:val="tx1"/>
            </w14:solidFill>
          </w14:textFill>
        </w:rPr>
        <w:t>据实逐条填写，不得虚假响应，虚假响应的，其响应文件无效并按规定追究其相关责任。</w:t>
      </w:r>
    </w:p>
    <w:p>
      <w:pPr>
        <w:pStyle w:val="12"/>
        <w:ind w:firstLine="0"/>
        <w:rPr>
          <w:rFonts w:hint="eastAsia" w:ascii="宋体" w:hAnsi="宋体" w:eastAsia="宋体" w:cs="宋体"/>
          <w:color w:val="000000" w:themeColor="text1"/>
          <w:sz w:val="40"/>
          <w:szCs w:val="32"/>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四、商务应答表</w:t>
      </w:r>
    </w:p>
    <w:p>
      <w:pPr>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56"/>
        <w:gridCol w:w="322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723"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3756"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磋商文件的商务要求</w:t>
            </w:r>
          </w:p>
        </w:tc>
        <w:tc>
          <w:tcPr>
            <w:tcW w:w="3220"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商务条款响应</w:t>
            </w:r>
          </w:p>
        </w:tc>
        <w:tc>
          <w:tcPr>
            <w:tcW w:w="1785" w:type="dxa"/>
            <w:vAlign w:val="center"/>
          </w:tcPr>
          <w:p>
            <w:pPr>
              <w:autoSpaceDE w:val="0"/>
              <w:autoSpaceDN w:val="0"/>
              <w:adjustRightInd w:val="0"/>
              <w:jc w:val="center"/>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r>
              <w:rPr>
                <w:rFonts w:hint="eastAsia" w:ascii="宋体" w:hAnsi="宋体" w:cs="宋体"/>
                <w:color w:val="000000" w:themeColor="text1"/>
                <w:szCs w:val="21"/>
                <w:highlight w:val="none"/>
                <w:lang w:eastAsia="zh-CN"/>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bl>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本表只填写响应文件中与磋商文件有偏离（包括正偏离和负偏离）的内容，响应文件中商务响应与磋商文件要求完全一致的，不用在此表中列出。未明确偏离的条款，视为默认接受，供应商不得籍未作应答而拒不接受。</w:t>
      </w:r>
    </w:p>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2.供应商须据实填写，不得虚假响应。</w:t>
      </w:r>
    </w:p>
    <w:p>
      <w:pPr>
        <w:pStyle w:val="27"/>
        <w:ind w:left="480" w:leftChars="0" w:firstLine="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五、供应商本项目管理、技术及其他服务人员情况表</w:t>
      </w:r>
    </w:p>
    <w:p>
      <w:pPr>
        <w:ind w:firstLine="215" w:firstLineChars="100"/>
        <w:rPr>
          <w:rFonts w:hint="eastAsia" w:ascii="宋体" w:hAnsi="宋体" w:eastAsia="宋体" w:cs="宋体"/>
          <w:color w:val="000000" w:themeColor="text1"/>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28"/>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9"/>
        <w:gridCol w:w="1379"/>
        <w:gridCol w:w="1797"/>
        <w:gridCol w:w="1264"/>
        <w:gridCol w:w="143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拟任职务</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5765" w:type="dxa"/>
            <w:gridSpan w:val="4"/>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证书名称</w:t>
            </w:r>
          </w:p>
        </w:tc>
        <w:tc>
          <w:tcPr>
            <w:tcW w:w="1264"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1439"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1265"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注：1、供应商在此表中填报拟用于本项目的人员配备情况</w:t>
      </w:r>
      <w:r>
        <w:rPr>
          <w:rFonts w:hint="eastAsia" w:ascii="宋体" w:hAnsi="宋体" w:cs="宋体"/>
          <w:color w:val="000000" w:themeColor="text1"/>
          <w:szCs w:val="32"/>
          <w:highlight w:val="none"/>
          <w:lang w:eastAsia="zh-CN"/>
          <w14:textFill>
            <w14:solidFill>
              <w14:schemeClr w14:val="tx1"/>
            </w14:solidFill>
          </w14:textFill>
        </w:rPr>
        <w:t>；</w:t>
      </w:r>
    </w:p>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2、如未提供人员的相关证明材料可能会影响供应商的得分,但并不影响响应文件的有效性。</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440" w:lineRule="exact"/>
        <w:ind w:firstLine="480"/>
        <w:jc w:val="left"/>
        <w:rPr>
          <w:rFonts w:hint="eastAsia" w:ascii="宋体" w:hAnsi="宋体" w:eastAsia="宋体" w:cs="宋体"/>
          <w:b/>
          <w:bCs/>
          <w:color w:val="000000" w:themeColor="text1"/>
          <w:sz w:val="28"/>
          <w:szCs w:val="28"/>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六、供应商类似项目业绩一览表</w:t>
      </w:r>
    </w:p>
    <w:p>
      <w:pPr>
        <w:spacing w:line="400" w:lineRule="exact"/>
        <w:rPr>
          <w:rFonts w:hint="eastAsia" w:ascii="宋体" w:hAnsi="宋体" w:eastAsia="宋体" w:cs="宋体"/>
          <w:color w:val="000000" w:themeColor="text1"/>
          <w:sz w:val="24"/>
          <w:highlight w:val="none"/>
          <w14:textFill>
            <w14:solidFill>
              <w14:schemeClr w14:val="tx1"/>
            </w14:solidFill>
          </w14:textFill>
        </w:rPr>
      </w:pPr>
    </w:p>
    <w:tbl>
      <w:tblPr>
        <w:tblStyle w:val="28"/>
        <w:tblW w:w="918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48"/>
        <w:gridCol w:w="1897"/>
        <w:gridCol w:w="1740"/>
        <w:gridCol w:w="1531"/>
        <w:gridCol w:w="1955"/>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56" w:hRule="atLeast"/>
          <w:jc w:val="center"/>
        </w:trPr>
        <w:tc>
          <w:tcPr>
            <w:tcW w:w="948"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w:t>
            </w:r>
          </w:p>
        </w:tc>
        <w:tc>
          <w:tcPr>
            <w:tcW w:w="1897"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业主单位名称</w:t>
            </w:r>
          </w:p>
        </w:tc>
        <w:tc>
          <w:tcPr>
            <w:tcW w:w="1740"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1531"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完成时间</w:t>
            </w:r>
          </w:p>
        </w:tc>
        <w:tc>
          <w:tcPr>
            <w:tcW w:w="1955" w:type="dxa"/>
            <w:tcBorders>
              <w:top w:val="single" w:color="auto" w:sz="4" w:space="0"/>
              <w:left w:val="single" w:color="auto" w:sz="6" w:space="0"/>
              <w:bottom w:val="single" w:color="auto" w:sz="6" w:space="0"/>
              <w:right w:val="single" w:color="auto" w:sz="4"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合同金额（元）</w:t>
            </w:r>
          </w:p>
        </w:tc>
        <w:tc>
          <w:tcPr>
            <w:tcW w:w="1111"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2" w:hRule="atLeast"/>
          <w:jc w:val="center"/>
        </w:trPr>
        <w:tc>
          <w:tcPr>
            <w:tcW w:w="948" w:type="dxa"/>
            <w:tcBorders>
              <w:top w:val="single" w:color="auto" w:sz="6" w:space="0"/>
              <w:left w:val="single" w:color="auto" w:sz="4"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注：1、供应商以上业绩需提供有关书面证明材料（以综合评分表要求为准）；</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2、如未提供业绩的相关证明材料可能会影响供应商的得分,但并不影响响应文件的有效性。</w:t>
      </w:r>
    </w:p>
    <w:p>
      <w:pPr>
        <w:jc w:val="left"/>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jc w:val="left"/>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bookmarkStart w:id="175" w:name="_Toc307564880"/>
      <w:bookmarkStart w:id="176" w:name="_Toc436385992"/>
      <w:bookmarkStart w:id="177" w:name="_Toc436404120"/>
      <w:bookmarkStart w:id="178" w:name="_Toc436410129"/>
      <w:bookmarkStart w:id="179" w:name="_Toc436820890"/>
    </w:p>
    <w:bookmarkEnd w:id="175"/>
    <w:bookmarkEnd w:id="176"/>
    <w:bookmarkEnd w:id="177"/>
    <w:bookmarkEnd w:id="178"/>
    <w:bookmarkEnd w:id="179"/>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七、实施方案</w:t>
      </w:r>
    </w:p>
    <w:p>
      <w:pPr>
        <w:jc w:val="center"/>
        <w:rPr>
          <w:rFonts w:hint="eastAsia" w:ascii="宋体" w:hAnsi="宋体" w:eastAsia="宋体" w:cs="宋体"/>
          <w:b/>
          <w:bCs/>
          <w:color w:val="000000" w:themeColor="text1"/>
          <w:sz w:val="32"/>
          <w:szCs w:val="32"/>
          <w:highlight w:val="none"/>
          <w14:textFill>
            <w14:solidFill>
              <w14:schemeClr w14:val="tx1"/>
            </w14:solidFill>
          </w14:textFill>
        </w:rPr>
      </w:pPr>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说明：供应商针对本项目提供的实施方案应结合评分因素的内容综合制定项目方案，本项格式自拟。</w:t>
      </w:r>
    </w:p>
    <w:p>
      <w:pPr>
        <w:jc w:val="cente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b/>
          <w:color w:val="000000" w:themeColor="text1"/>
          <w:sz w:val="32"/>
          <w:szCs w:val="32"/>
          <w:highlight w:val="none"/>
          <w:lang w:val="zh-CN"/>
          <w14:textFill>
            <w14:solidFill>
              <w14:schemeClr w14:val="tx1"/>
            </w14:solidFill>
          </w14:textFill>
        </w:rPr>
      </w:pPr>
    </w:p>
    <w:p>
      <w:pPr>
        <w:spacing w:line="360" w:lineRule="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br w:type="page"/>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80" w:name="_Toc212"/>
      <w:bookmarkStart w:id="181" w:name="_Toc25561"/>
      <w:bookmarkStart w:id="182" w:name="_Toc439699524"/>
      <w:bookmarkStart w:id="183" w:name="_Toc28316"/>
      <w:bookmarkStart w:id="184" w:name="_Toc21196"/>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八、供应商承诺给予采购单位的各种优惠条件</w:t>
      </w:r>
      <w:bookmarkEnd w:id="180"/>
      <w:bookmarkEnd w:id="181"/>
      <w:bookmarkEnd w:id="182"/>
      <w:bookmarkEnd w:id="183"/>
      <w:bookmarkEnd w:id="184"/>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（如有）</w:t>
      </w:r>
    </w:p>
    <w:p>
      <w:pPr>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优惠条件事项不能包括采购项目本身所包含的采购事项。供应商不能以“赠送、赠予”等任何名义提供服务以规避采购文件的约束。否则，供应商提供的响应文件将作为无效响应处理，即使中标也将取消中标资格。</w:t>
      </w: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内容由供应商自行编制，如果没有，可不提供。</w:t>
      </w:r>
    </w:p>
    <w:p>
      <w:pPr>
        <w:adjustRightInd w:val="0"/>
        <w:snapToGrid w:val="0"/>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12"/>
        <w:rPr>
          <w:rFonts w:hint="eastAsia" w:ascii="宋体" w:hAnsi="宋体" w:eastAsia="宋体" w:cs="宋体"/>
          <w:color w:val="000000" w:themeColor="text1"/>
          <w:sz w:val="24"/>
          <w:szCs w:val="24"/>
          <w:highlight w:val="none"/>
          <w14:textFill>
            <w14:solidFill>
              <w14:schemeClr w14:val="tx1"/>
            </w14:solidFill>
          </w14:textFill>
        </w:rPr>
        <w:sectPr>
          <w:headerReference r:id="rId13" w:type="first"/>
          <w:footerReference r:id="rId15" w:type="first"/>
          <w:footerReference r:id="rId14" w:type="default"/>
          <w:pgSz w:w="11849" w:h="16781"/>
          <w:pgMar w:top="1440" w:right="1440" w:bottom="1440" w:left="1440" w:header="851" w:footer="992" w:gutter="0"/>
          <w:pgNumType w:fmt="numberInDash"/>
          <w:cols w:space="720" w:num="1"/>
          <w:titlePg/>
          <w:docGrid w:type="linesAndChars" w:linePitch="312" w:charSpace="1060"/>
        </w:sectPr>
      </w:pP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九、失信行为申明及承诺书</w:t>
      </w:r>
    </w:p>
    <w:p>
      <w:pPr>
        <w:pStyle w:val="10"/>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XXXX（采购代理机构名称）：</w:t>
      </w:r>
    </w:p>
    <w:p>
      <w:pPr>
        <w:pStyle w:val="10"/>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（供应商名称）</w:t>
      </w:r>
      <w:r>
        <w:rPr>
          <w:rFonts w:hint="eastAsia" w:ascii="宋体" w:hAnsi="宋体" w:eastAsia="宋体" w:cs="宋体"/>
          <w:snapToGrid w:val="0"/>
          <w:color w:val="000000" w:themeColor="text1"/>
          <w:sz w:val="24"/>
          <w:szCs w:val="24"/>
          <w:highlight w:val="none"/>
          <w14:textFill>
            <w14:solidFill>
              <w14:schemeClr w14:val="tx1"/>
            </w14:solidFill>
          </w14:textFill>
        </w:rPr>
        <w:t>作为本项目（项目编号：</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）供应商，我单位已认真阅读并正确领会采购文件中关于失信行为的相关政策、要求，我单位在此做如下申明和承诺：</w:t>
      </w:r>
    </w:p>
    <w:p>
      <w:pPr>
        <w:pStyle w:val="10"/>
        <w:spacing w:line="400" w:lineRule="exact"/>
        <w:ind w:firstLine="480"/>
        <w:rPr>
          <w:rFonts w:hint="eastAsia" w:ascii="宋体" w:hAnsi="宋体" w:eastAsia="宋体" w:cs="宋体"/>
          <w:snapToGrid w:val="0"/>
          <w:color w:val="000000" w:themeColor="text1"/>
          <w:sz w:val="24"/>
          <w:szCs w:val="24"/>
          <w:highlight w:val="none"/>
          <w:u w:val="singl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我单位在此郑重申明，我单位参加本项目磋商前</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（填写：“具有”或“不具有”） 采购文件第二章供应商采购须知前附表规定失信行为情形之一；若有，具体的失信行为是：</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（填写：具体的失信行为内容,若无填写“/”），并该失信行为</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（填写：“已受到”或“没有受到”，若无填写“/”） 行政处罚或司法惩处。</w:t>
      </w:r>
    </w:p>
    <w:p>
      <w:pPr>
        <w:pStyle w:val="10"/>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对以上填写信息的真实性负责。如有不实，本</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愿承担由此产生的一切法律责任和后果。</w:t>
      </w:r>
    </w:p>
    <w:p>
      <w:pPr>
        <w:tabs>
          <w:tab w:val="left" w:pos="7665"/>
        </w:tabs>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367" w:firstLineChars="15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附件：具体的失信行为认定资料及行政处罚或司法惩处资料复印件（磋商前有失信行为的供应商须提供）</w:t>
      </w:r>
    </w:p>
    <w:p>
      <w:pPr>
        <w:ind w:firstLine="680"/>
        <w:rPr>
          <w:rFonts w:hint="eastAsia" w:ascii="宋体" w:hAnsi="宋体" w:eastAsia="宋体" w:cs="宋体"/>
          <w:i/>
          <w:snapToGrid w:val="0"/>
          <w:color w:val="000000" w:themeColor="text1"/>
          <w:sz w:val="24"/>
          <w:szCs w:val="24"/>
          <w:highlight w:val="none"/>
          <w14:textFill>
            <w14:solidFill>
              <w14:schemeClr w14:val="tx1"/>
            </w14:solidFill>
          </w14:textFill>
        </w:rPr>
      </w:pPr>
    </w:p>
    <w:p>
      <w:pPr>
        <w:adjustRightInd w:val="0"/>
        <w:spacing w:line="380" w:lineRule="exact"/>
        <w:ind w:firstLine="2366" w:firstLineChars="966"/>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2366" w:firstLineChars="966"/>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pStyle w:val="38"/>
        <w:rPr>
          <w:rFonts w:hint="eastAsia" w:ascii="宋体" w:hAnsi="宋体" w:eastAsia="宋体" w:cs="宋体"/>
          <w:bCs/>
          <w:color w:val="000000" w:themeColor="text1"/>
          <w:szCs w:val="24"/>
          <w:highlight w:val="none"/>
          <w14:textFill>
            <w14:solidFill>
              <w14:schemeClr w14:val="tx1"/>
            </w14:solidFill>
          </w14:textFill>
        </w:rPr>
      </w:pPr>
    </w:p>
    <w:p>
      <w:pPr>
        <w:pStyle w:val="38"/>
        <w:rPr>
          <w:rFonts w:hint="eastAsia" w:ascii="宋体" w:hAnsi="宋体" w:eastAsia="宋体" w:cs="宋体"/>
          <w:bCs/>
          <w:color w:val="000000" w:themeColor="text1"/>
          <w:szCs w:val="24"/>
          <w:highlight w:val="none"/>
          <w14:textFill>
            <w14:solidFill>
              <w14:schemeClr w14:val="tx1"/>
            </w14:solidFill>
          </w14:textFill>
        </w:rPr>
      </w:pPr>
    </w:p>
    <w:p>
      <w:pPr>
        <w:pStyle w:val="38"/>
        <w:rPr>
          <w:rFonts w:hint="eastAsia" w:ascii="宋体" w:hAnsi="宋体" w:eastAsia="宋体" w:cs="宋体"/>
          <w:bCs/>
          <w:color w:val="000000" w:themeColor="text1"/>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1、本表格式及内容仅供参考，供应商也可提供自己的格式；</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2、供应商存在以上所述失信行为的，将按照</w:t>
      </w:r>
      <w:r>
        <w:rPr>
          <w:rFonts w:hint="eastAsia" w:ascii="宋体" w:hAnsi="宋体" w:eastAsia="宋体" w:cs="宋体"/>
          <w:color w:val="000000" w:themeColor="text1"/>
          <w:sz w:val="24"/>
          <w:szCs w:val="24"/>
          <w:highlight w:val="none"/>
          <w14:textFill>
            <w14:solidFill>
              <w14:schemeClr w14:val="tx1"/>
            </w14:solidFill>
          </w14:textFill>
        </w:rPr>
        <w:t>第二章供应商须知附表的要求进行处理；</w:t>
      </w:r>
    </w:p>
    <w:p>
      <w:pPr>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宋体" w:hAnsi="宋体" w:eastAsia="宋体" w:cs="宋体"/>
          <w:color w:val="000000" w:themeColor="text1"/>
          <w:sz w:val="24"/>
          <w:szCs w:val="24"/>
          <w:highlight w:val="none"/>
          <w14:textFill>
            <w14:solidFill>
              <w14:schemeClr w14:val="tx1"/>
            </w14:solidFill>
          </w14:textFill>
        </w:rPr>
        <w:t>确了有效期的，不再重复计算。</w:t>
      </w:r>
    </w:p>
    <w:p>
      <w:pPr>
        <w:ind w:firstLine="480"/>
        <w:rPr>
          <w:rFonts w:hint="eastAsia" w:ascii="宋体" w:hAnsi="宋体" w:eastAsia="宋体" w:cs="宋体"/>
          <w:bCs/>
          <w:snapToGrid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eastAsia="宋体" w:cs="宋体"/>
          <w:bCs/>
          <w:color w:val="000000" w:themeColor="text1"/>
          <w:sz w:val="24"/>
          <w:szCs w:val="24"/>
          <w:highlight w:val="none"/>
          <w14:textFill>
            <w14:solidFill>
              <w14:schemeClr w14:val="tx1"/>
            </w14:solidFill>
          </w14:textFill>
        </w:rPr>
        <w:t>供应商的失信行为受到行政处罚或司法惩处的，评审时不再对其以价格加成进行惩戒。</w:t>
      </w:r>
    </w:p>
    <w:p>
      <w:pPr>
        <w:spacing w:line="360" w:lineRule="auto"/>
        <w:ind w:firstLine="482"/>
        <w:rPr>
          <w:rFonts w:hint="eastAsia" w:ascii="宋体" w:hAnsi="宋体" w:eastAsia="宋体" w:cs="宋体"/>
          <w:b/>
          <w:snapToGrid w:val="0"/>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sz w:val="24"/>
          <w:szCs w:val="24"/>
          <w:highlight w:val="none"/>
          <w14:textFill>
            <w14:solidFill>
              <w14:schemeClr w14:val="tx1"/>
            </w14:solidFill>
          </w14:textFill>
        </w:rPr>
        <w:br w:type="page"/>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十、供应商按采购文件要求作出的其他实质性应答和承诺</w:t>
      </w: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供应商按照</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文件要求作出的其他应答和承诺。</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内容由供应商按</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文件要求自行编制，如果没有可不提供。</w:t>
      </w: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p>
    <w:p>
      <w:pPr>
        <w:pStyle w:val="2"/>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十一、供应商认为需要提供的其他材料</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注：供应商证明材料每处均需盖单位公章。</w:t>
      </w:r>
    </w:p>
    <w:p>
      <w:pPr>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pStyle w:val="12"/>
        <w:rPr>
          <w:rFonts w:hint="eastAsia" w:ascii="宋体" w:hAnsi="宋体" w:eastAsia="宋体" w:cs="宋体"/>
          <w:bCs/>
          <w:color w:val="000000" w:themeColor="text1"/>
          <w:sz w:val="24"/>
          <w:szCs w:val="24"/>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3"/>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85" w:name="_Toc16600"/>
      <w:bookmarkStart w:id="186" w:name="_Toc7961749"/>
      <w:bookmarkStart w:id="187" w:name="_Toc23989"/>
      <w:bookmarkStart w:id="188" w:name="_Toc3036"/>
      <w:r>
        <w:rPr>
          <w:rFonts w:hint="eastAsia" w:ascii="宋体" w:hAnsi="宋体" w:eastAsia="宋体" w:cs="宋体"/>
          <w:color w:val="000000" w:themeColor="text1"/>
          <w:sz w:val="36"/>
          <w:szCs w:val="36"/>
          <w:highlight w:val="none"/>
          <w14:textFill>
            <w14:solidFill>
              <w14:schemeClr w14:val="tx1"/>
            </w14:solidFill>
          </w14:textFill>
        </w:rPr>
        <w:t>第七章  评审方法</w:t>
      </w:r>
      <w:bookmarkEnd w:id="185"/>
      <w:bookmarkEnd w:id="186"/>
      <w:bookmarkEnd w:id="187"/>
      <w:bookmarkEnd w:id="188"/>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1、总则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1.2 磋商工作由采购代理机构负责组织，具体磋商由采购代理机构依法组建的磋商小组负责。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1.3 磋商工作应遵循公平、公正、科学及择优的原则，并以相同的磋商程序和标准对待所有的供应商。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1.4 磋商小组按照磋商文件规定的磋商程序、评分方法和标准进行评审，并独立履行下列职责：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（二）审查供应商响应文件是否满足磋商文件要求，并作出公正评价；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（三）根据需要要求供应商对响应文件中含义不明确、同类问题表述不一致或者有明显文字和计算错误的内容等作出必要的澄清、说明或者更正；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（四）推荐成交供应商，或者受采购人委托确定成交供应商；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（五）起草评审报告并进行签署；</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（六）向采购代理机构、财政部门或者其他监督部门报告非法干预评审工作的行为；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（七）法律、法规和规章规定的其他职责。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1.5 （实质性要求）磋商过程独立、保密。供应商非法干预磋商过程的，其响应文件作无效处理。</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2、磋商小组及专家组成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根据《中华人民共和国政府采购法》、《政府采购竞争性磋商采购方式管理暂行办法》 等的规定并结合本次采购项目的实际情况，磋商小组由采购人的代表和有关方面的专家三人以上的单数组成，其中专家人数不少于成员总数的三分之二，负责本次采购项目的竞争性磋商和评审工作。</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3、磋商组织</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磋商工作由采购代理机构组织，具体磋商事务由依法组建的磋商小组负责。</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4、磋商程序</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89" w:name="_Toc52066744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4.1审查磋商文件和停止评审。</w:t>
      </w:r>
      <w:bookmarkEnd w:id="18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0" w:name="_Toc52066744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 磋商小组正式评审前，应当对磋商文件进行熟悉和理解，内容主要包括磋商文件中供应商资格条件要求、采购项目技术、服务和商务要求、磋商办法和标准、政府采购政策要求以及政府采购合同主要条款等。</w:t>
      </w:r>
      <w:bookmarkEnd w:id="19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1" w:name="_Toc52066744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 本磋商文件有下列情形之一的，磋商小组应当停止评审：</w:t>
      </w:r>
      <w:bookmarkEnd w:id="19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2" w:name="_Toc52066744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（1）磋商文件的规定存在歧义、重大缺陷的；</w:t>
      </w:r>
      <w:bookmarkEnd w:id="19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3" w:name="_Toc52066744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（2）磋商文件明显以不合理条件对供应商实行差别待遇或者歧视待遇的；</w:t>
      </w:r>
      <w:bookmarkEnd w:id="19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4" w:name="_Toc52066745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（3）采购项目属于国家规定的优先、强制采购范围，但是磋商文件未依法体现优先、强制采购相关规定的；</w:t>
      </w:r>
      <w:bookmarkEnd w:id="194"/>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5" w:name="_Toc52066745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（4）采购项目属于政府采购促进中小企业发展的范围，但是磋商文件未依法体现促进中小企业发展相关规定的；</w:t>
      </w:r>
      <w:bookmarkEnd w:id="19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6" w:name="_Toc520667452"/>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（5）磋商文件将供应商的资格条件列为评分因素的；</w:t>
      </w:r>
      <w:bookmarkEnd w:id="19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7" w:name="_Toc52066745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（6）磋商文件载明的成交原则不合法的；</w:t>
      </w:r>
      <w:bookmarkEnd w:id="19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8" w:name="_Toc52066745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（7）磋商文件有违反国家其他有关强制性规定的情形。</w:t>
      </w:r>
      <w:bookmarkEnd w:id="19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199" w:name="_Toc52066745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 出现本条4.1.2规定应当停止评审情形的，磋商小组应当向采购人书面说明情况。除本条规定的情形外，磋商小组不得以任何方式和理由停止评审。</w:t>
      </w:r>
      <w:bookmarkEnd w:id="19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4.2资格性审查。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0" w:name="_Toc52066745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4.2.1本项目需要磋商小组进行资格性检查。磋商小组应依据法律法规和磋商文件的规定，对响应文件是否按照规定要求提供资格性证明材料、是否属于禁止参加磋商的供应商等进行审查，以确定供应商是否具备磋商资格。</w:t>
      </w:r>
      <w:bookmarkEnd w:id="20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1" w:name="_Toc52066745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4.2.2资格性审查结束后，磋商小组应当出具资格性审查报告，没有通过资格审查的供应商，磋商小组应当在资格审查报告中说明原因。</w:t>
      </w:r>
      <w:bookmarkEnd w:id="20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2" w:name="_Toc52066745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4.2.3磋商小组应依据磋商文件规定的实质性要求，对符合资格的响应文件进行有效性、完整性和响应程度审查，以确定参加磋商的供应商名单。</w:t>
      </w:r>
      <w:bookmarkEnd w:id="20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3" w:name="_Toc52066746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4.2.4采购人或者采购代理机构宣布未通过资格性审查的供应商名单时，应当告知供应商未通过审查的原因。</w:t>
      </w:r>
      <w:bookmarkEnd w:id="20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4" w:name="_Toc52066746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4.3 通过资格性审查的供应商不足3家的，</w:t>
      </w:r>
      <w:bookmarkEnd w:id="20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采购人（项目实施机构）或者采购代理机构应当终止竞争性磋商采购活动，发布项目终止公告并说明原因，重新开展采购活动。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 磋商。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5" w:name="_Toc52066746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4.4.1磋商小组所有成员集中与单一供应商分别进行一轮或多轮磋商，并给予所有参加磋商的供应商平等的磋商机会。磋商顺序以现场抽签的方式确定。磋商过程中，磋商小组可以根据磋商情况调整磋商轮次。</w:t>
      </w:r>
      <w:bookmarkEnd w:id="20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6" w:name="_Toc52066746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4.4.2每轮磋商开始前，磋商小组应根据磋商文件的规定，并结合各供应商的响应文件拟定磋商内容。</w:t>
      </w:r>
      <w:bookmarkEnd w:id="20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7" w:name="_Toc52066746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4.4.3在磋商过程中，磋商小组可以根据磋商文件和磋商情况实质性变动磋商文件的技术、服务要求以及合同草案条款，但不得变动磋商文件中的其他内容。实质性变动的内容，须经采购人代表书面确认。</w:t>
      </w:r>
      <w:bookmarkEnd w:id="20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8" w:name="_Toc52066746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4.4.4对磋商文件作出的实质性变动是磋商文件的有效组成部分，磋商小组应当及时以书面形式同时通知所有参加磋商的供应商。</w:t>
      </w:r>
      <w:bookmarkEnd w:id="20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9" w:name="_Toc52066746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bookmarkEnd w:id="20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0" w:name="_Toc52066746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4.4.6磋商过程中，磋商的任何一方不得透露与磋商有关的其他供应商的技术资料、价格和其他信息。</w:t>
      </w:r>
      <w:bookmarkEnd w:id="21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1" w:name="_Toc52066746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4.4.7磋商过程中，磋商小组发现或者知晓供应商存在违法、违纪行为的，磋商小组应当将该供应商响应文件作无效处理，不允许其提交最后报价。</w:t>
      </w:r>
      <w:bookmarkEnd w:id="21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2" w:name="_Toc52066747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4.4.8磋商完成后，磋商小组应出具磋商情况记录表，磋商情况记录表需包含磋商内容、磋商意见、实质性变动内容等。</w:t>
      </w:r>
      <w:bookmarkEnd w:id="212"/>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 xml:space="preserve">   </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4.5.1磋商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4.5.3供应商最后报价应当由法定代表人/主要负责人或其授权代表签字确认或加盖公章。最后报价是供应商响应文件的有效组成部分。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4.6比较与评价。</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由磋商小组采用综合评分法对提交最后报价的供应商的响应文件</w:t>
      </w:r>
      <w:r>
        <w:rPr>
          <w:rFonts w:hint="eastAsia" w:ascii="宋体" w:hAnsi="宋体" w:cs="宋体"/>
          <w:b/>
          <w:bCs/>
          <w:color w:val="000000" w:themeColor="text1"/>
          <w:kern w:val="2"/>
          <w:sz w:val="24"/>
          <w:szCs w:val="24"/>
          <w:highlight w:val="none"/>
          <w:lang w:val="zh-CN" w:eastAsia="zh-CN" w:bidi="ar-SA"/>
          <w14:textFill>
            <w14:solidFill>
              <w14:schemeClr w14:val="tx1"/>
            </w14:solidFill>
          </w14:textFill>
        </w:rPr>
        <w:t>、现场演示情况</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和最后报价进行综合评分，具体要求详见本章综合评分部分。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4.8磋商小组复核。磋商小组评分汇总结束后，磋商小组应当进行评审复核，对拟推荐为成交候选供应商的、报价最低的、供应商资格审查未通过的、供应商响应文件作无效处理的重点复核。</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4.9采购组织单位现场复核评审结果。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（1）资格性审查认定错误的；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（2）分值汇总计算错误的；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（3）分项评分超出评分标准范围的；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（4）客观评分不一致的。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采购代理机构复核过程中，磋商小组成员不得离开评审现场。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4.9.2有下列情形之一的，不得现场修改评审结果：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（1）磋商小组已经出具磋商报告并且离开评审现场的；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（2）采购代理机构现场复核时，复核工作人员数量不足的；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（3）采购代理机构现场复核时，没有采购监督人员现场监督的；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（4）采购代理机构现场复核内容超出规定范围的；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（5）采购代理机构未提供书面建议的。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4.10编写磋商报告。磋商小组推荐成交候选供应商后，应向采购代理机构出具磋商报告。磋商报告应当包括以下主要内容：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（1）邀请供应商参加采购活动的具体方式和相关情况；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（2）响应文件开启日期和地点；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（3）获取磋商文件的供应商名单和磋商小组成员名单；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（4）评审情况记录和说明，包括对供应商的资格审查情况、供应商响应文件审查情况、磋商情况、报价情况等；</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（5）提出的成交候选供应商的排序名单及理由。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4.12供应商澄清、说明</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4.12.2磋商小组要求供应商澄清、说明或者更正响应文件应当以书面形式作出。供应商的澄清、说明或者更正应当由现任法定代表人/主要负责人或其授权代表签字或者加盖公章。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4.13终止磋商采购活动。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出现下列情形之一的，采购人或者采购代理机构应当终止竞争性磋商采购活动，发布项目终止公告并说明原因，重新开展采购活动：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（1）因情况变化，不再符合规定的竞争性磋商采购方式适用情形的；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（2）出现影响采购公正的违法、违规行为的；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（3）在采购过程中符合要求的供应商或者报价未超过采购预算的供应商不足三家的。</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5、综合评分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5.1本次综合评分的因素是：见综合评分明细表。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5.2 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5.3.1综合评分明细表的制定以科学合理、降低评委会自由裁量权为原则。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5.3.2综合评分明细表</w:t>
      </w:r>
    </w:p>
    <w:tbl>
      <w:tblPr>
        <w:tblStyle w:val="28"/>
        <w:tblpPr w:leftFromText="180" w:rightFromText="180" w:vertAnchor="text" w:horzAnchor="page" w:tblpXSpec="center" w:tblpY="234"/>
        <w:tblOverlap w:val="never"/>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66"/>
        <w:gridCol w:w="750"/>
        <w:gridCol w:w="5841"/>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84"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1166"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评分因素及权重</w:t>
            </w:r>
          </w:p>
        </w:tc>
        <w:tc>
          <w:tcPr>
            <w:tcW w:w="750"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分值</w:t>
            </w:r>
          </w:p>
        </w:tc>
        <w:tc>
          <w:tcPr>
            <w:tcW w:w="5841"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评分标准</w:t>
            </w:r>
          </w:p>
        </w:tc>
        <w:tc>
          <w:tcPr>
            <w:tcW w:w="849" w:type="dxa"/>
            <w:vAlign w:val="center"/>
          </w:tcPr>
          <w:p>
            <w:pPr>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6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6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w:t>
            </w:r>
          </w:p>
        </w:tc>
        <w:tc>
          <w:tcPr>
            <w:tcW w:w="75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30分</w:t>
            </w:r>
          </w:p>
        </w:tc>
        <w:tc>
          <w:tcPr>
            <w:tcW w:w="5841" w:type="dxa"/>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以本次最低有效响应报价为基准价，响应报价得分=(基准价／响应报价)×30分</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注：1.小微企业（监狱企业、残疾人福利性单位视同小微企业）价格扣除、失信行为累计加成等政策评分，按照本项目磋商文件供应商须知前附表规定执行。</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2.供应商参加政府采购活动时，应当就自己的诚信情况在响应文件中进行承诺。</w:t>
            </w:r>
          </w:p>
        </w:tc>
        <w:tc>
          <w:tcPr>
            <w:tcW w:w="849" w:type="dxa"/>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6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6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技术要求</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50</w:t>
            </w:r>
            <w:r>
              <w:rPr>
                <w:rFonts w:hint="eastAsia" w:ascii="宋体" w:hAnsi="宋体" w:cs="宋体"/>
                <w:color w:val="000000" w:themeColor="text1"/>
                <w:szCs w:val="21"/>
                <w:highlight w:val="none"/>
                <w14:textFill>
                  <w14:solidFill>
                    <w14:schemeClr w14:val="tx1"/>
                  </w14:solidFill>
                </w14:textFill>
              </w:rPr>
              <w:t>%</w:t>
            </w:r>
          </w:p>
        </w:tc>
        <w:tc>
          <w:tcPr>
            <w:tcW w:w="75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50</w:t>
            </w:r>
            <w:r>
              <w:rPr>
                <w:rFonts w:hint="eastAsia" w:ascii="宋体" w:hAnsi="宋体" w:cs="宋体"/>
                <w:color w:val="000000" w:themeColor="text1"/>
                <w:szCs w:val="21"/>
                <w:highlight w:val="none"/>
                <w14:textFill>
                  <w14:solidFill>
                    <w14:schemeClr w14:val="tx1"/>
                  </w14:solidFill>
                </w14:textFill>
              </w:rPr>
              <w:t>分</w:t>
            </w:r>
          </w:p>
        </w:tc>
        <w:tc>
          <w:tcPr>
            <w:tcW w:w="5841" w:type="dxa"/>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1、完全符合采购文件第五章“二、技术、服务内容及要求 1、采购清单及参数要求”，没有负偏离得</w:t>
            </w:r>
            <w:r>
              <w:rPr>
                <w:rFonts w:hint="eastAsia" w:ascii="宋体" w:hAnsi="宋体" w:cs="宋体"/>
                <w:color w:val="000000" w:themeColor="text1"/>
                <w:szCs w:val="21"/>
                <w:highlight w:val="none"/>
                <w:lang w:val="en-US" w:eastAsia="zh-CN"/>
                <w14:textFill>
                  <w14:solidFill>
                    <w14:schemeClr w14:val="tx1"/>
                  </w14:solidFill>
                </w14:textFill>
              </w:rPr>
              <w:t>50</w:t>
            </w:r>
            <w:r>
              <w:rPr>
                <w:rFonts w:hint="eastAsia" w:ascii="宋体" w:hAnsi="宋体" w:cs="宋体"/>
                <w:color w:val="000000" w:themeColor="text1"/>
                <w:szCs w:val="21"/>
                <w:highlight w:val="none"/>
                <w14:textFill>
                  <w14:solidFill>
                    <w14:schemeClr w14:val="tx1"/>
                  </w14:solidFill>
                </w14:textFill>
              </w:rPr>
              <w:t>分。带“▲”的参数共11条，每有一条不符合要求扣</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分，不带“▲”的参数，每一条不符合要求扣0.5分；累计负偏离超过</w:t>
            </w:r>
            <w:r>
              <w:rPr>
                <w:rFonts w:hint="eastAsia" w:ascii="宋体" w:hAnsi="宋体" w:cs="宋体"/>
                <w:color w:val="000000" w:themeColor="text1"/>
                <w:szCs w:val="21"/>
                <w:highlight w:val="none"/>
                <w:lang w:val="en-US" w:eastAsia="zh-CN"/>
                <w14:textFill>
                  <w14:solidFill>
                    <w14:schemeClr w14:val="tx1"/>
                  </w14:solidFill>
                </w14:textFill>
              </w:rPr>
              <w:t>35</w:t>
            </w:r>
            <w:r>
              <w:rPr>
                <w:rFonts w:hint="eastAsia" w:ascii="宋体" w:hAnsi="宋体" w:cs="宋体"/>
                <w:color w:val="000000" w:themeColor="text1"/>
                <w:szCs w:val="21"/>
                <w:highlight w:val="none"/>
                <w14:textFill>
                  <w14:solidFill>
                    <w14:schemeClr w14:val="tx1"/>
                  </w14:solidFill>
                </w14:textFill>
              </w:rPr>
              <w:t>项的该项分数记为0分，但不做无效响应处理。</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注：1）“▲”项参数需提供佐证材料，否则视为负偏离或缺项扣分。2）佐证材料是以采购清单技术参数要求内容为准。</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 </w:t>
            </w:r>
            <w:r>
              <w:rPr>
                <w:rFonts w:hint="eastAsia" w:cs="宋体"/>
                <w:color w:val="000000" w:themeColor="text1"/>
                <w:szCs w:val="21"/>
                <w:highlight w:val="none"/>
                <w14:textFill>
                  <w14:solidFill>
                    <w14:schemeClr w14:val="tx1"/>
                  </w14:solidFill>
                </w14:textFill>
              </w:rPr>
              <w:t>带“</w:t>
            </w:r>
            <w:r>
              <w:rPr>
                <w:rFonts w:hint="eastAsia" w:ascii="宋体" w:hAnsi="宋体" w:cs="宋体"/>
                <w:color w:val="000000" w:themeColor="text1"/>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”的为演示部分共4条，每满足1条得</w:t>
            </w:r>
            <w:r>
              <w:rPr>
                <w:rFonts w:hint="eastAsia" w:cs="宋体"/>
                <w:color w:val="000000" w:themeColor="text1"/>
                <w:szCs w:val="21"/>
                <w:highlight w:val="none"/>
                <w:lang w:val="en-US" w:eastAsia="zh-CN"/>
                <w14:textFill>
                  <w14:solidFill>
                    <w14:schemeClr w14:val="tx1"/>
                  </w14:solidFill>
                </w14:textFill>
              </w:rPr>
              <w:t>4</w:t>
            </w:r>
            <w:r>
              <w:rPr>
                <w:rFonts w:hint="eastAsia" w:cs="宋体"/>
                <w:color w:val="000000" w:themeColor="text1"/>
                <w:szCs w:val="21"/>
                <w:highlight w:val="none"/>
                <w14:textFill>
                  <w14:solidFill>
                    <w14:schemeClr w14:val="tx1"/>
                  </w14:solidFill>
                </w14:textFill>
              </w:rPr>
              <w:t>分，不满足的不得分，演示部分最多得</w:t>
            </w:r>
            <w:r>
              <w:rPr>
                <w:rFonts w:hint="eastAsia" w:cs="宋体"/>
                <w:color w:val="000000" w:themeColor="text1"/>
                <w:szCs w:val="21"/>
                <w:highlight w:val="none"/>
                <w:lang w:val="en-US" w:eastAsia="zh-CN"/>
                <w14:textFill>
                  <w14:solidFill>
                    <w14:schemeClr w14:val="tx1"/>
                  </w14:solidFill>
                </w14:textFill>
              </w:rPr>
              <w:t>16</w:t>
            </w:r>
            <w:r>
              <w:rPr>
                <w:rFonts w:hint="eastAsia" w:cs="宋体"/>
                <w:color w:val="000000" w:themeColor="text1"/>
                <w:szCs w:val="21"/>
                <w:highlight w:val="none"/>
                <w14:textFill>
                  <w14:solidFill>
                    <w14:schemeClr w14:val="tx1"/>
                  </w14:solidFill>
                </w14:textFill>
              </w:rPr>
              <w:t>分</w:t>
            </w:r>
            <w:r>
              <w:rPr>
                <w:rFonts w:hint="eastAsia" w:cs="宋体"/>
                <w:b/>
                <w:bCs/>
                <w:color w:val="000000" w:themeColor="text1"/>
                <w:szCs w:val="21"/>
                <w:highlight w:val="none"/>
                <w14:textFill>
                  <w14:solidFill>
                    <w14:schemeClr w14:val="tx1"/>
                  </w14:solidFill>
                </w14:textFill>
              </w:rPr>
              <w:t>（供应商自行准备演示所需的软硬件设备搭建演示环境，现场仅提供电源，整体演示时长不得超过15分钟）</w:t>
            </w:r>
            <w:r>
              <w:rPr>
                <w:rFonts w:hint="eastAsia" w:cs="宋体"/>
                <w:color w:val="000000" w:themeColor="text1"/>
                <w:szCs w:val="21"/>
                <w:highlight w:val="none"/>
                <w14:textFill>
                  <w14:solidFill>
                    <w14:schemeClr w14:val="tx1"/>
                  </w14:solidFill>
                </w14:textFill>
              </w:rPr>
              <w:t>。</w:t>
            </w:r>
          </w:p>
        </w:tc>
        <w:tc>
          <w:tcPr>
            <w:tcW w:w="849" w:type="dxa"/>
            <w:vAlign w:val="center"/>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6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16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实施方案</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750" w:type="dxa"/>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9分</w:t>
            </w:r>
          </w:p>
        </w:tc>
        <w:tc>
          <w:tcPr>
            <w:tcW w:w="5841" w:type="dxa"/>
            <w:vAlign w:val="center"/>
          </w:tcPr>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1、供应商针对本项目的服务方案包括但不限于：</w:t>
            </w:r>
            <w:r>
              <w:rPr>
                <w:rFonts w:hint="default"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t>供货进度安排</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lang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货源组织</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lang w:eastAsia="zh-CN"/>
                <w14:textFill>
                  <w14:solidFill>
                    <w14:schemeClr w14:val="tx1"/>
                  </w14:solidFill>
                </w14:textFill>
              </w:rPr>
              <w:t>③</w:t>
            </w:r>
            <w:r>
              <w:rPr>
                <w:rFonts w:hint="eastAsia" w:ascii="宋体" w:hAnsi="宋体" w:cs="宋体"/>
                <w:color w:val="000000" w:themeColor="text1"/>
                <w:szCs w:val="21"/>
                <w:highlight w:val="none"/>
                <w14:textFill>
                  <w14:solidFill>
                    <w14:schemeClr w14:val="tx1"/>
                  </w14:solidFill>
                </w14:textFill>
              </w:rPr>
              <w:t>包装运输保证措施</w:t>
            </w:r>
            <w:r>
              <w:rPr>
                <w:rFonts w:hint="eastAsia" w:ascii="宋体" w:hAnsi="宋体" w:cs="宋体"/>
                <w:color w:val="000000" w:themeColor="text1"/>
                <w:szCs w:val="21"/>
                <w:highlight w:val="none"/>
                <w:lang w:eastAsia="zh-CN"/>
                <w14:textFill>
                  <w14:solidFill>
                    <w14:schemeClr w14:val="tx1"/>
                  </w14:solidFill>
                </w14:textFill>
              </w:rPr>
              <w:t>；④</w:t>
            </w:r>
            <w:r>
              <w:rPr>
                <w:rFonts w:hint="eastAsia" w:ascii="宋体" w:hAnsi="宋体" w:cs="宋体"/>
                <w:color w:val="000000" w:themeColor="text1"/>
                <w:szCs w:val="21"/>
                <w:highlight w:val="none"/>
                <w14:textFill>
                  <w14:solidFill>
                    <w14:schemeClr w14:val="tx1"/>
                  </w14:solidFill>
                </w14:textFill>
              </w:rPr>
              <w:t>产品质量控制措施</w:t>
            </w:r>
            <w:r>
              <w:rPr>
                <w:rFonts w:hint="eastAsia" w:ascii="宋体" w:hAnsi="宋体" w:cs="宋体"/>
                <w:color w:val="000000" w:themeColor="text1"/>
                <w:szCs w:val="21"/>
                <w:highlight w:val="none"/>
                <w:lang w:eastAsia="zh-CN"/>
                <w14:textFill>
                  <w14:solidFill>
                    <w14:schemeClr w14:val="tx1"/>
                  </w14:solidFill>
                </w14:textFill>
              </w:rPr>
              <w:t>；⑤</w:t>
            </w:r>
            <w:r>
              <w:rPr>
                <w:rFonts w:hint="eastAsia" w:ascii="宋体" w:hAnsi="宋体" w:cs="宋体"/>
                <w:color w:val="000000" w:themeColor="text1"/>
                <w:szCs w:val="21"/>
                <w:highlight w:val="none"/>
                <w14:textFill>
                  <w14:solidFill>
                    <w14:schemeClr w14:val="tx1"/>
                  </w14:solidFill>
                </w14:textFill>
              </w:rPr>
              <w:t>安装与调试方案等方案全面、科学、合理、详细且符合项目实际要求的得5分，每有一项不足或阐述不明确扣0.5分；每有一项脱离实际或缺失扣1分。</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2、供应商针对本项目的应急处理方案包括但不限于：</w:t>
            </w:r>
            <w:r>
              <w:rPr>
                <w:rFonts w:hint="default"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t>突发事件保证持续供货措施</w:t>
            </w:r>
            <w:r>
              <w:rPr>
                <w:rFonts w:hint="eastAsia" w:ascii="宋体" w:hAnsi="宋体" w:cs="宋体"/>
                <w:color w:val="000000" w:themeColor="text1"/>
                <w:szCs w:val="21"/>
                <w:highlight w:val="none"/>
                <w:lang w:eastAsia="zh-CN"/>
                <w14:textFill>
                  <w14:solidFill>
                    <w14:schemeClr w14:val="tx1"/>
                  </w14:solidFill>
                </w14:textFill>
              </w:rPr>
              <w:t>；</w:t>
            </w:r>
            <w:r>
              <w:rPr>
                <w:rFonts w:hint="default" w:ascii="宋体" w:hAnsi="宋体" w:cs="宋体"/>
                <w:color w:val="000000" w:themeColor="text1"/>
                <w:szCs w:val="21"/>
                <w:highlight w:val="none"/>
                <w:lang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问题产品退换制度等方案全面、科学、合理、详细且符合项目实际要求的得4分，每有一项不足或阐述不明确扣1分；每有一项脱离实际或缺失扣2分。</w:t>
            </w:r>
          </w:p>
        </w:tc>
        <w:tc>
          <w:tcPr>
            <w:tcW w:w="849" w:type="dxa"/>
            <w:vAlign w:val="center"/>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6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66"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w:t>
            </w:r>
          </w:p>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w:t>
            </w:r>
          </w:p>
        </w:tc>
        <w:tc>
          <w:tcPr>
            <w:tcW w:w="750" w:type="dxa"/>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分</w:t>
            </w:r>
          </w:p>
        </w:tc>
        <w:tc>
          <w:tcPr>
            <w:tcW w:w="5841" w:type="dxa"/>
            <w:vAlign w:val="center"/>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提供的售后服务应包含</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lang w:eastAsia="zh-CN"/>
                <w14:textFill>
                  <w14:solidFill>
                    <w14:schemeClr w14:val="tx1"/>
                  </w14:solidFill>
                </w14:textFill>
              </w:rPr>
              <w:t>售后</w:t>
            </w:r>
            <w:r>
              <w:rPr>
                <w:rFonts w:hint="eastAsia" w:ascii="宋体" w:hAnsi="宋体" w:cs="宋体"/>
                <w:color w:val="000000" w:themeColor="text1"/>
                <w:szCs w:val="21"/>
                <w:highlight w:val="none"/>
                <w14:textFill>
                  <w14:solidFill>
                    <w14:schemeClr w14:val="tx1"/>
                  </w14:solidFill>
                </w14:textFill>
              </w:rPr>
              <w:t>服务方案</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②响应方案</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③故障处置方案等内容，完全满足项目需求，没有缺陷的得</w:t>
            </w: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分，每缺一项或内容不完整的扣</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分，扣完为止。</w:t>
            </w:r>
          </w:p>
        </w:tc>
        <w:tc>
          <w:tcPr>
            <w:tcW w:w="849" w:type="dxa"/>
            <w:vAlign w:val="center"/>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684" w:type="dxa"/>
            <w:vAlign w:val="center"/>
          </w:tcPr>
          <w:p>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p>
        </w:tc>
        <w:tc>
          <w:tcPr>
            <w:tcW w:w="116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节能、环境标志、无线局域网产品</w:t>
            </w:r>
          </w:p>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75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2分</w:t>
            </w:r>
          </w:p>
        </w:tc>
        <w:tc>
          <w:tcPr>
            <w:tcW w:w="5841" w:type="dxa"/>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供应商提供的产品若属于国家强制采购范围的按须知表要求而处理，不计入此项评审；若属于国家优先采购范围的，则每有一项为节能产品或环境标志产品或无线局域网产品政府采购清单中的得1分，最多得2分。</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注1、“节能产品政府采购品目清单”、“环境标志产品政府采购品目清单”提供国家确定的认证机构出具的、处于有效期之内的节能产品、环境标志产品认证证书和提供该产品所在品目清单页截图。</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2、“无线局域网认证产品政府采购清单”以财政部会同国务院有关部门机构认定的为准。</w:t>
            </w:r>
          </w:p>
        </w:tc>
        <w:tc>
          <w:tcPr>
            <w:tcW w:w="849" w:type="dxa"/>
            <w:vAlign w:val="center"/>
          </w:tcPr>
          <w:p>
            <w:pPr>
              <w:rPr>
                <w:rFonts w:ascii="宋体" w:hAnsi="宋体" w:cs="宋体"/>
                <w:color w:val="000000" w:themeColor="text1"/>
                <w:szCs w:val="21"/>
                <w:highlight w:val="none"/>
                <w14:textFill>
                  <w14:solidFill>
                    <w14:schemeClr w14:val="tx1"/>
                  </w14:solidFill>
                </w14:textFill>
              </w:rPr>
            </w:pPr>
          </w:p>
        </w:tc>
      </w:tr>
    </w:tbl>
    <w:p>
      <w:pPr>
        <w:pStyle w:val="60"/>
        <w:spacing w:line="24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注：</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14:textFill>
            <w14:solidFill>
              <w14:schemeClr w14:val="tx1"/>
            </w14:solidFill>
          </w14:textFill>
        </w:rPr>
        <w:t>评分依据的所有证明材料必须加盖单位公章(鲜章)，若提供的证明材料不实，将取消其响应或成交资格。</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2）评分的取值按四舍五入法，保留小数点后两位。在技术、商务、服务条件相同时，优先采购不发达地区和少数民族地区企业的产品。</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【供应商需提供相关证明材料才能享受优先】</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5.4 磋商过程中，有下列情形之一的，磋商失败：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（1）通过资格审查的供应商不足三家的；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（2）参加磋商的供应商被淘汰，最后报价的供应商不足三家的；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（3）供应商最后报价均超过政府采购预算或者本次采购项目最高限价，且采购人不能支付的；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（4）其他无法继续开展磋商或者无法成交的情形。</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6、确定成交供应商的标准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6.1 本次磋商小组成员应当按照客观、公正、审慎的原则进行。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6.2 供应商报价结束后，磋商小组应当根据综合评分情况，按照评审得分由高到低顺序推荐3名成交候选供应商。评审得分相同的，按照最后报价由低到高的顺序推荐。评审得分且最后报价相同的，按照技术指标优劣顺序推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6.3 磋商小组推荐成交候选供应商后，应当向采购代理机构出具评审报告。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6.4 对于违反磋商纪律的将可能被取消成交供应商资格或视为无效响应。</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13" w:name="_Toc217446105"/>
      <w:bookmarkStart w:id="214" w:name="_Toc208849022"/>
      <w:bookmarkStart w:id="215" w:name="_Toc183582297"/>
      <w:bookmarkStart w:id="216" w:name="_Toc183682432"/>
      <w:bookmarkStart w:id="217" w:name="_Toc445888138"/>
      <w:bookmarkStart w:id="218" w:name="_Toc14165"/>
      <w:r>
        <w:rPr>
          <w:rFonts w:hint="eastAsia" w:ascii="宋体" w:hAnsi="宋体" w:eastAsia="宋体" w:cs="宋体"/>
          <w:color w:val="000000" w:themeColor="text1"/>
          <w:sz w:val="24"/>
          <w:szCs w:val="24"/>
          <w:highlight w:val="none"/>
          <w:lang w:val="en-US" w:eastAsia="zh-CN"/>
          <w14:textFill>
            <w14:solidFill>
              <w14:schemeClr w14:val="tx1"/>
            </w14:solidFill>
          </w14:textFill>
        </w:rPr>
        <w:t>7</w:t>
      </w:r>
      <w:bookmarkEnd w:id="213"/>
      <w:bookmarkEnd w:id="214"/>
      <w:bookmarkEnd w:id="215"/>
      <w:bookmarkEnd w:id="216"/>
      <w:r>
        <w:rPr>
          <w:rFonts w:hint="eastAsia" w:ascii="宋体" w:hAnsi="宋体" w:eastAsia="宋体" w:cs="宋体"/>
          <w:color w:val="000000" w:themeColor="text1"/>
          <w:sz w:val="24"/>
          <w:szCs w:val="24"/>
          <w:highlight w:val="none"/>
          <w:lang w:val="en-US" w:eastAsia="zh-CN"/>
          <w14:textFill>
            <w14:solidFill>
              <w14:schemeClr w14:val="tx1"/>
            </w14:solidFill>
          </w14:textFill>
        </w:rPr>
        <w:t>、评审专家在政府采购活动中承担以下义务</w:t>
      </w:r>
      <w:bookmarkEnd w:id="217"/>
      <w:bookmarkEnd w:id="21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7.1 遵纪守法，客观、公正、廉洁地履行职责。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7.2 按照政府采购法律法规和采购文件的规定要求对供应商的资格条件和供应商提供的产品价格、技术、服务等方面严格进行评判，提供科学合理、公平公正的评审意见，参与起草评审报告，并予签字确认。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7.3 保守秘密。不得透露采购文件咨询情况，不得泄漏供应商的响应文件及知悉的商业秘密，不得向供应商透露评审情况。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7.4 发现供应商在政府采购活动中有不正当竞争或恶意串通等违规行为，及时向政府采购评审工作的组织者或财政部门报告并加以制止。</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发现采购人、政府采购代理机构及其工作人员在政府采购活动中有干预评审、发表倾向性和歧视性言论、受贿或者接受供应商的其他好处及其他违法违规行为，及时向财政部门报告。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7.5 解答有关方面对政府采购评审工作中有关问题的询问，配合采购人或者政府采购代理机构答复供应商质疑，配合财政部门的投诉处理工作等事宜。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7.6 法律、法规和规章规定的其他义务。</w:t>
      </w:r>
    </w:p>
    <w:p>
      <w:pPr>
        <w:pStyle w:val="2"/>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19" w:name="_Toc445888139"/>
      <w:bookmarkStart w:id="220" w:name="_Toc5163"/>
      <w:r>
        <w:rPr>
          <w:rFonts w:hint="eastAsia" w:ascii="宋体" w:hAnsi="宋体" w:eastAsia="宋体" w:cs="宋体"/>
          <w:color w:val="000000" w:themeColor="text1"/>
          <w:sz w:val="24"/>
          <w:szCs w:val="24"/>
          <w:highlight w:val="none"/>
          <w:lang w:val="en-US" w:eastAsia="zh-CN"/>
          <w14:textFill>
            <w14:solidFill>
              <w14:schemeClr w14:val="tx1"/>
            </w14:solidFill>
          </w14:textFill>
        </w:rPr>
        <w:t>8、评审专家在政府采购活动中应当遵守以下工作纪律</w:t>
      </w:r>
      <w:bookmarkEnd w:id="219"/>
      <w:bookmarkEnd w:id="22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8.1 应邀按时参加评审和咨询活动。遇特殊情况不能出席或途中遇阻不能按时参加评审或咨询的，应及时告知财政部门或者采购人或者政府采购代理机构，不得私自转托他人。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8.2 不得参加与自己有利害关系的政府采购项目的评审活动。对与自己有利害关系的评审项目，如受到邀请，应主动提出回避。财政部门、采购人或政府采购代理机构也可要求该评审专家回避。</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审的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8.3 评审或咨询过程中关闭通讯设备，不得与外界联系。因发生不可预见情况，确实需要与外界联系的，应当有在场工作人员陪同。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8.4 评审过程中，不得发表影响评审公正的倾向性、歧视性言论；不得征询或者接受采购人的倾向性意见；不得以任何明示或暗示的方式要求参加该采购项目的供应商以澄清、说明或补正为借口，表达与其原响应文件原意不同的新意见；不得以采购文件没有规定的方法和标准作为评审的依据；不得违反规定的评审格式评分和撰写评审意见；不得拒绝对自己的评审意见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8.5 在咨询工作中，严格执行国家产业政策和产品标准，认真听取咨询方的合理要求，提出科学合理的、无倾向性和歧视性的咨询方案，并对所提出的意见和建议承担个人责任。</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8.6 有关部门（机构）制定的其他评审工作纪律。</w:t>
      </w:r>
    </w:p>
    <w:p>
      <w:pPr>
        <w:pStyle w:val="12"/>
        <w:rPr>
          <w:rFonts w:hint="eastAsia" w:ascii="宋体" w:hAnsi="宋体" w:eastAsia="宋体" w:cs="宋体"/>
          <w:color w:val="000000" w:themeColor="text1"/>
          <w:highlight w:val="none"/>
          <w14:textFill>
            <w14:solidFill>
              <w14:schemeClr w14:val="tx1"/>
            </w14:solidFill>
          </w14:textFill>
        </w:rPr>
      </w:pPr>
    </w:p>
    <w:p>
      <w:pPr>
        <w:pStyle w:val="3"/>
        <w:keepNext w:val="0"/>
        <w:keepLines w:val="0"/>
        <w:tabs>
          <w:tab w:val="left" w:pos="7665"/>
        </w:tabs>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color w:val="000000" w:themeColor="text1"/>
          <w:sz w:val="32"/>
          <w:highlight w:val="none"/>
          <w14:textFill>
            <w14:solidFill>
              <w14:schemeClr w14:val="tx1"/>
            </w14:solidFill>
          </w14:textFill>
        </w:rPr>
        <w:br w:type="page"/>
      </w:r>
      <w:bookmarkStart w:id="221" w:name="_Toc20488"/>
      <w:bookmarkStart w:id="222" w:name="_Toc23551"/>
      <w:bookmarkStart w:id="223" w:name="_Toc16511"/>
      <w:bookmarkStart w:id="224" w:name="_Toc7961750"/>
      <w:r>
        <w:rPr>
          <w:rFonts w:hint="eastAsia" w:ascii="宋体" w:hAnsi="宋体" w:eastAsia="宋体" w:cs="宋体"/>
          <w:color w:val="000000" w:themeColor="text1"/>
          <w:sz w:val="36"/>
          <w:szCs w:val="36"/>
          <w:highlight w:val="none"/>
          <w14:textFill>
            <w14:solidFill>
              <w14:schemeClr w14:val="tx1"/>
            </w14:solidFill>
          </w14:textFill>
        </w:rPr>
        <w:t>第八章  政府采购合同（草案）</w:t>
      </w:r>
      <w:bookmarkEnd w:id="221"/>
      <w:bookmarkEnd w:id="222"/>
      <w:bookmarkEnd w:id="223"/>
      <w:bookmarkEnd w:id="224"/>
    </w:p>
    <w:bookmarkEnd w:id="127"/>
    <w:bookmarkEnd w:id="128"/>
    <w:bookmarkEnd w:id="129"/>
    <w:p>
      <w:pPr>
        <w:spacing w:line="360" w:lineRule="auto"/>
        <w:ind w:firstLine="490" w:firstLineChars="200"/>
        <w:rPr>
          <w:rFonts w:hint="eastAsia" w:ascii="宋体" w:hAnsi="宋体" w:eastAsia="宋体" w:cs="宋体"/>
          <w:b/>
          <w:bCs/>
          <w:color w:val="000000" w:themeColor="text1"/>
          <w:sz w:val="24"/>
          <w:highlight w:val="none"/>
          <w14:textFill>
            <w14:solidFill>
              <w14:schemeClr w14:val="tx1"/>
            </w14:solidFill>
          </w14:textFill>
        </w:rPr>
      </w:pPr>
      <w:bookmarkStart w:id="225" w:name="_Hlt101846155"/>
      <w:bookmarkEnd w:id="225"/>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合同编号：XXXX。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签订地点：XXXX。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签订时间：XXXX年XX月XX日。</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采购人（甲方）：                              </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供应商（乙方）：                                                                     </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中华人民共和国合同法》及XXXX采购项目（项目编号：XX）的《竞争性磋商文件》、乙方的《响应文件》及《成交通知书》，甲、乙双方同意签订本合同。详细技术说明及其他有关合同项目的特定信息由合同附件予以说明，合同附件及本项目的《竞争性磋商文件》、响应文件、《成交通知书》等均为本合同不可分割的部分。双方同意共同遵守如下条款：</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26" w:name="_Toc11498"/>
      <w:bookmarkStart w:id="227" w:name="_Toc6625"/>
      <w:bookmarkStart w:id="228" w:name="_Toc217446107"/>
      <w:r>
        <w:rPr>
          <w:rFonts w:hint="eastAsia" w:ascii="宋体" w:hAnsi="宋体" w:eastAsia="宋体" w:cs="宋体"/>
          <w:color w:val="000000" w:themeColor="text1"/>
          <w:sz w:val="24"/>
          <w:szCs w:val="24"/>
          <w:highlight w:val="none"/>
          <w14:textFill>
            <w14:solidFill>
              <w14:schemeClr w14:val="tx1"/>
            </w14:solidFill>
          </w14:textFill>
        </w:rPr>
        <w:t>一、合同货物</w:t>
      </w:r>
      <w:bookmarkEnd w:id="226"/>
      <w:bookmarkEnd w:id="227"/>
      <w:bookmarkEnd w:id="228"/>
    </w:p>
    <w:tbl>
      <w:tblPr>
        <w:tblStyle w:val="28"/>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89"/>
        <w:gridCol w:w="904"/>
        <w:gridCol w:w="704"/>
        <w:gridCol w:w="920"/>
        <w:gridCol w:w="951"/>
        <w:gridCol w:w="1277"/>
        <w:gridCol w:w="885"/>
        <w:gridCol w:w="1050"/>
        <w:gridCol w:w="80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59" w:type="dxa"/>
            <w:noWrap w:val="0"/>
            <w:vAlign w:val="center"/>
          </w:tcPr>
          <w:p>
            <w:pPr>
              <w:jc w:val="center"/>
              <w:rPr>
                <w:rFonts w:hint="eastAsia"/>
                <w:color w:val="000000" w:themeColor="text1"/>
                <w:sz w:val="24"/>
                <w:highlight w:val="none"/>
                <w14:textFill>
                  <w14:solidFill>
                    <w14:schemeClr w14:val="tx1"/>
                  </w14:solidFill>
                </w14:textFill>
              </w:rPr>
            </w:pPr>
            <w:bookmarkStart w:id="229" w:name="_Toc32679"/>
            <w:bookmarkStart w:id="230" w:name="_Toc10058"/>
            <w:bookmarkStart w:id="231" w:name="_Toc217446108"/>
            <w:r>
              <w:rPr>
                <w:rFonts w:hint="eastAsia"/>
                <w:color w:val="000000" w:themeColor="text1"/>
                <w:sz w:val="24"/>
                <w:highlight w:val="none"/>
                <w14:textFill>
                  <w14:solidFill>
                    <w14:schemeClr w14:val="tx1"/>
                  </w14:solidFill>
                </w14:textFill>
              </w:rPr>
              <w:t>序号</w:t>
            </w:r>
          </w:p>
        </w:tc>
        <w:tc>
          <w:tcPr>
            <w:tcW w:w="88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9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7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92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单价（元）</w:t>
            </w:r>
          </w:p>
        </w:tc>
        <w:tc>
          <w:tcPr>
            <w:tcW w:w="951"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总价（元）</w:t>
            </w:r>
          </w:p>
        </w:tc>
        <w:tc>
          <w:tcPr>
            <w:tcW w:w="1277"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885"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050"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801"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655"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595" w:type="dxa"/>
            <w:gridSpan w:val="11"/>
            <w:noWrap w:val="0"/>
            <w:vAlign w:val="center"/>
          </w:tcPr>
          <w:p>
            <w:pP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合计金额</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元；</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lang w:eastAsia="zh-CN"/>
                <w14:textFill>
                  <w14:solidFill>
                    <w14:schemeClr w14:val="tx1"/>
                  </w14:solidFill>
                </w14:textFill>
              </w:rPr>
              <w:t>：人民币</w:t>
            </w:r>
            <w:r>
              <w:rPr>
                <w:rFonts w:hint="eastAsia"/>
                <w:color w:val="000000" w:themeColor="text1"/>
                <w:sz w:val="24"/>
                <w:highlight w:val="none"/>
                <w:lang w:val="en-US" w:eastAsia="zh-CN"/>
                <w14:textFill>
                  <w14:solidFill>
                    <w14:schemeClr w14:val="tx1"/>
                  </w14:solidFill>
                </w14:textFill>
              </w:rPr>
              <w:t xml:space="preserve">                     。</w:t>
            </w:r>
          </w:p>
        </w:tc>
      </w:tr>
    </w:tbl>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二、合同总价</w:t>
      </w:r>
      <w:bookmarkEnd w:id="229"/>
      <w:bookmarkEnd w:id="230"/>
      <w:bookmarkEnd w:id="231"/>
    </w:p>
    <w:p>
      <w:pPr>
        <w:pStyle w:val="10"/>
        <w:spacing w:line="440" w:lineRule="exact"/>
        <w:ind w:firstLineChars="175"/>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合同总价为人民币大写：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元，即RMB￥</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2" w:name="_Toc217446109"/>
      <w:bookmarkStart w:id="233" w:name="_Toc22064"/>
      <w:bookmarkStart w:id="234" w:name="_Toc19859"/>
      <w:r>
        <w:rPr>
          <w:rFonts w:hint="eastAsia" w:ascii="宋体" w:hAnsi="宋体" w:eastAsia="宋体" w:cs="宋体"/>
          <w:color w:val="000000" w:themeColor="text1"/>
          <w:sz w:val="24"/>
          <w:szCs w:val="24"/>
          <w:highlight w:val="none"/>
          <w14:textFill>
            <w14:solidFill>
              <w14:schemeClr w14:val="tx1"/>
            </w14:solidFill>
          </w14:textFill>
        </w:rPr>
        <w:t>三、质量要求</w:t>
      </w:r>
      <w:bookmarkEnd w:id="232"/>
      <w:bookmarkEnd w:id="233"/>
      <w:bookmarkEnd w:id="234"/>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1、乙方须提供全新的货物（含零部件、配件等），表面无划伤、无碰撞痕迹，且权属清楚，不得侵害他人的知识产权。</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2、货物必须符合或优于国家（行业）</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标准，以及本项目招标文件的质量要求和技术指标与出厂标准。</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3、乙方须在本合同签订之日起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5、货到现场后由于甲方保管不当造成的质量问题，乙方亦应负责修理，但费用由甲方负担。</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5" w:name="_Toc32024"/>
      <w:bookmarkStart w:id="236" w:name="_Toc217446110"/>
      <w:bookmarkStart w:id="237" w:name="_Toc31432"/>
      <w:r>
        <w:rPr>
          <w:rFonts w:hint="eastAsia" w:ascii="宋体" w:hAnsi="宋体" w:eastAsia="宋体" w:cs="宋体"/>
          <w:color w:val="000000" w:themeColor="text1"/>
          <w:sz w:val="24"/>
          <w:szCs w:val="24"/>
          <w:highlight w:val="none"/>
          <w14:textFill>
            <w14:solidFill>
              <w14:schemeClr w14:val="tx1"/>
            </w14:solidFill>
          </w14:textFill>
        </w:rPr>
        <w:t>四、交货及验收</w:t>
      </w:r>
      <w:bookmarkEnd w:id="235"/>
      <w:bookmarkEnd w:id="236"/>
      <w:bookmarkEnd w:id="237"/>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货期限为合同签订生效后的XX日内，在合同签订生效之日起XX天内交货到甲方指定地点，随即完成安装调试验收合格交付使用(如由于采购人的原因造成合同延迟签订或验收的，时间顺延)。交货验收时须提供产品质检部门从同类产品中抽样检查合格的检测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2、验收由甲方组织，乙方配合进行：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货物在乙方通知安装调试完毕后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日内初步验收。初步验收合格后，进入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试用期；试用期间发生重大质量问题，修复后试用相应顺延；试用期结束后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日内完成最终验收；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如质量验收合格，双方签署质量验收报告。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3、货物安装完成后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日内，甲方无故不进行验收工作并已使用货物的，视同已安装调试完成并验收合格。</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6、其他未尽事宜应严格按照《财政部关于进一步加强政府采购需求和履约验收管理的指导意见》(财库〔2016〕205 号)的要求进行。</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8" w:name="_Toc1158"/>
      <w:bookmarkStart w:id="239" w:name="_Toc217446111"/>
      <w:bookmarkStart w:id="240" w:name="_Toc12337"/>
      <w:r>
        <w:rPr>
          <w:rFonts w:hint="eastAsia" w:ascii="宋体" w:hAnsi="宋体" w:eastAsia="宋体" w:cs="宋体"/>
          <w:color w:val="000000" w:themeColor="text1"/>
          <w:sz w:val="24"/>
          <w:szCs w:val="24"/>
          <w:highlight w:val="none"/>
          <w14:textFill>
            <w14:solidFill>
              <w14:schemeClr w14:val="tx1"/>
            </w14:solidFill>
          </w14:textFill>
        </w:rPr>
        <w:t>五、付款方式</w:t>
      </w:r>
      <w:bookmarkEnd w:id="238"/>
      <w:bookmarkEnd w:id="239"/>
      <w:bookmarkEnd w:id="240"/>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（一）适用于无预付款采购项目</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日内，按照财政性资金支付有关规定，向乙方支付合同价款￥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3、乙方须向甲方出具合法有效完整的完税发票及凭证资料进行支付结算。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（二）适用于有预付款采购项目（预付款建议不超过政府采购合同金额的30%）</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1、甲方在本合同签订生效之日起接到乙方通知和票据凭证资料以及乙方交给甲方的合同履约保证金（按合同总价的百分之  计算款额￥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日内支付合同金额百分之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的价款；</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日内，提交支付凭证资料给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财政国库支付执行机构办理财政国库支付手续，并由其向乙方核拨合同总价的百分之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款项：￥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4、乙方须向甲方出具合法有效完整的完税发票及凭证资料进行支付结算。</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1" w:name="_Toc4875"/>
      <w:bookmarkStart w:id="242" w:name="_Toc217446112"/>
      <w:bookmarkStart w:id="243" w:name="_Toc29950"/>
      <w:r>
        <w:rPr>
          <w:rFonts w:hint="eastAsia" w:ascii="宋体" w:hAnsi="宋体" w:eastAsia="宋体" w:cs="宋体"/>
          <w:color w:val="000000" w:themeColor="text1"/>
          <w:sz w:val="24"/>
          <w:szCs w:val="24"/>
          <w:highlight w:val="none"/>
          <w14:textFill>
            <w14:solidFill>
              <w14:schemeClr w14:val="tx1"/>
            </w14:solidFill>
          </w14:textFill>
        </w:rPr>
        <w:t>六、售后服务</w:t>
      </w:r>
      <w:bookmarkEnd w:id="241"/>
      <w:bookmarkEnd w:id="242"/>
      <w:bookmarkEnd w:id="243"/>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1、质保期为验收合格后XX年，质保期内出现质量问题，乙方在接到通知后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小时内响应到场，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小时内完成维修或更换，并承担修理调换的费用；如货物经乙方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2、乙方须指派专人负责与甲方联系售后服务事宜。 </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4" w:name="_Toc217446113"/>
      <w:bookmarkStart w:id="245" w:name="_Toc29356"/>
      <w:bookmarkStart w:id="246" w:name="_Toc24003"/>
      <w:r>
        <w:rPr>
          <w:rFonts w:hint="eastAsia" w:ascii="宋体" w:hAnsi="宋体" w:eastAsia="宋体" w:cs="宋体"/>
          <w:color w:val="000000" w:themeColor="text1"/>
          <w:sz w:val="24"/>
          <w:szCs w:val="24"/>
          <w:highlight w:val="none"/>
          <w14:textFill>
            <w14:solidFill>
              <w14:schemeClr w14:val="tx1"/>
            </w14:solidFill>
          </w14:textFill>
        </w:rPr>
        <w:t>七、违约责任</w:t>
      </w:r>
      <w:bookmarkEnd w:id="244"/>
      <w:bookmarkEnd w:id="245"/>
      <w:bookmarkEnd w:id="246"/>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甲方无正当理由拒收货物的，甲方应偿付合同总价百分之  的违约金；</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甲方逾期支付货款的，除应及时付足货款外，应向乙方偿付欠款总额万分之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/天的违约金；逾期付款超过</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天的，乙方有权终止合同；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甲方偿付的违约金不足以弥补乙方损失的，还应按乙方损失尚未弥补的部分，支付赔偿金给乙方。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（1）乙方交付的货物质量不符合合同规定的，乙方应向甲方支付合同总价的百分之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的违约金，并须在合同规定的交货时间内更换合格的货物给甲方，否则，视作乙方不能交付货物而违约，按本条本款下述第“（2）”项规定由乙方偿付违约赔偿金给甲方。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（2）乙方不能交付货物或逾期交付货物而违约的，除应及时交足货物外，应向甲方偿付逾期交货部分货款总额的万分之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/天的违约金；逾期交货超过XX天，甲方有权终止合同，乙方则应按合同总价的百分之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的款额向甲方偿付赔偿金，并须全额退还甲方已经付给乙方的货款及其利息。</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天内无条件更换合格的货物，如逾期不能更换合格的货物，甲方有权终止本合同，乙方应另付合同总价的百分之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向甲方支付违约金并赔偿因此给甲方造成的一切损失。</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（5）乙方偿付的违约金不足以弥补甲方损失的，还应按甲方损失尚未弥补的部分，支付赔偿金给甲方。</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7" w:name="_Toc18842"/>
      <w:bookmarkStart w:id="248" w:name="_Toc18155"/>
      <w:bookmarkStart w:id="249" w:name="_Toc217446114"/>
      <w:r>
        <w:rPr>
          <w:rFonts w:hint="eastAsia" w:ascii="宋体" w:hAnsi="宋体" w:eastAsia="宋体" w:cs="宋体"/>
          <w:color w:val="000000" w:themeColor="text1"/>
          <w:sz w:val="24"/>
          <w:szCs w:val="24"/>
          <w:highlight w:val="none"/>
          <w14:textFill>
            <w14:solidFill>
              <w14:schemeClr w14:val="tx1"/>
            </w14:solidFill>
          </w14:textFill>
        </w:rPr>
        <w:t>八、争议解决办法</w:t>
      </w:r>
      <w:bookmarkEnd w:id="247"/>
      <w:bookmarkEnd w:id="248"/>
      <w:bookmarkEnd w:id="249"/>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2、合同履行期间,若双方发生争议，可协商或由有关部门调解解决，协商或调解不成的，由当事人依法维护其合法权益。</w:t>
      </w:r>
    </w:p>
    <w:p>
      <w:pPr>
        <w:pStyle w:val="2"/>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0" w:name="_Toc217446115"/>
      <w:bookmarkStart w:id="251" w:name="_Toc21902"/>
      <w:bookmarkStart w:id="252" w:name="_Toc3510"/>
      <w:r>
        <w:rPr>
          <w:rFonts w:hint="eastAsia" w:ascii="宋体" w:hAnsi="宋体" w:eastAsia="宋体" w:cs="宋体"/>
          <w:color w:val="000000" w:themeColor="text1"/>
          <w:sz w:val="24"/>
          <w:szCs w:val="24"/>
          <w:highlight w:val="none"/>
          <w14:textFill>
            <w14:solidFill>
              <w14:schemeClr w14:val="tx1"/>
            </w14:solidFill>
          </w14:textFill>
        </w:rPr>
        <w:t>九、其他</w:t>
      </w:r>
      <w:bookmarkEnd w:id="250"/>
      <w:bookmarkEnd w:id="251"/>
      <w:bookmarkEnd w:id="252"/>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1、如有未尽事宜，由双方依法订立补充合同。</w:t>
      </w:r>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2、本合同一式六份，自双方签章之日起生效。甲方三份，乙方、管理部门、采购代理机构各一份。</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   （盖章）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乙方：   （盖章）</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法定代表人（授权代表）：           法定代表人（授权代表）：</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                         地    址：</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                         开户银行：</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                             账号：</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                         电    话：</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                         传    真：</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签约日期：XX年XX月XX日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签约日期：XX年XX月XX日</w:t>
      </w:r>
    </w:p>
    <w:p>
      <w:pPr>
        <w:spacing w:line="400" w:lineRule="exact"/>
        <w:ind w:firstLine="490" w:firstLineChars="200"/>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注：合同条款可根据采购人及</w:t>
      </w:r>
      <w:r>
        <w:rPr>
          <w:rFonts w:hint="eastAsia" w:ascii="宋体" w:hAnsi="宋体" w:eastAsia="宋体" w:cs="宋体"/>
          <w:b/>
          <w:bCs/>
          <w:color w:val="000000" w:themeColor="text1"/>
          <w:sz w:val="24"/>
          <w:szCs w:val="24"/>
          <w:highlight w:val="none"/>
          <w:lang w:eastAsia="zh-CN"/>
          <w14:textFill>
            <w14:solidFill>
              <w14:schemeClr w14:val="tx1"/>
            </w14:solidFill>
          </w14:textFill>
        </w:rPr>
        <w:t>成交供应商</w:t>
      </w:r>
      <w:r>
        <w:rPr>
          <w:rFonts w:hint="eastAsia" w:ascii="宋体" w:hAnsi="宋体" w:eastAsia="宋体" w:cs="宋体"/>
          <w:b/>
          <w:bCs/>
          <w:color w:val="000000" w:themeColor="text1"/>
          <w:sz w:val="24"/>
          <w:szCs w:val="24"/>
          <w:highlight w:val="none"/>
          <w14:textFill>
            <w14:solidFill>
              <w14:schemeClr w14:val="tx1"/>
            </w14:solidFill>
          </w14:textFill>
        </w:rPr>
        <w:t>签订合同时的实际情况进行修改调整。</w:t>
      </w:r>
    </w:p>
    <w:p>
      <w:pPr>
        <w:spacing w:line="0" w:lineRule="atLeast"/>
        <w:ind w:firstLine="245" w:firstLineChars="100"/>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bookmarkStart w:id="253" w:name="_Toc353"/>
      <w:bookmarkStart w:id="254" w:name="_Toc21341"/>
      <w:bookmarkStart w:id="255" w:name="_Toc579"/>
      <w:r>
        <w:rPr>
          <w:rFonts w:hint="eastAsia" w:ascii="宋体" w:hAnsi="宋体" w:eastAsia="宋体" w:cs="宋体"/>
          <w:color w:val="000000" w:themeColor="text1"/>
          <w:sz w:val="24"/>
          <w:highlight w:val="none"/>
          <w14:textFill>
            <w14:solidFill>
              <w14:schemeClr w14:val="tx1"/>
            </w14:solidFill>
          </w14:textFill>
        </w:rPr>
        <w:t>附件</w:t>
      </w:r>
      <w:bookmarkEnd w:id="253"/>
      <w:bookmarkEnd w:id="254"/>
      <w:bookmarkEnd w:id="255"/>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成都市中小企业政府采购信用融资暂行办法</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第一章 总 则</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第一条（政策依据）</w:t>
      </w:r>
    </w:p>
    <w:p>
      <w:pPr>
        <w:spacing w:line="376"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 号）和《四川省财政厅关于推进四川省政府采购供应商信用融资工作的通知》（川财采〔2018〕123 号）有关精神，结合我市实际，制定本办法。</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第二条（适用范围）</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成都市行政区域内政府采购信用融资适用本办法。</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第三条（术语定义）</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本办法所称政府采购信用融资，是指融资机构以信用审查为基础，依据政府采购合同，按相应的优惠政策向申请融资的中小企业（以下简称供应商）提供资金支持的融资模式。</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本办法所称融资机构，是指在成都市属地注册或设立分支机构，有意向按照本办法开展政府采购信用融资业务，经同级财政部门确定的银行机构。</w:t>
      </w:r>
    </w:p>
    <w:p>
      <w:pPr>
        <w:spacing w:line="355" w:lineRule="auto"/>
        <w:ind w:left="480" w:right="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本办法所称中小企业，包括中型、小型及微型企业，其划型标准按照国家相关规定执行。第四条（基本原则）</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政府采购信用融资工作坚持政府引导、市场主导，自愿选择、自担风险，诚实信用、互惠共赢的原则，切实发挥市场在资源配置中的决定性作用。</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第二章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融资优惠</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第五条（融资方式）</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供应商无需提供财产抵押或第三方担保，凭借政府采购合同向融资机构申请融资，融资机构根据其授信政策为供应商提供信用贷款。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第六条（融资额度）</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融资额度原则上不超过政府采购合同金额。第七条（融资利率）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融资机构向供应商提供融资的利率应低于同期一般中小企业的贷款利率。融资利率上浮比例原则上不超过中国人民银行公布的同期贷款基准利率的 30%。</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第八条（融资期限）</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融资期限原则上与政府采购合同履行期限一致。</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第九条（融资效率）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融资机构应当建立政府采购信用融资绿色通道，配备专业人员定向服务，简化融资审批程序。对申报材料齐全完备的供应商，原则上应在 5 个工作日内完成审批，对审批通过且具备放款条件的供应商，原则上应在 5 个工作日内完成放款。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第十条（融资业务升级）</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对履约记录良好、诚信资质高的供应商，融资机构应当在授信额度、融资审查、融资利率等方面给予更大支持，促进供应商依法诚信经营。</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第十一条（贷款风险补贴）</w:t>
      </w:r>
    </w:p>
    <w:p>
      <w:pPr>
        <w:spacing w:line="355"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对银行业金融机构向小微企业发放的贷款（无需抵押、质押或担保的贷款）损失，财政部门按最高不超过年度新增损失类贷款额的 60%予以风险补贴，具体分担比例由各地根据金融机构小微企业贷款发放总量、损失情况、财力状况等因素综合确定。</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第三章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融资流程</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第十二条（融资流程）</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（一）信息发布。采购人应当在发布的采购公告和采购文件中载明采购项目可提供信用融资的信息。</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（二）融资申请。有融资需求的供应商自主选择提供政府采购信用融资服务的融资机构及产品，并按要求提供申请资料。</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（三）融资审查。融资机构对供应商的融资申请进行审查，并向供应商反馈审查及融资额度等情况。</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（四）账户确认。供应商须在合作融资机构开立结算账户，并与采购人在政府采购合同中或通过签订补充协议的方式约定唯一收款账户，融资机构对唯一收款账户进行确认和锁定。</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（五）放款。融资机构对政府采购合同及融资相关信息进行确认，并向供应商提供相应的融资产品。</w:t>
      </w:r>
    </w:p>
    <w:p>
      <w:pPr>
        <w:spacing w:line="352" w:lineRule="auto"/>
        <w:ind w:left="4160" w:right="140" w:hanging="36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（六）贷款归还。采购人按相关规定和合同约定将合同资金支付至约定的唯一收款账户。</w:t>
      </w:r>
      <w:r>
        <w:rPr>
          <w:rFonts w:hint="eastAsia" w:ascii="宋体" w:hAnsi="宋体" w:eastAsia="宋体" w:cs="宋体"/>
          <w:b/>
          <w:color w:val="000000" w:themeColor="text1"/>
          <w:sz w:val="24"/>
          <w:highlight w:val="none"/>
          <w14:textFill>
            <w14:solidFill>
              <w14:schemeClr w14:val="tx1"/>
            </w14:solidFill>
          </w14:textFill>
        </w:rPr>
        <w:t>第四章 职责分工</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第十三条（财政部门职责）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牵头政府采购信用融资工作，做好政策引导和支持协调，为开展政府采购信用融资提供便利。向融资机构提供相关必要信息，推进政府采购成交（成交）信息、合同信息、融资信息和信用信息等信息资源共享。适时调整开展政府采购信用融资业务的融资机构名单。但在政府采购信用融资工作中，财政部门不得提供任何形式的担保和承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第十四条（融资机构主管部门职责）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引导融资机构依法依规开展政府采购信用融资。推动成都市政府采购监督管理系统与中征应收账款融资服务平台直联，实现政府采购信用融资线上办理，加强与财政部门的信息共享。</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第十五条（采购人职责）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第十六条（融资机构职责）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第十七条（供应商职责）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spacing w:line="33"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第五章 监督管理</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第十八条（采购人监管）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采购人不执行政府采购信用融资政策，或不正当干预供应商选择合作融资机构，或无故拖延和拒付采购资金的，财政部门视情节进行约谈、通报直至暂停拨付财政资金。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第十九条（融资机构监管）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融资机构违反规定开展政府采购信用融资业务，对政府采购造成负面影响的，财政部门视情节取消其参与政府采购信用融资的业务权限。</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第二十条（供应商监管）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第二十一条（相关单位及工作人员监管）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各相关单位及其工作人员在履行职责中存在滥用职权、玩忽职守、徇私舞弊等违法违纪行为的，依照有关规定处理，涉嫌犯罪的，移送司法机关处理。</w:t>
      </w:r>
    </w:p>
    <w:p>
      <w:pPr>
        <w:spacing w:line="37"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第六章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附</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则</w:t>
      </w:r>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114" w:lineRule="exact"/>
        <w:rPr>
          <w:rFonts w:hint="eastAsia" w:ascii="宋体" w:hAnsi="宋体" w:eastAsia="宋体" w:cs="宋体"/>
          <w:color w:val="000000" w:themeColor="text1"/>
          <w:highlight w:val="none"/>
          <w14:textFill>
            <w14:solidFill>
              <w14:schemeClr w14:val="tx1"/>
            </w14:solidFill>
          </w14:textFill>
        </w:rPr>
      </w:pP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第二十二条（解释相关）</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本办法由市财政局会同中国人民银行成都分行营业管理部负责解释。</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第二十三条（施行相关）本办法自印发之日起施行。市财政局、市金融办2013年12月9日印发的《关于开展中小企业政府采购信用担保及融资试点工作的通知》（成财采〔2013〕200 号）同时废止。</w:t>
      </w:r>
    </w:p>
    <w:p>
      <w:pPr>
        <w:numPr>
          <w:ilvl w:val="255"/>
          <w:numId w:val="0"/>
        </w:numPr>
        <w:spacing w:line="400" w:lineRule="exact"/>
        <w:rPr>
          <w:rFonts w:hint="eastAsia" w:ascii="宋体" w:hAnsi="宋体" w:eastAsia="宋体" w:cs="宋体"/>
          <w:color w:val="000000" w:themeColor="text1"/>
          <w:sz w:val="24"/>
          <w:highlight w:val="none"/>
          <w14:textFill>
            <w14:solidFill>
              <w14:schemeClr w14:val="tx1"/>
            </w14:solidFill>
          </w14:textFill>
        </w:rPr>
      </w:pPr>
    </w:p>
    <w:p>
      <w:pPr>
        <w:spacing w:line="400" w:lineRule="exact"/>
        <w:rPr>
          <w:rFonts w:hint="eastAsia" w:ascii="宋体" w:hAnsi="宋体" w:eastAsia="宋体" w:cs="宋体"/>
          <w:color w:val="000000" w:themeColor="text1"/>
          <w:highlight w:val="none"/>
          <w14:textFill>
            <w14:solidFill>
              <w14:schemeClr w14:val="tx1"/>
            </w14:solidFill>
          </w14:textFill>
        </w:rPr>
      </w:pPr>
    </w:p>
    <w:p>
      <w:pPr>
        <w:pStyle w:val="2"/>
        <w:keepNext w:val="0"/>
        <w:keepLines w:val="0"/>
        <w:spacing w:before="0" w:after="0" w:line="400" w:lineRule="exact"/>
        <w:rPr>
          <w:rFonts w:hint="eastAsia" w:ascii="宋体" w:hAnsi="宋体" w:eastAsia="宋体" w:cs="宋体"/>
          <w:color w:val="000000" w:themeColor="text1"/>
          <w:highlight w:val="none"/>
          <w14:textFill>
            <w14:solidFill>
              <w14:schemeClr w14:val="tx1"/>
            </w14:solidFill>
          </w14:textFill>
        </w:rPr>
        <w:sectPr>
          <w:footerReference r:id="rId16" w:type="default"/>
          <w:pgSz w:w="11849" w:h="16781"/>
          <w:pgMar w:top="1440" w:right="1440" w:bottom="1440" w:left="1440" w:header="851" w:footer="992" w:gutter="0"/>
          <w:pgNumType w:fmt="numberInDash"/>
          <w:cols w:space="720" w:num="1"/>
          <w:titlePg/>
          <w:docGrid w:type="linesAndChars" w:linePitch="312" w:charSpace="1060"/>
        </w:sectPr>
      </w:pPr>
    </w:p>
    <w:p>
      <w:pPr>
        <w:spacing w:before="32"/>
        <w:ind w:left="0" w:leftChars="0" w:right="10" w:rightChars="0" w:firstLine="0" w:firstLineChars="0"/>
        <w:jc w:val="center"/>
        <w:rPr>
          <w:rFonts w:hint="eastAsia" w:eastAsia="宋体"/>
          <w:b/>
          <w:color w:val="000000" w:themeColor="text1"/>
          <w:sz w:val="44"/>
          <w:highlight w:val="none"/>
          <w:lang w:eastAsia="zh-CN"/>
          <w14:textFill>
            <w14:solidFill>
              <w14:schemeClr w14:val="tx1"/>
            </w14:solidFill>
          </w14:textFill>
        </w:rPr>
        <w:sectPr>
          <w:pgSz w:w="11910" w:h="16840"/>
          <w:pgMar w:top="1440" w:right="1440" w:bottom="1440" w:left="1440" w:header="720" w:footer="720" w:gutter="0"/>
          <w:cols w:space="720" w:num="1"/>
        </w:sectPr>
      </w:pP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51195" cy="8478520"/>
            <wp:effectExtent l="0" t="0" r="1905" b="17780"/>
            <wp:docPr id="17" name="图片 17"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节能产品政府采购品目清单_00"/>
                    <pic:cNvPicPr>
                      <a:picLocks noChangeAspect="1"/>
                    </pic:cNvPicPr>
                  </pic:nvPicPr>
                  <pic:blipFill>
                    <a:blip r:embed="rId18"/>
                    <a:srcRect l="10967" t="7713" r="11632" b="11629"/>
                    <a:stretch>
                      <a:fillRect/>
                    </a:stretch>
                  </pic:blipFill>
                  <pic:spPr>
                    <a:xfrm>
                      <a:off x="0" y="0"/>
                      <a:ext cx="5751195" cy="847852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00700" cy="8755380"/>
            <wp:effectExtent l="0" t="0" r="0" b="7620"/>
            <wp:docPr id="18" name="图片 18"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节能产品政府采购品目清单_01"/>
                    <pic:cNvPicPr>
                      <a:picLocks noChangeAspect="1"/>
                    </pic:cNvPicPr>
                  </pic:nvPicPr>
                  <pic:blipFill>
                    <a:blip r:embed="rId19"/>
                    <a:srcRect l="13127" t="7283" r="12629" b="10689"/>
                    <a:stretch>
                      <a:fillRect/>
                    </a:stretch>
                  </pic:blipFill>
                  <pic:spPr>
                    <a:xfrm>
                      <a:off x="0" y="0"/>
                      <a:ext cx="5600700" cy="875538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99125" cy="8660765"/>
            <wp:effectExtent l="0" t="0" r="15875" b="6985"/>
            <wp:docPr id="19" name="图片 19"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节能产品政府采购品目清单_02"/>
                    <pic:cNvPicPr>
                      <a:picLocks noChangeAspect="1"/>
                    </pic:cNvPicPr>
                  </pic:nvPicPr>
                  <pic:blipFill>
                    <a:blip r:embed="rId20"/>
                    <a:srcRect l="12961" t="7400" r="12961" b="13038"/>
                    <a:stretch>
                      <a:fillRect/>
                    </a:stretch>
                  </pic:blipFill>
                  <pic:spPr>
                    <a:xfrm>
                      <a:off x="0" y="0"/>
                      <a:ext cx="5699125" cy="86607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546725" cy="3377565"/>
            <wp:effectExtent l="0" t="0" r="15875" b="13335"/>
            <wp:docPr id="20" name="图片 20"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节能产品政府采购品目清单_03"/>
                    <pic:cNvPicPr>
                      <a:picLocks noChangeAspect="1"/>
                    </pic:cNvPicPr>
                  </pic:nvPicPr>
                  <pic:blipFill>
                    <a:blip r:embed="rId21"/>
                    <a:srcRect l="12795" t="7244" r="12795" b="60728"/>
                    <a:stretch>
                      <a:fillRect/>
                    </a:stretch>
                  </pic:blipFill>
                  <pic:spPr>
                    <a:xfrm>
                      <a:off x="0" y="0"/>
                      <a:ext cx="5546725" cy="33775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74360" cy="7774940"/>
            <wp:effectExtent l="0" t="0" r="2540" b="16510"/>
            <wp:docPr id="21" name="图片 2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环境标志产品政府采购品目清单_00"/>
                    <pic:cNvPicPr>
                      <a:picLocks noChangeAspect="1"/>
                    </pic:cNvPicPr>
                  </pic:nvPicPr>
                  <pic:blipFill>
                    <a:blip r:embed="rId22"/>
                    <a:srcRect l="3822" t="6421" r="4154" b="4464"/>
                    <a:stretch>
                      <a:fillRect/>
                    </a:stretch>
                  </pic:blipFill>
                  <pic:spPr>
                    <a:xfrm>
                      <a:off x="0" y="0"/>
                      <a:ext cx="5674360" cy="777494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17540" cy="7061200"/>
            <wp:effectExtent l="0" t="0" r="16510" b="6350"/>
            <wp:docPr id="22" name="图片 2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境标志产品政府采购品目清单_01"/>
                    <pic:cNvPicPr>
                      <a:picLocks noChangeAspect="1"/>
                    </pic:cNvPicPr>
                  </pic:nvPicPr>
                  <pic:blipFill>
                    <a:blip r:embed="rId23"/>
                    <a:srcRect l="3490" t="7753" r="3490" b="11042"/>
                    <a:stretch>
                      <a:fillRect/>
                    </a:stretch>
                  </pic:blipFill>
                  <pic:spPr>
                    <a:xfrm>
                      <a:off x="0" y="0"/>
                      <a:ext cx="5717540" cy="706120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02935" cy="7463790"/>
            <wp:effectExtent l="0" t="0" r="12065" b="3810"/>
            <wp:docPr id="23" name="图片 2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境标志产品政府采购品目清单_02"/>
                    <pic:cNvPicPr>
                      <a:picLocks noChangeAspect="1"/>
                    </pic:cNvPicPr>
                  </pic:nvPicPr>
                  <pic:blipFill>
                    <a:blip r:embed="rId24"/>
                    <a:srcRect l="4897" t="7796" r="4447" b="8340"/>
                    <a:stretch>
                      <a:fillRect/>
                    </a:stretch>
                  </pic:blipFill>
                  <pic:spPr>
                    <a:xfrm>
                      <a:off x="0" y="0"/>
                      <a:ext cx="5702935" cy="746379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82310" cy="3530600"/>
            <wp:effectExtent l="0" t="0" r="8890" b="12700"/>
            <wp:docPr id="24" name="图片 2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环境标志产品政府采购品目清单_03"/>
                    <pic:cNvPicPr>
                      <a:picLocks noChangeAspect="1"/>
                    </pic:cNvPicPr>
                  </pic:nvPicPr>
                  <pic:blipFill>
                    <a:blip r:embed="rId25"/>
                    <a:srcRect l="4601" t="7478" r="4320" b="53211"/>
                    <a:stretch>
                      <a:fillRect/>
                    </a:stretch>
                  </pic:blipFill>
                  <pic:spPr>
                    <a:xfrm>
                      <a:off x="0" y="0"/>
                      <a:ext cx="5782310" cy="3530600"/>
                    </a:xfrm>
                    <a:prstGeom prst="rect">
                      <a:avLst/>
                    </a:prstGeom>
                  </pic:spPr>
                </pic:pic>
              </a:graphicData>
            </a:graphic>
          </wp:inline>
        </w:drawing>
      </w:r>
    </w:p>
    <w:p>
      <w:pPr>
        <w:pStyle w:val="15"/>
        <w:rPr>
          <w:rFonts w:hint="eastAsia" w:ascii="仿宋_GB2312" w:eastAsia="仿宋_GB2312"/>
          <w:bCs/>
          <w:color w:val="000000" w:themeColor="text1"/>
          <w:sz w:val="32"/>
          <w:szCs w:val="32"/>
          <w:highlight w:val="none"/>
          <w14:textFill>
            <w14:solidFill>
              <w14:schemeClr w14:val="tx1"/>
            </w14:solidFill>
          </w14:textFill>
        </w:rPr>
      </w:pPr>
      <w:r>
        <w:rPr>
          <w:rFonts w:hint="eastAsia" w:ascii="仿宋_GB2312" w:eastAsia="仿宋_GB2312"/>
          <w:bCs/>
          <w:color w:val="000000" w:themeColor="text1"/>
          <w:sz w:val="32"/>
          <w:szCs w:val="32"/>
          <w:highlight w:val="none"/>
          <w14:textFill>
            <w14:solidFill>
              <w14:schemeClr w14:val="tx1"/>
            </w14:solidFill>
          </w14:textFill>
        </w:rPr>
        <w:t>附件：</w:t>
      </w:r>
    </w:p>
    <w:p>
      <w:pPr>
        <w:pStyle w:val="15"/>
        <w:jc w:val="center"/>
        <w:rPr>
          <w:rFonts w:hint="eastAsia" w:ascii="仿宋_GB2312" w:eastAsia="仿宋_GB2312"/>
          <w:b/>
          <w:color w:val="000000" w:themeColor="text1"/>
          <w:sz w:val="36"/>
          <w:szCs w:val="36"/>
          <w:highlight w:val="none"/>
          <w14:textFill>
            <w14:solidFill>
              <w14:schemeClr w14:val="tx1"/>
            </w14:solidFill>
          </w14:textFill>
        </w:rPr>
      </w:pPr>
      <w:r>
        <w:rPr>
          <w:rFonts w:hint="eastAsia" w:ascii="仿宋_GB2312" w:eastAsia="仿宋_GB2312"/>
          <w:b/>
          <w:color w:val="000000" w:themeColor="text1"/>
          <w:sz w:val="36"/>
          <w:szCs w:val="36"/>
          <w:highlight w:val="none"/>
          <w14:textFill>
            <w14:solidFill>
              <w14:schemeClr w14:val="tx1"/>
            </w14:solidFill>
          </w14:textFill>
        </w:rPr>
        <w:t>无线局域网产品政府采购实施意见</w:t>
      </w:r>
    </w:p>
    <w:p>
      <w:pPr>
        <w:pStyle w:val="15"/>
        <w:jc w:val="center"/>
        <w:rPr>
          <w:rFonts w:hint="eastAsia" w:ascii="仿宋_GB2312" w:eastAsia="仿宋_GB2312"/>
          <w:b/>
          <w:bCs/>
          <w:color w:val="000000" w:themeColor="text1"/>
          <w:sz w:val="32"/>
          <w:highlight w:val="none"/>
          <w14:textFill>
            <w14:solidFill>
              <w14:schemeClr w14:val="tx1"/>
            </w14:solidFill>
          </w14:textFill>
        </w:rPr>
      </w:pP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为了保障国家信息安全，维护国家利益和社会公共利益，推进国民经济和社会信息化建设，根据《中华人民共和国政府采购法》，现就推行无线局域网产品政府采购提出如下意见：</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一、各地区、各部门要高度重视，加强组织管理和监督，确保无线局域网产品政府采购工作落到实处。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二、各级国家机关、事业单位和团体组织（以下统称采购人）用财政性资金采购无线局域网产品和含有无线局域网功能的计算机、通信设备、打印机、复印机、投影仪等产品的，应当优先采购符合国家无线局域网安全标准（GB 15629.11/1102）并通过国家产品认证的产品（以下简称认证产品）。其中，国家有特殊信息安全要求的项目必须采购认证产品。</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三、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清单中新增认证产品厂商和型号，由财政部、国家发展改革委、信息产业部以文件形式确定、公布并适时调整。</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四、中国政府采购网（http://www.ccgp.gov.cn/）、国家发展改革委网（http://www.ndrc.gov.cn）、信息产业部网（http://www.mii.gov.cn）为认证产品清单公告媒体。为确保上述信息的准确性，未经财政部、国家发展改革委、信息产业部允许，不得转载。</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五、采购人采购无线局域网产品和含有无线局域网功能的计算机、通信设备、打印机、复印机、投影仪等产品时，在政府采购评审方法中，应当考虑信息安全认证因素，优先采购清单中的产品。采用最低评标价法的采购项目，清单中的产品不是最低报价但不高于排序第一的一般产品报价一定比例的，应当将采购合同授予提供认证产品的投标人。采用综合评标法的采购项目，应当在评审总分基础上对清单中的产品合理加分。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六、在政府采购活动中，采购人应当在政府采购招标文件（含谈判文件、询价文件）中载明对产品的认证要求、合格产品的条件和认证产品优先采购的评审标准。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七、采购人或其委托的采购代理机构未按上述要求采购的，有关部门要按照有关法律、法规和规章予以处理，财政部门视情况可以拒付采购资金。  </w:t>
      </w:r>
    </w:p>
    <w:p>
      <w:pPr>
        <w:pStyle w:val="15"/>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八、本意见由财政部负责解释。</w:t>
      </w:r>
    </w:p>
    <w:p>
      <w:pPr>
        <w:pStyle w:val="15"/>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九、本意见自2006年2月1日起施行。</w:t>
      </w:r>
    </w:p>
    <w:p>
      <w:pPr>
        <w:spacing w:line="540" w:lineRule="exact"/>
        <w:rPr>
          <w:rFonts w:hint="eastAsia" w:ascii="仿宋_GB2312" w:hAnsi="华文宋体"/>
          <w:b/>
          <w:color w:val="000000" w:themeColor="text1"/>
          <w:sz w:val="28"/>
          <w:highlight w:val="none"/>
          <w14:textFill>
            <w14:solidFill>
              <w14:schemeClr w14:val="tx1"/>
            </w14:solidFill>
          </w14:textFill>
        </w:rPr>
      </w:pPr>
      <w:r>
        <w:rPr>
          <w:rFonts w:hint="eastAsia" w:ascii="仿宋_GB2312" w:hAnsi="华文宋体"/>
          <w:b/>
          <w:color w:val="000000" w:themeColor="text1"/>
          <w:sz w:val="28"/>
          <w:highlight w:val="none"/>
          <w14:textFill>
            <w14:solidFill>
              <w14:schemeClr w14:val="tx1"/>
            </w14:solidFill>
          </w14:textFill>
        </w:rPr>
        <w:t>附：</w:t>
      </w:r>
    </w:p>
    <w:p>
      <w:pPr>
        <w:pStyle w:val="15"/>
        <w:jc w:val="center"/>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华文宋体"/>
          <w:b/>
          <w:color w:val="000000" w:themeColor="text1"/>
          <w:sz w:val="36"/>
          <w:highlight w:val="none"/>
          <w14:textFill>
            <w14:solidFill>
              <w14:schemeClr w14:val="tx1"/>
            </w14:solidFill>
          </w14:textFill>
        </w:rPr>
        <w:t>无线局域网认证产品政府采购清单</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一、无线网络适配器</w:t>
      </w:r>
    </w:p>
    <w:tbl>
      <w:tblPr>
        <w:tblStyle w:val="28"/>
        <w:tblpPr w:leftFromText="180" w:rightFromText="180" w:vertAnchor="page" w:horzAnchor="page" w:tblpX="1808" w:tblpY="3835"/>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00" w:type="dxa"/>
            <w:noWrap w:val="0"/>
            <w:vAlign w:val="center"/>
          </w:tcPr>
          <w:p>
            <w:pPr>
              <w:widowControl/>
              <w:spacing w:line="38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8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8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8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restart"/>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C2400ICA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CESI01104P10004R0M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CESI01104P10005R0M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C2430IUA</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CESI01104P10006R0M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WL-STA1</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CESI01104P10008R0M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12"/>
        <w:rPr>
          <w:rFonts w:hint="eastAsia"/>
          <w:color w:val="000000" w:themeColor="text1"/>
          <w:highlight w:val="none"/>
          <w14:textFill>
            <w14:solidFill>
              <w14:schemeClr w14:val="tx1"/>
            </w14:solidFill>
          </w14:textFill>
        </w:rPr>
      </w:pPr>
    </w:p>
    <w:p>
      <w:pPr>
        <w:spacing w:line="300" w:lineRule="exact"/>
        <w:rPr>
          <w:rFonts w:hint="eastAsia" w:ascii="宋体" w:hAnsi="宋体"/>
          <w:color w:val="000000" w:themeColor="text1"/>
          <w:kern w:val="0"/>
          <w:sz w:val="30"/>
          <w:szCs w:val="30"/>
          <w:highlight w:val="none"/>
          <w14:textFill>
            <w14:solidFill>
              <w14:schemeClr w14:val="tx1"/>
            </w14:solidFill>
          </w14:textFill>
        </w:rPr>
      </w:pPr>
      <w:r>
        <w:rPr>
          <w:rFonts w:hint="eastAsia" w:ascii="仿宋_GB2312" w:hAnsi="华文宋体"/>
          <w:b/>
          <w:color w:val="000000" w:themeColor="text1"/>
          <w:sz w:val="30"/>
          <w:szCs w:val="30"/>
          <w:highlight w:val="none"/>
          <w14:textFill>
            <w14:solidFill>
              <w14:schemeClr w14:val="tx1"/>
            </w14:solidFill>
          </w14:textFill>
        </w:rPr>
        <w:t>二、</w:t>
      </w:r>
      <w:r>
        <w:rPr>
          <w:rFonts w:hint="eastAsia" w:ascii="宋体" w:hAnsi="宋体"/>
          <w:color w:val="000000" w:themeColor="text1"/>
          <w:kern w:val="0"/>
          <w:sz w:val="30"/>
          <w:szCs w:val="30"/>
          <w:highlight w:val="none"/>
          <w14:textFill>
            <w14:solidFill>
              <w14:schemeClr w14:val="tx1"/>
            </w14:solidFill>
          </w14:textFill>
        </w:rPr>
        <w:t>接入认证服务器（无线鉴别服务器）</w:t>
      </w:r>
    </w:p>
    <w:p>
      <w:pPr>
        <w:spacing w:line="300" w:lineRule="exact"/>
        <w:rPr>
          <w:rFonts w:hint="eastAsia" w:ascii="仿宋_GB2312" w:hAnsi="华文宋体"/>
          <w:b/>
          <w:color w:val="000000" w:themeColor="text1"/>
          <w:szCs w:val="21"/>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1" w:hRule="atLeast"/>
        </w:trPr>
        <w:tc>
          <w:tcPr>
            <w:tcW w:w="900" w:type="dxa"/>
            <w:noWrap w:val="0"/>
            <w:vAlign w:val="center"/>
          </w:tcPr>
          <w:p>
            <w:pPr>
              <w:widowControl/>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AS-5000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CESI01104P10002R0M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spacing w:line="300" w:lineRule="exact"/>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三、无线接入点</w:t>
      </w:r>
    </w:p>
    <w:p>
      <w:pPr>
        <w:spacing w:line="300" w:lineRule="exact"/>
        <w:rPr>
          <w:rFonts w:hint="eastAsia"/>
          <w:color w:val="000000" w:themeColor="text1"/>
          <w:szCs w:val="21"/>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WL-AP1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CESI01104P10007R0M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A2410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CESI01104P10003R0M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四、计算机</w:t>
      </w:r>
    </w:p>
    <w:p>
      <w:pPr>
        <w:rPr>
          <w:rFonts w:hint="eastAsia"/>
          <w:color w:val="000000" w:themeColor="text1"/>
          <w:sz w:val="18"/>
          <w:szCs w:val="18"/>
          <w:highlight w:val="none"/>
          <w14:textFill>
            <w14:solidFill>
              <w14:schemeClr w14:val="tx1"/>
            </w14:solidFill>
          </w14:textFill>
        </w:rPr>
      </w:pPr>
    </w:p>
    <w:tbl>
      <w:tblPr>
        <w:tblStyle w:val="28"/>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41"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北大方正集团有限公司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NB700</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2004012000001</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2004-04-02</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r>
    </w:tbl>
    <w:p>
      <w:pPr>
        <w:pStyle w:val="12"/>
        <w:rPr>
          <w:rFonts w:hint="default"/>
          <w:color w:val="000000" w:themeColor="text1"/>
          <w:highlight w:val="none"/>
          <w:lang w:val="en-US" w:eastAsia="zh-CN"/>
          <w14:textFill>
            <w14:solidFill>
              <w14:schemeClr w14:val="tx1"/>
            </w14:solidFill>
          </w14:textFill>
        </w:rPr>
      </w:pPr>
    </w:p>
    <w:p>
      <w:pPr>
        <w:rPr>
          <w:rFonts w:hint="eastAsia"/>
          <w:color w:val="000000" w:themeColor="text1"/>
          <w:highlight w:val="none"/>
          <w14:textFill>
            <w14:solidFill>
              <w14:schemeClr w14:val="tx1"/>
            </w14:solidFill>
          </w14:textFill>
        </w:rPr>
      </w:pPr>
    </w:p>
    <w:sectPr>
      <w:pgSz w:w="11906" w:h="16838"/>
      <w:pgMar w:top="1246" w:right="1800" w:bottom="124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A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8"/>
                      <w:jc w:val="center"/>
                    </w:pPr>
                  </w:p>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lang w:val="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8"/>
                      <w:jc w:val="center"/>
                    </w:pPr>
                  </w:p>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4"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drawing>
        <wp:inline distT="0" distB="0" distL="114300" distR="114300">
          <wp:extent cx="3181985" cy="329565"/>
          <wp:effectExtent l="0" t="0" r="18415" b="13335"/>
          <wp:docPr id="1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jc w:val="left"/>
    </w:pPr>
    <w:r>
      <w:drawing>
        <wp:inline distT="0" distB="0" distL="114300" distR="114300">
          <wp:extent cx="3181985" cy="329565"/>
          <wp:effectExtent l="0" t="0" r="18415" b="13335"/>
          <wp:docPr id="1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5"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eastAsia" w:eastAsia="隶书"/>
        <w:lang w:eastAsia="zh-CN"/>
      </w:rPr>
    </w:pPr>
    <w:r>
      <w:drawing>
        <wp:inline distT="0" distB="0" distL="114300" distR="114300">
          <wp:extent cx="3181985" cy="329565"/>
          <wp:effectExtent l="0" t="0" r="18415" b="13335"/>
          <wp:docPr id="1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A5C505"/>
    <w:multiLevelType w:val="singleLevel"/>
    <w:tmpl w:val="95A5C505"/>
    <w:lvl w:ilvl="0" w:tentative="0">
      <w:start w:val="1"/>
      <w:numFmt w:val="decimal"/>
      <w:suff w:val="nothing"/>
      <w:lvlText w:val="%1、"/>
      <w:lvlJc w:val="left"/>
    </w:lvl>
  </w:abstractNum>
  <w:abstractNum w:abstractNumId="1">
    <w:nsid w:val="C4DF8C7D"/>
    <w:multiLevelType w:val="singleLevel"/>
    <w:tmpl w:val="C4DF8C7D"/>
    <w:lvl w:ilvl="0" w:tentative="0">
      <w:start w:val="1"/>
      <w:numFmt w:val="decimal"/>
      <w:suff w:val="space"/>
      <w:lvlText w:val="%1."/>
      <w:lvlJc w:val="left"/>
    </w:lvl>
  </w:abstractNum>
  <w:abstractNum w:abstractNumId="2">
    <w:nsid w:val="0689671E"/>
    <w:multiLevelType w:val="multilevel"/>
    <w:tmpl w:val="0689671E"/>
    <w:lvl w:ilvl="0" w:tentative="0">
      <w:start w:val="1"/>
      <w:numFmt w:val="chineseCountingThousand"/>
      <w:lvlText w:val="%1."/>
      <w:lvlJc w:val="left"/>
      <w:pPr>
        <w:tabs>
          <w:tab w:val="left" w:pos="567"/>
        </w:tabs>
        <w:ind w:left="567" w:hanging="425"/>
      </w:pPr>
      <w:rPr>
        <w:rFonts w:hint="eastAsia" w:ascii="黑体" w:eastAsia="黑体"/>
        <w:sz w:val="32"/>
        <w:szCs w:val="32"/>
      </w:rPr>
    </w:lvl>
    <w:lvl w:ilvl="1" w:tentative="0">
      <w:start w:val="1"/>
      <w:numFmt w:val="decimal"/>
      <w:pStyle w:val="66"/>
      <w:isLgl/>
      <w:lvlText w:val="%1.%2."/>
      <w:lvlJc w:val="left"/>
      <w:pPr>
        <w:tabs>
          <w:tab w:val="left" w:pos="709"/>
        </w:tabs>
        <w:ind w:left="709" w:hanging="567"/>
      </w:pPr>
      <w:rPr>
        <w:rFonts w:hint="eastAsia"/>
      </w:rPr>
    </w:lvl>
    <w:lvl w:ilvl="2" w:tentative="0">
      <w:start w:val="1"/>
      <w:numFmt w:val="decimal"/>
      <w:isLgl/>
      <w:lvlText w:val="%1.%2.%3."/>
      <w:lvlJc w:val="left"/>
      <w:pPr>
        <w:tabs>
          <w:tab w:val="left" w:pos="1419"/>
        </w:tabs>
        <w:ind w:left="1419" w:hanging="709"/>
      </w:pPr>
      <w:rPr>
        <w:rFonts w:hint="eastAsia"/>
      </w:rPr>
    </w:lvl>
    <w:lvl w:ilvl="3" w:tentative="0">
      <w:start w:val="1"/>
      <w:numFmt w:val="decimal"/>
      <w:isLgl/>
      <w:lvlText w:val="%1.%2.%3.%4."/>
      <w:lvlJc w:val="left"/>
      <w:pPr>
        <w:tabs>
          <w:tab w:val="left" w:pos="753"/>
        </w:tabs>
        <w:ind w:left="753" w:hanging="851"/>
      </w:pPr>
      <w:rPr>
        <w:rFonts w:hint="eastAsia"/>
      </w:rPr>
    </w:lvl>
    <w:lvl w:ilvl="4" w:tentative="0">
      <w:start w:val="1"/>
      <w:numFmt w:val="decimal"/>
      <w:lvlText w:val="%1.%2.%3.%4.%5."/>
      <w:lvlJc w:val="left"/>
      <w:pPr>
        <w:tabs>
          <w:tab w:val="left" w:pos="894"/>
        </w:tabs>
        <w:ind w:left="894" w:hanging="992"/>
      </w:pPr>
      <w:rPr>
        <w:rFonts w:hint="eastAsia"/>
      </w:rPr>
    </w:lvl>
    <w:lvl w:ilvl="5" w:tentative="0">
      <w:start w:val="1"/>
      <w:numFmt w:val="decimal"/>
      <w:lvlText w:val="%1.%2.%3.%4.%5.%6."/>
      <w:lvlJc w:val="left"/>
      <w:pPr>
        <w:tabs>
          <w:tab w:val="left" w:pos="1036"/>
        </w:tabs>
        <w:ind w:left="1036" w:hanging="1134"/>
      </w:pPr>
      <w:rPr>
        <w:rFonts w:hint="eastAsia"/>
      </w:rPr>
    </w:lvl>
    <w:lvl w:ilvl="6" w:tentative="0">
      <w:start w:val="1"/>
      <w:numFmt w:val="decimal"/>
      <w:lvlText w:val="%1.%2.%3.%4.%5.%6.%7."/>
      <w:lvlJc w:val="left"/>
      <w:pPr>
        <w:tabs>
          <w:tab w:val="left" w:pos="1178"/>
        </w:tabs>
        <w:ind w:left="1178" w:hanging="1276"/>
      </w:pPr>
      <w:rPr>
        <w:rFonts w:hint="eastAsia"/>
      </w:rPr>
    </w:lvl>
    <w:lvl w:ilvl="7" w:tentative="0">
      <w:start w:val="1"/>
      <w:numFmt w:val="decimal"/>
      <w:lvlText w:val="%1.%2.%3.%4.%5.%6.%7.%8."/>
      <w:lvlJc w:val="left"/>
      <w:pPr>
        <w:tabs>
          <w:tab w:val="left" w:pos="1320"/>
        </w:tabs>
        <w:ind w:left="1320" w:hanging="1418"/>
      </w:pPr>
      <w:rPr>
        <w:rFonts w:hint="eastAsia"/>
      </w:rPr>
    </w:lvl>
    <w:lvl w:ilvl="8" w:tentative="0">
      <w:start w:val="1"/>
      <w:numFmt w:val="decimal"/>
      <w:lvlText w:val="%1.%2.%3.%4.%5.%6.%7.%8.%9."/>
      <w:lvlJc w:val="left"/>
      <w:pPr>
        <w:tabs>
          <w:tab w:val="left" w:pos="1461"/>
        </w:tabs>
        <w:ind w:left="1461" w:hanging="1559"/>
      </w:pPr>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0C69091"/>
    <w:multiLevelType w:val="singleLevel"/>
    <w:tmpl w:val="50C69091"/>
    <w:lvl w:ilvl="0" w:tentative="0">
      <w:start w:val="1"/>
      <w:numFmt w:val="decimal"/>
      <w:suff w:val="nothing"/>
      <w:lvlText w:val="%1、"/>
      <w:lvlJc w:val="left"/>
    </w:lvl>
  </w:abstractNum>
  <w:abstractNum w:abstractNumId="5">
    <w:nsid w:val="588C3EF9"/>
    <w:multiLevelType w:val="singleLevel"/>
    <w:tmpl w:val="588C3EF9"/>
    <w:lvl w:ilvl="0" w:tentative="0">
      <w:start w:val="5"/>
      <w:numFmt w:val="chineseCounting"/>
      <w:suff w:val="nothing"/>
      <w:lvlText w:val="%1、"/>
      <w:lvlJc w:val="left"/>
    </w:lvl>
  </w:abstractNum>
  <w:abstractNum w:abstractNumId="6">
    <w:nsid w:val="5AE420E6"/>
    <w:multiLevelType w:val="singleLevel"/>
    <w:tmpl w:val="5AE420E6"/>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evenAndOddHeaders w:val="1"/>
  <w:drawingGridHorizontalSpacing w:val="21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2CC"/>
    <w:rsid w:val="00001660"/>
    <w:rsid w:val="00004B89"/>
    <w:rsid w:val="0000753B"/>
    <w:rsid w:val="00013385"/>
    <w:rsid w:val="000137E6"/>
    <w:rsid w:val="0001438F"/>
    <w:rsid w:val="00014483"/>
    <w:rsid w:val="00015AD4"/>
    <w:rsid w:val="0001627A"/>
    <w:rsid w:val="000176E8"/>
    <w:rsid w:val="00020D8E"/>
    <w:rsid w:val="00021F2A"/>
    <w:rsid w:val="00022084"/>
    <w:rsid w:val="000222FA"/>
    <w:rsid w:val="0002293A"/>
    <w:rsid w:val="00023113"/>
    <w:rsid w:val="00023E17"/>
    <w:rsid w:val="000246A1"/>
    <w:rsid w:val="00024A16"/>
    <w:rsid w:val="00026E80"/>
    <w:rsid w:val="00030DE6"/>
    <w:rsid w:val="00031286"/>
    <w:rsid w:val="00031558"/>
    <w:rsid w:val="00032335"/>
    <w:rsid w:val="00032783"/>
    <w:rsid w:val="00035948"/>
    <w:rsid w:val="000408C4"/>
    <w:rsid w:val="00041FE4"/>
    <w:rsid w:val="000451F8"/>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9F4"/>
    <w:rsid w:val="00073AE5"/>
    <w:rsid w:val="00073B7E"/>
    <w:rsid w:val="00074138"/>
    <w:rsid w:val="000743DD"/>
    <w:rsid w:val="0007588A"/>
    <w:rsid w:val="00075C4C"/>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5821"/>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073"/>
    <w:rsid w:val="000D4EFB"/>
    <w:rsid w:val="000D705A"/>
    <w:rsid w:val="000D710C"/>
    <w:rsid w:val="000E06DD"/>
    <w:rsid w:val="000E0A69"/>
    <w:rsid w:val="000E583C"/>
    <w:rsid w:val="000E6476"/>
    <w:rsid w:val="000E6CD7"/>
    <w:rsid w:val="000F1A9B"/>
    <w:rsid w:val="000F422B"/>
    <w:rsid w:val="000F45A9"/>
    <w:rsid w:val="000F6854"/>
    <w:rsid w:val="000F782D"/>
    <w:rsid w:val="00100B7D"/>
    <w:rsid w:val="00100C85"/>
    <w:rsid w:val="00100D0A"/>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37013"/>
    <w:rsid w:val="00141A54"/>
    <w:rsid w:val="00142470"/>
    <w:rsid w:val="0014425B"/>
    <w:rsid w:val="001451F2"/>
    <w:rsid w:val="001464DD"/>
    <w:rsid w:val="001500D3"/>
    <w:rsid w:val="00150BFF"/>
    <w:rsid w:val="00151441"/>
    <w:rsid w:val="00152074"/>
    <w:rsid w:val="00153D4C"/>
    <w:rsid w:val="0015550E"/>
    <w:rsid w:val="00156466"/>
    <w:rsid w:val="00156D44"/>
    <w:rsid w:val="001575FD"/>
    <w:rsid w:val="00161AEF"/>
    <w:rsid w:val="00162078"/>
    <w:rsid w:val="0016341A"/>
    <w:rsid w:val="001648CD"/>
    <w:rsid w:val="00165034"/>
    <w:rsid w:val="001652F8"/>
    <w:rsid w:val="00165833"/>
    <w:rsid w:val="00167ED2"/>
    <w:rsid w:val="00170C8C"/>
    <w:rsid w:val="001746B3"/>
    <w:rsid w:val="001748A0"/>
    <w:rsid w:val="00175AEB"/>
    <w:rsid w:val="001763A5"/>
    <w:rsid w:val="001808FB"/>
    <w:rsid w:val="001836F5"/>
    <w:rsid w:val="0018382C"/>
    <w:rsid w:val="0018390E"/>
    <w:rsid w:val="00183F9B"/>
    <w:rsid w:val="00185A39"/>
    <w:rsid w:val="00185F2C"/>
    <w:rsid w:val="00186A43"/>
    <w:rsid w:val="00186AEA"/>
    <w:rsid w:val="00186E6A"/>
    <w:rsid w:val="001876EA"/>
    <w:rsid w:val="00187C36"/>
    <w:rsid w:val="00187D88"/>
    <w:rsid w:val="0019037D"/>
    <w:rsid w:val="00193802"/>
    <w:rsid w:val="00193E56"/>
    <w:rsid w:val="00195612"/>
    <w:rsid w:val="0019594C"/>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B6C5B"/>
    <w:rsid w:val="001C269B"/>
    <w:rsid w:val="001C2CAE"/>
    <w:rsid w:val="001C4A5B"/>
    <w:rsid w:val="001C5AF6"/>
    <w:rsid w:val="001D0F62"/>
    <w:rsid w:val="001D2331"/>
    <w:rsid w:val="001D3913"/>
    <w:rsid w:val="001D5103"/>
    <w:rsid w:val="001E0521"/>
    <w:rsid w:val="001E0CB9"/>
    <w:rsid w:val="001E148C"/>
    <w:rsid w:val="001E3B05"/>
    <w:rsid w:val="001E5BB0"/>
    <w:rsid w:val="001E6EBF"/>
    <w:rsid w:val="001E6EC9"/>
    <w:rsid w:val="001E6EF9"/>
    <w:rsid w:val="001F035E"/>
    <w:rsid w:val="001F1E7D"/>
    <w:rsid w:val="001F2E29"/>
    <w:rsid w:val="001F492D"/>
    <w:rsid w:val="001F4AF0"/>
    <w:rsid w:val="001F64F5"/>
    <w:rsid w:val="001F79FC"/>
    <w:rsid w:val="001F7DBD"/>
    <w:rsid w:val="0020030E"/>
    <w:rsid w:val="00203068"/>
    <w:rsid w:val="00205336"/>
    <w:rsid w:val="00206D18"/>
    <w:rsid w:val="0021013C"/>
    <w:rsid w:val="0021025F"/>
    <w:rsid w:val="00210F41"/>
    <w:rsid w:val="002120D0"/>
    <w:rsid w:val="002125E6"/>
    <w:rsid w:val="00215638"/>
    <w:rsid w:val="0021668E"/>
    <w:rsid w:val="002200EF"/>
    <w:rsid w:val="00220283"/>
    <w:rsid w:val="00224333"/>
    <w:rsid w:val="00224CDC"/>
    <w:rsid w:val="002270B2"/>
    <w:rsid w:val="00230304"/>
    <w:rsid w:val="00230D10"/>
    <w:rsid w:val="002320BC"/>
    <w:rsid w:val="002332EA"/>
    <w:rsid w:val="00233846"/>
    <w:rsid w:val="002342C9"/>
    <w:rsid w:val="00241AF6"/>
    <w:rsid w:val="00242277"/>
    <w:rsid w:val="00244015"/>
    <w:rsid w:val="0024529B"/>
    <w:rsid w:val="00245E6C"/>
    <w:rsid w:val="002470DA"/>
    <w:rsid w:val="0025006F"/>
    <w:rsid w:val="00250692"/>
    <w:rsid w:val="002509D0"/>
    <w:rsid w:val="002510B3"/>
    <w:rsid w:val="00252DDB"/>
    <w:rsid w:val="0025359C"/>
    <w:rsid w:val="00254F39"/>
    <w:rsid w:val="002554B2"/>
    <w:rsid w:val="00255D4B"/>
    <w:rsid w:val="00262A61"/>
    <w:rsid w:val="00263B9A"/>
    <w:rsid w:val="00265F18"/>
    <w:rsid w:val="002665C5"/>
    <w:rsid w:val="002703E3"/>
    <w:rsid w:val="00272326"/>
    <w:rsid w:val="0027252A"/>
    <w:rsid w:val="00275DAB"/>
    <w:rsid w:val="002765B2"/>
    <w:rsid w:val="00277B58"/>
    <w:rsid w:val="00280D8F"/>
    <w:rsid w:val="00281347"/>
    <w:rsid w:val="002857AA"/>
    <w:rsid w:val="0029048E"/>
    <w:rsid w:val="00290AEB"/>
    <w:rsid w:val="00291539"/>
    <w:rsid w:val="00292632"/>
    <w:rsid w:val="00294EBC"/>
    <w:rsid w:val="0029626C"/>
    <w:rsid w:val="00297B8B"/>
    <w:rsid w:val="00297D0C"/>
    <w:rsid w:val="002A0B7A"/>
    <w:rsid w:val="002A0C3D"/>
    <w:rsid w:val="002A0C82"/>
    <w:rsid w:val="002A1E56"/>
    <w:rsid w:val="002A4317"/>
    <w:rsid w:val="002A7785"/>
    <w:rsid w:val="002A7D03"/>
    <w:rsid w:val="002B067F"/>
    <w:rsid w:val="002B06DF"/>
    <w:rsid w:val="002B3263"/>
    <w:rsid w:val="002B3FE9"/>
    <w:rsid w:val="002B4920"/>
    <w:rsid w:val="002B5EB0"/>
    <w:rsid w:val="002B6D25"/>
    <w:rsid w:val="002B7D1D"/>
    <w:rsid w:val="002C0169"/>
    <w:rsid w:val="002C0185"/>
    <w:rsid w:val="002C05BF"/>
    <w:rsid w:val="002C0964"/>
    <w:rsid w:val="002C2154"/>
    <w:rsid w:val="002C3905"/>
    <w:rsid w:val="002C3D68"/>
    <w:rsid w:val="002C67ED"/>
    <w:rsid w:val="002C7DDE"/>
    <w:rsid w:val="002D2A3C"/>
    <w:rsid w:val="002D44CE"/>
    <w:rsid w:val="002D5D7E"/>
    <w:rsid w:val="002D6435"/>
    <w:rsid w:val="002D73AE"/>
    <w:rsid w:val="002D761E"/>
    <w:rsid w:val="002E1456"/>
    <w:rsid w:val="002E14BC"/>
    <w:rsid w:val="002E2016"/>
    <w:rsid w:val="002E372F"/>
    <w:rsid w:val="002E38A1"/>
    <w:rsid w:val="002E53EC"/>
    <w:rsid w:val="002E7B45"/>
    <w:rsid w:val="002F0D48"/>
    <w:rsid w:val="002F2816"/>
    <w:rsid w:val="002F3919"/>
    <w:rsid w:val="002F5A38"/>
    <w:rsid w:val="002F7453"/>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3BEC"/>
    <w:rsid w:val="00334A11"/>
    <w:rsid w:val="00335BD1"/>
    <w:rsid w:val="00336D9A"/>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4782"/>
    <w:rsid w:val="00375F76"/>
    <w:rsid w:val="0037714C"/>
    <w:rsid w:val="00381E2B"/>
    <w:rsid w:val="00382A01"/>
    <w:rsid w:val="00383BFA"/>
    <w:rsid w:val="00384FE6"/>
    <w:rsid w:val="003851CE"/>
    <w:rsid w:val="00385AB6"/>
    <w:rsid w:val="00386948"/>
    <w:rsid w:val="00386C0A"/>
    <w:rsid w:val="00390404"/>
    <w:rsid w:val="003924E0"/>
    <w:rsid w:val="00394101"/>
    <w:rsid w:val="00395323"/>
    <w:rsid w:val="00395A66"/>
    <w:rsid w:val="0039654A"/>
    <w:rsid w:val="0039658A"/>
    <w:rsid w:val="00396685"/>
    <w:rsid w:val="003A44B1"/>
    <w:rsid w:val="003B035C"/>
    <w:rsid w:val="003B07A2"/>
    <w:rsid w:val="003B0FE8"/>
    <w:rsid w:val="003B16C0"/>
    <w:rsid w:val="003B18B7"/>
    <w:rsid w:val="003B1AB5"/>
    <w:rsid w:val="003B1E98"/>
    <w:rsid w:val="003B22D9"/>
    <w:rsid w:val="003B2875"/>
    <w:rsid w:val="003B3290"/>
    <w:rsid w:val="003B3755"/>
    <w:rsid w:val="003B4511"/>
    <w:rsid w:val="003B4C27"/>
    <w:rsid w:val="003B6F87"/>
    <w:rsid w:val="003C0054"/>
    <w:rsid w:val="003C0851"/>
    <w:rsid w:val="003C14AB"/>
    <w:rsid w:val="003C1E7C"/>
    <w:rsid w:val="003C668B"/>
    <w:rsid w:val="003D1437"/>
    <w:rsid w:val="003D2EDB"/>
    <w:rsid w:val="003D3B7C"/>
    <w:rsid w:val="003D629B"/>
    <w:rsid w:val="003D6FFA"/>
    <w:rsid w:val="003D72B6"/>
    <w:rsid w:val="003E35F5"/>
    <w:rsid w:val="003E44CB"/>
    <w:rsid w:val="003E5C6E"/>
    <w:rsid w:val="003F2938"/>
    <w:rsid w:val="003F3163"/>
    <w:rsid w:val="003F3CC4"/>
    <w:rsid w:val="003F4247"/>
    <w:rsid w:val="003F4F88"/>
    <w:rsid w:val="003F5463"/>
    <w:rsid w:val="003F6822"/>
    <w:rsid w:val="003F7462"/>
    <w:rsid w:val="00400273"/>
    <w:rsid w:val="00400415"/>
    <w:rsid w:val="00400F8F"/>
    <w:rsid w:val="00401075"/>
    <w:rsid w:val="00403397"/>
    <w:rsid w:val="00404202"/>
    <w:rsid w:val="00405597"/>
    <w:rsid w:val="004056A0"/>
    <w:rsid w:val="004065C5"/>
    <w:rsid w:val="00406C2F"/>
    <w:rsid w:val="004071DA"/>
    <w:rsid w:val="0041210C"/>
    <w:rsid w:val="004142F8"/>
    <w:rsid w:val="00420862"/>
    <w:rsid w:val="00420880"/>
    <w:rsid w:val="00421009"/>
    <w:rsid w:val="004233F9"/>
    <w:rsid w:val="0042372A"/>
    <w:rsid w:val="004259A8"/>
    <w:rsid w:val="00425ACB"/>
    <w:rsid w:val="00425E38"/>
    <w:rsid w:val="00427793"/>
    <w:rsid w:val="004277FA"/>
    <w:rsid w:val="00430020"/>
    <w:rsid w:val="00431D7B"/>
    <w:rsid w:val="004347BF"/>
    <w:rsid w:val="00434EDB"/>
    <w:rsid w:val="00436108"/>
    <w:rsid w:val="004368E1"/>
    <w:rsid w:val="00436A1E"/>
    <w:rsid w:val="00437349"/>
    <w:rsid w:val="00437F68"/>
    <w:rsid w:val="00440010"/>
    <w:rsid w:val="00441691"/>
    <w:rsid w:val="00442203"/>
    <w:rsid w:val="00442832"/>
    <w:rsid w:val="004440D6"/>
    <w:rsid w:val="0044451B"/>
    <w:rsid w:val="00446C23"/>
    <w:rsid w:val="00447598"/>
    <w:rsid w:val="00447BD4"/>
    <w:rsid w:val="00447F5D"/>
    <w:rsid w:val="00450C35"/>
    <w:rsid w:val="00451934"/>
    <w:rsid w:val="004522CD"/>
    <w:rsid w:val="00453DA2"/>
    <w:rsid w:val="00454103"/>
    <w:rsid w:val="004569C9"/>
    <w:rsid w:val="00457905"/>
    <w:rsid w:val="00457964"/>
    <w:rsid w:val="004643AF"/>
    <w:rsid w:val="00464C62"/>
    <w:rsid w:val="00465A54"/>
    <w:rsid w:val="004677D8"/>
    <w:rsid w:val="00470E65"/>
    <w:rsid w:val="00472927"/>
    <w:rsid w:val="00474121"/>
    <w:rsid w:val="004746B7"/>
    <w:rsid w:val="00474A2F"/>
    <w:rsid w:val="004753B1"/>
    <w:rsid w:val="00476556"/>
    <w:rsid w:val="00481A4F"/>
    <w:rsid w:val="004837E8"/>
    <w:rsid w:val="00484A3D"/>
    <w:rsid w:val="0048581D"/>
    <w:rsid w:val="004859C3"/>
    <w:rsid w:val="00485EDF"/>
    <w:rsid w:val="00490A1F"/>
    <w:rsid w:val="004924E2"/>
    <w:rsid w:val="0049282E"/>
    <w:rsid w:val="0049425B"/>
    <w:rsid w:val="00494369"/>
    <w:rsid w:val="00495D47"/>
    <w:rsid w:val="004967DA"/>
    <w:rsid w:val="004A0510"/>
    <w:rsid w:val="004A11B8"/>
    <w:rsid w:val="004A228D"/>
    <w:rsid w:val="004A2B4F"/>
    <w:rsid w:val="004A6596"/>
    <w:rsid w:val="004A7A3A"/>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C5E"/>
    <w:rsid w:val="004F053A"/>
    <w:rsid w:val="004F2BA1"/>
    <w:rsid w:val="004F4A10"/>
    <w:rsid w:val="004F6640"/>
    <w:rsid w:val="004F6D0A"/>
    <w:rsid w:val="004F761A"/>
    <w:rsid w:val="00500450"/>
    <w:rsid w:val="005023EE"/>
    <w:rsid w:val="00503CA8"/>
    <w:rsid w:val="0051137A"/>
    <w:rsid w:val="00511759"/>
    <w:rsid w:val="00512F35"/>
    <w:rsid w:val="00515F84"/>
    <w:rsid w:val="00516884"/>
    <w:rsid w:val="00516E92"/>
    <w:rsid w:val="0051796C"/>
    <w:rsid w:val="0052149F"/>
    <w:rsid w:val="005234C2"/>
    <w:rsid w:val="00523933"/>
    <w:rsid w:val="00524715"/>
    <w:rsid w:val="00526ED9"/>
    <w:rsid w:val="005275DB"/>
    <w:rsid w:val="0053406C"/>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63F8"/>
    <w:rsid w:val="0055769A"/>
    <w:rsid w:val="005603D7"/>
    <w:rsid w:val="00560776"/>
    <w:rsid w:val="005651F2"/>
    <w:rsid w:val="00566BF2"/>
    <w:rsid w:val="00566C37"/>
    <w:rsid w:val="00567FBF"/>
    <w:rsid w:val="0057020D"/>
    <w:rsid w:val="005710B2"/>
    <w:rsid w:val="005715A3"/>
    <w:rsid w:val="00573BBC"/>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B7E"/>
    <w:rsid w:val="00596787"/>
    <w:rsid w:val="005A6B6C"/>
    <w:rsid w:val="005B0EA2"/>
    <w:rsid w:val="005B3818"/>
    <w:rsid w:val="005B3A59"/>
    <w:rsid w:val="005B479D"/>
    <w:rsid w:val="005B4B72"/>
    <w:rsid w:val="005B52B1"/>
    <w:rsid w:val="005B5AEB"/>
    <w:rsid w:val="005C08FA"/>
    <w:rsid w:val="005C0B06"/>
    <w:rsid w:val="005C10F2"/>
    <w:rsid w:val="005C3E17"/>
    <w:rsid w:val="005D1258"/>
    <w:rsid w:val="005D3DE5"/>
    <w:rsid w:val="005D691C"/>
    <w:rsid w:val="005D72BC"/>
    <w:rsid w:val="005D7BAC"/>
    <w:rsid w:val="005E0927"/>
    <w:rsid w:val="005E0EB8"/>
    <w:rsid w:val="005E1042"/>
    <w:rsid w:val="005E290B"/>
    <w:rsid w:val="005E38D1"/>
    <w:rsid w:val="005E61DB"/>
    <w:rsid w:val="005F038E"/>
    <w:rsid w:val="005F28F4"/>
    <w:rsid w:val="005F39AC"/>
    <w:rsid w:val="005F4D96"/>
    <w:rsid w:val="005F6B77"/>
    <w:rsid w:val="006003EE"/>
    <w:rsid w:val="00605067"/>
    <w:rsid w:val="00605136"/>
    <w:rsid w:val="0060560B"/>
    <w:rsid w:val="00606299"/>
    <w:rsid w:val="006063A3"/>
    <w:rsid w:val="00606464"/>
    <w:rsid w:val="00606E5C"/>
    <w:rsid w:val="0060753A"/>
    <w:rsid w:val="00610DCC"/>
    <w:rsid w:val="006120A9"/>
    <w:rsid w:val="00612C9E"/>
    <w:rsid w:val="0061315B"/>
    <w:rsid w:val="00614B06"/>
    <w:rsid w:val="00614DE1"/>
    <w:rsid w:val="006169D0"/>
    <w:rsid w:val="00616C8F"/>
    <w:rsid w:val="00616EAA"/>
    <w:rsid w:val="006173CA"/>
    <w:rsid w:val="0062060B"/>
    <w:rsid w:val="00621870"/>
    <w:rsid w:val="00626234"/>
    <w:rsid w:val="00627813"/>
    <w:rsid w:val="00630CE7"/>
    <w:rsid w:val="00633FA7"/>
    <w:rsid w:val="006345DE"/>
    <w:rsid w:val="00635F76"/>
    <w:rsid w:val="0064178E"/>
    <w:rsid w:val="00642162"/>
    <w:rsid w:val="00643045"/>
    <w:rsid w:val="00644F81"/>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139"/>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5CDB"/>
    <w:rsid w:val="006A66F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4C0E"/>
    <w:rsid w:val="006C5CD3"/>
    <w:rsid w:val="006C5DBB"/>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7325"/>
    <w:rsid w:val="006E7778"/>
    <w:rsid w:val="006F19FC"/>
    <w:rsid w:val="006F6F4D"/>
    <w:rsid w:val="006F72D9"/>
    <w:rsid w:val="006F74F3"/>
    <w:rsid w:val="00703E8A"/>
    <w:rsid w:val="00704355"/>
    <w:rsid w:val="00706597"/>
    <w:rsid w:val="007068BA"/>
    <w:rsid w:val="00707430"/>
    <w:rsid w:val="00707A0B"/>
    <w:rsid w:val="00707B59"/>
    <w:rsid w:val="00710A76"/>
    <w:rsid w:val="0071161C"/>
    <w:rsid w:val="0071197C"/>
    <w:rsid w:val="00716115"/>
    <w:rsid w:val="00716B69"/>
    <w:rsid w:val="00721582"/>
    <w:rsid w:val="00721914"/>
    <w:rsid w:val="007236E6"/>
    <w:rsid w:val="00724271"/>
    <w:rsid w:val="0072427E"/>
    <w:rsid w:val="0073057D"/>
    <w:rsid w:val="00730609"/>
    <w:rsid w:val="00731DA2"/>
    <w:rsid w:val="0073276D"/>
    <w:rsid w:val="00734122"/>
    <w:rsid w:val="007352A4"/>
    <w:rsid w:val="00736FE3"/>
    <w:rsid w:val="00737F15"/>
    <w:rsid w:val="0074082A"/>
    <w:rsid w:val="007423F5"/>
    <w:rsid w:val="00742877"/>
    <w:rsid w:val="0074393D"/>
    <w:rsid w:val="00743991"/>
    <w:rsid w:val="00746AD4"/>
    <w:rsid w:val="00750B7E"/>
    <w:rsid w:val="007515C4"/>
    <w:rsid w:val="007522B7"/>
    <w:rsid w:val="0075277D"/>
    <w:rsid w:val="00753D14"/>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3FD"/>
    <w:rsid w:val="00774962"/>
    <w:rsid w:val="007759C4"/>
    <w:rsid w:val="00775F64"/>
    <w:rsid w:val="00776970"/>
    <w:rsid w:val="00777FC5"/>
    <w:rsid w:val="00780DCA"/>
    <w:rsid w:val="00781660"/>
    <w:rsid w:val="00781787"/>
    <w:rsid w:val="007818C9"/>
    <w:rsid w:val="00782920"/>
    <w:rsid w:val="00783992"/>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4385"/>
    <w:rsid w:val="007B5FA8"/>
    <w:rsid w:val="007B6900"/>
    <w:rsid w:val="007B7884"/>
    <w:rsid w:val="007C0294"/>
    <w:rsid w:val="007C12CC"/>
    <w:rsid w:val="007C307B"/>
    <w:rsid w:val="007C3B0F"/>
    <w:rsid w:val="007C563E"/>
    <w:rsid w:val="007C6221"/>
    <w:rsid w:val="007D1C04"/>
    <w:rsid w:val="007D2B50"/>
    <w:rsid w:val="007D39E5"/>
    <w:rsid w:val="007D3ECA"/>
    <w:rsid w:val="007D425A"/>
    <w:rsid w:val="007D54E9"/>
    <w:rsid w:val="007D5A19"/>
    <w:rsid w:val="007D6CCB"/>
    <w:rsid w:val="007E193D"/>
    <w:rsid w:val="007E31A6"/>
    <w:rsid w:val="007E37B8"/>
    <w:rsid w:val="007E4D85"/>
    <w:rsid w:val="007E4F90"/>
    <w:rsid w:val="007E6B14"/>
    <w:rsid w:val="007F00ED"/>
    <w:rsid w:val="007F2474"/>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BCD"/>
    <w:rsid w:val="00821FBB"/>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B8F"/>
    <w:rsid w:val="008A0B92"/>
    <w:rsid w:val="008A1079"/>
    <w:rsid w:val="008A1875"/>
    <w:rsid w:val="008A18B8"/>
    <w:rsid w:val="008A3B23"/>
    <w:rsid w:val="008A3E63"/>
    <w:rsid w:val="008A4078"/>
    <w:rsid w:val="008A51A9"/>
    <w:rsid w:val="008A65D1"/>
    <w:rsid w:val="008B0085"/>
    <w:rsid w:val="008B11D6"/>
    <w:rsid w:val="008B2B51"/>
    <w:rsid w:val="008B3453"/>
    <w:rsid w:val="008B346E"/>
    <w:rsid w:val="008B4E2A"/>
    <w:rsid w:val="008B5136"/>
    <w:rsid w:val="008B68FD"/>
    <w:rsid w:val="008C2E09"/>
    <w:rsid w:val="008C32D0"/>
    <w:rsid w:val="008C3677"/>
    <w:rsid w:val="008C3970"/>
    <w:rsid w:val="008C48F8"/>
    <w:rsid w:val="008C764C"/>
    <w:rsid w:val="008D03F0"/>
    <w:rsid w:val="008D3C61"/>
    <w:rsid w:val="008D4DE9"/>
    <w:rsid w:val="008D6485"/>
    <w:rsid w:val="008D706D"/>
    <w:rsid w:val="008E1ADA"/>
    <w:rsid w:val="008E1C35"/>
    <w:rsid w:val="008E2427"/>
    <w:rsid w:val="008E46ED"/>
    <w:rsid w:val="008E4D9D"/>
    <w:rsid w:val="008E5112"/>
    <w:rsid w:val="008E512D"/>
    <w:rsid w:val="008E5891"/>
    <w:rsid w:val="008E5F09"/>
    <w:rsid w:val="008F1A08"/>
    <w:rsid w:val="008F1DDA"/>
    <w:rsid w:val="008F2108"/>
    <w:rsid w:val="008F39B8"/>
    <w:rsid w:val="008F6B8B"/>
    <w:rsid w:val="00901748"/>
    <w:rsid w:val="009018E5"/>
    <w:rsid w:val="009019CF"/>
    <w:rsid w:val="00901C1E"/>
    <w:rsid w:val="00902CF4"/>
    <w:rsid w:val="0090478A"/>
    <w:rsid w:val="009056D3"/>
    <w:rsid w:val="00905841"/>
    <w:rsid w:val="00907D77"/>
    <w:rsid w:val="00910F99"/>
    <w:rsid w:val="00913ABE"/>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27B59"/>
    <w:rsid w:val="009306D2"/>
    <w:rsid w:val="00931F6A"/>
    <w:rsid w:val="00932A46"/>
    <w:rsid w:val="00933D99"/>
    <w:rsid w:val="009346ED"/>
    <w:rsid w:val="00934EE5"/>
    <w:rsid w:val="00935053"/>
    <w:rsid w:val="0093520D"/>
    <w:rsid w:val="00935392"/>
    <w:rsid w:val="0093790A"/>
    <w:rsid w:val="009417EE"/>
    <w:rsid w:val="00945A9B"/>
    <w:rsid w:val="00951C0F"/>
    <w:rsid w:val="00953320"/>
    <w:rsid w:val="00954A78"/>
    <w:rsid w:val="0095527F"/>
    <w:rsid w:val="009618EC"/>
    <w:rsid w:val="00961BBD"/>
    <w:rsid w:val="0096295D"/>
    <w:rsid w:val="00964479"/>
    <w:rsid w:val="00966E0E"/>
    <w:rsid w:val="0097195D"/>
    <w:rsid w:val="009721A4"/>
    <w:rsid w:val="009727F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6CE3"/>
    <w:rsid w:val="00996F0B"/>
    <w:rsid w:val="009A07C7"/>
    <w:rsid w:val="009A0958"/>
    <w:rsid w:val="009A1FE1"/>
    <w:rsid w:val="009A4BD5"/>
    <w:rsid w:val="009A4DCC"/>
    <w:rsid w:val="009A4F79"/>
    <w:rsid w:val="009A5259"/>
    <w:rsid w:val="009A636B"/>
    <w:rsid w:val="009A6CC8"/>
    <w:rsid w:val="009A7416"/>
    <w:rsid w:val="009B2A40"/>
    <w:rsid w:val="009B520F"/>
    <w:rsid w:val="009B6998"/>
    <w:rsid w:val="009C17E0"/>
    <w:rsid w:val="009C1F4D"/>
    <w:rsid w:val="009C21A8"/>
    <w:rsid w:val="009C2ADE"/>
    <w:rsid w:val="009C585D"/>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4C2D"/>
    <w:rsid w:val="00A04DCF"/>
    <w:rsid w:val="00A066BF"/>
    <w:rsid w:val="00A068EB"/>
    <w:rsid w:val="00A075EF"/>
    <w:rsid w:val="00A0776C"/>
    <w:rsid w:val="00A100BF"/>
    <w:rsid w:val="00A1253B"/>
    <w:rsid w:val="00A130E7"/>
    <w:rsid w:val="00A17860"/>
    <w:rsid w:val="00A21609"/>
    <w:rsid w:val="00A22389"/>
    <w:rsid w:val="00A24090"/>
    <w:rsid w:val="00A24C7F"/>
    <w:rsid w:val="00A25B97"/>
    <w:rsid w:val="00A25BBF"/>
    <w:rsid w:val="00A310D6"/>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02B5"/>
    <w:rsid w:val="00A63D93"/>
    <w:rsid w:val="00A65E47"/>
    <w:rsid w:val="00A66011"/>
    <w:rsid w:val="00A67908"/>
    <w:rsid w:val="00A708C8"/>
    <w:rsid w:val="00A70FA9"/>
    <w:rsid w:val="00A71F21"/>
    <w:rsid w:val="00A71F44"/>
    <w:rsid w:val="00A737B7"/>
    <w:rsid w:val="00A77774"/>
    <w:rsid w:val="00A80B2E"/>
    <w:rsid w:val="00A83136"/>
    <w:rsid w:val="00A83804"/>
    <w:rsid w:val="00A8489E"/>
    <w:rsid w:val="00A85309"/>
    <w:rsid w:val="00A858C3"/>
    <w:rsid w:val="00A85B90"/>
    <w:rsid w:val="00A87F68"/>
    <w:rsid w:val="00A93D75"/>
    <w:rsid w:val="00A93F81"/>
    <w:rsid w:val="00A94B75"/>
    <w:rsid w:val="00A94EC9"/>
    <w:rsid w:val="00A94F5D"/>
    <w:rsid w:val="00A97321"/>
    <w:rsid w:val="00A978E5"/>
    <w:rsid w:val="00A978EA"/>
    <w:rsid w:val="00A97EBF"/>
    <w:rsid w:val="00AA04F9"/>
    <w:rsid w:val="00AA0889"/>
    <w:rsid w:val="00AA13B3"/>
    <w:rsid w:val="00AA23BA"/>
    <w:rsid w:val="00AA2E6B"/>
    <w:rsid w:val="00AA4870"/>
    <w:rsid w:val="00AA4A6D"/>
    <w:rsid w:val="00AA5186"/>
    <w:rsid w:val="00AA7784"/>
    <w:rsid w:val="00AB11E7"/>
    <w:rsid w:val="00AB455F"/>
    <w:rsid w:val="00AB55D0"/>
    <w:rsid w:val="00AB56FB"/>
    <w:rsid w:val="00AB60F8"/>
    <w:rsid w:val="00AB6EB6"/>
    <w:rsid w:val="00AC2D2E"/>
    <w:rsid w:val="00AC301A"/>
    <w:rsid w:val="00AC3246"/>
    <w:rsid w:val="00AC3317"/>
    <w:rsid w:val="00AC35D7"/>
    <w:rsid w:val="00AC5799"/>
    <w:rsid w:val="00AC611F"/>
    <w:rsid w:val="00AC6B73"/>
    <w:rsid w:val="00AC6F1A"/>
    <w:rsid w:val="00AC74AE"/>
    <w:rsid w:val="00AD192B"/>
    <w:rsid w:val="00AD438F"/>
    <w:rsid w:val="00AD4766"/>
    <w:rsid w:val="00AD50EB"/>
    <w:rsid w:val="00AD7006"/>
    <w:rsid w:val="00AD7780"/>
    <w:rsid w:val="00AD7820"/>
    <w:rsid w:val="00AE02D5"/>
    <w:rsid w:val="00AE0937"/>
    <w:rsid w:val="00AE0A4F"/>
    <w:rsid w:val="00AE2347"/>
    <w:rsid w:val="00AE3109"/>
    <w:rsid w:val="00AE32A1"/>
    <w:rsid w:val="00AE3DAA"/>
    <w:rsid w:val="00AE4129"/>
    <w:rsid w:val="00AE529B"/>
    <w:rsid w:val="00AE649F"/>
    <w:rsid w:val="00AE6E76"/>
    <w:rsid w:val="00AF02AD"/>
    <w:rsid w:val="00AF0EF9"/>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37E23"/>
    <w:rsid w:val="00B4292D"/>
    <w:rsid w:val="00B42D14"/>
    <w:rsid w:val="00B46951"/>
    <w:rsid w:val="00B52E35"/>
    <w:rsid w:val="00B5320A"/>
    <w:rsid w:val="00B53E3D"/>
    <w:rsid w:val="00B5583D"/>
    <w:rsid w:val="00B57119"/>
    <w:rsid w:val="00B60727"/>
    <w:rsid w:val="00B61244"/>
    <w:rsid w:val="00B63F94"/>
    <w:rsid w:val="00B64DE9"/>
    <w:rsid w:val="00B65206"/>
    <w:rsid w:val="00B66D3D"/>
    <w:rsid w:val="00B67759"/>
    <w:rsid w:val="00B70F40"/>
    <w:rsid w:val="00B71560"/>
    <w:rsid w:val="00B71E95"/>
    <w:rsid w:val="00B73120"/>
    <w:rsid w:val="00B7599E"/>
    <w:rsid w:val="00B761BB"/>
    <w:rsid w:val="00B80DFC"/>
    <w:rsid w:val="00B80EDE"/>
    <w:rsid w:val="00B82206"/>
    <w:rsid w:val="00B84254"/>
    <w:rsid w:val="00B859B8"/>
    <w:rsid w:val="00B87988"/>
    <w:rsid w:val="00B87B37"/>
    <w:rsid w:val="00B90574"/>
    <w:rsid w:val="00B90ABB"/>
    <w:rsid w:val="00B90CBD"/>
    <w:rsid w:val="00B92E98"/>
    <w:rsid w:val="00B9528F"/>
    <w:rsid w:val="00B9529C"/>
    <w:rsid w:val="00B9543F"/>
    <w:rsid w:val="00B9553B"/>
    <w:rsid w:val="00BA13B5"/>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2FED"/>
    <w:rsid w:val="00BE3611"/>
    <w:rsid w:val="00BE5099"/>
    <w:rsid w:val="00BE53FC"/>
    <w:rsid w:val="00BE573A"/>
    <w:rsid w:val="00BE63C9"/>
    <w:rsid w:val="00BE79E6"/>
    <w:rsid w:val="00BF26EE"/>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7B14"/>
    <w:rsid w:val="00C1063E"/>
    <w:rsid w:val="00C10713"/>
    <w:rsid w:val="00C117A2"/>
    <w:rsid w:val="00C131FB"/>
    <w:rsid w:val="00C134E6"/>
    <w:rsid w:val="00C15341"/>
    <w:rsid w:val="00C20E1F"/>
    <w:rsid w:val="00C21258"/>
    <w:rsid w:val="00C215E3"/>
    <w:rsid w:val="00C22E94"/>
    <w:rsid w:val="00C234E3"/>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6749A"/>
    <w:rsid w:val="00C708E8"/>
    <w:rsid w:val="00C7141C"/>
    <w:rsid w:val="00C7317A"/>
    <w:rsid w:val="00C74746"/>
    <w:rsid w:val="00C74A60"/>
    <w:rsid w:val="00C76857"/>
    <w:rsid w:val="00C77741"/>
    <w:rsid w:val="00C77B4B"/>
    <w:rsid w:val="00C77FD7"/>
    <w:rsid w:val="00C81ECD"/>
    <w:rsid w:val="00C827FF"/>
    <w:rsid w:val="00C84EF2"/>
    <w:rsid w:val="00C8530A"/>
    <w:rsid w:val="00C8595C"/>
    <w:rsid w:val="00C87CFF"/>
    <w:rsid w:val="00C91EEF"/>
    <w:rsid w:val="00C92B04"/>
    <w:rsid w:val="00C93302"/>
    <w:rsid w:val="00C937F2"/>
    <w:rsid w:val="00C96476"/>
    <w:rsid w:val="00C966E5"/>
    <w:rsid w:val="00C9746E"/>
    <w:rsid w:val="00C97D01"/>
    <w:rsid w:val="00CA07E5"/>
    <w:rsid w:val="00CA102A"/>
    <w:rsid w:val="00CA124D"/>
    <w:rsid w:val="00CA2F94"/>
    <w:rsid w:val="00CA342B"/>
    <w:rsid w:val="00CA5643"/>
    <w:rsid w:val="00CA5CD4"/>
    <w:rsid w:val="00CB0602"/>
    <w:rsid w:val="00CB2706"/>
    <w:rsid w:val="00CB32BB"/>
    <w:rsid w:val="00CB53CC"/>
    <w:rsid w:val="00CB6271"/>
    <w:rsid w:val="00CB77AC"/>
    <w:rsid w:val="00CC0168"/>
    <w:rsid w:val="00CC02B6"/>
    <w:rsid w:val="00CC038A"/>
    <w:rsid w:val="00CC0515"/>
    <w:rsid w:val="00CC0BA0"/>
    <w:rsid w:val="00CC1EDA"/>
    <w:rsid w:val="00CC218A"/>
    <w:rsid w:val="00CC3230"/>
    <w:rsid w:val="00CC4394"/>
    <w:rsid w:val="00CC44AE"/>
    <w:rsid w:val="00CC5671"/>
    <w:rsid w:val="00CC5A37"/>
    <w:rsid w:val="00CC68F4"/>
    <w:rsid w:val="00CC76FE"/>
    <w:rsid w:val="00CC770D"/>
    <w:rsid w:val="00CD1E58"/>
    <w:rsid w:val="00CD27D3"/>
    <w:rsid w:val="00CD3365"/>
    <w:rsid w:val="00CD471E"/>
    <w:rsid w:val="00CD482D"/>
    <w:rsid w:val="00CD48A2"/>
    <w:rsid w:val="00CD4FD0"/>
    <w:rsid w:val="00CD7A14"/>
    <w:rsid w:val="00CE0E5F"/>
    <w:rsid w:val="00CE2FCF"/>
    <w:rsid w:val="00CE318F"/>
    <w:rsid w:val="00CE5461"/>
    <w:rsid w:val="00CE6B10"/>
    <w:rsid w:val="00CE6C4B"/>
    <w:rsid w:val="00CE71F9"/>
    <w:rsid w:val="00CF2A3C"/>
    <w:rsid w:val="00CF36D8"/>
    <w:rsid w:val="00CF43C8"/>
    <w:rsid w:val="00CF46D5"/>
    <w:rsid w:val="00CF4736"/>
    <w:rsid w:val="00CF7ADB"/>
    <w:rsid w:val="00D0033D"/>
    <w:rsid w:val="00D006B0"/>
    <w:rsid w:val="00D00BE4"/>
    <w:rsid w:val="00D02560"/>
    <w:rsid w:val="00D04121"/>
    <w:rsid w:val="00D051E7"/>
    <w:rsid w:val="00D05DD3"/>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3330B"/>
    <w:rsid w:val="00D338D3"/>
    <w:rsid w:val="00D33F03"/>
    <w:rsid w:val="00D34494"/>
    <w:rsid w:val="00D360C6"/>
    <w:rsid w:val="00D365C0"/>
    <w:rsid w:val="00D367F1"/>
    <w:rsid w:val="00D40609"/>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4F0"/>
    <w:rsid w:val="00D664D5"/>
    <w:rsid w:val="00D66C0A"/>
    <w:rsid w:val="00D72319"/>
    <w:rsid w:val="00D72E5B"/>
    <w:rsid w:val="00D745C3"/>
    <w:rsid w:val="00D75D8E"/>
    <w:rsid w:val="00D763DE"/>
    <w:rsid w:val="00D76FB8"/>
    <w:rsid w:val="00D8053D"/>
    <w:rsid w:val="00D80B1A"/>
    <w:rsid w:val="00D828CE"/>
    <w:rsid w:val="00D82F67"/>
    <w:rsid w:val="00D83F62"/>
    <w:rsid w:val="00D85C6B"/>
    <w:rsid w:val="00D86DAC"/>
    <w:rsid w:val="00D90AE9"/>
    <w:rsid w:val="00D90CAD"/>
    <w:rsid w:val="00D92A5C"/>
    <w:rsid w:val="00D93747"/>
    <w:rsid w:val="00D93C60"/>
    <w:rsid w:val="00D93FCC"/>
    <w:rsid w:val="00D94365"/>
    <w:rsid w:val="00D94388"/>
    <w:rsid w:val="00D94393"/>
    <w:rsid w:val="00D944F3"/>
    <w:rsid w:val="00D9534E"/>
    <w:rsid w:val="00D955F1"/>
    <w:rsid w:val="00DA2236"/>
    <w:rsid w:val="00DA2485"/>
    <w:rsid w:val="00DA3338"/>
    <w:rsid w:val="00DA4B47"/>
    <w:rsid w:val="00DA4D00"/>
    <w:rsid w:val="00DA5FB5"/>
    <w:rsid w:val="00DA7E50"/>
    <w:rsid w:val="00DB307A"/>
    <w:rsid w:val="00DB430C"/>
    <w:rsid w:val="00DB441E"/>
    <w:rsid w:val="00DB4DA3"/>
    <w:rsid w:val="00DC1D5F"/>
    <w:rsid w:val="00DC1FAD"/>
    <w:rsid w:val="00DC20F9"/>
    <w:rsid w:val="00DC2D37"/>
    <w:rsid w:val="00DC46F4"/>
    <w:rsid w:val="00DC56ED"/>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DF7AF6"/>
    <w:rsid w:val="00E009F3"/>
    <w:rsid w:val="00E00DDC"/>
    <w:rsid w:val="00E011DA"/>
    <w:rsid w:val="00E01FA7"/>
    <w:rsid w:val="00E0274F"/>
    <w:rsid w:val="00E0432C"/>
    <w:rsid w:val="00E048E5"/>
    <w:rsid w:val="00E061F3"/>
    <w:rsid w:val="00E07B26"/>
    <w:rsid w:val="00E07F21"/>
    <w:rsid w:val="00E13FB6"/>
    <w:rsid w:val="00E1487A"/>
    <w:rsid w:val="00E16DAB"/>
    <w:rsid w:val="00E2006D"/>
    <w:rsid w:val="00E22756"/>
    <w:rsid w:val="00E25815"/>
    <w:rsid w:val="00E25A3E"/>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5B11"/>
    <w:rsid w:val="00E4695B"/>
    <w:rsid w:val="00E47625"/>
    <w:rsid w:val="00E4765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5F78"/>
    <w:rsid w:val="00E768F9"/>
    <w:rsid w:val="00E771B0"/>
    <w:rsid w:val="00E77F8A"/>
    <w:rsid w:val="00E8033D"/>
    <w:rsid w:val="00E8219A"/>
    <w:rsid w:val="00E829CB"/>
    <w:rsid w:val="00E8554D"/>
    <w:rsid w:val="00E859F8"/>
    <w:rsid w:val="00E875DE"/>
    <w:rsid w:val="00E87C9B"/>
    <w:rsid w:val="00E9018A"/>
    <w:rsid w:val="00E93090"/>
    <w:rsid w:val="00E93812"/>
    <w:rsid w:val="00E93C34"/>
    <w:rsid w:val="00E94DF8"/>
    <w:rsid w:val="00EA2BCA"/>
    <w:rsid w:val="00EA2C71"/>
    <w:rsid w:val="00EA502E"/>
    <w:rsid w:val="00EA5232"/>
    <w:rsid w:val="00EA7E56"/>
    <w:rsid w:val="00EB021E"/>
    <w:rsid w:val="00EB05ED"/>
    <w:rsid w:val="00EB0C4B"/>
    <w:rsid w:val="00EB0DC4"/>
    <w:rsid w:val="00EB0E52"/>
    <w:rsid w:val="00EB1F77"/>
    <w:rsid w:val="00EB36BD"/>
    <w:rsid w:val="00EB506E"/>
    <w:rsid w:val="00EC0997"/>
    <w:rsid w:val="00EC1EE3"/>
    <w:rsid w:val="00EC63A7"/>
    <w:rsid w:val="00ED038E"/>
    <w:rsid w:val="00ED0D35"/>
    <w:rsid w:val="00ED1E20"/>
    <w:rsid w:val="00ED2FB9"/>
    <w:rsid w:val="00ED4C47"/>
    <w:rsid w:val="00ED4D48"/>
    <w:rsid w:val="00ED70B4"/>
    <w:rsid w:val="00EE11CC"/>
    <w:rsid w:val="00EE2A0A"/>
    <w:rsid w:val="00EE2DA4"/>
    <w:rsid w:val="00EE4005"/>
    <w:rsid w:val="00EE4C19"/>
    <w:rsid w:val="00EE774B"/>
    <w:rsid w:val="00EF170D"/>
    <w:rsid w:val="00EF19BF"/>
    <w:rsid w:val="00EF23AC"/>
    <w:rsid w:val="00EF33E9"/>
    <w:rsid w:val="00EF36DF"/>
    <w:rsid w:val="00EF65C0"/>
    <w:rsid w:val="00EF7534"/>
    <w:rsid w:val="00EF7B68"/>
    <w:rsid w:val="00EF7BA0"/>
    <w:rsid w:val="00EF7C43"/>
    <w:rsid w:val="00F00972"/>
    <w:rsid w:val="00F01B20"/>
    <w:rsid w:val="00F02047"/>
    <w:rsid w:val="00F02E41"/>
    <w:rsid w:val="00F032DB"/>
    <w:rsid w:val="00F0346D"/>
    <w:rsid w:val="00F03CD9"/>
    <w:rsid w:val="00F03F58"/>
    <w:rsid w:val="00F05511"/>
    <w:rsid w:val="00F06C75"/>
    <w:rsid w:val="00F0711F"/>
    <w:rsid w:val="00F0715F"/>
    <w:rsid w:val="00F071CD"/>
    <w:rsid w:val="00F10C7F"/>
    <w:rsid w:val="00F11612"/>
    <w:rsid w:val="00F124CD"/>
    <w:rsid w:val="00F124FC"/>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5639"/>
    <w:rsid w:val="00F76090"/>
    <w:rsid w:val="00F77A80"/>
    <w:rsid w:val="00F77C8E"/>
    <w:rsid w:val="00F80464"/>
    <w:rsid w:val="00F8342E"/>
    <w:rsid w:val="00F83D75"/>
    <w:rsid w:val="00F8456D"/>
    <w:rsid w:val="00F847C6"/>
    <w:rsid w:val="00F87CC2"/>
    <w:rsid w:val="00F9063F"/>
    <w:rsid w:val="00F90B81"/>
    <w:rsid w:val="00F912E2"/>
    <w:rsid w:val="00F91DD6"/>
    <w:rsid w:val="00F9528D"/>
    <w:rsid w:val="00F96261"/>
    <w:rsid w:val="00F96F2A"/>
    <w:rsid w:val="00F97818"/>
    <w:rsid w:val="00FA1933"/>
    <w:rsid w:val="00FA271F"/>
    <w:rsid w:val="00FA5C81"/>
    <w:rsid w:val="00FA7E7A"/>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6B43"/>
    <w:rsid w:val="00FC7074"/>
    <w:rsid w:val="00FD08F0"/>
    <w:rsid w:val="00FD0FA7"/>
    <w:rsid w:val="00FD3C9B"/>
    <w:rsid w:val="00FD3D7B"/>
    <w:rsid w:val="00FD4076"/>
    <w:rsid w:val="00FE0B80"/>
    <w:rsid w:val="00FE21DA"/>
    <w:rsid w:val="00FE2D09"/>
    <w:rsid w:val="00FE2E38"/>
    <w:rsid w:val="00FE37C0"/>
    <w:rsid w:val="00FE3E44"/>
    <w:rsid w:val="00FE4E97"/>
    <w:rsid w:val="00FE51E3"/>
    <w:rsid w:val="00FE5708"/>
    <w:rsid w:val="00FE5D7D"/>
    <w:rsid w:val="00FE7EBA"/>
    <w:rsid w:val="00FF1AE9"/>
    <w:rsid w:val="00FF1DE6"/>
    <w:rsid w:val="00FF44B7"/>
    <w:rsid w:val="00FF4EFD"/>
    <w:rsid w:val="00FF5CD6"/>
    <w:rsid w:val="00FF5E86"/>
    <w:rsid w:val="00FF795B"/>
    <w:rsid w:val="010E6D34"/>
    <w:rsid w:val="014903F9"/>
    <w:rsid w:val="01B943ED"/>
    <w:rsid w:val="01C67325"/>
    <w:rsid w:val="01E053F1"/>
    <w:rsid w:val="01E11812"/>
    <w:rsid w:val="01FD3EB8"/>
    <w:rsid w:val="020177B4"/>
    <w:rsid w:val="020C0328"/>
    <w:rsid w:val="020D5957"/>
    <w:rsid w:val="02124566"/>
    <w:rsid w:val="02237557"/>
    <w:rsid w:val="026435F6"/>
    <w:rsid w:val="026776A4"/>
    <w:rsid w:val="026805D1"/>
    <w:rsid w:val="026A46B5"/>
    <w:rsid w:val="02711B7D"/>
    <w:rsid w:val="028E67B6"/>
    <w:rsid w:val="02A24DD0"/>
    <w:rsid w:val="02DC372B"/>
    <w:rsid w:val="02F04AEB"/>
    <w:rsid w:val="02FE6E47"/>
    <w:rsid w:val="03201B75"/>
    <w:rsid w:val="0326079A"/>
    <w:rsid w:val="032F6F2C"/>
    <w:rsid w:val="034A31D4"/>
    <w:rsid w:val="03542C0B"/>
    <w:rsid w:val="03880AFC"/>
    <w:rsid w:val="039C4A75"/>
    <w:rsid w:val="03A7050F"/>
    <w:rsid w:val="03BB024E"/>
    <w:rsid w:val="03BF187E"/>
    <w:rsid w:val="03CB2589"/>
    <w:rsid w:val="03DB6443"/>
    <w:rsid w:val="03ED38CB"/>
    <w:rsid w:val="04001AA6"/>
    <w:rsid w:val="04006717"/>
    <w:rsid w:val="04154709"/>
    <w:rsid w:val="04506235"/>
    <w:rsid w:val="045752D5"/>
    <w:rsid w:val="046625B4"/>
    <w:rsid w:val="047E30FF"/>
    <w:rsid w:val="04841B7B"/>
    <w:rsid w:val="04A2275B"/>
    <w:rsid w:val="05274886"/>
    <w:rsid w:val="052C3DC2"/>
    <w:rsid w:val="05330099"/>
    <w:rsid w:val="053522AC"/>
    <w:rsid w:val="05356F9B"/>
    <w:rsid w:val="0552727C"/>
    <w:rsid w:val="055E7AD0"/>
    <w:rsid w:val="056105E9"/>
    <w:rsid w:val="056173FF"/>
    <w:rsid w:val="0591166C"/>
    <w:rsid w:val="05984056"/>
    <w:rsid w:val="05A31CCA"/>
    <w:rsid w:val="05A756C2"/>
    <w:rsid w:val="05DA1620"/>
    <w:rsid w:val="05F04A85"/>
    <w:rsid w:val="05F24D0F"/>
    <w:rsid w:val="06143900"/>
    <w:rsid w:val="06166C59"/>
    <w:rsid w:val="061F79BA"/>
    <w:rsid w:val="0627615B"/>
    <w:rsid w:val="062A6E9E"/>
    <w:rsid w:val="062E2DB5"/>
    <w:rsid w:val="063D06F0"/>
    <w:rsid w:val="063D4CF5"/>
    <w:rsid w:val="064A5BF1"/>
    <w:rsid w:val="065B5641"/>
    <w:rsid w:val="066D5CF7"/>
    <w:rsid w:val="068C7F68"/>
    <w:rsid w:val="06A1517A"/>
    <w:rsid w:val="06B13ADD"/>
    <w:rsid w:val="06C91A4C"/>
    <w:rsid w:val="06DB6A44"/>
    <w:rsid w:val="073145D5"/>
    <w:rsid w:val="07614072"/>
    <w:rsid w:val="077836E6"/>
    <w:rsid w:val="07AB2899"/>
    <w:rsid w:val="07D621A2"/>
    <w:rsid w:val="07EA1F03"/>
    <w:rsid w:val="081C0276"/>
    <w:rsid w:val="08336FB0"/>
    <w:rsid w:val="08440AF0"/>
    <w:rsid w:val="0847245C"/>
    <w:rsid w:val="08490712"/>
    <w:rsid w:val="08654F0F"/>
    <w:rsid w:val="086873EA"/>
    <w:rsid w:val="089B2637"/>
    <w:rsid w:val="08C25186"/>
    <w:rsid w:val="08D64D25"/>
    <w:rsid w:val="09035CD5"/>
    <w:rsid w:val="09045BDB"/>
    <w:rsid w:val="09067CF9"/>
    <w:rsid w:val="0911612D"/>
    <w:rsid w:val="0912558B"/>
    <w:rsid w:val="09185AD6"/>
    <w:rsid w:val="092A2FCE"/>
    <w:rsid w:val="092B2642"/>
    <w:rsid w:val="09342B19"/>
    <w:rsid w:val="095A2140"/>
    <w:rsid w:val="0960477C"/>
    <w:rsid w:val="09742D76"/>
    <w:rsid w:val="09930134"/>
    <w:rsid w:val="099311C7"/>
    <w:rsid w:val="09EF30DB"/>
    <w:rsid w:val="09F00134"/>
    <w:rsid w:val="09F40A58"/>
    <w:rsid w:val="09F871A7"/>
    <w:rsid w:val="09FC0872"/>
    <w:rsid w:val="0A0715F9"/>
    <w:rsid w:val="0A32152D"/>
    <w:rsid w:val="0A361032"/>
    <w:rsid w:val="0A374E74"/>
    <w:rsid w:val="0A3A2531"/>
    <w:rsid w:val="0A481597"/>
    <w:rsid w:val="0A4F0371"/>
    <w:rsid w:val="0A87084F"/>
    <w:rsid w:val="0AD46E82"/>
    <w:rsid w:val="0B204F7C"/>
    <w:rsid w:val="0B3502E7"/>
    <w:rsid w:val="0B3A12C6"/>
    <w:rsid w:val="0B4637BE"/>
    <w:rsid w:val="0B587788"/>
    <w:rsid w:val="0B5E59FB"/>
    <w:rsid w:val="0B5F2982"/>
    <w:rsid w:val="0B5F5DBF"/>
    <w:rsid w:val="0B863BB0"/>
    <w:rsid w:val="0B90631E"/>
    <w:rsid w:val="0B90723E"/>
    <w:rsid w:val="0BDC6523"/>
    <w:rsid w:val="0BFC145C"/>
    <w:rsid w:val="0C2B4001"/>
    <w:rsid w:val="0C4D2604"/>
    <w:rsid w:val="0C527AF3"/>
    <w:rsid w:val="0C623750"/>
    <w:rsid w:val="0C9E37E6"/>
    <w:rsid w:val="0CBE2AC7"/>
    <w:rsid w:val="0CC779B0"/>
    <w:rsid w:val="0CCE5410"/>
    <w:rsid w:val="0CDC0556"/>
    <w:rsid w:val="0CDC2FDC"/>
    <w:rsid w:val="0CE12F34"/>
    <w:rsid w:val="0CE86C02"/>
    <w:rsid w:val="0D060D5E"/>
    <w:rsid w:val="0D2939A8"/>
    <w:rsid w:val="0D3006E3"/>
    <w:rsid w:val="0D662A27"/>
    <w:rsid w:val="0D7627D1"/>
    <w:rsid w:val="0D924B40"/>
    <w:rsid w:val="0DB52069"/>
    <w:rsid w:val="0DB64438"/>
    <w:rsid w:val="0DC02858"/>
    <w:rsid w:val="0DC524F0"/>
    <w:rsid w:val="0DEB29A3"/>
    <w:rsid w:val="0DFC1D83"/>
    <w:rsid w:val="0E120F3A"/>
    <w:rsid w:val="0E1E386C"/>
    <w:rsid w:val="0E5E6311"/>
    <w:rsid w:val="0E5F5409"/>
    <w:rsid w:val="0E6A6959"/>
    <w:rsid w:val="0E7A78CA"/>
    <w:rsid w:val="0E867004"/>
    <w:rsid w:val="0E972C12"/>
    <w:rsid w:val="0EAE588E"/>
    <w:rsid w:val="0EAF7A9C"/>
    <w:rsid w:val="0EB22052"/>
    <w:rsid w:val="0ECE29F6"/>
    <w:rsid w:val="0F094B7B"/>
    <w:rsid w:val="0F0C4E7B"/>
    <w:rsid w:val="0F287427"/>
    <w:rsid w:val="0F3A4AC8"/>
    <w:rsid w:val="0F3A5892"/>
    <w:rsid w:val="0F400D0D"/>
    <w:rsid w:val="0F4D5A89"/>
    <w:rsid w:val="0F5E4541"/>
    <w:rsid w:val="0F681C5F"/>
    <w:rsid w:val="0F986B08"/>
    <w:rsid w:val="0FA17C81"/>
    <w:rsid w:val="0FA47D8D"/>
    <w:rsid w:val="0FDA15FE"/>
    <w:rsid w:val="0FF87F7E"/>
    <w:rsid w:val="100145F8"/>
    <w:rsid w:val="101E2A39"/>
    <w:rsid w:val="10207C03"/>
    <w:rsid w:val="102237AF"/>
    <w:rsid w:val="10235424"/>
    <w:rsid w:val="103463F5"/>
    <w:rsid w:val="103E1B95"/>
    <w:rsid w:val="107E17B7"/>
    <w:rsid w:val="10824646"/>
    <w:rsid w:val="10973A9C"/>
    <w:rsid w:val="10AE4FCD"/>
    <w:rsid w:val="10F8414B"/>
    <w:rsid w:val="111F65A2"/>
    <w:rsid w:val="11376513"/>
    <w:rsid w:val="118A391A"/>
    <w:rsid w:val="118C0436"/>
    <w:rsid w:val="118C0A82"/>
    <w:rsid w:val="1198570A"/>
    <w:rsid w:val="119C2FAD"/>
    <w:rsid w:val="11C11FFB"/>
    <w:rsid w:val="11CC04D1"/>
    <w:rsid w:val="11F87B65"/>
    <w:rsid w:val="12050D55"/>
    <w:rsid w:val="12236D5C"/>
    <w:rsid w:val="12447FFF"/>
    <w:rsid w:val="125016B7"/>
    <w:rsid w:val="12533CCA"/>
    <w:rsid w:val="1267479B"/>
    <w:rsid w:val="12AE5AC3"/>
    <w:rsid w:val="12B52700"/>
    <w:rsid w:val="130F2F12"/>
    <w:rsid w:val="13287D5B"/>
    <w:rsid w:val="13341918"/>
    <w:rsid w:val="13375AC8"/>
    <w:rsid w:val="13445F5C"/>
    <w:rsid w:val="137876F0"/>
    <w:rsid w:val="138C3BA9"/>
    <w:rsid w:val="139C6EF6"/>
    <w:rsid w:val="13AF3D65"/>
    <w:rsid w:val="13B210C0"/>
    <w:rsid w:val="13B97FA2"/>
    <w:rsid w:val="13F15301"/>
    <w:rsid w:val="140B0167"/>
    <w:rsid w:val="14BC044C"/>
    <w:rsid w:val="14C31775"/>
    <w:rsid w:val="14C42E33"/>
    <w:rsid w:val="14FF5971"/>
    <w:rsid w:val="1502023F"/>
    <w:rsid w:val="150729F7"/>
    <w:rsid w:val="15287B05"/>
    <w:rsid w:val="15386086"/>
    <w:rsid w:val="15704EF6"/>
    <w:rsid w:val="15AC22B0"/>
    <w:rsid w:val="15CF0A9A"/>
    <w:rsid w:val="15D20720"/>
    <w:rsid w:val="15DA2536"/>
    <w:rsid w:val="15FF1D55"/>
    <w:rsid w:val="161910B6"/>
    <w:rsid w:val="161D4904"/>
    <w:rsid w:val="1621145D"/>
    <w:rsid w:val="162B0014"/>
    <w:rsid w:val="164546CF"/>
    <w:rsid w:val="166E4ABD"/>
    <w:rsid w:val="167830FB"/>
    <w:rsid w:val="167F5CEF"/>
    <w:rsid w:val="169C0AAB"/>
    <w:rsid w:val="16BB3D1A"/>
    <w:rsid w:val="16BE5118"/>
    <w:rsid w:val="16C267DE"/>
    <w:rsid w:val="16FD33EB"/>
    <w:rsid w:val="1701398E"/>
    <w:rsid w:val="170D612B"/>
    <w:rsid w:val="1711341D"/>
    <w:rsid w:val="173B57F8"/>
    <w:rsid w:val="17977688"/>
    <w:rsid w:val="17A52FE0"/>
    <w:rsid w:val="17B02932"/>
    <w:rsid w:val="17BC17EA"/>
    <w:rsid w:val="17E21151"/>
    <w:rsid w:val="180151FD"/>
    <w:rsid w:val="181C1455"/>
    <w:rsid w:val="1848672A"/>
    <w:rsid w:val="1852538E"/>
    <w:rsid w:val="185642A3"/>
    <w:rsid w:val="18720671"/>
    <w:rsid w:val="18812D7C"/>
    <w:rsid w:val="18885C38"/>
    <w:rsid w:val="18905BFE"/>
    <w:rsid w:val="18A13D45"/>
    <w:rsid w:val="18F460B2"/>
    <w:rsid w:val="191D78D8"/>
    <w:rsid w:val="19660F78"/>
    <w:rsid w:val="196E503F"/>
    <w:rsid w:val="19A154BA"/>
    <w:rsid w:val="19CC068C"/>
    <w:rsid w:val="19FE64C6"/>
    <w:rsid w:val="1A06092B"/>
    <w:rsid w:val="1A162B3E"/>
    <w:rsid w:val="1A1C60D6"/>
    <w:rsid w:val="1A207BB8"/>
    <w:rsid w:val="1A3C5738"/>
    <w:rsid w:val="1A452A3C"/>
    <w:rsid w:val="1A4A476F"/>
    <w:rsid w:val="1A5474FF"/>
    <w:rsid w:val="1A5576F2"/>
    <w:rsid w:val="1A6505DF"/>
    <w:rsid w:val="1A784BC1"/>
    <w:rsid w:val="1AA94532"/>
    <w:rsid w:val="1AD0669D"/>
    <w:rsid w:val="1AF50F33"/>
    <w:rsid w:val="1AF515B3"/>
    <w:rsid w:val="1B2741C2"/>
    <w:rsid w:val="1B391768"/>
    <w:rsid w:val="1B712305"/>
    <w:rsid w:val="1B777563"/>
    <w:rsid w:val="1B7E6441"/>
    <w:rsid w:val="1B822906"/>
    <w:rsid w:val="1B9F42CA"/>
    <w:rsid w:val="1BA40DA4"/>
    <w:rsid w:val="1BAE74E7"/>
    <w:rsid w:val="1BB33A7D"/>
    <w:rsid w:val="1BBA725E"/>
    <w:rsid w:val="1BDA7ABD"/>
    <w:rsid w:val="1BE45425"/>
    <w:rsid w:val="1BE71BCE"/>
    <w:rsid w:val="1C0616D1"/>
    <w:rsid w:val="1C0717F9"/>
    <w:rsid w:val="1C313074"/>
    <w:rsid w:val="1C322833"/>
    <w:rsid w:val="1C3826E2"/>
    <w:rsid w:val="1C3C7C2A"/>
    <w:rsid w:val="1C3E7085"/>
    <w:rsid w:val="1C6D53E6"/>
    <w:rsid w:val="1C84256B"/>
    <w:rsid w:val="1CA34FA4"/>
    <w:rsid w:val="1CA63385"/>
    <w:rsid w:val="1CBE644C"/>
    <w:rsid w:val="1CC55646"/>
    <w:rsid w:val="1CD20CA2"/>
    <w:rsid w:val="1D045795"/>
    <w:rsid w:val="1D0755F4"/>
    <w:rsid w:val="1D0A61B0"/>
    <w:rsid w:val="1D1120F1"/>
    <w:rsid w:val="1D156A9F"/>
    <w:rsid w:val="1D232721"/>
    <w:rsid w:val="1D34511C"/>
    <w:rsid w:val="1D394389"/>
    <w:rsid w:val="1D4E5D23"/>
    <w:rsid w:val="1D655790"/>
    <w:rsid w:val="1D682B3B"/>
    <w:rsid w:val="1D6D625D"/>
    <w:rsid w:val="1D7D0D28"/>
    <w:rsid w:val="1D9808A1"/>
    <w:rsid w:val="1D9F3DBD"/>
    <w:rsid w:val="1DB87CBA"/>
    <w:rsid w:val="1DC12E8E"/>
    <w:rsid w:val="1DDB484B"/>
    <w:rsid w:val="1DF761AC"/>
    <w:rsid w:val="1DFE7BD5"/>
    <w:rsid w:val="1DFF7D6A"/>
    <w:rsid w:val="1E0B6F30"/>
    <w:rsid w:val="1E0B72AA"/>
    <w:rsid w:val="1E5374B5"/>
    <w:rsid w:val="1E7A662A"/>
    <w:rsid w:val="1EA122BE"/>
    <w:rsid w:val="1EAB72FF"/>
    <w:rsid w:val="1EC86370"/>
    <w:rsid w:val="1F0526DE"/>
    <w:rsid w:val="1F092265"/>
    <w:rsid w:val="1F187A67"/>
    <w:rsid w:val="1F5F118E"/>
    <w:rsid w:val="1F6C4A1B"/>
    <w:rsid w:val="1F9F33DF"/>
    <w:rsid w:val="1FB54DC4"/>
    <w:rsid w:val="1FD71BBB"/>
    <w:rsid w:val="2011136A"/>
    <w:rsid w:val="202F49F2"/>
    <w:rsid w:val="20376A17"/>
    <w:rsid w:val="20435328"/>
    <w:rsid w:val="20505046"/>
    <w:rsid w:val="20556606"/>
    <w:rsid w:val="207009DA"/>
    <w:rsid w:val="20935E83"/>
    <w:rsid w:val="20A52965"/>
    <w:rsid w:val="20AE73F4"/>
    <w:rsid w:val="20B42BD9"/>
    <w:rsid w:val="20BC2E50"/>
    <w:rsid w:val="20DF446B"/>
    <w:rsid w:val="20F31062"/>
    <w:rsid w:val="21090409"/>
    <w:rsid w:val="21175510"/>
    <w:rsid w:val="21542300"/>
    <w:rsid w:val="215F43C0"/>
    <w:rsid w:val="218B1A8C"/>
    <w:rsid w:val="21AB17E9"/>
    <w:rsid w:val="21BA1F4F"/>
    <w:rsid w:val="21C34F1A"/>
    <w:rsid w:val="21CE41D0"/>
    <w:rsid w:val="21CF1583"/>
    <w:rsid w:val="21FB549A"/>
    <w:rsid w:val="22147335"/>
    <w:rsid w:val="22182F0A"/>
    <w:rsid w:val="221A72AA"/>
    <w:rsid w:val="223B58B1"/>
    <w:rsid w:val="224E4677"/>
    <w:rsid w:val="225A28D5"/>
    <w:rsid w:val="22640B41"/>
    <w:rsid w:val="227E7FD9"/>
    <w:rsid w:val="22821606"/>
    <w:rsid w:val="22AF47E8"/>
    <w:rsid w:val="22C95FBF"/>
    <w:rsid w:val="22EB2C9D"/>
    <w:rsid w:val="22EE5385"/>
    <w:rsid w:val="22F93624"/>
    <w:rsid w:val="23194F56"/>
    <w:rsid w:val="231E77CA"/>
    <w:rsid w:val="23411FF9"/>
    <w:rsid w:val="235A5828"/>
    <w:rsid w:val="23733AE8"/>
    <w:rsid w:val="237B7BF0"/>
    <w:rsid w:val="23BC1286"/>
    <w:rsid w:val="23BD3A7B"/>
    <w:rsid w:val="23C018BF"/>
    <w:rsid w:val="23CE316E"/>
    <w:rsid w:val="23D2268D"/>
    <w:rsid w:val="23FA33C6"/>
    <w:rsid w:val="24091565"/>
    <w:rsid w:val="244C76BC"/>
    <w:rsid w:val="246607A8"/>
    <w:rsid w:val="24664989"/>
    <w:rsid w:val="248B3896"/>
    <w:rsid w:val="24D87B8E"/>
    <w:rsid w:val="250E43C5"/>
    <w:rsid w:val="25174CA8"/>
    <w:rsid w:val="251F76DB"/>
    <w:rsid w:val="25572C0C"/>
    <w:rsid w:val="25770400"/>
    <w:rsid w:val="25861B07"/>
    <w:rsid w:val="25C703A5"/>
    <w:rsid w:val="26050A77"/>
    <w:rsid w:val="261C7CD8"/>
    <w:rsid w:val="262312E5"/>
    <w:rsid w:val="2625345C"/>
    <w:rsid w:val="2634599B"/>
    <w:rsid w:val="263B06DB"/>
    <w:rsid w:val="26476E9C"/>
    <w:rsid w:val="268D1B70"/>
    <w:rsid w:val="26B95199"/>
    <w:rsid w:val="26C563A2"/>
    <w:rsid w:val="26D96E41"/>
    <w:rsid w:val="26F222D8"/>
    <w:rsid w:val="27027DFD"/>
    <w:rsid w:val="27213DC0"/>
    <w:rsid w:val="27280AF8"/>
    <w:rsid w:val="27295718"/>
    <w:rsid w:val="272D4CF5"/>
    <w:rsid w:val="27831B69"/>
    <w:rsid w:val="27846750"/>
    <w:rsid w:val="278C76EA"/>
    <w:rsid w:val="27B170EB"/>
    <w:rsid w:val="27B34C0D"/>
    <w:rsid w:val="27C93B2E"/>
    <w:rsid w:val="27D369CB"/>
    <w:rsid w:val="27E05223"/>
    <w:rsid w:val="28650952"/>
    <w:rsid w:val="28847104"/>
    <w:rsid w:val="2888202C"/>
    <w:rsid w:val="289E0137"/>
    <w:rsid w:val="28A67BAC"/>
    <w:rsid w:val="28B23C74"/>
    <w:rsid w:val="28DC39F3"/>
    <w:rsid w:val="28F36ADC"/>
    <w:rsid w:val="29190689"/>
    <w:rsid w:val="294649D5"/>
    <w:rsid w:val="295B40E1"/>
    <w:rsid w:val="29640927"/>
    <w:rsid w:val="298207CE"/>
    <w:rsid w:val="29920884"/>
    <w:rsid w:val="29A633E9"/>
    <w:rsid w:val="29B308FA"/>
    <w:rsid w:val="29C93ADC"/>
    <w:rsid w:val="29CC6CDD"/>
    <w:rsid w:val="29D6323A"/>
    <w:rsid w:val="29F06B48"/>
    <w:rsid w:val="29FB4F1F"/>
    <w:rsid w:val="2A0024E0"/>
    <w:rsid w:val="2A003682"/>
    <w:rsid w:val="2A0C014D"/>
    <w:rsid w:val="2A1E125D"/>
    <w:rsid w:val="2A26533D"/>
    <w:rsid w:val="2A3A584B"/>
    <w:rsid w:val="2A3D6977"/>
    <w:rsid w:val="2A4B7B51"/>
    <w:rsid w:val="2A7D3CA5"/>
    <w:rsid w:val="2A8D0D94"/>
    <w:rsid w:val="2A9A60E1"/>
    <w:rsid w:val="2AA21687"/>
    <w:rsid w:val="2AC34862"/>
    <w:rsid w:val="2ADC4CDB"/>
    <w:rsid w:val="2AF60B24"/>
    <w:rsid w:val="2B05533A"/>
    <w:rsid w:val="2B0B7B30"/>
    <w:rsid w:val="2B1B6103"/>
    <w:rsid w:val="2B1D2AD9"/>
    <w:rsid w:val="2B1E14EA"/>
    <w:rsid w:val="2B22564C"/>
    <w:rsid w:val="2B2F7853"/>
    <w:rsid w:val="2B590214"/>
    <w:rsid w:val="2BBC63FF"/>
    <w:rsid w:val="2BCF38CD"/>
    <w:rsid w:val="2BD05D30"/>
    <w:rsid w:val="2BE20962"/>
    <w:rsid w:val="2BF214A0"/>
    <w:rsid w:val="2BFD341A"/>
    <w:rsid w:val="2C31507A"/>
    <w:rsid w:val="2C407107"/>
    <w:rsid w:val="2C6F073C"/>
    <w:rsid w:val="2C7C39AF"/>
    <w:rsid w:val="2C9C4581"/>
    <w:rsid w:val="2CA84471"/>
    <w:rsid w:val="2CAB4F86"/>
    <w:rsid w:val="2CBF28BA"/>
    <w:rsid w:val="2CC2015A"/>
    <w:rsid w:val="2CCB05B9"/>
    <w:rsid w:val="2CDD4C69"/>
    <w:rsid w:val="2CE84CDE"/>
    <w:rsid w:val="2CEC20FD"/>
    <w:rsid w:val="2D2323E1"/>
    <w:rsid w:val="2D28158B"/>
    <w:rsid w:val="2D2F6370"/>
    <w:rsid w:val="2D930085"/>
    <w:rsid w:val="2D9C481B"/>
    <w:rsid w:val="2DA01E52"/>
    <w:rsid w:val="2DAE6137"/>
    <w:rsid w:val="2DB21009"/>
    <w:rsid w:val="2DD9585E"/>
    <w:rsid w:val="2DEA4C28"/>
    <w:rsid w:val="2DF91024"/>
    <w:rsid w:val="2DFE5F26"/>
    <w:rsid w:val="2E163172"/>
    <w:rsid w:val="2E232707"/>
    <w:rsid w:val="2E2B2AAB"/>
    <w:rsid w:val="2E2D4BF2"/>
    <w:rsid w:val="2E3C521E"/>
    <w:rsid w:val="2E404720"/>
    <w:rsid w:val="2E7E1F4C"/>
    <w:rsid w:val="2E8E37B6"/>
    <w:rsid w:val="2E8E7D03"/>
    <w:rsid w:val="2E9B5862"/>
    <w:rsid w:val="2EA06B29"/>
    <w:rsid w:val="2EAA6906"/>
    <w:rsid w:val="2EB037A5"/>
    <w:rsid w:val="2EBD6B35"/>
    <w:rsid w:val="2EDC7688"/>
    <w:rsid w:val="2F023D7F"/>
    <w:rsid w:val="2F063D43"/>
    <w:rsid w:val="2F076322"/>
    <w:rsid w:val="2F1838DF"/>
    <w:rsid w:val="2F1E525A"/>
    <w:rsid w:val="2F370AB1"/>
    <w:rsid w:val="2F3A309E"/>
    <w:rsid w:val="2F5C3738"/>
    <w:rsid w:val="2F7A0E5A"/>
    <w:rsid w:val="2F8B3C2B"/>
    <w:rsid w:val="2FC52139"/>
    <w:rsid w:val="2FC82209"/>
    <w:rsid w:val="2FF1660F"/>
    <w:rsid w:val="2FFC3B50"/>
    <w:rsid w:val="300E3936"/>
    <w:rsid w:val="30236861"/>
    <w:rsid w:val="30397D19"/>
    <w:rsid w:val="303C2889"/>
    <w:rsid w:val="30416DC3"/>
    <w:rsid w:val="304C05FF"/>
    <w:rsid w:val="30541B2F"/>
    <w:rsid w:val="305957A5"/>
    <w:rsid w:val="30737A75"/>
    <w:rsid w:val="30840615"/>
    <w:rsid w:val="30B4489B"/>
    <w:rsid w:val="30B518F6"/>
    <w:rsid w:val="30C12367"/>
    <w:rsid w:val="30EB64C3"/>
    <w:rsid w:val="30EF57E0"/>
    <w:rsid w:val="30F96665"/>
    <w:rsid w:val="30FE1815"/>
    <w:rsid w:val="31102393"/>
    <w:rsid w:val="311508BF"/>
    <w:rsid w:val="31254604"/>
    <w:rsid w:val="31515F68"/>
    <w:rsid w:val="31914C8E"/>
    <w:rsid w:val="31994A6D"/>
    <w:rsid w:val="31CC713F"/>
    <w:rsid w:val="31D77000"/>
    <w:rsid w:val="32057A41"/>
    <w:rsid w:val="322B22F1"/>
    <w:rsid w:val="32340F83"/>
    <w:rsid w:val="32363BBA"/>
    <w:rsid w:val="3237077C"/>
    <w:rsid w:val="32484A73"/>
    <w:rsid w:val="324D2EB8"/>
    <w:rsid w:val="325449AF"/>
    <w:rsid w:val="325877BC"/>
    <w:rsid w:val="325D0E9B"/>
    <w:rsid w:val="325E2D50"/>
    <w:rsid w:val="329945B6"/>
    <w:rsid w:val="32BD71B4"/>
    <w:rsid w:val="32C04011"/>
    <w:rsid w:val="32C31D61"/>
    <w:rsid w:val="32CC369B"/>
    <w:rsid w:val="32E66B88"/>
    <w:rsid w:val="32EC4D69"/>
    <w:rsid w:val="330077F5"/>
    <w:rsid w:val="33083699"/>
    <w:rsid w:val="330A1F4A"/>
    <w:rsid w:val="331849E6"/>
    <w:rsid w:val="331C3542"/>
    <w:rsid w:val="331F1125"/>
    <w:rsid w:val="336A2764"/>
    <w:rsid w:val="33754D83"/>
    <w:rsid w:val="33791520"/>
    <w:rsid w:val="337A7B82"/>
    <w:rsid w:val="33941D42"/>
    <w:rsid w:val="33976ABE"/>
    <w:rsid w:val="33A72E89"/>
    <w:rsid w:val="33B60818"/>
    <w:rsid w:val="33C5278B"/>
    <w:rsid w:val="33DE0CE7"/>
    <w:rsid w:val="33E46392"/>
    <w:rsid w:val="33F5462B"/>
    <w:rsid w:val="341F4EF7"/>
    <w:rsid w:val="34211056"/>
    <w:rsid w:val="342353DC"/>
    <w:rsid w:val="342A06AA"/>
    <w:rsid w:val="342A1040"/>
    <w:rsid w:val="34330EAF"/>
    <w:rsid w:val="343B3AE1"/>
    <w:rsid w:val="344A7A05"/>
    <w:rsid w:val="34587F6B"/>
    <w:rsid w:val="345E2D42"/>
    <w:rsid w:val="34722339"/>
    <w:rsid w:val="34733466"/>
    <w:rsid w:val="347D4F43"/>
    <w:rsid w:val="34834D44"/>
    <w:rsid w:val="349B1C67"/>
    <w:rsid w:val="34A56AB2"/>
    <w:rsid w:val="34C32704"/>
    <w:rsid w:val="34C6389F"/>
    <w:rsid w:val="3505772D"/>
    <w:rsid w:val="351433F5"/>
    <w:rsid w:val="35151DB2"/>
    <w:rsid w:val="354536F9"/>
    <w:rsid w:val="35481869"/>
    <w:rsid w:val="35525285"/>
    <w:rsid w:val="35547FCD"/>
    <w:rsid w:val="355E18A5"/>
    <w:rsid w:val="35741F18"/>
    <w:rsid w:val="359555CA"/>
    <w:rsid w:val="35BC6866"/>
    <w:rsid w:val="35E46128"/>
    <w:rsid w:val="35F0165B"/>
    <w:rsid w:val="35FD5539"/>
    <w:rsid w:val="36046068"/>
    <w:rsid w:val="36154B59"/>
    <w:rsid w:val="36190CB8"/>
    <w:rsid w:val="36193860"/>
    <w:rsid w:val="3622557C"/>
    <w:rsid w:val="362B6782"/>
    <w:rsid w:val="363609A9"/>
    <w:rsid w:val="36675654"/>
    <w:rsid w:val="366A3695"/>
    <w:rsid w:val="366B366E"/>
    <w:rsid w:val="36753828"/>
    <w:rsid w:val="36A931EC"/>
    <w:rsid w:val="36B34940"/>
    <w:rsid w:val="36BA61F9"/>
    <w:rsid w:val="36C142B1"/>
    <w:rsid w:val="36C22B71"/>
    <w:rsid w:val="36E7306B"/>
    <w:rsid w:val="36F507A9"/>
    <w:rsid w:val="36F74059"/>
    <w:rsid w:val="36F80D83"/>
    <w:rsid w:val="370450E7"/>
    <w:rsid w:val="37333BEF"/>
    <w:rsid w:val="373B66D6"/>
    <w:rsid w:val="374656E2"/>
    <w:rsid w:val="3765686E"/>
    <w:rsid w:val="37AA5C1D"/>
    <w:rsid w:val="37BB4DC0"/>
    <w:rsid w:val="37C757BE"/>
    <w:rsid w:val="37E04BA5"/>
    <w:rsid w:val="37E22DB7"/>
    <w:rsid w:val="37FA62B6"/>
    <w:rsid w:val="382A4EDB"/>
    <w:rsid w:val="382F473F"/>
    <w:rsid w:val="383A34DB"/>
    <w:rsid w:val="389637BA"/>
    <w:rsid w:val="389915EA"/>
    <w:rsid w:val="38FF585D"/>
    <w:rsid w:val="39051698"/>
    <w:rsid w:val="391F0D04"/>
    <w:rsid w:val="392033B1"/>
    <w:rsid w:val="39380466"/>
    <w:rsid w:val="39435B49"/>
    <w:rsid w:val="39541E27"/>
    <w:rsid w:val="397468FD"/>
    <w:rsid w:val="397B001E"/>
    <w:rsid w:val="397C445D"/>
    <w:rsid w:val="399C2BA6"/>
    <w:rsid w:val="39C03363"/>
    <w:rsid w:val="39DE1C38"/>
    <w:rsid w:val="39DF2156"/>
    <w:rsid w:val="39EB784A"/>
    <w:rsid w:val="39EC69BD"/>
    <w:rsid w:val="3A074A97"/>
    <w:rsid w:val="3A201DCB"/>
    <w:rsid w:val="3A321B22"/>
    <w:rsid w:val="3A3C3FAC"/>
    <w:rsid w:val="3A6A3483"/>
    <w:rsid w:val="3A736507"/>
    <w:rsid w:val="3A756CCA"/>
    <w:rsid w:val="3A890307"/>
    <w:rsid w:val="3AF46441"/>
    <w:rsid w:val="3AF573FE"/>
    <w:rsid w:val="3AFC7F3A"/>
    <w:rsid w:val="3B0069FA"/>
    <w:rsid w:val="3B411C20"/>
    <w:rsid w:val="3B49673B"/>
    <w:rsid w:val="3B54230F"/>
    <w:rsid w:val="3B597B9E"/>
    <w:rsid w:val="3B8F5BEB"/>
    <w:rsid w:val="3B9D0A78"/>
    <w:rsid w:val="3BA06371"/>
    <w:rsid w:val="3BA432FC"/>
    <w:rsid w:val="3BBA40AC"/>
    <w:rsid w:val="3BFC12A9"/>
    <w:rsid w:val="3C014AE3"/>
    <w:rsid w:val="3C193885"/>
    <w:rsid w:val="3C214DF0"/>
    <w:rsid w:val="3C3914C7"/>
    <w:rsid w:val="3C410F4A"/>
    <w:rsid w:val="3C703778"/>
    <w:rsid w:val="3C842EEF"/>
    <w:rsid w:val="3CD4717E"/>
    <w:rsid w:val="3CD56D64"/>
    <w:rsid w:val="3CE0503F"/>
    <w:rsid w:val="3CF77CBB"/>
    <w:rsid w:val="3D01188D"/>
    <w:rsid w:val="3D0955C6"/>
    <w:rsid w:val="3D0A4DC0"/>
    <w:rsid w:val="3D1115F8"/>
    <w:rsid w:val="3D120C23"/>
    <w:rsid w:val="3D3B3DAB"/>
    <w:rsid w:val="3D3F1A66"/>
    <w:rsid w:val="3D421FCB"/>
    <w:rsid w:val="3D531924"/>
    <w:rsid w:val="3D71385B"/>
    <w:rsid w:val="3D8B524A"/>
    <w:rsid w:val="3DA86568"/>
    <w:rsid w:val="3DBB67A5"/>
    <w:rsid w:val="3E0A6FA6"/>
    <w:rsid w:val="3E101A43"/>
    <w:rsid w:val="3E2A64E1"/>
    <w:rsid w:val="3E2F62CC"/>
    <w:rsid w:val="3E48680B"/>
    <w:rsid w:val="3E54585D"/>
    <w:rsid w:val="3E5B1AD8"/>
    <w:rsid w:val="3E82190B"/>
    <w:rsid w:val="3E906397"/>
    <w:rsid w:val="3EB11BDC"/>
    <w:rsid w:val="3EC00F3B"/>
    <w:rsid w:val="3EC07437"/>
    <w:rsid w:val="3EF36FB7"/>
    <w:rsid w:val="3EFD1F55"/>
    <w:rsid w:val="3F0B1C79"/>
    <w:rsid w:val="3F176754"/>
    <w:rsid w:val="3F1A5F26"/>
    <w:rsid w:val="3F323857"/>
    <w:rsid w:val="3F5300C5"/>
    <w:rsid w:val="3F6F7973"/>
    <w:rsid w:val="3F7228ED"/>
    <w:rsid w:val="3FA51634"/>
    <w:rsid w:val="3FA9357B"/>
    <w:rsid w:val="3FB2681C"/>
    <w:rsid w:val="3FD12631"/>
    <w:rsid w:val="3FF57550"/>
    <w:rsid w:val="4002577E"/>
    <w:rsid w:val="40160FBA"/>
    <w:rsid w:val="40227BEF"/>
    <w:rsid w:val="40266A53"/>
    <w:rsid w:val="4044068B"/>
    <w:rsid w:val="404D6CFC"/>
    <w:rsid w:val="40571D08"/>
    <w:rsid w:val="407B0764"/>
    <w:rsid w:val="40AA60A0"/>
    <w:rsid w:val="40D47BA5"/>
    <w:rsid w:val="40E157AA"/>
    <w:rsid w:val="40E82E60"/>
    <w:rsid w:val="413B5305"/>
    <w:rsid w:val="41526990"/>
    <w:rsid w:val="415B4149"/>
    <w:rsid w:val="41646619"/>
    <w:rsid w:val="41BB7DC2"/>
    <w:rsid w:val="41DE14EE"/>
    <w:rsid w:val="42067B5D"/>
    <w:rsid w:val="42447EE6"/>
    <w:rsid w:val="424C48A7"/>
    <w:rsid w:val="42753C75"/>
    <w:rsid w:val="427E6758"/>
    <w:rsid w:val="42906919"/>
    <w:rsid w:val="42B66367"/>
    <w:rsid w:val="42C46EBE"/>
    <w:rsid w:val="42C75A1D"/>
    <w:rsid w:val="42DD56BD"/>
    <w:rsid w:val="42E249E6"/>
    <w:rsid w:val="42E24F9E"/>
    <w:rsid w:val="43435656"/>
    <w:rsid w:val="435834CE"/>
    <w:rsid w:val="43675B85"/>
    <w:rsid w:val="43763C56"/>
    <w:rsid w:val="438A77ED"/>
    <w:rsid w:val="439366D7"/>
    <w:rsid w:val="439D4EF8"/>
    <w:rsid w:val="44006EEA"/>
    <w:rsid w:val="441E20A9"/>
    <w:rsid w:val="441F7EFA"/>
    <w:rsid w:val="44545260"/>
    <w:rsid w:val="44670D9B"/>
    <w:rsid w:val="446B28C6"/>
    <w:rsid w:val="446F0B47"/>
    <w:rsid w:val="44700643"/>
    <w:rsid w:val="448A4E06"/>
    <w:rsid w:val="44C82A7D"/>
    <w:rsid w:val="44FB5D36"/>
    <w:rsid w:val="45046E04"/>
    <w:rsid w:val="45090E12"/>
    <w:rsid w:val="450E79F0"/>
    <w:rsid w:val="45807DDB"/>
    <w:rsid w:val="459820BA"/>
    <w:rsid w:val="459A32E8"/>
    <w:rsid w:val="45A06B98"/>
    <w:rsid w:val="45AB50A5"/>
    <w:rsid w:val="45D373A9"/>
    <w:rsid w:val="45D63403"/>
    <w:rsid w:val="45EE53DA"/>
    <w:rsid w:val="45FE10A4"/>
    <w:rsid w:val="46021087"/>
    <w:rsid w:val="461362BE"/>
    <w:rsid w:val="46342C04"/>
    <w:rsid w:val="46495486"/>
    <w:rsid w:val="464E7A4D"/>
    <w:rsid w:val="464F0F77"/>
    <w:rsid w:val="46542BA0"/>
    <w:rsid w:val="46564F22"/>
    <w:rsid w:val="4668606F"/>
    <w:rsid w:val="46A37C6B"/>
    <w:rsid w:val="46C27B2A"/>
    <w:rsid w:val="46DC15DF"/>
    <w:rsid w:val="46E20826"/>
    <w:rsid w:val="46FF4353"/>
    <w:rsid w:val="471A1A6F"/>
    <w:rsid w:val="47230CBC"/>
    <w:rsid w:val="47266CA8"/>
    <w:rsid w:val="472B5ED1"/>
    <w:rsid w:val="47434813"/>
    <w:rsid w:val="474A2163"/>
    <w:rsid w:val="475F2BB7"/>
    <w:rsid w:val="47960FBC"/>
    <w:rsid w:val="479723B6"/>
    <w:rsid w:val="47BC59FE"/>
    <w:rsid w:val="47C725C6"/>
    <w:rsid w:val="47D84D73"/>
    <w:rsid w:val="47FC1E98"/>
    <w:rsid w:val="48144B3D"/>
    <w:rsid w:val="482D0102"/>
    <w:rsid w:val="48351F56"/>
    <w:rsid w:val="483D0B86"/>
    <w:rsid w:val="485266A8"/>
    <w:rsid w:val="485603D8"/>
    <w:rsid w:val="48632766"/>
    <w:rsid w:val="486A52FD"/>
    <w:rsid w:val="48920788"/>
    <w:rsid w:val="489B784A"/>
    <w:rsid w:val="48A5769D"/>
    <w:rsid w:val="48AC66F8"/>
    <w:rsid w:val="48B0446D"/>
    <w:rsid w:val="48BC5D62"/>
    <w:rsid w:val="48CA05FD"/>
    <w:rsid w:val="48CD5234"/>
    <w:rsid w:val="48F027BA"/>
    <w:rsid w:val="49026D89"/>
    <w:rsid w:val="4988746F"/>
    <w:rsid w:val="49B556DD"/>
    <w:rsid w:val="49B6655D"/>
    <w:rsid w:val="49C4751E"/>
    <w:rsid w:val="49CB6709"/>
    <w:rsid w:val="49D202AC"/>
    <w:rsid w:val="49D22587"/>
    <w:rsid w:val="49E1794D"/>
    <w:rsid w:val="49E866B5"/>
    <w:rsid w:val="4A221FA7"/>
    <w:rsid w:val="4A26123E"/>
    <w:rsid w:val="4A575F8B"/>
    <w:rsid w:val="4A6304F1"/>
    <w:rsid w:val="4A935C9C"/>
    <w:rsid w:val="4A9E25AC"/>
    <w:rsid w:val="4ACF0887"/>
    <w:rsid w:val="4AD17B63"/>
    <w:rsid w:val="4AFC69F8"/>
    <w:rsid w:val="4B1F2F97"/>
    <w:rsid w:val="4B202F34"/>
    <w:rsid w:val="4B2C3E25"/>
    <w:rsid w:val="4B367E70"/>
    <w:rsid w:val="4B426D36"/>
    <w:rsid w:val="4B497796"/>
    <w:rsid w:val="4B9F5457"/>
    <w:rsid w:val="4BA741A7"/>
    <w:rsid w:val="4BF0496E"/>
    <w:rsid w:val="4C1F0728"/>
    <w:rsid w:val="4C1F38D9"/>
    <w:rsid w:val="4C20238F"/>
    <w:rsid w:val="4C4975D2"/>
    <w:rsid w:val="4C566549"/>
    <w:rsid w:val="4C621723"/>
    <w:rsid w:val="4C632709"/>
    <w:rsid w:val="4C7C1CC3"/>
    <w:rsid w:val="4CC90C2F"/>
    <w:rsid w:val="4CD568F4"/>
    <w:rsid w:val="4D0A548B"/>
    <w:rsid w:val="4D353E83"/>
    <w:rsid w:val="4D3C1BFB"/>
    <w:rsid w:val="4D514C98"/>
    <w:rsid w:val="4D6936C2"/>
    <w:rsid w:val="4D7352D2"/>
    <w:rsid w:val="4D916644"/>
    <w:rsid w:val="4D96121E"/>
    <w:rsid w:val="4DAF1D4E"/>
    <w:rsid w:val="4DB27D16"/>
    <w:rsid w:val="4DDD2D52"/>
    <w:rsid w:val="4DED206D"/>
    <w:rsid w:val="4E1817BB"/>
    <w:rsid w:val="4E216BDF"/>
    <w:rsid w:val="4E5E6689"/>
    <w:rsid w:val="4E753642"/>
    <w:rsid w:val="4E845B37"/>
    <w:rsid w:val="4EC24DA5"/>
    <w:rsid w:val="4EC40703"/>
    <w:rsid w:val="4ED82BAC"/>
    <w:rsid w:val="4EDC74C9"/>
    <w:rsid w:val="4EDE1B3C"/>
    <w:rsid w:val="4EFC0BF0"/>
    <w:rsid w:val="4F345119"/>
    <w:rsid w:val="4F3E2F21"/>
    <w:rsid w:val="4F4F4C29"/>
    <w:rsid w:val="4F522F8D"/>
    <w:rsid w:val="4F6931CD"/>
    <w:rsid w:val="4F6B170B"/>
    <w:rsid w:val="4F81295B"/>
    <w:rsid w:val="4F9850C6"/>
    <w:rsid w:val="4F993F00"/>
    <w:rsid w:val="4F9B3399"/>
    <w:rsid w:val="4FBD7C77"/>
    <w:rsid w:val="4FDA1FEB"/>
    <w:rsid w:val="4FFB7B42"/>
    <w:rsid w:val="500C66F8"/>
    <w:rsid w:val="502E4B4A"/>
    <w:rsid w:val="50547330"/>
    <w:rsid w:val="505C19DD"/>
    <w:rsid w:val="506E1575"/>
    <w:rsid w:val="50971561"/>
    <w:rsid w:val="50A72A40"/>
    <w:rsid w:val="50C91F90"/>
    <w:rsid w:val="5100370B"/>
    <w:rsid w:val="51302C2F"/>
    <w:rsid w:val="51354015"/>
    <w:rsid w:val="51406172"/>
    <w:rsid w:val="51522B9C"/>
    <w:rsid w:val="516B1143"/>
    <w:rsid w:val="517A5A4C"/>
    <w:rsid w:val="518B0541"/>
    <w:rsid w:val="519A2269"/>
    <w:rsid w:val="51B7003C"/>
    <w:rsid w:val="51BC5C5E"/>
    <w:rsid w:val="51C562E4"/>
    <w:rsid w:val="51D44AB7"/>
    <w:rsid w:val="51F348C7"/>
    <w:rsid w:val="51F50C90"/>
    <w:rsid w:val="5212281D"/>
    <w:rsid w:val="5229101D"/>
    <w:rsid w:val="52293430"/>
    <w:rsid w:val="52315816"/>
    <w:rsid w:val="52511202"/>
    <w:rsid w:val="525316EB"/>
    <w:rsid w:val="52535FD9"/>
    <w:rsid w:val="529E3E74"/>
    <w:rsid w:val="52C22485"/>
    <w:rsid w:val="52D54673"/>
    <w:rsid w:val="52D95543"/>
    <w:rsid w:val="530B2B8A"/>
    <w:rsid w:val="531D3E0E"/>
    <w:rsid w:val="531E4E78"/>
    <w:rsid w:val="53704A9A"/>
    <w:rsid w:val="53827915"/>
    <w:rsid w:val="53866219"/>
    <w:rsid w:val="53B176F7"/>
    <w:rsid w:val="53B36F3A"/>
    <w:rsid w:val="53C66EA0"/>
    <w:rsid w:val="53DC1EC1"/>
    <w:rsid w:val="53E63C5C"/>
    <w:rsid w:val="54306D23"/>
    <w:rsid w:val="543F01ED"/>
    <w:rsid w:val="545A3D6C"/>
    <w:rsid w:val="546B76AA"/>
    <w:rsid w:val="54A048FB"/>
    <w:rsid w:val="54C14E78"/>
    <w:rsid w:val="54C41C5F"/>
    <w:rsid w:val="54EA3BE9"/>
    <w:rsid w:val="54F54166"/>
    <w:rsid w:val="550521EF"/>
    <w:rsid w:val="550725BC"/>
    <w:rsid w:val="550A1FB0"/>
    <w:rsid w:val="5517528D"/>
    <w:rsid w:val="551E2BFC"/>
    <w:rsid w:val="55472970"/>
    <w:rsid w:val="554B76E1"/>
    <w:rsid w:val="554D0141"/>
    <w:rsid w:val="555936AB"/>
    <w:rsid w:val="555A6EDA"/>
    <w:rsid w:val="555D41E7"/>
    <w:rsid w:val="55612EB6"/>
    <w:rsid w:val="55661FFA"/>
    <w:rsid w:val="559210F4"/>
    <w:rsid w:val="55A02D59"/>
    <w:rsid w:val="55B72091"/>
    <w:rsid w:val="55BA5661"/>
    <w:rsid w:val="55C01AA5"/>
    <w:rsid w:val="55CA28D1"/>
    <w:rsid w:val="55DB4574"/>
    <w:rsid w:val="55EF6F36"/>
    <w:rsid w:val="55F0796C"/>
    <w:rsid w:val="56054FCD"/>
    <w:rsid w:val="56142485"/>
    <w:rsid w:val="561F39DE"/>
    <w:rsid w:val="56427734"/>
    <w:rsid w:val="56663B90"/>
    <w:rsid w:val="566A372F"/>
    <w:rsid w:val="56950611"/>
    <w:rsid w:val="56AC30BB"/>
    <w:rsid w:val="56CC37C1"/>
    <w:rsid w:val="56E76ADA"/>
    <w:rsid w:val="56F81B69"/>
    <w:rsid w:val="56FE6742"/>
    <w:rsid w:val="571D4215"/>
    <w:rsid w:val="57356303"/>
    <w:rsid w:val="574B2A7F"/>
    <w:rsid w:val="574C5C26"/>
    <w:rsid w:val="57533409"/>
    <w:rsid w:val="575F16CC"/>
    <w:rsid w:val="57606737"/>
    <w:rsid w:val="5761243B"/>
    <w:rsid w:val="57764746"/>
    <w:rsid w:val="577F45DA"/>
    <w:rsid w:val="57934B68"/>
    <w:rsid w:val="579E0130"/>
    <w:rsid w:val="57AE0F5A"/>
    <w:rsid w:val="57B64C4E"/>
    <w:rsid w:val="57C95196"/>
    <w:rsid w:val="57CC7B26"/>
    <w:rsid w:val="57FA69A7"/>
    <w:rsid w:val="58256EB8"/>
    <w:rsid w:val="582B4167"/>
    <w:rsid w:val="582D09E6"/>
    <w:rsid w:val="585D5DE6"/>
    <w:rsid w:val="585E1C7F"/>
    <w:rsid w:val="58624DC2"/>
    <w:rsid w:val="587420E9"/>
    <w:rsid w:val="58A47D5D"/>
    <w:rsid w:val="58D22E95"/>
    <w:rsid w:val="58E609EF"/>
    <w:rsid w:val="58ED1BEE"/>
    <w:rsid w:val="590E6527"/>
    <w:rsid w:val="591A4CBA"/>
    <w:rsid w:val="5936338E"/>
    <w:rsid w:val="593D0F80"/>
    <w:rsid w:val="59476D17"/>
    <w:rsid w:val="594E083F"/>
    <w:rsid w:val="595E77C1"/>
    <w:rsid w:val="5960395E"/>
    <w:rsid w:val="59730C7E"/>
    <w:rsid w:val="597B1EE4"/>
    <w:rsid w:val="5983090C"/>
    <w:rsid w:val="59965CDC"/>
    <w:rsid w:val="599B0382"/>
    <w:rsid w:val="59B80A8E"/>
    <w:rsid w:val="59D17A02"/>
    <w:rsid w:val="59D6073E"/>
    <w:rsid w:val="59F5279B"/>
    <w:rsid w:val="5A1674EA"/>
    <w:rsid w:val="5A3E7AC8"/>
    <w:rsid w:val="5A5D0452"/>
    <w:rsid w:val="5A7E79C3"/>
    <w:rsid w:val="5A895053"/>
    <w:rsid w:val="5A930C57"/>
    <w:rsid w:val="5AAD1F78"/>
    <w:rsid w:val="5AAF53B8"/>
    <w:rsid w:val="5ABC4E86"/>
    <w:rsid w:val="5AD85F72"/>
    <w:rsid w:val="5AEE1556"/>
    <w:rsid w:val="5AF75875"/>
    <w:rsid w:val="5B1E7D62"/>
    <w:rsid w:val="5B1F41A1"/>
    <w:rsid w:val="5B200DC1"/>
    <w:rsid w:val="5B2218C1"/>
    <w:rsid w:val="5B33202B"/>
    <w:rsid w:val="5B34597D"/>
    <w:rsid w:val="5B4918CF"/>
    <w:rsid w:val="5B4B31A4"/>
    <w:rsid w:val="5B5832C9"/>
    <w:rsid w:val="5B6353CB"/>
    <w:rsid w:val="5B7B6B21"/>
    <w:rsid w:val="5B801241"/>
    <w:rsid w:val="5B8018F6"/>
    <w:rsid w:val="5B83190D"/>
    <w:rsid w:val="5B932B40"/>
    <w:rsid w:val="5BA62A1F"/>
    <w:rsid w:val="5BA802E6"/>
    <w:rsid w:val="5BA82BDB"/>
    <w:rsid w:val="5BBD03CF"/>
    <w:rsid w:val="5BDA0763"/>
    <w:rsid w:val="5BE30FFA"/>
    <w:rsid w:val="5BEC5075"/>
    <w:rsid w:val="5BF4563C"/>
    <w:rsid w:val="5C2E4120"/>
    <w:rsid w:val="5C570275"/>
    <w:rsid w:val="5C7F3F1B"/>
    <w:rsid w:val="5C9D7384"/>
    <w:rsid w:val="5C9F1A92"/>
    <w:rsid w:val="5CA2500E"/>
    <w:rsid w:val="5CCB1182"/>
    <w:rsid w:val="5CDF0070"/>
    <w:rsid w:val="5CEB767E"/>
    <w:rsid w:val="5CF71202"/>
    <w:rsid w:val="5D0964D7"/>
    <w:rsid w:val="5D2E0BF8"/>
    <w:rsid w:val="5D3F14BF"/>
    <w:rsid w:val="5D4034D2"/>
    <w:rsid w:val="5D5A11C2"/>
    <w:rsid w:val="5D5D2EDF"/>
    <w:rsid w:val="5D6002B5"/>
    <w:rsid w:val="5D661808"/>
    <w:rsid w:val="5D793384"/>
    <w:rsid w:val="5D891AC2"/>
    <w:rsid w:val="5DC36399"/>
    <w:rsid w:val="5DCF54EC"/>
    <w:rsid w:val="5DDC6A66"/>
    <w:rsid w:val="5DE4298A"/>
    <w:rsid w:val="5E0F2B56"/>
    <w:rsid w:val="5E43241E"/>
    <w:rsid w:val="5E4E1178"/>
    <w:rsid w:val="5E66523B"/>
    <w:rsid w:val="5E923AC8"/>
    <w:rsid w:val="5EC77690"/>
    <w:rsid w:val="5EF43BE5"/>
    <w:rsid w:val="5F1A42AA"/>
    <w:rsid w:val="5F1E3246"/>
    <w:rsid w:val="5F3D656A"/>
    <w:rsid w:val="5F456B68"/>
    <w:rsid w:val="5F625898"/>
    <w:rsid w:val="5F661745"/>
    <w:rsid w:val="5F951CFA"/>
    <w:rsid w:val="5FBE6807"/>
    <w:rsid w:val="5FC074F4"/>
    <w:rsid w:val="5FDE6BB8"/>
    <w:rsid w:val="5FF6387D"/>
    <w:rsid w:val="601D60B7"/>
    <w:rsid w:val="602949F4"/>
    <w:rsid w:val="607C62A2"/>
    <w:rsid w:val="607D48E4"/>
    <w:rsid w:val="60902B35"/>
    <w:rsid w:val="60974488"/>
    <w:rsid w:val="60A55032"/>
    <w:rsid w:val="60AC15B7"/>
    <w:rsid w:val="60AD3913"/>
    <w:rsid w:val="60C73E66"/>
    <w:rsid w:val="60CF1EED"/>
    <w:rsid w:val="612E45E5"/>
    <w:rsid w:val="61303A73"/>
    <w:rsid w:val="6132748F"/>
    <w:rsid w:val="61393F2B"/>
    <w:rsid w:val="61510A02"/>
    <w:rsid w:val="61514877"/>
    <w:rsid w:val="61532DB6"/>
    <w:rsid w:val="61535D48"/>
    <w:rsid w:val="615B6DF2"/>
    <w:rsid w:val="615E766F"/>
    <w:rsid w:val="61747165"/>
    <w:rsid w:val="618A56C6"/>
    <w:rsid w:val="61B343C9"/>
    <w:rsid w:val="61E71956"/>
    <w:rsid w:val="61E83CC0"/>
    <w:rsid w:val="61F7580C"/>
    <w:rsid w:val="61F93D00"/>
    <w:rsid w:val="61FE7B71"/>
    <w:rsid w:val="62034C40"/>
    <w:rsid w:val="62117E71"/>
    <w:rsid w:val="621A1760"/>
    <w:rsid w:val="6226258E"/>
    <w:rsid w:val="623062A0"/>
    <w:rsid w:val="625F0891"/>
    <w:rsid w:val="627D303B"/>
    <w:rsid w:val="62AD25EE"/>
    <w:rsid w:val="62C91A52"/>
    <w:rsid w:val="62D473A6"/>
    <w:rsid w:val="62FE75A9"/>
    <w:rsid w:val="631A65C7"/>
    <w:rsid w:val="632E64AB"/>
    <w:rsid w:val="633A7AE6"/>
    <w:rsid w:val="635A40AF"/>
    <w:rsid w:val="638866D0"/>
    <w:rsid w:val="63A0413C"/>
    <w:rsid w:val="63C11092"/>
    <w:rsid w:val="63FF749B"/>
    <w:rsid w:val="64001EFF"/>
    <w:rsid w:val="642809CB"/>
    <w:rsid w:val="6430790B"/>
    <w:rsid w:val="6438525F"/>
    <w:rsid w:val="643C3D35"/>
    <w:rsid w:val="64573C41"/>
    <w:rsid w:val="64581506"/>
    <w:rsid w:val="646A6B41"/>
    <w:rsid w:val="646B3F37"/>
    <w:rsid w:val="64A41AEB"/>
    <w:rsid w:val="64AA7F0A"/>
    <w:rsid w:val="64B04103"/>
    <w:rsid w:val="64BA77B9"/>
    <w:rsid w:val="64DF4ECE"/>
    <w:rsid w:val="64DF54C0"/>
    <w:rsid w:val="64F27ABC"/>
    <w:rsid w:val="650B0B5E"/>
    <w:rsid w:val="651D6B1A"/>
    <w:rsid w:val="65876665"/>
    <w:rsid w:val="659C237C"/>
    <w:rsid w:val="65A04234"/>
    <w:rsid w:val="65AA6FA4"/>
    <w:rsid w:val="65B315F9"/>
    <w:rsid w:val="65B9668D"/>
    <w:rsid w:val="65BB2A47"/>
    <w:rsid w:val="65BE4CF4"/>
    <w:rsid w:val="65C32EDF"/>
    <w:rsid w:val="65E25329"/>
    <w:rsid w:val="65E45564"/>
    <w:rsid w:val="65FA5E96"/>
    <w:rsid w:val="660A4334"/>
    <w:rsid w:val="662616A6"/>
    <w:rsid w:val="66272DE1"/>
    <w:rsid w:val="663B101B"/>
    <w:rsid w:val="664B2A31"/>
    <w:rsid w:val="66C67037"/>
    <w:rsid w:val="66CA2D58"/>
    <w:rsid w:val="67000CC4"/>
    <w:rsid w:val="671E62D1"/>
    <w:rsid w:val="67236732"/>
    <w:rsid w:val="67271ECA"/>
    <w:rsid w:val="67346192"/>
    <w:rsid w:val="67603B4E"/>
    <w:rsid w:val="67805538"/>
    <w:rsid w:val="678E3890"/>
    <w:rsid w:val="679154A7"/>
    <w:rsid w:val="679529FF"/>
    <w:rsid w:val="67A32F1D"/>
    <w:rsid w:val="67CA62CC"/>
    <w:rsid w:val="67D05188"/>
    <w:rsid w:val="67E0573D"/>
    <w:rsid w:val="67ED1C8B"/>
    <w:rsid w:val="68257ABE"/>
    <w:rsid w:val="683806E1"/>
    <w:rsid w:val="683A0845"/>
    <w:rsid w:val="684C6D82"/>
    <w:rsid w:val="687A7558"/>
    <w:rsid w:val="68910273"/>
    <w:rsid w:val="689543AB"/>
    <w:rsid w:val="689768B0"/>
    <w:rsid w:val="689A51D3"/>
    <w:rsid w:val="689E4351"/>
    <w:rsid w:val="689E675B"/>
    <w:rsid w:val="68DD7998"/>
    <w:rsid w:val="68E36490"/>
    <w:rsid w:val="68EC631A"/>
    <w:rsid w:val="68F07AD8"/>
    <w:rsid w:val="68F759D7"/>
    <w:rsid w:val="69064E1F"/>
    <w:rsid w:val="693A4844"/>
    <w:rsid w:val="6963464C"/>
    <w:rsid w:val="69636C5C"/>
    <w:rsid w:val="6979600B"/>
    <w:rsid w:val="69C73A5E"/>
    <w:rsid w:val="69EE748C"/>
    <w:rsid w:val="69F43D6B"/>
    <w:rsid w:val="6A0D1E19"/>
    <w:rsid w:val="6A3A26DD"/>
    <w:rsid w:val="6A431624"/>
    <w:rsid w:val="6A54447F"/>
    <w:rsid w:val="6A6C04DE"/>
    <w:rsid w:val="6A7A2EB7"/>
    <w:rsid w:val="6A8144CA"/>
    <w:rsid w:val="6A8428CF"/>
    <w:rsid w:val="6AAE4EA1"/>
    <w:rsid w:val="6AB3342D"/>
    <w:rsid w:val="6AB57680"/>
    <w:rsid w:val="6ABC61BC"/>
    <w:rsid w:val="6ABE7D91"/>
    <w:rsid w:val="6ADA5513"/>
    <w:rsid w:val="6AF57F99"/>
    <w:rsid w:val="6B0735B9"/>
    <w:rsid w:val="6B1A7D38"/>
    <w:rsid w:val="6B464A26"/>
    <w:rsid w:val="6B587B00"/>
    <w:rsid w:val="6B933251"/>
    <w:rsid w:val="6BB979F3"/>
    <w:rsid w:val="6BC75356"/>
    <w:rsid w:val="6BE433C5"/>
    <w:rsid w:val="6BF03BA1"/>
    <w:rsid w:val="6BF65C3A"/>
    <w:rsid w:val="6BF900F6"/>
    <w:rsid w:val="6BFC570F"/>
    <w:rsid w:val="6C0E30E3"/>
    <w:rsid w:val="6C1A0485"/>
    <w:rsid w:val="6C4003DC"/>
    <w:rsid w:val="6C496A7C"/>
    <w:rsid w:val="6C4B2C8B"/>
    <w:rsid w:val="6C5E780A"/>
    <w:rsid w:val="6C685F56"/>
    <w:rsid w:val="6C747623"/>
    <w:rsid w:val="6C772B2A"/>
    <w:rsid w:val="6CD60470"/>
    <w:rsid w:val="6CD607A0"/>
    <w:rsid w:val="6CDE49BA"/>
    <w:rsid w:val="6CE30CF7"/>
    <w:rsid w:val="6CF81051"/>
    <w:rsid w:val="6D2E0420"/>
    <w:rsid w:val="6D301FF3"/>
    <w:rsid w:val="6D3314B0"/>
    <w:rsid w:val="6D446631"/>
    <w:rsid w:val="6D5C193C"/>
    <w:rsid w:val="6D5C2DD9"/>
    <w:rsid w:val="6D7906DB"/>
    <w:rsid w:val="6DB34768"/>
    <w:rsid w:val="6DBF0137"/>
    <w:rsid w:val="6DBF37F2"/>
    <w:rsid w:val="6DC55F99"/>
    <w:rsid w:val="6DD741CC"/>
    <w:rsid w:val="6E012EA8"/>
    <w:rsid w:val="6E1E695E"/>
    <w:rsid w:val="6E1F179E"/>
    <w:rsid w:val="6E4758DE"/>
    <w:rsid w:val="6E6803C8"/>
    <w:rsid w:val="6E6F0818"/>
    <w:rsid w:val="6E820E47"/>
    <w:rsid w:val="6E890F27"/>
    <w:rsid w:val="6E8E56EE"/>
    <w:rsid w:val="6E9045F7"/>
    <w:rsid w:val="6E9B205C"/>
    <w:rsid w:val="6ED348BA"/>
    <w:rsid w:val="6EE629C0"/>
    <w:rsid w:val="6EF132E8"/>
    <w:rsid w:val="6F1430F5"/>
    <w:rsid w:val="6F2063F9"/>
    <w:rsid w:val="6F2E3CA5"/>
    <w:rsid w:val="6F5337CF"/>
    <w:rsid w:val="6F6A1FC0"/>
    <w:rsid w:val="6F840CB0"/>
    <w:rsid w:val="6F917A86"/>
    <w:rsid w:val="6F95403E"/>
    <w:rsid w:val="6F984E98"/>
    <w:rsid w:val="70160D55"/>
    <w:rsid w:val="702150CD"/>
    <w:rsid w:val="70216187"/>
    <w:rsid w:val="702216B1"/>
    <w:rsid w:val="702F0604"/>
    <w:rsid w:val="70596096"/>
    <w:rsid w:val="707715A4"/>
    <w:rsid w:val="70A379C7"/>
    <w:rsid w:val="70B43CE5"/>
    <w:rsid w:val="70CD2302"/>
    <w:rsid w:val="70EA3FD1"/>
    <w:rsid w:val="70FD75B6"/>
    <w:rsid w:val="712D661A"/>
    <w:rsid w:val="714614A2"/>
    <w:rsid w:val="714878C3"/>
    <w:rsid w:val="71523A84"/>
    <w:rsid w:val="7157608A"/>
    <w:rsid w:val="715B640F"/>
    <w:rsid w:val="715D24C8"/>
    <w:rsid w:val="71791721"/>
    <w:rsid w:val="717D0F18"/>
    <w:rsid w:val="71AA7DEB"/>
    <w:rsid w:val="71AD14DD"/>
    <w:rsid w:val="71B25CB1"/>
    <w:rsid w:val="71B37596"/>
    <w:rsid w:val="71B53FB1"/>
    <w:rsid w:val="71B67F65"/>
    <w:rsid w:val="71C728B3"/>
    <w:rsid w:val="71E81E42"/>
    <w:rsid w:val="71F07A75"/>
    <w:rsid w:val="720023CD"/>
    <w:rsid w:val="723C12FF"/>
    <w:rsid w:val="724572FC"/>
    <w:rsid w:val="72597141"/>
    <w:rsid w:val="726614A3"/>
    <w:rsid w:val="726D740B"/>
    <w:rsid w:val="728B0C2E"/>
    <w:rsid w:val="729B18FB"/>
    <w:rsid w:val="729F5B99"/>
    <w:rsid w:val="72A80AB7"/>
    <w:rsid w:val="72E5177E"/>
    <w:rsid w:val="7303436D"/>
    <w:rsid w:val="730F7BB5"/>
    <w:rsid w:val="7358703C"/>
    <w:rsid w:val="73697122"/>
    <w:rsid w:val="737811BD"/>
    <w:rsid w:val="739422EE"/>
    <w:rsid w:val="73970DFA"/>
    <w:rsid w:val="73C100BD"/>
    <w:rsid w:val="73E63558"/>
    <w:rsid w:val="73ED33F4"/>
    <w:rsid w:val="742A0C93"/>
    <w:rsid w:val="743B0AAD"/>
    <w:rsid w:val="74461D2F"/>
    <w:rsid w:val="74572085"/>
    <w:rsid w:val="74A96776"/>
    <w:rsid w:val="74B62F02"/>
    <w:rsid w:val="74B86DAB"/>
    <w:rsid w:val="74BD35C5"/>
    <w:rsid w:val="74C71835"/>
    <w:rsid w:val="74D21657"/>
    <w:rsid w:val="74D859A3"/>
    <w:rsid w:val="74EE05FA"/>
    <w:rsid w:val="74FA3609"/>
    <w:rsid w:val="7500467D"/>
    <w:rsid w:val="7500516A"/>
    <w:rsid w:val="7527661C"/>
    <w:rsid w:val="75350117"/>
    <w:rsid w:val="753D52E9"/>
    <w:rsid w:val="754D0CBA"/>
    <w:rsid w:val="75501933"/>
    <w:rsid w:val="757D3311"/>
    <w:rsid w:val="759F5470"/>
    <w:rsid w:val="75B90659"/>
    <w:rsid w:val="75CB2063"/>
    <w:rsid w:val="75D03CF0"/>
    <w:rsid w:val="75D94553"/>
    <w:rsid w:val="75DB5760"/>
    <w:rsid w:val="75F425D8"/>
    <w:rsid w:val="763A0064"/>
    <w:rsid w:val="76421C71"/>
    <w:rsid w:val="767D6227"/>
    <w:rsid w:val="76A72C41"/>
    <w:rsid w:val="76AC12C4"/>
    <w:rsid w:val="76B1630F"/>
    <w:rsid w:val="76BC722B"/>
    <w:rsid w:val="76C86434"/>
    <w:rsid w:val="76DB7D84"/>
    <w:rsid w:val="76DB7F89"/>
    <w:rsid w:val="76FF014D"/>
    <w:rsid w:val="770A794D"/>
    <w:rsid w:val="771B0251"/>
    <w:rsid w:val="77222B55"/>
    <w:rsid w:val="77243942"/>
    <w:rsid w:val="77313E3E"/>
    <w:rsid w:val="77514571"/>
    <w:rsid w:val="77553DE9"/>
    <w:rsid w:val="776F3CFE"/>
    <w:rsid w:val="7770775E"/>
    <w:rsid w:val="77A10B49"/>
    <w:rsid w:val="77C61F9E"/>
    <w:rsid w:val="77C76122"/>
    <w:rsid w:val="77EA5DDF"/>
    <w:rsid w:val="78045885"/>
    <w:rsid w:val="78280366"/>
    <w:rsid w:val="783B48F5"/>
    <w:rsid w:val="783F5CD1"/>
    <w:rsid w:val="78402489"/>
    <w:rsid w:val="78501FDB"/>
    <w:rsid w:val="78754045"/>
    <w:rsid w:val="78754F85"/>
    <w:rsid w:val="78961CEB"/>
    <w:rsid w:val="789E77F1"/>
    <w:rsid w:val="78B506DD"/>
    <w:rsid w:val="79062E84"/>
    <w:rsid w:val="790665C8"/>
    <w:rsid w:val="791F2373"/>
    <w:rsid w:val="792D04A8"/>
    <w:rsid w:val="793D2E43"/>
    <w:rsid w:val="79511979"/>
    <w:rsid w:val="7959313F"/>
    <w:rsid w:val="798E4403"/>
    <w:rsid w:val="799D2CEE"/>
    <w:rsid w:val="79A80189"/>
    <w:rsid w:val="79B73AA8"/>
    <w:rsid w:val="79D05036"/>
    <w:rsid w:val="79EF1AB7"/>
    <w:rsid w:val="79FB59FC"/>
    <w:rsid w:val="7A3E51A6"/>
    <w:rsid w:val="7A6F1F7F"/>
    <w:rsid w:val="7A8B01DE"/>
    <w:rsid w:val="7A91427D"/>
    <w:rsid w:val="7A9E5E70"/>
    <w:rsid w:val="7A9F67D9"/>
    <w:rsid w:val="7AA30831"/>
    <w:rsid w:val="7AC753DF"/>
    <w:rsid w:val="7AD769F5"/>
    <w:rsid w:val="7ADA67DE"/>
    <w:rsid w:val="7B476449"/>
    <w:rsid w:val="7B582E26"/>
    <w:rsid w:val="7B8265C5"/>
    <w:rsid w:val="7B887D78"/>
    <w:rsid w:val="7BAB67ED"/>
    <w:rsid w:val="7BBF33C3"/>
    <w:rsid w:val="7BC960F1"/>
    <w:rsid w:val="7BEC1660"/>
    <w:rsid w:val="7BF3724C"/>
    <w:rsid w:val="7C085B00"/>
    <w:rsid w:val="7C29430B"/>
    <w:rsid w:val="7C355E66"/>
    <w:rsid w:val="7C39692D"/>
    <w:rsid w:val="7C3A080E"/>
    <w:rsid w:val="7C3B566E"/>
    <w:rsid w:val="7C68297C"/>
    <w:rsid w:val="7C7A4689"/>
    <w:rsid w:val="7C9C3A70"/>
    <w:rsid w:val="7CCF5F38"/>
    <w:rsid w:val="7CDF7B3A"/>
    <w:rsid w:val="7D0D0451"/>
    <w:rsid w:val="7D1D5AAF"/>
    <w:rsid w:val="7D1F3286"/>
    <w:rsid w:val="7D3E403A"/>
    <w:rsid w:val="7D490576"/>
    <w:rsid w:val="7D581090"/>
    <w:rsid w:val="7D5F2AFE"/>
    <w:rsid w:val="7D6137EC"/>
    <w:rsid w:val="7D614111"/>
    <w:rsid w:val="7D7E67D3"/>
    <w:rsid w:val="7D891B09"/>
    <w:rsid w:val="7D962824"/>
    <w:rsid w:val="7DB04EF5"/>
    <w:rsid w:val="7DCE3853"/>
    <w:rsid w:val="7DD450F7"/>
    <w:rsid w:val="7DEC6EAD"/>
    <w:rsid w:val="7DFB50F0"/>
    <w:rsid w:val="7DFC3F20"/>
    <w:rsid w:val="7E05625F"/>
    <w:rsid w:val="7E133A6A"/>
    <w:rsid w:val="7E1B7DFC"/>
    <w:rsid w:val="7E1D049F"/>
    <w:rsid w:val="7E326797"/>
    <w:rsid w:val="7E41202B"/>
    <w:rsid w:val="7E547C3D"/>
    <w:rsid w:val="7E644CB7"/>
    <w:rsid w:val="7E8D60A6"/>
    <w:rsid w:val="7E9474B4"/>
    <w:rsid w:val="7ED607AA"/>
    <w:rsid w:val="7EDB0200"/>
    <w:rsid w:val="7EF20A91"/>
    <w:rsid w:val="7F141D4F"/>
    <w:rsid w:val="7F1B250F"/>
    <w:rsid w:val="7F4A28F8"/>
    <w:rsid w:val="7F86490D"/>
    <w:rsid w:val="7F936B71"/>
    <w:rsid w:val="7F9E10EB"/>
    <w:rsid w:val="7FA21C37"/>
    <w:rsid w:val="7FA75B9A"/>
    <w:rsid w:val="7FA77126"/>
    <w:rsid w:val="7FC81ACD"/>
    <w:rsid w:val="7FD47996"/>
    <w:rsid w:val="7FF87789"/>
    <w:rsid w:val="7FFE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
    <w:qFormat/>
    <w:uiPriority w:val="99"/>
    <w:pPr>
      <w:keepNext/>
      <w:keepLines/>
      <w:spacing w:before="340" w:after="330" w:line="578" w:lineRule="auto"/>
      <w:outlineLvl w:val="0"/>
    </w:pPr>
    <w:rPr>
      <w:b/>
      <w:bCs/>
      <w:kern w:val="44"/>
      <w:sz w:val="44"/>
      <w:szCs w:val="44"/>
    </w:rPr>
  </w:style>
  <w:style w:type="paragraph" w:styleId="2">
    <w:name w:val="heading 2"/>
    <w:basedOn w:val="1"/>
    <w:next w:val="1"/>
    <w:link w:val="8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Cs w:val="28"/>
    </w:rPr>
  </w:style>
  <w:style w:type="paragraph" w:styleId="6">
    <w:name w:val="heading 5"/>
    <w:basedOn w:val="1"/>
    <w:next w:val="1"/>
    <w:qFormat/>
    <w:uiPriority w:val="0"/>
    <w:pPr>
      <w:ind w:left="138"/>
      <w:outlineLvl w:val="4"/>
    </w:pPr>
    <w:rPr>
      <w:rFonts w:ascii="宋体" w:hAnsi="宋体"/>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76"/>
    <w:qFormat/>
    <w:uiPriority w:val="0"/>
    <w:pPr>
      <w:ind w:left="138"/>
      <w:outlineLvl w:val="6"/>
    </w:pPr>
    <w:rPr>
      <w:rFonts w:ascii="宋体" w:hAnsi="宋体"/>
      <w:b/>
      <w:bCs/>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9">
    <w:name w:val="index 8"/>
    <w:basedOn w:val="1"/>
    <w:next w:val="1"/>
    <w:qFormat/>
    <w:uiPriority w:val="0"/>
    <w:pPr>
      <w:spacing w:line="276" w:lineRule="auto"/>
      <w:jc w:val="left"/>
    </w:pPr>
    <w:rPr>
      <w:rFonts w:ascii="宋体" w:hAnsi="宋体"/>
      <w:color w:val="FF0000"/>
      <w:szCs w:val="21"/>
    </w:rPr>
  </w:style>
  <w:style w:type="paragraph" w:styleId="10">
    <w:name w:val="Normal Indent"/>
    <w:basedOn w:val="1"/>
    <w:link w:val="49"/>
    <w:qFormat/>
    <w:uiPriority w:val="0"/>
    <w:pPr>
      <w:ind w:firstLine="420" w:firstLineChars="200"/>
    </w:pPr>
  </w:style>
  <w:style w:type="paragraph" w:styleId="11">
    <w:name w:val="annotation text"/>
    <w:basedOn w:val="1"/>
    <w:link w:val="41"/>
    <w:qFormat/>
    <w:uiPriority w:val="0"/>
    <w:pPr>
      <w:jc w:val="left"/>
    </w:pPr>
    <w:rPr>
      <w:sz w:val="18"/>
      <w:szCs w:val="20"/>
    </w:rPr>
  </w:style>
  <w:style w:type="paragraph" w:styleId="12">
    <w:name w:val="Body Text"/>
    <w:basedOn w:val="1"/>
    <w:next w:val="1"/>
    <w:qFormat/>
    <w:uiPriority w:val="0"/>
    <w:pPr>
      <w:spacing w:before="60" w:after="60" w:line="360" w:lineRule="auto"/>
      <w:ind w:firstLine="200"/>
    </w:pPr>
    <w:rPr>
      <w:rFonts w:eastAsia="仿宋_GB2312"/>
      <w:sz w:val="32"/>
    </w:rPr>
  </w:style>
  <w:style w:type="paragraph" w:styleId="13">
    <w:name w:val="Body Text Indent"/>
    <w:basedOn w:val="1"/>
    <w:link w:val="55"/>
    <w:qFormat/>
    <w:uiPriority w:val="0"/>
    <w:pPr>
      <w:ind w:firstLine="630"/>
    </w:pPr>
    <w:rPr>
      <w:sz w:val="32"/>
      <w:szCs w:val="20"/>
    </w:rPr>
  </w:style>
  <w:style w:type="paragraph" w:styleId="14">
    <w:name w:val="toc 3"/>
    <w:basedOn w:val="1"/>
    <w:next w:val="1"/>
    <w:qFormat/>
    <w:uiPriority w:val="0"/>
    <w:pPr>
      <w:ind w:left="840" w:leftChars="400"/>
    </w:pPr>
  </w:style>
  <w:style w:type="paragraph" w:styleId="15">
    <w:name w:val="Plain Text"/>
    <w:basedOn w:val="1"/>
    <w:link w:val="56"/>
    <w:qFormat/>
    <w:uiPriority w:val="0"/>
    <w:pPr>
      <w:autoSpaceDE w:val="0"/>
      <w:autoSpaceDN w:val="0"/>
      <w:adjustRightInd w:val="0"/>
    </w:pPr>
    <w:rPr>
      <w:rFonts w:ascii="宋体" w:hAnsi="Tms Rmn"/>
      <w:kern w:val="0"/>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link w:val="53"/>
    <w:qFormat/>
    <w:uiPriority w:val="99"/>
    <w:pPr>
      <w:tabs>
        <w:tab w:val="center" w:pos="4153"/>
        <w:tab w:val="right" w:pos="8306"/>
      </w:tabs>
      <w:snapToGrid w:val="0"/>
      <w:jc w:val="left"/>
    </w:pPr>
    <w:rPr>
      <w:sz w:val="18"/>
      <w:szCs w:val="20"/>
    </w:rPr>
  </w:style>
  <w:style w:type="paragraph" w:styleId="19">
    <w:name w:val="header"/>
    <w:basedOn w:val="1"/>
    <w:link w:val="47"/>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style>
  <w:style w:type="paragraph" w:styleId="21">
    <w:name w:val="Subtitle"/>
    <w:basedOn w:val="1"/>
    <w:next w:val="1"/>
    <w:qFormat/>
    <w:uiPriority w:val="0"/>
    <w:pPr>
      <w:widowControl w:val="0"/>
      <w:jc w:val="both"/>
    </w:pPr>
    <w:rPr>
      <w:kern w:val="2"/>
      <w:sz w:val="28"/>
      <w:szCs w:val="20"/>
    </w:rPr>
  </w:style>
  <w:style w:type="paragraph" w:styleId="22">
    <w:name w:val="Body Text Indent 3"/>
    <w:basedOn w:val="1"/>
    <w:link w:val="48"/>
    <w:qFormat/>
    <w:uiPriority w:val="0"/>
    <w:pPr>
      <w:spacing w:after="120"/>
      <w:ind w:left="420" w:leftChars="200"/>
    </w:pPr>
    <w:rPr>
      <w:sz w:val="16"/>
      <w:szCs w:val="16"/>
    </w:rPr>
  </w:style>
  <w:style w:type="paragraph" w:styleId="23">
    <w:name w:val="toc 2"/>
    <w:basedOn w:val="1"/>
    <w:next w:val="1"/>
    <w:qFormat/>
    <w:uiPriority w:val="0"/>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5">
    <w:name w:val="annotation subject"/>
    <w:basedOn w:val="11"/>
    <w:next w:val="11"/>
    <w:link w:val="46"/>
    <w:qFormat/>
    <w:uiPriority w:val="0"/>
    <w:rPr>
      <w:b/>
      <w:bCs/>
      <w:sz w:val="21"/>
      <w:szCs w:val="24"/>
    </w:rPr>
  </w:style>
  <w:style w:type="paragraph" w:styleId="26">
    <w:name w:val="Body Text First Indent"/>
    <w:basedOn w:val="12"/>
    <w:qFormat/>
    <w:uiPriority w:val="0"/>
    <w:pPr>
      <w:ind w:firstLine="420" w:firstLineChars="100"/>
    </w:pPr>
    <w:rPr>
      <w:rFonts w:ascii="Times New Roman" w:hAnsi="Times New Roman"/>
      <w:sz w:val="18"/>
      <w:szCs w:val="18"/>
    </w:rPr>
  </w:style>
  <w:style w:type="paragraph" w:styleId="27">
    <w:name w:val="Body Text First Indent 2"/>
    <w:basedOn w:val="13"/>
    <w:unhideWhenUsed/>
    <w:qFormat/>
    <w:uiPriority w:val="0"/>
    <w:pPr>
      <w:spacing w:after="120"/>
      <w:ind w:left="420" w:leftChars="200" w:firstLine="420"/>
    </w:pPr>
    <w:rPr>
      <w:rFonts w:asciiTheme="minorHAnsi" w:hAnsiTheme="minorHAnsi" w:eastAsiaTheme="minorEastAsia" w:cstheme="minorBidi"/>
      <w:sz w:val="21"/>
      <w:szCs w:val="24"/>
    </w:rPr>
  </w:style>
  <w:style w:type="table" w:styleId="29">
    <w:name w:val="Table Grid"/>
    <w:basedOn w:val="2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qFormat/>
    <w:uiPriority w:val="0"/>
    <w:rPr>
      <w:color w:val="303030"/>
      <w:u w:val="none"/>
    </w:rPr>
  </w:style>
  <w:style w:type="character" w:styleId="33">
    <w:name w:val="Emphasis"/>
    <w:qFormat/>
    <w:uiPriority w:val="0"/>
    <w:rPr>
      <w:color w:val="CC0000"/>
    </w:rPr>
  </w:style>
  <w:style w:type="character" w:styleId="34">
    <w:name w:val="HTML Acronym"/>
    <w:basedOn w:val="30"/>
    <w:qFormat/>
    <w:uiPriority w:val="0"/>
  </w:style>
  <w:style w:type="character" w:styleId="35">
    <w:name w:val="Hyperlink"/>
    <w:qFormat/>
    <w:uiPriority w:val="99"/>
    <w:rPr>
      <w:color w:val="303030"/>
      <w:u w:val="none"/>
    </w:rPr>
  </w:style>
  <w:style w:type="character" w:styleId="36">
    <w:name w:val="annotation reference"/>
    <w:qFormat/>
    <w:uiPriority w:val="0"/>
    <w:rPr>
      <w:sz w:val="21"/>
      <w:szCs w:val="21"/>
    </w:rPr>
  </w:style>
  <w:style w:type="character" w:styleId="37">
    <w:name w:val="HTML Cite"/>
    <w:qFormat/>
    <w:uiPriority w:val="0"/>
    <w:rPr>
      <w:color w:val="008000"/>
    </w:rPr>
  </w:style>
  <w:style w:type="paragraph" w:customStyle="1" w:styleId="3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9">
    <w:name w:val="标题 5（有编号）（绿盟科技）"/>
    <w:basedOn w:val="1"/>
    <w:next w:val="40"/>
    <w:qFormat/>
    <w:uiPriority w:val="0"/>
    <w:pPr>
      <w:keepNext/>
      <w:keepLines/>
      <w:numPr>
        <w:ilvl w:val="4"/>
        <w:numId w:val="1"/>
      </w:numPr>
      <w:tabs>
        <w:tab w:val="left" w:pos="0"/>
      </w:tabs>
      <w:spacing w:before="280" w:after="156" w:line="377" w:lineRule="auto"/>
      <w:jc w:val="left"/>
      <w:outlineLvl w:val="4"/>
    </w:pPr>
    <w:rPr>
      <w:rFonts w:ascii="Arial" w:hAnsi="Arial" w:eastAsia="黑体"/>
      <w:b/>
      <w:kern w:val="0"/>
      <w:sz w:val="24"/>
      <w:szCs w:val="28"/>
    </w:rPr>
  </w:style>
  <w:style w:type="paragraph" w:customStyle="1" w:styleId="40">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41">
    <w:name w:val="批注文字 字符"/>
    <w:link w:val="11"/>
    <w:qFormat/>
    <w:uiPriority w:val="0"/>
    <w:rPr>
      <w:kern w:val="2"/>
      <w:sz w:val="18"/>
      <w:lang w:bidi="ar-SA"/>
    </w:rPr>
  </w:style>
  <w:style w:type="character" w:customStyle="1" w:styleId="42">
    <w:name w:val="（符号）邀请函中一、"/>
    <w:qFormat/>
    <w:uiPriority w:val="0"/>
    <w:rPr>
      <w:rFonts w:ascii="黑体" w:hAnsi="黑体" w:eastAsia="黑体"/>
      <w:b/>
      <w:bCs/>
      <w:sz w:val="24"/>
    </w:rPr>
  </w:style>
  <w:style w:type="character" w:customStyle="1" w:styleId="43">
    <w:name w:val="blue"/>
    <w:basedOn w:val="30"/>
    <w:qFormat/>
    <w:uiPriority w:val="0"/>
  </w:style>
  <w:style w:type="character" w:customStyle="1" w:styleId="44">
    <w:name w:val="列表段落 字符"/>
    <w:link w:val="45"/>
    <w:qFormat/>
    <w:uiPriority w:val="0"/>
    <w:rPr>
      <w:rFonts w:eastAsia="宋体"/>
      <w:kern w:val="2"/>
      <w:sz w:val="21"/>
      <w:szCs w:val="24"/>
      <w:lang w:val="en-US" w:eastAsia="zh-CN" w:bidi="ar-SA"/>
    </w:rPr>
  </w:style>
  <w:style w:type="paragraph" w:styleId="45">
    <w:name w:val="List Paragraph"/>
    <w:basedOn w:val="1"/>
    <w:link w:val="44"/>
    <w:qFormat/>
    <w:uiPriority w:val="0"/>
    <w:pPr>
      <w:ind w:firstLine="420" w:firstLineChars="200"/>
    </w:pPr>
  </w:style>
  <w:style w:type="character" w:customStyle="1" w:styleId="46">
    <w:name w:val="批注主题 字符"/>
    <w:link w:val="25"/>
    <w:qFormat/>
    <w:uiPriority w:val="0"/>
    <w:rPr>
      <w:b/>
      <w:bCs/>
      <w:kern w:val="2"/>
      <w:sz w:val="21"/>
      <w:szCs w:val="24"/>
      <w:lang w:bidi="ar-SA"/>
    </w:rPr>
  </w:style>
  <w:style w:type="character" w:customStyle="1" w:styleId="47">
    <w:name w:val="页眉 字符"/>
    <w:link w:val="19"/>
    <w:qFormat/>
    <w:uiPriority w:val="0"/>
    <w:rPr>
      <w:rFonts w:eastAsia="宋体"/>
      <w:kern w:val="2"/>
      <w:sz w:val="18"/>
      <w:lang w:val="en-US" w:eastAsia="zh-CN" w:bidi="ar-SA"/>
    </w:rPr>
  </w:style>
  <w:style w:type="character" w:customStyle="1" w:styleId="48">
    <w:name w:val="正文文本缩进 3 字符"/>
    <w:link w:val="22"/>
    <w:qFormat/>
    <w:uiPriority w:val="0"/>
    <w:rPr>
      <w:kern w:val="2"/>
      <w:sz w:val="16"/>
      <w:szCs w:val="16"/>
    </w:rPr>
  </w:style>
  <w:style w:type="character" w:customStyle="1" w:styleId="49">
    <w:name w:val="正文缩进 字符"/>
    <w:link w:val="10"/>
    <w:qFormat/>
    <w:uiPriority w:val="0"/>
    <w:rPr>
      <w:rFonts w:eastAsia="宋体"/>
      <w:kern w:val="2"/>
      <w:sz w:val="21"/>
      <w:szCs w:val="24"/>
      <w:lang w:val="en-US" w:eastAsia="zh-CN" w:bidi="ar-SA"/>
    </w:rPr>
  </w:style>
  <w:style w:type="character" w:customStyle="1" w:styleId="50">
    <w:name w:val="GW-正文 Char"/>
    <w:link w:val="51"/>
    <w:qFormat/>
    <w:uiPriority w:val="0"/>
    <w:rPr>
      <w:rFonts w:eastAsia="仿宋_GB2312"/>
      <w:kern w:val="2"/>
      <w:sz w:val="24"/>
      <w:szCs w:val="24"/>
      <w:lang w:val="en-US" w:eastAsia="zh-CN" w:bidi="ar-SA"/>
    </w:rPr>
  </w:style>
  <w:style w:type="paragraph" w:customStyle="1" w:styleId="51">
    <w:name w:val="GW-正文"/>
    <w:basedOn w:val="1"/>
    <w:link w:val="50"/>
    <w:qFormat/>
    <w:uiPriority w:val="0"/>
    <w:pPr>
      <w:spacing w:line="360" w:lineRule="auto"/>
      <w:ind w:firstLine="200" w:firstLineChars="200"/>
    </w:pPr>
    <w:rPr>
      <w:rFonts w:eastAsia="仿宋_GB2312"/>
      <w:sz w:val="24"/>
    </w:rPr>
  </w:style>
  <w:style w:type="character" w:customStyle="1" w:styleId="52">
    <w:name w:val="批注文字 Char1"/>
    <w:qFormat/>
    <w:uiPriority w:val="0"/>
    <w:rPr>
      <w:kern w:val="2"/>
      <w:sz w:val="18"/>
      <w:lang w:bidi="ar-SA"/>
    </w:rPr>
  </w:style>
  <w:style w:type="character" w:customStyle="1" w:styleId="53">
    <w:name w:val="页脚 字符"/>
    <w:link w:val="18"/>
    <w:qFormat/>
    <w:uiPriority w:val="99"/>
    <w:rPr>
      <w:rFonts w:eastAsia="宋体"/>
      <w:kern w:val="2"/>
      <w:sz w:val="18"/>
      <w:lang w:val="en-US" w:eastAsia="zh-CN" w:bidi="ar-SA"/>
    </w:rPr>
  </w:style>
  <w:style w:type="character" w:customStyle="1" w:styleId="54">
    <w:name w:val="Char Char9"/>
    <w:qFormat/>
    <w:uiPriority w:val="0"/>
    <w:rPr>
      <w:kern w:val="2"/>
      <w:sz w:val="21"/>
    </w:rPr>
  </w:style>
  <w:style w:type="character" w:customStyle="1" w:styleId="55">
    <w:name w:val="正文文本缩进 字符"/>
    <w:link w:val="13"/>
    <w:qFormat/>
    <w:uiPriority w:val="0"/>
    <w:rPr>
      <w:rFonts w:eastAsia="宋体"/>
      <w:kern w:val="2"/>
      <w:sz w:val="32"/>
      <w:lang w:val="en-US" w:eastAsia="zh-CN" w:bidi="ar-SA"/>
    </w:rPr>
  </w:style>
  <w:style w:type="character" w:customStyle="1" w:styleId="56">
    <w:name w:val="纯文本 字符"/>
    <w:link w:val="15"/>
    <w:unhideWhenUsed/>
    <w:qFormat/>
    <w:uiPriority w:val="0"/>
    <w:rPr>
      <w:rFonts w:ascii="宋体" w:hAnsi="Tms Rmn" w:eastAsia="宋体"/>
      <w:sz w:val="21"/>
      <w:lang w:val="en-US" w:eastAsia="zh-CN" w:bidi="ar-SA"/>
    </w:rPr>
  </w:style>
  <w:style w:type="paragraph" w:customStyle="1" w:styleId="57">
    <w:name w:val="_Style 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表格"/>
    <w:basedOn w:val="1"/>
    <w:qFormat/>
    <w:uiPriority w:val="0"/>
    <w:pPr>
      <w:spacing w:line="400" w:lineRule="exact"/>
    </w:pPr>
    <w:rPr>
      <w:sz w:val="24"/>
    </w:rPr>
  </w:style>
  <w:style w:type="paragraph" w:customStyle="1" w:styleId="59">
    <w:name w:val="列出段落1"/>
    <w:basedOn w:val="1"/>
    <w:qFormat/>
    <w:uiPriority w:val="99"/>
    <w:pPr>
      <w:ind w:firstLine="420" w:firstLineChars="200"/>
    </w:p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msonormalcxspmiddle"/>
    <w:basedOn w:val="1"/>
    <w:qFormat/>
    <w:uiPriority w:val="99"/>
    <w:pPr>
      <w:spacing w:before="100" w:beforeAutospacing="1" w:after="100" w:afterAutospacing="1"/>
      <w:jc w:val="left"/>
    </w:pPr>
    <w:rPr>
      <w:kern w:val="0"/>
      <w:sz w:val="24"/>
    </w:rPr>
  </w:style>
  <w:style w:type="paragraph" w:customStyle="1" w:styleId="62">
    <w:name w:val="样式 首行缩进:  2 字符"/>
    <w:basedOn w:val="1"/>
    <w:qFormat/>
    <w:uiPriority w:val="0"/>
    <w:pPr>
      <w:spacing w:line="400" w:lineRule="exact"/>
      <w:ind w:firstLine="200" w:firstLineChars="200"/>
    </w:pPr>
    <w:rPr>
      <w:rFonts w:cs="宋体"/>
      <w:sz w:val="24"/>
    </w:rPr>
  </w:style>
  <w:style w:type="paragraph" w:customStyle="1" w:styleId="6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64">
    <w:name w:val="Char1"/>
    <w:basedOn w:val="1"/>
    <w:next w:val="1"/>
    <w:qFormat/>
    <w:uiPriority w:val="99"/>
    <w:pPr>
      <w:spacing w:line="240" w:lineRule="atLeast"/>
      <w:ind w:left="420" w:firstLine="420"/>
      <w:jc w:val="left"/>
    </w:pPr>
    <w:rPr>
      <w:kern w:val="0"/>
      <w:szCs w:val="21"/>
    </w:rPr>
  </w:style>
  <w:style w:type="paragraph" w:customStyle="1" w:styleId="65">
    <w:name w:val="正文文本 21"/>
    <w:basedOn w:val="1"/>
    <w:qFormat/>
    <w:uiPriority w:val="0"/>
    <w:pPr>
      <w:adjustRightInd w:val="0"/>
      <w:spacing w:line="300" w:lineRule="auto"/>
      <w:ind w:firstLine="640" w:firstLineChars="200"/>
      <w:jc w:val="center"/>
      <w:textAlignment w:val="baseline"/>
    </w:pPr>
    <w:rPr>
      <w:rFonts w:hint="eastAsia" w:ascii="宋体" w:hAnsi="宋体"/>
      <w:kern w:val="0"/>
      <w:sz w:val="24"/>
    </w:rPr>
  </w:style>
  <w:style w:type="paragraph" w:customStyle="1" w:styleId="66">
    <w:name w:val="样式 节标题1 + 段前: 0.5 行 段后: 0.5 行"/>
    <w:basedOn w:val="1"/>
    <w:qFormat/>
    <w:uiPriority w:val="0"/>
    <w:pPr>
      <w:numPr>
        <w:ilvl w:val="1"/>
        <w:numId w:val="2"/>
      </w:numPr>
      <w:spacing w:before="163" w:beforeLines="50" w:after="163" w:afterLines="50"/>
    </w:pPr>
    <w:rPr>
      <w:rFonts w:cs="宋体"/>
      <w:b/>
      <w:bCs/>
      <w:sz w:val="30"/>
      <w:szCs w:val="20"/>
    </w:rPr>
  </w:style>
  <w:style w:type="paragraph" w:customStyle="1" w:styleId="67">
    <w:name w:val="正文首行缩进两字符"/>
    <w:basedOn w:val="1"/>
    <w:qFormat/>
    <w:uiPriority w:val="99"/>
    <w:pPr>
      <w:spacing w:line="360" w:lineRule="auto"/>
      <w:ind w:firstLine="200" w:firstLineChars="200"/>
    </w:pPr>
  </w:style>
  <w:style w:type="paragraph" w:customStyle="1" w:styleId="68">
    <w:name w:val="Table Paragraph"/>
    <w:basedOn w:val="1"/>
    <w:qFormat/>
    <w:uiPriority w:val="1"/>
  </w:style>
  <w:style w:type="paragraph" w:customStyle="1" w:styleId="69">
    <w:name w:val="Char Char Char Char Char Char Char Char Char Char Char Char Char Char1 Char Char Char Char"/>
    <w:basedOn w:val="1"/>
    <w:qFormat/>
    <w:uiPriority w:val="0"/>
    <w:rPr>
      <w:szCs w:val="21"/>
    </w:rPr>
  </w:style>
  <w:style w:type="paragraph" w:customStyle="1" w:styleId="7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1">
    <w:name w:val="列出段落2"/>
    <w:basedOn w:val="1"/>
    <w:qFormat/>
    <w:uiPriority w:val="0"/>
    <w:pPr>
      <w:ind w:firstLine="420" w:firstLineChars="200"/>
    </w:pPr>
    <w:rPr>
      <w:rFonts w:ascii="Calibri" w:hAnsi="Calibri"/>
      <w:szCs w:val="21"/>
    </w:rPr>
  </w:style>
  <w:style w:type="paragraph" w:customStyle="1" w:styleId="72">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74">
    <w:name w:val="标题 1 字符"/>
    <w:basedOn w:val="30"/>
    <w:link w:val="3"/>
    <w:qFormat/>
    <w:locked/>
    <w:uiPriority w:val="99"/>
    <w:rPr>
      <w:b/>
      <w:bCs/>
      <w:kern w:val="44"/>
      <w:sz w:val="44"/>
      <w:szCs w:val="44"/>
    </w:rPr>
  </w:style>
  <w:style w:type="paragraph" w:customStyle="1" w:styleId="75">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76">
    <w:name w:val="标题 7 字符"/>
    <w:link w:val="8"/>
    <w:qFormat/>
    <w:uiPriority w:val="0"/>
    <w:rPr>
      <w:rFonts w:ascii="宋体" w:hAnsi="宋体"/>
      <w:b/>
      <w:bCs/>
      <w:kern w:val="2"/>
      <w:sz w:val="24"/>
      <w:szCs w:val="24"/>
    </w:rPr>
  </w:style>
  <w:style w:type="paragraph" w:customStyle="1" w:styleId="77">
    <w:name w:val="09正文_wh"/>
    <w:qFormat/>
    <w:uiPriority w:val="0"/>
    <w:pPr>
      <w:spacing w:line="300" w:lineRule="auto"/>
      <w:ind w:firstLine="200" w:firstLineChars="200"/>
      <w:jc w:val="both"/>
    </w:pPr>
    <w:rPr>
      <w:rFonts w:ascii="Calibri" w:hAnsi="Calibri" w:eastAsia="宋体" w:cs="Times New Roman"/>
      <w:kern w:val="2"/>
      <w:sz w:val="28"/>
      <w:szCs w:val="24"/>
      <w:lang w:val="en-US" w:eastAsia="zh-CN" w:bidi="ar-SA"/>
    </w:rPr>
  </w:style>
  <w:style w:type="character" w:customStyle="1" w:styleId="78">
    <w:name w:val="ca-31"/>
    <w:qFormat/>
    <w:uiPriority w:val="0"/>
    <w:rPr>
      <w:rFonts w:hint="eastAsia" w:ascii="宋体" w:hAnsi="宋体" w:eastAsia="宋体"/>
      <w:color w:val="000000"/>
      <w:sz w:val="24"/>
      <w:szCs w:val="24"/>
    </w:rPr>
  </w:style>
  <w:style w:type="character" w:customStyle="1" w:styleId="79">
    <w:name w:val="font01"/>
    <w:qFormat/>
    <w:uiPriority w:val="0"/>
    <w:rPr>
      <w:rFonts w:hint="eastAsia" w:ascii="宋体" w:hAnsi="宋体" w:eastAsia="宋体" w:cs="宋体"/>
      <w:color w:val="FF0000"/>
      <w:sz w:val="21"/>
      <w:szCs w:val="21"/>
      <w:u w:val="none"/>
    </w:rPr>
  </w:style>
  <w:style w:type="character" w:customStyle="1" w:styleId="80">
    <w:name w:val="标题 2 Char"/>
    <w:link w:val="2"/>
    <w:qFormat/>
    <w:uiPriority w:val="0"/>
    <w:rPr>
      <w:rFonts w:ascii="Arial" w:hAnsi="Arial" w:eastAsia="黑体"/>
      <w:b/>
      <w:bCs/>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font81"/>
    <w:basedOn w:val="30"/>
    <w:qFormat/>
    <w:uiPriority w:val="0"/>
    <w:rPr>
      <w:rFonts w:hint="eastAsia" w:ascii="宋体" w:hAnsi="宋体" w:eastAsia="宋体" w:cs="宋体"/>
      <w:color w:val="000000"/>
      <w:sz w:val="20"/>
      <w:szCs w:val="20"/>
      <w:u w:val="none"/>
    </w:rPr>
  </w:style>
  <w:style w:type="character" w:customStyle="1" w:styleId="83">
    <w:name w:val="font41"/>
    <w:basedOn w:val="30"/>
    <w:qFormat/>
    <w:uiPriority w:val="0"/>
    <w:rPr>
      <w:rFonts w:hint="default" w:ascii="Times New Roman" w:hAnsi="Times New Roman" w:cs="Times New Roman"/>
      <w:color w:val="000000"/>
      <w:sz w:val="20"/>
      <w:szCs w:val="20"/>
      <w:u w:val="none"/>
    </w:rPr>
  </w:style>
  <w:style w:type="character" w:customStyle="1" w:styleId="84">
    <w:name w:val="font71"/>
    <w:basedOn w:val="30"/>
    <w:qFormat/>
    <w:uiPriority w:val="0"/>
    <w:rPr>
      <w:rFonts w:ascii="Arial" w:hAnsi="Arial" w:cs="Arial"/>
      <w:color w:val="000000"/>
      <w:sz w:val="20"/>
      <w:szCs w:val="20"/>
      <w:u w:val="none"/>
    </w:rPr>
  </w:style>
  <w:style w:type="character" w:customStyle="1" w:styleId="85">
    <w:name w:val="font11"/>
    <w:basedOn w:val="30"/>
    <w:qFormat/>
    <w:uiPriority w:val="0"/>
    <w:rPr>
      <w:rFonts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6A4A1-0DD4-448C-AF6B-F44F050F482C}">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118</Pages>
  <Words>59299</Words>
  <Characters>64819</Characters>
  <Lines>357</Lines>
  <Paragraphs>100</Paragraphs>
  <TotalTime>6</TotalTime>
  <ScaleCrop>false</ScaleCrop>
  <LinksUpToDate>false</LinksUpToDate>
  <CharactersWithSpaces>67713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2021-03-05T06:26:00Z</dcterms:created>
  <dc:creator>jia xie</dc:creator>
  <cp:lastModifiedBy> 美丽人生</cp:lastModifiedBy>
  <cp:lastPrinted>2021-09-10T06:13:00Z</cp:lastPrinted>
  <dcterms:modified xsi:type="dcterms:W3CDTF">2021-09-30T01:27:20Z</dcterms:modified>
  <dc:title>招标编号：xx政采招[xxxx] xxx号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DC359F1D2CBF4B1BABC7D806A42B3FA6</vt:lpwstr>
  </property>
</Properties>
</file>