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val="0"/>
          <w:sz w:val="48"/>
          <w:szCs w:val="48"/>
          <w:highlight w:val="none"/>
          <w:lang w:eastAsia="zh-CN"/>
        </w:rPr>
      </w:pPr>
    </w:p>
    <w:p>
      <w:pPr>
        <w:jc w:val="center"/>
        <w:rPr>
          <w:rFonts w:hint="eastAsia" w:ascii="宋体" w:hAnsi="宋体" w:eastAsia="宋体" w:cs="宋体"/>
          <w:b/>
          <w:sz w:val="48"/>
          <w:szCs w:val="48"/>
          <w:highlight w:val="none"/>
          <w:lang w:eastAsia="zh-CN"/>
        </w:rPr>
      </w:pPr>
      <w:r>
        <w:rPr>
          <w:rFonts w:hint="eastAsia" w:ascii="宋体" w:hAnsi="宋体" w:cs="宋体"/>
          <w:b/>
          <w:bCs w:val="0"/>
          <w:sz w:val="48"/>
          <w:szCs w:val="48"/>
          <w:highlight w:val="none"/>
          <w:lang w:eastAsia="zh-CN"/>
        </w:rPr>
        <w:t>金牛区教育局2021年人工智能教育服务采购项目</w:t>
      </w:r>
    </w:p>
    <w:p>
      <w:pPr>
        <w:pStyle w:val="38"/>
        <w:jc w:val="center"/>
        <w:rPr>
          <w:rFonts w:hint="eastAsia" w:ascii="宋体" w:hAnsi="宋体" w:eastAsia="宋体" w:cs="宋体"/>
          <w:b/>
          <w:sz w:val="28"/>
          <w:szCs w:val="28"/>
          <w:highlight w:val="none"/>
        </w:rPr>
      </w:pPr>
    </w:p>
    <w:p>
      <w:pPr>
        <w:pStyle w:val="38"/>
        <w:jc w:val="center"/>
        <w:rPr>
          <w:rFonts w:hint="eastAsia" w:ascii="宋体" w:hAnsi="宋体" w:eastAsia="宋体" w:cs="宋体"/>
          <w:b/>
          <w:sz w:val="28"/>
          <w:szCs w:val="28"/>
          <w:highlight w:val="none"/>
        </w:rPr>
      </w:pP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w:t>
      </w: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争</w:t>
      </w: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性</w:t>
      </w: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磋</w:t>
      </w: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商</w:t>
      </w: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文</w:t>
      </w:r>
    </w:p>
    <w:p>
      <w:pPr>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件</w:t>
      </w:r>
    </w:p>
    <w:p>
      <w:pPr>
        <w:spacing w:line="580" w:lineRule="exact"/>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bookmarkStart w:id="0" w:name="_Hlt101233737"/>
      <w:bookmarkEnd w:id="0"/>
      <w:bookmarkStart w:id="1" w:name="_Hlt101843627"/>
      <w:bookmarkEnd w:id="1"/>
    </w:p>
    <w:p>
      <w:pPr>
        <w:pStyle w:val="38"/>
        <w:rPr>
          <w:rFonts w:hint="eastAsia" w:ascii="宋体" w:hAnsi="宋体" w:eastAsia="宋体" w:cs="宋体"/>
          <w:highlight w:val="non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中国·四川（成都）</w:t>
      </w:r>
    </w:p>
    <w:p>
      <w:pPr>
        <w:spacing w:line="360" w:lineRule="auto"/>
        <w:jc w:val="center"/>
        <w:rPr>
          <w:rFonts w:hint="eastAsia" w:ascii="宋体" w:hAnsi="宋体" w:eastAsia="宋体" w:cs="宋体"/>
          <w:b/>
          <w:sz w:val="32"/>
          <w:szCs w:val="32"/>
          <w:highlight w:val="none"/>
          <w:lang w:eastAsia="zh-CN"/>
        </w:rPr>
      </w:pPr>
      <w:r>
        <w:rPr>
          <w:rFonts w:hint="eastAsia" w:ascii="宋体" w:hAnsi="宋体" w:eastAsia="宋体" w:cs="宋体"/>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4422775</wp:posOffset>
                </wp:positionH>
                <wp:positionV relativeFrom="paragraph">
                  <wp:posOffset>100965</wp:posOffset>
                </wp:positionV>
                <wp:extent cx="1141730" cy="45148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141730" cy="451485"/>
                        </a:xfrm>
                        <a:prstGeom prst="rect">
                          <a:avLst/>
                        </a:prstGeom>
                        <a:noFill/>
                        <a:ln>
                          <a:noFill/>
                        </a:ln>
                      </wps:spPr>
                      <wps:txbx>
                        <w:txbxContent>
                          <w:p>
                            <w:pPr>
                              <w:spacing w:line="360" w:lineRule="auto"/>
                              <w:jc w:val="center"/>
                              <w:rPr>
                                <w:b/>
                                <w:sz w:val="30"/>
                                <w:szCs w:val="30"/>
                              </w:rPr>
                            </w:pPr>
                            <w:r>
                              <w:rPr>
                                <w:rFonts w:hint="eastAsia"/>
                                <w:b/>
                                <w:sz w:val="30"/>
                                <w:szCs w:val="30"/>
                              </w:rPr>
                              <w:t>共同编制</w:t>
                            </w:r>
                          </w:p>
                        </w:txbxContent>
                      </wps:txbx>
                      <wps:bodyPr upright="1"/>
                    </wps:wsp>
                  </a:graphicData>
                </a:graphic>
              </wp:anchor>
            </w:drawing>
          </mc:Choice>
          <mc:Fallback>
            <w:pict>
              <v:shape id="_x0000_s1026" o:spid="_x0000_s1026" o:spt="202" type="#_x0000_t202" style="position:absolute;left:0pt;margin-left:348.25pt;margin-top:7.95pt;height:35.55pt;width:89.9pt;z-index:251662336;mso-width-relative:page;mso-height-relative:page;" filled="f" stroked="f" coordsize="21600,21600" o:gfxdata="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jXT41gAA&#10;AAkBAAAPAAAAAAAAAAEAIAAAACIAAABkcnMvZG93bnJldi54bWxQSwECFAAUAAAACACHTuJAolv+&#10;064BAABQAwAADgAAAAAAAAABACAAAAAlAQAAZHJzL2Uyb0RvYy54bWxQSwUGAAAAAAYABgBZAQAA&#10;RQUAAAAA&#10;">
                <v:fill on="f" focussize="0,0"/>
                <v:stroke on="f"/>
                <v:imagedata o:title=""/>
                <o:lock v:ext="edit" aspectratio="f"/>
                <v:textbox>
                  <w:txbxContent>
                    <w:p>
                      <w:pPr>
                        <w:spacing w:line="360" w:lineRule="auto"/>
                        <w:jc w:val="center"/>
                        <w:rPr>
                          <w:b/>
                          <w:sz w:val="30"/>
                          <w:szCs w:val="30"/>
                        </w:rPr>
                      </w:pPr>
                      <w:r>
                        <w:rPr>
                          <w:rFonts w:hint="eastAsia"/>
                          <w:b/>
                          <w:sz w:val="30"/>
                          <w:szCs w:val="30"/>
                        </w:rPr>
                        <w:t>共同编制</w:t>
                      </w:r>
                    </w:p>
                  </w:txbxContent>
                </v:textbox>
              </v:shape>
            </w:pict>
          </mc:Fallback>
        </mc:AlternateContent>
      </w:r>
      <w:r>
        <w:rPr>
          <w:rFonts w:hint="eastAsia" w:ascii="宋体" w:hAnsi="宋体" w:eastAsia="宋体" w:cs="宋体"/>
          <w:b/>
          <w:sz w:val="32"/>
          <w:szCs w:val="32"/>
          <w:highlight w:val="none"/>
          <w:lang w:eastAsia="zh-CN"/>
        </w:rPr>
        <w:t>成都市金牛区教育局</w:t>
      </w:r>
    </w:p>
    <w:p>
      <w:pPr>
        <w:spacing w:line="360" w:lineRule="auto"/>
        <w:jc w:val="center"/>
        <w:rPr>
          <w:rFonts w:hint="eastAsia" w:ascii="宋体" w:hAnsi="宋体" w:eastAsia="宋体" w:cs="宋体"/>
          <w:b/>
          <w:sz w:val="32"/>
          <w:szCs w:val="32"/>
          <w:highlight w:val="none"/>
          <w:lang w:eastAsia="zh-CN"/>
        </w:rPr>
      </w:pPr>
      <w:r>
        <w:rPr>
          <w:rFonts w:hint="eastAsia" w:ascii="宋体" w:hAnsi="宋体" w:eastAsia="宋体" w:cs="宋体"/>
          <w:b/>
          <w:sz w:val="32"/>
          <w:szCs w:val="32"/>
          <w:highlight w:val="none"/>
          <w:lang w:eastAsia="zh-CN"/>
        </w:rPr>
        <w:t>成都金牡丹工程管理咨询有限公司</w:t>
      </w:r>
    </w:p>
    <w:p>
      <w:pPr>
        <w:pStyle w:val="2"/>
        <w:jc w:val="center"/>
        <w:rPr>
          <w:rFonts w:hint="eastAsia" w:ascii="宋体" w:hAnsi="宋体" w:eastAsia="宋体" w:cs="宋体"/>
          <w:b/>
          <w:szCs w:val="32"/>
          <w:highlight w:val="none"/>
        </w:rPr>
        <w:sectPr>
          <w:headerReference r:id="rId5" w:type="first"/>
          <w:headerReference r:id="rId3" w:type="default"/>
          <w:headerReference r:id="rId4" w:type="even"/>
          <w:footerReference r:id="rId6" w:type="even"/>
          <w:pgSz w:w="11849" w:h="16781"/>
          <w:pgMar w:top="1324" w:right="1440" w:bottom="1440" w:left="1440" w:header="709" w:footer="770" w:gutter="0"/>
          <w:pgNumType w:start="1"/>
          <w:cols w:space="720" w:num="1"/>
          <w:titlePg/>
          <w:docGrid w:type="linesAndChars" w:linePitch="312" w:charSpace="1060"/>
        </w:sectPr>
      </w:pPr>
      <w:r>
        <w:rPr>
          <w:rFonts w:hint="eastAsia" w:ascii="宋体" w:hAnsi="宋体" w:eastAsia="宋体" w:cs="宋体"/>
          <w:b/>
          <w:szCs w:val="32"/>
          <w:highlight w:val="none"/>
        </w:rPr>
        <w:t>202</w:t>
      </w:r>
      <w:r>
        <w:rPr>
          <w:rFonts w:hint="eastAsia" w:ascii="宋体" w:hAnsi="宋体" w:eastAsia="宋体" w:cs="宋体"/>
          <w:b/>
          <w:szCs w:val="32"/>
          <w:highlight w:val="none"/>
          <w:lang w:val="en-US" w:eastAsia="zh-CN"/>
        </w:rPr>
        <w:t>1</w:t>
      </w:r>
      <w:r>
        <w:rPr>
          <w:rFonts w:hint="eastAsia" w:ascii="宋体" w:hAnsi="宋体" w:eastAsia="宋体" w:cs="宋体"/>
          <w:b/>
          <w:szCs w:val="32"/>
          <w:highlight w:val="none"/>
        </w:rPr>
        <w:t>年0</w:t>
      </w:r>
      <w:r>
        <w:rPr>
          <w:rFonts w:hint="eastAsia" w:ascii="宋体" w:hAnsi="宋体" w:eastAsia="宋体" w:cs="宋体"/>
          <w:b/>
          <w:szCs w:val="32"/>
          <w:highlight w:val="none"/>
          <w:lang w:val="en-US" w:eastAsia="zh-CN"/>
        </w:rPr>
        <w:t>9</w:t>
      </w:r>
      <w:r>
        <w:rPr>
          <w:rFonts w:hint="eastAsia" w:ascii="宋体" w:hAnsi="宋体" w:eastAsia="宋体" w:cs="宋体"/>
          <w:b/>
          <w:szCs w:val="32"/>
          <w:highlight w:val="none"/>
        </w:rPr>
        <w:t>月</w:t>
      </w:r>
    </w:p>
    <w:sdt>
      <w:sdtPr>
        <w:rPr>
          <w:rFonts w:hint="eastAsia" w:ascii="宋体" w:hAnsi="宋体" w:eastAsia="宋体" w:cs="宋体"/>
          <w:highlight w:val="none"/>
        </w:rPr>
        <w:id w:val="147466698"/>
        <w15:color w:val="DBDBDB"/>
        <w:docPartObj>
          <w:docPartGallery w:val="Table of Contents"/>
          <w:docPartUnique/>
        </w:docPartObj>
      </w:sdtPr>
      <w:sdtEndPr>
        <w:rPr>
          <w:rFonts w:hint="eastAsia" w:ascii="宋体" w:hAnsi="宋体" w:eastAsia="宋体" w:cs="宋体"/>
          <w:b/>
          <w:bCs/>
          <w:sz w:val="28"/>
          <w:szCs w:val="28"/>
          <w:highlight w:val="none"/>
        </w:rPr>
      </w:sdtEndPr>
      <w:sdtContent>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目录</w:t>
          </w:r>
        </w:p>
        <w:p>
          <w:pPr>
            <w:pStyle w:val="20"/>
            <w:tabs>
              <w:tab w:val="right" w:leader="dot" w:pos="8969"/>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TOC \o "1-3" \h \u </w:instrText>
          </w:r>
          <w:r>
            <w:rPr>
              <w:rFonts w:hint="eastAsia" w:ascii="宋体" w:hAnsi="宋体" w:eastAsia="宋体" w:cs="宋体"/>
              <w:b/>
              <w:bCs/>
              <w:sz w:val="28"/>
              <w:szCs w:val="28"/>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"_Toc16401" </w:instrText>
          </w:r>
          <w:r>
            <w:rPr>
              <w:rFonts w:hint="eastAsia" w:ascii="宋体" w:hAnsi="宋体" w:eastAsia="宋体" w:cs="宋体"/>
              <w:highlight w:val="none"/>
            </w:rPr>
            <w:fldChar w:fldCharType="separate"/>
          </w:r>
          <w:r>
            <w:rPr>
              <w:rFonts w:hint="eastAsia" w:ascii="宋体" w:hAnsi="宋体" w:eastAsia="宋体" w:cs="宋体"/>
              <w:b/>
              <w:bCs/>
              <w:sz w:val="28"/>
              <w:szCs w:val="28"/>
              <w:highlight w:val="none"/>
            </w:rPr>
            <w:t>第一章  磋商邀请</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_Toc16401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- 2 -</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20"/>
            <w:tabs>
              <w:tab w:val="right" w:leader="dot" w:pos="8969"/>
            </w:tabs>
            <w:rPr>
              <w:rFonts w:hint="eastAsia" w:ascii="宋体" w:hAnsi="宋体" w:eastAsia="宋体" w:cs="宋体"/>
              <w:b/>
              <w:bCs/>
              <w:sz w:val="28"/>
              <w:szCs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"_Toc16020" </w:instrText>
          </w:r>
          <w:r>
            <w:rPr>
              <w:rFonts w:hint="eastAsia" w:ascii="宋体" w:hAnsi="宋体" w:eastAsia="宋体" w:cs="宋体"/>
              <w:highlight w:val="none"/>
            </w:rPr>
            <w:fldChar w:fldCharType="separate"/>
          </w:r>
          <w:r>
            <w:rPr>
              <w:rFonts w:hint="eastAsia" w:ascii="宋体" w:hAnsi="宋体" w:eastAsia="宋体" w:cs="宋体"/>
              <w:b/>
              <w:bCs/>
              <w:sz w:val="28"/>
              <w:szCs w:val="28"/>
              <w:highlight w:val="none"/>
            </w:rPr>
            <w:t>第二章  磋商须知</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_Toc16020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- 5 -</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20"/>
            <w:tabs>
              <w:tab w:val="right" w:leader="dot" w:pos="8969"/>
            </w:tabs>
            <w:rPr>
              <w:rFonts w:hint="eastAsia" w:ascii="宋体" w:hAnsi="宋体" w:eastAsia="宋体" w:cs="宋体"/>
              <w:b/>
              <w:bCs/>
              <w:sz w:val="28"/>
              <w:szCs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"_Toc32478" </w:instrText>
          </w:r>
          <w:r>
            <w:rPr>
              <w:rFonts w:hint="eastAsia" w:ascii="宋体" w:hAnsi="宋体" w:eastAsia="宋体" w:cs="宋体"/>
              <w:highlight w:val="none"/>
            </w:rPr>
            <w:fldChar w:fldCharType="separate"/>
          </w:r>
          <w:r>
            <w:rPr>
              <w:rFonts w:hint="eastAsia" w:ascii="宋体" w:hAnsi="宋体" w:eastAsia="宋体" w:cs="宋体"/>
              <w:b/>
              <w:bCs/>
              <w:sz w:val="28"/>
              <w:szCs w:val="28"/>
              <w:highlight w:val="none"/>
            </w:rPr>
            <w:t>第三章  供应商的资格、资质性及其他类似效力要求</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_Toc32478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- 21 -</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20"/>
            <w:tabs>
              <w:tab w:val="right" w:leader="dot" w:pos="8969"/>
            </w:tabs>
            <w:rPr>
              <w:rFonts w:hint="eastAsia" w:ascii="宋体" w:hAnsi="宋体" w:eastAsia="宋体" w:cs="宋体"/>
              <w:b/>
              <w:bCs/>
              <w:sz w:val="28"/>
              <w:szCs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"_Toc31811" </w:instrText>
          </w:r>
          <w:r>
            <w:rPr>
              <w:rFonts w:hint="eastAsia" w:ascii="宋体" w:hAnsi="宋体" w:eastAsia="宋体" w:cs="宋体"/>
              <w:highlight w:val="none"/>
            </w:rPr>
            <w:fldChar w:fldCharType="separate"/>
          </w:r>
          <w:r>
            <w:rPr>
              <w:rFonts w:hint="eastAsia" w:ascii="宋体" w:hAnsi="宋体" w:eastAsia="宋体" w:cs="宋体"/>
              <w:b/>
              <w:bCs/>
              <w:sz w:val="28"/>
              <w:szCs w:val="28"/>
              <w:highlight w:val="none"/>
            </w:rPr>
            <w:t>第四章  供应商的资格、资质性及其他类似效力要求证明材料</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_Toc31811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- 22 -</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20"/>
            <w:tabs>
              <w:tab w:val="right" w:leader="dot" w:pos="8969"/>
            </w:tabs>
            <w:rPr>
              <w:rFonts w:hint="eastAsia" w:ascii="宋体" w:hAnsi="宋体" w:eastAsia="宋体" w:cs="宋体"/>
              <w:b/>
              <w:bCs/>
              <w:sz w:val="28"/>
              <w:szCs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"_Toc29484" </w:instrText>
          </w:r>
          <w:r>
            <w:rPr>
              <w:rFonts w:hint="eastAsia" w:ascii="宋体" w:hAnsi="宋体" w:eastAsia="宋体" w:cs="宋体"/>
              <w:highlight w:val="none"/>
            </w:rPr>
            <w:fldChar w:fldCharType="separate"/>
          </w:r>
          <w:r>
            <w:rPr>
              <w:rFonts w:hint="eastAsia" w:ascii="宋体" w:hAnsi="宋体" w:eastAsia="宋体" w:cs="宋体"/>
              <w:b/>
              <w:bCs/>
              <w:sz w:val="28"/>
              <w:szCs w:val="28"/>
              <w:highlight w:val="none"/>
            </w:rPr>
            <w:t>第五章  采购项目技术、服务、及其他商务要求</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_Toc29484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- 24 -</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20"/>
            <w:tabs>
              <w:tab w:val="right" w:leader="dot" w:pos="8969"/>
            </w:tabs>
            <w:rPr>
              <w:rFonts w:hint="eastAsia" w:ascii="宋体" w:hAnsi="宋体" w:eastAsia="宋体" w:cs="宋体"/>
              <w:b/>
              <w:bCs/>
              <w:sz w:val="28"/>
              <w:szCs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"_Toc32508" </w:instrText>
          </w:r>
          <w:r>
            <w:rPr>
              <w:rFonts w:hint="eastAsia" w:ascii="宋体" w:hAnsi="宋体" w:eastAsia="宋体" w:cs="宋体"/>
              <w:highlight w:val="none"/>
            </w:rPr>
            <w:fldChar w:fldCharType="separate"/>
          </w:r>
          <w:r>
            <w:rPr>
              <w:rFonts w:hint="eastAsia" w:ascii="宋体" w:hAnsi="宋体" w:eastAsia="宋体" w:cs="宋体"/>
              <w:b/>
              <w:bCs/>
              <w:sz w:val="28"/>
              <w:szCs w:val="28"/>
              <w:highlight w:val="none"/>
            </w:rPr>
            <w:t>第六章  响应文件格式</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_Toc32508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- 29 -</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20"/>
            <w:tabs>
              <w:tab w:val="right" w:leader="dot" w:pos="8969"/>
            </w:tabs>
            <w:rPr>
              <w:rFonts w:hint="eastAsia" w:ascii="宋体" w:hAnsi="宋体" w:eastAsia="宋体" w:cs="宋体"/>
              <w:b/>
              <w:bCs/>
              <w:sz w:val="28"/>
              <w:szCs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"_Toc16511" </w:instrText>
          </w:r>
          <w:r>
            <w:rPr>
              <w:rFonts w:hint="eastAsia" w:ascii="宋体" w:hAnsi="宋体" w:eastAsia="宋体" w:cs="宋体"/>
              <w:highlight w:val="none"/>
            </w:rPr>
            <w:fldChar w:fldCharType="separate"/>
          </w:r>
          <w:r>
            <w:rPr>
              <w:rFonts w:hint="eastAsia" w:ascii="宋体" w:hAnsi="宋体" w:eastAsia="宋体" w:cs="宋体"/>
              <w:b/>
              <w:bCs/>
              <w:sz w:val="28"/>
              <w:szCs w:val="28"/>
              <w:highlight w:val="none"/>
            </w:rPr>
            <w:t>第八章  政府采购合同（草案）</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_Toc16511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- 79 -</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end"/>
          </w:r>
        </w:p>
      </w:sdtContent>
    </w:sdt>
    <w:p>
      <w:pPr>
        <w:spacing w:line="360" w:lineRule="auto"/>
        <w:ind w:firstLine="562" w:firstLineChars="200"/>
        <w:rPr>
          <w:rFonts w:hint="eastAsia" w:ascii="宋体" w:hAnsi="宋体" w:eastAsia="宋体" w:cs="宋体"/>
          <w:b/>
          <w:bCs/>
          <w:sz w:val="28"/>
          <w:szCs w:val="28"/>
          <w:highlight w:val="none"/>
        </w:rPr>
      </w:pPr>
    </w:p>
    <w:p>
      <w:pPr>
        <w:spacing w:line="360" w:lineRule="auto"/>
        <w:ind w:firstLine="480" w:firstLineChars="200"/>
        <w:rPr>
          <w:rFonts w:hint="eastAsia" w:ascii="宋体" w:hAnsi="宋体" w:eastAsia="宋体" w:cs="宋体"/>
          <w:bCs/>
          <w:sz w:val="24"/>
          <w:highlight w:val="none"/>
        </w:rPr>
      </w:pPr>
    </w:p>
    <w:p>
      <w:pPr>
        <w:spacing w:line="360" w:lineRule="auto"/>
        <w:ind w:firstLine="480" w:firstLineChars="200"/>
        <w:rPr>
          <w:rFonts w:hint="eastAsia" w:ascii="宋体" w:hAnsi="宋体" w:eastAsia="宋体" w:cs="宋体"/>
          <w:bCs/>
          <w:sz w:val="24"/>
          <w:highlight w:val="none"/>
        </w:rPr>
      </w:pPr>
    </w:p>
    <w:p>
      <w:pPr>
        <w:pStyle w:val="3"/>
        <w:keepNext w:val="0"/>
        <w:keepLines w:val="0"/>
        <w:spacing w:before="0" w:after="0" w:line="240" w:lineRule="auto"/>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bookmarkStart w:id="2" w:name="_Toc12105"/>
      <w:bookmarkStart w:id="3" w:name="_Toc27900"/>
      <w:bookmarkStart w:id="4" w:name="_Toc16401"/>
      <w:bookmarkStart w:id="5" w:name="_Toc7961743"/>
      <w:r>
        <w:rPr>
          <w:rFonts w:hint="eastAsia" w:ascii="宋体" w:hAnsi="宋体" w:eastAsia="宋体" w:cs="宋体"/>
          <w:sz w:val="36"/>
          <w:szCs w:val="36"/>
          <w:highlight w:val="none"/>
        </w:rPr>
        <w:t>第一章  磋商邀请</w:t>
      </w:r>
      <w:bookmarkEnd w:id="2"/>
      <w:bookmarkEnd w:id="3"/>
      <w:bookmarkEnd w:id="4"/>
      <w:bookmarkEnd w:id="5"/>
    </w:p>
    <w:p>
      <w:pPr>
        <w:spacing w:line="360" w:lineRule="auto"/>
        <w:ind w:firstLine="630" w:firstLineChars="300"/>
        <w:jc w:val="left"/>
        <w:rPr>
          <w:rFonts w:hint="eastAsia" w:ascii="宋体" w:hAnsi="宋体" w:eastAsia="宋体" w:cs="宋体"/>
          <w:highlight w:val="none"/>
          <w:u w:val="single"/>
        </w:rPr>
      </w:pPr>
    </w:p>
    <w:p>
      <w:pPr>
        <w:spacing w:line="360" w:lineRule="auto"/>
        <w:ind w:firstLine="482" w:firstLineChars="200"/>
        <w:jc w:val="left"/>
        <w:rPr>
          <w:rFonts w:hint="eastAsia" w:ascii="宋体" w:hAnsi="宋体" w:eastAsia="宋体" w:cs="宋体"/>
          <w:sz w:val="24"/>
          <w:szCs w:val="24"/>
          <w:highlight w:val="none"/>
        </w:rPr>
      </w:pPr>
      <w:r>
        <w:rPr>
          <w:rFonts w:hint="eastAsia" w:ascii="宋体" w:hAnsi="宋体" w:eastAsia="宋体" w:cs="宋体"/>
          <w:b/>
          <w:sz w:val="24"/>
          <w:szCs w:val="24"/>
          <w:highlight w:val="none"/>
          <w:u w:val="single"/>
          <w:lang w:eastAsia="zh-CN"/>
        </w:rPr>
        <w:t>成都金牡丹工程管理咨询有限公司</w:t>
      </w:r>
      <w:r>
        <w:rPr>
          <w:rFonts w:hint="eastAsia" w:ascii="宋体" w:hAnsi="宋体" w:eastAsia="宋体" w:cs="宋体"/>
          <w:sz w:val="24"/>
          <w:szCs w:val="24"/>
          <w:highlight w:val="none"/>
        </w:rPr>
        <w:t>（采购代理机构）受</w:t>
      </w:r>
      <w:r>
        <w:rPr>
          <w:rFonts w:hint="eastAsia" w:ascii="宋体" w:hAnsi="宋体" w:eastAsia="宋体" w:cs="宋体"/>
          <w:b/>
          <w:sz w:val="24"/>
          <w:szCs w:val="24"/>
          <w:highlight w:val="none"/>
          <w:u w:val="single"/>
          <w:lang w:eastAsia="zh-CN"/>
        </w:rPr>
        <w:t>成都市金牛区教育局</w:t>
      </w:r>
      <w:r>
        <w:rPr>
          <w:rFonts w:hint="eastAsia" w:ascii="宋体" w:hAnsi="宋体" w:eastAsia="宋体" w:cs="宋体"/>
          <w:bCs/>
          <w:sz w:val="24"/>
          <w:szCs w:val="24"/>
          <w:highlight w:val="none"/>
        </w:rPr>
        <w:t>（采购人）</w:t>
      </w:r>
      <w:r>
        <w:rPr>
          <w:rFonts w:hint="eastAsia" w:ascii="宋体" w:hAnsi="宋体" w:eastAsia="宋体" w:cs="宋体"/>
          <w:sz w:val="24"/>
          <w:szCs w:val="24"/>
          <w:highlight w:val="none"/>
        </w:rPr>
        <w:t>委托，拟对</w:t>
      </w:r>
      <w:r>
        <w:rPr>
          <w:rFonts w:hint="eastAsia" w:ascii="宋体" w:hAnsi="宋体" w:cs="宋体"/>
          <w:b/>
          <w:sz w:val="24"/>
          <w:szCs w:val="24"/>
          <w:highlight w:val="none"/>
          <w:u w:val="single"/>
          <w:lang w:eastAsia="zh-CN"/>
        </w:rPr>
        <w:t>金牛区教育局2021年人工智能教育服务采购项目</w:t>
      </w:r>
      <w:r>
        <w:rPr>
          <w:rFonts w:hint="eastAsia" w:ascii="宋体" w:hAnsi="宋体" w:eastAsia="宋体" w:cs="宋体"/>
          <w:sz w:val="24"/>
          <w:szCs w:val="24"/>
          <w:highlight w:val="none"/>
        </w:rPr>
        <w:t>采用竞争性磋商方式进行采购，特邀请符合本次采购要求的供应商参加本项目的竞争性磋商。</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一、采购项目基本情况</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1.项目编号</w:t>
      </w:r>
      <w:r>
        <w:rPr>
          <w:rFonts w:hint="eastAsia" w:ascii="宋体" w:hAnsi="宋体" w:eastAsia="宋体" w:cs="宋体"/>
          <w:sz w:val="24"/>
          <w:szCs w:val="24"/>
          <w:highlight w:val="none"/>
        </w:rPr>
        <w:t>：</w:t>
      </w:r>
      <w:r>
        <w:rPr>
          <w:rFonts w:hint="eastAsia" w:ascii="宋体" w:hAnsi="宋体" w:eastAsia="宋体" w:cs="宋体"/>
          <w:color w:val="000000"/>
          <w:sz w:val="24"/>
          <w:szCs w:val="24"/>
          <w:highlight w:val="none"/>
          <w:lang w:eastAsia="zh-CN"/>
        </w:rPr>
        <w:t>详见采购公告</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2.采购项目名称：</w:t>
      </w:r>
      <w:r>
        <w:rPr>
          <w:rFonts w:hint="eastAsia" w:ascii="宋体" w:hAnsi="宋体" w:cs="宋体"/>
          <w:sz w:val="24"/>
          <w:szCs w:val="24"/>
          <w:highlight w:val="none"/>
          <w:lang w:eastAsia="zh-CN"/>
        </w:rPr>
        <w:t>金牛区教育局2021年人工智能教育服务采购项目</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3.采购人：</w:t>
      </w:r>
      <w:r>
        <w:rPr>
          <w:rFonts w:hint="eastAsia" w:ascii="宋体" w:hAnsi="宋体" w:eastAsia="宋体" w:cs="宋体"/>
          <w:sz w:val="24"/>
          <w:szCs w:val="24"/>
          <w:highlight w:val="none"/>
          <w:lang w:eastAsia="zh-CN"/>
        </w:rPr>
        <w:t>成都市金牛区教育局</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4.采购代理机构：</w:t>
      </w:r>
      <w:r>
        <w:rPr>
          <w:rFonts w:hint="eastAsia" w:ascii="宋体" w:hAnsi="宋体" w:eastAsia="宋体" w:cs="宋体"/>
          <w:sz w:val="24"/>
          <w:szCs w:val="24"/>
          <w:highlight w:val="none"/>
          <w:lang w:eastAsia="zh-CN"/>
        </w:rPr>
        <w:t>成都金牡丹工程管理咨询有限公司</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二、资金情况</w:t>
      </w:r>
    </w:p>
    <w:p>
      <w:p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sz w:val="24"/>
          <w:szCs w:val="24"/>
          <w:highlight w:val="none"/>
        </w:rPr>
        <w:t>资金来源</w:t>
      </w:r>
      <w:r>
        <w:rPr>
          <w:rFonts w:hint="eastAsia" w:ascii="宋体" w:hAnsi="宋体" w:eastAsia="宋体" w:cs="宋体"/>
          <w:sz w:val="24"/>
          <w:szCs w:val="24"/>
          <w:highlight w:val="none"/>
        </w:rPr>
        <w:t>及金额：</w:t>
      </w:r>
      <w:r>
        <w:rPr>
          <w:rFonts w:hint="eastAsia" w:ascii="宋体" w:hAnsi="宋体" w:eastAsia="宋体" w:cs="宋体"/>
          <w:bCs/>
          <w:sz w:val="24"/>
          <w:szCs w:val="24"/>
          <w:highlight w:val="none"/>
          <w:lang w:eastAsia="zh-CN"/>
        </w:rPr>
        <w:t>财政性资金</w:t>
      </w:r>
      <w:r>
        <w:rPr>
          <w:rFonts w:hint="eastAsia" w:ascii="宋体" w:hAnsi="宋体" w:eastAsia="宋体" w:cs="宋体"/>
          <w:bCs/>
          <w:sz w:val="24"/>
          <w:szCs w:val="24"/>
          <w:highlight w:val="none"/>
        </w:rPr>
        <w:t>，</w:t>
      </w:r>
      <w:r>
        <w:rPr>
          <w:rFonts w:hint="eastAsia" w:ascii="宋体" w:hAnsi="宋体" w:eastAsia="宋体" w:cs="宋体"/>
          <w:b/>
          <w:bCs w:val="0"/>
          <w:sz w:val="24"/>
          <w:szCs w:val="24"/>
          <w:highlight w:val="none"/>
        </w:rPr>
        <w:t>采购预算（</w:t>
      </w:r>
      <w:r>
        <w:rPr>
          <w:rFonts w:hint="eastAsia" w:ascii="宋体" w:hAnsi="宋体" w:eastAsia="宋体" w:cs="宋体"/>
          <w:b/>
          <w:bCs w:val="0"/>
          <w:sz w:val="24"/>
          <w:szCs w:val="24"/>
          <w:highlight w:val="none"/>
          <w:lang w:eastAsia="zh-CN"/>
        </w:rPr>
        <w:t>同</w:t>
      </w:r>
      <w:r>
        <w:rPr>
          <w:rFonts w:hint="eastAsia" w:ascii="宋体" w:hAnsi="宋体" w:eastAsia="宋体" w:cs="宋体"/>
          <w:b/>
          <w:bCs w:val="0"/>
          <w:sz w:val="24"/>
          <w:szCs w:val="24"/>
          <w:highlight w:val="none"/>
        </w:rPr>
        <w:t>最高限价）：</w:t>
      </w:r>
      <w:r>
        <w:rPr>
          <w:rFonts w:hint="eastAsia" w:ascii="宋体" w:hAnsi="宋体" w:eastAsia="宋体" w:cs="宋体"/>
          <w:b/>
          <w:bCs w:val="0"/>
          <w:sz w:val="24"/>
          <w:szCs w:val="24"/>
          <w:highlight w:val="none"/>
          <w:lang w:val="en-US" w:eastAsia="zh-CN"/>
        </w:rPr>
        <w:t>150万</w:t>
      </w:r>
      <w:r>
        <w:rPr>
          <w:rFonts w:hint="eastAsia" w:ascii="宋体" w:hAnsi="宋体" w:eastAsia="宋体" w:cs="宋体"/>
          <w:b/>
          <w:bCs w:val="0"/>
          <w:sz w:val="24"/>
          <w:szCs w:val="24"/>
          <w:highlight w:val="none"/>
          <w:lang w:eastAsia="zh-CN"/>
        </w:rPr>
        <w:t>元</w:t>
      </w:r>
      <w:r>
        <w:rPr>
          <w:rFonts w:hint="eastAsia" w:ascii="宋体" w:hAnsi="宋体" w:eastAsia="宋体" w:cs="宋体"/>
          <w:bCs/>
          <w:color w:val="auto"/>
          <w:sz w:val="24"/>
          <w:szCs w:val="24"/>
          <w:highlight w:val="none"/>
          <w:lang w:val="en-US" w:eastAsia="zh-CN"/>
        </w:rPr>
        <w:t>；</w:t>
      </w:r>
      <w:r>
        <w:rPr>
          <w:rFonts w:hint="eastAsia" w:ascii="宋体" w:hAnsi="宋体" w:eastAsia="宋体" w:cs="宋体"/>
          <w:b/>
          <w:bCs w:val="0"/>
          <w:color w:val="auto"/>
          <w:sz w:val="24"/>
          <w:szCs w:val="24"/>
          <w:highlight w:val="none"/>
          <w:lang w:val="en-US" w:eastAsia="zh-CN"/>
        </w:rPr>
        <w:t>采购品目编码：</w:t>
      </w:r>
      <w:r>
        <w:rPr>
          <w:rFonts w:hint="eastAsia" w:ascii="宋体" w:hAnsi="宋体" w:cs="宋体"/>
          <w:b/>
          <w:bCs w:val="0"/>
          <w:color w:val="auto"/>
          <w:sz w:val="24"/>
          <w:szCs w:val="24"/>
          <w:highlight w:val="none"/>
          <w:lang w:val="en-US" w:eastAsia="zh-CN"/>
        </w:rPr>
        <w:t>C18</w:t>
      </w:r>
      <w:r>
        <w:rPr>
          <w:rFonts w:hint="eastAsia" w:ascii="宋体" w:hAnsi="宋体" w:eastAsia="宋体" w:cs="宋体"/>
          <w:b/>
          <w:bCs w:val="0"/>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培训服务</w:t>
      </w:r>
      <w:r>
        <w:rPr>
          <w:rFonts w:hint="eastAsia" w:ascii="宋体" w:hAnsi="宋体" w:eastAsia="宋体" w:cs="宋体"/>
          <w:bCs/>
          <w:sz w:val="24"/>
          <w:szCs w:val="24"/>
          <w:highlight w:val="none"/>
        </w:rPr>
        <w:t>。</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三、采购项目简介：</w:t>
      </w:r>
    </w:p>
    <w:p>
      <w:pPr>
        <w:spacing w:line="360" w:lineRule="auto"/>
        <w:ind w:firstLine="420" w:firstLineChars="175"/>
        <w:rPr>
          <w:rFonts w:hint="default" w:ascii="宋体" w:hAnsi="宋体" w:eastAsia="宋体" w:cs="宋体"/>
          <w:b/>
          <w:bCs/>
          <w:color w:val="0000FF"/>
          <w:sz w:val="24"/>
          <w:szCs w:val="24"/>
          <w:highlight w:val="none"/>
          <w:lang w:val="en-US" w:eastAsia="zh-CN"/>
        </w:rPr>
      </w:pPr>
      <w:r>
        <w:rPr>
          <w:rFonts w:hint="eastAsia" w:ascii="宋体" w:hAnsi="宋体" w:eastAsia="宋体" w:cs="宋体"/>
          <w:sz w:val="24"/>
          <w:szCs w:val="24"/>
          <w:highlight w:val="none"/>
        </w:rPr>
        <w:t>本项目</w:t>
      </w:r>
      <w:r>
        <w:rPr>
          <w:rFonts w:hint="eastAsia" w:ascii="宋体" w:hAnsi="宋体" w:eastAsia="宋体" w:cs="宋体"/>
          <w:color w:val="000000" w:themeColor="text1"/>
          <w:sz w:val="24"/>
          <w:szCs w:val="24"/>
          <w:highlight w:val="none"/>
          <w14:textFill>
            <w14:solidFill>
              <w14:schemeClr w14:val="tx1"/>
            </w14:solidFill>
          </w14:textFill>
        </w:rPr>
        <w:t>共</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个</w:t>
      </w:r>
      <w:r>
        <w:rPr>
          <w:rFonts w:hint="eastAsia" w:ascii="宋体" w:hAnsi="宋体" w:eastAsia="宋体" w:cs="宋体"/>
          <w:color w:val="000000" w:themeColor="text1"/>
          <w:sz w:val="24"/>
          <w:szCs w:val="24"/>
          <w:highlight w:val="none"/>
          <w14:textFill>
            <w14:solidFill>
              <w14:schemeClr w14:val="tx1"/>
            </w14:solidFill>
          </w14:textFill>
        </w:rPr>
        <w:t>包件</w:t>
      </w:r>
      <w:bookmarkStart w:id="6" w:name="_Toc371692913"/>
      <w:bookmarkStart w:id="7" w:name="_Toc367783318"/>
      <w:r>
        <w:rPr>
          <w:rFonts w:hint="eastAsia" w:ascii="宋体" w:hAnsi="宋体" w:eastAsia="宋体" w:cs="宋体"/>
          <w:color w:val="000000" w:themeColor="text1"/>
          <w:sz w:val="24"/>
          <w:szCs w:val="24"/>
          <w:highlight w:val="none"/>
          <w:lang w:eastAsia="zh-CN"/>
          <w14:textFill>
            <w14:solidFill>
              <w14:schemeClr w14:val="tx1"/>
            </w14:solidFill>
          </w14:textFill>
        </w:rPr>
        <w:t>，本项目所属行业为：</w:t>
      </w:r>
      <w:r>
        <w:rPr>
          <w:rFonts w:hint="eastAsia" w:ascii="宋体" w:hAnsi="宋体" w:cs="宋体"/>
          <w:b/>
          <w:bCs/>
          <w:color w:val="000000" w:themeColor="text1"/>
          <w:sz w:val="24"/>
          <w:szCs w:val="24"/>
          <w:highlight w:val="none"/>
          <w:lang w:val="en-US" w:eastAsia="zh-CN"/>
          <w14:textFill>
            <w14:solidFill>
              <w14:schemeClr w14:val="tx1"/>
            </w14:solidFill>
          </w14:textFill>
        </w:rPr>
        <w:t>其他未列明行业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包</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标的名称：中学课程服务；包</w:t>
      </w:r>
      <w:r>
        <w:rPr>
          <w:rFonts w:hint="eastAsia" w:ascii="宋体" w:hAnsi="宋体" w:cs="宋体"/>
          <w:color w:val="000000" w:themeColor="text1"/>
          <w:sz w:val="24"/>
          <w:szCs w:val="24"/>
          <w:highlight w:val="none"/>
          <w:lang w:val="en-US" w:eastAsia="zh-CN"/>
          <w14:textFill>
            <w14:solidFill>
              <w14:schemeClr w14:val="tx1"/>
            </w14:solidFill>
          </w14:textFill>
        </w:rPr>
        <w:t>2标的名称：小学课程及人工智能教室服务；包3标的名称：智慧教育种子教育培训、人工智能种子教师培训及区域虚拟实验教学成果编制。</w:t>
      </w:r>
    </w:p>
    <w:p>
      <w:pPr>
        <w:spacing w:line="360" w:lineRule="auto"/>
        <w:ind w:firstLine="420" w:firstLineChars="175"/>
        <w:rPr>
          <w:rFonts w:hint="eastAsia" w:ascii="宋体" w:hAnsi="宋体" w:eastAsia="宋体" w:cs="宋体"/>
          <w:sz w:val="24"/>
          <w:szCs w:val="24"/>
          <w:highlight w:val="none"/>
        </w:rPr>
      </w:pPr>
      <w:r>
        <w:rPr>
          <w:rFonts w:hint="eastAsia" w:ascii="宋体" w:hAnsi="宋体" w:eastAsia="宋体" w:cs="宋体"/>
          <w:sz w:val="24"/>
          <w:szCs w:val="24"/>
          <w:highlight w:val="none"/>
        </w:rPr>
        <w:t>本项目为</w:t>
      </w:r>
      <w:r>
        <w:rPr>
          <w:rFonts w:hint="eastAsia" w:ascii="宋体" w:hAnsi="宋体" w:cs="宋体"/>
          <w:sz w:val="24"/>
          <w:szCs w:val="24"/>
          <w:highlight w:val="none"/>
          <w:lang w:eastAsia="zh-CN"/>
        </w:rPr>
        <w:t>金牛区教育局2021年人工智能教育服务采购项目</w:t>
      </w:r>
      <w:r>
        <w:rPr>
          <w:rFonts w:hint="eastAsia" w:ascii="宋体" w:hAnsi="宋体" w:eastAsia="宋体" w:cs="宋体"/>
          <w:sz w:val="24"/>
          <w:szCs w:val="24"/>
          <w:highlight w:val="none"/>
        </w:rPr>
        <w:t>择优选合格供应商</w:t>
      </w:r>
      <w:bookmarkEnd w:id="6"/>
      <w:bookmarkEnd w:id="7"/>
      <w:r>
        <w:rPr>
          <w:rFonts w:hint="eastAsia" w:ascii="宋体" w:hAnsi="宋体" w:eastAsia="宋体" w:cs="宋体"/>
          <w:b/>
          <w:bCs/>
          <w:sz w:val="24"/>
          <w:szCs w:val="24"/>
          <w:highlight w:val="none"/>
        </w:rPr>
        <w:t>（具体要求详见磋商文件第五章）</w:t>
      </w:r>
      <w:r>
        <w:rPr>
          <w:rFonts w:hint="eastAsia" w:ascii="宋体" w:hAnsi="宋体" w:eastAsia="宋体" w:cs="宋体"/>
          <w:sz w:val="24"/>
          <w:szCs w:val="24"/>
          <w:highlight w:val="none"/>
        </w:rPr>
        <w:t>。</w:t>
      </w:r>
    </w:p>
    <w:p>
      <w:pPr>
        <w:spacing w:after="120"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四、供应商邀请方式</w:t>
      </w:r>
    </w:p>
    <w:p>
      <w:pPr>
        <w:spacing w:line="360" w:lineRule="auto"/>
        <w:ind w:firstLine="420" w:firstLineChars="175"/>
        <w:rPr>
          <w:rFonts w:hint="eastAsia" w:ascii="宋体" w:hAnsi="宋体" w:eastAsia="宋体" w:cs="宋体"/>
          <w:sz w:val="24"/>
          <w:szCs w:val="24"/>
          <w:highlight w:val="none"/>
        </w:rPr>
      </w:pPr>
      <w:r>
        <w:rPr>
          <w:rFonts w:hint="eastAsia" w:ascii="宋体" w:hAnsi="宋体" w:eastAsia="宋体" w:cs="宋体"/>
          <w:sz w:val="24"/>
          <w:szCs w:val="24"/>
          <w:highlight w:val="none"/>
        </w:rPr>
        <w:t>本次竞争性磋商邀请在</w:t>
      </w:r>
      <w:r>
        <w:rPr>
          <w:rFonts w:hint="eastAsia" w:ascii="宋体" w:hAnsi="宋体" w:eastAsia="宋体" w:cs="宋体"/>
          <w:b/>
          <w:bCs/>
          <w:sz w:val="24"/>
          <w:szCs w:val="24"/>
          <w:highlight w:val="none"/>
        </w:rPr>
        <w:t>四川政府采购网（www.ccgp-sichuan.gov.cn）</w:t>
      </w:r>
      <w:r>
        <w:rPr>
          <w:rFonts w:hint="eastAsia" w:ascii="宋体" w:hAnsi="宋体" w:eastAsia="宋体" w:cs="宋体"/>
          <w:sz w:val="24"/>
          <w:szCs w:val="24"/>
          <w:highlight w:val="none"/>
        </w:rPr>
        <w:t>上以公告形式发布。</w:t>
      </w:r>
    </w:p>
    <w:p>
      <w:pPr>
        <w:spacing w:after="120"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五、供应商参加本次政府采购活动应具备下列条件</w:t>
      </w:r>
    </w:p>
    <w:p>
      <w:pPr>
        <w:pStyle w:val="67"/>
        <w:spacing w:line="360" w:lineRule="auto"/>
        <w:ind w:firstLine="720" w:firstLineChars="3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（一）满足《中华人民共和国政府采购法》第二十二条规定：</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1、具有独立承担民事责任的能力；</w:t>
      </w:r>
      <w:bookmarkStart w:id="262" w:name="_GoBack"/>
      <w:bookmarkEnd w:id="262"/>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2、具有良好的商业信誉和健全的财务会计制度；</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3、具有履行合同所必需的设备和专业技术能力；</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4、具有依法缴纳税收和社会保障资金的良好记录；</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5、参加本次政府采购活动前三年内，在经营活动中没有重大违法记录；</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6</w:t>
      </w:r>
      <w:r>
        <w:rPr>
          <w:rFonts w:hint="eastAsia" w:ascii="宋体" w:hAnsi="宋体" w:eastAsia="宋体" w:cs="宋体"/>
          <w:kern w:val="2"/>
          <w:sz w:val="24"/>
          <w:szCs w:val="24"/>
          <w:highlight w:val="none"/>
          <w:lang w:val="zh-CN" w:eastAsia="zh-CN" w:bidi="ar-SA"/>
        </w:rPr>
        <w:t>、法律、行政法规规定的其他条件。</w:t>
      </w:r>
    </w:p>
    <w:p>
      <w:pPr>
        <w:pStyle w:val="67"/>
        <w:ind w:firstLine="720" w:firstLineChars="3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（二）落实政府采购政策需满足的资</w:t>
      </w:r>
      <w:r>
        <w:rPr>
          <w:rFonts w:hint="eastAsia" w:ascii="宋体" w:hAnsi="宋体" w:eastAsia="宋体" w:cs="宋体"/>
          <w:kern w:val="2"/>
          <w:sz w:val="24"/>
          <w:szCs w:val="24"/>
          <w:highlight w:val="none"/>
          <w:lang w:val="en-US" w:eastAsia="zh-CN" w:bidi="ar-SA"/>
        </w:rPr>
        <w:t>格要求：本项目专门面向中小企业采购(监狱企业、残疾人福利性单位均视同小微企业)。</w:t>
      </w:r>
    </w:p>
    <w:p>
      <w:pPr>
        <w:pStyle w:val="67"/>
        <w:spacing w:line="360" w:lineRule="auto"/>
        <w:ind w:firstLine="720" w:firstLineChars="3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（三）本项目的特定资格要求：无。</w:t>
      </w:r>
    </w:p>
    <w:p>
      <w:pPr>
        <w:spacing w:after="120" w:line="360" w:lineRule="auto"/>
        <w:ind w:firstLine="482" w:firstLineChars="200"/>
        <w:rPr>
          <w:rFonts w:hint="eastAsia" w:ascii="宋体" w:hAnsi="宋体" w:eastAsia="宋体" w:cs="宋体"/>
          <w:b/>
          <w:bCs/>
          <w:color w:val="000000"/>
          <w:sz w:val="24"/>
          <w:szCs w:val="24"/>
          <w:highlight w:val="none"/>
          <w:lang w:val="zh-CN" w:eastAsia="zh-CN"/>
        </w:rPr>
      </w:pPr>
      <w:r>
        <w:rPr>
          <w:rFonts w:hint="eastAsia" w:ascii="宋体" w:hAnsi="宋体" w:eastAsia="宋体" w:cs="宋体"/>
          <w:b/>
          <w:bCs/>
          <w:color w:val="000000"/>
          <w:sz w:val="24"/>
          <w:szCs w:val="24"/>
          <w:highlight w:val="none"/>
          <w:lang w:val="en-US" w:eastAsia="zh-CN"/>
        </w:rPr>
        <w:t>六</w:t>
      </w:r>
      <w:r>
        <w:rPr>
          <w:rFonts w:hint="eastAsia" w:ascii="宋体" w:hAnsi="宋体" w:eastAsia="宋体" w:cs="宋体"/>
          <w:b/>
          <w:bCs/>
          <w:color w:val="000000"/>
          <w:sz w:val="24"/>
          <w:szCs w:val="24"/>
          <w:highlight w:val="none"/>
          <w:lang w:val="zh-CN" w:eastAsia="zh-CN"/>
        </w:rPr>
        <w:t>、本项目不接受联合体响应。</w:t>
      </w:r>
    </w:p>
    <w:p>
      <w:pPr>
        <w:spacing w:after="120"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七</w:t>
      </w:r>
      <w:r>
        <w:rPr>
          <w:rFonts w:hint="eastAsia" w:ascii="宋体" w:hAnsi="宋体" w:eastAsia="宋体" w:cs="宋体"/>
          <w:b/>
          <w:bCs/>
          <w:color w:val="000000"/>
          <w:sz w:val="24"/>
          <w:szCs w:val="24"/>
          <w:highlight w:val="none"/>
        </w:rPr>
        <w:t>、禁止参加本次采购活动的供应商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1.根据《</w:t>
      </w:r>
      <w:r>
        <w:rPr>
          <w:rFonts w:hint="eastAsia" w:ascii="宋体" w:hAnsi="宋体" w:eastAsia="宋体" w:cs="宋体"/>
          <w:sz w:val="24"/>
          <w:szCs w:val="24"/>
          <w:highlight w:val="none"/>
          <w:lang w:val="zh-CN"/>
        </w:rPr>
        <w:t>财政部</w:t>
      </w:r>
      <w:r>
        <w:rPr>
          <w:rFonts w:hint="eastAsia" w:ascii="宋体" w:hAnsi="宋体" w:eastAsia="宋体" w:cs="宋体"/>
          <w:sz w:val="24"/>
          <w:szCs w:val="24"/>
          <w:highlight w:val="none"/>
        </w:rPr>
        <w:t>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63" w:firstLineChars="193"/>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lang w:val="zh-CN" w:eastAsia="zh-CN"/>
        </w:rPr>
        <w:t>参加本项目政府采购活动的供应商</w:t>
      </w:r>
      <w:r>
        <w:rPr>
          <w:rFonts w:hint="eastAsia" w:ascii="宋体" w:hAnsi="宋体" w:eastAsia="宋体" w:cs="宋体"/>
          <w:sz w:val="24"/>
          <w:highlight w:val="none"/>
        </w:rPr>
        <w:t>及其现任法定代表人/主要负责人不得具有行贿犯罪记录</w:t>
      </w:r>
      <w:r>
        <w:rPr>
          <w:rFonts w:hint="eastAsia" w:ascii="宋体" w:hAnsi="宋体" w:eastAsia="宋体" w:cs="宋体"/>
          <w:sz w:val="24"/>
          <w:highlight w:val="none"/>
          <w:lang w:eastAsia="zh-CN"/>
        </w:rPr>
        <w:t>。</w:t>
      </w:r>
    </w:p>
    <w:p>
      <w:pPr>
        <w:spacing w:line="360" w:lineRule="auto"/>
        <w:ind w:firstLine="463" w:firstLineChars="193"/>
        <w:rPr>
          <w:rFonts w:hint="eastAsia" w:ascii="宋体" w:hAnsi="宋体" w:eastAsia="宋体" w:cs="宋体"/>
          <w:sz w:val="24"/>
          <w:highlight w:val="none"/>
          <w:lang w:val="zh-CN" w:eastAsia="zh-CN"/>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zh-CN" w:eastAsia="zh-CN"/>
        </w:rPr>
        <w:t>单位负责人为同一人或者存在直接控股、管理关系的不同供应商。</w:t>
      </w:r>
    </w:p>
    <w:p>
      <w:pPr>
        <w:spacing w:after="120" w:line="360" w:lineRule="auto"/>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八</w:t>
      </w:r>
      <w:r>
        <w:rPr>
          <w:rFonts w:hint="eastAsia" w:ascii="宋体" w:hAnsi="宋体" w:eastAsia="宋体" w:cs="宋体"/>
          <w:b/>
          <w:bCs/>
          <w:color w:val="000000"/>
          <w:sz w:val="24"/>
          <w:szCs w:val="24"/>
          <w:highlight w:val="none"/>
        </w:rPr>
        <w:t>、磋商文件获取方式、时间、地点：</w:t>
      </w:r>
    </w:p>
    <w:p>
      <w:pPr>
        <w:spacing w:line="440" w:lineRule="exact"/>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磋商文件</w:t>
      </w:r>
      <w:r>
        <w:rPr>
          <w:rFonts w:hint="eastAsia" w:ascii="宋体" w:hAnsi="宋体" w:eastAsia="宋体" w:cs="宋体"/>
          <w:color w:val="000000"/>
          <w:sz w:val="24"/>
          <w:szCs w:val="24"/>
          <w:highlight w:val="none"/>
          <w:lang w:eastAsia="zh-CN"/>
        </w:rPr>
        <w:t>获取（即报名）时间：</w:t>
      </w:r>
      <w:r>
        <w:rPr>
          <w:rFonts w:hint="eastAsia" w:ascii="宋体" w:hAnsi="宋体" w:eastAsia="宋体" w:cs="宋体"/>
          <w:b/>
          <w:bCs/>
          <w:color w:val="FF0000"/>
          <w:sz w:val="24"/>
          <w:szCs w:val="24"/>
          <w:highlight w:val="none"/>
        </w:rPr>
        <w:t>自2021年</w:t>
      </w:r>
      <w:r>
        <w:rPr>
          <w:rFonts w:hint="eastAsia" w:ascii="宋体" w:hAnsi="宋体" w:eastAsia="宋体" w:cs="宋体"/>
          <w:b/>
          <w:bCs/>
          <w:color w:val="FF0000"/>
          <w:sz w:val="24"/>
          <w:szCs w:val="24"/>
          <w:highlight w:val="none"/>
          <w:lang w:val="en-US" w:eastAsia="zh-CN"/>
        </w:rPr>
        <w:t>09</w:t>
      </w:r>
      <w:r>
        <w:rPr>
          <w:rFonts w:hint="eastAsia" w:ascii="宋体" w:hAnsi="宋体" w:eastAsia="宋体" w:cs="宋体"/>
          <w:b/>
          <w:bCs/>
          <w:color w:val="FF0000"/>
          <w:sz w:val="24"/>
          <w:szCs w:val="24"/>
          <w:highlight w:val="none"/>
        </w:rPr>
        <w:t>月</w:t>
      </w:r>
      <w:r>
        <w:rPr>
          <w:rFonts w:hint="eastAsia" w:ascii="宋体" w:hAnsi="宋体" w:eastAsia="宋体" w:cs="宋体"/>
          <w:b/>
          <w:bCs/>
          <w:color w:val="FF0000"/>
          <w:sz w:val="24"/>
          <w:szCs w:val="24"/>
          <w:highlight w:val="none"/>
          <w:lang w:val="en-US" w:eastAsia="zh-CN"/>
        </w:rPr>
        <w:t>1</w:t>
      </w:r>
      <w:r>
        <w:rPr>
          <w:rFonts w:hint="eastAsia" w:ascii="宋体" w:hAnsi="宋体" w:cs="宋体"/>
          <w:b/>
          <w:bCs/>
          <w:color w:val="FF0000"/>
          <w:sz w:val="24"/>
          <w:szCs w:val="24"/>
          <w:highlight w:val="none"/>
          <w:lang w:val="en-US" w:eastAsia="zh-CN"/>
        </w:rPr>
        <w:t>7</w:t>
      </w:r>
      <w:r>
        <w:rPr>
          <w:rFonts w:hint="eastAsia" w:ascii="宋体" w:hAnsi="宋体" w:eastAsia="宋体" w:cs="宋体"/>
          <w:b/>
          <w:bCs/>
          <w:color w:val="FF0000"/>
          <w:sz w:val="24"/>
          <w:szCs w:val="24"/>
          <w:highlight w:val="none"/>
        </w:rPr>
        <w:t>日至2021年</w:t>
      </w:r>
      <w:r>
        <w:rPr>
          <w:rFonts w:hint="eastAsia" w:ascii="宋体" w:hAnsi="宋体" w:eastAsia="宋体" w:cs="宋体"/>
          <w:b/>
          <w:bCs/>
          <w:color w:val="FF0000"/>
          <w:sz w:val="24"/>
          <w:szCs w:val="24"/>
          <w:highlight w:val="none"/>
          <w:lang w:val="en-US" w:eastAsia="zh-CN"/>
        </w:rPr>
        <w:t>09</w:t>
      </w:r>
      <w:r>
        <w:rPr>
          <w:rFonts w:hint="eastAsia" w:ascii="宋体" w:hAnsi="宋体" w:eastAsia="宋体" w:cs="宋体"/>
          <w:b/>
          <w:bCs/>
          <w:color w:val="FF0000"/>
          <w:sz w:val="24"/>
          <w:szCs w:val="24"/>
          <w:highlight w:val="none"/>
        </w:rPr>
        <w:t>月</w:t>
      </w:r>
      <w:r>
        <w:rPr>
          <w:rFonts w:hint="eastAsia" w:ascii="宋体" w:hAnsi="宋体" w:cs="宋体"/>
          <w:b/>
          <w:bCs/>
          <w:color w:val="FF0000"/>
          <w:sz w:val="24"/>
          <w:szCs w:val="24"/>
          <w:highlight w:val="none"/>
          <w:lang w:val="en-US" w:eastAsia="zh-CN"/>
        </w:rPr>
        <w:t>24</w:t>
      </w:r>
      <w:r>
        <w:rPr>
          <w:rFonts w:hint="eastAsia" w:ascii="宋体" w:hAnsi="宋体" w:eastAsia="宋体" w:cs="宋体"/>
          <w:b/>
          <w:bCs/>
          <w:color w:val="FF0000"/>
          <w:sz w:val="24"/>
          <w:szCs w:val="24"/>
          <w:highlight w:val="none"/>
        </w:rPr>
        <w:t>日</w:t>
      </w:r>
      <w:r>
        <w:rPr>
          <w:rFonts w:hint="eastAsia" w:ascii="宋体" w:hAnsi="宋体" w:eastAsia="宋体" w:cs="宋体"/>
          <w:b/>
          <w:bCs/>
          <w:color w:val="FF0000"/>
          <w:sz w:val="24"/>
          <w:szCs w:val="24"/>
          <w:highlight w:val="none"/>
        </w:rPr>
        <w:t>09:00- 17:00</w:t>
      </w:r>
      <w:r>
        <w:rPr>
          <w:rFonts w:hint="eastAsia" w:ascii="宋体" w:hAnsi="宋体" w:eastAsia="宋体" w:cs="宋体"/>
          <w:color w:val="000000"/>
          <w:sz w:val="24"/>
          <w:szCs w:val="24"/>
          <w:highlight w:val="none"/>
        </w:rPr>
        <w:t>（北京时间，法定节假日除外）</w:t>
      </w:r>
      <w:r>
        <w:rPr>
          <w:rFonts w:hint="eastAsia" w:ascii="宋体" w:hAnsi="宋体" w:eastAsia="宋体" w:cs="宋体"/>
          <w:color w:val="000000"/>
          <w:sz w:val="24"/>
          <w:szCs w:val="24"/>
          <w:highlight w:val="none"/>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本项目</w:t>
      </w:r>
      <w:r>
        <w:rPr>
          <w:rFonts w:hint="eastAsia" w:ascii="宋体" w:hAnsi="宋体" w:eastAsia="宋体" w:cs="宋体"/>
          <w:b/>
          <w:bCs/>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b/>
          <w:bCs/>
          <w:color w:val="000000" w:themeColor="text1"/>
          <w:sz w:val="24"/>
          <w:szCs w:val="24"/>
          <w:highlight w:val="none"/>
          <w14:textFill>
            <w14:solidFill>
              <w14:schemeClr w14:val="tx1"/>
            </w14:solidFill>
          </w14:textFill>
        </w:rPr>
        <w:t>无偿获取（</w:t>
      </w:r>
      <w:r>
        <w:rPr>
          <w:rFonts w:hint="eastAsia" w:ascii="宋体" w:hAnsi="宋体" w:eastAsia="宋体" w:cs="宋体"/>
          <w:b/>
          <w:bCs/>
          <w:color w:val="000000" w:themeColor="text1"/>
          <w:sz w:val="24"/>
          <w:szCs w:val="24"/>
          <w:highlight w:val="none"/>
          <w:lang w:eastAsia="zh-CN"/>
          <w14:textFill>
            <w14:solidFill>
              <w14:schemeClr w14:val="tx1"/>
            </w14:solidFill>
          </w14:textFill>
        </w:rPr>
        <w:t>磋商文件</w:t>
      </w:r>
      <w:r>
        <w:rPr>
          <w:rFonts w:hint="eastAsia" w:ascii="宋体" w:hAnsi="宋体" w:eastAsia="宋体" w:cs="宋体"/>
          <w:b/>
          <w:bCs/>
          <w:color w:val="000000" w:themeColor="text1"/>
          <w:sz w:val="24"/>
          <w:szCs w:val="24"/>
          <w:highlight w:val="none"/>
          <w14:textFill>
            <w14:solidFill>
              <w14:schemeClr w14:val="tx1"/>
            </w14:solidFill>
          </w14:textFill>
        </w:rPr>
        <w:t>售后不退，投标资格不能转让）</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本项目磋商文件供应商从“政府采购云平台”获取采购文件（https://www.zcygov.cn）。登录“政府采购云平台”—项目采购—获取采购文件—申请获取采购文件</w:t>
      </w:r>
      <w:r>
        <w:rPr>
          <w:rFonts w:hint="eastAsia" w:ascii="宋体" w:hAnsi="宋体" w:eastAsia="宋体" w:cs="宋体"/>
          <w:color w:val="000000"/>
          <w:sz w:val="24"/>
          <w:szCs w:val="24"/>
          <w:highlight w:val="none"/>
        </w:rPr>
        <w:t>。</w:t>
      </w:r>
    </w:p>
    <w:p>
      <w:pPr>
        <w:spacing w:after="120" w:line="440" w:lineRule="exact"/>
        <w:ind w:firstLine="482" w:firstLineChars="200"/>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lang w:eastAsia="zh-CN"/>
        </w:rPr>
        <w:t>九</w:t>
      </w:r>
      <w:r>
        <w:rPr>
          <w:rFonts w:hint="eastAsia" w:ascii="宋体" w:hAnsi="宋体" w:eastAsia="宋体" w:cs="宋体"/>
          <w:b/>
          <w:color w:val="000000"/>
          <w:sz w:val="24"/>
          <w:szCs w:val="24"/>
          <w:highlight w:val="none"/>
        </w:rPr>
        <w:t>、递交响应文件截止时间：</w:t>
      </w:r>
      <w:r>
        <w:rPr>
          <w:rFonts w:hint="eastAsia" w:ascii="宋体" w:hAnsi="宋体" w:eastAsia="宋体" w:cs="宋体"/>
          <w:b/>
          <w:bCs w:val="0"/>
          <w:color w:val="FF0000"/>
          <w:sz w:val="24"/>
          <w:szCs w:val="24"/>
          <w:highlight w:val="none"/>
        </w:rPr>
        <w:t>2021年</w:t>
      </w:r>
      <w:r>
        <w:rPr>
          <w:rFonts w:hint="eastAsia" w:ascii="宋体" w:hAnsi="宋体" w:eastAsia="宋体" w:cs="宋体"/>
          <w:b/>
          <w:bCs w:val="0"/>
          <w:color w:val="FF0000"/>
          <w:sz w:val="24"/>
          <w:szCs w:val="24"/>
          <w:highlight w:val="none"/>
          <w:lang w:val="en-US" w:eastAsia="zh-CN"/>
        </w:rPr>
        <w:t>09</w:t>
      </w:r>
      <w:r>
        <w:rPr>
          <w:rFonts w:hint="eastAsia" w:ascii="宋体" w:hAnsi="宋体" w:eastAsia="宋体" w:cs="宋体"/>
          <w:b/>
          <w:bCs w:val="0"/>
          <w:color w:val="FF0000"/>
          <w:sz w:val="24"/>
          <w:szCs w:val="24"/>
          <w:highlight w:val="none"/>
        </w:rPr>
        <w:t>月</w:t>
      </w:r>
      <w:r>
        <w:rPr>
          <w:rFonts w:hint="eastAsia" w:ascii="宋体" w:hAnsi="宋体" w:eastAsia="宋体" w:cs="宋体"/>
          <w:b/>
          <w:bCs w:val="0"/>
          <w:color w:val="FF0000"/>
          <w:sz w:val="24"/>
          <w:szCs w:val="24"/>
          <w:highlight w:val="none"/>
          <w:lang w:val="en-US" w:eastAsia="zh-CN"/>
        </w:rPr>
        <w:t>2</w:t>
      </w:r>
      <w:r>
        <w:rPr>
          <w:rFonts w:hint="eastAsia" w:ascii="宋体" w:hAnsi="宋体" w:cs="宋体"/>
          <w:b/>
          <w:bCs w:val="0"/>
          <w:color w:val="FF0000"/>
          <w:sz w:val="24"/>
          <w:szCs w:val="24"/>
          <w:highlight w:val="none"/>
          <w:lang w:val="en-US" w:eastAsia="zh-CN"/>
        </w:rPr>
        <w:t>7</w:t>
      </w:r>
      <w:r>
        <w:rPr>
          <w:rFonts w:hint="eastAsia" w:ascii="宋体" w:hAnsi="宋体" w:eastAsia="宋体" w:cs="宋体"/>
          <w:b/>
          <w:bCs w:val="0"/>
          <w:color w:val="FF0000"/>
          <w:sz w:val="24"/>
          <w:szCs w:val="24"/>
          <w:highlight w:val="none"/>
        </w:rPr>
        <w:t>日</w:t>
      </w:r>
      <w:r>
        <w:rPr>
          <w:rFonts w:hint="eastAsia" w:ascii="宋体" w:hAnsi="宋体" w:eastAsia="宋体" w:cs="宋体"/>
          <w:b/>
          <w:bCs w:val="0"/>
          <w:color w:val="FF0000"/>
          <w:sz w:val="24"/>
          <w:szCs w:val="24"/>
          <w:highlight w:val="none"/>
          <w:lang w:val="en-US" w:eastAsia="zh-CN"/>
        </w:rPr>
        <w:t>1</w:t>
      </w:r>
      <w:r>
        <w:rPr>
          <w:rFonts w:hint="eastAsia" w:ascii="宋体" w:hAnsi="宋体" w:cs="宋体"/>
          <w:b/>
          <w:bCs w:val="0"/>
          <w:color w:val="FF0000"/>
          <w:sz w:val="24"/>
          <w:szCs w:val="24"/>
          <w:highlight w:val="none"/>
          <w:lang w:val="en-US" w:eastAsia="zh-CN"/>
        </w:rPr>
        <w:t>0</w:t>
      </w:r>
      <w:r>
        <w:rPr>
          <w:rFonts w:hint="eastAsia" w:ascii="宋体" w:hAnsi="宋体" w:eastAsia="宋体" w:cs="宋体"/>
          <w:b/>
          <w:bCs w:val="0"/>
          <w:color w:val="FF0000"/>
          <w:sz w:val="24"/>
          <w:szCs w:val="24"/>
          <w:highlight w:val="none"/>
        </w:rPr>
        <w:t>:</w:t>
      </w:r>
      <w:r>
        <w:rPr>
          <w:rFonts w:hint="eastAsia" w:ascii="宋体" w:hAnsi="宋体" w:cs="宋体"/>
          <w:b/>
          <w:bCs w:val="0"/>
          <w:color w:val="FF0000"/>
          <w:sz w:val="24"/>
          <w:szCs w:val="24"/>
          <w:highlight w:val="none"/>
          <w:lang w:val="en-US" w:eastAsia="zh-CN"/>
        </w:rPr>
        <w:t>3</w:t>
      </w:r>
      <w:r>
        <w:rPr>
          <w:rFonts w:hint="eastAsia" w:ascii="宋体" w:hAnsi="宋体" w:eastAsia="宋体" w:cs="宋体"/>
          <w:b/>
          <w:bCs w:val="0"/>
          <w:color w:val="FF0000"/>
          <w:sz w:val="24"/>
          <w:szCs w:val="24"/>
          <w:highlight w:val="none"/>
        </w:rPr>
        <w:t xml:space="preserve">0 </w:t>
      </w:r>
      <w:r>
        <w:rPr>
          <w:rFonts w:hint="eastAsia" w:ascii="宋体" w:hAnsi="宋体" w:eastAsia="宋体" w:cs="宋体"/>
          <w:color w:val="000000"/>
          <w:sz w:val="24"/>
          <w:szCs w:val="24"/>
          <w:highlight w:val="none"/>
        </w:rPr>
        <w:t>（北京时间）。</w:t>
      </w:r>
    </w:p>
    <w:p>
      <w:pPr>
        <w:spacing w:after="120" w:line="440" w:lineRule="exact"/>
        <w:ind w:firstLine="482" w:firstLineChars="200"/>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lang w:eastAsia="zh-CN"/>
        </w:rPr>
        <w:t>十</w:t>
      </w:r>
      <w:r>
        <w:rPr>
          <w:rFonts w:hint="eastAsia" w:ascii="宋体" w:hAnsi="宋体" w:eastAsia="宋体" w:cs="宋体"/>
          <w:b/>
          <w:color w:val="000000"/>
          <w:sz w:val="24"/>
          <w:szCs w:val="24"/>
          <w:highlight w:val="none"/>
        </w:rPr>
        <w:t>、递交响应文件地点：</w:t>
      </w:r>
      <w:r>
        <w:rPr>
          <w:rFonts w:hint="eastAsia" w:ascii="宋体" w:hAnsi="宋体" w:eastAsia="宋体" w:cs="宋体"/>
          <w:sz w:val="24"/>
          <w:szCs w:val="24"/>
          <w:highlight w:val="none"/>
        </w:rPr>
        <w:t>响应文件必须在递交响应文件截止时间前送达磋商地点。逾期送达、密封和标注错误的响应文件，</w:t>
      </w:r>
      <w:r>
        <w:rPr>
          <w:rFonts w:hint="eastAsia" w:ascii="宋体" w:hAnsi="宋体" w:eastAsia="宋体" w:cs="宋体"/>
          <w:color w:val="000000"/>
          <w:sz w:val="24"/>
          <w:szCs w:val="24"/>
          <w:highlight w:val="none"/>
        </w:rPr>
        <w:t>采购代理机构</w:t>
      </w:r>
      <w:r>
        <w:rPr>
          <w:rFonts w:hint="eastAsia" w:ascii="宋体" w:hAnsi="宋体" w:eastAsia="宋体" w:cs="宋体"/>
          <w:sz w:val="24"/>
          <w:szCs w:val="24"/>
          <w:highlight w:val="none"/>
        </w:rPr>
        <w:t>恕不接收。本次采购不接收邮寄的响应文件。</w:t>
      </w:r>
    </w:p>
    <w:p>
      <w:pPr>
        <w:spacing w:after="120" w:line="440" w:lineRule="exact"/>
        <w:ind w:firstLine="482" w:firstLineChars="200"/>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十</w:t>
      </w:r>
      <w:r>
        <w:rPr>
          <w:rFonts w:hint="eastAsia" w:ascii="宋体" w:hAnsi="宋体" w:eastAsia="宋体" w:cs="宋体"/>
          <w:b/>
          <w:color w:val="000000"/>
          <w:sz w:val="24"/>
          <w:szCs w:val="24"/>
          <w:highlight w:val="none"/>
          <w:lang w:eastAsia="zh-CN"/>
        </w:rPr>
        <w:t>一</w:t>
      </w:r>
      <w:r>
        <w:rPr>
          <w:rFonts w:hint="eastAsia" w:ascii="宋体" w:hAnsi="宋体" w:eastAsia="宋体" w:cs="宋体"/>
          <w:b/>
          <w:color w:val="000000"/>
          <w:sz w:val="24"/>
          <w:szCs w:val="24"/>
          <w:highlight w:val="none"/>
        </w:rPr>
        <w:t>、响应文件开启时间：</w:t>
      </w:r>
      <w:r>
        <w:rPr>
          <w:rFonts w:hint="eastAsia" w:ascii="宋体" w:hAnsi="宋体" w:eastAsia="宋体" w:cs="宋体"/>
          <w:b/>
          <w:bCs w:val="0"/>
          <w:color w:val="FF0000"/>
          <w:sz w:val="24"/>
          <w:szCs w:val="24"/>
          <w:highlight w:val="none"/>
        </w:rPr>
        <w:t>2021年</w:t>
      </w:r>
      <w:r>
        <w:rPr>
          <w:rFonts w:hint="eastAsia" w:ascii="宋体" w:hAnsi="宋体" w:eastAsia="宋体" w:cs="宋体"/>
          <w:b/>
          <w:bCs w:val="0"/>
          <w:color w:val="FF0000"/>
          <w:sz w:val="24"/>
          <w:szCs w:val="24"/>
          <w:highlight w:val="none"/>
          <w:lang w:val="en-US" w:eastAsia="zh-CN"/>
        </w:rPr>
        <w:t>09</w:t>
      </w:r>
      <w:r>
        <w:rPr>
          <w:rFonts w:hint="eastAsia" w:ascii="宋体" w:hAnsi="宋体" w:eastAsia="宋体" w:cs="宋体"/>
          <w:b/>
          <w:bCs w:val="0"/>
          <w:color w:val="FF0000"/>
          <w:sz w:val="24"/>
          <w:szCs w:val="24"/>
          <w:highlight w:val="none"/>
        </w:rPr>
        <w:t>月</w:t>
      </w:r>
      <w:r>
        <w:rPr>
          <w:rFonts w:hint="eastAsia" w:ascii="宋体" w:hAnsi="宋体" w:eastAsia="宋体" w:cs="宋体"/>
          <w:b/>
          <w:bCs w:val="0"/>
          <w:color w:val="FF0000"/>
          <w:sz w:val="24"/>
          <w:szCs w:val="24"/>
          <w:highlight w:val="none"/>
          <w:lang w:val="en-US" w:eastAsia="zh-CN"/>
        </w:rPr>
        <w:t>2</w:t>
      </w:r>
      <w:r>
        <w:rPr>
          <w:rFonts w:hint="eastAsia" w:ascii="宋体" w:hAnsi="宋体" w:cs="宋体"/>
          <w:b/>
          <w:bCs w:val="0"/>
          <w:color w:val="FF0000"/>
          <w:sz w:val="24"/>
          <w:szCs w:val="24"/>
          <w:highlight w:val="none"/>
          <w:lang w:val="en-US" w:eastAsia="zh-CN"/>
        </w:rPr>
        <w:t>7</w:t>
      </w:r>
      <w:r>
        <w:rPr>
          <w:rFonts w:hint="eastAsia" w:ascii="宋体" w:hAnsi="宋体" w:eastAsia="宋体" w:cs="宋体"/>
          <w:b/>
          <w:bCs w:val="0"/>
          <w:color w:val="FF0000"/>
          <w:sz w:val="24"/>
          <w:szCs w:val="24"/>
          <w:highlight w:val="none"/>
        </w:rPr>
        <w:t>日</w:t>
      </w:r>
      <w:r>
        <w:rPr>
          <w:rFonts w:hint="eastAsia" w:ascii="宋体" w:hAnsi="宋体" w:eastAsia="宋体" w:cs="宋体"/>
          <w:b/>
          <w:bCs w:val="0"/>
          <w:color w:val="FF0000"/>
          <w:sz w:val="24"/>
          <w:szCs w:val="24"/>
          <w:highlight w:val="none"/>
          <w:lang w:val="en-US" w:eastAsia="zh-CN"/>
        </w:rPr>
        <w:t>1</w:t>
      </w:r>
      <w:r>
        <w:rPr>
          <w:rFonts w:hint="eastAsia" w:ascii="宋体" w:hAnsi="宋体" w:cs="宋体"/>
          <w:b/>
          <w:bCs w:val="0"/>
          <w:color w:val="FF0000"/>
          <w:sz w:val="24"/>
          <w:szCs w:val="24"/>
          <w:highlight w:val="none"/>
          <w:lang w:val="en-US" w:eastAsia="zh-CN"/>
        </w:rPr>
        <w:t>0</w:t>
      </w:r>
      <w:r>
        <w:rPr>
          <w:rFonts w:hint="eastAsia" w:ascii="宋体" w:hAnsi="宋体" w:eastAsia="宋体" w:cs="宋体"/>
          <w:b/>
          <w:bCs w:val="0"/>
          <w:color w:val="FF0000"/>
          <w:sz w:val="24"/>
          <w:szCs w:val="24"/>
          <w:highlight w:val="none"/>
        </w:rPr>
        <w:t>:</w:t>
      </w:r>
      <w:r>
        <w:rPr>
          <w:rFonts w:hint="eastAsia" w:ascii="宋体" w:hAnsi="宋体" w:cs="宋体"/>
          <w:b/>
          <w:bCs w:val="0"/>
          <w:color w:val="FF0000"/>
          <w:sz w:val="24"/>
          <w:szCs w:val="24"/>
          <w:highlight w:val="none"/>
          <w:lang w:val="en-US" w:eastAsia="zh-CN"/>
        </w:rPr>
        <w:t>3</w:t>
      </w:r>
      <w:r>
        <w:rPr>
          <w:rFonts w:hint="eastAsia" w:ascii="宋体" w:hAnsi="宋体" w:eastAsia="宋体" w:cs="宋体"/>
          <w:b/>
          <w:bCs w:val="0"/>
          <w:color w:val="FF0000"/>
          <w:sz w:val="24"/>
          <w:szCs w:val="24"/>
          <w:highlight w:val="none"/>
        </w:rPr>
        <w:t>0</w:t>
      </w:r>
      <w:r>
        <w:rPr>
          <w:rFonts w:hint="eastAsia" w:ascii="宋体" w:hAnsi="宋体" w:eastAsia="宋体" w:cs="宋体"/>
          <w:color w:val="000000"/>
          <w:sz w:val="24"/>
          <w:szCs w:val="24"/>
          <w:highlight w:val="none"/>
        </w:rPr>
        <w:t>（北京时间）在磋商地点开启。</w:t>
      </w:r>
    </w:p>
    <w:p>
      <w:pPr>
        <w:spacing w:line="440" w:lineRule="exact"/>
        <w:ind w:firstLine="489" w:firstLineChars="203"/>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十</w:t>
      </w:r>
      <w:r>
        <w:rPr>
          <w:rFonts w:hint="eastAsia" w:ascii="宋体" w:hAnsi="宋体" w:eastAsia="宋体" w:cs="宋体"/>
          <w:b/>
          <w:color w:val="000000"/>
          <w:sz w:val="24"/>
          <w:szCs w:val="24"/>
          <w:highlight w:val="none"/>
          <w:lang w:eastAsia="zh-CN"/>
        </w:rPr>
        <w:t>二</w:t>
      </w:r>
      <w:r>
        <w:rPr>
          <w:rFonts w:hint="eastAsia" w:ascii="宋体" w:hAnsi="宋体" w:eastAsia="宋体" w:cs="宋体"/>
          <w:b/>
          <w:color w:val="000000"/>
          <w:sz w:val="24"/>
          <w:szCs w:val="24"/>
          <w:highlight w:val="none"/>
        </w:rPr>
        <w:t>、磋商地点：</w:t>
      </w:r>
      <w:r>
        <w:rPr>
          <w:rFonts w:hint="eastAsia" w:ascii="宋体" w:hAnsi="宋体" w:eastAsia="宋体" w:cs="宋体"/>
          <w:color w:val="000000"/>
          <w:sz w:val="24"/>
          <w:szCs w:val="24"/>
          <w:highlight w:val="none"/>
          <w:u w:val="none"/>
          <w:lang w:eastAsia="zh-CN"/>
        </w:rPr>
        <w:t>成都市金牛区金沙路69号金沙楼401室</w:t>
      </w:r>
      <w:r>
        <w:rPr>
          <w:rFonts w:hint="eastAsia" w:ascii="宋体" w:hAnsi="宋体" w:eastAsia="宋体" w:cs="宋体"/>
          <w:color w:val="000000"/>
          <w:sz w:val="24"/>
          <w:szCs w:val="24"/>
          <w:highlight w:val="none"/>
        </w:rPr>
        <w:t>。</w:t>
      </w:r>
    </w:p>
    <w:p>
      <w:pPr>
        <w:pStyle w:val="67"/>
        <w:spacing w:line="440" w:lineRule="exact"/>
        <w:ind w:firstLine="482"/>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十</w:t>
      </w:r>
      <w:r>
        <w:rPr>
          <w:rFonts w:hint="eastAsia" w:ascii="宋体" w:hAnsi="宋体" w:eastAsia="宋体" w:cs="宋体"/>
          <w:b/>
          <w:color w:val="000000"/>
          <w:sz w:val="24"/>
          <w:szCs w:val="24"/>
          <w:highlight w:val="none"/>
          <w:lang w:eastAsia="zh-CN"/>
        </w:rPr>
        <w:t>三</w:t>
      </w:r>
      <w:r>
        <w:rPr>
          <w:rFonts w:hint="eastAsia" w:ascii="宋体" w:hAnsi="宋体" w:eastAsia="宋体" w:cs="宋体"/>
          <w:b/>
          <w:color w:val="000000"/>
          <w:sz w:val="24"/>
          <w:szCs w:val="24"/>
          <w:highlight w:val="none"/>
        </w:rPr>
        <w:t>、联系方式</w:t>
      </w:r>
    </w:p>
    <w:p>
      <w:pPr>
        <w:pStyle w:val="67"/>
        <w:spacing w:line="440" w:lineRule="exact"/>
        <w:ind w:firstLine="954" w:firstLineChars="396"/>
        <w:rPr>
          <w:rFonts w:hint="eastAsia" w:ascii="宋体" w:hAnsi="宋体" w:eastAsia="宋体" w:cs="宋体"/>
          <w:b/>
          <w:bCs/>
          <w:color w:val="000000"/>
          <w:sz w:val="24"/>
          <w:szCs w:val="24"/>
          <w:highlight w:val="none"/>
          <w:lang w:eastAsia="zh-CN"/>
        </w:rPr>
      </w:pPr>
      <w:r>
        <w:rPr>
          <w:rFonts w:hint="eastAsia" w:ascii="宋体" w:hAnsi="宋体" w:eastAsia="宋体" w:cs="宋体"/>
          <w:b/>
          <w:color w:val="000000"/>
          <w:sz w:val="24"/>
          <w:szCs w:val="24"/>
          <w:highlight w:val="none"/>
        </w:rPr>
        <w:t xml:space="preserve">  采购人：</w:t>
      </w:r>
      <w:r>
        <w:rPr>
          <w:rFonts w:hint="eastAsia" w:ascii="宋体" w:hAnsi="宋体" w:eastAsia="宋体" w:cs="宋体"/>
          <w:b/>
          <w:bCs/>
          <w:color w:val="000000"/>
          <w:sz w:val="24"/>
          <w:szCs w:val="24"/>
          <w:highlight w:val="none"/>
          <w:lang w:eastAsia="zh-CN"/>
        </w:rPr>
        <w:t>成都市金牛区教育局</w:t>
      </w:r>
    </w:p>
    <w:p>
      <w:pPr>
        <w:pStyle w:val="67"/>
        <w:spacing w:line="440" w:lineRule="exact"/>
        <w:ind w:firstLine="1200" w:firstLineChars="5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rPr>
        <w:t>通讯地址：</w:t>
      </w:r>
      <w:r>
        <w:rPr>
          <w:rFonts w:hint="eastAsia" w:ascii="宋体" w:hAnsi="宋体" w:eastAsia="宋体" w:cs="宋体"/>
          <w:bCs/>
          <w:color w:val="000000"/>
          <w:sz w:val="24"/>
          <w:szCs w:val="24"/>
          <w:highlight w:val="none"/>
          <w:lang w:eastAsia="zh-CN"/>
        </w:rPr>
        <w:t>成都市金牛区抚琴东路</w:t>
      </w:r>
      <w:r>
        <w:rPr>
          <w:rFonts w:hint="eastAsia" w:ascii="宋体" w:hAnsi="宋体" w:eastAsia="宋体" w:cs="宋体"/>
          <w:bCs/>
          <w:color w:val="000000"/>
          <w:sz w:val="24"/>
          <w:szCs w:val="24"/>
          <w:highlight w:val="none"/>
          <w:lang w:val="en-US" w:eastAsia="zh-CN"/>
        </w:rPr>
        <w:t>6号</w:t>
      </w:r>
    </w:p>
    <w:p>
      <w:pPr>
        <w:pStyle w:val="67"/>
        <w:spacing w:line="440" w:lineRule="exact"/>
        <w:ind w:firstLine="1200" w:firstLineChars="500"/>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rPr>
        <w:t>联 系 人：</w:t>
      </w:r>
      <w:r>
        <w:rPr>
          <w:rFonts w:hint="eastAsia" w:ascii="宋体" w:hAnsi="宋体" w:cs="宋体"/>
          <w:bCs/>
          <w:color w:val="000000"/>
          <w:sz w:val="24"/>
          <w:szCs w:val="24"/>
          <w:highlight w:val="none"/>
          <w:lang w:eastAsia="zh-CN"/>
        </w:rPr>
        <w:t>廖老师</w:t>
      </w:r>
    </w:p>
    <w:p>
      <w:pPr>
        <w:pStyle w:val="67"/>
        <w:spacing w:line="440" w:lineRule="exact"/>
        <w:ind w:firstLine="1200" w:firstLineChars="50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联系电话：028-87798781</w:t>
      </w:r>
    </w:p>
    <w:p>
      <w:pPr>
        <w:pStyle w:val="67"/>
        <w:spacing w:line="440" w:lineRule="exact"/>
        <w:ind w:firstLine="1135" w:firstLineChars="471"/>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采购代理机构：</w:t>
      </w:r>
      <w:r>
        <w:rPr>
          <w:rFonts w:hint="eastAsia" w:ascii="宋体" w:hAnsi="宋体" w:eastAsia="宋体" w:cs="宋体"/>
          <w:b/>
          <w:color w:val="000000"/>
          <w:sz w:val="24"/>
          <w:szCs w:val="24"/>
          <w:highlight w:val="none"/>
          <w:lang w:eastAsia="zh-CN"/>
        </w:rPr>
        <w:t>成都金牡丹工程管理咨询有限公司</w:t>
      </w:r>
      <w:r>
        <w:rPr>
          <w:rFonts w:hint="eastAsia" w:ascii="宋体" w:hAnsi="宋体" w:eastAsia="宋体" w:cs="宋体"/>
          <w:b/>
          <w:color w:val="000000"/>
          <w:sz w:val="24"/>
          <w:szCs w:val="24"/>
          <w:highlight w:val="none"/>
        </w:rPr>
        <w:t xml:space="preserve"> </w:t>
      </w:r>
    </w:p>
    <w:p>
      <w:pPr>
        <w:pStyle w:val="67"/>
        <w:spacing w:line="440" w:lineRule="exact"/>
        <w:ind w:firstLine="1200" w:firstLineChars="500"/>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zh-CN"/>
        </w:rPr>
        <w:t>通讯地址：</w:t>
      </w:r>
      <w:r>
        <w:rPr>
          <w:rFonts w:hint="eastAsia" w:ascii="宋体" w:hAnsi="宋体" w:eastAsia="宋体" w:cs="宋体"/>
          <w:color w:val="000000"/>
          <w:sz w:val="24"/>
          <w:szCs w:val="24"/>
          <w:highlight w:val="none"/>
          <w:lang w:val="zh-CN" w:eastAsia="zh-CN"/>
        </w:rPr>
        <w:t>成都市金牛区金沙路69号金沙楼401室</w:t>
      </w:r>
    </w:p>
    <w:p>
      <w:pPr>
        <w:pStyle w:val="67"/>
        <w:spacing w:line="440" w:lineRule="exact"/>
        <w:ind w:firstLine="1200" w:firstLineChars="5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zh-CN"/>
        </w:rPr>
        <w:t>联 系 人：</w:t>
      </w:r>
      <w:r>
        <w:rPr>
          <w:rFonts w:hint="eastAsia" w:ascii="宋体" w:hAnsi="宋体" w:eastAsia="宋体" w:cs="宋体"/>
          <w:color w:val="000000"/>
          <w:sz w:val="24"/>
          <w:szCs w:val="24"/>
          <w:highlight w:val="none"/>
          <w:lang w:val="zh-CN" w:eastAsia="zh-CN"/>
        </w:rPr>
        <w:t>向女士</w:t>
      </w:r>
    </w:p>
    <w:p>
      <w:pPr>
        <w:pStyle w:val="67"/>
        <w:spacing w:line="440" w:lineRule="exact"/>
        <w:ind w:firstLine="1200" w:firstLineChars="5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联系电话：028-62467087</w:t>
      </w:r>
    </w:p>
    <w:p>
      <w:pPr>
        <w:pStyle w:val="67"/>
        <w:spacing w:line="440" w:lineRule="exact"/>
        <w:ind w:firstLine="1200" w:firstLineChars="5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开户行：交通银行成都西安路支行</w:t>
      </w:r>
    </w:p>
    <w:p>
      <w:pPr>
        <w:pStyle w:val="67"/>
        <w:spacing w:line="440" w:lineRule="exact"/>
        <w:ind w:firstLine="1200" w:firstLineChars="5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银行帐号：511511093013000448705</w:t>
      </w:r>
    </w:p>
    <w:p>
      <w:pPr>
        <w:widowControl/>
        <w:jc w:val="left"/>
        <w:rPr>
          <w:rFonts w:hint="eastAsia" w:ascii="宋体" w:hAnsi="宋体" w:eastAsia="宋体" w:cs="宋体"/>
          <w:b/>
          <w:bCs/>
          <w:kern w:val="44"/>
          <w:sz w:val="36"/>
          <w:szCs w:val="36"/>
          <w:highlight w:val="none"/>
        </w:rPr>
      </w:pPr>
      <w:bookmarkStart w:id="8" w:name="_Toc213496267"/>
      <w:bookmarkStart w:id="9" w:name="_Toc213397009"/>
      <w:bookmarkStart w:id="10" w:name="_Toc213396759"/>
      <w:bookmarkStart w:id="11" w:name="_Toc217446031"/>
      <w:bookmarkStart w:id="12" w:name="_Toc213396945"/>
      <w:r>
        <w:rPr>
          <w:rFonts w:hint="eastAsia" w:ascii="宋体" w:hAnsi="宋体" w:eastAsia="宋体" w:cs="宋体"/>
          <w:sz w:val="36"/>
          <w:szCs w:val="36"/>
          <w:highlight w:val="none"/>
        </w:rPr>
        <w:br w:type="page"/>
      </w:r>
    </w:p>
    <w:p>
      <w:pPr>
        <w:pStyle w:val="3"/>
        <w:keepNext w:val="0"/>
        <w:keepLines w:val="0"/>
        <w:spacing w:before="0" w:after="0" w:line="240" w:lineRule="auto"/>
        <w:jc w:val="center"/>
        <w:rPr>
          <w:rFonts w:hint="eastAsia" w:ascii="宋体" w:hAnsi="宋体" w:eastAsia="宋体" w:cs="宋体"/>
          <w:sz w:val="36"/>
          <w:szCs w:val="36"/>
          <w:highlight w:val="none"/>
        </w:rPr>
      </w:pPr>
      <w:bookmarkStart w:id="13" w:name="_Toc29422"/>
      <w:bookmarkStart w:id="14" w:name="_Toc16020"/>
      <w:bookmarkStart w:id="15" w:name="_Toc7961744"/>
      <w:bookmarkStart w:id="16" w:name="_Toc19616"/>
      <w:r>
        <w:rPr>
          <w:rFonts w:hint="eastAsia" w:ascii="宋体" w:hAnsi="宋体" w:eastAsia="宋体" w:cs="宋体"/>
          <w:sz w:val="36"/>
          <w:szCs w:val="36"/>
          <w:highlight w:val="none"/>
        </w:rPr>
        <w:t>第二章  磋商须知</w:t>
      </w:r>
      <w:bookmarkEnd w:id="8"/>
      <w:bookmarkEnd w:id="9"/>
      <w:bookmarkEnd w:id="10"/>
      <w:bookmarkEnd w:id="11"/>
      <w:bookmarkEnd w:id="12"/>
      <w:bookmarkEnd w:id="13"/>
      <w:bookmarkEnd w:id="14"/>
      <w:bookmarkEnd w:id="15"/>
      <w:bookmarkEnd w:id="16"/>
    </w:p>
    <w:p>
      <w:pPr>
        <w:pStyle w:val="4"/>
        <w:keepNext w:val="0"/>
        <w:keepLines w:val="0"/>
        <w:spacing w:before="0" w:after="0" w:line="240" w:lineRule="auto"/>
        <w:jc w:val="center"/>
        <w:rPr>
          <w:rFonts w:hint="eastAsia" w:ascii="宋体" w:hAnsi="宋体" w:eastAsia="宋体" w:cs="宋体"/>
          <w:highlight w:val="none"/>
        </w:rPr>
      </w:pPr>
      <w:bookmarkStart w:id="17" w:name="_Toc22467"/>
      <w:r>
        <w:rPr>
          <w:rFonts w:hint="eastAsia" w:ascii="宋体" w:hAnsi="宋体" w:eastAsia="宋体" w:cs="宋体"/>
          <w:highlight w:val="none"/>
        </w:rPr>
        <w:t>一、供应商须知附表</w:t>
      </w:r>
      <w:bookmarkEnd w:id="17"/>
    </w:p>
    <w:tbl>
      <w:tblPr>
        <w:tblStyle w:val="28"/>
        <w:tblW w:w="96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2177"/>
        <w:gridCol w:w="68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06"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序号</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应知事项</w:t>
            </w:r>
          </w:p>
        </w:tc>
        <w:tc>
          <w:tcPr>
            <w:tcW w:w="6800" w:type="dxa"/>
            <w:vAlign w:val="center"/>
          </w:tcPr>
          <w:p>
            <w:pPr>
              <w:pStyle w:val="60"/>
              <w:ind w:left="78" w:leftChars="37" w:right="27" w:rightChars="13"/>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说明和要求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确定邀请磋商的供应商数量和方式</w:t>
            </w:r>
          </w:p>
        </w:tc>
        <w:tc>
          <w:tcPr>
            <w:tcW w:w="6800" w:type="dxa"/>
            <w:vAlign w:val="center"/>
          </w:tcPr>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本次磋商邀请的供应商数量：3个及以上；</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本次采购采取公开发布公告的方式邀请参加磋商的供应商。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采购预算</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（实质性要求）</w:t>
            </w:r>
          </w:p>
        </w:tc>
        <w:tc>
          <w:tcPr>
            <w:tcW w:w="6800" w:type="dxa"/>
            <w:vAlign w:val="center"/>
          </w:tcPr>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采购预算：</w:t>
            </w:r>
            <w:r>
              <w:rPr>
                <w:rFonts w:hint="eastAsia" w:ascii="宋体" w:hAnsi="宋体" w:eastAsia="宋体" w:cs="宋体"/>
                <w:sz w:val="21"/>
                <w:szCs w:val="21"/>
                <w:highlight w:val="none"/>
                <w:lang w:val="en-US" w:eastAsia="zh-CN"/>
              </w:rPr>
              <w:t>150万元</w:t>
            </w:r>
            <w:r>
              <w:rPr>
                <w:rFonts w:hint="eastAsia" w:ascii="宋体" w:hAnsi="宋体" w:eastAsia="宋体" w:cs="宋体"/>
                <w:sz w:val="21"/>
                <w:szCs w:val="21"/>
                <w:highlight w:val="none"/>
                <w:lang w:val="zh-CN"/>
              </w:rPr>
              <w:t>；</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超过采购预算的报价无效。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最高限价</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（实质性要求）</w:t>
            </w:r>
          </w:p>
        </w:tc>
        <w:tc>
          <w:tcPr>
            <w:tcW w:w="6800" w:type="dxa"/>
            <w:vAlign w:val="center"/>
          </w:tcPr>
          <w:p>
            <w:pPr>
              <w:pStyle w:val="60"/>
              <w:spacing w:before="156" w:beforeLines="50" w:after="156" w:afterLines="50"/>
              <w:ind w:left="115" w:leftChars="55" w:right="65" w:rightChars="31" w:firstLine="420" w:firstLineChars="199"/>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最高限价</w:t>
            </w:r>
            <w:r>
              <w:rPr>
                <w:rFonts w:hint="eastAsia" w:ascii="宋体" w:hAnsi="宋体" w:eastAsia="宋体" w:cs="宋体"/>
                <w:sz w:val="21"/>
                <w:szCs w:val="21"/>
                <w:highlight w:val="none"/>
                <w:lang w:val="zh-CN"/>
              </w:rPr>
              <w:t>包件1：46万，包件2：78万，包件3：26万</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超过最高限价的报价无效。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联合体</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（实质性要求）</w:t>
            </w:r>
          </w:p>
        </w:tc>
        <w:tc>
          <w:tcPr>
            <w:tcW w:w="6800" w:type="dxa"/>
            <w:vAlign w:val="center"/>
          </w:tcPr>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不允许联合体。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低于成本价不正当竞争预防措施</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（实质性要求）</w:t>
            </w:r>
          </w:p>
        </w:tc>
        <w:tc>
          <w:tcPr>
            <w:tcW w:w="6800" w:type="dxa"/>
            <w:vAlign w:val="center"/>
          </w:tcPr>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在评审过程中，供应商报价明显低于其他有效供应商的报价，有可能影响产品质量或者不能诚信履约的，磋商小组应当要求其在磋商现场合理的时间内提供书面说明，并提交相关证明材料，供应商不能证明其报价合理性的，磋商小组应当将其作为无效处理。</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zh-CN"/>
              </w:rPr>
              <w:t xml:space="preserve">供应商书面说明应当签字确认或者加盖公章，否则无效。书面说明的签字确认，由其法定代表人/主要负责人/本人或者其授权代表签字确认。 </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是否专门面向中小企业的项目或专门面向小微企业采购的项目</w:t>
            </w:r>
          </w:p>
        </w:tc>
        <w:tc>
          <w:tcPr>
            <w:tcW w:w="6800" w:type="dxa"/>
            <w:vAlign w:val="center"/>
          </w:tcPr>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本项目为专门面向中小企业采购的项目。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小微企业（监狱企业、残疾人福利性单位视同小微企业）政府采购政策扶持</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（实质性要求）</w:t>
            </w:r>
          </w:p>
        </w:tc>
        <w:tc>
          <w:tcPr>
            <w:tcW w:w="6800" w:type="dxa"/>
            <w:vAlign w:val="center"/>
          </w:tcPr>
          <w:p>
            <w:pPr>
              <w:pStyle w:val="60"/>
              <w:spacing w:before="156" w:beforeLines="50" w:after="156" w:afterLines="50"/>
              <w:ind w:left="115" w:leftChars="55" w:right="65" w:rightChars="31" w:firstLine="420" w:firstLineChars="199"/>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一、小微企业价格扣除</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1.根据《政府采购促进中小企业发展管理办法》（财库﹝2020﹞46 号）的规定，对小型和微型企业产品的价格给予10%的价格扣除，用扣除后的价格参与评审。</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2.参加政府采购活动的中小企业应当提供《中小企业声明函》原件。</w:t>
            </w:r>
          </w:p>
          <w:p>
            <w:pPr>
              <w:pStyle w:val="60"/>
              <w:spacing w:before="156" w:beforeLines="50" w:after="156" w:afterLines="50"/>
              <w:ind w:left="115" w:leftChars="55" w:right="65" w:rightChars="31" w:firstLine="420" w:firstLineChars="199"/>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二、监狱企业价格扣除</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根据财政部、司法部关于政府采购支持监狱企业有关问题的通知（财库［2014］68号）规定，在政府采购活动中，监狱企业视同小型、微型企业，享受预留份额、评审中价格扣除等政府采购促进中小企业发展的政府采购政策。</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2.本项目对监狱企业参与磋商的价格给予10%的扣除，用扣除后的价格参与评审。</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3.监狱企业参加政府采购活动时，就当提供由省级以上监狱管理局、戒毒管理局（含新彊生产建设兵团）出具的属于监狱企业的证明文件。</w:t>
            </w:r>
          </w:p>
          <w:p>
            <w:pPr>
              <w:pStyle w:val="60"/>
              <w:spacing w:before="156" w:beforeLines="50" w:after="156" w:afterLines="50"/>
              <w:ind w:left="115" w:leftChars="55" w:right="65" w:rightChars="31" w:firstLine="420" w:firstLineChars="199"/>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三、残疾人福利性单位价格扣除</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1.根据《三部门联合发布关于促进残疾人就业政府采购政策的通知》(财库〔2017〕141 号)的要求，在政府采购活动中，残疾人福利性单位视同小型、微型企业，享受预留份额、评审中价格扣除等促进中小企业发展的政府采购政策。</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2.本项目对残疾人福利性单位参与磋商响应的价格给予 10%的扣除，用扣除后的价格参与评审。</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3.残疾人福利性单位参加政府采购活动时，应当提供本通知规定的《残疾人福利性单位声明函》。</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4.供应商提供的《残疾人福利性单位声明函》与事实不符的，依照《政府采购法》第七十七条第一款的规定追究法律责任。</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5.残疾人福利性单位属于小型、微型企业的，不重复享受政策。</w:t>
            </w:r>
          </w:p>
          <w:p>
            <w:pPr>
              <w:pStyle w:val="60"/>
              <w:spacing w:before="156" w:beforeLines="50" w:after="156" w:afterLines="50"/>
              <w:ind w:right="65" w:rightChars="31"/>
              <w:jc w:val="center"/>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【本项目专门面向中小企业采购，不再进行价格扣除】</w:t>
            </w:r>
          </w:p>
          <w:p>
            <w:pPr>
              <w:pStyle w:val="60"/>
              <w:spacing w:before="156" w:beforeLines="50" w:after="156" w:afterLines="50"/>
              <w:ind w:left="115" w:leftChars="55" w:right="65" w:rightChars="31" w:firstLine="420" w:firstLineChars="199"/>
              <w:rPr>
                <w:rFonts w:hint="eastAsia" w:ascii="宋体" w:hAnsi="宋体" w:eastAsia="宋体" w:cs="宋体"/>
                <w:b/>
                <w:bCs/>
                <w:sz w:val="21"/>
                <w:szCs w:val="21"/>
                <w:highlight w:val="none"/>
                <w:lang w:val="zh-CN"/>
              </w:rPr>
            </w:pPr>
            <w:r>
              <w:rPr>
                <w:rFonts w:hint="eastAsia" w:cs="宋体"/>
                <w:b/>
                <w:bCs/>
                <w:sz w:val="21"/>
                <w:szCs w:val="21"/>
                <w:highlight w:val="none"/>
                <w:lang w:val="zh-CN"/>
              </w:rPr>
              <w:t>四</w:t>
            </w:r>
            <w:r>
              <w:rPr>
                <w:rFonts w:hint="eastAsia" w:ascii="宋体" w:hAnsi="宋体" w:eastAsia="宋体" w:cs="宋体"/>
                <w:b/>
                <w:bCs/>
                <w:sz w:val="21"/>
                <w:szCs w:val="21"/>
                <w:highlight w:val="none"/>
                <w:lang w:val="zh-CN"/>
              </w:rPr>
              <w:t>、失信企业报价加成或者扣分</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对记入诚信档案的且在有效期内的失信供应商，在参加政府采购活动中实行10%/次的报价加成，以加成后报价作为该供应商报价评审。因其失信行为进行报价惩戒后报价超过政府采购预算时，其响应文件按无效处理。</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2.供应商参加政府采购活动时，应当就自己的诚信情况在响应文件中进行承诺。</w:t>
            </w:r>
          </w:p>
          <w:p>
            <w:pPr>
              <w:pStyle w:val="60"/>
              <w:spacing w:before="156" w:beforeLines="50" w:after="156" w:afterLines="50"/>
              <w:ind w:left="115" w:leftChars="55" w:right="65" w:rightChars="31"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信用中国”网站（www.creditchina.gov.cn）中列入失信被执行人和重大税收违法案件当事人名单的供应商和四川政府采购网（http://www.ccgp-sichuan.gov.cn）政府采购严重违法失信行为记录名单中被财政部门禁止参加政府采购活动的供应商参加项目磋商直接作废标处理，不予报价加成或者加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15"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强制认证产品</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 xml:space="preserve"> (如涉及)</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b/>
                <w:bCs/>
                <w:kern w:val="0"/>
                <w:sz w:val="24"/>
                <w:szCs w:val="24"/>
                <w:highlight w:val="none"/>
                <w:lang w:val="zh-CN"/>
              </w:rPr>
              <w:t>（实质性要求）</w:t>
            </w:r>
          </w:p>
        </w:tc>
        <w:tc>
          <w:tcPr>
            <w:tcW w:w="6800" w:type="dxa"/>
            <w:vAlign w:val="center"/>
          </w:tcPr>
          <w:p>
            <w:pPr>
              <w:pStyle w:val="60"/>
              <w:spacing w:before="156" w:beforeLines="50" w:after="156" w:afterLines="50"/>
              <w:ind w:left="134" w:leftChars="64" w:right="84" w:rightChars="40" w:firstLine="294" w:firstLineChars="134"/>
              <w:rPr>
                <w:rFonts w:hint="eastAsia" w:ascii="宋体" w:hAnsi="宋体" w:eastAsia="宋体" w:cs="宋体"/>
                <w:sz w:val="21"/>
                <w:szCs w:val="21"/>
                <w:highlight w:val="none"/>
                <w:lang w:val="zh-CN" w:eastAsia="zh-CN"/>
              </w:rPr>
            </w:pPr>
            <w:r>
              <w:rPr>
                <w:rFonts w:hint="eastAsia" w:ascii="宋体" w:hAnsi="宋体" w:eastAsia="宋体" w:cs="宋体"/>
                <w:color w:val="000000" w:themeColor="text1"/>
                <w:sz w:val="22"/>
                <w:szCs w:val="22"/>
                <w:highlight w:val="none"/>
                <w:lang w:val="zh-CN" w:eastAsia="zh-CN"/>
                <w14:textFill>
                  <w14:solidFill>
                    <w14:schemeClr w14:val="tx1"/>
                  </w14:solidFill>
                </w14:textFill>
              </w:rPr>
              <w:t>如涉及3C认证产品的认证证书在响应文件中可提供相应证书，</w:t>
            </w:r>
            <w:r>
              <w:rPr>
                <w:rFonts w:hint="eastAsia" w:ascii="宋体" w:hAnsi="宋体" w:eastAsia="宋体" w:cs="宋体"/>
                <w:b w:val="0"/>
                <w:bCs w:val="0"/>
                <w:color w:val="000000" w:themeColor="text1"/>
                <w:sz w:val="22"/>
                <w:szCs w:val="22"/>
                <w:highlight w:val="none"/>
                <w:lang w:val="zh-CN" w:eastAsia="zh-CN"/>
                <w14:textFill>
                  <w14:solidFill>
                    <w14:schemeClr w14:val="tx1"/>
                  </w14:solidFill>
                </w14:textFill>
              </w:rPr>
              <w:t>也可在</w:t>
            </w:r>
            <w:r>
              <w:rPr>
                <w:rFonts w:hint="eastAsia" w:ascii="宋体" w:hAnsi="宋体" w:eastAsia="宋体" w:cs="宋体"/>
                <w:b/>
                <w:bCs/>
                <w:color w:val="000000" w:themeColor="text1"/>
                <w:sz w:val="22"/>
                <w:szCs w:val="22"/>
                <w:highlight w:val="none"/>
                <w:lang w:val="zh-CN" w:eastAsia="zh-CN"/>
                <w14:textFill>
                  <w14:solidFill>
                    <w14:schemeClr w14:val="tx1"/>
                  </w14:solidFill>
                </w14:textFill>
              </w:rPr>
              <w:t>响应文件中作出承诺：</w:t>
            </w:r>
            <w:r>
              <w:rPr>
                <w:rFonts w:hint="eastAsia" w:ascii="宋体" w:hAnsi="宋体" w:eastAsia="宋体" w:cs="宋体"/>
                <w:color w:val="000000" w:themeColor="text1"/>
                <w:sz w:val="22"/>
                <w:szCs w:val="22"/>
                <w:highlight w:val="none"/>
                <w:lang w:val="zh-CN" w:eastAsia="zh-CN"/>
                <w14:textFill>
                  <w14:solidFill>
                    <w14:schemeClr w14:val="tx1"/>
                  </w14:solidFill>
                </w14:textFill>
              </w:rPr>
              <w:t>在签订采购合同时提供3C认证证书至采购人，未提供或不能提供的视为放弃成交。采购人有权另行确定成交人或重新组织采购</w:t>
            </w:r>
            <w:r>
              <w:rPr>
                <w:rFonts w:hint="eastAsia" w:ascii="宋体" w:hAnsi="宋体" w:eastAsia="宋体" w:cs="宋体"/>
                <w:b/>
                <w:bCs/>
                <w:color w:val="000000" w:themeColor="text1"/>
                <w:sz w:val="22"/>
                <w:szCs w:val="22"/>
                <w:highlight w:val="none"/>
                <w:lang w:val="zh-CN" w:eastAsia="zh-CN"/>
                <w14:textFill>
                  <w14:solidFill>
                    <w14:schemeClr w14:val="tx1"/>
                  </w14:solidFill>
                </w14:textFill>
              </w:rPr>
              <w:t>（提供承诺函原件）</w:t>
            </w:r>
            <w:r>
              <w:rPr>
                <w:rFonts w:hint="eastAsia" w:ascii="宋体" w:hAnsi="宋体" w:eastAsia="宋体" w:cs="宋体"/>
                <w:sz w:val="22"/>
                <w:szCs w:val="22"/>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994"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2177" w:type="dxa"/>
            <w:vAlign w:val="center"/>
          </w:tcPr>
          <w:p>
            <w:pPr>
              <w:pStyle w:val="60"/>
              <w:spacing w:line="240" w:lineRule="auto"/>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节能产品、环境标志产品、无线局域网产品采购政策</w:t>
            </w:r>
          </w:p>
        </w:tc>
        <w:tc>
          <w:tcPr>
            <w:tcW w:w="6800" w:type="dxa"/>
            <w:vAlign w:val="center"/>
          </w:tcPr>
          <w:p>
            <w:pPr>
              <w:bidi w:val="0"/>
              <w:spacing w:line="240" w:lineRule="auto"/>
              <w:ind w:left="61" w:leftChars="29" w:right="69" w:rightChars="33" w:firstLine="0" w:firstLineChars="0"/>
              <w:jc w:val="both"/>
              <w:rPr>
                <w:rFonts w:hint="eastAsia" w:ascii="宋体" w:hAnsi="宋体" w:eastAsia="宋体" w:cs="宋体"/>
                <w:b/>
                <w:bCs/>
                <w:color w:val="000000" w:themeColor="text1"/>
                <w:sz w:val="21"/>
                <w:szCs w:val="21"/>
                <w:highlight w:val="none"/>
                <w:lang w:val="zh-CN" w:eastAsia="zh-CN"/>
                <w14:textFill>
                  <w14:solidFill>
                    <w14:schemeClr w14:val="tx1"/>
                  </w14:solidFill>
                </w14:textFill>
              </w:rPr>
            </w:pPr>
            <w:r>
              <w:rPr>
                <w:rFonts w:hint="eastAsia" w:ascii="宋体" w:hAnsi="宋体" w:eastAsia="宋体" w:cs="宋体"/>
                <w:b/>
                <w:bCs/>
                <w:color w:val="000000" w:themeColor="text1"/>
                <w:sz w:val="21"/>
                <w:szCs w:val="21"/>
                <w:highlight w:val="none"/>
                <w:lang w:val="zh-CN" w:eastAsia="zh-CN"/>
                <w14:textFill>
                  <w14:solidFill>
                    <w14:schemeClr w14:val="tx1"/>
                  </w14:solidFill>
                </w14:textFill>
              </w:rPr>
              <w:t>一、节能、环保产品政府采购政策：</w:t>
            </w:r>
          </w:p>
          <w:p>
            <w:pPr>
              <w:bidi w:val="0"/>
              <w:spacing w:line="240" w:lineRule="auto"/>
              <w:ind w:left="61" w:leftChars="29" w:right="69" w:rightChars="33" w:firstLine="0" w:firstLineChars="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bidi w:val="0"/>
              <w:spacing w:line="240" w:lineRule="auto"/>
              <w:ind w:left="61" w:leftChars="29" w:right="69" w:rightChars="33" w:firstLine="0" w:firstLineChars="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本项目采购的产品属于节能产品政府采购品目清单中带“★”号产品</w:t>
            </w:r>
            <w:r>
              <w:rPr>
                <w:rFonts w:hint="eastAsia" w:ascii="宋体" w:hAnsi="宋体" w:eastAsia="宋体" w:cs="宋体"/>
                <w:b/>
                <w:bCs/>
                <w:color w:val="000000" w:themeColor="text1"/>
                <w:sz w:val="21"/>
                <w:szCs w:val="21"/>
                <w:highlight w:val="none"/>
                <w:lang w:eastAsia="zh-CN"/>
                <w14:textFill>
                  <w14:solidFill>
                    <w14:schemeClr w14:val="tx1"/>
                  </w14:solidFill>
                </w14:textFill>
              </w:rPr>
              <w:t>的，</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以</w:t>
            </w:r>
            <w:r>
              <w:rPr>
                <w:rFonts w:hint="eastAsia" w:ascii="宋体" w:hAnsi="宋体" w:eastAsia="宋体" w:cs="宋体"/>
                <w:b/>
                <w:bCs/>
                <w:color w:val="000000" w:themeColor="text1"/>
                <w:sz w:val="21"/>
                <w:szCs w:val="21"/>
                <w:highlight w:val="none"/>
                <w:lang w:val="zh-CN" w:eastAsia="zh-CN"/>
                <w14:textFill>
                  <w14:solidFill>
                    <w14:schemeClr w14:val="tx1"/>
                  </w14:solidFill>
                </w14:textFill>
              </w:rPr>
              <w:t>节能、环境标志产品目清单</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为准，详见附件。</w:t>
            </w:r>
            <w:r>
              <w:rPr>
                <w:rFonts w:hint="eastAsia" w:ascii="宋体" w:hAnsi="宋体" w:eastAsia="宋体" w:cs="宋体"/>
                <w:color w:val="000000" w:themeColor="text1"/>
                <w:sz w:val="21"/>
                <w:szCs w:val="21"/>
                <w:highlight w:val="none"/>
                <w:lang w:val="zh-CN" w:eastAsia="zh-CN"/>
                <w14:textFill>
                  <w14:solidFill>
                    <w14:schemeClr w14:val="tx1"/>
                  </w14:solidFill>
                </w14:textFill>
              </w:rPr>
              <w:t>供应商应按上述要求提供产品认证证书复印件加盖供应商单位公章（鲜章）；或者提供国家确定的认证机构的认证结果信息发布平台公布的该产品认证信息截图或者打印资料并加盖供应商公章（鲜章），否则响应无效。</w:t>
            </w:r>
            <w:r>
              <w:rPr>
                <w:rFonts w:hint="eastAsia" w:ascii="宋体" w:hAnsi="宋体" w:eastAsia="宋体" w:cs="宋体"/>
                <w:b/>
                <w:bCs/>
                <w:color w:val="000000" w:themeColor="text1"/>
                <w:sz w:val="21"/>
                <w:szCs w:val="21"/>
                <w:highlight w:val="none"/>
                <w:lang w:val="zh-CN" w:eastAsia="zh-CN"/>
                <w14:textFill>
                  <w14:solidFill>
                    <w14:schemeClr w14:val="tx1"/>
                  </w14:solidFill>
                </w14:textFill>
              </w:rPr>
              <w:t>（实质性要求）</w:t>
            </w:r>
          </w:p>
          <w:p>
            <w:pPr>
              <w:bidi w:val="0"/>
              <w:spacing w:line="240" w:lineRule="auto"/>
              <w:ind w:left="61" w:leftChars="29" w:right="69" w:rightChars="33" w:firstLine="0" w:firstLineChars="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zh-CN" w:eastAsia="zh-CN"/>
                <w14:textFill>
                  <w14:solidFill>
                    <w14:schemeClr w14:val="tx1"/>
                  </w14:solidFill>
                </w14:textFill>
              </w:rPr>
              <w:t>本项目采购的产品属于节能、环境标志产品目清单优先采购范围的，</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以</w:t>
            </w:r>
            <w:r>
              <w:rPr>
                <w:rFonts w:hint="eastAsia" w:ascii="宋体" w:hAnsi="宋体" w:eastAsia="宋体" w:cs="宋体"/>
                <w:b/>
                <w:bCs/>
                <w:color w:val="000000" w:themeColor="text1"/>
                <w:sz w:val="21"/>
                <w:szCs w:val="21"/>
                <w:highlight w:val="none"/>
                <w:lang w:val="zh-CN" w:eastAsia="zh-CN"/>
                <w14:textFill>
                  <w14:solidFill>
                    <w14:schemeClr w14:val="tx1"/>
                  </w14:solidFill>
                </w14:textFill>
              </w:rPr>
              <w:t>节能、环境标志产品目清单</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为准，详见附件。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供应商提供国家确定的认证机构出具的、处于有效期之内的节能产品、环境标志产品认证证书复印件并加盖供应商单位公章的，在参与</w:t>
            </w:r>
            <w:r>
              <w:rPr>
                <w:rFonts w:hint="eastAsia" w:ascii="宋体" w:hAnsi="宋体" w:cs="宋体"/>
                <w:color w:val="000000" w:themeColor="text1"/>
                <w:sz w:val="21"/>
                <w:szCs w:val="21"/>
                <w:highlight w:val="none"/>
                <w:lang w:val="en-US" w:eastAsia="zh-CN"/>
                <w14:textFill>
                  <w14:solidFill>
                    <w14:schemeClr w14:val="tx1"/>
                  </w14:solidFill>
                </w14:textFill>
              </w:rPr>
              <w:t>磋商</w:t>
            </w:r>
            <w:r>
              <w:rPr>
                <w:rFonts w:hint="eastAsia" w:ascii="宋体" w:hAnsi="宋体" w:eastAsia="宋体" w:cs="宋体"/>
                <w:color w:val="000000" w:themeColor="text1"/>
                <w:sz w:val="21"/>
                <w:szCs w:val="21"/>
                <w:highlight w:val="none"/>
                <w:lang w:val="en-US" w:eastAsia="zh-CN"/>
                <w14:textFill>
                  <w14:solidFill>
                    <w14:schemeClr w14:val="tx1"/>
                  </w14:solidFill>
                </w14:textFill>
              </w:rPr>
              <w:t>时的价格给予扣除（详见评分明细表），用扣除后的价格参与评审。</w:t>
            </w:r>
          </w:p>
          <w:p>
            <w:pPr>
              <w:bidi w:val="0"/>
              <w:spacing w:line="240" w:lineRule="auto"/>
              <w:ind w:left="61" w:leftChars="29" w:right="69" w:rightChars="33" w:firstLine="0" w:firstLineChars="0"/>
              <w:jc w:val="both"/>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二、无线局域网产品政府采购政策：</w:t>
            </w:r>
          </w:p>
          <w:p>
            <w:pPr>
              <w:pStyle w:val="60"/>
              <w:spacing w:before="156" w:beforeLines="50" w:after="156" w:afterLines="50" w:line="240" w:lineRule="auto"/>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本项目采购的产品属于中国政府采购网公布的《无线局域网认证产品政府采购清单》的，</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具体以无线局域网认证产品政府采购清单为准，详见附件</w:t>
            </w:r>
            <w:r>
              <w:rPr>
                <w:rFonts w:hint="eastAsia" w:ascii="宋体" w:hAnsi="宋体" w:eastAsia="宋体" w:cs="宋体"/>
                <w:color w:val="000000" w:themeColor="text1"/>
                <w:sz w:val="21"/>
                <w:szCs w:val="21"/>
                <w:highlight w:val="none"/>
                <w:lang w:val="zh-CN"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供应商提供《无线局域网认证产品政府采购清单》对应页复印件并加盖供应商单位公章的，在参与</w:t>
            </w:r>
            <w:r>
              <w:rPr>
                <w:rFonts w:hint="eastAsia" w:cs="宋体"/>
                <w:color w:val="000000" w:themeColor="text1"/>
                <w:sz w:val="21"/>
                <w:szCs w:val="21"/>
                <w:highlight w:val="none"/>
                <w:lang w:val="en-US" w:eastAsia="zh-CN"/>
                <w14:textFill>
                  <w14:solidFill>
                    <w14:schemeClr w14:val="tx1"/>
                  </w14:solidFill>
                </w14:textFill>
              </w:rPr>
              <w:t>磋商</w:t>
            </w:r>
            <w:r>
              <w:rPr>
                <w:rFonts w:hint="eastAsia" w:ascii="宋体" w:hAnsi="宋体" w:eastAsia="宋体" w:cs="宋体"/>
                <w:color w:val="000000" w:themeColor="text1"/>
                <w:sz w:val="21"/>
                <w:szCs w:val="21"/>
                <w:highlight w:val="none"/>
                <w:lang w:val="en-US" w:eastAsia="zh-CN"/>
                <w14:textFill>
                  <w14:solidFill>
                    <w14:schemeClr w14:val="tx1"/>
                  </w14:solidFill>
                </w14:textFill>
              </w:rPr>
              <w:t>时的价格给予扣除（详见评分明细表），用扣除后的价格参与评审。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磋商情况公告</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1、供应商资格审查情况、有效性、完整性和其他响应情况、报价情况、磋商结果等在四川政府采购网上采购结果公告栏中予以公告。</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w:t>
            </w:r>
            <w:r>
              <w:rPr>
                <w:rFonts w:hint="eastAsia" w:ascii="宋体" w:hAnsi="宋体" w:eastAsia="宋体" w:cs="宋体"/>
                <w:b/>
                <w:sz w:val="21"/>
                <w:szCs w:val="21"/>
                <w:highlight w:val="none"/>
                <w:lang w:val="zh-CN"/>
              </w:rPr>
              <w:t>供应商应对响应文件中涉及商业秘密和知识产权的内容进行标注和说明，若未进行标注和说明的，视为响应文件全部内容均可公布，采购人或者采购代理机构对相关内容予以公告不承担任何责任。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磋商保证金</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根据四川省财政厅发布的《四川省财政厅关于进一步做好疫情防控期间政府采购工作有关事项的通知》川财采（2020）28号文相关规定，本项目不收取磋商保证金。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2</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履约保证金</w:t>
            </w:r>
          </w:p>
        </w:tc>
        <w:tc>
          <w:tcPr>
            <w:tcW w:w="6800" w:type="dxa"/>
            <w:vAlign w:val="center"/>
          </w:tcPr>
          <w:p>
            <w:pPr>
              <w:pStyle w:val="60"/>
              <w:spacing w:before="156" w:beforeLines="50" w:after="156" w:afterLines="50"/>
              <w:ind w:left="134" w:leftChars="64" w:right="84" w:rightChars="40" w:firstLine="282" w:firstLineChars="134"/>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本项目不收取履约保证金。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3</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采购项目具体事项/采购文件内容咨询</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eastAsia="zh-CN"/>
              </w:rPr>
              <w:t>向女士</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lang w:eastAsia="zh-CN"/>
              </w:rPr>
              <w:t>028-62467087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4</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磋商过程、结果工作咨询</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eastAsia="zh-CN"/>
              </w:rPr>
              <w:t>向女士</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lang w:eastAsia="zh-CN"/>
              </w:rPr>
              <w:t>028-62467087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5</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成交通知书领取</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采购结果公告在四川政府采购网上发布后，请成交供应商凭有效身份证明（介绍信及经办人身份证复印件加盖鲜章）到成都金牡丹工程管理咨询有限公司领取成交通知书。</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 系 人：缪女士</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联系电话：028-62467087</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rPr>
              <w:t>地址：成都金牡丹工程管理咨询有限公司（成都市金牛区金沙路69号金沙楼401室）。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供应商询问</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根据委托代理协议约定，供应商询问由成都金牡丹工程管理咨询有限公司负责答复。</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地址：成都市金牛区金沙路69号金沙楼401室</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联系人：向女士</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联系电话：028-62467087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供应商质疑</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根据委托代理协议约定，对磋商文件、磋商过程、磋商结果的质疑由成都金牡丹工程管理咨询有限公司负责答复。</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 系 人：王女士</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联系电话：028-62467087</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联系地址：成都市金牛区金沙路69号金沙楼401室。</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注：根据《中华人民共和国政府采购法》的规定，供应商质疑不得超出磋商文件、磋商过程、磋商结果的范围。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供应商投诉</w:t>
            </w:r>
          </w:p>
        </w:tc>
        <w:tc>
          <w:tcPr>
            <w:tcW w:w="6800" w:type="dxa"/>
            <w:vAlign w:val="center"/>
          </w:tcPr>
          <w:p>
            <w:pPr>
              <w:pStyle w:val="60"/>
              <w:spacing w:before="156" w:beforeLines="50" w:after="156" w:afterLines="50"/>
              <w:ind w:left="115" w:leftChars="55" w:right="46" w:rightChars="22"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投诉受理单位：本项目同级财政部门，即成都市</w:t>
            </w:r>
            <w:r>
              <w:rPr>
                <w:rFonts w:hint="eastAsia" w:ascii="宋体" w:hAnsi="宋体" w:eastAsia="宋体" w:cs="宋体"/>
                <w:sz w:val="21"/>
                <w:szCs w:val="21"/>
                <w:highlight w:val="none"/>
                <w:lang w:val="en-US" w:eastAsia="zh-CN"/>
              </w:rPr>
              <w:t>金牛区</w:t>
            </w:r>
            <w:r>
              <w:rPr>
                <w:rFonts w:hint="eastAsia" w:ascii="宋体" w:hAnsi="宋体" w:eastAsia="宋体" w:cs="宋体"/>
                <w:sz w:val="21"/>
                <w:szCs w:val="21"/>
                <w:highlight w:val="none"/>
                <w:lang w:val="zh-CN"/>
              </w:rPr>
              <w:t>财政局。</w:t>
            </w:r>
          </w:p>
          <w:p>
            <w:pPr>
              <w:pStyle w:val="60"/>
              <w:spacing w:before="156" w:beforeLines="50" w:after="156" w:afterLines="50"/>
              <w:ind w:left="115" w:leftChars="55" w:right="46" w:rightChars="22" w:firstLine="417" w:firstLineChars="19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联系电话：028-</w:t>
            </w:r>
            <w:r>
              <w:rPr>
                <w:rFonts w:hint="eastAsia" w:ascii="宋体" w:hAnsi="宋体" w:eastAsia="宋体" w:cs="宋体"/>
                <w:sz w:val="21"/>
                <w:szCs w:val="21"/>
                <w:highlight w:val="none"/>
                <w:lang w:val="en-US" w:eastAsia="zh-CN"/>
              </w:rPr>
              <w:t>87705190</w:t>
            </w:r>
          </w:p>
          <w:p>
            <w:pPr>
              <w:pStyle w:val="60"/>
              <w:spacing w:before="156" w:beforeLines="50" w:after="156" w:afterLines="50"/>
              <w:ind w:left="115" w:leftChars="55" w:right="46" w:rightChars="22"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注：根据《中华人民共和国政府采购法实施条例》的规定，供应商投诉事项不得超出已质疑事项的范围。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9</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政府采购合同公告</w:t>
            </w:r>
          </w:p>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备案</w:t>
            </w:r>
          </w:p>
        </w:tc>
        <w:tc>
          <w:tcPr>
            <w:tcW w:w="6800" w:type="dxa"/>
            <w:vAlign w:val="center"/>
          </w:tcPr>
          <w:p>
            <w:pPr>
              <w:pStyle w:val="60"/>
              <w:spacing w:before="156" w:beforeLines="50" w:after="156" w:afterLines="50"/>
              <w:ind w:left="115" w:leftChars="55" w:right="46" w:rightChars="22" w:firstLine="417" w:firstLineChars="199"/>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政府采购合同签订之日起2个工作日内，政府采购合同将在四川政府采购网公告；政府采购合同签订之日起七个工作日内，政府采购合同将向采购项目同级财政部门备案，即成都市</w:t>
            </w:r>
            <w:r>
              <w:rPr>
                <w:rFonts w:hint="eastAsia" w:ascii="宋体" w:hAnsi="宋体" w:eastAsia="宋体" w:cs="宋体"/>
                <w:sz w:val="21"/>
                <w:szCs w:val="21"/>
                <w:highlight w:val="none"/>
                <w:lang w:val="en-US" w:eastAsia="zh-CN"/>
              </w:rPr>
              <w:t>锦江区</w:t>
            </w:r>
            <w:r>
              <w:rPr>
                <w:rFonts w:hint="eastAsia" w:ascii="宋体" w:hAnsi="宋体" w:eastAsia="宋体" w:cs="宋体"/>
                <w:sz w:val="21"/>
                <w:szCs w:val="21"/>
                <w:highlight w:val="none"/>
                <w:lang w:val="zh-CN"/>
              </w:rPr>
              <w:t>财政局备案。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60"/>
              <w:ind w:right="109" w:rightChars="52"/>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招标代理服务费</w:t>
            </w:r>
          </w:p>
        </w:tc>
        <w:tc>
          <w:tcPr>
            <w:tcW w:w="6800" w:type="dxa"/>
            <w:vAlign w:val="center"/>
          </w:tcPr>
          <w:p>
            <w:pPr>
              <w:pStyle w:val="60"/>
              <w:spacing w:before="156" w:beforeLines="50" w:after="156" w:afterLines="50"/>
              <w:ind w:left="115" w:leftChars="55" w:right="46" w:rightChars="22" w:firstLine="417" w:firstLineChars="19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根据成本加合理利润原则，经与采购人协商，本招标文件约定，招标代理服务费由各包件中标人向采购代理机构支付，招标代理服务费以中标金额作为收费的计算基数×1.5%再下浮</w:t>
            </w:r>
            <w:r>
              <w:rPr>
                <w:rFonts w:hint="eastAsia" w:ascii="宋体" w:hAnsi="宋体" w:eastAsia="宋体" w:cs="宋体"/>
                <w:sz w:val="21"/>
                <w:szCs w:val="21"/>
                <w:highlight w:val="none"/>
                <w:lang w:val="zh-CN"/>
              </w:rPr>
              <w:t>10%收取，</w:t>
            </w:r>
            <w:r>
              <w:rPr>
                <w:rFonts w:hint="eastAsia" w:ascii="宋体" w:hAnsi="宋体" w:eastAsia="宋体" w:cs="宋体"/>
                <w:sz w:val="21"/>
                <w:szCs w:val="21"/>
                <w:highlight w:val="none"/>
                <w:lang w:val="en-US" w:eastAsia="zh-CN"/>
              </w:rPr>
              <w:t>不足6</w:t>
            </w:r>
            <w:r>
              <w:rPr>
                <w:rFonts w:hint="eastAsia" w:ascii="宋体" w:hAnsi="宋体" w:eastAsia="宋体" w:cs="宋体"/>
                <w:sz w:val="21"/>
                <w:szCs w:val="21"/>
                <w:highlight w:val="none"/>
                <w:lang w:val="zh-CN"/>
              </w:rPr>
              <w:t>000</w:t>
            </w:r>
            <w:r>
              <w:rPr>
                <w:rFonts w:hint="eastAsia" w:ascii="宋体" w:hAnsi="宋体" w:eastAsia="宋体" w:cs="宋体"/>
                <w:sz w:val="21"/>
                <w:szCs w:val="21"/>
                <w:highlight w:val="none"/>
                <w:lang w:val="en-US" w:eastAsia="zh-CN"/>
              </w:rPr>
              <w:t>.00</w:t>
            </w:r>
            <w:r>
              <w:rPr>
                <w:rFonts w:hint="eastAsia" w:ascii="宋体" w:hAnsi="宋体" w:eastAsia="宋体" w:cs="宋体"/>
                <w:sz w:val="21"/>
                <w:szCs w:val="21"/>
                <w:highlight w:val="none"/>
                <w:lang w:val="zh-CN"/>
              </w:rPr>
              <w:t>元</w:t>
            </w:r>
            <w:r>
              <w:rPr>
                <w:rFonts w:hint="eastAsia" w:ascii="宋体" w:hAnsi="宋体" w:eastAsia="宋体" w:cs="宋体"/>
                <w:sz w:val="21"/>
                <w:szCs w:val="21"/>
                <w:highlight w:val="none"/>
                <w:lang w:val="en-US" w:eastAsia="zh-CN"/>
              </w:rPr>
              <w:t>/包</w:t>
            </w:r>
            <w:r>
              <w:rPr>
                <w:rFonts w:hint="eastAsia" w:ascii="宋体" w:hAnsi="宋体" w:eastAsia="宋体" w:cs="宋体"/>
                <w:sz w:val="21"/>
                <w:szCs w:val="21"/>
                <w:highlight w:val="none"/>
                <w:lang w:val="zh-CN" w:eastAsia="zh-CN"/>
              </w:rPr>
              <w:t>的按</w:t>
            </w:r>
            <w:r>
              <w:rPr>
                <w:rFonts w:hint="eastAsia" w:ascii="宋体" w:hAnsi="宋体" w:eastAsia="宋体" w:cs="宋体"/>
                <w:sz w:val="21"/>
                <w:szCs w:val="21"/>
                <w:highlight w:val="none"/>
                <w:lang w:val="en-US" w:eastAsia="zh-CN"/>
              </w:rPr>
              <w:t>6000.00元/包收取</w:t>
            </w:r>
            <w:r>
              <w:rPr>
                <w:rFonts w:hint="eastAsia" w:ascii="宋体" w:hAnsi="宋体" w:eastAsia="宋体" w:cs="宋体"/>
                <w:sz w:val="21"/>
                <w:szCs w:val="21"/>
                <w:highlight w:val="none"/>
                <w:lang w:val="zh-CN"/>
              </w:rPr>
              <w:t>，由成交人在领取</w:t>
            </w:r>
            <w:r>
              <w:rPr>
                <w:rFonts w:hint="eastAsia" w:ascii="宋体" w:hAnsi="宋体" w:eastAsia="宋体" w:cs="宋体"/>
                <w:sz w:val="21"/>
                <w:szCs w:val="21"/>
                <w:highlight w:val="none"/>
                <w:lang w:val="zh-CN" w:eastAsia="zh-CN"/>
              </w:rPr>
              <w:t>成交</w:t>
            </w:r>
            <w:r>
              <w:rPr>
                <w:rFonts w:hint="eastAsia" w:ascii="宋体" w:hAnsi="宋体" w:eastAsia="宋体" w:cs="宋体"/>
                <w:sz w:val="21"/>
                <w:szCs w:val="21"/>
                <w:highlight w:val="none"/>
                <w:lang w:val="zh-CN"/>
              </w:rPr>
              <w:t>通知书时</w:t>
            </w:r>
            <w:r>
              <w:rPr>
                <w:rFonts w:hint="eastAsia" w:ascii="宋体" w:hAnsi="宋体" w:eastAsia="宋体" w:cs="宋体"/>
                <w:sz w:val="21"/>
                <w:szCs w:val="21"/>
                <w:highlight w:val="none"/>
                <w:lang w:val="zh-CN" w:eastAsia="zh-CN"/>
              </w:rPr>
              <w:t>一次性</w:t>
            </w:r>
            <w:r>
              <w:rPr>
                <w:rFonts w:hint="eastAsia" w:ascii="宋体" w:hAnsi="宋体" w:eastAsia="宋体" w:cs="宋体"/>
                <w:sz w:val="21"/>
                <w:szCs w:val="21"/>
                <w:highlight w:val="none"/>
                <w:lang w:val="zh-CN"/>
              </w:rPr>
              <w:t>支付招标代理</w:t>
            </w:r>
            <w:r>
              <w:rPr>
                <w:rFonts w:hint="eastAsia" w:ascii="宋体" w:hAnsi="宋体" w:eastAsia="宋体" w:cs="宋体"/>
                <w:sz w:val="21"/>
                <w:szCs w:val="21"/>
                <w:highlight w:val="none"/>
                <w:lang w:val="zh-CN" w:eastAsia="zh-CN"/>
              </w:rPr>
              <w:t>机构</w:t>
            </w:r>
            <w:r>
              <w:rPr>
                <w:rFonts w:hint="eastAsia" w:ascii="宋体" w:hAnsi="宋体" w:eastAsia="宋体" w:cs="宋体"/>
                <w:sz w:val="21"/>
                <w:szCs w:val="21"/>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21</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日期、数量的计算</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1、本磋商文件按日计算期间的，开始当天不计入，从次日开始计算。期限的最后一日是国家法定节假日的，顺延到节假日后的次日为期限的最后一日。</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2、本磋商文件所称的“以上”、“以下”、“内”、“以内”，包括本数；所称的“不足”，不包括本数。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2</w:t>
            </w:r>
          </w:p>
        </w:tc>
        <w:tc>
          <w:tcPr>
            <w:tcW w:w="2177" w:type="dxa"/>
            <w:vAlign w:val="center"/>
          </w:tcPr>
          <w:p>
            <w:pPr>
              <w:pStyle w:val="60"/>
              <w:ind w:left="51" w:right="109" w:rightChars="52"/>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政府采购供应商信用融资</w:t>
            </w:r>
          </w:p>
        </w:tc>
        <w:tc>
          <w:tcPr>
            <w:tcW w:w="6800" w:type="dxa"/>
            <w:vAlign w:val="center"/>
          </w:tcPr>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60"/>
              <w:spacing w:before="156" w:beforeLines="50" w:after="156" w:afterLines="50"/>
              <w:ind w:left="134" w:leftChars="64" w:right="84" w:rightChars="40" w:firstLine="281" w:firstLineChars="134"/>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rPr>
              <w:t>根据《四川省财政厅关于推进四川省政府采购供应商信用融资工作的通知》（川财采[2018]123 号文)文件要求，有融资需求的供应商可根据四川政府采购网公示的银行及其“政采贷”产品，自行选择符合自身情况的“政采贷”银行及其产品，凭中标（成交)通知书向银行提出贷款意向申请。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683" w:type="dxa"/>
            <w:gridSpan w:val="3"/>
            <w:vAlign w:val="center"/>
          </w:tcPr>
          <w:p>
            <w:pPr>
              <w:pStyle w:val="60"/>
              <w:spacing w:before="156" w:beforeLines="50" w:after="156" w:afterLines="50"/>
              <w:ind w:right="46" w:rightChars="22"/>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备注：磋商文件其他地方与本须知前附表不一致的地方，以本须知前附表为准，有更正文件的，以更正文件为准。</w:t>
            </w:r>
          </w:p>
        </w:tc>
      </w:tr>
    </w:tbl>
    <w:p>
      <w:pPr>
        <w:rPr>
          <w:rFonts w:hint="eastAsia" w:ascii="宋体" w:hAnsi="宋体" w:eastAsia="宋体" w:cs="宋体"/>
          <w:highlight w:val="none"/>
        </w:rPr>
      </w:pPr>
      <w:r>
        <w:rPr>
          <w:rFonts w:hint="eastAsia" w:ascii="宋体" w:hAnsi="宋体" w:eastAsia="宋体" w:cs="宋体"/>
          <w:highlight w:val="none"/>
        </w:rPr>
        <w:br w:type="page"/>
      </w:r>
    </w:p>
    <w:p>
      <w:pPr>
        <w:pStyle w:val="4"/>
        <w:keepNext w:val="0"/>
        <w:keepLines w:val="0"/>
        <w:spacing w:before="0" w:after="0" w:line="400" w:lineRule="exact"/>
        <w:jc w:val="center"/>
        <w:rPr>
          <w:rFonts w:hint="eastAsia" w:ascii="宋体" w:hAnsi="宋体" w:eastAsia="宋体" w:cs="宋体"/>
          <w:bCs w:val="0"/>
          <w:highlight w:val="none"/>
        </w:rPr>
      </w:pPr>
      <w:bookmarkStart w:id="18" w:name="_Toc11728"/>
      <w:r>
        <w:rPr>
          <w:rFonts w:hint="eastAsia" w:ascii="宋体" w:hAnsi="宋体" w:eastAsia="宋体" w:cs="宋体"/>
          <w:bCs w:val="0"/>
          <w:highlight w:val="none"/>
        </w:rPr>
        <w:t>二、总  则</w:t>
      </w:r>
      <w:bookmarkEnd w:id="18"/>
      <w:bookmarkStart w:id="19" w:name="_Toc183682342"/>
      <w:bookmarkStart w:id="20" w:name="_Toc183582205"/>
      <w:bookmarkStart w:id="21" w:name="_Toc217446034"/>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22" w:name="_Toc11981"/>
      <w:r>
        <w:rPr>
          <w:rFonts w:hint="eastAsia" w:ascii="宋体" w:hAnsi="宋体" w:eastAsia="宋体" w:cs="宋体"/>
          <w:sz w:val="24"/>
          <w:highlight w:val="none"/>
        </w:rPr>
        <w:t>1.</w:t>
      </w:r>
      <w:bookmarkEnd w:id="19"/>
      <w:bookmarkEnd w:id="20"/>
      <w:r>
        <w:rPr>
          <w:rFonts w:hint="eastAsia" w:ascii="宋体" w:hAnsi="宋体" w:eastAsia="宋体" w:cs="宋体"/>
          <w:sz w:val="24"/>
          <w:szCs w:val="24"/>
          <w:highlight w:val="none"/>
        </w:rPr>
        <w:t>适用范围</w:t>
      </w:r>
      <w:bookmarkEnd w:id="21"/>
      <w:bookmarkEnd w:id="22"/>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 本磋商文件仅适用于本次磋商所叙述的货物采购。</w:t>
      </w:r>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 本磋商文件的解释权归采购人和采购代理机构所有。</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23" w:name="_Toc183582206"/>
      <w:bookmarkStart w:id="24" w:name="_Toc183682343"/>
      <w:bookmarkStart w:id="25" w:name="_Toc217446035"/>
      <w:bookmarkStart w:id="26" w:name="_Toc10905"/>
      <w:r>
        <w:rPr>
          <w:rFonts w:hint="eastAsia" w:ascii="宋体" w:hAnsi="宋体" w:eastAsia="宋体" w:cs="宋体"/>
          <w:sz w:val="24"/>
          <w:highlight w:val="none"/>
        </w:rPr>
        <w:t>2.</w:t>
      </w:r>
      <w:bookmarkEnd w:id="23"/>
      <w:bookmarkEnd w:id="24"/>
      <w:bookmarkEnd w:id="25"/>
      <w:r>
        <w:rPr>
          <w:rFonts w:hint="eastAsia" w:ascii="宋体" w:hAnsi="宋体" w:eastAsia="宋体" w:cs="宋体"/>
          <w:sz w:val="24"/>
          <w:highlight w:val="none"/>
        </w:rPr>
        <w:t>采购主体</w:t>
      </w:r>
      <w:bookmarkEnd w:id="26"/>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2.1本次磋商的采购人是</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成都市金牛区教育局</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2.2本次磋商的采购代理机构是</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成都金牡丹工程管理咨询有限公司</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27" w:name="_Toc25181"/>
      <w:r>
        <w:rPr>
          <w:rFonts w:hint="eastAsia" w:ascii="宋体" w:hAnsi="宋体" w:eastAsia="宋体" w:cs="宋体"/>
          <w:sz w:val="24"/>
          <w:highlight w:val="none"/>
        </w:rPr>
        <w:t>3.合格供应商（实质性要求）</w:t>
      </w:r>
      <w:bookmarkEnd w:id="27"/>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合格供应商应具备以下条件：</w:t>
      </w:r>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 具备法律法规和本采购文件规定的资格条件；</w:t>
      </w:r>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 不属于禁止参加本项目采购活动的供应商；</w:t>
      </w:r>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 按照规定获取了磋商文件，属于实质性参加政府采购活动的供应商。</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28" w:name="_Toc844"/>
      <w:r>
        <w:rPr>
          <w:rFonts w:hint="eastAsia" w:ascii="宋体" w:hAnsi="宋体" w:eastAsia="宋体" w:cs="宋体"/>
          <w:sz w:val="24"/>
          <w:highlight w:val="none"/>
        </w:rPr>
        <w:t>4.磋商费用</w:t>
      </w:r>
      <w:bookmarkEnd w:id="28"/>
    </w:p>
    <w:p>
      <w:pPr>
        <w:tabs>
          <w:tab w:val="left" w:pos="7665"/>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无论竞争性磋商采购的结果如何，供应商自行承担本次参加竞争性磋商有关的全部费用。</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29" w:name="_Toc10940"/>
      <w:r>
        <w:rPr>
          <w:rFonts w:hint="eastAsia" w:ascii="宋体" w:hAnsi="宋体" w:eastAsia="宋体" w:cs="宋体"/>
          <w:sz w:val="24"/>
          <w:highlight w:val="none"/>
        </w:rPr>
        <w:t>5.充分、公平竞争保障措施（实质性要求）</w:t>
      </w:r>
      <w:bookmarkEnd w:id="29"/>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5.4供应商实际控制人或者中高级管理人员，同时是采购代理机构工作人员，不得参与本项目政府采购活动。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5.5综合评分法的采购项目，提供相同品牌产品且通过资格审查、符合性审查的不同投标人参加同一合同项下投标的，按一家投标人计算，评审后得分最高的同品牌投标人获得中标人推荐资格；评审得分相同的，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宋体" w:hAnsi="宋体" w:eastAsia="宋体" w:cs="宋体"/>
          <w:b/>
          <w:bCs/>
          <w:sz w:val="24"/>
          <w:highlight w:val="none"/>
        </w:rPr>
        <w:t>委托评标委员会按投标人报价最低的确定一个投标人获得中标人推荐资格</w:t>
      </w:r>
      <w:r>
        <w:rPr>
          <w:rFonts w:hint="eastAsia" w:ascii="宋体" w:hAnsi="宋体" w:eastAsia="宋体" w:cs="宋体"/>
          <w:sz w:val="24"/>
          <w:highlight w:val="none"/>
        </w:rPr>
        <w:t>，采购文件未规定的采取随机抽取方式确定，其他同品牌投标人不作为中标候选人。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5.6供应商与采购代理机构存在关联关系，或者是采购代理机构的母公司或子公司，不得参加本项目政府采购活动。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5.7回避。政府采购活动中，采购人员及相关人员与供应商有下列利害关系之一的，应当回避：</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（1）参加采购活动前3年内与供应商存在劳动关系；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（2）参加采购活动前3年内担任供应商的董事、监事；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（3）参加采购活动前3年内是供应商的控股股东或者实际控制人；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（4）与供应商的法定代表人或者负责人有夫妻、直系血亲、三代以内旁系血亲或者近姻亲关系；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（5）与供应商有其他可能影响政府采购活动公平、公正进行的关系。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30" w:name="_Toc11494"/>
      <w:r>
        <w:rPr>
          <w:rFonts w:hint="eastAsia" w:ascii="宋体" w:hAnsi="宋体" w:eastAsia="宋体" w:cs="宋体"/>
          <w:sz w:val="24"/>
          <w:highlight w:val="none"/>
        </w:rPr>
        <w:t>6.联合体竞争性磋商（实质性要求）</w:t>
      </w:r>
      <w:bookmarkEnd w:id="30"/>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w:t>
      </w:r>
      <w:r>
        <w:rPr>
          <w:rFonts w:hint="eastAsia" w:ascii="宋体" w:hAnsi="宋体" w:eastAsia="宋体" w:cs="宋体"/>
          <w:b/>
          <w:bCs/>
          <w:sz w:val="24"/>
          <w:highlight w:val="none"/>
        </w:rPr>
        <w:t>不接受联合体</w:t>
      </w:r>
      <w:r>
        <w:rPr>
          <w:rFonts w:hint="eastAsia" w:ascii="宋体" w:hAnsi="宋体" w:eastAsia="宋体" w:cs="宋体"/>
          <w:sz w:val="24"/>
          <w:highlight w:val="none"/>
        </w:rPr>
        <w:t>参与采购活动。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6.1两个以上供应商可以组成一个联合体竞争性磋商，以一个供应商的身份竞争性磋商。以联合体形式参加竞争性磋商的，联合体各方均应当符合政府采购法第二十二条规定的条件。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6.2 联合体各方之间应当签订联合体竞争性磋商协议，明确约定联合体各方承担的工作和相应的责任。联合体参与竞争性磋商的，应在响应文件中提供联合体协议原件。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6.3 联合体应当确定其中一个单位为竞争性磋商的全权代表，负责参加竞争性磋商的一切事务。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6.4 联合体各方应当共同与采购人签订采购合同，就采购合同约定的事项对采购人承担连带责任。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6.5联合体中有同类资质的供应商按照联合体分工承担相同工作的，将按照资质等级较低的供应商确定资质等级。</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6.6以联合体形式参加政府采购活动的，联合体各方不得再单独参加或者与其他供应商另外组成联合体参加同一合同项下的政府采购活动。</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31" w:name="_Toc14182"/>
      <w:r>
        <w:rPr>
          <w:rFonts w:hint="eastAsia" w:ascii="宋体" w:hAnsi="宋体" w:eastAsia="宋体" w:cs="宋体"/>
          <w:sz w:val="24"/>
          <w:highlight w:val="none"/>
        </w:rPr>
        <w:t>7.磋商保证金（实质性要求）</w:t>
      </w:r>
      <w:bookmarkEnd w:id="31"/>
    </w:p>
    <w:p>
      <w:pPr>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本项目不收取磋商保证金。</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32" w:name="_Toc13728"/>
      <w:r>
        <w:rPr>
          <w:rFonts w:hint="eastAsia" w:ascii="宋体" w:hAnsi="宋体" w:eastAsia="宋体" w:cs="宋体"/>
          <w:sz w:val="24"/>
          <w:highlight w:val="none"/>
        </w:rPr>
        <w:t>8.响应文件有效期（实质性要求）</w:t>
      </w:r>
      <w:bookmarkEnd w:id="32"/>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本项目响应文件有效期</w:t>
      </w:r>
      <w:r>
        <w:rPr>
          <w:rFonts w:hint="eastAsia" w:ascii="宋体" w:hAnsi="宋体" w:eastAsia="宋体" w:cs="宋体"/>
          <w:bCs/>
          <w:sz w:val="24"/>
          <w:highlight w:val="none"/>
        </w:rPr>
        <w:t>为递交磋商响应文件截止之日起</w:t>
      </w:r>
      <w:r>
        <w:rPr>
          <w:rFonts w:hint="eastAsia" w:ascii="宋体" w:hAnsi="宋体" w:eastAsia="宋体" w:cs="宋体"/>
          <w:b/>
          <w:sz w:val="24"/>
          <w:highlight w:val="none"/>
        </w:rPr>
        <w:t>90天</w:t>
      </w:r>
      <w:r>
        <w:rPr>
          <w:rFonts w:hint="eastAsia" w:ascii="宋体" w:hAnsi="宋体" w:eastAsia="宋体" w:cs="宋体"/>
          <w:sz w:val="24"/>
          <w:highlight w:val="none"/>
        </w:rPr>
        <w:t>。供应商响应文件中必须载明响应文件有效期，响应文件中载明的响应文件有效期可以长于磋商文件规定的期限，但不得短于磋商文件规定的期限。否则，其响应文件将作为无效处理。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33" w:name="_Toc12210"/>
      <w:r>
        <w:rPr>
          <w:rFonts w:hint="eastAsia" w:ascii="宋体" w:hAnsi="宋体" w:eastAsia="宋体" w:cs="宋体"/>
          <w:sz w:val="24"/>
          <w:highlight w:val="none"/>
        </w:rPr>
        <w:t>9.知识产权（实质性要求）</w:t>
      </w:r>
      <w:bookmarkEnd w:id="33"/>
    </w:p>
    <w:p>
      <w:pPr>
        <w:pStyle w:val="13"/>
        <w:spacing w:line="4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w:t>
      </w:r>
      <w:r>
        <w:rPr>
          <w:rFonts w:hint="eastAsia" w:ascii="宋体" w:hAnsi="宋体" w:eastAsia="宋体" w:cs="宋体"/>
          <w:kern w:val="2"/>
          <w:sz w:val="24"/>
          <w:szCs w:val="24"/>
          <w:highlight w:val="none"/>
          <w:lang w:val="en-US" w:eastAsia="zh-CN" w:bidi="ar-SA"/>
        </w:rPr>
        <w:t>任。</w:t>
      </w:r>
    </w:p>
    <w:p>
      <w:pPr>
        <w:pStyle w:val="13"/>
        <w:spacing w:line="4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9.2 除非磋商文件特别规定，采购人享有本项目实施过程中产生的知识成果及知识产权。</w:t>
      </w:r>
    </w:p>
    <w:p>
      <w:pPr>
        <w:spacing w:line="4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9.4 如采用供应商所不拥有的知识产权，则在报价中必须包括合法获取该知识产权的相关费用。 </w:t>
      </w:r>
    </w:p>
    <w:p>
      <w:pPr>
        <w:pStyle w:val="4"/>
        <w:keepNext w:val="0"/>
        <w:keepLines w:val="0"/>
        <w:spacing w:before="0" w:after="0" w:line="360" w:lineRule="auto"/>
        <w:ind w:firstLine="200"/>
        <w:jc w:val="center"/>
        <w:rPr>
          <w:rFonts w:hint="eastAsia" w:ascii="宋体" w:hAnsi="宋体" w:eastAsia="宋体" w:cs="宋体"/>
          <w:bCs w:val="0"/>
          <w:highlight w:val="none"/>
        </w:rPr>
      </w:pPr>
      <w:bookmarkStart w:id="34" w:name="_Toc183582209"/>
      <w:bookmarkStart w:id="35" w:name="_Toc14699"/>
      <w:bookmarkStart w:id="36" w:name="_Toc77400779"/>
      <w:bookmarkStart w:id="37" w:name="_Toc89075875"/>
      <w:bookmarkStart w:id="38" w:name="_Toc217446038"/>
      <w:bookmarkStart w:id="39" w:name="_Toc183682346"/>
      <w:r>
        <w:rPr>
          <w:rFonts w:hint="eastAsia" w:ascii="宋体" w:hAnsi="宋体" w:eastAsia="宋体" w:cs="宋体"/>
          <w:bCs w:val="0"/>
          <w:highlight w:val="none"/>
        </w:rPr>
        <w:t>三、磋商文件</w:t>
      </w:r>
      <w:bookmarkEnd w:id="34"/>
      <w:bookmarkEnd w:id="35"/>
      <w:bookmarkEnd w:id="36"/>
      <w:bookmarkEnd w:id="37"/>
      <w:bookmarkEnd w:id="38"/>
      <w:bookmarkEnd w:id="39"/>
      <w:bookmarkStart w:id="40" w:name="_Toc217446039"/>
      <w:bookmarkStart w:id="41" w:name="_Toc183682347"/>
      <w:bookmarkStart w:id="42" w:name="_Toc183582210"/>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43" w:name="_Toc29151"/>
      <w:r>
        <w:rPr>
          <w:rFonts w:hint="eastAsia" w:ascii="宋体" w:hAnsi="宋体" w:eastAsia="宋体" w:cs="宋体"/>
          <w:sz w:val="24"/>
          <w:highlight w:val="none"/>
        </w:rPr>
        <w:t>10</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磋商文件的构成</w:t>
      </w:r>
      <w:bookmarkEnd w:id="40"/>
      <w:bookmarkEnd w:id="41"/>
      <w:bookmarkEnd w:id="42"/>
      <w:r>
        <w:rPr>
          <w:rFonts w:hint="eastAsia" w:ascii="宋体" w:hAnsi="宋体" w:eastAsia="宋体" w:cs="宋体"/>
          <w:sz w:val="24"/>
          <w:highlight w:val="none"/>
        </w:rPr>
        <w:t>（实质性要求）</w:t>
      </w:r>
      <w:bookmarkEnd w:id="43"/>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44" w:name="_Toc183682348"/>
      <w:bookmarkStart w:id="45" w:name="_Toc183582211"/>
      <w:bookmarkStart w:id="46" w:name="_Toc20312"/>
      <w:bookmarkStart w:id="47" w:name="_Toc217446040"/>
      <w:r>
        <w:rPr>
          <w:rFonts w:hint="eastAsia" w:ascii="宋体" w:hAnsi="宋体" w:eastAsia="宋体" w:cs="宋体"/>
          <w:sz w:val="24"/>
          <w:highlight w:val="none"/>
        </w:rPr>
        <w:t>11</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磋商文件的澄清</w:t>
      </w:r>
      <w:bookmarkEnd w:id="44"/>
      <w:bookmarkEnd w:id="45"/>
      <w:r>
        <w:rPr>
          <w:rFonts w:hint="eastAsia" w:ascii="宋体" w:hAnsi="宋体" w:eastAsia="宋体" w:cs="宋体"/>
          <w:sz w:val="24"/>
          <w:highlight w:val="none"/>
        </w:rPr>
        <w:t>和修改</w:t>
      </w:r>
      <w:bookmarkEnd w:id="46"/>
      <w:bookmarkEnd w:id="47"/>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 在递交响应文件截止时间前，采购人、采购代理机构可以对磋商文件进行澄清或者修改。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11.3供应商认为采购代理机构需要对磋商文件进行澄清或者修改的，可以在5日前以书面形式向采购代理机构提出申请，由采购代理机构决定是否采纳供应商的申请事项。</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48" w:name="_Toc19294"/>
      <w:bookmarkStart w:id="49" w:name="_Toc208848971"/>
      <w:bookmarkStart w:id="50" w:name="_Toc217446041"/>
      <w:r>
        <w:rPr>
          <w:rFonts w:hint="eastAsia" w:ascii="宋体" w:hAnsi="宋体" w:eastAsia="宋体" w:cs="宋体"/>
          <w:sz w:val="24"/>
          <w:highlight w:val="none"/>
        </w:rPr>
        <w:t>12</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答疑会和现场考察</w:t>
      </w:r>
      <w:bookmarkEnd w:id="48"/>
      <w:bookmarkEnd w:id="49"/>
      <w:bookmarkEnd w:id="50"/>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12.3 供应商考察现场或者参加答疑会所发生的一切费用由供应商自己承担。</w:t>
      </w:r>
    </w:p>
    <w:p>
      <w:pPr>
        <w:pStyle w:val="4"/>
        <w:keepNext w:val="0"/>
        <w:keepLines w:val="0"/>
        <w:spacing w:before="0" w:after="0" w:line="360" w:lineRule="auto"/>
        <w:ind w:firstLine="200"/>
        <w:jc w:val="center"/>
        <w:rPr>
          <w:rFonts w:hint="eastAsia" w:ascii="宋体" w:hAnsi="宋体" w:eastAsia="宋体" w:cs="宋体"/>
          <w:bCs w:val="0"/>
          <w:highlight w:val="none"/>
        </w:rPr>
      </w:pPr>
      <w:bookmarkStart w:id="51" w:name="_Toc77400780"/>
      <w:bookmarkStart w:id="52" w:name="_Toc183682351"/>
      <w:bookmarkStart w:id="53" w:name="_Toc217446042"/>
      <w:bookmarkStart w:id="54" w:name="_Toc183582214"/>
      <w:bookmarkStart w:id="55" w:name="_Toc24364"/>
      <w:bookmarkStart w:id="56" w:name="_Toc89075876"/>
      <w:r>
        <w:rPr>
          <w:rFonts w:hint="eastAsia" w:ascii="宋体" w:hAnsi="宋体" w:eastAsia="宋体" w:cs="宋体"/>
          <w:bCs w:val="0"/>
          <w:highlight w:val="none"/>
        </w:rPr>
        <w:t>四、响应文件</w:t>
      </w:r>
      <w:bookmarkEnd w:id="51"/>
      <w:bookmarkEnd w:id="52"/>
      <w:bookmarkEnd w:id="53"/>
      <w:bookmarkEnd w:id="54"/>
      <w:bookmarkEnd w:id="55"/>
      <w:bookmarkEnd w:id="56"/>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57" w:name="_Toc31886"/>
      <w:bookmarkStart w:id="58" w:name="_Toc183582215"/>
      <w:bookmarkStart w:id="59" w:name="_Toc217446043"/>
      <w:bookmarkStart w:id="60" w:name="_Toc183682352"/>
      <w:r>
        <w:rPr>
          <w:rFonts w:hint="eastAsia" w:ascii="宋体" w:hAnsi="宋体" w:eastAsia="宋体" w:cs="宋体"/>
          <w:sz w:val="24"/>
          <w:highlight w:val="none"/>
        </w:rPr>
        <w:t>13.响应文件的组成</w:t>
      </w:r>
      <w:bookmarkEnd w:id="57"/>
    </w:p>
    <w:p>
      <w:pPr>
        <w:numPr>
          <w:ilvl w:val="255"/>
          <w:numId w:val="0"/>
        </w:num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供应商应按照磋商文件的规定和要求编制响应文件。供应商在成交后将成交项目的非主体、非关键性工作分包他人完成的，应当在响应文件中载明或磋商过程中澄清。</w:t>
      </w:r>
    </w:p>
    <w:p>
      <w:pPr>
        <w:numPr>
          <w:ilvl w:val="255"/>
          <w:numId w:val="0"/>
        </w:numPr>
        <w:spacing w:line="360" w:lineRule="auto"/>
        <w:ind w:firstLine="482" w:firstLineChars="200"/>
        <w:rPr>
          <w:rFonts w:hint="eastAsia" w:ascii="宋体" w:hAnsi="宋体" w:eastAsia="宋体" w:cs="宋体"/>
          <w:highlight w:val="none"/>
          <w:lang w:val="zh-CN"/>
        </w:rPr>
      </w:pPr>
      <w:r>
        <w:rPr>
          <w:rFonts w:hint="eastAsia" w:ascii="宋体" w:hAnsi="宋体" w:eastAsia="宋体" w:cs="宋体"/>
          <w:b/>
          <w:bCs/>
          <w:sz w:val="24"/>
          <w:highlight w:val="none"/>
        </w:rPr>
        <w:t>供应商编写的响应文件应包括资格性响应文件和其他响应文件两部分，分册装订。</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61" w:name="_Toc2229"/>
      <w:r>
        <w:rPr>
          <w:rFonts w:hint="eastAsia" w:ascii="宋体" w:hAnsi="宋体" w:eastAsia="宋体" w:cs="宋体"/>
          <w:sz w:val="24"/>
          <w:highlight w:val="none"/>
        </w:rPr>
        <w:t>14.响应文件的语言</w:t>
      </w:r>
      <w:bookmarkEnd w:id="58"/>
      <w:bookmarkEnd w:id="59"/>
      <w:bookmarkEnd w:id="60"/>
      <w:r>
        <w:rPr>
          <w:rFonts w:hint="eastAsia" w:ascii="宋体" w:hAnsi="宋体" w:eastAsia="宋体" w:cs="宋体"/>
          <w:sz w:val="24"/>
          <w:highlight w:val="none"/>
        </w:rPr>
        <w:t>（实质性要求）</w:t>
      </w:r>
      <w:bookmarkEnd w:id="61"/>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外文资料将作为无效处理。（说明：供应商的法定代表人为外籍人士的，法定代表人的签字和护照除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14.2翻译的中文资料与外文资料如果出现差异和矛盾，以中文为准。但不能故意错误翻译，否则，供应商的外文资料将作为无效处理。</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62" w:name="_Toc183582216"/>
      <w:bookmarkStart w:id="63" w:name="_Toc183682353"/>
      <w:bookmarkStart w:id="64" w:name="_Toc217446044"/>
      <w:bookmarkStart w:id="65" w:name="_Toc11084"/>
      <w:r>
        <w:rPr>
          <w:rFonts w:hint="eastAsia" w:ascii="宋体" w:hAnsi="宋体" w:eastAsia="宋体" w:cs="宋体"/>
          <w:sz w:val="24"/>
          <w:highlight w:val="none"/>
        </w:rPr>
        <w:t>15.计量单位</w:t>
      </w:r>
      <w:bookmarkEnd w:id="62"/>
      <w:bookmarkEnd w:id="63"/>
      <w:bookmarkEnd w:id="64"/>
      <w:r>
        <w:rPr>
          <w:rFonts w:hint="eastAsia" w:ascii="宋体" w:hAnsi="宋体" w:eastAsia="宋体" w:cs="宋体"/>
          <w:sz w:val="24"/>
          <w:highlight w:val="none"/>
        </w:rPr>
        <w:t>（实质性要求）</w:t>
      </w:r>
      <w:bookmarkEnd w:id="65"/>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除磋商文件中另有规定外，本次采购项目所有合同项下的报价均采用国家法定的计量单位。</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66" w:name="_Toc21141"/>
      <w:bookmarkStart w:id="67" w:name="_Toc217446045"/>
      <w:r>
        <w:rPr>
          <w:rFonts w:hint="eastAsia" w:ascii="宋体" w:hAnsi="宋体" w:eastAsia="宋体" w:cs="宋体"/>
          <w:sz w:val="24"/>
          <w:highlight w:val="none"/>
        </w:rPr>
        <w:t>16.报价货币</w:t>
      </w:r>
      <w:bookmarkEnd w:id="66"/>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本次磋商项目的货币为人民币，报价以磋商文件规定为准。</w:t>
      </w:r>
    </w:p>
    <w:bookmarkEnd w:id="67"/>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68" w:name="_Toc17150"/>
      <w:r>
        <w:rPr>
          <w:rFonts w:hint="eastAsia" w:ascii="宋体" w:hAnsi="宋体" w:eastAsia="宋体" w:cs="宋体"/>
          <w:sz w:val="24"/>
          <w:highlight w:val="none"/>
        </w:rPr>
        <w:t>17.响应文件格式</w:t>
      </w:r>
      <w:bookmarkEnd w:id="68"/>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17.1供应商应执</w:t>
      </w:r>
      <w:r>
        <w:rPr>
          <w:rFonts w:hint="eastAsia" w:ascii="宋体" w:hAnsi="宋体" w:eastAsia="宋体" w:cs="宋体"/>
          <w:sz w:val="24"/>
          <w:highlight w:val="none"/>
        </w:rPr>
        <w:t>行磋商文件</w:t>
      </w:r>
      <w:r>
        <w:rPr>
          <w:rFonts w:hint="eastAsia" w:ascii="宋体" w:hAnsi="宋体" w:eastAsia="宋体" w:cs="宋体"/>
          <w:b/>
          <w:bCs/>
          <w:sz w:val="24"/>
          <w:highlight w:val="none"/>
        </w:rPr>
        <w:t>第六章</w:t>
      </w:r>
      <w:r>
        <w:rPr>
          <w:rFonts w:hint="eastAsia" w:ascii="宋体" w:hAnsi="宋体" w:eastAsia="宋体" w:cs="宋体"/>
          <w:sz w:val="24"/>
          <w:highlight w:val="none"/>
        </w:rPr>
        <w:t>的规定要求。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17.2对于没有格式要求的磋商文件由供应商自行编写。</w:t>
      </w:r>
      <w:bookmarkStart w:id="69" w:name="_Toc183682361"/>
      <w:bookmarkStart w:id="70" w:name="_Toc183582224"/>
      <w:bookmarkStart w:id="71" w:name="_Toc217446051"/>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72" w:name="_Toc17571"/>
      <w:r>
        <w:rPr>
          <w:rFonts w:hint="eastAsia" w:ascii="宋体" w:hAnsi="宋体" w:eastAsia="宋体" w:cs="宋体"/>
          <w:sz w:val="24"/>
          <w:highlight w:val="none"/>
        </w:rPr>
        <w:t>18.响应文件的编制和签署</w:t>
      </w:r>
      <w:bookmarkEnd w:id="72"/>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18.1资格性响应文件正本1份副本2份，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18.2其他响应文件正本1份副本2份，并在其封面上清楚地标明其他响应文件、采购项目名称、采购项目编号、包件号及名称（若有）、供应商名称以及“正本”或“副本”字样。若正本和副本有不一致的内容，以正本书面响应文件为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18.3响应文件正本和副本均需在规定签章处签字和盖章。响应文件副本可采用正本的复印件。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18.4响应文件的打印和书写应清楚工整，任何行间插字、涂改或增删，必须由供应商的法定代表人或其授权代表签字并盖供应商公章。</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18.5</w:t>
      </w:r>
      <w:r>
        <w:rPr>
          <w:rFonts w:hint="eastAsia" w:ascii="宋体" w:hAnsi="宋体" w:eastAsia="宋体" w:cs="宋体"/>
          <w:b/>
          <w:bCs/>
          <w:sz w:val="24"/>
          <w:highlight w:val="none"/>
        </w:rPr>
        <w:t>（实质性要求）</w:t>
      </w:r>
      <w:r>
        <w:rPr>
          <w:rFonts w:hint="eastAsia" w:ascii="宋体" w:hAnsi="宋体" w:eastAsia="宋体" w:cs="宋体"/>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18.6响应文件正本和副本需要逐页编目编码。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18.7响应文件正本和副本应当采用胶装方式装订成册，不得散装或者合页装订。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18.8响应文件应根据磋商文件的要求制作，签署、盖章。（按照《四川省政府采购评审工作规程（修订）》规范）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18.9响应文件统一用A4幅面纸印制，除另有规定外。</w:t>
      </w:r>
    </w:p>
    <w:bookmarkEnd w:id="69"/>
    <w:bookmarkEnd w:id="70"/>
    <w:bookmarkEnd w:id="71"/>
    <w:p>
      <w:pPr>
        <w:pStyle w:val="5"/>
        <w:keepNext w:val="0"/>
        <w:keepLines w:val="0"/>
        <w:tabs>
          <w:tab w:val="left" w:pos="1080"/>
        </w:tabs>
        <w:spacing w:before="0" w:after="0" w:line="360" w:lineRule="auto"/>
        <w:ind w:firstLine="482" w:firstLineChars="200"/>
        <w:rPr>
          <w:rFonts w:hint="eastAsia" w:ascii="宋体" w:hAnsi="宋体" w:eastAsia="宋体" w:cs="宋体"/>
          <w:sz w:val="24"/>
          <w:highlight w:val="none"/>
        </w:rPr>
      </w:pPr>
      <w:bookmarkStart w:id="73" w:name="_Toc30216"/>
      <w:bookmarkStart w:id="74" w:name="_Toc89075877"/>
      <w:bookmarkStart w:id="75" w:name="_Toc183582226"/>
      <w:bookmarkStart w:id="76" w:name="_Toc77400781"/>
      <w:bookmarkStart w:id="77" w:name="_Toc217446053"/>
      <w:bookmarkStart w:id="78" w:name="_Toc183682363"/>
      <w:r>
        <w:rPr>
          <w:rFonts w:hint="eastAsia" w:ascii="宋体" w:hAnsi="宋体" w:eastAsia="宋体" w:cs="宋体"/>
          <w:sz w:val="24"/>
          <w:highlight w:val="none"/>
        </w:rPr>
        <w:t>19.响应文件的密封和标注（不属于本项目磋商小组评审范畴，由采购人、采购代理机构在接收响应文件时及时处理）</w:t>
      </w:r>
      <w:bookmarkEnd w:id="73"/>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19.1响应文件可以单独密封包装，也可以所有响应文件密封包装在一个密封袋内。</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19.2响应文件密封袋的最外层应清楚地标明采购项目名称、采购项目编号、包件号及名称（若有）、供应商名称。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19.3所有外层密封袋的封口处应粘贴牢固。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19.4未按以上要求进行密封和标注的响应文件，采购人、采购代理机构将拒收或者在时间允许的范围内，要求修改完善后接收。</w:t>
      </w:r>
    </w:p>
    <w:p>
      <w:pPr>
        <w:pStyle w:val="5"/>
        <w:keepNext w:val="0"/>
        <w:keepLines w:val="0"/>
        <w:tabs>
          <w:tab w:val="left" w:pos="1080"/>
        </w:tabs>
        <w:spacing w:before="0" w:after="0" w:line="360" w:lineRule="auto"/>
        <w:ind w:firstLine="482" w:firstLineChars="200"/>
        <w:rPr>
          <w:rFonts w:hint="eastAsia" w:ascii="宋体" w:hAnsi="宋体" w:eastAsia="宋体" w:cs="宋体"/>
          <w:sz w:val="24"/>
          <w:highlight w:val="none"/>
        </w:rPr>
      </w:pPr>
      <w:bookmarkStart w:id="79" w:name="_Toc29198"/>
      <w:r>
        <w:rPr>
          <w:rFonts w:hint="eastAsia" w:ascii="宋体" w:hAnsi="宋体" w:eastAsia="宋体" w:cs="宋体"/>
          <w:sz w:val="24"/>
          <w:highlight w:val="none"/>
        </w:rPr>
        <w:t>20.响应文件的递交</w:t>
      </w:r>
      <w:bookmarkEnd w:id="79"/>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20.1资格性响应文件和其他响应文件应于递交响应文件截止时间前送达指定地点，采购代理机构拒绝接收截止时间后送达的响应文件。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20.2采购代理机构将向通过资格审查的供应商发出磋商邀请；告知未通过资格审查的供应商未通过的原因。</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20.3报价表在磋商后，磋商小组要求供应商进行最后报价时递交。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20.4本次采购不接收邮寄的响应文件。</w:t>
      </w:r>
    </w:p>
    <w:bookmarkEnd w:id="74"/>
    <w:bookmarkEnd w:id="75"/>
    <w:bookmarkEnd w:id="76"/>
    <w:bookmarkEnd w:id="77"/>
    <w:bookmarkEnd w:id="78"/>
    <w:p>
      <w:pPr>
        <w:pStyle w:val="5"/>
        <w:keepNext w:val="0"/>
        <w:keepLines w:val="0"/>
        <w:tabs>
          <w:tab w:val="left" w:pos="1080"/>
        </w:tabs>
        <w:spacing w:before="0" w:after="0" w:line="360" w:lineRule="auto"/>
        <w:ind w:firstLine="482" w:firstLineChars="200"/>
        <w:rPr>
          <w:rFonts w:hint="eastAsia" w:ascii="宋体" w:hAnsi="宋体" w:eastAsia="宋体" w:cs="宋体"/>
          <w:sz w:val="24"/>
          <w:highlight w:val="none"/>
        </w:rPr>
      </w:pPr>
      <w:bookmarkStart w:id="80" w:name="_Toc29639"/>
      <w:bookmarkStart w:id="81" w:name="_Toc183682365"/>
      <w:bookmarkStart w:id="82" w:name="_Toc217446055"/>
      <w:bookmarkStart w:id="83" w:name="_Toc183582228"/>
      <w:r>
        <w:rPr>
          <w:rFonts w:hint="eastAsia" w:ascii="宋体" w:hAnsi="宋体" w:eastAsia="宋体" w:cs="宋体"/>
          <w:sz w:val="24"/>
          <w:highlight w:val="none"/>
        </w:rPr>
        <w:t>21.响应文件的修改和撤回（补充、修改响应文件的密封和标注按照本章“19.响应文件的密封和标注”规定处理）</w:t>
      </w:r>
      <w:bookmarkEnd w:id="80"/>
    </w:p>
    <w:p>
      <w:pPr>
        <w:pStyle w:val="11"/>
        <w:spacing w:line="400" w:lineRule="exact"/>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21.3供应商不得在递交截止时间起至响应文件有效期期满前撤销其响应文件。否则将报财政部门进行处理。</w:t>
      </w:r>
    </w:p>
    <w:p>
      <w:pPr>
        <w:spacing w:line="400" w:lineRule="exact"/>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21.4 响应文件中报价如果出现下列不一致的，可按以下原则进行修改：</w:t>
      </w:r>
    </w:p>
    <w:p>
      <w:pPr>
        <w:spacing w:line="400" w:lineRule="exact"/>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kern w:val="2"/>
          <w:sz w:val="24"/>
          <w:szCs w:val="24"/>
          <w:highlight w:val="none"/>
          <w:lang w:val="en-US" w:eastAsia="zh-CN" w:bidi="ar-SA"/>
        </w:rPr>
        <w:t>（二）总价金额与按单价汇总金额不一致的，以单价金额计算结果为准，但单</w:t>
      </w:r>
      <w:r>
        <w:rPr>
          <w:rFonts w:hint="eastAsia" w:ascii="宋体" w:hAnsi="宋体" w:eastAsia="宋体" w:cs="宋体"/>
          <w:sz w:val="24"/>
          <w:highlight w:val="none"/>
          <w:lang w:val="en-US" w:eastAsia="zh-CN"/>
        </w:rPr>
        <w:t>价或者单价汇总金额存在数字或者文字错误的，应当先对数字或者文字错误进行澄清、说明或者更正，再行修正。</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（三）单价金额小数点或者百分比有明显错位的，以总价为准，修正单价。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同时出现两种以上不一致的，按照上述规定的顺序修正。修正后的报价经供应</w:t>
      </w:r>
      <w:r>
        <w:rPr>
          <w:rFonts w:hint="eastAsia" w:ascii="宋体" w:hAnsi="宋体" w:eastAsia="宋体" w:cs="宋体"/>
          <w:sz w:val="24"/>
          <w:highlight w:val="none"/>
        </w:rPr>
        <w:t>商确认后产生约束力，供应商不确认的，其响应文件作为无效处理。供应商确认采取书面且加盖单位公章或者供应商授权代表签字的方式。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21.5供应商对其提交的响应文件的真实性、合法性承担法律责任。</w:t>
      </w:r>
    </w:p>
    <w:bookmarkEnd w:id="81"/>
    <w:bookmarkEnd w:id="82"/>
    <w:bookmarkEnd w:id="83"/>
    <w:p>
      <w:pPr>
        <w:pStyle w:val="4"/>
        <w:keepNext w:val="0"/>
        <w:keepLines w:val="0"/>
        <w:spacing w:line="360" w:lineRule="auto"/>
        <w:ind w:firstLine="200"/>
        <w:jc w:val="center"/>
        <w:rPr>
          <w:rFonts w:hint="eastAsia" w:ascii="宋体" w:hAnsi="宋体" w:eastAsia="宋体" w:cs="宋体"/>
          <w:highlight w:val="none"/>
        </w:rPr>
      </w:pPr>
      <w:bookmarkStart w:id="84" w:name="_Toc23019"/>
      <w:bookmarkStart w:id="85" w:name="_Toc217446056"/>
      <w:bookmarkStart w:id="86" w:name="_Toc183682368"/>
      <w:bookmarkStart w:id="87" w:name="_Toc89075878"/>
      <w:bookmarkStart w:id="88" w:name="_Toc183582231"/>
      <w:bookmarkStart w:id="89" w:name="_Toc77400782"/>
      <w:r>
        <w:rPr>
          <w:rFonts w:hint="eastAsia" w:ascii="宋体" w:hAnsi="宋体" w:eastAsia="宋体" w:cs="宋体"/>
          <w:highlight w:val="none"/>
        </w:rPr>
        <w:t>五、评审</w:t>
      </w:r>
      <w:bookmarkEnd w:id="84"/>
    </w:p>
    <w:p>
      <w:pPr>
        <w:pStyle w:val="5"/>
        <w:keepNext w:val="0"/>
        <w:keepLines w:val="0"/>
        <w:tabs>
          <w:tab w:val="left" w:pos="1080"/>
        </w:tabs>
        <w:spacing w:before="0" w:after="0" w:line="360" w:lineRule="auto"/>
        <w:ind w:firstLine="482" w:firstLineChars="200"/>
        <w:rPr>
          <w:rFonts w:hint="eastAsia" w:ascii="宋体" w:hAnsi="宋体" w:eastAsia="宋体" w:cs="宋体"/>
          <w:sz w:val="24"/>
          <w:highlight w:val="none"/>
          <w:lang w:val="en-US" w:eastAsia="zh-CN"/>
        </w:rPr>
      </w:pPr>
      <w:bookmarkStart w:id="90" w:name="_Toc30928"/>
      <w:r>
        <w:rPr>
          <w:rFonts w:hint="eastAsia" w:ascii="宋体" w:hAnsi="宋体" w:eastAsia="宋体" w:cs="宋体"/>
          <w:sz w:val="24"/>
          <w:highlight w:val="none"/>
          <w:lang w:val="en-US" w:eastAsia="zh-CN"/>
        </w:rPr>
        <w:t>22.磋商小组的组建及其评审工作按照有关法律制度和本文件第七章的规定进行。</w:t>
      </w:r>
    </w:p>
    <w:p>
      <w:pPr>
        <w:pStyle w:val="4"/>
        <w:keepNext w:val="0"/>
        <w:keepLines w:val="0"/>
        <w:spacing w:line="360" w:lineRule="auto"/>
        <w:jc w:val="center"/>
        <w:rPr>
          <w:rFonts w:hint="eastAsia" w:ascii="宋体" w:hAnsi="宋体" w:eastAsia="宋体" w:cs="宋体"/>
          <w:highlight w:val="none"/>
        </w:rPr>
      </w:pPr>
      <w:r>
        <w:rPr>
          <w:rFonts w:hint="eastAsia" w:ascii="宋体" w:hAnsi="宋体" w:eastAsia="宋体" w:cs="宋体"/>
          <w:highlight w:val="none"/>
        </w:rPr>
        <w:t>六、成交事项</w:t>
      </w:r>
      <w:bookmarkEnd w:id="90"/>
    </w:p>
    <w:p>
      <w:pPr>
        <w:pStyle w:val="5"/>
        <w:keepNext w:val="0"/>
        <w:keepLines w:val="0"/>
        <w:tabs>
          <w:tab w:val="left" w:pos="1080"/>
        </w:tabs>
        <w:spacing w:before="0" w:after="0" w:line="360" w:lineRule="auto"/>
        <w:ind w:firstLine="482" w:firstLineChars="200"/>
        <w:rPr>
          <w:rFonts w:hint="eastAsia" w:ascii="宋体" w:hAnsi="宋体" w:eastAsia="宋体" w:cs="宋体"/>
          <w:sz w:val="24"/>
          <w:highlight w:val="none"/>
          <w:lang w:val="en-US" w:eastAsia="zh-CN"/>
        </w:rPr>
      </w:pPr>
      <w:bookmarkStart w:id="91" w:name="_Toc14351"/>
      <w:r>
        <w:rPr>
          <w:rFonts w:hint="eastAsia" w:ascii="宋体" w:hAnsi="宋体" w:eastAsia="宋体" w:cs="宋体"/>
          <w:sz w:val="24"/>
          <w:highlight w:val="none"/>
          <w:lang w:val="en-US" w:eastAsia="zh-CN"/>
        </w:rPr>
        <w:t>23.确定成交供应商</w:t>
      </w:r>
      <w:bookmarkEnd w:id="91"/>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采购人将按磋商小组推荐的成交候选供应商顺序确定成交供应商。</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23.1采购代理机构自评审结束后2个工作日内将磋商报告及有关资料送交采购人确定成交供应商。</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23.3采购人确定成交供应商过程中，发现成交候选供应商有下列情形之一的，应当不予确定其为成交供应商：</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（1）发现成交候选供应商存在禁止参加本项目采购活动的违法行为的；</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（2）成交候选供应商因不可抗力，不能继续参加政府采购活动；</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（3）成交候选供应商无偿赠与或者低于成本价竞争；</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（4）成交候选供应商提供虚假材料；</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（5）成交候选供应商恶意串通。</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成交候选供应商有本条情形之一的，采购人可以确定后一位成交候选供应商为成交供应商，依次类推。无法确定成交供应商的，应当重新组织采购。</w:t>
      </w:r>
    </w:p>
    <w:p>
      <w:pPr>
        <w:pStyle w:val="5"/>
        <w:keepNext w:val="0"/>
        <w:keepLines w:val="0"/>
        <w:tabs>
          <w:tab w:val="left" w:pos="1080"/>
        </w:tabs>
        <w:spacing w:before="0" w:after="0" w:line="360" w:lineRule="auto"/>
        <w:ind w:firstLine="482" w:firstLineChars="200"/>
        <w:rPr>
          <w:rFonts w:hint="eastAsia" w:ascii="宋体" w:hAnsi="宋体" w:eastAsia="宋体" w:cs="宋体"/>
          <w:sz w:val="24"/>
          <w:highlight w:val="none"/>
          <w:lang w:val="en-US" w:eastAsia="zh-CN"/>
        </w:rPr>
      </w:pPr>
      <w:bookmarkStart w:id="92" w:name="_Toc31914"/>
      <w:r>
        <w:rPr>
          <w:rFonts w:hint="eastAsia" w:ascii="宋体" w:hAnsi="宋体" w:eastAsia="宋体" w:cs="宋体"/>
          <w:sz w:val="24"/>
          <w:highlight w:val="none"/>
          <w:lang w:val="en-US" w:eastAsia="zh-CN"/>
        </w:rPr>
        <w:t>24.</w:t>
      </w:r>
      <w:bookmarkEnd w:id="92"/>
      <w:r>
        <w:rPr>
          <w:rFonts w:hint="eastAsia" w:ascii="宋体" w:hAnsi="宋体" w:eastAsia="宋体" w:cs="宋体"/>
          <w:sz w:val="24"/>
          <w:highlight w:val="none"/>
          <w:lang w:val="en-US" w:eastAsia="zh-CN"/>
        </w:rPr>
        <w:t>行贿犯罪档案查询和记录的使用</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根据《最高人民检察院关于行贿犯罪档案查询工作的规定》和《关于在政府采购活动中全面开展行贿犯罪档案查询的通知》（川检会[2016]5号）的要求，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93" w:name="_Toc7361"/>
      <w:r>
        <w:rPr>
          <w:rFonts w:hint="eastAsia" w:ascii="宋体" w:hAnsi="宋体" w:eastAsia="宋体" w:cs="宋体"/>
          <w:sz w:val="24"/>
          <w:highlight w:val="none"/>
        </w:rPr>
        <w:t>25.成交结果</w:t>
      </w:r>
      <w:bookmarkEnd w:id="93"/>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25.1采购人确定成交供应商后，及时书面通知采购代理机构，发出成交通知书并发布成交结果公告。</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25.2成交供应商应当及时领取成交通知书。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25.3成家供应商不能及时领取成交通知书，采购人或者采购代理机应当通过邮寄、快递等方式将项目成交通知书送达成交供应商。</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94" w:name="_Toc21495"/>
      <w:r>
        <w:rPr>
          <w:rFonts w:hint="eastAsia" w:ascii="宋体" w:hAnsi="宋体" w:eastAsia="宋体" w:cs="宋体"/>
          <w:sz w:val="24"/>
          <w:highlight w:val="none"/>
        </w:rPr>
        <w:t>26.成交通知书</w:t>
      </w:r>
      <w:bookmarkEnd w:id="94"/>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26.1成交通知书为签订政府采购合同的依据之一，是合同的有效组成部分。</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ind w:firstLine="200"/>
        <w:jc w:val="center"/>
        <w:rPr>
          <w:rFonts w:hint="eastAsia" w:ascii="宋体" w:hAnsi="宋体" w:eastAsia="宋体" w:cs="宋体"/>
          <w:highlight w:val="none"/>
        </w:rPr>
      </w:pPr>
      <w:bookmarkStart w:id="95" w:name="_Toc1105"/>
      <w:r>
        <w:rPr>
          <w:rFonts w:hint="eastAsia" w:ascii="宋体" w:hAnsi="宋体" w:eastAsia="宋体" w:cs="宋体"/>
          <w:highlight w:val="none"/>
        </w:rPr>
        <w:t>七、合同事项</w:t>
      </w:r>
      <w:bookmarkEnd w:id="95"/>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96" w:name="_Toc209847069"/>
      <w:bookmarkStart w:id="97" w:name="_Toc23554"/>
      <w:bookmarkStart w:id="98" w:name="_Toc430773927"/>
      <w:bookmarkStart w:id="99" w:name="_Toc101338364"/>
      <w:bookmarkStart w:id="100" w:name="_Toc101250646"/>
      <w:bookmarkStart w:id="101" w:name="_Toc101174151"/>
      <w:r>
        <w:rPr>
          <w:rFonts w:hint="eastAsia" w:ascii="宋体" w:hAnsi="宋体" w:eastAsia="宋体" w:cs="宋体"/>
          <w:sz w:val="24"/>
          <w:highlight w:val="none"/>
        </w:rPr>
        <w:t>27.签订合同</w:t>
      </w:r>
      <w:bookmarkEnd w:id="96"/>
      <w:bookmarkEnd w:id="97"/>
      <w:bookmarkEnd w:id="98"/>
      <w:bookmarkEnd w:id="99"/>
      <w:bookmarkEnd w:id="100"/>
      <w:bookmarkEnd w:id="101"/>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27.2 磋商文件、成交供应商的响应文件及双方确认的澄清文件等，均为有法律约束力的合同组成部分。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27.5竞争性磋商文件、成交供应商提交的响应文件、磋商中的最后报价、成交供应商承诺书、成交通知书等均称为有法律约束力的合同组成内容。</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2" w:name="_Toc6819"/>
      <w:r>
        <w:rPr>
          <w:rFonts w:hint="eastAsia" w:ascii="宋体" w:hAnsi="宋体" w:eastAsia="宋体" w:cs="宋体"/>
          <w:sz w:val="24"/>
          <w:highlight w:val="none"/>
        </w:rPr>
        <w:t>28.合同分包（实质性要求）</w:t>
      </w:r>
      <w:bookmarkEnd w:id="102"/>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28.2 采购合同实行分包履行的，成交供应商就采购项目和分包项目向采购人负责，分包供应商就分包项目承担责任。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28.3 中小企业依据《政府采购促进中小企业发展管理办法》（财库﹝2020﹞46 号）规定的政策获取政府采购合同后，小型、微型企业不得分包或转包给大型、中型企业，中型企业不得分包或转包给大型企业。</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3" w:name="_Toc19928"/>
      <w:r>
        <w:rPr>
          <w:rFonts w:hint="eastAsia" w:ascii="宋体" w:hAnsi="宋体" w:eastAsia="宋体" w:cs="宋体"/>
          <w:sz w:val="24"/>
          <w:highlight w:val="none"/>
        </w:rPr>
        <w:t>29.合同转包（实质性要求）</w:t>
      </w:r>
      <w:bookmarkEnd w:id="103"/>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成交供应商转包的，视同拒绝履行政府采购合同义务，将依法追究法律责任。</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4" w:name="_Toc26206"/>
      <w:r>
        <w:rPr>
          <w:rFonts w:hint="eastAsia" w:ascii="宋体" w:hAnsi="宋体" w:eastAsia="宋体" w:cs="宋体"/>
          <w:sz w:val="24"/>
          <w:highlight w:val="none"/>
        </w:rPr>
        <w:t>30.补充合同</w:t>
      </w:r>
      <w:bookmarkEnd w:id="104"/>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5" w:name="_Toc18447"/>
      <w:r>
        <w:rPr>
          <w:rFonts w:hint="eastAsia" w:ascii="宋体" w:hAnsi="宋体" w:eastAsia="宋体" w:cs="宋体"/>
          <w:sz w:val="24"/>
          <w:highlight w:val="none"/>
        </w:rPr>
        <w:t>31.履约保证金（实质性要求）</w:t>
      </w:r>
      <w:bookmarkEnd w:id="105"/>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w:t>
      </w:r>
      <w:r>
        <w:rPr>
          <w:rFonts w:hint="eastAsia" w:ascii="宋体" w:hAnsi="宋体" w:eastAsia="宋体" w:cs="宋体"/>
          <w:sz w:val="24"/>
          <w:highlight w:val="none"/>
        </w:rPr>
        <w:t>项目</w:t>
      </w:r>
      <w:r>
        <w:rPr>
          <w:rFonts w:hint="eastAsia" w:ascii="宋体" w:hAnsi="宋体" w:eastAsia="宋体" w:cs="宋体"/>
          <w:b/>
          <w:bCs/>
          <w:sz w:val="24"/>
          <w:highlight w:val="none"/>
        </w:rPr>
        <w:t>不收取</w:t>
      </w:r>
      <w:r>
        <w:rPr>
          <w:rFonts w:hint="eastAsia" w:ascii="宋体" w:hAnsi="宋体" w:eastAsia="宋体" w:cs="宋体"/>
          <w:sz w:val="24"/>
          <w:highlight w:val="none"/>
        </w:rPr>
        <w:t>履约保</w:t>
      </w:r>
      <w:r>
        <w:rPr>
          <w:rFonts w:hint="eastAsia" w:ascii="宋体" w:hAnsi="宋体" w:eastAsia="宋体" w:cs="宋体"/>
          <w:sz w:val="24"/>
          <w:highlight w:val="none"/>
        </w:rPr>
        <w:t>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31.1成交供应商应在合同签订之前交纳采购文件规定数额的履约保证金。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31.2如果成交供应商在规定的合同签订时间内，没有按照采购文件的规定交纳履约保证金，且又无正当理由的，将视为放弃成交。</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6" w:name="_Toc7205"/>
      <w:r>
        <w:rPr>
          <w:rFonts w:hint="eastAsia" w:ascii="宋体" w:hAnsi="宋体" w:eastAsia="宋体" w:cs="宋体"/>
          <w:sz w:val="24"/>
          <w:highlight w:val="none"/>
        </w:rPr>
        <w:t>32.合同公告</w:t>
      </w:r>
      <w:bookmarkEnd w:id="106"/>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7" w:name="_Toc916"/>
      <w:r>
        <w:rPr>
          <w:rFonts w:hint="eastAsia" w:ascii="宋体" w:hAnsi="宋体" w:eastAsia="宋体" w:cs="宋体"/>
          <w:sz w:val="24"/>
          <w:highlight w:val="none"/>
        </w:rPr>
        <w:t>33.合同备案</w:t>
      </w:r>
      <w:bookmarkEnd w:id="107"/>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采购人应当将政府采购合同副本自签订（双方当事人均已签字盖章）之日起七个工作日内通过四川政府采购网报同级财政部门备案。</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8" w:name="_Toc29857"/>
      <w:r>
        <w:rPr>
          <w:rFonts w:hint="eastAsia" w:ascii="宋体" w:hAnsi="宋体" w:eastAsia="宋体" w:cs="宋体"/>
          <w:sz w:val="24"/>
          <w:highlight w:val="none"/>
        </w:rPr>
        <w:t>34.履行合同</w:t>
      </w:r>
      <w:bookmarkEnd w:id="108"/>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34.1成交供应商与采购人签订合同后，合同双方应严格执行合同条款，履行合同规定的义务，保证合同的顺利完成。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34.2在合同履行过程中，如发生合同纠纷，合同双方应按照《民法典》的有关规定进行处理。</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09" w:name="_Toc29724"/>
      <w:r>
        <w:rPr>
          <w:rFonts w:hint="eastAsia" w:ascii="宋体" w:hAnsi="宋体" w:eastAsia="宋体" w:cs="宋体"/>
          <w:sz w:val="24"/>
          <w:highlight w:val="none"/>
        </w:rPr>
        <w:t>35.验收</w:t>
      </w:r>
      <w:bookmarkEnd w:id="109"/>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35.1本项目将严格按照政府采购相关法律法规以及《财政部关于进一步加强政府采购需求和履约验收管理的指导意见》（财库〔2016〕205 号）的要求进行验收。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35.2 验收结果合格的，成交供应商凭采购人出具的验收合格书面证明到采购人处办理相关手续；验收结果不合格的，将不予支付采购资金，还可能会报本项目同级财政部门</w:t>
      </w:r>
      <w:r>
        <w:rPr>
          <w:rFonts w:hint="eastAsia" w:ascii="宋体" w:hAnsi="宋体" w:eastAsia="宋体" w:cs="宋体"/>
          <w:sz w:val="24"/>
          <w:highlight w:val="none"/>
          <w:lang w:eastAsia="zh-CN"/>
        </w:rPr>
        <w:t>，将严格</w:t>
      </w:r>
      <w:r>
        <w:rPr>
          <w:rFonts w:hint="eastAsia" w:ascii="宋体" w:hAnsi="宋体" w:eastAsia="宋体" w:cs="宋体"/>
          <w:sz w:val="24"/>
          <w:highlight w:val="none"/>
        </w:rPr>
        <w:t>按照《四川省公共资源交易领域严重失信联合惩戒实施办法》（川发改信用规〔2019〕405号）、《关于对政府采购领域严重违法失信主体开展联合惩戒的合作备忘录》（发改财金〔2018〕1614号）</w:t>
      </w:r>
      <w:r>
        <w:rPr>
          <w:rFonts w:hint="eastAsia" w:ascii="宋体" w:hAnsi="宋体" w:eastAsia="宋体" w:cs="宋体"/>
          <w:sz w:val="24"/>
          <w:highlight w:val="none"/>
          <w:lang w:eastAsia="zh-CN"/>
        </w:rPr>
        <w:t>等</w:t>
      </w:r>
      <w:r>
        <w:rPr>
          <w:rFonts w:hint="eastAsia" w:ascii="宋体" w:hAnsi="宋体" w:eastAsia="宋体" w:cs="宋体"/>
          <w:sz w:val="24"/>
          <w:highlight w:val="none"/>
        </w:rPr>
        <w:t>政府采购法律法规</w:t>
      </w:r>
      <w:r>
        <w:rPr>
          <w:rFonts w:hint="eastAsia" w:ascii="宋体" w:hAnsi="宋体" w:eastAsia="宋体" w:cs="宋体"/>
          <w:sz w:val="24"/>
          <w:highlight w:val="none"/>
          <w:lang w:eastAsia="zh-CN"/>
        </w:rPr>
        <w:t>相关规定</w:t>
      </w:r>
      <w:r>
        <w:rPr>
          <w:rFonts w:hint="eastAsia" w:ascii="宋体" w:hAnsi="宋体" w:eastAsia="宋体" w:cs="宋体"/>
          <w:sz w:val="24"/>
          <w:highlight w:val="none"/>
        </w:rPr>
        <w:t>执行。</w:t>
      </w:r>
    </w:p>
    <w:p>
      <w:pPr>
        <w:pStyle w:val="5"/>
        <w:keepNext w:val="0"/>
        <w:keepLines w:val="0"/>
        <w:spacing w:before="0" w:after="0" w:line="360" w:lineRule="auto"/>
        <w:ind w:firstLine="482" w:firstLineChars="200"/>
        <w:rPr>
          <w:rFonts w:hint="eastAsia" w:ascii="宋体" w:hAnsi="宋体" w:eastAsia="宋体" w:cs="宋体"/>
          <w:sz w:val="24"/>
          <w:highlight w:val="none"/>
        </w:rPr>
      </w:pPr>
      <w:bookmarkStart w:id="110" w:name="_Toc25527"/>
      <w:r>
        <w:rPr>
          <w:rFonts w:hint="eastAsia" w:ascii="宋体" w:hAnsi="宋体" w:eastAsia="宋体" w:cs="宋体"/>
          <w:sz w:val="24"/>
          <w:highlight w:val="none"/>
        </w:rPr>
        <w:t>36.资金支付</w:t>
      </w:r>
      <w:bookmarkEnd w:id="110"/>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采购人将按照政府采购合同规定，及时向成交供应商支付采购资金。</w:t>
      </w:r>
    </w:p>
    <w:p>
      <w:pPr>
        <w:pStyle w:val="4"/>
        <w:keepNext w:val="0"/>
        <w:keepLines w:val="0"/>
        <w:spacing w:before="0" w:after="0" w:line="360" w:lineRule="auto"/>
        <w:ind w:firstLine="200"/>
        <w:jc w:val="center"/>
        <w:rPr>
          <w:rFonts w:hint="eastAsia" w:ascii="宋体" w:hAnsi="宋体" w:eastAsia="宋体" w:cs="宋体"/>
          <w:highlight w:val="none"/>
        </w:rPr>
      </w:pPr>
      <w:bookmarkStart w:id="111" w:name="_Toc22766"/>
      <w:r>
        <w:rPr>
          <w:rFonts w:hint="eastAsia" w:ascii="宋体" w:hAnsi="宋体" w:eastAsia="宋体" w:cs="宋体"/>
          <w:highlight w:val="none"/>
        </w:rPr>
        <w:t>八、磋商纪律要求</w:t>
      </w:r>
      <w:bookmarkEnd w:id="111"/>
    </w:p>
    <w:p>
      <w:pPr>
        <w:pStyle w:val="5"/>
        <w:keepNext w:val="0"/>
        <w:keepLines w:val="0"/>
        <w:tabs>
          <w:tab w:val="left" w:pos="851"/>
        </w:tabs>
        <w:spacing w:before="0" w:after="0" w:line="360" w:lineRule="auto"/>
        <w:ind w:firstLine="482" w:firstLineChars="200"/>
        <w:rPr>
          <w:rFonts w:hint="eastAsia" w:ascii="宋体" w:hAnsi="宋体" w:eastAsia="宋体" w:cs="宋体"/>
          <w:sz w:val="24"/>
          <w:highlight w:val="none"/>
        </w:rPr>
      </w:pPr>
      <w:bookmarkStart w:id="112" w:name="_Toc17062"/>
      <w:r>
        <w:rPr>
          <w:rFonts w:hint="eastAsia" w:ascii="宋体" w:hAnsi="宋体" w:eastAsia="宋体" w:cs="宋体"/>
          <w:sz w:val="24"/>
          <w:highlight w:val="none"/>
        </w:rPr>
        <w:t>37.供应商不得具有的情形</w:t>
      </w:r>
      <w:bookmarkEnd w:id="112"/>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供应商参加本项目磋商不得有下列情形：</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（1）提供虚假材料谋取成交；</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（2）采取不正当手段诋毁、排挤其他供应商；</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（3）与采购人、采购代理机构、或其他供应商恶意串通；</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（4）向采购人、采购代理机构、磋商小组成员行贿或者提供其他不正当利益；</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（5）在磋商过程中与采购人、采购代理机构进行协商；</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（6）成交后无正当理由拒不与采购人签订政府采购合同；</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（7）未按照磋商文件确定的事项签订政府采购合同；</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（8）将政府采购合同转包或者违规分包；</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（9）提供假冒伪劣产品；</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（10）擅自变更、中止或者终止政府采购合同；</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（12）法律法规规定的其他情形。</w:t>
      </w:r>
    </w:p>
    <w:p>
      <w:pPr>
        <w:tabs>
          <w:tab w:val="left" w:pos="85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20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九、询问、质疑和投诉</w:t>
      </w:r>
    </w:p>
    <w:p>
      <w:pPr>
        <w:pStyle w:val="5"/>
        <w:keepNext w:val="0"/>
        <w:keepLines w:val="0"/>
        <w:tabs>
          <w:tab w:val="left" w:pos="851"/>
        </w:tabs>
        <w:spacing w:before="0" w:after="0" w:line="360" w:lineRule="auto"/>
        <w:ind w:firstLine="480" w:firstLineChars="200"/>
        <w:rPr>
          <w:rFonts w:hint="eastAsia" w:ascii="宋体" w:hAnsi="宋体" w:eastAsia="宋体" w:cs="宋体"/>
          <w:highlight w:val="none"/>
        </w:rPr>
      </w:pPr>
      <w:bookmarkStart w:id="113" w:name="_Toc10519"/>
      <w:r>
        <w:rPr>
          <w:rFonts w:hint="eastAsia" w:ascii="宋体" w:hAnsi="宋体" w:eastAsia="宋体" w:cs="宋体"/>
          <w:b w:val="0"/>
          <w:bCs/>
          <w:kern w:val="2"/>
          <w:sz w:val="24"/>
          <w:szCs w:val="32"/>
          <w:highlight w:val="none"/>
          <w:lang w:val="en-US" w:eastAsia="zh-CN" w:bidi="ar-SA"/>
        </w:rPr>
        <w:t>38.询问、质疑、投诉的接收和处理严格按照《中华人民共和国政府采购法》、《中华人民共和国政府采购法实施条例》、《政府采购质疑和投诉办法（财政部第 94 号令）》、《财政部关于加强政府采购供应商投诉受理审查工作的通知》和四川省的有关规定办理（详细规定请在四川政府采购网政策法规模块查询）。</w:t>
      </w:r>
      <w:bookmarkEnd w:id="113"/>
    </w:p>
    <w:p>
      <w:pPr>
        <w:tabs>
          <w:tab w:val="left" w:pos="851"/>
        </w:tabs>
        <w:spacing w:line="360" w:lineRule="auto"/>
        <w:ind w:firstLine="20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十、其  他</w:t>
      </w:r>
    </w:p>
    <w:p>
      <w:pPr>
        <w:pStyle w:val="5"/>
        <w:keepNext w:val="0"/>
        <w:keepLines w:val="0"/>
        <w:tabs>
          <w:tab w:val="left" w:pos="851"/>
        </w:tabs>
        <w:spacing w:before="0" w:after="0" w:line="360" w:lineRule="auto"/>
        <w:ind w:firstLine="480" w:firstLineChars="200"/>
        <w:rPr>
          <w:rFonts w:hint="eastAsia" w:ascii="宋体" w:hAnsi="宋体" w:eastAsia="宋体" w:cs="宋体"/>
          <w:b w:val="0"/>
          <w:bCs w:val="0"/>
          <w:sz w:val="24"/>
          <w:highlight w:val="none"/>
        </w:rPr>
      </w:pPr>
      <w:bookmarkStart w:id="114" w:name="_Toc24153"/>
      <w:r>
        <w:rPr>
          <w:rFonts w:hint="eastAsia" w:ascii="宋体" w:hAnsi="宋体" w:eastAsia="宋体" w:cs="宋体"/>
          <w:b w:val="0"/>
          <w:bCs w:val="0"/>
          <w:sz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bookmarkEnd w:id="114"/>
    </w:p>
    <w:p>
      <w:pPr>
        <w:rPr>
          <w:rFonts w:hint="eastAsia" w:ascii="宋体" w:hAnsi="宋体" w:eastAsia="宋体" w:cs="宋体"/>
          <w:b w:val="0"/>
          <w:bCs w:val="0"/>
          <w:sz w:val="24"/>
          <w:highlight w:val="none"/>
        </w:rPr>
      </w:pPr>
    </w:p>
    <w:p>
      <w:pPr>
        <w:pStyle w:val="3"/>
        <w:keepNext w:val="0"/>
        <w:keepLines w:val="0"/>
        <w:spacing w:before="0" w:after="0" w:line="240" w:lineRule="auto"/>
        <w:jc w:val="center"/>
        <w:rPr>
          <w:rFonts w:hint="eastAsia" w:ascii="宋体" w:hAnsi="宋体" w:eastAsia="宋体" w:cs="宋体"/>
          <w:sz w:val="36"/>
          <w:szCs w:val="36"/>
          <w:highlight w:val="none"/>
        </w:rPr>
      </w:pPr>
      <w:r>
        <w:rPr>
          <w:rFonts w:hint="eastAsia" w:ascii="宋体" w:hAnsi="宋体" w:eastAsia="宋体" w:cs="宋体"/>
          <w:b w:val="0"/>
          <w:bCs w:val="0"/>
          <w:kern w:val="2"/>
          <w:sz w:val="24"/>
          <w:szCs w:val="32"/>
          <w:highlight w:val="none"/>
          <w:lang w:val="en-US" w:eastAsia="zh-CN" w:bidi="ar-SA"/>
        </w:rPr>
        <w:br w:type="page"/>
      </w:r>
      <w:bookmarkStart w:id="115" w:name="_Toc7961745"/>
      <w:bookmarkStart w:id="116" w:name="_Toc23984"/>
      <w:bookmarkStart w:id="117" w:name="_Toc32478"/>
      <w:bookmarkStart w:id="118" w:name="_Toc13841"/>
      <w:r>
        <w:rPr>
          <w:rFonts w:hint="eastAsia" w:ascii="宋体" w:hAnsi="宋体" w:eastAsia="宋体" w:cs="宋体"/>
          <w:sz w:val="36"/>
          <w:szCs w:val="36"/>
          <w:highlight w:val="none"/>
        </w:rPr>
        <w:t>第三章  供应商的资格、资质性及其他类似效力要求</w:t>
      </w:r>
      <w:bookmarkEnd w:id="115"/>
      <w:bookmarkEnd w:id="116"/>
      <w:bookmarkEnd w:id="117"/>
      <w:bookmarkEnd w:id="118"/>
    </w:p>
    <w:p>
      <w:pPr>
        <w:pStyle w:val="67"/>
        <w:ind w:firstLine="195" w:firstLineChars="81"/>
        <w:rPr>
          <w:rFonts w:hint="eastAsia" w:ascii="宋体" w:hAnsi="宋体" w:eastAsia="宋体" w:cs="宋体"/>
          <w:b/>
          <w:bCs/>
          <w:sz w:val="24"/>
          <w:szCs w:val="22"/>
          <w:highlight w:val="none"/>
        </w:rPr>
      </w:pPr>
    </w:p>
    <w:p>
      <w:pPr>
        <w:pStyle w:val="67"/>
        <w:spacing w:line="360" w:lineRule="auto"/>
        <w:ind w:firstLine="195" w:firstLineChars="8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一、参加磋商的供应商应具备下列资格条件：</w:t>
      </w:r>
    </w:p>
    <w:p>
      <w:pPr>
        <w:pStyle w:val="67"/>
        <w:spacing w:line="360" w:lineRule="auto"/>
        <w:ind w:firstLine="720" w:firstLineChars="3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（一）满足《中华人民共和国政府采购法》第二十二条规定：</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1、具有独立承担民事责任的能力；</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2、具有良好的商业信誉和健全的财务会计制度；</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3、具有履行合同所必需的设备和专业技术能力；</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4、具有依法缴纳税收和社会保障资金的良好记录；</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5、参加本次政府采购活动前三年内，在经营活动中没有重大违法记录；</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6</w:t>
      </w:r>
      <w:r>
        <w:rPr>
          <w:rFonts w:hint="eastAsia" w:ascii="宋体" w:hAnsi="宋体" w:eastAsia="宋体" w:cs="宋体"/>
          <w:kern w:val="2"/>
          <w:sz w:val="24"/>
          <w:szCs w:val="24"/>
          <w:highlight w:val="none"/>
          <w:lang w:val="zh-CN" w:eastAsia="zh-CN" w:bidi="ar-SA"/>
        </w:rPr>
        <w:t>、法律、行政法规规定的其他条件。</w:t>
      </w:r>
    </w:p>
    <w:p>
      <w:pPr>
        <w:pStyle w:val="67"/>
        <w:spacing w:line="360" w:lineRule="auto"/>
        <w:ind w:firstLine="720" w:firstLineChars="3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（二）落实政府采购政策需满足的资格</w:t>
      </w:r>
      <w:r>
        <w:rPr>
          <w:rFonts w:hint="eastAsia" w:ascii="宋体" w:hAnsi="宋体" w:eastAsia="宋体" w:cs="宋体"/>
          <w:kern w:val="2"/>
          <w:sz w:val="24"/>
          <w:szCs w:val="24"/>
          <w:highlight w:val="none"/>
          <w:lang w:val="en-US" w:eastAsia="zh-CN" w:bidi="ar-SA"/>
        </w:rPr>
        <w:t>要求：本项目专门面向中小企业采购(监狱企业、残疾人福利性单位均视同小微企业)。</w:t>
      </w:r>
    </w:p>
    <w:p>
      <w:pPr>
        <w:pStyle w:val="67"/>
        <w:spacing w:line="360" w:lineRule="auto"/>
        <w:ind w:firstLine="720" w:firstLineChars="3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（三）本项目的特定资格要求：无。</w:t>
      </w:r>
    </w:p>
    <w:p>
      <w:pPr>
        <w:pStyle w:val="67"/>
        <w:spacing w:line="360" w:lineRule="auto"/>
        <w:ind w:firstLine="195" w:firstLineChars="8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二、其他类似效力要求：</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1、</w:t>
      </w:r>
      <w:r>
        <w:rPr>
          <w:rFonts w:hint="eastAsia" w:ascii="宋体" w:hAnsi="宋体" w:eastAsia="宋体" w:cs="宋体"/>
          <w:kern w:val="2"/>
          <w:sz w:val="24"/>
          <w:szCs w:val="24"/>
          <w:highlight w:val="none"/>
          <w:lang w:val="zh-CN" w:eastAsia="zh-CN" w:bidi="ar-SA"/>
        </w:rPr>
        <w:t>参加本项目政府采购活动的供应商及其现任法定代表人/主要负责人不得具有行贿犯罪记录；</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zh-CN" w:eastAsia="zh-CN" w:bidi="ar-SA"/>
        </w:rPr>
        <w:t>供应商与其他供应商之间，单位负责人不为同一人而且不存在直接控股、管理关系。</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3、</w:t>
      </w:r>
      <w:r>
        <w:rPr>
          <w:rFonts w:hint="eastAsia" w:ascii="宋体" w:hAnsi="宋体" w:eastAsia="宋体" w:cs="宋体"/>
          <w:kern w:val="2"/>
          <w:sz w:val="24"/>
          <w:szCs w:val="24"/>
          <w:highlight w:val="none"/>
          <w:lang w:val="zh-CN" w:eastAsia="zh-CN" w:bidi="ar-SA"/>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67"/>
        <w:spacing w:line="360" w:lineRule="auto"/>
        <w:ind w:firstLine="720" w:firstLineChars="3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4、</w:t>
      </w:r>
      <w:r>
        <w:rPr>
          <w:rFonts w:hint="eastAsia" w:ascii="宋体" w:hAnsi="宋体" w:eastAsia="宋体" w:cs="宋体"/>
          <w:kern w:val="2"/>
          <w:sz w:val="24"/>
          <w:szCs w:val="24"/>
          <w:highlight w:val="none"/>
          <w:lang w:val="zh-CN" w:eastAsia="zh-CN" w:bidi="ar-SA"/>
        </w:rPr>
        <w:t>本项目不接受联合体参与采购活动。</w:t>
      </w:r>
    </w:p>
    <w:p>
      <w:pPr>
        <w:spacing w:line="360" w:lineRule="auto"/>
        <w:ind w:firstLine="474" w:firstLineChars="225"/>
        <w:rPr>
          <w:rFonts w:hint="eastAsia" w:ascii="宋体" w:hAnsi="宋体" w:eastAsia="宋体" w:cs="宋体"/>
          <w:b/>
          <w:kern w:val="2"/>
          <w:sz w:val="21"/>
          <w:szCs w:val="24"/>
          <w:highlight w:val="none"/>
          <w:lang w:val="en-US" w:eastAsia="zh-CN" w:bidi="ar-SA"/>
        </w:rPr>
      </w:pPr>
      <w:r>
        <w:rPr>
          <w:rFonts w:hint="eastAsia" w:ascii="宋体" w:hAnsi="宋体" w:eastAsia="宋体" w:cs="宋体"/>
          <w:b/>
          <w:kern w:val="2"/>
          <w:sz w:val="21"/>
          <w:szCs w:val="24"/>
          <w:highlight w:val="none"/>
          <w:lang w:val="en-US" w:eastAsia="zh-CN" w:bidi="ar-SA"/>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67"/>
        <w:numPr>
          <w:ilvl w:val="0"/>
          <w:numId w:val="0"/>
        </w:numPr>
        <w:tabs>
          <w:tab w:val="left" w:pos="0"/>
        </w:tabs>
        <w:ind w:left="0" w:leftChars="0" w:firstLine="430" w:firstLineChars="204"/>
        <w:rPr>
          <w:rFonts w:hint="eastAsia" w:ascii="宋体" w:hAnsi="宋体" w:eastAsia="宋体" w:cs="宋体"/>
          <w:b/>
          <w:kern w:val="2"/>
          <w:sz w:val="21"/>
          <w:szCs w:val="24"/>
          <w:highlight w:val="none"/>
          <w:lang w:val="en-US" w:eastAsia="zh-CN" w:bidi="ar-SA"/>
        </w:rPr>
      </w:pPr>
      <w:r>
        <w:rPr>
          <w:rFonts w:hint="eastAsia" w:ascii="宋体" w:hAnsi="宋体" w:eastAsia="宋体" w:cs="宋体"/>
          <w:b/>
          <w:kern w:val="2"/>
          <w:sz w:val="21"/>
          <w:szCs w:val="24"/>
          <w:highlight w:val="none"/>
          <w:lang w:val="en-US" w:eastAsia="zh-CN" w:bidi="ar-SA"/>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keepNext w:val="0"/>
        <w:keepLines w:val="0"/>
        <w:spacing w:before="0" w:after="0" w:line="240" w:lineRule="auto"/>
        <w:jc w:val="center"/>
        <w:rPr>
          <w:rFonts w:hint="eastAsia" w:ascii="宋体" w:hAnsi="宋体" w:eastAsia="宋体" w:cs="宋体"/>
          <w:b/>
          <w:bCs/>
          <w:sz w:val="24"/>
          <w:szCs w:val="22"/>
          <w:highlight w:val="none"/>
        </w:rPr>
      </w:pPr>
      <w:r>
        <w:rPr>
          <w:rFonts w:hint="eastAsia" w:ascii="宋体" w:hAnsi="宋体" w:eastAsia="宋体" w:cs="宋体"/>
          <w:sz w:val="32"/>
          <w:szCs w:val="32"/>
          <w:highlight w:val="none"/>
        </w:rPr>
        <w:br w:type="page"/>
      </w:r>
      <w:bookmarkStart w:id="119" w:name="_Toc28172"/>
      <w:bookmarkStart w:id="120" w:name="_Toc7961746"/>
      <w:bookmarkStart w:id="121" w:name="_Toc31811"/>
      <w:bookmarkStart w:id="122" w:name="_Toc31689"/>
      <w:r>
        <w:rPr>
          <w:rFonts w:hint="eastAsia" w:ascii="宋体" w:hAnsi="宋体" w:eastAsia="宋体" w:cs="宋体"/>
          <w:sz w:val="36"/>
          <w:szCs w:val="36"/>
          <w:highlight w:val="none"/>
        </w:rPr>
        <w:t>第四章  供应商的资格、资质性及其他类似效力要求证明材料</w:t>
      </w:r>
      <w:bookmarkEnd w:id="119"/>
      <w:bookmarkEnd w:id="120"/>
      <w:bookmarkEnd w:id="121"/>
      <w:bookmarkEnd w:id="122"/>
    </w:p>
    <w:tbl>
      <w:tblPr>
        <w:tblStyle w:val="28"/>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3164"/>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95" w:type="dxa"/>
            <w:gridSpan w:val="3"/>
            <w:noWrap w:val="0"/>
            <w:vAlign w:val="center"/>
          </w:tcPr>
          <w:p>
            <w:pPr>
              <w:spacing w:line="24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供应商资格、资质性要求相关证明材料对应表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95" w:type="dxa"/>
            <w:noWrap w:val="0"/>
            <w:vAlign w:val="center"/>
          </w:tcPr>
          <w:p>
            <w:pPr>
              <w:spacing w:line="24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3164" w:type="dxa"/>
            <w:noWrap w:val="0"/>
            <w:vAlign w:val="center"/>
          </w:tcPr>
          <w:p>
            <w:pPr>
              <w:spacing w:line="24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供应商资格、资质性要求</w:t>
            </w:r>
          </w:p>
        </w:tc>
        <w:tc>
          <w:tcPr>
            <w:tcW w:w="5536" w:type="dxa"/>
            <w:noWrap w:val="0"/>
            <w:vAlign w:val="center"/>
          </w:tcPr>
          <w:p>
            <w:pPr>
              <w:spacing w:line="240" w:lineRule="auto"/>
              <w:jc w:val="center"/>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供应商相关证明材料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95" w:type="dxa"/>
            <w:noWrap w:val="0"/>
            <w:vAlign w:val="center"/>
          </w:tcPr>
          <w:p>
            <w:pPr>
              <w:spacing w:line="240" w:lineRule="auto"/>
              <w:jc w:val="center"/>
              <w:rPr>
                <w:rFonts w:hint="eastAsia" w:ascii="宋体" w:hAnsi="宋体" w:eastAsia="宋体" w:cs="宋体"/>
                <w:b/>
                <w:bCs/>
                <w:color w:val="auto"/>
                <w:sz w:val="22"/>
                <w:szCs w:val="22"/>
                <w:highlight w:val="none"/>
              </w:rPr>
            </w:pPr>
            <w:r>
              <w:rPr>
                <w:rFonts w:hint="eastAsia" w:ascii="宋体" w:hAnsi="宋体" w:eastAsia="宋体" w:cs="宋体"/>
                <w:b w:val="0"/>
                <w:bCs w:val="0"/>
                <w:color w:val="auto"/>
                <w:sz w:val="22"/>
                <w:szCs w:val="22"/>
                <w:highlight w:val="none"/>
              </w:rPr>
              <w:t>1</w:t>
            </w:r>
          </w:p>
        </w:tc>
        <w:tc>
          <w:tcPr>
            <w:tcW w:w="3164" w:type="dxa"/>
            <w:noWrap w:val="0"/>
            <w:vAlign w:val="center"/>
          </w:tcPr>
          <w:p>
            <w:pPr>
              <w:spacing w:line="240" w:lineRule="auto"/>
              <w:jc w:val="both"/>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lang w:eastAsia="zh-CN"/>
              </w:rPr>
              <w:t>满足</w:t>
            </w:r>
            <w:r>
              <w:rPr>
                <w:rFonts w:hint="eastAsia" w:ascii="宋体" w:hAnsi="宋体" w:eastAsia="宋体" w:cs="宋体"/>
                <w:bCs/>
                <w:color w:val="auto"/>
                <w:sz w:val="22"/>
                <w:szCs w:val="22"/>
                <w:highlight w:val="none"/>
              </w:rPr>
              <w:t>《中华人民共和国政府采购法》第二十二条规定</w:t>
            </w:r>
          </w:p>
        </w:tc>
        <w:tc>
          <w:tcPr>
            <w:tcW w:w="5536" w:type="dxa"/>
            <w:noWrap w:val="0"/>
            <w:vAlign w:val="center"/>
          </w:tcPr>
          <w:p>
            <w:pPr>
              <w:spacing w:line="240" w:lineRule="auto"/>
              <w:jc w:val="both"/>
              <w:rPr>
                <w:rFonts w:hint="eastAsia" w:ascii="宋体" w:hAnsi="宋体" w:eastAsia="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1.</w:t>
            </w:r>
            <w:r>
              <w:rPr>
                <w:rFonts w:hint="eastAsia" w:ascii="宋体" w:hAnsi="宋体" w:eastAsia="宋体" w:cs="宋体"/>
                <w:bCs/>
                <w:color w:val="auto"/>
                <w:sz w:val="22"/>
                <w:szCs w:val="22"/>
                <w:highlight w:val="none"/>
              </w:rPr>
              <w:t>1</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具有独立承担民事责任的能力</w:t>
            </w:r>
          </w:p>
        </w:tc>
        <w:tc>
          <w:tcPr>
            <w:tcW w:w="5536"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民间非营利组织或其他未列明组织法人：提供“对应主管部门颁发的准许执业证明文件或登记证书”；④若为银行、保险、石油石化、电力、电信（含广电网络）等特殊行业可以以分支机构的身份参加政府采购项目；⑤若为自然人：提供“有效身份证明材料”。</w:t>
            </w:r>
          </w:p>
          <w:p>
            <w:pPr>
              <w:spacing w:line="240" w:lineRule="auto"/>
              <w:jc w:val="both"/>
              <w:rPr>
                <w:rFonts w:hint="eastAsia" w:ascii="宋体" w:hAnsi="宋体" w:eastAsia="宋体" w:cs="宋体"/>
                <w:bCs/>
                <w:color w:val="auto"/>
                <w:sz w:val="22"/>
                <w:szCs w:val="22"/>
                <w:highlight w:val="none"/>
                <w:lang w:val="zh-CN" w:eastAsia="zh-CN"/>
              </w:rPr>
            </w:pPr>
            <w:r>
              <w:rPr>
                <w:rFonts w:hint="eastAsia" w:ascii="宋体" w:hAnsi="宋体" w:eastAsia="宋体" w:cs="宋体"/>
                <w:bCs/>
                <w:color w:val="auto"/>
                <w:sz w:val="22"/>
                <w:szCs w:val="22"/>
                <w:highlight w:val="none"/>
                <w:lang w:val="zh-CN"/>
              </w:rPr>
              <w:t>注：供应商根据自身情况任选其一提供证明资料，证明材料以复印件加盖单位公章为准。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2</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具有良好的商业信誉和健全的财务会计制度</w:t>
            </w:r>
          </w:p>
        </w:tc>
        <w:tc>
          <w:tcPr>
            <w:tcW w:w="5536"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①提供2020或2019年度第三方机构出具的财务报告（经审计的有效财务报告包含审计报告和审计报告中所涉及的财务报表和报表附注等完整内容，并由注册会计师签名、盖章以及会计师事务所盖章)（复印件）；也可提供2020或2019年度供应商内部的财务报表【（至少包含资产负债表、现金流量表、利润表（或损益表或业务活动表）】（复印件）；也可提供响应文件递交截止日一年内银行出具的资信证明（复印件）；也可提供财政部门认可的专业担保机构出具的投标担保函（复印件）；供应商注册时间至文件递交截止日不足一年的，也可提供在工商备案的公司章程（复印件）或承诺函。</w:t>
            </w:r>
          </w:p>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②提供具有良好的商业信誉提供承诺函。</w:t>
            </w:r>
          </w:p>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以上提供的复印件并盖单位公章。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3</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具有履行合同所必需的设备和专业技术能力</w:t>
            </w:r>
          </w:p>
        </w:tc>
        <w:tc>
          <w:tcPr>
            <w:tcW w:w="5536" w:type="dxa"/>
            <w:noWrap w:val="0"/>
            <w:vAlign w:val="center"/>
          </w:tcPr>
          <w:p>
            <w:pPr>
              <w:spacing w:line="240" w:lineRule="auto"/>
              <w:jc w:val="both"/>
              <w:rPr>
                <w:rFonts w:hint="eastAsia" w:ascii="宋体" w:hAnsi="宋体" w:eastAsia="宋体" w:cs="宋体"/>
                <w:bCs/>
                <w:color w:val="auto"/>
                <w:sz w:val="22"/>
                <w:szCs w:val="22"/>
                <w:highlight w:val="none"/>
                <w:lang w:val="zh-CN" w:eastAsia="zh-CN"/>
              </w:rPr>
            </w:pPr>
            <w:r>
              <w:rPr>
                <w:rFonts w:hint="eastAsia" w:ascii="宋体" w:hAnsi="宋体" w:eastAsia="宋体" w:cs="宋体"/>
                <w:bCs/>
                <w:color w:val="auto"/>
                <w:sz w:val="22"/>
                <w:szCs w:val="22"/>
                <w:highlight w:val="none"/>
                <w:lang w:val="zh-CN"/>
              </w:rPr>
              <w:t>提供承诺函</w:t>
            </w:r>
            <w:r>
              <w:rPr>
                <w:rFonts w:hint="eastAsia" w:ascii="宋体" w:hAnsi="宋体" w:eastAsia="宋体" w:cs="宋体"/>
                <w:bCs/>
                <w:color w:val="auto"/>
                <w:sz w:val="22"/>
                <w:szCs w:val="22"/>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4</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具有依法缴纳税收和社会保障资金的良好记录</w:t>
            </w:r>
          </w:p>
        </w:tc>
        <w:tc>
          <w:tcPr>
            <w:tcW w:w="5536" w:type="dxa"/>
            <w:noWrap w:val="0"/>
            <w:vAlign w:val="center"/>
          </w:tcPr>
          <w:p>
            <w:pPr>
              <w:pStyle w:val="4"/>
              <w:numPr>
                <w:ilvl w:val="0"/>
                <w:numId w:val="0"/>
              </w:numPr>
              <w:spacing w:line="240" w:lineRule="auto"/>
              <w:ind w:leftChars="0"/>
              <w:jc w:val="both"/>
              <w:rPr>
                <w:rFonts w:hint="eastAsia" w:ascii="宋体" w:hAnsi="宋体" w:eastAsia="宋体" w:cs="宋体"/>
                <w:color w:val="auto"/>
                <w:sz w:val="22"/>
                <w:szCs w:val="22"/>
                <w:highlight w:val="none"/>
                <w:lang w:eastAsia="zh-CN"/>
              </w:rPr>
            </w:pPr>
            <w:r>
              <w:rPr>
                <w:rFonts w:hint="eastAsia" w:ascii="宋体" w:hAnsi="宋体" w:eastAsia="宋体" w:cs="宋体"/>
                <w:b w:val="0"/>
                <w:bCs w:val="0"/>
                <w:color w:val="auto"/>
                <w:sz w:val="22"/>
                <w:szCs w:val="22"/>
                <w:highlight w:val="none"/>
              </w:rPr>
              <w:t>提供承诺函</w:t>
            </w:r>
            <w:r>
              <w:rPr>
                <w:rFonts w:hint="eastAsia" w:ascii="宋体" w:hAnsi="宋体" w:eastAsia="宋体" w:cs="宋体"/>
                <w:b w:val="0"/>
                <w:bCs w:val="0"/>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1.</w:t>
            </w:r>
            <w:r>
              <w:rPr>
                <w:rFonts w:hint="eastAsia" w:ascii="宋体" w:hAnsi="宋体" w:eastAsia="宋体" w:cs="宋体"/>
                <w:bCs/>
                <w:color w:val="auto"/>
                <w:sz w:val="22"/>
                <w:szCs w:val="22"/>
                <w:highlight w:val="none"/>
                <w:lang w:val="zh-CN"/>
              </w:rPr>
              <w:t>5</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eastAsia="zh-CN"/>
              </w:rPr>
            </w:pPr>
            <w:r>
              <w:rPr>
                <w:rFonts w:hint="eastAsia" w:ascii="宋体" w:hAnsi="宋体" w:eastAsia="宋体" w:cs="宋体"/>
                <w:bCs/>
                <w:color w:val="auto"/>
                <w:sz w:val="22"/>
                <w:szCs w:val="22"/>
                <w:highlight w:val="none"/>
                <w:lang w:val="zh-CN"/>
              </w:rPr>
              <w:t>参加本次政府采购活动前三年内，在经营活动中没有重大违法记录</w:t>
            </w:r>
          </w:p>
        </w:tc>
        <w:tc>
          <w:tcPr>
            <w:tcW w:w="5536" w:type="dxa"/>
            <w:noWrap w:val="0"/>
            <w:vAlign w:val="center"/>
          </w:tcPr>
          <w:p>
            <w:pPr>
              <w:spacing w:line="240" w:lineRule="auto"/>
              <w:jc w:val="both"/>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rPr>
              <w:t>提供承诺函</w:t>
            </w:r>
            <w:r>
              <w:rPr>
                <w:rFonts w:hint="eastAsia" w:ascii="宋体" w:hAnsi="宋体" w:eastAsia="宋体" w:cs="宋体"/>
                <w:bCs/>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1.6</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eastAsia="zh-CN"/>
              </w:rPr>
              <w:t>法律、行政法规规定的其他条件</w:t>
            </w:r>
          </w:p>
        </w:tc>
        <w:tc>
          <w:tcPr>
            <w:tcW w:w="5536"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rPr>
              <w:t>提供承诺函</w:t>
            </w:r>
            <w:r>
              <w:rPr>
                <w:rFonts w:hint="eastAsia" w:ascii="宋体" w:hAnsi="宋体" w:eastAsia="宋体" w:cs="宋体"/>
                <w:bCs/>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2</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eastAsia="zh-CN"/>
              </w:rPr>
            </w:pPr>
            <w:r>
              <w:rPr>
                <w:rFonts w:hint="eastAsia" w:ascii="宋体" w:hAnsi="宋体" w:eastAsia="宋体" w:cs="宋体"/>
                <w:bCs/>
                <w:color w:val="auto"/>
                <w:sz w:val="22"/>
                <w:szCs w:val="22"/>
                <w:highlight w:val="none"/>
                <w:lang w:val="zh-CN"/>
              </w:rPr>
              <w:t>本项目专门面向中小企业采购(监狱企业、残疾人福利性单位均视同小微企业)</w:t>
            </w:r>
          </w:p>
        </w:tc>
        <w:tc>
          <w:tcPr>
            <w:tcW w:w="5536" w:type="dxa"/>
            <w:noWrap w:val="0"/>
            <w:vAlign w:val="center"/>
          </w:tcPr>
          <w:p>
            <w:pPr>
              <w:snapToGrid w:val="0"/>
              <w:spacing w:line="240" w:lineRule="auto"/>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提供以下证明材料之一：</w:t>
            </w:r>
          </w:p>
          <w:p>
            <w:pPr>
              <w:snapToGrid w:val="0"/>
              <w:spacing w:line="240" w:lineRule="auto"/>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（1）提供中小企业声明函原件；</w:t>
            </w:r>
          </w:p>
          <w:p>
            <w:pPr>
              <w:snapToGrid w:val="0"/>
              <w:spacing w:line="240" w:lineRule="auto"/>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（2）残疾人福利性单位声明函原件；</w:t>
            </w:r>
          </w:p>
          <w:p>
            <w:pPr>
              <w:snapToGrid w:val="0"/>
              <w:spacing w:line="240" w:lineRule="auto"/>
              <w:jc w:val="both"/>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（3）由省级以上监狱管理局、戒毒管理局（含新疆生产建设兵团）出具的属于监狱企业的证明文件复印件并盖单位公章。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3</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zh-CN" w:eastAsia="zh-CN"/>
              </w:rPr>
              <w:t>供应商及其现任法定代表人/主要负责人不得具有行贿犯罪记录</w:t>
            </w:r>
          </w:p>
        </w:tc>
        <w:tc>
          <w:tcPr>
            <w:tcW w:w="5536" w:type="dxa"/>
            <w:noWrap w:val="0"/>
            <w:vAlign w:val="center"/>
          </w:tcPr>
          <w:p>
            <w:pPr>
              <w:spacing w:line="240" w:lineRule="auto"/>
              <w:jc w:val="both"/>
              <w:rPr>
                <w:rFonts w:hint="eastAsia" w:ascii="宋体" w:hAnsi="宋体" w:eastAsia="宋体" w:cs="宋体"/>
                <w:color w:val="auto"/>
                <w:sz w:val="22"/>
                <w:szCs w:val="22"/>
                <w:highlight w:val="none"/>
                <w:lang w:eastAsia="zh-CN"/>
              </w:rPr>
            </w:pPr>
            <w:r>
              <w:rPr>
                <w:rFonts w:hint="eastAsia" w:ascii="宋体" w:hAnsi="宋体" w:eastAsia="宋体" w:cs="宋体"/>
                <w:bCs/>
                <w:color w:val="auto"/>
                <w:sz w:val="22"/>
                <w:szCs w:val="22"/>
                <w:highlight w:val="none"/>
                <w:lang w:val="zh-CN"/>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4</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eastAsia="zh-CN"/>
              </w:rPr>
            </w:pPr>
            <w:r>
              <w:rPr>
                <w:rFonts w:hint="eastAsia" w:ascii="宋体" w:hAnsi="宋体" w:eastAsia="宋体" w:cs="宋体"/>
                <w:bCs/>
                <w:color w:val="auto"/>
                <w:sz w:val="22"/>
                <w:szCs w:val="22"/>
                <w:highlight w:val="none"/>
                <w:lang w:val="zh-CN" w:eastAsia="zh-CN"/>
              </w:rPr>
              <w:t>供应商与其他供应商之间，单位负责人不为同一人而且不存在直接控股、管理关系</w:t>
            </w:r>
          </w:p>
        </w:tc>
        <w:tc>
          <w:tcPr>
            <w:tcW w:w="5536" w:type="dxa"/>
            <w:noWrap w:val="0"/>
            <w:vAlign w:val="center"/>
          </w:tcPr>
          <w:p>
            <w:pPr>
              <w:spacing w:line="240" w:lineRule="auto"/>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提供承诺函</w:t>
            </w:r>
            <w:r>
              <w:rPr>
                <w:rFonts w:hint="eastAsia" w:ascii="宋体" w:hAnsi="宋体" w:eastAsia="宋体" w:cs="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lang w:val="en-US" w:eastAsia="zh-CN"/>
              </w:rPr>
              <w:t>5</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供应商不得为“信用中国”网站中列入失信被执行人和重大税收违法案件当事人名单的供应商，不得为中国政府采购网政府采购严重违法失信行为记录名单中被财政部门禁止参加政府采购活动的供应商</w:t>
            </w:r>
          </w:p>
        </w:tc>
        <w:tc>
          <w:tcPr>
            <w:tcW w:w="5536" w:type="dxa"/>
            <w:noWrap w:val="0"/>
            <w:vAlign w:val="center"/>
          </w:tcPr>
          <w:p>
            <w:pPr>
              <w:snapToGrid w:val="0"/>
              <w:spacing w:line="240" w:lineRule="auto"/>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根据《关于在政府采购活动中查询及使用信用记录有关问题的通知》（财库〔2016〕125号）的要求，采购人及采购代理机构将通过“信用中国”网站（www.creditchina.gov.cn）、“中国政府采购网”网站（www.ccgp.gov.cn）等渠道查询供应商在采购公告发布之日前的信用记录，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napToGrid w:val="0"/>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color w:val="auto"/>
                <w:sz w:val="22"/>
                <w:szCs w:val="22"/>
                <w:highlight w:val="none"/>
              </w:rPr>
              <w:t>2.企业参与投标时无需对此条进行响应， 非企业参与磋商时由供应商在响应文件中自行提供承诺函，格式自拟。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lang w:val="en-US" w:eastAsia="zh-CN"/>
              </w:rPr>
              <w:t>6</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法定代表人身份证明书</w:t>
            </w:r>
          </w:p>
        </w:tc>
        <w:tc>
          <w:tcPr>
            <w:tcW w:w="5536" w:type="dxa"/>
            <w:noWrap w:val="0"/>
            <w:vAlign w:val="center"/>
          </w:tcPr>
          <w:p>
            <w:pPr>
              <w:snapToGrid w:val="0"/>
              <w:spacing w:line="240" w:lineRule="auto"/>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按磋商文件格式提供，附件应齐全。注：法定代表人亲自参与磋商的提供。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95" w:type="dxa"/>
            <w:noWrap w:val="0"/>
            <w:vAlign w:val="center"/>
          </w:tcPr>
          <w:p>
            <w:pPr>
              <w:spacing w:line="240" w:lineRule="auto"/>
              <w:jc w:val="center"/>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lang w:val="en-US" w:eastAsia="zh-CN"/>
              </w:rPr>
              <w:t>7</w:t>
            </w:r>
          </w:p>
        </w:tc>
        <w:tc>
          <w:tcPr>
            <w:tcW w:w="3164" w:type="dxa"/>
            <w:noWrap w:val="0"/>
            <w:vAlign w:val="center"/>
          </w:tcPr>
          <w:p>
            <w:pPr>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授权委托书</w:t>
            </w:r>
          </w:p>
        </w:tc>
        <w:tc>
          <w:tcPr>
            <w:tcW w:w="5536" w:type="dxa"/>
            <w:noWrap w:val="0"/>
            <w:vAlign w:val="center"/>
          </w:tcPr>
          <w:p>
            <w:pPr>
              <w:snapToGrid w:val="0"/>
              <w:spacing w:line="240" w:lineRule="auto"/>
              <w:jc w:val="both"/>
              <w:rPr>
                <w:rFonts w:hint="eastAsia" w:ascii="宋体" w:hAnsi="宋体" w:eastAsia="宋体" w:cs="宋体"/>
                <w:bCs/>
                <w:color w:val="auto"/>
                <w:sz w:val="22"/>
                <w:szCs w:val="22"/>
                <w:highlight w:val="none"/>
                <w:lang w:val="zh-CN"/>
              </w:rPr>
            </w:pPr>
            <w:r>
              <w:rPr>
                <w:rFonts w:hint="eastAsia" w:ascii="宋体" w:hAnsi="宋体" w:eastAsia="宋体" w:cs="宋体"/>
                <w:color w:val="auto"/>
                <w:sz w:val="22"/>
                <w:szCs w:val="22"/>
                <w:highlight w:val="none"/>
              </w:rPr>
              <w:t>按磋商文件格式提供，附件应齐全。注：授权代表参与磋商的提供。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395" w:type="dxa"/>
            <w:gridSpan w:val="3"/>
            <w:noWrap w:val="0"/>
            <w:vAlign w:val="center"/>
          </w:tcPr>
          <w:p>
            <w:pPr>
              <w:tabs>
                <w:tab w:val="left" w:pos="394"/>
              </w:tabs>
              <w:snapToGrid w:val="0"/>
              <w:spacing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注：</w:t>
            </w:r>
          </w:p>
          <w:p>
            <w:pPr>
              <w:tabs>
                <w:tab w:val="left" w:pos="394"/>
              </w:tabs>
              <w:snapToGrid w:val="0"/>
              <w:spacing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rPr>
              <w:t>本项目不接受联合体。</w:t>
            </w:r>
          </w:p>
          <w:p>
            <w:pPr>
              <w:tabs>
                <w:tab w:val="left" w:pos="394"/>
              </w:tabs>
              <w:snapToGrid w:val="0"/>
              <w:spacing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rPr>
              <w:t>供应商须严格按照上述要求提供资格证明文件，未按</w:t>
            </w:r>
            <w:r>
              <w:rPr>
                <w:rFonts w:hint="eastAsia" w:ascii="宋体" w:hAnsi="宋体" w:eastAsia="宋体" w:cs="宋体"/>
                <w:b/>
                <w:bCs/>
                <w:color w:val="auto"/>
                <w:sz w:val="22"/>
                <w:szCs w:val="22"/>
                <w:highlight w:val="none"/>
                <w:lang w:eastAsia="zh-CN"/>
              </w:rPr>
              <w:t>磋商</w:t>
            </w:r>
            <w:r>
              <w:rPr>
                <w:rFonts w:hint="eastAsia" w:ascii="宋体" w:hAnsi="宋体" w:eastAsia="宋体" w:cs="宋体"/>
                <w:b/>
                <w:bCs/>
                <w:color w:val="auto"/>
                <w:sz w:val="22"/>
                <w:szCs w:val="22"/>
                <w:highlight w:val="none"/>
              </w:rPr>
              <w:t>文件格式提供的，自行承担无法通过资格性审查的风险。</w:t>
            </w:r>
          </w:p>
          <w:p>
            <w:pPr>
              <w:tabs>
                <w:tab w:val="left" w:pos="394"/>
              </w:tabs>
              <w:snapToGrid w:val="0"/>
              <w:spacing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3.</w:t>
            </w:r>
            <w:r>
              <w:rPr>
                <w:rFonts w:hint="eastAsia" w:ascii="宋体" w:hAnsi="宋体" w:eastAsia="宋体" w:cs="宋体"/>
                <w:b/>
                <w:bCs/>
                <w:color w:val="auto"/>
                <w:sz w:val="22"/>
                <w:szCs w:val="22"/>
                <w:highlight w:val="none"/>
                <w:lang w:val="zh-CN"/>
              </w:rPr>
              <w:t>以上证明材料要求提供承诺函的，不同承诺项要求在同一承诺函格式内的，可仅提供一次相应承诺函。</w:t>
            </w:r>
          </w:p>
          <w:p>
            <w:pPr>
              <w:tabs>
                <w:tab w:val="left" w:pos="394"/>
              </w:tabs>
              <w:snapToGrid w:val="0"/>
              <w:spacing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4</w:t>
            </w:r>
            <w:r>
              <w:rPr>
                <w:rFonts w:hint="eastAsia" w:ascii="宋体" w:hAnsi="宋体" w:eastAsia="宋体" w:cs="宋体"/>
                <w:b/>
                <w:bCs/>
                <w:color w:val="auto"/>
                <w:sz w:val="22"/>
                <w:szCs w:val="22"/>
                <w:highlight w:val="none"/>
              </w:rPr>
              <w:t>.供应商应对其所提供的资格证明材料来源的合法性、真实性负责。</w:t>
            </w:r>
          </w:p>
          <w:p>
            <w:pPr>
              <w:tabs>
                <w:tab w:val="left" w:pos="394"/>
              </w:tabs>
              <w:snapToGrid w:val="0"/>
              <w:spacing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5.</w:t>
            </w:r>
            <w:r>
              <w:rPr>
                <w:rFonts w:hint="eastAsia" w:ascii="宋体" w:hAnsi="宋体" w:eastAsia="宋体" w:cs="宋体"/>
                <w:b/>
                <w:bCs/>
                <w:color w:val="auto"/>
                <w:sz w:val="22"/>
                <w:szCs w:val="22"/>
                <w:highlight w:val="none"/>
              </w:rPr>
              <w:t>本资格审核表格内容与本磋商文件其他地方出现前后不一致情况时，以此表格要求为准，在不影响公平，公正，不违反相关法律法规规定的前提下，做出对供应商有利的解释。</w:t>
            </w:r>
          </w:p>
        </w:tc>
      </w:tr>
    </w:tbl>
    <w:p>
      <w:pPr>
        <w:pStyle w:val="3"/>
        <w:keepNext w:val="0"/>
        <w:keepLines w:val="0"/>
        <w:spacing w:before="0" w:after="0" w:line="240" w:lineRule="auto"/>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bookmarkStart w:id="123" w:name="_Toc32551"/>
      <w:bookmarkStart w:id="124" w:name="_Toc7961747"/>
      <w:bookmarkStart w:id="125" w:name="_Toc2959"/>
      <w:bookmarkStart w:id="126" w:name="_Toc29484"/>
      <w:r>
        <w:rPr>
          <w:rFonts w:hint="eastAsia" w:ascii="宋体" w:hAnsi="宋体" w:eastAsia="宋体" w:cs="宋体"/>
          <w:sz w:val="36"/>
          <w:szCs w:val="36"/>
          <w:highlight w:val="none"/>
        </w:rPr>
        <w:t>第五章  采购项目技术、服务及其他商务要求</w:t>
      </w:r>
      <w:bookmarkEnd w:id="123"/>
      <w:bookmarkEnd w:id="124"/>
      <w:bookmarkEnd w:id="125"/>
      <w:bookmarkEnd w:id="126"/>
    </w:p>
    <w:bookmarkEnd w:id="85"/>
    <w:bookmarkEnd w:id="86"/>
    <w:bookmarkEnd w:id="87"/>
    <w:bookmarkEnd w:id="88"/>
    <w:bookmarkEnd w:id="89"/>
    <w:p>
      <w:pPr>
        <w:spacing w:line="360" w:lineRule="auto"/>
        <w:jc w:val="left"/>
        <w:rPr>
          <w:rFonts w:hint="eastAsia" w:ascii="宋体" w:hAnsi="宋体" w:eastAsia="宋体" w:cs="宋体"/>
          <w:b/>
          <w:sz w:val="24"/>
          <w:highlight w:val="none"/>
        </w:rPr>
      </w:pPr>
      <w:bookmarkStart w:id="127" w:name="_Toc183582232"/>
      <w:bookmarkStart w:id="128" w:name="_Toc217446057"/>
      <w:bookmarkStart w:id="129" w:name="_Toc183682369"/>
    </w:p>
    <w:p>
      <w:pPr>
        <w:tabs>
          <w:tab w:val="left" w:pos="0"/>
        </w:tabs>
        <w:spacing w:line="360" w:lineRule="auto"/>
        <w:outlineLvl w:val="1"/>
        <w:rPr>
          <w:rFonts w:hint="eastAsia" w:ascii="宋体" w:hAnsi="宋体" w:eastAsia="宋体" w:cs="宋体"/>
          <w:b/>
          <w:sz w:val="24"/>
          <w:highlight w:val="none"/>
        </w:rPr>
      </w:pPr>
      <w:bookmarkStart w:id="130" w:name="_Toc14684"/>
      <w:bookmarkStart w:id="131" w:name="_Toc9074"/>
      <w:bookmarkStart w:id="132" w:name="_Toc21125"/>
      <w:bookmarkStart w:id="133" w:name="_Toc534570383"/>
      <w:bookmarkStart w:id="134" w:name="_Toc8617"/>
      <w:bookmarkStart w:id="135" w:name="_Toc5856"/>
      <w:bookmarkStart w:id="136" w:name="_Toc32243"/>
      <w:bookmarkStart w:id="137" w:name="_Toc27605"/>
      <w:bookmarkStart w:id="138" w:name="_Toc14456"/>
      <w:bookmarkStart w:id="139" w:name="_Toc534570386"/>
      <w:bookmarkStart w:id="140" w:name="_Toc25482"/>
      <w:bookmarkStart w:id="141" w:name="_Toc23893"/>
      <w:bookmarkStart w:id="142" w:name="_Toc534971195"/>
      <w:bookmarkStart w:id="143" w:name="_Toc534570459"/>
      <w:bookmarkStart w:id="144" w:name="_Toc217446095"/>
      <w:bookmarkStart w:id="145" w:name="_Toc534971198"/>
      <w:bookmarkStart w:id="146" w:name="_Toc1918101"/>
      <w:bookmarkStart w:id="147" w:name="_Toc11339"/>
      <w:bookmarkStart w:id="148" w:name="_Toc534570468"/>
      <w:bookmarkStart w:id="149" w:name="_Toc217446094"/>
      <w:bookmarkStart w:id="150" w:name="_Toc1917883"/>
      <w:bookmarkStart w:id="151" w:name="_Toc5749"/>
      <w:r>
        <w:rPr>
          <w:rFonts w:hint="eastAsia" w:ascii="宋体" w:hAnsi="宋体" w:eastAsia="宋体" w:cs="宋体"/>
          <w:b/>
          <w:sz w:val="24"/>
          <w:highlight w:val="none"/>
        </w:rPr>
        <w:t>一、项目概况</w:t>
      </w:r>
      <w:bookmarkEnd w:id="130"/>
    </w:p>
    <w:p>
      <w:pPr>
        <w:spacing w:line="360" w:lineRule="auto"/>
        <w:ind w:firstLine="420" w:firstLineChars="175"/>
        <w:rPr>
          <w:rFonts w:hint="eastAsia" w:ascii="宋体" w:hAnsi="宋体" w:eastAsia="宋体" w:cs="宋体"/>
          <w:sz w:val="24"/>
          <w:highlight w:val="none"/>
        </w:rPr>
      </w:pPr>
      <w:r>
        <w:rPr>
          <w:rFonts w:hint="eastAsia" w:ascii="宋体" w:hAnsi="宋体" w:eastAsia="宋体" w:cs="宋体"/>
          <w:sz w:val="24"/>
          <w:szCs w:val="24"/>
          <w:highlight w:val="none"/>
        </w:rPr>
        <w:t>本项目为</w:t>
      </w:r>
      <w:r>
        <w:rPr>
          <w:rFonts w:hint="eastAsia" w:ascii="宋体" w:hAnsi="宋体" w:cs="宋体"/>
          <w:sz w:val="24"/>
          <w:szCs w:val="24"/>
          <w:highlight w:val="none"/>
          <w:lang w:eastAsia="zh-CN"/>
        </w:rPr>
        <w:t>金牛区教育局2021年人工智能教育服务采购项目</w:t>
      </w:r>
      <w:r>
        <w:rPr>
          <w:rFonts w:hint="eastAsia" w:ascii="宋体" w:hAnsi="宋体" w:eastAsia="宋体" w:cs="宋体"/>
          <w:sz w:val="24"/>
          <w:szCs w:val="24"/>
          <w:highlight w:val="none"/>
        </w:rPr>
        <w:t>择优选择合格供应商</w:t>
      </w:r>
      <w:r>
        <w:rPr>
          <w:rFonts w:hint="eastAsia" w:ascii="宋体" w:hAnsi="宋体" w:eastAsia="宋体" w:cs="宋体"/>
          <w:sz w:val="24"/>
          <w:highlight w:val="none"/>
        </w:rPr>
        <w:t>。</w:t>
      </w:r>
    </w:p>
    <w:p>
      <w:pPr>
        <w:tabs>
          <w:tab w:val="left" w:pos="0"/>
        </w:tabs>
        <w:spacing w:line="360" w:lineRule="auto"/>
        <w:outlineLvl w:val="1"/>
        <w:rPr>
          <w:rFonts w:hint="eastAsia" w:ascii="宋体" w:hAnsi="宋体" w:eastAsia="宋体" w:cs="宋体"/>
          <w:b/>
          <w:sz w:val="24"/>
          <w:highlight w:val="none"/>
          <w:lang w:val="en-US" w:eastAsia="zh-CN"/>
        </w:rPr>
      </w:pPr>
      <w:bookmarkStart w:id="152" w:name="_Toc8368"/>
      <w:bookmarkStart w:id="153" w:name="_Toc21510"/>
      <w:bookmarkStart w:id="154" w:name="_Toc23810"/>
      <w:r>
        <w:rPr>
          <w:rFonts w:hint="eastAsia" w:ascii="宋体" w:hAnsi="宋体" w:eastAsia="宋体" w:cs="宋体"/>
          <w:b/>
          <w:sz w:val="24"/>
          <w:highlight w:val="none"/>
          <w:lang w:val="en-US" w:eastAsia="zh-CN"/>
        </w:rPr>
        <w:t>二、技术要求、服务内容及范围</w:t>
      </w:r>
      <w:bookmarkEnd w:id="152"/>
      <w:bookmarkEnd w:id="153"/>
      <w:bookmarkEnd w:id="154"/>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auto"/>
          <w:sz w:val="28"/>
          <w:szCs w:val="28"/>
          <w:highlight w:val="none"/>
        </w:rPr>
      </w:pPr>
      <w:bookmarkStart w:id="155" w:name="_Toc7961748"/>
      <w:r>
        <w:rPr>
          <w:rFonts w:hint="eastAsia" w:ascii="宋体" w:hAnsi="宋体" w:eastAsia="宋体" w:cs="宋体"/>
          <w:b/>
          <w:bCs/>
          <w:color w:val="auto"/>
          <w:sz w:val="28"/>
          <w:szCs w:val="28"/>
          <w:highlight w:val="none"/>
        </w:rPr>
        <w:t>包1：中学课程服务</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服务要求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1、人工智能教育课程服务</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（1）提供1440课时人工智能课程教学服务。</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auto"/>
          <w:sz w:val="24"/>
          <w:szCs w:val="24"/>
          <w:highlight w:val="none"/>
        </w:rPr>
      </w:pPr>
      <w:r>
        <w:rPr>
          <w:rFonts w:hint="eastAsia" w:ascii="宋体" w:hAnsi="宋体" w:eastAsia="宋体" w:cs="宋体"/>
          <w:b w:val="0"/>
          <w:bCs/>
          <w:color w:val="auto"/>
          <w:sz w:val="24"/>
          <w:szCs w:val="24"/>
          <w:highlight w:val="none"/>
        </w:rPr>
        <w:t>其中包括：7所中学72个教学班，每个班级每学年开设20课时，每学期10课时（每班一周1课时），每课时40分钟；采用区域统一排课，按要求派教师进入班级授课，保证7个学校同一时段开课，满足教学需求。</w:t>
      </w:r>
      <w:r>
        <w:rPr>
          <w:rFonts w:hint="eastAsia" w:ascii="宋体" w:hAnsi="宋体" w:eastAsia="宋体" w:cs="宋体"/>
          <w:b/>
          <w:bCs w:val="0"/>
          <w:color w:val="auto"/>
          <w:sz w:val="24"/>
          <w:szCs w:val="24"/>
          <w:highlight w:val="none"/>
        </w:rPr>
        <w:t>授课教师必须持有针对中学及以上教学的教师资格证，教师资格证原件在签订合同前提供给采购人核验，入校授课前提供复印件给授课学校（提供承诺函，格式自拟）</w:t>
      </w:r>
      <w:r>
        <w:rPr>
          <w:rFonts w:hint="eastAsia" w:ascii="宋体" w:hAnsi="宋体" w:eastAsia="宋体" w:cs="宋体"/>
          <w:bCs/>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（2）所提供课程必须具备如下要求：</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1）课程内容为基于Python语言的人工智能教育入门普及课程，以Python语言为基础，microbit板等为辅助，学生可实现具有一定水平的作品。</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2）采用项目式教学，动手实践、项目展示以及小组讨论安排不低于40%，一般两节课完成一个项目。</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▲3）具备课程目标、课程大纲、分阶段课程结构设计。</w:t>
      </w:r>
      <w:r>
        <w:rPr>
          <w:rFonts w:hint="eastAsia" w:ascii="宋体" w:hAnsi="宋体" w:eastAsia="宋体" w:cs="宋体"/>
          <w:b/>
          <w:bCs w:val="0"/>
          <w:color w:val="auto"/>
          <w:sz w:val="24"/>
          <w:szCs w:val="24"/>
          <w:highlight w:val="none"/>
        </w:rPr>
        <w:t>（提供现场演示）</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▲4）具备学生手册，每节</w:t>
      </w:r>
      <w:r>
        <w:rPr>
          <w:rFonts w:hint="eastAsia" w:ascii="宋体" w:hAnsi="宋体" w:eastAsia="宋体" w:cs="宋体"/>
          <w:b w:val="0"/>
          <w:bCs/>
          <w:color w:val="auto"/>
          <w:sz w:val="24"/>
          <w:szCs w:val="24"/>
          <w:highlight w:val="none"/>
        </w:rPr>
        <w:t>课需包含学习目标、知识点讲解、情景学习、编程实践、成果分享、个人反思等要素。</w:t>
      </w:r>
      <w:r>
        <w:rPr>
          <w:rFonts w:hint="eastAsia" w:ascii="宋体" w:hAnsi="宋体" w:eastAsia="宋体" w:cs="宋体"/>
          <w:b/>
          <w:bCs w:val="0"/>
          <w:color w:val="auto"/>
          <w:sz w:val="24"/>
          <w:szCs w:val="24"/>
          <w:highlight w:val="none"/>
        </w:rPr>
        <w:t>（提供现场演示）</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▲5）具备教师手册，每节课需包含教学目标、课堂准备、预备知识、教学过程（包含旧知识回顾、新知识讲解、情景引入、教师演示案例、学生活动、总结等）等要素。</w:t>
      </w:r>
      <w:r>
        <w:rPr>
          <w:rFonts w:hint="eastAsia" w:ascii="宋体" w:hAnsi="宋体" w:eastAsia="宋体" w:cs="宋体"/>
          <w:b/>
          <w:bCs w:val="0"/>
          <w:color w:val="auto"/>
          <w:sz w:val="24"/>
          <w:szCs w:val="24"/>
          <w:highlight w:val="none"/>
        </w:rPr>
        <w:t>（提供现场演示）</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▲6）具备课程资源包，提供视频教程、PPT教案等教学资源。包含整套课程大纲、分节课件及配套程序。</w:t>
      </w:r>
      <w:r>
        <w:rPr>
          <w:rFonts w:hint="eastAsia" w:ascii="宋体" w:hAnsi="宋体" w:eastAsia="宋体" w:cs="宋体"/>
          <w:b/>
          <w:bCs w:val="0"/>
          <w:color w:val="auto"/>
          <w:sz w:val="24"/>
          <w:szCs w:val="24"/>
          <w:highlight w:val="none"/>
        </w:rPr>
        <w:t>（提供现场演示）</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7）师资授课管理要求</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bookmarkStart w:id="156" w:name="_Hlk81385402"/>
      <w:r>
        <w:rPr>
          <w:rFonts w:hint="eastAsia" w:ascii="宋体" w:hAnsi="宋体" w:eastAsia="宋体" w:cs="宋体"/>
          <w:b w:val="0"/>
          <w:bCs/>
          <w:color w:val="auto"/>
          <w:sz w:val="24"/>
          <w:szCs w:val="24"/>
          <w:highlight w:val="none"/>
        </w:rPr>
        <w:t>①教学记录表</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拥有详细的课程记录表，对每节课教学内容进行记录，认真填写授课情况与教学反思，并需要学校跟岗教师签字确认。</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②课程评价表</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拥有详细的课程评价单，对一学期、一学年课程进行评价，从课程多方面对教师进行全方位评价，确保学校完全掌控教学质量。</w:t>
      </w:r>
    </w:p>
    <w:bookmarkEnd w:id="156"/>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bookmarkStart w:id="157" w:name="_Hlk81385529"/>
      <w:r>
        <w:rPr>
          <w:rFonts w:hint="eastAsia" w:ascii="宋体" w:hAnsi="宋体" w:eastAsia="宋体" w:cs="宋体"/>
          <w:b w:val="0"/>
          <w:bCs/>
          <w:color w:val="auto"/>
          <w:sz w:val="24"/>
          <w:szCs w:val="24"/>
          <w:highlight w:val="none"/>
        </w:rPr>
        <w:t>2、人工智能教育师资培训</w:t>
      </w:r>
    </w:p>
    <w:bookmarkEnd w:id="157"/>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bookmarkStart w:id="158" w:name="_Hlk81385509"/>
      <w:r>
        <w:rPr>
          <w:rFonts w:hint="eastAsia" w:ascii="宋体" w:hAnsi="宋体" w:eastAsia="宋体" w:cs="宋体"/>
          <w:b w:val="0"/>
          <w:bCs/>
          <w:color w:val="auto"/>
          <w:sz w:val="24"/>
          <w:szCs w:val="24"/>
          <w:highlight w:val="none"/>
        </w:rPr>
        <w:t>（1）实施方式：</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采用案例学习、校内跟岗学习、线上学习的混合式培训模式。</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（2）培训人数：每校教师≥2人。</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（3）培训要求：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1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①</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校内跟岗培训：</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根据学校课时安排情况，中标人派教师进行示范性授课，课前向跟岗学习教师提供教案，并填写课堂教学评价表。完成每周课程服务后，中标人派遣的教师与学校跟岗学习教师进行教学得失探讨研究。不定期接受学校教务处组织的集体听课及评课议课活动。结合课堂教学，培训教师和跟岗学习教师课前探讨教学内容，熟悉课程内容，从熟悉教学项目到上课过程中需要注意的重点，熟悉线上学习平台的应用。</w:t>
      </w:r>
    </w:p>
    <w:bookmarkEnd w:id="158"/>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2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②</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师资培训平台及线上课程</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提供师资培训云平台，满足教师的在线学习、在线视频观看、教学资源下载和在线答疑服务等功能。为每校教师提供≥2门以上的人工智能线上课程。为每所学校提供≥2个线上学习账号（使用时间自合同签订之日起到合同履约结束），课程内容不少于40课时。并支持上述课程的实时答疑。</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3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③</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校本应用实践活动</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策划组织实施一次金牛区人工智能教育活动，其中包含但不限于人工智能体验活动或科技制作展示活动或创客比赛。根据学校要求，协助学校开展校级人工智能编程展示或比赛活动。</w:t>
      </w:r>
    </w:p>
    <w:p>
      <w:pPr>
        <w:pStyle w:val="45"/>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Cs/>
          <w:kern w:val="0"/>
          <w:sz w:val="24"/>
          <w:szCs w:val="24"/>
          <w:highlight w:val="none"/>
        </w:rPr>
      </w:pPr>
      <w:r>
        <w:rPr>
          <w:rFonts w:hint="eastAsia" w:ascii="宋体" w:hAnsi="宋体" w:eastAsia="宋体" w:cs="宋体"/>
          <w:bCs/>
          <w:sz w:val="24"/>
          <w:szCs w:val="24"/>
          <w:highlight w:val="none"/>
        </w:rPr>
        <w:t>3、</w:t>
      </w:r>
      <w:r>
        <w:rPr>
          <w:rFonts w:hint="eastAsia" w:ascii="宋体" w:hAnsi="宋体" w:eastAsia="宋体" w:cs="宋体"/>
          <w:bCs/>
          <w:kern w:val="0"/>
          <w:sz w:val="24"/>
          <w:szCs w:val="24"/>
          <w:highlight w:val="none"/>
        </w:rPr>
        <w:t>课程软硬件环境要求</w:t>
      </w:r>
    </w:p>
    <w:p>
      <w:pPr>
        <w:pStyle w:val="45"/>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Cs/>
          <w:kern w:val="0"/>
          <w:sz w:val="24"/>
          <w:szCs w:val="24"/>
          <w:highlight w:val="none"/>
        </w:rPr>
      </w:pPr>
      <w:r>
        <w:rPr>
          <w:rFonts w:hint="eastAsia" w:ascii="宋体" w:hAnsi="宋体" w:cs="宋体"/>
          <w:bCs/>
          <w:sz w:val="24"/>
          <w:szCs w:val="24"/>
          <w:highlight w:val="none"/>
          <w:lang w:eastAsia="zh-CN"/>
        </w:rPr>
        <w:t>★</w:t>
      </w:r>
      <w:r>
        <w:rPr>
          <w:rFonts w:hint="eastAsia" w:ascii="宋体" w:hAnsi="宋体" w:eastAsia="宋体" w:cs="宋体"/>
          <w:bCs/>
          <w:kern w:val="0"/>
          <w:sz w:val="24"/>
          <w:szCs w:val="24"/>
          <w:highlight w:val="none"/>
        </w:rPr>
        <w:t>（1）人工智能配套硬件要求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人工智能编程套件：铝合金材质，主控板处理器基于ARM Cortex-M0及以上微处理器，主板基于microbit等主流开源硬件，支持USB 程序烧录/供电口、≥20个扩展接口、蓝牙通信模块低功耗4.0及以上、支持扩展传感器种类≥35种，配备传感器≥8种。</w:t>
      </w:r>
      <w:r>
        <w:rPr>
          <w:rFonts w:hint="eastAsia" w:ascii="宋体" w:hAnsi="宋体" w:eastAsia="宋体" w:cs="宋体"/>
          <w:bCs/>
          <w:color w:val="auto"/>
          <w:sz w:val="24"/>
          <w:szCs w:val="24"/>
          <w:highlight w:val="none"/>
        </w:rPr>
        <w:t>提供不少于24套满足授课环境的配套硬件给服务学校，服务期满后移交设备所有权给学校。</w:t>
      </w:r>
      <w:r>
        <w:rPr>
          <w:rFonts w:hint="eastAsia" w:ascii="宋体" w:hAnsi="宋体" w:eastAsia="宋体" w:cs="宋体"/>
          <w:b/>
          <w:bCs w:val="0"/>
          <w:color w:val="auto"/>
          <w:sz w:val="24"/>
          <w:szCs w:val="24"/>
          <w:highlight w:val="none"/>
        </w:rPr>
        <w:t>（提供承诺函，格式自拟）</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（2）人工智能教学平台要求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供应商需要提供教学平台,具体功能要求：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▲①提供丰富的编程教学内容以及配套的题库，帮助老师更便捷有效地实现编程教学。</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▲②提供学校管理功能，进行学生管理。</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▲③提供教师端。可查看课件、教学视频、教师手册及学生手册，完成备课及其它课前准备；上学时可使用课件进行教学，无需搭建编程环境，直接在线编程进行相关演示；课后可在系统内选择习题并布置作业。</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支持积木式图形化编程、Python编程、在线编程和开源硬件编程，内部封装常用的功能模块，拥有独立的课程体系，≥56个课时（40分钟/课时）的课程，课程内容不少于20个项目。</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▲④提供学生端。可在线完成作业并提交，系统对作业数据进行专业教学分析，为教师提供全面准确的数据支持，便于制定更为有效的教学计划。</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商务要求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1、服务期及地点</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rPr>
        <w:t>1</w:t>
      </w:r>
      <w:r>
        <w:rPr>
          <w:rFonts w:hint="eastAsia" w:ascii="宋体" w:hAnsi="宋体" w:eastAsia="宋体" w:cs="宋体"/>
          <w:b w:val="0"/>
          <w:bCs/>
          <w:color w:val="auto"/>
          <w:sz w:val="24"/>
          <w:szCs w:val="24"/>
          <w:highlight w:val="none"/>
        </w:rPr>
        <w:t>）服务期：自合同签订之日起至2022年6月30日内完成，</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供应商应在签订合同后5个工作日内将课程配套的硬件配送至相关学校。</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rPr>
        <w:t>）服务地点：金牛区教育局下属相关学校。</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rPr>
        <w:t>、付款方式</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（1）合同签订前，</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向采购人提交详细的课程实施方案和配套硬件配置方案，经采购人确认同意后方可实施。</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rPr>
        <w:t>合同签订后,在收到</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提供的符合采购人财务要求的正规发票后15个工作日内支付至合同总金额的50%。</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（3）</w:t>
      </w:r>
      <w:r>
        <w:rPr>
          <w:rFonts w:hint="eastAsia" w:ascii="宋体" w:hAnsi="宋体" w:eastAsia="宋体" w:cs="宋体"/>
          <w:b w:val="0"/>
          <w:bCs/>
          <w:color w:val="auto"/>
          <w:sz w:val="24"/>
          <w:szCs w:val="24"/>
          <w:highlight w:val="none"/>
        </w:rPr>
        <w:t>尾款支付根据供应商服务水平决定，</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在完成整个项目的师资培训及课程服务后，由实施学校按照100分总分对项目进行评分（单个供应商针对多个学校的，评分=多个学校出具的评分总和/学校数量），评分</w:t>
      </w:r>
      <w:r>
        <w:rPr>
          <w:rFonts w:hint="eastAsia" w:ascii="宋体" w:hAnsi="宋体" w:eastAsia="宋体" w:cs="宋体"/>
          <w:b w:val="0"/>
          <w:bCs/>
          <w:color w:val="auto"/>
          <w:sz w:val="24"/>
          <w:szCs w:val="24"/>
          <w:highlight w:val="none"/>
        </w:rPr>
        <w:t>≥90分为A级，80≤评分＜90分为B级，70≤评分＜80分为C级。评分低于70分为D等级。（详见附件）</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A等级：验收合格后支付至合同总额的100%。</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B等级：验收合格后支付至合同总额的90%，其余不再支付。</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C等级：验收合格后支付至合同总额的80%，其余不再支付。</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D等级：不再支付尾款。</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注：</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申请结算时按照服务评价对应的实际金额开具发票。</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验收要求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1.</w:t>
      </w:r>
      <w:r>
        <w:rPr>
          <w:rFonts w:hint="eastAsia" w:ascii="宋体" w:hAnsi="宋体" w:eastAsia="宋体" w:cs="宋体"/>
          <w:b w:val="0"/>
          <w:bCs/>
          <w:color w:val="auto"/>
          <w:sz w:val="24"/>
          <w:szCs w:val="24"/>
          <w:highlight w:val="none"/>
        </w:rPr>
        <w:t xml:space="preserve"> 以本项目《</w:t>
      </w:r>
      <w:r>
        <w:rPr>
          <w:rFonts w:hint="eastAsia" w:ascii="宋体" w:hAnsi="宋体" w:eastAsia="宋体" w:cs="宋体"/>
          <w:b w:val="0"/>
          <w:bCs/>
          <w:color w:val="auto"/>
          <w:sz w:val="24"/>
          <w:szCs w:val="24"/>
          <w:highlight w:val="none"/>
          <w:lang w:eastAsia="zh-CN"/>
        </w:rPr>
        <w:t>采购文件</w:t>
      </w:r>
      <w:r>
        <w:rPr>
          <w:rFonts w:hint="eastAsia" w:ascii="宋体" w:hAnsi="宋体" w:eastAsia="宋体" w:cs="宋体"/>
          <w:b w:val="0"/>
          <w:bCs/>
          <w:color w:val="auto"/>
          <w:sz w:val="24"/>
          <w:szCs w:val="24"/>
          <w:highlight w:val="none"/>
        </w:rPr>
        <w:t>》、供应商《</w:t>
      </w:r>
      <w:r>
        <w:rPr>
          <w:rFonts w:hint="eastAsia" w:ascii="宋体" w:hAnsi="宋体" w:eastAsia="宋体" w:cs="宋体"/>
          <w:b w:val="0"/>
          <w:bCs/>
          <w:color w:val="auto"/>
          <w:sz w:val="24"/>
          <w:szCs w:val="24"/>
          <w:highlight w:val="none"/>
          <w:lang w:eastAsia="zh-CN"/>
        </w:rPr>
        <w:t>响应文件</w:t>
      </w:r>
      <w:r>
        <w:rPr>
          <w:rFonts w:hint="eastAsia" w:ascii="宋体" w:hAnsi="宋体" w:eastAsia="宋体" w:cs="宋体"/>
          <w:b w:val="0"/>
          <w:bCs/>
          <w:color w:val="auto"/>
          <w:sz w:val="24"/>
          <w:szCs w:val="24"/>
          <w:highlight w:val="none"/>
        </w:rPr>
        <w:t>》、合同具体约定作为验收标准，按照《财政部关于进一步加强政府采购需求和履约验收管理的指导意见》（财库〔2016〕205号）标准进行验收。</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在完成整个项目的师资培训及课程服务后需经学校按</w:t>
      </w:r>
      <w:r>
        <w:rPr>
          <w:rFonts w:hint="eastAsia" w:ascii="宋体" w:hAnsi="宋体" w:eastAsia="宋体" w:cs="宋体"/>
          <w:b w:val="0"/>
          <w:bCs/>
          <w:color w:val="auto"/>
          <w:sz w:val="24"/>
          <w:szCs w:val="24"/>
          <w:highlight w:val="none"/>
          <w:lang w:eastAsia="zh-CN"/>
        </w:rPr>
        <w:t>采购文件、响应文件</w:t>
      </w:r>
      <w:r>
        <w:rPr>
          <w:rFonts w:hint="eastAsia" w:ascii="宋体" w:hAnsi="宋体" w:eastAsia="宋体" w:cs="宋体"/>
          <w:b w:val="0"/>
          <w:bCs/>
          <w:color w:val="auto"/>
          <w:sz w:val="24"/>
          <w:szCs w:val="24"/>
          <w:highlight w:val="none"/>
        </w:rPr>
        <w:t>及合同约定进行初验。</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3.</w:t>
      </w:r>
      <w:r>
        <w:rPr>
          <w:rFonts w:hint="eastAsia" w:ascii="宋体" w:hAnsi="宋体" w:eastAsia="宋体" w:cs="宋体"/>
          <w:b w:val="0"/>
          <w:bCs/>
          <w:color w:val="auto"/>
          <w:sz w:val="24"/>
          <w:szCs w:val="24"/>
          <w:highlight w:val="none"/>
        </w:rPr>
        <w:t>所有项目学校初验合格后，由</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向采购人提出终验申请，采购人拟定验收方案，组织由政府采购专家和学校代表组成的验收小组，按照</w:t>
      </w:r>
      <w:r>
        <w:rPr>
          <w:rFonts w:hint="eastAsia" w:ascii="宋体" w:hAnsi="宋体" w:eastAsia="宋体" w:cs="宋体"/>
          <w:b w:val="0"/>
          <w:bCs/>
          <w:color w:val="auto"/>
          <w:sz w:val="24"/>
          <w:szCs w:val="24"/>
          <w:highlight w:val="none"/>
          <w:lang w:eastAsia="zh-CN"/>
        </w:rPr>
        <w:t>采购文件、响应文件</w:t>
      </w:r>
      <w:r>
        <w:rPr>
          <w:rFonts w:hint="eastAsia" w:ascii="宋体" w:hAnsi="宋体" w:eastAsia="宋体" w:cs="宋体"/>
          <w:b w:val="0"/>
          <w:bCs/>
          <w:color w:val="auto"/>
          <w:sz w:val="24"/>
          <w:szCs w:val="24"/>
          <w:highlight w:val="none"/>
        </w:rPr>
        <w:t xml:space="preserve">及合同约定进行项目终验。终验合格后，经双方确认，形成验收合格报告。  </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lang w:val="en-US"/>
        </w:rPr>
        <w:t>其他要求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sz w:val="24"/>
          <w:szCs w:val="24"/>
          <w:highlight w:val="none"/>
        </w:rPr>
      </w:pPr>
      <w:r>
        <w:rPr>
          <w:rFonts w:hint="eastAsia" w:ascii="宋体" w:hAnsi="宋体" w:eastAsia="宋体" w:cs="宋体"/>
          <w:b w:val="0"/>
          <w:bCs/>
          <w:color w:val="auto"/>
          <w:sz w:val="24"/>
          <w:szCs w:val="24"/>
          <w:highlight w:val="none"/>
          <w:lang w:val="en-US" w:eastAsia="zh-CN"/>
        </w:rPr>
        <w:t>1、供应商</w:t>
      </w:r>
      <w:r>
        <w:rPr>
          <w:rFonts w:hint="eastAsia" w:ascii="宋体" w:hAnsi="宋体" w:eastAsia="宋体" w:cs="宋体"/>
          <w:b w:val="0"/>
          <w:bCs/>
          <w:color w:val="auto"/>
          <w:sz w:val="24"/>
          <w:szCs w:val="24"/>
          <w:highlight w:val="none"/>
          <w:lang w:val="en-US"/>
        </w:rPr>
        <w:t>按照</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采购文件</w:t>
      </w:r>
      <w:r>
        <w:rPr>
          <w:rFonts w:hint="eastAsia" w:ascii="宋体" w:hAnsi="宋体" w:eastAsia="宋体" w:cs="宋体"/>
          <w:b w:val="0"/>
          <w:bCs/>
          <w:color w:val="auto"/>
          <w:sz w:val="24"/>
          <w:szCs w:val="24"/>
          <w:highlight w:val="none"/>
        </w:rPr>
        <w:t>》和《</w:t>
      </w:r>
      <w:r>
        <w:rPr>
          <w:rFonts w:hint="eastAsia" w:ascii="宋体" w:hAnsi="宋体" w:eastAsia="宋体" w:cs="宋体"/>
          <w:b w:val="0"/>
          <w:bCs/>
          <w:color w:val="auto"/>
          <w:sz w:val="24"/>
          <w:szCs w:val="24"/>
          <w:highlight w:val="none"/>
          <w:lang w:eastAsia="zh-CN"/>
        </w:rPr>
        <w:t>响应文件</w:t>
      </w:r>
      <w:r>
        <w:rPr>
          <w:rFonts w:hint="eastAsia" w:ascii="宋体" w:hAnsi="宋体" w:eastAsia="宋体" w:cs="宋体"/>
          <w:b w:val="0"/>
          <w:bCs/>
          <w:color w:val="auto"/>
          <w:sz w:val="24"/>
          <w:szCs w:val="24"/>
          <w:highlight w:val="none"/>
        </w:rPr>
        <w:t>》要求制定</w:t>
      </w:r>
      <w:r>
        <w:rPr>
          <w:rFonts w:hint="eastAsia" w:ascii="宋体" w:hAnsi="宋体" w:eastAsia="宋体" w:cs="宋体"/>
          <w:b w:val="0"/>
          <w:color w:val="auto"/>
          <w:sz w:val="24"/>
          <w:szCs w:val="24"/>
          <w:highlight w:val="none"/>
        </w:rPr>
        <w:t>针对本项目的详细实施方案，经采购人书面确认后方</w:t>
      </w:r>
      <w:r>
        <w:rPr>
          <w:rFonts w:hint="eastAsia" w:ascii="宋体" w:hAnsi="宋体" w:eastAsia="宋体" w:cs="宋体"/>
          <w:b w:val="0"/>
          <w:color w:val="auto"/>
          <w:sz w:val="24"/>
          <w:szCs w:val="24"/>
          <w:highlight w:val="none"/>
        </w:rPr>
        <w:t>可实施。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sz w:val="24"/>
          <w:szCs w:val="24"/>
          <w:highlight w:val="none"/>
          <w:lang w:val="en-US"/>
        </w:rPr>
      </w:pPr>
      <w:r>
        <w:rPr>
          <w:rFonts w:hint="eastAsia" w:ascii="宋体" w:hAnsi="宋体" w:eastAsia="宋体" w:cs="宋体"/>
          <w:b w:val="0"/>
          <w:color w:val="auto"/>
          <w:sz w:val="24"/>
          <w:szCs w:val="24"/>
          <w:highlight w:val="none"/>
          <w:lang w:val="en-US" w:eastAsia="zh-CN"/>
        </w:rPr>
        <w:t>2、供应商</w:t>
      </w:r>
      <w:r>
        <w:rPr>
          <w:rFonts w:hint="eastAsia" w:ascii="宋体" w:hAnsi="宋体" w:eastAsia="宋体" w:cs="宋体"/>
          <w:b w:val="0"/>
          <w:color w:val="auto"/>
          <w:sz w:val="24"/>
          <w:szCs w:val="24"/>
          <w:highlight w:val="none"/>
          <w:lang w:val="en-US"/>
        </w:rPr>
        <w:t>具有承担本项目的实力和履约能力。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sz w:val="24"/>
          <w:szCs w:val="24"/>
          <w:highlight w:val="none"/>
          <w:lang w:val="en-US"/>
        </w:rPr>
      </w:pPr>
      <w:r>
        <w:rPr>
          <w:rFonts w:hint="eastAsia" w:ascii="宋体" w:hAnsi="宋体" w:eastAsia="宋体" w:cs="宋体"/>
          <w:b w:val="0"/>
          <w:color w:val="auto"/>
          <w:sz w:val="24"/>
          <w:szCs w:val="24"/>
          <w:highlight w:val="none"/>
          <w:lang w:val="en-US" w:eastAsia="zh-CN"/>
        </w:rPr>
        <w:t>3、供应商</w:t>
      </w:r>
      <w:r>
        <w:rPr>
          <w:rFonts w:hint="eastAsia" w:ascii="宋体" w:hAnsi="宋体" w:eastAsia="宋体" w:cs="宋体"/>
          <w:b w:val="0"/>
          <w:color w:val="auto"/>
          <w:sz w:val="24"/>
          <w:szCs w:val="24"/>
          <w:highlight w:val="none"/>
          <w:lang w:val="en-US"/>
        </w:rPr>
        <w:t>为本项目提供的项目核心团队成员应为</w:t>
      </w:r>
      <w:r>
        <w:rPr>
          <w:rFonts w:hint="eastAsia" w:ascii="宋体" w:hAnsi="宋体" w:eastAsia="宋体" w:cs="宋体"/>
          <w:b w:val="0"/>
          <w:color w:val="auto"/>
          <w:sz w:val="24"/>
          <w:szCs w:val="24"/>
          <w:highlight w:val="none"/>
          <w:lang w:val="en-US" w:eastAsia="zh-CN"/>
        </w:rPr>
        <w:t>本</w:t>
      </w:r>
      <w:r>
        <w:rPr>
          <w:rFonts w:hint="eastAsia" w:ascii="宋体" w:hAnsi="宋体" w:eastAsia="宋体" w:cs="宋体"/>
          <w:b w:val="0"/>
          <w:color w:val="auto"/>
          <w:sz w:val="24"/>
          <w:szCs w:val="24"/>
          <w:highlight w:val="none"/>
          <w:lang w:val="en-US"/>
        </w:rPr>
        <w:t>单位人员，提供项目核心团队成员名单，加盖</w:t>
      </w:r>
      <w:r>
        <w:rPr>
          <w:rFonts w:hint="eastAsia" w:ascii="宋体" w:hAnsi="宋体" w:eastAsia="宋体" w:cs="宋体"/>
          <w:b w:val="0"/>
          <w:color w:val="auto"/>
          <w:sz w:val="24"/>
          <w:szCs w:val="24"/>
          <w:highlight w:val="none"/>
          <w:lang w:val="en-US" w:eastAsia="zh-CN"/>
        </w:rPr>
        <w:t>供应商</w:t>
      </w:r>
      <w:r>
        <w:rPr>
          <w:rFonts w:hint="eastAsia" w:ascii="宋体" w:hAnsi="宋体" w:eastAsia="宋体" w:cs="宋体"/>
          <w:b w:val="0"/>
          <w:color w:val="auto"/>
          <w:sz w:val="24"/>
          <w:szCs w:val="24"/>
          <w:highlight w:val="none"/>
          <w:lang w:val="en-US"/>
        </w:rPr>
        <w:t>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sz w:val="24"/>
          <w:szCs w:val="24"/>
          <w:highlight w:val="none"/>
          <w:lang w:val="en-US"/>
        </w:rPr>
      </w:pPr>
      <w:r>
        <w:rPr>
          <w:rFonts w:hint="eastAsia" w:ascii="宋体" w:hAnsi="宋体" w:cs="宋体"/>
          <w:b w:val="0"/>
          <w:color w:val="auto"/>
          <w:sz w:val="24"/>
          <w:szCs w:val="24"/>
          <w:highlight w:val="none"/>
          <w:lang w:val="en-US" w:eastAsia="zh-CN"/>
        </w:rPr>
        <w:t>★4、</w:t>
      </w:r>
      <w:r>
        <w:rPr>
          <w:rFonts w:hint="eastAsia" w:ascii="宋体" w:hAnsi="宋体" w:eastAsia="宋体" w:cs="宋体"/>
          <w:b w:val="0"/>
          <w:color w:val="auto"/>
          <w:sz w:val="24"/>
          <w:szCs w:val="24"/>
          <w:highlight w:val="none"/>
          <w:lang w:val="en-US"/>
        </w:rPr>
        <w:t>供应商提供服务期间发生的一切安全事故由供应商自行承担，如因供应商服务人员在服务期内给采购人（包括服务学校）造成的安全责任事故，由供应商承担一切责任，采购人不承担任何责任。</w:t>
      </w:r>
      <w:r>
        <w:rPr>
          <w:rFonts w:hint="eastAsia" w:ascii="宋体" w:hAnsi="宋体" w:eastAsia="宋体" w:cs="宋体"/>
          <w:b w:val="0"/>
          <w:bCs w:val="0"/>
          <w:color w:val="auto"/>
          <w:sz w:val="24"/>
          <w:szCs w:val="24"/>
          <w:highlight w:val="none"/>
          <w:lang w:val="en-US"/>
        </w:rPr>
        <w:t>拟派工作人员有劳务派遣合同，所产生的劳务纠纷均由供应商自行承担。</w:t>
      </w:r>
      <w:r>
        <w:rPr>
          <w:rFonts w:hint="eastAsia" w:ascii="宋体" w:hAnsi="宋体" w:eastAsia="宋体" w:cs="宋体"/>
          <w:b/>
          <w:bCs/>
          <w:color w:val="auto"/>
          <w:sz w:val="24"/>
          <w:szCs w:val="24"/>
          <w:highlight w:val="none"/>
          <w:lang w:val="en-US"/>
        </w:rPr>
        <w:t>（提供承诺函，格式自拟）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sz w:val="24"/>
          <w:szCs w:val="24"/>
          <w:highlight w:val="none"/>
          <w:lang w:val="en-US"/>
        </w:rPr>
      </w:pPr>
      <w:r>
        <w:rPr>
          <w:rFonts w:hint="eastAsia" w:ascii="宋体" w:hAnsi="宋体" w:eastAsia="宋体" w:cs="宋体"/>
          <w:b w:val="0"/>
          <w:color w:val="auto"/>
          <w:sz w:val="24"/>
          <w:szCs w:val="24"/>
          <w:highlight w:val="none"/>
          <w:lang w:val="en-US" w:eastAsia="zh-CN"/>
        </w:rPr>
        <w:t>5、</w:t>
      </w:r>
      <w:r>
        <w:rPr>
          <w:rFonts w:hint="eastAsia" w:ascii="宋体" w:hAnsi="宋体" w:eastAsia="宋体" w:cs="宋体"/>
          <w:b w:val="0"/>
          <w:color w:val="auto"/>
          <w:sz w:val="24"/>
          <w:szCs w:val="24"/>
          <w:highlight w:val="none"/>
          <w:lang w:val="en-US"/>
        </w:rPr>
        <w:t>不可抗力：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sz w:val="24"/>
          <w:szCs w:val="24"/>
          <w:highlight w:val="none"/>
          <w:lang w:val="en-US"/>
        </w:rPr>
      </w:pPr>
      <w:r>
        <w:rPr>
          <w:rFonts w:hint="eastAsia" w:ascii="宋体" w:hAnsi="宋体" w:eastAsia="宋体" w:cs="宋体"/>
          <w:b w:val="0"/>
          <w:color w:val="auto"/>
          <w:sz w:val="24"/>
          <w:szCs w:val="24"/>
          <w:highlight w:val="none"/>
          <w:lang w:val="en-US" w:eastAsia="zh-CN"/>
        </w:rPr>
        <w:t>6、</w:t>
      </w:r>
      <w:r>
        <w:rPr>
          <w:rFonts w:hint="eastAsia" w:ascii="宋体" w:hAnsi="宋体" w:eastAsia="宋体" w:cs="宋体"/>
          <w:b w:val="0"/>
          <w:color w:val="auto"/>
          <w:sz w:val="24"/>
          <w:szCs w:val="24"/>
          <w:highlight w:val="none"/>
          <w:lang w:val="en-US"/>
        </w:rPr>
        <w:t xml:space="preserve">其他未尽事宜：以国家现行法律、法规，规范、标准以及双方签订的合同为准。（如本项目采用相关法律、法规及规范、标准发生矛盾时，以最新法律法规及规范、标准执行） </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highlight w:val="none"/>
        </w:rPr>
      </w:pPr>
      <w:r>
        <w:rPr>
          <w:rFonts w:hint="eastAsia" w:ascii="宋体" w:hAnsi="宋体" w:eastAsia="宋体" w:cs="宋体"/>
          <w:b w:val="0"/>
          <w:color w:val="auto"/>
          <w:sz w:val="24"/>
          <w:szCs w:val="24"/>
          <w:highlight w:val="none"/>
        </w:rPr>
        <w:t>本章中上述打</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号的为本次招标项目的实质性要求，不允许有负偏离，否则作无效投标处理</w:t>
      </w:r>
    </w:p>
    <w:p>
      <w:pPr>
        <w:pStyle w:val="3"/>
        <w:keepNext w:val="0"/>
        <w:keepLines w:val="0"/>
        <w:spacing w:before="0" w:after="0" w:line="240" w:lineRule="auto"/>
        <w:jc w:val="center"/>
        <w:rPr>
          <w:rFonts w:hint="eastAsia" w:ascii="宋体" w:hAnsi="宋体" w:eastAsia="宋体" w:cs="宋体"/>
          <w:sz w:val="36"/>
          <w:szCs w:val="36"/>
          <w:highlight w:val="none"/>
        </w:rPr>
        <w:sectPr>
          <w:headerReference r:id="rId7" w:type="default"/>
          <w:footerReference r:id="rId8" w:type="default"/>
          <w:footerReference r:id="rId9" w:type="even"/>
          <w:pgSz w:w="11906" w:h="16838"/>
          <w:pgMar w:top="1440" w:right="1080" w:bottom="1440" w:left="1080" w:header="851" w:footer="992" w:gutter="0"/>
          <w:pgNumType w:fmt="numberInDash" w:start="1"/>
          <w:cols w:space="720" w:num="1"/>
          <w:docGrid w:type="lines" w:linePitch="312" w:charSpace="0"/>
        </w:sectPr>
      </w:pPr>
      <w:r>
        <w:rPr>
          <w:rFonts w:hint="eastAsia" w:ascii="宋体" w:hAnsi="宋体" w:eastAsia="宋体" w:cs="宋体"/>
          <w:sz w:val="36"/>
          <w:szCs w:val="36"/>
          <w:highlight w:val="none"/>
        </w:rPr>
        <w:br w:type="page"/>
      </w:r>
      <w:bookmarkStart w:id="159" w:name="_Toc20090"/>
      <w:bookmarkStart w:id="160" w:name="_Toc32508"/>
      <w:bookmarkStart w:id="161" w:name="_Toc7912"/>
    </w:p>
    <w:p>
      <w:pPr>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color w:val="auto"/>
          <w:sz w:val="28"/>
          <w:szCs w:val="28"/>
          <w:highlight w:val="none"/>
        </w:rPr>
        <w:t>人工智能及创新教育项目实施情况评价表</w:t>
      </w:r>
    </w:p>
    <w:p>
      <w:pPr>
        <w:spacing w:line="570" w:lineRule="exact"/>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学校（盖章）：                                  </w:t>
      </w:r>
      <w:r>
        <w:rPr>
          <w:rFonts w:hint="eastAsia" w:ascii="宋体" w:hAnsi="宋体" w:eastAsia="宋体" w:cs="宋体"/>
          <w:b w:val="0"/>
          <w:bCs/>
          <w:color w:val="auto"/>
          <w:sz w:val="24"/>
          <w:szCs w:val="24"/>
          <w:highlight w:val="none"/>
          <w:lang w:val="en-US"/>
        </w:rPr>
        <w:t xml:space="preserve">      </w:t>
      </w:r>
      <w:r>
        <w:rPr>
          <w:rFonts w:hint="eastAsia" w:ascii="宋体" w:hAnsi="宋体" w:eastAsia="宋体" w:cs="宋体"/>
          <w:b w:val="0"/>
          <w:bCs/>
          <w:color w:val="auto"/>
          <w:sz w:val="24"/>
          <w:szCs w:val="24"/>
          <w:highlight w:val="none"/>
        </w:rPr>
        <w:t>年  月  日</w:t>
      </w:r>
    </w:p>
    <w:tbl>
      <w:tblPr>
        <w:tblStyle w:val="28"/>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6308"/>
        <w:gridCol w:w="79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评价主体</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评价项目</w:t>
            </w:r>
          </w:p>
        </w:tc>
        <w:tc>
          <w:tcPr>
            <w:tcW w:w="63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评价内容</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分值</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跟岗教师72%</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理念体现8%</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1.重视实践能力、创新思维和信息素养的培养</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2.注重德育渗透和情感熏陶</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目标内容18%</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3.教学活动目标适合学生特点与课程特点，目标明确、具体、切实可行，符合该年龄段学生的认知水平和教育教学规律。</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4.课程结构科学，内容由易到难、循序渐进、体系完整，突出课程培养目标的三维一体</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5.内容开放、容量恰当，注重与实际生活相结合，活动探究性强、可操作性强、可玩性强</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指导过程</w:t>
            </w:r>
          </w:p>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36%</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6.设备操作规范，动手环节注重安全教育</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7.结构合理，多法结合，灵活运用，注重讲授和动手实践结合，避免灌输式知识讲授</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8.学生动手活动设计注重方法和创新、有针对性，课堂灵活、生动，避免单一化模仿操作</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9.面向全体，反馈及时，矫正迅速，注重发挥学生主体性</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10.善于设趣导疑，注重学法指导，情知交融，注重激发学生兴趣和培养思维能力</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11.教师的备课及教学材料的准备要充分，各环节连接自然流畅</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实际效果10%</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12.学生全体参与，积极性高，气氛活跃，主动投入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13.全体学生都有收获，能灵活运用方法解决新问题</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14.学生善于思考，勇于质疑，见解有一定新意</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学生10%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人数变化5%</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15.学期末班级人数/学期初人数=比值。</w:t>
            </w:r>
          </w:p>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得分=比值*5，最高为5分。</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学生评价5%</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16.期末根据对该课程的感兴趣程度（很感兴趣、兴趣一般、不感兴趣）的学生人数统计进行评分。</w:t>
            </w:r>
          </w:p>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得分=5*（很感兴趣人数*5+兴趣一般人数*3+不感兴趣人数*1）/（总人数*5）</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学校18%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综合意见8%</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17.学校根据供应商的产品维保售后服务、课程实施质量和效果、及时采纳学校提出的意见等方面进行综合评分。</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教师素质10%</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18.形象得体，教态自然大方、语言规范，应变力强</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1276"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19.合理使用教具、电教媒体，板书合理美观</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合计</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评分≥90 分为A等级，80≤评分＜90分为B级，70≤评分＜80分为C级。评分低于70分为D等级。      </w:t>
            </w:r>
          </w:p>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总得分评定等级为：</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等级。</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100</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bl>
    <w:p>
      <w:pPr>
        <w:ind w:firstLine="0" w:firstLineChars="0"/>
        <w:rPr>
          <w:rFonts w:hint="eastAsia" w:ascii="宋体" w:hAnsi="宋体" w:eastAsia="宋体" w:cs="宋体"/>
          <w:color w:val="auto"/>
          <w:sz w:val="28"/>
          <w:szCs w:val="28"/>
          <w:highlight w:val="none"/>
        </w:rPr>
      </w:pPr>
    </w:p>
    <w:p>
      <w:pPr>
        <w:ind w:firstLine="0" w:firstLineChars="0"/>
        <w:rPr>
          <w:rFonts w:hint="eastAsia" w:ascii="宋体" w:hAnsi="宋体" w:eastAsia="宋体" w:cs="宋体"/>
          <w:bCs/>
          <w:color w:val="auto"/>
          <w:sz w:val="24"/>
          <w:szCs w:val="24"/>
          <w:highlight w:val="none"/>
          <w:lang w:val="en-US"/>
        </w:rPr>
      </w:pP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包2：</w:t>
      </w:r>
      <w:r>
        <w:rPr>
          <w:rFonts w:hint="eastAsia" w:ascii="宋体" w:hAnsi="宋体" w:cs="宋体"/>
          <w:b/>
          <w:bCs/>
          <w:color w:val="auto"/>
          <w:sz w:val="28"/>
          <w:szCs w:val="28"/>
          <w:highlight w:val="none"/>
          <w:lang w:eastAsia="zh-CN"/>
        </w:rPr>
        <w:t>小学课程及人工智能教室服务</w:t>
      </w:r>
    </w:p>
    <w:p>
      <w:pPr>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服务要求</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1、编程教育课程服务</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（1）提供900课时编程课程教学服务。</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color w:val="auto"/>
          <w:sz w:val="24"/>
          <w:szCs w:val="24"/>
          <w:highlight w:val="none"/>
        </w:rPr>
      </w:pPr>
      <w:r>
        <w:rPr>
          <w:rFonts w:hint="eastAsia" w:ascii="宋体" w:hAnsi="宋体" w:eastAsia="宋体" w:cs="宋体"/>
          <w:b w:val="0"/>
          <w:bCs/>
          <w:color w:val="auto"/>
          <w:sz w:val="24"/>
          <w:szCs w:val="24"/>
          <w:highlight w:val="none"/>
        </w:rPr>
        <w:t>其中包括：7所小学四年级和五年级共45个教学班，所有班级每学年开设20课时，每学期10课时（每班一周1课时），共计900课时，每课时40分钟。采用区域统一排课，按要求派教师进入班级授课，保证7个学校同一时段开课，满足教学需求。授课教师必须持有针对小学教学的教师资格证，教师资格证原件在签订合同前提供给采购人核验，入校授课前提供复印件给授课学校</w:t>
      </w:r>
      <w:r>
        <w:rPr>
          <w:rFonts w:hint="eastAsia" w:ascii="宋体" w:hAnsi="宋体" w:eastAsia="宋体" w:cs="宋体"/>
          <w:b/>
          <w:bCs w:val="0"/>
          <w:color w:val="auto"/>
          <w:sz w:val="24"/>
          <w:szCs w:val="24"/>
          <w:highlight w:val="none"/>
        </w:rPr>
        <w:t>（提供承诺函，格式自拟）</w:t>
      </w:r>
      <w:r>
        <w:rPr>
          <w:rFonts w:hint="eastAsia" w:ascii="宋体" w:hAnsi="宋体" w:eastAsia="宋体" w:cs="宋体"/>
          <w:bCs/>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（2）所提供课程必须具备符合以下要求:</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①课程内容为编程教育，在课程的设置中重视程序知识的学习，培养学生的计算思维与信息素养，同时也重视培养学生的知识广度，学生需完成多个动画、游戏和项目的制作。</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②课程采用场景化课程设置，选题来源于生活，体现项目实际应用性，主题选取体现趣味性，可操作性强，可玩性强。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③课程内容重难点设置突出，课程具有知识拓展，多学科知识延伸。</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④课程设置讨论、思考环节，鼓励学生表达想法和创意 </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⑤建构式拆解项目，能够引导学生整体把握项目结构，每个项目都给学生提供进阶的机会，可对基础项目发散拓展。</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bookmarkStart w:id="162" w:name="_Hlk15060227"/>
      <w:r>
        <w:rPr>
          <w:rFonts w:hint="eastAsia" w:ascii="宋体" w:hAnsi="宋体" w:eastAsia="宋体" w:cs="宋体"/>
          <w:b w:val="0"/>
          <w:bCs/>
          <w:color w:val="auto"/>
          <w:sz w:val="24"/>
          <w:szCs w:val="24"/>
          <w:highlight w:val="none"/>
        </w:rPr>
        <w:t>▲⑥</w:t>
      </w:r>
      <w:bookmarkEnd w:id="162"/>
      <w:r>
        <w:rPr>
          <w:rFonts w:hint="eastAsia" w:ascii="宋体" w:hAnsi="宋体" w:eastAsia="宋体" w:cs="宋体"/>
          <w:b w:val="0"/>
          <w:bCs/>
          <w:color w:val="auto"/>
          <w:sz w:val="24"/>
          <w:szCs w:val="24"/>
          <w:highlight w:val="none"/>
        </w:rPr>
        <w:t>提供与课程匹配的完整的课程大纲，包括课程进度规划、各项目主题在内的不少于5个要素。</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▲⑦提供与课程匹配的课程目标设置，包括学年整体课程目标、阶段课程目标在内的不少于5个要素。</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▲⑧提供与课程匹配的完整课件，课件符合课程目标及大纲，内容包括场景引入、知识点讲解在内的不少于5个要素。</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▲⑨提供与课程匹配的完整教案，教案符合课程目标及大纲，内容包括课程主题、教学目标、学情分析在内的不少于5个要素。</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▲⑩具备完整教师指导手册，可供教师备课使用，内容包括教学目标、教材说明、教学建议在内的不少于5个要素。</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▲⑪提供与课程匹配的样课录课，需真人老师出镜授课，可供教师与学生反复观看学习。</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▲⑫提供与课程匹配的说课视频，可供教师与学生反复观看学习。</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▲⑬提供正式出版的指导用书，指导用书应与年级、课程相匹配。</w:t>
      </w:r>
      <w:r>
        <w:rPr>
          <w:rFonts w:hint="eastAsia" w:ascii="宋体" w:hAnsi="宋体" w:eastAsia="宋体" w:cs="宋体"/>
          <w:b/>
          <w:bCs w:val="0"/>
          <w:color w:val="auto"/>
          <w:sz w:val="24"/>
          <w:szCs w:val="24"/>
          <w:highlight w:val="none"/>
        </w:rPr>
        <w:t>（提供现场演示）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（3）提供数字资源云平台。</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提供数字资源云平台供学校教师、学生免费使用（使用期限一年，自合同签订开始计算），支持在线课程内容学习、在线视频观看、在线资源下载和在线互动交流。平台具体功能要求如下：</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①在线视频观看</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教学视频课直接在网上观看，包含教学样课与微课，教师可自行观看学习，也可直接在课堂内对学生进行播放使用。</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②在线资源下载</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包含全套的教学用PPT、教案、教学记录表与课程评价表，可供教师直接下载使用。</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③线上社区：</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拥有教师论坛，教师可直接发布相关问题或教学成果，可供所有教师共同讨论、学习、交流。</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（4）师资授课管理要求</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①教学记录表</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拥有详细的课程记录表，对每节课教学内容进行记录，认真填写授课情况与教学反思，并需要学校跟课教师签字确认。</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②课程评价表</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拥有详细的课程评价单，对一学期、一学年课程进行评价，从课程多方面对教师进行全方位评价，确保学校完全掌控教学质量。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2、编程教育师资培训</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（1）实施方式：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采用案例学习、校内跟岗培训、线上学习的混合式培训模式。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（2）培训人数：每校教师≥2人。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（3）培训要求：</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1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①</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根据学校课时安排情况，中标人派教师进行示范性授课，课前向跟岗培训教师提供教案，并填写课堂教学评价表。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2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②</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完成每周课程服务后，中标人派遣的教师与学校跟岗培训教师进行教学得失探讨研究。不定期接受学校教务处组织的集体听课及评课议课活动。结合课堂教学，培训教师和跟岗培训教师课前探讨教学内容，熟悉课程内容，从熟悉教学项目到上课过程中需要注意的重点，熟悉线上学习平台的应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（4）线上学习及支撑</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提供数字资源云平台使用，根据需要进行教师的在线学习、在线视频观看、教学资源下载和在线答疑服务。教育平台需具有以下功能：</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1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①</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课程样课：包含完整的课程样课，教师可自行观看学习，也可直接在课堂内对学生进行播放使用，样课结构流程完整，操作清晰。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2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②</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课程微课：截取每堂课关键知识点做重点讲解，学生可自主上网观看学习，也可以作为教师备课，答疑使用。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3 \* GB3</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③</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t>资源下载：包含全套的教学用PPT、教案、教学记录表与教学评价表，可供教师直接下载使用。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④线上社区：拥有教师论坛，教师可直接发布相关问题或教学成果，可供所有教师共同讨论、学习、交流。</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⑤在线问题解答：包括不限于平台、QQ、微信，短信，电话等方式，帮助教师解决教学难题。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（5）校本应用实践活动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策划组织实施一次金牛区人工智能教育活动，其中包含但不限于人工智能体验活动或科技制作展示活动或创客比赛。根据学校要求，协助学校开展校级人工智能编程展示或比赛活动。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3、人工智能教室</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val="0"/>
          <w:color w:val="auto"/>
          <w:sz w:val="24"/>
          <w:szCs w:val="24"/>
          <w:highlight w:val="none"/>
        </w:rPr>
      </w:pPr>
      <w:r>
        <w:rPr>
          <w:rFonts w:hint="eastAsia" w:cs="宋体"/>
          <w:b w:val="0"/>
          <w:bCs/>
          <w:color w:val="auto"/>
          <w:sz w:val="24"/>
          <w:szCs w:val="24"/>
          <w:highlight w:val="none"/>
        </w:rPr>
        <w:t>需提供一间能容纳不少于学生位5</w:t>
      </w:r>
      <w:r>
        <w:rPr>
          <w:rFonts w:cs="宋体"/>
          <w:b w:val="0"/>
          <w:bCs/>
          <w:color w:val="auto"/>
          <w:sz w:val="24"/>
          <w:szCs w:val="24"/>
          <w:highlight w:val="none"/>
        </w:rPr>
        <w:t>6</w:t>
      </w:r>
      <w:r>
        <w:rPr>
          <w:rFonts w:hint="eastAsia" w:cs="宋体"/>
          <w:b w:val="0"/>
          <w:bCs/>
          <w:color w:val="auto"/>
          <w:sz w:val="24"/>
          <w:szCs w:val="24"/>
          <w:highlight w:val="none"/>
        </w:rPr>
        <w:t>座，教师位1座的人工智能吊装数字实验室并配备多媒体设备和必要的软硬件设备，配套的学生设备（8名学生使用一套设备）和教师（一套设备）设备包含但不限于能够完成高中物理要求的分组实验和演示实验。</w:t>
      </w:r>
      <w:r>
        <w:rPr>
          <w:rFonts w:hint="eastAsia" w:cs="宋体"/>
          <w:bCs/>
          <w:color w:val="auto"/>
          <w:sz w:val="24"/>
          <w:szCs w:val="24"/>
          <w:highlight w:val="none"/>
        </w:rPr>
        <w:t>服务期满后设备所有权无偿移交给学校。</w:t>
      </w:r>
      <w:r>
        <w:rPr>
          <w:rFonts w:hint="eastAsia" w:cs="宋体"/>
          <w:b/>
          <w:bCs w:val="0"/>
          <w:color w:val="auto"/>
          <w:sz w:val="24"/>
          <w:szCs w:val="24"/>
          <w:highlight w:val="none"/>
        </w:rPr>
        <w:t>（提供承诺函，格式自拟）</w:t>
      </w:r>
    </w:p>
    <w:p>
      <w:pPr>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商务要求</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1、服务期及地点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rPr>
        <w:t>1</w:t>
      </w:r>
      <w:r>
        <w:rPr>
          <w:rFonts w:hint="eastAsia" w:ascii="宋体" w:hAnsi="宋体" w:eastAsia="宋体" w:cs="宋体"/>
          <w:b w:val="0"/>
          <w:bCs/>
          <w:color w:val="auto"/>
          <w:sz w:val="24"/>
          <w:szCs w:val="24"/>
          <w:highlight w:val="none"/>
        </w:rPr>
        <w:t>）服务期：自合同签订之日起至2022年6月30日内完成，</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应在签订合同后5个工作日内将课程配套的硬件配送至相关学校。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rPr>
        <w:t>）服务地点：金牛区教育局下属相关学校。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rPr>
        <w:t>、付款方式</w:t>
      </w:r>
    </w:p>
    <w:p>
      <w:pPr>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（1）合同签订前，中标人向采购人提交详细的课程实施方案和环境搭建方案，经采购人确认同意后方可实施。</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rPr>
        <w:t>合同签订后,在收到</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提供的符合采购人财务要求的正规发票后15个工作日内支付至合同总金额的50%。</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（3）</w:t>
      </w:r>
      <w:r>
        <w:rPr>
          <w:rFonts w:hint="eastAsia" w:ascii="宋体" w:hAnsi="宋体" w:eastAsia="宋体" w:cs="宋体"/>
          <w:b w:val="0"/>
          <w:bCs/>
          <w:color w:val="auto"/>
          <w:sz w:val="24"/>
          <w:szCs w:val="24"/>
          <w:highlight w:val="none"/>
        </w:rPr>
        <w:t>尾款支付根据</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服务水平决定，中标人在完成整个项目的师资培训及课程服务后，由实施学校按照100分总分对项目进行评分（单个供应商针对多个学校的，评分=多个学校出具的评分总和/学校数量），评分≥90分为A级，80≤评分＜90分为B级，70≤评分＜80分为C级。评分低于70分为D等级。（详见附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A等级：验收合格后支付至合同总额的100%。</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B等级：验收合格后支付至合同总额的90%，其余不再支付。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C等级：验收合格后支付至合同总额的80%，其余不再支付。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D等级：不再支付尾款。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注：</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申请结算时按照服务评价对应的实际金额开具发票。</w:t>
      </w:r>
    </w:p>
    <w:p>
      <w:pPr>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三、验收要求</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1.</w:t>
      </w:r>
      <w:r>
        <w:rPr>
          <w:rFonts w:hint="eastAsia" w:ascii="宋体" w:hAnsi="宋体" w:eastAsia="宋体" w:cs="宋体"/>
          <w:b w:val="0"/>
          <w:bCs/>
          <w:color w:val="auto"/>
          <w:sz w:val="24"/>
          <w:szCs w:val="24"/>
          <w:highlight w:val="none"/>
        </w:rPr>
        <w:t xml:space="preserve"> 以本项目《</w:t>
      </w:r>
      <w:r>
        <w:rPr>
          <w:rFonts w:hint="eastAsia" w:ascii="宋体" w:hAnsi="宋体" w:eastAsia="宋体" w:cs="宋体"/>
          <w:b w:val="0"/>
          <w:bCs/>
          <w:color w:val="auto"/>
          <w:sz w:val="24"/>
          <w:szCs w:val="24"/>
          <w:highlight w:val="none"/>
          <w:lang w:eastAsia="zh-CN"/>
        </w:rPr>
        <w:t>采购文件</w:t>
      </w:r>
      <w:r>
        <w:rPr>
          <w:rFonts w:hint="eastAsia" w:ascii="宋体" w:hAnsi="宋体" w:eastAsia="宋体" w:cs="宋体"/>
          <w:b w:val="0"/>
          <w:bCs/>
          <w:color w:val="auto"/>
          <w:sz w:val="24"/>
          <w:szCs w:val="24"/>
          <w:highlight w:val="none"/>
        </w:rPr>
        <w:t>》、供应商《</w:t>
      </w:r>
      <w:r>
        <w:rPr>
          <w:rFonts w:hint="eastAsia" w:ascii="宋体" w:hAnsi="宋体" w:eastAsia="宋体" w:cs="宋体"/>
          <w:b w:val="0"/>
          <w:bCs/>
          <w:color w:val="auto"/>
          <w:sz w:val="24"/>
          <w:szCs w:val="24"/>
          <w:highlight w:val="none"/>
          <w:lang w:eastAsia="zh-CN"/>
        </w:rPr>
        <w:t>响应文件</w:t>
      </w:r>
      <w:r>
        <w:rPr>
          <w:rFonts w:hint="eastAsia" w:ascii="宋体" w:hAnsi="宋体" w:eastAsia="宋体" w:cs="宋体"/>
          <w:b w:val="0"/>
          <w:bCs/>
          <w:color w:val="auto"/>
          <w:sz w:val="24"/>
          <w:szCs w:val="24"/>
          <w:highlight w:val="none"/>
        </w:rPr>
        <w:t>》、合同具体约定作为验收标准，按照《财政部关于进一步加强政府采购需求和履约验收管理的指导意见》（财库〔2016〕205号）标准进行验收。</w:t>
      </w:r>
    </w:p>
    <w:p>
      <w:pPr>
        <w:pageBreakBefore w:val="0"/>
        <w:tabs>
          <w:tab w:val="left" w:pos="735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2.</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人在完成整个项目的师资培训及课程服务后需经学校按</w:t>
      </w:r>
      <w:r>
        <w:rPr>
          <w:rFonts w:hint="eastAsia" w:ascii="宋体" w:hAnsi="宋体" w:eastAsia="宋体" w:cs="宋体"/>
          <w:b w:val="0"/>
          <w:bCs/>
          <w:color w:val="auto"/>
          <w:sz w:val="24"/>
          <w:szCs w:val="24"/>
          <w:highlight w:val="none"/>
          <w:lang w:eastAsia="zh-CN"/>
        </w:rPr>
        <w:t>采购文件、响应文件</w:t>
      </w:r>
      <w:r>
        <w:rPr>
          <w:rFonts w:hint="eastAsia" w:ascii="宋体" w:hAnsi="宋体" w:eastAsia="宋体" w:cs="宋体"/>
          <w:b w:val="0"/>
          <w:bCs/>
          <w:color w:val="auto"/>
          <w:sz w:val="24"/>
          <w:szCs w:val="24"/>
          <w:highlight w:val="none"/>
        </w:rPr>
        <w:t>及合同约定进行初验。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rPr>
        <w:t>3.</w:t>
      </w:r>
      <w:r>
        <w:rPr>
          <w:rFonts w:hint="eastAsia" w:ascii="宋体" w:hAnsi="宋体" w:eastAsia="宋体" w:cs="宋体"/>
          <w:b w:val="0"/>
          <w:bCs/>
          <w:color w:val="auto"/>
          <w:sz w:val="24"/>
          <w:szCs w:val="24"/>
          <w:highlight w:val="none"/>
        </w:rPr>
        <w:t>所有项目学校初验合格后，由</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人向采购人提出终验申请，采购人拟定验收方案，组织由政府采购专家和学校代表组成的验收小组，按照</w:t>
      </w:r>
      <w:r>
        <w:rPr>
          <w:rFonts w:hint="eastAsia" w:ascii="宋体" w:hAnsi="宋体" w:eastAsia="宋体" w:cs="宋体"/>
          <w:b w:val="0"/>
          <w:bCs/>
          <w:color w:val="auto"/>
          <w:sz w:val="24"/>
          <w:szCs w:val="24"/>
          <w:highlight w:val="none"/>
          <w:lang w:eastAsia="zh-CN"/>
        </w:rPr>
        <w:t>采购文件、响应文件</w:t>
      </w:r>
      <w:r>
        <w:rPr>
          <w:rFonts w:hint="eastAsia" w:ascii="宋体" w:hAnsi="宋体" w:eastAsia="宋体" w:cs="宋体"/>
          <w:b w:val="0"/>
          <w:bCs/>
          <w:color w:val="auto"/>
          <w:sz w:val="24"/>
          <w:szCs w:val="24"/>
          <w:highlight w:val="none"/>
        </w:rPr>
        <w:t xml:space="preserve">及合同约定进行项目终验。终验合格后，经双方确认，形成验收合格报告。  </w:t>
      </w:r>
    </w:p>
    <w:p>
      <w:pPr>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四、其他要求</w:t>
      </w:r>
    </w:p>
    <w:p>
      <w:pPr>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lang w:val="en-US"/>
        </w:rPr>
      </w:pPr>
    </w:p>
    <w:p>
      <w:pPr>
        <w:pStyle w:val="3"/>
        <w:pageBreakBefore w:val="0"/>
        <w:numPr>
          <w:ilvl w:val="0"/>
          <w:numId w:val="3"/>
        </w:numPr>
        <w:tabs>
          <w:tab w:val="left" w:pos="709"/>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投标人按照</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采购</w:t>
      </w:r>
      <w:r>
        <w:rPr>
          <w:rFonts w:hint="eastAsia" w:ascii="宋体" w:hAnsi="宋体" w:eastAsia="宋体" w:cs="宋体"/>
          <w:b w:val="0"/>
          <w:bCs w:val="0"/>
          <w:color w:val="auto"/>
          <w:kern w:val="2"/>
          <w:sz w:val="24"/>
          <w:szCs w:val="24"/>
          <w:highlight w:val="none"/>
          <w:lang w:val="en-US" w:eastAsia="zh-CN" w:bidi="ar-SA"/>
        </w:rPr>
        <w:t>文件》和《响应文件》要求制定针对本项目的详细实施方案，经采购人书面确认后方可实施。</w:t>
      </w:r>
      <w:r>
        <w:rPr>
          <w:rFonts w:hint="eastAsia" w:ascii="宋体" w:hAnsi="宋体" w:eastAsia="宋体" w:cs="宋体"/>
          <w:b/>
          <w:bCs/>
          <w:color w:val="auto"/>
          <w:kern w:val="2"/>
          <w:sz w:val="24"/>
          <w:szCs w:val="24"/>
          <w:highlight w:val="none"/>
          <w:lang w:val="en-US" w:eastAsia="zh-CN" w:bidi="ar-SA"/>
        </w:rPr>
        <w:t>（提供承诺函，格式自拟）</w:t>
      </w:r>
    </w:p>
    <w:p>
      <w:pPr>
        <w:pageBreakBefore w:val="0"/>
        <w:numPr>
          <w:ilvl w:val="0"/>
          <w:numId w:val="4"/>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供应商具有承担本项目的实力和履约能力。</w:t>
      </w:r>
    </w:p>
    <w:p>
      <w:pPr>
        <w:pageBreakBefore w:val="0"/>
        <w:numPr>
          <w:ilvl w:val="0"/>
          <w:numId w:val="4"/>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color w:val="auto"/>
          <w:sz w:val="24"/>
          <w:szCs w:val="24"/>
          <w:highlight w:val="none"/>
          <w:lang w:val="en-US"/>
        </w:rPr>
      </w:pPr>
      <w:r>
        <w:rPr>
          <w:rFonts w:hint="eastAsia" w:ascii="宋体" w:hAnsi="宋体" w:eastAsia="宋体" w:cs="宋体"/>
          <w:b w:val="0"/>
          <w:color w:val="auto"/>
          <w:sz w:val="24"/>
          <w:szCs w:val="24"/>
          <w:highlight w:val="none"/>
          <w:lang w:val="en-US" w:eastAsia="zh-CN"/>
        </w:rPr>
        <w:t>供应商</w:t>
      </w:r>
      <w:r>
        <w:rPr>
          <w:rFonts w:hint="eastAsia" w:ascii="宋体" w:hAnsi="宋体" w:eastAsia="宋体" w:cs="宋体"/>
          <w:b w:val="0"/>
          <w:color w:val="auto"/>
          <w:sz w:val="24"/>
          <w:szCs w:val="24"/>
          <w:highlight w:val="none"/>
          <w:lang w:val="en-US"/>
        </w:rPr>
        <w:t>为本项目提供的项目核心团队成员应为</w:t>
      </w:r>
      <w:r>
        <w:rPr>
          <w:rFonts w:hint="eastAsia" w:ascii="宋体" w:hAnsi="宋体" w:eastAsia="宋体" w:cs="宋体"/>
          <w:b w:val="0"/>
          <w:color w:val="auto"/>
          <w:sz w:val="24"/>
          <w:szCs w:val="24"/>
          <w:highlight w:val="none"/>
          <w:lang w:val="en-US" w:eastAsia="zh-CN"/>
        </w:rPr>
        <w:t>供应商</w:t>
      </w:r>
      <w:r>
        <w:rPr>
          <w:rFonts w:hint="eastAsia" w:ascii="宋体" w:hAnsi="宋体" w:eastAsia="宋体" w:cs="宋体"/>
          <w:b w:val="0"/>
          <w:color w:val="auto"/>
          <w:sz w:val="24"/>
          <w:szCs w:val="24"/>
          <w:highlight w:val="none"/>
          <w:lang w:val="en-US"/>
        </w:rPr>
        <w:t>单位人员，提供项目核心团队成员名单，加盖</w:t>
      </w:r>
      <w:r>
        <w:rPr>
          <w:rFonts w:hint="eastAsia" w:ascii="宋体" w:hAnsi="宋体" w:eastAsia="宋体" w:cs="宋体"/>
          <w:b w:val="0"/>
          <w:color w:val="auto"/>
          <w:sz w:val="24"/>
          <w:szCs w:val="24"/>
          <w:highlight w:val="none"/>
          <w:lang w:val="en-US" w:eastAsia="zh-CN"/>
        </w:rPr>
        <w:t>供应商</w:t>
      </w:r>
      <w:r>
        <w:rPr>
          <w:rFonts w:hint="eastAsia" w:ascii="宋体" w:hAnsi="宋体" w:eastAsia="宋体" w:cs="宋体"/>
          <w:b w:val="0"/>
          <w:color w:val="auto"/>
          <w:sz w:val="24"/>
          <w:szCs w:val="24"/>
          <w:highlight w:val="none"/>
          <w:lang w:val="en-US"/>
        </w:rPr>
        <w:t>公章。</w:t>
      </w:r>
    </w:p>
    <w:p>
      <w:pPr>
        <w:pageBreakBefore w:val="0"/>
        <w:numPr>
          <w:ilvl w:val="0"/>
          <w:numId w:val="4"/>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color w:val="auto"/>
          <w:sz w:val="24"/>
          <w:szCs w:val="24"/>
          <w:highlight w:val="none"/>
          <w:lang w:val="en-US"/>
        </w:rPr>
      </w:pPr>
      <w:r>
        <w:rPr>
          <w:rFonts w:hint="eastAsia" w:ascii="宋体" w:hAnsi="宋体" w:cs="宋体"/>
          <w:b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供应商提供服务期间发生的一切安全事故由供应商自行承担，如因供应商服务人员在服务期内给采购人（包括服务学校）造成的安全责任事故，由供应商承担一切责任，采购人不承担任何责任。</w:t>
      </w:r>
      <w:r>
        <w:rPr>
          <w:rFonts w:hint="eastAsia" w:ascii="宋体" w:hAnsi="宋体" w:eastAsia="宋体" w:cs="宋体"/>
          <w:b w:val="0"/>
          <w:bCs w:val="0"/>
          <w:color w:val="auto"/>
          <w:sz w:val="24"/>
          <w:szCs w:val="24"/>
          <w:highlight w:val="none"/>
          <w:lang w:val="en-US"/>
        </w:rPr>
        <w:t>拟派工作人员有劳务派遣合同，所产生的劳务纠纷均由供应商自行承担。</w:t>
      </w:r>
      <w:r>
        <w:rPr>
          <w:rFonts w:hint="eastAsia" w:ascii="宋体" w:hAnsi="宋体" w:eastAsia="宋体" w:cs="宋体"/>
          <w:b/>
          <w:bCs/>
          <w:color w:val="auto"/>
          <w:sz w:val="24"/>
          <w:szCs w:val="24"/>
          <w:highlight w:val="none"/>
          <w:lang w:val="en-US"/>
        </w:rPr>
        <w:t>（提供承诺函，格式自拟）</w:t>
      </w:r>
    </w:p>
    <w:p>
      <w:pPr>
        <w:pageBreakBefore w:val="0"/>
        <w:numPr>
          <w:ilvl w:val="0"/>
          <w:numId w:val="4"/>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color w:val="auto"/>
          <w:sz w:val="24"/>
          <w:szCs w:val="24"/>
          <w:highlight w:val="none"/>
          <w:lang w:val="en-US"/>
        </w:rPr>
      </w:pPr>
      <w:r>
        <w:rPr>
          <w:rFonts w:hint="eastAsia" w:ascii="宋体" w:hAnsi="宋体" w:eastAsia="宋体" w:cs="宋体"/>
          <w:b w:val="0"/>
          <w:color w:val="auto"/>
          <w:sz w:val="24"/>
          <w:szCs w:val="24"/>
          <w:highlight w:val="none"/>
          <w:lang w:val="en-US"/>
        </w:rPr>
        <w:t>不可抗力：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w:t>
      </w:r>
    </w:p>
    <w:p>
      <w:pPr>
        <w:pageBreakBefore w:val="0"/>
        <w:numPr>
          <w:ilvl w:val="0"/>
          <w:numId w:val="4"/>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color w:val="auto"/>
          <w:sz w:val="24"/>
          <w:szCs w:val="24"/>
          <w:highlight w:val="none"/>
          <w:lang w:val="en-US"/>
        </w:rPr>
      </w:pPr>
      <w:r>
        <w:rPr>
          <w:rFonts w:hint="eastAsia" w:ascii="宋体" w:hAnsi="宋体" w:eastAsia="宋体" w:cs="宋体"/>
          <w:b w:val="0"/>
          <w:color w:val="auto"/>
          <w:sz w:val="24"/>
          <w:szCs w:val="24"/>
          <w:highlight w:val="none"/>
          <w:lang w:val="en-US"/>
        </w:rPr>
        <w:t>其他未尽事宜：以国家现行法律、法规，规范、标准以及双方签订的合同为准（如本项目采用相关法律、法规及规范、标准发生矛盾时，以最新法律法规及规范、标准执行）</w:t>
      </w:r>
      <w:r>
        <w:rPr>
          <w:rFonts w:hint="eastAsia" w:ascii="宋体" w:hAnsi="宋体" w:eastAsia="宋体" w:cs="宋体"/>
          <w:b w:val="0"/>
          <w:color w:val="auto"/>
          <w:sz w:val="24"/>
          <w:szCs w:val="24"/>
          <w:highlight w:val="none"/>
          <w:lang w:val="en-US" w:eastAsia="zh-CN"/>
        </w:rPr>
        <w:t>。</w:t>
      </w:r>
    </w:p>
    <w:p>
      <w:pPr>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color w:val="auto"/>
          <w:sz w:val="24"/>
          <w:szCs w:val="24"/>
          <w:highlight w:val="none"/>
        </w:rPr>
      </w:pPr>
    </w:p>
    <w:p>
      <w:pPr>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注：本章中上述打</w:t>
      </w:r>
      <w:r>
        <w:rPr>
          <w:rFonts w:hint="eastAsia" w:ascii="宋体" w:hAnsi="宋体" w:cs="宋体"/>
          <w:b w:val="0"/>
          <w:color w:val="auto"/>
          <w:sz w:val="24"/>
          <w:szCs w:val="24"/>
          <w:highlight w:val="none"/>
          <w:lang w:eastAsia="zh-CN"/>
        </w:rPr>
        <w:t>★</w:t>
      </w:r>
      <w:r>
        <w:rPr>
          <w:rFonts w:hint="eastAsia" w:ascii="宋体" w:hAnsi="宋体" w:eastAsia="宋体" w:cs="宋体"/>
          <w:b w:val="0"/>
          <w:color w:val="auto"/>
          <w:sz w:val="24"/>
          <w:szCs w:val="24"/>
          <w:highlight w:val="none"/>
        </w:rPr>
        <w:t>号的为本次招标项目的实质性要求，不允许有负偏离，否则作无效投标处理。</w:t>
      </w:r>
    </w:p>
    <w:p>
      <w:pPr>
        <w:pStyle w:val="3"/>
        <w:keepNext w:val="0"/>
        <w:keepLines w:val="0"/>
        <w:spacing w:before="0" w:after="0" w:line="240" w:lineRule="auto"/>
        <w:jc w:val="center"/>
        <w:rPr>
          <w:rFonts w:hint="eastAsia" w:ascii="宋体" w:hAnsi="宋体" w:eastAsia="宋体" w:cs="宋体"/>
          <w:sz w:val="36"/>
          <w:szCs w:val="36"/>
          <w:highlight w:val="none"/>
        </w:rPr>
      </w:pPr>
    </w:p>
    <w:p>
      <w:pPr>
        <w:rPr>
          <w:rFonts w:hint="eastAsia" w:ascii="宋体" w:hAnsi="宋体" w:eastAsia="宋体" w:cs="宋体"/>
          <w:sz w:val="36"/>
          <w:szCs w:val="36"/>
          <w:highlight w:val="none"/>
        </w:rPr>
      </w:pPr>
    </w:p>
    <w:p>
      <w:pPr>
        <w:pStyle w:val="38"/>
        <w:rPr>
          <w:rFonts w:hint="eastAsia" w:ascii="宋体" w:hAnsi="宋体" w:eastAsia="宋体" w:cs="宋体"/>
          <w:sz w:val="36"/>
          <w:szCs w:val="36"/>
          <w:highlight w:val="none"/>
        </w:rPr>
      </w:pPr>
    </w:p>
    <w:p>
      <w:pPr>
        <w:pStyle w:val="38"/>
        <w:rPr>
          <w:rFonts w:hint="eastAsia" w:ascii="宋体" w:hAnsi="宋体" w:eastAsia="宋体" w:cs="宋体"/>
          <w:sz w:val="36"/>
          <w:szCs w:val="36"/>
          <w:highlight w:val="none"/>
        </w:rPr>
      </w:pPr>
    </w:p>
    <w:p>
      <w:pPr>
        <w:pStyle w:val="38"/>
        <w:rPr>
          <w:rFonts w:hint="eastAsia" w:ascii="宋体" w:hAnsi="宋体" w:eastAsia="宋体" w:cs="宋体"/>
          <w:sz w:val="36"/>
          <w:szCs w:val="36"/>
          <w:highlight w:val="none"/>
        </w:rPr>
      </w:pPr>
    </w:p>
    <w:p>
      <w:pPr>
        <w:pStyle w:val="38"/>
        <w:rPr>
          <w:rFonts w:hint="eastAsia" w:ascii="宋体" w:hAnsi="宋体" w:eastAsia="宋体" w:cs="宋体"/>
          <w:sz w:val="36"/>
          <w:szCs w:val="36"/>
          <w:highlight w:val="none"/>
        </w:rPr>
      </w:pPr>
    </w:p>
    <w:p>
      <w:pPr>
        <w:pStyle w:val="38"/>
        <w:rPr>
          <w:rFonts w:hint="eastAsia" w:ascii="宋体" w:hAnsi="宋体" w:eastAsia="宋体" w:cs="宋体"/>
          <w:sz w:val="36"/>
          <w:szCs w:val="36"/>
          <w:highlight w:val="none"/>
        </w:rPr>
      </w:pPr>
    </w:p>
    <w:p>
      <w:pPr>
        <w:pStyle w:val="38"/>
        <w:rPr>
          <w:rFonts w:hint="eastAsia" w:ascii="宋体" w:hAnsi="宋体" w:eastAsia="宋体" w:cs="宋体"/>
          <w:sz w:val="36"/>
          <w:szCs w:val="36"/>
          <w:highlight w:val="none"/>
        </w:rPr>
      </w:pPr>
    </w:p>
    <w:p>
      <w:pPr>
        <w:pStyle w:val="38"/>
        <w:rPr>
          <w:rFonts w:hint="eastAsia" w:ascii="宋体" w:hAnsi="宋体" w:eastAsia="宋体" w:cs="宋体"/>
          <w:sz w:val="36"/>
          <w:szCs w:val="36"/>
          <w:highlight w:val="none"/>
        </w:rPr>
      </w:pPr>
    </w:p>
    <w:p>
      <w:pPr>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color w:val="auto"/>
          <w:sz w:val="28"/>
          <w:szCs w:val="28"/>
          <w:highlight w:val="none"/>
        </w:rPr>
        <w:t>人工智能及创新教育项目实施情况评价表</w:t>
      </w:r>
    </w:p>
    <w:p>
      <w:pPr>
        <w:spacing w:line="570" w:lineRule="exact"/>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学校（盖章）：                                  </w:t>
      </w:r>
      <w:r>
        <w:rPr>
          <w:rFonts w:hint="eastAsia" w:ascii="宋体" w:hAnsi="宋体" w:eastAsia="宋体" w:cs="宋体"/>
          <w:b w:val="0"/>
          <w:bCs/>
          <w:color w:val="auto"/>
          <w:sz w:val="24"/>
          <w:szCs w:val="24"/>
          <w:highlight w:val="none"/>
          <w:lang w:val="en-US"/>
        </w:rPr>
        <w:t xml:space="preserve">      </w:t>
      </w:r>
      <w:r>
        <w:rPr>
          <w:rFonts w:hint="eastAsia" w:ascii="宋体" w:hAnsi="宋体" w:eastAsia="宋体" w:cs="宋体"/>
          <w:b w:val="0"/>
          <w:bCs/>
          <w:color w:val="auto"/>
          <w:sz w:val="24"/>
          <w:szCs w:val="24"/>
          <w:highlight w:val="none"/>
        </w:rPr>
        <w:t>年  月  日</w:t>
      </w:r>
    </w:p>
    <w:tbl>
      <w:tblPr>
        <w:tblStyle w:val="28"/>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6308"/>
        <w:gridCol w:w="79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评价主体</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评价项目</w:t>
            </w:r>
          </w:p>
        </w:tc>
        <w:tc>
          <w:tcPr>
            <w:tcW w:w="63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评价内容</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分值</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跟岗教师72%</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理念体现8%</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1.重视实践能力、创新思维和信息素养的培养</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2.注重德育渗透和情感熏陶</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目标内容18%</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3.教学活动目标适合学生特点与课程特点，目标明确、具体、切实可行，符合该年龄段学生的认知水平和教育教学规律。</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4.课程结构科学，内容由易到难、循序渐进、体系完整，突出课程培养目标的三维一体</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5.内容开放、容量恰当，注重与实际生活相结合，活动探究性强、可操作性强、可玩性强</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指导过程</w:t>
            </w:r>
          </w:p>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36%</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6.设备操作规范，动手环节注重安全教育</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7.结构合理，多法结合，灵活运用，注重讲授和动手实践结合，避免灌输式知识讲授</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8.学生动手活动设计注重方法和创新、有针对性，课堂灵活、生动，避免单一化模仿操作</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9.面向全体，反馈及时，矫正迅速，注重发挥学生主体性</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10.善于设趣导疑，注重学法指导，情知交融，注重激发学生兴趣和培养思维能力</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11.教师的备课及教学材料的准备要充分，各环节连接自然流畅</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实际效果10%</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12.学生全体参与，积极性高，气氛活跃，主动投入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13.全体学生都有收获，能灵活运用方法解决新问题</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14.学生善于思考，勇于质疑，见解有一定新意</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学生10%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人数变化5%</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15.学期末班级人数/学期初人数=比值。</w:t>
            </w:r>
          </w:p>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得分=比值*5，最高为5分。</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学生评价5%</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16.期末根据对该课程的感兴趣程度（很感兴趣、兴趣一般、不感兴趣）的学生人数统计进行评分。</w:t>
            </w:r>
          </w:p>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得分=5*（很感兴趣人数*5+兴趣一般人数*3+不感兴趣人数*1）/（总人数*5）</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学校18%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综合意见8%</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17.学校根据供应商的产品维保售后服务、课程实施质量和效果、及时采纳学校提出的意见等方面进行综合评分。</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1276"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教师素质10%</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18.形象得体，教态自然大方、语言规范，应变力强</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1276"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19.合理使用教具、电教媒体，板书合理美观</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合计</w:t>
            </w:r>
          </w:p>
        </w:tc>
        <w:tc>
          <w:tcPr>
            <w:tcW w:w="6308"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评分≥90 分为A等级，80≤评分＜90分为B级，70≤评分＜80分为C级。评分低于70分为D等级。      </w:t>
            </w:r>
          </w:p>
          <w:p>
            <w:pPr>
              <w:spacing w:line="240" w:lineRule="auto"/>
              <w:ind w:firstLine="0" w:firstLineChars="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总得分评定等级为：</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等级。</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100</w:t>
            </w: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val="0"/>
                <w:bCs/>
                <w:color w:val="auto"/>
                <w:sz w:val="24"/>
                <w:szCs w:val="24"/>
                <w:highlight w:val="none"/>
              </w:rPr>
            </w:pPr>
          </w:p>
        </w:tc>
      </w:tr>
    </w:tbl>
    <w:p>
      <w:pPr>
        <w:ind w:firstLine="0" w:firstLineChars="0"/>
        <w:rPr>
          <w:rFonts w:hint="eastAsia" w:ascii="宋体" w:hAnsi="宋体" w:eastAsia="宋体" w:cs="宋体"/>
          <w:color w:val="auto"/>
          <w:sz w:val="28"/>
          <w:szCs w:val="28"/>
          <w:highlight w:val="none"/>
        </w:rPr>
      </w:pPr>
    </w:p>
    <w:p>
      <w:pPr>
        <w:ind w:firstLine="482"/>
        <w:rPr>
          <w:rFonts w:hint="eastAsia" w:ascii="宋体" w:hAnsi="宋体" w:eastAsia="宋体" w:cs="宋体"/>
          <w:bCs/>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包3：智慧教育种子教师培训、人工智能种子教师培训及区域虚拟实验教学成果编制</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lang w:eastAsia="zh-CN"/>
        </w:rPr>
        <w:t>（一）</w:t>
      </w:r>
      <w:r>
        <w:rPr>
          <w:rFonts w:hint="eastAsia" w:ascii="宋体" w:hAnsi="宋体" w:eastAsia="宋体" w:cs="宋体"/>
          <w:color w:val="auto"/>
          <w:sz w:val="22"/>
          <w:szCs w:val="28"/>
          <w:highlight w:val="none"/>
        </w:rPr>
        <w:t>智慧教育种子教师培训</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1、项目概况</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为全面提升教师融合信息技术的教学创新能力，进一步推动成都市金牛区基础教育教学工作的深入开展，采购人拟通过本次采购对本区学校智慧教育种子教师实施专项培训。</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2、技术、服务要求</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（1）培训对象</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金牛区中小学各学段与学科智慧教育种子教师共50人。</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（2）培训目标</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更新种子教师融合信息技术开展新型教学模式的理念、理解并掌握融合信息技术的新型教学方法，全面推进其信息技术与教育教学的融合创新能力</w:t>
      </w:r>
      <w:bookmarkStart w:id="163" w:name="bookmark8"/>
      <w:bookmarkEnd w:id="163"/>
      <w:r>
        <w:rPr>
          <w:rFonts w:hint="eastAsia" w:ascii="宋体" w:hAnsi="宋体" w:eastAsia="宋体" w:cs="宋体"/>
          <w:b w:val="0"/>
          <w:color w:val="auto"/>
          <w:sz w:val="24"/>
          <w:highlight w:val="none"/>
        </w:rPr>
        <w:t>；提升种子教师的融合信息技术的创新教学设计能力，能够设计并实施以学生为中心、强互动及以有效教学数据为依据的PBL、TBL、RIS等新型教学模式开展常态化教学。</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（3）培训内容（包括但不限于以下方面）</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①融合信息技术的新型教学模式理念。</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②智慧课堂教学模式创新与有效教学。</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③优质课例分享。</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④项目化学习的设计与实施。</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⑤融合信息技术的教学创新设计解析。</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（4）培训安排</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①培训方式</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采用线下与线上相结合的培训方式，共计50学时（在第二阶段开展20学时线上研修，线下30学时的研修则合理分开安排在培训的四个阶段中）。</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第一阶段</w:t>
      </w:r>
      <w:r>
        <w:rPr>
          <w:rFonts w:hint="eastAsia" w:ascii="宋体" w:hAnsi="宋体" w:eastAsia="宋体" w:cs="宋体"/>
          <w:b w:val="0"/>
          <w:color w:val="auto"/>
          <w:sz w:val="24"/>
          <w:highlight w:val="none"/>
        </w:rPr>
        <w:t>：全员集中培训（2天）</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第二阶段</w:t>
      </w:r>
      <w:r>
        <w:rPr>
          <w:rFonts w:hint="eastAsia" w:ascii="宋体" w:hAnsi="宋体" w:eastAsia="宋体" w:cs="宋体"/>
          <w:b w:val="0"/>
          <w:color w:val="auto"/>
          <w:sz w:val="24"/>
          <w:highlight w:val="none"/>
        </w:rPr>
        <w:t>：研课磨课，线上研修。</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b w:val="0"/>
          <w:color w:val="auto"/>
          <w:sz w:val="24"/>
          <w:highlight w:val="none"/>
        </w:rPr>
        <w:t>参培种子教师主要将集中培训所学与本校信息化教学实际结合，釆取“线上线下一体化”混合研修方式，种子教师在网络研修平台自学完成20个学时的线上研修，并在培训专家顾问指导下，至少完成一个自己所教学科的智慧课堂教学设计，并完成一节优质智慧课堂教学课例。</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第三阶段：跟岗学习，创新实践（2天）。</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安排参培种子教师到智慧教育先进示范校进行跟岗学习，开展信息技术与教学深度融合的实践应用， 将研课磨课与网络学习阶段掌握的教学设计方法与教学实践经验迁移应用于常态化智慧课堂与智慧教研情境中，解决教师信息技术与教学深度融合应用问题。</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第四阶段：优秀成果展示及总结（1天）。</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参培教师在本阶段进行融合信息技术的创新课堂教学课例展示，并完成培训阶段安排的所有学习任务，固化培训成果，至少提交一套成果（具体包括: 教学设计课例、培训总结、信息技术与教学融合创新实践课例等）。</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②培训形式</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通过专题报告、体验式工作坊、主题考察、案例评析、交流分享、小组合作等多种方式相结合。聚焦培训主题，组织开展有针对性的观摩、指导和交流，将学习体验与自身实践结合，内化并更好地指导自己的实践。</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（5）培训管理要求</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①项目管理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b w:val="0"/>
          <w:color w:val="auto"/>
          <w:sz w:val="24"/>
          <w:highlight w:val="none"/>
        </w:rPr>
        <w:t>Ⅰ 项目管理团队需具备相关项目培训管理经验。有项目负责人 1 人（项目管理人员）、项目首席专</w:t>
      </w:r>
      <w:r>
        <w:rPr>
          <w:rFonts w:hint="eastAsia" w:ascii="宋体" w:hAnsi="宋体" w:eastAsia="宋体" w:cs="宋体"/>
          <w:b w:val="0"/>
          <w:color w:val="auto"/>
          <w:sz w:val="24"/>
          <w:highlight w:val="none"/>
        </w:rPr>
        <w:t>家 1 人</w:t>
      </w:r>
      <w:r>
        <w:rPr>
          <w:rFonts w:hint="eastAsia" w:ascii="宋体" w:hAnsi="宋体" w:eastAsia="宋体" w:cs="宋体"/>
          <w:b/>
          <w:bCs/>
          <w:color w:val="auto"/>
          <w:sz w:val="24"/>
          <w:highlight w:val="none"/>
        </w:rPr>
        <w:t>（具有相应的职称</w:t>
      </w:r>
      <w:r>
        <w:rPr>
          <w:rFonts w:hint="eastAsia" w:ascii="宋体" w:hAnsi="宋体" w:eastAsia="宋体" w:cs="宋体"/>
          <w:b w:val="0"/>
          <w:color w:val="auto"/>
          <w:sz w:val="24"/>
          <w:highlight w:val="none"/>
        </w:rPr>
        <w:t>）</w:t>
      </w:r>
      <w:r>
        <w:rPr>
          <w:rFonts w:hint="eastAsia" w:ascii="宋体" w:hAnsi="宋体" w:eastAsia="宋体" w:cs="宋体"/>
          <w:b w:val="0"/>
          <w:color w:val="auto"/>
          <w:sz w:val="24"/>
          <w:highlight w:val="none"/>
        </w:rPr>
        <w:t>。</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具有科学完善的项目管理制度。</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Ⅲ 制定学员培训手册（指南）及学员安全须知。</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②教学管理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按照采购人要求，根据培训目标，结合成人在职学习的特点，制定具体的实施方案。</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对参训学员进行培训需求问卷调查，并根据调查实际调整实施方案。如有调整，须经采购人同意后方可，且教学方案的调整比例不超过 20%。</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③班级管理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有班主任，每班至少1人。</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建立班委会，开展班级活动，注重师德师风和班级文化建设。</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④学员管理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制定学员管理办法，尤其是考勤管理，学员请假经过送培单位同意。</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制定学员考核办法，学员培训结束，培训机构发给培训证书。学员缺勤达30%及以上，不予发放培训证书。</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Ⅲ 制定推荐和表彰优秀学员的方案。</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⑤其他</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供应商负责安排专家及授课教师的食宿，并承担相应的费用。</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⑥成果固化要求</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培训结束后一个月内向金牛区教育科学研究院提交培训资料（包括但不限于以下资料）：</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汇编成册的培训资料（一式两套）：包括项目管理制度、实施方案、培训手册、教学方案、班级活动计划、学员管理办法、学员考核办法、学员花名册、学员考勤记录表、集体照片、课程安排表、授课教师讲义、培训项目总结等；</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汇编成册的培训成果（一式两套）：包括培训专题片、各教学班培训简报、学员代表性研修成果等、学员培训体会与反思等。</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Ⅲ 资料刻盘（一式两套）：以上汇编资料及授课教师的课件、培训过程形成的视频图像资料须刻成光盘。</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Ⅳ 培训绩效评估自评报告。</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（二）</w:t>
      </w:r>
      <w:r>
        <w:rPr>
          <w:rFonts w:hint="eastAsia" w:ascii="宋体" w:hAnsi="宋体" w:eastAsia="宋体" w:cs="宋体"/>
          <w:color w:val="auto"/>
          <w:highlight w:val="none"/>
        </w:rPr>
        <w:t>人工智能教育种子教师培训</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1、项目概况</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国务院印发的《新一代人工智能发展规划》中，明确指出在中小学阶段设置人工智能相关课程，逐步推广编程教育，建设人工智能学科，培养复合型人才。针对教师进行人工智能领域能力的培养与提升，能够提高教师的专业课程水平，并会快速解决课程与教师能力不匹配这一现状，在源头上提供有效的课程保障。</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2、技术、服务要求</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（1）培训对象</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金牛区信息技术教研员、各个学校信息技术、人工智能骨干教师共50人。</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（2）培训目标</w:t>
      </w:r>
    </w:p>
    <w:p>
      <w:pPr>
        <w:pStyle w:val="82"/>
        <w:keepNext w:val="0"/>
        <w:keepLines w:val="0"/>
        <w:pageBreakBefore w:val="0"/>
        <w:kinsoku/>
        <w:wordWrap/>
        <w:overflowPunct/>
        <w:topLinePunct w:val="0"/>
        <w:bidi w:val="0"/>
        <w:snapToGrid/>
        <w:spacing w:line="360" w:lineRule="auto"/>
        <w:ind w:firstLine="643"/>
        <w:jc w:val="both"/>
        <w:textAlignment w:val="auto"/>
        <w:rPr>
          <w:rFonts w:hint="eastAsia" w:ascii="宋体" w:hAnsi="宋体" w:eastAsia="宋体" w:cs="宋体"/>
          <w:kern w:val="0"/>
          <w:sz w:val="24"/>
          <w:szCs w:val="32"/>
          <w:highlight w:val="none"/>
          <w:lang w:val="zh-CN" w:eastAsia="zh-CN" w:bidi="ar-SA"/>
        </w:rPr>
      </w:pPr>
      <w:r>
        <w:rPr>
          <w:rFonts w:hint="eastAsia" w:ascii="宋体" w:hAnsi="宋体" w:eastAsia="宋体" w:cs="宋体"/>
          <w:kern w:val="0"/>
          <w:sz w:val="24"/>
          <w:szCs w:val="32"/>
          <w:highlight w:val="none"/>
          <w:lang w:val="zh-CN" w:eastAsia="zh-CN" w:bidi="ar-SA"/>
        </w:rPr>
        <w:t>在国家背景支持下通过展开K12人工智能领域的骨干教师培训，论证人工智能学科建设的必要性，提高成都市金牛区的人工智能领域技术水平，帮助学生培养形成紧跟前沿发展的人工智能思维和理念，为优秀人才的脱颖而出创造条件。</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（3）培训内容（包括但不限于以下方面）</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①Python编程</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②计算机视觉技术、机器学习算法。</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③自然语言处理。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（4）培训方式</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本次培训采用线下与线上相结合的培训方式，共计50学时。其中24学时线下研修主要包括专家讲座、跟岗学习、分段理论实操培训、AI案例学习（计算机视觉）、优秀学校参观交流等；26学时线上研修主要提供在线学习资源包，参训种子教师根据自身情况和需求进行人工智能课程学习。线上学习资源需为参训教师提供人工智能网络研修平台，满足教师在线学习、在线视频观看、教学资源下载和在线答疑服务等功能。线上平台提供对应的学习账号（使用期限三年），总课时26课时。主要内容包括：人工智能基础、Python编程零基础入门、数据可视化、机器学习入门、深度学习入门、特征工程等。针对个别参训教师遇到的个性化问题，通过电话培训、现场指导等多种形式进行个性化指导。</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（5）培训管理要求</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①项目管理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b w:val="0"/>
          <w:color w:val="auto"/>
          <w:sz w:val="24"/>
          <w:highlight w:val="none"/>
        </w:rPr>
        <w:t>Ⅰ 项目管理团队需具备相关项目培训管理经验。有项目负责人 1 人（项目管理人员）、项目首席专家 1 人（具有相应的职称）。</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具有科学完善的项目管理制度。</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Ⅲ 制定学员培训手册（指南）及学员安全须知。</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②教学管理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按照采购人要求，根据培训目标，结合成人在职学习的特点，制定具体的实施方案。</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对参训学员进行培训需求问卷调查，并根据调查实际调整实施方案。如有调整，须经采购人同意后方可，且教学方案的调整比例不超过 20%。</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③班级管理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有班主任，每班至少1人。</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建立班委会，开展班级活动，注重师德师风和班级文化建设。</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④学员管理</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制定学员管理办法，尤其是考勤管理，学员请假经过送培单位同意。</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制定学员考核办法，学员培训结束，培训机构发给培训证书。学员缺勤达30%及以上，不予发放培训证书。</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Ⅲ 制定推荐和表彰优秀学员的方案。</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⑤其他要求</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供应商负责安排专家及授课教师的食宿，并承担相应的费用。</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⑥成果固化要求</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培训结束后一个月内向金牛区教育科学研究院提交培训资料（包括但不限于以下资料）：</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Ⅰ 汇编成册的培训资料（一式两套）：包括项目管理制度、实施方案、培训手册、教学方案、班级活动计划、学员管理办法、学员考核办法、学员花名册、学员考勤记录表、集体照片、课程安排表、授课教师讲义、培训项目总结等；</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Ⅱ 汇编成册的培训成果（一式两套）：包括培训专题片、各教学班培训简报、学员代表性研修成果等、学员培训体会与反思等。</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Ⅲ 资料刻盘（一式两套）：以上汇编资料及授课教师的课件、培训过程形成的视频图像资料须刻成光盘。</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Ⅳ 培训绩效评估自评报告。</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虚拟实验教学成果编制</w:t>
      </w:r>
    </w:p>
    <w:p>
      <w:pPr>
        <w:keepNext w:val="0"/>
        <w:keepLines w:val="0"/>
        <w:pageBreakBefore w:val="0"/>
        <w:kinsoku/>
        <w:wordWrap/>
        <w:overflowPunct/>
        <w:topLinePunct w:val="0"/>
        <w:bidi w:val="0"/>
        <w:snapToGrid/>
        <w:spacing w:line="360" w:lineRule="auto"/>
        <w:ind w:firstLine="56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1、项目概况</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都市金牛区教育局及直属的十所中小学2020年被中央电化教育馆遴选为“虚拟实验教学实验区（校）”，2021年在教育部科技司组织的信息化教学应用实践共同体项目申报中，金牛区教育局申报的“金牛区虚拟实验教学共同体”成功获批。我区十所实验校在科技司及中央电化教育馆的指导下开展了虚拟实验教学应用，积累了一些经验，取得了一定的成果。</w:t>
      </w:r>
    </w:p>
    <w:p>
      <w:pPr>
        <w:keepNext w:val="0"/>
        <w:keepLines w:val="0"/>
        <w:pageBreakBefore w:val="0"/>
        <w:kinsoku/>
        <w:wordWrap/>
        <w:overflowPunct/>
        <w:topLinePunct w:val="0"/>
        <w:bidi w:val="0"/>
        <w:snapToGrid/>
        <w:spacing w:line="360" w:lineRule="auto"/>
        <w:ind w:firstLine="56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2、技术、服务要求</w:t>
      </w:r>
    </w:p>
    <w:p>
      <w:pPr>
        <w:keepNext w:val="0"/>
        <w:keepLines w:val="0"/>
        <w:pageBreakBefore w:val="0"/>
        <w:kinsoku/>
        <w:wordWrap/>
        <w:overflowPunct/>
        <w:topLinePunct w:val="0"/>
        <w:bidi w:val="0"/>
        <w:snapToGrid/>
        <w:spacing w:line="360" w:lineRule="auto"/>
        <w:ind w:firstLine="56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（1）指导我区中小学虚拟实验教学工作的开展。</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w:t>
      </w:r>
      <w:r>
        <w:rPr>
          <w:rFonts w:hint="eastAsia" w:ascii="宋体" w:hAnsi="宋体" w:eastAsia="宋体" w:cs="宋体"/>
          <w:color w:val="auto"/>
          <w:sz w:val="24"/>
          <w:szCs w:val="24"/>
          <w:highlight w:val="none"/>
        </w:rPr>
        <w:t>（2）梳理并编制我区虚拟实验教学开展以来取得的成果性资料（包括但不限于以下成果）</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Ⅰ 金牛区虚拟实验教学应用指南。</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Ⅱ 金牛区虚拟实验教学共同体项目研究报告。</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Ⅲ 金牛区虚拟实验教学共同体项目工作报告。</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Ⅳ 形成虚拟实验教学典型案例集（不少于10个典型案例）。</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Ⅴ 在国家教育资源公共服务平台上建设并维护金牛区虚拟实验教学共同体社区。</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Ⅶ 金牛区虚拟实验教学共同体机制探索报告（包含组织机制、工作机制、推广机制、资源共建共享机制、交流互助机制等方面）。</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以上成果性资料均包含纸质材料和电子文档各一份。</w:t>
      </w:r>
    </w:p>
    <w:p>
      <w:pPr>
        <w:keepNext w:val="0"/>
        <w:keepLines w:val="0"/>
        <w:pageBreakBefore w:val="0"/>
        <w:kinsoku/>
        <w:wordWrap/>
        <w:overflowPunct/>
        <w:topLinePunct w:val="0"/>
        <w:bidi w:val="0"/>
        <w:snapToGrid/>
        <w:spacing w:line="360" w:lineRule="auto"/>
        <w:ind w:firstLine="0" w:firstLineChars="0"/>
        <w:textAlignment w:val="auto"/>
        <w:rPr>
          <w:rFonts w:hint="eastAsia" w:ascii="宋体" w:hAnsi="宋体" w:eastAsia="宋体" w:cs="宋体"/>
          <w:b w:val="0"/>
          <w:bCs/>
          <w:color w:val="auto"/>
          <w:sz w:val="22"/>
          <w:szCs w:val="22"/>
          <w:highlight w:val="none"/>
        </w:rPr>
      </w:pPr>
      <w:r>
        <w:rPr>
          <w:rFonts w:hint="eastAsia" w:ascii="宋体" w:hAnsi="宋体" w:cs="宋体"/>
          <w:b w:val="0"/>
          <w:bCs/>
          <w:color w:val="auto"/>
          <w:sz w:val="22"/>
          <w:szCs w:val="22"/>
          <w:highlight w:val="none"/>
          <w:lang w:eastAsia="zh-CN"/>
        </w:rPr>
        <w:t>★</w:t>
      </w:r>
      <w:r>
        <w:rPr>
          <w:rFonts w:hint="eastAsia" w:ascii="宋体" w:hAnsi="宋体" w:eastAsia="宋体" w:cs="宋体"/>
          <w:color w:val="auto"/>
          <w:sz w:val="24"/>
          <w:szCs w:val="24"/>
          <w:highlight w:val="none"/>
        </w:rPr>
        <w:t>（3）编制的成果性资料的相关所有权属均完全属于采购人，未经采购人许可不得将相关资料提供给第三方使用</w:t>
      </w:r>
      <w:r>
        <w:rPr>
          <w:rFonts w:hint="eastAsia" w:ascii="宋体" w:hAnsi="宋体" w:eastAsia="宋体" w:cs="宋体"/>
          <w:b/>
          <w:bCs/>
          <w:color w:val="auto"/>
          <w:sz w:val="24"/>
          <w:szCs w:val="24"/>
          <w:highlight w:val="none"/>
        </w:rPr>
        <w:t>（提供承诺函，格式自拟）</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snapToGrid/>
        <w:spacing w:line="360" w:lineRule="auto"/>
        <w:ind w:firstLine="56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商务要求</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时间要求：智慧教育、人工智能教育种子教师培训开班日期不迟于 2021 年 10 月，结束时间不迟于2021年12月；虚拟实验教学成果编制结束时间不迟于2021年11月。（具体以合同约定为准）</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地点要求：为方便采购人组织和管理，智慧教育、人工智能教育种子教师线下培训地点需在成都市主城区（5+2区域）。</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资源要求：</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（1）场地要求：有自有或租用的能满足60人开展讲座交流和体验式工作坊的会场。</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（2）参观学习基地学校：智慧教育和人工智能教育种子教师跟岗学习和参观学习的基地学校应是在相关领域成绩突出的学校。</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（3）师资资源 ：国内相关领域知名专家教授，授课专家人数不少于6 人。</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验收时间及方式：以本项目《</w:t>
      </w:r>
      <w:r>
        <w:rPr>
          <w:rFonts w:hint="eastAsia" w:ascii="宋体" w:hAnsi="宋体" w:eastAsia="宋体" w:cs="宋体"/>
          <w:b w:val="0"/>
          <w:bCs/>
          <w:color w:val="auto"/>
          <w:sz w:val="24"/>
          <w:szCs w:val="24"/>
          <w:highlight w:val="none"/>
          <w:lang w:eastAsia="zh-CN"/>
        </w:rPr>
        <w:t>采购文件</w:t>
      </w:r>
      <w:r>
        <w:rPr>
          <w:rFonts w:hint="eastAsia" w:ascii="宋体" w:hAnsi="宋体" w:eastAsia="宋体" w:cs="宋体"/>
          <w:b w:val="0"/>
          <w:bCs/>
          <w:color w:val="auto"/>
          <w:sz w:val="24"/>
          <w:szCs w:val="24"/>
          <w:highlight w:val="none"/>
        </w:rPr>
        <w:t>》、供应商《</w:t>
      </w:r>
      <w:r>
        <w:rPr>
          <w:rFonts w:hint="eastAsia" w:ascii="宋体" w:hAnsi="宋体" w:eastAsia="宋体" w:cs="宋体"/>
          <w:b w:val="0"/>
          <w:bCs/>
          <w:color w:val="auto"/>
          <w:sz w:val="24"/>
          <w:szCs w:val="24"/>
          <w:highlight w:val="none"/>
          <w:lang w:eastAsia="zh-CN"/>
        </w:rPr>
        <w:t>响应文件</w:t>
      </w:r>
      <w:r>
        <w:rPr>
          <w:rFonts w:hint="eastAsia" w:ascii="宋体" w:hAnsi="宋体" w:eastAsia="宋体" w:cs="宋体"/>
          <w:b w:val="0"/>
          <w:bCs/>
          <w:color w:val="auto"/>
          <w:sz w:val="24"/>
          <w:szCs w:val="24"/>
          <w:highlight w:val="none"/>
        </w:rPr>
        <w:t>》、合同具体约定作为验收标准，按照《财政部关于进一步加强政府采购需求和履约验收管理的指导意见》（财库〔2016〕205号）标准进行验收。</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付款方式：</w:t>
      </w:r>
    </w:p>
    <w:p>
      <w:pPr>
        <w:keepNext w:val="0"/>
        <w:keepLines w:val="0"/>
        <w:pageBreakBefore w:val="0"/>
        <w:widowControl/>
        <w:kinsoku/>
        <w:wordWrap/>
        <w:overflowPunct/>
        <w:topLinePunct w:val="0"/>
        <w:bidi w:val="0"/>
        <w:snapToGrid/>
        <w:spacing w:line="360" w:lineRule="auto"/>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（1）合同签订前，</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人向采购人提交详细的智慧教育种子教师培训方案和人工智能教育种子教师培训方案，经采购人确认同意后方可实施。</w:t>
      </w:r>
    </w:p>
    <w:p>
      <w:pPr>
        <w:keepNext w:val="0"/>
        <w:keepLines w:val="0"/>
        <w:pageBreakBefore w:val="0"/>
        <w:widowControl/>
        <w:kinsoku/>
        <w:wordWrap/>
        <w:overflowPunct/>
        <w:topLinePunct w:val="0"/>
        <w:bidi w:val="0"/>
        <w:snapToGrid/>
        <w:spacing w:line="360" w:lineRule="auto"/>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（2）合同签订后，采购人在收到</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提供的符合采购人财务要求的正规发票30个日历日内向</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人支付合同金额的50%预付款。</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（3）尾款支付根据</w:t>
      </w: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服务水平决定，</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人在完成整个项目的教师培训及成果编制服务后，由参培教师（不少于参培人数的60%）填写培训服务满意度调查表（见附件），按照100分总分对项目进行评分（总分/打分人数），评分≥90分为A级，80≤评分＜90分为B级，70≤评分＜80分为C级。评分低于70分为D等级。（评分标准详见附件）</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A等级：验收合格后支付至合同总额的100%。</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B等级：验收合格后支付至合同总额的90%，其余不再支付。</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C等级：验收合格后支付至合同总额的80%，其余不再支付。</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D等级：验收合格后支付至合同总额的70%，其余不再支付。</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成交人</w:t>
      </w:r>
      <w:r>
        <w:rPr>
          <w:rFonts w:hint="eastAsia" w:ascii="宋体" w:hAnsi="宋体" w:eastAsia="宋体" w:cs="宋体"/>
          <w:b w:val="0"/>
          <w:bCs/>
          <w:color w:val="auto"/>
          <w:sz w:val="24"/>
          <w:szCs w:val="24"/>
          <w:highlight w:val="none"/>
        </w:rPr>
        <w:t>申请结算时按照实际金额开具发票，采购人在收到中标人提供的符合采购人财务要求的正规发票30个日历日内向中标人支付剩余款项。</w:t>
      </w:r>
    </w:p>
    <w:p>
      <w:pPr>
        <w:keepNext w:val="0"/>
        <w:keepLines w:val="0"/>
        <w:pageBreakBefore w:val="0"/>
        <w:kinsoku/>
        <w:wordWrap/>
        <w:overflowPunct/>
        <w:topLinePunct w:val="0"/>
        <w:bidi w:val="0"/>
        <w:adjustRightInd w:val="0"/>
        <w:snapToGrid/>
        <w:spacing w:line="360" w:lineRule="auto"/>
        <w:ind w:firstLine="540" w:firstLineChars="225"/>
        <w:textAlignment w:val="auto"/>
        <w:rPr>
          <w:rFonts w:hint="eastAsia" w:ascii="宋体" w:hAnsi="宋体" w:eastAsia="宋体" w:cs="宋体"/>
          <w:sz w:val="24"/>
          <w:highlight w:val="none"/>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违约责任：采购人延迟支付</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人款项的应当按应付未付款项万分之五/日支付逾期违约金。</w:t>
      </w:r>
      <w:r>
        <w:rPr>
          <w:rFonts w:hint="eastAsia" w:ascii="宋体" w:hAnsi="宋体" w:eastAsia="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rPr>
        <w:t>人违约的按每天合同金额的千分之三支付给采购人违约金。</w:t>
      </w:r>
      <w:r>
        <w:rPr>
          <w:rFonts w:hint="eastAsia" w:ascii="宋体" w:hAnsi="宋体" w:eastAsia="宋体" w:cs="宋体"/>
          <w:sz w:val="24"/>
          <w:highlight w:val="none"/>
        </w:rPr>
        <w:t xml:space="preserve"> </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其他要求</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 xml:space="preserve"> </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应承诺为本项目提供的所有服务符合现行国家相关标准、行业标准、地方标准或者其他标准、规范</w:t>
      </w:r>
      <w:r>
        <w:rPr>
          <w:rFonts w:hint="eastAsia" w:ascii="宋体" w:hAnsi="宋体" w:eastAsia="宋体" w:cs="宋体"/>
          <w:b/>
          <w:bCs w:val="0"/>
          <w:color w:val="auto"/>
          <w:sz w:val="24"/>
          <w:szCs w:val="24"/>
          <w:highlight w:val="none"/>
        </w:rPr>
        <w:t>（提供承诺函，格式自拟）</w:t>
      </w:r>
      <w:r>
        <w:rPr>
          <w:rFonts w:hint="eastAsia" w:ascii="宋体" w:hAnsi="宋体" w:eastAsia="宋体" w:cs="宋体"/>
          <w:b w:val="0"/>
          <w:bCs/>
          <w:color w:val="auto"/>
          <w:sz w:val="24"/>
          <w:szCs w:val="24"/>
          <w:highlight w:val="none"/>
        </w:rPr>
        <w:t>。</w:t>
      </w: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p>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sectPr>
          <w:pgSz w:w="11906" w:h="16838"/>
          <w:pgMar w:top="1440" w:right="1080" w:bottom="1440" w:left="1080" w:header="851" w:footer="992" w:gutter="0"/>
          <w:pgNumType w:fmt="numberInDash"/>
          <w:cols w:space="720" w:num="1"/>
          <w:docGrid w:type="lines" w:linePitch="312" w:charSpace="0"/>
        </w:sectPr>
      </w:pPr>
      <w:r>
        <w:rPr>
          <w:rFonts w:hint="eastAsia" w:ascii="宋体" w:hAnsi="宋体" w:eastAsia="宋体" w:cs="宋体"/>
          <w:b w:val="0"/>
          <w:bCs/>
          <w:color w:val="auto"/>
          <w:sz w:val="24"/>
          <w:szCs w:val="24"/>
          <w:highlight w:val="none"/>
        </w:rPr>
        <w:t>注：以上打</w:t>
      </w: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号的为本采购包的实质性要求，不允许有负偏离,否则作无效投标处理。</w:t>
      </w:r>
    </w:p>
    <w:p>
      <w:pPr>
        <w:rPr>
          <w:rFonts w:hint="eastAsia"/>
          <w:highlight w:val="none"/>
        </w:rPr>
      </w:pPr>
    </w:p>
    <w:p>
      <w:pPr>
        <w:ind w:firstLine="0" w:firstLineChars="0"/>
        <w:jc w:val="center"/>
        <w:rPr>
          <w:b w:val="0"/>
          <w:color w:val="auto"/>
          <w:sz w:val="28"/>
          <w:szCs w:val="28"/>
          <w:highlight w:val="none"/>
          <w:lang w:val="en-US"/>
        </w:rPr>
      </w:pPr>
      <w:r>
        <w:rPr>
          <w:rFonts w:hint="eastAsia"/>
          <w:b w:val="0"/>
          <w:color w:val="auto"/>
          <w:sz w:val="28"/>
          <w:szCs w:val="28"/>
          <w:highlight w:val="none"/>
          <w:lang w:val="en-US"/>
        </w:rPr>
        <w:t>培训服务满意度调查表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5"/>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59"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序号</w:t>
            </w:r>
          </w:p>
        </w:tc>
        <w:tc>
          <w:tcPr>
            <w:tcW w:w="3685"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评价内容</w:t>
            </w:r>
          </w:p>
        </w:tc>
        <w:tc>
          <w:tcPr>
            <w:tcW w:w="1843"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分值</w:t>
            </w:r>
          </w:p>
        </w:tc>
        <w:tc>
          <w:tcPr>
            <w:tcW w:w="1985"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59"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1</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您对本次培训的组织安排是否满意</w:t>
            </w:r>
          </w:p>
        </w:tc>
        <w:tc>
          <w:tcPr>
            <w:tcW w:w="1843"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5</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2</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您对本次培训的后勤保障（培训场地、硬件设施等）是否满意</w:t>
            </w:r>
          </w:p>
        </w:tc>
        <w:tc>
          <w:tcPr>
            <w:tcW w:w="1843"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1</w:t>
            </w:r>
            <w:r>
              <w:rPr>
                <w:b w:val="0"/>
                <w:color w:val="auto"/>
                <w:sz w:val="21"/>
                <w:szCs w:val="21"/>
                <w:highlight w:val="none"/>
                <w:lang w:val="en-US"/>
              </w:rPr>
              <w:t>0</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3</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本次培训内容是否突出了</w:t>
            </w:r>
            <w:r>
              <w:rPr>
                <w:rFonts w:hint="eastAsia" w:cs="宋体"/>
                <w:b w:val="0"/>
                <w:bCs/>
                <w:color w:val="auto"/>
                <w:sz w:val="24"/>
                <w:szCs w:val="24"/>
                <w:highlight w:val="none"/>
              </w:rPr>
              <w:t>创新思维和信息素养的培养，是否有助于信息技术与教学的深度融合，是否有助于您对智慧教育的理解和应用</w:t>
            </w:r>
          </w:p>
        </w:tc>
        <w:tc>
          <w:tcPr>
            <w:tcW w:w="1843"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30</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4</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您对线下集中培训、跟岗培训教学内容是否满意</w:t>
            </w:r>
          </w:p>
        </w:tc>
        <w:tc>
          <w:tcPr>
            <w:tcW w:w="1843"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1</w:t>
            </w:r>
            <w:r>
              <w:rPr>
                <w:b w:val="0"/>
                <w:color w:val="auto"/>
                <w:sz w:val="21"/>
                <w:szCs w:val="21"/>
                <w:highlight w:val="none"/>
                <w:lang w:val="en-US"/>
              </w:rPr>
              <w:t>0</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5</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您对本次培训的班级管理和学员管理是否满意</w:t>
            </w:r>
          </w:p>
        </w:tc>
        <w:tc>
          <w:tcPr>
            <w:tcW w:w="1843"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10</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6</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培训单位配备的教务人员和技术人员是否能及时有效帮您解决问题</w:t>
            </w:r>
          </w:p>
        </w:tc>
        <w:tc>
          <w:tcPr>
            <w:tcW w:w="1843"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20</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7</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您对本次培训线上网络学习平台的教学资源、网络研修活动设计是否满意</w:t>
            </w:r>
          </w:p>
        </w:tc>
        <w:tc>
          <w:tcPr>
            <w:tcW w:w="1843"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1</w:t>
            </w:r>
            <w:r>
              <w:rPr>
                <w:b w:val="0"/>
                <w:color w:val="auto"/>
                <w:sz w:val="21"/>
                <w:szCs w:val="21"/>
                <w:highlight w:val="none"/>
                <w:lang w:val="en-US"/>
              </w:rPr>
              <w:t>0</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59"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8</w:t>
            </w:r>
          </w:p>
        </w:tc>
        <w:tc>
          <w:tcPr>
            <w:tcW w:w="3685" w:type="dxa"/>
            <w:vAlign w:val="center"/>
          </w:tcPr>
          <w:p>
            <w:pPr>
              <w:ind w:firstLine="0" w:firstLineChars="0"/>
              <w:jc w:val="left"/>
              <w:rPr>
                <w:b w:val="0"/>
                <w:color w:val="auto"/>
                <w:sz w:val="21"/>
                <w:szCs w:val="21"/>
                <w:highlight w:val="none"/>
                <w:lang w:val="en-US"/>
              </w:rPr>
            </w:pPr>
            <w:r>
              <w:rPr>
                <w:rFonts w:hint="eastAsia"/>
                <w:b w:val="0"/>
                <w:color w:val="auto"/>
                <w:sz w:val="21"/>
                <w:szCs w:val="21"/>
                <w:highlight w:val="none"/>
                <w:lang w:val="en-US"/>
              </w:rPr>
              <w:t>本次培训是否达到您预期效果</w:t>
            </w:r>
          </w:p>
        </w:tc>
        <w:tc>
          <w:tcPr>
            <w:tcW w:w="1843" w:type="dxa"/>
            <w:vAlign w:val="center"/>
          </w:tcPr>
          <w:p>
            <w:pPr>
              <w:ind w:firstLine="0" w:firstLineChars="0"/>
              <w:jc w:val="center"/>
              <w:rPr>
                <w:b w:val="0"/>
                <w:color w:val="auto"/>
                <w:sz w:val="21"/>
                <w:szCs w:val="21"/>
                <w:highlight w:val="none"/>
                <w:lang w:val="en-US"/>
              </w:rPr>
            </w:pPr>
            <w:r>
              <w:rPr>
                <w:b w:val="0"/>
                <w:color w:val="auto"/>
                <w:sz w:val="21"/>
                <w:szCs w:val="21"/>
                <w:highlight w:val="none"/>
                <w:lang w:val="en-US"/>
              </w:rPr>
              <w:t>5</w:t>
            </w:r>
          </w:p>
        </w:tc>
        <w:tc>
          <w:tcPr>
            <w:tcW w:w="1985" w:type="dxa"/>
            <w:vAlign w:val="center"/>
          </w:tcPr>
          <w:p>
            <w:pPr>
              <w:ind w:firstLine="0" w:firstLineChars="0"/>
              <w:jc w:val="center"/>
              <w:rPr>
                <w:b w:val="0"/>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59" w:type="dxa"/>
            <w:vAlign w:val="center"/>
          </w:tcPr>
          <w:p>
            <w:pPr>
              <w:ind w:firstLine="0" w:firstLineChars="0"/>
              <w:jc w:val="center"/>
              <w:rPr>
                <w:b w:val="0"/>
                <w:color w:val="auto"/>
                <w:sz w:val="21"/>
                <w:szCs w:val="21"/>
                <w:highlight w:val="none"/>
                <w:lang w:val="en-US"/>
              </w:rPr>
            </w:pPr>
          </w:p>
        </w:tc>
        <w:tc>
          <w:tcPr>
            <w:tcW w:w="3685" w:type="dxa"/>
            <w:vAlign w:val="center"/>
          </w:tcPr>
          <w:p>
            <w:pPr>
              <w:ind w:firstLine="0" w:firstLineChars="0"/>
              <w:jc w:val="center"/>
              <w:rPr>
                <w:b w:val="0"/>
                <w:color w:val="auto"/>
                <w:sz w:val="21"/>
                <w:szCs w:val="21"/>
                <w:highlight w:val="none"/>
                <w:lang w:val="en-US"/>
              </w:rPr>
            </w:pPr>
            <w:r>
              <w:rPr>
                <w:rFonts w:hint="eastAsia"/>
                <w:b w:val="0"/>
                <w:color w:val="auto"/>
                <w:sz w:val="21"/>
                <w:szCs w:val="21"/>
                <w:highlight w:val="none"/>
                <w:lang w:val="en-US"/>
              </w:rPr>
              <w:t>合计</w:t>
            </w:r>
          </w:p>
        </w:tc>
        <w:tc>
          <w:tcPr>
            <w:tcW w:w="1843" w:type="dxa"/>
            <w:vAlign w:val="center"/>
          </w:tcPr>
          <w:p>
            <w:pPr>
              <w:ind w:firstLine="0" w:firstLineChars="0"/>
              <w:jc w:val="center"/>
              <w:rPr>
                <w:b w:val="0"/>
                <w:color w:val="auto"/>
                <w:sz w:val="21"/>
                <w:szCs w:val="21"/>
                <w:highlight w:val="none"/>
                <w:lang w:val="en-US"/>
              </w:rPr>
            </w:pPr>
          </w:p>
        </w:tc>
        <w:tc>
          <w:tcPr>
            <w:tcW w:w="1985" w:type="dxa"/>
            <w:vAlign w:val="center"/>
          </w:tcPr>
          <w:p>
            <w:pPr>
              <w:ind w:firstLine="0" w:firstLineChars="0"/>
              <w:jc w:val="center"/>
              <w:rPr>
                <w:b w:val="0"/>
                <w:color w:val="auto"/>
                <w:sz w:val="21"/>
                <w:szCs w:val="21"/>
                <w:highlight w:val="none"/>
                <w:lang w:val="en-US"/>
              </w:rPr>
            </w:pPr>
          </w:p>
        </w:tc>
      </w:tr>
    </w:tbl>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b w:val="0"/>
          <w:bCs/>
          <w:color w:val="auto"/>
          <w:sz w:val="24"/>
          <w:szCs w:val="24"/>
          <w:highlight w:val="none"/>
        </w:rPr>
      </w:pPr>
    </w:p>
    <w:p>
      <w:pPr>
        <w:pStyle w:val="38"/>
        <w:keepNext w:val="0"/>
        <w:keepLines w:val="0"/>
        <w:pageBreakBefore w:val="0"/>
        <w:kinsoku/>
        <w:wordWrap/>
        <w:overflowPunct/>
        <w:topLinePunct w:val="0"/>
        <w:bidi w:val="0"/>
        <w:snapToGrid/>
        <w:spacing w:line="360" w:lineRule="auto"/>
        <w:textAlignment w:val="auto"/>
        <w:rPr>
          <w:rFonts w:hint="eastAsia" w:ascii="宋体" w:hAnsi="宋体" w:eastAsia="宋体" w:cs="宋体"/>
          <w:sz w:val="36"/>
          <w:szCs w:val="36"/>
          <w:highlight w:val="none"/>
        </w:rPr>
        <w:sectPr>
          <w:pgSz w:w="11906" w:h="16838"/>
          <w:pgMar w:top="1440" w:right="1080" w:bottom="1440" w:left="1080" w:header="851" w:footer="992" w:gutter="0"/>
          <w:pgNumType w:fmt="numberInDash"/>
          <w:cols w:space="720" w:num="1"/>
          <w:docGrid w:type="lines" w:linePitch="312" w:charSpace="0"/>
        </w:sectPr>
      </w:pPr>
    </w:p>
    <w:p>
      <w:pPr>
        <w:pStyle w:val="3"/>
        <w:keepNext w:val="0"/>
        <w:keepLines w:val="0"/>
        <w:spacing w:before="0" w:after="0" w:line="240" w:lineRule="auto"/>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第六章  响应文件格式</w:t>
      </w:r>
      <w:bookmarkEnd w:id="155"/>
      <w:bookmarkEnd w:id="159"/>
      <w:bookmarkEnd w:id="160"/>
      <w:bookmarkEnd w:id="161"/>
    </w:p>
    <w:p>
      <w:pPr>
        <w:pStyle w:val="62"/>
        <w:spacing w:line="360" w:lineRule="auto"/>
        <w:ind w:firstLine="490"/>
        <w:rPr>
          <w:rFonts w:hint="eastAsia" w:ascii="宋体" w:hAnsi="宋体" w:eastAsia="宋体" w:cs="宋体"/>
          <w:highlight w:val="none"/>
        </w:rPr>
      </w:pPr>
    </w:p>
    <w:p>
      <w:pPr>
        <w:pStyle w:val="62"/>
        <w:tabs>
          <w:tab w:val="left" w:pos="426"/>
        </w:tabs>
        <w:spacing w:line="360" w:lineRule="auto"/>
        <w:ind w:firstLine="490"/>
        <w:jc w:val="left"/>
        <w:rPr>
          <w:rFonts w:hint="eastAsia" w:ascii="宋体" w:hAnsi="宋体" w:eastAsia="宋体" w:cs="宋体"/>
          <w:highlight w:val="none"/>
        </w:rPr>
      </w:pPr>
      <w:r>
        <w:rPr>
          <w:rFonts w:hint="eastAsia" w:ascii="宋体" w:hAnsi="宋体" w:eastAsia="宋体" w:cs="宋体"/>
          <w:highlight w:val="none"/>
        </w:rPr>
        <w:t>一、本章所制响应文件格式，除格式中明确将该格式作为实质性要求的，一律不具有强制性。</w:t>
      </w:r>
    </w:p>
    <w:p>
      <w:pPr>
        <w:pStyle w:val="62"/>
        <w:tabs>
          <w:tab w:val="left" w:pos="426"/>
        </w:tabs>
        <w:spacing w:line="360" w:lineRule="auto"/>
        <w:ind w:firstLine="490"/>
        <w:jc w:val="left"/>
        <w:rPr>
          <w:rFonts w:hint="eastAsia" w:ascii="宋体" w:hAnsi="宋体" w:eastAsia="宋体" w:cs="宋体"/>
          <w:highlight w:val="none"/>
        </w:rPr>
      </w:pPr>
      <w:r>
        <w:rPr>
          <w:rFonts w:hint="eastAsia" w:ascii="宋体" w:hAnsi="宋体" w:eastAsia="宋体" w:cs="宋体"/>
          <w:highlight w:val="none"/>
        </w:rPr>
        <w:t>二、本章所制响应文件格式有关表格中的备注栏，由供应商根据自身响应情况作解释性说明，不作为必填项。</w:t>
      </w:r>
    </w:p>
    <w:p>
      <w:pPr>
        <w:pStyle w:val="62"/>
        <w:tabs>
          <w:tab w:val="left" w:pos="426"/>
        </w:tabs>
        <w:spacing w:line="360" w:lineRule="auto"/>
        <w:ind w:firstLine="490"/>
        <w:jc w:val="left"/>
        <w:rPr>
          <w:rFonts w:hint="eastAsia" w:ascii="宋体" w:hAnsi="宋体" w:eastAsia="宋体" w:cs="宋体"/>
          <w:highlight w:val="none"/>
        </w:rPr>
      </w:pPr>
      <w:r>
        <w:rPr>
          <w:rFonts w:hint="eastAsia" w:ascii="宋体" w:hAnsi="宋体" w:eastAsia="宋体" w:cs="宋体"/>
          <w:highlight w:val="none"/>
        </w:rPr>
        <w:t>三、本章所制响应文件格式中需要填写的相关内容事项，可能会与本采购项目无关，在不改变响应文件原义、不影响本项目采购需求的情况下，供应商可以不予填写，但应当注明。</w:t>
      </w:r>
    </w:p>
    <w:p>
      <w:pPr>
        <w:pStyle w:val="62"/>
        <w:tabs>
          <w:tab w:val="left" w:pos="426"/>
        </w:tabs>
        <w:spacing w:line="360" w:lineRule="auto"/>
        <w:ind w:firstLine="490"/>
        <w:jc w:val="left"/>
        <w:rPr>
          <w:rFonts w:hint="eastAsia" w:ascii="宋体" w:hAnsi="宋体" w:eastAsia="宋体" w:cs="宋体"/>
          <w:highlight w:val="none"/>
        </w:rPr>
      </w:pPr>
      <w:r>
        <w:rPr>
          <w:rFonts w:hint="eastAsia" w:ascii="宋体" w:hAnsi="宋体" w:eastAsia="宋体" w:cs="宋体"/>
          <w:highlight w:val="none"/>
        </w:rPr>
        <w:t>四、格式涉及“法定代表人”相关描述，供应商为法人单位时按照“法定代表人”进行描述，供应商为其他组织时可自行修改为“单位负责人”。</w:t>
      </w:r>
    </w:p>
    <w:p>
      <w:pPr>
        <w:jc w:val="left"/>
        <w:rPr>
          <w:rFonts w:hint="eastAsia" w:ascii="宋体" w:hAnsi="宋体" w:eastAsia="宋体" w:cs="宋体"/>
          <w:b/>
          <w:szCs w:val="21"/>
          <w:highlight w:val="none"/>
        </w:rPr>
      </w:pPr>
    </w:p>
    <w:p>
      <w:pPr>
        <w:jc w:val="left"/>
        <w:rPr>
          <w:rFonts w:hint="eastAsia" w:ascii="宋体" w:hAnsi="宋体" w:eastAsia="宋体" w:cs="宋体"/>
          <w:b/>
          <w:szCs w:val="21"/>
          <w:highlight w:val="none"/>
        </w:rPr>
      </w:pPr>
    </w:p>
    <w:p>
      <w:pPr>
        <w:pStyle w:val="4"/>
        <w:tabs>
          <w:tab w:val="left" w:pos="720"/>
        </w:tabs>
        <w:spacing w:line="400" w:lineRule="exact"/>
        <w:ind w:firstLine="562"/>
        <w:jc w:val="center"/>
        <w:rPr>
          <w:rFonts w:hint="eastAsia" w:ascii="宋体" w:hAnsi="宋体" w:eastAsia="宋体" w:cs="宋体"/>
          <w:sz w:val="24"/>
          <w:szCs w:val="24"/>
          <w:highlight w:val="none"/>
        </w:rPr>
      </w:pPr>
      <w:r>
        <w:rPr>
          <w:rFonts w:hint="eastAsia" w:ascii="宋体" w:hAnsi="宋体" w:eastAsia="宋体" w:cs="宋体"/>
          <w:b/>
          <w:highlight w:val="none"/>
        </w:rPr>
        <w:br w:type="page"/>
      </w:r>
      <w:bookmarkStart w:id="164" w:name="OLE_LINK32"/>
      <w:r>
        <w:rPr>
          <w:rFonts w:hint="eastAsia" w:ascii="宋体" w:hAnsi="宋体" w:eastAsia="宋体" w:cs="宋体"/>
          <w:sz w:val="24"/>
          <w:szCs w:val="24"/>
          <w:highlight w:val="none"/>
        </w:rPr>
        <w:t>第一部分  资格性响应文件（格式）</w:t>
      </w:r>
    </w:p>
    <w:bookmarkEnd w:id="164"/>
    <w:p>
      <w:pPr>
        <w:pStyle w:val="4"/>
        <w:numPr>
          <w:ilvl w:val="0"/>
          <w:numId w:val="0"/>
        </w:numPr>
        <w:tabs>
          <w:tab w:val="left" w:pos="0"/>
        </w:tabs>
        <w:spacing w:line="400" w:lineRule="exact"/>
        <w:ind w:leftChars="0"/>
        <w:jc w:val="center"/>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lang w:eastAsia="zh-CN"/>
        </w:rPr>
        <w:t>一、</w:t>
      </w:r>
      <w:r>
        <w:rPr>
          <w:rFonts w:hint="eastAsia" w:ascii="宋体" w:hAnsi="宋体" w:eastAsia="宋体" w:cs="宋体"/>
          <w:bCs w:val="0"/>
          <w:sz w:val="24"/>
          <w:szCs w:val="24"/>
          <w:highlight w:val="none"/>
        </w:rPr>
        <w:t>关于资格的声明函</w:t>
      </w:r>
    </w:p>
    <w:p>
      <w:pPr>
        <w:ind w:firstLine="480"/>
        <w:rPr>
          <w:rFonts w:hint="eastAsia" w:ascii="宋体" w:hAnsi="宋体" w:eastAsia="宋体" w:cs="宋体"/>
          <w:sz w:val="24"/>
          <w:szCs w:val="24"/>
          <w:highlight w:val="none"/>
        </w:rPr>
      </w:pPr>
    </w:p>
    <w:p>
      <w:pPr>
        <w:snapToGrid w:val="0"/>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致：</w:t>
      </w:r>
      <w:r>
        <w:rPr>
          <w:rFonts w:hint="eastAsia" w:ascii="宋体" w:hAnsi="宋体" w:eastAsia="宋体" w:cs="宋体"/>
          <w:sz w:val="24"/>
          <w:szCs w:val="24"/>
          <w:highlight w:val="none"/>
          <w:u w:val="single"/>
        </w:rPr>
        <w:t xml:space="preserve">                       （采购代理机构）</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关于贵方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（项目编号）</w:t>
      </w:r>
      <w:r>
        <w:rPr>
          <w:rFonts w:hint="eastAsia" w:ascii="宋体" w:hAnsi="宋体" w:eastAsia="宋体" w:cs="宋体"/>
          <w:sz w:val="24"/>
          <w:szCs w:val="24"/>
          <w:highlight w:val="none"/>
          <w:lang w:eastAsia="zh-CN"/>
        </w:rPr>
        <w:t>包号</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磋商邀请，我方愿意参加磋商并提供采购文件中规定的采购需求。本签字人确认资格文件中的说明以及响应文件中所有提交的文件和材料是真实的、准确的。</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我方在此声明，已提供了全部现有资料和数据，我方同意根据贵方要求出示文件予以证实，并确定所有文件资料真实。本声明如有虚假或不实之外，我方将失去合格供应商资格。</w:t>
      </w:r>
    </w:p>
    <w:p>
      <w:pPr>
        <w:snapToGrid w:val="0"/>
        <w:spacing w:line="360" w:lineRule="auto"/>
        <w:ind w:firstLine="480"/>
        <w:rPr>
          <w:rFonts w:hint="eastAsia" w:ascii="宋体" w:hAnsi="宋体" w:eastAsia="宋体" w:cs="宋体"/>
          <w:sz w:val="24"/>
          <w:szCs w:val="24"/>
          <w:highlight w:val="none"/>
        </w:rPr>
      </w:pP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spacing w:line="500" w:lineRule="exact"/>
        <w:ind w:firstLine="4620" w:firstLineChars="1925"/>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500" w:lineRule="exact"/>
        <w:ind w:firstLine="4620" w:firstLineChars="1925"/>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500" w:lineRule="exact"/>
        <w:ind w:right="480" w:firstLine="4620" w:firstLineChars="1925"/>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ind w:firstLine="480"/>
        <w:rPr>
          <w:rFonts w:hint="eastAsia" w:ascii="宋体" w:hAnsi="宋体" w:eastAsia="宋体" w:cs="宋体"/>
          <w:sz w:val="24"/>
          <w:szCs w:val="24"/>
          <w:highlight w:val="none"/>
        </w:rPr>
      </w:pPr>
    </w:p>
    <w:p>
      <w:pPr>
        <w:ind w:firstLine="480"/>
        <w:jc w:val="center"/>
        <w:rPr>
          <w:rFonts w:hint="eastAsia" w:ascii="宋体" w:hAnsi="宋体" w:eastAsia="宋体" w:cs="宋体"/>
          <w:b/>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b/>
          <w:sz w:val="24"/>
          <w:szCs w:val="24"/>
          <w:highlight w:val="none"/>
        </w:rPr>
        <w:t>二、法定代表人身份证明</w:t>
      </w:r>
    </w:p>
    <w:p>
      <w:pPr>
        <w:ind w:firstLine="482"/>
        <w:jc w:val="center"/>
        <w:rPr>
          <w:rFonts w:hint="eastAsia" w:ascii="宋体" w:hAnsi="宋体" w:eastAsia="宋体" w:cs="宋体"/>
          <w:b/>
          <w:sz w:val="24"/>
          <w:szCs w:val="24"/>
          <w:highlight w:val="none"/>
          <w:u w:val="single"/>
        </w:rPr>
      </w:pPr>
    </w:p>
    <w:p>
      <w:pPr>
        <w:pStyle w:val="2"/>
        <w:rPr>
          <w:rFonts w:hint="eastAsia" w:ascii="宋体" w:hAnsi="宋体" w:eastAsia="宋体" w:cs="宋体"/>
          <w:highlight w:val="none"/>
        </w:rPr>
      </w:pPr>
    </w:p>
    <w:p>
      <w:pPr>
        <w:snapToGrid w:val="0"/>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单位性质：</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经营期限：</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姓名：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电话</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系</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（供应商名称）的法定代表人。</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特此证明。</w:t>
      </w:r>
    </w:p>
    <w:p>
      <w:pPr>
        <w:snapToGrid w:val="0"/>
        <w:spacing w:line="360" w:lineRule="auto"/>
        <w:ind w:firstLine="480"/>
        <w:rPr>
          <w:rFonts w:hint="eastAsia" w:ascii="宋体" w:hAnsi="宋体" w:eastAsia="宋体" w:cs="宋体"/>
          <w:sz w:val="24"/>
          <w:szCs w:val="24"/>
          <w:highlight w:val="none"/>
        </w:rPr>
      </w:pP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附：法定代表人身份证复印件（身份证正反面复印并加盖公章）</w:t>
      </w:r>
    </w:p>
    <w:p>
      <w:pPr>
        <w:snapToGrid w:val="0"/>
        <w:spacing w:line="360" w:lineRule="auto"/>
        <w:ind w:firstLine="480"/>
        <w:rPr>
          <w:rFonts w:hint="eastAsia" w:ascii="宋体" w:hAnsi="宋体" w:eastAsia="宋体" w:cs="宋体"/>
          <w:sz w:val="24"/>
          <w:szCs w:val="24"/>
          <w:highlight w:val="none"/>
        </w:rPr>
      </w:pPr>
    </w:p>
    <w:p>
      <w:pPr>
        <w:spacing w:line="360" w:lineRule="auto"/>
        <w:ind w:firstLine="4620" w:firstLineChars="192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供应商名称：</w:t>
      </w:r>
      <w:r>
        <w:rPr>
          <w:rFonts w:hint="eastAsia" w:ascii="宋体" w:hAnsi="宋体" w:eastAsia="宋体" w:cs="宋体"/>
          <w:sz w:val="24"/>
          <w:szCs w:val="24"/>
          <w:highlight w:val="none"/>
          <w:u w:val="single"/>
          <w:lang w:val="zh-CN"/>
        </w:rPr>
        <w:tab/>
      </w:r>
      <w:r>
        <w:rPr>
          <w:rFonts w:hint="eastAsia" w:ascii="宋体" w:hAnsi="宋体" w:eastAsia="宋体" w:cs="宋体"/>
          <w:sz w:val="24"/>
          <w:szCs w:val="24"/>
          <w:highlight w:val="none"/>
          <w:u w:val="single"/>
          <w:lang w:val="zh-CN"/>
        </w:rPr>
        <w:tab/>
      </w:r>
      <w:r>
        <w:rPr>
          <w:rFonts w:hint="eastAsia" w:ascii="宋体" w:hAnsi="宋体" w:eastAsia="宋体" w:cs="宋体"/>
          <w:sz w:val="24"/>
          <w:szCs w:val="24"/>
          <w:highlight w:val="none"/>
          <w:u w:val="single"/>
          <w:lang w:val="zh-CN"/>
        </w:rPr>
        <w:tab/>
      </w:r>
      <w:r>
        <w:rPr>
          <w:rFonts w:hint="eastAsia" w:ascii="宋体" w:hAnsi="宋体" w:eastAsia="宋体" w:cs="宋体"/>
          <w:sz w:val="24"/>
          <w:szCs w:val="24"/>
          <w:highlight w:val="none"/>
          <w:u w:val="single"/>
          <w:lang w:val="zh-CN"/>
        </w:rPr>
        <w:tab/>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（公章）</w:t>
      </w:r>
    </w:p>
    <w:p>
      <w:pPr>
        <w:spacing w:line="360" w:lineRule="auto"/>
        <w:ind w:firstLine="4620" w:firstLineChars="1925"/>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（签字或盖个人名章）</w:t>
      </w:r>
    </w:p>
    <w:p>
      <w:pPr>
        <w:spacing w:line="360" w:lineRule="auto"/>
        <w:ind w:firstLine="4620" w:firstLineChars="192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日</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期：</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年</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月</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日</w:t>
      </w:r>
    </w:p>
    <w:p>
      <w:pPr>
        <w:snapToGrid w:val="0"/>
        <w:spacing w:line="360" w:lineRule="auto"/>
        <w:ind w:firstLine="480"/>
        <w:rPr>
          <w:rFonts w:hint="eastAsia" w:ascii="宋体" w:hAnsi="宋体" w:eastAsia="宋体" w:cs="宋体"/>
          <w:sz w:val="24"/>
          <w:szCs w:val="24"/>
          <w:highlight w:val="none"/>
        </w:rPr>
      </w:pPr>
    </w:p>
    <w:p>
      <w:pPr>
        <w:pStyle w:val="38"/>
        <w:rPr>
          <w:rFonts w:hint="eastAsia" w:ascii="宋体" w:hAnsi="宋体" w:eastAsia="宋体" w:cs="宋体"/>
          <w:szCs w:val="24"/>
          <w:highlight w:val="none"/>
        </w:rPr>
      </w:pPr>
    </w:p>
    <w:p>
      <w:pPr>
        <w:pStyle w:val="38"/>
        <w:rPr>
          <w:rFonts w:hint="eastAsia" w:ascii="宋体" w:hAnsi="宋体" w:eastAsia="宋体" w:cs="宋体"/>
          <w:szCs w:val="24"/>
          <w:highlight w:val="none"/>
        </w:rPr>
      </w:pPr>
    </w:p>
    <w:p>
      <w:pPr>
        <w:pStyle w:val="38"/>
        <w:rPr>
          <w:rFonts w:hint="eastAsia" w:ascii="宋体" w:hAnsi="宋体" w:eastAsia="宋体" w:cs="宋体"/>
          <w:szCs w:val="24"/>
          <w:highlight w:val="none"/>
        </w:rPr>
      </w:pPr>
    </w:p>
    <w:p>
      <w:pPr>
        <w:pStyle w:val="38"/>
        <w:rPr>
          <w:rFonts w:hint="eastAsia" w:ascii="宋体" w:hAnsi="宋体" w:eastAsia="宋体" w:cs="宋体"/>
          <w:szCs w:val="24"/>
          <w:highlight w:val="none"/>
        </w:rPr>
      </w:pPr>
    </w:p>
    <w:p>
      <w:pPr>
        <w:snapToGrid w:val="0"/>
        <w:spacing w:line="360" w:lineRule="auto"/>
        <w:ind w:firstLine="480"/>
        <w:rPr>
          <w:rFonts w:hint="eastAsia" w:ascii="宋体" w:hAnsi="宋体" w:eastAsia="宋体" w:cs="宋体"/>
          <w:sz w:val="24"/>
          <w:szCs w:val="24"/>
          <w:highlight w:val="none"/>
        </w:rPr>
      </w:pPr>
    </w:p>
    <w:p>
      <w:pPr>
        <w:snapToGrid w:val="0"/>
        <w:spacing w:line="360" w:lineRule="auto"/>
        <w:ind w:firstLine="361" w:firstLineChars="15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注：(1)法定代表人亲自参与磋商而不是委托代理人磋商适用。</w:t>
      </w:r>
    </w:p>
    <w:p>
      <w:pPr>
        <w:snapToGrid w:val="0"/>
        <w:spacing w:line="360" w:lineRule="auto"/>
        <w:ind w:firstLine="361" w:firstLineChars="15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(2)法定代表人在递交响应文件时，应携带法定代表人身份证</w:t>
      </w:r>
      <w:r>
        <w:rPr>
          <w:rFonts w:hint="eastAsia" w:ascii="宋体" w:hAnsi="宋体" w:eastAsia="宋体" w:cs="宋体"/>
          <w:b/>
          <w:bCs/>
          <w:sz w:val="24"/>
          <w:szCs w:val="24"/>
          <w:highlight w:val="none"/>
          <w:lang w:eastAsia="zh-CN"/>
        </w:rPr>
        <w:t>明</w:t>
      </w:r>
      <w:r>
        <w:rPr>
          <w:rFonts w:hint="eastAsia" w:ascii="宋体" w:hAnsi="宋体" w:eastAsia="宋体" w:cs="宋体"/>
          <w:b/>
          <w:bCs/>
          <w:sz w:val="24"/>
          <w:szCs w:val="24"/>
          <w:highlight w:val="none"/>
        </w:rPr>
        <w:t>原件备查。</w:t>
      </w:r>
    </w:p>
    <w:p>
      <w:pPr>
        <w:snapToGrid w:val="0"/>
        <w:spacing w:line="360" w:lineRule="auto"/>
        <w:ind w:firstLine="361" w:firstLineChars="15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(3)法定代表人提供的证件、证明不齐或不符合要求的，响应文件不予接收。</w:t>
      </w:r>
    </w:p>
    <w:p>
      <w:pPr>
        <w:pStyle w:val="38"/>
        <w:rPr>
          <w:rFonts w:hint="eastAsia" w:ascii="宋体" w:hAnsi="宋体" w:eastAsia="宋体" w:cs="宋体"/>
          <w:szCs w:val="24"/>
          <w:highlight w:val="none"/>
        </w:rPr>
      </w:pPr>
    </w:p>
    <w:p>
      <w:pPr>
        <w:pStyle w:val="38"/>
        <w:rPr>
          <w:rFonts w:hint="eastAsia" w:ascii="宋体" w:hAnsi="宋体" w:eastAsia="宋体" w:cs="宋体"/>
          <w:szCs w:val="24"/>
          <w:highlight w:val="none"/>
        </w:rPr>
        <w:sectPr>
          <w:pgSz w:w="11906" w:h="16838"/>
          <w:pgMar w:top="1440" w:right="1080" w:bottom="1440" w:left="1080" w:header="851" w:footer="992" w:gutter="0"/>
          <w:pgNumType w:fmt="numberInDash"/>
          <w:cols w:space="720" w:num="1"/>
          <w:docGrid w:type="lines" w:linePitch="312" w:charSpace="0"/>
        </w:sectPr>
      </w:pPr>
    </w:p>
    <w:p>
      <w:pPr>
        <w:pStyle w:val="4"/>
        <w:numPr>
          <w:ilvl w:val="0"/>
          <w:numId w:val="0"/>
        </w:numPr>
        <w:tabs>
          <w:tab w:val="left" w:pos="0"/>
        </w:tabs>
        <w:spacing w:line="400" w:lineRule="exact"/>
        <w:ind w:leftChars="0"/>
        <w:jc w:val="center"/>
        <w:rPr>
          <w:rFonts w:hint="eastAsia" w:ascii="宋体" w:hAnsi="宋体" w:eastAsia="宋体" w:cs="宋体"/>
          <w:bCs w:val="0"/>
          <w:sz w:val="24"/>
          <w:szCs w:val="24"/>
          <w:highlight w:val="none"/>
        </w:rPr>
      </w:pPr>
      <w:bookmarkStart w:id="165" w:name="_Toc319937308"/>
      <w:bookmarkStart w:id="166" w:name="_Toc217446083"/>
      <w:bookmarkStart w:id="167" w:name="_Toc317509429"/>
      <w:r>
        <w:rPr>
          <w:rFonts w:hint="eastAsia" w:ascii="宋体" w:hAnsi="宋体" w:eastAsia="宋体" w:cs="宋体"/>
          <w:bCs w:val="0"/>
          <w:sz w:val="24"/>
          <w:szCs w:val="24"/>
          <w:highlight w:val="none"/>
          <w:lang w:eastAsia="zh-CN"/>
        </w:rPr>
        <w:t>二、</w:t>
      </w:r>
      <w:r>
        <w:rPr>
          <w:rFonts w:hint="eastAsia" w:ascii="宋体" w:hAnsi="宋体" w:eastAsia="宋体" w:cs="宋体"/>
          <w:bCs w:val="0"/>
          <w:sz w:val="24"/>
          <w:szCs w:val="24"/>
          <w:highlight w:val="none"/>
        </w:rPr>
        <w:t>法定代表人授权书</w:t>
      </w:r>
      <w:bookmarkEnd w:id="165"/>
      <w:bookmarkEnd w:id="166"/>
      <w:bookmarkEnd w:id="167"/>
    </w:p>
    <w:p>
      <w:pPr>
        <w:spacing w:line="400" w:lineRule="exact"/>
        <w:ind w:firstLine="883"/>
        <w:jc w:val="center"/>
        <w:rPr>
          <w:rFonts w:hint="eastAsia" w:ascii="宋体" w:hAnsi="宋体" w:eastAsia="宋体" w:cs="宋体"/>
          <w:b/>
          <w:sz w:val="24"/>
          <w:szCs w:val="24"/>
          <w:highlight w:val="none"/>
        </w:rPr>
      </w:pP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（采购代理机构名称）：</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本授权声明：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（法定代表人姓名、职务）授权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（授权代理人姓名、职务、身份证号码）为我方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项目（项目编号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eastAsia="zh-CN"/>
        </w:rPr>
        <w:t>包号</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）磋商采购活动的合法代表，全权代表本公司处理响应过程的一切事宜。授权代理人在响应过程中所签署的一切文件和处理与之有关的一切事务，本公司均予以认可并对此承担责任。授权代理人无转让委托权。</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本授权书有效期自签署之日起至本项目采购文件第二章规定的磋商有效期结束为止。特此声明。</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身份证号：</w:t>
      </w:r>
      <w:r>
        <w:rPr>
          <w:rFonts w:hint="eastAsia" w:ascii="宋体" w:hAnsi="宋体" w:eastAsia="宋体" w:cs="宋体"/>
          <w:sz w:val="24"/>
          <w:szCs w:val="24"/>
          <w:highlight w:val="none"/>
          <w:u w:val="single"/>
        </w:rPr>
        <w:t xml:space="preserve">                      .</w:t>
      </w:r>
    </w:p>
    <w:p>
      <w:pPr>
        <w:snapToGrid w:val="0"/>
        <w:spacing w:line="360" w:lineRule="auto"/>
        <w:rPr>
          <w:rFonts w:hint="eastAsia" w:ascii="宋体" w:hAnsi="宋体" w:eastAsia="宋体" w:cs="宋体"/>
          <w:sz w:val="24"/>
          <w:szCs w:val="24"/>
          <w:highlight w:val="none"/>
        </w:rPr>
      </w:pP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授权代理人：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身份证号：</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部门：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职务：</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详细通讯地址：</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电话：</w:t>
      </w:r>
      <w:r>
        <w:rPr>
          <w:rFonts w:hint="eastAsia" w:ascii="宋体" w:hAnsi="宋体" w:eastAsia="宋体" w:cs="宋体"/>
          <w:sz w:val="24"/>
          <w:szCs w:val="24"/>
          <w:highlight w:val="none"/>
          <w:u w:val="single"/>
        </w:rPr>
        <w:t xml:space="preserve">                    .</w:t>
      </w:r>
    </w:p>
    <w:p>
      <w:pPr>
        <w:snapToGrid w:val="0"/>
        <w:spacing w:line="360" w:lineRule="auto"/>
        <w:ind w:firstLine="480"/>
        <w:rPr>
          <w:rFonts w:hint="eastAsia" w:ascii="宋体" w:hAnsi="宋体" w:eastAsia="宋体" w:cs="宋体"/>
          <w:sz w:val="24"/>
          <w:szCs w:val="24"/>
          <w:highlight w:val="none"/>
        </w:rPr>
      </w:pPr>
    </w:p>
    <w:p>
      <w:pPr>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附：法定代表人和授权代理人有效的身份证复印件（身份证正反面复印并加盖公章）</w:t>
      </w:r>
    </w:p>
    <w:p>
      <w:pPr>
        <w:snapToGrid w:val="0"/>
        <w:spacing w:line="360" w:lineRule="auto"/>
        <w:rPr>
          <w:rFonts w:hint="eastAsia" w:ascii="宋体" w:hAnsi="宋体" w:eastAsia="宋体" w:cs="宋体"/>
          <w:sz w:val="24"/>
          <w:szCs w:val="24"/>
          <w:highlight w:val="none"/>
        </w:rPr>
      </w:pPr>
    </w:p>
    <w:p>
      <w:pPr>
        <w:spacing w:line="360" w:lineRule="auto"/>
        <w:ind w:left="0" w:leftChars="0" w:firstLine="3015" w:firstLineChars="1231"/>
        <w:rPr>
          <w:rFonts w:hint="eastAsia" w:ascii="宋体" w:hAnsi="宋体" w:eastAsia="宋体" w:cs="宋体"/>
          <w:b/>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360" w:lineRule="auto"/>
        <w:ind w:left="0" w:leftChars="0" w:firstLine="3015" w:firstLineChars="1231"/>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（签字或盖个人名章）</w:t>
      </w:r>
    </w:p>
    <w:p>
      <w:pPr>
        <w:spacing w:line="360" w:lineRule="auto"/>
        <w:ind w:left="0" w:leftChars="0" w:firstLine="3015" w:firstLineChars="1231"/>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360" w:lineRule="auto"/>
        <w:ind w:left="0" w:leftChars="0" w:firstLine="3015" w:firstLineChars="1231"/>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single"/>
        </w:rPr>
        <w:t xml:space="preserve">                           </w:t>
      </w:r>
    </w:p>
    <w:p>
      <w:pPr>
        <w:spacing w:line="360" w:lineRule="auto"/>
        <w:ind w:left="0" w:leftChars="0" w:firstLine="3015" w:firstLineChars="1231"/>
        <w:rPr>
          <w:rFonts w:hint="eastAsia" w:ascii="宋体" w:hAnsi="宋体" w:eastAsia="宋体" w:cs="宋体"/>
          <w:b/>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rPr>
          <w:rFonts w:hint="eastAsia" w:ascii="宋体" w:hAnsi="宋体" w:eastAsia="宋体" w:cs="宋体"/>
          <w:sz w:val="24"/>
          <w:szCs w:val="24"/>
          <w:highlight w:val="none"/>
        </w:rPr>
      </w:pPr>
    </w:p>
    <w:p>
      <w:pPr>
        <w:rPr>
          <w:rFonts w:hint="eastAsia" w:ascii="宋体" w:hAnsi="宋体" w:eastAsia="宋体" w:cs="宋体"/>
          <w:b/>
          <w:bCs/>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
          <w:bCs/>
          <w:sz w:val="24"/>
          <w:szCs w:val="24"/>
          <w:highlight w:val="none"/>
        </w:rPr>
        <w:t>注：(1)法定代表人不亲自参与磋商而是由委托代理人参与磋商适用。</w:t>
      </w:r>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(2)法定代表人委托他人参与磋商的，委托代理人应是供应商本单位的人员。</w:t>
      </w:r>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(3)委托代理人在递交响应文件时，应携带委托代理人身份证</w:t>
      </w:r>
      <w:r>
        <w:rPr>
          <w:rFonts w:hint="eastAsia" w:ascii="宋体" w:hAnsi="宋体" w:eastAsia="宋体" w:cs="宋体"/>
          <w:b/>
          <w:bCs/>
          <w:sz w:val="24"/>
          <w:szCs w:val="24"/>
          <w:highlight w:val="none"/>
          <w:lang w:eastAsia="zh-CN"/>
        </w:rPr>
        <w:t>明</w:t>
      </w:r>
      <w:r>
        <w:rPr>
          <w:rFonts w:hint="eastAsia" w:ascii="宋体" w:hAnsi="宋体" w:eastAsia="宋体" w:cs="宋体"/>
          <w:b/>
          <w:bCs/>
          <w:sz w:val="24"/>
          <w:szCs w:val="24"/>
          <w:highlight w:val="none"/>
        </w:rPr>
        <w:t>原件。</w:t>
      </w:r>
    </w:p>
    <w:p>
      <w:pPr>
        <w:ind w:firstLine="481"/>
        <w:rPr>
          <w:rFonts w:hint="eastAsia" w:ascii="宋体" w:hAnsi="宋体" w:eastAsia="宋体" w:cs="宋体"/>
          <w:b/>
          <w:sz w:val="24"/>
          <w:szCs w:val="24"/>
          <w:highlight w:val="none"/>
        </w:rPr>
      </w:pPr>
      <w:r>
        <w:rPr>
          <w:rFonts w:hint="eastAsia" w:ascii="宋体" w:hAnsi="宋体" w:eastAsia="宋体" w:cs="宋体"/>
          <w:b/>
          <w:bCs/>
          <w:sz w:val="24"/>
          <w:szCs w:val="24"/>
          <w:highlight w:val="none"/>
        </w:rPr>
        <w:t>(4)委托代理人提供的证件、证明不齐或不符合要求的，响应文件不予接收。</w:t>
      </w:r>
    </w:p>
    <w:p>
      <w:pPr>
        <w:pStyle w:val="4"/>
        <w:numPr>
          <w:ilvl w:val="0"/>
          <w:numId w:val="0"/>
        </w:numPr>
        <w:tabs>
          <w:tab w:val="left" w:pos="0"/>
        </w:tabs>
        <w:spacing w:line="400" w:lineRule="exact"/>
        <w:ind w:leftChars="0"/>
        <w:jc w:val="center"/>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三、供应商基本情况表</w:t>
      </w:r>
    </w:p>
    <w:p>
      <w:pPr>
        <w:pStyle w:val="11"/>
        <w:spacing w:line="400" w:lineRule="exact"/>
        <w:ind w:firstLine="482"/>
        <w:jc w:val="center"/>
        <w:rPr>
          <w:rFonts w:hint="eastAsia" w:ascii="宋体" w:hAnsi="宋体" w:eastAsia="宋体" w:cs="宋体"/>
          <w:b/>
          <w:kern w:val="10"/>
          <w:sz w:val="24"/>
          <w:szCs w:val="24"/>
          <w:highlight w:val="none"/>
        </w:rPr>
      </w:pPr>
    </w:p>
    <w:tbl>
      <w:tblPr>
        <w:tblStyle w:val="28"/>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1265"/>
        <w:gridCol w:w="2089"/>
        <w:gridCol w:w="142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p>
        </w:tc>
        <w:tc>
          <w:tcPr>
            <w:tcW w:w="695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注册地址</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p>
        </w:tc>
        <w:tc>
          <w:tcPr>
            <w:tcW w:w="2177"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p>
        </w:tc>
        <w:tc>
          <w:tcPr>
            <w:tcW w:w="208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177"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sz w:val="24"/>
                <w:szCs w:val="24"/>
                <w:highlight w:val="none"/>
              </w:rPr>
            </w:pP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p>
        </w:tc>
        <w:tc>
          <w:tcPr>
            <w:tcW w:w="208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网址</w:t>
            </w:r>
          </w:p>
        </w:tc>
        <w:tc>
          <w:tcPr>
            <w:tcW w:w="2177"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208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177"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技术负责人</w:t>
            </w: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208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177"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c>
          <w:tcPr>
            <w:tcW w:w="3602"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统一社会信用代码</w:t>
            </w:r>
          </w:p>
        </w:tc>
        <w:tc>
          <w:tcPr>
            <w:tcW w:w="695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695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p>
        </w:tc>
        <w:tc>
          <w:tcPr>
            <w:tcW w:w="695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账号</w:t>
            </w:r>
          </w:p>
        </w:tc>
        <w:tc>
          <w:tcPr>
            <w:tcW w:w="695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经营范围</w:t>
            </w:r>
          </w:p>
        </w:tc>
        <w:tc>
          <w:tcPr>
            <w:tcW w:w="695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c>
          <w:tcPr>
            <w:tcW w:w="695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宋体" w:hAnsi="宋体" w:eastAsia="宋体" w:cs="宋体"/>
                <w:sz w:val="24"/>
                <w:szCs w:val="24"/>
                <w:highlight w:val="none"/>
              </w:rPr>
            </w:pPr>
          </w:p>
        </w:tc>
      </w:tr>
    </w:tbl>
    <w:p>
      <w:pPr>
        <w:spacing w:line="400" w:lineRule="exact"/>
        <w:ind w:firstLine="360"/>
        <w:jc w:val="center"/>
        <w:rPr>
          <w:rFonts w:hint="eastAsia" w:ascii="宋体" w:hAnsi="宋体" w:eastAsia="宋体" w:cs="宋体"/>
          <w:sz w:val="24"/>
          <w:szCs w:val="24"/>
          <w:highlight w:val="none"/>
        </w:rPr>
      </w:pPr>
    </w:p>
    <w:p>
      <w:pPr>
        <w:spacing w:line="400" w:lineRule="exact"/>
        <w:ind w:firstLine="360"/>
        <w:jc w:val="center"/>
        <w:rPr>
          <w:rFonts w:hint="eastAsia" w:ascii="宋体" w:hAnsi="宋体" w:eastAsia="宋体" w:cs="宋体"/>
          <w:sz w:val="24"/>
          <w:szCs w:val="24"/>
          <w:highlight w:val="none"/>
        </w:rPr>
      </w:pPr>
    </w:p>
    <w:p>
      <w:pPr>
        <w:spacing w:line="400" w:lineRule="exact"/>
        <w:ind w:firstLine="360"/>
        <w:jc w:val="center"/>
        <w:rPr>
          <w:rFonts w:hint="eastAsia" w:ascii="宋体" w:hAnsi="宋体" w:eastAsia="宋体" w:cs="宋体"/>
          <w:sz w:val="24"/>
          <w:szCs w:val="24"/>
          <w:highlight w:val="none"/>
        </w:rPr>
      </w:pPr>
    </w:p>
    <w:p>
      <w:pPr>
        <w:spacing w:line="500" w:lineRule="exact"/>
        <w:ind w:left="0" w:leftChars="0" w:firstLine="2797" w:firstLineChars="1142"/>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500" w:lineRule="exact"/>
        <w:ind w:left="0" w:leftChars="0" w:firstLine="2797" w:firstLineChars="1142"/>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500" w:lineRule="exact"/>
        <w:ind w:left="0" w:leftChars="0" w:right="480" w:firstLine="2797" w:firstLineChars="1142"/>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ind w:left="0" w:leftChars="0" w:firstLine="2797" w:firstLineChars="1142"/>
        <w:rPr>
          <w:rFonts w:hint="eastAsia" w:ascii="宋体" w:hAnsi="宋体" w:eastAsia="宋体" w:cs="宋体"/>
          <w:sz w:val="24"/>
          <w:szCs w:val="24"/>
          <w:highlight w:val="none"/>
        </w:rPr>
      </w:pPr>
    </w:p>
    <w:p>
      <w:pPr>
        <w:pStyle w:val="4"/>
        <w:bidi w:val="0"/>
        <w:jc w:val="center"/>
        <w:rPr>
          <w:rFonts w:hint="eastAsia" w:ascii="宋体" w:hAnsi="宋体" w:eastAsia="宋体" w:cs="宋体"/>
          <w:bCs w:val="0"/>
          <w:sz w:val="24"/>
          <w:szCs w:val="24"/>
          <w:highlight w:val="none"/>
          <w:lang w:val="en-US" w:eastAsia="zh-CN"/>
        </w:rPr>
      </w:pPr>
      <w:r>
        <w:rPr>
          <w:rFonts w:hint="eastAsia" w:ascii="宋体" w:hAnsi="宋体" w:eastAsia="宋体" w:cs="宋体"/>
          <w:sz w:val="24"/>
          <w:szCs w:val="24"/>
          <w:highlight w:val="none"/>
        </w:rPr>
        <w:br w:type="page"/>
      </w:r>
      <w:r>
        <w:rPr>
          <w:rFonts w:hint="eastAsia" w:ascii="宋体" w:hAnsi="宋体" w:eastAsia="宋体" w:cs="宋体"/>
          <w:bCs w:val="0"/>
          <w:sz w:val="24"/>
          <w:szCs w:val="24"/>
          <w:highlight w:val="none"/>
          <w:lang w:val="en-US" w:eastAsia="zh-CN"/>
        </w:rPr>
        <w:t>四、承诺书</w:t>
      </w:r>
    </w:p>
    <w:p>
      <w:pPr>
        <w:snapToGrid w:val="0"/>
        <w:spacing w:line="36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（采购代理机构）：</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一、具备《中华人民共和国政府采购法》第二十二条和本项目规定的条件：</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 xml:space="preserve">（一）具有独立承担民事责任的能力； </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（二）具有良好的商业信誉和健全的财务会计制度；</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 xml:space="preserve">（三）具有履行合同所必需的设备和专业技术能力； </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 xml:space="preserve">（四）有依法缴纳税收和社会保障资金的良好记录； </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（五）参加政府采购活动前三年内，在经营活动中没有重大违法记录；</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（六）法律、行政法规规定的其他条件。</w:t>
      </w:r>
    </w:p>
    <w:p>
      <w:pPr>
        <w:spacing w:line="360" w:lineRule="exact"/>
        <w:ind w:firstLine="480"/>
        <w:rPr>
          <w:rFonts w:hint="eastAsia" w:ascii="宋体" w:hAnsi="宋体" w:eastAsia="宋体" w:cs="宋体"/>
          <w:sz w:val="24"/>
          <w:highlight w:val="none"/>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、我方及现任法定代表人</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主要负责人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（姓名、身份证</w:t>
      </w:r>
      <w:r>
        <w:rPr>
          <w:rFonts w:hint="eastAsia" w:ascii="宋体" w:hAnsi="宋体" w:eastAsia="宋体" w:cs="宋体"/>
          <w:highlight w:val="none"/>
          <w:u w:val="single"/>
        </w:rPr>
        <w:t>号</w:t>
      </w:r>
      <w:r>
        <w:rPr>
          <w:rFonts w:hint="eastAsia" w:ascii="宋体" w:hAnsi="宋体" w:eastAsia="宋体" w:cs="宋体"/>
          <w:sz w:val="24"/>
          <w:highlight w:val="none"/>
          <w:u w:val="single"/>
        </w:rPr>
        <w:t>）</w:t>
      </w:r>
      <w:r>
        <w:rPr>
          <w:rFonts w:hint="eastAsia" w:ascii="宋体" w:hAnsi="宋体" w:eastAsia="宋体" w:cs="宋体"/>
          <w:sz w:val="24"/>
          <w:highlight w:val="none"/>
        </w:rPr>
        <w:t>不具有行贿犯罪记录；</w:t>
      </w:r>
    </w:p>
    <w:p>
      <w:pPr>
        <w:spacing w:line="360" w:lineRule="auto"/>
        <w:ind w:firstLine="482"/>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lang w:val="en-US" w:eastAsia="zh-CN"/>
        </w:rPr>
        <w:t>2</w:t>
      </w:r>
      <w:r>
        <w:rPr>
          <w:rFonts w:hint="eastAsia" w:ascii="宋体" w:hAnsi="宋体" w:eastAsia="宋体" w:cs="宋体"/>
          <w:snapToGrid w:val="0"/>
          <w:sz w:val="24"/>
          <w:szCs w:val="24"/>
          <w:highlight w:val="none"/>
          <w:lang w:eastAsia="zh-CN"/>
        </w:rPr>
        <w:t>、</w:t>
      </w:r>
      <w:r>
        <w:rPr>
          <w:rFonts w:hint="eastAsia" w:ascii="宋体" w:hAnsi="宋体" w:eastAsia="宋体" w:cs="宋体"/>
          <w:snapToGrid w:val="0"/>
          <w:sz w:val="24"/>
          <w:szCs w:val="24"/>
          <w:highlight w:val="none"/>
        </w:rPr>
        <w:t>参加本次采购活动，不存在与</w:t>
      </w:r>
      <w:r>
        <w:rPr>
          <w:rFonts w:hint="eastAsia" w:ascii="宋体" w:hAnsi="宋体" w:eastAsia="宋体" w:cs="宋体"/>
          <w:snapToGrid w:val="0"/>
          <w:sz w:val="24"/>
          <w:szCs w:val="24"/>
          <w:highlight w:val="none"/>
          <w:lang w:val="zh-CN" w:eastAsia="zh-CN"/>
        </w:rPr>
        <w:t>其他供应商之间，</w:t>
      </w:r>
      <w:r>
        <w:rPr>
          <w:rFonts w:hint="eastAsia" w:ascii="宋体" w:hAnsi="宋体" w:eastAsia="宋体" w:cs="宋体"/>
          <w:snapToGrid w:val="0"/>
          <w:sz w:val="24"/>
          <w:szCs w:val="24"/>
          <w:highlight w:val="none"/>
        </w:rPr>
        <w:t>单位负责人为同一人或者存在直接控股、管理关系</w:t>
      </w:r>
      <w:r>
        <w:rPr>
          <w:rFonts w:hint="eastAsia" w:ascii="宋体" w:hAnsi="宋体" w:eastAsia="宋体" w:cs="宋体"/>
          <w:snapToGrid w:val="0"/>
          <w:sz w:val="24"/>
          <w:szCs w:val="24"/>
          <w:highlight w:val="none"/>
          <w:lang w:eastAsia="zh-CN"/>
        </w:rPr>
        <w:t>，</w:t>
      </w:r>
      <w:r>
        <w:rPr>
          <w:rFonts w:hint="eastAsia" w:ascii="宋体" w:hAnsi="宋体" w:eastAsia="宋体" w:cs="宋体"/>
          <w:snapToGrid w:val="0"/>
          <w:sz w:val="24"/>
          <w:szCs w:val="24"/>
          <w:highlight w:val="none"/>
        </w:rPr>
        <w:t>同时委托同一个自然人、同一家庭的人员、同一单位的人员作为代理人或参与同一合同项下的政府采购活动的行为</w:t>
      </w:r>
      <w:r>
        <w:rPr>
          <w:rFonts w:hint="eastAsia" w:ascii="宋体" w:hAnsi="宋体" w:eastAsia="宋体" w:cs="宋体"/>
          <w:snapToGrid w:val="0"/>
          <w:sz w:val="24"/>
          <w:szCs w:val="24"/>
          <w:highlight w:val="none"/>
          <w:lang w:eastAsia="zh-CN"/>
        </w:rPr>
        <w:t>；</w:t>
      </w:r>
    </w:p>
    <w:p>
      <w:pPr>
        <w:spacing w:line="360" w:lineRule="auto"/>
        <w:ind w:firstLine="48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二、完全接受和满足本项目采购文件中规定的实质性要求（如报价、响应文件有效期、采购文件的构成、响应文件的组成、计量单位、报价货币、合同分包、合同转包等），如对采购文件有异议，已经在磋商截止时间届满前依法进行维权救济，不存在对采购文件有异议的同时又参加磋商以求侥幸中标或者为实现其他非法目的的行为。</w:t>
      </w:r>
    </w:p>
    <w:p>
      <w:pPr>
        <w:spacing w:line="360" w:lineRule="auto"/>
        <w:ind w:firstLine="48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三、参加本次采购活动，不存在与单位负责人为同一人或者存在直接控股、管理关系的其他供应商参与同一合同项下的政府采购活动的行为。</w:t>
      </w:r>
    </w:p>
    <w:p>
      <w:pPr>
        <w:spacing w:line="360" w:lineRule="auto"/>
        <w:ind w:firstLine="48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四、参加本次采购活动，不存在和其他供应商在同一合同项下的采购项目中，同时委托同一个自然人、同一家庭的人员、同一单位的人员作为代理人或参与供应商的行为。</w:t>
      </w:r>
    </w:p>
    <w:p>
      <w:pPr>
        <w:numPr>
          <w:ilvl w:val="0"/>
          <w:numId w:val="5"/>
        </w:numPr>
        <w:spacing w:line="360" w:lineRule="auto"/>
        <w:ind w:right="80" w:firstLine="480"/>
        <w:rPr>
          <w:rFonts w:hint="eastAsia" w:ascii="宋体" w:hAnsi="宋体" w:eastAsia="宋体" w:cs="宋体"/>
          <w:snapToGrid w:val="0"/>
          <w:sz w:val="24"/>
          <w:szCs w:val="24"/>
          <w:highlight w:val="none"/>
        </w:rPr>
      </w:pPr>
      <w:bookmarkStart w:id="168" w:name="_Toc18873"/>
      <w:bookmarkStart w:id="169" w:name="_Toc14469"/>
      <w:r>
        <w:rPr>
          <w:rFonts w:hint="eastAsia" w:ascii="宋体" w:hAnsi="宋体" w:eastAsia="宋体" w:cs="宋体"/>
          <w:sz w:val="24"/>
          <w:szCs w:val="24"/>
          <w:highlight w:val="none"/>
        </w:rPr>
        <w:t>在磋商截止日前，</w:t>
      </w:r>
      <w:r>
        <w:rPr>
          <w:rFonts w:hint="eastAsia" w:ascii="宋体" w:hAnsi="宋体" w:eastAsia="宋体" w:cs="宋体"/>
          <w:sz w:val="24"/>
          <w:szCs w:val="24"/>
          <w:highlight w:val="none"/>
          <w:lang w:eastAsia="zh-CN"/>
        </w:rPr>
        <w:t>参照《四川省政府采购当事人诚信管理办法》（川财采〔2015〕33号文件）、严格按照《四川省公共资源交易领域严重失信联合惩戒实施办法》（川发改信用规〔2019〕405号）、《关于对政府采购领域严重违法失信主体开展联合惩戒的合作备忘录》（发改财金〔2018〕1614号）</w:t>
      </w:r>
      <w:r>
        <w:rPr>
          <w:rFonts w:hint="eastAsia" w:ascii="宋体" w:hAnsi="宋体" w:eastAsia="宋体" w:cs="宋体"/>
          <w:sz w:val="24"/>
          <w:szCs w:val="24"/>
          <w:highlight w:val="none"/>
        </w:rPr>
        <w:t>等相关规定失信行为的</w:t>
      </w:r>
      <w:r>
        <w:rPr>
          <w:rFonts w:hint="eastAsia" w:ascii="宋体" w:hAnsi="宋体" w:eastAsia="宋体" w:cs="宋体"/>
          <w:b/>
          <w:sz w:val="24"/>
          <w:szCs w:val="24"/>
          <w:highlight w:val="none"/>
        </w:rPr>
        <w:t>有</w:t>
      </w:r>
      <w:r>
        <w:rPr>
          <w:rFonts w:hint="eastAsia" w:ascii="宋体" w:hAnsi="宋体" w:eastAsia="宋体" w:cs="宋体"/>
          <w:b/>
          <w:sz w:val="24"/>
          <w:szCs w:val="24"/>
          <w:highlight w:val="none"/>
          <w:u w:val="single"/>
        </w:rPr>
        <w:t xml:space="preserve">     </w:t>
      </w:r>
      <w:r>
        <w:rPr>
          <w:rFonts w:hint="eastAsia" w:ascii="宋体" w:hAnsi="宋体" w:eastAsia="宋体" w:cs="宋体"/>
          <w:b/>
          <w:sz w:val="24"/>
          <w:szCs w:val="24"/>
          <w:highlight w:val="none"/>
        </w:rPr>
        <w:t>次；</w:t>
      </w:r>
      <w:r>
        <w:rPr>
          <w:rFonts w:hint="eastAsia" w:ascii="宋体" w:hAnsi="宋体" w:eastAsia="宋体" w:cs="宋体"/>
          <w:sz w:val="24"/>
          <w:szCs w:val="24"/>
          <w:highlight w:val="none"/>
        </w:rPr>
        <w:t>在磋商截止日前被工商部门、税务部门、审判机关及其他有关部门单位认定且处于有效期内的失信行为的</w:t>
      </w:r>
      <w:r>
        <w:rPr>
          <w:rFonts w:hint="eastAsia" w:ascii="宋体" w:hAnsi="宋体" w:eastAsia="宋体" w:cs="宋体"/>
          <w:b/>
          <w:sz w:val="24"/>
          <w:szCs w:val="24"/>
          <w:highlight w:val="none"/>
        </w:rPr>
        <w:t>有</w:t>
      </w:r>
      <w:r>
        <w:rPr>
          <w:rFonts w:hint="eastAsia" w:ascii="宋体" w:hAnsi="宋体" w:eastAsia="宋体" w:cs="宋体"/>
          <w:b/>
          <w:sz w:val="24"/>
          <w:szCs w:val="24"/>
          <w:highlight w:val="none"/>
          <w:u w:val="single"/>
        </w:rPr>
        <w:t xml:space="preserve">       </w:t>
      </w:r>
      <w:r>
        <w:rPr>
          <w:rFonts w:hint="eastAsia" w:ascii="宋体" w:hAnsi="宋体" w:eastAsia="宋体" w:cs="宋体"/>
          <w:b/>
          <w:sz w:val="24"/>
          <w:szCs w:val="24"/>
          <w:highlight w:val="none"/>
        </w:rPr>
        <w:t>次</w:t>
      </w:r>
      <w:r>
        <w:rPr>
          <w:rFonts w:hint="eastAsia" w:ascii="宋体" w:hAnsi="宋体" w:eastAsia="宋体" w:cs="宋体"/>
          <w:sz w:val="24"/>
          <w:szCs w:val="24"/>
          <w:highlight w:val="none"/>
        </w:rPr>
        <w:t>。</w:t>
      </w:r>
      <w:bookmarkEnd w:id="168"/>
      <w:bookmarkEnd w:id="169"/>
    </w:p>
    <w:p>
      <w:pPr>
        <w:numPr>
          <w:ilvl w:val="0"/>
          <w:numId w:val="5"/>
        </w:numPr>
        <w:spacing w:line="360" w:lineRule="auto"/>
        <w:ind w:firstLine="48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响应文件中提供的能够给予我公司带来优惠、好处的任何材料资料和技术、服务、商务等响应承诺情况都是真实的、有效的、合法的。</w:t>
      </w:r>
    </w:p>
    <w:p>
      <w:pPr>
        <w:numPr>
          <w:ilvl w:val="0"/>
          <w:numId w:val="5"/>
        </w:numPr>
        <w:spacing w:line="360" w:lineRule="auto"/>
        <w:ind w:firstLine="480"/>
        <w:outlineLvl w:val="1"/>
        <w:rPr>
          <w:rFonts w:hint="eastAsia" w:ascii="宋体" w:hAnsi="宋体" w:eastAsia="宋体" w:cs="宋体"/>
          <w:sz w:val="24"/>
          <w:szCs w:val="24"/>
          <w:highlight w:val="none"/>
        </w:rPr>
      </w:pPr>
      <w:bookmarkStart w:id="170" w:name="_Toc15366"/>
      <w:bookmarkStart w:id="171" w:name="_Toc13363"/>
      <w:bookmarkStart w:id="172" w:name="_Toc31010"/>
      <w:r>
        <w:rPr>
          <w:rFonts w:hint="eastAsia" w:ascii="宋体" w:hAnsi="宋体" w:eastAsia="宋体" w:cs="宋体"/>
          <w:sz w:val="24"/>
          <w:szCs w:val="24"/>
          <w:highlight w:val="none"/>
        </w:rPr>
        <w:t>在磋商截止日前，未被列入“信用中国”网站(www.creditchina.gov.cn)中列入失信被执行人和重大税收违法案件当事人名单的供应商，未被列入中国政府采购网(www.ccgp.gov. cn)、四川政府采购网（</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"http://www.ccgp-sichuan.gov.cn"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http://www.ccgp-sichuan.gov.cn</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）政府采购严重违法失信行为记录名单中被财政部门禁止参加政府采购活动的供应商(处罚决定规定的时间和地域范围内)。</w:t>
      </w:r>
      <w:bookmarkEnd w:id="170"/>
      <w:bookmarkEnd w:id="171"/>
      <w:bookmarkEnd w:id="172"/>
    </w:p>
    <w:p>
      <w:pPr>
        <w:spacing w:line="360" w:lineRule="auto"/>
        <w:ind w:firstLine="490" w:firstLineChars="20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本公司对上述承诺的内容事项真实性负责。如经查实上述承诺的内容事项存在虚假，我公司愿意接受以提供虚假材料谋取中标追究法律责任。</w:t>
      </w:r>
    </w:p>
    <w:p>
      <w:pPr>
        <w:spacing w:line="360" w:lineRule="auto"/>
        <w:ind w:firstLine="482"/>
        <w:rPr>
          <w:rFonts w:hint="eastAsia" w:ascii="宋体" w:hAnsi="宋体" w:eastAsia="宋体" w:cs="宋体"/>
          <w:snapToGrid w:val="0"/>
          <w:sz w:val="24"/>
          <w:szCs w:val="24"/>
          <w:highlight w:val="none"/>
        </w:rPr>
      </w:pPr>
    </w:p>
    <w:p>
      <w:pPr>
        <w:pStyle w:val="38"/>
        <w:spacing w:line="360" w:lineRule="exact"/>
        <w:rPr>
          <w:rFonts w:hint="eastAsia" w:ascii="宋体" w:hAnsi="宋体" w:eastAsia="宋体" w:cs="宋体"/>
          <w:snapToGrid w:val="0"/>
          <w:szCs w:val="24"/>
          <w:highlight w:val="none"/>
        </w:rPr>
      </w:pPr>
    </w:p>
    <w:p>
      <w:pPr>
        <w:spacing w:line="360" w:lineRule="exact"/>
        <w:ind w:firstLine="4716" w:firstLineChars="1925"/>
        <w:rPr>
          <w:rFonts w:hint="eastAsia" w:ascii="宋体" w:hAnsi="宋体" w:eastAsia="宋体" w:cs="宋体"/>
          <w:sz w:val="24"/>
          <w:szCs w:val="24"/>
          <w:highlight w:val="none"/>
        </w:rPr>
      </w:pPr>
    </w:p>
    <w:p>
      <w:pPr>
        <w:spacing w:line="360" w:lineRule="auto"/>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360" w:lineRule="auto"/>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360" w:lineRule="auto"/>
        <w:ind w:right="480"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 w:val="0"/>
          <w:sz w:val="30"/>
          <w:szCs w:val="30"/>
          <w:highlight w:val="none"/>
        </w:rPr>
        <w:br w:type="page"/>
      </w:r>
      <w:r>
        <w:rPr>
          <w:rFonts w:hint="eastAsia" w:ascii="宋体" w:hAnsi="宋体" w:eastAsia="宋体" w:cs="宋体"/>
          <w:bCs w:val="0"/>
          <w:sz w:val="24"/>
          <w:szCs w:val="24"/>
          <w:highlight w:val="none"/>
          <w:lang w:val="zh-CN" w:eastAsia="zh-CN"/>
        </w:rPr>
        <w:t>五、中小企业声明函（如适用）</w:t>
      </w:r>
    </w:p>
    <w:p>
      <w:pPr>
        <w:spacing w:line="360" w:lineRule="auto"/>
        <w:ind w:firstLine="49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本公司（联合体）郑重声明，根据《政府采购促进中小企业发展管理办法》（财库﹝2020﹞46 号）的规定，本公司（联合体）参加</w:t>
      </w:r>
      <w:r>
        <w:rPr>
          <w:rFonts w:hint="eastAsia" w:ascii="宋体" w:hAnsi="宋体" w:eastAsia="宋体" w:cs="宋体"/>
          <w:b/>
          <w:bCs/>
          <w:sz w:val="24"/>
          <w:szCs w:val="24"/>
          <w:highlight w:val="none"/>
          <w:u w:val="single"/>
        </w:rPr>
        <w:t xml:space="preserve"> （单位名称） </w:t>
      </w:r>
      <w:r>
        <w:rPr>
          <w:rFonts w:hint="eastAsia" w:ascii="宋体" w:hAnsi="宋体" w:eastAsia="宋体" w:cs="宋体"/>
          <w:sz w:val="24"/>
          <w:szCs w:val="24"/>
          <w:highlight w:val="none"/>
        </w:rPr>
        <w:t>的</w:t>
      </w:r>
      <w:r>
        <w:rPr>
          <w:rFonts w:hint="eastAsia" w:ascii="宋体" w:hAnsi="宋体" w:eastAsia="宋体" w:cs="宋体"/>
          <w:b/>
          <w:bCs/>
          <w:sz w:val="24"/>
          <w:szCs w:val="24"/>
          <w:highlight w:val="none"/>
          <w:u w:val="single"/>
        </w:rPr>
        <w:t xml:space="preserve"> （项目名称</w:t>
      </w:r>
      <w:r>
        <w:rPr>
          <w:rFonts w:hint="eastAsia" w:ascii="宋体" w:hAnsi="宋体" w:cs="宋体"/>
          <w:b/>
          <w:bCs/>
          <w:sz w:val="24"/>
          <w:szCs w:val="24"/>
          <w:highlight w:val="none"/>
          <w:u w:val="single"/>
          <w:lang w:eastAsia="zh-CN"/>
        </w:rPr>
        <w:t>、</w:t>
      </w:r>
      <w:r>
        <w:rPr>
          <w:rFonts w:hint="eastAsia" w:ascii="宋体" w:hAnsi="宋体" w:eastAsia="宋体" w:cs="宋体"/>
          <w:b/>
          <w:bCs/>
          <w:sz w:val="24"/>
          <w:szCs w:val="24"/>
          <w:highlight w:val="none"/>
          <w:u w:val="single"/>
        </w:rPr>
        <w:t xml:space="preserve"> </w:t>
      </w:r>
      <w:r>
        <w:rPr>
          <w:rFonts w:hint="eastAsia" w:ascii="宋体" w:hAnsi="宋体" w:cs="宋体"/>
          <w:b/>
          <w:bCs/>
          <w:sz w:val="24"/>
          <w:szCs w:val="24"/>
          <w:highlight w:val="none"/>
          <w:u w:val="single"/>
          <w:lang w:eastAsia="zh-CN"/>
        </w:rPr>
        <w:t>包号</w:t>
      </w:r>
      <w:r>
        <w:rPr>
          <w:rFonts w:hint="eastAsia" w:ascii="宋体" w:hAnsi="宋体" w:eastAsia="宋体" w:cs="宋体"/>
          <w:b/>
          <w:bCs/>
          <w:sz w:val="24"/>
          <w:szCs w:val="24"/>
          <w:highlight w:val="none"/>
          <w:u w:val="single"/>
        </w:rPr>
        <w:t>）</w:t>
      </w:r>
      <w:r>
        <w:rPr>
          <w:rFonts w:hint="eastAsia" w:ascii="宋体" w:hAnsi="宋体" w:eastAsia="宋体" w:cs="宋体"/>
          <w:sz w:val="24"/>
          <w:szCs w:val="24"/>
          <w:highlight w:val="none"/>
        </w:rPr>
        <w:t>采购活动，服务全部由符合政策要求的中小企业承接。相关企业（含联合体中的中小企业、签订分包意向协议的中小企业）的具体情况如下：</w:t>
      </w:r>
    </w:p>
    <w:p>
      <w:pPr>
        <w:spacing w:line="360" w:lineRule="auto"/>
        <w:ind w:firstLine="49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b/>
          <w:bCs/>
          <w:sz w:val="24"/>
          <w:szCs w:val="24"/>
          <w:highlight w:val="none"/>
          <w:u w:val="single"/>
        </w:rPr>
        <w:t xml:space="preserve"> （标的名称） </w:t>
      </w:r>
      <w:r>
        <w:rPr>
          <w:rFonts w:hint="eastAsia" w:ascii="宋体" w:hAnsi="宋体" w:eastAsia="宋体" w:cs="宋体"/>
          <w:sz w:val="24"/>
          <w:szCs w:val="24"/>
          <w:highlight w:val="none"/>
        </w:rPr>
        <w:t>，属于</w:t>
      </w:r>
      <w:r>
        <w:rPr>
          <w:rFonts w:hint="eastAsia" w:ascii="宋体" w:hAnsi="宋体" w:eastAsia="宋体" w:cs="宋体"/>
          <w:b/>
          <w:bCs/>
          <w:sz w:val="24"/>
          <w:szCs w:val="24"/>
          <w:highlight w:val="none"/>
          <w:u w:val="single"/>
        </w:rPr>
        <w:t xml:space="preserve"> （采购文件中明确的所属行业） </w:t>
      </w:r>
      <w:r>
        <w:rPr>
          <w:rFonts w:hint="eastAsia" w:ascii="宋体" w:hAnsi="宋体" w:eastAsia="宋体" w:cs="宋体"/>
          <w:sz w:val="24"/>
          <w:szCs w:val="24"/>
          <w:highlight w:val="none"/>
        </w:rPr>
        <w:t>；承建（承接）企业为</w:t>
      </w:r>
      <w:r>
        <w:rPr>
          <w:rFonts w:hint="eastAsia" w:ascii="宋体" w:hAnsi="宋体" w:eastAsia="宋体" w:cs="宋体"/>
          <w:b/>
          <w:bCs/>
          <w:sz w:val="24"/>
          <w:szCs w:val="24"/>
          <w:highlight w:val="none"/>
          <w:u w:val="single"/>
        </w:rPr>
        <w:t xml:space="preserve"> （企业名称） </w:t>
      </w:r>
      <w:r>
        <w:rPr>
          <w:rFonts w:hint="eastAsia" w:ascii="宋体" w:hAnsi="宋体" w:eastAsia="宋体" w:cs="宋体"/>
          <w:sz w:val="24"/>
          <w:szCs w:val="24"/>
          <w:highlight w:val="none"/>
        </w:rPr>
        <w:t>，从业人员</w:t>
      </w:r>
      <w:r>
        <w:rPr>
          <w:rFonts w:hint="eastAsia" w:ascii="宋体" w:hAnsi="宋体" w:eastAsia="宋体" w:cs="宋体"/>
          <w:b/>
          <w:bCs/>
          <w:sz w:val="24"/>
          <w:szCs w:val="24"/>
          <w:highlight w:val="none"/>
          <w:u w:val="single"/>
        </w:rPr>
        <w:t>XXX</w:t>
      </w:r>
      <w:r>
        <w:rPr>
          <w:rFonts w:hint="eastAsia" w:ascii="宋体" w:hAnsi="宋体" w:eastAsia="宋体" w:cs="宋体"/>
          <w:sz w:val="24"/>
          <w:szCs w:val="24"/>
          <w:highlight w:val="none"/>
        </w:rPr>
        <w:t>人，营业收入为</w:t>
      </w:r>
      <w:r>
        <w:rPr>
          <w:rFonts w:hint="eastAsia" w:ascii="宋体" w:hAnsi="宋体" w:eastAsia="宋体" w:cs="宋体"/>
          <w:b/>
          <w:bCs/>
          <w:sz w:val="24"/>
          <w:szCs w:val="24"/>
          <w:highlight w:val="none"/>
          <w:u w:val="single"/>
        </w:rPr>
        <w:t>XX</w:t>
      </w:r>
      <w:r>
        <w:rPr>
          <w:rFonts w:hint="eastAsia" w:ascii="宋体" w:hAnsi="宋体" w:eastAsia="宋体" w:cs="宋体"/>
          <w:sz w:val="24"/>
          <w:szCs w:val="24"/>
          <w:highlight w:val="none"/>
        </w:rPr>
        <w:t>万元，资产总额为</w:t>
      </w:r>
      <w:r>
        <w:rPr>
          <w:rFonts w:hint="eastAsia" w:ascii="宋体" w:hAnsi="宋体" w:eastAsia="宋体" w:cs="宋体"/>
          <w:b/>
          <w:bCs/>
          <w:sz w:val="24"/>
          <w:szCs w:val="24"/>
          <w:highlight w:val="none"/>
          <w:u w:val="single"/>
        </w:rPr>
        <w:t>XX</w:t>
      </w:r>
      <w:r>
        <w:rPr>
          <w:rFonts w:hint="eastAsia" w:ascii="宋体" w:hAnsi="宋体" w:eastAsia="宋体" w:cs="宋体"/>
          <w:sz w:val="24"/>
          <w:szCs w:val="24"/>
          <w:highlight w:val="none"/>
        </w:rPr>
        <w:t>万元，属于</w:t>
      </w:r>
      <w:r>
        <w:rPr>
          <w:rFonts w:hint="eastAsia" w:ascii="宋体" w:hAnsi="宋体" w:eastAsia="宋体" w:cs="宋体"/>
          <w:b/>
          <w:bCs/>
          <w:sz w:val="24"/>
          <w:szCs w:val="24"/>
          <w:highlight w:val="none"/>
          <w:u w:val="single"/>
        </w:rPr>
        <w:t xml:space="preserve"> （中型企业、小型企业、微型企业） </w:t>
      </w:r>
      <w:r>
        <w:rPr>
          <w:rFonts w:hint="eastAsia" w:ascii="宋体" w:hAnsi="宋体" w:eastAsia="宋体" w:cs="宋体"/>
          <w:sz w:val="24"/>
          <w:szCs w:val="24"/>
          <w:highlight w:val="none"/>
        </w:rPr>
        <w:t>；</w:t>
      </w:r>
    </w:p>
    <w:p>
      <w:pPr>
        <w:spacing w:line="360" w:lineRule="auto"/>
        <w:ind w:firstLine="49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b/>
          <w:bCs/>
          <w:sz w:val="24"/>
          <w:szCs w:val="24"/>
          <w:highlight w:val="none"/>
          <w:u w:val="single"/>
        </w:rPr>
        <w:t xml:space="preserve"> （标的名称） </w:t>
      </w:r>
      <w:r>
        <w:rPr>
          <w:rFonts w:hint="eastAsia" w:ascii="宋体" w:hAnsi="宋体" w:eastAsia="宋体" w:cs="宋体"/>
          <w:sz w:val="24"/>
          <w:szCs w:val="24"/>
          <w:highlight w:val="none"/>
        </w:rPr>
        <w:t>，属于</w:t>
      </w:r>
      <w:r>
        <w:rPr>
          <w:rFonts w:hint="eastAsia" w:ascii="宋体" w:hAnsi="宋体" w:eastAsia="宋体" w:cs="宋体"/>
          <w:b/>
          <w:bCs/>
          <w:sz w:val="24"/>
          <w:szCs w:val="24"/>
          <w:highlight w:val="none"/>
          <w:u w:val="single"/>
        </w:rPr>
        <w:t xml:space="preserve"> （采购文件中明确的所属行业） </w:t>
      </w:r>
      <w:r>
        <w:rPr>
          <w:rFonts w:hint="eastAsia" w:ascii="宋体" w:hAnsi="宋体" w:eastAsia="宋体" w:cs="宋体"/>
          <w:sz w:val="24"/>
          <w:szCs w:val="24"/>
          <w:highlight w:val="none"/>
        </w:rPr>
        <w:t>；承建（承接）企业为</w:t>
      </w:r>
      <w:r>
        <w:rPr>
          <w:rFonts w:hint="eastAsia" w:ascii="宋体" w:hAnsi="宋体" w:eastAsia="宋体" w:cs="宋体"/>
          <w:b/>
          <w:bCs/>
          <w:sz w:val="24"/>
          <w:szCs w:val="24"/>
          <w:highlight w:val="none"/>
          <w:u w:val="single"/>
        </w:rPr>
        <w:t xml:space="preserve"> （企业名称） </w:t>
      </w:r>
      <w:r>
        <w:rPr>
          <w:rFonts w:hint="eastAsia" w:ascii="宋体" w:hAnsi="宋体" w:eastAsia="宋体" w:cs="宋体"/>
          <w:sz w:val="24"/>
          <w:szCs w:val="24"/>
          <w:highlight w:val="none"/>
        </w:rPr>
        <w:t>，从业人员</w:t>
      </w:r>
      <w:r>
        <w:rPr>
          <w:rFonts w:hint="eastAsia" w:ascii="宋体" w:hAnsi="宋体" w:eastAsia="宋体" w:cs="宋体"/>
          <w:b/>
          <w:bCs/>
          <w:sz w:val="24"/>
          <w:szCs w:val="24"/>
          <w:highlight w:val="none"/>
          <w:u w:val="single"/>
        </w:rPr>
        <w:t>XXX</w:t>
      </w:r>
      <w:r>
        <w:rPr>
          <w:rFonts w:hint="eastAsia" w:ascii="宋体" w:hAnsi="宋体" w:eastAsia="宋体" w:cs="宋体"/>
          <w:sz w:val="24"/>
          <w:szCs w:val="24"/>
          <w:highlight w:val="none"/>
        </w:rPr>
        <w:t>人，营业收入为</w:t>
      </w:r>
      <w:r>
        <w:rPr>
          <w:rFonts w:hint="eastAsia" w:ascii="宋体" w:hAnsi="宋体" w:eastAsia="宋体" w:cs="宋体"/>
          <w:b/>
          <w:bCs/>
          <w:sz w:val="24"/>
          <w:szCs w:val="24"/>
          <w:highlight w:val="none"/>
          <w:u w:val="single"/>
        </w:rPr>
        <w:t>XXX</w:t>
      </w:r>
      <w:r>
        <w:rPr>
          <w:rFonts w:hint="eastAsia" w:ascii="宋体" w:hAnsi="宋体" w:eastAsia="宋体" w:cs="宋体"/>
          <w:sz w:val="24"/>
          <w:szCs w:val="24"/>
          <w:highlight w:val="none"/>
        </w:rPr>
        <w:t>万元，资产总额为</w:t>
      </w:r>
      <w:r>
        <w:rPr>
          <w:rFonts w:hint="eastAsia" w:ascii="宋体" w:hAnsi="宋体" w:eastAsia="宋体" w:cs="宋体"/>
          <w:b/>
          <w:bCs/>
          <w:sz w:val="24"/>
          <w:szCs w:val="24"/>
          <w:highlight w:val="none"/>
          <w:u w:val="single"/>
        </w:rPr>
        <w:t>XX</w:t>
      </w:r>
      <w:r>
        <w:rPr>
          <w:rFonts w:hint="eastAsia" w:ascii="宋体" w:hAnsi="宋体" w:eastAsia="宋体" w:cs="宋体"/>
          <w:sz w:val="24"/>
          <w:szCs w:val="24"/>
          <w:highlight w:val="none"/>
        </w:rPr>
        <w:t>万元，属于</w:t>
      </w:r>
      <w:r>
        <w:rPr>
          <w:rFonts w:hint="eastAsia" w:ascii="宋体" w:hAnsi="宋体" w:eastAsia="宋体" w:cs="宋体"/>
          <w:b/>
          <w:bCs/>
          <w:sz w:val="24"/>
          <w:szCs w:val="24"/>
          <w:highlight w:val="none"/>
          <w:u w:val="single"/>
        </w:rPr>
        <w:t xml:space="preserve"> （中型企业、小型企业、微型企业） </w:t>
      </w:r>
      <w:r>
        <w:rPr>
          <w:rFonts w:hint="eastAsia" w:ascii="宋体" w:hAnsi="宋体" w:eastAsia="宋体" w:cs="宋体"/>
          <w:sz w:val="24"/>
          <w:szCs w:val="24"/>
          <w:highlight w:val="none"/>
        </w:rPr>
        <w:t>；</w:t>
      </w:r>
    </w:p>
    <w:p>
      <w:pPr>
        <w:spacing w:line="360" w:lineRule="auto"/>
        <w:ind w:firstLine="49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spacing w:line="360" w:lineRule="auto"/>
        <w:ind w:firstLine="49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以上企业，不属于大企业的分支机构，不存在控股股东为大企业的情形，也不存在与大企业的负责人为同一人的情形。</w:t>
      </w:r>
    </w:p>
    <w:p>
      <w:pPr>
        <w:spacing w:line="360" w:lineRule="auto"/>
        <w:ind w:firstLine="49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本企业对上述声明内容的真实性负责。如有虚假，将依法承担相应责任。</w:t>
      </w:r>
    </w:p>
    <w:p>
      <w:pPr>
        <w:ind w:firstLine="3920" w:firstLineChars="1600"/>
        <w:rPr>
          <w:rFonts w:hint="eastAsia" w:ascii="宋体" w:hAnsi="宋体" w:eastAsia="宋体" w:cs="宋体"/>
          <w:sz w:val="24"/>
          <w:szCs w:val="24"/>
          <w:highlight w:val="none"/>
        </w:rPr>
      </w:pPr>
    </w:p>
    <w:p>
      <w:pPr>
        <w:ind w:firstLine="3920" w:firstLineChars="1600"/>
        <w:rPr>
          <w:rFonts w:hint="eastAsia" w:ascii="宋体" w:hAnsi="宋体" w:eastAsia="宋体" w:cs="宋体"/>
          <w:sz w:val="24"/>
          <w:szCs w:val="24"/>
          <w:highlight w:val="none"/>
        </w:rPr>
      </w:pPr>
    </w:p>
    <w:p>
      <w:pPr>
        <w:ind w:firstLine="3920" w:firstLineChars="1600"/>
        <w:rPr>
          <w:rFonts w:hint="eastAsia" w:ascii="宋体" w:hAnsi="宋体" w:eastAsia="宋体" w:cs="宋体"/>
          <w:sz w:val="24"/>
          <w:szCs w:val="24"/>
          <w:highlight w:val="none"/>
        </w:rPr>
      </w:pPr>
    </w:p>
    <w:p>
      <w:pPr>
        <w:ind w:firstLine="392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企业名称（盖章）：</w:t>
      </w:r>
    </w:p>
    <w:p>
      <w:pPr>
        <w:ind w:firstLine="392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p>
      <w:pPr>
        <w:rPr>
          <w:rFonts w:hint="eastAsia" w:ascii="宋体" w:hAnsi="宋体" w:eastAsia="宋体" w:cs="宋体"/>
          <w:sz w:val="24"/>
          <w:szCs w:val="24"/>
          <w:highlight w:val="none"/>
        </w:rPr>
      </w:pPr>
    </w:p>
    <w:p>
      <w:pPr>
        <w:pStyle w:val="38"/>
        <w:rPr>
          <w:rFonts w:hint="eastAsia" w:ascii="宋体" w:hAnsi="宋体" w:eastAsia="宋体" w:cs="宋体"/>
          <w:highlight w:val="none"/>
        </w:rPr>
      </w:pPr>
    </w:p>
    <w:p>
      <w:pPr>
        <w:pStyle w:val="38"/>
        <w:rPr>
          <w:rFonts w:hint="eastAsia" w:ascii="宋体" w:hAnsi="宋体" w:eastAsia="宋体" w:cs="宋体"/>
          <w:highlight w:val="none"/>
        </w:rPr>
      </w:pPr>
    </w:p>
    <w:p>
      <w:pPr>
        <w:spacing w:line="360" w:lineRule="auto"/>
        <w:ind w:firstLine="638" w:firstLineChars="284"/>
        <w:rPr>
          <w:rFonts w:hint="eastAsia" w:ascii="宋体" w:hAnsi="宋体" w:eastAsia="宋体" w:cs="宋体"/>
          <w:b/>
          <w:bCs/>
          <w:sz w:val="22"/>
          <w:szCs w:val="22"/>
          <w:highlight w:val="none"/>
        </w:rPr>
      </w:pPr>
      <w:bookmarkStart w:id="173" w:name="_bookmark1"/>
      <w:bookmarkEnd w:id="173"/>
      <w:r>
        <w:rPr>
          <w:rFonts w:hint="eastAsia" w:ascii="宋体" w:hAnsi="宋体" w:eastAsia="宋体" w:cs="宋体"/>
          <w:b/>
          <w:bCs/>
          <w:sz w:val="22"/>
          <w:szCs w:val="22"/>
          <w:highlight w:val="none"/>
        </w:rPr>
        <w:t>注：1.从业人员、营业收入、资产总额填报上一年度数据，无上一年度数据的新成立企业可不填报。</w:t>
      </w:r>
    </w:p>
    <w:p>
      <w:pPr>
        <w:spacing w:line="360" w:lineRule="auto"/>
        <w:ind w:firstLine="695" w:firstLineChars="284"/>
        <w:rPr>
          <w:rFonts w:hint="eastAsia" w:ascii="宋体" w:hAnsi="宋体" w:eastAsia="宋体" w:cs="宋体"/>
          <w:b/>
          <w:bCs/>
          <w:sz w:val="22"/>
          <w:szCs w:val="22"/>
          <w:highlight w:val="none"/>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2.根据“工信部联企业〔2011〕300号——关于印发中小企业划型标准规定的通知”，本项目所属行业为：</w:t>
      </w:r>
      <w:r>
        <w:rPr>
          <w:rFonts w:hint="eastAsia" w:ascii="宋体" w:hAnsi="宋体" w:cs="宋体"/>
          <w:b/>
          <w:bCs/>
          <w:color w:val="000000" w:themeColor="text1"/>
          <w:sz w:val="24"/>
          <w:szCs w:val="24"/>
          <w:highlight w:val="none"/>
          <w:lang w:val="en-US" w:eastAsia="zh-CN"/>
          <w14:textFill>
            <w14:solidFill>
              <w14:schemeClr w14:val="tx1"/>
            </w14:solidFill>
          </w14:textFill>
        </w:rPr>
        <w:t>其他未列明行业</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，其划分标准为：从业人员300人以下的为中小微型企业。其中，从业人员100人及以上的为中型企业；从业人员10人及以上的为小型企业；从业人员10人 以下的为微型企业</w:t>
      </w:r>
      <w:r>
        <w:rPr>
          <w:rFonts w:hint="eastAsia" w:ascii="宋体" w:hAnsi="宋体" w:eastAsia="宋体" w:cs="宋体"/>
          <w:b/>
          <w:bCs/>
          <w:sz w:val="22"/>
          <w:szCs w:val="22"/>
          <w:highlight w:val="none"/>
        </w:rPr>
        <w:t>。</w:t>
      </w: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highlight w:val="none"/>
          <w:lang w:val="zh-CN"/>
        </w:rPr>
        <w:br w:type="page"/>
      </w:r>
      <w:r>
        <w:rPr>
          <w:rFonts w:hint="eastAsia" w:ascii="宋体" w:hAnsi="宋体" w:eastAsia="宋体" w:cs="宋体"/>
          <w:bCs w:val="0"/>
          <w:sz w:val="24"/>
          <w:szCs w:val="24"/>
          <w:highlight w:val="none"/>
          <w:lang w:val="zh-CN" w:eastAsia="zh-CN"/>
        </w:rPr>
        <w:t>六、监狱企业证明文件（如涉及）</w:t>
      </w:r>
    </w:p>
    <w:p>
      <w:pPr>
        <w:ind w:firstLine="480"/>
        <w:rPr>
          <w:rFonts w:hint="eastAsia" w:ascii="宋体" w:hAnsi="宋体" w:eastAsia="宋体" w:cs="宋体"/>
          <w:highlight w:val="none"/>
        </w:rPr>
      </w:pPr>
    </w:p>
    <w:p>
      <w:pPr>
        <w:widowControl/>
        <w:spacing w:after="225" w:line="360" w:lineRule="auto"/>
        <w:ind w:firstLine="420"/>
        <w:jc w:val="left"/>
        <w:rPr>
          <w:rFonts w:hint="eastAsia" w:ascii="宋体" w:hAnsi="宋体" w:eastAsia="宋体" w:cs="宋体"/>
          <w:kern w:val="0"/>
          <w:sz w:val="24"/>
          <w:highlight w:val="none"/>
          <w:lang w:bidi="ar"/>
        </w:rPr>
      </w:pPr>
    </w:p>
    <w:p>
      <w:pPr>
        <w:widowControl/>
        <w:spacing w:after="225" w:line="360" w:lineRule="auto"/>
        <w:ind w:firstLine="420"/>
        <w:jc w:val="left"/>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监狱企业参加政府采购活动时，应当提供由省级以上监狱管理局、戒毒管理局（含新疆生产建设兵团）出具的属于监狱企业的证明文件。</w:t>
      </w:r>
    </w:p>
    <w:p>
      <w:pPr>
        <w:pStyle w:val="2"/>
        <w:ind w:firstLine="420"/>
        <w:rPr>
          <w:rFonts w:hint="eastAsia" w:ascii="宋体" w:hAnsi="宋体" w:eastAsia="宋体" w:cs="宋体"/>
          <w:highlight w:val="none"/>
        </w:rPr>
      </w:pPr>
    </w:p>
    <w:p>
      <w:pPr>
        <w:pStyle w:val="2"/>
        <w:ind w:firstLine="420"/>
        <w:rPr>
          <w:rFonts w:hint="eastAsia" w:ascii="宋体" w:hAnsi="宋体" w:eastAsia="宋体" w:cs="宋体"/>
          <w:highlight w:val="none"/>
        </w:rPr>
      </w:pPr>
    </w:p>
    <w:p>
      <w:pPr>
        <w:pStyle w:val="2"/>
        <w:ind w:firstLine="420"/>
        <w:rPr>
          <w:rFonts w:hint="eastAsia" w:ascii="宋体" w:hAnsi="宋体" w:eastAsia="宋体" w:cs="宋体"/>
          <w:highlight w:val="none"/>
        </w:rPr>
      </w:pPr>
    </w:p>
    <w:p>
      <w:pPr>
        <w:pStyle w:val="2"/>
        <w:ind w:firstLine="480"/>
        <w:rPr>
          <w:rFonts w:hint="eastAsia" w:ascii="宋体" w:hAnsi="宋体" w:eastAsia="宋体" w:cs="宋体"/>
          <w:kern w:val="0"/>
          <w:sz w:val="24"/>
          <w:szCs w:val="20"/>
          <w:highlight w:val="none"/>
        </w:rPr>
      </w:pPr>
    </w:p>
    <w:p>
      <w:pPr>
        <w:pStyle w:val="2"/>
        <w:ind w:firstLine="480"/>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注：在政府采购活动中，监狱企业视同小型、微型企业，享受预留份额。</w:t>
      </w:r>
    </w:p>
    <w:p>
      <w:pPr>
        <w:pStyle w:val="2"/>
        <w:ind w:firstLine="420"/>
        <w:rPr>
          <w:rFonts w:hint="eastAsia" w:ascii="宋体" w:hAnsi="宋体" w:eastAsia="宋体" w:cs="宋体"/>
          <w:highlight w:val="none"/>
        </w:rPr>
      </w:pPr>
    </w:p>
    <w:p>
      <w:pPr>
        <w:pStyle w:val="2"/>
        <w:ind w:firstLine="420"/>
        <w:rPr>
          <w:rFonts w:hint="eastAsia" w:ascii="宋体" w:hAnsi="宋体" w:eastAsia="宋体" w:cs="宋体"/>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ind w:firstLine="480"/>
        <w:rPr>
          <w:rFonts w:hint="eastAsia" w:ascii="宋体" w:hAnsi="宋体" w:eastAsia="宋体" w:cs="宋体"/>
          <w:highlight w:val="none"/>
        </w:rPr>
      </w:pPr>
    </w:p>
    <w:p>
      <w:pPr>
        <w:ind w:firstLine="480"/>
        <w:rPr>
          <w:rFonts w:hint="eastAsia" w:ascii="宋体" w:hAnsi="宋体" w:eastAsia="宋体" w:cs="宋体"/>
          <w:highlight w:val="none"/>
        </w:rPr>
      </w:pP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 w:val="0"/>
          <w:spacing w:val="6"/>
          <w:sz w:val="32"/>
          <w:szCs w:val="32"/>
          <w:highlight w:val="none"/>
        </w:rPr>
        <w:br w:type="page"/>
      </w:r>
      <w:r>
        <w:rPr>
          <w:rFonts w:hint="eastAsia" w:ascii="宋体" w:hAnsi="宋体" w:eastAsia="宋体" w:cs="宋体"/>
          <w:bCs w:val="0"/>
          <w:sz w:val="24"/>
          <w:szCs w:val="24"/>
          <w:highlight w:val="none"/>
          <w:lang w:val="zh-CN" w:eastAsia="zh-CN"/>
        </w:rPr>
        <w:t>七、残疾人福利性单位声明函（如涉及）</w:t>
      </w:r>
    </w:p>
    <w:p>
      <w:pPr>
        <w:spacing w:line="588" w:lineRule="exact"/>
        <w:ind w:firstLine="626"/>
        <w:rPr>
          <w:rFonts w:hint="eastAsia" w:ascii="宋体" w:hAnsi="宋体" w:eastAsia="宋体" w:cs="宋体"/>
          <w:b/>
          <w:spacing w:val="6"/>
          <w:sz w:val="30"/>
          <w:szCs w:val="30"/>
          <w:highlight w:val="none"/>
        </w:rPr>
      </w:pPr>
    </w:p>
    <w:p>
      <w:pPr>
        <w:spacing w:line="588" w:lineRule="exact"/>
        <w:jc w:val="center"/>
        <w:rPr>
          <w:rFonts w:hint="eastAsia" w:ascii="宋体" w:hAnsi="宋体" w:eastAsia="宋体" w:cs="宋体"/>
          <w:b/>
          <w:bCs/>
          <w:szCs w:val="28"/>
          <w:highlight w:val="none"/>
        </w:rPr>
      </w:pPr>
      <w:r>
        <w:rPr>
          <w:rFonts w:hint="eastAsia" w:ascii="宋体" w:hAnsi="宋体" w:eastAsia="宋体" w:cs="宋体"/>
          <w:b/>
          <w:bCs/>
          <w:szCs w:val="28"/>
          <w:highlight w:val="none"/>
        </w:rPr>
        <w:t>（注：仅残疾人福利性单位提供，非残疾人福利性单位不提供本声明函）</w:t>
      </w:r>
    </w:p>
    <w:p>
      <w:pPr>
        <w:pStyle w:val="2"/>
        <w:rPr>
          <w:rFonts w:hint="eastAsia" w:ascii="宋体" w:hAnsi="宋体" w:eastAsia="宋体" w:cs="宋体"/>
          <w:highlight w:val="none"/>
        </w:rPr>
      </w:pPr>
    </w:p>
    <w:p>
      <w:pPr>
        <w:spacing w:line="360" w:lineRule="auto"/>
        <w:ind w:firstLine="504"/>
        <w:rPr>
          <w:rFonts w:hint="eastAsia" w:ascii="宋体" w:hAnsi="宋体" w:eastAsia="宋体" w:cs="宋体"/>
          <w:spacing w:val="6"/>
          <w:sz w:val="24"/>
          <w:highlight w:val="none"/>
        </w:rPr>
      </w:pPr>
      <w:r>
        <w:rPr>
          <w:rFonts w:hint="eastAsia" w:ascii="宋体" w:hAnsi="宋体" w:eastAsia="宋体" w:cs="宋体"/>
          <w:spacing w:val="6"/>
          <w:sz w:val="24"/>
          <w:highlight w:val="none"/>
        </w:rPr>
        <w:t>本单位郑重声明，根据《财政部 民政部 中国残疾人联合会关于促进残疾人就业政府采购政策的通知》（财库</w:t>
      </w:r>
      <w:r>
        <w:rPr>
          <w:rFonts w:hint="eastAsia" w:ascii="宋体" w:hAnsi="宋体" w:eastAsia="宋体" w:cs="宋体"/>
          <w:sz w:val="24"/>
          <w:highlight w:val="none"/>
        </w:rPr>
        <w:t>〔2017〕 141</w:t>
      </w:r>
      <w:r>
        <w:rPr>
          <w:rFonts w:hint="eastAsia" w:ascii="宋体" w:hAnsi="宋体" w:eastAsia="宋体" w:cs="宋体"/>
          <w:spacing w:val="6"/>
          <w:sz w:val="24"/>
          <w:highlight w:val="none"/>
        </w:rPr>
        <w:t>号）的规定，本单位为符合条件的残疾人福利性单位，且本单位参加</w:t>
      </w:r>
      <w:r>
        <w:rPr>
          <w:rFonts w:hint="eastAsia" w:ascii="宋体" w:hAnsi="宋体" w:eastAsia="宋体" w:cs="宋体"/>
          <w:spacing w:val="6"/>
          <w:sz w:val="24"/>
          <w:highlight w:val="none"/>
          <w:u w:val="single"/>
        </w:rPr>
        <w:t xml:space="preserve">          </w:t>
      </w:r>
      <w:r>
        <w:rPr>
          <w:rFonts w:hint="eastAsia" w:ascii="宋体" w:hAnsi="宋体" w:eastAsia="宋体" w:cs="宋体"/>
          <w:spacing w:val="6"/>
          <w:sz w:val="24"/>
          <w:highlight w:val="none"/>
        </w:rPr>
        <w:t>单位的</w:t>
      </w:r>
      <w:r>
        <w:rPr>
          <w:rFonts w:hint="eastAsia" w:ascii="宋体" w:hAnsi="宋体" w:eastAsia="宋体" w:cs="宋体"/>
          <w:spacing w:val="6"/>
          <w:sz w:val="24"/>
          <w:highlight w:val="none"/>
          <w:u w:val="single"/>
        </w:rPr>
        <w:t xml:space="preserve">        </w:t>
      </w:r>
      <w:r>
        <w:rPr>
          <w:rFonts w:hint="eastAsia" w:ascii="宋体" w:hAnsi="宋体" w:eastAsia="宋体" w:cs="宋体"/>
          <w:spacing w:val="6"/>
          <w:sz w:val="24"/>
          <w:highlight w:val="none"/>
        </w:rPr>
        <w:t>项目</w:t>
      </w:r>
      <w:r>
        <w:rPr>
          <w:rFonts w:hint="eastAsia" w:ascii="宋体" w:hAnsi="宋体" w:cs="宋体"/>
          <w:spacing w:val="6"/>
          <w:sz w:val="24"/>
          <w:highlight w:val="none"/>
          <w:lang w:eastAsia="zh-CN"/>
        </w:rPr>
        <w:t>第</w:t>
      </w:r>
      <w:r>
        <w:rPr>
          <w:rFonts w:hint="eastAsia" w:ascii="宋体" w:hAnsi="宋体" w:cs="宋体"/>
          <w:spacing w:val="6"/>
          <w:sz w:val="24"/>
          <w:highlight w:val="none"/>
          <w:u w:val="single"/>
          <w:lang w:val="en-US" w:eastAsia="zh-CN"/>
        </w:rPr>
        <w:t xml:space="preserve">   </w:t>
      </w:r>
      <w:r>
        <w:rPr>
          <w:rFonts w:hint="eastAsia" w:ascii="宋体" w:hAnsi="宋体" w:cs="宋体"/>
          <w:spacing w:val="6"/>
          <w:sz w:val="24"/>
          <w:highlight w:val="none"/>
          <w:u w:val="none"/>
          <w:lang w:val="en-US" w:eastAsia="zh-CN"/>
        </w:rPr>
        <w:t>包</w:t>
      </w:r>
      <w:r>
        <w:rPr>
          <w:rFonts w:hint="eastAsia" w:ascii="宋体" w:hAnsi="宋体" w:eastAsia="宋体" w:cs="宋体"/>
          <w:spacing w:val="6"/>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504"/>
        <w:rPr>
          <w:rFonts w:hint="eastAsia" w:ascii="宋体" w:hAnsi="宋体" w:eastAsia="宋体" w:cs="宋体"/>
          <w:spacing w:val="6"/>
          <w:sz w:val="24"/>
          <w:highlight w:val="none"/>
        </w:rPr>
      </w:pPr>
      <w:r>
        <w:rPr>
          <w:rFonts w:hint="eastAsia" w:ascii="宋体" w:hAnsi="宋体" w:eastAsia="宋体" w:cs="宋体"/>
          <w:spacing w:val="6"/>
          <w:sz w:val="24"/>
          <w:highlight w:val="none"/>
        </w:rPr>
        <w:t>本单位对上述声明的真实性负责。如有虚假，将依法承担相应责任。</w:t>
      </w:r>
    </w:p>
    <w:p>
      <w:pPr>
        <w:spacing w:line="360" w:lineRule="auto"/>
        <w:ind w:firstLine="624"/>
        <w:rPr>
          <w:rFonts w:hint="eastAsia" w:ascii="宋体" w:hAnsi="宋体" w:eastAsia="宋体" w:cs="宋体"/>
          <w:spacing w:val="6"/>
          <w:sz w:val="24"/>
          <w:highlight w:val="none"/>
        </w:rPr>
      </w:pPr>
    </w:p>
    <w:p>
      <w:pPr>
        <w:spacing w:line="360" w:lineRule="auto"/>
        <w:ind w:firstLine="624"/>
        <w:rPr>
          <w:rFonts w:hint="eastAsia" w:ascii="宋体" w:hAnsi="宋体" w:eastAsia="宋体" w:cs="宋体"/>
          <w:spacing w:val="6"/>
          <w:sz w:val="24"/>
          <w:highlight w:val="none"/>
        </w:rPr>
      </w:pPr>
    </w:p>
    <w:p>
      <w:pPr>
        <w:widowControl/>
        <w:spacing w:line="360" w:lineRule="auto"/>
        <w:ind w:firstLine="624"/>
        <w:jc w:val="left"/>
        <w:rPr>
          <w:rFonts w:hint="eastAsia" w:ascii="宋体" w:hAnsi="宋体" w:eastAsia="宋体" w:cs="宋体"/>
          <w:sz w:val="24"/>
          <w:highlight w:val="none"/>
        </w:rPr>
      </w:pPr>
      <w:r>
        <w:rPr>
          <w:rFonts w:hint="eastAsia" w:ascii="宋体" w:hAnsi="宋体" w:eastAsia="宋体" w:cs="宋体"/>
          <w:spacing w:val="6"/>
          <w:sz w:val="24"/>
          <w:highlight w:val="none"/>
        </w:rPr>
        <w:t xml:space="preserve">            </w:t>
      </w:r>
    </w:p>
    <w:p>
      <w:pPr>
        <w:widowControl/>
        <w:spacing w:line="360" w:lineRule="auto"/>
        <w:ind w:firstLine="480"/>
        <w:jc w:val="left"/>
        <w:rPr>
          <w:rFonts w:hint="eastAsia" w:ascii="宋体" w:hAnsi="宋体" w:eastAsia="宋体" w:cs="宋体"/>
          <w:sz w:val="24"/>
          <w:highlight w:val="none"/>
        </w:rPr>
      </w:pPr>
    </w:p>
    <w:p>
      <w:pPr>
        <w:widowControl/>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　　</w:t>
      </w:r>
    </w:p>
    <w:p>
      <w:pPr>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供应商名称：</w:t>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lang w:val="zh-CN"/>
        </w:rPr>
        <w:t>(加盖公章)</w:t>
      </w:r>
    </w:p>
    <w:p>
      <w:pPr>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法定代表人或代理人：</w:t>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ab/>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（签字）</w:t>
      </w:r>
    </w:p>
    <w:p>
      <w:pPr>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年</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月</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日</w:t>
      </w:r>
    </w:p>
    <w:p>
      <w:pPr>
        <w:autoSpaceDE w:val="0"/>
        <w:autoSpaceDN w:val="0"/>
        <w:adjustRightInd w:val="0"/>
        <w:spacing w:line="360" w:lineRule="auto"/>
        <w:ind w:firstLine="480"/>
        <w:jc w:val="left"/>
        <w:rPr>
          <w:rFonts w:hint="eastAsia" w:ascii="宋体" w:hAnsi="宋体" w:eastAsia="宋体" w:cs="宋体"/>
          <w:sz w:val="24"/>
          <w:highlight w:val="none"/>
          <w:lang w:val="zh-CN"/>
        </w:rPr>
      </w:pPr>
    </w:p>
    <w:p>
      <w:pPr>
        <w:spacing w:line="360" w:lineRule="auto"/>
        <w:ind w:firstLine="504"/>
        <w:rPr>
          <w:rFonts w:hint="eastAsia" w:ascii="宋体" w:hAnsi="宋体" w:eastAsia="宋体" w:cs="宋体"/>
          <w:spacing w:val="6"/>
          <w:sz w:val="24"/>
          <w:highlight w:val="none"/>
        </w:rPr>
      </w:pPr>
    </w:p>
    <w:p>
      <w:pPr>
        <w:pStyle w:val="2"/>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注：在政府采购活动中，残疾人福利性单位视同小型、微型企业，享受预留份额。</w:t>
      </w: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kern w:val="0"/>
          <w:sz w:val="24"/>
          <w:highlight w:val="none"/>
        </w:rPr>
        <w:br w:type="page"/>
      </w:r>
      <w:r>
        <w:rPr>
          <w:rFonts w:hint="eastAsia" w:ascii="宋体" w:hAnsi="宋体" w:eastAsia="宋体" w:cs="宋体"/>
          <w:bCs w:val="0"/>
          <w:sz w:val="24"/>
          <w:szCs w:val="24"/>
          <w:highlight w:val="none"/>
          <w:lang w:val="zh-CN" w:eastAsia="zh-CN"/>
        </w:rPr>
        <w:t>八、供应商资格证明材料</w:t>
      </w:r>
    </w:p>
    <w:p>
      <w:pPr>
        <w:rPr>
          <w:rFonts w:hint="eastAsia" w:ascii="宋体" w:hAnsi="宋体" w:eastAsia="宋体" w:cs="宋体"/>
          <w:highlight w:val="none"/>
        </w:rPr>
      </w:pPr>
    </w:p>
    <w:p>
      <w:pPr>
        <w:pStyle w:val="2"/>
        <w:ind w:firstLine="480"/>
        <w:rPr>
          <w:rFonts w:hint="eastAsia" w:ascii="宋体" w:hAnsi="宋体" w:eastAsia="宋体" w:cs="宋体"/>
          <w:kern w:val="0"/>
          <w:sz w:val="24"/>
          <w:szCs w:val="20"/>
          <w:highlight w:val="none"/>
        </w:rPr>
      </w:pPr>
    </w:p>
    <w:p>
      <w:pPr>
        <w:pStyle w:val="2"/>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注：供应商应按照第四章的要求提供相应其他证明材料。格式自拟。</w:t>
      </w:r>
    </w:p>
    <w:p>
      <w:pPr>
        <w:pStyle w:val="2"/>
        <w:ind w:firstLine="480"/>
        <w:rPr>
          <w:rFonts w:hint="eastAsia" w:ascii="宋体" w:hAnsi="宋体" w:eastAsia="宋体" w:cs="宋体"/>
          <w:kern w:val="0"/>
          <w:sz w:val="24"/>
          <w:highlight w:val="none"/>
        </w:rPr>
      </w:pPr>
    </w:p>
    <w:p>
      <w:pPr>
        <w:autoSpaceDE w:val="0"/>
        <w:autoSpaceDN w:val="0"/>
        <w:adjustRightInd w:val="0"/>
        <w:spacing w:line="440" w:lineRule="exact"/>
        <w:ind w:firstLine="480"/>
        <w:jc w:val="left"/>
        <w:rPr>
          <w:rFonts w:hint="eastAsia" w:ascii="宋体" w:hAnsi="宋体" w:eastAsia="宋体" w:cs="宋体"/>
          <w:sz w:val="36"/>
          <w:szCs w:val="36"/>
          <w:highlight w:val="none"/>
        </w:rPr>
      </w:pPr>
    </w:p>
    <w:p>
      <w:pPr>
        <w:pStyle w:val="2"/>
        <w:ind w:firstLine="0"/>
        <w:rPr>
          <w:rFonts w:hint="eastAsia" w:ascii="宋体" w:hAnsi="宋体" w:eastAsia="宋体" w:cs="宋体"/>
          <w:sz w:val="36"/>
          <w:szCs w:val="36"/>
          <w:highlight w:val="none"/>
        </w:rPr>
      </w:pPr>
    </w:p>
    <w:p>
      <w:pPr>
        <w:pStyle w:val="4"/>
        <w:spacing w:line="400" w:lineRule="exact"/>
        <w:jc w:val="center"/>
        <w:rPr>
          <w:rFonts w:hint="eastAsia" w:ascii="宋体" w:hAnsi="宋体" w:eastAsia="宋体" w:cs="宋体"/>
          <w:sz w:val="24"/>
          <w:szCs w:val="24"/>
          <w:highlight w:val="none"/>
        </w:rPr>
      </w:pPr>
      <w:bookmarkStart w:id="174" w:name="_Toc27691"/>
      <w:r>
        <w:rPr>
          <w:rFonts w:hint="eastAsia" w:ascii="宋体" w:hAnsi="宋体" w:eastAsia="宋体" w:cs="宋体"/>
          <w:highlight w:val="none"/>
          <w:lang w:val="zh-CN"/>
        </w:rPr>
        <w:br w:type="page"/>
      </w:r>
      <w:bookmarkEnd w:id="174"/>
      <w:r>
        <w:rPr>
          <w:rFonts w:hint="eastAsia" w:ascii="宋体" w:hAnsi="宋体" w:eastAsia="宋体" w:cs="宋体"/>
          <w:sz w:val="24"/>
          <w:szCs w:val="24"/>
          <w:highlight w:val="none"/>
        </w:rPr>
        <w:t>第二部分  其他响应文件（格式）</w:t>
      </w:r>
    </w:p>
    <w:p>
      <w:pPr>
        <w:ind w:firstLine="345" w:firstLineChars="141"/>
        <w:jc w:val="center"/>
        <w:rPr>
          <w:rFonts w:hint="eastAsia" w:ascii="宋体" w:hAnsi="宋体" w:eastAsia="宋体" w:cs="宋体"/>
          <w:sz w:val="24"/>
          <w:szCs w:val="24"/>
          <w:highlight w:val="none"/>
        </w:rPr>
      </w:pPr>
    </w:p>
    <w:p>
      <w:pPr>
        <w:pStyle w:val="4"/>
        <w:spacing w:before="0" w:after="0" w:line="400" w:lineRule="exact"/>
        <w:jc w:val="center"/>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一、</w:t>
      </w:r>
      <w:r>
        <w:rPr>
          <w:rFonts w:hint="eastAsia" w:ascii="宋体" w:hAnsi="宋体" w:eastAsia="宋体" w:cs="宋体"/>
          <w:bCs w:val="0"/>
          <w:sz w:val="24"/>
          <w:szCs w:val="24"/>
          <w:highlight w:val="none"/>
          <w:lang w:eastAsia="zh-CN"/>
        </w:rPr>
        <w:t>响应</w:t>
      </w:r>
      <w:r>
        <w:rPr>
          <w:rFonts w:hint="eastAsia" w:ascii="宋体" w:hAnsi="宋体" w:eastAsia="宋体" w:cs="宋体"/>
          <w:bCs w:val="0"/>
          <w:sz w:val="24"/>
          <w:szCs w:val="24"/>
          <w:highlight w:val="none"/>
        </w:rPr>
        <w:t>函</w:t>
      </w:r>
    </w:p>
    <w:p>
      <w:pPr>
        <w:pStyle w:val="16"/>
        <w:spacing w:line="400" w:lineRule="exact"/>
        <w:ind w:left="0" w:leftChars="0" w:firstLine="345" w:firstLineChars="141"/>
        <w:rPr>
          <w:rFonts w:hint="eastAsia" w:ascii="宋体" w:hAnsi="宋体" w:eastAsia="宋体" w:cs="宋体"/>
          <w:sz w:val="24"/>
          <w:szCs w:val="24"/>
          <w:highlight w:val="none"/>
          <w:u w:val="single"/>
        </w:rPr>
      </w:pPr>
    </w:p>
    <w:p>
      <w:pPr>
        <w:pStyle w:val="16"/>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（采购代理机构名称）：</w:t>
      </w:r>
    </w:p>
    <w:p>
      <w:pPr>
        <w:pStyle w:val="16"/>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我方全面研究了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项目采购文件（项目编号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eastAsia="zh-CN"/>
        </w:rPr>
        <w:t>包号</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），决定参加贵单位组织的本项目</w:t>
      </w:r>
      <w:r>
        <w:rPr>
          <w:rFonts w:hint="eastAsia" w:ascii="宋体" w:hAnsi="宋体" w:eastAsia="宋体" w:cs="宋体"/>
          <w:sz w:val="24"/>
          <w:szCs w:val="24"/>
          <w:highlight w:val="none"/>
          <w:lang w:val="zh-CN"/>
        </w:rPr>
        <w:t>磋商</w:t>
      </w:r>
      <w:r>
        <w:rPr>
          <w:rFonts w:hint="eastAsia" w:ascii="宋体" w:hAnsi="宋体" w:eastAsia="宋体" w:cs="宋体"/>
          <w:sz w:val="24"/>
          <w:szCs w:val="24"/>
          <w:highlight w:val="none"/>
        </w:rPr>
        <w:t>。</w:t>
      </w:r>
    </w:p>
    <w:p>
      <w:pPr>
        <w:pStyle w:val="16"/>
        <w:numPr>
          <w:ilvl w:val="0"/>
          <w:numId w:val="6"/>
        </w:numPr>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我方自愿按照报价单上的价格及采购文件规定的各项要求向采购人提供所需服务。</w:t>
      </w:r>
    </w:p>
    <w:p>
      <w:pPr>
        <w:pStyle w:val="16"/>
        <w:numPr>
          <w:ilvl w:val="0"/>
          <w:numId w:val="6"/>
        </w:numPr>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一旦我方成交，我方将严格履行合同规定的责任和义务。</w:t>
      </w:r>
    </w:p>
    <w:p>
      <w:pPr>
        <w:pStyle w:val="16"/>
        <w:numPr>
          <w:ilvl w:val="0"/>
          <w:numId w:val="6"/>
        </w:numPr>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我方同意本磋商文件依据《四川省公共资源交易领域严重失信联合惩戒实施办法》（川发改信用规〔2019〕405号）、《关于对政府采购领域严重违法失信主体开展联合惩戒的合作备忘录》（发改财金〔2018〕1614号）等相关规定对我方可能存在的失信行为进行惩戒。</w:t>
      </w:r>
    </w:p>
    <w:p>
      <w:pPr>
        <w:pStyle w:val="16"/>
        <w:numPr>
          <w:ilvl w:val="0"/>
          <w:numId w:val="6"/>
        </w:numPr>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我方为本项目提交的响应文件正本各1份，副本各2份，用于磋商。</w:t>
      </w:r>
    </w:p>
    <w:p>
      <w:pPr>
        <w:pStyle w:val="16"/>
        <w:numPr>
          <w:ilvl w:val="0"/>
          <w:numId w:val="6"/>
        </w:numPr>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我方愿意提供贵单位可能另外要求的，与磋商报价有关的文件资料，并保证我方已提供和将要提供的文件资料是真实、准确的。</w:t>
      </w:r>
    </w:p>
    <w:p>
      <w:pPr>
        <w:pStyle w:val="16"/>
        <w:numPr>
          <w:ilvl w:val="0"/>
          <w:numId w:val="6"/>
        </w:numPr>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本次磋商，我方递交的响应文件有效期为磋商文件规定起算之日起</w:t>
      </w:r>
      <w:r>
        <w:rPr>
          <w:rFonts w:hint="eastAsia" w:ascii="宋体" w:hAnsi="宋体" w:eastAsia="宋体" w:cs="宋体"/>
          <w:b/>
          <w:bCs/>
          <w:sz w:val="24"/>
          <w:szCs w:val="24"/>
          <w:highlight w:val="none"/>
          <w:lang w:val="en-US" w:eastAsia="zh-CN"/>
        </w:rPr>
        <w:t>9</w:t>
      </w:r>
      <w:r>
        <w:rPr>
          <w:rFonts w:hint="eastAsia" w:ascii="宋体" w:hAnsi="宋体" w:eastAsia="宋体" w:cs="宋体"/>
          <w:b/>
          <w:bCs/>
          <w:sz w:val="24"/>
          <w:szCs w:val="24"/>
          <w:highlight w:val="none"/>
        </w:rPr>
        <w:t>0</w:t>
      </w:r>
      <w:r>
        <w:rPr>
          <w:rFonts w:hint="eastAsia" w:ascii="宋体" w:hAnsi="宋体" w:eastAsia="宋体" w:cs="宋体"/>
          <w:sz w:val="24"/>
          <w:szCs w:val="24"/>
          <w:highlight w:val="none"/>
        </w:rPr>
        <w:t>天。</w:t>
      </w:r>
    </w:p>
    <w:p>
      <w:pPr>
        <w:pStyle w:val="16"/>
        <w:numPr>
          <w:ilvl w:val="0"/>
          <w:numId w:val="6"/>
        </w:numPr>
        <w:spacing w:line="400" w:lineRule="exact"/>
        <w:ind w:left="0" w:leftChars="0" w:firstLine="345" w:firstLineChars="141"/>
        <w:rPr>
          <w:rFonts w:hint="eastAsia" w:ascii="宋体" w:hAnsi="宋体" w:eastAsia="宋体" w:cs="宋体"/>
          <w:sz w:val="24"/>
          <w:szCs w:val="24"/>
          <w:highlight w:val="none"/>
        </w:rPr>
      </w:pPr>
      <w:r>
        <w:rPr>
          <w:rFonts w:hint="eastAsia" w:ascii="宋体" w:hAnsi="宋体" w:eastAsia="宋体" w:cs="宋体"/>
          <w:sz w:val="24"/>
          <w:szCs w:val="24"/>
          <w:highlight w:val="none"/>
        </w:rPr>
        <w:t>我方完全理解采购人不一定将合同授予最低报价的供应商的行为。</w:t>
      </w:r>
    </w:p>
    <w:p>
      <w:pPr>
        <w:pStyle w:val="16"/>
        <w:spacing w:line="400" w:lineRule="exact"/>
        <w:ind w:left="0" w:leftChars="0" w:firstLine="3468" w:firstLineChars="1416"/>
        <w:rPr>
          <w:rFonts w:hint="eastAsia" w:ascii="宋体" w:hAnsi="宋体" w:eastAsia="宋体" w:cs="宋体"/>
          <w:sz w:val="24"/>
          <w:szCs w:val="24"/>
          <w:highlight w:val="none"/>
        </w:rPr>
      </w:pPr>
    </w:p>
    <w:p>
      <w:pPr>
        <w:spacing w:line="440" w:lineRule="exact"/>
        <w:ind w:firstLine="3468" w:firstLineChars="1416"/>
        <w:rPr>
          <w:rFonts w:hint="eastAsia" w:ascii="宋体" w:hAnsi="宋体" w:eastAsia="宋体" w:cs="宋体"/>
          <w:sz w:val="24"/>
          <w:szCs w:val="24"/>
          <w:highlight w:val="none"/>
        </w:rPr>
      </w:pPr>
      <w:bookmarkStart w:id="175" w:name="_Toc217446085"/>
      <w:bookmarkStart w:id="176" w:name="_Toc319937309"/>
      <w:bookmarkStart w:id="177" w:name="_Toc317509430"/>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440" w:lineRule="exact"/>
        <w:ind w:firstLine="3468" w:firstLineChars="1416"/>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tabs>
          <w:tab w:val="left" w:pos="1080"/>
        </w:tabs>
        <w:autoSpaceDE w:val="0"/>
        <w:autoSpaceDN w:val="0"/>
        <w:adjustRightInd w:val="0"/>
        <w:spacing w:line="440" w:lineRule="exact"/>
        <w:ind w:firstLine="3468" w:firstLineChars="1416"/>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single"/>
        </w:rPr>
        <w:t xml:space="preserve">                        </w:t>
      </w:r>
    </w:p>
    <w:p>
      <w:pPr>
        <w:tabs>
          <w:tab w:val="left" w:pos="1080"/>
        </w:tabs>
        <w:autoSpaceDE w:val="0"/>
        <w:autoSpaceDN w:val="0"/>
        <w:adjustRightInd w:val="0"/>
        <w:spacing w:line="440" w:lineRule="exact"/>
        <w:ind w:firstLine="3468" w:firstLineChars="1416"/>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电话：</w:t>
      </w:r>
      <w:r>
        <w:rPr>
          <w:rFonts w:hint="eastAsia" w:ascii="宋体" w:hAnsi="宋体" w:eastAsia="宋体" w:cs="宋体"/>
          <w:sz w:val="24"/>
          <w:szCs w:val="24"/>
          <w:highlight w:val="none"/>
          <w:u w:val="single"/>
        </w:rPr>
        <w:t xml:space="preserve">                        </w:t>
      </w:r>
    </w:p>
    <w:p>
      <w:pPr>
        <w:tabs>
          <w:tab w:val="left" w:pos="1080"/>
        </w:tabs>
        <w:autoSpaceDE w:val="0"/>
        <w:autoSpaceDN w:val="0"/>
        <w:adjustRightInd w:val="0"/>
        <w:spacing w:line="440" w:lineRule="exact"/>
        <w:ind w:firstLine="3468" w:firstLineChars="1416"/>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传真：</w:t>
      </w:r>
      <w:r>
        <w:rPr>
          <w:rFonts w:hint="eastAsia" w:ascii="宋体" w:hAnsi="宋体" w:eastAsia="宋体" w:cs="宋体"/>
          <w:sz w:val="24"/>
          <w:szCs w:val="24"/>
          <w:highlight w:val="none"/>
          <w:u w:val="single"/>
        </w:rPr>
        <w:t xml:space="preserve">                        </w:t>
      </w:r>
    </w:p>
    <w:p>
      <w:pPr>
        <w:tabs>
          <w:tab w:val="left" w:pos="1080"/>
        </w:tabs>
        <w:autoSpaceDE w:val="0"/>
        <w:autoSpaceDN w:val="0"/>
        <w:adjustRightInd w:val="0"/>
        <w:spacing w:line="440" w:lineRule="exact"/>
        <w:ind w:firstLine="3468" w:firstLineChars="1416"/>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r>
        <w:rPr>
          <w:rFonts w:hint="eastAsia" w:ascii="宋体" w:hAnsi="宋体" w:eastAsia="宋体" w:cs="宋体"/>
          <w:sz w:val="24"/>
          <w:szCs w:val="24"/>
          <w:highlight w:val="none"/>
          <w:u w:val="single"/>
        </w:rPr>
        <w:t xml:space="preserve">                    </w:t>
      </w:r>
    </w:p>
    <w:p>
      <w:pPr>
        <w:spacing w:line="440" w:lineRule="exact"/>
        <w:ind w:firstLine="3468" w:firstLineChars="1416"/>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pStyle w:val="38"/>
        <w:rPr>
          <w:rFonts w:hint="eastAsia" w:ascii="宋体" w:hAnsi="宋体" w:eastAsia="宋体" w:cs="宋体"/>
          <w:color w:val="auto"/>
          <w:szCs w:val="24"/>
          <w:highlight w:val="none"/>
        </w:rPr>
      </w:pPr>
    </w:p>
    <w:p>
      <w:pPr>
        <w:pStyle w:val="38"/>
        <w:rPr>
          <w:rFonts w:hint="eastAsia" w:ascii="宋体" w:hAnsi="宋体" w:eastAsia="宋体" w:cs="宋体"/>
          <w:color w:val="auto"/>
          <w:szCs w:val="24"/>
          <w:highlight w:val="none"/>
        </w:rPr>
        <w:sectPr>
          <w:headerReference r:id="rId10" w:type="first"/>
          <w:footerReference r:id="rId12" w:type="first"/>
          <w:footerReference r:id="rId11" w:type="default"/>
          <w:pgSz w:w="11849" w:h="16781"/>
          <w:pgMar w:top="1440" w:right="1080" w:bottom="1440" w:left="1080" w:header="851" w:footer="992" w:gutter="0"/>
          <w:pgNumType w:fmt="numberInDash"/>
          <w:cols w:space="720" w:num="1"/>
          <w:titlePg/>
          <w:docGrid w:type="linesAndChars" w:linePitch="312" w:charSpace="1060"/>
        </w:sectPr>
      </w:pPr>
    </w:p>
    <w:p>
      <w:pPr>
        <w:pStyle w:val="38"/>
        <w:rPr>
          <w:rFonts w:hint="eastAsia" w:ascii="宋体" w:hAnsi="宋体" w:eastAsia="宋体" w:cs="宋体"/>
          <w:color w:val="auto"/>
          <w:szCs w:val="24"/>
          <w:highlight w:val="none"/>
        </w:rPr>
      </w:pPr>
    </w:p>
    <w:p>
      <w:pPr>
        <w:pStyle w:val="4"/>
        <w:tabs>
          <w:tab w:val="left" w:pos="720"/>
        </w:tabs>
        <w:spacing w:before="0" w:after="0" w:line="400" w:lineRule="exact"/>
        <w:jc w:val="center"/>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二、</w:t>
      </w:r>
      <w:bookmarkEnd w:id="175"/>
      <w:r>
        <w:rPr>
          <w:rFonts w:hint="eastAsia" w:ascii="宋体" w:hAnsi="宋体" w:eastAsia="宋体" w:cs="宋体"/>
          <w:bCs w:val="0"/>
          <w:sz w:val="24"/>
          <w:szCs w:val="24"/>
          <w:highlight w:val="none"/>
        </w:rPr>
        <w:t>报价一览表</w:t>
      </w:r>
      <w:bookmarkEnd w:id="176"/>
      <w:bookmarkEnd w:id="177"/>
    </w:p>
    <w:p>
      <w:pPr>
        <w:pStyle w:val="11"/>
        <w:spacing w:before="100" w:beforeAutospacing="1"/>
        <w:ind w:firstLine="482"/>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（第一次报价）</w:t>
      </w:r>
    </w:p>
    <w:p>
      <w:pPr>
        <w:ind w:firstLine="367" w:firstLineChars="150"/>
        <w:jc w:val="center"/>
        <w:rPr>
          <w:rFonts w:hint="eastAsia" w:ascii="宋体" w:hAnsi="宋体" w:eastAsia="宋体" w:cs="宋体"/>
          <w:sz w:val="24"/>
          <w:szCs w:val="24"/>
          <w:highlight w:val="none"/>
        </w:rPr>
      </w:pPr>
    </w:p>
    <w:tbl>
      <w:tblPr>
        <w:tblStyle w:val="28"/>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638"/>
        <w:gridCol w:w="205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12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2638" w:type="dxa"/>
            <w:tcBorders>
              <w:top w:val="single" w:color="auto" w:sz="4" w:space="0"/>
              <w:left w:val="single" w:color="auto" w:sz="4" w:space="0"/>
              <w:right w:val="single" w:color="auto" w:sz="4" w:space="0"/>
            </w:tcBorders>
            <w:vAlign w:val="center"/>
          </w:tcPr>
          <w:p>
            <w:pPr>
              <w:ind w:right="-670" w:firstLine="980" w:firstLineChars="400"/>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包号</w:t>
            </w:r>
          </w:p>
        </w:tc>
        <w:tc>
          <w:tcPr>
            <w:tcW w:w="2056" w:type="dxa"/>
            <w:tcBorders>
              <w:top w:val="single" w:color="auto" w:sz="4" w:space="0"/>
              <w:left w:val="single" w:color="auto" w:sz="4" w:space="0"/>
              <w:bottom w:val="single" w:color="auto" w:sz="4" w:space="0"/>
              <w:right w:val="single" w:color="auto" w:sz="4" w:space="0"/>
            </w:tcBorders>
            <w:vAlign w:val="center"/>
          </w:tcPr>
          <w:p>
            <w:pPr>
              <w:ind w:right="-670" w:rightChars="0" w:firstLine="49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tc>
        <w:tc>
          <w:tcPr>
            <w:tcW w:w="2056" w:type="dxa"/>
            <w:tcBorders>
              <w:top w:val="single" w:color="auto" w:sz="4" w:space="0"/>
              <w:left w:val="single" w:color="auto" w:sz="4" w:space="0"/>
              <w:bottom w:val="single" w:color="auto" w:sz="4" w:space="0"/>
              <w:right w:val="single" w:color="auto" w:sz="4" w:space="0"/>
            </w:tcBorders>
            <w:vAlign w:val="center"/>
          </w:tcPr>
          <w:p>
            <w:pPr>
              <w:ind w:right="-670" w:rightChars="0" w:firstLine="49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312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highlight w:val="none"/>
              </w:rPr>
            </w:pPr>
          </w:p>
        </w:tc>
        <w:tc>
          <w:tcPr>
            <w:tcW w:w="2638" w:type="dxa"/>
            <w:tcBorders>
              <w:top w:val="single" w:color="auto" w:sz="4" w:space="0"/>
              <w:left w:val="single" w:color="auto" w:sz="4" w:space="0"/>
              <w:right w:val="single" w:color="auto" w:sz="4" w:space="0"/>
            </w:tcBorders>
          </w:tcPr>
          <w:p>
            <w:pPr>
              <w:ind w:right="-670"/>
              <w:jc w:val="center"/>
              <w:rPr>
                <w:rFonts w:hint="eastAsia" w:ascii="宋体" w:hAnsi="宋体" w:eastAsia="宋体" w:cs="宋体"/>
                <w:sz w:val="24"/>
                <w:szCs w:val="24"/>
                <w:highlight w:val="none"/>
              </w:rPr>
            </w:pPr>
          </w:p>
        </w:tc>
        <w:tc>
          <w:tcPr>
            <w:tcW w:w="2056" w:type="dxa"/>
            <w:tcBorders>
              <w:top w:val="single" w:color="auto" w:sz="4" w:space="0"/>
              <w:left w:val="single" w:color="auto" w:sz="4" w:space="0"/>
              <w:right w:val="single" w:color="auto" w:sz="4" w:space="0"/>
            </w:tcBorders>
            <w:vAlign w:val="center"/>
          </w:tcPr>
          <w:p>
            <w:pPr>
              <w:ind w:right="-670"/>
              <w:jc w:val="center"/>
              <w:rPr>
                <w:rFonts w:hint="eastAsia" w:ascii="宋体" w:hAnsi="宋体" w:eastAsia="宋体" w:cs="宋体"/>
                <w:sz w:val="24"/>
                <w:szCs w:val="24"/>
                <w:highlight w:val="none"/>
              </w:rPr>
            </w:pPr>
          </w:p>
        </w:tc>
        <w:tc>
          <w:tcPr>
            <w:tcW w:w="2056" w:type="dxa"/>
            <w:tcBorders>
              <w:top w:val="single" w:color="auto" w:sz="4" w:space="0"/>
              <w:left w:val="single" w:color="auto" w:sz="4" w:space="0"/>
              <w:right w:val="single" w:color="auto" w:sz="4" w:space="0"/>
            </w:tcBorders>
            <w:vAlign w:val="center"/>
          </w:tcPr>
          <w:p>
            <w:pPr>
              <w:ind w:right="-67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822" w:type="dxa"/>
            <w:gridSpan w:val="3"/>
            <w:vAlign w:val="center"/>
          </w:tcPr>
          <w:p>
            <w:pPr>
              <w:ind w:right="-670"/>
              <w:rPr>
                <w:rFonts w:hint="eastAsia" w:ascii="宋体" w:hAnsi="宋体" w:eastAsia="宋体" w:cs="宋体"/>
                <w:sz w:val="24"/>
                <w:szCs w:val="24"/>
                <w:highlight w:val="none"/>
                <w:u w:val="single"/>
              </w:rPr>
            </w:pPr>
            <w:r>
              <w:rPr>
                <w:rFonts w:hint="eastAsia" w:ascii="宋体" w:hAnsi="宋体" w:eastAsia="宋体" w:cs="宋体"/>
                <w:sz w:val="24"/>
                <w:highlight w:val="none"/>
              </w:rPr>
              <w:t>大写：</w:t>
            </w:r>
            <w:r>
              <w:rPr>
                <w:rFonts w:hint="eastAsia" w:ascii="宋体" w:hAnsi="宋体" w:eastAsia="宋体" w:cs="宋体"/>
                <w:sz w:val="24"/>
                <w:highlight w:val="none"/>
                <w:lang w:eastAsia="zh-CN"/>
              </w:rPr>
              <w:t>人民币</w:t>
            </w:r>
            <w:r>
              <w:rPr>
                <w:rFonts w:hint="eastAsia" w:ascii="宋体" w:hAnsi="宋体" w:eastAsia="宋体" w:cs="宋体"/>
                <w:sz w:val="24"/>
                <w:highlight w:val="none"/>
                <w:u w:val="none"/>
                <w:lang w:val="en-US" w:eastAsia="zh-CN"/>
              </w:rPr>
              <w:t xml:space="preserve">          </w:t>
            </w:r>
          </w:p>
        </w:tc>
        <w:tc>
          <w:tcPr>
            <w:tcW w:w="2056" w:type="dxa"/>
            <w:vAlign w:val="center"/>
          </w:tcPr>
          <w:p>
            <w:pPr>
              <w:ind w:right="-670"/>
              <w:rPr>
                <w:rFonts w:hint="eastAsia" w:ascii="宋体" w:hAnsi="宋体" w:eastAsia="宋体" w:cs="宋体"/>
                <w:sz w:val="24"/>
                <w:highlight w:val="none"/>
              </w:rPr>
            </w:pPr>
          </w:p>
        </w:tc>
      </w:tr>
    </w:tbl>
    <w:p>
      <w:pPr>
        <w:ind w:firstLine="49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注：1.磋商报价应是采购文件载明的所有服务内容的总价</w:t>
      </w:r>
      <w:r>
        <w:rPr>
          <w:rFonts w:hint="eastAsia" w:ascii="宋体" w:hAnsi="宋体" w:eastAsia="宋体" w:cs="宋体"/>
          <w:bCs/>
          <w:sz w:val="24"/>
          <w:szCs w:val="24"/>
          <w:highlight w:val="none"/>
          <w:lang w:eastAsia="zh-CN"/>
        </w:rPr>
        <w:t>。</w:t>
      </w:r>
    </w:p>
    <w:p>
      <w:pPr>
        <w:ind w:firstLine="490" w:firstLineChars="200"/>
        <w:rPr>
          <w:rFonts w:hint="eastAsia" w:ascii="宋体" w:hAnsi="宋体" w:eastAsia="宋体" w:cs="宋体"/>
          <w:sz w:val="24"/>
          <w:szCs w:val="24"/>
          <w:highlight w:val="none"/>
        </w:rPr>
      </w:pPr>
      <w:r>
        <w:rPr>
          <w:rFonts w:hint="eastAsia" w:ascii="宋体" w:hAnsi="宋体" w:eastAsia="宋体" w:cs="宋体"/>
          <w:bCs/>
          <w:sz w:val="24"/>
          <w:szCs w:val="24"/>
          <w:highlight w:val="none"/>
          <w:lang w:val="en-US" w:eastAsia="zh-CN"/>
        </w:rPr>
        <w:t>2.报价超过采购预算的将视为无效报价。</w:t>
      </w:r>
    </w:p>
    <w:p>
      <w:pPr>
        <w:ind w:firstLine="367" w:firstLineChars="150"/>
        <w:rPr>
          <w:rFonts w:hint="eastAsia" w:ascii="宋体" w:hAnsi="宋体" w:eastAsia="宋体" w:cs="宋体"/>
          <w:sz w:val="24"/>
          <w:szCs w:val="24"/>
          <w:highlight w:val="none"/>
        </w:rPr>
      </w:pPr>
    </w:p>
    <w:p>
      <w:pPr>
        <w:spacing w:line="400" w:lineRule="exact"/>
        <w:rPr>
          <w:rFonts w:hint="eastAsia" w:ascii="宋体" w:hAnsi="宋体" w:eastAsia="宋体" w:cs="宋体"/>
          <w:b/>
          <w:bCs/>
          <w:sz w:val="24"/>
          <w:szCs w:val="24"/>
          <w:highlight w:val="none"/>
        </w:rPr>
      </w:pPr>
    </w:p>
    <w:p>
      <w:pPr>
        <w:spacing w:line="400" w:lineRule="exact"/>
        <w:ind w:firstLine="735" w:firstLineChars="300"/>
        <w:rPr>
          <w:rFonts w:hint="eastAsia" w:ascii="宋体" w:hAnsi="宋体" w:eastAsia="宋体" w:cs="宋体"/>
          <w:sz w:val="24"/>
          <w:szCs w:val="24"/>
          <w:highlight w:val="none"/>
        </w:rPr>
      </w:pPr>
    </w:p>
    <w:p>
      <w:pPr>
        <w:spacing w:line="400" w:lineRule="exact"/>
        <w:ind w:firstLine="735" w:firstLineChars="300"/>
        <w:rPr>
          <w:rFonts w:hint="eastAsia" w:ascii="宋体" w:hAnsi="宋体" w:eastAsia="宋体" w:cs="宋体"/>
          <w:sz w:val="24"/>
          <w:szCs w:val="24"/>
          <w:highlight w:val="none"/>
        </w:rPr>
      </w:pP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500" w:lineRule="exact"/>
        <w:ind w:right="480"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400" w:lineRule="exact"/>
        <w:ind w:firstLine="735" w:firstLineChars="300"/>
        <w:rPr>
          <w:rFonts w:hint="eastAsia" w:ascii="宋体" w:hAnsi="宋体" w:eastAsia="宋体" w:cs="宋体"/>
          <w:sz w:val="24"/>
          <w:szCs w:val="24"/>
          <w:highlight w:val="none"/>
        </w:rPr>
      </w:pPr>
    </w:p>
    <w:p>
      <w:pPr>
        <w:spacing w:line="400" w:lineRule="exact"/>
        <w:ind w:firstLine="735" w:firstLineChars="300"/>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5"/>
        <w:bidi w:val="0"/>
        <w:spacing w:line="360" w:lineRule="auto"/>
        <w:jc w:val="center"/>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分项报价明细表（如有）</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项目名称：</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项目编号：</w:t>
      </w:r>
    </w:p>
    <w:p>
      <w:pPr>
        <w:spacing w:line="360" w:lineRule="auto"/>
        <w:ind w:firstLine="645" w:firstLineChars="300"/>
        <w:jc w:val="left"/>
        <w:rPr>
          <w:rFonts w:hint="eastAsia" w:ascii="宋体" w:hAnsi="宋体" w:eastAsia="宋体" w:cs="宋体"/>
          <w:szCs w:val="21"/>
          <w:highlight w:val="none"/>
        </w:rPr>
      </w:pPr>
      <w:r>
        <w:rPr>
          <w:rFonts w:hint="eastAsia" w:ascii="宋体" w:hAnsi="宋体" w:eastAsia="宋体" w:cs="宋体"/>
          <w:szCs w:val="21"/>
          <w:highlight w:val="none"/>
        </w:rPr>
        <w:t>注：“分项报价明细表”各分项报价合计应当与“</w:t>
      </w:r>
      <w:r>
        <w:rPr>
          <w:rFonts w:hint="eastAsia" w:ascii="宋体" w:hAnsi="宋体" w:eastAsia="宋体" w:cs="宋体"/>
          <w:szCs w:val="21"/>
          <w:highlight w:val="none"/>
          <w:lang w:val="zh-CN"/>
        </w:rPr>
        <w:t>第一次报价</w:t>
      </w:r>
      <w:r>
        <w:rPr>
          <w:rFonts w:hint="eastAsia" w:ascii="宋体" w:hAnsi="宋体" w:eastAsia="宋体" w:cs="宋体"/>
          <w:szCs w:val="21"/>
          <w:highlight w:val="none"/>
        </w:rPr>
        <w:t>”合计相等。</w:t>
      </w:r>
    </w:p>
    <w:p>
      <w:pPr>
        <w:tabs>
          <w:tab w:val="left" w:pos="1080"/>
        </w:tabs>
        <w:autoSpaceDE w:val="0"/>
        <w:autoSpaceDN w:val="0"/>
        <w:adjustRightInd w:val="0"/>
        <w:spacing w:line="360" w:lineRule="auto"/>
        <w:ind w:firstLine="480"/>
        <w:jc w:val="left"/>
        <w:rPr>
          <w:rFonts w:hint="eastAsia" w:ascii="宋体" w:hAnsi="宋体" w:eastAsia="宋体" w:cs="宋体"/>
          <w:szCs w:val="21"/>
          <w:highlight w:val="none"/>
          <w:lang w:val="zh-CN"/>
        </w:rPr>
      </w:pPr>
    </w:p>
    <w:p>
      <w:pPr>
        <w:pStyle w:val="2"/>
        <w:rPr>
          <w:rFonts w:hint="eastAsia" w:ascii="宋体" w:hAnsi="宋体" w:eastAsia="宋体" w:cs="宋体"/>
          <w:highlight w:val="none"/>
          <w:lang w:val="zh-CN"/>
        </w:rPr>
      </w:pPr>
    </w:p>
    <w:p>
      <w:pPr>
        <w:tabs>
          <w:tab w:val="left" w:pos="1080"/>
        </w:tabs>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（加盖公章）</w:t>
      </w:r>
    </w:p>
    <w:p>
      <w:pPr>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法定代表人或代理人：</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（签字）</w:t>
      </w:r>
    </w:p>
    <w:p>
      <w:pPr>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年</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月</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日</w:t>
      </w:r>
    </w:p>
    <w:p>
      <w:pPr>
        <w:autoSpaceDE w:val="0"/>
        <w:autoSpaceDN w:val="0"/>
        <w:adjustRightInd w:val="0"/>
        <w:spacing w:line="360" w:lineRule="auto"/>
        <w:ind w:firstLine="480"/>
        <w:jc w:val="left"/>
        <w:rPr>
          <w:rFonts w:hint="eastAsia" w:ascii="宋体" w:hAnsi="宋体" w:eastAsia="宋体" w:cs="宋体"/>
          <w:sz w:val="32"/>
          <w:szCs w:val="32"/>
          <w:highlight w:val="none"/>
        </w:rPr>
        <w:sectPr>
          <w:pgSz w:w="11849" w:h="16781"/>
          <w:pgMar w:top="1440" w:right="1440" w:bottom="1440" w:left="1440" w:header="851" w:footer="992" w:gutter="0"/>
          <w:pgNumType w:fmt="numberInDash"/>
          <w:cols w:space="720" w:num="1"/>
          <w:titlePg/>
          <w:docGrid w:type="linesAndChars" w:linePitch="312" w:charSpace="1060"/>
        </w:sectPr>
      </w:pPr>
      <w:r>
        <w:rPr>
          <w:rFonts w:hint="eastAsia" w:ascii="宋体" w:hAnsi="宋体" w:eastAsia="宋体" w:cs="宋体"/>
          <w:sz w:val="32"/>
          <w:szCs w:val="32"/>
          <w:highlight w:val="none"/>
        </w:rPr>
        <w:br w:type="page"/>
      </w:r>
    </w:p>
    <w:p>
      <w:pPr>
        <w:pStyle w:val="5"/>
        <w:bidi w:val="0"/>
        <w:spacing w:line="360" w:lineRule="auto"/>
        <w:jc w:val="center"/>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最终报价及承诺书（现场填写）</w:t>
      </w:r>
    </w:p>
    <w:p>
      <w:pPr>
        <w:snapToGrid w:val="0"/>
        <w:spacing w:line="360" w:lineRule="auto"/>
        <w:ind w:firstLine="480"/>
        <w:rPr>
          <w:rFonts w:hint="eastAsia" w:ascii="宋体" w:hAnsi="宋体" w:eastAsia="宋体" w:cs="宋体"/>
          <w:bCs/>
          <w:sz w:val="24"/>
          <w:szCs w:val="24"/>
          <w:highlight w:val="none"/>
        </w:rPr>
      </w:pPr>
    </w:p>
    <w:p>
      <w:pPr>
        <w:snapToGrid w:val="0"/>
        <w:spacing w:line="360" w:lineRule="auto"/>
        <w:ind w:firstLine="480"/>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项目名称：</w:t>
      </w:r>
      <w:r>
        <w:rPr>
          <w:rFonts w:hint="eastAsia" w:ascii="宋体" w:hAnsi="宋体" w:eastAsia="宋体" w:cs="宋体"/>
          <w:bCs/>
          <w:sz w:val="24"/>
          <w:szCs w:val="24"/>
          <w:highlight w:val="none"/>
          <w:u w:val="single"/>
        </w:rPr>
        <w:t xml:space="preserve">                  </w:t>
      </w:r>
    </w:p>
    <w:p>
      <w:pPr>
        <w:snapToGrid w:val="0"/>
        <w:spacing w:line="360" w:lineRule="auto"/>
        <w:ind w:firstLine="480"/>
        <w:rPr>
          <w:rFonts w:hint="default" w:ascii="宋体" w:hAnsi="宋体" w:eastAsia="宋体" w:cs="宋体"/>
          <w:bCs/>
          <w:sz w:val="24"/>
          <w:szCs w:val="24"/>
          <w:highlight w:val="none"/>
          <w:u w:val="single"/>
          <w:lang w:val="en-US" w:eastAsia="zh-CN"/>
        </w:rPr>
      </w:pPr>
      <w:r>
        <w:rPr>
          <w:rFonts w:hint="eastAsia" w:ascii="宋体" w:hAnsi="宋体" w:eastAsia="宋体" w:cs="宋体"/>
          <w:bCs/>
          <w:sz w:val="24"/>
          <w:szCs w:val="24"/>
          <w:highlight w:val="none"/>
        </w:rPr>
        <w:t>项目编号：</w:t>
      </w:r>
      <w:r>
        <w:rPr>
          <w:rFonts w:hint="eastAsia" w:ascii="宋体" w:hAnsi="宋体" w:eastAsia="宋体" w:cs="宋体"/>
          <w:bCs/>
          <w:sz w:val="24"/>
          <w:szCs w:val="24"/>
          <w:highlight w:val="none"/>
          <w:u w:val="single"/>
        </w:rPr>
        <w:t xml:space="preserve">                  </w:t>
      </w:r>
      <w:r>
        <w:rPr>
          <w:rFonts w:hint="eastAsia" w:ascii="宋体" w:hAnsi="宋体" w:cs="宋体"/>
          <w:bCs/>
          <w:sz w:val="24"/>
          <w:szCs w:val="24"/>
          <w:highlight w:val="none"/>
          <w:u w:val="none"/>
          <w:lang w:eastAsia="zh-CN"/>
        </w:rPr>
        <w:t>包号：</w:t>
      </w:r>
      <w:r>
        <w:rPr>
          <w:rFonts w:hint="eastAsia" w:ascii="宋体" w:hAnsi="宋体" w:cs="宋体"/>
          <w:bCs/>
          <w:sz w:val="24"/>
          <w:szCs w:val="24"/>
          <w:highlight w:val="none"/>
          <w:u w:val="single"/>
          <w:lang w:val="en-US" w:eastAsia="zh-CN"/>
        </w:rPr>
        <w:t xml:space="preserve">  </w:t>
      </w:r>
    </w:p>
    <w:p>
      <w:pPr>
        <w:snapToGrid w:val="0"/>
        <w:spacing w:line="360" w:lineRule="auto"/>
        <w:ind w:firstLine="480"/>
        <w:rPr>
          <w:rFonts w:hint="eastAsia" w:ascii="宋体" w:hAnsi="宋体" w:eastAsia="宋体" w:cs="宋体"/>
          <w:bCs/>
          <w:sz w:val="24"/>
          <w:szCs w:val="24"/>
          <w:highlight w:val="none"/>
          <w:u w:val="single"/>
        </w:rPr>
      </w:pPr>
      <w:r>
        <w:rPr>
          <w:rFonts w:hint="eastAsia" w:ascii="宋体" w:hAnsi="宋体" w:eastAsia="宋体" w:cs="宋体"/>
          <w:sz w:val="24"/>
          <w:szCs w:val="24"/>
          <w:highlight w:val="none"/>
        </w:rPr>
        <w:t>供应商</w:t>
      </w:r>
      <w:r>
        <w:rPr>
          <w:rFonts w:hint="eastAsia" w:ascii="宋体" w:hAnsi="宋体" w:eastAsia="宋体" w:cs="宋体"/>
          <w:bCs/>
          <w:sz w:val="24"/>
          <w:szCs w:val="24"/>
          <w:highlight w:val="none"/>
        </w:rPr>
        <w:t>名称：</w:t>
      </w:r>
      <w:r>
        <w:rPr>
          <w:rFonts w:hint="eastAsia" w:ascii="宋体" w:hAnsi="宋体" w:eastAsia="宋体" w:cs="宋体"/>
          <w:bCs/>
          <w:sz w:val="24"/>
          <w:szCs w:val="24"/>
          <w:highlight w:val="none"/>
          <w:u w:val="single"/>
        </w:rPr>
        <w:t xml:space="preserve">                                   </w:t>
      </w:r>
    </w:p>
    <w:p>
      <w:pPr>
        <w:snapToGrid w:val="0"/>
        <w:spacing w:line="360" w:lineRule="auto"/>
        <w:ind w:firstLine="480"/>
        <w:rPr>
          <w:rFonts w:hint="eastAsia" w:ascii="宋体" w:hAnsi="宋体" w:eastAsia="宋体" w:cs="宋体"/>
          <w:bCs/>
          <w:sz w:val="24"/>
          <w:szCs w:val="24"/>
          <w:highlight w:val="none"/>
        </w:rPr>
      </w:pPr>
    </w:p>
    <w:p>
      <w:pPr>
        <w:snapToGrid w:val="0"/>
        <w:spacing w:line="360" w:lineRule="auto"/>
        <w:ind w:firstLine="480"/>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最终报价（小写）</w:t>
      </w:r>
      <w:r>
        <w:rPr>
          <w:rFonts w:hint="eastAsia" w:ascii="宋体" w:hAnsi="宋体" w:eastAsia="宋体" w:cs="宋体"/>
          <w:bCs/>
          <w:sz w:val="24"/>
          <w:szCs w:val="24"/>
          <w:highlight w:val="none"/>
          <w:u w:val="none"/>
        </w:rPr>
        <w:t>：</w:t>
      </w:r>
      <w:r>
        <w:rPr>
          <w:rFonts w:hint="eastAsia" w:ascii="宋体" w:hAnsi="宋体" w:eastAsia="宋体" w:cs="宋体"/>
          <w:bCs/>
          <w:sz w:val="24"/>
          <w:szCs w:val="24"/>
          <w:highlight w:val="none"/>
          <w:u w:val="single"/>
        </w:rPr>
        <w:t xml:space="preserve">              </w:t>
      </w:r>
    </w:p>
    <w:p>
      <w:pPr>
        <w:snapToGrid w:val="0"/>
        <w:spacing w:line="360" w:lineRule="auto"/>
        <w:ind w:firstLine="480"/>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（大写）：</w:t>
      </w:r>
      <w:r>
        <w:rPr>
          <w:rFonts w:hint="eastAsia" w:ascii="宋体" w:hAnsi="宋体" w:eastAsia="宋体" w:cs="宋体"/>
          <w:bCs/>
          <w:sz w:val="24"/>
          <w:szCs w:val="24"/>
          <w:highlight w:val="none"/>
          <w:u w:val="single"/>
        </w:rPr>
        <w:t xml:space="preserve">                                </w:t>
      </w:r>
    </w:p>
    <w:p>
      <w:pPr>
        <w:snapToGrid w:val="0"/>
        <w:spacing w:line="360" w:lineRule="auto"/>
        <w:ind w:firstLine="480"/>
        <w:rPr>
          <w:rFonts w:hint="eastAsia" w:ascii="宋体" w:hAnsi="宋体" w:eastAsia="宋体" w:cs="宋体"/>
          <w:bCs/>
          <w:sz w:val="24"/>
          <w:szCs w:val="24"/>
          <w:highlight w:val="none"/>
        </w:rPr>
      </w:pPr>
    </w:p>
    <w:p>
      <w:pPr>
        <w:snapToGrid w:val="0"/>
        <w:spacing w:line="360" w:lineRule="auto"/>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其他承诺：</w:t>
      </w:r>
    </w:p>
    <w:p>
      <w:pPr>
        <w:snapToGrid w:val="0"/>
        <w:spacing w:line="360" w:lineRule="auto"/>
        <w:ind w:firstLine="480"/>
        <w:rPr>
          <w:rFonts w:hint="eastAsia" w:ascii="宋体" w:hAnsi="宋体" w:eastAsia="宋体" w:cs="宋体"/>
          <w:bCs/>
          <w:sz w:val="24"/>
          <w:szCs w:val="24"/>
          <w:highlight w:val="none"/>
        </w:rPr>
      </w:pPr>
    </w:p>
    <w:p>
      <w:pPr>
        <w:ind w:firstLine="480"/>
        <w:rPr>
          <w:rFonts w:hint="eastAsia" w:ascii="宋体" w:hAnsi="宋体" w:eastAsia="宋体" w:cs="宋体"/>
          <w:bCs/>
          <w:sz w:val="24"/>
          <w:szCs w:val="24"/>
          <w:highlight w:val="none"/>
        </w:rPr>
      </w:pPr>
    </w:p>
    <w:p>
      <w:pPr>
        <w:spacing w:line="360" w:lineRule="auto"/>
        <w:rPr>
          <w:rFonts w:hint="eastAsia" w:ascii="宋体" w:hAnsi="宋体" w:eastAsia="宋体" w:cs="宋体"/>
          <w:b/>
          <w:bCs/>
          <w:color w:val="000000"/>
          <w:sz w:val="24"/>
          <w:szCs w:val="24"/>
          <w:highlight w:val="none"/>
        </w:rPr>
      </w:pPr>
    </w:p>
    <w:p>
      <w:pPr>
        <w:ind w:firstLine="480"/>
        <w:rPr>
          <w:rFonts w:hint="eastAsia" w:ascii="宋体" w:hAnsi="宋体" w:eastAsia="宋体" w:cs="宋体"/>
          <w:bCs/>
          <w:sz w:val="24"/>
          <w:szCs w:val="24"/>
          <w:highlight w:val="none"/>
        </w:rPr>
      </w:pPr>
    </w:p>
    <w:p>
      <w:pPr>
        <w:spacing w:line="500" w:lineRule="exact"/>
        <w:ind w:left="0" w:leftChars="0" w:firstLine="3015" w:firstLineChars="1231"/>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p>
    <w:p>
      <w:pPr>
        <w:spacing w:line="500" w:lineRule="exact"/>
        <w:ind w:left="0" w:leftChars="0" w:firstLine="3015" w:firstLineChars="1231"/>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500" w:lineRule="exact"/>
        <w:ind w:left="0" w:leftChars="0" w:right="480" w:firstLine="3015" w:firstLineChars="1231"/>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napToGrid w:val="0"/>
        <w:spacing w:line="360" w:lineRule="auto"/>
        <w:ind w:left="0" w:leftChars="0" w:firstLine="3015" w:firstLineChars="1231"/>
        <w:rPr>
          <w:rFonts w:hint="eastAsia" w:ascii="宋体" w:hAnsi="宋体" w:eastAsia="宋体" w:cs="宋体"/>
          <w:bCs/>
          <w:sz w:val="24"/>
          <w:szCs w:val="24"/>
          <w:highlight w:val="none"/>
        </w:rPr>
      </w:pPr>
    </w:p>
    <w:p>
      <w:pPr>
        <w:pStyle w:val="38"/>
        <w:rPr>
          <w:rFonts w:hint="eastAsia" w:ascii="宋体" w:hAnsi="宋体" w:eastAsia="宋体" w:cs="宋体"/>
          <w:szCs w:val="24"/>
          <w:highlight w:val="none"/>
        </w:rPr>
      </w:pPr>
    </w:p>
    <w:p>
      <w:pPr>
        <w:snapToGrid w:val="0"/>
        <w:spacing w:line="360" w:lineRule="auto"/>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w:t>
      </w:r>
    </w:p>
    <w:p>
      <w:pPr>
        <w:snapToGrid w:val="0"/>
        <w:spacing w:line="360" w:lineRule="auto"/>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此页需持空白页至磋商现场根据实际需要填写（现场填写）。</w:t>
      </w:r>
    </w:p>
    <w:p>
      <w:pPr>
        <w:snapToGrid w:val="0"/>
        <w:spacing w:line="360" w:lineRule="auto"/>
        <w:ind w:firstLine="480"/>
        <w:rPr>
          <w:rFonts w:hint="eastAsia" w:ascii="宋体" w:hAnsi="宋体" w:eastAsia="宋体" w:cs="宋体"/>
          <w:bCs/>
          <w:sz w:val="24"/>
          <w:szCs w:val="24"/>
          <w:highlight w:val="none"/>
          <w:lang w:val="en-US" w:eastAsia="zh-CN"/>
        </w:rPr>
      </w:pPr>
      <w:bookmarkStart w:id="178" w:name="OLE_LINK27"/>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lang w:val="zh-CN" w:eastAsia="zh-CN"/>
        </w:rPr>
        <w:t>根据成交供应商“最终报价”磋商总价与“第一次报价”总价下浮比例</w:t>
      </w:r>
      <w:r>
        <w:rPr>
          <w:rFonts w:hint="eastAsia" w:ascii="宋体" w:hAnsi="宋体" w:eastAsia="宋体" w:cs="宋体"/>
          <w:bCs/>
          <w:sz w:val="24"/>
          <w:szCs w:val="24"/>
          <w:highlight w:val="none"/>
          <w:lang w:val="en-US" w:eastAsia="zh-CN"/>
        </w:rPr>
        <w:t>，分别调整分项报价明细表中的单价及总价，调整工作在成交后及结算中完成。</w:t>
      </w:r>
      <w:bookmarkEnd w:id="178"/>
    </w:p>
    <w:p>
      <w:pPr>
        <w:snapToGrid w:val="0"/>
        <w:spacing w:line="360" w:lineRule="auto"/>
        <w:ind w:firstLine="48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3.磋商报价应是采购文件载明的所有服务内容的总价。</w:t>
      </w:r>
    </w:p>
    <w:p>
      <w:pPr>
        <w:snapToGrid w:val="0"/>
        <w:spacing w:line="360" w:lineRule="auto"/>
        <w:ind w:firstLine="480"/>
        <w:rPr>
          <w:rFonts w:hint="eastAsia" w:ascii="宋体" w:hAnsi="宋体" w:eastAsia="宋体" w:cs="宋体"/>
          <w:bCs/>
          <w:sz w:val="24"/>
          <w:szCs w:val="24"/>
          <w:highlight w:val="none"/>
          <w:lang w:val="zh-CN" w:eastAsia="zh-CN"/>
        </w:rPr>
      </w:pPr>
      <w:r>
        <w:rPr>
          <w:rFonts w:hint="eastAsia" w:ascii="宋体" w:hAnsi="宋体" w:eastAsia="宋体" w:cs="宋体"/>
          <w:b/>
          <w:bCs w:val="0"/>
          <w:sz w:val="24"/>
          <w:szCs w:val="24"/>
          <w:highlight w:val="none"/>
          <w:lang w:val="en-US" w:eastAsia="zh-CN"/>
        </w:rPr>
        <w:t>4.报价表需供应商法定代表人或代理人</w:t>
      </w:r>
      <w:r>
        <w:rPr>
          <w:rFonts w:hint="eastAsia" w:ascii="宋体" w:hAnsi="宋体" w:eastAsia="宋体" w:cs="宋体"/>
          <w:b/>
          <w:bCs w:val="0"/>
          <w:sz w:val="24"/>
          <w:szCs w:val="24"/>
          <w:highlight w:val="none"/>
          <w:lang w:val="zh-CN" w:eastAsia="zh-CN"/>
        </w:rPr>
        <w:t>自行密封递交。</w:t>
      </w:r>
    </w:p>
    <w:p>
      <w:pPr>
        <w:snapToGrid w:val="0"/>
        <w:spacing w:line="360" w:lineRule="auto"/>
        <w:ind w:firstLine="480"/>
        <w:rPr>
          <w:rFonts w:hint="eastAsia" w:ascii="宋体" w:hAnsi="宋体" w:eastAsia="宋体" w:cs="宋体"/>
          <w:bCs/>
          <w:sz w:val="24"/>
          <w:szCs w:val="24"/>
          <w:highlight w:val="none"/>
          <w:lang w:val="en-US" w:eastAsia="zh-CN"/>
        </w:rPr>
        <w:sectPr>
          <w:pgSz w:w="11849" w:h="16781"/>
          <w:pgMar w:top="1440" w:right="1440" w:bottom="1440" w:left="1440" w:header="851" w:footer="992" w:gutter="0"/>
          <w:pgNumType w:fmt="numberInDash"/>
          <w:cols w:space="720" w:num="1"/>
          <w:titlePg/>
          <w:docGrid w:type="linesAndChars" w:linePitch="312" w:charSpace="1060"/>
        </w:sectPr>
      </w:pPr>
    </w:p>
    <w:p>
      <w:pPr>
        <w:pStyle w:val="4"/>
        <w:tabs>
          <w:tab w:val="left" w:pos="720"/>
        </w:tabs>
        <w:spacing w:before="0" w:after="0" w:line="400" w:lineRule="exact"/>
        <w:jc w:val="center"/>
        <w:rPr>
          <w:rFonts w:hint="eastAsia" w:ascii="宋体" w:hAnsi="宋体" w:eastAsia="宋体" w:cs="宋体"/>
          <w:bCs w:val="0"/>
          <w:sz w:val="24"/>
          <w:szCs w:val="24"/>
          <w:highlight w:val="none"/>
          <w:lang w:val="zh-CN"/>
        </w:rPr>
      </w:pPr>
      <w:r>
        <w:rPr>
          <w:rFonts w:hint="eastAsia" w:ascii="宋体" w:hAnsi="宋体" w:eastAsia="宋体" w:cs="宋体"/>
          <w:bCs w:val="0"/>
          <w:sz w:val="24"/>
          <w:szCs w:val="24"/>
          <w:highlight w:val="none"/>
          <w:lang w:val="zh-CN"/>
        </w:rPr>
        <w:t>三、服务要求偏离表</w:t>
      </w:r>
    </w:p>
    <w:p>
      <w:pPr>
        <w:spacing w:line="360" w:lineRule="auto"/>
        <w:ind w:firstLine="245" w:firstLineChars="100"/>
        <w:rPr>
          <w:rFonts w:hint="eastAsia" w:ascii="宋体" w:hAnsi="宋体" w:eastAsia="宋体" w:cs="宋体"/>
          <w:sz w:val="24"/>
          <w:szCs w:val="32"/>
          <w:highlight w:val="none"/>
        </w:rPr>
      </w:pPr>
    </w:p>
    <w:p>
      <w:pPr>
        <w:spacing w:line="360" w:lineRule="auto"/>
        <w:ind w:firstLine="245" w:firstLineChars="100"/>
        <w:rPr>
          <w:rFonts w:hint="eastAsia" w:ascii="宋体" w:hAnsi="宋体" w:eastAsia="宋体" w:cs="宋体"/>
          <w:sz w:val="24"/>
          <w:szCs w:val="32"/>
          <w:highlight w:val="none"/>
        </w:rPr>
      </w:pPr>
      <w:r>
        <w:rPr>
          <w:rFonts w:hint="eastAsia" w:ascii="宋体" w:hAnsi="宋体" w:eastAsia="宋体" w:cs="宋体"/>
          <w:sz w:val="24"/>
          <w:szCs w:val="32"/>
          <w:highlight w:val="none"/>
        </w:rPr>
        <w:t>项目名称：</w:t>
      </w:r>
    </w:p>
    <w:p>
      <w:pPr>
        <w:spacing w:line="360" w:lineRule="auto"/>
        <w:ind w:firstLine="245" w:firstLineChars="100"/>
        <w:rPr>
          <w:rFonts w:hint="eastAsia" w:ascii="宋体" w:hAnsi="宋体" w:eastAsia="宋体" w:cs="宋体"/>
          <w:highlight w:val="none"/>
        </w:rPr>
      </w:pPr>
      <w:r>
        <w:rPr>
          <w:rFonts w:hint="eastAsia" w:ascii="宋体" w:hAnsi="宋体" w:eastAsia="宋体" w:cs="宋体"/>
          <w:sz w:val="24"/>
          <w:szCs w:val="32"/>
          <w:highlight w:val="none"/>
        </w:rPr>
        <w:t>项目编号：</w:t>
      </w:r>
      <w:r>
        <w:rPr>
          <w:rFonts w:hint="eastAsia" w:ascii="宋体" w:hAnsi="宋体" w:cs="宋体"/>
          <w:sz w:val="24"/>
          <w:szCs w:val="32"/>
          <w:highlight w:val="none"/>
          <w:lang w:val="en-US" w:eastAsia="zh-CN"/>
        </w:rPr>
        <w:t xml:space="preserve">             包号：</w:t>
      </w:r>
      <w:r>
        <w:rPr>
          <w:rFonts w:hint="eastAsia" w:ascii="宋体" w:hAnsi="宋体" w:eastAsia="宋体" w:cs="宋体"/>
          <w:highlight w:val="none"/>
        </w:rPr>
        <w:t xml:space="preserve">                                                </w:t>
      </w:r>
    </w:p>
    <w:tbl>
      <w:tblPr>
        <w:tblStyle w:val="28"/>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88"/>
        <w:gridCol w:w="2878"/>
        <w:gridCol w:w="2758"/>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05"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288" w:type="dxa"/>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产品名称</w:t>
            </w:r>
          </w:p>
        </w:tc>
        <w:tc>
          <w:tcPr>
            <w:tcW w:w="2878"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磋商文件的</w:t>
            </w:r>
            <w:r>
              <w:rPr>
                <w:rFonts w:hint="eastAsia" w:ascii="宋体" w:hAnsi="宋体" w:eastAsia="宋体" w:cs="宋体"/>
                <w:szCs w:val="21"/>
                <w:highlight w:val="none"/>
                <w:lang w:eastAsia="zh-CN"/>
              </w:rPr>
              <w:t>技术服务</w:t>
            </w:r>
            <w:r>
              <w:rPr>
                <w:rFonts w:hint="eastAsia" w:ascii="宋体" w:hAnsi="宋体" w:eastAsia="宋体" w:cs="宋体"/>
                <w:szCs w:val="21"/>
                <w:highlight w:val="none"/>
              </w:rPr>
              <w:t>条款</w:t>
            </w:r>
          </w:p>
        </w:tc>
        <w:tc>
          <w:tcPr>
            <w:tcW w:w="2758" w:type="dxa"/>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技术服务条款响应</w:t>
            </w:r>
          </w:p>
        </w:tc>
        <w:tc>
          <w:tcPr>
            <w:tcW w:w="1607"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满足或偏离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05" w:type="dxa"/>
          </w:tcPr>
          <w:p>
            <w:pPr>
              <w:spacing w:line="360" w:lineRule="auto"/>
              <w:rPr>
                <w:rFonts w:hint="eastAsia" w:ascii="宋体" w:hAnsi="宋体" w:eastAsia="宋体" w:cs="宋体"/>
                <w:szCs w:val="21"/>
                <w:highlight w:val="none"/>
              </w:rPr>
            </w:pPr>
          </w:p>
        </w:tc>
        <w:tc>
          <w:tcPr>
            <w:tcW w:w="1288" w:type="dxa"/>
          </w:tcPr>
          <w:p>
            <w:pPr>
              <w:spacing w:line="360" w:lineRule="auto"/>
              <w:rPr>
                <w:rFonts w:hint="eastAsia" w:ascii="宋体" w:hAnsi="宋体" w:eastAsia="宋体" w:cs="宋体"/>
                <w:szCs w:val="21"/>
                <w:highlight w:val="none"/>
              </w:rPr>
            </w:pPr>
          </w:p>
        </w:tc>
        <w:tc>
          <w:tcPr>
            <w:tcW w:w="2878" w:type="dxa"/>
          </w:tcPr>
          <w:p>
            <w:pPr>
              <w:spacing w:line="360" w:lineRule="auto"/>
              <w:rPr>
                <w:rFonts w:hint="eastAsia" w:ascii="宋体" w:hAnsi="宋体" w:eastAsia="宋体" w:cs="宋体"/>
                <w:szCs w:val="21"/>
                <w:highlight w:val="none"/>
              </w:rPr>
            </w:pPr>
          </w:p>
        </w:tc>
        <w:tc>
          <w:tcPr>
            <w:tcW w:w="2758" w:type="dxa"/>
          </w:tcPr>
          <w:p>
            <w:pPr>
              <w:spacing w:line="360" w:lineRule="auto"/>
              <w:rPr>
                <w:rFonts w:hint="eastAsia" w:ascii="宋体" w:hAnsi="宋体" w:eastAsia="宋体" w:cs="宋体"/>
                <w:szCs w:val="21"/>
                <w:highlight w:val="none"/>
              </w:rPr>
            </w:pPr>
          </w:p>
        </w:tc>
        <w:tc>
          <w:tcPr>
            <w:tcW w:w="1607" w:type="dxa"/>
          </w:tcPr>
          <w:p>
            <w:pPr>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05" w:type="dxa"/>
          </w:tcPr>
          <w:p>
            <w:pPr>
              <w:spacing w:line="360" w:lineRule="auto"/>
              <w:rPr>
                <w:rFonts w:hint="eastAsia" w:ascii="宋体" w:hAnsi="宋体" w:eastAsia="宋体" w:cs="宋体"/>
                <w:szCs w:val="21"/>
                <w:highlight w:val="none"/>
              </w:rPr>
            </w:pPr>
          </w:p>
        </w:tc>
        <w:tc>
          <w:tcPr>
            <w:tcW w:w="1288" w:type="dxa"/>
          </w:tcPr>
          <w:p>
            <w:pPr>
              <w:spacing w:line="360" w:lineRule="auto"/>
              <w:rPr>
                <w:rFonts w:hint="eastAsia" w:ascii="宋体" w:hAnsi="宋体" w:eastAsia="宋体" w:cs="宋体"/>
                <w:szCs w:val="21"/>
                <w:highlight w:val="none"/>
              </w:rPr>
            </w:pPr>
          </w:p>
        </w:tc>
        <w:tc>
          <w:tcPr>
            <w:tcW w:w="2878" w:type="dxa"/>
          </w:tcPr>
          <w:p>
            <w:pPr>
              <w:spacing w:line="360" w:lineRule="auto"/>
              <w:rPr>
                <w:rFonts w:hint="eastAsia" w:ascii="宋体" w:hAnsi="宋体" w:eastAsia="宋体" w:cs="宋体"/>
                <w:szCs w:val="21"/>
                <w:highlight w:val="none"/>
              </w:rPr>
            </w:pPr>
          </w:p>
        </w:tc>
        <w:tc>
          <w:tcPr>
            <w:tcW w:w="2758" w:type="dxa"/>
          </w:tcPr>
          <w:p>
            <w:pPr>
              <w:spacing w:line="360" w:lineRule="auto"/>
              <w:rPr>
                <w:rFonts w:hint="eastAsia" w:ascii="宋体" w:hAnsi="宋体" w:eastAsia="宋体" w:cs="宋体"/>
                <w:szCs w:val="21"/>
                <w:highlight w:val="none"/>
              </w:rPr>
            </w:pPr>
          </w:p>
        </w:tc>
        <w:tc>
          <w:tcPr>
            <w:tcW w:w="1607" w:type="dxa"/>
          </w:tcPr>
          <w:p>
            <w:pPr>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05" w:type="dxa"/>
          </w:tcPr>
          <w:p>
            <w:pPr>
              <w:spacing w:line="360" w:lineRule="auto"/>
              <w:rPr>
                <w:rFonts w:hint="eastAsia" w:ascii="宋体" w:hAnsi="宋体" w:eastAsia="宋体" w:cs="宋体"/>
                <w:szCs w:val="21"/>
                <w:highlight w:val="none"/>
              </w:rPr>
            </w:pPr>
          </w:p>
        </w:tc>
        <w:tc>
          <w:tcPr>
            <w:tcW w:w="1288" w:type="dxa"/>
          </w:tcPr>
          <w:p>
            <w:pPr>
              <w:spacing w:line="360" w:lineRule="auto"/>
              <w:rPr>
                <w:rFonts w:hint="eastAsia" w:ascii="宋体" w:hAnsi="宋体" w:eastAsia="宋体" w:cs="宋体"/>
                <w:szCs w:val="21"/>
                <w:highlight w:val="none"/>
              </w:rPr>
            </w:pPr>
          </w:p>
        </w:tc>
        <w:tc>
          <w:tcPr>
            <w:tcW w:w="2878" w:type="dxa"/>
          </w:tcPr>
          <w:p>
            <w:pPr>
              <w:spacing w:line="360" w:lineRule="auto"/>
              <w:rPr>
                <w:rFonts w:hint="eastAsia" w:ascii="宋体" w:hAnsi="宋体" w:eastAsia="宋体" w:cs="宋体"/>
                <w:szCs w:val="21"/>
                <w:highlight w:val="none"/>
              </w:rPr>
            </w:pPr>
          </w:p>
        </w:tc>
        <w:tc>
          <w:tcPr>
            <w:tcW w:w="2758" w:type="dxa"/>
          </w:tcPr>
          <w:p>
            <w:pPr>
              <w:spacing w:line="360" w:lineRule="auto"/>
              <w:rPr>
                <w:rFonts w:hint="eastAsia" w:ascii="宋体" w:hAnsi="宋体" w:eastAsia="宋体" w:cs="宋体"/>
                <w:szCs w:val="21"/>
                <w:highlight w:val="none"/>
              </w:rPr>
            </w:pPr>
          </w:p>
        </w:tc>
        <w:tc>
          <w:tcPr>
            <w:tcW w:w="1607" w:type="dxa"/>
          </w:tcPr>
          <w:p>
            <w:pPr>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05" w:type="dxa"/>
          </w:tcPr>
          <w:p>
            <w:pPr>
              <w:spacing w:line="360" w:lineRule="auto"/>
              <w:rPr>
                <w:rFonts w:hint="eastAsia" w:ascii="宋体" w:hAnsi="宋体" w:eastAsia="宋体" w:cs="宋体"/>
                <w:szCs w:val="21"/>
                <w:highlight w:val="none"/>
              </w:rPr>
            </w:pPr>
          </w:p>
        </w:tc>
        <w:tc>
          <w:tcPr>
            <w:tcW w:w="1288" w:type="dxa"/>
          </w:tcPr>
          <w:p>
            <w:pPr>
              <w:spacing w:line="360" w:lineRule="auto"/>
              <w:rPr>
                <w:rFonts w:hint="eastAsia" w:ascii="宋体" w:hAnsi="宋体" w:eastAsia="宋体" w:cs="宋体"/>
                <w:szCs w:val="21"/>
                <w:highlight w:val="none"/>
              </w:rPr>
            </w:pPr>
          </w:p>
        </w:tc>
        <w:tc>
          <w:tcPr>
            <w:tcW w:w="2878" w:type="dxa"/>
          </w:tcPr>
          <w:p>
            <w:pPr>
              <w:spacing w:line="360" w:lineRule="auto"/>
              <w:rPr>
                <w:rFonts w:hint="eastAsia" w:ascii="宋体" w:hAnsi="宋体" w:eastAsia="宋体" w:cs="宋体"/>
                <w:szCs w:val="21"/>
                <w:highlight w:val="none"/>
              </w:rPr>
            </w:pPr>
          </w:p>
        </w:tc>
        <w:tc>
          <w:tcPr>
            <w:tcW w:w="2758" w:type="dxa"/>
          </w:tcPr>
          <w:p>
            <w:pPr>
              <w:spacing w:line="360" w:lineRule="auto"/>
              <w:rPr>
                <w:rFonts w:hint="eastAsia" w:ascii="宋体" w:hAnsi="宋体" w:eastAsia="宋体" w:cs="宋体"/>
                <w:szCs w:val="21"/>
                <w:highlight w:val="none"/>
              </w:rPr>
            </w:pPr>
          </w:p>
        </w:tc>
        <w:tc>
          <w:tcPr>
            <w:tcW w:w="1607" w:type="dxa"/>
          </w:tcPr>
          <w:p>
            <w:pPr>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05" w:type="dxa"/>
          </w:tcPr>
          <w:p>
            <w:pPr>
              <w:spacing w:line="360" w:lineRule="auto"/>
              <w:rPr>
                <w:rFonts w:hint="eastAsia" w:ascii="宋体" w:hAnsi="宋体" w:eastAsia="宋体" w:cs="宋体"/>
                <w:szCs w:val="21"/>
                <w:highlight w:val="none"/>
              </w:rPr>
            </w:pPr>
          </w:p>
        </w:tc>
        <w:tc>
          <w:tcPr>
            <w:tcW w:w="1288" w:type="dxa"/>
          </w:tcPr>
          <w:p>
            <w:pPr>
              <w:spacing w:line="360" w:lineRule="auto"/>
              <w:rPr>
                <w:rFonts w:hint="eastAsia" w:ascii="宋体" w:hAnsi="宋体" w:eastAsia="宋体" w:cs="宋体"/>
                <w:szCs w:val="21"/>
                <w:highlight w:val="none"/>
              </w:rPr>
            </w:pPr>
          </w:p>
        </w:tc>
        <w:tc>
          <w:tcPr>
            <w:tcW w:w="2878" w:type="dxa"/>
          </w:tcPr>
          <w:p>
            <w:pPr>
              <w:spacing w:line="360" w:lineRule="auto"/>
              <w:rPr>
                <w:rFonts w:hint="eastAsia" w:ascii="宋体" w:hAnsi="宋体" w:eastAsia="宋体" w:cs="宋体"/>
                <w:szCs w:val="21"/>
                <w:highlight w:val="none"/>
              </w:rPr>
            </w:pPr>
          </w:p>
        </w:tc>
        <w:tc>
          <w:tcPr>
            <w:tcW w:w="2758" w:type="dxa"/>
          </w:tcPr>
          <w:p>
            <w:pPr>
              <w:spacing w:line="360" w:lineRule="auto"/>
              <w:rPr>
                <w:rFonts w:hint="eastAsia" w:ascii="宋体" w:hAnsi="宋体" w:eastAsia="宋体" w:cs="宋体"/>
                <w:szCs w:val="21"/>
                <w:highlight w:val="none"/>
              </w:rPr>
            </w:pPr>
          </w:p>
        </w:tc>
        <w:tc>
          <w:tcPr>
            <w:tcW w:w="1607" w:type="dxa"/>
          </w:tcPr>
          <w:p>
            <w:pPr>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05" w:type="dxa"/>
          </w:tcPr>
          <w:p>
            <w:pPr>
              <w:spacing w:line="360" w:lineRule="auto"/>
              <w:rPr>
                <w:rFonts w:hint="eastAsia" w:ascii="宋体" w:hAnsi="宋体" w:eastAsia="宋体" w:cs="宋体"/>
                <w:szCs w:val="21"/>
                <w:highlight w:val="none"/>
              </w:rPr>
            </w:pPr>
          </w:p>
        </w:tc>
        <w:tc>
          <w:tcPr>
            <w:tcW w:w="1288" w:type="dxa"/>
          </w:tcPr>
          <w:p>
            <w:pPr>
              <w:spacing w:line="360" w:lineRule="auto"/>
              <w:rPr>
                <w:rFonts w:hint="eastAsia" w:ascii="宋体" w:hAnsi="宋体" w:eastAsia="宋体" w:cs="宋体"/>
                <w:szCs w:val="21"/>
                <w:highlight w:val="none"/>
              </w:rPr>
            </w:pPr>
          </w:p>
        </w:tc>
        <w:tc>
          <w:tcPr>
            <w:tcW w:w="2878" w:type="dxa"/>
          </w:tcPr>
          <w:p>
            <w:pPr>
              <w:spacing w:line="360" w:lineRule="auto"/>
              <w:rPr>
                <w:rFonts w:hint="eastAsia" w:ascii="宋体" w:hAnsi="宋体" w:eastAsia="宋体" w:cs="宋体"/>
                <w:szCs w:val="21"/>
                <w:highlight w:val="none"/>
              </w:rPr>
            </w:pPr>
          </w:p>
        </w:tc>
        <w:tc>
          <w:tcPr>
            <w:tcW w:w="2758" w:type="dxa"/>
          </w:tcPr>
          <w:p>
            <w:pPr>
              <w:spacing w:line="360" w:lineRule="auto"/>
              <w:rPr>
                <w:rFonts w:hint="eastAsia" w:ascii="宋体" w:hAnsi="宋体" w:eastAsia="宋体" w:cs="宋体"/>
                <w:szCs w:val="21"/>
                <w:highlight w:val="none"/>
              </w:rPr>
            </w:pPr>
          </w:p>
        </w:tc>
        <w:tc>
          <w:tcPr>
            <w:tcW w:w="1607" w:type="dxa"/>
          </w:tcPr>
          <w:p>
            <w:pPr>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05" w:type="dxa"/>
          </w:tcPr>
          <w:p>
            <w:pPr>
              <w:spacing w:line="360" w:lineRule="auto"/>
              <w:rPr>
                <w:rFonts w:hint="eastAsia" w:ascii="宋体" w:hAnsi="宋体" w:eastAsia="宋体" w:cs="宋体"/>
                <w:szCs w:val="21"/>
                <w:highlight w:val="none"/>
              </w:rPr>
            </w:pPr>
          </w:p>
        </w:tc>
        <w:tc>
          <w:tcPr>
            <w:tcW w:w="1288" w:type="dxa"/>
          </w:tcPr>
          <w:p>
            <w:pPr>
              <w:spacing w:line="360" w:lineRule="auto"/>
              <w:rPr>
                <w:rFonts w:hint="eastAsia" w:ascii="宋体" w:hAnsi="宋体" w:eastAsia="宋体" w:cs="宋体"/>
                <w:szCs w:val="21"/>
                <w:highlight w:val="none"/>
              </w:rPr>
            </w:pPr>
          </w:p>
        </w:tc>
        <w:tc>
          <w:tcPr>
            <w:tcW w:w="2878" w:type="dxa"/>
          </w:tcPr>
          <w:p>
            <w:pPr>
              <w:spacing w:line="360" w:lineRule="auto"/>
              <w:rPr>
                <w:rFonts w:hint="eastAsia" w:ascii="宋体" w:hAnsi="宋体" w:eastAsia="宋体" w:cs="宋体"/>
                <w:szCs w:val="21"/>
                <w:highlight w:val="none"/>
              </w:rPr>
            </w:pPr>
          </w:p>
        </w:tc>
        <w:tc>
          <w:tcPr>
            <w:tcW w:w="2758" w:type="dxa"/>
          </w:tcPr>
          <w:p>
            <w:pPr>
              <w:spacing w:line="360" w:lineRule="auto"/>
              <w:rPr>
                <w:rFonts w:hint="eastAsia" w:ascii="宋体" w:hAnsi="宋体" w:eastAsia="宋体" w:cs="宋体"/>
                <w:szCs w:val="21"/>
                <w:highlight w:val="none"/>
              </w:rPr>
            </w:pPr>
          </w:p>
        </w:tc>
        <w:tc>
          <w:tcPr>
            <w:tcW w:w="1607" w:type="dxa"/>
          </w:tcPr>
          <w:p>
            <w:pPr>
              <w:spacing w:line="360" w:lineRule="auto"/>
              <w:rPr>
                <w:rFonts w:hint="eastAsia" w:ascii="宋体" w:hAnsi="宋体" w:eastAsia="宋体" w:cs="宋体"/>
                <w:szCs w:val="21"/>
                <w:highlight w:val="none"/>
              </w:rPr>
            </w:pPr>
          </w:p>
        </w:tc>
      </w:tr>
    </w:tbl>
    <w:p>
      <w:pPr>
        <w:spacing w:line="360" w:lineRule="auto"/>
        <w:ind w:firstLine="480"/>
        <w:rPr>
          <w:rFonts w:hint="eastAsia" w:ascii="宋体" w:hAnsi="宋体" w:eastAsia="宋体" w:cs="宋体"/>
          <w:szCs w:val="32"/>
          <w:highlight w:val="none"/>
        </w:rPr>
      </w:pPr>
      <w:r>
        <w:rPr>
          <w:rFonts w:hint="eastAsia" w:ascii="宋体" w:hAnsi="宋体" w:eastAsia="宋体" w:cs="宋体"/>
          <w:highlight w:val="none"/>
        </w:rPr>
        <w:t>注：</w:t>
      </w:r>
      <w:r>
        <w:rPr>
          <w:rFonts w:hint="eastAsia" w:ascii="宋体" w:hAnsi="宋体" w:eastAsia="宋体" w:cs="宋体"/>
          <w:szCs w:val="32"/>
          <w:highlight w:val="none"/>
        </w:rPr>
        <w:t>1.本表只填写响应文件中与磋商文件有偏离（包括正偏离和负偏离）的内容，响应文件中商务响应与磋商文件要求完全一致的，不用在此表中列出。未明确偏离的条款，视为默认接受，供应商不得籍未作应答而拒不接受。</w:t>
      </w:r>
    </w:p>
    <w:p>
      <w:pPr>
        <w:spacing w:line="360" w:lineRule="auto"/>
        <w:ind w:firstLine="215" w:firstLineChars="100"/>
        <w:rPr>
          <w:rFonts w:hint="eastAsia" w:ascii="宋体" w:hAnsi="宋体" w:eastAsia="宋体" w:cs="宋体"/>
          <w:highlight w:val="none"/>
        </w:rPr>
      </w:pPr>
      <w:r>
        <w:rPr>
          <w:rFonts w:hint="eastAsia" w:ascii="宋体" w:hAnsi="宋体" w:eastAsia="宋体" w:cs="宋体"/>
          <w:szCs w:val="32"/>
          <w:highlight w:val="none"/>
        </w:rPr>
        <w:t>2.供应商须据实填写，不得虚假响应。</w:t>
      </w:r>
    </w:p>
    <w:p>
      <w:pPr>
        <w:pStyle w:val="2"/>
        <w:ind w:firstLine="0"/>
        <w:rPr>
          <w:rFonts w:hint="eastAsia" w:ascii="宋体" w:hAnsi="宋体" w:eastAsia="宋体" w:cs="宋体"/>
          <w:sz w:val="40"/>
          <w:szCs w:val="32"/>
          <w:highlight w:val="none"/>
        </w:rPr>
      </w:pPr>
    </w:p>
    <w:p>
      <w:pPr>
        <w:tabs>
          <w:tab w:val="left" w:pos="1080"/>
        </w:tabs>
        <w:autoSpaceDE w:val="0"/>
        <w:autoSpaceDN w:val="0"/>
        <w:adjustRightInd w:val="0"/>
        <w:spacing w:line="440" w:lineRule="exact"/>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（加盖公章）</w:t>
      </w:r>
    </w:p>
    <w:p>
      <w:pPr>
        <w:autoSpaceDE w:val="0"/>
        <w:autoSpaceDN w:val="0"/>
        <w:adjustRightInd w:val="0"/>
        <w:spacing w:line="440" w:lineRule="exact"/>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法定代表人或代理人：</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（签字）</w:t>
      </w:r>
    </w:p>
    <w:p>
      <w:pPr>
        <w:autoSpaceDE w:val="0"/>
        <w:autoSpaceDN w:val="0"/>
        <w:adjustRightInd w:val="0"/>
        <w:spacing w:line="44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lang w:val="zh-CN"/>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年</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月</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日</w:t>
      </w: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 w:val="0"/>
          <w:bCs w:val="0"/>
          <w:sz w:val="32"/>
          <w:szCs w:val="32"/>
          <w:highlight w:val="none"/>
        </w:rPr>
        <w:br w:type="page"/>
      </w:r>
      <w:r>
        <w:rPr>
          <w:rFonts w:hint="eastAsia" w:ascii="宋体" w:hAnsi="宋体" w:eastAsia="宋体" w:cs="宋体"/>
          <w:bCs w:val="0"/>
          <w:sz w:val="24"/>
          <w:szCs w:val="24"/>
          <w:highlight w:val="none"/>
          <w:lang w:val="zh-CN" w:eastAsia="zh-CN"/>
        </w:rPr>
        <w:t>四、商务应答表</w:t>
      </w:r>
    </w:p>
    <w:p>
      <w:pPr>
        <w:ind w:firstLine="245" w:firstLineChars="100"/>
        <w:rPr>
          <w:rFonts w:hint="eastAsia" w:ascii="宋体" w:hAnsi="宋体" w:eastAsia="宋体" w:cs="宋体"/>
          <w:sz w:val="24"/>
          <w:szCs w:val="32"/>
          <w:highlight w:val="none"/>
        </w:rPr>
      </w:pPr>
    </w:p>
    <w:p>
      <w:pPr>
        <w:spacing w:line="360" w:lineRule="auto"/>
        <w:ind w:firstLine="245" w:firstLineChars="100"/>
        <w:rPr>
          <w:rFonts w:hint="eastAsia" w:ascii="宋体" w:hAnsi="宋体" w:eastAsia="宋体" w:cs="宋体"/>
          <w:sz w:val="24"/>
          <w:szCs w:val="32"/>
          <w:highlight w:val="none"/>
        </w:rPr>
      </w:pPr>
      <w:r>
        <w:rPr>
          <w:rFonts w:hint="eastAsia" w:ascii="宋体" w:hAnsi="宋体" w:eastAsia="宋体" w:cs="宋体"/>
          <w:sz w:val="24"/>
          <w:szCs w:val="32"/>
          <w:highlight w:val="none"/>
        </w:rPr>
        <w:t>项目名称：</w:t>
      </w:r>
    </w:p>
    <w:p>
      <w:pPr>
        <w:spacing w:line="360" w:lineRule="auto"/>
        <w:ind w:firstLine="245" w:firstLineChars="100"/>
        <w:rPr>
          <w:rFonts w:hint="eastAsia" w:ascii="宋体" w:hAnsi="宋体" w:eastAsia="宋体" w:cs="宋体"/>
          <w:highlight w:val="none"/>
          <w:u w:val="single"/>
          <w:lang w:val="zh-CN"/>
        </w:rPr>
      </w:pPr>
      <w:r>
        <w:rPr>
          <w:rFonts w:hint="eastAsia" w:ascii="宋体" w:hAnsi="宋体" w:eastAsia="宋体" w:cs="宋体"/>
          <w:sz w:val="24"/>
          <w:szCs w:val="32"/>
          <w:highlight w:val="none"/>
        </w:rPr>
        <w:t>项目编号：</w:t>
      </w:r>
      <w:r>
        <w:rPr>
          <w:rFonts w:hint="eastAsia" w:ascii="宋体" w:hAnsi="宋体" w:eastAsia="宋体" w:cs="宋体"/>
          <w:highlight w:val="none"/>
        </w:rPr>
        <w:t xml:space="preserve">          </w:t>
      </w:r>
      <w:r>
        <w:rPr>
          <w:rFonts w:hint="eastAsia" w:ascii="宋体" w:hAnsi="宋体" w:cs="宋体"/>
          <w:highlight w:val="none"/>
          <w:lang w:val="en-US" w:eastAsia="zh-CN"/>
        </w:rPr>
        <w:t xml:space="preserve">    包号：</w:t>
      </w:r>
      <w:r>
        <w:rPr>
          <w:rFonts w:hint="eastAsia" w:ascii="宋体" w:hAnsi="宋体" w:eastAsia="宋体" w:cs="宋体"/>
          <w:highlight w:val="none"/>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3756"/>
        <w:gridCol w:w="322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723" w:type="dxa"/>
            <w:vAlign w:val="center"/>
          </w:tcPr>
          <w:p>
            <w:pPr>
              <w:autoSpaceDE w:val="0"/>
              <w:autoSpaceDN w:val="0"/>
              <w:adjustRightInd w:val="0"/>
              <w:jc w:val="center"/>
              <w:rPr>
                <w:rFonts w:hint="eastAsia" w:ascii="宋体" w:hAnsi="宋体" w:eastAsia="宋体" w:cs="宋体"/>
                <w:highlight w:val="none"/>
                <w:lang w:val="zh-CN"/>
              </w:rPr>
            </w:pPr>
            <w:r>
              <w:rPr>
                <w:rFonts w:hint="eastAsia" w:ascii="宋体" w:hAnsi="宋体" w:eastAsia="宋体" w:cs="宋体"/>
                <w:highlight w:val="none"/>
              </w:rPr>
              <w:t>序号</w:t>
            </w:r>
          </w:p>
        </w:tc>
        <w:tc>
          <w:tcPr>
            <w:tcW w:w="3756" w:type="dxa"/>
            <w:vAlign w:val="center"/>
          </w:tcPr>
          <w:p>
            <w:pPr>
              <w:autoSpaceDE w:val="0"/>
              <w:autoSpaceDN w:val="0"/>
              <w:adjustRightInd w:val="0"/>
              <w:jc w:val="center"/>
              <w:rPr>
                <w:rFonts w:hint="eastAsia" w:ascii="宋体" w:hAnsi="宋体" w:eastAsia="宋体" w:cs="宋体"/>
                <w:highlight w:val="none"/>
                <w:lang w:val="zh-CN"/>
              </w:rPr>
            </w:pPr>
            <w:r>
              <w:rPr>
                <w:rFonts w:hint="eastAsia" w:ascii="宋体" w:hAnsi="宋体" w:eastAsia="宋体" w:cs="宋体"/>
                <w:highlight w:val="none"/>
                <w:lang w:val="zh-CN"/>
              </w:rPr>
              <w:t>磋商文件的商务要求</w:t>
            </w:r>
          </w:p>
        </w:tc>
        <w:tc>
          <w:tcPr>
            <w:tcW w:w="3220" w:type="dxa"/>
            <w:vAlign w:val="center"/>
          </w:tcPr>
          <w:p>
            <w:pPr>
              <w:autoSpaceDE w:val="0"/>
              <w:autoSpaceDN w:val="0"/>
              <w:adjustRightInd w:val="0"/>
              <w:jc w:val="center"/>
              <w:rPr>
                <w:rFonts w:hint="eastAsia" w:ascii="宋体" w:hAnsi="宋体" w:eastAsia="宋体" w:cs="宋体"/>
                <w:highlight w:val="none"/>
                <w:lang w:val="zh-CN"/>
              </w:rPr>
            </w:pPr>
            <w:r>
              <w:rPr>
                <w:rFonts w:hint="eastAsia" w:ascii="宋体" w:hAnsi="宋体" w:eastAsia="宋体" w:cs="宋体"/>
                <w:highlight w:val="none"/>
              </w:rPr>
              <w:t>商务条款响应</w:t>
            </w:r>
          </w:p>
        </w:tc>
        <w:tc>
          <w:tcPr>
            <w:tcW w:w="1785" w:type="dxa"/>
            <w:vAlign w:val="center"/>
          </w:tcPr>
          <w:p>
            <w:pPr>
              <w:autoSpaceDE w:val="0"/>
              <w:autoSpaceDN w:val="0"/>
              <w:adjustRightInd w:val="0"/>
              <w:jc w:val="center"/>
              <w:rPr>
                <w:rFonts w:hint="eastAsia" w:ascii="宋体" w:hAnsi="宋体" w:eastAsia="宋体" w:cs="宋体"/>
                <w:highlight w:val="none"/>
                <w:lang w:val="zh-CN"/>
              </w:rPr>
            </w:pPr>
            <w:r>
              <w:rPr>
                <w:rFonts w:hint="eastAsia" w:ascii="宋体" w:hAnsi="宋体" w:eastAsia="宋体" w:cs="宋体"/>
                <w:szCs w:val="21"/>
                <w:highlight w:val="none"/>
              </w:rPr>
              <w:t>满足或偏离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723" w:type="dxa"/>
          </w:tcPr>
          <w:p>
            <w:pPr>
              <w:autoSpaceDE w:val="0"/>
              <w:autoSpaceDN w:val="0"/>
              <w:adjustRightInd w:val="0"/>
              <w:jc w:val="center"/>
              <w:rPr>
                <w:rFonts w:hint="eastAsia" w:ascii="宋体" w:hAnsi="宋体" w:eastAsia="宋体" w:cs="宋体"/>
                <w:highlight w:val="none"/>
                <w:lang w:val="zh-CN"/>
              </w:rPr>
            </w:pPr>
          </w:p>
        </w:tc>
        <w:tc>
          <w:tcPr>
            <w:tcW w:w="3756" w:type="dxa"/>
          </w:tcPr>
          <w:p>
            <w:pPr>
              <w:autoSpaceDE w:val="0"/>
              <w:autoSpaceDN w:val="0"/>
              <w:adjustRightInd w:val="0"/>
              <w:jc w:val="center"/>
              <w:rPr>
                <w:rFonts w:hint="eastAsia" w:ascii="宋体" w:hAnsi="宋体" w:eastAsia="宋体" w:cs="宋体"/>
                <w:highlight w:val="none"/>
                <w:lang w:val="zh-CN"/>
              </w:rPr>
            </w:pPr>
          </w:p>
        </w:tc>
        <w:tc>
          <w:tcPr>
            <w:tcW w:w="3220" w:type="dxa"/>
          </w:tcPr>
          <w:p>
            <w:pPr>
              <w:autoSpaceDE w:val="0"/>
              <w:autoSpaceDN w:val="0"/>
              <w:adjustRightInd w:val="0"/>
              <w:jc w:val="center"/>
              <w:rPr>
                <w:rFonts w:hint="eastAsia" w:ascii="宋体" w:hAnsi="宋体" w:eastAsia="宋体" w:cs="宋体"/>
                <w:highlight w:val="none"/>
                <w:lang w:val="zh-CN"/>
              </w:rPr>
            </w:pPr>
          </w:p>
        </w:tc>
        <w:tc>
          <w:tcPr>
            <w:tcW w:w="1785" w:type="dxa"/>
          </w:tcPr>
          <w:p>
            <w:pPr>
              <w:autoSpaceDE w:val="0"/>
              <w:autoSpaceDN w:val="0"/>
              <w:adjustRightInd w:val="0"/>
              <w:jc w:val="center"/>
              <w:rPr>
                <w:rFonts w:hint="eastAsia" w:ascii="宋体" w:hAnsi="宋体" w:eastAsia="宋体" w:cs="宋体"/>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723" w:type="dxa"/>
          </w:tcPr>
          <w:p>
            <w:pPr>
              <w:autoSpaceDE w:val="0"/>
              <w:autoSpaceDN w:val="0"/>
              <w:adjustRightInd w:val="0"/>
              <w:jc w:val="center"/>
              <w:rPr>
                <w:rFonts w:hint="eastAsia" w:ascii="宋体" w:hAnsi="宋体" w:eastAsia="宋体" w:cs="宋体"/>
                <w:highlight w:val="none"/>
                <w:lang w:val="zh-CN"/>
              </w:rPr>
            </w:pPr>
          </w:p>
        </w:tc>
        <w:tc>
          <w:tcPr>
            <w:tcW w:w="3756" w:type="dxa"/>
          </w:tcPr>
          <w:p>
            <w:pPr>
              <w:autoSpaceDE w:val="0"/>
              <w:autoSpaceDN w:val="0"/>
              <w:adjustRightInd w:val="0"/>
              <w:jc w:val="center"/>
              <w:rPr>
                <w:rFonts w:hint="eastAsia" w:ascii="宋体" w:hAnsi="宋体" w:eastAsia="宋体" w:cs="宋体"/>
                <w:highlight w:val="none"/>
                <w:lang w:val="zh-CN"/>
              </w:rPr>
            </w:pPr>
          </w:p>
        </w:tc>
        <w:tc>
          <w:tcPr>
            <w:tcW w:w="3220" w:type="dxa"/>
          </w:tcPr>
          <w:p>
            <w:pPr>
              <w:autoSpaceDE w:val="0"/>
              <w:autoSpaceDN w:val="0"/>
              <w:adjustRightInd w:val="0"/>
              <w:jc w:val="center"/>
              <w:rPr>
                <w:rFonts w:hint="eastAsia" w:ascii="宋体" w:hAnsi="宋体" w:eastAsia="宋体" w:cs="宋体"/>
                <w:highlight w:val="none"/>
                <w:lang w:val="zh-CN"/>
              </w:rPr>
            </w:pPr>
          </w:p>
        </w:tc>
        <w:tc>
          <w:tcPr>
            <w:tcW w:w="1785" w:type="dxa"/>
          </w:tcPr>
          <w:p>
            <w:pPr>
              <w:autoSpaceDE w:val="0"/>
              <w:autoSpaceDN w:val="0"/>
              <w:adjustRightInd w:val="0"/>
              <w:jc w:val="center"/>
              <w:rPr>
                <w:rFonts w:hint="eastAsia" w:ascii="宋体" w:hAnsi="宋体" w:eastAsia="宋体" w:cs="宋体"/>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723" w:type="dxa"/>
          </w:tcPr>
          <w:p>
            <w:pPr>
              <w:autoSpaceDE w:val="0"/>
              <w:autoSpaceDN w:val="0"/>
              <w:adjustRightInd w:val="0"/>
              <w:jc w:val="center"/>
              <w:rPr>
                <w:rFonts w:hint="eastAsia" w:ascii="宋体" w:hAnsi="宋体" w:eastAsia="宋体" w:cs="宋体"/>
                <w:highlight w:val="none"/>
                <w:lang w:val="zh-CN"/>
              </w:rPr>
            </w:pPr>
          </w:p>
        </w:tc>
        <w:tc>
          <w:tcPr>
            <w:tcW w:w="3756" w:type="dxa"/>
          </w:tcPr>
          <w:p>
            <w:pPr>
              <w:autoSpaceDE w:val="0"/>
              <w:autoSpaceDN w:val="0"/>
              <w:adjustRightInd w:val="0"/>
              <w:jc w:val="center"/>
              <w:rPr>
                <w:rFonts w:hint="eastAsia" w:ascii="宋体" w:hAnsi="宋体" w:eastAsia="宋体" w:cs="宋体"/>
                <w:highlight w:val="none"/>
                <w:lang w:val="zh-CN"/>
              </w:rPr>
            </w:pPr>
          </w:p>
        </w:tc>
        <w:tc>
          <w:tcPr>
            <w:tcW w:w="3220" w:type="dxa"/>
          </w:tcPr>
          <w:p>
            <w:pPr>
              <w:autoSpaceDE w:val="0"/>
              <w:autoSpaceDN w:val="0"/>
              <w:adjustRightInd w:val="0"/>
              <w:jc w:val="center"/>
              <w:rPr>
                <w:rFonts w:hint="eastAsia" w:ascii="宋体" w:hAnsi="宋体" w:eastAsia="宋体" w:cs="宋体"/>
                <w:highlight w:val="none"/>
                <w:lang w:val="zh-CN"/>
              </w:rPr>
            </w:pPr>
          </w:p>
        </w:tc>
        <w:tc>
          <w:tcPr>
            <w:tcW w:w="1785" w:type="dxa"/>
          </w:tcPr>
          <w:p>
            <w:pPr>
              <w:autoSpaceDE w:val="0"/>
              <w:autoSpaceDN w:val="0"/>
              <w:adjustRightInd w:val="0"/>
              <w:jc w:val="center"/>
              <w:rPr>
                <w:rFonts w:hint="eastAsia" w:ascii="宋体" w:hAnsi="宋体" w:eastAsia="宋体" w:cs="宋体"/>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723" w:type="dxa"/>
          </w:tcPr>
          <w:p>
            <w:pPr>
              <w:autoSpaceDE w:val="0"/>
              <w:autoSpaceDN w:val="0"/>
              <w:adjustRightInd w:val="0"/>
              <w:ind w:firstLine="480"/>
              <w:jc w:val="left"/>
              <w:rPr>
                <w:rFonts w:hint="eastAsia" w:ascii="宋体" w:hAnsi="宋体" w:eastAsia="宋体" w:cs="宋体"/>
                <w:highlight w:val="none"/>
              </w:rPr>
            </w:pPr>
          </w:p>
        </w:tc>
        <w:tc>
          <w:tcPr>
            <w:tcW w:w="3756" w:type="dxa"/>
          </w:tcPr>
          <w:p>
            <w:pPr>
              <w:autoSpaceDE w:val="0"/>
              <w:autoSpaceDN w:val="0"/>
              <w:adjustRightInd w:val="0"/>
              <w:ind w:firstLine="480"/>
              <w:jc w:val="left"/>
              <w:rPr>
                <w:rFonts w:hint="eastAsia" w:ascii="宋体" w:hAnsi="宋体" w:eastAsia="宋体" w:cs="宋体"/>
                <w:highlight w:val="none"/>
              </w:rPr>
            </w:pPr>
          </w:p>
        </w:tc>
        <w:tc>
          <w:tcPr>
            <w:tcW w:w="3220" w:type="dxa"/>
          </w:tcPr>
          <w:p>
            <w:pPr>
              <w:autoSpaceDE w:val="0"/>
              <w:autoSpaceDN w:val="0"/>
              <w:adjustRightInd w:val="0"/>
              <w:ind w:firstLine="480"/>
              <w:jc w:val="left"/>
              <w:rPr>
                <w:rFonts w:hint="eastAsia" w:ascii="宋体" w:hAnsi="宋体" w:eastAsia="宋体" w:cs="宋体"/>
                <w:highlight w:val="none"/>
              </w:rPr>
            </w:pPr>
          </w:p>
        </w:tc>
        <w:tc>
          <w:tcPr>
            <w:tcW w:w="1785" w:type="dxa"/>
          </w:tcPr>
          <w:p>
            <w:pPr>
              <w:autoSpaceDE w:val="0"/>
              <w:autoSpaceDN w:val="0"/>
              <w:adjustRightInd w:val="0"/>
              <w:ind w:firstLine="480"/>
              <w:jc w:val="lef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723" w:type="dxa"/>
          </w:tcPr>
          <w:p>
            <w:pPr>
              <w:autoSpaceDE w:val="0"/>
              <w:autoSpaceDN w:val="0"/>
              <w:adjustRightInd w:val="0"/>
              <w:ind w:firstLine="480"/>
              <w:jc w:val="left"/>
              <w:rPr>
                <w:rFonts w:hint="eastAsia" w:ascii="宋体" w:hAnsi="宋体" w:eastAsia="宋体" w:cs="宋体"/>
                <w:highlight w:val="none"/>
              </w:rPr>
            </w:pPr>
          </w:p>
        </w:tc>
        <w:tc>
          <w:tcPr>
            <w:tcW w:w="3756" w:type="dxa"/>
          </w:tcPr>
          <w:p>
            <w:pPr>
              <w:autoSpaceDE w:val="0"/>
              <w:autoSpaceDN w:val="0"/>
              <w:adjustRightInd w:val="0"/>
              <w:ind w:firstLine="480"/>
              <w:jc w:val="left"/>
              <w:rPr>
                <w:rFonts w:hint="eastAsia" w:ascii="宋体" w:hAnsi="宋体" w:eastAsia="宋体" w:cs="宋体"/>
                <w:highlight w:val="none"/>
              </w:rPr>
            </w:pPr>
          </w:p>
        </w:tc>
        <w:tc>
          <w:tcPr>
            <w:tcW w:w="3220" w:type="dxa"/>
          </w:tcPr>
          <w:p>
            <w:pPr>
              <w:autoSpaceDE w:val="0"/>
              <w:autoSpaceDN w:val="0"/>
              <w:adjustRightInd w:val="0"/>
              <w:ind w:firstLine="480"/>
              <w:jc w:val="left"/>
              <w:rPr>
                <w:rFonts w:hint="eastAsia" w:ascii="宋体" w:hAnsi="宋体" w:eastAsia="宋体" w:cs="宋体"/>
                <w:highlight w:val="none"/>
              </w:rPr>
            </w:pPr>
          </w:p>
        </w:tc>
        <w:tc>
          <w:tcPr>
            <w:tcW w:w="1785" w:type="dxa"/>
          </w:tcPr>
          <w:p>
            <w:pPr>
              <w:autoSpaceDE w:val="0"/>
              <w:autoSpaceDN w:val="0"/>
              <w:adjustRightInd w:val="0"/>
              <w:ind w:firstLine="480"/>
              <w:jc w:val="lef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723" w:type="dxa"/>
          </w:tcPr>
          <w:p>
            <w:pPr>
              <w:autoSpaceDE w:val="0"/>
              <w:autoSpaceDN w:val="0"/>
              <w:adjustRightInd w:val="0"/>
              <w:ind w:firstLine="480"/>
              <w:jc w:val="left"/>
              <w:rPr>
                <w:rFonts w:hint="eastAsia" w:ascii="宋体" w:hAnsi="宋体" w:eastAsia="宋体" w:cs="宋体"/>
                <w:highlight w:val="none"/>
              </w:rPr>
            </w:pPr>
          </w:p>
        </w:tc>
        <w:tc>
          <w:tcPr>
            <w:tcW w:w="3756" w:type="dxa"/>
          </w:tcPr>
          <w:p>
            <w:pPr>
              <w:autoSpaceDE w:val="0"/>
              <w:autoSpaceDN w:val="0"/>
              <w:adjustRightInd w:val="0"/>
              <w:ind w:firstLine="480"/>
              <w:jc w:val="left"/>
              <w:rPr>
                <w:rFonts w:hint="eastAsia" w:ascii="宋体" w:hAnsi="宋体" w:eastAsia="宋体" w:cs="宋体"/>
                <w:highlight w:val="none"/>
              </w:rPr>
            </w:pPr>
          </w:p>
        </w:tc>
        <w:tc>
          <w:tcPr>
            <w:tcW w:w="3220" w:type="dxa"/>
          </w:tcPr>
          <w:p>
            <w:pPr>
              <w:autoSpaceDE w:val="0"/>
              <w:autoSpaceDN w:val="0"/>
              <w:adjustRightInd w:val="0"/>
              <w:ind w:firstLine="480"/>
              <w:jc w:val="left"/>
              <w:rPr>
                <w:rFonts w:hint="eastAsia" w:ascii="宋体" w:hAnsi="宋体" w:eastAsia="宋体" w:cs="宋体"/>
                <w:highlight w:val="none"/>
              </w:rPr>
            </w:pPr>
          </w:p>
        </w:tc>
        <w:tc>
          <w:tcPr>
            <w:tcW w:w="1785" w:type="dxa"/>
          </w:tcPr>
          <w:p>
            <w:pPr>
              <w:autoSpaceDE w:val="0"/>
              <w:autoSpaceDN w:val="0"/>
              <w:adjustRightInd w:val="0"/>
              <w:ind w:firstLine="480"/>
              <w:jc w:val="left"/>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723" w:type="dxa"/>
          </w:tcPr>
          <w:p>
            <w:pPr>
              <w:autoSpaceDE w:val="0"/>
              <w:autoSpaceDN w:val="0"/>
              <w:adjustRightInd w:val="0"/>
              <w:ind w:firstLine="480"/>
              <w:jc w:val="left"/>
              <w:rPr>
                <w:rFonts w:hint="eastAsia" w:ascii="宋体" w:hAnsi="宋体" w:eastAsia="宋体" w:cs="宋体"/>
                <w:highlight w:val="none"/>
              </w:rPr>
            </w:pPr>
          </w:p>
        </w:tc>
        <w:tc>
          <w:tcPr>
            <w:tcW w:w="3756" w:type="dxa"/>
          </w:tcPr>
          <w:p>
            <w:pPr>
              <w:autoSpaceDE w:val="0"/>
              <w:autoSpaceDN w:val="0"/>
              <w:adjustRightInd w:val="0"/>
              <w:ind w:firstLine="480"/>
              <w:jc w:val="left"/>
              <w:rPr>
                <w:rFonts w:hint="eastAsia" w:ascii="宋体" w:hAnsi="宋体" w:eastAsia="宋体" w:cs="宋体"/>
                <w:highlight w:val="none"/>
              </w:rPr>
            </w:pPr>
          </w:p>
        </w:tc>
        <w:tc>
          <w:tcPr>
            <w:tcW w:w="3220" w:type="dxa"/>
          </w:tcPr>
          <w:p>
            <w:pPr>
              <w:autoSpaceDE w:val="0"/>
              <w:autoSpaceDN w:val="0"/>
              <w:adjustRightInd w:val="0"/>
              <w:ind w:firstLine="480"/>
              <w:jc w:val="left"/>
              <w:rPr>
                <w:rFonts w:hint="eastAsia" w:ascii="宋体" w:hAnsi="宋体" w:eastAsia="宋体" w:cs="宋体"/>
                <w:highlight w:val="none"/>
              </w:rPr>
            </w:pPr>
          </w:p>
        </w:tc>
        <w:tc>
          <w:tcPr>
            <w:tcW w:w="1785" w:type="dxa"/>
          </w:tcPr>
          <w:p>
            <w:pPr>
              <w:autoSpaceDE w:val="0"/>
              <w:autoSpaceDN w:val="0"/>
              <w:adjustRightInd w:val="0"/>
              <w:ind w:firstLine="480"/>
              <w:jc w:val="left"/>
              <w:rPr>
                <w:rFonts w:hint="eastAsia" w:ascii="宋体" w:hAnsi="宋体" w:eastAsia="宋体" w:cs="宋体"/>
                <w:highlight w:val="none"/>
              </w:rPr>
            </w:pPr>
          </w:p>
        </w:tc>
      </w:tr>
    </w:tbl>
    <w:p>
      <w:pPr>
        <w:spacing w:line="360" w:lineRule="auto"/>
        <w:ind w:firstLine="480"/>
        <w:rPr>
          <w:rFonts w:hint="eastAsia" w:ascii="宋体" w:hAnsi="宋体" w:eastAsia="宋体" w:cs="宋体"/>
          <w:szCs w:val="32"/>
          <w:highlight w:val="none"/>
        </w:rPr>
      </w:pPr>
      <w:r>
        <w:rPr>
          <w:rFonts w:hint="eastAsia" w:ascii="宋体" w:hAnsi="宋体" w:eastAsia="宋体" w:cs="宋体"/>
          <w:szCs w:val="32"/>
          <w:highlight w:val="none"/>
        </w:rPr>
        <w:t>注：1.本表只填写响应文件中与磋商文件有偏离（包括正偏离和负偏离）的内容，响应文件中商务响应与磋商文件要求完全一致的，不用在此表中列出。未明确偏离的条款，视为默认接受，供应商不得籍未作应答而拒不接受。</w:t>
      </w:r>
    </w:p>
    <w:p>
      <w:pPr>
        <w:spacing w:line="360" w:lineRule="auto"/>
        <w:ind w:firstLine="480"/>
        <w:rPr>
          <w:rFonts w:hint="eastAsia" w:ascii="宋体" w:hAnsi="宋体" w:eastAsia="宋体" w:cs="宋体"/>
          <w:szCs w:val="32"/>
          <w:highlight w:val="none"/>
        </w:rPr>
      </w:pPr>
      <w:r>
        <w:rPr>
          <w:rFonts w:hint="eastAsia" w:ascii="宋体" w:hAnsi="宋体" w:eastAsia="宋体" w:cs="宋体"/>
          <w:szCs w:val="32"/>
          <w:highlight w:val="none"/>
        </w:rPr>
        <w:t>2.供应商须据实填写，不得虚假响应。</w:t>
      </w:r>
    </w:p>
    <w:p>
      <w:pPr>
        <w:pStyle w:val="27"/>
        <w:ind w:left="480" w:leftChars="0" w:firstLine="0"/>
        <w:rPr>
          <w:rFonts w:hint="eastAsia" w:ascii="宋体" w:hAnsi="宋体" w:eastAsia="宋体" w:cs="宋体"/>
          <w:highlight w:val="none"/>
        </w:rPr>
      </w:pPr>
    </w:p>
    <w:p>
      <w:pPr>
        <w:tabs>
          <w:tab w:val="left" w:pos="1080"/>
        </w:tabs>
        <w:autoSpaceDE w:val="0"/>
        <w:autoSpaceDN w:val="0"/>
        <w:adjustRightInd w:val="0"/>
        <w:spacing w:line="440" w:lineRule="exact"/>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（加盖公章）</w:t>
      </w:r>
    </w:p>
    <w:p>
      <w:pPr>
        <w:autoSpaceDE w:val="0"/>
        <w:autoSpaceDN w:val="0"/>
        <w:adjustRightInd w:val="0"/>
        <w:spacing w:line="440" w:lineRule="exact"/>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法定代表人或代理人：</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（签字）</w:t>
      </w:r>
    </w:p>
    <w:p>
      <w:pPr>
        <w:autoSpaceDE w:val="0"/>
        <w:autoSpaceDN w:val="0"/>
        <w:adjustRightInd w:val="0"/>
        <w:spacing w:line="440" w:lineRule="exact"/>
        <w:ind w:firstLine="480"/>
        <w:jc w:val="left"/>
        <w:rPr>
          <w:rFonts w:hint="eastAsia" w:ascii="宋体" w:hAnsi="宋体" w:eastAsia="宋体" w:cs="宋体"/>
          <w:sz w:val="24"/>
          <w:highlight w:val="none"/>
          <w:lang w:val="zh-CN"/>
        </w:rPr>
        <w:sectPr>
          <w:pgSz w:w="11849" w:h="16781"/>
          <w:pgMar w:top="1440" w:right="1440" w:bottom="1440" w:left="1440" w:header="851" w:footer="992" w:gutter="0"/>
          <w:pgNumType w:fmt="numberInDash"/>
          <w:cols w:space="720" w:num="1"/>
          <w:titlePg/>
          <w:docGrid w:type="linesAndChars" w:linePitch="312" w:charSpace="1060"/>
        </w:sectPr>
      </w:pPr>
      <w:r>
        <w:rPr>
          <w:rFonts w:hint="eastAsia" w:ascii="宋体" w:hAnsi="宋体" w:eastAsia="宋体" w:cs="宋体"/>
          <w:sz w:val="24"/>
          <w:highlight w:val="none"/>
          <w:lang w:val="zh-CN"/>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年</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月</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日</w:t>
      </w: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Cs w:val="0"/>
          <w:sz w:val="24"/>
          <w:szCs w:val="24"/>
          <w:highlight w:val="none"/>
          <w:lang w:val="zh-CN" w:eastAsia="zh-CN"/>
        </w:rPr>
        <w:t>五、供应商本项目管理、技术及其他服务人员情况表</w:t>
      </w:r>
    </w:p>
    <w:p>
      <w:pPr>
        <w:ind w:firstLine="215" w:firstLineChars="100"/>
        <w:rPr>
          <w:rFonts w:hint="eastAsia" w:ascii="宋体" w:hAnsi="宋体" w:eastAsia="宋体" w:cs="宋体"/>
          <w:highlight w:val="none"/>
        </w:rPr>
      </w:pPr>
    </w:p>
    <w:p>
      <w:pPr>
        <w:spacing w:line="360" w:lineRule="auto"/>
        <w:ind w:firstLine="245" w:firstLineChars="100"/>
        <w:rPr>
          <w:rFonts w:hint="eastAsia" w:ascii="宋体" w:hAnsi="宋体" w:eastAsia="宋体" w:cs="宋体"/>
          <w:sz w:val="24"/>
          <w:szCs w:val="32"/>
          <w:highlight w:val="none"/>
        </w:rPr>
      </w:pPr>
      <w:r>
        <w:rPr>
          <w:rFonts w:hint="eastAsia" w:ascii="宋体" w:hAnsi="宋体" w:eastAsia="宋体" w:cs="宋体"/>
          <w:sz w:val="24"/>
          <w:szCs w:val="32"/>
          <w:highlight w:val="none"/>
        </w:rPr>
        <w:t>项目名称：</w:t>
      </w:r>
    </w:p>
    <w:p>
      <w:pPr>
        <w:spacing w:line="360" w:lineRule="auto"/>
        <w:ind w:firstLine="245" w:firstLineChars="100"/>
        <w:rPr>
          <w:rFonts w:hint="default" w:ascii="宋体" w:hAnsi="宋体" w:eastAsia="宋体" w:cs="宋体"/>
          <w:highlight w:val="none"/>
          <w:lang w:val="en-US" w:eastAsia="zh-CN"/>
        </w:rPr>
      </w:pPr>
      <w:r>
        <w:rPr>
          <w:rFonts w:hint="eastAsia" w:ascii="宋体" w:hAnsi="宋体" w:eastAsia="宋体" w:cs="宋体"/>
          <w:sz w:val="24"/>
          <w:szCs w:val="32"/>
          <w:highlight w:val="none"/>
        </w:rPr>
        <w:t>项目编号：</w:t>
      </w:r>
      <w:r>
        <w:rPr>
          <w:rFonts w:hint="eastAsia" w:ascii="宋体" w:hAnsi="宋体" w:eastAsia="宋体" w:cs="宋体"/>
          <w:highlight w:val="none"/>
        </w:rPr>
        <w:t xml:space="preserve">  </w:t>
      </w:r>
      <w:r>
        <w:rPr>
          <w:rFonts w:hint="eastAsia" w:ascii="宋体" w:hAnsi="宋体" w:cs="宋体"/>
          <w:highlight w:val="none"/>
          <w:lang w:val="en-US" w:eastAsia="zh-CN"/>
        </w:rPr>
        <w:t xml:space="preserve">         包号：</w:t>
      </w:r>
    </w:p>
    <w:tbl>
      <w:tblPr>
        <w:tblStyle w:val="28"/>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379"/>
        <w:gridCol w:w="1379"/>
        <w:gridCol w:w="1797"/>
        <w:gridCol w:w="1264"/>
        <w:gridCol w:w="1439"/>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77" w:type="dxa"/>
            <w:vMerge w:val="restart"/>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拟任职务</w:t>
            </w:r>
          </w:p>
        </w:tc>
        <w:tc>
          <w:tcPr>
            <w:tcW w:w="1379" w:type="dxa"/>
            <w:vMerge w:val="restart"/>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姓名</w:t>
            </w:r>
          </w:p>
        </w:tc>
        <w:tc>
          <w:tcPr>
            <w:tcW w:w="1379" w:type="dxa"/>
            <w:vMerge w:val="restart"/>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职称</w:t>
            </w:r>
          </w:p>
        </w:tc>
        <w:tc>
          <w:tcPr>
            <w:tcW w:w="5765" w:type="dxa"/>
            <w:gridSpan w:val="4"/>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资格证明（附扫描件）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77" w:type="dxa"/>
            <w:vMerge w:val="continue"/>
            <w:vAlign w:val="center"/>
          </w:tcPr>
          <w:p>
            <w:pPr>
              <w:spacing w:line="440" w:lineRule="exact"/>
              <w:jc w:val="center"/>
              <w:rPr>
                <w:rFonts w:hint="eastAsia" w:ascii="宋体" w:hAnsi="宋体" w:eastAsia="宋体" w:cs="宋体"/>
                <w:color w:val="000000"/>
                <w:sz w:val="24"/>
                <w:szCs w:val="24"/>
                <w:highlight w:val="none"/>
              </w:rPr>
            </w:pPr>
          </w:p>
        </w:tc>
        <w:tc>
          <w:tcPr>
            <w:tcW w:w="1379" w:type="dxa"/>
            <w:vMerge w:val="continue"/>
            <w:vAlign w:val="center"/>
          </w:tcPr>
          <w:p>
            <w:pPr>
              <w:spacing w:line="440" w:lineRule="exact"/>
              <w:jc w:val="center"/>
              <w:rPr>
                <w:rFonts w:hint="eastAsia" w:ascii="宋体" w:hAnsi="宋体" w:eastAsia="宋体" w:cs="宋体"/>
                <w:color w:val="000000"/>
                <w:sz w:val="24"/>
                <w:szCs w:val="24"/>
                <w:highlight w:val="none"/>
              </w:rPr>
            </w:pPr>
          </w:p>
        </w:tc>
        <w:tc>
          <w:tcPr>
            <w:tcW w:w="1379" w:type="dxa"/>
            <w:vMerge w:val="continue"/>
            <w:vAlign w:val="center"/>
          </w:tcPr>
          <w:p>
            <w:pPr>
              <w:spacing w:line="440" w:lineRule="exact"/>
              <w:jc w:val="center"/>
              <w:rPr>
                <w:rFonts w:hint="eastAsia" w:ascii="宋体" w:hAnsi="宋体" w:eastAsia="宋体" w:cs="宋体"/>
                <w:color w:val="000000"/>
                <w:sz w:val="24"/>
                <w:szCs w:val="24"/>
                <w:highlight w:val="none"/>
              </w:rPr>
            </w:pPr>
          </w:p>
        </w:tc>
        <w:tc>
          <w:tcPr>
            <w:tcW w:w="1797" w:type="dxa"/>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证书名称</w:t>
            </w:r>
          </w:p>
        </w:tc>
        <w:tc>
          <w:tcPr>
            <w:tcW w:w="1264" w:type="dxa"/>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级别</w:t>
            </w:r>
          </w:p>
        </w:tc>
        <w:tc>
          <w:tcPr>
            <w:tcW w:w="1439" w:type="dxa"/>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证号</w:t>
            </w:r>
          </w:p>
        </w:tc>
        <w:tc>
          <w:tcPr>
            <w:tcW w:w="1265" w:type="dxa"/>
            <w:vAlign w:val="center"/>
          </w:tcPr>
          <w:p>
            <w:pPr>
              <w:spacing w:line="44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797" w:type="dxa"/>
          </w:tcPr>
          <w:p>
            <w:pPr>
              <w:spacing w:line="440" w:lineRule="exact"/>
              <w:jc w:val="center"/>
              <w:rPr>
                <w:rFonts w:hint="eastAsia" w:ascii="宋体" w:hAnsi="宋体" w:eastAsia="宋体" w:cs="宋体"/>
                <w:color w:val="000000"/>
                <w:sz w:val="24"/>
                <w:szCs w:val="24"/>
                <w:highlight w:val="none"/>
              </w:rPr>
            </w:pPr>
          </w:p>
        </w:tc>
        <w:tc>
          <w:tcPr>
            <w:tcW w:w="1264" w:type="dxa"/>
          </w:tcPr>
          <w:p>
            <w:pPr>
              <w:spacing w:line="440" w:lineRule="exact"/>
              <w:jc w:val="center"/>
              <w:rPr>
                <w:rFonts w:hint="eastAsia" w:ascii="宋体" w:hAnsi="宋体" w:eastAsia="宋体" w:cs="宋体"/>
                <w:color w:val="000000"/>
                <w:sz w:val="24"/>
                <w:szCs w:val="24"/>
                <w:highlight w:val="none"/>
              </w:rPr>
            </w:pPr>
          </w:p>
        </w:tc>
        <w:tc>
          <w:tcPr>
            <w:tcW w:w="1439" w:type="dxa"/>
          </w:tcPr>
          <w:p>
            <w:pPr>
              <w:spacing w:line="440" w:lineRule="exact"/>
              <w:jc w:val="center"/>
              <w:rPr>
                <w:rFonts w:hint="eastAsia" w:ascii="宋体" w:hAnsi="宋体" w:eastAsia="宋体" w:cs="宋体"/>
                <w:color w:val="000000"/>
                <w:sz w:val="24"/>
                <w:szCs w:val="24"/>
                <w:highlight w:val="none"/>
              </w:rPr>
            </w:pPr>
          </w:p>
        </w:tc>
        <w:tc>
          <w:tcPr>
            <w:tcW w:w="1265" w:type="dxa"/>
          </w:tcPr>
          <w:p>
            <w:pPr>
              <w:spacing w:line="44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797" w:type="dxa"/>
          </w:tcPr>
          <w:p>
            <w:pPr>
              <w:spacing w:line="440" w:lineRule="exact"/>
              <w:jc w:val="center"/>
              <w:rPr>
                <w:rFonts w:hint="eastAsia" w:ascii="宋体" w:hAnsi="宋体" w:eastAsia="宋体" w:cs="宋体"/>
                <w:color w:val="000000"/>
                <w:sz w:val="24"/>
                <w:szCs w:val="24"/>
                <w:highlight w:val="none"/>
              </w:rPr>
            </w:pPr>
          </w:p>
        </w:tc>
        <w:tc>
          <w:tcPr>
            <w:tcW w:w="1264" w:type="dxa"/>
          </w:tcPr>
          <w:p>
            <w:pPr>
              <w:spacing w:line="440" w:lineRule="exact"/>
              <w:jc w:val="center"/>
              <w:rPr>
                <w:rFonts w:hint="eastAsia" w:ascii="宋体" w:hAnsi="宋体" w:eastAsia="宋体" w:cs="宋体"/>
                <w:color w:val="000000"/>
                <w:sz w:val="24"/>
                <w:szCs w:val="24"/>
                <w:highlight w:val="none"/>
              </w:rPr>
            </w:pPr>
          </w:p>
        </w:tc>
        <w:tc>
          <w:tcPr>
            <w:tcW w:w="1439" w:type="dxa"/>
          </w:tcPr>
          <w:p>
            <w:pPr>
              <w:spacing w:line="440" w:lineRule="exact"/>
              <w:jc w:val="center"/>
              <w:rPr>
                <w:rFonts w:hint="eastAsia" w:ascii="宋体" w:hAnsi="宋体" w:eastAsia="宋体" w:cs="宋体"/>
                <w:color w:val="000000"/>
                <w:sz w:val="24"/>
                <w:szCs w:val="24"/>
                <w:highlight w:val="none"/>
              </w:rPr>
            </w:pPr>
          </w:p>
        </w:tc>
        <w:tc>
          <w:tcPr>
            <w:tcW w:w="1265" w:type="dxa"/>
          </w:tcPr>
          <w:p>
            <w:pPr>
              <w:spacing w:line="44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797" w:type="dxa"/>
          </w:tcPr>
          <w:p>
            <w:pPr>
              <w:spacing w:line="440" w:lineRule="exact"/>
              <w:jc w:val="center"/>
              <w:rPr>
                <w:rFonts w:hint="eastAsia" w:ascii="宋体" w:hAnsi="宋体" w:eastAsia="宋体" w:cs="宋体"/>
                <w:color w:val="000000"/>
                <w:sz w:val="24"/>
                <w:szCs w:val="24"/>
                <w:highlight w:val="none"/>
              </w:rPr>
            </w:pPr>
          </w:p>
        </w:tc>
        <w:tc>
          <w:tcPr>
            <w:tcW w:w="1264" w:type="dxa"/>
          </w:tcPr>
          <w:p>
            <w:pPr>
              <w:spacing w:line="440" w:lineRule="exact"/>
              <w:jc w:val="center"/>
              <w:rPr>
                <w:rFonts w:hint="eastAsia" w:ascii="宋体" w:hAnsi="宋体" w:eastAsia="宋体" w:cs="宋体"/>
                <w:color w:val="000000"/>
                <w:sz w:val="24"/>
                <w:szCs w:val="24"/>
                <w:highlight w:val="none"/>
              </w:rPr>
            </w:pPr>
          </w:p>
        </w:tc>
        <w:tc>
          <w:tcPr>
            <w:tcW w:w="1439" w:type="dxa"/>
          </w:tcPr>
          <w:p>
            <w:pPr>
              <w:spacing w:line="440" w:lineRule="exact"/>
              <w:jc w:val="center"/>
              <w:rPr>
                <w:rFonts w:hint="eastAsia" w:ascii="宋体" w:hAnsi="宋体" w:eastAsia="宋体" w:cs="宋体"/>
                <w:color w:val="000000"/>
                <w:sz w:val="24"/>
                <w:szCs w:val="24"/>
                <w:highlight w:val="none"/>
              </w:rPr>
            </w:pPr>
          </w:p>
        </w:tc>
        <w:tc>
          <w:tcPr>
            <w:tcW w:w="1265" w:type="dxa"/>
          </w:tcPr>
          <w:p>
            <w:pPr>
              <w:spacing w:line="44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797" w:type="dxa"/>
          </w:tcPr>
          <w:p>
            <w:pPr>
              <w:spacing w:line="440" w:lineRule="exact"/>
              <w:jc w:val="center"/>
              <w:rPr>
                <w:rFonts w:hint="eastAsia" w:ascii="宋体" w:hAnsi="宋体" w:eastAsia="宋体" w:cs="宋体"/>
                <w:color w:val="000000"/>
                <w:sz w:val="24"/>
                <w:szCs w:val="24"/>
                <w:highlight w:val="none"/>
              </w:rPr>
            </w:pPr>
          </w:p>
        </w:tc>
        <w:tc>
          <w:tcPr>
            <w:tcW w:w="1264" w:type="dxa"/>
          </w:tcPr>
          <w:p>
            <w:pPr>
              <w:spacing w:line="440" w:lineRule="exact"/>
              <w:jc w:val="center"/>
              <w:rPr>
                <w:rFonts w:hint="eastAsia" w:ascii="宋体" w:hAnsi="宋体" w:eastAsia="宋体" w:cs="宋体"/>
                <w:color w:val="000000"/>
                <w:sz w:val="24"/>
                <w:szCs w:val="24"/>
                <w:highlight w:val="none"/>
              </w:rPr>
            </w:pPr>
          </w:p>
        </w:tc>
        <w:tc>
          <w:tcPr>
            <w:tcW w:w="1439" w:type="dxa"/>
          </w:tcPr>
          <w:p>
            <w:pPr>
              <w:spacing w:line="440" w:lineRule="exact"/>
              <w:jc w:val="center"/>
              <w:rPr>
                <w:rFonts w:hint="eastAsia" w:ascii="宋体" w:hAnsi="宋体" w:eastAsia="宋体" w:cs="宋体"/>
                <w:color w:val="000000"/>
                <w:sz w:val="24"/>
                <w:szCs w:val="24"/>
                <w:highlight w:val="none"/>
              </w:rPr>
            </w:pPr>
          </w:p>
        </w:tc>
        <w:tc>
          <w:tcPr>
            <w:tcW w:w="1265" w:type="dxa"/>
          </w:tcPr>
          <w:p>
            <w:pPr>
              <w:spacing w:line="44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797" w:type="dxa"/>
          </w:tcPr>
          <w:p>
            <w:pPr>
              <w:spacing w:line="440" w:lineRule="exact"/>
              <w:jc w:val="center"/>
              <w:rPr>
                <w:rFonts w:hint="eastAsia" w:ascii="宋体" w:hAnsi="宋体" w:eastAsia="宋体" w:cs="宋体"/>
                <w:color w:val="000000"/>
                <w:sz w:val="24"/>
                <w:szCs w:val="24"/>
                <w:highlight w:val="none"/>
              </w:rPr>
            </w:pPr>
          </w:p>
        </w:tc>
        <w:tc>
          <w:tcPr>
            <w:tcW w:w="1264" w:type="dxa"/>
          </w:tcPr>
          <w:p>
            <w:pPr>
              <w:spacing w:line="440" w:lineRule="exact"/>
              <w:jc w:val="center"/>
              <w:rPr>
                <w:rFonts w:hint="eastAsia" w:ascii="宋体" w:hAnsi="宋体" w:eastAsia="宋体" w:cs="宋体"/>
                <w:color w:val="000000"/>
                <w:sz w:val="24"/>
                <w:szCs w:val="24"/>
                <w:highlight w:val="none"/>
              </w:rPr>
            </w:pPr>
          </w:p>
        </w:tc>
        <w:tc>
          <w:tcPr>
            <w:tcW w:w="1439" w:type="dxa"/>
          </w:tcPr>
          <w:p>
            <w:pPr>
              <w:spacing w:line="440" w:lineRule="exact"/>
              <w:jc w:val="center"/>
              <w:rPr>
                <w:rFonts w:hint="eastAsia" w:ascii="宋体" w:hAnsi="宋体" w:eastAsia="宋体" w:cs="宋体"/>
                <w:color w:val="000000"/>
                <w:sz w:val="24"/>
                <w:szCs w:val="24"/>
                <w:highlight w:val="none"/>
              </w:rPr>
            </w:pPr>
          </w:p>
        </w:tc>
        <w:tc>
          <w:tcPr>
            <w:tcW w:w="1265" w:type="dxa"/>
          </w:tcPr>
          <w:p>
            <w:pPr>
              <w:spacing w:line="44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797" w:type="dxa"/>
          </w:tcPr>
          <w:p>
            <w:pPr>
              <w:spacing w:line="440" w:lineRule="exact"/>
              <w:jc w:val="center"/>
              <w:rPr>
                <w:rFonts w:hint="eastAsia" w:ascii="宋体" w:hAnsi="宋体" w:eastAsia="宋体" w:cs="宋体"/>
                <w:color w:val="000000"/>
                <w:sz w:val="24"/>
                <w:szCs w:val="24"/>
                <w:highlight w:val="none"/>
              </w:rPr>
            </w:pPr>
          </w:p>
        </w:tc>
        <w:tc>
          <w:tcPr>
            <w:tcW w:w="1264" w:type="dxa"/>
          </w:tcPr>
          <w:p>
            <w:pPr>
              <w:spacing w:line="440" w:lineRule="exact"/>
              <w:jc w:val="center"/>
              <w:rPr>
                <w:rFonts w:hint="eastAsia" w:ascii="宋体" w:hAnsi="宋体" w:eastAsia="宋体" w:cs="宋体"/>
                <w:color w:val="000000"/>
                <w:sz w:val="24"/>
                <w:szCs w:val="24"/>
                <w:highlight w:val="none"/>
              </w:rPr>
            </w:pPr>
          </w:p>
        </w:tc>
        <w:tc>
          <w:tcPr>
            <w:tcW w:w="1439" w:type="dxa"/>
          </w:tcPr>
          <w:p>
            <w:pPr>
              <w:spacing w:line="440" w:lineRule="exact"/>
              <w:jc w:val="center"/>
              <w:rPr>
                <w:rFonts w:hint="eastAsia" w:ascii="宋体" w:hAnsi="宋体" w:eastAsia="宋体" w:cs="宋体"/>
                <w:color w:val="000000"/>
                <w:sz w:val="24"/>
                <w:szCs w:val="24"/>
                <w:highlight w:val="none"/>
              </w:rPr>
            </w:pPr>
          </w:p>
        </w:tc>
        <w:tc>
          <w:tcPr>
            <w:tcW w:w="1265" w:type="dxa"/>
          </w:tcPr>
          <w:p>
            <w:pPr>
              <w:spacing w:line="44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color w:val="000000"/>
                <w:sz w:val="24"/>
                <w:szCs w:val="24"/>
                <w:highlight w:val="none"/>
              </w:rPr>
            </w:pPr>
          </w:p>
        </w:tc>
        <w:tc>
          <w:tcPr>
            <w:tcW w:w="1797" w:type="dxa"/>
          </w:tcPr>
          <w:p>
            <w:pPr>
              <w:spacing w:line="440" w:lineRule="exact"/>
              <w:jc w:val="center"/>
              <w:rPr>
                <w:rFonts w:hint="eastAsia" w:ascii="宋体" w:hAnsi="宋体" w:eastAsia="宋体" w:cs="宋体"/>
                <w:color w:val="000000"/>
                <w:sz w:val="24"/>
                <w:szCs w:val="24"/>
                <w:highlight w:val="none"/>
              </w:rPr>
            </w:pPr>
          </w:p>
        </w:tc>
        <w:tc>
          <w:tcPr>
            <w:tcW w:w="1264" w:type="dxa"/>
          </w:tcPr>
          <w:p>
            <w:pPr>
              <w:spacing w:line="440" w:lineRule="exact"/>
              <w:jc w:val="center"/>
              <w:rPr>
                <w:rFonts w:hint="eastAsia" w:ascii="宋体" w:hAnsi="宋体" w:eastAsia="宋体" w:cs="宋体"/>
                <w:color w:val="000000"/>
                <w:sz w:val="24"/>
                <w:szCs w:val="24"/>
                <w:highlight w:val="none"/>
              </w:rPr>
            </w:pPr>
          </w:p>
        </w:tc>
        <w:tc>
          <w:tcPr>
            <w:tcW w:w="1439" w:type="dxa"/>
          </w:tcPr>
          <w:p>
            <w:pPr>
              <w:spacing w:line="440" w:lineRule="exact"/>
              <w:jc w:val="center"/>
              <w:rPr>
                <w:rFonts w:hint="eastAsia" w:ascii="宋体" w:hAnsi="宋体" w:eastAsia="宋体" w:cs="宋体"/>
                <w:color w:val="000000"/>
                <w:sz w:val="24"/>
                <w:szCs w:val="24"/>
                <w:highlight w:val="none"/>
              </w:rPr>
            </w:pPr>
          </w:p>
        </w:tc>
        <w:tc>
          <w:tcPr>
            <w:tcW w:w="1265" w:type="dxa"/>
          </w:tcPr>
          <w:p>
            <w:pPr>
              <w:spacing w:line="44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b/>
                <w:bCs/>
                <w:color w:val="000000"/>
                <w:sz w:val="24"/>
                <w:szCs w:val="24"/>
                <w:highlight w:val="none"/>
              </w:rPr>
            </w:pPr>
          </w:p>
        </w:tc>
        <w:tc>
          <w:tcPr>
            <w:tcW w:w="1379" w:type="dxa"/>
          </w:tcPr>
          <w:p>
            <w:pPr>
              <w:spacing w:line="440" w:lineRule="exact"/>
              <w:jc w:val="center"/>
              <w:rPr>
                <w:rFonts w:hint="eastAsia" w:ascii="宋体" w:hAnsi="宋体" w:eastAsia="宋体" w:cs="宋体"/>
                <w:b/>
                <w:bCs/>
                <w:color w:val="000000"/>
                <w:sz w:val="24"/>
                <w:szCs w:val="24"/>
                <w:highlight w:val="none"/>
              </w:rPr>
            </w:pPr>
          </w:p>
        </w:tc>
        <w:tc>
          <w:tcPr>
            <w:tcW w:w="1797" w:type="dxa"/>
          </w:tcPr>
          <w:p>
            <w:pPr>
              <w:spacing w:line="440" w:lineRule="exact"/>
              <w:jc w:val="center"/>
              <w:rPr>
                <w:rFonts w:hint="eastAsia" w:ascii="宋体" w:hAnsi="宋体" w:eastAsia="宋体" w:cs="宋体"/>
                <w:b/>
                <w:bCs/>
                <w:color w:val="000000"/>
                <w:sz w:val="24"/>
                <w:szCs w:val="24"/>
                <w:highlight w:val="none"/>
              </w:rPr>
            </w:pPr>
          </w:p>
        </w:tc>
        <w:tc>
          <w:tcPr>
            <w:tcW w:w="1264" w:type="dxa"/>
          </w:tcPr>
          <w:p>
            <w:pPr>
              <w:spacing w:line="440" w:lineRule="exact"/>
              <w:jc w:val="center"/>
              <w:rPr>
                <w:rFonts w:hint="eastAsia" w:ascii="宋体" w:hAnsi="宋体" w:eastAsia="宋体" w:cs="宋体"/>
                <w:b/>
                <w:bCs/>
                <w:color w:val="000000"/>
                <w:sz w:val="24"/>
                <w:szCs w:val="24"/>
                <w:highlight w:val="none"/>
              </w:rPr>
            </w:pPr>
          </w:p>
        </w:tc>
        <w:tc>
          <w:tcPr>
            <w:tcW w:w="1439" w:type="dxa"/>
          </w:tcPr>
          <w:p>
            <w:pPr>
              <w:spacing w:line="440" w:lineRule="exact"/>
              <w:jc w:val="center"/>
              <w:rPr>
                <w:rFonts w:hint="eastAsia" w:ascii="宋体" w:hAnsi="宋体" w:eastAsia="宋体" w:cs="宋体"/>
                <w:b/>
                <w:bCs/>
                <w:color w:val="000000"/>
                <w:sz w:val="24"/>
                <w:szCs w:val="24"/>
                <w:highlight w:val="none"/>
              </w:rPr>
            </w:pPr>
          </w:p>
        </w:tc>
        <w:tc>
          <w:tcPr>
            <w:tcW w:w="1265" w:type="dxa"/>
          </w:tcPr>
          <w:p>
            <w:pPr>
              <w:spacing w:line="440" w:lineRule="exact"/>
              <w:jc w:val="center"/>
              <w:rPr>
                <w:rFonts w:hint="eastAsia" w:ascii="宋体" w:hAnsi="宋体" w:eastAsia="宋体" w:cs="宋体"/>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377" w:type="dxa"/>
          </w:tcPr>
          <w:p>
            <w:pPr>
              <w:spacing w:line="440" w:lineRule="exact"/>
              <w:jc w:val="center"/>
              <w:rPr>
                <w:rFonts w:hint="eastAsia" w:ascii="宋体" w:hAnsi="宋体" w:eastAsia="宋体" w:cs="宋体"/>
                <w:color w:val="000000"/>
                <w:sz w:val="24"/>
                <w:szCs w:val="24"/>
                <w:highlight w:val="none"/>
              </w:rPr>
            </w:pPr>
          </w:p>
        </w:tc>
        <w:tc>
          <w:tcPr>
            <w:tcW w:w="1379" w:type="dxa"/>
          </w:tcPr>
          <w:p>
            <w:pPr>
              <w:spacing w:line="440" w:lineRule="exact"/>
              <w:jc w:val="center"/>
              <w:rPr>
                <w:rFonts w:hint="eastAsia" w:ascii="宋体" w:hAnsi="宋体" w:eastAsia="宋体" w:cs="宋体"/>
                <w:b/>
                <w:bCs/>
                <w:color w:val="000000"/>
                <w:sz w:val="24"/>
                <w:szCs w:val="24"/>
                <w:highlight w:val="none"/>
              </w:rPr>
            </w:pPr>
          </w:p>
        </w:tc>
        <w:tc>
          <w:tcPr>
            <w:tcW w:w="1379" w:type="dxa"/>
          </w:tcPr>
          <w:p>
            <w:pPr>
              <w:spacing w:line="440" w:lineRule="exact"/>
              <w:jc w:val="center"/>
              <w:rPr>
                <w:rFonts w:hint="eastAsia" w:ascii="宋体" w:hAnsi="宋体" w:eastAsia="宋体" w:cs="宋体"/>
                <w:b/>
                <w:bCs/>
                <w:color w:val="000000"/>
                <w:sz w:val="24"/>
                <w:szCs w:val="24"/>
                <w:highlight w:val="none"/>
              </w:rPr>
            </w:pPr>
          </w:p>
        </w:tc>
        <w:tc>
          <w:tcPr>
            <w:tcW w:w="1797" w:type="dxa"/>
          </w:tcPr>
          <w:p>
            <w:pPr>
              <w:spacing w:line="440" w:lineRule="exact"/>
              <w:jc w:val="center"/>
              <w:rPr>
                <w:rFonts w:hint="eastAsia" w:ascii="宋体" w:hAnsi="宋体" w:eastAsia="宋体" w:cs="宋体"/>
                <w:b/>
                <w:bCs/>
                <w:color w:val="000000"/>
                <w:sz w:val="24"/>
                <w:szCs w:val="24"/>
                <w:highlight w:val="none"/>
              </w:rPr>
            </w:pPr>
          </w:p>
        </w:tc>
        <w:tc>
          <w:tcPr>
            <w:tcW w:w="1264" w:type="dxa"/>
          </w:tcPr>
          <w:p>
            <w:pPr>
              <w:spacing w:line="440" w:lineRule="exact"/>
              <w:jc w:val="center"/>
              <w:rPr>
                <w:rFonts w:hint="eastAsia" w:ascii="宋体" w:hAnsi="宋体" w:eastAsia="宋体" w:cs="宋体"/>
                <w:b/>
                <w:bCs/>
                <w:color w:val="000000"/>
                <w:sz w:val="24"/>
                <w:szCs w:val="24"/>
                <w:highlight w:val="none"/>
              </w:rPr>
            </w:pPr>
          </w:p>
        </w:tc>
        <w:tc>
          <w:tcPr>
            <w:tcW w:w="1439" w:type="dxa"/>
          </w:tcPr>
          <w:p>
            <w:pPr>
              <w:spacing w:line="440" w:lineRule="exact"/>
              <w:jc w:val="center"/>
              <w:rPr>
                <w:rFonts w:hint="eastAsia" w:ascii="宋体" w:hAnsi="宋体" w:eastAsia="宋体" w:cs="宋体"/>
                <w:b/>
                <w:bCs/>
                <w:color w:val="000000"/>
                <w:sz w:val="24"/>
                <w:szCs w:val="24"/>
                <w:highlight w:val="none"/>
              </w:rPr>
            </w:pPr>
          </w:p>
        </w:tc>
        <w:tc>
          <w:tcPr>
            <w:tcW w:w="1265" w:type="dxa"/>
          </w:tcPr>
          <w:p>
            <w:pPr>
              <w:spacing w:line="440" w:lineRule="exact"/>
              <w:jc w:val="center"/>
              <w:rPr>
                <w:rFonts w:hint="eastAsia" w:ascii="宋体" w:hAnsi="宋体" w:eastAsia="宋体" w:cs="宋体"/>
                <w:b/>
                <w:bCs/>
                <w:color w:val="000000"/>
                <w:sz w:val="24"/>
                <w:szCs w:val="24"/>
                <w:highlight w:val="none"/>
              </w:rPr>
            </w:pPr>
          </w:p>
        </w:tc>
      </w:tr>
    </w:tbl>
    <w:p>
      <w:pPr>
        <w:spacing w:line="360" w:lineRule="auto"/>
        <w:rPr>
          <w:rFonts w:hint="eastAsia" w:ascii="宋体" w:hAnsi="宋体" w:eastAsia="宋体" w:cs="宋体"/>
          <w:szCs w:val="32"/>
          <w:highlight w:val="none"/>
        </w:rPr>
      </w:pPr>
      <w:r>
        <w:rPr>
          <w:rFonts w:hint="eastAsia" w:ascii="宋体" w:hAnsi="宋体" w:eastAsia="宋体" w:cs="宋体"/>
          <w:szCs w:val="32"/>
          <w:highlight w:val="none"/>
        </w:rPr>
        <w:t>注：1、供应商在此表中填报拟用于本项目的人员配备情况</w:t>
      </w:r>
      <w:r>
        <w:rPr>
          <w:rFonts w:hint="eastAsia" w:ascii="宋体" w:hAnsi="宋体" w:eastAsia="宋体" w:cs="宋体"/>
          <w:szCs w:val="32"/>
          <w:highlight w:val="none"/>
          <w:lang w:eastAsia="zh-CN"/>
        </w:rPr>
        <w:t>。</w:t>
      </w:r>
    </w:p>
    <w:p>
      <w:pPr>
        <w:spacing w:line="360" w:lineRule="auto"/>
        <w:ind w:firstLine="480"/>
        <w:rPr>
          <w:rFonts w:hint="eastAsia" w:ascii="宋体" w:hAnsi="宋体" w:eastAsia="宋体" w:cs="宋体"/>
          <w:highlight w:val="none"/>
        </w:rPr>
      </w:pPr>
    </w:p>
    <w:p>
      <w:pPr>
        <w:tabs>
          <w:tab w:val="left" w:pos="1080"/>
        </w:tabs>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（加盖公章）</w:t>
      </w:r>
    </w:p>
    <w:p>
      <w:pPr>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法定代表人或代理人：</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（签字）</w:t>
      </w:r>
    </w:p>
    <w:p>
      <w:pPr>
        <w:autoSpaceDE w:val="0"/>
        <w:autoSpaceDN w:val="0"/>
        <w:adjustRightInd w:val="0"/>
        <w:spacing w:line="360" w:lineRule="auto"/>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年</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月</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日</w:t>
      </w:r>
    </w:p>
    <w:p>
      <w:pPr>
        <w:autoSpaceDE w:val="0"/>
        <w:autoSpaceDN w:val="0"/>
        <w:adjustRightInd w:val="0"/>
        <w:spacing w:line="440" w:lineRule="exact"/>
        <w:ind w:firstLine="480"/>
        <w:jc w:val="left"/>
        <w:rPr>
          <w:rFonts w:hint="eastAsia" w:ascii="宋体" w:hAnsi="宋体" w:eastAsia="宋体" w:cs="宋体"/>
          <w:b/>
          <w:bCs/>
          <w:sz w:val="28"/>
          <w:szCs w:val="28"/>
          <w:highlight w:val="none"/>
        </w:rPr>
        <w:sectPr>
          <w:pgSz w:w="11849" w:h="16781"/>
          <w:pgMar w:top="1440" w:right="1440" w:bottom="1440" w:left="1440" w:header="851" w:footer="992" w:gutter="0"/>
          <w:pgNumType w:fmt="numberInDash"/>
          <w:cols w:space="720" w:num="1"/>
          <w:titlePg/>
          <w:docGrid w:type="linesAndChars" w:linePitch="312" w:charSpace="1060"/>
        </w:sectPr>
      </w:pP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Cs w:val="0"/>
          <w:sz w:val="24"/>
          <w:szCs w:val="24"/>
          <w:highlight w:val="none"/>
          <w:lang w:val="zh-CN" w:eastAsia="zh-CN"/>
        </w:rPr>
        <w:t>六、供应商类似项目业绩一览表</w:t>
      </w:r>
    </w:p>
    <w:p>
      <w:pPr>
        <w:spacing w:line="400" w:lineRule="exact"/>
        <w:rPr>
          <w:rFonts w:hint="eastAsia" w:ascii="宋体" w:hAnsi="宋体" w:eastAsia="宋体" w:cs="宋体"/>
          <w:sz w:val="24"/>
          <w:highlight w:val="none"/>
        </w:rPr>
      </w:pPr>
    </w:p>
    <w:tbl>
      <w:tblPr>
        <w:tblStyle w:val="28"/>
        <w:tblW w:w="918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48"/>
        <w:gridCol w:w="1897"/>
        <w:gridCol w:w="1740"/>
        <w:gridCol w:w="1531"/>
        <w:gridCol w:w="1955"/>
        <w:gridCol w:w="11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6" w:hRule="atLeast"/>
          <w:jc w:val="center"/>
        </w:trPr>
        <w:tc>
          <w:tcPr>
            <w:tcW w:w="948" w:type="dxa"/>
            <w:tcBorders>
              <w:top w:val="single" w:color="auto" w:sz="4" w:space="0"/>
              <w:left w:val="single" w:color="auto" w:sz="4" w:space="0"/>
              <w:bottom w:val="single" w:color="auto" w:sz="6" w:space="0"/>
              <w:right w:val="single" w:color="auto" w:sz="6" w:space="0"/>
            </w:tcBorders>
            <w:vAlign w:val="center"/>
          </w:tcPr>
          <w:p>
            <w:pPr>
              <w:spacing w:line="360" w:lineRule="atLeast"/>
              <w:jc w:val="center"/>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时间</w:t>
            </w:r>
          </w:p>
        </w:tc>
        <w:tc>
          <w:tcPr>
            <w:tcW w:w="1897" w:type="dxa"/>
            <w:tcBorders>
              <w:top w:val="single" w:color="auto" w:sz="4" w:space="0"/>
              <w:left w:val="single" w:color="auto" w:sz="6" w:space="0"/>
              <w:bottom w:val="single" w:color="auto" w:sz="6" w:space="0"/>
              <w:right w:val="single" w:color="auto" w:sz="6" w:space="0"/>
            </w:tcBorders>
            <w:vAlign w:val="center"/>
          </w:tcPr>
          <w:p>
            <w:pPr>
              <w:spacing w:line="360" w:lineRule="atLeast"/>
              <w:jc w:val="center"/>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业主单位名称</w:t>
            </w:r>
          </w:p>
        </w:tc>
        <w:tc>
          <w:tcPr>
            <w:tcW w:w="1740" w:type="dxa"/>
            <w:tcBorders>
              <w:top w:val="single" w:color="auto" w:sz="4" w:space="0"/>
              <w:left w:val="single" w:color="auto" w:sz="6" w:space="0"/>
              <w:bottom w:val="single" w:color="auto" w:sz="6" w:space="0"/>
              <w:right w:val="single" w:color="auto" w:sz="6" w:space="0"/>
            </w:tcBorders>
            <w:vAlign w:val="center"/>
          </w:tcPr>
          <w:p>
            <w:pPr>
              <w:spacing w:line="360" w:lineRule="atLeast"/>
              <w:jc w:val="center"/>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531" w:type="dxa"/>
            <w:tcBorders>
              <w:top w:val="single" w:color="auto" w:sz="4" w:space="0"/>
              <w:left w:val="single" w:color="auto" w:sz="6" w:space="0"/>
              <w:bottom w:val="single" w:color="auto" w:sz="6" w:space="0"/>
              <w:right w:val="single" w:color="auto" w:sz="6" w:space="0"/>
            </w:tcBorders>
            <w:vAlign w:val="center"/>
          </w:tcPr>
          <w:p>
            <w:pPr>
              <w:spacing w:line="360" w:lineRule="atLeast"/>
              <w:jc w:val="center"/>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完成时间</w:t>
            </w:r>
          </w:p>
        </w:tc>
        <w:tc>
          <w:tcPr>
            <w:tcW w:w="1955" w:type="dxa"/>
            <w:tcBorders>
              <w:top w:val="single" w:color="auto" w:sz="4" w:space="0"/>
              <w:left w:val="single" w:color="auto" w:sz="6" w:space="0"/>
              <w:bottom w:val="single" w:color="auto" w:sz="6" w:space="0"/>
              <w:right w:val="single" w:color="auto" w:sz="4" w:space="0"/>
            </w:tcBorders>
            <w:vAlign w:val="center"/>
          </w:tcPr>
          <w:p>
            <w:pPr>
              <w:spacing w:line="360" w:lineRule="atLeast"/>
              <w:jc w:val="center"/>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合同金额（元）</w:t>
            </w:r>
          </w:p>
        </w:tc>
        <w:tc>
          <w:tcPr>
            <w:tcW w:w="1111" w:type="dxa"/>
            <w:tcBorders>
              <w:top w:val="single" w:color="auto" w:sz="4" w:space="0"/>
              <w:left w:val="single" w:color="auto" w:sz="4" w:space="0"/>
              <w:bottom w:val="single" w:color="auto" w:sz="6" w:space="0"/>
              <w:right w:val="single" w:color="auto" w:sz="6" w:space="0"/>
            </w:tcBorders>
            <w:vAlign w:val="center"/>
          </w:tcPr>
          <w:p>
            <w:pPr>
              <w:spacing w:line="360" w:lineRule="atLeast"/>
              <w:jc w:val="center"/>
              <w:outlineLvl w:val="1"/>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948" w:type="dxa"/>
            <w:tcBorders>
              <w:top w:val="single" w:color="auto" w:sz="6" w:space="0"/>
              <w:left w:val="single" w:color="auto" w:sz="4"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2" w:hRule="atLeast"/>
          <w:jc w:val="center"/>
        </w:trPr>
        <w:tc>
          <w:tcPr>
            <w:tcW w:w="948" w:type="dxa"/>
            <w:tcBorders>
              <w:top w:val="single" w:color="auto" w:sz="6" w:space="0"/>
              <w:left w:val="single" w:color="auto" w:sz="4" w:space="0"/>
              <w:bottom w:val="single" w:color="auto" w:sz="4"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897" w:type="dxa"/>
            <w:tcBorders>
              <w:top w:val="single" w:color="auto" w:sz="6" w:space="0"/>
              <w:left w:val="single" w:color="auto" w:sz="6" w:space="0"/>
              <w:bottom w:val="single" w:color="auto" w:sz="4"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740" w:type="dxa"/>
            <w:tcBorders>
              <w:top w:val="single" w:color="auto" w:sz="6" w:space="0"/>
              <w:left w:val="single" w:color="auto" w:sz="6" w:space="0"/>
              <w:bottom w:val="single" w:color="auto" w:sz="4"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531" w:type="dxa"/>
            <w:tcBorders>
              <w:top w:val="single" w:color="auto" w:sz="6" w:space="0"/>
              <w:left w:val="single" w:color="auto" w:sz="6" w:space="0"/>
              <w:bottom w:val="single" w:color="auto" w:sz="4" w:space="0"/>
              <w:right w:val="single" w:color="auto" w:sz="6" w:space="0"/>
            </w:tcBorders>
            <w:vAlign w:val="center"/>
          </w:tcPr>
          <w:p>
            <w:pPr>
              <w:spacing w:line="360" w:lineRule="atLeast"/>
              <w:jc w:val="center"/>
              <w:rPr>
                <w:rFonts w:hint="eastAsia" w:ascii="宋体" w:hAnsi="宋体" w:eastAsia="宋体" w:cs="宋体"/>
                <w:sz w:val="24"/>
                <w:szCs w:val="24"/>
                <w:highlight w:val="none"/>
              </w:rPr>
            </w:pPr>
          </w:p>
        </w:tc>
        <w:tc>
          <w:tcPr>
            <w:tcW w:w="1955" w:type="dxa"/>
            <w:tcBorders>
              <w:top w:val="single" w:color="auto" w:sz="6" w:space="0"/>
              <w:left w:val="single" w:color="auto" w:sz="6" w:space="0"/>
              <w:bottom w:val="single" w:color="auto" w:sz="4"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c>
          <w:tcPr>
            <w:tcW w:w="1111" w:type="dxa"/>
            <w:tcBorders>
              <w:top w:val="single" w:color="auto" w:sz="6" w:space="0"/>
              <w:left w:val="single" w:color="auto" w:sz="4" w:space="0"/>
              <w:bottom w:val="single" w:color="auto" w:sz="4" w:space="0"/>
              <w:right w:val="single" w:color="auto" w:sz="4" w:space="0"/>
            </w:tcBorders>
            <w:vAlign w:val="center"/>
          </w:tcPr>
          <w:p>
            <w:pPr>
              <w:spacing w:line="360" w:lineRule="atLeast"/>
              <w:jc w:val="center"/>
              <w:rPr>
                <w:rFonts w:hint="eastAsia" w:ascii="宋体" w:hAnsi="宋体" w:eastAsia="宋体" w:cs="宋体"/>
                <w:sz w:val="24"/>
                <w:szCs w:val="24"/>
                <w:highlight w:val="none"/>
              </w:rPr>
            </w:pPr>
          </w:p>
        </w:tc>
      </w:tr>
    </w:tbl>
    <w:p>
      <w:pPr>
        <w:spacing w:line="360" w:lineRule="auto"/>
        <w:rPr>
          <w:rFonts w:hint="eastAsia" w:ascii="宋体" w:hAnsi="宋体" w:eastAsia="宋体" w:cs="宋体"/>
          <w:sz w:val="24"/>
          <w:highlight w:val="none"/>
        </w:rPr>
      </w:pPr>
      <w:r>
        <w:rPr>
          <w:rFonts w:hint="eastAsia" w:ascii="宋体" w:hAnsi="宋体" w:eastAsia="宋体" w:cs="宋体"/>
          <w:highlight w:val="none"/>
        </w:rPr>
        <w:t>注：1、供应商以上业绩需提供有关书面证明材料（以综合评分表要求为准）。</w:t>
      </w:r>
    </w:p>
    <w:p>
      <w:pPr>
        <w:jc w:val="left"/>
        <w:rPr>
          <w:rFonts w:hint="eastAsia" w:ascii="宋体" w:hAnsi="宋体" w:eastAsia="宋体" w:cs="宋体"/>
          <w:highlight w:val="none"/>
        </w:rPr>
      </w:pPr>
    </w:p>
    <w:p>
      <w:pPr>
        <w:pStyle w:val="2"/>
        <w:rPr>
          <w:rFonts w:hint="eastAsia" w:ascii="宋体" w:hAnsi="宋体" w:eastAsia="宋体" w:cs="宋体"/>
          <w:highlight w:val="none"/>
        </w:rPr>
      </w:pPr>
    </w:p>
    <w:p>
      <w:pPr>
        <w:tabs>
          <w:tab w:val="left" w:pos="1080"/>
        </w:tabs>
        <w:autoSpaceDE w:val="0"/>
        <w:autoSpaceDN w:val="0"/>
        <w:adjustRightInd w:val="0"/>
        <w:spacing w:line="440" w:lineRule="exact"/>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（加盖公章）</w:t>
      </w:r>
    </w:p>
    <w:p>
      <w:pPr>
        <w:autoSpaceDE w:val="0"/>
        <w:autoSpaceDN w:val="0"/>
        <w:adjustRightInd w:val="0"/>
        <w:spacing w:line="440" w:lineRule="exact"/>
        <w:ind w:firstLine="480"/>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法定代表人或代理人：</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（签字）</w:t>
      </w:r>
    </w:p>
    <w:p>
      <w:pPr>
        <w:autoSpaceDE w:val="0"/>
        <w:autoSpaceDN w:val="0"/>
        <w:adjustRightInd w:val="0"/>
        <w:spacing w:line="44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lang w:val="zh-CN"/>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年</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月</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lang w:val="zh-CN"/>
        </w:rPr>
        <w:t>日</w:t>
      </w:r>
    </w:p>
    <w:p>
      <w:pPr>
        <w:jc w:val="left"/>
        <w:rPr>
          <w:rFonts w:hint="eastAsia" w:ascii="宋体" w:hAnsi="宋体" w:eastAsia="宋体" w:cs="宋体"/>
          <w:sz w:val="24"/>
          <w:highlight w:val="none"/>
        </w:rPr>
      </w:pPr>
    </w:p>
    <w:p>
      <w:pPr>
        <w:spacing w:line="360" w:lineRule="auto"/>
        <w:ind w:firstLine="860" w:firstLineChars="400"/>
        <w:rPr>
          <w:rFonts w:hint="eastAsia" w:ascii="宋体" w:hAnsi="宋体" w:eastAsia="宋体" w:cs="宋体"/>
          <w:highlight w:val="none"/>
        </w:rPr>
      </w:pPr>
      <w:bookmarkStart w:id="179" w:name="_Toc436820890"/>
      <w:bookmarkStart w:id="180" w:name="_Toc436410129"/>
      <w:bookmarkStart w:id="181" w:name="_Toc436404120"/>
      <w:bookmarkStart w:id="182" w:name="_Toc307564880"/>
      <w:bookmarkStart w:id="183" w:name="_Toc436385992"/>
    </w:p>
    <w:bookmarkEnd w:id="179"/>
    <w:bookmarkEnd w:id="180"/>
    <w:bookmarkEnd w:id="181"/>
    <w:bookmarkEnd w:id="182"/>
    <w:bookmarkEnd w:id="183"/>
    <w:p>
      <w:pPr>
        <w:spacing w:line="360" w:lineRule="auto"/>
        <w:ind w:firstLine="860" w:firstLineChars="400"/>
        <w:rPr>
          <w:rFonts w:hint="eastAsia" w:ascii="宋体" w:hAnsi="宋体" w:eastAsia="宋体" w:cs="宋体"/>
          <w:highlight w:val="none"/>
        </w:rPr>
      </w:pPr>
    </w:p>
    <w:p>
      <w:pPr>
        <w:pStyle w:val="38"/>
        <w:rPr>
          <w:rFonts w:hint="eastAsia"/>
          <w:highlight w:val="none"/>
        </w:rPr>
      </w:pP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Cs w:val="0"/>
          <w:sz w:val="24"/>
          <w:szCs w:val="24"/>
          <w:highlight w:val="none"/>
          <w:lang w:val="zh-CN" w:eastAsia="zh-CN"/>
        </w:rPr>
        <w:t>七、实施方案</w:t>
      </w:r>
    </w:p>
    <w:p>
      <w:pPr>
        <w:jc w:val="center"/>
        <w:rPr>
          <w:rFonts w:hint="eastAsia" w:ascii="宋体" w:hAnsi="宋体" w:eastAsia="宋体" w:cs="宋体"/>
          <w:b/>
          <w:bCs/>
          <w:sz w:val="32"/>
          <w:szCs w:val="32"/>
          <w:highlight w:val="none"/>
        </w:rPr>
      </w:pPr>
    </w:p>
    <w:p>
      <w:pPr>
        <w:spacing w:line="360" w:lineRule="auto"/>
        <w:ind w:firstLine="490" w:firstLineChars="200"/>
        <w:rPr>
          <w:rFonts w:hint="eastAsia" w:ascii="宋体" w:hAnsi="宋体" w:eastAsia="宋体" w:cs="宋体"/>
          <w:sz w:val="24"/>
          <w:highlight w:val="none"/>
        </w:rPr>
      </w:pPr>
      <w:r>
        <w:rPr>
          <w:rFonts w:hint="eastAsia" w:ascii="宋体" w:hAnsi="宋体" w:eastAsia="宋体" w:cs="宋体"/>
          <w:sz w:val="24"/>
          <w:highlight w:val="none"/>
        </w:rPr>
        <w:t>说明：供应商针对本项目提供的实施方案应结合评分因素的内容综合制定项目方案，本项格式自拟。</w:t>
      </w:r>
    </w:p>
    <w:p>
      <w:pPr>
        <w:jc w:val="center"/>
        <w:rPr>
          <w:rFonts w:hint="eastAsia" w:ascii="宋体" w:hAnsi="宋体" w:eastAsia="宋体" w:cs="宋体"/>
          <w:sz w:val="24"/>
          <w:highlight w:val="none"/>
        </w:rPr>
      </w:pPr>
    </w:p>
    <w:p>
      <w:pPr>
        <w:rPr>
          <w:rFonts w:hint="eastAsia" w:ascii="宋体" w:hAnsi="宋体" w:eastAsia="宋体" w:cs="宋体"/>
          <w:b/>
          <w:sz w:val="32"/>
          <w:szCs w:val="32"/>
          <w:highlight w:val="none"/>
          <w:lang w:val="zh-CN"/>
        </w:rPr>
      </w:pPr>
    </w:p>
    <w:p>
      <w:pPr>
        <w:spacing w:line="360" w:lineRule="auto"/>
        <w:rPr>
          <w:rFonts w:hint="eastAsia" w:ascii="宋体" w:hAnsi="宋体" w:eastAsia="宋体" w:cs="宋体"/>
          <w:b/>
          <w:bCs/>
          <w:highlight w:val="none"/>
        </w:rPr>
      </w:pPr>
      <w:r>
        <w:rPr>
          <w:rFonts w:hint="eastAsia" w:ascii="宋体" w:hAnsi="宋体" w:eastAsia="宋体" w:cs="宋体"/>
          <w:sz w:val="32"/>
          <w:szCs w:val="32"/>
          <w:highlight w:val="none"/>
          <w:lang w:val="zh-CN"/>
        </w:rPr>
        <w:br w:type="page"/>
      </w:r>
    </w:p>
    <w:p>
      <w:pPr>
        <w:pStyle w:val="4"/>
        <w:bidi w:val="0"/>
        <w:jc w:val="center"/>
        <w:rPr>
          <w:rFonts w:hint="eastAsia" w:ascii="宋体" w:hAnsi="宋体" w:eastAsia="宋体" w:cs="宋体"/>
          <w:bCs w:val="0"/>
          <w:sz w:val="24"/>
          <w:szCs w:val="24"/>
          <w:highlight w:val="none"/>
          <w:lang w:val="zh-CN" w:eastAsia="zh-CN"/>
        </w:rPr>
      </w:pPr>
      <w:bookmarkStart w:id="184" w:name="_Toc28316"/>
      <w:bookmarkStart w:id="185" w:name="_Toc212"/>
      <w:bookmarkStart w:id="186" w:name="_Toc25561"/>
      <w:bookmarkStart w:id="187" w:name="_Toc439699524"/>
      <w:bookmarkStart w:id="188" w:name="_Toc21196"/>
      <w:r>
        <w:rPr>
          <w:rFonts w:hint="eastAsia" w:ascii="宋体" w:hAnsi="宋体" w:eastAsia="宋体" w:cs="宋体"/>
          <w:bCs w:val="0"/>
          <w:sz w:val="24"/>
          <w:szCs w:val="24"/>
          <w:highlight w:val="none"/>
          <w:lang w:val="zh-CN" w:eastAsia="zh-CN"/>
        </w:rPr>
        <w:t>八、供应商承诺给予采购单位的各种优惠条件</w:t>
      </w:r>
      <w:bookmarkEnd w:id="184"/>
      <w:bookmarkEnd w:id="185"/>
      <w:bookmarkEnd w:id="186"/>
      <w:bookmarkEnd w:id="187"/>
      <w:bookmarkEnd w:id="188"/>
      <w:r>
        <w:rPr>
          <w:rFonts w:hint="eastAsia" w:ascii="宋体" w:hAnsi="宋体" w:eastAsia="宋体" w:cs="宋体"/>
          <w:bCs w:val="0"/>
          <w:sz w:val="24"/>
          <w:szCs w:val="24"/>
          <w:highlight w:val="none"/>
          <w:lang w:val="zh-CN" w:eastAsia="zh-CN"/>
        </w:rPr>
        <w:t>（如有）</w:t>
      </w:r>
    </w:p>
    <w:p>
      <w:pPr>
        <w:ind w:firstLine="640"/>
        <w:rPr>
          <w:rFonts w:hint="eastAsia" w:ascii="宋体" w:hAnsi="宋体" w:eastAsia="宋体" w:cs="宋体"/>
          <w:snapToGrid w:val="0"/>
          <w:sz w:val="24"/>
          <w:szCs w:val="24"/>
          <w:highlight w:val="none"/>
        </w:rPr>
      </w:pPr>
    </w:p>
    <w:p>
      <w:pPr>
        <w:snapToGrid w:val="0"/>
        <w:spacing w:line="360" w:lineRule="auto"/>
        <w:ind w:firstLine="640"/>
        <w:rPr>
          <w:rFonts w:hint="eastAsia" w:ascii="宋体" w:hAnsi="宋体" w:eastAsia="宋体" w:cs="宋体"/>
          <w:snapToGrid w:val="0"/>
          <w:sz w:val="24"/>
          <w:szCs w:val="24"/>
          <w:highlight w:val="none"/>
        </w:rPr>
      </w:pPr>
    </w:p>
    <w:p>
      <w:pPr>
        <w:snapToGrid w:val="0"/>
        <w:spacing w:line="360" w:lineRule="auto"/>
        <w:ind w:firstLine="480"/>
        <w:rPr>
          <w:rFonts w:hint="eastAsia" w:ascii="宋体" w:hAnsi="宋体" w:eastAsia="宋体" w:cs="宋体"/>
          <w:iCs/>
          <w:snapToGrid w:val="0"/>
          <w:sz w:val="24"/>
          <w:szCs w:val="24"/>
          <w:highlight w:val="none"/>
        </w:rPr>
      </w:pPr>
      <w:r>
        <w:rPr>
          <w:rFonts w:hint="eastAsia" w:ascii="宋体" w:hAnsi="宋体" w:eastAsia="宋体" w:cs="宋体"/>
          <w:iCs/>
          <w:snapToGrid w:val="0"/>
          <w:sz w:val="24"/>
          <w:szCs w:val="24"/>
          <w:highlight w:val="none"/>
        </w:rPr>
        <w:t>优惠条件事项不能包括采购项目本身所包含的采购事项。供应商不能以“赠送、赠予”等任何名义提供服务以规避采购文件的约束。否则，供应商提供的响应文件将作为无效响应处理，即使中标也将取消中标资格。</w:t>
      </w:r>
    </w:p>
    <w:p>
      <w:pPr>
        <w:snapToGrid w:val="0"/>
        <w:spacing w:line="360" w:lineRule="auto"/>
        <w:ind w:firstLine="480"/>
        <w:rPr>
          <w:rFonts w:hint="eastAsia" w:ascii="宋体" w:hAnsi="宋体" w:eastAsia="宋体" w:cs="宋体"/>
          <w:iCs/>
          <w:snapToGrid w:val="0"/>
          <w:sz w:val="24"/>
          <w:szCs w:val="24"/>
          <w:highlight w:val="none"/>
        </w:rPr>
      </w:pPr>
    </w:p>
    <w:p>
      <w:pPr>
        <w:snapToGrid w:val="0"/>
        <w:spacing w:line="360" w:lineRule="auto"/>
        <w:ind w:firstLine="480"/>
        <w:rPr>
          <w:rFonts w:hint="eastAsia" w:ascii="宋体" w:hAnsi="宋体" w:eastAsia="宋体" w:cs="宋体"/>
          <w:iCs/>
          <w:snapToGrid w:val="0"/>
          <w:sz w:val="24"/>
          <w:szCs w:val="24"/>
          <w:highlight w:val="none"/>
        </w:rPr>
      </w:pPr>
    </w:p>
    <w:p>
      <w:pPr>
        <w:snapToGrid w:val="0"/>
        <w:spacing w:line="360" w:lineRule="auto"/>
        <w:ind w:firstLine="480"/>
        <w:rPr>
          <w:rFonts w:hint="eastAsia" w:ascii="宋体" w:hAnsi="宋体" w:eastAsia="宋体" w:cs="宋体"/>
          <w:iCs/>
          <w:snapToGrid w:val="0"/>
          <w:sz w:val="24"/>
          <w:szCs w:val="24"/>
          <w:highlight w:val="none"/>
        </w:rPr>
      </w:pPr>
      <w:r>
        <w:rPr>
          <w:rFonts w:hint="eastAsia" w:ascii="宋体" w:hAnsi="宋体" w:eastAsia="宋体" w:cs="宋体"/>
          <w:iCs/>
          <w:snapToGrid w:val="0"/>
          <w:sz w:val="24"/>
          <w:szCs w:val="24"/>
          <w:highlight w:val="none"/>
        </w:rPr>
        <w:t>内容由供应商自行编制，如果没有，可不提供。</w:t>
      </w:r>
    </w:p>
    <w:p>
      <w:pPr>
        <w:adjustRightInd w:val="0"/>
        <w:snapToGrid w:val="0"/>
        <w:spacing w:line="360" w:lineRule="auto"/>
        <w:ind w:firstLine="480"/>
        <w:rPr>
          <w:rFonts w:hint="eastAsia" w:ascii="宋体" w:hAnsi="宋体" w:eastAsia="宋体" w:cs="宋体"/>
          <w:snapToGrid w:val="0"/>
          <w:sz w:val="24"/>
          <w:szCs w:val="24"/>
          <w:highlight w:val="none"/>
        </w:rPr>
      </w:pPr>
    </w:p>
    <w:p>
      <w:pPr>
        <w:adjustRightInd w:val="0"/>
        <w:spacing w:line="380" w:lineRule="exact"/>
        <w:ind w:firstLine="480"/>
        <w:rPr>
          <w:rFonts w:hint="eastAsia" w:ascii="宋体" w:hAnsi="宋体" w:eastAsia="宋体" w:cs="宋体"/>
          <w:snapToGrid w:val="0"/>
          <w:sz w:val="24"/>
          <w:szCs w:val="24"/>
          <w:highlight w:val="none"/>
        </w:rPr>
      </w:pPr>
    </w:p>
    <w:p>
      <w:pPr>
        <w:adjustRightInd w:val="0"/>
        <w:spacing w:line="380" w:lineRule="exact"/>
        <w:ind w:firstLine="480"/>
        <w:rPr>
          <w:rFonts w:hint="eastAsia" w:ascii="宋体" w:hAnsi="宋体" w:eastAsia="宋体" w:cs="宋体"/>
          <w:snapToGrid w:val="0"/>
          <w:sz w:val="24"/>
          <w:szCs w:val="24"/>
          <w:highlight w:val="none"/>
        </w:rPr>
      </w:pPr>
    </w:p>
    <w:p>
      <w:pPr>
        <w:adjustRightInd w:val="0"/>
        <w:spacing w:line="380" w:lineRule="exact"/>
        <w:ind w:firstLine="480"/>
        <w:rPr>
          <w:rFonts w:hint="eastAsia" w:ascii="宋体" w:hAnsi="宋体" w:eastAsia="宋体" w:cs="宋体"/>
          <w:snapToGrid w:val="0"/>
          <w:sz w:val="24"/>
          <w:szCs w:val="24"/>
          <w:highlight w:val="none"/>
        </w:rPr>
      </w:pPr>
    </w:p>
    <w:p>
      <w:pPr>
        <w:adjustRightInd w:val="0"/>
        <w:spacing w:line="380" w:lineRule="exact"/>
        <w:rPr>
          <w:rFonts w:hint="eastAsia" w:ascii="宋体" w:hAnsi="宋体" w:eastAsia="宋体" w:cs="宋体"/>
          <w:snapToGrid w:val="0"/>
          <w:sz w:val="24"/>
          <w:szCs w:val="24"/>
          <w:highlight w:val="none"/>
        </w:rPr>
      </w:pPr>
    </w:p>
    <w:p>
      <w:pPr>
        <w:adjustRightInd w:val="0"/>
        <w:spacing w:line="380" w:lineRule="exact"/>
        <w:ind w:firstLine="480"/>
        <w:rPr>
          <w:rFonts w:hint="eastAsia" w:ascii="宋体" w:hAnsi="宋体" w:eastAsia="宋体" w:cs="宋体"/>
          <w:snapToGrid w:val="0"/>
          <w:sz w:val="24"/>
          <w:szCs w:val="24"/>
          <w:highlight w:val="none"/>
        </w:rPr>
      </w:pPr>
    </w:p>
    <w:p>
      <w:pPr>
        <w:adjustRightInd w:val="0"/>
        <w:spacing w:line="380" w:lineRule="exact"/>
        <w:ind w:firstLine="480"/>
        <w:rPr>
          <w:rFonts w:hint="eastAsia" w:ascii="宋体" w:hAnsi="宋体" w:eastAsia="宋体" w:cs="宋体"/>
          <w:snapToGrid w:val="0"/>
          <w:sz w:val="24"/>
          <w:szCs w:val="24"/>
          <w:highlight w:val="none"/>
        </w:rPr>
      </w:pPr>
    </w:p>
    <w:p>
      <w:pPr>
        <w:adjustRightInd w:val="0"/>
        <w:spacing w:line="380" w:lineRule="exact"/>
        <w:ind w:firstLine="480"/>
        <w:rPr>
          <w:rFonts w:hint="eastAsia" w:ascii="宋体" w:hAnsi="宋体" w:eastAsia="宋体" w:cs="宋体"/>
          <w:snapToGrid w:val="0"/>
          <w:sz w:val="24"/>
          <w:szCs w:val="24"/>
          <w:highlight w:val="none"/>
        </w:rPr>
      </w:pP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500" w:lineRule="exact"/>
        <w:ind w:right="480"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pStyle w:val="2"/>
        <w:rPr>
          <w:rFonts w:hint="eastAsia" w:ascii="宋体" w:hAnsi="宋体" w:eastAsia="宋体" w:cs="宋体"/>
          <w:sz w:val="24"/>
          <w:szCs w:val="24"/>
          <w:highlight w:val="none"/>
        </w:rPr>
        <w:sectPr>
          <w:headerReference r:id="rId13" w:type="first"/>
          <w:footerReference r:id="rId15" w:type="first"/>
          <w:footerReference r:id="rId14" w:type="default"/>
          <w:pgSz w:w="11849" w:h="16781"/>
          <w:pgMar w:top="1440" w:right="1440" w:bottom="1440" w:left="1440" w:header="851" w:footer="992" w:gutter="0"/>
          <w:pgNumType w:fmt="numberInDash"/>
          <w:cols w:space="720" w:num="1"/>
          <w:titlePg/>
          <w:docGrid w:type="linesAndChars" w:linePitch="312" w:charSpace="1060"/>
        </w:sectPr>
      </w:pP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Cs w:val="0"/>
          <w:sz w:val="24"/>
          <w:szCs w:val="24"/>
          <w:highlight w:val="none"/>
          <w:lang w:val="zh-CN" w:eastAsia="zh-CN"/>
        </w:rPr>
        <w:t>九、失信行为申明及承诺书</w:t>
      </w:r>
    </w:p>
    <w:p>
      <w:pPr>
        <w:pStyle w:val="11"/>
        <w:spacing w:line="400" w:lineRule="exact"/>
        <w:ind w:firstLine="48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XXXX（采购代理机构名称）：</w:t>
      </w:r>
    </w:p>
    <w:p>
      <w:pPr>
        <w:pStyle w:val="11"/>
        <w:spacing w:line="400" w:lineRule="exact"/>
        <w:ind w:firstLine="48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u w:val="single"/>
        </w:rPr>
        <w:t xml:space="preserve">                       </w:t>
      </w:r>
      <w:r>
        <w:rPr>
          <w:rFonts w:hint="eastAsia" w:ascii="宋体" w:hAnsi="宋体" w:eastAsia="宋体" w:cs="宋体"/>
          <w:snapToGrid w:val="0"/>
          <w:sz w:val="24"/>
          <w:szCs w:val="24"/>
          <w:highlight w:val="none"/>
          <w:u w:val="none"/>
        </w:rPr>
        <w:t>（供应商名称）</w:t>
      </w:r>
      <w:r>
        <w:rPr>
          <w:rFonts w:hint="eastAsia" w:ascii="宋体" w:hAnsi="宋体" w:eastAsia="宋体" w:cs="宋体"/>
          <w:snapToGrid w:val="0"/>
          <w:sz w:val="24"/>
          <w:szCs w:val="24"/>
          <w:highlight w:val="none"/>
        </w:rPr>
        <w:t>作为本项目（项目编号：</w:t>
      </w:r>
      <w:r>
        <w:rPr>
          <w:rFonts w:hint="eastAsia" w:ascii="宋体" w:hAnsi="宋体" w:eastAsia="宋体" w:cs="宋体"/>
          <w:snapToGrid w:val="0"/>
          <w:sz w:val="24"/>
          <w:szCs w:val="24"/>
          <w:highlight w:val="none"/>
          <w:u w:val="single"/>
        </w:rPr>
        <w:t xml:space="preserve">        </w:t>
      </w:r>
      <w:r>
        <w:rPr>
          <w:rFonts w:hint="eastAsia" w:ascii="宋体" w:hAnsi="宋体" w:eastAsia="宋体" w:cs="宋体"/>
          <w:sz w:val="24"/>
          <w:szCs w:val="24"/>
          <w:highlight w:val="none"/>
          <w:lang w:eastAsia="zh-CN"/>
        </w:rPr>
        <w:t>包号</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napToGrid w:val="0"/>
          <w:sz w:val="24"/>
          <w:szCs w:val="24"/>
          <w:highlight w:val="none"/>
        </w:rPr>
        <w:t>）供应商，我单位已认真阅读并正确领会采购文件中关于失信行为的相关政策、要求，我单位在此做如下申明和承诺：</w:t>
      </w:r>
    </w:p>
    <w:p>
      <w:pPr>
        <w:pStyle w:val="11"/>
        <w:spacing w:line="400" w:lineRule="exact"/>
        <w:ind w:firstLine="480"/>
        <w:rPr>
          <w:rFonts w:hint="eastAsia" w:ascii="宋体" w:hAnsi="宋体" w:eastAsia="宋体" w:cs="宋体"/>
          <w:snapToGrid w:val="0"/>
          <w:sz w:val="24"/>
          <w:szCs w:val="24"/>
          <w:highlight w:val="none"/>
          <w:u w:val="single"/>
        </w:rPr>
      </w:pPr>
      <w:r>
        <w:rPr>
          <w:rFonts w:hint="eastAsia" w:ascii="宋体" w:hAnsi="宋体" w:eastAsia="宋体" w:cs="宋体"/>
          <w:snapToGrid w:val="0"/>
          <w:sz w:val="24"/>
          <w:szCs w:val="24"/>
          <w:highlight w:val="none"/>
        </w:rPr>
        <w:t>我单位在此郑重申明，我单位参加本项目磋商前</w:t>
      </w:r>
      <w:r>
        <w:rPr>
          <w:rFonts w:hint="eastAsia" w:ascii="宋体" w:hAnsi="宋体" w:eastAsia="宋体" w:cs="宋体"/>
          <w:snapToGrid w:val="0"/>
          <w:sz w:val="24"/>
          <w:szCs w:val="24"/>
          <w:highlight w:val="none"/>
          <w:u w:val="single"/>
        </w:rPr>
        <w:t xml:space="preserve">    </w:t>
      </w:r>
      <w:r>
        <w:rPr>
          <w:rFonts w:hint="eastAsia" w:ascii="宋体" w:hAnsi="宋体" w:eastAsia="宋体" w:cs="宋体"/>
          <w:snapToGrid w:val="0"/>
          <w:sz w:val="24"/>
          <w:szCs w:val="24"/>
          <w:highlight w:val="none"/>
        </w:rPr>
        <w:t>（填写：“具有”或“不具有”） 采购文件第二章供应商采购须知前附表规定失信行为情形之一；若有，具体的失信行为是：</w:t>
      </w:r>
      <w:r>
        <w:rPr>
          <w:rFonts w:hint="eastAsia" w:ascii="宋体" w:hAnsi="宋体" w:eastAsia="宋体" w:cs="宋体"/>
          <w:snapToGrid w:val="0"/>
          <w:sz w:val="24"/>
          <w:szCs w:val="24"/>
          <w:highlight w:val="none"/>
          <w:u w:val="single"/>
        </w:rPr>
        <w:t xml:space="preserve">    </w:t>
      </w:r>
      <w:r>
        <w:rPr>
          <w:rFonts w:hint="eastAsia" w:ascii="宋体" w:hAnsi="宋体" w:eastAsia="宋体" w:cs="宋体"/>
          <w:snapToGrid w:val="0"/>
          <w:sz w:val="24"/>
          <w:szCs w:val="24"/>
          <w:highlight w:val="none"/>
        </w:rPr>
        <w:t>（填写：具体的失信行为内容,若无填写“/”），并该失信行为</w:t>
      </w:r>
      <w:r>
        <w:rPr>
          <w:rFonts w:hint="eastAsia" w:ascii="宋体" w:hAnsi="宋体" w:eastAsia="宋体" w:cs="宋体"/>
          <w:snapToGrid w:val="0"/>
          <w:sz w:val="24"/>
          <w:szCs w:val="24"/>
          <w:highlight w:val="none"/>
          <w:u w:val="single"/>
        </w:rPr>
        <w:t xml:space="preserve">   </w:t>
      </w:r>
      <w:r>
        <w:rPr>
          <w:rFonts w:hint="eastAsia" w:ascii="宋体" w:hAnsi="宋体" w:eastAsia="宋体" w:cs="宋体"/>
          <w:snapToGrid w:val="0"/>
          <w:sz w:val="24"/>
          <w:szCs w:val="24"/>
          <w:highlight w:val="none"/>
        </w:rPr>
        <w:t>（填写：“已受到”或“没有受到”，若无填写“/”） 行政处罚或司法惩处。</w:t>
      </w:r>
    </w:p>
    <w:p>
      <w:pPr>
        <w:pStyle w:val="11"/>
        <w:spacing w:line="400" w:lineRule="exact"/>
        <w:ind w:firstLine="480"/>
        <w:rPr>
          <w:rFonts w:hint="eastAsia" w:ascii="宋体" w:hAnsi="宋体" w:eastAsia="宋体" w:cs="宋体"/>
          <w:snapToGrid w:val="0"/>
          <w:sz w:val="24"/>
          <w:szCs w:val="24"/>
          <w:highlight w:val="none"/>
        </w:rPr>
      </w:pPr>
      <w:r>
        <w:rPr>
          <w:rFonts w:hint="eastAsia" w:ascii="宋体" w:hAnsi="宋体" w:eastAsia="宋体" w:cs="宋体"/>
          <w:sz w:val="24"/>
          <w:szCs w:val="24"/>
          <w:highlight w:val="none"/>
        </w:rPr>
        <w:t>我</w:t>
      </w:r>
      <w:r>
        <w:rPr>
          <w:rFonts w:hint="eastAsia" w:ascii="宋体" w:hAnsi="宋体" w:eastAsia="宋体" w:cs="宋体"/>
          <w:bCs/>
          <w:sz w:val="24"/>
          <w:szCs w:val="24"/>
          <w:highlight w:val="none"/>
        </w:rPr>
        <w:t>单位</w:t>
      </w:r>
      <w:r>
        <w:rPr>
          <w:rFonts w:hint="eastAsia" w:ascii="宋体" w:hAnsi="宋体" w:eastAsia="宋体" w:cs="宋体"/>
          <w:sz w:val="24"/>
          <w:szCs w:val="24"/>
          <w:highlight w:val="none"/>
        </w:rPr>
        <w:t>对以上填写信息的真实性负责。如有不实，本</w:t>
      </w:r>
      <w:r>
        <w:rPr>
          <w:rFonts w:hint="eastAsia" w:ascii="宋体" w:hAnsi="宋体" w:eastAsia="宋体" w:cs="宋体"/>
          <w:bCs/>
          <w:sz w:val="24"/>
          <w:szCs w:val="24"/>
          <w:highlight w:val="none"/>
        </w:rPr>
        <w:t>单位</w:t>
      </w:r>
      <w:r>
        <w:rPr>
          <w:rFonts w:hint="eastAsia" w:ascii="宋体" w:hAnsi="宋体" w:eastAsia="宋体" w:cs="宋体"/>
          <w:sz w:val="24"/>
          <w:szCs w:val="24"/>
          <w:highlight w:val="none"/>
        </w:rPr>
        <w:t>愿承担由此产生的一切法律责任和后果。</w:t>
      </w:r>
    </w:p>
    <w:p>
      <w:pPr>
        <w:tabs>
          <w:tab w:val="left" w:pos="7665"/>
        </w:tabs>
        <w:spacing w:line="380" w:lineRule="exact"/>
        <w:ind w:firstLine="480"/>
        <w:rPr>
          <w:rFonts w:hint="eastAsia" w:ascii="宋体" w:hAnsi="宋体" w:eastAsia="宋体" w:cs="宋体"/>
          <w:snapToGrid w:val="0"/>
          <w:sz w:val="24"/>
          <w:szCs w:val="24"/>
          <w:highlight w:val="none"/>
        </w:rPr>
      </w:pPr>
    </w:p>
    <w:p>
      <w:pPr>
        <w:ind w:firstLine="367" w:firstLineChars="150"/>
        <w:rPr>
          <w:rFonts w:hint="eastAsia" w:ascii="宋体" w:hAnsi="宋体" w:eastAsia="宋体" w:cs="宋体"/>
          <w:snapToGrid w:val="0"/>
          <w:sz w:val="24"/>
          <w:szCs w:val="24"/>
          <w:highlight w:val="none"/>
        </w:rPr>
      </w:pPr>
      <w:r>
        <w:rPr>
          <w:rFonts w:hint="eastAsia" w:ascii="宋体" w:hAnsi="宋体" w:eastAsia="宋体" w:cs="宋体"/>
          <w:snapToGrid w:val="0"/>
          <w:sz w:val="24"/>
          <w:szCs w:val="24"/>
          <w:highlight w:val="none"/>
        </w:rPr>
        <w:t>附件：具体的失信行为认定资料及行政处罚或司法惩处资料复印件（磋商前有失信行为的供应商须提供）</w:t>
      </w:r>
    </w:p>
    <w:p>
      <w:pPr>
        <w:ind w:firstLine="680"/>
        <w:rPr>
          <w:rFonts w:hint="eastAsia" w:ascii="宋体" w:hAnsi="宋体" w:eastAsia="宋体" w:cs="宋体"/>
          <w:i/>
          <w:snapToGrid w:val="0"/>
          <w:sz w:val="24"/>
          <w:szCs w:val="24"/>
          <w:highlight w:val="none"/>
        </w:rPr>
      </w:pPr>
    </w:p>
    <w:p>
      <w:pPr>
        <w:adjustRightInd w:val="0"/>
        <w:spacing w:line="380" w:lineRule="exact"/>
        <w:ind w:firstLine="2366" w:firstLineChars="966"/>
        <w:rPr>
          <w:rFonts w:hint="eastAsia" w:ascii="宋体" w:hAnsi="宋体" w:eastAsia="宋体" w:cs="宋体"/>
          <w:snapToGrid w:val="0"/>
          <w:sz w:val="24"/>
          <w:szCs w:val="24"/>
          <w:highlight w:val="none"/>
        </w:rPr>
      </w:pPr>
    </w:p>
    <w:p>
      <w:pPr>
        <w:adjustRightInd w:val="0"/>
        <w:spacing w:line="380" w:lineRule="exact"/>
        <w:ind w:firstLine="2366" w:firstLineChars="966"/>
        <w:rPr>
          <w:rFonts w:hint="eastAsia" w:ascii="宋体" w:hAnsi="宋体" w:eastAsia="宋体" w:cs="宋体"/>
          <w:snapToGrid w:val="0"/>
          <w:sz w:val="24"/>
          <w:szCs w:val="24"/>
          <w:highlight w:val="none"/>
        </w:rPr>
      </w:pP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500" w:lineRule="exact"/>
        <w:ind w:right="480"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ind w:firstLine="480"/>
        <w:rPr>
          <w:rFonts w:hint="eastAsia" w:ascii="宋体" w:hAnsi="宋体" w:eastAsia="宋体" w:cs="宋体"/>
          <w:bCs/>
          <w:sz w:val="24"/>
          <w:szCs w:val="24"/>
          <w:highlight w:val="none"/>
        </w:rPr>
      </w:pPr>
    </w:p>
    <w:p>
      <w:pPr>
        <w:pStyle w:val="38"/>
        <w:rPr>
          <w:rFonts w:hint="eastAsia" w:ascii="宋体" w:hAnsi="宋体" w:eastAsia="宋体" w:cs="宋体"/>
          <w:bCs/>
          <w:szCs w:val="24"/>
          <w:highlight w:val="none"/>
        </w:rPr>
      </w:pPr>
    </w:p>
    <w:p>
      <w:pPr>
        <w:pStyle w:val="38"/>
        <w:rPr>
          <w:rFonts w:hint="eastAsia" w:ascii="宋体" w:hAnsi="宋体" w:eastAsia="宋体" w:cs="宋体"/>
          <w:bCs/>
          <w:szCs w:val="24"/>
          <w:highlight w:val="none"/>
        </w:rPr>
      </w:pPr>
    </w:p>
    <w:p>
      <w:pPr>
        <w:pStyle w:val="38"/>
        <w:rPr>
          <w:rFonts w:hint="eastAsia" w:ascii="宋体" w:hAnsi="宋体" w:eastAsia="宋体" w:cs="宋体"/>
          <w:bCs/>
          <w:szCs w:val="24"/>
          <w:highlight w:val="none"/>
        </w:rPr>
      </w:pPr>
    </w:p>
    <w:p>
      <w:pPr>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w:t>
      </w:r>
    </w:p>
    <w:p>
      <w:pPr>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1、本表格式及内容仅供参考，供应商也可提供自己的格式；</w:t>
      </w:r>
    </w:p>
    <w:p>
      <w:pPr>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2、供应商存在以上所述失信行为的，将按照</w:t>
      </w:r>
      <w:r>
        <w:rPr>
          <w:rFonts w:hint="eastAsia" w:ascii="宋体" w:hAnsi="宋体" w:eastAsia="宋体" w:cs="宋体"/>
          <w:sz w:val="24"/>
          <w:szCs w:val="24"/>
          <w:highlight w:val="none"/>
        </w:rPr>
        <w:t>第二章供应商须知附表的要求进行处理；</w:t>
      </w:r>
    </w:p>
    <w:p>
      <w:pPr>
        <w:ind w:firstLine="480"/>
        <w:rPr>
          <w:rFonts w:hint="eastAsia" w:ascii="宋体" w:hAnsi="宋体" w:eastAsia="宋体" w:cs="宋体"/>
          <w:sz w:val="24"/>
          <w:szCs w:val="24"/>
          <w:highlight w:val="none"/>
        </w:rPr>
      </w:pPr>
      <w:r>
        <w:rPr>
          <w:rFonts w:hint="eastAsia" w:ascii="宋体" w:hAnsi="宋体" w:eastAsia="宋体" w:cs="宋体"/>
          <w:bCs/>
          <w:sz w:val="24"/>
          <w:szCs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sz w:val="24"/>
          <w:szCs w:val="24"/>
          <w:highlight w:val="none"/>
        </w:rPr>
        <w:t>确了有效期的，不再重复计算。</w:t>
      </w:r>
    </w:p>
    <w:p>
      <w:pPr>
        <w:ind w:firstLine="480"/>
        <w:rPr>
          <w:rFonts w:hint="eastAsia" w:ascii="宋体" w:hAnsi="宋体" w:eastAsia="宋体" w:cs="宋体"/>
          <w:bCs/>
          <w:snapToGrid w:val="0"/>
          <w:sz w:val="24"/>
          <w:szCs w:val="24"/>
          <w:highlight w:val="none"/>
        </w:rPr>
      </w:pPr>
      <w:r>
        <w:rPr>
          <w:rFonts w:hint="eastAsia" w:ascii="宋体" w:hAnsi="宋体" w:eastAsia="宋体" w:cs="宋体"/>
          <w:sz w:val="24"/>
          <w:szCs w:val="24"/>
          <w:highlight w:val="none"/>
        </w:rPr>
        <w:t>4、</w:t>
      </w:r>
      <w:r>
        <w:rPr>
          <w:rFonts w:hint="eastAsia" w:ascii="宋体" w:hAnsi="宋体" w:eastAsia="宋体" w:cs="宋体"/>
          <w:bCs/>
          <w:sz w:val="24"/>
          <w:szCs w:val="24"/>
          <w:highlight w:val="none"/>
        </w:rPr>
        <w:t>供应商的失信行为受到行政处罚或司法惩处的，评审时不再对其以价格加成进行惩戒。</w:t>
      </w:r>
    </w:p>
    <w:p>
      <w:pPr>
        <w:spacing w:line="360" w:lineRule="auto"/>
        <w:ind w:firstLine="482"/>
        <w:rPr>
          <w:rFonts w:hint="eastAsia" w:ascii="宋体" w:hAnsi="宋体" w:eastAsia="宋体" w:cs="宋体"/>
          <w:b/>
          <w:snapToGrid w:val="0"/>
          <w:sz w:val="24"/>
          <w:szCs w:val="24"/>
          <w:highlight w:val="none"/>
        </w:rPr>
      </w:pPr>
      <w:r>
        <w:rPr>
          <w:rFonts w:hint="eastAsia" w:ascii="宋体" w:hAnsi="宋体" w:eastAsia="宋体" w:cs="宋体"/>
          <w:b/>
          <w:snapToGrid w:val="0"/>
          <w:sz w:val="24"/>
          <w:szCs w:val="24"/>
          <w:highlight w:val="none"/>
        </w:rPr>
        <w:br w:type="page"/>
      </w: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Cs w:val="0"/>
          <w:sz w:val="24"/>
          <w:szCs w:val="24"/>
          <w:highlight w:val="none"/>
          <w:lang w:val="zh-CN" w:eastAsia="zh-CN"/>
        </w:rPr>
        <w:t>十、供应商按采购文件要求作出的其他实质性应答和承诺</w:t>
      </w:r>
    </w:p>
    <w:p>
      <w:pPr>
        <w:ind w:firstLine="680"/>
        <w:rPr>
          <w:rFonts w:hint="eastAsia" w:ascii="宋体" w:hAnsi="宋体" w:eastAsia="宋体" w:cs="宋体"/>
          <w:snapToGrid w:val="0"/>
          <w:sz w:val="24"/>
          <w:szCs w:val="24"/>
          <w:highlight w:val="none"/>
        </w:rPr>
      </w:pPr>
    </w:p>
    <w:p>
      <w:pPr>
        <w:ind w:firstLine="680"/>
        <w:rPr>
          <w:rFonts w:hint="eastAsia" w:ascii="宋体" w:hAnsi="宋体" w:eastAsia="宋体" w:cs="宋体"/>
          <w:snapToGrid w:val="0"/>
          <w:sz w:val="24"/>
          <w:szCs w:val="24"/>
          <w:highlight w:val="none"/>
        </w:rPr>
      </w:pPr>
    </w:p>
    <w:p>
      <w:pPr>
        <w:spacing w:line="360" w:lineRule="auto"/>
        <w:ind w:firstLine="482"/>
        <w:rPr>
          <w:rFonts w:hint="eastAsia" w:ascii="宋体" w:hAnsi="宋体" w:eastAsia="宋体" w:cs="宋体"/>
          <w:iCs/>
          <w:snapToGrid w:val="0"/>
          <w:sz w:val="24"/>
          <w:szCs w:val="24"/>
          <w:highlight w:val="none"/>
        </w:rPr>
      </w:pPr>
      <w:r>
        <w:rPr>
          <w:rFonts w:hint="eastAsia" w:ascii="宋体" w:hAnsi="宋体" w:eastAsia="宋体" w:cs="宋体"/>
          <w:iCs/>
          <w:snapToGrid w:val="0"/>
          <w:sz w:val="24"/>
          <w:szCs w:val="24"/>
          <w:highlight w:val="none"/>
        </w:rPr>
        <w:t>供应商按照</w:t>
      </w:r>
      <w:r>
        <w:rPr>
          <w:rFonts w:hint="eastAsia" w:ascii="宋体" w:hAnsi="宋体" w:eastAsia="宋体" w:cs="宋体"/>
          <w:snapToGrid w:val="0"/>
          <w:sz w:val="24"/>
          <w:szCs w:val="24"/>
          <w:highlight w:val="none"/>
        </w:rPr>
        <w:t>采购</w:t>
      </w:r>
      <w:r>
        <w:rPr>
          <w:rFonts w:hint="eastAsia" w:ascii="宋体" w:hAnsi="宋体" w:eastAsia="宋体" w:cs="宋体"/>
          <w:iCs/>
          <w:snapToGrid w:val="0"/>
          <w:sz w:val="24"/>
          <w:szCs w:val="24"/>
          <w:highlight w:val="none"/>
        </w:rPr>
        <w:t>文件要求作出的其他应答和承诺。</w:t>
      </w:r>
    </w:p>
    <w:p>
      <w:pPr>
        <w:spacing w:line="360" w:lineRule="auto"/>
        <w:ind w:firstLine="482"/>
        <w:rPr>
          <w:rFonts w:hint="eastAsia" w:ascii="宋体" w:hAnsi="宋体" w:eastAsia="宋体" w:cs="宋体"/>
          <w:iCs/>
          <w:snapToGrid w:val="0"/>
          <w:sz w:val="24"/>
          <w:szCs w:val="24"/>
          <w:highlight w:val="none"/>
        </w:rPr>
      </w:pPr>
      <w:r>
        <w:rPr>
          <w:rFonts w:hint="eastAsia" w:ascii="宋体" w:hAnsi="宋体" w:eastAsia="宋体" w:cs="宋体"/>
          <w:iCs/>
          <w:snapToGrid w:val="0"/>
          <w:sz w:val="24"/>
          <w:szCs w:val="24"/>
          <w:highlight w:val="none"/>
        </w:rPr>
        <w:t>内容由供应商按</w:t>
      </w:r>
      <w:r>
        <w:rPr>
          <w:rFonts w:hint="eastAsia" w:ascii="宋体" w:hAnsi="宋体" w:eastAsia="宋体" w:cs="宋体"/>
          <w:snapToGrid w:val="0"/>
          <w:sz w:val="24"/>
          <w:szCs w:val="24"/>
          <w:highlight w:val="none"/>
        </w:rPr>
        <w:t>采购</w:t>
      </w:r>
      <w:r>
        <w:rPr>
          <w:rFonts w:hint="eastAsia" w:ascii="宋体" w:hAnsi="宋体" w:eastAsia="宋体" w:cs="宋体"/>
          <w:iCs/>
          <w:snapToGrid w:val="0"/>
          <w:sz w:val="24"/>
          <w:szCs w:val="24"/>
          <w:highlight w:val="none"/>
        </w:rPr>
        <w:t>文件要求自行编制，如果没有可不提供。</w:t>
      </w: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ind w:firstLine="640"/>
        <w:rPr>
          <w:rFonts w:hint="eastAsia" w:ascii="宋体" w:hAnsi="宋体" w:eastAsia="宋体" w:cs="宋体"/>
          <w:i/>
          <w:snapToGrid w:val="0"/>
          <w:sz w:val="24"/>
          <w:szCs w:val="24"/>
          <w:highlight w:val="none"/>
          <w:u w:val="single"/>
        </w:rPr>
      </w:pP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500" w:lineRule="exact"/>
        <w:ind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w:t>
      </w:r>
    </w:p>
    <w:p>
      <w:pPr>
        <w:spacing w:line="500" w:lineRule="exact"/>
        <w:ind w:right="480" w:firstLine="3816" w:firstLineChars="1558"/>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br w:type="page"/>
      </w:r>
    </w:p>
    <w:p>
      <w:pPr>
        <w:pStyle w:val="4"/>
        <w:bidi w:val="0"/>
        <w:jc w:val="center"/>
        <w:rPr>
          <w:rFonts w:hint="eastAsia" w:ascii="宋体" w:hAnsi="宋体" w:eastAsia="宋体" w:cs="宋体"/>
          <w:bCs w:val="0"/>
          <w:sz w:val="24"/>
          <w:szCs w:val="24"/>
          <w:highlight w:val="none"/>
          <w:lang w:val="zh-CN" w:eastAsia="zh-CN"/>
        </w:rPr>
      </w:pPr>
      <w:r>
        <w:rPr>
          <w:rFonts w:hint="eastAsia" w:ascii="宋体" w:hAnsi="宋体" w:eastAsia="宋体" w:cs="宋体"/>
          <w:bCs w:val="0"/>
          <w:sz w:val="24"/>
          <w:szCs w:val="24"/>
          <w:highlight w:val="none"/>
          <w:lang w:val="zh-CN" w:eastAsia="zh-CN"/>
        </w:rPr>
        <w:t>十一、供应商认为需要提供的其他材料</w:t>
      </w:r>
    </w:p>
    <w:p>
      <w:pPr>
        <w:spacing w:line="360" w:lineRule="auto"/>
        <w:ind w:firstLine="482"/>
        <w:rPr>
          <w:rFonts w:hint="eastAsia" w:ascii="宋体" w:hAnsi="宋体" w:eastAsia="宋体" w:cs="宋体"/>
          <w:iCs/>
          <w:snapToGrid w:val="0"/>
          <w:sz w:val="24"/>
          <w:szCs w:val="24"/>
          <w:highlight w:val="none"/>
        </w:rPr>
      </w:pPr>
      <w:r>
        <w:rPr>
          <w:rFonts w:hint="eastAsia" w:ascii="宋体" w:hAnsi="宋体" w:eastAsia="宋体" w:cs="宋体"/>
          <w:iCs/>
          <w:snapToGrid w:val="0"/>
          <w:sz w:val="24"/>
          <w:szCs w:val="24"/>
          <w:highlight w:val="none"/>
        </w:rPr>
        <w:t>注：供应商证明材料每处均需盖单位公章。</w:t>
      </w:r>
    </w:p>
    <w:p>
      <w:pPr>
        <w:rPr>
          <w:rFonts w:hint="eastAsia" w:ascii="宋体" w:hAnsi="宋体" w:eastAsia="宋体" w:cs="宋体"/>
          <w:sz w:val="24"/>
          <w:szCs w:val="24"/>
          <w:highlight w:val="none"/>
        </w:rPr>
      </w:pPr>
    </w:p>
    <w:p>
      <w:pPr>
        <w:snapToGrid w:val="0"/>
        <w:spacing w:line="360" w:lineRule="auto"/>
        <w:ind w:firstLine="480"/>
        <w:rPr>
          <w:rFonts w:hint="eastAsia" w:ascii="宋体" w:hAnsi="宋体" w:eastAsia="宋体" w:cs="宋体"/>
          <w:bCs/>
          <w:sz w:val="24"/>
          <w:szCs w:val="24"/>
          <w:highlight w:val="none"/>
        </w:rPr>
      </w:pPr>
    </w:p>
    <w:p>
      <w:pPr>
        <w:pStyle w:val="2"/>
        <w:rPr>
          <w:rFonts w:hint="eastAsia" w:ascii="宋体" w:hAnsi="宋体" w:eastAsia="宋体" w:cs="宋体"/>
          <w:bCs/>
          <w:sz w:val="24"/>
          <w:szCs w:val="24"/>
          <w:highlight w:val="none"/>
        </w:rPr>
        <w:sectPr>
          <w:pgSz w:w="11849" w:h="16781"/>
          <w:pgMar w:top="1440" w:right="1080" w:bottom="1440" w:left="1080" w:header="851" w:footer="992" w:gutter="0"/>
          <w:pgNumType w:fmt="numberInDash"/>
          <w:cols w:space="720" w:num="1"/>
          <w:titlePg/>
          <w:docGrid w:type="linesAndChars" w:linePitch="312" w:charSpace="1060"/>
        </w:sectPr>
      </w:pPr>
    </w:p>
    <w:p>
      <w:pPr>
        <w:pStyle w:val="3"/>
        <w:keepNext w:val="0"/>
        <w:keepLines w:val="0"/>
        <w:spacing w:before="0" w:after="0" w:line="240" w:lineRule="auto"/>
        <w:jc w:val="center"/>
        <w:rPr>
          <w:rFonts w:hint="eastAsia" w:ascii="宋体" w:hAnsi="宋体" w:eastAsia="宋体" w:cs="宋体"/>
          <w:sz w:val="36"/>
          <w:szCs w:val="36"/>
          <w:highlight w:val="none"/>
        </w:rPr>
      </w:pPr>
      <w:bookmarkStart w:id="189" w:name="_Toc23989"/>
      <w:bookmarkStart w:id="190" w:name="_Toc3036"/>
      <w:bookmarkStart w:id="191" w:name="_Toc7961749"/>
      <w:bookmarkStart w:id="192" w:name="_Toc16600"/>
      <w:r>
        <w:rPr>
          <w:rFonts w:hint="eastAsia" w:ascii="宋体" w:hAnsi="宋体" w:eastAsia="宋体" w:cs="宋体"/>
          <w:sz w:val="36"/>
          <w:szCs w:val="36"/>
          <w:highlight w:val="none"/>
        </w:rPr>
        <w:t>第七章  评审方法</w:t>
      </w:r>
      <w:bookmarkEnd w:id="189"/>
      <w:bookmarkEnd w:id="190"/>
      <w:bookmarkEnd w:id="191"/>
      <w:bookmarkEnd w:id="192"/>
    </w:p>
    <w:p>
      <w:pPr>
        <w:pStyle w:val="4"/>
        <w:bidi w:val="0"/>
        <w:spacing w:line="240" w:lineRule="auto"/>
        <w:ind w:left="0" w:leftChars="0" w:firstLine="470" w:firstLineChars="195"/>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1、总则</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1.1 根据《中华人民共和国政府采购法》、《中华人民共和国政府采购法实施条例》、《政府采购竞争性磋商采购方式管理暂行办法》等法律制度，结合本采购项目特点制定本磋商方法。</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1.2 磋商工作由采购代理机构负责组织，具体磋商由采购代理机构依法组建的磋商小组负责。</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1.3 磋商工作应遵循公平、公正、科学及择优的原则，并以相同的磋商程序和标准对待所有的供应商。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1.4 磋商小组按照磋商文件规定的磋商程序、评分方法和标准进行评审，并独立履行下列职责：</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（一）熟悉和理解磋商文件，确定磋商文件内容是否违反国家有关强制性规定或者磋商文件存在歧义、重大缺陷，根据需要书面要求采购人、采购代理机构对磋商文件作出解释；</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（二）审查供应商响应文件是否满足磋商文件要求，并作出公正评价；</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（三）根据需要要求供应商对响应文件中含义不明确、同类问题表述不一致或者有明显文字和计算错误的内容等作出必要的澄清、说明或者更正；</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（四）推荐成交供应商，或者受采购人委托确定成交供应商；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（五）起草评审报告并进行签署；</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（六）向采购代理机构、财政部门或者其他监督部门报告非法干预评审工作的行为；</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（七）法律、法规和规章规定的其他职责。</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1.5</w:t>
      </w:r>
      <w:r>
        <w:rPr>
          <w:rFonts w:hint="eastAsia" w:ascii="宋体" w:hAnsi="宋体" w:eastAsia="宋体" w:cs="宋体"/>
          <w:b/>
          <w:bCs/>
          <w:kern w:val="2"/>
          <w:sz w:val="24"/>
          <w:szCs w:val="24"/>
          <w:highlight w:val="none"/>
          <w:lang w:val="zh-CN" w:eastAsia="zh-CN" w:bidi="ar-SA"/>
        </w:rPr>
        <w:t xml:space="preserve"> （实质性要求）</w:t>
      </w:r>
      <w:r>
        <w:rPr>
          <w:rFonts w:hint="eastAsia" w:ascii="宋体" w:hAnsi="宋体" w:eastAsia="宋体" w:cs="宋体"/>
          <w:kern w:val="2"/>
          <w:sz w:val="24"/>
          <w:szCs w:val="24"/>
          <w:highlight w:val="none"/>
          <w:lang w:val="zh-CN" w:eastAsia="zh-CN" w:bidi="ar-SA"/>
        </w:rPr>
        <w:t>磋商过程独立、保密。供应商非法干预磋商过程的，其响应文件作无效处理。</w:t>
      </w:r>
    </w:p>
    <w:p>
      <w:pPr>
        <w:pStyle w:val="4"/>
        <w:bidi w:val="0"/>
        <w:spacing w:line="240" w:lineRule="auto"/>
        <w:ind w:left="0" w:leftChars="0" w:firstLine="470" w:firstLineChars="195"/>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2、磋商小组及专家组成</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根据《中华人民共和国政府采购法》、《政府采购竞争性磋商采购方式管理暂行办法》 等的规定并结合本次采购项目的实际情况，磋商小组由采购人的代表和有关方面的专家三人以上的单数组成，其中专家人数不少于成员总数的三分之二，负责本次采购项目的竞争性磋商和评审工作。</w:t>
      </w:r>
    </w:p>
    <w:p>
      <w:pPr>
        <w:pStyle w:val="4"/>
        <w:bidi w:val="0"/>
        <w:spacing w:line="240" w:lineRule="auto"/>
        <w:ind w:left="0" w:leftChars="0" w:firstLine="470" w:firstLineChars="195"/>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3、磋商组织</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磋商工作由采购代理机构组织，具体磋商事务由依法组建的磋商小组负责。</w:t>
      </w:r>
    </w:p>
    <w:p>
      <w:pPr>
        <w:pStyle w:val="4"/>
        <w:bidi w:val="0"/>
        <w:spacing w:line="240" w:lineRule="auto"/>
        <w:ind w:left="0" w:leftChars="0" w:firstLine="470" w:firstLineChars="195"/>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4、磋商程序</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193" w:name="_Toc520667445"/>
      <w:r>
        <w:rPr>
          <w:rFonts w:hint="eastAsia" w:ascii="宋体" w:hAnsi="宋体" w:eastAsia="宋体" w:cs="宋体"/>
          <w:kern w:val="2"/>
          <w:sz w:val="24"/>
          <w:szCs w:val="24"/>
          <w:highlight w:val="none"/>
          <w:lang w:val="zh-CN" w:eastAsia="zh-CN" w:bidi="ar-SA"/>
        </w:rPr>
        <w:t>4.1审查磋商文件和停止评审。</w:t>
      </w:r>
      <w:bookmarkEnd w:id="193"/>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194" w:name="_Toc520667446"/>
      <w:r>
        <w:rPr>
          <w:rFonts w:hint="eastAsia" w:ascii="宋体" w:hAnsi="宋体" w:eastAsia="宋体" w:cs="宋体"/>
          <w:kern w:val="2"/>
          <w:sz w:val="24"/>
          <w:szCs w:val="24"/>
          <w:highlight w:val="none"/>
          <w:lang w:val="zh-CN" w:eastAsia="zh-CN" w:bidi="ar-SA"/>
        </w:rPr>
        <w:t>4.1.1 磋商小组正式评审前，应当对磋商文件进行熟悉和理解，内容主要包括磋商文件中供应商资格条件要求、采购项目技术、服务和商务要求、磋商办法和标准、政府采购政策要求以及政府采购合同主要条款等。</w:t>
      </w:r>
      <w:bookmarkEnd w:id="194"/>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195" w:name="_Toc520667447"/>
      <w:r>
        <w:rPr>
          <w:rFonts w:hint="eastAsia" w:ascii="宋体" w:hAnsi="宋体" w:eastAsia="宋体" w:cs="宋体"/>
          <w:kern w:val="2"/>
          <w:sz w:val="24"/>
          <w:szCs w:val="24"/>
          <w:highlight w:val="none"/>
          <w:lang w:val="zh-CN" w:eastAsia="zh-CN" w:bidi="ar-SA"/>
        </w:rPr>
        <w:t>4.1.2 本磋商文件有下列情形之一的，磋商小组应当停止评审：</w:t>
      </w:r>
      <w:bookmarkEnd w:id="195"/>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196" w:name="_Toc520667448"/>
      <w:r>
        <w:rPr>
          <w:rFonts w:hint="eastAsia" w:ascii="宋体" w:hAnsi="宋体" w:eastAsia="宋体" w:cs="宋体"/>
          <w:kern w:val="2"/>
          <w:sz w:val="24"/>
          <w:szCs w:val="24"/>
          <w:highlight w:val="none"/>
          <w:lang w:val="zh-CN" w:eastAsia="zh-CN" w:bidi="ar-SA"/>
        </w:rPr>
        <w:t>（1）磋商文件的规定存在歧义、重大缺陷的；</w:t>
      </w:r>
      <w:bookmarkEnd w:id="196"/>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197" w:name="_Toc520667449"/>
      <w:r>
        <w:rPr>
          <w:rFonts w:hint="eastAsia" w:ascii="宋体" w:hAnsi="宋体" w:eastAsia="宋体" w:cs="宋体"/>
          <w:kern w:val="2"/>
          <w:sz w:val="24"/>
          <w:szCs w:val="24"/>
          <w:highlight w:val="none"/>
          <w:lang w:val="zh-CN" w:eastAsia="zh-CN" w:bidi="ar-SA"/>
        </w:rPr>
        <w:t>（2）磋商文件明显以不合理条件对供应商实行差别待遇或者歧视待遇的；</w:t>
      </w:r>
      <w:bookmarkEnd w:id="197"/>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198" w:name="_Toc520667450"/>
      <w:r>
        <w:rPr>
          <w:rFonts w:hint="eastAsia" w:ascii="宋体" w:hAnsi="宋体" w:eastAsia="宋体" w:cs="宋体"/>
          <w:kern w:val="2"/>
          <w:sz w:val="24"/>
          <w:szCs w:val="24"/>
          <w:highlight w:val="none"/>
          <w:lang w:val="zh-CN" w:eastAsia="zh-CN" w:bidi="ar-SA"/>
        </w:rPr>
        <w:t>（3）采购项目属于国家规定的优先、强制采购范围，但是磋商文件未依法体现优先、强制采购相关规定的；</w:t>
      </w:r>
      <w:bookmarkEnd w:id="198"/>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199" w:name="_Toc520667451"/>
      <w:r>
        <w:rPr>
          <w:rFonts w:hint="eastAsia" w:ascii="宋体" w:hAnsi="宋体" w:eastAsia="宋体" w:cs="宋体"/>
          <w:kern w:val="2"/>
          <w:sz w:val="24"/>
          <w:szCs w:val="24"/>
          <w:highlight w:val="none"/>
          <w:lang w:val="zh-CN" w:eastAsia="zh-CN" w:bidi="ar-SA"/>
        </w:rPr>
        <w:t>（4）采购项目属于政府采购促进中小企业发展的范围，但是磋商文件未依法体现促进中小企业发展相关规定的；</w:t>
      </w:r>
      <w:bookmarkEnd w:id="199"/>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0" w:name="_Toc520667452"/>
      <w:r>
        <w:rPr>
          <w:rFonts w:hint="eastAsia" w:ascii="宋体" w:hAnsi="宋体" w:eastAsia="宋体" w:cs="宋体"/>
          <w:kern w:val="2"/>
          <w:sz w:val="24"/>
          <w:szCs w:val="24"/>
          <w:highlight w:val="none"/>
          <w:lang w:val="zh-CN" w:eastAsia="zh-CN" w:bidi="ar-SA"/>
        </w:rPr>
        <w:t>（5）磋商文件将供应商的资格条件列为评分因素的；</w:t>
      </w:r>
      <w:bookmarkEnd w:id="200"/>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1" w:name="_Toc520667453"/>
      <w:r>
        <w:rPr>
          <w:rFonts w:hint="eastAsia" w:ascii="宋体" w:hAnsi="宋体" w:eastAsia="宋体" w:cs="宋体"/>
          <w:kern w:val="2"/>
          <w:sz w:val="24"/>
          <w:szCs w:val="24"/>
          <w:highlight w:val="none"/>
          <w:lang w:val="zh-CN" w:eastAsia="zh-CN" w:bidi="ar-SA"/>
        </w:rPr>
        <w:t>（6）磋商文件载明的成交原则不合法的；</w:t>
      </w:r>
      <w:bookmarkEnd w:id="201"/>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2" w:name="_Toc520667454"/>
      <w:r>
        <w:rPr>
          <w:rFonts w:hint="eastAsia" w:ascii="宋体" w:hAnsi="宋体" w:eastAsia="宋体" w:cs="宋体"/>
          <w:kern w:val="2"/>
          <w:sz w:val="24"/>
          <w:szCs w:val="24"/>
          <w:highlight w:val="none"/>
          <w:lang w:val="zh-CN" w:eastAsia="zh-CN" w:bidi="ar-SA"/>
        </w:rPr>
        <w:t>（7）磋商文件有违反国家其他有关强制性规定的情形。</w:t>
      </w:r>
      <w:bookmarkEnd w:id="202"/>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3" w:name="_Toc520667455"/>
      <w:r>
        <w:rPr>
          <w:rFonts w:hint="eastAsia" w:ascii="宋体" w:hAnsi="宋体" w:eastAsia="宋体" w:cs="宋体"/>
          <w:kern w:val="2"/>
          <w:sz w:val="24"/>
          <w:szCs w:val="24"/>
          <w:highlight w:val="none"/>
          <w:lang w:val="zh-CN" w:eastAsia="zh-CN" w:bidi="ar-SA"/>
        </w:rPr>
        <w:t>4.1.3 出现本条4.1.2规定应当停止评审情形的，磋商小组应当向采购人书面说明情况。除本条规定的情形外，磋商小组不得以任何方式和理由停止评审。</w:t>
      </w:r>
      <w:bookmarkEnd w:id="203"/>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4.2资格性审查。</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4" w:name="_Toc520667457"/>
      <w:r>
        <w:rPr>
          <w:rFonts w:hint="eastAsia" w:ascii="宋体" w:hAnsi="宋体" w:eastAsia="宋体" w:cs="宋体"/>
          <w:kern w:val="2"/>
          <w:sz w:val="24"/>
          <w:szCs w:val="24"/>
          <w:highlight w:val="none"/>
          <w:lang w:val="zh-CN" w:eastAsia="zh-CN" w:bidi="ar-SA"/>
        </w:rPr>
        <w:t>4.2.1本项目需要磋商小组进行资格性检查。磋商小组应依据法律法规和磋商文件的规定，对响应文件是否按照规定要求提供资格性证明材料、是否属于禁止参加磋商的供应商等进行审查，以确定供应商是否具备磋商资格。</w:t>
      </w:r>
      <w:bookmarkEnd w:id="204"/>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5" w:name="_Toc520667458"/>
      <w:r>
        <w:rPr>
          <w:rFonts w:hint="eastAsia" w:ascii="宋体" w:hAnsi="宋体" w:eastAsia="宋体" w:cs="宋体"/>
          <w:kern w:val="2"/>
          <w:sz w:val="24"/>
          <w:szCs w:val="24"/>
          <w:highlight w:val="none"/>
          <w:lang w:val="zh-CN" w:eastAsia="zh-CN" w:bidi="ar-SA"/>
        </w:rPr>
        <w:t>4.2.2资格性审查结束后，磋商小组应当出具资格性审查报告，没有通过资格审查的供应商，磋商小组应当在资格审查报告中说明原因。</w:t>
      </w:r>
      <w:bookmarkEnd w:id="205"/>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6" w:name="_Toc520667459"/>
      <w:r>
        <w:rPr>
          <w:rFonts w:hint="eastAsia" w:ascii="宋体" w:hAnsi="宋体" w:eastAsia="宋体" w:cs="宋体"/>
          <w:kern w:val="2"/>
          <w:sz w:val="24"/>
          <w:szCs w:val="24"/>
          <w:highlight w:val="none"/>
          <w:lang w:val="zh-CN" w:eastAsia="zh-CN" w:bidi="ar-SA"/>
        </w:rPr>
        <w:t>4.2.3磋商小组应依据磋商文件规定的实质性要求，对符合资格的响应文件进行有效性、完整性和响应程度审查，以确定参加磋商的供应商名单。</w:t>
      </w:r>
      <w:bookmarkEnd w:id="206"/>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7" w:name="_Toc520667460"/>
      <w:r>
        <w:rPr>
          <w:rFonts w:hint="eastAsia" w:ascii="宋体" w:hAnsi="宋体" w:eastAsia="宋体" w:cs="宋体"/>
          <w:kern w:val="2"/>
          <w:sz w:val="24"/>
          <w:szCs w:val="24"/>
          <w:highlight w:val="none"/>
          <w:lang w:val="zh-CN" w:eastAsia="zh-CN" w:bidi="ar-SA"/>
        </w:rPr>
        <w:t>4.2.4采购人或者采购代理机构宣布未通过资格性审查的供应商名单时，应当告知供应商未通过审查的原因。</w:t>
      </w:r>
      <w:bookmarkEnd w:id="207"/>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8" w:name="_Toc520667461"/>
      <w:r>
        <w:rPr>
          <w:rFonts w:hint="eastAsia" w:ascii="宋体" w:hAnsi="宋体" w:eastAsia="宋体" w:cs="宋体"/>
          <w:kern w:val="2"/>
          <w:sz w:val="24"/>
          <w:szCs w:val="24"/>
          <w:highlight w:val="none"/>
          <w:lang w:val="zh-CN" w:eastAsia="zh-CN" w:bidi="ar-SA"/>
        </w:rPr>
        <w:t>4.3 通过资格性审查的供应商不足3家的，</w:t>
      </w:r>
      <w:bookmarkEnd w:id="208"/>
      <w:r>
        <w:rPr>
          <w:rFonts w:hint="eastAsia" w:ascii="宋体" w:hAnsi="宋体" w:eastAsia="宋体" w:cs="宋体"/>
          <w:kern w:val="2"/>
          <w:sz w:val="24"/>
          <w:szCs w:val="24"/>
          <w:highlight w:val="none"/>
          <w:lang w:val="zh-CN" w:eastAsia="zh-CN" w:bidi="ar-SA"/>
        </w:rPr>
        <w:t>采购人（项目实施机构）或者采购代理机构应当终止竞争性磋商采购活动，发布项目终止公告并说明原因，重新开展采购活动。</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4.4 磋商。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09" w:name="_Toc520667463"/>
      <w:r>
        <w:rPr>
          <w:rFonts w:hint="eastAsia" w:ascii="宋体" w:hAnsi="宋体" w:eastAsia="宋体" w:cs="宋体"/>
          <w:kern w:val="2"/>
          <w:sz w:val="24"/>
          <w:szCs w:val="24"/>
          <w:highlight w:val="none"/>
          <w:lang w:val="zh-CN" w:eastAsia="zh-CN" w:bidi="ar-SA"/>
        </w:rPr>
        <w:t>4.4.1磋商小组所有成员集中与单一供应商分别进行一轮或多轮磋商，并给予所有参加磋商的供应商平等的磋商机会。磋商顺序以现场抽签的方式确定。磋商过程中，磋商小组可以根据磋商情况调整磋商轮次。</w:t>
      </w:r>
      <w:bookmarkEnd w:id="209"/>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10" w:name="_Toc520667464"/>
      <w:r>
        <w:rPr>
          <w:rFonts w:hint="eastAsia" w:ascii="宋体" w:hAnsi="宋体" w:eastAsia="宋体" w:cs="宋体"/>
          <w:kern w:val="2"/>
          <w:sz w:val="24"/>
          <w:szCs w:val="24"/>
          <w:highlight w:val="none"/>
          <w:lang w:val="zh-CN" w:eastAsia="zh-CN" w:bidi="ar-SA"/>
        </w:rPr>
        <w:t>4.4.2每轮磋商开始前，磋商小组应根据磋商文件的规定，并结合各供应商的响应文件拟定磋商内容。</w:t>
      </w:r>
      <w:bookmarkEnd w:id="210"/>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11" w:name="_Toc520667465"/>
      <w:r>
        <w:rPr>
          <w:rFonts w:hint="eastAsia" w:ascii="宋体" w:hAnsi="宋体" w:eastAsia="宋体" w:cs="宋体"/>
          <w:kern w:val="2"/>
          <w:sz w:val="24"/>
          <w:szCs w:val="24"/>
          <w:highlight w:val="none"/>
          <w:lang w:val="zh-CN" w:eastAsia="zh-CN" w:bidi="ar-SA"/>
        </w:rPr>
        <w:t>4.4.3在磋商过程中，磋商小组可以根据磋商文件和磋商情况实质性变动磋商文件的技术、服务要求以及合同草案条款，但不得变动磋商文件中的其他内容。实质性变动的内容，须经采购人代表书面确认。</w:t>
      </w:r>
      <w:bookmarkEnd w:id="211"/>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12" w:name="_Toc520667466"/>
      <w:r>
        <w:rPr>
          <w:rFonts w:hint="eastAsia" w:ascii="宋体" w:hAnsi="宋体" w:eastAsia="宋体" w:cs="宋体"/>
          <w:kern w:val="2"/>
          <w:sz w:val="24"/>
          <w:szCs w:val="24"/>
          <w:highlight w:val="none"/>
          <w:lang w:val="zh-CN" w:eastAsia="zh-CN" w:bidi="ar-SA"/>
        </w:rPr>
        <w:t>4.4.4对磋商文件作出的实质性变动是磋商文件的有效组成部分，磋商小组应当及时以书面形式同时通知所有参加磋商的供应商。</w:t>
      </w:r>
      <w:bookmarkEnd w:id="212"/>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13" w:name="_Toc520667467"/>
      <w:r>
        <w:rPr>
          <w:rFonts w:hint="eastAsia" w:ascii="宋体" w:hAnsi="宋体" w:eastAsia="宋体" w:cs="宋体"/>
          <w:kern w:val="2"/>
          <w:sz w:val="24"/>
          <w:szCs w:val="24"/>
          <w:highlight w:val="none"/>
          <w:lang w:val="zh-CN" w:eastAsia="zh-CN" w:bidi="ar-SA"/>
        </w:rPr>
        <w:t>4.4.5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13"/>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14" w:name="_Toc520667468"/>
      <w:r>
        <w:rPr>
          <w:rFonts w:hint="eastAsia" w:ascii="宋体" w:hAnsi="宋体" w:eastAsia="宋体" w:cs="宋体"/>
          <w:kern w:val="2"/>
          <w:sz w:val="24"/>
          <w:szCs w:val="24"/>
          <w:highlight w:val="none"/>
          <w:lang w:val="zh-CN" w:eastAsia="zh-CN" w:bidi="ar-SA"/>
        </w:rPr>
        <w:t>4.4.6磋商过程中，磋商的任何一方不得透露与磋商有关的其他供应商的技术资料、价格和其他信息。</w:t>
      </w:r>
      <w:bookmarkEnd w:id="214"/>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15" w:name="_Toc520667469"/>
      <w:r>
        <w:rPr>
          <w:rFonts w:hint="eastAsia" w:ascii="宋体" w:hAnsi="宋体" w:eastAsia="宋体" w:cs="宋体"/>
          <w:kern w:val="2"/>
          <w:sz w:val="24"/>
          <w:szCs w:val="24"/>
          <w:highlight w:val="none"/>
          <w:lang w:val="zh-CN" w:eastAsia="zh-CN" w:bidi="ar-SA"/>
        </w:rPr>
        <w:t>4.4.7磋商过程中，磋商小组发现或者知晓供应商存在违法、违纪行为的，磋商小组应当将该供应商响应文件作无效处理，不允许其提交最后报价。</w:t>
      </w:r>
      <w:bookmarkEnd w:id="215"/>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bookmarkStart w:id="216" w:name="_Toc520667470"/>
      <w:r>
        <w:rPr>
          <w:rFonts w:hint="eastAsia" w:ascii="宋体" w:hAnsi="宋体" w:eastAsia="宋体" w:cs="宋体"/>
          <w:kern w:val="2"/>
          <w:sz w:val="24"/>
          <w:szCs w:val="24"/>
          <w:highlight w:val="none"/>
          <w:lang w:val="zh-CN" w:eastAsia="zh-CN" w:bidi="ar-SA"/>
        </w:rPr>
        <w:t>4.4.8磋商完成后，磋商小组应出具磋商情况记录表，磋商情况记录表需包含磋商内容、磋商意见、实质性变动内容等。</w:t>
      </w:r>
      <w:bookmarkEnd w:id="216"/>
      <w:r>
        <w:rPr>
          <w:rFonts w:hint="eastAsia" w:ascii="宋体" w:hAnsi="宋体" w:eastAsia="宋体" w:cs="宋体"/>
          <w:kern w:val="2"/>
          <w:sz w:val="24"/>
          <w:szCs w:val="24"/>
          <w:highlight w:val="none"/>
          <w:lang w:val="zh-CN" w:eastAsia="zh-CN" w:bidi="ar-SA"/>
        </w:rPr>
        <w:t xml:space="preserve">   </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4.5最后报价。</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4.5.3供应商最后报价应当由法定代表人/主要负责人或其授权代表签字确认或加盖公章。最后报价是供应商响应文件的有效组成部分。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4.6比较与评价。</w:t>
      </w:r>
      <w:r>
        <w:rPr>
          <w:rFonts w:hint="eastAsia" w:ascii="宋体" w:hAnsi="宋体" w:eastAsia="宋体" w:cs="宋体"/>
          <w:b/>
          <w:bCs/>
          <w:kern w:val="2"/>
          <w:sz w:val="24"/>
          <w:szCs w:val="24"/>
          <w:highlight w:val="none"/>
          <w:lang w:val="zh-CN" w:eastAsia="zh-CN" w:bidi="ar-SA"/>
        </w:rPr>
        <w:t>由磋商小组采用综合评分法对提交最后报价的供应商的响应文件、现场演示情况和最后报价进行综合评分，具体要求详见本章综合评分部分。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4.8磋商小组复核。磋商小组评分汇总结束后，磋商小组应当进行评审复核，对拟推荐为成交候选供应商的、报价最低的、供应商资格审查未通过的、供应商响应文件作无效处理的重点复核。</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4.9采购组织单位现场复核评审结果。</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（1）资格性审查认定错误的；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（2）分值汇总计算错误的；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（3）分项评分超出评分标准范围的；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（4）客观评分不一致的。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采购代理机构复核过程中，磋商小组成员不得离开评审现场。</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4.9.2有下列情形之一的，不得现场修改评审结果：</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（1）磋商小组已经出具磋商报告并且离开评审现场的；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（2）采购代理机构现场复核时，复核工作人员数量不足的；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（3）采购代理机构现场复核时，没有采购监督人员现场监督的；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（4）采购代理机构现场复核内容超出规定范围的；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（5）采购代理机构未提供书面建议的。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4.10编写磋商报告。磋商小组推荐成交候选供应商后，应向采购代理机构出具磋商报告。磋商报告应当包括以下主要内容：</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（1）邀请供应商参加采购活动的具体方式和相关情况；</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（2）响应文件开启日期和地点；</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（3）获取磋商文件的供应商名单和磋商小组成员名单；</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（4）评审情况记录和说明，包括对供应商的资格审查情况、供应商响应文件审查情况、磋商情况、报价情况等；</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（5）提出的成交候选供应商的排序名单及理由。</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4.12供应商澄清、说明</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4.12.2磋商小组要求供应商澄清、说明或者更正响应文件应当以书面形式作出。供应商的澄清、说明或者更正应当由现任法定代表人/主要负责人或其授权代表签字或者加盖公章。</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4.13终止磋商采购活动。</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出现下列情形之一的，采购人或者采购代理机构应当终止竞争性磋商采购活动，发布项目终止公告并说明原因，重新开展采购活动：</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（1）因情况变化，不再符合规定的竞争性磋商采购方式适用情形的；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（2）出现影响采购公正的违法、违规行为的；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（3）在采购过程中符合要求的供应商或者报价未超过采购预算的供应商不足三家的。</w:t>
      </w:r>
    </w:p>
    <w:p>
      <w:pPr>
        <w:pStyle w:val="4"/>
        <w:bidi w:val="0"/>
        <w:spacing w:line="240" w:lineRule="auto"/>
        <w:ind w:left="0" w:leftChars="0" w:firstLine="470" w:firstLineChars="195"/>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5、综合评分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5.1本次综合评分的因素是：见综合评分明细表。</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5.3综合评分明细表</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5.3.1综合评分明细表的制定以科学合理、降低评委会自由裁量权为原则。</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5.3.2综合评分明细表</w:t>
      </w:r>
    </w:p>
    <w:p>
      <w:pPr>
        <w:pStyle w:val="60"/>
        <w:spacing w:line="240" w:lineRule="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eastAsia="zh-CN"/>
        </w:rPr>
        <w:t>包</w:t>
      </w:r>
      <w:r>
        <w:rPr>
          <w:rFonts w:hint="eastAsia" w:ascii="宋体" w:hAnsi="宋体" w:eastAsia="宋体" w:cs="宋体"/>
          <w:b/>
          <w:bCs/>
          <w:color w:val="000000"/>
          <w:sz w:val="21"/>
          <w:szCs w:val="21"/>
          <w:highlight w:val="none"/>
          <w:lang w:val="en-US" w:eastAsia="zh-CN"/>
        </w:rPr>
        <w:t>1</w:t>
      </w:r>
    </w:p>
    <w:tbl>
      <w:tblPr>
        <w:tblStyle w:val="28"/>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357"/>
        <w:gridCol w:w="740"/>
        <w:gridCol w:w="5922"/>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0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序号</w:t>
            </w:r>
          </w:p>
        </w:tc>
        <w:tc>
          <w:tcPr>
            <w:tcW w:w="135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评审项目</w:t>
            </w:r>
          </w:p>
        </w:tc>
        <w:tc>
          <w:tcPr>
            <w:tcW w:w="740"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分值</w:t>
            </w:r>
          </w:p>
        </w:tc>
        <w:tc>
          <w:tcPr>
            <w:tcW w:w="5922"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评分标准</w:t>
            </w:r>
          </w:p>
        </w:tc>
        <w:tc>
          <w:tcPr>
            <w:tcW w:w="919"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0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p>
        </w:tc>
        <w:tc>
          <w:tcPr>
            <w:tcW w:w="135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报价</w:t>
            </w:r>
          </w:p>
        </w:tc>
        <w:tc>
          <w:tcPr>
            <w:tcW w:w="740"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20</w:t>
            </w:r>
          </w:p>
        </w:tc>
        <w:tc>
          <w:tcPr>
            <w:tcW w:w="5922" w:type="dxa"/>
            <w:vAlign w:val="center"/>
          </w:tcPr>
          <w:p>
            <w:pPr>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以满足磋商文件要求且最后有效报价最低的供应商的价格为基准价，其价格分为满分</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其他供应商的价格分统一按照下列公式计算：报价得分=（基准价/报价）</w:t>
            </w:r>
            <w:r>
              <w:rPr>
                <w:rFonts w:hint="eastAsia" w:ascii="宋体" w:hAnsi="宋体" w:eastAsia="宋体" w:cs="宋体"/>
                <w:b w:val="0"/>
                <w:color w:val="auto"/>
                <w:sz w:val="24"/>
                <w:szCs w:val="24"/>
                <w:highlight w:val="none"/>
                <w:lang w:val="en-US" w:eastAsia="zh-CN"/>
              </w:rPr>
              <w:t>*</w:t>
            </w:r>
            <w:r>
              <w:rPr>
                <w:rFonts w:hint="eastAsia" w:ascii="宋体" w:hAnsi="宋体" w:eastAsia="宋体" w:cs="宋体"/>
                <w:b w:val="0"/>
                <w:color w:val="auto"/>
                <w:sz w:val="24"/>
                <w:szCs w:val="24"/>
                <w:highlight w:val="none"/>
              </w:rPr>
              <w:t>20分。</w:t>
            </w:r>
          </w:p>
        </w:tc>
        <w:tc>
          <w:tcPr>
            <w:tcW w:w="919"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1"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w:t>
            </w:r>
          </w:p>
        </w:tc>
        <w:tc>
          <w:tcPr>
            <w:tcW w:w="1357"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技术及服务综合情况</w:t>
            </w:r>
          </w:p>
        </w:tc>
        <w:tc>
          <w:tcPr>
            <w:tcW w:w="740"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39</w:t>
            </w:r>
          </w:p>
        </w:tc>
        <w:tc>
          <w:tcPr>
            <w:tcW w:w="5922"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完全满足服务要求（</w:t>
            </w:r>
            <w:r>
              <w:rPr>
                <w:rFonts w:hint="eastAsia" w:ascii="宋体" w:hAnsi="宋体" w:cs="宋体"/>
                <w:b w:val="0"/>
                <w:color w:val="auto"/>
                <w:sz w:val="24"/>
                <w:szCs w:val="24"/>
                <w:highlight w:val="none"/>
                <w:lang w:eastAsia="zh-CN"/>
              </w:rPr>
              <w:t>★</w:t>
            </w:r>
            <w:r>
              <w:rPr>
                <w:rFonts w:hint="eastAsia" w:ascii="宋体" w:hAnsi="宋体" w:eastAsia="宋体" w:cs="宋体"/>
                <w:b w:val="0"/>
                <w:color w:val="auto"/>
                <w:sz w:val="24"/>
                <w:szCs w:val="24"/>
                <w:highlight w:val="none"/>
              </w:rPr>
              <w:t>项除外）的得33分；</w:t>
            </w:r>
            <w:r>
              <w:rPr>
                <w:rFonts w:hint="eastAsia" w:ascii="宋体" w:hAnsi="宋体" w:eastAsia="宋体" w:cs="宋体"/>
                <w:b w:val="0"/>
                <w:color w:val="auto"/>
                <w:sz w:val="24"/>
                <w:szCs w:val="24"/>
                <w:highlight w:val="none"/>
                <w:lang w:eastAsia="zh-CN"/>
              </w:rPr>
              <w:t>响应</w:t>
            </w:r>
            <w:r>
              <w:rPr>
                <w:rFonts w:hint="eastAsia" w:ascii="宋体" w:hAnsi="宋体" w:eastAsia="宋体" w:cs="宋体"/>
                <w:b w:val="0"/>
                <w:color w:val="auto"/>
                <w:sz w:val="24"/>
                <w:szCs w:val="24"/>
                <w:highlight w:val="none"/>
              </w:rPr>
              <w:t>内容的技术和服务指标低于</w:t>
            </w:r>
            <w:r>
              <w:rPr>
                <w:rFonts w:hint="eastAsia" w:ascii="宋体" w:hAnsi="宋体" w:eastAsia="宋体" w:cs="宋体"/>
                <w:b w:val="0"/>
                <w:color w:val="auto"/>
                <w:sz w:val="24"/>
                <w:szCs w:val="24"/>
                <w:highlight w:val="none"/>
                <w:lang w:eastAsia="zh-CN"/>
              </w:rPr>
              <w:t>采购文件</w:t>
            </w:r>
            <w:r>
              <w:rPr>
                <w:rFonts w:hint="eastAsia" w:ascii="宋体" w:hAnsi="宋体" w:eastAsia="宋体" w:cs="宋体"/>
                <w:b w:val="0"/>
                <w:color w:val="auto"/>
                <w:sz w:val="24"/>
                <w:szCs w:val="24"/>
                <w:highlight w:val="none"/>
              </w:rPr>
              <w:t>技术和服务要求的（负偏离），带▲号（共8项）每有1项扣</w:t>
            </w:r>
            <w:r>
              <w:rPr>
                <w:rFonts w:hint="eastAsia" w:ascii="宋体" w:hAnsi="宋体" w:eastAsia="宋体" w:cs="宋体"/>
                <w:b w:val="0"/>
                <w:color w:val="auto"/>
                <w:sz w:val="24"/>
                <w:szCs w:val="24"/>
                <w:highlight w:val="none"/>
                <w:lang w:val="en-US"/>
              </w:rPr>
              <w:t>3</w:t>
            </w:r>
            <w:r>
              <w:rPr>
                <w:rFonts w:hint="eastAsia" w:ascii="宋体" w:hAnsi="宋体" w:eastAsia="宋体" w:cs="宋体"/>
                <w:b w:val="0"/>
                <w:color w:val="auto"/>
                <w:sz w:val="24"/>
                <w:szCs w:val="24"/>
                <w:highlight w:val="none"/>
              </w:rPr>
              <w:t>分，未带▲号的（按数字序号为单位，以最小数字序号为1项，共9项）每有1项扣</w:t>
            </w:r>
            <w:r>
              <w:rPr>
                <w:rFonts w:hint="eastAsia" w:ascii="宋体" w:hAnsi="宋体" w:eastAsia="宋体" w:cs="宋体"/>
                <w:b w:val="0"/>
                <w:color w:val="auto"/>
                <w:sz w:val="24"/>
                <w:szCs w:val="24"/>
                <w:highlight w:val="none"/>
                <w:lang w:val="en-US"/>
              </w:rPr>
              <w:t>1</w:t>
            </w:r>
            <w:r>
              <w:rPr>
                <w:rFonts w:hint="eastAsia" w:ascii="宋体" w:hAnsi="宋体" w:eastAsia="宋体" w:cs="宋体"/>
                <w:b w:val="0"/>
                <w:color w:val="auto"/>
                <w:sz w:val="24"/>
                <w:szCs w:val="24"/>
                <w:highlight w:val="none"/>
              </w:rPr>
              <w:t>分，扣完为止。</w:t>
            </w:r>
          </w:p>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w:t>
            </w:r>
          </w:p>
          <w:p>
            <w:pPr>
              <w:pStyle w:val="45"/>
              <w:numPr>
                <w:ilvl w:val="0"/>
                <w:numId w:val="7"/>
              </w:numPr>
              <w:autoSpaceDN w:val="0"/>
              <w:ind w:left="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对“▲”条款的技术响应，</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需按照</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要求现场演示真实的系统（非PPT），演示所需的设备和网络环境由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自行负责搭建，完全符合每项功能的则满足要求，否则不予认定，直接扣分，未提供演示的不得分。</w:t>
            </w:r>
          </w:p>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2.针对一般条款的技术响应，如果</w:t>
            </w:r>
            <w:r>
              <w:rPr>
                <w:rFonts w:hint="eastAsia" w:ascii="宋体" w:hAnsi="宋体" w:eastAsia="宋体" w:cs="宋体"/>
                <w:b w:val="0"/>
                <w:color w:val="auto"/>
                <w:sz w:val="24"/>
                <w:szCs w:val="24"/>
                <w:highlight w:val="none"/>
                <w:lang w:eastAsia="zh-CN"/>
              </w:rPr>
              <w:t>采购文件</w:t>
            </w:r>
            <w:r>
              <w:rPr>
                <w:rFonts w:hint="eastAsia" w:ascii="宋体" w:hAnsi="宋体" w:eastAsia="宋体" w:cs="宋体"/>
                <w:b w:val="0"/>
                <w:color w:val="auto"/>
                <w:sz w:val="24"/>
                <w:szCs w:val="24"/>
                <w:highlight w:val="none"/>
              </w:rPr>
              <w:t>“技术服务要求”中技术参数条款对技术支撑材料有要求，应按要求提供，否则对应技术参数条款将视为不满足。</w:t>
            </w:r>
          </w:p>
        </w:tc>
        <w:tc>
          <w:tcPr>
            <w:tcW w:w="919"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01"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1357"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740"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5922"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进行课程服务所使用的人工智能教学平台软件具有软件著作权证书得6分，无不得分。（提供证书复印件加盖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公章）</w:t>
            </w:r>
          </w:p>
        </w:tc>
        <w:tc>
          <w:tcPr>
            <w:tcW w:w="919"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0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w:t>
            </w:r>
          </w:p>
        </w:tc>
        <w:tc>
          <w:tcPr>
            <w:tcW w:w="135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项目实施方案</w:t>
            </w:r>
          </w:p>
        </w:tc>
        <w:tc>
          <w:tcPr>
            <w:tcW w:w="740"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8</w:t>
            </w:r>
          </w:p>
        </w:tc>
        <w:tc>
          <w:tcPr>
            <w:tcW w:w="5922"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对</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提供的针对本项目的实施方案（包含但不限于课程体系、授课安排、教学平台和质量管理方案）进行评审：要素齐全且合理可行，得8分；</w:t>
            </w:r>
            <w:r>
              <w:rPr>
                <w:rFonts w:hint="eastAsia" w:ascii="宋体" w:hAnsi="宋体" w:eastAsia="宋体" w:cs="宋体"/>
                <w:b w:val="0"/>
                <w:color w:val="auto"/>
                <w:sz w:val="24"/>
                <w:szCs w:val="24"/>
                <w:highlight w:val="none"/>
              </w:rPr>
              <w:t>每有1项要素不全或存在明显不合理情况的扣2分。</w:t>
            </w:r>
          </w:p>
        </w:tc>
        <w:tc>
          <w:tcPr>
            <w:tcW w:w="919"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801"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w:t>
            </w:r>
          </w:p>
        </w:tc>
        <w:tc>
          <w:tcPr>
            <w:tcW w:w="1357"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实力</w:t>
            </w:r>
          </w:p>
        </w:tc>
        <w:tc>
          <w:tcPr>
            <w:tcW w:w="740"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11</w:t>
            </w:r>
          </w:p>
        </w:tc>
        <w:tc>
          <w:tcPr>
            <w:tcW w:w="5922" w:type="dxa"/>
            <w:vAlign w:val="center"/>
          </w:tcPr>
          <w:p>
            <w:pPr>
              <w:widowControl/>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拥有质量管理体系认证证书、环境管理体系认证证书、职业健康安全管理体系认证证书。每提供一个证书复印件并加盖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公章得2分，全部提供得6分。</w:t>
            </w:r>
          </w:p>
        </w:tc>
        <w:tc>
          <w:tcPr>
            <w:tcW w:w="919"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801"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1357"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740"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5922" w:type="dxa"/>
            <w:vAlign w:val="center"/>
          </w:tcPr>
          <w:p>
            <w:pPr>
              <w:widowControl/>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拥有自主研发并使用的人工智能学习云平台，且平台可提供播放教学视频、查看教学资源、丰富的习题库，在线编程环境、学情分析等功能,得5分，缺一项扣1分，扣完为止，无不得分。（需</w:t>
            </w:r>
            <w:r>
              <w:rPr>
                <w:rFonts w:hint="eastAsia" w:ascii="宋体" w:hAnsi="宋体" w:eastAsia="宋体" w:cs="宋体"/>
                <w:b w:val="0"/>
                <w:color w:val="auto"/>
                <w:sz w:val="24"/>
                <w:szCs w:val="24"/>
                <w:highlight w:val="none"/>
              </w:rPr>
              <w:t>提供网站链接</w:t>
            </w:r>
            <w:r>
              <w:rPr>
                <w:rFonts w:hint="eastAsia" w:ascii="宋体" w:hAnsi="宋体" w:eastAsia="宋体" w:cs="宋体"/>
                <w:b w:val="0"/>
                <w:color w:val="auto"/>
                <w:sz w:val="24"/>
                <w:szCs w:val="24"/>
                <w:highlight w:val="none"/>
              </w:rPr>
              <w:t>和截图并加盖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鲜章）</w:t>
            </w:r>
          </w:p>
        </w:tc>
        <w:tc>
          <w:tcPr>
            <w:tcW w:w="919"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801"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w:t>
            </w:r>
          </w:p>
        </w:tc>
        <w:tc>
          <w:tcPr>
            <w:tcW w:w="1357"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履约能力</w:t>
            </w:r>
          </w:p>
        </w:tc>
        <w:tc>
          <w:tcPr>
            <w:tcW w:w="740"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21</w:t>
            </w:r>
          </w:p>
        </w:tc>
        <w:tc>
          <w:tcPr>
            <w:tcW w:w="5922" w:type="dxa"/>
            <w:vAlign w:val="center"/>
          </w:tcPr>
          <w:p>
            <w:pPr>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2018年1月1日以后（含1日）类似服务项目业绩：每具有一个项目业绩得2分，最多12分，无不得分。（需提供合同复</w:t>
            </w:r>
            <w:r>
              <w:rPr>
                <w:rFonts w:hint="eastAsia" w:ascii="宋体" w:hAnsi="宋体" w:eastAsia="宋体" w:cs="宋体"/>
                <w:b w:val="0"/>
                <w:color w:val="auto"/>
                <w:sz w:val="24"/>
                <w:szCs w:val="24"/>
                <w:highlight w:val="none"/>
              </w:rPr>
              <w:t>印件和用户方对</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的服务评价为满意的证明材料，证明材料需加盖用户方公章并注明用户方联系电话，否则不</w:t>
            </w:r>
            <w:r>
              <w:rPr>
                <w:rFonts w:hint="eastAsia" w:ascii="宋体" w:hAnsi="宋体" w:eastAsia="宋体" w:cs="宋体"/>
                <w:b w:val="0"/>
                <w:color w:val="auto"/>
                <w:sz w:val="24"/>
                <w:szCs w:val="24"/>
                <w:highlight w:val="none"/>
              </w:rPr>
              <w:t>予认定）。</w:t>
            </w:r>
          </w:p>
        </w:tc>
        <w:tc>
          <w:tcPr>
            <w:tcW w:w="919"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01"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1357"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740"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5922" w:type="dxa"/>
            <w:vAlign w:val="center"/>
          </w:tcPr>
          <w:p>
            <w:pPr>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自有开展人工智能课程教学师资的，每有1个得1分，最多得7分，无不得分。（提供教师名单，教师资格证复印件及教师为</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员工的证明材料并加盖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鲜章。）</w:t>
            </w:r>
          </w:p>
        </w:tc>
        <w:tc>
          <w:tcPr>
            <w:tcW w:w="919"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801"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1357"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740"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5922" w:type="dxa"/>
            <w:vAlign w:val="center"/>
          </w:tcPr>
          <w:p>
            <w:pPr>
              <w:widowControl/>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为本项目提供的项目团队核心成员参与编写过人工智能教育方面的中小学教材（为编写成员）得2分，无不得分。</w:t>
            </w:r>
          </w:p>
          <w:p>
            <w:pPr>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项目团队核心成员需为</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本单位人员，须提供在</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处的任职证明材料，以上各项内容中要求提供的证明材料均须复印件并加盖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鲜章。</w:t>
            </w:r>
          </w:p>
        </w:tc>
        <w:tc>
          <w:tcPr>
            <w:tcW w:w="919"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0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w:t>
            </w:r>
          </w:p>
        </w:tc>
        <w:tc>
          <w:tcPr>
            <w:tcW w:w="135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政策扶持</w:t>
            </w:r>
          </w:p>
        </w:tc>
        <w:tc>
          <w:tcPr>
            <w:tcW w:w="740"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p>
        </w:tc>
        <w:tc>
          <w:tcPr>
            <w:tcW w:w="5922"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属于经济不发达地区或少数民族地区的得1分。（提供相关证明文件，不提供不得分）</w:t>
            </w:r>
          </w:p>
        </w:tc>
        <w:tc>
          <w:tcPr>
            <w:tcW w:w="919"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bl>
    <w:p>
      <w:pPr>
        <w:pStyle w:val="60"/>
        <w:spacing w:line="240" w:lineRule="auto"/>
        <w:rPr>
          <w:rFonts w:hint="eastAsia" w:ascii="宋体" w:hAnsi="宋体" w:eastAsia="宋体" w:cs="宋体"/>
          <w:b/>
          <w:bCs/>
          <w:color w:val="000000"/>
          <w:sz w:val="21"/>
          <w:szCs w:val="21"/>
          <w:highlight w:val="none"/>
          <w:lang w:eastAsia="zh-CN"/>
        </w:rPr>
      </w:pPr>
    </w:p>
    <w:p>
      <w:pPr>
        <w:pStyle w:val="60"/>
        <w:spacing w:line="240" w:lineRule="auto"/>
        <w:rPr>
          <w:rFonts w:hint="eastAsia" w:ascii="宋体" w:hAnsi="宋体" w:eastAsia="宋体" w:cs="宋体"/>
          <w:b/>
          <w:bCs/>
          <w:color w:val="000000"/>
          <w:sz w:val="21"/>
          <w:szCs w:val="21"/>
          <w:highlight w:val="none"/>
          <w:lang w:eastAsia="zh-CN"/>
        </w:rPr>
      </w:pPr>
    </w:p>
    <w:p>
      <w:pPr>
        <w:pStyle w:val="60"/>
        <w:spacing w:line="240" w:lineRule="auto"/>
        <w:rPr>
          <w:rFonts w:hint="eastAsia" w:ascii="宋体" w:hAnsi="宋体" w:eastAsia="宋体" w:cs="宋体"/>
          <w:b/>
          <w:bCs/>
          <w:color w:val="000000"/>
          <w:sz w:val="21"/>
          <w:szCs w:val="21"/>
          <w:highlight w:val="none"/>
          <w:lang w:eastAsia="zh-CN"/>
        </w:rPr>
      </w:pPr>
    </w:p>
    <w:p>
      <w:pPr>
        <w:pStyle w:val="60"/>
        <w:spacing w:line="240" w:lineRule="auto"/>
        <w:rPr>
          <w:rFonts w:hint="eastAsia" w:ascii="宋体" w:hAnsi="宋体" w:eastAsia="宋体" w:cs="宋体"/>
          <w:b/>
          <w:bCs/>
          <w:color w:val="000000"/>
          <w:sz w:val="21"/>
          <w:szCs w:val="21"/>
          <w:highlight w:val="none"/>
          <w:lang w:eastAsia="zh-CN"/>
        </w:rPr>
      </w:pPr>
    </w:p>
    <w:p>
      <w:pPr>
        <w:pStyle w:val="60"/>
        <w:spacing w:line="240" w:lineRule="auto"/>
        <w:rPr>
          <w:rFonts w:hint="eastAsia" w:ascii="宋体" w:hAnsi="宋体" w:eastAsia="宋体" w:cs="宋体"/>
          <w:b/>
          <w:bCs/>
          <w:color w:val="000000"/>
          <w:sz w:val="21"/>
          <w:szCs w:val="21"/>
          <w:highlight w:val="none"/>
          <w:lang w:eastAsia="zh-CN"/>
        </w:rPr>
      </w:pPr>
    </w:p>
    <w:p>
      <w:pPr>
        <w:pStyle w:val="60"/>
        <w:spacing w:line="240" w:lineRule="auto"/>
        <w:rPr>
          <w:rFonts w:hint="eastAsia" w:ascii="宋体" w:hAnsi="宋体" w:eastAsia="宋体" w:cs="宋体"/>
          <w:b/>
          <w:bCs/>
          <w:color w:val="000000"/>
          <w:sz w:val="21"/>
          <w:szCs w:val="21"/>
          <w:highlight w:val="none"/>
          <w:lang w:eastAsia="zh-CN"/>
        </w:rPr>
      </w:pPr>
    </w:p>
    <w:p>
      <w:pPr>
        <w:pStyle w:val="60"/>
        <w:spacing w:line="240" w:lineRule="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eastAsia="zh-CN"/>
        </w:rPr>
        <w:t>包</w:t>
      </w:r>
      <w:r>
        <w:rPr>
          <w:rFonts w:hint="eastAsia" w:ascii="宋体" w:hAnsi="宋体" w:eastAsia="宋体" w:cs="宋体"/>
          <w:b/>
          <w:bCs/>
          <w:color w:val="000000"/>
          <w:sz w:val="21"/>
          <w:szCs w:val="21"/>
          <w:highlight w:val="none"/>
          <w:lang w:val="en-US" w:eastAsia="zh-CN"/>
        </w:rPr>
        <w:t>2</w:t>
      </w:r>
    </w:p>
    <w:tbl>
      <w:tblPr>
        <w:tblStyle w:val="28"/>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75"/>
        <w:gridCol w:w="741"/>
        <w:gridCol w:w="607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4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序号</w:t>
            </w:r>
          </w:p>
        </w:tc>
        <w:tc>
          <w:tcPr>
            <w:tcW w:w="127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评审项目</w:t>
            </w:r>
          </w:p>
        </w:tc>
        <w:tc>
          <w:tcPr>
            <w:tcW w:w="741"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分值</w:t>
            </w:r>
          </w:p>
        </w:tc>
        <w:tc>
          <w:tcPr>
            <w:tcW w:w="607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评分标准</w:t>
            </w:r>
          </w:p>
        </w:tc>
        <w:tc>
          <w:tcPr>
            <w:tcW w:w="1050"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4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p>
        </w:tc>
        <w:tc>
          <w:tcPr>
            <w:tcW w:w="127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报价</w:t>
            </w:r>
          </w:p>
        </w:tc>
        <w:tc>
          <w:tcPr>
            <w:tcW w:w="741"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17</w:t>
            </w:r>
          </w:p>
        </w:tc>
        <w:tc>
          <w:tcPr>
            <w:tcW w:w="6075"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以满足磋商文件要求且最后有效报价最低的供应商的价格为基准价，其价格分为满分</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其他供应商的价格分统一按照下列公式计算：报价得分=（基准价/报价）</w:t>
            </w:r>
            <w:r>
              <w:rPr>
                <w:rFonts w:hint="eastAsia" w:ascii="宋体" w:hAnsi="宋体" w:eastAsia="宋体" w:cs="宋体"/>
                <w:b w:val="0"/>
                <w:color w:val="auto"/>
                <w:sz w:val="24"/>
                <w:szCs w:val="24"/>
                <w:highlight w:val="none"/>
                <w:lang w:val="en-US" w:eastAsia="zh-CN"/>
              </w:rPr>
              <w:t>*</w:t>
            </w:r>
            <w:r>
              <w:rPr>
                <w:rFonts w:hint="eastAsia" w:ascii="宋体" w:hAnsi="宋体" w:eastAsia="宋体" w:cs="宋体"/>
                <w:b w:val="0"/>
                <w:color w:val="auto"/>
                <w:sz w:val="24"/>
                <w:szCs w:val="24"/>
                <w:highlight w:val="none"/>
              </w:rPr>
              <w:t xml:space="preserve"> 17分。</w:t>
            </w:r>
          </w:p>
        </w:tc>
        <w:tc>
          <w:tcPr>
            <w:tcW w:w="1050"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6" w:hRule="atLeast"/>
          <w:jc w:val="center"/>
        </w:trPr>
        <w:tc>
          <w:tcPr>
            <w:tcW w:w="94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w:t>
            </w:r>
          </w:p>
        </w:tc>
        <w:tc>
          <w:tcPr>
            <w:tcW w:w="127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技术及服务综合情况</w:t>
            </w:r>
          </w:p>
        </w:tc>
        <w:tc>
          <w:tcPr>
            <w:tcW w:w="741"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44</w:t>
            </w:r>
          </w:p>
        </w:tc>
        <w:tc>
          <w:tcPr>
            <w:tcW w:w="6075"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完全满足服务要求（</w:t>
            </w:r>
            <w:r>
              <w:rPr>
                <w:rFonts w:hint="eastAsia" w:ascii="宋体" w:hAnsi="宋体" w:cs="宋体"/>
                <w:b w:val="0"/>
                <w:color w:val="auto"/>
                <w:sz w:val="24"/>
                <w:szCs w:val="24"/>
                <w:highlight w:val="none"/>
                <w:lang w:eastAsia="zh-CN"/>
              </w:rPr>
              <w:t>★</w:t>
            </w:r>
            <w:r>
              <w:rPr>
                <w:rFonts w:hint="eastAsia" w:ascii="宋体" w:hAnsi="宋体" w:eastAsia="宋体" w:cs="宋体"/>
                <w:b w:val="0"/>
                <w:color w:val="auto"/>
                <w:sz w:val="24"/>
                <w:szCs w:val="24"/>
                <w:highlight w:val="none"/>
              </w:rPr>
              <w:t>项除外）的得34分；</w:t>
            </w:r>
            <w:r>
              <w:rPr>
                <w:rFonts w:hint="eastAsia" w:ascii="宋体" w:hAnsi="宋体" w:eastAsia="宋体" w:cs="宋体"/>
                <w:b w:val="0"/>
                <w:color w:val="auto"/>
                <w:sz w:val="24"/>
                <w:szCs w:val="24"/>
                <w:highlight w:val="none"/>
                <w:lang w:eastAsia="zh-CN"/>
              </w:rPr>
              <w:t>响应</w:t>
            </w:r>
            <w:r>
              <w:rPr>
                <w:rFonts w:hint="eastAsia" w:ascii="宋体" w:hAnsi="宋体" w:eastAsia="宋体" w:cs="宋体"/>
                <w:b w:val="0"/>
                <w:color w:val="auto"/>
                <w:sz w:val="24"/>
                <w:szCs w:val="24"/>
                <w:highlight w:val="none"/>
              </w:rPr>
              <w:t>内容的技术和服务指标低于</w:t>
            </w:r>
            <w:r>
              <w:rPr>
                <w:rFonts w:hint="eastAsia" w:ascii="宋体" w:hAnsi="宋体" w:eastAsia="宋体" w:cs="宋体"/>
                <w:b w:val="0"/>
                <w:color w:val="auto"/>
                <w:sz w:val="24"/>
                <w:szCs w:val="24"/>
                <w:highlight w:val="none"/>
                <w:lang w:eastAsia="zh-CN"/>
              </w:rPr>
              <w:t>采购文件</w:t>
            </w:r>
            <w:r>
              <w:rPr>
                <w:rFonts w:hint="eastAsia" w:ascii="宋体" w:hAnsi="宋体" w:eastAsia="宋体" w:cs="宋体"/>
                <w:b w:val="0"/>
                <w:color w:val="auto"/>
                <w:sz w:val="24"/>
                <w:szCs w:val="24"/>
                <w:highlight w:val="none"/>
              </w:rPr>
              <w:t>技术和服务要求的（负偏离），带▲号（共8项）每有1项扣</w:t>
            </w:r>
            <w:r>
              <w:rPr>
                <w:rFonts w:hint="eastAsia" w:ascii="宋体" w:hAnsi="宋体" w:eastAsia="宋体" w:cs="宋体"/>
                <w:b w:val="0"/>
                <w:color w:val="auto"/>
                <w:sz w:val="24"/>
                <w:szCs w:val="24"/>
                <w:highlight w:val="none"/>
                <w:lang w:val="en-US"/>
              </w:rPr>
              <w:t>3</w:t>
            </w:r>
            <w:r>
              <w:rPr>
                <w:rFonts w:hint="eastAsia" w:ascii="宋体" w:hAnsi="宋体" w:eastAsia="宋体" w:cs="宋体"/>
                <w:b w:val="0"/>
                <w:color w:val="auto"/>
                <w:sz w:val="24"/>
                <w:szCs w:val="24"/>
                <w:highlight w:val="none"/>
              </w:rPr>
              <w:t>分，未带▲号的（按数字序号为单位，以最小数字序号为1项，共20项）每有1项扣</w:t>
            </w:r>
            <w:r>
              <w:rPr>
                <w:rFonts w:hint="eastAsia" w:ascii="宋体" w:hAnsi="宋体" w:eastAsia="宋体" w:cs="宋体"/>
                <w:b w:val="0"/>
                <w:color w:val="auto"/>
                <w:sz w:val="24"/>
                <w:szCs w:val="24"/>
                <w:highlight w:val="none"/>
                <w:lang w:val="en-US"/>
              </w:rPr>
              <w:t>1</w:t>
            </w:r>
            <w:r>
              <w:rPr>
                <w:rFonts w:hint="eastAsia" w:ascii="宋体" w:hAnsi="宋体" w:eastAsia="宋体" w:cs="宋体"/>
                <w:b w:val="0"/>
                <w:color w:val="auto"/>
                <w:sz w:val="24"/>
                <w:szCs w:val="24"/>
                <w:highlight w:val="none"/>
              </w:rPr>
              <w:t>分，扣完为止。</w:t>
            </w:r>
          </w:p>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注：1.对“▲”条款的技术响应，</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需按照</w:t>
            </w:r>
            <w:r>
              <w:rPr>
                <w:rFonts w:hint="eastAsia" w:ascii="宋体" w:hAnsi="宋体" w:eastAsia="宋体" w:cs="宋体"/>
                <w:b w:val="0"/>
                <w:color w:val="auto"/>
                <w:sz w:val="24"/>
                <w:szCs w:val="24"/>
                <w:highlight w:val="none"/>
                <w:lang w:eastAsia="zh-CN"/>
              </w:rPr>
              <w:t>采购文件</w:t>
            </w:r>
            <w:r>
              <w:rPr>
                <w:rFonts w:hint="eastAsia" w:ascii="宋体" w:hAnsi="宋体" w:eastAsia="宋体" w:cs="宋体"/>
                <w:b w:val="0"/>
                <w:color w:val="auto"/>
                <w:sz w:val="24"/>
                <w:szCs w:val="24"/>
                <w:highlight w:val="none"/>
              </w:rPr>
              <w:t>要求现场演示真实的系统（非PPT），演示所需的设备和网络环境由</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自行负责搭建，完全符合每项功能的则满足要求，否则不予认定，直接扣分。</w:t>
            </w:r>
          </w:p>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2.针对一般条款的技术响应，如果</w:t>
            </w:r>
            <w:r>
              <w:rPr>
                <w:rFonts w:hint="eastAsia" w:ascii="宋体" w:hAnsi="宋体" w:eastAsia="宋体" w:cs="宋体"/>
                <w:b w:val="0"/>
                <w:color w:val="auto"/>
                <w:sz w:val="24"/>
                <w:szCs w:val="24"/>
                <w:highlight w:val="none"/>
                <w:lang w:eastAsia="zh-CN"/>
              </w:rPr>
              <w:t>采购文件</w:t>
            </w:r>
            <w:r>
              <w:rPr>
                <w:rFonts w:hint="eastAsia" w:ascii="宋体" w:hAnsi="宋体" w:eastAsia="宋体" w:cs="宋体"/>
                <w:b w:val="0"/>
                <w:color w:val="auto"/>
                <w:sz w:val="24"/>
                <w:szCs w:val="24"/>
                <w:highlight w:val="none"/>
              </w:rPr>
              <w:t>“技术服务要求”中</w:t>
            </w:r>
            <w:r>
              <w:rPr>
                <w:rFonts w:hint="eastAsia" w:ascii="宋体" w:hAnsi="宋体" w:eastAsia="宋体" w:cs="宋体"/>
                <w:b w:val="0"/>
                <w:color w:val="auto"/>
                <w:sz w:val="24"/>
                <w:szCs w:val="24"/>
                <w:highlight w:val="none"/>
                <w:lang w:eastAsia="zh-CN"/>
              </w:rPr>
              <w:t>技术</w:t>
            </w:r>
            <w:r>
              <w:rPr>
                <w:rFonts w:hint="eastAsia" w:ascii="宋体" w:hAnsi="宋体" w:eastAsia="宋体" w:cs="宋体"/>
                <w:b w:val="0"/>
                <w:color w:val="auto"/>
                <w:sz w:val="24"/>
                <w:szCs w:val="24"/>
                <w:highlight w:val="none"/>
              </w:rPr>
              <w:t>条款对技术支撑材料有要求，应按要求提供，否则对应技术</w:t>
            </w:r>
            <w:r>
              <w:rPr>
                <w:rFonts w:hint="eastAsia" w:ascii="宋体" w:hAnsi="宋体" w:eastAsia="宋体" w:cs="宋体"/>
                <w:b w:val="0"/>
                <w:color w:val="auto"/>
                <w:sz w:val="24"/>
                <w:szCs w:val="24"/>
                <w:highlight w:val="none"/>
                <w:lang w:eastAsia="zh-CN"/>
              </w:rPr>
              <w:t>服务</w:t>
            </w:r>
            <w:r>
              <w:rPr>
                <w:rFonts w:hint="eastAsia" w:ascii="宋体" w:hAnsi="宋体" w:eastAsia="宋体" w:cs="宋体"/>
                <w:b w:val="0"/>
                <w:color w:val="auto"/>
                <w:sz w:val="24"/>
                <w:szCs w:val="24"/>
                <w:highlight w:val="none"/>
              </w:rPr>
              <w:t>条款将视为不满足。</w:t>
            </w:r>
          </w:p>
        </w:tc>
        <w:tc>
          <w:tcPr>
            <w:tcW w:w="1050"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94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w:t>
            </w:r>
          </w:p>
        </w:tc>
        <w:tc>
          <w:tcPr>
            <w:tcW w:w="127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项目实施方案</w:t>
            </w:r>
          </w:p>
        </w:tc>
        <w:tc>
          <w:tcPr>
            <w:tcW w:w="741"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8</w:t>
            </w:r>
          </w:p>
        </w:tc>
        <w:tc>
          <w:tcPr>
            <w:tcW w:w="6075"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对</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提供的针对本项目的实施方案（包含但不限于课程体系、授课安排、教学平台和质量管理方案）进行评审：要素齐全且合理可行，得8分；每有1项要素不全或存在明显不合理情况的扣2分。</w:t>
            </w:r>
          </w:p>
        </w:tc>
        <w:tc>
          <w:tcPr>
            <w:tcW w:w="1050"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94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w:t>
            </w:r>
          </w:p>
        </w:tc>
        <w:tc>
          <w:tcPr>
            <w:tcW w:w="127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实力</w:t>
            </w:r>
          </w:p>
        </w:tc>
        <w:tc>
          <w:tcPr>
            <w:tcW w:w="741"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w:t>
            </w:r>
          </w:p>
        </w:tc>
        <w:tc>
          <w:tcPr>
            <w:tcW w:w="6075"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拥有质量管理体系认证证书、环境管理体系认证证书、职业健康安全管理体系认证证书。每提供一个证书复印件并加盖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公章得2分，全部提供得6分。</w:t>
            </w:r>
          </w:p>
        </w:tc>
        <w:tc>
          <w:tcPr>
            <w:tcW w:w="1050"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945" w:type="dxa"/>
            <w:vMerge w:val="restart"/>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w:t>
            </w:r>
          </w:p>
        </w:tc>
        <w:tc>
          <w:tcPr>
            <w:tcW w:w="1275" w:type="dxa"/>
            <w:vMerge w:val="restart"/>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履约能力</w:t>
            </w:r>
          </w:p>
        </w:tc>
        <w:tc>
          <w:tcPr>
            <w:tcW w:w="741" w:type="dxa"/>
            <w:vMerge w:val="restart"/>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24</w:t>
            </w:r>
          </w:p>
        </w:tc>
        <w:tc>
          <w:tcPr>
            <w:tcW w:w="6075"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2018年1月1日以后（含1日）类似服务项目业绩：每具有一个项目业绩得2分，最多12分，无不得分。（需提供合同复印件和用户方对</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的服务评价为满意的证明材料，证明材料需加盖用户方公章并注明用户方联系电话，否则不予认定）。</w:t>
            </w:r>
          </w:p>
        </w:tc>
        <w:tc>
          <w:tcPr>
            <w:tcW w:w="1050" w:type="dxa"/>
            <w:vMerge w:val="restart"/>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945" w:type="dxa"/>
            <w:vMerge w:val="continue"/>
            <w:vAlign w:val="center"/>
          </w:tcPr>
          <w:p>
            <w:pPr>
              <w:autoSpaceDN w:val="0"/>
              <w:ind w:firstLine="0" w:firstLineChars="0"/>
              <w:jc w:val="center"/>
              <w:rPr>
                <w:rFonts w:hint="eastAsia" w:ascii="宋体" w:hAnsi="宋体" w:eastAsia="宋体" w:cs="宋体"/>
                <w:b w:val="0"/>
                <w:color w:val="auto"/>
                <w:sz w:val="24"/>
                <w:szCs w:val="24"/>
                <w:highlight w:val="none"/>
              </w:rPr>
            </w:pPr>
          </w:p>
        </w:tc>
        <w:tc>
          <w:tcPr>
            <w:tcW w:w="1275" w:type="dxa"/>
            <w:vMerge w:val="continue"/>
            <w:vAlign w:val="center"/>
          </w:tcPr>
          <w:p>
            <w:pPr>
              <w:autoSpaceDN w:val="0"/>
              <w:ind w:firstLine="0" w:firstLineChars="0"/>
              <w:jc w:val="center"/>
              <w:rPr>
                <w:rFonts w:hint="eastAsia" w:ascii="宋体" w:hAnsi="宋体" w:eastAsia="宋体" w:cs="宋体"/>
                <w:b w:val="0"/>
                <w:color w:val="auto"/>
                <w:sz w:val="24"/>
                <w:szCs w:val="24"/>
                <w:highlight w:val="none"/>
              </w:rPr>
            </w:pPr>
          </w:p>
        </w:tc>
        <w:tc>
          <w:tcPr>
            <w:tcW w:w="741" w:type="dxa"/>
            <w:vMerge w:val="continue"/>
            <w:vAlign w:val="center"/>
          </w:tcPr>
          <w:p>
            <w:pPr>
              <w:autoSpaceDN w:val="0"/>
              <w:ind w:firstLine="0" w:firstLineChars="0"/>
              <w:jc w:val="center"/>
              <w:rPr>
                <w:rFonts w:hint="eastAsia" w:ascii="宋体" w:hAnsi="宋体" w:eastAsia="宋体" w:cs="宋体"/>
                <w:b w:val="0"/>
                <w:color w:val="auto"/>
                <w:sz w:val="24"/>
                <w:szCs w:val="24"/>
                <w:highlight w:val="none"/>
              </w:rPr>
            </w:pPr>
          </w:p>
        </w:tc>
        <w:tc>
          <w:tcPr>
            <w:tcW w:w="6075" w:type="dxa"/>
            <w:vAlign w:val="center"/>
          </w:tcPr>
          <w:p>
            <w:pPr>
              <w:pageBreakBefore w:val="0"/>
              <w:widowControl w:val="0"/>
              <w:kinsoku/>
              <w:wordWrap/>
              <w:overflowPunct/>
              <w:topLinePunct w:val="0"/>
              <w:autoSpaceDE/>
              <w:autoSpaceDN w:val="0"/>
              <w:bidi w:val="0"/>
              <w:adjustRightInd/>
              <w:snapToGrid/>
              <w:spacing w:line="240" w:lineRule="auto"/>
              <w:ind w:firstLine="0" w:firstLineChars="0"/>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自有开展人工智能课程教学师资的，每有1个得1分，最多得7分，无不得分。（提供教师名单，教师资格证复印件及教师为</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员工的证明材料并加盖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鲜章。）</w:t>
            </w:r>
          </w:p>
        </w:tc>
        <w:tc>
          <w:tcPr>
            <w:tcW w:w="1050" w:type="dxa"/>
            <w:vMerge w:val="continue"/>
          </w:tcPr>
          <w:p>
            <w:pPr>
              <w:autoSpaceDN w:val="0"/>
              <w:ind w:firstLine="0" w:firstLineChars="0"/>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945" w:type="dxa"/>
            <w:vMerge w:val="continue"/>
            <w:vAlign w:val="center"/>
          </w:tcPr>
          <w:p>
            <w:pPr>
              <w:autoSpaceDN w:val="0"/>
              <w:ind w:firstLine="0" w:firstLineChars="0"/>
              <w:jc w:val="center"/>
              <w:rPr>
                <w:rFonts w:hint="eastAsia" w:ascii="宋体" w:hAnsi="宋体" w:eastAsia="宋体" w:cs="宋体"/>
                <w:b w:val="0"/>
                <w:color w:val="auto"/>
                <w:sz w:val="24"/>
                <w:szCs w:val="24"/>
                <w:highlight w:val="none"/>
              </w:rPr>
            </w:pPr>
          </w:p>
        </w:tc>
        <w:tc>
          <w:tcPr>
            <w:tcW w:w="1275" w:type="dxa"/>
            <w:vMerge w:val="continue"/>
            <w:vAlign w:val="center"/>
          </w:tcPr>
          <w:p>
            <w:pPr>
              <w:autoSpaceDN w:val="0"/>
              <w:ind w:firstLine="0" w:firstLineChars="0"/>
              <w:jc w:val="center"/>
              <w:rPr>
                <w:rFonts w:hint="eastAsia" w:ascii="宋体" w:hAnsi="宋体" w:eastAsia="宋体" w:cs="宋体"/>
                <w:b w:val="0"/>
                <w:color w:val="auto"/>
                <w:sz w:val="24"/>
                <w:szCs w:val="24"/>
                <w:highlight w:val="none"/>
              </w:rPr>
            </w:pPr>
          </w:p>
        </w:tc>
        <w:tc>
          <w:tcPr>
            <w:tcW w:w="741" w:type="dxa"/>
            <w:vMerge w:val="continue"/>
            <w:vAlign w:val="center"/>
          </w:tcPr>
          <w:p>
            <w:pPr>
              <w:autoSpaceDN w:val="0"/>
              <w:ind w:firstLine="0" w:firstLineChars="0"/>
              <w:jc w:val="center"/>
              <w:rPr>
                <w:rFonts w:hint="eastAsia" w:ascii="宋体" w:hAnsi="宋体" w:eastAsia="宋体" w:cs="宋体"/>
                <w:b w:val="0"/>
                <w:color w:val="auto"/>
                <w:sz w:val="24"/>
                <w:szCs w:val="24"/>
                <w:highlight w:val="none"/>
              </w:rPr>
            </w:pPr>
          </w:p>
        </w:tc>
        <w:tc>
          <w:tcPr>
            <w:tcW w:w="6075" w:type="dxa"/>
            <w:vAlign w:val="center"/>
          </w:tcPr>
          <w:p>
            <w:pPr>
              <w:pStyle w:val="3"/>
              <w:keepNext/>
              <w:keepLines/>
              <w:pageBreakBefore w:val="0"/>
              <w:widowControl w:val="0"/>
              <w:numPr>
                <w:ilvl w:val="0"/>
                <w:numId w:val="0"/>
              </w:numPr>
              <w:tabs>
                <w:tab w:val="left" w:pos="709"/>
              </w:tabs>
              <w:kinsoku/>
              <w:wordWrap/>
              <w:overflowPunct/>
              <w:topLinePunct w:val="0"/>
              <w:autoSpaceDE/>
              <w:autoSpaceDN w:val="0"/>
              <w:bidi w:val="0"/>
              <w:adjustRightInd/>
              <w:snapToGrid/>
              <w:spacing w:line="240" w:lineRule="auto"/>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供应商</w:t>
            </w:r>
            <w:r>
              <w:rPr>
                <w:rFonts w:hint="eastAsia" w:ascii="宋体" w:hAnsi="宋体" w:eastAsia="宋体" w:cs="宋体"/>
                <w:kern w:val="0"/>
                <w:sz w:val="24"/>
                <w:szCs w:val="24"/>
                <w:highlight w:val="none"/>
              </w:rPr>
              <w:t>拥有自主研发并使用的编程教育云平台，提供平台软件著作权证书得5分，无不得分。（提供证书复印件加盖</w:t>
            </w:r>
            <w:r>
              <w:rPr>
                <w:rFonts w:hint="eastAsia" w:ascii="宋体" w:hAnsi="宋体" w:eastAsia="宋体" w:cs="宋体"/>
                <w:kern w:val="0"/>
                <w:sz w:val="24"/>
                <w:szCs w:val="24"/>
                <w:highlight w:val="none"/>
                <w:lang w:eastAsia="zh-CN"/>
              </w:rPr>
              <w:t>供应商</w:t>
            </w:r>
            <w:r>
              <w:rPr>
                <w:rFonts w:hint="eastAsia" w:ascii="宋体" w:hAnsi="宋体" w:eastAsia="宋体" w:cs="宋体"/>
                <w:kern w:val="0"/>
                <w:sz w:val="24"/>
                <w:szCs w:val="24"/>
                <w:highlight w:val="none"/>
              </w:rPr>
              <w:t>公章）</w:t>
            </w:r>
          </w:p>
        </w:tc>
        <w:tc>
          <w:tcPr>
            <w:tcW w:w="1050" w:type="dxa"/>
            <w:vMerge w:val="continue"/>
          </w:tcPr>
          <w:p>
            <w:pPr>
              <w:autoSpaceDN w:val="0"/>
              <w:ind w:firstLine="0" w:firstLineChars="0"/>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4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w:t>
            </w:r>
          </w:p>
        </w:tc>
        <w:tc>
          <w:tcPr>
            <w:tcW w:w="1275"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政策扶持</w:t>
            </w:r>
          </w:p>
        </w:tc>
        <w:tc>
          <w:tcPr>
            <w:tcW w:w="741"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p>
        </w:tc>
        <w:tc>
          <w:tcPr>
            <w:tcW w:w="6075"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属于经济不发达地区或少数民族地区的得1分。（提供相关证明文件，不提供不得分）</w:t>
            </w:r>
          </w:p>
        </w:tc>
        <w:tc>
          <w:tcPr>
            <w:tcW w:w="1050" w:type="dxa"/>
            <w:vAlign w:val="center"/>
          </w:tcPr>
          <w:p>
            <w:pPr>
              <w:autoSpaceDN w:val="0"/>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bl>
    <w:p>
      <w:pPr>
        <w:pStyle w:val="60"/>
        <w:spacing w:line="240" w:lineRule="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eastAsia="zh-CN"/>
        </w:rPr>
        <w:t>包</w:t>
      </w:r>
      <w:r>
        <w:rPr>
          <w:rFonts w:hint="eastAsia" w:ascii="宋体" w:hAnsi="宋体" w:eastAsia="宋体" w:cs="宋体"/>
          <w:b/>
          <w:bCs/>
          <w:color w:val="000000"/>
          <w:sz w:val="21"/>
          <w:szCs w:val="21"/>
          <w:highlight w:val="none"/>
          <w:lang w:val="en-US" w:eastAsia="zh-CN"/>
        </w:rPr>
        <w:t>3</w:t>
      </w:r>
    </w:p>
    <w:tbl>
      <w:tblPr>
        <w:tblStyle w:val="28"/>
        <w:tblpPr w:leftFromText="180" w:rightFromText="180" w:vertAnchor="text" w:horzAnchor="page" w:tblpXSpec="center" w:tblpY="605"/>
        <w:tblOverlap w:val="never"/>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351"/>
        <w:gridCol w:w="737"/>
        <w:gridCol w:w="589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98"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序号</w:t>
            </w:r>
          </w:p>
        </w:tc>
        <w:tc>
          <w:tcPr>
            <w:tcW w:w="135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评审项目</w:t>
            </w:r>
          </w:p>
        </w:tc>
        <w:tc>
          <w:tcPr>
            <w:tcW w:w="73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分值</w:t>
            </w:r>
          </w:p>
        </w:tc>
        <w:tc>
          <w:tcPr>
            <w:tcW w:w="589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评分标准</w:t>
            </w:r>
          </w:p>
        </w:tc>
        <w:tc>
          <w:tcPr>
            <w:tcW w:w="915"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98"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p>
        </w:tc>
        <w:tc>
          <w:tcPr>
            <w:tcW w:w="135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投标报价</w:t>
            </w:r>
          </w:p>
        </w:tc>
        <w:tc>
          <w:tcPr>
            <w:tcW w:w="73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22</w:t>
            </w:r>
          </w:p>
        </w:tc>
        <w:tc>
          <w:tcPr>
            <w:tcW w:w="5897"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以满足磋商文件要求且最后有效报价最低的供应商的价格为基准价，其价格分为满分</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其他供应商的价格分统一按照下列公式计算：报价得分=（基准价/报价）* 22分。</w:t>
            </w:r>
          </w:p>
        </w:tc>
        <w:tc>
          <w:tcPr>
            <w:tcW w:w="915"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98"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w:t>
            </w:r>
          </w:p>
        </w:tc>
        <w:tc>
          <w:tcPr>
            <w:tcW w:w="135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技术及服务综合情况</w:t>
            </w:r>
          </w:p>
        </w:tc>
        <w:tc>
          <w:tcPr>
            <w:tcW w:w="73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23</w:t>
            </w:r>
          </w:p>
        </w:tc>
        <w:tc>
          <w:tcPr>
            <w:tcW w:w="5897"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技术和服务要求（</w:t>
            </w: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项除外</w:t>
            </w:r>
            <w:r>
              <w:rPr>
                <w:rFonts w:hint="eastAsia" w:ascii="宋体" w:hAnsi="宋体" w:eastAsia="宋体" w:cs="宋体"/>
                <w:b w:val="0"/>
                <w:color w:val="auto"/>
                <w:sz w:val="24"/>
                <w:szCs w:val="24"/>
                <w:highlight w:val="none"/>
              </w:rPr>
              <w:t>）共46项（以最小序号为1项），完全满足得23分；每有一条不满足</w:t>
            </w:r>
            <w:r>
              <w:rPr>
                <w:rFonts w:hint="eastAsia" w:ascii="宋体" w:hAnsi="宋体" w:eastAsia="宋体" w:cs="宋体"/>
                <w:b w:val="0"/>
                <w:color w:val="auto"/>
                <w:sz w:val="24"/>
                <w:szCs w:val="24"/>
                <w:highlight w:val="none"/>
                <w:lang w:eastAsia="zh-CN"/>
              </w:rPr>
              <w:t>采购文件</w:t>
            </w:r>
            <w:r>
              <w:rPr>
                <w:rFonts w:hint="eastAsia" w:ascii="宋体" w:hAnsi="宋体" w:eastAsia="宋体" w:cs="宋体"/>
                <w:b w:val="0"/>
                <w:color w:val="auto"/>
                <w:sz w:val="24"/>
                <w:szCs w:val="24"/>
                <w:highlight w:val="none"/>
              </w:rPr>
              <w:t>中技术和服务要求条款要求的扣0.5分，扣完为止。</w:t>
            </w:r>
          </w:p>
        </w:tc>
        <w:tc>
          <w:tcPr>
            <w:tcW w:w="915"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798"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w:t>
            </w:r>
          </w:p>
        </w:tc>
        <w:tc>
          <w:tcPr>
            <w:tcW w:w="135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项目实施方案</w:t>
            </w:r>
          </w:p>
        </w:tc>
        <w:tc>
          <w:tcPr>
            <w:tcW w:w="73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12</w:t>
            </w:r>
          </w:p>
        </w:tc>
        <w:tc>
          <w:tcPr>
            <w:tcW w:w="5897" w:type="dxa"/>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根据</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提供的项目实施方案（内容包括但不限于①需求分析；②内容设计；③效果检测；④成果推广；进行综合评审：方案完善、具有针对性且不存在不适用项目特性的情形，不存在凭空编造、逻辑漏洞以及不可能实现的夸大情形等情况的得12分，每有一项不满足或未提供扣3分，扣完为止。</w:t>
            </w:r>
          </w:p>
        </w:tc>
        <w:tc>
          <w:tcPr>
            <w:tcW w:w="915"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98"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w:t>
            </w:r>
          </w:p>
        </w:tc>
        <w:tc>
          <w:tcPr>
            <w:tcW w:w="1351"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实力</w:t>
            </w:r>
          </w:p>
        </w:tc>
        <w:tc>
          <w:tcPr>
            <w:tcW w:w="737"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16</w:t>
            </w:r>
          </w:p>
        </w:tc>
        <w:tc>
          <w:tcPr>
            <w:tcW w:w="5897" w:type="dxa"/>
            <w:vAlign w:val="center"/>
          </w:tcPr>
          <w:p>
            <w:pPr>
              <w:widowControl/>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拥有质量管理体系认证证书、环境管理体系认证证书、职业健康安全管理体系认证证书。每提供一个证书复印件并加盖公章获得2分，全部提供得6分。</w:t>
            </w:r>
          </w:p>
        </w:tc>
        <w:tc>
          <w:tcPr>
            <w:tcW w:w="915"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98"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1351"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737"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5897" w:type="dxa"/>
            <w:vAlign w:val="center"/>
          </w:tcPr>
          <w:p>
            <w:pPr>
              <w:widowControl/>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所投研修平台具有相关软件著作权证书，得5分。需提供软件著作权证书复印件并加盖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鲜章，未提供不得分。</w:t>
            </w:r>
          </w:p>
          <w:p>
            <w:pPr>
              <w:widowControl/>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提供研修平台通过测评获得《信息系统安全等级保护备案》证书，备案证书为二级及以上的得5分，其余不得分。（提供证书复印件并加盖</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鲜章。）</w:t>
            </w:r>
          </w:p>
        </w:tc>
        <w:tc>
          <w:tcPr>
            <w:tcW w:w="915"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8"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w:t>
            </w:r>
          </w:p>
        </w:tc>
        <w:tc>
          <w:tcPr>
            <w:tcW w:w="1351"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履约能力</w:t>
            </w:r>
          </w:p>
        </w:tc>
        <w:tc>
          <w:tcPr>
            <w:tcW w:w="737"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16</w:t>
            </w:r>
          </w:p>
        </w:tc>
        <w:tc>
          <w:tcPr>
            <w:tcW w:w="5897" w:type="dxa"/>
            <w:vAlign w:val="center"/>
          </w:tcPr>
          <w:p>
            <w:pPr>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2018年1月1日以后（含1日）有类似培训服务项目业绩：每具有一个项目业绩得2分，最多10分，无不得分。（需提供合同复印件和用户方对</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的服务评价为满意的证明材料，证明材料需加盖用户方公章并注明用户方联系电话，否则不予认定）。</w:t>
            </w:r>
          </w:p>
        </w:tc>
        <w:tc>
          <w:tcPr>
            <w:tcW w:w="915" w:type="dxa"/>
            <w:vMerge w:val="restart"/>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798"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1351"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737"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c>
          <w:tcPr>
            <w:tcW w:w="5897"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提供的培训专家团队</w:t>
            </w:r>
            <w:bookmarkStart w:id="217" w:name="_Hlk77946387"/>
            <w:r>
              <w:rPr>
                <w:rFonts w:hint="eastAsia" w:ascii="宋体" w:hAnsi="宋体" w:eastAsia="宋体" w:cs="宋体"/>
                <w:b w:val="0"/>
                <w:color w:val="auto"/>
                <w:sz w:val="24"/>
                <w:szCs w:val="24"/>
                <w:highlight w:val="none"/>
              </w:rPr>
              <w:t>成员中有高级及以上职称且主持或参与信息化或大数据相关研究项目（含课题，不含培训类项目），以项目合同复印件或立项任务书复印件或项目立项部门官方网站公示公告（提供网站公示截图和网址供查询）为准。每提供一人得2分，最多得6分；</w:t>
            </w:r>
            <w:bookmarkEnd w:id="217"/>
            <w:r>
              <w:rPr>
                <w:rFonts w:hint="eastAsia" w:ascii="宋体" w:hAnsi="宋体" w:eastAsia="宋体" w:cs="宋体"/>
                <w:b w:val="0"/>
                <w:color w:val="auto"/>
                <w:sz w:val="24"/>
                <w:szCs w:val="24"/>
                <w:highlight w:val="none"/>
              </w:rPr>
              <w:t>（提供职称证书复印件及在本单位</w:t>
            </w:r>
            <w:r>
              <w:rPr>
                <w:rFonts w:hint="eastAsia" w:ascii="宋体" w:hAnsi="宋体" w:cs="宋体"/>
                <w:b w:val="0"/>
                <w:color w:val="auto"/>
                <w:sz w:val="24"/>
                <w:szCs w:val="24"/>
                <w:highlight w:val="none"/>
                <w:lang w:eastAsia="zh-CN"/>
              </w:rPr>
              <w:t>在职</w:t>
            </w:r>
            <w:r>
              <w:rPr>
                <w:rFonts w:hint="eastAsia" w:ascii="宋体" w:hAnsi="宋体" w:eastAsia="宋体" w:cs="宋体"/>
                <w:b w:val="0"/>
                <w:color w:val="auto"/>
                <w:sz w:val="24"/>
                <w:szCs w:val="24"/>
                <w:highlight w:val="none"/>
              </w:rPr>
              <w:t>证明材料）。</w:t>
            </w:r>
          </w:p>
        </w:tc>
        <w:tc>
          <w:tcPr>
            <w:tcW w:w="915" w:type="dxa"/>
            <w:vMerge w:val="continue"/>
            <w:vAlign w:val="center"/>
          </w:tcPr>
          <w:p>
            <w:pPr>
              <w:ind w:firstLine="0" w:firstLineChars="0"/>
              <w:jc w:val="center"/>
              <w:rPr>
                <w:rFonts w:hint="eastAsia" w:ascii="宋体" w:hAnsi="宋体" w:eastAsia="宋体" w:cs="宋体"/>
                <w:b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798"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w:t>
            </w:r>
          </w:p>
        </w:tc>
        <w:tc>
          <w:tcPr>
            <w:tcW w:w="135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课程资源部分</w:t>
            </w:r>
          </w:p>
        </w:tc>
        <w:tc>
          <w:tcPr>
            <w:tcW w:w="73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rPr>
              <w:t>10</w:t>
            </w:r>
          </w:p>
        </w:tc>
        <w:tc>
          <w:tcPr>
            <w:tcW w:w="5897"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根据</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为本项目提供的网络研修平台部分课程资源功能演示进行评审：</w:t>
            </w:r>
          </w:p>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1、有AI思维训练课程资源，资源数≥26学时的得5分，其他不得分；</w:t>
            </w:r>
          </w:p>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2、有AI人工智能评价课例资源，资源数≥1000节的5分，800节≤资源数＜1000节的得2分，500节≤资源数＜800得1分，其他不得分；</w:t>
            </w:r>
          </w:p>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注：演示环境中设备和网络的搭建由</w:t>
            </w: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自行负责。</w:t>
            </w:r>
          </w:p>
        </w:tc>
        <w:tc>
          <w:tcPr>
            <w:tcW w:w="915"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98"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7</w:t>
            </w:r>
          </w:p>
        </w:tc>
        <w:tc>
          <w:tcPr>
            <w:tcW w:w="1351"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政策扶持</w:t>
            </w:r>
          </w:p>
        </w:tc>
        <w:tc>
          <w:tcPr>
            <w:tcW w:w="737"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w:t>
            </w:r>
          </w:p>
        </w:tc>
        <w:tc>
          <w:tcPr>
            <w:tcW w:w="5897" w:type="dxa"/>
            <w:vAlign w:val="center"/>
          </w:tcPr>
          <w:p>
            <w:pPr>
              <w:autoSpaceDN w:val="0"/>
              <w:ind w:firstLine="0" w:firstLineChars="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w:t>
            </w:r>
            <w:r>
              <w:rPr>
                <w:rFonts w:hint="eastAsia" w:ascii="宋体" w:hAnsi="宋体" w:eastAsia="宋体" w:cs="宋体"/>
                <w:b w:val="0"/>
                <w:color w:val="auto"/>
                <w:sz w:val="24"/>
                <w:szCs w:val="24"/>
                <w:highlight w:val="none"/>
              </w:rPr>
              <w:t>属于经济不发达地区或少数民族地区的得1分。（提供相关证明文件，不提供不得分）</w:t>
            </w:r>
          </w:p>
        </w:tc>
        <w:tc>
          <w:tcPr>
            <w:tcW w:w="915" w:type="dxa"/>
            <w:vAlign w:val="center"/>
          </w:tcPr>
          <w:p>
            <w:pPr>
              <w:ind w:firstLine="0" w:firstLineChars="0"/>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共同评分因素</w:t>
            </w:r>
          </w:p>
        </w:tc>
      </w:tr>
    </w:tbl>
    <w:p>
      <w:pPr>
        <w:pStyle w:val="60"/>
        <w:spacing w:line="240" w:lineRule="auto"/>
        <w:rPr>
          <w:rFonts w:hint="eastAsia" w:ascii="宋体" w:hAnsi="宋体" w:eastAsia="宋体" w:cs="宋体"/>
          <w:b/>
          <w:sz w:val="21"/>
          <w:szCs w:val="21"/>
          <w:highlight w:val="none"/>
        </w:rPr>
      </w:pPr>
      <w:r>
        <w:rPr>
          <w:rFonts w:hint="eastAsia" w:ascii="宋体" w:hAnsi="宋体" w:eastAsia="宋体" w:cs="宋体"/>
          <w:b/>
          <w:bCs/>
          <w:color w:val="000000"/>
          <w:sz w:val="21"/>
          <w:szCs w:val="21"/>
          <w:highlight w:val="none"/>
        </w:rPr>
        <w:t>注：</w:t>
      </w:r>
      <w:r>
        <w:rPr>
          <w:rFonts w:hint="eastAsia" w:ascii="宋体" w:hAnsi="宋体" w:eastAsia="宋体" w:cs="宋体"/>
          <w:b/>
          <w:bCs/>
          <w:color w:val="000000"/>
          <w:sz w:val="21"/>
          <w:szCs w:val="21"/>
          <w:highlight w:val="none"/>
          <w:lang w:val="en-US" w:eastAsia="zh-CN"/>
        </w:rPr>
        <w:t>1）</w:t>
      </w:r>
      <w:r>
        <w:rPr>
          <w:rFonts w:hint="eastAsia" w:ascii="宋体" w:hAnsi="宋体" w:eastAsia="宋体" w:cs="宋体"/>
          <w:b/>
          <w:bCs/>
          <w:color w:val="000000"/>
          <w:sz w:val="21"/>
          <w:szCs w:val="21"/>
          <w:highlight w:val="none"/>
        </w:rPr>
        <w:t>评分依据的所有证明材料必须加盖单位公章(鲜章)，若提供的证明材料不实，将取消其响应或成交资格。</w:t>
      </w:r>
      <w:r>
        <w:rPr>
          <w:rFonts w:hint="eastAsia" w:ascii="宋体" w:hAnsi="宋体" w:eastAsia="宋体" w:cs="宋体"/>
          <w:b/>
          <w:bCs/>
          <w:color w:val="000000"/>
          <w:sz w:val="21"/>
          <w:szCs w:val="21"/>
          <w:highlight w:val="none"/>
          <w:lang w:val="en-US" w:eastAsia="zh-CN"/>
        </w:rPr>
        <w:t>2）评分的取值按四舍五入法，保留小数点后两位。</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5.4 磋商过程中，有下列情形之一的，磋商失败：</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（1）通过资格审查的供应商不足三家的；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（2）参加磋商的供应商被淘汰，最后报价的供应商不足三家的；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（3）供应商最后报价均超过政府采购预算或者本次采购项目最高限价，且采购人不能支付的；</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（4）其他无法继续开展磋商或者无法成交的情形。</w:t>
      </w:r>
    </w:p>
    <w:p>
      <w:pPr>
        <w:pStyle w:val="4"/>
        <w:bidi w:val="0"/>
        <w:spacing w:line="240" w:lineRule="auto"/>
        <w:ind w:left="0" w:leftChars="0" w:firstLine="470" w:firstLineChars="195"/>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6、确定成交供应商的标准</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6.1 本次磋商小组成员应当按照客观、公正、审慎的原则进行。</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6.2 供应商报价结束后，磋商小组应当根据综合评分情况，按照评审得分由高到低顺序推荐3名成交候选供应商。评审得分相同的，按照最后报价由低到高的顺序推荐。评审得分且最后报价相同的，按照技术指标优劣顺序推荐。</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6.3 磋商小组推荐成交候选供应商后，应当向采购代理机构出具评审报告。</w:t>
      </w:r>
    </w:p>
    <w:p>
      <w:pPr>
        <w:tabs>
          <w:tab w:val="left" w:pos="851"/>
        </w:tabs>
        <w:spacing w:line="44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zh-CN" w:eastAsia="zh-CN" w:bidi="ar-SA"/>
        </w:rPr>
        <w:t>6.4 对于违反磋商纪律的将可能被取消成交供应商资格或视为无效响应。</w:t>
      </w:r>
    </w:p>
    <w:p>
      <w:pPr>
        <w:pStyle w:val="4"/>
        <w:bidi w:val="0"/>
        <w:spacing w:line="240" w:lineRule="auto"/>
        <w:ind w:left="0" w:leftChars="0" w:firstLine="470" w:firstLineChars="195"/>
        <w:rPr>
          <w:rFonts w:hint="eastAsia" w:ascii="宋体" w:hAnsi="宋体" w:eastAsia="宋体" w:cs="宋体"/>
          <w:sz w:val="24"/>
          <w:szCs w:val="24"/>
          <w:highlight w:val="none"/>
          <w:lang w:val="en-US" w:eastAsia="zh-CN"/>
        </w:rPr>
      </w:pPr>
      <w:bookmarkStart w:id="218" w:name="_Toc183682432"/>
      <w:bookmarkStart w:id="219" w:name="_Toc208849022"/>
      <w:bookmarkStart w:id="220" w:name="_Toc183582297"/>
      <w:bookmarkStart w:id="221" w:name="_Toc217446105"/>
      <w:bookmarkStart w:id="222" w:name="_Toc14165"/>
      <w:bookmarkStart w:id="223" w:name="_Toc445888138"/>
      <w:r>
        <w:rPr>
          <w:rFonts w:hint="eastAsia" w:ascii="宋体" w:hAnsi="宋体" w:eastAsia="宋体" w:cs="宋体"/>
          <w:sz w:val="24"/>
          <w:szCs w:val="24"/>
          <w:highlight w:val="none"/>
          <w:lang w:val="en-US" w:eastAsia="zh-CN"/>
        </w:rPr>
        <w:t>7</w:t>
      </w:r>
      <w:bookmarkEnd w:id="218"/>
      <w:bookmarkEnd w:id="219"/>
      <w:bookmarkEnd w:id="220"/>
      <w:bookmarkEnd w:id="221"/>
      <w:r>
        <w:rPr>
          <w:rFonts w:hint="eastAsia" w:ascii="宋体" w:hAnsi="宋体" w:eastAsia="宋体" w:cs="宋体"/>
          <w:sz w:val="24"/>
          <w:szCs w:val="24"/>
          <w:highlight w:val="none"/>
          <w:lang w:val="en-US" w:eastAsia="zh-CN"/>
        </w:rPr>
        <w:t>、评标专家在政府采购活动中承担以下义务</w:t>
      </w:r>
      <w:bookmarkEnd w:id="222"/>
      <w:bookmarkEnd w:id="223"/>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7.1 遵纪守法，客观、公正、廉洁地履行职责。</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7.2 按照政府采购法律法规和采购文件的规定要求对供应商的资格条件和供应商提供的产品价格、技术、服务等方面严格进行评判，提供科学合理、公平公正的评审意见，参与起草评审报告，并予签字确认。</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7.3 保守秘密。不得透露采购文件咨询情况，不得泄漏供应商的响应文件及知悉的商业秘密，不得向供应商透露评审情况。</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7.4 发现供应商在政府采购活动中有不正当竞争或恶意串通等违规行为，及时向政府采购评审工作的组织者或财政部门报告并加以制止。</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发现采购人、政府采购代理机构及其工作人员在政府采购活动中有干预评审、发表倾向性和歧视性言论、受贿或者接受供应商的其他好处及其他违法违规行为，及时向财政部门报告。</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7.5 解答有关方面对政府采购评审工作中有关问题的询问，配合采购人或者政府采购代理机构答复供应商质疑，配合财政部门的投诉处理工作等事宜。</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7.6 法律、法规和规章规定的其他义务。</w:t>
      </w:r>
    </w:p>
    <w:p>
      <w:pPr>
        <w:pStyle w:val="4"/>
        <w:bidi w:val="0"/>
        <w:spacing w:line="240" w:lineRule="auto"/>
        <w:ind w:left="0" w:leftChars="0" w:firstLine="470" w:firstLineChars="195"/>
        <w:rPr>
          <w:rFonts w:hint="eastAsia" w:ascii="宋体" w:hAnsi="宋体" w:eastAsia="宋体" w:cs="宋体"/>
          <w:sz w:val="24"/>
          <w:szCs w:val="24"/>
          <w:highlight w:val="none"/>
          <w:lang w:val="en-US" w:eastAsia="zh-CN"/>
        </w:rPr>
      </w:pPr>
      <w:bookmarkStart w:id="224" w:name="_Toc445888139"/>
      <w:bookmarkStart w:id="225" w:name="_Toc5163"/>
      <w:r>
        <w:rPr>
          <w:rFonts w:hint="eastAsia" w:ascii="宋体" w:hAnsi="宋体" w:eastAsia="宋体" w:cs="宋体"/>
          <w:sz w:val="24"/>
          <w:szCs w:val="24"/>
          <w:highlight w:val="none"/>
          <w:lang w:val="en-US" w:eastAsia="zh-CN"/>
        </w:rPr>
        <w:t>8、评审专家在政府采购活动中应当遵守以下工作纪律</w:t>
      </w:r>
      <w:bookmarkEnd w:id="224"/>
      <w:bookmarkEnd w:id="225"/>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8.1 应邀按时参加评审和咨询活动。遇特殊情况不能出席或途中遇阻不能按时参加评审或咨询的，应及时告知财政部门或者采购人或者政府采购代理机构，不得私自转托他人。</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8.2 不得参加与自己有利害关系的政府采购项目的评审活动。对与自己有利害关系的评审项目，如受到邀请，应主动提出回避。财政部门、采购人或政府采购代理机构也可要求该评审专家回避。</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8.3 评审或咨询过程中关闭通讯设备，不得与外界联系。因发生不可预见情况，确实需要与外界联系的，应当有在场工作人员陪同。</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8.4 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8.5 在咨询工作中，严格执行国家产业政策和产品标准，认真听取咨询方的合理要求，提出科学合理的、无倾向性和歧视性的咨询方案，并对所提出的意见和建议承担个人责任。</w:t>
      </w:r>
    </w:p>
    <w:p>
      <w:pPr>
        <w:tabs>
          <w:tab w:val="left" w:pos="851"/>
        </w:tabs>
        <w:spacing w:line="440" w:lineRule="exact"/>
        <w:ind w:firstLine="480" w:firstLineChars="200"/>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8.6 有关部门（机构）制定的其他评审工作纪律。</w:t>
      </w:r>
    </w:p>
    <w:p>
      <w:pPr>
        <w:pStyle w:val="3"/>
        <w:keepNext w:val="0"/>
        <w:keepLines w:val="0"/>
        <w:tabs>
          <w:tab w:val="left" w:pos="7665"/>
        </w:tabs>
        <w:spacing w:before="0" w:after="0" w:line="240" w:lineRule="auto"/>
        <w:jc w:val="center"/>
        <w:rPr>
          <w:rFonts w:hint="eastAsia" w:ascii="宋体" w:hAnsi="宋体" w:eastAsia="宋体" w:cs="宋体"/>
          <w:sz w:val="36"/>
          <w:szCs w:val="36"/>
          <w:highlight w:val="none"/>
        </w:rPr>
      </w:pPr>
      <w:r>
        <w:rPr>
          <w:rFonts w:hint="eastAsia" w:ascii="宋体" w:hAnsi="宋体" w:eastAsia="宋体" w:cs="宋体"/>
          <w:b w:val="0"/>
          <w:sz w:val="32"/>
          <w:highlight w:val="none"/>
        </w:rPr>
        <w:br w:type="page"/>
      </w:r>
      <w:bookmarkStart w:id="226" w:name="_Toc7961750"/>
      <w:bookmarkStart w:id="227" w:name="_Toc20488"/>
      <w:bookmarkStart w:id="228" w:name="_Toc16511"/>
      <w:bookmarkStart w:id="229" w:name="_Toc23551"/>
      <w:r>
        <w:rPr>
          <w:rFonts w:hint="eastAsia" w:ascii="宋体" w:hAnsi="宋体" w:eastAsia="宋体" w:cs="宋体"/>
          <w:sz w:val="36"/>
          <w:szCs w:val="36"/>
          <w:highlight w:val="none"/>
        </w:rPr>
        <w:t>第八章  政府采购合同（草案）</w:t>
      </w:r>
      <w:bookmarkEnd w:id="226"/>
      <w:bookmarkEnd w:id="227"/>
      <w:bookmarkEnd w:id="228"/>
      <w:bookmarkEnd w:id="229"/>
    </w:p>
    <w:bookmarkEnd w:id="127"/>
    <w:bookmarkEnd w:id="128"/>
    <w:bookmarkEnd w:id="129"/>
    <w:p>
      <w:pPr>
        <w:spacing w:line="360" w:lineRule="auto"/>
        <w:ind w:firstLine="482" w:firstLineChars="200"/>
        <w:rPr>
          <w:rFonts w:hint="eastAsia" w:ascii="宋体" w:hAnsi="宋体" w:eastAsia="宋体" w:cs="宋体"/>
          <w:b/>
          <w:bCs/>
          <w:sz w:val="24"/>
          <w:highlight w:val="none"/>
        </w:rPr>
      </w:pPr>
      <w:bookmarkStart w:id="230" w:name="_Hlt101846155"/>
      <w:bookmarkEnd w:id="230"/>
    </w:p>
    <w:p>
      <w:pPr>
        <w:spacing w:line="360" w:lineRule="auto"/>
        <w:ind w:firstLine="480" w:firstLineChars="200"/>
        <w:rPr>
          <w:rFonts w:hint="eastAsia" w:ascii="宋体" w:hAnsi="宋体" w:eastAsia="宋体" w:cs="宋体"/>
          <w:color w:val="auto"/>
          <w:sz w:val="24"/>
          <w:highlight w:val="none"/>
        </w:rPr>
      </w:pPr>
    </w:p>
    <w:p>
      <w:pPr>
        <w:spacing w:line="440" w:lineRule="exact"/>
        <w:ind w:firstLine="440" w:firstLineChars="200"/>
        <w:rPr>
          <w:rFonts w:hAnsi="宋体"/>
          <w:sz w:val="22"/>
          <w:highlight w:val="none"/>
        </w:rPr>
      </w:pPr>
      <w:r>
        <w:rPr>
          <w:rFonts w:hAnsi="宋体"/>
          <w:sz w:val="22"/>
          <w:highlight w:val="none"/>
        </w:rPr>
        <w:t>合同编号：</w:t>
      </w:r>
      <w:r>
        <w:rPr>
          <w:rFonts w:hint="eastAsia" w:ascii="Times New Roman" w:hAnsi="Times New Roman"/>
          <w:sz w:val="22"/>
          <w:highlight w:val="none"/>
        </w:rPr>
        <w:t>。</w:t>
      </w:r>
    </w:p>
    <w:p>
      <w:pPr>
        <w:spacing w:line="440" w:lineRule="exact"/>
        <w:ind w:firstLine="440" w:firstLineChars="200"/>
        <w:rPr>
          <w:rFonts w:hAnsi="宋体"/>
          <w:sz w:val="22"/>
          <w:highlight w:val="none"/>
        </w:rPr>
      </w:pPr>
      <w:r>
        <w:rPr>
          <w:rFonts w:hAnsi="宋体"/>
          <w:sz w:val="22"/>
          <w:highlight w:val="none"/>
        </w:rPr>
        <w:t>签订地点：</w:t>
      </w:r>
      <w:r>
        <w:rPr>
          <w:rFonts w:hint="eastAsia" w:ascii="Times New Roman" w:hAnsi="Times New Roman"/>
          <w:sz w:val="22"/>
          <w:highlight w:val="none"/>
        </w:rPr>
        <w:t>。</w:t>
      </w:r>
    </w:p>
    <w:p>
      <w:pPr>
        <w:spacing w:line="440" w:lineRule="exact"/>
        <w:ind w:firstLine="440" w:firstLineChars="200"/>
        <w:rPr>
          <w:rFonts w:hAnsi="宋体"/>
          <w:sz w:val="22"/>
          <w:highlight w:val="none"/>
        </w:rPr>
      </w:pPr>
      <w:r>
        <w:rPr>
          <w:rFonts w:hAnsi="宋体"/>
          <w:sz w:val="22"/>
          <w:highlight w:val="none"/>
        </w:rPr>
        <w:t>签订时间：</w:t>
      </w:r>
      <w:r>
        <w:rPr>
          <w:rFonts w:hint="eastAsia" w:hAnsi="宋体"/>
          <w:sz w:val="22"/>
          <w:highlight w:val="none"/>
        </w:rPr>
        <w:t>。</w:t>
      </w:r>
    </w:p>
    <w:p>
      <w:pPr>
        <w:spacing w:line="440" w:lineRule="exact"/>
        <w:ind w:firstLine="440" w:firstLineChars="200"/>
        <w:rPr>
          <w:rFonts w:hAnsi="宋体"/>
          <w:sz w:val="22"/>
          <w:highlight w:val="none"/>
        </w:rPr>
      </w:pPr>
      <w:r>
        <w:rPr>
          <w:rFonts w:hint="eastAsia" w:hAnsi="宋体"/>
          <w:sz w:val="22"/>
          <w:highlight w:val="none"/>
        </w:rPr>
        <w:t>采购人（</w:t>
      </w:r>
      <w:r>
        <w:rPr>
          <w:rFonts w:hAnsi="宋体"/>
          <w:sz w:val="22"/>
          <w:highlight w:val="none"/>
        </w:rPr>
        <w:t>甲方</w:t>
      </w:r>
      <w:r>
        <w:rPr>
          <w:rFonts w:hint="eastAsia" w:hAnsi="宋体"/>
          <w:sz w:val="22"/>
          <w:highlight w:val="none"/>
        </w:rPr>
        <w:t>）</w:t>
      </w:r>
      <w:r>
        <w:rPr>
          <w:rFonts w:hAnsi="宋体"/>
          <w:sz w:val="22"/>
          <w:highlight w:val="none"/>
        </w:rPr>
        <w:t>：</w:t>
      </w:r>
    </w:p>
    <w:p>
      <w:pPr>
        <w:spacing w:line="440" w:lineRule="exact"/>
        <w:ind w:firstLine="440" w:firstLineChars="200"/>
        <w:rPr>
          <w:rFonts w:hAnsi="宋体"/>
          <w:sz w:val="22"/>
          <w:highlight w:val="none"/>
          <w:u w:val="single"/>
        </w:rPr>
      </w:pPr>
      <w:r>
        <w:rPr>
          <w:rFonts w:hint="eastAsia" w:hAnsi="宋体"/>
          <w:sz w:val="22"/>
          <w:highlight w:val="none"/>
        </w:rPr>
        <w:t>供应商（乙</w:t>
      </w:r>
      <w:r>
        <w:rPr>
          <w:rFonts w:hAnsi="宋体"/>
          <w:sz w:val="22"/>
          <w:highlight w:val="none"/>
        </w:rPr>
        <w:t>方</w:t>
      </w:r>
      <w:r>
        <w:rPr>
          <w:rFonts w:hint="eastAsia" w:hAnsi="宋体"/>
          <w:sz w:val="22"/>
          <w:highlight w:val="none"/>
        </w:rPr>
        <w:t>）</w:t>
      </w:r>
      <w:r>
        <w:rPr>
          <w:rFonts w:hAnsi="宋体"/>
          <w:sz w:val="22"/>
          <w:highlight w:val="none"/>
        </w:rPr>
        <w:t>：</w:t>
      </w:r>
    </w:p>
    <w:p>
      <w:pPr>
        <w:spacing w:line="440" w:lineRule="exact"/>
        <w:ind w:firstLine="440" w:firstLineChars="200"/>
        <w:rPr>
          <w:rFonts w:hAnsi="宋体"/>
          <w:sz w:val="22"/>
          <w:highlight w:val="none"/>
        </w:rPr>
      </w:pPr>
    </w:p>
    <w:p>
      <w:pPr>
        <w:spacing w:line="440" w:lineRule="exact"/>
        <w:ind w:firstLine="440" w:firstLineChars="200"/>
        <w:rPr>
          <w:rFonts w:hAnsi="宋体"/>
          <w:sz w:val="22"/>
          <w:highlight w:val="none"/>
        </w:rPr>
      </w:pPr>
      <w:r>
        <w:rPr>
          <w:rFonts w:hAnsi="宋体"/>
          <w:sz w:val="22"/>
          <w:highlight w:val="none"/>
        </w:rPr>
        <w:t>依据《中华人民共和</w:t>
      </w:r>
      <w:r>
        <w:rPr>
          <w:rFonts w:hint="eastAsia" w:hAnsi="宋体"/>
          <w:sz w:val="22"/>
          <w:highlight w:val="none"/>
        </w:rPr>
        <w:t>国民法典</w:t>
      </w:r>
      <w:r>
        <w:rPr>
          <w:rFonts w:hAnsi="宋体"/>
          <w:sz w:val="22"/>
          <w:highlight w:val="none"/>
        </w:rPr>
        <w:t>》、《中华人民共和国政府采购法》</w:t>
      </w:r>
      <w:r>
        <w:rPr>
          <w:rFonts w:hint="eastAsia" w:hAnsi="宋体"/>
          <w:sz w:val="22"/>
          <w:highlight w:val="none"/>
        </w:rPr>
        <w:t>与项目行业有关的法律法规，以及项目（项目编号：）</w:t>
      </w:r>
      <w:r>
        <w:rPr>
          <w:rFonts w:hAnsi="宋体"/>
          <w:sz w:val="22"/>
          <w:highlight w:val="none"/>
        </w:rPr>
        <w:t>的</w:t>
      </w:r>
      <w:r>
        <w:rPr>
          <w:rFonts w:hint="eastAsia" w:hAnsi="宋体"/>
          <w:sz w:val="22"/>
          <w:highlight w:val="none"/>
        </w:rPr>
        <w:t>《采购文件》</w:t>
      </w:r>
      <w:r>
        <w:rPr>
          <w:rFonts w:hAnsi="宋体"/>
          <w:sz w:val="22"/>
          <w:highlight w:val="none"/>
        </w:rPr>
        <w:t>，</w:t>
      </w:r>
      <w:r>
        <w:rPr>
          <w:rFonts w:hint="eastAsia" w:hAnsi="宋体"/>
          <w:sz w:val="22"/>
          <w:highlight w:val="none"/>
        </w:rPr>
        <w:t>乙方的《响应文件》及《成交通知书》，甲、乙双方同意签订本合同。详细技术说明及其他有关合同项目的特定信息由合同附件予以说明，合同附件及本项目的《采购文件》《响应文件》《成交通知书》等均为本合同的组成部分。</w:t>
      </w:r>
    </w:p>
    <w:p>
      <w:pPr>
        <w:numPr>
          <w:ilvl w:val="0"/>
          <w:numId w:val="8"/>
        </w:numPr>
        <w:spacing w:line="440" w:lineRule="exact"/>
        <w:ind w:left="0" w:firstLine="442" w:firstLineChars="200"/>
        <w:rPr>
          <w:rFonts w:hAnsi="宋体"/>
          <w:b/>
          <w:sz w:val="22"/>
          <w:highlight w:val="none"/>
        </w:rPr>
      </w:pPr>
      <w:bookmarkStart w:id="231" w:name="_Toc26658_WPSOffice_Level2"/>
      <w:bookmarkStart w:id="232" w:name="_Toc20636_WPSOffice_Level2"/>
      <w:r>
        <w:rPr>
          <w:rFonts w:hint="eastAsia" w:hAnsi="宋体"/>
          <w:b/>
          <w:sz w:val="22"/>
          <w:highlight w:val="none"/>
        </w:rPr>
        <w:t>项目基本情况</w:t>
      </w:r>
      <w:bookmarkEnd w:id="231"/>
      <w:bookmarkEnd w:id="232"/>
    </w:p>
    <w:p>
      <w:pPr>
        <w:spacing w:line="440" w:lineRule="exact"/>
        <w:ind w:firstLine="200"/>
        <w:rPr>
          <w:rFonts w:hAnsi="宋体"/>
          <w:b/>
          <w:sz w:val="22"/>
          <w:highlight w:val="none"/>
        </w:rPr>
      </w:pPr>
    </w:p>
    <w:p>
      <w:pPr>
        <w:numPr>
          <w:ilvl w:val="0"/>
          <w:numId w:val="8"/>
        </w:numPr>
        <w:spacing w:line="440" w:lineRule="exact"/>
        <w:ind w:left="0" w:firstLine="442" w:firstLineChars="200"/>
        <w:rPr>
          <w:rFonts w:hAnsi="宋体"/>
          <w:b/>
          <w:sz w:val="22"/>
          <w:highlight w:val="none"/>
        </w:rPr>
      </w:pPr>
      <w:bookmarkStart w:id="233" w:name="_Toc29732_WPSOffice_Level2"/>
      <w:bookmarkStart w:id="234" w:name="_Toc32532_WPSOffice_Level2"/>
      <w:r>
        <w:rPr>
          <w:rFonts w:hint="eastAsia" w:hAnsi="宋体"/>
          <w:b/>
          <w:sz w:val="22"/>
          <w:highlight w:val="none"/>
        </w:rPr>
        <w:t>合同期限</w:t>
      </w:r>
      <w:bookmarkEnd w:id="233"/>
      <w:bookmarkEnd w:id="234"/>
    </w:p>
    <w:p>
      <w:pPr>
        <w:spacing w:line="440" w:lineRule="exact"/>
        <w:ind w:firstLine="440" w:firstLineChars="200"/>
        <w:rPr>
          <w:rFonts w:hAnsi="宋体"/>
          <w:sz w:val="22"/>
          <w:highlight w:val="none"/>
        </w:rPr>
      </w:pPr>
    </w:p>
    <w:p>
      <w:pPr>
        <w:numPr>
          <w:ilvl w:val="0"/>
          <w:numId w:val="8"/>
        </w:numPr>
        <w:spacing w:line="440" w:lineRule="exact"/>
        <w:ind w:left="0" w:firstLine="442" w:firstLineChars="200"/>
        <w:rPr>
          <w:rFonts w:hAnsi="宋体"/>
          <w:b/>
          <w:sz w:val="22"/>
          <w:highlight w:val="none"/>
        </w:rPr>
      </w:pPr>
      <w:bookmarkStart w:id="235" w:name="_Toc16423_WPSOffice_Level2"/>
      <w:bookmarkStart w:id="236" w:name="_Toc30999_WPSOffice_Level2"/>
      <w:r>
        <w:rPr>
          <w:rFonts w:hint="eastAsia" w:hAnsi="宋体"/>
          <w:b/>
          <w:sz w:val="22"/>
          <w:highlight w:val="none"/>
        </w:rPr>
        <w:t>服务内容与质量标准</w:t>
      </w:r>
      <w:bookmarkEnd w:id="235"/>
      <w:bookmarkEnd w:id="236"/>
    </w:p>
    <w:p>
      <w:pPr>
        <w:spacing w:line="440" w:lineRule="exact"/>
        <w:ind w:firstLine="510" w:firstLineChars="232"/>
        <w:rPr>
          <w:rFonts w:hAnsi="宋体"/>
          <w:sz w:val="22"/>
          <w:highlight w:val="none"/>
        </w:rPr>
      </w:pPr>
      <w:r>
        <w:rPr>
          <w:rFonts w:hint="eastAsia" w:hAnsi="宋体"/>
          <w:sz w:val="22"/>
          <w:highlight w:val="none"/>
        </w:rPr>
        <w:t>1．</w:t>
      </w:r>
      <w:r>
        <w:rPr>
          <w:rFonts w:hint="eastAsia" w:ascii="Times New Roman" w:hAnsi="Times New Roman"/>
          <w:sz w:val="22"/>
          <w:highlight w:val="none"/>
        </w:rPr>
        <w:t>；</w:t>
      </w:r>
    </w:p>
    <w:p>
      <w:pPr>
        <w:spacing w:line="440" w:lineRule="exact"/>
        <w:ind w:firstLine="510" w:firstLineChars="232"/>
        <w:rPr>
          <w:rFonts w:hAnsi="宋体"/>
          <w:sz w:val="22"/>
          <w:highlight w:val="none"/>
        </w:rPr>
      </w:pPr>
      <w:r>
        <w:rPr>
          <w:rFonts w:hint="eastAsia" w:hAnsi="宋体"/>
          <w:sz w:val="22"/>
          <w:highlight w:val="none"/>
        </w:rPr>
        <w:t>2．</w:t>
      </w:r>
      <w:r>
        <w:rPr>
          <w:rFonts w:hint="eastAsia" w:ascii="Times New Roman" w:hAnsi="Times New Roman"/>
          <w:sz w:val="22"/>
          <w:highlight w:val="none"/>
        </w:rPr>
        <w:t>；</w:t>
      </w:r>
    </w:p>
    <w:p>
      <w:pPr>
        <w:spacing w:line="440" w:lineRule="exact"/>
        <w:ind w:firstLine="510" w:firstLineChars="232"/>
        <w:rPr>
          <w:rFonts w:hAnsi="宋体"/>
          <w:sz w:val="22"/>
          <w:highlight w:val="none"/>
        </w:rPr>
      </w:pPr>
      <w:r>
        <w:rPr>
          <w:rFonts w:hint="eastAsia" w:hAnsi="宋体"/>
          <w:sz w:val="22"/>
          <w:highlight w:val="none"/>
        </w:rPr>
        <w:t>3．</w:t>
      </w:r>
      <w:r>
        <w:rPr>
          <w:rFonts w:hint="eastAsia" w:ascii="Times New Roman" w:hAnsi="Times New Roman"/>
          <w:sz w:val="22"/>
          <w:highlight w:val="none"/>
        </w:rPr>
        <w:t>．</w:t>
      </w:r>
    </w:p>
    <w:p>
      <w:pPr>
        <w:spacing w:line="440" w:lineRule="exact"/>
        <w:ind w:firstLine="510" w:firstLineChars="232"/>
        <w:rPr>
          <w:rFonts w:hAnsi="宋体"/>
          <w:sz w:val="22"/>
          <w:highlight w:val="none"/>
        </w:rPr>
      </w:pPr>
      <w:r>
        <w:rPr>
          <w:rFonts w:hAnsi="宋体"/>
          <w:sz w:val="22"/>
          <w:highlight w:val="none"/>
        </w:rPr>
        <w:t>…</w:t>
      </w:r>
    </w:p>
    <w:p>
      <w:pPr>
        <w:spacing w:line="440" w:lineRule="exact"/>
        <w:ind w:firstLine="433" w:firstLineChars="196"/>
        <w:rPr>
          <w:rFonts w:hAnsi="宋体"/>
          <w:b/>
          <w:sz w:val="22"/>
          <w:highlight w:val="none"/>
        </w:rPr>
      </w:pPr>
      <w:bookmarkStart w:id="237" w:name="_Toc10612_WPSOffice_Level2"/>
      <w:bookmarkStart w:id="238" w:name="_Toc15613_WPSOffice_Level2"/>
      <w:r>
        <w:rPr>
          <w:rFonts w:hint="eastAsia" w:hAnsi="宋体"/>
          <w:b/>
          <w:sz w:val="22"/>
          <w:highlight w:val="none"/>
        </w:rPr>
        <w:t>第四条  服务费用及支付方式</w:t>
      </w:r>
      <w:bookmarkEnd w:id="237"/>
      <w:bookmarkEnd w:id="238"/>
    </w:p>
    <w:p>
      <w:pPr>
        <w:spacing w:line="440" w:lineRule="exact"/>
        <w:ind w:firstLine="433" w:firstLineChars="196"/>
        <w:rPr>
          <w:rFonts w:hAnsi="宋体"/>
          <w:b/>
          <w:sz w:val="22"/>
          <w:highlight w:val="none"/>
        </w:rPr>
      </w:pPr>
      <w:r>
        <w:rPr>
          <w:rFonts w:hint="eastAsia" w:hAnsi="宋体"/>
          <w:b/>
          <w:sz w:val="22"/>
          <w:highlight w:val="none"/>
        </w:rPr>
        <w:t>（一）本项目服务费用由以下组成：</w:t>
      </w:r>
    </w:p>
    <w:p>
      <w:pPr>
        <w:spacing w:line="440" w:lineRule="exact"/>
        <w:ind w:firstLine="440" w:firstLineChars="200"/>
        <w:rPr>
          <w:rFonts w:hAnsi="宋体"/>
          <w:sz w:val="22"/>
          <w:highlight w:val="none"/>
        </w:rPr>
      </w:pPr>
      <w:r>
        <w:rPr>
          <w:rFonts w:hint="eastAsia" w:hAnsi="宋体"/>
          <w:sz w:val="22"/>
          <w:highlight w:val="none"/>
        </w:rPr>
        <w:t>1．元；</w:t>
      </w:r>
    </w:p>
    <w:p>
      <w:pPr>
        <w:spacing w:line="440" w:lineRule="exact"/>
        <w:ind w:firstLine="440" w:firstLineChars="200"/>
        <w:rPr>
          <w:rFonts w:hAnsi="宋体"/>
          <w:sz w:val="22"/>
          <w:highlight w:val="none"/>
        </w:rPr>
      </w:pPr>
      <w:r>
        <w:rPr>
          <w:rFonts w:hint="eastAsia" w:hAnsi="宋体"/>
          <w:sz w:val="22"/>
          <w:highlight w:val="none"/>
        </w:rPr>
        <w:t>2．元；</w:t>
      </w:r>
    </w:p>
    <w:p>
      <w:pPr>
        <w:spacing w:line="440" w:lineRule="exact"/>
        <w:ind w:firstLine="440" w:firstLineChars="200"/>
        <w:rPr>
          <w:rFonts w:hAnsi="宋体"/>
          <w:sz w:val="22"/>
          <w:highlight w:val="none"/>
        </w:rPr>
      </w:pPr>
      <w:r>
        <w:rPr>
          <w:rFonts w:hint="eastAsia" w:hAnsi="宋体"/>
          <w:sz w:val="22"/>
          <w:highlight w:val="none"/>
        </w:rPr>
        <w:t>3．元。</w:t>
      </w:r>
    </w:p>
    <w:p>
      <w:pPr>
        <w:spacing w:line="440" w:lineRule="exact"/>
        <w:ind w:firstLine="440" w:firstLineChars="200"/>
        <w:rPr>
          <w:rFonts w:hAnsi="宋体"/>
          <w:sz w:val="22"/>
          <w:highlight w:val="none"/>
        </w:rPr>
      </w:pPr>
      <w:r>
        <w:rPr>
          <w:rFonts w:hAnsi="宋体"/>
          <w:sz w:val="22"/>
          <w:highlight w:val="none"/>
        </w:rPr>
        <w:t>……</w:t>
      </w:r>
    </w:p>
    <w:p>
      <w:pPr>
        <w:spacing w:line="440" w:lineRule="exact"/>
        <w:ind w:firstLine="292" w:firstLineChars="132"/>
        <w:rPr>
          <w:rFonts w:hAnsi="宋体"/>
          <w:b/>
          <w:sz w:val="22"/>
          <w:highlight w:val="none"/>
        </w:rPr>
      </w:pPr>
      <w:r>
        <w:rPr>
          <w:rFonts w:hint="eastAsia" w:hAnsi="宋体"/>
          <w:b/>
          <w:sz w:val="22"/>
          <w:highlight w:val="none"/>
        </w:rPr>
        <w:t xml:space="preserve">（二）服务费支付方式： </w:t>
      </w:r>
    </w:p>
    <w:p>
      <w:pPr>
        <w:spacing w:line="440" w:lineRule="exact"/>
        <w:ind w:left="426"/>
        <w:rPr>
          <w:rFonts w:hAnsi="宋体"/>
          <w:b/>
          <w:sz w:val="22"/>
          <w:highlight w:val="none"/>
        </w:rPr>
      </w:pPr>
      <w:bookmarkStart w:id="239" w:name="_Toc27964_WPSOffice_Level2"/>
      <w:bookmarkStart w:id="240" w:name="_Toc21740_WPSOffice_Level2"/>
      <w:r>
        <w:rPr>
          <w:rFonts w:hint="eastAsia" w:hAnsi="宋体"/>
          <w:b/>
          <w:sz w:val="22"/>
          <w:highlight w:val="none"/>
        </w:rPr>
        <w:t>第五条  知识产权</w:t>
      </w:r>
      <w:bookmarkEnd w:id="239"/>
      <w:bookmarkEnd w:id="240"/>
    </w:p>
    <w:p>
      <w:pPr>
        <w:tabs>
          <w:tab w:val="left" w:pos="1440"/>
        </w:tabs>
        <w:spacing w:line="440" w:lineRule="exact"/>
        <w:ind w:firstLine="440" w:firstLineChars="200"/>
        <w:rPr>
          <w:rFonts w:hAnsi="宋体"/>
          <w:sz w:val="22"/>
          <w:highlight w:val="none"/>
        </w:rPr>
      </w:pPr>
      <w:r>
        <w:rPr>
          <w:rFonts w:hint="eastAsia" w:hAnsi="宋体"/>
          <w:sz w:val="22"/>
          <w:highlight w:val="none"/>
        </w:rPr>
        <w:t>乙方应保证所提供的服务或其任何一部分均不会侵犯任何第三方的专利权、商标权或著作权。</w:t>
      </w:r>
    </w:p>
    <w:p>
      <w:pPr>
        <w:numPr>
          <w:ilvl w:val="0"/>
          <w:numId w:val="9"/>
        </w:numPr>
        <w:spacing w:line="440" w:lineRule="exact"/>
        <w:rPr>
          <w:rFonts w:hAnsi="宋体"/>
          <w:b/>
          <w:sz w:val="22"/>
          <w:highlight w:val="none"/>
        </w:rPr>
      </w:pPr>
      <w:bookmarkStart w:id="241" w:name="_Toc13805_WPSOffice_Level2"/>
      <w:bookmarkStart w:id="242" w:name="_Toc11213_WPSOffice_Level2"/>
      <w:r>
        <w:rPr>
          <w:rFonts w:hint="eastAsia" w:hAnsi="宋体"/>
          <w:b/>
          <w:sz w:val="22"/>
          <w:highlight w:val="none"/>
        </w:rPr>
        <w:t>无产权瑕疵条款</w:t>
      </w:r>
      <w:bookmarkEnd w:id="241"/>
      <w:bookmarkEnd w:id="242"/>
    </w:p>
    <w:p>
      <w:pPr>
        <w:tabs>
          <w:tab w:val="left" w:pos="1440"/>
        </w:tabs>
        <w:spacing w:line="440" w:lineRule="exact"/>
        <w:ind w:firstLine="440" w:firstLineChars="200"/>
        <w:rPr>
          <w:rFonts w:hAnsi="宋体"/>
          <w:sz w:val="22"/>
          <w:highlight w:val="none"/>
        </w:rPr>
      </w:pPr>
      <w:r>
        <w:rPr>
          <w:rFonts w:hint="eastAsia" w:hAnsi="宋体"/>
          <w:sz w:val="22"/>
          <w:highlight w:val="none"/>
        </w:rPr>
        <w:t>乙方保证所提供的服务的所有权完全属于乙方且无任何抵押、查封等产权瑕疵。如有产权瑕疵的，视为乙方违约，乙方应负担由此而产生的一切损失。</w:t>
      </w:r>
    </w:p>
    <w:p>
      <w:pPr>
        <w:numPr>
          <w:ilvl w:val="0"/>
          <w:numId w:val="9"/>
        </w:numPr>
        <w:spacing w:line="440" w:lineRule="exact"/>
        <w:rPr>
          <w:rFonts w:hAnsi="宋体"/>
          <w:b/>
          <w:sz w:val="22"/>
          <w:highlight w:val="none"/>
        </w:rPr>
      </w:pPr>
      <w:bookmarkStart w:id="243" w:name="_Toc30610_WPSOffice_Level2"/>
      <w:bookmarkStart w:id="244" w:name="_Toc23924_WPSOffice_Level2"/>
      <w:r>
        <w:rPr>
          <w:rFonts w:hint="eastAsia" w:hAnsi="Times New Roman"/>
          <w:b/>
          <w:sz w:val="22"/>
          <w:highlight w:val="none"/>
        </w:rPr>
        <w:t>履约保证金</w:t>
      </w:r>
      <w:bookmarkEnd w:id="243"/>
      <w:bookmarkEnd w:id="244"/>
      <w:r>
        <w:rPr>
          <w:rFonts w:hint="eastAsia" w:hAnsi="Times New Roman"/>
          <w:b/>
          <w:sz w:val="22"/>
          <w:highlight w:val="none"/>
        </w:rPr>
        <w:t>（如涉及）</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1．乙方交纳人民币(大写)元（小写：元）作为本合同的履约保证金。</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2．履约保证金作为违约金的一部分及用于补偿甲方因乙方不能履行合同义务而蒙受的损失。</w:t>
      </w:r>
    </w:p>
    <w:p>
      <w:pPr>
        <w:numPr>
          <w:ilvl w:val="0"/>
          <w:numId w:val="9"/>
        </w:numPr>
        <w:spacing w:line="440" w:lineRule="exact"/>
        <w:rPr>
          <w:rFonts w:hAnsi="宋体"/>
          <w:b/>
          <w:sz w:val="22"/>
          <w:highlight w:val="none"/>
        </w:rPr>
      </w:pPr>
      <w:bookmarkStart w:id="245" w:name="_Toc20039_WPSOffice_Level2"/>
      <w:bookmarkStart w:id="246" w:name="_Toc30831_WPSOffice_Level2"/>
      <w:r>
        <w:rPr>
          <w:rFonts w:hAnsi="宋体"/>
          <w:b/>
          <w:sz w:val="22"/>
          <w:highlight w:val="none"/>
        </w:rPr>
        <w:t>甲方的权利和义务</w:t>
      </w:r>
      <w:bookmarkEnd w:id="245"/>
      <w:bookmarkEnd w:id="246"/>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1．</w:t>
      </w:r>
      <w:r>
        <w:rPr>
          <w:rFonts w:hAnsi="宋体"/>
          <w:bCs/>
          <w:sz w:val="22"/>
          <w:highlight w:val="none"/>
        </w:rPr>
        <w:t>甲方有权对合同规定范围内</w:t>
      </w:r>
      <w:r>
        <w:rPr>
          <w:rFonts w:hint="eastAsia" w:hAnsi="宋体"/>
          <w:bCs/>
          <w:sz w:val="22"/>
          <w:highlight w:val="none"/>
        </w:rPr>
        <w:t>乙方的服务行为</w:t>
      </w:r>
      <w:r>
        <w:rPr>
          <w:rFonts w:hAnsi="宋体"/>
          <w:bCs/>
          <w:sz w:val="22"/>
          <w:highlight w:val="none"/>
        </w:rPr>
        <w:t>进行监督和检查，拥有监管权。有权定期核对乙方提供服务所配备的人员数量。对甲方认为不合理的部分有权</w:t>
      </w:r>
      <w:r>
        <w:rPr>
          <w:rFonts w:hint="eastAsia" w:hAnsi="宋体"/>
          <w:bCs/>
          <w:sz w:val="22"/>
          <w:highlight w:val="none"/>
        </w:rPr>
        <w:t>下达整改通知书，并</w:t>
      </w:r>
      <w:r>
        <w:rPr>
          <w:rFonts w:hAnsi="宋体"/>
          <w:bCs/>
          <w:sz w:val="22"/>
          <w:highlight w:val="none"/>
        </w:rPr>
        <w:t>要求乙方</w:t>
      </w:r>
      <w:r>
        <w:rPr>
          <w:rFonts w:hint="eastAsia" w:hAnsi="宋体"/>
          <w:bCs/>
          <w:sz w:val="22"/>
          <w:highlight w:val="none"/>
        </w:rPr>
        <w:t>限期整改</w:t>
      </w:r>
      <w:r>
        <w:rPr>
          <w:rFonts w:hAnsi="宋体"/>
          <w:bCs/>
          <w:sz w:val="22"/>
          <w:highlight w:val="none"/>
        </w:rPr>
        <w:t>。</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2．甲方有权依据双方签订的考评办法对乙方提供的服务进行定期考评。当考评结果未达到标准时，有权依据考评办法约定的数额扣除履约保证金。</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3．</w:t>
      </w:r>
      <w:r>
        <w:rPr>
          <w:rFonts w:hAnsi="宋体"/>
          <w:bCs/>
          <w:sz w:val="22"/>
          <w:highlight w:val="none"/>
        </w:rPr>
        <w:t>负责检查监督乙方管理工作的实施及制度的执行情况。</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4．</w:t>
      </w:r>
      <w:r>
        <w:rPr>
          <w:rFonts w:hAnsi="宋体"/>
          <w:bCs/>
          <w:sz w:val="22"/>
          <w:highlight w:val="none"/>
        </w:rPr>
        <w:t>根据本合同规定，按时向乙方支付应付</w:t>
      </w:r>
      <w:r>
        <w:rPr>
          <w:rFonts w:hint="eastAsia" w:hAnsi="宋体"/>
          <w:bCs/>
          <w:sz w:val="22"/>
          <w:highlight w:val="none"/>
        </w:rPr>
        <w:t>服务费用</w:t>
      </w:r>
      <w:r>
        <w:rPr>
          <w:rFonts w:hAnsi="宋体"/>
          <w:bCs/>
          <w:sz w:val="22"/>
          <w:highlight w:val="none"/>
        </w:rPr>
        <w:t>。</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5．</w:t>
      </w:r>
      <w:r>
        <w:rPr>
          <w:rFonts w:hAnsi="宋体"/>
          <w:bCs/>
          <w:sz w:val="22"/>
          <w:highlight w:val="none"/>
        </w:rPr>
        <w:t>国家法律、法规所规定由甲方承担的其它责任。</w:t>
      </w:r>
    </w:p>
    <w:p>
      <w:pPr>
        <w:numPr>
          <w:ilvl w:val="0"/>
          <w:numId w:val="9"/>
        </w:numPr>
        <w:spacing w:line="440" w:lineRule="exact"/>
        <w:rPr>
          <w:rFonts w:hAnsi="宋体"/>
          <w:b/>
          <w:sz w:val="22"/>
          <w:highlight w:val="none"/>
        </w:rPr>
      </w:pPr>
      <w:bookmarkStart w:id="247" w:name="_Toc24380_WPSOffice_Level2"/>
      <w:bookmarkStart w:id="248" w:name="_Toc27340_WPSOffice_Level2"/>
      <w:r>
        <w:rPr>
          <w:rFonts w:hAnsi="宋体"/>
          <w:b/>
          <w:sz w:val="22"/>
          <w:highlight w:val="none"/>
        </w:rPr>
        <w:t>乙方的权利和义务</w:t>
      </w:r>
      <w:bookmarkEnd w:id="247"/>
      <w:bookmarkEnd w:id="248"/>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1．</w:t>
      </w:r>
      <w:r>
        <w:rPr>
          <w:rFonts w:hAnsi="宋体"/>
          <w:bCs/>
          <w:sz w:val="22"/>
          <w:highlight w:val="none"/>
        </w:rPr>
        <w:t>对本合同规定的委托</w:t>
      </w:r>
      <w:r>
        <w:rPr>
          <w:rFonts w:hint="eastAsia" w:hAnsi="宋体"/>
          <w:bCs/>
          <w:sz w:val="22"/>
          <w:highlight w:val="none"/>
        </w:rPr>
        <w:t>服务</w:t>
      </w:r>
      <w:r>
        <w:rPr>
          <w:rFonts w:hAnsi="宋体"/>
          <w:bCs/>
          <w:sz w:val="22"/>
          <w:highlight w:val="none"/>
        </w:rPr>
        <w:t>范围内的</w:t>
      </w:r>
      <w:r>
        <w:rPr>
          <w:rFonts w:hint="eastAsia" w:hAnsi="宋体"/>
          <w:bCs/>
          <w:sz w:val="22"/>
          <w:highlight w:val="none"/>
        </w:rPr>
        <w:t>项目</w:t>
      </w:r>
      <w:r>
        <w:rPr>
          <w:rFonts w:hAnsi="宋体"/>
          <w:bCs/>
          <w:sz w:val="22"/>
          <w:highlight w:val="none"/>
        </w:rPr>
        <w:t>享有管理权及服务义务。</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2．</w:t>
      </w:r>
      <w:r>
        <w:rPr>
          <w:rFonts w:hAnsi="宋体"/>
          <w:bCs/>
          <w:sz w:val="22"/>
          <w:highlight w:val="none"/>
        </w:rPr>
        <w:t>根据本合同的规定向甲方收取相关</w:t>
      </w:r>
      <w:r>
        <w:rPr>
          <w:rFonts w:hint="eastAsia" w:hAnsi="宋体"/>
          <w:bCs/>
          <w:sz w:val="22"/>
          <w:highlight w:val="none"/>
        </w:rPr>
        <w:t>服务</w:t>
      </w:r>
      <w:r>
        <w:rPr>
          <w:rFonts w:hAnsi="宋体"/>
          <w:bCs/>
          <w:sz w:val="22"/>
          <w:highlight w:val="none"/>
        </w:rPr>
        <w:t>费用，并有权</w:t>
      </w:r>
      <w:r>
        <w:rPr>
          <w:rFonts w:hint="eastAsia" w:hAnsi="宋体"/>
          <w:bCs/>
          <w:sz w:val="22"/>
          <w:highlight w:val="none"/>
        </w:rPr>
        <w:t>在本项目管理范围内</w:t>
      </w:r>
      <w:r>
        <w:rPr>
          <w:rFonts w:hAnsi="宋体"/>
          <w:bCs/>
          <w:sz w:val="22"/>
          <w:highlight w:val="none"/>
        </w:rPr>
        <w:t>管理及合理使用。</w:t>
      </w:r>
    </w:p>
    <w:p>
      <w:pPr>
        <w:spacing w:line="440" w:lineRule="exact"/>
        <w:ind w:firstLine="440" w:firstLineChars="200"/>
        <w:jc w:val="left"/>
        <w:textAlignment w:val="baseline"/>
        <w:rPr>
          <w:rFonts w:hAnsi="宋体"/>
          <w:sz w:val="22"/>
          <w:highlight w:val="none"/>
        </w:rPr>
      </w:pPr>
      <w:r>
        <w:rPr>
          <w:rFonts w:hint="eastAsia" w:hAnsi="宋体"/>
          <w:sz w:val="22"/>
          <w:highlight w:val="none"/>
        </w:rPr>
        <w:t>3．及时向甲方通告本项目服务范围内有关服务的重大事项，及时配合处理投诉。</w:t>
      </w:r>
    </w:p>
    <w:p>
      <w:pPr>
        <w:spacing w:line="440" w:lineRule="exact"/>
        <w:ind w:firstLine="440" w:firstLineChars="200"/>
        <w:jc w:val="left"/>
        <w:textAlignment w:val="baseline"/>
        <w:rPr>
          <w:rFonts w:hAnsi="宋体"/>
          <w:bCs/>
          <w:sz w:val="22"/>
          <w:highlight w:val="none"/>
        </w:rPr>
      </w:pPr>
      <w:r>
        <w:rPr>
          <w:rFonts w:hint="eastAsia" w:hAnsi="宋体"/>
          <w:sz w:val="22"/>
          <w:highlight w:val="none"/>
        </w:rPr>
        <w:t>4．</w:t>
      </w:r>
      <w:r>
        <w:rPr>
          <w:rFonts w:hAnsi="宋体"/>
          <w:bCs/>
          <w:sz w:val="22"/>
          <w:highlight w:val="none"/>
        </w:rPr>
        <w:t>接受</w:t>
      </w:r>
      <w:r>
        <w:rPr>
          <w:rFonts w:hint="eastAsia" w:hAnsi="宋体"/>
          <w:bCs/>
          <w:sz w:val="22"/>
          <w:highlight w:val="none"/>
        </w:rPr>
        <w:t>项目行</w:t>
      </w:r>
      <w:r>
        <w:rPr>
          <w:rFonts w:hAnsi="宋体"/>
          <w:bCs/>
          <w:sz w:val="22"/>
          <w:highlight w:val="none"/>
        </w:rPr>
        <w:t>业管理部门及政府有关部门的指导，接受甲方的监督。</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5．</w:t>
      </w:r>
      <w:r>
        <w:rPr>
          <w:rFonts w:hAnsi="宋体"/>
          <w:bCs/>
          <w:sz w:val="22"/>
          <w:highlight w:val="none"/>
        </w:rPr>
        <w:t>国家法律、法规所规定由乙方承担的其它责任。</w:t>
      </w:r>
    </w:p>
    <w:p>
      <w:pPr>
        <w:numPr>
          <w:ilvl w:val="0"/>
          <w:numId w:val="9"/>
        </w:numPr>
        <w:spacing w:line="440" w:lineRule="exact"/>
        <w:rPr>
          <w:rFonts w:hAnsi="宋体"/>
          <w:b/>
          <w:sz w:val="22"/>
          <w:highlight w:val="none"/>
        </w:rPr>
      </w:pPr>
      <w:bookmarkStart w:id="249" w:name="_Toc32327_WPSOffice_Level2"/>
      <w:bookmarkStart w:id="250" w:name="_Toc1856_WPSOffice_Level2"/>
      <w:r>
        <w:rPr>
          <w:rFonts w:hAnsi="宋体"/>
          <w:b/>
          <w:sz w:val="22"/>
          <w:highlight w:val="none"/>
        </w:rPr>
        <w:t>违约责任</w:t>
      </w:r>
      <w:bookmarkEnd w:id="249"/>
      <w:bookmarkEnd w:id="250"/>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1．</w:t>
      </w:r>
      <w:r>
        <w:rPr>
          <w:rFonts w:hAnsi="宋体"/>
          <w:bCs/>
          <w:sz w:val="22"/>
          <w:highlight w:val="none"/>
        </w:rPr>
        <w:t>甲乙双方必须遵守本合同并执行合同中的各项规定，保证</w:t>
      </w:r>
      <w:r>
        <w:rPr>
          <w:rFonts w:hint="eastAsia" w:hAnsi="宋体"/>
          <w:bCs/>
          <w:sz w:val="22"/>
          <w:highlight w:val="none"/>
        </w:rPr>
        <w:t>本</w:t>
      </w:r>
      <w:r>
        <w:rPr>
          <w:rFonts w:hAnsi="宋体"/>
          <w:bCs/>
          <w:sz w:val="22"/>
          <w:highlight w:val="none"/>
        </w:rPr>
        <w:t>合同的正常</w:t>
      </w:r>
      <w:r>
        <w:rPr>
          <w:rFonts w:hint="eastAsia" w:hAnsi="宋体"/>
          <w:bCs/>
          <w:sz w:val="22"/>
          <w:highlight w:val="none"/>
        </w:rPr>
        <w:t>履行</w:t>
      </w:r>
      <w:r>
        <w:rPr>
          <w:rFonts w:hAnsi="宋体"/>
          <w:bCs/>
          <w:sz w:val="22"/>
          <w:highlight w:val="none"/>
        </w:rPr>
        <w:t>。</w:t>
      </w:r>
    </w:p>
    <w:p>
      <w:pPr>
        <w:spacing w:line="440" w:lineRule="exact"/>
        <w:ind w:firstLine="440" w:firstLineChars="200"/>
        <w:jc w:val="left"/>
        <w:textAlignment w:val="baseline"/>
        <w:rPr>
          <w:rFonts w:hAnsi="宋体"/>
          <w:bCs/>
          <w:sz w:val="22"/>
          <w:highlight w:val="none"/>
        </w:rPr>
      </w:pPr>
      <w:r>
        <w:rPr>
          <w:rFonts w:hint="eastAsia" w:hAnsi="宋体"/>
          <w:bCs/>
          <w:sz w:val="22"/>
          <w:highlight w:val="none"/>
        </w:rPr>
        <w:t>2．</w:t>
      </w:r>
      <w:r>
        <w:rPr>
          <w:rFonts w:hAnsi="宋体"/>
          <w:bCs/>
          <w:sz w:val="22"/>
          <w:highlight w:val="none"/>
        </w:rPr>
        <w:t>如因乙方</w:t>
      </w:r>
      <w:r>
        <w:rPr>
          <w:rFonts w:hint="eastAsia" w:hAnsi="宋体"/>
          <w:bCs/>
          <w:sz w:val="22"/>
          <w:highlight w:val="none"/>
        </w:rPr>
        <w:t>工作人员在履行职务过程中的</w:t>
      </w:r>
      <w:r>
        <w:rPr>
          <w:rFonts w:hAnsi="宋体"/>
          <w:bCs/>
          <w:sz w:val="22"/>
          <w:highlight w:val="none"/>
        </w:rPr>
        <w:t>的疏忽、失职、过错等</w:t>
      </w:r>
      <w:r>
        <w:rPr>
          <w:rFonts w:hint="eastAsia" w:hAnsi="宋体"/>
          <w:bCs/>
          <w:sz w:val="22"/>
          <w:highlight w:val="none"/>
        </w:rPr>
        <w:t>故意或者过失</w:t>
      </w:r>
      <w:r>
        <w:rPr>
          <w:rFonts w:hAnsi="宋体"/>
          <w:bCs/>
          <w:sz w:val="22"/>
          <w:highlight w:val="none"/>
        </w:rPr>
        <w:t>原因给甲方造成损失或侵害，</w:t>
      </w:r>
      <w:r>
        <w:rPr>
          <w:rFonts w:hint="eastAsia" w:hAnsi="宋体"/>
          <w:bCs/>
          <w:sz w:val="22"/>
          <w:highlight w:val="none"/>
        </w:rPr>
        <w:t>包括但不限于甲方本身的财产损失、由此而导致的甲方对任何第三方的法律责任等，乙方对此均应承担全部的赔偿责任</w:t>
      </w:r>
      <w:r>
        <w:rPr>
          <w:rFonts w:hAnsi="宋体"/>
          <w:bCs/>
          <w:sz w:val="22"/>
          <w:highlight w:val="none"/>
        </w:rPr>
        <w:t>。</w:t>
      </w:r>
    </w:p>
    <w:p>
      <w:pPr>
        <w:numPr>
          <w:ilvl w:val="0"/>
          <w:numId w:val="9"/>
        </w:numPr>
        <w:spacing w:line="440" w:lineRule="exact"/>
        <w:rPr>
          <w:rFonts w:hAnsi="宋体"/>
          <w:b/>
          <w:sz w:val="22"/>
          <w:highlight w:val="none"/>
        </w:rPr>
      </w:pPr>
      <w:bookmarkStart w:id="251" w:name="_Toc8203_WPSOffice_Level2"/>
      <w:bookmarkStart w:id="252" w:name="_Toc30397_WPSOffice_Level2"/>
      <w:r>
        <w:rPr>
          <w:rFonts w:hint="eastAsia" w:hAnsi="宋体"/>
          <w:b/>
          <w:sz w:val="22"/>
          <w:highlight w:val="none"/>
        </w:rPr>
        <w:t>不可抗力事件处理</w:t>
      </w:r>
      <w:bookmarkEnd w:id="251"/>
      <w:bookmarkEnd w:id="252"/>
    </w:p>
    <w:p>
      <w:pPr>
        <w:tabs>
          <w:tab w:val="left" w:pos="0"/>
        </w:tabs>
        <w:spacing w:line="440" w:lineRule="exact"/>
        <w:ind w:firstLine="440" w:firstLineChars="200"/>
        <w:rPr>
          <w:rFonts w:hAnsi="宋体"/>
          <w:sz w:val="22"/>
          <w:highlight w:val="none"/>
        </w:rPr>
      </w:pPr>
      <w:r>
        <w:rPr>
          <w:rFonts w:hint="eastAsia" w:hAnsi="宋体"/>
          <w:sz w:val="22"/>
          <w:highlight w:val="none"/>
        </w:rPr>
        <w:t>1．在合同有效期内，任何一方因不可抗力事件导致不能履行合同，则合同履行期可延长，其延长期与不可抗力影响期相同。</w:t>
      </w:r>
    </w:p>
    <w:p>
      <w:pPr>
        <w:tabs>
          <w:tab w:val="left" w:pos="0"/>
        </w:tabs>
        <w:spacing w:line="440" w:lineRule="exact"/>
        <w:ind w:firstLine="440" w:firstLineChars="200"/>
        <w:rPr>
          <w:rFonts w:hAnsi="宋体"/>
          <w:sz w:val="22"/>
          <w:highlight w:val="none"/>
        </w:rPr>
      </w:pPr>
      <w:r>
        <w:rPr>
          <w:rFonts w:hint="eastAsia" w:hAnsi="宋体"/>
          <w:sz w:val="22"/>
          <w:highlight w:val="none"/>
        </w:rPr>
        <w:t>2．不可抗力事件发生后，应立即通知对方，并寄送有关权威机构出具的证明。</w:t>
      </w:r>
    </w:p>
    <w:p>
      <w:pPr>
        <w:tabs>
          <w:tab w:val="left" w:pos="0"/>
        </w:tabs>
        <w:spacing w:line="440" w:lineRule="exact"/>
        <w:ind w:firstLine="440" w:firstLineChars="200"/>
        <w:rPr>
          <w:rFonts w:hAnsi="宋体"/>
          <w:sz w:val="22"/>
          <w:highlight w:val="none"/>
        </w:rPr>
      </w:pPr>
      <w:r>
        <w:rPr>
          <w:rFonts w:hint="eastAsia" w:hAnsi="宋体"/>
          <w:sz w:val="22"/>
          <w:highlight w:val="none"/>
        </w:rPr>
        <w:t>3．不可抗力事件延续天以上，双方应通过友好协商，确定是否继续履行合同。</w:t>
      </w:r>
    </w:p>
    <w:p>
      <w:pPr>
        <w:numPr>
          <w:ilvl w:val="0"/>
          <w:numId w:val="9"/>
        </w:numPr>
        <w:spacing w:line="440" w:lineRule="exact"/>
        <w:rPr>
          <w:rFonts w:hAnsi="宋体"/>
          <w:b/>
          <w:sz w:val="22"/>
          <w:highlight w:val="none"/>
        </w:rPr>
      </w:pPr>
      <w:bookmarkStart w:id="253" w:name="_Toc32424_WPSOffice_Level2"/>
      <w:bookmarkStart w:id="254" w:name="_Toc23754_WPSOffice_Level2"/>
      <w:r>
        <w:rPr>
          <w:rFonts w:hint="eastAsia" w:hAnsi="宋体"/>
          <w:b/>
          <w:sz w:val="22"/>
          <w:highlight w:val="none"/>
        </w:rPr>
        <w:t>解</w:t>
      </w:r>
      <w:r>
        <w:rPr>
          <w:rFonts w:hAnsi="宋体"/>
          <w:b/>
          <w:sz w:val="22"/>
          <w:highlight w:val="none"/>
        </w:rPr>
        <w:t>决合同纠纷的方式</w:t>
      </w:r>
      <w:bookmarkEnd w:id="253"/>
      <w:bookmarkEnd w:id="254"/>
    </w:p>
    <w:p>
      <w:pPr>
        <w:tabs>
          <w:tab w:val="left" w:pos="0"/>
        </w:tabs>
        <w:spacing w:line="440" w:lineRule="exact"/>
        <w:ind w:firstLine="440" w:firstLineChars="200"/>
        <w:rPr>
          <w:rFonts w:hAnsi="宋体"/>
          <w:sz w:val="22"/>
          <w:highlight w:val="none"/>
        </w:rPr>
      </w:pPr>
      <w:r>
        <w:rPr>
          <w:rFonts w:hAnsi="宋体"/>
          <w:sz w:val="22"/>
          <w:highlight w:val="none"/>
        </w:rPr>
        <w:t>在执行本合同中发生的或与本合同有关的争端，双方应通过友好协商解决</w:t>
      </w:r>
      <w:r>
        <w:rPr>
          <w:rFonts w:hint="eastAsia" w:hAnsi="宋体"/>
          <w:sz w:val="22"/>
          <w:highlight w:val="none"/>
        </w:rPr>
        <w:t>4．。不愿通过协商、调解解决或者协商、调解不成的，可向甲方所在地人民法院起诉。</w:t>
      </w:r>
    </w:p>
    <w:p>
      <w:pPr>
        <w:numPr>
          <w:ilvl w:val="0"/>
          <w:numId w:val="9"/>
        </w:numPr>
        <w:spacing w:line="440" w:lineRule="exact"/>
        <w:rPr>
          <w:rFonts w:hAnsi="宋体"/>
          <w:b/>
          <w:sz w:val="22"/>
          <w:highlight w:val="none"/>
        </w:rPr>
      </w:pPr>
      <w:bookmarkStart w:id="255" w:name="_Toc3019_WPSOffice_Level2"/>
      <w:bookmarkStart w:id="256" w:name="_Toc19848_WPSOffice_Level2"/>
      <w:r>
        <w:rPr>
          <w:rFonts w:hAnsi="宋体"/>
          <w:b/>
          <w:sz w:val="22"/>
          <w:highlight w:val="none"/>
        </w:rPr>
        <w:t>合同</w:t>
      </w:r>
      <w:r>
        <w:rPr>
          <w:rFonts w:hint="eastAsia" w:hAnsi="宋体"/>
          <w:b/>
          <w:sz w:val="22"/>
          <w:highlight w:val="none"/>
        </w:rPr>
        <w:t>生效及其他</w:t>
      </w:r>
      <w:bookmarkEnd w:id="255"/>
      <w:bookmarkEnd w:id="256"/>
    </w:p>
    <w:p>
      <w:pPr>
        <w:spacing w:line="440" w:lineRule="exact"/>
        <w:ind w:firstLine="440" w:firstLineChars="200"/>
        <w:rPr>
          <w:rFonts w:hAnsi="宋体"/>
          <w:sz w:val="22"/>
          <w:highlight w:val="none"/>
        </w:rPr>
      </w:pPr>
      <w:r>
        <w:rPr>
          <w:rFonts w:hint="eastAsia" w:hAnsi="宋体"/>
          <w:sz w:val="22"/>
          <w:highlight w:val="none"/>
        </w:rPr>
        <w:t>1．合同经双方法定代表人或其授权委托代理人签字并加盖单位公章后生效。</w:t>
      </w:r>
    </w:p>
    <w:p>
      <w:pPr>
        <w:spacing w:line="440" w:lineRule="exact"/>
        <w:ind w:firstLine="440" w:firstLineChars="200"/>
        <w:rPr>
          <w:rFonts w:hAnsi="宋体"/>
          <w:sz w:val="22"/>
          <w:highlight w:val="none"/>
        </w:rPr>
      </w:pPr>
      <w:r>
        <w:rPr>
          <w:rFonts w:hint="eastAsia" w:hAnsi="宋体"/>
          <w:sz w:val="22"/>
          <w:highlight w:val="none"/>
        </w:rPr>
        <w:t>2．合同执行中涉及采购资金和采购内容修改或补充的，须经政府采购监管部门审批，并签书面补充协议报政府采购监督管理部门备案，方可作为主合同不可分割的一部分。</w:t>
      </w:r>
    </w:p>
    <w:p>
      <w:pPr>
        <w:spacing w:line="440" w:lineRule="exact"/>
        <w:ind w:firstLine="440" w:firstLineChars="200"/>
        <w:rPr>
          <w:rFonts w:hAnsi="宋体"/>
          <w:sz w:val="22"/>
          <w:highlight w:val="none"/>
        </w:rPr>
      </w:pPr>
      <w:r>
        <w:rPr>
          <w:rFonts w:hint="eastAsia" w:hAnsi="宋体"/>
          <w:sz w:val="22"/>
          <w:highlight w:val="none"/>
        </w:rPr>
        <w:t>本合同一式</w:t>
      </w:r>
      <w:r>
        <w:rPr>
          <w:rFonts w:hint="eastAsia" w:hAnsi="宋体"/>
          <w:sz w:val="22"/>
          <w:highlight w:val="none"/>
          <w:u w:val="single"/>
        </w:rPr>
        <w:t xml:space="preserve"> </w:t>
      </w:r>
      <w:r>
        <w:rPr>
          <w:rFonts w:hint="eastAsia" w:hAnsi="宋体"/>
          <w:sz w:val="22"/>
          <w:highlight w:val="none"/>
          <w:u w:val="single"/>
          <w:lang w:eastAsia="zh-CN"/>
        </w:rPr>
        <w:t>伍</w:t>
      </w:r>
      <w:r>
        <w:rPr>
          <w:rFonts w:hint="eastAsia" w:hAnsi="宋体"/>
          <w:sz w:val="22"/>
          <w:highlight w:val="none"/>
          <w:u w:val="single"/>
        </w:rPr>
        <w:t xml:space="preserve"> </w:t>
      </w:r>
      <w:r>
        <w:rPr>
          <w:rFonts w:hint="eastAsia" w:hAnsi="宋体"/>
          <w:sz w:val="22"/>
          <w:highlight w:val="none"/>
        </w:rPr>
        <w:t>份，自双方签章之日起生效。甲</w:t>
      </w:r>
      <w:r>
        <w:rPr>
          <w:rFonts w:hint="eastAsia" w:hAnsi="宋体"/>
          <w:sz w:val="22"/>
          <w:highlight w:val="none"/>
          <w:lang w:eastAsia="zh-CN"/>
        </w:rPr>
        <w:t>、乙双</w:t>
      </w:r>
      <w:r>
        <w:rPr>
          <w:rFonts w:hint="eastAsia" w:hAnsi="宋体"/>
          <w:sz w:val="22"/>
          <w:highlight w:val="none"/>
        </w:rPr>
        <w:t>方</w:t>
      </w:r>
      <w:r>
        <w:rPr>
          <w:rFonts w:hint="eastAsia" w:hAnsi="宋体"/>
          <w:sz w:val="22"/>
          <w:highlight w:val="none"/>
          <w:lang w:eastAsia="zh-CN"/>
        </w:rPr>
        <w:t>各</w:t>
      </w:r>
      <w:r>
        <w:rPr>
          <w:rFonts w:hint="eastAsia" w:hAnsi="宋体"/>
          <w:sz w:val="22"/>
          <w:highlight w:val="none"/>
          <w:u w:val="single"/>
        </w:rPr>
        <w:t xml:space="preserve"> </w:t>
      </w:r>
      <w:r>
        <w:rPr>
          <w:rFonts w:hint="eastAsia" w:hAnsi="宋体"/>
          <w:sz w:val="22"/>
          <w:highlight w:val="none"/>
          <w:u w:val="single"/>
          <w:lang w:eastAsia="zh-CN"/>
        </w:rPr>
        <w:t>贰</w:t>
      </w:r>
      <w:r>
        <w:rPr>
          <w:rFonts w:hint="eastAsia" w:hAnsi="宋体"/>
          <w:sz w:val="22"/>
          <w:highlight w:val="none"/>
          <w:u w:val="single"/>
        </w:rPr>
        <w:t xml:space="preserve"> </w:t>
      </w:r>
      <w:r>
        <w:rPr>
          <w:rFonts w:hint="eastAsia" w:hAnsi="宋体"/>
          <w:sz w:val="22"/>
          <w:highlight w:val="none"/>
        </w:rPr>
        <w:t>份，乙方、政府采购管理部门、采购代理机构各</w:t>
      </w:r>
      <w:r>
        <w:rPr>
          <w:rFonts w:hint="eastAsia" w:hAnsi="宋体"/>
          <w:sz w:val="22"/>
          <w:highlight w:val="none"/>
          <w:u w:val="single"/>
        </w:rPr>
        <w:t xml:space="preserve"> </w:t>
      </w:r>
      <w:r>
        <w:rPr>
          <w:rFonts w:hint="eastAsia" w:hAnsi="宋体"/>
          <w:sz w:val="22"/>
          <w:highlight w:val="none"/>
          <w:u w:val="single"/>
          <w:lang w:eastAsia="zh-CN"/>
        </w:rPr>
        <w:t>壹</w:t>
      </w:r>
      <w:r>
        <w:rPr>
          <w:rFonts w:hint="eastAsia" w:hAnsi="宋体"/>
          <w:sz w:val="22"/>
          <w:highlight w:val="none"/>
          <w:u w:val="single"/>
        </w:rPr>
        <w:t xml:space="preserve"> </w:t>
      </w:r>
      <w:r>
        <w:rPr>
          <w:rFonts w:hint="eastAsia" w:hAnsi="宋体"/>
          <w:sz w:val="22"/>
          <w:highlight w:val="none"/>
        </w:rPr>
        <w:t>份。</w:t>
      </w:r>
    </w:p>
    <w:p>
      <w:pPr>
        <w:numPr>
          <w:ilvl w:val="0"/>
          <w:numId w:val="9"/>
        </w:numPr>
        <w:spacing w:line="440" w:lineRule="exact"/>
        <w:rPr>
          <w:rFonts w:hAnsi="宋体"/>
          <w:b/>
          <w:sz w:val="22"/>
          <w:highlight w:val="none"/>
        </w:rPr>
      </w:pPr>
      <w:bookmarkStart w:id="257" w:name="_Toc12210_WPSOffice_Level2"/>
      <w:bookmarkStart w:id="258" w:name="_Toc11516_WPSOffice_Level2"/>
      <w:r>
        <w:rPr>
          <w:rFonts w:hint="eastAsia" w:hAnsi="宋体"/>
          <w:b/>
          <w:sz w:val="22"/>
          <w:highlight w:val="none"/>
        </w:rPr>
        <w:t>附件</w:t>
      </w:r>
      <w:bookmarkEnd w:id="257"/>
      <w:bookmarkEnd w:id="258"/>
    </w:p>
    <w:p>
      <w:pPr>
        <w:spacing w:line="440" w:lineRule="exact"/>
        <w:ind w:firstLine="440" w:firstLineChars="200"/>
        <w:rPr>
          <w:rFonts w:hAnsi="宋体"/>
          <w:sz w:val="22"/>
          <w:highlight w:val="none"/>
        </w:rPr>
      </w:pPr>
      <w:r>
        <w:rPr>
          <w:rFonts w:hint="eastAsia" w:hAnsi="宋体"/>
          <w:sz w:val="22"/>
          <w:highlight w:val="none"/>
        </w:rPr>
        <w:t>1．项目采购文件</w:t>
      </w:r>
    </w:p>
    <w:p>
      <w:pPr>
        <w:spacing w:line="440" w:lineRule="exact"/>
        <w:ind w:firstLine="440" w:firstLineChars="200"/>
        <w:rPr>
          <w:rFonts w:hAnsi="宋体"/>
          <w:sz w:val="22"/>
          <w:highlight w:val="none"/>
        </w:rPr>
      </w:pPr>
      <w:r>
        <w:rPr>
          <w:rFonts w:hint="eastAsia" w:hAnsi="宋体"/>
          <w:sz w:val="22"/>
          <w:highlight w:val="none"/>
        </w:rPr>
        <w:t>2．项目修改澄清文件</w:t>
      </w:r>
    </w:p>
    <w:p>
      <w:pPr>
        <w:spacing w:line="440" w:lineRule="exact"/>
        <w:ind w:firstLine="440" w:firstLineChars="200"/>
        <w:rPr>
          <w:rFonts w:hAnsi="宋体"/>
          <w:sz w:val="22"/>
          <w:highlight w:val="none"/>
        </w:rPr>
      </w:pPr>
      <w:r>
        <w:rPr>
          <w:rFonts w:hint="eastAsia" w:hAnsi="宋体"/>
          <w:sz w:val="22"/>
          <w:highlight w:val="none"/>
        </w:rPr>
        <w:t>3．项目响应文件</w:t>
      </w:r>
    </w:p>
    <w:p>
      <w:pPr>
        <w:spacing w:line="440" w:lineRule="exact"/>
        <w:ind w:firstLine="440" w:firstLineChars="200"/>
        <w:rPr>
          <w:rFonts w:hAnsi="宋体"/>
          <w:sz w:val="22"/>
          <w:highlight w:val="none"/>
        </w:rPr>
      </w:pPr>
      <w:r>
        <w:rPr>
          <w:rFonts w:hint="eastAsia" w:hAnsi="宋体"/>
          <w:sz w:val="22"/>
          <w:highlight w:val="none"/>
        </w:rPr>
        <w:t>4．成交通知书</w:t>
      </w:r>
    </w:p>
    <w:p>
      <w:pPr>
        <w:spacing w:line="440" w:lineRule="exact"/>
        <w:ind w:firstLine="440" w:firstLineChars="200"/>
        <w:rPr>
          <w:rFonts w:hAnsi="宋体"/>
          <w:sz w:val="22"/>
          <w:highlight w:val="none"/>
        </w:rPr>
      </w:pPr>
      <w:r>
        <w:rPr>
          <w:rFonts w:hint="eastAsia" w:hAnsi="宋体"/>
          <w:sz w:val="22"/>
          <w:highlight w:val="none"/>
        </w:rPr>
        <w:t>5．其他</w:t>
      </w:r>
    </w:p>
    <w:p>
      <w:pPr>
        <w:spacing w:line="440" w:lineRule="exact"/>
        <w:rPr>
          <w:rFonts w:hAnsi="宋体"/>
          <w:sz w:val="22"/>
          <w:highlight w:val="none"/>
        </w:rPr>
      </w:pPr>
    </w:p>
    <w:p>
      <w:pPr>
        <w:spacing w:line="440" w:lineRule="exact"/>
        <w:rPr>
          <w:rFonts w:hAnsi="宋体"/>
          <w:sz w:val="22"/>
          <w:highlight w:val="none"/>
        </w:rPr>
      </w:pPr>
    </w:p>
    <w:p>
      <w:pPr>
        <w:spacing w:line="440" w:lineRule="exact"/>
        <w:ind w:firstLine="440" w:firstLineChars="200"/>
        <w:rPr>
          <w:rFonts w:hAnsi="宋体"/>
          <w:sz w:val="22"/>
          <w:highlight w:val="none"/>
        </w:rPr>
      </w:pPr>
      <w:r>
        <w:rPr>
          <w:rFonts w:hint="eastAsia" w:hAnsi="宋体"/>
          <w:sz w:val="22"/>
          <w:highlight w:val="none"/>
        </w:rPr>
        <w:t>甲方：   （盖章）</w:t>
      </w:r>
      <w:r>
        <w:rPr>
          <w:rFonts w:hAnsi="宋体"/>
          <w:sz w:val="22"/>
          <w:highlight w:val="none"/>
        </w:rPr>
        <w:tab/>
      </w:r>
      <w:r>
        <w:rPr>
          <w:rFonts w:hAnsi="宋体"/>
          <w:sz w:val="22"/>
          <w:highlight w:val="none"/>
        </w:rPr>
        <w:tab/>
      </w:r>
      <w:r>
        <w:rPr>
          <w:rFonts w:hAnsi="宋体"/>
          <w:sz w:val="22"/>
          <w:highlight w:val="none"/>
        </w:rPr>
        <w:tab/>
      </w:r>
      <w:r>
        <w:rPr>
          <w:rFonts w:hint="eastAsia" w:hAnsi="宋体"/>
          <w:sz w:val="22"/>
          <w:highlight w:val="none"/>
          <w:lang w:val="en-US" w:eastAsia="zh-CN"/>
        </w:rPr>
        <w:t xml:space="preserve">      </w:t>
      </w:r>
      <w:r>
        <w:rPr>
          <w:rFonts w:hint="eastAsia" w:hAnsi="宋体"/>
          <w:sz w:val="22"/>
          <w:highlight w:val="none"/>
        </w:rPr>
        <w:t xml:space="preserve"> 乙方：（盖章）</w:t>
      </w:r>
    </w:p>
    <w:p>
      <w:pPr>
        <w:spacing w:line="440" w:lineRule="exact"/>
        <w:ind w:firstLine="440" w:firstLineChars="200"/>
        <w:rPr>
          <w:rFonts w:hAnsi="宋体"/>
          <w:sz w:val="22"/>
          <w:highlight w:val="none"/>
        </w:rPr>
      </w:pPr>
      <w:r>
        <w:rPr>
          <w:rFonts w:hint="eastAsia" w:hAnsi="宋体"/>
          <w:sz w:val="22"/>
          <w:highlight w:val="none"/>
        </w:rPr>
        <w:t>法定代表人或授权代表：</w:t>
      </w:r>
      <w:r>
        <w:rPr>
          <w:rFonts w:hint="eastAsia" w:hAnsi="宋体"/>
          <w:sz w:val="22"/>
          <w:highlight w:val="none"/>
          <w:lang w:val="en-US" w:eastAsia="zh-CN"/>
        </w:rPr>
        <w:t xml:space="preserve">            </w:t>
      </w:r>
      <w:r>
        <w:rPr>
          <w:rFonts w:hint="eastAsia" w:hAnsi="宋体"/>
          <w:sz w:val="22"/>
          <w:highlight w:val="none"/>
        </w:rPr>
        <w:t>法定代表人或授权代表：</w:t>
      </w:r>
    </w:p>
    <w:p>
      <w:pPr>
        <w:spacing w:line="440" w:lineRule="exact"/>
        <w:ind w:firstLine="440" w:firstLineChars="200"/>
        <w:rPr>
          <w:rFonts w:hAnsi="宋体"/>
          <w:sz w:val="22"/>
          <w:highlight w:val="none"/>
        </w:rPr>
      </w:pPr>
      <w:r>
        <w:rPr>
          <w:rFonts w:hint="eastAsia" w:hAnsi="宋体"/>
          <w:sz w:val="22"/>
          <w:highlight w:val="none"/>
        </w:rPr>
        <w:t>地址：</w:t>
      </w:r>
      <w:r>
        <w:rPr>
          <w:rFonts w:hint="eastAsia" w:hAnsi="宋体"/>
          <w:sz w:val="22"/>
          <w:highlight w:val="none"/>
          <w:lang w:val="en-US" w:eastAsia="zh-CN"/>
        </w:rPr>
        <w:t xml:space="preserve">                           </w:t>
      </w:r>
      <w:r>
        <w:rPr>
          <w:rFonts w:hint="eastAsia" w:hAnsi="宋体"/>
          <w:sz w:val="22"/>
          <w:highlight w:val="none"/>
        </w:rPr>
        <w:t xml:space="preserve"> 地址：</w:t>
      </w:r>
    </w:p>
    <w:p>
      <w:pPr>
        <w:spacing w:line="440" w:lineRule="exact"/>
        <w:ind w:firstLine="440" w:firstLineChars="200"/>
        <w:rPr>
          <w:rFonts w:hAnsi="宋体"/>
          <w:sz w:val="22"/>
          <w:highlight w:val="none"/>
        </w:rPr>
      </w:pPr>
      <w:r>
        <w:rPr>
          <w:rFonts w:hint="eastAsia" w:hAnsi="宋体"/>
          <w:sz w:val="22"/>
          <w:highlight w:val="none"/>
        </w:rPr>
        <w:t xml:space="preserve">开户银行： </w:t>
      </w:r>
      <w:r>
        <w:rPr>
          <w:rFonts w:hint="eastAsia" w:hAnsi="宋体"/>
          <w:sz w:val="22"/>
          <w:highlight w:val="none"/>
          <w:lang w:val="en-US" w:eastAsia="zh-CN"/>
        </w:rPr>
        <w:t xml:space="preserve">                       </w:t>
      </w:r>
      <w:r>
        <w:rPr>
          <w:rFonts w:hint="eastAsia" w:hAnsi="宋体"/>
          <w:sz w:val="22"/>
          <w:highlight w:val="none"/>
        </w:rPr>
        <w:t>开户银行：</w:t>
      </w:r>
    </w:p>
    <w:p>
      <w:pPr>
        <w:spacing w:line="440" w:lineRule="exact"/>
        <w:ind w:firstLine="440" w:firstLineChars="200"/>
        <w:rPr>
          <w:rFonts w:hAnsi="宋体"/>
          <w:sz w:val="22"/>
          <w:highlight w:val="none"/>
        </w:rPr>
      </w:pPr>
      <w:r>
        <w:rPr>
          <w:rFonts w:hint="eastAsia" w:hAnsi="宋体"/>
          <w:sz w:val="22"/>
          <w:highlight w:val="none"/>
        </w:rPr>
        <w:t>账 号：</w:t>
      </w:r>
      <w:r>
        <w:rPr>
          <w:rFonts w:hint="eastAsia" w:hAnsi="宋体"/>
          <w:sz w:val="22"/>
          <w:highlight w:val="none"/>
          <w:lang w:val="en-US" w:eastAsia="zh-CN"/>
        </w:rPr>
        <w:t xml:space="preserve">                           </w:t>
      </w:r>
      <w:r>
        <w:rPr>
          <w:rFonts w:hint="eastAsia" w:hAnsi="宋体"/>
          <w:sz w:val="22"/>
          <w:highlight w:val="none"/>
        </w:rPr>
        <w:t>账号：</w:t>
      </w:r>
    </w:p>
    <w:p>
      <w:pPr>
        <w:spacing w:line="440" w:lineRule="exact"/>
        <w:ind w:firstLine="440" w:firstLineChars="200"/>
        <w:rPr>
          <w:rFonts w:hAnsi="宋体"/>
          <w:sz w:val="22"/>
          <w:highlight w:val="none"/>
        </w:rPr>
      </w:pPr>
      <w:r>
        <w:rPr>
          <w:rFonts w:hint="eastAsia" w:hAnsi="宋体"/>
          <w:sz w:val="22"/>
          <w:highlight w:val="none"/>
        </w:rPr>
        <w:t xml:space="preserve">电话： </w:t>
      </w:r>
      <w:r>
        <w:rPr>
          <w:rFonts w:hint="eastAsia" w:hAnsi="宋体"/>
          <w:sz w:val="22"/>
          <w:highlight w:val="none"/>
          <w:lang w:val="en-US" w:eastAsia="zh-CN"/>
        </w:rPr>
        <w:t xml:space="preserve">                           </w:t>
      </w:r>
      <w:r>
        <w:rPr>
          <w:rFonts w:hint="eastAsia" w:hAnsi="宋体"/>
          <w:sz w:val="22"/>
          <w:highlight w:val="none"/>
        </w:rPr>
        <w:t>电话：</w:t>
      </w:r>
    </w:p>
    <w:p>
      <w:pPr>
        <w:spacing w:line="440" w:lineRule="exact"/>
        <w:ind w:firstLine="440" w:firstLineChars="200"/>
        <w:rPr>
          <w:rFonts w:hAnsi="宋体"/>
          <w:sz w:val="22"/>
          <w:highlight w:val="none"/>
        </w:rPr>
      </w:pPr>
      <w:r>
        <w:rPr>
          <w:rFonts w:hint="eastAsia" w:hAnsi="宋体"/>
          <w:sz w:val="22"/>
          <w:highlight w:val="none"/>
        </w:rPr>
        <w:t xml:space="preserve">传真： </w:t>
      </w:r>
      <w:r>
        <w:rPr>
          <w:rFonts w:hint="eastAsia" w:hAnsi="宋体"/>
          <w:sz w:val="22"/>
          <w:highlight w:val="none"/>
          <w:lang w:val="en-US" w:eastAsia="zh-CN"/>
        </w:rPr>
        <w:t xml:space="preserve">                           </w:t>
      </w:r>
      <w:r>
        <w:rPr>
          <w:rFonts w:hint="eastAsia" w:hAnsi="宋体"/>
          <w:sz w:val="22"/>
          <w:highlight w:val="none"/>
        </w:rPr>
        <w:t>传真：</w:t>
      </w:r>
    </w:p>
    <w:p>
      <w:pPr>
        <w:spacing w:line="440" w:lineRule="exact"/>
        <w:ind w:firstLine="440" w:firstLineChars="200"/>
        <w:rPr>
          <w:sz w:val="22"/>
          <w:highlight w:val="none"/>
        </w:rPr>
      </w:pPr>
      <w:r>
        <w:rPr>
          <w:rFonts w:hint="eastAsia" w:hAnsi="宋体"/>
          <w:sz w:val="22"/>
          <w:highlight w:val="none"/>
        </w:rPr>
        <w:t>签约日期：年月日</w:t>
      </w:r>
      <w:r>
        <w:rPr>
          <w:rFonts w:hAnsi="宋体"/>
          <w:sz w:val="22"/>
          <w:highlight w:val="none"/>
        </w:rPr>
        <w:tab/>
      </w:r>
      <w:r>
        <w:rPr>
          <w:rFonts w:hAnsi="宋体"/>
          <w:sz w:val="22"/>
          <w:highlight w:val="none"/>
        </w:rPr>
        <w:tab/>
      </w:r>
      <w:r>
        <w:rPr>
          <w:rFonts w:hint="eastAsia" w:hAnsi="宋体"/>
          <w:sz w:val="22"/>
          <w:highlight w:val="none"/>
          <w:lang w:val="en-US" w:eastAsia="zh-CN"/>
        </w:rPr>
        <w:t xml:space="preserve">          </w:t>
      </w:r>
      <w:r>
        <w:rPr>
          <w:rFonts w:hint="eastAsia" w:hAnsi="宋体"/>
          <w:sz w:val="22"/>
          <w:highlight w:val="none"/>
        </w:rPr>
        <w:t xml:space="preserve"> 签约日期：年月日</w:t>
      </w:r>
    </w:p>
    <w:p>
      <w:pPr>
        <w:rPr>
          <w:highlight w:val="none"/>
        </w:rPr>
      </w:pPr>
    </w:p>
    <w:p>
      <w:pPr>
        <w:pStyle w:val="2"/>
        <w:rPr>
          <w:rFonts w:hint="eastAsia" w:eastAsia="宋体"/>
          <w:highlight w:val="none"/>
          <w:lang w:eastAsia="zh-CN"/>
        </w:rPr>
      </w:pPr>
      <w:r>
        <w:rPr>
          <w:rFonts w:hint="eastAsia" w:ascii="宋体" w:hAnsi="宋体" w:eastAsia="宋体" w:cs="宋体"/>
          <w:b/>
          <w:bCs/>
          <w:sz w:val="24"/>
          <w:szCs w:val="24"/>
          <w:highlight w:val="none"/>
        </w:rPr>
        <w:t>注：合同条款可根据采购人及</w:t>
      </w:r>
      <w:r>
        <w:rPr>
          <w:rFonts w:hint="eastAsia" w:ascii="宋体" w:hAnsi="宋体" w:eastAsia="宋体" w:cs="宋体"/>
          <w:b/>
          <w:bCs/>
          <w:sz w:val="24"/>
          <w:szCs w:val="24"/>
          <w:highlight w:val="none"/>
          <w:lang w:eastAsia="zh-CN"/>
        </w:rPr>
        <w:t>成交供应商</w:t>
      </w:r>
      <w:r>
        <w:rPr>
          <w:rFonts w:hint="eastAsia" w:ascii="宋体" w:hAnsi="宋体" w:eastAsia="宋体" w:cs="宋体"/>
          <w:b/>
          <w:bCs/>
          <w:sz w:val="24"/>
          <w:szCs w:val="24"/>
          <w:highlight w:val="none"/>
        </w:rPr>
        <w:t>签订合同时的实际情况进行修改调整</w:t>
      </w:r>
      <w:r>
        <w:rPr>
          <w:rFonts w:hint="eastAsia" w:ascii="宋体" w:hAnsi="宋体" w:eastAsia="宋体" w:cs="宋体"/>
          <w:b/>
          <w:bCs/>
          <w:sz w:val="24"/>
          <w:szCs w:val="24"/>
          <w:highlight w:val="none"/>
          <w:lang w:eastAsia="zh-CN"/>
        </w:rPr>
        <w:t>。</w:t>
      </w:r>
    </w:p>
    <w:p>
      <w:pPr>
        <w:spacing w:line="0" w:lineRule="atLeast"/>
        <w:ind w:firstLine="240" w:firstLineChars="100"/>
        <w:outlineLvl w:val="0"/>
        <w:rPr>
          <w:rFonts w:hint="eastAsia" w:ascii="宋体" w:hAnsi="宋体" w:eastAsia="宋体" w:cs="宋体"/>
          <w:sz w:val="24"/>
          <w:highlight w:val="none"/>
        </w:rPr>
      </w:pPr>
      <w:r>
        <w:rPr>
          <w:rFonts w:hint="eastAsia" w:ascii="宋体" w:hAnsi="宋体" w:eastAsia="宋体" w:cs="宋体"/>
          <w:sz w:val="24"/>
          <w:highlight w:val="none"/>
        </w:rPr>
        <w:br w:type="page"/>
      </w:r>
      <w:bookmarkStart w:id="259" w:name="_Toc21341"/>
      <w:bookmarkStart w:id="260" w:name="_Toc353"/>
      <w:bookmarkStart w:id="261" w:name="_Toc579"/>
      <w:r>
        <w:rPr>
          <w:rFonts w:hint="eastAsia" w:ascii="宋体" w:hAnsi="宋体" w:eastAsia="宋体" w:cs="宋体"/>
          <w:sz w:val="24"/>
          <w:highlight w:val="none"/>
        </w:rPr>
        <w:t>附件</w:t>
      </w:r>
      <w:bookmarkEnd w:id="259"/>
      <w:bookmarkEnd w:id="260"/>
      <w:bookmarkEnd w:id="261"/>
    </w:p>
    <w:p>
      <w:pPr>
        <w:spacing w:line="200" w:lineRule="exact"/>
        <w:rPr>
          <w:rFonts w:hint="eastAsia" w:ascii="宋体" w:hAnsi="宋体" w:eastAsia="宋体" w:cs="宋体"/>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成都市中小企业政府采购信用融资暂行办法</w:t>
      </w:r>
    </w:p>
    <w:p>
      <w:pPr>
        <w:spacing w:line="360" w:lineRule="auto"/>
        <w:jc w:val="center"/>
        <w:rPr>
          <w:rFonts w:hint="eastAsia" w:ascii="宋体" w:hAnsi="宋体" w:eastAsia="宋体" w:cs="宋体"/>
          <w:highlight w:val="none"/>
        </w:rPr>
      </w:pPr>
      <w:r>
        <w:rPr>
          <w:rFonts w:hint="eastAsia" w:ascii="宋体" w:hAnsi="宋体" w:eastAsia="宋体" w:cs="宋体"/>
          <w:b/>
          <w:sz w:val="24"/>
          <w:highlight w:val="none"/>
        </w:rPr>
        <w:t>第一章 总 则</w:t>
      </w:r>
    </w:p>
    <w:p>
      <w:pPr>
        <w:spacing w:line="0" w:lineRule="atLeast"/>
        <w:ind w:left="480"/>
        <w:rPr>
          <w:rFonts w:hint="eastAsia" w:ascii="宋体" w:hAnsi="宋体" w:eastAsia="宋体" w:cs="宋体"/>
          <w:highlight w:val="none"/>
        </w:rPr>
      </w:pPr>
      <w:r>
        <w:rPr>
          <w:rFonts w:hint="eastAsia" w:ascii="宋体" w:hAnsi="宋体" w:eastAsia="宋体" w:cs="宋体"/>
          <w:sz w:val="24"/>
          <w:highlight w:val="none"/>
        </w:rPr>
        <w:t>第一条（政策依据）</w:t>
      </w:r>
    </w:p>
    <w:p>
      <w:pPr>
        <w:spacing w:line="376" w:lineRule="auto"/>
        <w:ind w:firstLine="480"/>
        <w:rPr>
          <w:rFonts w:hint="eastAsia" w:ascii="宋体" w:hAnsi="宋体" w:eastAsia="宋体" w:cs="宋体"/>
          <w:highlight w:val="none"/>
        </w:rPr>
      </w:pPr>
      <w:r>
        <w:rPr>
          <w:rFonts w:hint="eastAsia" w:ascii="宋体" w:hAnsi="宋体" w:eastAsia="宋体" w:cs="宋体"/>
          <w:sz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 号）和《四川省财政厅关于推进四川省政府采购供应商信用融资工作的通知》（川财采〔2018〕123 号）有关精神，结合我市实际，制定本办法。</w:t>
      </w:r>
    </w:p>
    <w:p>
      <w:pPr>
        <w:spacing w:line="0" w:lineRule="atLeast"/>
        <w:ind w:left="480"/>
        <w:rPr>
          <w:rFonts w:hint="eastAsia" w:ascii="宋体" w:hAnsi="宋体" w:eastAsia="宋体" w:cs="宋体"/>
          <w:highlight w:val="none"/>
        </w:rPr>
      </w:pPr>
      <w:r>
        <w:rPr>
          <w:rFonts w:hint="eastAsia" w:ascii="宋体" w:hAnsi="宋体" w:eastAsia="宋体" w:cs="宋体"/>
          <w:sz w:val="24"/>
          <w:highlight w:val="none"/>
        </w:rPr>
        <w:t>第二条（适用范围）</w:t>
      </w:r>
    </w:p>
    <w:p>
      <w:pPr>
        <w:spacing w:line="352"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成都市行政区域内政府采购信用融资适用本办法。</w:t>
      </w:r>
    </w:p>
    <w:p>
      <w:pPr>
        <w:spacing w:line="352"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第三条（术语定义）</w:t>
      </w:r>
    </w:p>
    <w:p>
      <w:pPr>
        <w:spacing w:line="352" w:lineRule="auto"/>
        <w:ind w:right="120" w:firstLine="480"/>
        <w:rPr>
          <w:rFonts w:hint="eastAsia" w:ascii="宋体" w:hAnsi="宋体" w:eastAsia="宋体" w:cs="宋体"/>
          <w:highlight w:val="none"/>
        </w:rPr>
      </w:pPr>
      <w:r>
        <w:rPr>
          <w:rFonts w:hint="eastAsia" w:ascii="宋体" w:hAnsi="宋体" w:eastAsia="宋体" w:cs="宋体"/>
          <w:sz w:val="24"/>
          <w:highlight w:val="none"/>
        </w:rPr>
        <w:t>本办法所称政府采购信用融资，是指融资机构以信用审查为基础，依据政府采购合同，按相应的优惠政策向申请融资的中小企业（以下简称供应商）提供资金支持的融资模式。</w:t>
      </w:r>
    </w:p>
    <w:p>
      <w:pPr>
        <w:spacing w:line="352" w:lineRule="auto"/>
        <w:ind w:right="120" w:firstLine="480"/>
        <w:rPr>
          <w:rFonts w:hint="eastAsia" w:ascii="宋体" w:hAnsi="宋体" w:eastAsia="宋体" w:cs="宋体"/>
          <w:highlight w:val="none"/>
        </w:rPr>
      </w:pPr>
      <w:r>
        <w:rPr>
          <w:rFonts w:hint="eastAsia" w:ascii="宋体" w:hAnsi="宋体" w:eastAsia="宋体" w:cs="宋体"/>
          <w:sz w:val="24"/>
          <w:highlight w:val="none"/>
        </w:rPr>
        <w:t>本办法所称融资机构，是指在成都市属地注册或设立分支机构，有意向按照本办法开展政府采购信用融资业务，经同级财政部门确定的银行机构。</w:t>
      </w:r>
    </w:p>
    <w:p>
      <w:pPr>
        <w:spacing w:line="355" w:lineRule="auto"/>
        <w:ind w:left="480" w:right="20"/>
        <w:rPr>
          <w:rFonts w:hint="eastAsia" w:ascii="宋体" w:hAnsi="宋体" w:eastAsia="宋体" w:cs="宋体"/>
          <w:highlight w:val="none"/>
        </w:rPr>
      </w:pPr>
      <w:r>
        <w:rPr>
          <w:rFonts w:hint="eastAsia" w:ascii="宋体" w:hAnsi="宋体" w:eastAsia="宋体" w:cs="宋体"/>
          <w:sz w:val="24"/>
          <w:highlight w:val="none"/>
        </w:rPr>
        <w:t>本办法所称中小企业，包括中型、小型及微型企业，其划型标准按照国家相关规定执行。第四条（基本原则）</w:t>
      </w:r>
    </w:p>
    <w:p>
      <w:pPr>
        <w:spacing w:line="352" w:lineRule="auto"/>
        <w:ind w:right="120" w:firstLine="480"/>
        <w:rPr>
          <w:rFonts w:hint="eastAsia" w:ascii="宋体" w:hAnsi="宋体" w:eastAsia="宋体" w:cs="宋体"/>
          <w:highlight w:val="none"/>
        </w:rPr>
      </w:pPr>
      <w:r>
        <w:rPr>
          <w:rFonts w:hint="eastAsia" w:ascii="宋体" w:hAnsi="宋体" w:eastAsia="宋体" w:cs="宋体"/>
          <w:sz w:val="24"/>
          <w:highlight w:val="none"/>
        </w:rPr>
        <w:t>政府采购信用融资工作坚持政府引导、市场主导，自愿选择、自担风险，诚实信用、互惠共赢的原则，切实发挥市场在资源配置中的决定性作用。</w:t>
      </w:r>
    </w:p>
    <w:p>
      <w:pPr>
        <w:spacing w:line="360" w:lineRule="auto"/>
        <w:jc w:val="center"/>
        <w:rPr>
          <w:rFonts w:hint="eastAsia" w:ascii="宋体" w:hAnsi="宋体" w:eastAsia="宋体" w:cs="宋体"/>
          <w:highlight w:val="none"/>
        </w:rPr>
      </w:pPr>
      <w:r>
        <w:rPr>
          <w:rFonts w:hint="eastAsia" w:ascii="宋体" w:hAnsi="宋体" w:eastAsia="宋体" w:cs="宋体"/>
          <w:b/>
          <w:sz w:val="24"/>
          <w:highlight w:val="none"/>
        </w:rPr>
        <w:t>第二章</w:t>
      </w:r>
      <w:r>
        <w:rPr>
          <w:rFonts w:hint="eastAsia" w:ascii="宋体" w:hAnsi="宋体" w:eastAsia="宋体" w:cs="宋体"/>
          <w:b/>
          <w:sz w:val="24"/>
          <w:highlight w:val="none"/>
        </w:rPr>
        <w:tab/>
      </w:r>
      <w:r>
        <w:rPr>
          <w:rFonts w:hint="eastAsia" w:ascii="宋体" w:hAnsi="宋体" w:eastAsia="宋体" w:cs="宋体"/>
          <w:b/>
          <w:sz w:val="24"/>
          <w:highlight w:val="none"/>
        </w:rPr>
        <w:t>融资优惠</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第五条（融资方式）</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供应商无需提供财产抵押或第三方担保，凭借政府采购合同向融资机构申请融资，融资机构根据其授信政策为供应商提供信用贷款。</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第六条（融资额度）</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融资额度原则上不超过政府采购合同金额。第七条（融资利率）</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融资机构向供应商提供融资的利率应低于同期一般中小企业的贷款利率。融资利率上浮比例原则上不超过中国人民银行公布的同期贷款基准利率的 30%。</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第八条（融资期限）</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融资期限原则上与政府采购合同履行期限一致。</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第九条（融资效率）</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融资机构应当建立政府采购信用融资绿色通道，配备专业人员定向服务，简化融资审批程序。对申报材料齐全完备的供应商，原则上应在 5 个工作日内完成审批，对审批通过且具备放款条件的供应商，原则上应在 5 个工作日内完成放款。</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第十条（融资业务升级）</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对履约记录良好、诚信资质高的供应商，融资机构应当在授信额度、融资审查、融资利率等方面给予更大支持，促进供应商依法诚信经营。</w:t>
      </w:r>
    </w:p>
    <w:p>
      <w:pPr>
        <w:spacing w:line="355" w:lineRule="auto"/>
        <w:ind w:right="120" w:firstLine="480"/>
        <w:rPr>
          <w:rFonts w:hint="eastAsia" w:ascii="宋体" w:hAnsi="宋体" w:eastAsia="宋体" w:cs="宋体"/>
          <w:sz w:val="24"/>
          <w:highlight w:val="none"/>
        </w:rPr>
      </w:pPr>
      <w:r>
        <w:rPr>
          <w:rFonts w:hint="eastAsia" w:ascii="宋体" w:hAnsi="宋体" w:eastAsia="宋体" w:cs="宋体"/>
          <w:sz w:val="24"/>
          <w:highlight w:val="none"/>
        </w:rPr>
        <w:t>第十一条（贷款风险补贴）</w:t>
      </w:r>
    </w:p>
    <w:p>
      <w:pPr>
        <w:spacing w:line="355" w:lineRule="auto"/>
        <w:ind w:right="120" w:firstLine="480"/>
        <w:rPr>
          <w:rFonts w:hint="eastAsia" w:ascii="宋体" w:hAnsi="宋体" w:eastAsia="宋体" w:cs="宋体"/>
          <w:highlight w:val="none"/>
        </w:rPr>
      </w:pPr>
      <w:r>
        <w:rPr>
          <w:rFonts w:hint="eastAsia" w:ascii="宋体" w:hAnsi="宋体" w:eastAsia="宋体" w:cs="宋体"/>
          <w:sz w:val="24"/>
          <w:highlight w:val="none"/>
        </w:rPr>
        <w:t>对银行业金融机构向小微企业发放的贷款（无需抵押、质押或担保的贷款）损失，财政部门按最高不超过年度新增损失类贷款额的 60%予以风险补贴，具体分担比例由各地根据金融机构小微企业贷款发放总量、损失情况、财力状况等因素综合确定。</w:t>
      </w:r>
    </w:p>
    <w:p>
      <w:pPr>
        <w:spacing w:line="360" w:lineRule="auto"/>
        <w:jc w:val="center"/>
        <w:rPr>
          <w:rFonts w:hint="eastAsia" w:ascii="宋体" w:hAnsi="宋体" w:eastAsia="宋体" w:cs="宋体"/>
          <w:highlight w:val="none"/>
        </w:rPr>
      </w:pPr>
      <w:r>
        <w:rPr>
          <w:rFonts w:hint="eastAsia" w:ascii="宋体" w:hAnsi="宋体" w:eastAsia="宋体" w:cs="宋体"/>
          <w:b/>
          <w:sz w:val="24"/>
          <w:highlight w:val="none"/>
        </w:rPr>
        <w:t>第三章</w:t>
      </w:r>
      <w:r>
        <w:rPr>
          <w:rFonts w:hint="eastAsia" w:ascii="宋体" w:hAnsi="宋体" w:eastAsia="宋体" w:cs="宋体"/>
          <w:b/>
          <w:sz w:val="24"/>
          <w:highlight w:val="none"/>
        </w:rPr>
        <w:tab/>
      </w:r>
      <w:r>
        <w:rPr>
          <w:rFonts w:hint="eastAsia" w:ascii="宋体" w:hAnsi="宋体" w:eastAsia="宋体" w:cs="宋体"/>
          <w:b/>
          <w:sz w:val="24"/>
          <w:highlight w:val="none"/>
        </w:rPr>
        <w:t>融资流程</w:t>
      </w:r>
    </w:p>
    <w:p>
      <w:pPr>
        <w:spacing w:line="0" w:lineRule="atLeast"/>
        <w:ind w:left="480"/>
        <w:rPr>
          <w:rFonts w:hint="eastAsia" w:ascii="宋体" w:hAnsi="宋体" w:eastAsia="宋体" w:cs="宋体"/>
          <w:highlight w:val="none"/>
        </w:rPr>
      </w:pPr>
      <w:r>
        <w:rPr>
          <w:rFonts w:hint="eastAsia" w:ascii="宋体" w:hAnsi="宋体" w:eastAsia="宋体" w:cs="宋体"/>
          <w:sz w:val="24"/>
          <w:highlight w:val="none"/>
        </w:rPr>
        <w:t>第十二条（融资流程）</w:t>
      </w:r>
    </w:p>
    <w:p>
      <w:pPr>
        <w:spacing w:line="355" w:lineRule="auto"/>
        <w:ind w:firstLine="480"/>
        <w:rPr>
          <w:rFonts w:hint="eastAsia" w:ascii="宋体" w:hAnsi="宋体" w:eastAsia="宋体" w:cs="宋体"/>
          <w:highlight w:val="none"/>
        </w:rPr>
      </w:pPr>
      <w:r>
        <w:rPr>
          <w:rFonts w:hint="eastAsia" w:ascii="宋体" w:hAnsi="宋体" w:eastAsia="宋体" w:cs="宋体"/>
          <w:sz w:val="24"/>
          <w:highlight w:val="none"/>
        </w:rPr>
        <w:t>（一）信息发布。采购人应当在发布的采购公告和采购文件中载明采购项目可提供信用融资的信息。</w:t>
      </w:r>
    </w:p>
    <w:p>
      <w:pPr>
        <w:spacing w:line="352" w:lineRule="auto"/>
        <w:ind w:firstLine="480"/>
        <w:rPr>
          <w:rFonts w:hint="eastAsia" w:ascii="宋体" w:hAnsi="宋体" w:eastAsia="宋体" w:cs="宋体"/>
          <w:highlight w:val="none"/>
        </w:rPr>
      </w:pPr>
      <w:r>
        <w:rPr>
          <w:rFonts w:hint="eastAsia" w:ascii="宋体" w:hAnsi="宋体" w:eastAsia="宋体" w:cs="宋体"/>
          <w:sz w:val="24"/>
          <w:highlight w:val="none"/>
        </w:rPr>
        <w:t>（二）融资申请。有融资需求的供应商自主选择提供政府采购信用融资服务的融资机构及产品，并按要求提供申请资料。</w:t>
      </w:r>
    </w:p>
    <w:p>
      <w:pPr>
        <w:spacing w:line="352" w:lineRule="auto"/>
        <w:ind w:firstLine="480"/>
        <w:rPr>
          <w:rFonts w:hint="eastAsia" w:ascii="宋体" w:hAnsi="宋体" w:eastAsia="宋体" w:cs="宋体"/>
          <w:highlight w:val="none"/>
        </w:rPr>
      </w:pPr>
      <w:r>
        <w:rPr>
          <w:rFonts w:hint="eastAsia" w:ascii="宋体" w:hAnsi="宋体" w:eastAsia="宋体" w:cs="宋体"/>
          <w:sz w:val="24"/>
          <w:highlight w:val="none"/>
        </w:rPr>
        <w:t>（三）融资审查。融资机构对供应商的融资申请进行审查，并向供应商反馈审查及融资额度等情况。</w:t>
      </w:r>
    </w:p>
    <w:p>
      <w:pPr>
        <w:spacing w:line="355" w:lineRule="auto"/>
        <w:ind w:firstLine="480"/>
        <w:rPr>
          <w:rFonts w:hint="eastAsia" w:ascii="宋体" w:hAnsi="宋体" w:eastAsia="宋体" w:cs="宋体"/>
          <w:highlight w:val="none"/>
        </w:rPr>
      </w:pPr>
      <w:r>
        <w:rPr>
          <w:rFonts w:hint="eastAsia" w:ascii="宋体" w:hAnsi="宋体" w:eastAsia="宋体" w:cs="宋体"/>
          <w:sz w:val="24"/>
          <w:highlight w:val="none"/>
        </w:rPr>
        <w:t>（四）账户确认。供应商须在合作融资机构开立结算账户，并与采购人在政府采购合同中或通过签订补充协议的方式约定唯一收款账户，融资机构对唯一收款账户进行确认和锁定。</w:t>
      </w:r>
    </w:p>
    <w:p>
      <w:pPr>
        <w:spacing w:line="352" w:lineRule="auto"/>
        <w:ind w:firstLine="480"/>
        <w:rPr>
          <w:rFonts w:hint="eastAsia" w:ascii="宋体" w:hAnsi="宋体" w:eastAsia="宋体" w:cs="宋体"/>
          <w:highlight w:val="none"/>
        </w:rPr>
      </w:pPr>
      <w:r>
        <w:rPr>
          <w:rFonts w:hint="eastAsia" w:ascii="宋体" w:hAnsi="宋体" w:eastAsia="宋体" w:cs="宋体"/>
          <w:sz w:val="24"/>
          <w:highlight w:val="none"/>
        </w:rPr>
        <w:t>（五）放款。融资机构对政府采购合同及融资相关信息进行确认，并向供应商提供相应的融资产品。</w:t>
      </w:r>
    </w:p>
    <w:p>
      <w:pPr>
        <w:spacing w:line="352" w:lineRule="auto"/>
        <w:ind w:left="4160" w:right="140" w:hanging="3671"/>
        <w:rPr>
          <w:rFonts w:hint="eastAsia" w:ascii="宋体" w:hAnsi="宋体" w:eastAsia="宋体" w:cs="宋体"/>
          <w:highlight w:val="none"/>
        </w:rPr>
      </w:pPr>
      <w:r>
        <w:rPr>
          <w:rFonts w:hint="eastAsia" w:ascii="宋体" w:hAnsi="宋体" w:eastAsia="宋体" w:cs="宋体"/>
          <w:sz w:val="24"/>
          <w:highlight w:val="none"/>
        </w:rPr>
        <w:t>（六）贷款归还。采购人按相关规定和合同约定将合同资金支付至约定的唯一收款账户。</w:t>
      </w:r>
      <w:r>
        <w:rPr>
          <w:rFonts w:hint="eastAsia" w:ascii="宋体" w:hAnsi="宋体" w:eastAsia="宋体" w:cs="宋体"/>
          <w:b/>
          <w:sz w:val="24"/>
          <w:highlight w:val="none"/>
        </w:rPr>
        <w:t>第四章 职责分工</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第十三条（财政部门职责）</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牵头政府采购信用融资工作，做好政策引导和支持协调，为开展政府采购信用融资提供便利。向融资机构提供相关必要信息，推进政府采购成交（成交）信息、合同信息、融资信息和信用信息等信息资源共享。适时调整开展政府采购信用融资业务的融资机构名单。但在政府采购信用融资工作中，财政部门不得提供任何形式的担保和承诺。</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第十四条（融资机构主管部门职责）</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第十五条（采购人职责）</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第十六条（融资机构职责）</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第十七条（供应商职责）</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spacing w:line="33" w:lineRule="exact"/>
        <w:rPr>
          <w:rFonts w:hint="eastAsia" w:ascii="宋体" w:hAnsi="宋体" w:eastAsia="宋体" w:cs="宋体"/>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第五章 监督管理</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第十八条（采购人监管）</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采购人不执行政府采购信用融资政策，或不正当干预供应商选择合作融资机构，或无故拖延和拒付采购资金的，财政部门视情节进行约谈、通报直至暂停拨付财政资金。</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第十九条（融资机构监管）</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融资机构违反规定开展政府采购信用融资业务，对政府采购造成负面影响的，财政部门视情节取消其参与政府采购信用融资的业务权限。</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第二十条（供应商监管）</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第二十一条（相关单位及工作人员监管）</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各相关单位及其工作人员在履行职责中存在滥用职权、玩忽职守、徇私舞弊等违法违纪行为的，依照有关规定处理，涉嫌犯罪的，移送司法机关处理。</w:t>
      </w:r>
    </w:p>
    <w:p>
      <w:pPr>
        <w:spacing w:line="37" w:lineRule="exact"/>
        <w:rPr>
          <w:rFonts w:hint="eastAsia" w:ascii="宋体" w:hAnsi="宋体" w:eastAsia="宋体" w:cs="宋体"/>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第六章</w:t>
      </w:r>
      <w:r>
        <w:rPr>
          <w:rFonts w:hint="eastAsia" w:ascii="宋体" w:hAnsi="宋体" w:eastAsia="宋体" w:cs="宋体"/>
          <w:b/>
          <w:sz w:val="24"/>
          <w:highlight w:val="none"/>
        </w:rPr>
        <w:tab/>
      </w:r>
      <w:r>
        <w:rPr>
          <w:rFonts w:hint="eastAsia" w:ascii="宋体" w:hAnsi="宋体" w:eastAsia="宋体" w:cs="宋体"/>
          <w:b/>
          <w:sz w:val="24"/>
          <w:highlight w:val="none"/>
        </w:rPr>
        <w:t>附</w:t>
      </w:r>
      <w:r>
        <w:rPr>
          <w:rFonts w:hint="eastAsia" w:ascii="宋体" w:hAnsi="宋体" w:eastAsia="宋体" w:cs="宋体"/>
          <w:b/>
          <w:sz w:val="24"/>
          <w:highlight w:val="none"/>
        </w:rPr>
        <w:tab/>
      </w:r>
      <w:r>
        <w:rPr>
          <w:rFonts w:hint="eastAsia" w:ascii="宋体" w:hAnsi="宋体" w:eastAsia="宋体" w:cs="宋体"/>
          <w:b/>
          <w:sz w:val="24"/>
          <w:highlight w:val="none"/>
        </w:rPr>
        <w:t>则</w:t>
      </w:r>
    </w:p>
    <w:p>
      <w:pPr>
        <w:spacing w:line="200" w:lineRule="exact"/>
        <w:rPr>
          <w:rFonts w:hint="eastAsia" w:ascii="宋体" w:hAnsi="宋体" w:eastAsia="宋体" w:cs="宋体"/>
          <w:highlight w:val="none"/>
        </w:rPr>
      </w:pPr>
    </w:p>
    <w:p>
      <w:pPr>
        <w:spacing w:line="114" w:lineRule="exact"/>
        <w:rPr>
          <w:rFonts w:hint="eastAsia" w:ascii="宋体" w:hAnsi="宋体" w:eastAsia="宋体" w:cs="宋体"/>
          <w:highlight w:val="none"/>
        </w:rPr>
      </w:pP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第二十二条（解释相关）</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本办法由市财政局会同中国人民银行成都分行营业管理部负责解释。</w:t>
      </w:r>
    </w:p>
    <w:p>
      <w:pPr>
        <w:spacing w:line="352" w:lineRule="auto"/>
        <w:ind w:firstLine="480"/>
        <w:rPr>
          <w:rFonts w:hint="eastAsia" w:ascii="宋体" w:hAnsi="宋体" w:eastAsia="宋体" w:cs="宋体"/>
          <w:sz w:val="24"/>
          <w:highlight w:val="none"/>
        </w:rPr>
      </w:pPr>
      <w:r>
        <w:rPr>
          <w:rFonts w:hint="eastAsia" w:ascii="宋体" w:hAnsi="宋体" w:eastAsia="宋体" w:cs="宋体"/>
          <w:sz w:val="24"/>
          <w:highlight w:val="none"/>
        </w:rPr>
        <w:t>第二十三条（施行相关）本办法自印发之日起施行。市财政局、市金融办2013年12月9日印发的《关于开展中小企业政府采购信用担保及融资试点工作的通知》（成财采〔2013〕200 号）同时废止。</w:t>
      </w:r>
    </w:p>
    <w:p>
      <w:pPr>
        <w:numPr>
          <w:ilvl w:val="255"/>
          <w:numId w:val="0"/>
        </w:numPr>
        <w:spacing w:line="400" w:lineRule="exact"/>
        <w:rPr>
          <w:rFonts w:hint="eastAsia" w:ascii="宋体" w:hAnsi="宋体" w:eastAsia="宋体" w:cs="宋体"/>
          <w:sz w:val="24"/>
          <w:highlight w:val="none"/>
        </w:rPr>
      </w:pPr>
    </w:p>
    <w:p>
      <w:pPr>
        <w:rPr>
          <w:rFonts w:hint="eastAsia" w:ascii="宋体" w:hAnsi="宋体" w:eastAsia="宋体" w:cs="宋体"/>
          <w:highlight w:val="none"/>
        </w:rPr>
      </w:pPr>
    </w:p>
    <w:sectPr>
      <w:footerReference r:id="rId16"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lang w:val="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8"/>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lang w:val="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8"/>
                      <w:jc w:val="center"/>
                    </w:pPr>
                  </w:p>
                  <w:p/>
                </w:txbxContent>
              </v:textbox>
            </v:shape>
          </w:pict>
        </mc:Fallback>
      </mc:AlternateContent>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lang w:val="zh-CN"/>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8"/>
                    </w:pP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lang w:val="zh-C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jc w:val="center"/>
                    </w:pPr>
                  </w:p>
                  <w:p/>
                </w:txbxContent>
              </v:textbox>
            </v:shape>
          </w:pict>
        </mc:Fallback>
      </mc:AlternateContent>
    </w:r>
  </w:p>
  <w:p>
    <w:pPr>
      <w:pStyle w:val="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lang w:val="zh-CN"/>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8"/>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eastAsia" w:eastAsia="隶书"/>
        <w:lang w:eastAsia="zh-CN"/>
      </w:rPr>
    </w:pPr>
    <w:r>
      <w:drawing>
        <wp:inline distT="0" distB="0" distL="114300" distR="114300">
          <wp:extent cx="3181985" cy="329565"/>
          <wp:effectExtent l="0" t="0" r="18415" b="13335"/>
          <wp:docPr id="14"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1"/>
                  <pic:cNvPicPr>
                    <a:picLocks noChangeAspect="1"/>
                  </pic:cNvPicPr>
                </pic:nvPicPr>
                <pic:blipFill>
                  <a:blip r:embed="rId1"/>
                  <a:stretch>
                    <a:fillRect/>
                  </a:stretch>
                </pic:blipFill>
                <pic:spPr>
                  <a:xfrm>
                    <a:off x="0" y="0"/>
                    <a:ext cx="3181985" cy="3295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left"/>
    </w:pPr>
    <w:r>
      <w:drawing>
        <wp:inline distT="0" distB="0" distL="114300" distR="114300">
          <wp:extent cx="3181985" cy="329565"/>
          <wp:effectExtent l="0" t="0" r="18415" b="13335"/>
          <wp:docPr id="12"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1"/>
                  <pic:cNvPicPr>
                    <a:picLocks noChangeAspect="1"/>
                  </pic:cNvPicPr>
                </pic:nvPicPr>
                <pic:blipFill>
                  <a:blip r:embed="rId1"/>
                  <a:stretch>
                    <a:fillRect/>
                  </a:stretch>
                </pic:blipFill>
                <pic:spPr>
                  <a:xfrm>
                    <a:off x="0" y="0"/>
                    <a:ext cx="3181985" cy="32956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pPr>
    <w:r>
      <w:drawing>
        <wp:inline distT="0" distB="0" distL="114300" distR="114300">
          <wp:extent cx="3181985" cy="329565"/>
          <wp:effectExtent l="0" t="0" r="18415" b="13335"/>
          <wp:docPr id="1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1"/>
                  <pic:cNvPicPr>
                    <a:picLocks noChangeAspect="1"/>
                  </pic:cNvPicPr>
                </pic:nvPicPr>
                <pic:blipFill>
                  <a:blip r:embed="rId1"/>
                  <a:stretch>
                    <a:fillRect/>
                  </a:stretch>
                </pic:blipFill>
                <pic:spPr>
                  <a:xfrm>
                    <a:off x="0" y="0"/>
                    <a:ext cx="3181985" cy="32956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eastAsia" w:eastAsia="隶书"/>
        <w:lang w:eastAsia="zh-CN"/>
      </w:rPr>
    </w:pPr>
    <w:r>
      <w:drawing>
        <wp:inline distT="0" distB="0" distL="114300" distR="114300">
          <wp:extent cx="3181985" cy="329565"/>
          <wp:effectExtent l="0" t="0" r="18415" b="13335"/>
          <wp:docPr id="15"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1"/>
                  <pic:cNvPicPr>
                    <a:picLocks noChangeAspect="1"/>
                  </pic:cNvPicPr>
                </pic:nvPicPr>
                <pic:blipFill>
                  <a:blip r:embed="rId1"/>
                  <a:stretch>
                    <a:fillRect/>
                  </a:stretch>
                </pic:blipFill>
                <pic:spPr>
                  <a:xfrm>
                    <a:off x="0" y="0"/>
                    <a:ext cx="3181985" cy="32956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eastAsia" w:eastAsia="隶书"/>
        <w:lang w:eastAsia="zh-CN"/>
      </w:rPr>
    </w:pPr>
    <w:r>
      <w:drawing>
        <wp:inline distT="0" distB="0" distL="114300" distR="114300">
          <wp:extent cx="3181985" cy="329565"/>
          <wp:effectExtent l="0" t="0" r="18415" b="13335"/>
          <wp:docPr id="16"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1"/>
                  <pic:cNvPicPr>
                    <a:picLocks noChangeAspect="1"/>
                  </pic:cNvPicPr>
                </pic:nvPicPr>
                <pic:blipFill>
                  <a:blip r:embed="rId1"/>
                  <a:stretch>
                    <a:fillRect/>
                  </a:stretch>
                </pic:blipFill>
                <pic:spPr>
                  <a:xfrm>
                    <a:off x="0" y="0"/>
                    <a:ext cx="3181985" cy="329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9671E"/>
    <w:multiLevelType w:val="multilevel"/>
    <w:tmpl w:val="0689671E"/>
    <w:lvl w:ilvl="0" w:tentative="0">
      <w:start w:val="1"/>
      <w:numFmt w:val="chineseCountingThousand"/>
      <w:lvlText w:val="%1."/>
      <w:lvlJc w:val="left"/>
      <w:pPr>
        <w:tabs>
          <w:tab w:val="left" w:pos="567"/>
        </w:tabs>
        <w:ind w:left="567" w:hanging="425"/>
      </w:pPr>
      <w:rPr>
        <w:rFonts w:hint="eastAsia" w:ascii="黑体" w:eastAsia="黑体"/>
        <w:sz w:val="32"/>
        <w:szCs w:val="32"/>
      </w:rPr>
    </w:lvl>
    <w:lvl w:ilvl="1" w:tentative="0">
      <w:start w:val="1"/>
      <w:numFmt w:val="decimal"/>
      <w:pStyle w:val="66"/>
      <w:isLgl/>
      <w:lvlText w:val="%1.%2."/>
      <w:lvlJc w:val="left"/>
      <w:pPr>
        <w:tabs>
          <w:tab w:val="left" w:pos="709"/>
        </w:tabs>
        <w:ind w:left="709" w:hanging="567"/>
      </w:pPr>
      <w:rPr>
        <w:rFonts w:hint="eastAsia"/>
      </w:rPr>
    </w:lvl>
    <w:lvl w:ilvl="2" w:tentative="0">
      <w:start w:val="1"/>
      <w:numFmt w:val="decimal"/>
      <w:isLgl/>
      <w:lvlText w:val="%1.%2.%3."/>
      <w:lvlJc w:val="left"/>
      <w:pPr>
        <w:tabs>
          <w:tab w:val="left" w:pos="1419"/>
        </w:tabs>
        <w:ind w:left="1419" w:hanging="709"/>
      </w:pPr>
      <w:rPr>
        <w:rFonts w:hint="eastAsia"/>
      </w:rPr>
    </w:lvl>
    <w:lvl w:ilvl="3" w:tentative="0">
      <w:start w:val="1"/>
      <w:numFmt w:val="decimal"/>
      <w:isLgl/>
      <w:lvlText w:val="%1.%2.%3.%4."/>
      <w:lvlJc w:val="left"/>
      <w:pPr>
        <w:tabs>
          <w:tab w:val="left" w:pos="753"/>
        </w:tabs>
        <w:ind w:left="753" w:hanging="851"/>
      </w:pPr>
      <w:rPr>
        <w:rFonts w:hint="eastAsia"/>
      </w:rPr>
    </w:lvl>
    <w:lvl w:ilvl="4" w:tentative="0">
      <w:start w:val="1"/>
      <w:numFmt w:val="decimal"/>
      <w:lvlText w:val="%1.%2.%3.%4.%5."/>
      <w:lvlJc w:val="left"/>
      <w:pPr>
        <w:tabs>
          <w:tab w:val="left" w:pos="894"/>
        </w:tabs>
        <w:ind w:left="894" w:hanging="992"/>
      </w:pPr>
      <w:rPr>
        <w:rFonts w:hint="eastAsia"/>
      </w:rPr>
    </w:lvl>
    <w:lvl w:ilvl="5" w:tentative="0">
      <w:start w:val="1"/>
      <w:numFmt w:val="decimal"/>
      <w:lvlText w:val="%1.%2.%3.%4.%5.%6."/>
      <w:lvlJc w:val="left"/>
      <w:pPr>
        <w:tabs>
          <w:tab w:val="left" w:pos="1036"/>
        </w:tabs>
        <w:ind w:left="1036" w:hanging="1134"/>
      </w:pPr>
      <w:rPr>
        <w:rFonts w:hint="eastAsia"/>
      </w:rPr>
    </w:lvl>
    <w:lvl w:ilvl="6" w:tentative="0">
      <w:start w:val="1"/>
      <w:numFmt w:val="decimal"/>
      <w:lvlText w:val="%1.%2.%3.%4.%5.%6.%7."/>
      <w:lvlJc w:val="left"/>
      <w:pPr>
        <w:tabs>
          <w:tab w:val="left" w:pos="1178"/>
        </w:tabs>
        <w:ind w:left="1178" w:hanging="1276"/>
      </w:pPr>
      <w:rPr>
        <w:rFonts w:hint="eastAsia"/>
      </w:rPr>
    </w:lvl>
    <w:lvl w:ilvl="7" w:tentative="0">
      <w:start w:val="1"/>
      <w:numFmt w:val="decimal"/>
      <w:lvlText w:val="%1.%2.%3.%4.%5.%6.%7.%8."/>
      <w:lvlJc w:val="left"/>
      <w:pPr>
        <w:tabs>
          <w:tab w:val="left" w:pos="1320"/>
        </w:tabs>
        <w:ind w:left="1320" w:hanging="1418"/>
      </w:pPr>
      <w:rPr>
        <w:rFonts w:hint="eastAsia"/>
      </w:rPr>
    </w:lvl>
    <w:lvl w:ilvl="8" w:tentative="0">
      <w:start w:val="1"/>
      <w:numFmt w:val="decimal"/>
      <w:lvlText w:val="%1.%2.%3.%4.%5.%6.%7.%8.%9."/>
      <w:lvlJc w:val="left"/>
      <w:pPr>
        <w:tabs>
          <w:tab w:val="left" w:pos="1461"/>
        </w:tabs>
        <w:ind w:left="1461" w:hanging="1559"/>
      </w:pPr>
      <w:rPr>
        <w:rFonts w:hint="eastAsia"/>
      </w:rPr>
    </w:lvl>
  </w:abstractNum>
  <w:abstractNum w:abstractNumId="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
    <w:nsid w:val="35A540B0"/>
    <w:multiLevelType w:val="multilevel"/>
    <w:tmpl w:val="35A540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33A3DBD"/>
    <w:multiLevelType w:val="multilevel"/>
    <w:tmpl w:val="433A3DBD"/>
    <w:lvl w:ilvl="0" w:tentative="0">
      <w:start w:val="6"/>
      <w:numFmt w:val="japaneseCounting"/>
      <w:lvlText w:val="第%1条"/>
      <w:lvlJc w:val="left"/>
      <w:pPr>
        <w:tabs>
          <w:tab w:val="left" w:pos="1192"/>
        </w:tabs>
        <w:ind w:left="1192" w:hanging="720"/>
      </w:pPr>
      <w:rPr>
        <w:rFonts w:hint="default"/>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5">
    <w:nsid w:val="588C3EF9"/>
    <w:multiLevelType w:val="singleLevel"/>
    <w:tmpl w:val="588C3EF9"/>
    <w:lvl w:ilvl="0" w:tentative="0">
      <w:start w:val="5"/>
      <w:numFmt w:val="chineseCounting"/>
      <w:suff w:val="nothing"/>
      <w:lvlText w:val="%1、"/>
      <w:lvlJc w:val="left"/>
    </w:lvl>
  </w:abstractNum>
  <w:abstractNum w:abstractNumId="6">
    <w:nsid w:val="5AE420E6"/>
    <w:multiLevelType w:val="singleLevel"/>
    <w:tmpl w:val="5AE420E6"/>
    <w:lvl w:ilvl="0" w:tentative="0">
      <w:start w:val="1"/>
      <w:numFmt w:val="decimal"/>
      <w:suff w:val="nothing"/>
      <w:lvlText w:val="%1、"/>
      <w:lvlJc w:val="left"/>
    </w:lvl>
  </w:abstractNum>
  <w:abstractNum w:abstractNumId="7">
    <w:nsid w:val="643BB3EE"/>
    <w:multiLevelType w:val="singleLevel"/>
    <w:tmpl w:val="643BB3EE"/>
    <w:lvl w:ilvl="0" w:tentative="0">
      <w:start w:val="1"/>
      <w:numFmt w:val="decimal"/>
      <w:suff w:val="nothing"/>
      <w:lvlText w:val="%1、"/>
      <w:lvlJc w:val="left"/>
    </w:lvl>
  </w:abstractNum>
  <w:num w:numId="1">
    <w:abstractNumId w:val="3"/>
  </w:num>
  <w:num w:numId="2">
    <w:abstractNumId w:val="0"/>
  </w:num>
  <w:num w:numId="3">
    <w:abstractNumId w:val="7"/>
    <w:lvlOverride w:ilvl="0">
      <w:startOverride w:val="1"/>
    </w:lvlOverride>
  </w:num>
  <w:num w:numId="4">
    <w:abstractNumId w:val="7"/>
  </w:num>
  <w:num w:numId="5">
    <w:abstractNumId w:val="5"/>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evenAndOddHeaders w:val="1"/>
  <w:drawingGridHorizontalSpacing w:val="21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C"/>
    <w:rsid w:val="00001660"/>
    <w:rsid w:val="00004B89"/>
    <w:rsid w:val="0000753B"/>
    <w:rsid w:val="00013385"/>
    <w:rsid w:val="000137E6"/>
    <w:rsid w:val="0001438F"/>
    <w:rsid w:val="00014483"/>
    <w:rsid w:val="00015AD4"/>
    <w:rsid w:val="0001627A"/>
    <w:rsid w:val="000176E8"/>
    <w:rsid w:val="00020D8E"/>
    <w:rsid w:val="00021F2A"/>
    <w:rsid w:val="00022084"/>
    <w:rsid w:val="000222FA"/>
    <w:rsid w:val="0002293A"/>
    <w:rsid w:val="00023113"/>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AE5"/>
    <w:rsid w:val="00073B7E"/>
    <w:rsid w:val="00074138"/>
    <w:rsid w:val="000743DD"/>
    <w:rsid w:val="0007588A"/>
    <w:rsid w:val="00075C4C"/>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5821"/>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6DD"/>
    <w:rsid w:val="000E0A69"/>
    <w:rsid w:val="000E583C"/>
    <w:rsid w:val="000E6476"/>
    <w:rsid w:val="000E6CD7"/>
    <w:rsid w:val="000F1A9B"/>
    <w:rsid w:val="000F422B"/>
    <w:rsid w:val="000F45A9"/>
    <w:rsid w:val="000F6854"/>
    <w:rsid w:val="000F782D"/>
    <w:rsid w:val="00100B7D"/>
    <w:rsid w:val="00100C85"/>
    <w:rsid w:val="00100D0A"/>
    <w:rsid w:val="00100FCD"/>
    <w:rsid w:val="0010167E"/>
    <w:rsid w:val="00101CB5"/>
    <w:rsid w:val="001033D2"/>
    <w:rsid w:val="00105014"/>
    <w:rsid w:val="0010666F"/>
    <w:rsid w:val="001114EB"/>
    <w:rsid w:val="001116C7"/>
    <w:rsid w:val="00111F41"/>
    <w:rsid w:val="00114DE5"/>
    <w:rsid w:val="00114EBA"/>
    <w:rsid w:val="001150A5"/>
    <w:rsid w:val="001212C2"/>
    <w:rsid w:val="0012276E"/>
    <w:rsid w:val="001239E7"/>
    <w:rsid w:val="00123E53"/>
    <w:rsid w:val="00123FC0"/>
    <w:rsid w:val="00126265"/>
    <w:rsid w:val="00126D87"/>
    <w:rsid w:val="00131F14"/>
    <w:rsid w:val="001329EB"/>
    <w:rsid w:val="001345C8"/>
    <w:rsid w:val="0013590F"/>
    <w:rsid w:val="00136485"/>
    <w:rsid w:val="00136D53"/>
    <w:rsid w:val="00137013"/>
    <w:rsid w:val="00141A54"/>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034"/>
    <w:rsid w:val="001652F8"/>
    <w:rsid w:val="00165833"/>
    <w:rsid w:val="00167ED2"/>
    <w:rsid w:val="00170C8C"/>
    <w:rsid w:val="001746B3"/>
    <w:rsid w:val="001748A0"/>
    <w:rsid w:val="00175AEB"/>
    <w:rsid w:val="001763A5"/>
    <w:rsid w:val="001808FB"/>
    <w:rsid w:val="001836F5"/>
    <w:rsid w:val="0018382C"/>
    <w:rsid w:val="0018390E"/>
    <w:rsid w:val="00183F9B"/>
    <w:rsid w:val="00185A39"/>
    <w:rsid w:val="00185F2C"/>
    <w:rsid w:val="00186A43"/>
    <w:rsid w:val="00186AEA"/>
    <w:rsid w:val="00186E6A"/>
    <w:rsid w:val="001876EA"/>
    <w:rsid w:val="00187C36"/>
    <w:rsid w:val="00187D88"/>
    <w:rsid w:val="0019037D"/>
    <w:rsid w:val="00193802"/>
    <w:rsid w:val="00193E56"/>
    <w:rsid w:val="00195612"/>
    <w:rsid w:val="0019594C"/>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B6C5B"/>
    <w:rsid w:val="001C269B"/>
    <w:rsid w:val="001C2CAE"/>
    <w:rsid w:val="001C4A5B"/>
    <w:rsid w:val="001C5AF6"/>
    <w:rsid w:val="001D0F62"/>
    <w:rsid w:val="001D2331"/>
    <w:rsid w:val="001D3913"/>
    <w:rsid w:val="001D5103"/>
    <w:rsid w:val="001E0521"/>
    <w:rsid w:val="001E0CB9"/>
    <w:rsid w:val="001E148C"/>
    <w:rsid w:val="001E3B05"/>
    <w:rsid w:val="001E5BB0"/>
    <w:rsid w:val="001E6EBF"/>
    <w:rsid w:val="001E6EC9"/>
    <w:rsid w:val="001E6EF9"/>
    <w:rsid w:val="001F035E"/>
    <w:rsid w:val="001F1E7D"/>
    <w:rsid w:val="001F2E29"/>
    <w:rsid w:val="001F492D"/>
    <w:rsid w:val="001F4AF0"/>
    <w:rsid w:val="001F64F5"/>
    <w:rsid w:val="001F79FC"/>
    <w:rsid w:val="001F7DBD"/>
    <w:rsid w:val="0020030E"/>
    <w:rsid w:val="00203068"/>
    <w:rsid w:val="00205336"/>
    <w:rsid w:val="00206D18"/>
    <w:rsid w:val="0021013C"/>
    <w:rsid w:val="0021025F"/>
    <w:rsid w:val="00210F41"/>
    <w:rsid w:val="002120D0"/>
    <w:rsid w:val="002125E6"/>
    <w:rsid w:val="00215638"/>
    <w:rsid w:val="0021668E"/>
    <w:rsid w:val="002200EF"/>
    <w:rsid w:val="00220283"/>
    <w:rsid w:val="00224333"/>
    <w:rsid w:val="00224CDC"/>
    <w:rsid w:val="002270B2"/>
    <w:rsid w:val="00230304"/>
    <w:rsid w:val="00230D10"/>
    <w:rsid w:val="002320BC"/>
    <w:rsid w:val="002332EA"/>
    <w:rsid w:val="00233846"/>
    <w:rsid w:val="002342C9"/>
    <w:rsid w:val="00241AF6"/>
    <w:rsid w:val="00242277"/>
    <w:rsid w:val="00244015"/>
    <w:rsid w:val="0024529B"/>
    <w:rsid w:val="00245E6C"/>
    <w:rsid w:val="002470DA"/>
    <w:rsid w:val="0025006F"/>
    <w:rsid w:val="00250692"/>
    <w:rsid w:val="002509D0"/>
    <w:rsid w:val="002510B3"/>
    <w:rsid w:val="00252DDB"/>
    <w:rsid w:val="0025359C"/>
    <w:rsid w:val="00254F39"/>
    <w:rsid w:val="002554B2"/>
    <w:rsid w:val="00255D4B"/>
    <w:rsid w:val="00262A61"/>
    <w:rsid w:val="00263B9A"/>
    <w:rsid w:val="00265F18"/>
    <w:rsid w:val="002665C5"/>
    <w:rsid w:val="002703E3"/>
    <w:rsid w:val="00272326"/>
    <w:rsid w:val="0027252A"/>
    <w:rsid w:val="00275DAB"/>
    <w:rsid w:val="002765B2"/>
    <w:rsid w:val="00277B58"/>
    <w:rsid w:val="00280D8F"/>
    <w:rsid w:val="00281347"/>
    <w:rsid w:val="002857AA"/>
    <w:rsid w:val="0029048E"/>
    <w:rsid w:val="00290AEB"/>
    <w:rsid w:val="00291539"/>
    <w:rsid w:val="00292632"/>
    <w:rsid w:val="00294EBC"/>
    <w:rsid w:val="0029626C"/>
    <w:rsid w:val="00297B8B"/>
    <w:rsid w:val="00297D0C"/>
    <w:rsid w:val="002A0B7A"/>
    <w:rsid w:val="002A0C3D"/>
    <w:rsid w:val="002A0C82"/>
    <w:rsid w:val="002A1E56"/>
    <w:rsid w:val="002A4317"/>
    <w:rsid w:val="002A7785"/>
    <w:rsid w:val="002A7D03"/>
    <w:rsid w:val="002B067F"/>
    <w:rsid w:val="002B06DF"/>
    <w:rsid w:val="002B3263"/>
    <w:rsid w:val="002B3FE9"/>
    <w:rsid w:val="002B4920"/>
    <w:rsid w:val="002B5EB0"/>
    <w:rsid w:val="002B6D25"/>
    <w:rsid w:val="002B7D1D"/>
    <w:rsid w:val="002C0169"/>
    <w:rsid w:val="002C0185"/>
    <w:rsid w:val="002C05BF"/>
    <w:rsid w:val="002C0964"/>
    <w:rsid w:val="002C2154"/>
    <w:rsid w:val="002C3905"/>
    <w:rsid w:val="002C3D68"/>
    <w:rsid w:val="002C67ED"/>
    <w:rsid w:val="002C7DDE"/>
    <w:rsid w:val="002D2A3C"/>
    <w:rsid w:val="002D44CE"/>
    <w:rsid w:val="002D5D7E"/>
    <w:rsid w:val="002D6435"/>
    <w:rsid w:val="002D73AE"/>
    <w:rsid w:val="002D761E"/>
    <w:rsid w:val="002E1456"/>
    <w:rsid w:val="002E14BC"/>
    <w:rsid w:val="002E2016"/>
    <w:rsid w:val="002E372F"/>
    <w:rsid w:val="002E38A1"/>
    <w:rsid w:val="002E53EC"/>
    <w:rsid w:val="002E7B45"/>
    <w:rsid w:val="002F0D48"/>
    <w:rsid w:val="002F2816"/>
    <w:rsid w:val="002F3919"/>
    <w:rsid w:val="002F5A38"/>
    <w:rsid w:val="002F7453"/>
    <w:rsid w:val="002F797B"/>
    <w:rsid w:val="00302602"/>
    <w:rsid w:val="0030262F"/>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3BEC"/>
    <w:rsid w:val="00334A11"/>
    <w:rsid w:val="00335BD1"/>
    <w:rsid w:val="00336D9A"/>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7029D"/>
    <w:rsid w:val="00370C8A"/>
    <w:rsid w:val="0037288F"/>
    <w:rsid w:val="00372E53"/>
    <w:rsid w:val="00373951"/>
    <w:rsid w:val="0037405F"/>
    <w:rsid w:val="00374782"/>
    <w:rsid w:val="00375F76"/>
    <w:rsid w:val="0037714C"/>
    <w:rsid w:val="00381E2B"/>
    <w:rsid w:val="00382A01"/>
    <w:rsid w:val="00383BFA"/>
    <w:rsid w:val="00384FE6"/>
    <w:rsid w:val="003851CE"/>
    <w:rsid w:val="00385AB6"/>
    <w:rsid w:val="00386948"/>
    <w:rsid w:val="00386C0A"/>
    <w:rsid w:val="00390404"/>
    <w:rsid w:val="003924E0"/>
    <w:rsid w:val="00394101"/>
    <w:rsid w:val="00395323"/>
    <w:rsid w:val="00395A66"/>
    <w:rsid w:val="0039654A"/>
    <w:rsid w:val="0039658A"/>
    <w:rsid w:val="00396685"/>
    <w:rsid w:val="003A44B1"/>
    <w:rsid w:val="003B035C"/>
    <w:rsid w:val="003B07A2"/>
    <w:rsid w:val="003B0FE8"/>
    <w:rsid w:val="003B16C0"/>
    <w:rsid w:val="003B18B7"/>
    <w:rsid w:val="003B1AB5"/>
    <w:rsid w:val="003B1E98"/>
    <w:rsid w:val="003B22D9"/>
    <w:rsid w:val="003B2875"/>
    <w:rsid w:val="003B3290"/>
    <w:rsid w:val="003B3755"/>
    <w:rsid w:val="003B4511"/>
    <w:rsid w:val="003B4C27"/>
    <w:rsid w:val="003B6F87"/>
    <w:rsid w:val="003C0054"/>
    <w:rsid w:val="003C0851"/>
    <w:rsid w:val="003C14AB"/>
    <w:rsid w:val="003C1E7C"/>
    <w:rsid w:val="003C668B"/>
    <w:rsid w:val="003D1437"/>
    <w:rsid w:val="003D2EDB"/>
    <w:rsid w:val="003D3B7C"/>
    <w:rsid w:val="003D629B"/>
    <w:rsid w:val="003D6FFA"/>
    <w:rsid w:val="003D72B6"/>
    <w:rsid w:val="003E35F5"/>
    <w:rsid w:val="003E44CB"/>
    <w:rsid w:val="003E5C6E"/>
    <w:rsid w:val="003F2938"/>
    <w:rsid w:val="003F3163"/>
    <w:rsid w:val="003F3CC4"/>
    <w:rsid w:val="003F4247"/>
    <w:rsid w:val="003F4F88"/>
    <w:rsid w:val="003F5463"/>
    <w:rsid w:val="003F6822"/>
    <w:rsid w:val="003F7462"/>
    <w:rsid w:val="00400273"/>
    <w:rsid w:val="00400415"/>
    <w:rsid w:val="00400F8F"/>
    <w:rsid w:val="00401075"/>
    <w:rsid w:val="00403397"/>
    <w:rsid w:val="00404202"/>
    <w:rsid w:val="00405597"/>
    <w:rsid w:val="004056A0"/>
    <w:rsid w:val="004065C5"/>
    <w:rsid w:val="00406C2F"/>
    <w:rsid w:val="004071DA"/>
    <w:rsid w:val="0041210C"/>
    <w:rsid w:val="004142F8"/>
    <w:rsid w:val="00420862"/>
    <w:rsid w:val="00420880"/>
    <w:rsid w:val="00421009"/>
    <w:rsid w:val="004233F9"/>
    <w:rsid w:val="0042372A"/>
    <w:rsid w:val="004259A8"/>
    <w:rsid w:val="00425ACB"/>
    <w:rsid w:val="00425E38"/>
    <w:rsid w:val="00427793"/>
    <w:rsid w:val="004277FA"/>
    <w:rsid w:val="00430020"/>
    <w:rsid w:val="00431D7B"/>
    <w:rsid w:val="004347BF"/>
    <w:rsid w:val="00434EDB"/>
    <w:rsid w:val="00436108"/>
    <w:rsid w:val="004368E1"/>
    <w:rsid w:val="00436A1E"/>
    <w:rsid w:val="00437349"/>
    <w:rsid w:val="00437F68"/>
    <w:rsid w:val="00440010"/>
    <w:rsid w:val="00441691"/>
    <w:rsid w:val="00442203"/>
    <w:rsid w:val="00442832"/>
    <w:rsid w:val="004440D6"/>
    <w:rsid w:val="0044451B"/>
    <w:rsid w:val="00446C23"/>
    <w:rsid w:val="00447598"/>
    <w:rsid w:val="00447BD4"/>
    <w:rsid w:val="00447F5D"/>
    <w:rsid w:val="00450C35"/>
    <w:rsid w:val="00451934"/>
    <w:rsid w:val="004522CD"/>
    <w:rsid w:val="00453DA2"/>
    <w:rsid w:val="00454103"/>
    <w:rsid w:val="004569C9"/>
    <w:rsid w:val="00457905"/>
    <w:rsid w:val="00457964"/>
    <w:rsid w:val="004643AF"/>
    <w:rsid w:val="00464C62"/>
    <w:rsid w:val="00465A54"/>
    <w:rsid w:val="004677D8"/>
    <w:rsid w:val="00470E65"/>
    <w:rsid w:val="00472927"/>
    <w:rsid w:val="00474121"/>
    <w:rsid w:val="004746B7"/>
    <w:rsid w:val="00474A2F"/>
    <w:rsid w:val="004753B1"/>
    <w:rsid w:val="00476556"/>
    <w:rsid w:val="00481A4F"/>
    <w:rsid w:val="004837E8"/>
    <w:rsid w:val="00484A3D"/>
    <w:rsid w:val="0048581D"/>
    <w:rsid w:val="004859C3"/>
    <w:rsid w:val="00485EDF"/>
    <w:rsid w:val="00490A1F"/>
    <w:rsid w:val="004924E2"/>
    <w:rsid w:val="0049282E"/>
    <w:rsid w:val="0049425B"/>
    <w:rsid w:val="00494369"/>
    <w:rsid w:val="00495D47"/>
    <w:rsid w:val="004967DA"/>
    <w:rsid w:val="004A0510"/>
    <w:rsid w:val="004A11B8"/>
    <w:rsid w:val="004A228D"/>
    <w:rsid w:val="004A2B4F"/>
    <w:rsid w:val="004A6596"/>
    <w:rsid w:val="004A7A3A"/>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4A10"/>
    <w:rsid w:val="004F6640"/>
    <w:rsid w:val="004F6D0A"/>
    <w:rsid w:val="004F761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6ED9"/>
    <w:rsid w:val="005275DB"/>
    <w:rsid w:val="0053406C"/>
    <w:rsid w:val="00534655"/>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63F8"/>
    <w:rsid w:val="0055769A"/>
    <w:rsid w:val="005603D7"/>
    <w:rsid w:val="00560776"/>
    <w:rsid w:val="005651F2"/>
    <w:rsid w:val="00566BF2"/>
    <w:rsid w:val="00566C37"/>
    <w:rsid w:val="00567FBF"/>
    <w:rsid w:val="0057020D"/>
    <w:rsid w:val="005710B2"/>
    <w:rsid w:val="005715A3"/>
    <w:rsid w:val="00573BBC"/>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96787"/>
    <w:rsid w:val="005A6B6C"/>
    <w:rsid w:val="005B0EA2"/>
    <w:rsid w:val="005B3818"/>
    <w:rsid w:val="005B3A59"/>
    <w:rsid w:val="005B479D"/>
    <w:rsid w:val="005B4B72"/>
    <w:rsid w:val="005B52B1"/>
    <w:rsid w:val="005B5AEB"/>
    <w:rsid w:val="005C08FA"/>
    <w:rsid w:val="005C0B06"/>
    <w:rsid w:val="005C10F2"/>
    <w:rsid w:val="005C3E17"/>
    <w:rsid w:val="005D1258"/>
    <w:rsid w:val="005D3DE5"/>
    <w:rsid w:val="005D691C"/>
    <w:rsid w:val="005D72BC"/>
    <w:rsid w:val="005D7BAC"/>
    <w:rsid w:val="005E0927"/>
    <w:rsid w:val="005E0EB8"/>
    <w:rsid w:val="005E1042"/>
    <w:rsid w:val="005E290B"/>
    <w:rsid w:val="005E38D1"/>
    <w:rsid w:val="005E61DB"/>
    <w:rsid w:val="005F038E"/>
    <w:rsid w:val="005F28F4"/>
    <w:rsid w:val="005F39AC"/>
    <w:rsid w:val="005F4D96"/>
    <w:rsid w:val="005F6B77"/>
    <w:rsid w:val="006003EE"/>
    <w:rsid w:val="00605067"/>
    <w:rsid w:val="00605136"/>
    <w:rsid w:val="0060560B"/>
    <w:rsid w:val="00606299"/>
    <w:rsid w:val="006063A3"/>
    <w:rsid w:val="00606464"/>
    <w:rsid w:val="00606E5C"/>
    <w:rsid w:val="0060753A"/>
    <w:rsid w:val="00610DCC"/>
    <w:rsid w:val="006120A9"/>
    <w:rsid w:val="00612C9E"/>
    <w:rsid w:val="0061315B"/>
    <w:rsid w:val="00614B06"/>
    <w:rsid w:val="00614DE1"/>
    <w:rsid w:val="006169D0"/>
    <w:rsid w:val="00616C8F"/>
    <w:rsid w:val="00616EAA"/>
    <w:rsid w:val="006173CA"/>
    <w:rsid w:val="0062060B"/>
    <w:rsid w:val="00621870"/>
    <w:rsid w:val="00626234"/>
    <w:rsid w:val="00627813"/>
    <w:rsid w:val="00630CE7"/>
    <w:rsid w:val="00633FA7"/>
    <w:rsid w:val="006345DE"/>
    <w:rsid w:val="00635F76"/>
    <w:rsid w:val="0064178E"/>
    <w:rsid w:val="00642162"/>
    <w:rsid w:val="00643045"/>
    <w:rsid w:val="00644F81"/>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139"/>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4F7"/>
    <w:rsid w:val="00687E71"/>
    <w:rsid w:val="00690343"/>
    <w:rsid w:val="00693EA5"/>
    <w:rsid w:val="006959B9"/>
    <w:rsid w:val="00695A3E"/>
    <w:rsid w:val="006A0565"/>
    <w:rsid w:val="006A0C8E"/>
    <w:rsid w:val="006A357E"/>
    <w:rsid w:val="006A45A1"/>
    <w:rsid w:val="006A4E33"/>
    <w:rsid w:val="006A5CDB"/>
    <w:rsid w:val="006A66F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4C0E"/>
    <w:rsid w:val="006C5CD3"/>
    <w:rsid w:val="006C5DBB"/>
    <w:rsid w:val="006D1852"/>
    <w:rsid w:val="006D2D0E"/>
    <w:rsid w:val="006D4E10"/>
    <w:rsid w:val="006D539E"/>
    <w:rsid w:val="006D634E"/>
    <w:rsid w:val="006D73C5"/>
    <w:rsid w:val="006D7AEE"/>
    <w:rsid w:val="006E0F4A"/>
    <w:rsid w:val="006E1B6F"/>
    <w:rsid w:val="006E280B"/>
    <w:rsid w:val="006E3610"/>
    <w:rsid w:val="006E3819"/>
    <w:rsid w:val="006E3977"/>
    <w:rsid w:val="006E3EA3"/>
    <w:rsid w:val="006E57C3"/>
    <w:rsid w:val="006E5B7C"/>
    <w:rsid w:val="006E6C7E"/>
    <w:rsid w:val="006E7325"/>
    <w:rsid w:val="006E7778"/>
    <w:rsid w:val="006F19FC"/>
    <w:rsid w:val="006F6F4D"/>
    <w:rsid w:val="006F72D9"/>
    <w:rsid w:val="006F74F3"/>
    <w:rsid w:val="00703E8A"/>
    <w:rsid w:val="00704355"/>
    <w:rsid w:val="00706597"/>
    <w:rsid w:val="007068BA"/>
    <w:rsid w:val="00707430"/>
    <w:rsid w:val="00707A0B"/>
    <w:rsid w:val="00707B59"/>
    <w:rsid w:val="00710A76"/>
    <w:rsid w:val="0071161C"/>
    <w:rsid w:val="0071197C"/>
    <w:rsid w:val="00716115"/>
    <w:rsid w:val="00716B69"/>
    <w:rsid w:val="00721582"/>
    <w:rsid w:val="00721914"/>
    <w:rsid w:val="007236E6"/>
    <w:rsid w:val="00724271"/>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3D14"/>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3FD"/>
    <w:rsid w:val="00774962"/>
    <w:rsid w:val="007759C4"/>
    <w:rsid w:val="00775F64"/>
    <w:rsid w:val="00776970"/>
    <w:rsid w:val="00777FC5"/>
    <w:rsid w:val="00780DCA"/>
    <w:rsid w:val="00781660"/>
    <w:rsid w:val="00781787"/>
    <w:rsid w:val="007818C9"/>
    <w:rsid w:val="00782920"/>
    <w:rsid w:val="00783992"/>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4385"/>
    <w:rsid w:val="007B5FA8"/>
    <w:rsid w:val="007B6900"/>
    <w:rsid w:val="007B7884"/>
    <w:rsid w:val="007C0294"/>
    <w:rsid w:val="007C12CC"/>
    <w:rsid w:val="007C307B"/>
    <w:rsid w:val="007C3B0F"/>
    <w:rsid w:val="007C563E"/>
    <w:rsid w:val="007C6221"/>
    <w:rsid w:val="007D1C04"/>
    <w:rsid w:val="007D2B50"/>
    <w:rsid w:val="007D39E5"/>
    <w:rsid w:val="007D3ECA"/>
    <w:rsid w:val="007D425A"/>
    <w:rsid w:val="007D54E9"/>
    <w:rsid w:val="007D5A19"/>
    <w:rsid w:val="007D6CCB"/>
    <w:rsid w:val="007E193D"/>
    <w:rsid w:val="007E31A6"/>
    <w:rsid w:val="007E37B8"/>
    <w:rsid w:val="007E4D85"/>
    <w:rsid w:val="007E4F90"/>
    <w:rsid w:val="007F00ED"/>
    <w:rsid w:val="007F2474"/>
    <w:rsid w:val="007F5FAD"/>
    <w:rsid w:val="007F620C"/>
    <w:rsid w:val="008004E8"/>
    <w:rsid w:val="00801B05"/>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BCD"/>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18B8"/>
    <w:rsid w:val="008A3B23"/>
    <w:rsid w:val="008A3E63"/>
    <w:rsid w:val="008A4078"/>
    <w:rsid w:val="008A51A9"/>
    <w:rsid w:val="008A65D1"/>
    <w:rsid w:val="008B0085"/>
    <w:rsid w:val="008B11D6"/>
    <w:rsid w:val="008B2B51"/>
    <w:rsid w:val="008B3453"/>
    <w:rsid w:val="008B346E"/>
    <w:rsid w:val="008B4E2A"/>
    <w:rsid w:val="008B5136"/>
    <w:rsid w:val="008B68FD"/>
    <w:rsid w:val="008C2E09"/>
    <w:rsid w:val="008C32D0"/>
    <w:rsid w:val="008C3677"/>
    <w:rsid w:val="008C3970"/>
    <w:rsid w:val="008C48F8"/>
    <w:rsid w:val="008C764C"/>
    <w:rsid w:val="008D03F0"/>
    <w:rsid w:val="008D3C61"/>
    <w:rsid w:val="008D4DE9"/>
    <w:rsid w:val="008D6485"/>
    <w:rsid w:val="008D706D"/>
    <w:rsid w:val="008E1ADA"/>
    <w:rsid w:val="008E1C35"/>
    <w:rsid w:val="008E2427"/>
    <w:rsid w:val="008E46ED"/>
    <w:rsid w:val="008E4D9D"/>
    <w:rsid w:val="008E5112"/>
    <w:rsid w:val="008E512D"/>
    <w:rsid w:val="008E5891"/>
    <w:rsid w:val="008E5F0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3ABE"/>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27B59"/>
    <w:rsid w:val="009306D2"/>
    <w:rsid w:val="00931F6A"/>
    <w:rsid w:val="00932A46"/>
    <w:rsid w:val="00933D99"/>
    <w:rsid w:val="009346ED"/>
    <w:rsid w:val="00934EE5"/>
    <w:rsid w:val="00935053"/>
    <w:rsid w:val="0093520D"/>
    <w:rsid w:val="00935392"/>
    <w:rsid w:val="0093790A"/>
    <w:rsid w:val="009417EE"/>
    <w:rsid w:val="00945A9B"/>
    <w:rsid w:val="00951C0F"/>
    <w:rsid w:val="00953320"/>
    <w:rsid w:val="00954A78"/>
    <w:rsid w:val="0095527F"/>
    <w:rsid w:val="009618EC"/>
    <w:rsid w:val="00961BBD"/>
    <w:rsid w:val="0096295D"/>
    <w:rsid w:val="00964479"/>
    <w:rsid w:val="00966E0E"/>
    <w:rsid w:val="0097195D"/>
    <w:rsid w:val="009721A4"/>
    <w:rsid w:val="009727F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DCC"/>
    <w:rsid w:val="009A4F79"/>
    <w:rsid w:val="009A5259"/>
    <w:rsid w:val="009A636B"/>
    <w:rsid w:val="009A6CC8"/>
    <w:rsid w:val="009A7416"/>
    <w:rsid w:val="009B2A40"/>
    <w:rsid w:val="009B520F"/>
    <w:rsid w:val="009B6998"/>
    <w:rsid w:val="009C17E0"/>
    <w:rsid w:val="009C1F4D"/>
    <w:rsid w:val="009C21A8"/>
    <w:rsid w:val="009C2ADE"/>
    <w:rsid w:val="009C585D"/>
    <w:rsid w:val="009C58FC"/>
    <w:rsid w:val="009D004A"/>
    <w:rsid w:val="009D0197"/>
    <w:rsid w:val="009D19AE"/>
    <w:rsid w:val="009D1FA3"/>
    <w:rsid w:val="009D2805"/>
    <w:rsid w:val="009D3609"/>
    <w:rsid w:val="009D7994"/>
    <w:rsid w:val="009E1712"/>
    <w:rsid w:val="009E3963"/>
    <w:rsid w:val="009E46B1"/>
    <w:rsid w:val="009E7AD9"/>
    <w:rsid w:val="009F1FFE"/>
    <w:rsid w:val="009F31B2"/>
    <w:rsid w:val="009F60DF"/>
    <w:rsid w:val="00A030EA"/>
    <w:rsid w:val="00A04C2D"/>
    <w:rsid w:val="00A04DCF"/>
    <w:rsid w:val="00A066BF"/>
    <w:rsid w:val="00A068EB"/>
    <w:rsid w:val="00A075EF"/>
    <w:rsid w:val="00A0776C"/>
    <w:rsid w:val="00A100BF"/>
    <w:rsid w:val="00A1253B"/>
    <w:rsid w:val="00A130E7"/>
    <w:rsid w:val="00A17860"/>
    <w:rsid w:val="00A21609"/>
    <w:rsid w:val="00A22389"/>
    <w:rsid w:val="00A24090"/>
    <w:rsid w:val="00A24C7F"/>
    <w:rsid w:val="00A25B97"/>
    <w:rsid w:val="00A25BBF"/>
    <w:rsid w:val="00A310D6"/>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5909"/>
    <w:rsid w:val="00A56417"/>
    <w:rsid w:val="00A57448"/>
    <w:rsid w:val="00A602B5"/>
    <w:rsid w:val="00A63D93"/>
    <w:rsid w:val="00A65E47"/>
    <w:rsid w:val="00A66011"/>
    <w:rsid w:val="00A67908"/>
    <w:rsid w:val="00A708C8"/>
    <w:rsid w:val="00A70FA9"/>
    <w:rsid w:val="00A71F21"/>
    <w:rsid w:val="00A71F44"/>
    <w:rsid w:val="00A737B7"/>
    <w:rsid w:val="00A77774"/>
    <w:rsid w:val="00A80B2E"/>
    <w:rsid w:val="00A83136"/>
    <w:rsid w:val="00A83804"/>
    <w:rsid w:val="00A8489E"/>
    <w:rsid w:val="00A85309"/>
    <w:rsid w:val="00A858C3"/>
    <w:rsid w:val="00A85B90"/>
    <w:rsid w:val="00A87F68"/>
    <w:rsid w:val="00A93D75"/>
    <w:rsid w:val="00A93F81"/>
    <w:rsid w:val="00A94B75"/>
    <w:rsid w:val="00A94EC9"/>
    <w:rsid w:val="00A94F5D"/>
    <w:rsid w:val="00A97321"/>
    <w:rsid w:val="00A978E5"/>
    <w:rsid w:val="00A978EA"/>
    <w:rsid w:val="00A97EBF"/>
    <w:rsid w:val="00AA04F9"/>
    <w:rsid w:val="00AA0889"/>
    <w:rsid w:val="00AA13B3"/>
    <w:rsid w:val="00AA23BA"/>
    <w:rsid w:val="00AA2E6B"/>
    <w:rsid w:val="00AA4870"/>
    <w:rsid w:val="00AA4A6D"/>
    <w:rsid w:val="00AA5186"/>
    <w:rsid w:val="00AA7784"/>
    <w:rsid w:val="00AB11E7"/>
    <w:rsid w:val="00AB455F"/>
    <w:rsid w:val="00AB55D0"/>
    <w:rsid w:val="00AB56FB"/>
    <w:rsid w:val="00AB60F8"/>
    <w:rsid w:val="00AB6EB6"/>
    <w:rsid w:val="00AC2D2E"/>
    <w:rsid w:val="00AC301A"/>
    <w:rsid w:val="00AC3246"/>
    <w:rsid w:val="00AC3317"/>
    <w:rsid w:val="00AC35D7"/>
    <w:rsid w:val="00AC5799"/>
    <w:rsid w:val="00AC611F"/>
    <w:rsid w:val="00AC6B73"/>
    <w:rsid w:val="00AC6F1A"/>
    <w:rsid w:val="00AC74AE"/>
    <w:rsid w:val="00AD192B"/>
    <w:rsid w:val="00AD438F"/>
    <w:rsid w:val="00AD4766"/>
    <w:rsid w:val="00AD50EB"/>
    <w:rsid w:val="00AD7006"/>
    <w:rsid w:val="00AD7780"/>
    <w:rsid w:val="00AD7820"/>
    <w:rsid w:val="00AE02D5"/>
    <w:rsid w:val="00AE0937"/>
    <w:rsid w:val="00AE0A4F"/>
    <w:rsid w:val="00AE2347"/>
    <w:rsid w:val="00AE3109"/>
    <w:rsid w:val="00AE32A1"/>
    <w:rsid w:val="00AE3DAA"/>
    <w:rsid w:val="00AE4129"/>
    <w:rsid w:val="00AE529B"/>
    <w:rsid w:val="00AE649F"/>
    <w:rsid w:val="00AE6E76"/>
    <w:rsid w:val="00AF02AD"/>
    <w:rsid w:val="00AF0EF9"/>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37E23"/>
    <w:rsid w:val="00B4292D"/>
    <w:rsid w:val="00B42D14"/>
    <w:rsid w:val="00B46951"/>
    <w:rsid w:val="00B52E35"/>
    <w:rsid w:val="00B5320A"/>
    <w:rsid w:val="00B53E3D"/>
    <w:rsid w:val="00B5583D"/>
    <w:rsid w:val="00B57119"/>
    <w:rsid w:val="00B60727"/>
    <w:rsid w:val="00B61244"/>
    <w:rsid w:val="00B63F94"/>
    <w:rsid w:val="00B64DE9"/>
    <w:rsid w:val="00B65206"/>
    <w:rsid w:val="00B66D3D"/>
    <w:rsid w:val="00B67759"/>
    <w:rsid w:val="00B70F40"/>
    <w:rsid w:val="00B71560"/>
    <w:rsid w:val="00B71E95"/>
    <w:rsid w:val="00B73120"/>
    <w:rsid w:val="00B7599E"/>
    <w:rsid w:val="00B761BB"/>
    <w:rsid w:val="00B80DFC"/>
    <w:rsid w:val="00B80EDE"/>
    <w:rsid w:val="00B82206"/>
    <w:rsid w:val="00B84254"/>
    <w:rsid w:val="00B859B8"/>
    <w:rsid w:val="00B87988"/>
    <w:rsid w:val="00B87B37"/>
    <w:rsid w:val="00B90574"/>
    <w:rsid w:val="00B90ABB"/>
    <w:rsid w:val="00B90CBD"/>
    <w:rsid w:val="00B92E98"/>
    <w:rsid w:val="00B9528F"/>
    <w:rsid w:val="00B9529C"/>
    <w:rsid w:val="00B9543F"/>
    <w:rsid w:val="00B9553B"/>
    <w:rsid w:val="00BA13B5"/>
    <w:rsid w:val="00BA3397"/>
    <w:rsid w:val="00BA606B"/>
    <w:rsid w:val="00BA78B0"/>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2FED"/>
    <w:rsid w:val="00BE3611"/>
    <w:rsid w:val="00BE5099"/>
    <w:rsid w:val="00BE53FC"/>
    <w:rsid w:val="00BE573A"/>
    <w:rsid w:val="00BE63C9"/>
    <w:rsid w:val="00BE79E6"/>
    <w:rsid w:val="00BF26EE"/>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07B14"/>
    <w:rsid w:val="00C1063E"/>
    <w:rsid w:val="00C10713"/>
    <w:rsid w:val="00C117A2"/>
    <w:rsid w:val="00C131FB"/>
    <w:rsid w:val="00C134E6"/>
    <w:rsid w:val="00C15341"/>
    <w:rsid w:val="00C20E1F"/>
    <w:rsid w:val="00C21258"/>
    <w:rsid w:val="00C215E3"/>
    <w:rsid w:val="00C22E94"/>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749A"/>
    <w:rsid w:val="00C708E8"/>
    <w:rsid w:val="00C7141C"/>
    <w:rsid w:val="00C7317A"/>
    <w:rsid w:val="00C74746"/>
    <w:rsid w:val="00C74A60"/>
    <w:rsid w:val="00C76857"/>
    <w:rsid w:val="00C77741"/>
    <w:rsid w:val="00C77B4B"/>
    <w:rsid w:val="00C77FD7"/>
    <w:rsid w:val="00C81ECD"/>
    <w:rsid w:val="00C827FF"/>
    <w:rsid w:val="00C84EF2"/>
    <w:rsid w:val="00C8530A"/>
    <w:rsid w:val="00C8595C"/>
    <w:rsid w:val="00C87CFF"/>
    <w:rsid w:val="00C91EEF"/>
    <w:rsid w:val="00C92B04"/>
    <w:rsid w:val="00C93302"/>
    <w:rsid w:val="00C937F2"/>
    <w:rsid w:val="00C96476"/>
    <w:rsid w:val="00C966E5"/>
    <w:rsid w:val="00C9746E"/>
    <w:rsid w:val="00C97D01"/>
    <w:rsid w:val="00CA07E5"/>
    <w:rsid w:val="00CA102A"/>
    <w:rsid w:val="00CA124D"/>
    <w:rsid w:val="00CA2F94"/>
    <w:rsid w:val="00CA342B"/>
    <w:rsid w:val="00CA5643"/>
    <w:rsid w:val="00CA5CD4"/>
    <w:rsid w:val="00CB0602"/>
    <w:rsid w:val="00CB2706"/>
    <w:rsid w:val="00CB32BB"/>
    <w:rsid w:val="00CB53CC"/>
    <w:rsid w:val="00CB6271"/>
    <w:rsid w:val="00CB77AC"/>
    <w:rsid w:val="00CC0168"/>
    <w:rsid w:val="00CC02B6"/>
    <w:rsid w:val="00CC038A"/>
    <w:rsid w:val="00CC0515"/>
    <w:rsid w:val="00CC0BA0"/>
    <w:rsid w:val="00CC1EDA"/>
    <w:rsid w:val="00CC218A"/>
    <w:rsid w:val="00CC3230"/>
    <w:rsid w:val="00CC4394"/>
    <w:rsid w:val="00CC44AE"/>
    <w:rsid w:val="00CC5671"/>
    <w:rsid w:val="00CC5A37"/>
    <w:rsid w:val="00CC68F4"/>
    <w:rsid w:val="00CC76FE"/>
    <w:rsid w:val="00CC770D"/>
    <w:rsid w:val="00CD1E58"/>
    <w:rsid w:val="00CD27D3"/>
    <w:rsid w:val="00CD3365"/>
    <w:rsid w:val="00CD471E"/>
    <w:rsid w:val="00CD482D"/>
    <w:rsid w:val="00CD48A2"/>
    <w:rsid w:val="00CD4FD0"/>
    <w:rsid w:val="00CD7A14"/>
    <w:rsid w:val="00CE0E5F"/>
    <w:rsid w:val="00CE2FCF"/>
    <w:rsid w:val="00CE318F"/>
    <w:rsid w:val="00CE5461"/>
    <w:rsid w:val="00CE6B10"/>
    <w:rsid w:val="00CE6C4B"/>
    <w:rsid w:val="00CE71F9"/>
    <w:rsid w:val="00CF2A3C"/>
    <w:rsid w:val="00CF36D8"/>
    <w:rsid w:val="00CF43C8"/>
    <w:rsid w:val="00CF46D5"/>
    <w:rsid w:val="00CF4736"/>
    <w:rsid w:val="00CF7ADB"/>
    <w:rsid w:val="00D0033D"/>
    <w:rsid w:val="00D006B0"/>
    <w:rsid w:val="00D00BE4"/>
    <w:rsid w:val="00D02560"/>
    <w:rsid w:val="00D04121"/>
    <w:rsid w:val="00D051E7"/>
    <w:rsid w:val="00D05DD3"/>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30B"/>
    <w:rsid w:val="00D338D3"/>
    <w:rsid w:val="00D33F03"/>
    <w:rsid w:val="00D34494"/>
    <w:rsid w:val="00D360C6"/>
    <w:rsid w:val="00D365C0"/>
    <w:rsid w:val="00D367F1"/>
    <w:rsid w:val="00D40609"/>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2319"/>
    <w:rsid w:val="00D72E5B"/>
    <w:rsid w:val="00D745C3"/>
    <w:rsid w:val="00D75D8E"/>
    <w:rsid w:val="00D763DE"/>
    <w:rsid w:val="00D76FB8"/>
    <w:rsid w:val="00D8053D"/>
    <w:rsid w:val="00D80B1A"/>
    <w:rsid w:val="00D828CE"/>
    <w:rsid w:val="00D82F67"/>
    <w:rsid w:val="00D83F62"/>
    <w:rsid w:val="00D85C6B"/>
    <w:rsid w:val="00D86DAC"/>
    <w:rsid w:val="00D90AE9"/>
    <w:rsid w:val="00D90CAD"/>
    <w:rsid w:val="00D92A5C"/>
    <w:rsid w:val="00D93747"/>
    <w:rsid w:val="00D93C60"/>
    <w:rsid w:val="00D93FCC"/>
    <w:rsid w:val="00D94365"/>
    <w:rsid w:val="00D94388"/>
    <w:rsid w:val="00D94393"/>
    <w:rsid w:val="00D944F3"/>
    <w:rsid w:val="00D9534E"/>
    <w:rsid w:val="00D955F1"/>
    <w:rsid w:val="00DA2236"/>
    <w:rsid w:val="00DA2485"/>
    <w:rsid w:val="00DA3338"/>
    <w:rsid w:val="00DA4B47"/>
    <w:rsid w:val="00DA4D00"/>
    <w:rsid w:val="00DA5FB5"/>
    <w:rsid w:val="00DA7E50"/>
    <w:rsid w:val="00DB307A"/>
    <w:rsid w:val="00DB430C"/>
    <w:rsid w:val="00DB441E"/>
    <w:rsid w:val="00DB4DA3"/>
    <w:rsid w:val="00DC1D5F"/>
    <w:rsid w:val="00DC1FAD"/>
    <w:rsid w:val="00DC20F9"/>
    <w:rsid w:val="00DC2D37"/>
    <w:rsid w:val="00DC46F4"/>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DF7AF6"/>
    <w:rsid w:val="00E009F3"/>
    <w:rsid w:val="00E00DDC"/>
    <w:rsid w:val="00E011DA"/>
    <w:rsid w:val="00E01FA7"/>
    <w:rsid w:val="00E0274F"/>
    <w:rsid w:val="00E0432C"/>
    <w:rsid w:val="00E048E5"/>
    <w:rsid w:val="00E061F3"/>
    <w:rsid w:val="00E07B26"/>
    <w:rsid w:val="00E07F21"/>
    <w:rsid w:val="00E13FB6"/>
    <w:rsid w:val="00E1487A"/>
    <w:rsid w:val="00E16DAB"/>
    <w:rsid w:val="00E2006D"/>
    <w:rsid w:val="00E22756"/>
    <w:rsid w:val="00E25815"/>
    <w:rsid w:val="00E25A3E"/>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5B11"/>
    <w:rsid w:val="00E4695B"/>
    <w:rsid w:val="00E47625"/>
    <w:rsid w:val="00E4765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5F78"/>
    <w:rsid w:val="00E768F9"/>
    <w:rsid w:val="00E771B0"/>
    <w:rsid w:val="00E77F8A"/>
    <w:rsid w:val="00E8033D"/>
    <w:rsid w:val="00E8219A"/>
    <w:rsid w:val="00E829CB"/>
    <w:rsid w:val="00E8554D"/>
    <w:rsid w:val="00E859F8"/>
    <w:rsid w:val="00E875DE"/>
    <w:rsid w:val="00E87C9B"/>
    <w:rsid w:val="00E9018A"/>
    <w:rsid w:val="00E93090"/>
    <w:rsid w:val="00E93812"/>
    <w:rsid w:val="00E93C34"/>
    <w:rsid w:val="00E94DF8"/>
    <w:rsid w:val="00EA2BCA"/>
    <w:rsid w:val="00EA2C71"/>
    <w:rsid w:val="00EA502E"/>
    <w:rsid w:val="00EA5232"/>
    <w:rsid w:val="00EA7E56"/>
    <w:rsid w:val="00EB021E"/>
    <w:rsid w:val="00EB05ED"/>
    <w:rsid w:val="00EB0C4B"/>
    <w:rsid w:val="00EB0DC4"/>
    <w:rsid w:val="00EB0E52"/>
    <w:rsid w:val="00EB1F77"/>
    <w:rsid w:val="00EB36BD"/>
    <w:rsid w:val="00EB506E"/>
    <w:rsid w:val="00EC0997"/>
    <w:rsid w:val="00EC1EE3"/>
    <w:rsid w:val="00EC63A7"/>
    <w:rsid w:val="00ED038E"/>
    <w:rsid w:val="00ED0D35"/>
    <w:rsid w:val="00ED1E20"/>
    <w:rsid w:val="00ED2FB9"/>
    <w:rsid w:val="00ED4C47"/>
    <w:rsid w:val="00ED4D48"/>
    <w:rsid w:val="00ED70B4"/>
    <w:rsid w:val="00EE11CC"/>
    <w:rsid w:val="00EE2A0A"/>
    <w:rsid w:val="00EE2DA4"/>
    <w:rsid w:val="00EE4005"/>
    <w:rsid w:val="00EE4C19"/>
    <w:rsid w:val="00EE774B"/>
    <w:rsid w:val="00EF170D"/>
    <w:rsid w:val="00EF19BF"/>
    <w:rsid w:val="00EF23AC"/>
    <w:rsid w:val="00EF33E9"/>
    <w:rsid w:val="00EF36DF"/>
    <w:rsid w:val="00EF65C0"/>
    <w:rsid w:val="00EF7534"/>
    <w:rsid w:val="00EF7B68"/>
    <w:rsid w:val="00EF7BA0"/>
    <w:rsid w:val="00EF7C43"/>
    <w:rsid w:val="00F00972"/>
    <w:rsid w:val="00F01B20"/>
    <w:rsid w:val="00F02047"/>
    <w:rsid w:val="00F02E41"/>
    <w:rsid w:val="00F032DB"/>
    <w:rsid w:val="00F0346D"/>
    <w:rsid w:val="00F03CD9"/>
    <w:rsid w:val="00F03F58"/>
    <w:rsid w:val="00F05511"/>
    <w:rsid w:val="00F06C75"/>
    <w:rsid w:val="00F0711F"/>
    <w:rsid w:val="00F0715F"/>
    <w:rsid w:val="00F071CD"/>
    <w:rsid w:val="00F10C7F"/>
    <w:rsid w:val="00F11612"/>
    <w:rsid w:val="00F124CD"/>
    <w:rsid w:val="00F124FC"/>
    <w:rsid w:val="00F127FE"/>
    <w:rsid w:val="00F1285B"/>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5639"/>
    <w:rsid w:val="00F76090"/>
    <w:rsid w:val="00F77A80"/>
    <w:rsid w:val="00F77C8E"/>
    <w:rsid w:val="00F80464"/>
    <w:rsid w:val="00F8342E"/>
    <w:rsid w:val="00F83D75"/>
    <w:rsid w:val="00F8456D"/>
    <w:rsid w:val="00F847C6"/>
    <w:rsid w:val="00F87CC2"/>
    <w:rsid w:val="00F9063F"/>
    <w:rsid w:val="00F90B81"/>
    <w:rsid w:val="00F912E2"/>
    <w:rsid w:val="00F91DD6"/>
    <w:rsid w:val="00F9528D"/>
    <w:rsid w:val="00F96261"/>
    <w:rsid w:val="00F96F2A"/>
    <w:rsid w:val="00F97818"/>
    <w:rsid w:val="00FA1933"/>
    <w:rsid w:val="00FA271F"/>
    <w:rsid w:val="00FA5C81"/>
    <w:rsid w:val="00FA7E7A"/>
    <w:rsid w:val="00FB0E0E"/>
    <w:rsid w:val="00FB0EBD"/>
    <w:rsid w:val="00FB151D"/>
    <w:rsid w:val="00FB27E2"/>
    <w:rsid w:val="00FB2D03"/>
    <w:rsid w:val="00FB44B4"/>
    <w:rsid w:val="00FB44BC"/>
    <w:rsid w:val="00FB4F69"/>
    <w:rsid w:val="00FB5BC6"/>
    <w:rsid w:val="00FB73F4"/>
    <w:rsid w:val="00FB784C"/>
    <w:rsid w:val="00FC271A"/>
    <w:rsid w:val="00FC3252"/>
    <w:rsid w:val="00FC4899"/>
    <w:rsid w:val="00FC4A60"/>
    <w:rsid w:val="00FC532D"/>
    <w:rsid w:val="00FC6B43"/>
    <w:rsid w:val="00FC7074"/>
    <w:rsid w:val="00FD08F0"/>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E7EBA"/>
    <w:rsid w:val="00FF1AE9"/>
    <w:rsid w:val="00FF1DE6"/>
    <w:rsid w:val="00FF44B7"/>
    <w:rsid w:val="00FF4EFD"/>
    <w:rsid w:val="00FF5CD6"/>
    <w:rsid w:val="00FF5E86"/>
    <w:rsid w:val="00FF795B"/>
    <w:rsid w:val="010E6D34"/>
    <w:rsid w:val="014903F9"/>
    <w:rsid w:val="01B943ED"/>
    <w:rsid w:val="01C67325"/>
    <w:rsid w:val="01E053F1"/>
    <w:rsid w:val="01E11812"/>
    <w:rsid w:val="01FD3EB8"/>
    <w:rsid w:val="020177B4"/>
    <w:rsid w:val="020C0328"/>
    <w:rsid w:val="020D5957"/>
    <w:rsid w:val="02124566"/>
    <w:rsid w:val="02237557"/>
    <w:rsid w:val="026435F6"/>
    <w:rsid w:val="026776A4"/>
    <w:rsid w:val="026805D1"/>
    <w:rsid w:val="026A46B5"/>
    <w:rsid w:val="02711B7D"/>
    <w:rsid w:val="028E67B6"/>
    <w:rsid w:val="02A24DD0"/>
    <w:rsid w:val="02B26905"/>
    <w:rsid w:val="02DC372B"/>
    <w:rsid w:val="02F04AEB"/>
    <w:rsid w:val="02FE6E47"/>
    <w:rsid w:val="03201B75"/>
    <w:rsid w:val="0326079A"/>
    <w:rsid w:val="032F6F2C"/>
    <w:rsid w:val="034A31D4"/>
    <w:rsid w:val="03542C0B"/>
    <w:rsid w:val="03880AFC"/>
    <w:rsid w:val="039C4A75"/>
    <w:rsid w:val="03A7050F"/>
    <w:rsid w:val="03BB024E"/>
    <w:rsid w:val="03BF187E"/>
    <w:rsid w:val="03CB2589"/>
    <w:rsid w:val="03ED38CB"/>
    <w:rsid w:val="04001AA6"/>
    <w:rsid w:val="04006717"/>
    <w:rsid w:val="04506235"/>
    <w:rsid w:val="045752D5"/>
    <w:rsid w:val="046625B4"/>
    <w:rsid w:val="04841B7B"/>
    <w:rsid w:val="05274886"/>
    <w:rsid w:val="052C3DC2"/>
    <w:rsid w:val="05330099"/>
    <w:rsid w:val="053522AC"/>
    <w:rsid w:val="05356F9B"/>
    <w:rsid w:val="0552727C"/>
    <w:rsid w:val="055E7AD0"/>
    <w:rsid w:val="056105E9"/>
    <w:rsid w:val="056173FF"/>
    <w:rsid w:val="0591166C"/>
    <w:rsid w:val="05984056"/>
    <w:rsid w:val="05A31CCA"/>
    <w:rsid w:val="05A756C2"/>
    <w:rsid w:val="05DA1620"/>
    <w:rsid w:val="05F04A85"/>
    <w:rsid w:val="05F24D0F"/>
    <w:rsid w:val="06143900"/>
    <w:rsid w:val="06166C59"/>
    <w:rsid w:val="061F79BA"/>
    <w:rsid w:val="0627615B"/>
    <w:rsid w:val="062A6E9E"/>
    <w:rsid w:val="062E2DB5"/>
    <w:rsid w:val="063D06F0"/>
    <w:rsid w:val="063D4CF5"/>
    <w:rsid w:val="064A5BF1"/>
    <w:rsid w:val="065B5641"/>
    <w:rsid w:val="066D5CF7"/>
    <w:rsid w:val="068C7F68"/>
    <w:rsid w:val="06A1517A"/>
    <w:rsid w:val="06B13ADD"/>
    <w:rsid w:val="06C91A4C"/>
    <w:rsid w:val="06CE6615"/>
    <w:rsid w:val="06DB6A44"/>
    <w:rsid w:val="074441A6"/>
    <w:rsid w:val="07614072"/>
    <w:rsid w:val="077836E6"/>
    <w:rsid w:val="07AB2899"/>
    <w:rsid w:val="07D621A2"/>
    <w:rsid w:val="081C0276"/>
    <w:rsid w:val="08336FB0"/>
    <w:rsid w:val="08440AF0"/>
    <w:rsid w:val="0847245C"/>
    <w:rsid w:val="08490712"/>
    <w:rsid w:val="08562D23"/>
    <w:rsid w:val="08654F0F"/>
    <w:rsid w:val="086873EA"/>
    <w:rsid w:val="089B2637"/>
    <w:rsid w:val="08C25186"/>
    <w:rsid w:val="08D64D25"/>
    <w:rsid w:val="09035CD5"/>
    <w:rsid w:val="09045BDB"/>
    <w:rsid w:val="09067CF9"/>
    <w:rsid w:val="0911612D"/>
    <w:rsid w:val="09185AD6"/>
    <w:rsid w:val="092A2FCE"/>
    <w:rsid w:val="092B2642"/>
    <w:rsid w:val="09342B19"/>
    <w:rsid w:val="095A2140"/>
    <w:rsid w:val="0960477C"/>
    <w:rsid w:val="09742D76"/>
    <w:rsid w:val="09930134"/>
    <w:rsid w:val="099311C7"/>
    <w:rsid w:val="09EF30DB"/>
    <w:rsid w:val="09F40A58"/>
    <w:rsid w:val="09F871A7"/>
    <w:rsid w:val="09FC0872"/>
    <w:rsid w:val="0A0715F9"/>
    <w:rsid w:val="0A32152D"/>
    <w:rsid w:val="0A361032"/>
    <w:rsid w:val="0A3A2531"/>
    <w:rsid w:val="0A481597"/>
    <w:rsid w:val="0A4F0371"/>
    <w:rsid w:val="0A87084F"/>
    <w:rsid w:val="0A8F39EE"/>
    <w:rsid w:val="0AD46E82"/>
    <w:rsid w:val="0B204F7C"/>
    <w:rsid w:val="0B3502E7"/>
    <w:rsid w:val="0B3A12C6"/>
    <w:rsid w:val="0B4637BE"/>
    <w:rsid w:val="0B587788"/>
    <w:rsid w:val="0B5E59FB"/>
    <w:rsid w:val="0B5F2982"/>
    <w:rsid w:val="0B5F5DBF"/>
    <w:rsid w:val="0B863BB0"/>
    <w:rsid w:val="0B90631E"/>
    <w:rsid w:val="0B90723E"/>
    <w:rsid w:val="0BEC41BC"/>
    <w:rsid w:val="0BFC145C"/>
    <w:rsid w:val="0C2B4001"/>
    <w:rsid w:val="0C4D2604"/>
    <w:rsid w:val="0C527AF3"/>
    <w:rsid w:val="0C623750"/>
    <w:rsid w:val="0C9E37E6"/>
    <w:rsid w:val="0CBE2AC7"/>
    <w:rsid w:val="0CC779B0"/>
    <w:rsid w:val="0CCE5410"/>
    <w:rsid w:val="0CDC2FDC"/>
    <w:rsid w:val="0CE12F34"/>
    <w:rsid w:val="0CE86C02"/>
    <w:rsid w:val="0D060D5E"/>
    <w:rsid w:val="0D2939A8"/>
    <w:rsid w:val="0D3006E3"/>
    <w:rsid w:val="0D662A27"/>
    <w:rsid w:val="0D7627D1"/>
    <w:rsid w:val="0D924B40"/>
    <w:rsid w:val="0DB52069"/>
    <w:rsid w:val="0DB64438"/>
    <w:rsid w:val="0DC02858"/>
    <w:rsid w:val="0DC524F0"/>
    <w:rsid w:val="0DEB29A3"/>
    <w:rsid w:val="0DFC1D83"/>
    <w:rsid w:val="0E120F3A"/>
    <w:rsid w:val="0E1E386C"/>
    <w:rsid w:val="0E5F5409"/>
    <w:rsid w:val="0E6A6959"/>
    <w:rsid w:val="0E867004"/>
    <w:rsid w:val="0EAE588E"/>
    <w:rsid w:val="0EAF7A9C"/>
    <w:rsid w:val="0EB22052"/>
    <w:rsid w:val="0ECE29F6"/>
    <w:rsid w:val="0F094B7B"/>
    <w:rsid w:val="0F0C4E7B"/>
    <w:rsid w:val="0F287427"/>
    <w:rsid w:val="0F3A4AC8"/>
    <w:rsid w:val="0F3A5892"/>
    <w:rsid w:val="0F400D0D"/>
    <w:rsid w:val="0F4D5A89"/>
    <w:rsid w:val="0F5E4541"/>
    <w:rsid w:val="0F681C5F"/>
    <w:rsid w:val="0F6F1A71"/>
    <w:rsid w:val="0F986B08"/>
    <w:rsid w:val="0FA17C81"/>
    <w:rsid w:val="0FA47D8D"/>
    <w:rsid w:val="0FDA15FE"/>
    <w:rsid w:val="0FF87F7E"/>
    <w:rsid w:val="100145F8"/>
    <w:rsid w:val="101E2A39"/>
    <w:rsid w:val="10207C03"/>
    <w:rsid w:val="102237AF"/>
    <w:rsid w:val="10235424"/>
    <w:rsid w:val="103463F5"/>
    <w:rsid w:val="103E1B95"/>
    <w:rsid w:val="107E17B7"/>
    <w:rsid w:val="10824646"/>
    <w:rsid w:val="10973A9C"/>
    <w:rsid w:val="10AE4FCD"/>
    <w:rsid w:val="111F65A2"/>
    <w:rsid w:val="11376513"/>
    <w:rsid w:val="118A391A"/>
    <w:rsid w:val="118C0436"/>
    <w:rsid w:val="118C0A82"/>
    <w:rsid w:val="1198570A"/>
    <w:rsid w:val="119C2FAD"/>
    <w:rsid w:val="11C11FFB"/>
    <w:rsid w:val="11CC04D1"/>
    <w:rsid w:val="11F87B65"/>
    <w:rsid w:val="12050D55"/>
    <w:rsid w:val="12447FFF"/>
    <w:rsid w:val="125016B7"/>
    <w:rsid w:val="12533CCA"/>
    <w:rsid w:val="1267479B"/>
    <w:rsid w:val="12AE5AC3"/>
    <w:rsid w:val="12B52700"/>
    <w:rsid w:val="130F2F12"/>
    <w:rsid w:val="13287D5B"/>
    <w:rsid w:val="13341918"/>
    <w:rsid w:val="13375AC8"/>
    <w:rsid w:val="13445F5C"/>
    <w:rsid w:val="137876F0"/>
    <w:rsid w:val="138C3BA9"/>
    <w:rsid w:val="13A0433F"/>
    <w:rsid w:val="13AF3D65"/>
    <w:rsid w:val="13B97FA2"/>
    <w:rsid w:val="13F15301"/>
    <w:rsid w:val="140B0167"/>
    <w:rsid w:val="14BC044C"/>
    <w:rsid w:val="14C31775"/>
    <w:rsid w:val="14C42E33"/>
    <w:rsid w:val="14FF5971"/>
    <w:rsid w:val="1502023F"/>
    <w:rsid w:val="150729F7"/>
    <w:rsid w:val="15287B05"/>
    <w:rsid w:val="15386086"/>
    <w:rsid w:val="15530C6A"/>
    <w:rsid w:val="15704EF6"/>
    <w:rsid w:val="15AC22B0"/>
    <w:rsid w:val="15CF0A9A"/>
    <w:rsid w:val="15DA2536"/>
    <w:rsid w:val="15FF1D55"/>
    <w:rsid w:val="161910B6"/>
    <w:rsid w:val="1621145D"/>
    <w:rsid w:val="162B0014"/>
    <w:rsid w:val="164546CF"/>
    <w:rsid w:val="166E4ABD"/>
    <w:rsid w:val="167830FB"/>
    <w:rsid w:val="167F5CEF"/>
    <w:rsid w:val="169C0AAB"/>
    <w:rsid w:val="16BB3D1A"/>
    <w:rsid w:val="16BE5118"/>
    <w:rsid w:val="16C267DE"/>
    <w:rsid w:val="16FD33EB"/>
    <w:rsid w:val="1701398E"/>
    <w:rsid w:val="170D612B"/>
    <w:rsid w:val="1711341D"/>
    <w:rsid w:val="173B57F8"/>
    <w:rsid w:val="17977688"/>
    <w:rsid w:val="17A52FE0"/>
    <w:rsid w:val="17BC17EA"/>
    <w:rsid w:val="17E21151"/>
    <w:rsid w:val="180151FD"/>
    <w:rsid w:val="181C1455"/>
    <w:rsid w:val="1848672A"/>
    <w:rsid w:val="184F003A"/>
    <w:rsid w:val="1852538E"/>
    <w:rsid w:val="185642A3"/>
    <w:rsid w:val="18720671"/>
    <w:rsid w:val="18812D7C"/>
    <w:rsid w:val="18885C38"/>
    <w:rsid w:val="18905BFE"/>
    <w:rsid w:val="18A13D45"/>
    <w:rsid w:val="18F460B2"/>
    <w:rsid w:val="191D78D8"/>
    <w:rsid w:val="19660F78"/>
    <w:rsid w:val="196E503F"/>
    <w:rsid w:val="19A154BA"/>
    <w:rsid w:val="19CC068C"/>
    <w:rsid w:val="19FE64C6"/>
    <w:rsid w:val="1A06092B"/>
    <w:rsid w:val="1A162B3E"/>
    <w:rsid w:val="1A1C60D6"/>
    <w:rsid w:val="1A207BB8"/>
    <w:rsid w:val="1A452A3C"/>
    <w:rsid w:val="1A4A476F"/>
    <w:rsid w:val="1A5474FF"/>
    <w:rsid w:val="1A5576F2"/>
    <w:rsid w:val="1A6505DF"/>
    <w:rsid w:val="1A784BC1"/>
    <w:rsid w:val="1AA94532"/>
    <w:rsid w:val="1AD0669D"/>
    <w:rsid w:val="1AF50F33"/>
    <w:rsid w:val="1AF515B3"/>
    <w:rsid w:val="1B2741C2"/>
    <w:rsid w:val="1B391768"/>
    <w:rsid w:val="1B777563"/>
    <w:rsid w:val="1B7E6441"/>
    <w:rsid w:val="1B822906"/>
    <w:rsid w:val="1B9F42CA"/>
    <w:rsid w:val="1BA40DA4"/>
    <w:rsid w:val="1BAE74E7"/>
    <w:rsid w:val="1BB33A7D"/>
    <w:rsid w:val="1BBA725E"/>
    <w:rsid w:val="1BDA7ABD"/>
    <w:rsid w:val="1BE45425"/>
    <w:rsid w:val="1BE71BCE"/>
    <w:rsid w:val="1C0616D1"/>
    <w:rsid w:val="1C0717F9"/>
    <w:rsid w:val="1C313074"/>
    <w:rsid w:val="1C322833"/>
    <w:rsid w:val="1C3826E2"/>
    <w:rsid w:val="1C3C7C2A"/>
    <w:rsid w:val="1C3E7085"/>
    <w:rsid w:val="1C6634D1"/>
    <w:rsid w:val="1C6D53E6"/>
    <w:rsid w:val="1C84256B"/>
    <w:rsid w:val="1CA34FA4"/>
    <w:rsid w:val="1CBE644C"/>
    <w:rsid w:val="1CC55646"/>
    <w:rsid w:val="1CD20CA2"/>
    <w:rsid w:val="1D045795"/>
    <w:rsid w:val="1D0755F4"/>
    <w:rsid w:val="1D0A61B0"/>
    <w:rsid w:val="1D1120F1"/>
    <w:rsid w:val="1D156A9F"/>
    <w:rsid w:val="1D232721"/>
    <w:rsid w:val="1D34511C"/>
    <w:rsid w:val="1D394389"/>
    <w:rsid w:val="1D4E5D23"/>
    <w:rsid w:val="1D655790"/>
    <w:rsid w:val="1D6D625D"/>
    <w:rsid w:val="1D7D0D28"/>
    <w:rsid w:val="1D9808A1"/>
    <w:rsid w:val="1DAB268B"/>
    <w:rsid w:val="1DC12E8E"/>
    <w:rsid w:val="1DDB484B"/>
    <w:rsid w:val="1DE6551F"/>
    <w:rsid w:val="1DF761AC"/>
    <w:rsid w:val="1DFE7BD5"/>
    <w:rsid w:val="1DFF7D6A"/>
    <w:rsid w:val="1E0B6F30"/>
    <w:rsid w:val="1E0B72AA"/>
    <w:rsid w:val="1E5374B5"/>
    <w:rsid w:val="1E7A662A"/>
    <w:rsid w:val="1EAB72FF"/>
    <w:rsid w:val="1EC86370"/>
    <w:rsid w:val="1F0526DE"/>
    <w:rsid w:val="1F092265"/>
    <w:rsid w:val="1F187A67"/>
    <w:rsid w:val="1F5F118E"/>
    <w:rsid w:val="1F9F33DF"/>
    <w:rsid w:val="1FD71BBB"/>
    <w:rsid w:val="20051D65"/>
    <w:rsid w:val="2011136A"/>
    <w:rsid w:val="202F49F2"/>
    <w:rsid w:val="20376A17"/>
    <w:rsid w:val="203B5DD9"/>
    <w:rsid w:val="20435328"/>
    <w:rsid w:val="20505046"/>
    <w:rsid w:val="207009DA"/>
    <w:rsid w:val="20935E83"/>
    <w:rsid w:val="20A52965"/>
    <w:rsid w:val="20AE73F4"/>
    <w:rsid w:val="20B42BD9"/>
    <w:rsid w:val="20BC2E50"/>
    <w:rsid w:val="20DF446B"/>
    <w:rsid w:val="20F31062"/>
    <w:rsid w:val="21035140"/>
    <w:rsid w:val="21090409"/>
    <w:rsid w:val="21175510"/>
    <w:rsid w:val="21542300"/>
    <w:rsid w:val="2158167F"/>
    <w:rsid w:val="215F43C0"/>
    <w:rsid w:val="218B1A8C"/>
    <w:rsid w:val="21AB17E9"/>
    <w:rsid w:val="21BA1F4F"/>
    <w:rsid w:val="21C34F1A"/>
    <w:rsid w:val="21CE41D0"/>
    <w:rsid w:val="21CF1583"/>
    <w:rsid w:val="22147335"/>
    <w:rsid w:val="22182F0A"/>
    <w:rsid w:val="221A72AA"/>
    <w:rsid w:val="223B58B1"/>
    <w:rsid w:val="225A28D5"/>
    <w:rsid w:val="22640B41"/>
    <w:rsid w:val="227E7FD9"/>
    <w:rsid w:val="22821606"/>
    <w:rsid w:val="22AF47E8"/>
    <w:rsid w:val="22C95FBF"/>
    <w:rsid w:val="22EB2C9D"/>
    <w:rsid w:val="22EE5385"/>
    <w:rsid w:val="22F93624"/>
    <w:rsid w:val="23194F56"/>
    <w:rsid w:val="23411FF9"/>
    <w:rsid w:val="234E2ADB"/>
    <w:rsid w:val="235A5828"/>
    <w:rsid w:val="23733AE8"/>
    <w:rsid w:val="237B7BF0"/>
    <w:rsid w:val="23BC1286"/>
    <w:rsid w:val="23BD3A7B"/>
    <w:rsid w:val="23C018BF"/>
    <w:rsid w:val="23CE316E"/>
    <w:rsid w:val="23D2268D"/>
    <w:rsid w:val="23FA33C6"/>
    <w:rsid w:val="24091565"/>
    <w:rsid w:val="244C76BC"/>
    <w:rsid w:val="246607A8"/>
    <w:rsid w:val="24664989"/>
    <w:rsid w:val="248B3896"/>
    <w:rsid w:val="24D87B8E"/>
    <w:rsid w:val="250E43C5"/>
    <w:rsid w:val="25174CA8"/>
    <w:rsid w:val="251F76DB"/>
    <w:rsid w:val="25572C0C"/>
    <w:rsid w:val="25770400"/>
    <w:rsid w:val="25861B07"/>
    <w:rsid w:val="25C703A5"/>
    <w:rsid w:val="25F005C6"/>
    <w:rsid w:val="26050A77"/>
    <w:rsid w:val="261C7CD8"/>
    <w:rsid w:val="2625345C"/>
    <w:rsid w:val="2634599B"/>
    <w:rsid w:val="263B06DB"/>
    <w:rsid w:val="26476E9C"/>
    <w:rsid w:val="268D1B70"/>
    <w:rsid w:val="26B95199"/>
    <w:rsid w:val="26C563A2"/>
    <w:rsid w:val="26D96E41"/>
    <w:rsid w:val="26F222D8"/>
    <w:rsid w:val="27027DFD"/>
    <w:rsid w:val="27213DC0"/>
    <w:rsid w:val="27280AF8"/>
    <w:rsid w:val="27295718"/>
    <w:rsid w:val="272D4CF5"/>
    <w:rsid w:val="27831B69"/>
    <w:rsid w:val="27846750"/>
    <w:rsid w:val="278C76EA"/>
    <w:rsid w:val="27B170EB"/>
    <w:rsid w:val="27B34C0D"/>
    <w:rsid w:val="27C93B2E"/>
    <w:rsid w:val="27D369CB"/>
    <w:rsid w:val="27E05223"/>
    <w:rsid w:val="28650952"/>
    <w:rsid w:val="28847104"/>
    <w:rsid w:val="2888202C"/>
    <w:rsid w:val="289E0137"/>
    <w:rsid w:val="28A67BAC"/>
    <w:rsid w:val="28B23C74"/>
    <w:rsid w:val="28DC39F3"/>
    <w:rsid w:val="28F36ADC"/>
    <w:rsid w:val="294649D5"/>
    <w:rsid w:val="295B40E1"/>
    <w:rsid w:val="29640927"/>
    <w:rsid w:val="298207CE"/>
    <w:rsid w:val="29920884"/>
    <w:rsid w:val="29A633E9"/>
    <w:rsid w:val="29B308FA"/>
    <w:rsid w:val="29C93ADC"/>
    <w:rsid w:val="29CC6CDD"/>
    <w:rsid w:val="29D6323A"/>
    <w:rsid w:val="29FB4F1F"/>
    <w:rsid w:val="2A0024E0"/>
    <w:rsid w:val="2A003682"/>
    <w:rsid w:val="2A012BB2"/>
    <w:rsid w:val="2A0C014D"/>
    <w:rsid w:val="2A1E125D"/>
    <w:rsid w:val="2A26533D"/>
    <w:rsid w:val="2A3A584B"/>
    <w:rsid w:val="2A3D6977"/>
    <w:rsid w:val="2A4B7B51"/>
    <w:rsid w:val="2A7D3CA5"/>
    <w:rsid w:val="2A8D0D94"/>
    <w:rsid w:val="2A9A60E1"/>
    <w:rsid w:val="2AA21687"/>
    <w:rsid w:val="2AC34862"/>
    <w:rsid w:val="2ADC4CDB"/>
    <w:rsid w:val="2B05533A"/>
    <w:rsid w:val="2B0B7B30"/>
    <w:rsid w:val="2B1B6103"/>
    <w:rsid w:val="2B1D2AD9"/>
    <w:rsid w:val="2B1E14EA"/>
    <w:rsid w:val="2B22564C"/>
    <w:rsid w:val="2B2F7853"/>
    <w:rsid w:val="2B590214"/>
    <w:rsid w:val="2BBC63FF"/>
    <w:rsid w:val="2BCF38CD"/>
    <w:rsid w:val="2BD05D30"/>
    <w:rsid w:val="2BE20962"/>
    <w:rsid w:val="2BF214A0"/>
    <w:rsid w:val="2BFD341A"/>
    <w:rsid w:val="2C6F073C"/>
    <w:rsid w:val="2C7C39AF"/>
    <w:rsid w:val="2C9C4581"/>
    <w:rsid w:val="2CA84471"/>
    <w:rsid w:val="2CAB4F86"/>
    <w:rsid w:val="2CBF28BA"/>
    <w:rsid w:val="2CC2015A"/>
    <w:rsid w:val="2CCB05B9"/>
    <w:rsid w:val="2CDD4C69"/>
    <w:rsid w:val="2CE84CDE"/>
    <w:rsid w:val="2CEC20FD"/>
    <w:rsid w:val="2D2323E1"/>
    <w:rsid w:val="2D28158B"/>
    <w:rsid w:val="2D2F6370"/>
    <w:rsid w:val="2D930085"/>
    <w:rsid w:val="2D991673"/>
    <w:rsid w:val="2D9C481B"/>
    <w:rsid w:val="2DA01E52"/>
    <w:rsid w:val="2DAE6137"/>
    <w:rsid w:val="2DB21009"/>
    <w:rsid w:val="2DD9585E"/>
    <w:rsid w:val="2DEA4C28"/>
    <w:rsid w:val="2DF91024"/>
    <w:rsid w:val="2DFE5F26"/>
    <w:rsid w:val="2E163172"/>
    <w:rsid w:val="2E232707"/>
    <w:rsid w:val="2E2B2AAB"/>
    <w:rsid w:val="2E3C521E"/>
    <w:rsid w:val="2E404720"/>
    <w:rsid w:val="2E7E1F4C"/>
    <w:rsid w:val="2E8E37B6"/>
    <w:rsid w:val="2E8E7D03"/>
    <w:rsid w:val="2E9B5862"/>
    <w:rsid w:val="2EA06B29"/>
    <w:rsid w:val="2EAA6906"/>
    <w:rsid w:val="2EB037A5"/>
    <w:rsid w:val="2EBD6B35"/>
    <w:rsid w:val="2EDC7688"/>
    <w:rsid w:val="2F023D7F"/>
    <w:rsid w:val="2F063D43"/>
    <w:rsid w:val="2F076322"/>
    <w:rsid w:val="2F1838DF"/>
    <w:rsid w:val="2F1E525A"/>
    <w:rsid w:val="2F370AB1"/>
    <w:rsid w:val="2F3A309E"/>
    <w:rsid w:val="2F5C3738"/>
    <w:rsid w:val="2F7A0E5A"/>
    <w:rsid w:val="2F8B3C2B"/>
    <w:rsid w:val="2FC52139"/>
    <w:rsid w:val="2FC82209"/>
    <w:rsid w:val="2FF1660F"/>
    <w:rsid w:val="2FFC3B50"/>
    <w:rsid w:val="300E3936"/>
    <w:rsid w:val="30236861"/>
    <w:rsid w:val="30397D19"/>
    <w:rsid w:val="303C2889"/>
    <w:rsid w:val="30416DC3"/>
    <w:rsid w:val="304C05FF"/>
    <w:rsid w:val="30535634"/>
    <w:rsid w:val="30541B2F"/>
    <w:rsid w:val="305957A5"/>
    <w:rsid w:val="30737A75"/>
    <w:rsid w:val="30B4489B"/>
    <w:rsid w:val="30B518F6"/>
    <w:rsid w:val="30C12367"/>
    <w:rsid w:val="30EB64C3"/>
    <w:rsid w:val="30EF57E0"/>
    <w:rsid w:val="30F96665"/>
    <w:rsid w:val="30FE1815"/>
    <w:rsid w:val="31102393"/>
    <w:rsid w:val="311508BF"/>
    <w:rsid w:val="31254604"/>
    <w:rsid w:val="31515F68"/>
    <w:rsid w:val="31914C8E"/>
    <w:rsid w:val="31994A6D"/>
    <w:rsid w:val="31CC713F"/>
    <w:rsid w:val="31D77000"/>
    <w:rsid w:val="32057A41"/>
    <w:rsid w:val="322B22F1"/>
    <w:rsid w:val="32340F83"/>
    <w:rsid w:val="32363BBA"/>
    <w:rsid w:val="3237077C"/>
    <w:rsid w:val="32484A73"/>
    <w:rsid w:val="324D2EB8"/>
    <w:rsid w:val="325449AF"/>
    <w:rsid w:val="325877BC"/>
    <w:rsid w:val="325D0E9B"/>
    <w:rsid w:val="325E2D50"/>
    <w:rsid w:val="329945B6"/>
    <w:rsid w:val="32BD71B4"/>
    <w:rsid w:val="32C04011"/>
    <w:rsid w:val="32C31D61"/>
    <w:rsid w:val="32CC369B"/>
    <w:rsid w:val="32E66B88"/>
    <w:rsid w:val="32EC4D69"/>
    <w:rsid w:val="330077F5"/>
    <w:rsid w:val="33083699"/>
    <w:rsid w:val="330A1F4A"/>
    <w:rsid w:val="331849E6"/>
    <w:rsid w:val="331C3542"/>
    <w:rsid w:val="331F1125"/>
    <w:rsid w:val="336A2764"/>
    <w:rsid w:val="33754D83"/>
    <w:rsid w:val="33791520"/>
    <w:rsid w:val="337A7B82"/>
    <w:rsid w:val="33941D42"/>
    <w:rsid w:val="33976ABE"/>
    <w:rsid w:val="33A72E89"/>
    <w:rsid w:val="33B60818"/>
    <w:rsid w:val="33C5278B"/>
    <w:rsid w:val="33DE0CE7"/>
    <w:rsid w:val="33E46392"/>
    <w:rsid w:val="33F5462B"/>
    <w:rsid w:val="341F4EF7"/>
    <w:rsid w:val="34211056"/>
    <w:rsid w:val="342353DC"/>
    <w:rsid w:val="342A06AA"/>
    <w:rsid w:val="342A1040"/>
    <w:rsid w:val="34330EAF"/>
    <w:rsid w:val="343B3AE1"/>
    <w:rsid w:val="344A7A05"/>
    <w:rsid w:val="34587F6B"/>
    <w:rsid w:val="345E2D42"/>
    <w:rsid w:val="34722339"/>
    <w:rsid w:val="34733466"/>
    <w:rsid w:val="347D4F43"/>
    <w:rsid w:val="34834D44"/>
    <w:rsid w:val="349B1C67"/>
    <w:rsid w:val="34A56AB2"/>
    <w:rsid w:val="34BA1559"/>
    <w:rsid w:val="34C32704"/>
    <w:rsid w:val="34C6389F"/>
    <w:rsid w:val="3505772D"/>
    <w:rsid w:val="35151DB2"/>
    <w:rsid w:val="354536F9"/>
    <w:rsid w:val="35481869"/>
    <w:rsid w:val="35547FCD"/>
    <w:rsid w:val="355E18A5"/>
    <w:rsid w:val="35741F18"/>
    <w:rsid w:val="359555CA"/>
    <w:rsid w:val="35BC6866"/>
    <w:rsid w:val="35E46128"/>
    <w:rsid w:val="35FD5539"/>
    <w:rsid w:val="36190CB8"/>
    <w:rsid w:val="36193860"/>
    <w:rsid w:val="3622557C"/>
    <w:rsid w:val="362B6782"/>
    <w:rsid w:val="363609A9"/>
    <w:rsid w:val="36675654"/>
    <w:rsid w:val="366A3695"/>
    <w:rsid w:val="366B366E"/>
    <w:rsid w:val="36753828"/>
    <w:rsid w:val="36A931EC"/>
    <w:rsid w:val="36B34940"/>
    <w:rsid w:val="36BA61F9"/>
    <w:rsid w:val="36C142B1"/>
    <w:rsid w:val="36C22B71"/>
    <w:rsid w:val="36E7306B"/>
    <w:rsid w:val="36F507A9"/>
    <w:rsid w:val="36F74059"/>
    <w:rsid w:val="36F80D83"/>
    <w:rsid w:val="370450E7"/>
    <w:rsid w:val="37333BEF"/>
    <w:rsid w:val="373B66D6"/>
    <w:rsid w:val="374656E2"/>
    <w:rsid w:val="37AA5C1D"/>
    <w:rsid w:val="37BB4DC0"/>
    <w:rsid w:val="37C757BE"/>
    <w:rsid w:val="37E04BA5"/>
    <w:rsid w:val="37E22DB7"/>
    <w:rsid w:val="37FA62B6"/>
    <w:rsid w:val="382A4EDB"/>
    <w:rsid w:val="382F473F"/>
    <w:rsid w:val="383A34DB"/>
    <w:rsid w:val="389637BA"/>
    <w:rsid w:val="389915EA"/>
    <w:rsid w:val="38FF585D"/>
    <w:rsid w:val="39051698"/>
    <w:rsid w:val="391F0D04"/>
    <w:rsid w:val="392033B1"/>
    <w:rsid w:val="39380466"/>
    <w:rsid w:val="39435B49"/>
    <w:rsid w:val="39541E27"/>
    <w:rsid w:val="396E3026"/>
    <w:rsid w:val="397468FD"/>
    <w:rsid w:val="397B001E"/>
    <w:rsid w:val="397C445D"/>
    <w:rsid w:val="399C2BA6"/>
    <w:rsid w:val="39C03363"/>
    <w:rsid w:val="39DE1C38"/>
    <w:rsid w:val="39EB784A"/>
    <w:rsid w:val="39EC69BD"/>
    <w:rsid w:val="3A074A97"/>
    <w:rsid w:val="3A201DCB"/>
    <w:rsid w:val="3A321B22"/>
    <w:rsid w:val="3A3C3FAC"/>
    <w:rsid w:val="3A4778C8"/>
    <w:rsid w:val="3A6A3483"/>
    <w:rsid w:val="3A736507"/>
    <w:rsid w:val="3A756CCA"/>
    <w:rsid w:val="3A890307"/>
    <w:rsid w:val="3AF46441"/>
    <w:rsid w:val="3AF573FE"/>
    <w:rsid w:val="3AFC7F3A"/>
    <w:rsid w:val="3B0069FA"/>
    <w:rsid w:val="3B411C20"/>
    <w:rsid w:val="3B49673B"/>
    <w:rsid w:val="3B54230F"/>
    <w:rsid w:val="3B597B9E"/>
    <w:rsid w:val="3B8F5BEB"/>
    <w:rsid w:val="3B9D0A78"/>
    <w:rsid w:val="3BA06371"/>
    <w:rsid w:val="3BA432FC"/>
    <w:rsid w:val="3BBA40AC"/>
    <w:rsid w:val="3C014AE3"/>
    <w:rsid w:val="3C193885"/>
    <w:rsid w:val="3C214DF0"/>
    <w:rsid w:val="3C3914C7"/>
    <w:rsid w:val="3C410F4A"/>
    <w:rsid w:val="3C703778"/>
    <w:rsid w:val="3C842EEF"/>
    <w:rsid w:val="3CD4717E"/>
    <w:rsid w:val="3CD56D64"/>
    <w:rsid w:val="3CE0503F"/>
    <w:rsid w:val="3CF77CBB"/>
    <w:rsid w:val="3D01188D"/>
    <w:rsid w:val="3D0955C6"/>
    <w:rsid w:val="3D0A4DC0"/>
    <w:rsid w:val="3D1115F8"/>
    <w:rsid w:val="3D120C23"/>
    <w:rsid w:val="3D3B3DAB"/>
    <w:rsid w:val="3D3F1A66"/>
    <w:rsid w:val="3D421FCB"/>
    <w:rsid w:val="3D531924"/>
    <w:rsid w:val="3D71385B"/>
    <w:rsid w:val="3D8B524A"/>
    <w:rsid w:val="3DA86568"/>
    <w:rsid w:val="3DBB67A5"/>
    <w:rsid w:val="3E101A43"/>
    <w:rsid w:val="3E2A64E1"/>
    <w:rsid w:val="3E2F62CC"/>
    <w:rsid w:val="3E48680B"/>
    <w:rsid w:val="3E54585D"/>
    <w:rsid w:val="3E5B1AD8"/>
    <w:rsid w:val="3E82190B"/>
    <w:rsid w:val="3E906397"/>
    <w:rsid w:val="3EB11BDC"/>
    <w:rsid w:val="3EC00F3B"/>
    <w:rsid w:val="3EC07437"/>
    <w:rsid w:val="3EF36FB7"/>
    <w:rsid w:val="3EFD1F55"/>
    <w:rsid w:val="3F0B1C79"/>
    <w:rsid w:val="3F176754"/>
    <w:rsid w:val="3F1A5F26"/>
    <w:rsid w:val="3F323857"/>
    <w:rsid w:val="3F5300C5"/>
    <w:rsid w:val="3F6F7973"/>
    <w:rsid w:val="3F7228ED"/>
    <w:rsid w:val="3FA51634"/>
    <w:rsid w:val="3FA9357B"/>
    <w:rsid w:val="3FD12631"/>
    <w:rsid w:val="3FF57550"/>
    <w:rsid w:val="4002577E"/>
    <w:rsid w:val="40160FBA"/>
    <w:rsid w:val="40227BEF"/>
    <w:rsid w:val="40266A53"/>
    <w:rsid w:val="4044068B"/>
    <w:rsid w:val="404D6CFC"/>
    <w:rsid w:val="40571D08"/>
    <w:rsid w:val="407B0764"/>
    <w:rsid w:val="40AA60A0"/>
    <w:rsid w:val="40D47BA5"/>
    <w:rsid w:val="40E157AA"/>
    <w:rsid w:val="40E82E60"/>
    <w:rsid w:val="413B5305"/>
    <w:rsid w:val="41526990"/>
    <w:rsid w:val="415B4149"/>
    <w:rsid w:val="41646619"/>
    <w:rsid w:val="41BB7DC2"/>
    <w:rsid w:val="41DE14EE"/>
    <w:rsid w:val="42067B5D"/>
    <w:rsid w:val="42447EE6"/>
    <w:rsid w:val="424C48A7"/>
    <w:rsid w:val="42753C75"/>
    <w:rsid w:val="427E6758"/>
    <w:rsid w:val="42906919"/>
    <w:rsid w:val="42B66367"/>
    <w:rsid w:val="42C46EBE"/>
    <w:rsid w:val="42C75A1D"/>
    <w:rsid w:val="42E249E6"/>
    <w:rsid w:val="42E24F9E"/>
    <w:rsid w:val="43435656"/>
    <w:rsid w:val="435834CE"/>
    <w:rsid w:val="43675B85"/>
    <w:rsid w:val="43763C56"/>
    <w:rsid w:val="438A77ED"/>
    <w:rsid w:val="439366D7"/>
    <w:rsid w:val="439D4EF8"/>
    <w:rsid w:val="44006EEA"/>
    <w:rsid w:val="441E20A9"/>
    <w:rsid w:val="441F51D6"/>
    <w:rsid w:val="441F7EFA"/>
    <w:rsid w:val="44545260"/>
    <w:rsid w:val="44670D9B"/>
    <w:rsid w:val="446B28C6"/>
    <w:rsid w:val="446F0B47"/>
    <w:rsid w:val="448A4E06"/>
    <w:rsid w:val="44C82A7D"/>
    <w:rsid w:val="44FB5D36"/>
    <w:rsid w:val="45046E04"/>
    <w:rsid w:val="45090E12"/>
    <w:rsid w:val="450E79F0"/>
    <w:rsid w:val="45807DDB"/>
    <w:rsid w:val="459820BA"/>
    <w:rsid w:val="459A32E8"/>
    <w:rsid w:val="45A06B98"/>
    <w:rsid w:val="45AB50A5"/>
    <w:rsid w:val="45D373A9"/>
    <w:rsid w:val="45D63403"/>
    <w:rsid w:val="45EE53DA"/>
    <w:rsid w:val="45FE10A4"/>
    <w:rsid w:val="46021087"/>
    <w:rsid w:val="461362BE"/>
    <w:rsid w:val="46342C04"/>
    <w:rsid w:val="46495486"/>
    <w:rsid w:val="464E7A4D"/>
    <w:rsid w:val="464F0F77"/>
    <w:rsid w:val="46542BA0"/>
    <w:rsid w:val="4668606F"/>
    <w:rsid w:val="466E52DA"/>
    <w:rsid w:val="46A37C6B"/>
    <w:rsid w:val="46A83896"/>
    <w:rsid w:val="46C27B2A"/>
    <w:rsid w:val="46DC15DF"/>
    <w:rsid w:val="46E20826"/>
    <w:rsid w:val="46FF4353"/>
    <w:rsid w:val="471A1A6F"/>
    <w:rsid w:val="47230CBC"/>
    <w:rsid w:val="47266CA8"/>
    <w:rsid w:val="472B5ED1"/>
    <w:rsid w:val="47434813"/>
    <w:rsid w:val="474A2163"/>
    <w:rsid w:val="475F2BB7"/>
    <w:rsid w:val="47960FBC"/>
    <w:rsid w:val="479723B6"/>
    <w:rsid w:val="47BC59FE"/>
    <w:rsid w:val="47C725C6"/>
    <w:rsid w:val="47D84D73"/>
    <w:rsid w:val="47FC1E98"/>
    <w:rsid w:val="48144B3D"/>
    <w:rsid w:val="482D0102"/>
    <w:rsid w:val="48351F56"/>
    <w:rsid w:val="483B43D7"/>
    <w:rsid w:val="485266A8"/>
    <w:rsid w:val="485603D8"/>
    <w:rsid w:val="48632766"/>
    <w:rsid w:val="486A52FD"/>
    <w:rsid w:val="48920788"/>
    <w:rsid w:val="489B784A"/>
    <w:rsid w:val="48A5769D"/>
    <w:rsid w:val="48AC66F8"/>
    <w:rsid w:val="48B0446D"/>
    <w:rsid w:val="48BC5D62"/>
    <w:rsid w:val="48CA05FD"/>
    <w:rsid w:val="48CD5234"/>
    <w:rsid w:val="48F027BA"/>
    <w:rsid w:val="49026D89"/>
    <w:rsid w:val="4988746F"/>
    <w:rsid w:val="49B6655D"/>
    <w:rsid w:val="49C4751E"/>
    <w:rsid w:val="49CB6709"/>
    <w:rsid w:val="49D202AC"/>
    <w:rsid w:val="49D22587"/>
    <w:rsid w:val="49E866B5"/>
    <w:rsid w:val="4A221FA7"/>
    <w:rsid w:val="4A26123E"/>
    <w:rsid w:val="4A575F8B"/>
    <w:rsid w:val="4A6304F1"/>
    <w:rsid w:val="4A935C9C"/>
    <w:rsid w:val="4A9E25AC"/>
    <w:rsid w:val="4ACF0887"/>
    <w:rsid w:val="4AD17B63"/>
    <w:rsid w:val="4AFC69F8"/>
    <w:rsid w:val="4B1F2F97"/>
    <w:rsid w:val="4B202F34"/>
    <w:rsid w:val="4B2C3E25"/>
    <w:rsid w:val="4B367E70"/>
    <w:rsid w:val="4B426D36"/>
    <w:rsid w:val="4B497796"/>
    <w:rsid w:val="4B9F5457"/>
    <w:rsid w:val="4BA741A7"/>
    <w:rsid w:val="4BF0496E"/>
    <w:rsid w:val="4C1F0728"/>
    <w:rsid w:val="4C1F38D9"/>
    <w:rsid w:val="4C20238F"/>
    <w:rsid w:val="4C4975D2"/>
    <w:rsid w:val="4C566549"/>
    <w:rsid w:val="4C621723"/>
    <w:rsid w:val="4C632709"/>
    <w:rsid w:val="4C7C1CC3"/>
    <w:rsid w:val="4CC90C2F"/>
    <w:rsid w:val="4CD568F4"/>
    <w:rsid w:val="4D0A548B"/>
    <w:rsid w:val="4D353E83"/>
    <w:rsid w:val="4D3C1BFB"/>
    <w:rsid w:val="4D514C98"/>
    <w:rsid w:val="4D6936C2"/>
    <w:rsid w:val="4D7352D2"/>
    <w:rsid w:val="4D916644"/>
    <w:rsid w:val="4D96121E"/>
    <w:rsid w:val="4DAF1D4E"/>
    <w:rsid w:val="4DB27D16"/>
    <w:rsid w:val="4DDD2D52"/>
    <w:rsid w:val="4E1817BB"/>
    <w:rsid w:val="4E216BDF"/>
    <w:rsid w:val="4E5E6689"/>
    <w:rsid w:val="4E753642"/>
    <w:rsid w:val="4E845B37"/>
    <w:rsid w:val="4EC24DA5"/>
    <w:rsid w:val="4EC40703"/>
    <w:rsid w:val="4ED82BAC"/>
    <w:rsid w:val="4EDC74C9"/>
    <w:rsid w:val="4EDE1B3C"/>
    <w:rsid w:val="4EFC0BF0"/>
    <w:rsid w:val="4F345119"/>
    <w:rsid w:val="4F3E2F21"/>
    <w:rsid w:val="4F4F4C29"/>
    <w:rsid w:val="4F522F8D"/>
    <w:rsid w:val="4F6203F9"/>
    <w:rsid w:val="4F6931CD"/>
    <w:rsid w:val="4F81295B"/>
    <w:rsid w:val="4F9850C6"/>
    <w:rsid w:val="4F993F00"/>
    <w:rsid w:val="4F9B3399"/>
    <w:rsid w:val="4FBD7C77"/>
    <w:rsid w:val="4FD43F87"/>
    <w:rsid w:val="4FDA1FEB"/>
    <w:rsid w:val="4FFB7B42"/>
    <w:rsid w:val="500C66F8"/>
    <w:rsid w:val="502E4B4A"/>
    <w:rsid w:val="50547330"/>
    <w:rsid w:val="505C19DD"/>
    <w:rsid w:val="506E1575"/>
    <w:rsid w:val="50971561"/>
    <w:rsid w:val="50A72A40"/>
    <w:rsid w:val="50B36711"/>
    <w:rsid w:val="50C91F90"/>
    <w:rsid w:val="5100370B"/>
    <w:rsid w:val="51302C2F"/>
    <w:rsid w:val="51354015"/>
    <w:rsid w:val="51406172"/>
    <w:rsid w:val="51522B9C"/>
    <w:rsid w:val="516B1143"/>
    <w:rsid w:val="517A5A4C"/>
    <w:rsid w:val="518B0541"/>
    <w:rsid w:val="519A2269"/>
    <w:rsid w:val="51B7003C"/>
    <w:rsid w:val="51BC5C5E"/>
    <w:rsid w:val="51C562E4"/>
    <w:rsid w:val="51D44AB7"/>
    <w:rsid w:val="51F50C90"/>
    <w:rsid w:val="5212281D"/>
    <w:rsid w:val="5229101D"/>
    <w:rsid w:val="52293430"/>
    <w:rsid w:val="52315816"/>
    <w:rsid w:val="52511202"/>
    <w:rsid w:val="525316EB"/>
    <w:rsid w:val="52535FD9"/>
    <w:rsid w:val="529E3E74"/>
    <w:rsid w:val="52C22485"/>
    <w:rsid w:val="52D54673"/>
    <w:rsid w:val="52D95543"/>
    <w:rsid w:val="530B2B8A"/>
    <w:rsid w:val="531D3E0E"/>
    <w:rsid w:val="531E4E78"/>
    <w:rsid w:val="53704A9A"/>
    <w:rsid w:val="53827915"/>
    <w:rsid w:val="53866219"/>
    <w:rsid w:val="53B36F3A"/>
    <w:rsid w:val="53DC1EC1"/>
    <w:rsid w:val="53E63C5C"/>
    <w:rsid w:val="54306D23"/>
    <w:rsid w:val="543F01ED"/>
    <w:rsid w:val="545A3D6C"/>
    <w:rsid w:val="546B76AA"/>
    <w:rsid w:val="54A048FB"/>
    <w:rsid w:val="54C14E78"/>
    <w:rsid w:val="54C41C5F"/>
    <w:rsid w:val="54EA3BE9"/>
    <w:rsid w:val="54F54166"/>
    <w:rsid w:val="550521EF"/>
    <w:rsid w:val="550725BC"/>
    <w:rsid w:val="550A1FB0"/>
    <w:rsid w:val="5517528D"/>
    <w:rsid w:val="551E2BFC"/>
    <w:rsid w:val="55472970"/>
    <w:rsid w:val="554B76E1"/>
    <w:rsid w:val="554D0141"/>
    <w:rsid w:val="555936AB"/>
    <w:rsid w:val="555A6EDA"/>
    <w:rsid w:val="555D41E7"/>
    <w:rsid w:val="55612EB6"/>
    <w:rsid w:val="55661FFA"/>
    <w:rsid w:val="559210F4"/>
    <w:rsid w:val="55A02D59"/>
    <w:rsid w:val="55BA5661"/>
    <w:rsid w:val="55C01AA5"/>
    <w:rsid w:val="55CA28D1"/>
    <w:rsid w:val="55DB4574"/>
    <w:rsid w:val="55F0796C"/>
    <w:rsid w:val="56054FCD"/>
    <w:rsid w:val="56142485"/>
    <w:rsid w:val="561F39DE"/>
    <w:rsid w:val="56427734"/>
    <w:rsid w:val="56663B90"/>
    <w:rsid w:val="566A372F"/>
    <w:rsid w:val="56950611"/>
    <w:rsid w:val="56AC30BB"/>
    <w:rsid w:val="56CC37C1"/>
    <w:rsid w:val="56E76ADA"/>
    <w:rsid w:val="56F81B69"/>
    <w:rsid w:val="56FE6742"/>
    <w:rsid w:val="571D4215"/>
    <w:rsid w:val="57356303"/>
    <w:rsid w:val="574B2A7F"/>
    <w:rsid w:val="574C5C26"/>
    <w:rsid w:val="57533409"/>
    <w:rsid w:val="575F16CC"/>
    <w:rsid w:val="57606737"/>
    <w:rsid w:val="5761243B"/>
    <w:rsid w:val="57764746"/>
    <w:rsid w:val="577F45DA"/>
    <w:rsid w:val="57934B68"/>
    <w:rsid w:val="579E0130"/>
    <w:rsid w:val="57AE0F5A"/>
    <w:rsid w:val="57B64C4E"/>
    <w:rsid w:val="57C95196"/>
    <w:rsid w:val="57CC7B26"/>
    <w:rsid w:val="580E4707"/>
    <w:rsid w:val="582B4167"/>
    <w:rsid w:val="582D09E6"/>
    <w:rsid w:val="585D5DE6"/>
    <w:rsid w:val="585E1C7F"/>
    <w:rsid w:val="58624DC2"/>
    <w:rsid w:val="587420E9"/>
    <w:rsid w:val="58A47D5D"/>
    <w:rsid w:val="58D22E95"/>
    <w:rsid w:val="58E609EF"/>
    <w:rsid w:val="58ED1BEE"/>
    <w:rsid w:val="590E6527"/>
    <w:rsid w:val="591A4CBA"/>
    <w:rsid w:val="5936338E"/>
    <w:rsid w:val="593D0F80"/>
    <w:rsid w:val="59476D17"/>
    <w:rsid w:val="594E083F"/>
    <w:rsid w:val="5960395E"/>
    <w:rsid w:val="59613428"/>
    <w:rsid w:val="59730C7E"/>
    <w:rsid w:val="597B1EE4"/>
    <w:rsid w:val="5983090C"/>
    <w:rsid w:val="59965CDC"/>
    <w:rsid w:val="599B0382"/>
    <w:rsid w:val="59D17A02"/>
    <w:rsid w:val="59D6073E"/>
    <w:rsid w:val="59F5279B"/>
    <w:rsid w:val="5A1674EA"/>
    <w:rsid w:val="5A3E7AC8"/>
    <w:rsid w:val="5A7E79C3"/>
    <w:rsid w:val="5A895053"/>
    <w:rsid w:val="5A930C57"/>
    <w:rsid w:val="5AAD1F78"/>
    <w:rsid w:val="5AAF53B8"/>
    <w:rsid w:val="5ABC4E86"/>
    <w:rsid w:val="5AD85F72"/>
    <w:rsid w:val="5AEE1556"/>
    <w:rsid w:val="5AF75875"/>
    <w:rsid w:val="5B084D0C"/>
    <w:rsid w:val="5B1E7D62"/>
    <w:rsid w:val="5B1F41A1"/>
    <w:rsid w:val="5B200DC1"/>
    <w:rsid w:val="5B2218C1"/>
    <w:rsid w:val="5B33202B"/>
    <w:rsid w:val="5B34597D"/>
    <w:rsid w:val="5B4918CF"/>
    <w:rsid w:val="5B4B31A4"/>
    <w:rsid w:val="5B5832C9"/>
    <w:rsid w:val="5B6353CB"/>
    <w:rsid w:val="5B7B6B21"/>
    <w:rsid w:val="5B801241"/>
    <w:rsid w:val="5B8018F6"/>
    <w:rsid w:val="5B932B40"/>
    <w:rsid w:val="5BA62A1F"/>
    <w:rsid w:val="5BA82BDB"/>
    <w:rsid w:val="5BBD03CF"/>
    <w:rsid w:val="5BC6348D"/>
    <w:rsid w:val="5BDA0763"/>
    <w:rsid w:val="5BE30FFA"/>
    <w:rsid w:val="5BEC5075"/>
    <w:rsid w:val="5BF4563C"/>
    <w:rsid w:val="5C2E4120"/>
    <w:rsid w:val="5C570275"/>
    <w:rsid w:val="5C7F3F1B"/>
    <w:rsid w:val="5C9D7384"/>
    <w:rsid w:val="5CA2500E"/>
    <w:rsid w:val="5CCB1182"/>
    <w:rsid w:val="5CDF0070"/>
    <w:rsid w:val="5CEB767E"/>
    <w:rsid w:val="5CF71202"/>
    <w:rsid w:val="5D0964D7"/>
    <w:rsid w:val="5D29519D"/>
    <w:rsid w:val="5D2E0BF8"/>
    <w:rsid w:val="5D3F14BF"/>
    <w:rsid w:val="5D4034D2"/>
    <w:rsid w:val="5D5A11C2"/>
    <w:rsid w:val="5D5D2EDF"/>
    <w:rsid w:val="5D6002B5"/>
    <w:rsid w:val="5D661808"/>
    <w:rsid w:val="5D793384"/>
    <w:rsid w:val="5D891AC2"/>
    <w:rsid w:val="5DC36399"/>
    <w:rsid w:val="5DCF54EC"/>
    <w:rsid w:val="5DDC6A66"/>
    <w:rsid w:val="5DE4298A"/>
    <w:rsid w:val="5E0F2B56"/>
    <w:rsid w:val="5E43241E"/>
    <w:rsid w:val="5E4E1178"/>
    <w:rsid w:val="5E66523B"/>
    <w:rsid w:val="5E923AC8"/>
    <w:rsid w:val="5EC77690"/>
    <w:rsid w:val="5EF43BE5"/>
    <w:rsid w:val="5F1A42AA"/>
    <w:rsid w:val="5F1E3246"/>
    <w:rsid w:val="5F3D656A"/>
    <w:rsid w:val="5F456B68"/>
    <w:rsid w:val="5F625898"/>
    <w:rsid w:val="5F661745"/>
    <w:rsid w:val="5F951CFA"/>
    <w:rsid w:val="5FBE6807"/>
    <w:rsid w:val="5FC074F4"/>
    <w:rsid w:val="5FDE6BB8"/>
    <w:rsid w:val="5FF6387D"/>
    <w:rsid w:val="601D60B7"/>
    <w:rsid w:val="602949F4"/>
    <w:rsid w:val="607C62A2"/>
    <w:rsid w:val="607D48E4"/>
    <w:rsid w:val="60974488"/>
    <w:rsid w:val="60AC15B7"/>
    <w:rsid w:val="60AD3913"/>
    <w:rsid w:val="60C73E66"/>
    <w:rsid w:val="60CF1EED"/>
    <w:rsid w:val="612E45E5"/>
    <w:rsid w:val="61303A73"/>
    <w:rsid w:val="6132748F"/>
    <w:rsid w:val="61393F2B"/>
    <w:rsid w:val="61510A02"/>
    <w:rsid w:val="61514877"/>
    <w:rsid w:val="61532DB6"/>
    <w:rsid w:val="61535D48"/>
    <w:rsid w:val="615B6DF2"/>
    <w:rsid w:val="615E766F"/>
    <w:rsid w:val="61747165"/>
    <w:rsid w:val="618A56C6"/>
    <w:rsid w:val="61B343C9"/>
    <w:rsid w:val="61E83CC0"/>
    <w:rsid w:val="61F7580C"/>
    <w:rsid w:val="61FE7B71"/>
    <w:rsid w:val="62034C40"/>
    <w:rsid w:val="62117E71"/>
    <w:rsid w:val="621A1760"/>
    <w:rsid w:val="6226258E"/>
    <w:rsid w:val="623062A0"/>
    <w:rsid w:val="625F0891"/>
    <w:rsid w:val="627D303B"/>
    <w:rsid w:val="62AD25EE"/>
    <w:rsid w:val="62C91A52"/>
    <w:rsid w:val="62D473A6"/>
    <w:rsid w:val="62FE75A9"/>
    <w:rsid w:val="631A65C7"/>
    <w:rsid w:val="632E64AB"/>
    <w:rsid w:val="633A7AE6"/>
    <w:rsid w:val="635A40AF"/>
    <w:rsid w:val="638866D0"/>
    <w:rsid w:val="63A0413C"/>
    <w:rsid w:val="63C11092"/>
    <w:rsid w:val="63FF749B"/>
    <w:rsid w:val="64001EFF"/>
    <w:rsid w:val="642809CB"/>
    <w:rsid w:val="6430790B"/>
    <w:rsid w:val="6438525F"/>
    <w:rsid w:val="643C3D35"/>
    <w:rsid w:val="64573C41"/>
    <w:rsid w:val="64581506"/>
    <w:rsid w:val="646A6B41"/>
    <w:rsid w:val="64A41AEB"/>
    <w:rsid w:val="64AA7F0A"/>
    <w:rsid w:val="64B04103"/>
    <w:rsid w:val="64BA77B9"/>
    <w:rsid w:val="64DF54C0"/>
    <w:rsid w:val="64F27ABC"/>
    <w:rsid w:val="650B0B5E"/>
    <w:rsid w:val="651D6B1A"/>
    <w:rsid w:val="65876665"/>
    <w:rsid w:val="659C237C"/>
    <w:rsid w:val="65A04234"/>
    <w:rsid w:val="65AA6FA4"/>
    <w:rsid w:val="65B315F9"/>
    <w:rsid w:val="65B9668D"/>
    <w:rsid w:val="65BB2A47"/>
    <w:rsid w:val="65BE4CF4"/>
    <w:rsid w:val="65C32EDF"/>
    <w:rsid w:val="65E25329"/>
    <w:rsid w:val="65E45564"/>
    <w:rsid w:val="65FA5E96"/>
    <w:rsid w:val="660A4334"/>
    <w:rsid w:val="662616A6"/>
    <w:rsid w:val="663B101B"/>
    <w:rsid w:val="664B2A31"/>
    <w:rsid w:val="66C67037"/>
    <w:rsid w:val="66CA2D58"/>
    <w:rsid w:val="67000CC4"/>
    <w:rsid w:val="671E62D1"/>
    <w:rsid w:val="67236732"/>
    <w:rsid w:val="67271ECA"/>
    <w:rsid w:val="67346192"/>
    <w:rsid w:val="67603B4E"/>
    <w:rsid w:val="67805538"/>
    <w:rsid w:val="678E3890"/>
    <w:rsid w:val="679154A7"/>
    <w:rsid w:val="679529FF"/>
    <w:rsid w:val="67A32F1D"/>
    <w:rsid w:val="67CA62CC"/>
    <w:rsid w:val="67D05188"/>
    <w:rsid w:val="67E0573D"/>
    <w:rsid w:val="67ED1C8B"/>
    <w:rsid w:val="68257ABE"/>
    <w:rsid w:val="683806E1"/>
    <w:rsid w:val="683A0845"/>
    <w:rsid w:val="684C6D82"/>
    <w:rsid w:val="687A7558"/>
    <w:rsid w:val="68910273"/>
    <w:rsid w:val="689543AB"/>
    <w:rsid w:val="689768B0"/>
    <w:rsid w:val="689A51D3"/>
    <w:rsid w:val="689E4351"/>
    <w:rsid w:val="689E675B"/>
    <w:rsid w:val="68E36490"/>
    <w:rsid w:val="68EC631A"/>
    <w:rsid w:val="68F07AD8"/>
    <w:rsid w:val="68F759D7"/>
    <w:rsid w:val="69064E1F"/>
    <w:rsid w:val="693A4844"/>
    <w:rsid w:val="6963464C"/>
    <w:rsid w:val="69636C5C"/>
    <w:rsid w:val="6979600B"/>
    <w:rsid w:val="69C73A5E"/>
    <w:rsid w:val="69EE748C"/>
    <w:rsid w:val="69F43D6B"/>
    <w:rsid w:val="6A0D1E19"/>
    <w:rsid w:val="6A3A26DD"/>
    <w:rsid w:val="6A431624"/>
    <w:rsid w:val="6A54447F"/>
    <w:rsid w:val="6A6C04DE"/>
    <w:rsid w:val="6A7A2EB7"/>
    <w:rsid w:val="6A8144CA"/>
    <w:rsid w:val="6A8428CF"/>
    <w:rsid w:val="6AAE4EA1"/>
    <w:rsid w:val="6AB3342D"/>
    <w:rsid w:val="6AB57680"/>
    <w:rsid w:val="6ABC61BC"/>
    <w:rsid w:val="6ABE7D91"/>
    <w:rsid w:val="6ADA5513"/>
    <w:rsid w:val="6AF57F99"/>
    <w:rsid w:val="6B0735B9"/>
    <w:rsid w:val="6B1A7D38"/>
    <w:rsid w:val="6B464A26"/>
    <w:rsid w:val="6B587B00"/>
    <w:rsid w:val="6B933251"/>
    <w:rsid w:val="6BB979F3"/>
    <w:rsid w:val="6BE433C5"/>
    <w:rsid w:val="6BF03BA1"/>
    <w:rsid w:val="6BF65C3A"/>
    <w:rsid w:val="6BF900F6"/>
    <w:rsid w:val="6BFC570F"/>
    <w:rsid w:val="6C0E30E3"/>
    <w:rsid w:val="6C1A0485"/>
    <w:rsid w:val="6C4003DC"/>
    <w:rsid w:val="6C496A7C"/>
    <w:rsid w:val="6C4B2C8B"/>
    <w:rsid w:val="6C5E780A"/>
    <w:rsid w:val="6C685F56"/>
    <w:rsid w:val="6C747623"/>
    <w:rsid w:val="6C772B2A"/>
    <w:rsid w:val="6CD60470"/>
    <w:rsid w:val="6CD607A0"/>
    <w:rsid w:val="6CDE49BA"/>
    <w:rsid w:val="6CE30CF7"/>
    <w:rsid w:val="6CF81051"/>
    <w:rsid w:val="6D2E0420"/>
    <w:rsid w:val="6D301FF3"/>
    <w:rsid w:val="6D3314B0"/>
    <w:rsid w:val="6D446631"/>
    <w:rsid w:val="6D5C193C"/>
    <w:rsid w:val="6D5C2DD9"/>
    <w:rsid w:val="6D7906DB"/>
    <w:rsid w:val="6D797688"/>
    <w:rsid w:val="6DB34768"/>
    <w:rsid w:val="6DBF0137"/>
    <w:rsid w:val="6DBF37F2"/>
    <w:rsid w:val="6DC55F99"/>
    <w:rsid w:val="6DD741CC"/>
    <w:rsid w:val="6E012EA8"/>
    <w:rsid w:val="6E1E695E"/>
    <w:rsid w:val="6E1F179E"/>
    <w:rsid w:val="6E4758DE"/>
    <w:rsid w:val="6E6803C8"/>
    <w:rsid w:val="6E6F0818"/>
    <w:rsid w:val="6E820E47"/>
    <w:rsid w:val="6E890F27"/>
    <w:rsid w:val="6E8E56EE"/>
    <w:rsid w:val="6E9045F7"/>
    <w:rsid w:val="6E9B205C"/>
    <w:rsid w:val="6ED348BA"/>
    <w:rsid w:val="6EF132E8"/>
    <w:rsid w:val="6F2063F9"/>
    <w:rsid w:val="6F2E3CA5"/>
    <w:rsid w:val="6F5337CF"/>
    <w:rsid w:val="6F6A1FC0"/>
    <w:rsid w:val="6F840CB0"/>
    <w:rsid w:val="6F95403E"/>
    <w:rsid w:val="6F984E98"/>
    <w:rsid w:val="70160D55"/>
    <w:rsid w:val="702150CD"/>
    <w:rsid w:val="70216187"/>
    <w:rsid w:val="702216B1"/>
    <w:rsid w:val="702F0604"/>
    <w:rsid w:val="70596096"/>
    <w:rsid w:val="707715A4"/>
    <w:rsid w:val="70A379C7"/>
    <w:rsid w:val="70B43CE5"/>
    <w:rsid w:val="70CD2302"/>
    <w:rsid w:val="70EA3FD1"/>
    <w:rsid w:val="70FD75B6"/>
    <w:rsid w:val="712D661A"/>
    <w:rsid w:val="714614A2"/>
    <w:rsid w:val="714878C3"/>
    <w:rsid w:val="71523A84"/>
    <w:rsid w:val="7157608A"/>
    <w:rsid w:val="715B640F"/>
    <w:rsid w:val="715D24C8"/>
    <w:rsid w:val="71791721"/>
    <w:rsid w:val="717D0F18"/>
    <w:rsid w:val="71994E08"/>
    <w:rsid w:val="71AA7DEB"/>
    <w:rsid w:val="71AD14DD"/>
    <w:rsid w:val="71B25CB1"/>
    <w:rsid w:val="71B37596"/>
    <w:rsid w:val="71B53FB1"/>
    <w:rsid w:val="71B67F65"/>
    <w:rsid w:val="71C728B3"/>
    <w:rsid w:val="71E81E42"/>
    <w:rsid w:val="71F07A75"/>
    <w:rsid w:val="720023CD"/>
    <w:rsid w:val="723C12FF"/>
    <w:rsid w:val="724572FC"/>
    <w:rsid w:val="72597141"/>
    <w:rsid w:val="726614A3"/>
    <w:rsid w:val="726D740B"/>
    <w:rsid w:val="728B0C2E"/>
    <w:rsid w:val="729B18FB"/>
    <w:rsid w:val="729F5B99"/>
    <w:rsid w:val="72A80AB7"/>
    <w:rsid w:val="72E5177E"/>
    <w:rsid w:val="7303436D"/>
    <w:rsid w:val="730F7BB5"/>
    <w:rsid w:val="7358703C"/>
    <w:rsid w:val="73697122"/>
    <w:rsid w:val="737811BD"/>
    <w:rsid w:val="739422EE"/>
    <w:rsid w:val="73970DFA"/>
    <w:rsid w:val="73C100BD"/>
    <w:rsid w:val="73E63558"/>
    <w:rsid w:val="73ED33F4"/>
    <w:rsid w:val="742A0C93"/>
    <w:rsid w:val="743B0AAD"/>
    <w:rsid w:val="74461D2F"/>
    <w:rsid w:val="74572085"/>
    <w:rsid w:val="74A96776"/>
    <w:rsid w:val="74B86DAB"/>
    <w:rsid w:val="74BD35C5"/>
    <w:rsid w:val="74C71835"/>
    <w:rsid w:val="74D859A3"/>
    <w:rsid w:val="74FA3609"/>
    <w:rsid w:val="7500467D"/>
    <w:rsid w:val="7500516A"/>
    <w:rsid w:val="7527661C"/>
    <w:rsid w:val="75350117"/>
    <w:rsid w:val="753D52E9"/>
    <w:rsid w:val="754D0CBA"/>
    <w:rsid w:val="75501933"/>
    <w:rsid w:val="757D3311"/>
    <w:rsid w:val="759F5470"/>
    <w:rsid w:val="75B90659"/>
    <w:rsid w:val="75CB2063"/>
    <w:rsid w:val="75D03CF0"/>
    <w:rsid w:val="75D94553"/>
    <w:rsid w:val="75DB5760"/>
    <w:rsid w:val="75F425D8"/>
    <w:rsid w:val="763A0064"/>
    <w:rsid w:val="76421C71"/>
    <w:rsid w:val="767D6227"/>
    <w:rsid w:val="76A72C41"/>
    <w:rsid w:val="76AC12C4"/>
    <w:rsid w:val="76B1630F"/>
    <w:rsid w:val="76BC722B"/>
    <w:rsid w:val="76C86434"/>
    <w:rsid w:val="76DB7D84"/>
    <w:rsid w:val="76DB7F89"/>
    <w:rsid w:val="76FF014D"/>
    <w:rsid w:val="770A794D"/>
    <w:rsid w:val="7713161A"/>
    <w:rsid w:val="771B0251"/>
    <w:rsid w:val="77222B55"/>
    <w:rsid w:val="77243942"/>
    <w:rsid w:val="77313E3E"/>
    <w:rsid w:val="77514571"/>
    <w:rsid w:val="77553DE9"/>
    <w:rsid w:val="776F3CFE"/>
    <w:rsid w:val="7770775E"/>
    <w:rsid w:val="77A10B49"/>
    <w:rsid w:val="77C61F9E"/>
    <w:rsid w:val="77C76122"/>
    <w:rsid w:val="77EA5DDF"/>
    <w:rsid w:val="78045885"/>
    <w:rsid w:val="78280366"/>
    <w:rsid w:val="783B48F5"/>
    <w:rsid w:val="783F5CD1"/>
    <w:rsid w:val="78402489"/>
    <w:rsid w:val="78501FDB"/>
    <w:rsid w:val="78754045"/>
    <w:rsid w:val="78754F85"/>
    <w:rsid w:val="78961CEB"/>
    <w:rsid w:val="789E77F1"/>
    <w:rsid w:val="78B506DD"/>
    <w:rsid w:val="79062E84"/>
    <w:rsid w:val="790665C8"/>
    <w:rsid w:val="791F2373"/>
    <w:rsid w:val="792D04A8"/>
    <w:rsid w:val="793D2E43"/>
    <w:rsid w:val="79511979"/>
    <w:rsid w:val="7959313F"/>
    <w:rsid w:val="798E4403"/>
    <w:rsid w:val="799D2CEE"/>
    <w:rsid w:val="79A80189"/>
    <w:rsid w:val="79B73AA8"/>
    <w:rsid w:val="79D05036"/>
    <w:rsid w:val="79EF1AB7"/>
    <w:rsid w:val="79FB59FC"/>
    <w:rsid w:val="7A3E51A6"/>
    <w:rsid w:val="7A6F1F7F"/>
    <w:rsid w:val="7A8B01DE"/>
    <w:rsid w:val="7A91427D"/>
    <w:rsid w:val="7A9E5E70"/>
    <w:rsid w:val="7A9F67D9"/>
    <w:rsid w:val="7AC753DF"/>
    <w:rsid w:val="7AC95E2E"/>
    <w:rsid w:val="7AD769F5"/>
    <w:rsid w:val="7ADA67DE"/>
    <w:rsid w:val="7ADA7144"/>
    <w:rsid w:val="7B476449"/>
    <w:rsid w:val="7B582E26"/>
    <w:rsid w:val="7B887D78"/>
    <w:rsid w:val="7BAB67ED"/>
    <w:rsid w:val="7BBF33C3"/>
    <w:rsid w:val="7BC960F1"/>
    <w:rsid w:val="7BEC1660"/>
    <w:rsid w:val="7BF3724C"/>
    <w:rsid w:val="7C085B00"/>
    <w:rsid w:val="7C29430B"/>
    <w:rsid w:val="7C355E66"/>
    <w:rsid w:val="7C39692D"/>
    <w:rsid w:val="7C3B566E"/>
    <w:rsid w:val="7C68297C"/>
    <w:rsid w:val="7C7A4689"/>
    <w:rsid w:val="7C9C3A70"/>
    <w:rsid w:val="7CCF5F38"/>
    <w:rsid w:val="7CDF7B3A"/>
    <w:rsid w:val="7D0D0451"/>
    <w:rsid w:val="7D1D5AAF"/>
    <w:rsid w:val="7D1F3286"/>
    <w:rsid w:val="7D3E403A"/>
    <w:rsid w:val="7D490576"/>
    <w:rsid w:val="7D581090"/>
    <w:rsid w:val="7D5F2AFE"/>
    <w:rsid w:val="7D6137EC"/>
    <w:rsid w:val="7D614111"/>
    <w:rsid w:val="7D7E67D3"/>
    <w:rsid w:val="7D891B09"/>
    <w:rsid w:val="7D962824"/>
    <w:rsid w:val="7DB04EF5"/>
    <w:rsid w:val="7DCE3853"/>
    <w:rsid w:val="7DD450F7"/>
    <w:rsid w:val="7DE35D8D"/>
    <w:rsid w:val="7DFB50F0"/>
    <w:rsid w:val="7DFC3F20"/>
    <w:rsid w:val="7E05625F"/>
    <w:rsid w:val="7E1B7DFC"/>
    <w:rsid w:val="7E1D049F"/>
    <w:rsid w:val="7E326797"/>
    <w:rsid w:val="7E41202B"/>
    <w:rsid w:val="7E547C3D"/>
    <w:rsid w:val="7E644CB7"/>
    <w:rsid w:val="7E8D60A6"/>
    <w:rsid w:val="7E9474B4"/>
    <w:rsid w:val="7ED607AA"/>
    <w:rsid w:val="7EDB0200"/>
    <w:rsid w:val="7EF20A91"/>
    <w:rsid w:val="7F141D4F"/>
    <w:rsid w:val="7F1B250F"/>
    <w:rsid w:val="7F4A28F8"/>
    <w:rsid w:val="7F86490D"/>
    <w:rsid w:val="7F9E10EB"/>
    <w:rsid w:val="7FA21C37"/>
    <w:rsid w:val="7FA75B9A"/>
    <w:rsid w:val="7FA77126"/>
    <w:rsid w:val="7FC81ACD"/>
    <w:rsid w:val="7FD47996"/>
    <w:rsid w:val="7FF87789"/>
    <w:rsid w:val="7FFE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8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Cs w:val="28"/>
    </w:rPr>
  </w:style>
  <w:style w:type="paragraph" w:styleId="7">
    <w:name w:val="heading 5"/>
    <w:basedOn w:val="1"/>
    <w:next w:val="1"/>
    <w:qFormat/>
    <w:uiPriority w:val="0"/>
    <w:pPr>
      <w:ind w:left="138"/>
      <w:outlineLvl w:val="4"/>
    </w:pPr>
    <w:rPr>
      <w:rFonts w:ascii="宋体" w:hAnsi="宋体"/>
      <w:b/>
      <w:bCs/>
      <w:sz w:val="28"/>
      <w:szCs w:val="28"/>
    </w:rPr>
  </w:style>
  <w:style w:type="paragraph" w:styleId="8">
    <w:name w:val="heading 6"/>
    <w:basedOn w:val="1"/>
    <w:next w:val="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link w:val="76"/>
    <w:qFormat/>
    <w:uiPriority w:val="0"/>
    <w:pPr>
      <w:ind w:left="138"/>
      <w:outlineLvl w:val="6"/>
    </w:pPr>
    <w:rPr>
      <w:rFonts w:ascii="宋体" w:hAnsi="宋体"/>
      <w:b/>
      <w:bCs/>
      <w:sz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60" w:after="60" w:line="360" w:lineRule="auto"/>
      <w:ind w:firstLine="200"/>
    </w:pPr>
    <w:rPr>
      <w:rFonts w:eastAsia="仿宋_GB2312"/>
      <w:sz w:val="32"/>
    </w:rPr>
  </w:style>
  <w:style w:type="paragraph" w:styleId="10">
    <w:name w:val="index 8"/>
    <w:basedOn w:val="1"/>
    <w:next w:val="1"/>
    <w:qFormat/>
    <w:uiPriority w:val="0"/>
    <w:pPr>
      <w:spacing w:line="276" w:lineRule="auto"/>
      <w:jc w:val="left"/>
    </w:pPr>
    <w:rPr>
      <w:rFonts w:ascii="宋体" w:hAnsi="宋体"/>
      <w:color w:val="FF0000"/>
      <w:szCs w:val="21"/>
    </w:rPr>
  </w:style>
  <w:style w:type="paragraph" w:styleId="11">
    <w:name w:val="Normal Indent"/>
    <w:basedOn w:val="1"/>
    <w:link w:val="49"/>
    <w:qFormat/>
    <w:uiPriority w:val="0"/>
    <w:pPr>
      <w:ind w:firstLine="420" w:firstLineChars="200"/>
    </w:pPr>
  </w:style>
  <w:style w:type="paragraph" w:styleId="12">
    <w:name w:val="annotation text"/>
    <w:basedOn w:val="1"/>
    <w:link w:val="41"/>
    <w:qFormat/>
    <w:uiPriority w:val="0"/>
    <w:pPr>
      <w:jc w:val="left"/>
    </w:pPr>
    <w:rPr>
      <w:sz w:val="18"/>
      <w:szCs w:val="20"/>
    </w:rPr>
  </w:style>
  <w:style w:type="paragraph" w:styleId="13">
    <w:name w:val="Body Text Indent"/>
    <w:basedOn w:val="1"/>
    <w:link w:val="55"/>
    <w:qFormat/>
    <w:uiPriority w:val="0"/>
    <w:pPr>
      <w:ind w:firstLine="630"/>
    </w:pPr>
    <w:rPr>
      <w:sz w:val="32"/>
      <w:szCs w:val="20"/>
    </w:rPr>
  </w:style>
  <w:style w:type="paragraph" w:styleId="14">
    <w:name w:val="toc 3"/>
    <w:basedOn w:val="1"/>
    <w:next w:val="1"/>
    <w:qFormat/>
    <w:uiPriority w:val="0"/>
    <w:pPr>
      <w:ind w:left="840" w:leftChars="400"/>
    </w:pPr>
  </w:style>
  <w:style w:type="paragraph" w:styleId="15">
    <w:name w:val="Plain Text"/>
    <w:basedOn w:val="1"/>
    <w:link w:val="56"/>
    <w:qFormat/>
    <w:uiPriority w:val="0"/>
    <w:pPr>
      <w:autoSpaceDE w:val="0"/>
      <w:autoSpaceDN w:val="0"/>
      <w:adjustRightInd w:val="0"/>
    </w:pPr>
    <w:rPr>
      <w:rFonts w:ascii="宋体" w:hAnsi="Tms Rmn"/>
      <w:kern w:val="0"/>
      <w:szCs w:val="20"/>
    </w:rPr>
  </w:style>
  <w:style w:type="paragraph" w:styleId="16">
    <w:name w:val="Body Text Indent 2"/>
    <w:basedOn w:val="1"/>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link w:val="53"/>
    <w:qFormat/>
    <w:uiPriority w:val="99"/>
    <w:pPr>
      <w:tabs>
        <w:tab w:val="center" w:pos="4153"/>
        <w:tab w:val="right" w:pos="8306"/>
      </w:tabs>
      <w:snapToGrid w:val="0"/>
      <w:jc w:val="left"/>
    </w:pPr>
    <w:rPr>
      <w:sz w:val="18"/>
      <w:szCs w:val="20"/>
    </w:rPr>
  </w:style>
  <w:style w:type="paragraph" w:styleId="19">
    <w:name w:val="header"/>
    <w:basedOn w:val="1"/>
    <w:link w:val="47"/>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Subtitle"/>
    <w:basedOn w:val="1"/>
    <w:next w:val="1"/>
    <w:qFormat/>
    <w:uiPriority w:val="0"/>
    <w:pPr>
      <w:widowControl w:val="0"/>
      <w:jc w:val="both"/>
    </w:pPr>
    <w:rPr>
      <w:kern w:val="2"/>
      <w:sz w:val="28"/>
      <w:szCs w:val="20"/>
    </w:rPr>
  </w:style>
  <w:style w:type="paragraph" w:styleId="22">
    <w:name w:val="Body Text Indent 3"/>
    <w:basedOn w:val="1"/>
    <w:link w:val="48"/>
    <w:qFormat/>
    <w:uiPriority w:val="0"/>
    <w:pPr>
      <w:spacing w:after="120"/>
      <w:ind w:left="420" w:leftChars="200"/>
    </w:pPr>
    <w:rPr>
      <w:sz w:val="16"/>
      <w:szCs w:val="16"/>
    </w:rPr>
  </w:style>
  <w:style w:type="paragraph" w:styleId="23">
    <w:name w:val="toc 2"/>
    <w:basedOn w:val="1"/>
    <w:next w:val="1"/>
    <w:qFormat/>
    <w:uiPriority w:val="0"/>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5">
    <w:name w:val="annotation subject"/>
    <w:basedOn w:val="12"/>
    <w:next w:val="12"/>
    <w:link w:val="46"/>
    <w:qFormat/>
    <w:uiPriority w:val="0"/>
    <w:rPr>
      <w:b/>
      <w:bCs/>
      <w:sz w:val="21"/>
      <w:szCs w:val="24"/>
    </w:rPr>
  </w:style>
  <w:style w:type="paragraph" w:styleId="26">
    <w:name w:val="Body Text First Indent"/>
    <w:basedOn w:val="2"/>
    <w:qFormat/>
    <w:uiPriority w:val="0"/>
    <w:pPr>
      <w:ind w:firstLine="420" w:firstLineChars="100"/>
    </w:pPr>
    <w:rPr>
      <w:rFonts w:ascii="Times New Roman" w:hAnsi="Times New Roman"/>
      <w:sz w:val="18"/>
      <w:szCs w:val="18"/>
    </w:rPr>
  </w:style>
  <w:style w:type="paragraph" w:styleId="27">
    <w:name w:val="Body Text First Indent 2"/>
    <w:basedOn w:val="13"/>
    <w:unhideWhenUsed/>
    <w:qFormat/>
    <w:uiPriority w:val="0"/>
    <w:pPr>
      <w:spacing w:after="120"/>
      <w:ind w:left="420" w:leftChars="200" w:firstLine="420"/>
    </w:pPr>
    <w:rPr>
      <w:rFonts w:asciiTheme="minorHAnsi" w:hAnsiTheme="minorHAnsi" w:eastAsiaTheme="minorEastAsia" w:cstheme="minorBidi"/>
      <w:sz w:val="21"/>
      <w:szCs w:val="24"/>
    </w:rPr>
  </w:style>
  <w:style w:type="table" w:styleId="29">
    <w:name w:val="Table Grid"/>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FollowedHyperlink"/>
    <w:qFormat/>
    <w:uiPriority w:val="0"/>
    <w:rPr>
      <w:color w:val="303030"/>
      <w:u w:val="none"/>
    </w:rPr>
  </w:style>
  <w:style w:type="character" w:styleId="33">
    <w:name w:val="Emphasis"/>
    <w:qFormat/>
    <w:uiPriority w:val="0"/>
    <w:rPr>
      <w:color w:val="CC0000"/>
    </w:rPr>
  </w:style>
  <w:style w:type="character" w:styleId="34">
    <w:name w:val="HTML Acronym"/>
    <w:basedOn w:val="30"/>
    <w:qFormat/>
    <w:uiPriority w:val="0"/>
  </w:style>
  <w:style w:type="character" w:styleId="35">
    <w:name w:val="Hyperlink"/>
    <w:qFormat/>
    <w:uiPriority w:val="99"/>
    <w:rPr>
      <w:color w:val="303030"/>
      <w:u w:val="none"/>
    </w:rPr>
  </w:style>
  <w:style w:type="character" w:styleId="36">
    <w:name w:val="annotation reference"/>
    <w:qFormat/>
    <w:uiPriority w:val="0"/>
    <w:rPr>
      <w:sz w:val="21"/>
      <w:szCs w:val="21"/>
    </w:rPr>
  </w:style>
  <w:style w:type="character" w:styleId="37">
    <w:name w:val="HTML Cite"/>
    <w:qFormat/>
    <w:uiPriority w:val="0"/>
    <w:rPr>
      <w:color w:val="008000"/>
    </w:rPr>
  </w:style>
  <w:style w:type="paragraph" w:customStyle="1" w:styleId="3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9">
    <w:name w:val="标题 5（有编号）（绿盟科技）"/>
    <w:basedOn w:val="1"/>
    <w:next w:val="40"/>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4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1">
    <w:name w:val="批注文字 字符"/>
    <w:link w:val="12"/>
    <w:qFormat/>
    <w:uiPriority w:val="0"/>
    <w:rPr>
      <w:kern w:val="2"/>
      <w:sz w:val="18"/>
      <w:lang w:bidi="ar-SA"/>
    </w:rPr>
  </w:style>
  <w:style w:type="character" w:customStyle="1" w:styleId="42">
    <w:name w:val="（符号）邀请函中一、"/>
    <w:qFormat/>
    <w:uiPriority w:val="0"/>
    <w:rPr>
      <w:rFonts w:ascii="黑体" w:hAnsi="黑体" w:eastAsia="黑体"/>
      <w:b/>
      <w:bCs/>
      <w:sz w:val="24"/>
    </w:rPr>
  </w:style>
  <w:style w:type="character" w:customStyle="1" w:styleId="43">
    <w:name w:val="blue"/>
    <w:basedOn w:val="30"/>
    <w:qFormat/>
    <w:uiPriority w:val="0"/>
  </w:style>
  <w:style w:type="character" w:customStyle="1" w:styleId="44">
    <w:name w:val="列表段落 字符"/>
    <w:link w:val="45"/>
    <w:qFormat/>
    <w:uiPriority w:val="0"/>
    <w:rPr>
      <w:rFonts w:eastAsia="宋体"/>
      <w:kern w:val="2"/>
      <w:sz w:val="21"/>
      <w:szCs w:val="24"/>
      <w:lang w:val="en-US" w:eastAsia="zh-CN" w:bidi="ar-SA"/>
    </w:rPr>
  </w:style>
  <w:style w:type="paragraph" w:styleId="45">
    <w:name w:val="List Paragraph"/>
    <w:basedOn w:val="1"/>
    <w:link w:val="44"/>
    <w:qFormat/>
    <w:uiPriority w:val="0"/>
    <w:pPr>
      <w:ind w:firstLine="420" w:firstLineChars="200"/>
    </w:pPr>
  </w:style>
  <w:style w:type="character" w:customStyle="1" w:styleId="46">
    <w:name w:val="批注主题 字符"/>
    <w:link w:val="25"/>
    <w:qFormat/>
    <w:uiPriority w:val="0"/>
    <w:rPr>
      <w:b/>
      <w:bCs/>
      <w:kern w:val="2"/>
      <w:sz w:val="21"/>
      <w:szCs w:val="24"/>
      <w:lang w:bidi="ar-SA"/>
    </w:rPr>
  </w:style>
  <w:style w:type="character" w:customStyle="1" w:styleId="47">
    <w:name w:val="页眉 字符"/>
    <w:link w:val="19"/>
    <w:qFormat/>
    <w:uiPriority w:val="0"/>
    <w:rPr>
      <w:rFonts w:eastAsia="宋体"/>
      <w:kern w:val="2"/>
      <w:sz w:val="18"/>
      <w:lang w:val="en-US" w:eastAsia="zh-CN" w:bidi="ar-SA"/>
    </w:rPr>
  </w:style>
  <w:style w:type="character" w:customStyle="1" w:styleId="48">
    <w:name w:val="正文文本缩进 3 字符"/>
    <w:link w:val="22"/>
    <w:qFormat/>
    <w:uiPriority w:val="0"/>
    <w:rPr>
      <w:kern w:val="2"/>
      <w:sz w:val="16"/>
      <w:szCs w:val="16"/>
    </w:rPr>
  </w:style>
  <w:style w:type="character" w:customStyle="1" w:styleId="49">
    <w:name w:val="正文缩进 字符"/>
    <w:link w:val="11"/>
    <w:qFormat/>
    <w:uiPriority w:val="0"/>
    <w:rPr>
      <w:rFonts w:eastAsia="宋体"/>
      <w:kern w:val="2"/>
      <w:sz w:val="21"/>
      <w:szCs w:val="24"/>
      <w:lang w:val="en-US" w:eastAsia="zh-CN" w:bidi="ar-SA"/>
    </w:rPr>
  </w:style>
  <w:style w:type="character" w:customStyle="1" w:styleId="50">
    <w:name w:val="GW-正文 Char"/>
    <w:link w:val="51"/>
    <w:qFormat/>
    <w:uiPriority w:val="0"/>
    <w:rPr>
      <w:rFonts w:eastAsia="仿宋_GB2312"/>
      <w:kern w:val="2"/>
      <w:sz w:val="24"/>
      <w:szCs w:val="24"/>
      <w:lang w:val="en-US" w:eastAsia="zh-CN" w:bidi="ar-SA"/>
    </w:rPr>
  </w:style>
  <w:style w:type="paragraph" w:customStyle="1" w:styleId="51">
    <w:name w:val="GW-正文"/>
    <w:basedOn w:val="1"/>
    <w:link w:val="50"/>
    <w:qFormat/>
    <w:uiPriority w:val="0"/>
    <w:pPr>
      <w:spacing w:line="360" w:lineRule="auto"/>
      <w:ind w:firstLine="200" w:firstLineChars="200"/>
    </w:pPr>
    <w:rPr>
      <w:rFonts w:eastAsia="仿宋_GB2312"/>
      <w:sz w:val="24"/>
    </w:rPr>
  </w:style>
  <w:style w:type="character" w:customStyle="1" w:styleId="52">
    <w:name w:val="批注文字 Char1"/>
    <w:qFormat/>
    <w:uiPriority w:val="0"/>
    <w:rPr>
      <w:kern w:val="2"/>
      <w:sz w:val="18"/>
      <w:lang w:bidi="ar-SA"/>
    </w:rPr>
  </w:style>
  <w:style w:type="character" w:customStyle="1" w:styleId="53">
    <w:name w:val="页脚 字符"/>
    <w:link w:val="18"/>
    <w:qFormat/>
    <w:uiPriority w:val="99"/>
    <w:rPr>
      <w:rFonts w:eastAsia="宋体"/>
      <w:kern w:val="2"/>
      <w:sz w:val="18"/>
      <w:lang w:val="en-US" w:eastAsia="zh-CN" w:bidi="ar-SA"/>
    </w:rPr>
  </w:style>
  <w:style w:type="character" w:customStyle="1" w:styleId="54">
    <w:name w:val="Char Char9"/>
    <w:qFormat/>
    <w:uiPriority w:val="0"/>
    <w:rPr>
      <w:kern w:val="2"/>
      <w:sz w:val="21"/>
    </w:rPr>
  </w:style>
  <w:style w:type="character" w:customStyle="1" w:styleId="55">
    <w:name w:val="正文文本缩进 字符"/>
    <w:link w:val="13"/>
    <w:qFormat/>
    <w:uiPriority w:val="0"/>
    <w:rPr>
      <w:rFonts w:eastAsia="宋体"/>
      <w:kern w:val="2"/>
      <w:sz w:val="32"/>
      <w:lang w:val="en-US" w:eastAsia="zh-CN" w:bidi="ar-SA"/>
    </w:rPr>
  </w:style>
  <w:style w:type="character" w:customStyle="1" w:styleId="56">
    <w:name w:val="纯文本 字符"/>
    <w:link w:val="15"/>
    <w:unhideWhenUsed/>
    <w:qFormat/>
    <w:uiPriority w:val="0"/>
    <w:rPr>
      <w:rFonts w:ascii="宋体" w:hAnsi="Tms Rmn" w:eastAsia="宋体"/>
      <w:sz w:val="21"/>
      <w:lang w:val="en-US" w:eastAsia="zh-CN" w:bidi="ar-SA"/>
    </w:rPr>
  </w:style>
  <w:style w:type="paragraph" w:customStyle="1" w:styleId="57">
    <w:name w:val="_Style 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8">
    <w:name w:val="表格"/>
    <w:basedOn w:val="1"/>
    <w:qFormat/>
    <w:uiPriority w:val="0"/>
    <w:pPr>
      <w:spacing w:line="400" w:lineRule="exact"/>
    </w:pPr>
    <w:rPr>
      <w:sz w:val="24"/>
    </w:rPr>
  </w:style>
  <w:style w:type="paragraph" w:customStyle="1" w:styleId="59">
    <w:name w:val="列出段落1"/>
    <w:basedOn w:val="1"/>
    <w:qFormat/>
    <w:uiPriority w:val="99"/>
    <w:pPr>
      <w:ind w:firstLine="420" w:firstLineChars="200"/>
    </w:p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
    <w:name w:val="msonormalcxspmiddle"/>
    <w:basedOn w:val="1"/>
    <w:qFormat/>
    <w:uiPriority w:val="99"/>
    <w:pPr>
      <w:spacing w:before="100" w:beforeAutospacing="1" w:after="100" w:afterAutospacing="1"/>
      <w:jc w:val="left"/>
    </w:pPr>
    <w:rPr>
      <w:kern w:val="0"/>
      <w:sz w:val="24"/>
    </w:rPr>
  </w:style>
  <w:style w:type="paragraph" w:customStyle="1" w:styleId="62">
    <w:name w:val="样式 首行缩进:  2 字符"/>
    <w:basedOn w:val="1"/>
    <w:qFormat/>
    <w:uiPriority w:val="0"/>
    <w:pPr>
      <w:spacing w:line="400" w:lineRule="exact"/>
      <w:ind w:firstLine="200" w:firstLineChars="200"/>
    </w:pPr>
    <w:rPr>
      <w:rFonts w:cs="宋体"/>
      <w:sz w:val="24"/>
    </w:rPr>
  </w:style>
  <w:style w:type="paragraph" w:customStyle="1" w:styleId="63">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64">
    <w:name w:val="Char1"/>
    <w:basedOn w:val="1"/>
    <w:next w:val="1"/>
    <w:qFormat/>
    <w:uiPriority w:val="99"/>
    <w:pPr>
      <w:spacing w:line="240" w:lineRule="atLeast"/>
      <w:ind w:left="420" w:firstLine="420"/>
      <w:jc w:val="left"/>
    </w:pPr>
    <w:rPr>
      <w:kern w:val="0"/>
      <w:szCs w:val="21"/>
    </w:rPr>
  </w:style>
  <w:style w:type="paragraph" w:customStyle="1" w:styleId="65">
    <w:name w:val="正文文本 21"/>
    <w:basedOn w:val="1"/>
    <w:qFormat/>
    <w:uiPriority w:val="0"/>
    <w:pPr>
      <w:adjustRightInd w:val="0"/>
      <w:spacing w:line="300" w:lineRule="auto"/>
      <w:ind w:firstLine="640" w:firstLineChars="200"/>
      <w:jc w:val="center"/>
      <w:textAlignment w:val="baseline"/>
    </w:pPr>
    <w:rPr>
      <w:rFonts w:hint="eastAsia" w:ascii="宋体" w:hAnsi="宋体"/>
      <w:kern w:val="0"/>
      <w:sz w:val="24"/>
    </w:rPr>
  </w:style>
  <w:style w:type="paragraph" w:customStyle="1" w:styleId="66">
    <w:name w:val="样式 节标题1 + 段前: 0.5 行 段后: 0.5 行"/>
    <w:basedOn w:val="1"/>
    <w:qFormat/>
    <w:uiPriority w:val="0"/>
    <w:pPr>
      <w:numPr>
        <w:ilvl w:val="1"/>
        <w:numId w:val="2"/>
      </w:numPr>
      <w:spacing w:before="163" w:beforeLines="50" w:after="163" w:afterLines="50"/>
    </w:pPr>
    <w:rPr>
      <w:rFonts w:cs="宋体"/>
      <w:b/>
      <w:bCs/>
      <w:sz w:val="30"/>
      <w:szCs w:val="20"/>
    </w:rPr>
  </w:style>
  <w:style w:type="paragraph" w:customStyle="1" w:styleId="67">
    <w:name w:val="正文首行缩进两字符"/>
    <w:basedOn w:val="1"/>
    <w:qFormat/>
    <w:uiPriority w:val="99"/>
    <w:pPr>
      <w:spacing w:line="360" w:lineRule="auto"/>
      <w:ind w:firstLine="200" w:firstLineChars="200"/>
    </w:pPr>
  </w:style>
  <w:style w:type="paragraph" w:customStyle="1" w:styleId="68">
    <w:name w:val="Table Paragraph"/>
    <w:basedOn w:val="1"/>
    <w:qFormat/>
    <w:uiPriority w:val="1"/>
  </w:style>
  <w:style w:type="paragraph" w:customStyle="1" w:styleId="69">
    <w:name w:val="Char Char Char Char Char Char Char Char Char Char Char Char Char Char1 Char Char Char Char"/>
    <w:basedOn w:val="1"/>
    <w:qFormat/>
    <w:uiPriority w:val="0"/>
    <w:rPr>
      <w:szCs w:val="21"/>
    </w:rPr>
  </w:style>
  <w:style w:type="paragraph" w:customStyle="1" w:styleId="70">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1">
    <w:name w:val="列出段落2"/>
    <w:basedOn w:val="1"/>
    <w:qFormat/>
    <w:uiPriority w:val="0"/>
    <w:pPr>
      <w:ind w:firstLine="420" w:firstLineChars="200"/>
    </w:pPr>
    <w:rPr>
      <w:rFonts w:ascii="Calibri" w:hAnsi="Calibri"/>
      <w:szCs w:val="21"/>
    </w:rPr>
  </w:style>
  <w:style w:type="paragraph" w:customStyle="1" w:styleId="72">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74">
    <w:name w:val="标题 1 字符"/>
    <w:basedOn w:val="30"/>
    <w:link w:val="3"/>
    <w:qFormat/>
    <w:locked/>
    <w:uiPriority w:val="99"/>
    <w:rPr>
      <w:b/>
      <w:bCs/>
      <w:kern w:val="44"/>
      <w:sz w:val="44"/>
      <w:szCs w:val="44"/>
    </w:rPr>
  </w:style>
  <w:style w:type="paragraph" w:customStyle="1" w:styleId="75">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76">
    <w:name w:val="标题 7 字符"/>
    <w:link w:val="9"/>
    <w:qFormat/>
    <w:uiPriority w:val="0"/>
    <w:rPr>
      <w:rFonts w:ascii="宋体" w:hAnsi="宋体"/>
      <w:b/>
      <w:bCs/>
      <w:kern w:val="2"/>
      <w:sz w:val="24"/>
      <w:szCs w:val="24"/>
    </w:rPr>
  </w:style>
  <w:style w:type="paragraph" w:customStyle="1" w:styleId="77">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character" w:customStyle="1" w:styleId="78">
    <w:name w:val="ca-31"/>
    <w:qFormat/>
    <w:uiPriority w:val="0"/>
    <w:rPr>
      <w:rFonts w:hint="eastAsia" w:ascii="宋体" w:hAnsi="宋体" w:eastAsia="宋体"/>
      <w:color w:val="000000"/>
      <w:sz w:val="24"/>
      <w:szCs w:val="24"/>
    </w:rPr>
  </w:style>
  <w:style w:type="character" w:customStyle="1" w:styleId="79">
    <w:name w:val="font01"/>
    <w:qFormat/>
    <w:uiPriority w:val="0"/>
    <w:rPr>
      <w:rFonts w:hint="eastAsia" w:ascii="宋体" w:hAnsi="宋体" w:eastAsia="宋体" w:cs="宋体"/>
      <w:color w:val="FF0000"/>
      <w:sz w:val="21"/>
      <w:szCs w:val="21"/>
      <w:u w:val="none"/>
    </w:rPr>
  </w:style>
  <w:style w:type="character" w:customStyle="1" w:styleId="80">
    <w:name w:val="标题 2 Char"/>
    <w:link w:val="4"/>
    <w:qFormat/>
    <w:uiPriority w:val="0"/>
    <w:rPr>
      <w:rFonts w:ascii="Arial" w:hAnsi="Arial" w:eastAsia="黑体"/>
      <w:b/>
      <w:bCs/>
      <w:sz w:val="32"/>
      <w:szCs w:val="32"/>
    </w:rPr>
  </w:style>
  <w:style w:type="paragraph" w:styleId="8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82">
    <w:name w:val="Body text|1"/>
    <w:basedOn w:val="1"/>
    <w:qFormat/>
    <w:uiPriority w:val="0"/>
    <w:pPr>
      <w:snapToGrid/>
      <w:spacing w:line="420" w:lineRule="auto"/>
      <w:ind w:firstLine="400" w:firstLineChars="0"/>
      <w:jc w:val="left"/>
    </w:pPr>
    <w:rPr>
      <w:rFonts w:cs="宋体"/>
      <w:color w:val="auto"/>
      <w:kern w:val="2"/>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6A4A1-0DD4-448C-AF6B-F44F050F482C}">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97</Pages>
  <Words>48165</Words>
  <Characters>51122</Characters>
  <Lines>357</Lines>
  <Paragraphs>100</Paragraphs>
  <TotalTime>153</TotalTime>
  <ScaleCrop>false</ScaleCrop>
  <LinksUpToDate>false</LinksUpToDate>
  <CharactersWithSpaces>54027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2021-03-05T06:26:00Z</dcterms:created>
  <dc:creator>jia xie</dc:creator>
  <cp:lastModifiedBy>深度洁癖</cp:lastModifiedBy>
  <cp:lastPrinted>2021-03-05T06:27:00Z</cp:lastPrinted>
  <dcterms:modified xsi:type="dcterms:W3CDTF">2021-09-16T06:25:59Z</dcterms:modified>
  <dc:title>招标编号：xx政采招[xxxx] xxx号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5897363954EC4A6791BAC4B6F53895C1</vt:lpwstr>
  </property>
</Properties>
</file>