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40" w:lineRule="auto"/>
        <w:jc w:val="center"/>
        <w:rPr>
          <w:rFonts w:hint="eastAsia" w:ascii="宋体" w:hAnsi="宋体" w:cs="宋体"/>
          <w:b/>
          <w:color w:val="000000" w:themeColor="text1"/>
          <w:sz w:val="24"/>
          <w:szCs w:val="24"/>
          <w:highlight w:val="none"/>
          <w:lang w:val="en-US" w:eastAsia="zh-CN"/>
          <w14:textFill>
            <w14:solidFill>
              <w14:schemeClr w14:val="tx1"/>
            </w14:solidFill>
          </w14:textFill>
        </w:rPr>
      </w:pPr>
    </w:p>
    <w:p>
      <w:pPr>
        <w:jc w:val="center"/>
        <w:rPr>
          <w:rFonts w:hint="eastAsia" w:ascii="宋体" w:hAnsi="宋体" w:eastAsia="宋体" w:cs="宋体"/>
          <w:b/>
          <w:color w:val="000000" w:themeColor="text1"/>
          <w:sz w:val="36"/>
          <w:szCs w:val="36"/>
          <w:highlight w:val="none"/>
          <w:lang w:eastAsia="zh-CN"/>
          <w14:textFill>
            <w14:solidFill>
              <w14:schemeClr w14:val="tx1"/>
            </w14:solidFill>
          </w14:textFill>
        </w:rPr>
      </w:pPr>
      <w:r>
        <w:rPr>
          <w:rFonts w:hint="eastAsia" w:ascii="宋体" w:hAnsi="宋体" w:cs="宋体"/>
          <w:b/>
          <w:color w:val="000000" w:themeColor="text1"/>
          <w:sz w:val="36"/>
          <w:szCs w:val="36"/>
          <w:highlight w:val="none"/>
          <w:lang w:val="en-US" w:eastAsia="zh-CN"/>
          <w14:textFill>
            <w14:solidFill>
              <w14:schemeClr w14:val="tx1"/>
            </w14:solidFill>
          </w14:textFill>
        </w:rPr>
        <w:t>采购项目编号：详见磋商文件</w:t>
      </w:r>
    </w:p>
    <w:p>
      <w:pPr>
        <w:jc w:val="center"/>
        <w:rPr>
          <w:rFonts w:hint="eastAsia" w:ascii="宋体" w:hAnsi="宋体" w:eastAsia="宋体" w:cs="宋体"/>
          <w:b/>
          <w:bCs w:val="0"/>
          <w:color w:val="000000" w:themeColor="text1"/>
          <w:sz w:val="48"/>
          <w:szCs w:val="48"/>
          <w:highlight w:val="none"/>
          <w:lang w:eastAsia="zh-CN"/>
          <w14:textFill>
            <w14:solidFill>
              <w14:schemeClr w14:val="tx1"/>
            </w14:solidFill>
          </w14:textFill>
        </w:rPr>
      </w:pPr>
      <w:r>
        <w:rPr>
          <w:rFonts w:hint="eastAsia" w:ascii="宋体" w:hAnsi="宋体" w:cs="宋体"/>
          <w:b/>
          <w:bCs w:val="0"/>
          <w:color w:val="000000" w:themeColor="text1"/>
          <w:sz w:val="48"/>
          <w:szCs w:val="48"/>
          <w:highlight w:val="none"/>
          <w:lang w:eastAsia="zh-CN"/>
          <w14:textFill>
            <w14:solidFill>
              <w14:schemeClr w14:val="tx1"/>
            </w14:solidFill>
          </w14:textFill>
        </w:rPr>
        <w:t>成都市昭忠祠小学光电升级改造灯具采购</w:t>
      </w:r>
    </w:p>
    <w:p>
      <w:pPr>
        <w:pStyle w:val="40"/>
        <w:jc w:val="center"/>
        <w:rPr>
          <w:rFonts w:hint="eastAsia" w:ascii="宋体" w:hAnsi="宋体" w:eastAsia="宋体" w:cs="宋体"/>
          <w:b/>
          <w:color w:val="000000" w:themeColor="text1"/>
          <w:sz w:val="28"/>
          <w:szCs w:val="28"/>
          <w:highlight w:val="none"/>
          <w14:textFill>
            <w14:solidFill>
              <w14:schemeClr w14:val="tx1"/>
            </w14:solidFill>
          </w14:textFill>
        </w:rPr>
      </w:pPr>
    </w:p>
    <w:p>
      <w:pPr>
        <w:pStyle w:val="40"/>
        <w:jc w:val="center"/>
        <w:rPr>
          <w:rFonts w:hint="eastAsia" w:ascii="宋体" w:hAnsi="宋体" w:eastAsia="宋体" w:cs="宋体"/>
          <w:b/>
          <w:color w:val="000000" w:themeColor="text1"/>
          <w:sz w:val="28"/>
          <w:szCs w:val="28"/>
          <w:highlight w:val="none"/>
          <w14:textFill>
            <w14:solidFill>
              <w14:schemeClr w14:val="tx1"/>
            </w14:solidFill>
          </w14:textFill>
        </w:rPr>
      </w:pPr>
    </w:p>
    <w:p>
      <w:pPr>
        <w:pStyle w:val="40"/>
        <w:jc w:val="center"/>
        <w:rPr>
          <w:rFonts w:hint="eastAsia" w:ascii="宋体" w:hAnsi="宋体" w:eastAsia="宋体" w:cs="宋体"/>
          <w:b/>
          <w:color w:val="000000" w:themeColor="text1"/>
          <w:sz w:val="28"/>
          <w:szCs w:val="28"/>
          <w:highlight w:val="none"/>
          <w14:textFill>
            <w14:solidFill>
              <w14:schemeClr w14:val="tx1"/>
            </w14:solidFill>
          </w14:textFill>
        </w:rPr>
      </w:pP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竞</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争</w:t>
      </w:r>
      <w:bookmarkStart w:id="267" w:name="_GoBack"/>
      <w:bookmarkEnd w:id="267"/>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性</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磋</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商</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文</w:t>
      </w:r>
    </w:p>
    <w:p>
      <w:pPr>
        <w:jc w:val="center"/>
        <w:rPr>
          <w:rFonts w:hint="eastAsia" w:ascii="宋体" w:hAnsi="宋体" w:eastAsia="宋体" w:cs="宋体"/>
          <w:b/>
          <w:color w:val="000000" w:themeColor="text1"/>
          <w:sz w:val="72"/>
          <w:szCs w:val="72"/>
          <w:highlight w:val="none"/>
          <w14:textFill>
            <w14:solidFill>
              <w14:schemeClr w14:val="tx1"/>
            </w14:solidFill>
          </w14:textFill>
        </w:rPr>
      </w:pPr>
      <w:r>
        <w:rPr>
          <w:rFonts w:hint="eastAsia" w:ascii="宋体" w:hAnsi="宋体" w:eastAsia="宋体" w:cs="宋体"/>
          <w:b/>
          <w:color w:val="000000" w:themeColor="text1"/>
          <w:sz w:val="72"/>
          <w:szCs w:val="72"/>
          <w:highlight w:val="none"/>
          <w14:textFill>
            <w14:solidFill>
              <w14:schemeClr w14:val="tx1"/>
            </w14:solidFill>
          </w14:textFill>
        </w:rPr>
        <w:t>件</w:t>
      </w:r>
    </w:p>
    <w:p>
      <w:pPr>
        <w:spacing w:line="580" w:lineRule="exact"/>
        <w:jc w:val="center"/>
        <w:rPr>
          <w:rFonts w:hint="eastAsia" w:ascii="宋体" w:hAnsi="宋体" w:eastAsia="宋体" w:cs="宋体"/>
          <w:b/>
          <w:color w:val="000000" w:themeColor="text1"/>
          <w:sz w:val="28"/>
          <w:szCs w:val="28"/>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28"/>
          <w:szCs w:val="28"/>
          <w:highlight w:val="none"/>
          <w14:textFill>
            <w14:solidFill>
              <w14:schemeClr w14:val="tx1"/>
            </w14:solidFill>
          </w14:textFill>
        </w:rPr>
      </w:pPr>
      <w:bookmarkStart w:id="0" w:name="_Hlt101233737"/>
      <w:bookmarkEnd w:id="0"/>
      <w:bookmarkStart w:id="1" w:name="_Hlt101843627"/>
      <w:bookmarkEnd w:id="1"/>
    </w:p>
    <w:p>
      <w:pPr>
        <w:pStyle w:val="40"/>
        <w:rPr>
          <w:rFonts w:hint="eastAsia"/>
          <w:color w:val="000000" w:themeColor="text1"/>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中国·四川（成都）</w:t>
      </w:r>
    </w:p>
    <w:p>
      <w:pPr>
        <w:spacing w:line="360" w:lineRule="auto"/>
        <w:jc w:val="center"/>
        <w:rPr>
          <w:rFonts w:hint="eastAsia" w:ascii="宋体" w:hAnsi="宋体" w:eastAsia="宋体" w:cs="宋体"/>
          <w:b/>
          <w:color w:val="000000" w:themeColor="text1"/>
          <w:sz w:val="32"/>
          <w:szCs w:val="32"/>
          <w:highlight w:val="none"/>
          <w:lang w:eastAsia="zh-CN"/>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mc:AlternateContent>
          <mc:Choice Requires="wps">
            <w:drawing>
              <wp:anchor distT="0" distB="0" distL="114300" distR="114300" simplePos="0" relativeHeight="251662336" behindDoc="0" locked="0" layoutInCell="1" allowOverlap="1">
                <wp:simplePos x="0" y="0"/>
                <wp:positionH relativeFrom="column">
                  <wp:posOffset>4422775</wp:posOffset>
                </wp:positionH>
                <wp:positionV relativeFrom="paragraph">
                  <wp:posOffset>100965</wp:posOffset>
                </wp:positionV>
                <wp:extent cx="1141730" cy="451485"/>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141730" cy="451485"/>
                        </a:xfrm>
                        <a:prstGeom prst="rect">
                          <a:avLst/>
                        </a:prstGeom>
                        <a:noFill/>
                        <a:ln>
                          <a:noFill/>
                        </a:ln>
                      </wps:spPr>
                      <wps:txbx>
                        <w:txbxContent>
                          <w:p>
                            <w:pPr>
                              <w:spacing w:line="360" w:lineRule="auto"/>
                              <w:jc w:val="center"/>
                              <w:rPr>
                                <w:b/>
                                <w:sz w:val="30"/>
                                <w:szCs w:val="30"/>
                              </w:rPr>
                            </w:pPr>
                            <w:r>
                              <w:rPr>
                                <w:rFonts w:hint="eastAsia"/>
                                <w:b/>
                                <w:sz w:val="30"/>
                                <w:szCs w:val="30"/>
                              </w:rPr>
                              <w:t>共同编制</w:t>
                            </w:r>
                          </w:p>
                        </w:txbxContent>
                      </wps:txbx>
                      <wps:bodyPr upright="1"/>
                    </wps:wsp>
                  </a:graphicData>
                </a:graphic>
              </wp:anchor>
            </w:drawing>
          </mc:Choice>
          <mc:Fallback>
            <w:pict>
              <v:shape id="_x0000_s1026" o:spid="_x0000_s1026" o:spt="202" type="#_x0000_t202" style="position:absolute;left:0pt;margin-left:348.25pt;margin-top:7.95pt;height:35.55pt;width:89.9pt;z-index:251662336;mso-width-relative:page;mso-height-relative:page;" filled="f" stroked="f" coordsize="21600,21600" o:gfxdata="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DjXT41gAA&#10;AAkBAAAPAAAAAAAAAAEAIAAAACIAAABkcnMvZG93bnJldi54bWxQSwECFAAUAAAACACHTuJAolv+&#10;064BAABQAwAADgAAAAAAAAABACAAAAAlAQAAZHJzL2Uyb0RvYy54bWxQSwUGAAAAAAYABgBZAQAA&#10;RQUAAAAA&#10;">
                <v:fill on="f" focussize="0,0"/>
                <v:stroke on="f"/>
                <v:imagedata o:title=""/>
                <o:lock v:ext="edit" aspectratio="f"/>
                <v:textbox>
                  <w:txbxContent>
                    <w:p>
                      <w:pPr>
                        <w:spacing w:line="360" w:lineRule="auto"/>
                        <w:jc w:val="center"/>
                        <w:rPr>
                          <w:b/>
                          <w:sz w:val="30"/>
                          <w:szCs w:val="30"/>
                        </w:rPr>
                      </w:pPr>
                      <w:r>
                        <w:rPr>
                          <w:rFonts w:hint="eastAsia"/>
                          <w:b/>
                          <w:sz w:val="30"/>
                          <w:szCs w:val="30"/>
                        </w:rPr>
                        <w:t>共同编制</w:t>
                      </w:r>
                    </w:p>
                  </w:txbxContent>
                </v:textbox>
              </v:shape>
            </w:pict>
          </mc:Fallback>
        </mc:AlternateContent>
      </w:r>
      <w:r>
        <w:rPr>
          <w:rFonts w:hint="eastAsia" w:ascii="宋体" w:hAnsi="宋体" w:cs="宋体"/>
          <w:b/>
          <w:color w:val="000000" w:themeColor="text1"/>
          <w:sz w:val="32"/>
          <w:szCs w:val="32"/>
          <w:highlight w:val="none"/>
          <w:lang w:eastAsia="zh-CN"/>
          <w14:textFill>
            <w14:solidFill>
              <w14:schemeClr w14:val="tx1"/>
            </w14:solidFill>
          </w14:textFill>
        </w:rPr>
        <w:t>成都市昭忠祠小学</w:t>
      </w:r>
    </w:p>
    <w:p>
      <w:pPr>
        <w:spacing w:line="360" w:lineRule="auto"/>
        <w:jc w:val="center"/>
        <w:rPr>
          <w:rFonts w:hint="eastAsia" w:ascii="宋体" w:hAnsi="宋体" w:eastAsia="宋体" w:cs="宋体"/>
          <w:b/>
          <w:color w:val="000000" w:themeColor="text1"/>
          <w:sz w:val="32"/>
          <w:szCs w:val="32"/>
          <w:highlight w:val="none"/>
          <w:lang w:eastAsia="zh-CN"/>
          <w14:textFill>
            <w14:solidFill>
              <w14:schemeClr w14:val="tx1"/>
            </w14:solidFill>
          </w14:textFill>
        </w:rPr>
      </w:pPr>
      <w:r>
        <w:rPr>
          <w:rFonts w:hint="eastAsia" w:ascii="宋体" w:hAnsi="宋体" w:eastAsia="宋体" w:cs="宋体"/>
          <w:b/>
          <w:color w:val="000000" w:themeColor="text1"/>
          <w:sz w:val="32"/>
          <w:szCs w:val="32"/>
          <w:highlight w:val="none"/>
          <w:lang w:eastAsia="zh-CN"/>
          <w14:textFill>
            <w14:solidFill>
              <w14:schemeClr w14:val="tx1"/>
            </w14:solidFill>
          </w14:textFill>
        </w:rPr>
        <w:t>成都金牡丹工程管理咨询有限公司</w:t>
      </w:r>
    </w:p>
    <w:p>
      <w:pPr>
        <w:pStyle w:val="14"/>
        <w:jc w:val="center"/>
        <w:rPr>
          <w:rFonts w:hint="eastAsia" w:ascii="宋体" w:hAnsi="宋体" w:eastAsia="宋体" w:cs="宋体"/>
          <w:b/>
          <w:color w:val="000000" w:themeColor="text1"/>
          <w:szCs w:val="32"/>
          <w:highlight w:val="none"/>
          <w14:textFill>
            <w14:solidFill>
              <w14:schemeClr w14:val="tx1"/>
            </w14:solidFill>
          </w14:textFill>
        </w:rPr>
        <w:sectPr>
          <w:headerReference r:id="rId5" w:type="first"/>
          <w:headerReference r:id="rId3" w:type="default"/>
          <w:headerReference r:id="rId4" w:type="even"/>
          <w:footerReference r:id="rId6" w:type="even"/>
          <w:pgSz w:w="11849" w:h="16781"/>
          <w:pgMar w:top="1324" w:right="1440" w:bottom="1440" w:left="1440" w:header="709" w:footer="770" w:gutter="0"/>
          <w:pgNumType w:start="1"/>
          <w:cols w:space="720" w:num="1"/>
          <w:titlePg/>
          <w:docGrid w:type="linesAndChars" w:linePitch="312" w:charSpace="1060"/>
        </w:sectPr>
      </w:pPr>
      <w:r>
        <w:rPr>
          <w:rFonts w:hint="eastAsia" w:ascii="宋体" w:hAnsi="宋体" w:eastAsia="宋体" w:cs="宋体"/>
          <w:b/>
          <w:color w:val="000000" w:themeColor="text1"/>
          <w:szCs w:val="32"/>
          <w:highlight w:val="none"/>
          <w14:textFill>
            <w14:solidFill>
              <w14:schemeClr w14:val="tx1"/>
            </w14:solidFill>
          </w14:textFill>
        </w:rPr>
        <w:t>202</w:t>
      </w:r>
      <w:r>
        <w:rPr>
          <w:rFonts w:hint="eastAsia" w:ascii="宋体" w:hAnsi="宋体" w:eastAsia="宋体" w:cs="宋体"/>
          <w:b/>
          <w:color w:val="000000" w:themeColor="text1"/>
          <w:szCs w:val="32"/>
          <w:highlight w:val="none"/>
          <w:lang w:val="en-US" w:eastAsia="zh-CN"/>
          <w14:textFill>
            <w14:solidFill>
              <w14:schemeClr w14:val="tx1"/>
            </w14:solidFill>
          </w14:textFill>
        </w:rPr>
        <w:t>1</w:t>
      </w:r>
      <w:r>
        <w:rPr>
          <w:rFonts w:hint="eastAsia" w:ascii="宋体" w:hAnsi="宋体" w:eastAsia="宋体" w:cs="宋体"/>
          <w:b/>
          <w:color w:val="000000" w:themeColor="text1"/>
          <w:szCs w:val="32"/>
          <w:highlight w:val="none"/>
          <w14:textFill>
            <w14:solidFill>
              <w14:schemeClr w14:val="tx1"/>
            </w14:solidFill>
          </w14:textFill>
        </w:rPr>
        <w:t>年0</w:t>
      </w:r>
      <w:r>
        <w:rPr>
          <w:rFonts w:hint="eastAsia" w:ascii="宋体" w:hAnsi="宋体" w:eastAsia="宋体" w:cs="宋体"/>
          <w:b/>
          <w:color w:val="000000" w:themeColor="text1"/>
          <w:szCs w:val="32"/>
          <w:highlight w:val="none"/>
          <w:lang w:val="en-US" w:eastAsia="zh-CN"/>
          <w14:textFill>
            <w14:solidFill>
              <w14:schemeClr w14:val="tx1"/>
            </w14:solidFill>
          </w14:textFill>
        </w:rPr>
        <w:t>9</w:t>
      </w:r>
      <w:r>
        <w:rPr>
          <w:rFonts w:hint="eastAsia" w:ascii="宋体" w:hAnsi="宋体" w:eastAsia="宋体" w:cs="宋体"/>
          <w:b/>
          <w:color w:val="000000" w:themeColor="text1"/>
          <w:szCs w:val="32"/>
          <w:highlight w:val="none"/>
          <w14:textFill>
            <w14:solidFill>
              <w14:schemeClr w14:val="tx1"/>
            </w14:solidFill>
          </w14:textFill>
        </w:rPr>
        <w:t>月</w:t>
      </w:r>
    </w:p>
    <w:sdt>
      <w:sdtPr>
        <w:rPr>
          <w:rFonts w:hint="eastAsia" w:ascii="宋体" w:hAnsi="宋体" w:eastAsia="宋体" w:cs="宋体"/>
          <w:color w:val="000000" w:themeColor="text1"/>
          <w:highlight w:val="none"/>
          <w14:textFill>
            <w14:solidFill>
              <w14:schemeClr w14:val="tx1"/>
            </w14:solidFill>
          </w14:textFill>
        </w:rPr>
        <w:id w:val="147466698"/>
        <w15:color w:val="DBDBDB"/>
        <w:docPartObj>
          <w:docPartGallery w:val="Table of Contents"/>
          <w:docPartUnique/>
        </w:docPartObj>
      </w:sdtPr>
      <w:sdtEndPr>
        <w:rPr>
          <w:rFonts w:hint="eastAsia" w:ascii="宋体" w:hAnsi="宋体" w:eastAsia="宋体" w:cs="宋体"/>
          <w:b/>
          <w:bCs/>
          <w:color w:val="000000" w:themeColor="text1"/>
          <w:sz w:val="28"/>
          <w:szCs w:val="28"/>
          <w:highlight w:val="none"/>
          <w14:textFill>
            <w14:solidFill>
              <w14:schemeClr w14:val="tx1"/>
            </w14:solidFill>
          </w14:textFill>
        </w:rPr>
      </w:sdtEndPr>
      <w:sdtContent>
        <w:p>
          <w:pPr>
            <w:jc w:val="center"/>
            <w:rPr>
              <w:rFonts w:hint="eastAsia" w:ascii="宋体" w:hAnsi="宋体" w:eastAsia="宋体" w:cs="宋体"/>
              <w:b/>
              <w:bCs/>
              <w:color w:val="000000" w:themeColor="text1"/>
              <w:sz w:val="32"/>
              <w:szCs w:val="32"/>
              <w:highlight w:val="none"/>
              <w14:textFill>
                <w14:solidFill>
                  <w14:schemeClr w14:val="tx1"/>
                </w14:solidFill>
              </w14:textFill>
            </w:rPr>
          </w:pPr>
          <w:r>
            <w:rPr>
              <w:rFonts w:hint="eastAsia" w:ascii="宋体" w:hAnsi="宋体" w:eastAsia="宋体" w:cs="宋体"/>
              <w:b/>
              <w:bCs/>
              <w:color w:val="000000" w:themeColor="text1"/>
              <w:sz w:val="32"/>
              <w:szCs w:val="32"/>
              <w:highlight w:val="none"/>
              <w14:textFill>
                <w14:solidFill>
                  <w14:schemeClr w14:val="tx1"/>
                </w14:solidFill>
              </w14:textFill>
            </w:rPr>
            <w:t>目录</w:t>
          </w:r>
        </w:p>
        <w:p>
          <w:pPr>
            <w:pStyle w:val="22"/>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TOC \o "1-3" \h \u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"_Toc16401"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第一章  磋商邀请</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_Toc16401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- 2 -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2"/>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"_Toc16020"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第二章  磋商须知</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_Toc16020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- 5 -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2"/>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"_Toc32478"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第三章  供应商的资格、资质性及其他类似效力要求</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_Toc32478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- 22 -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2"/>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"_Toc31811"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第四章  供应商的资格、资质性及其他类似效力要求证明材料</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_Toc31811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- 23 -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2"/>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"_Toc29484"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第五章  采购项目技术、服务、及其他商务要求</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_Toc29484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- 25 -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2"/>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"_Toc32508"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第六章  响应文件格式</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_Toc32508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- 33 -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pStyle w:val="22"/>
            <w:tabs>
              <w:tab w:val="right" w:leader="dot" w:pos="8969"/>
            </w:tabs>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fldChar w:fldCharType="begin"/>
          </w:r>
          <w:r>
            <w:rPr>
              <w:rFonts w:hint="eastAsia" w:ascii="宋体" w:hAnsi="宋体" w:eastAsia="宋体" w:cs="宋体"/>
              <w:color w:val="000000" w:themeColor="text1"/>
              <w:highlight w:val="none"/>
              <w14:textFill>
                <w14:solidFill>
                  <w14:schemeClr w14:val="tx1"/>
                </w14:solidFill>
              </w14:textFill>
            </w:rPr>
            <w:instrText xml:space="preserve"> HYPERLINK \l "_Toc16511" </w:instrText>
          </w:r>
          <w:r>
            <w:rPr>
              <w:rFonts w:hint="eastAsia" w:ascii="宋体" w:hAnsi="宋体" w:eastAsia="宋体" w:cs="宋体"/>
              <w:color w:val="000000" w:themeColor="text1"/>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第八章  政府采购合同（草案）</w:t>
          </w:r>
          <w:r>
            <w:rPr>
              <w:rFonts w:hint="eastAsia" w:ascii="宋体" w:hAnsi="宋体" w:eastAsia="宋体" w:cs="宋体"/>
              <w:b/>
              <w:bCs/>
              <w:color w:val="000000" w:themeColor="text1"/>
              <w:sz w:val="28"/>
              <w:szCs w:val="28"/>
              <w:highlight w:val="none"/>
              <w14:textFill>
                <w14:solidFill>
                  <w14:schemeClr w14:val="tx1"/>
                </w14:solidFill>
              </w14:textFill>
            </w:rPr>
            <w:tab/>
          </w:r>
          <w:r>
            <w:rPr>
              <w:rFonts w:hint="eastAsia" w:ascii="宋体" w:hAnsi="宋体" w:eastAsia="宋体" w:cs="宋体"/>
              <w:b/>
              <w:bCs/>
              <w:color w:val="000000" w:themeColor="text1"/>
              <w:sz w:val="28"/>
              <w:szCs w:val="28"/>
              <w:highlight w:val="none"/>
              <w14:textFill>
                <w14:solidFill>
                  <w14:schemeClr w14:val="tx1"/>
                </w14:solidFill>
              </w14:textFill>
            </w:rPr>
            <w:fldChar w:fldCharType="begin"/>
          </w:r>
          <w:r>
            <w:rPr>
              <w:rFonts w:hint="eastAsia" w:ascii="宋体" w:hAnsi="宋体" w:eastAsia="宋体" w:cs="宋体"/>
              <w:b/>
              <w:bCs/>
              <w:color w:val="000000" w:themeColor="text1"/>
              <w:sz w:val="28"/>
              <w:szCs w:val="28"/>
              <w:highlight w:val="none"/>
              <w14:textFill>
                <w14:solidFill>
                  <w14:schemeClr w14:val="tx1"/>
                </w14:solidFill>
              </w14:textFill>
            </w:rPr>
            <w:instrText xml:space="preserve"> PAGEREF _Toc16511 </w:instrText>
          </w:r>
          <w:r>
            <w:rPr>
              <w:rFonts w:hint="eastAsia" w:ascii="宋体" w:hAnsi="宋体" w:eastAsia="宋体" w:cs="宋体"/>
              <w:b/>
              <w:bCs/>
              <w:color w:val="000000" w:themeColor="text1"/>
              <w:sz w:val="28"/>
              <w:szCs w:val="28"/>
              <w:highlight w:val="none"/>
              <w14:textFill>
                <w14:solidFill>
                  <w14:schemeClr w14:val="tx1"/>
                </w14:solidFill>
              </w14:textFill>
            </w:rPr>
            <w:fldChar w:fldCharType="separate"/>
          </w:r>
          <w:r>
            <w:rPr>
              <w:rFonts w:hint="eastAsia" w:ascii="宋体" w:hAnsi="宋体" w:eastAsia="宋体" w:cs="宋体"/>
              <w:b/>
              <w:bCs/>
              <w:color w:val="000000" w:themeColor="text1"/>
              <w:sz w:val="28"/>
              <w:szCs w:val="28"/>
              <w:highlight w:val="none"/>
              <w14:textFill>
                <w14:solidFill>
                  <w14:schemeClr w14:val="tx1"/>
                </w14:solidFill>
              </w14:textFill>
            </w:rPr>
            <w:t>- 67 -</w:t>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p>
          <w:pPr>
            <w:rPr>
              <w:rFonts w:hint="eastAsia" w:ascii="宋体" w:hAnsi="宋体" w:eastAsia="宋体" w:cs="宋体"/>
              <w:b/>
              <w:bCs/>
              <w:color w:val="000000" w:themeColor="text1"/>
              <w:sz w:val="28"/>
              <w:szCs w:val="28"/>
              <w:highlight w:val="none"/>
              <w14:textFill>
                <w14:solidFill>
                  <w14:schemeClr w14:val="tx1"/>
                </w14:solidFill>
              </w14:textFill>
            </w:rPr>
          </w:pPr>
          <w:r>
            <w:rPr>
              <w:rFonts w:hint="eastAsia" w:ascii="宋体" w:hAnsi="宋体" w:eastAsia="宋体" w:cs="宋体"/>
              <w:b/>
              <w:bCs/>
              <w:color w:val="000000" w:themeColor="text1"/>
              <w:sz w:val="28"/>
              <w:szCs w:val="28"/>
              <w:highlight w:val="none"/>
              <w14:textFill>
                <w14:solidFill>
                  <w14:schemeClr w14:val="tx1"/>
                </w14:solidFill>
              </w14:textFill>
            </w:rPr>
            <w:fldChar w:fldCharType="end"/>
          </w:r>
        </w:p>
      </w:sdtContent>
    </w:sdt>
    <w:p>
      <w:pPr>
        <w:spacing w:line="360" w:lineRule="auto"/>
        <w:ind w:firstLine="562" w:firstLineChars="200"/>
        <w:rPr>
          <w:rFonts w:hint="eastAsia" w:ascii="宋体" w:hAnsi="宋体" w:eastAsia="宋体" w:cs="宋体"/>
          <w:b/>
          <w:bCs/>
          <w:color w:val="000000" w:themeColor="text1"/>
          <w:sz w:val="28"/>
          <w:szCs w:val="28"/>
          <w:highlight w:val="none"/>
          <w14:textFill>
            <w14:solidFill>
              <w14:schemeClr w14:val="tx1"/>
            </w14:solidFill>
          </w14:textFill>
        </w:rPr>
      </w:pP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p>
    <w:p>
      <w:pPr>
        <w:spacing w:line="360" w:lineRule="auto"/>
        <w:ind w:firstLine="480" w:firstLineChars="200"/>
        <w:rPr>
          <w:rFonts w:hint="eastAsia" w:ascii="宋体" w:hAnsi="宋体" w:eastAsia="宋体" w:cs="宋体"/>
          <w:bCs/>
          <w:color w:val="000000" w:themeColor="text1"/>
          <w:sz w:val="24"/>
          <w:highlight w:val="none"/>
          <w14:textFill>
            <w14:solidFill>
              <w14:schemeClr w14:val="tx1"/>
            </w14:solidFill>
          </w14:textFill>
        </w:rPr>
      </w:pPr>
    </w:p>
    <w:p>
      <w:pPr>
        <w:pStyle w:val="4"/>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br w:type="page"/>
      </w:r>
      <w:bookmarkStart w:id="2" w:name="_Toc27900"/>
      <w:bookmarkStart w:id="3" w:name="_Toc16401"/>
      <w:bookmarkStart w:id="4" w:name="_Toc7961743"/>
      <w:bookmarkStart w:id="5" w:name="_Toc12105"/>
      <w:r>
        <w:rPr>
          <w:rFonts w:hint="eastAsia" w:ascii="宋体" w:hAnsi="宋体" w:eastAsia="宋体" w:cs="宋体"/>
          <w:color w:val="000000" w:themeColor="text1"/>
          <w:sz w:val="36"/>
          <w:szCs w:val="36"/>
          <w:highlight w:val="none"/>
          <w14:textFill>
            <w14:solidFill>
              <w14:schemeClr w14:val="tx1"/>
            </w14:solidFill>
          </w14:textFill>
        </w:rPr>
        <w:t>第一章  磋商邀请</w:t>
      </w:r>
      <w:bookmarkEnd w:id="2"/>
      <w:bookmarkEnd w:id="3"/>
      <w:bookmarkEnd w:id="4"/>
      <w:bookmarkEnd w:id="5"/>
    </w:p>
    <w:p>
      <w:pPr>
        <w:spacing w:line="360" w:lineRule="auto"/>
        <w:ind w:firstLine="630" w:firstLineChars="300"/>
        <w:jc w:val="left"/>
        <w:rPr>
          <w:rFonts w:hint="eastAsia" w:ascii="宋体" w:hAnsi="宋体" w:eastAsia="宋体" w:cs="宋体"/>
          <w:color w:val="000000" w:themeColor="text1"/>
          <w:highlight w:val="none"/>
          <w:u w:val="single"/>
          <w14:textFill>
            <w14:solidFill>
              <w14:schemeClr w14:val="tx1"/>
            </w14:solidFill>
          </w14:textFill>
        </w:rPr>
      </w:pPr>
    </w:p>
    <w:p>
      <w:pPr>
        <w:spacing w:line="360" w:lineRule="auto"/>
        <w:ind w:firstLine="482" w:firstLineChars="20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u w:val="single"/>
          <w:lang w:eastAsia="zh-CN"/>
          <w14:textFill>
            <w14:solidFill>
              <w14:schemeClr w14:val="tx1"/>
            </w14:solidFill>
          </w14:textFill>
        </w:rPr>
        <w:t>成都金牡丹工程管理咨询有限公司</w:t>
      </w:r>
      <w:r>
        <w:rPr>
          <w:rFonts w:hint="eastAsia" w:ascii="宋体" w:hAnsi="宋体" w:eastAsia="宋体" w:cs="宋体"/>
          <w:color w:val="000000" w:themeColor="text1"/>
          <w:sz w:val="24"/>
          <w:szCs w:val="24"/>
          <w:highlight w:val="none"/>
          <w14:textFill>
            <w14:solidFill>
              <w14:schemeClr w14:val="tx1"/>
            </w14:solidFill>
          </w14:textFill>
        </w:rPr>
        <w:t>（采购代理机构）受</w:t>
      </w:r>
      <w:r>
        <w:rPr>
          <w:rFonts w:hint="eastAsia" w:ascii="宋体" w:hAnsi="宋体" w:cs="宋体"/>
          <w:b/>
          <w:color w:val="000000" w:themeColor="text1"/>
          <w:sz w:val="24"/>
          <w:szCs w:val="24"/>
          <w:highlight w:val="none"/>
          <w:u w:val="single"/>
          <w:lang w:eastAsia="zh-CN"/>
          <w14:textFill>
            <w14:solidFill>
              <w14:schemeClr w14:val="tx1"/>
            </w14:solidFill>
          </w14:textFill>
        </w:rPr>
        <w:t>成都市昭忠祠小学</w:t>
      </w:r>
      <w:r>
        <w:rPr>
          <w:rFonts w:hint="eastAsia" w:ascii="宋体" w:hAnsi="宋体" w:eastAsia="宋体" w:cs="宋体"/>
          <w:bCs/>
          <w:color w:val="000000" w:themeColor="text1"/>
          <w:sz w:val="24"/>
          <w:szCs w:val="24"/>
          <w:highlight w:val="none"/>
          <w14:textFill>
            <w14:solidFill>
              <w14:schemeClr w14:val="tx1"/>
            </w14:solidFill>
          </w14:textFill>
        </w:rPr>
        <w:t>（采购人）</w:t>
      </w:r>
      <w:r>
        <w:rPr>
          <w:rFonts w:hint="eastAsia" w:ascii="宋体" w:hAnsi="宋体" w:eastAsia="宋体" w:cs="宋体"/>
          <w:color w:val="000000" w:themeColor="text1"/>
          <w:sz w:val="24"/>
          <w:szCs w:val="24"/>
          <w:highlight w:val="none"/>
          <w14:textFill>
            <w14:solidFill>
              <w14:schemeClr w14:val="tx1"/>
            </w14:solidFill>
          </w14:textFill>
        </w:rPr>
        <w:t>委托，拟对</w:t>
      </w:r>
      <w:r>
        <w:rPr>
          <w:rFonts w:hint="eastAsia" w:ascii="宋体" w:hAnsi="宋体" w:cs="宋体"/>
          <w:b/>
          <w:color w:val="000000" w:themeColor="text1"/>
          <w:sz w:val="24"/>
          <w:szCs w:val="24"/>
          <w:highlight w:val="none"/>
          <w:u w:val="single"/>
          <w:lang w:eastAsia="zh-CN"/>
          <w14:textFill>
            <w14:solidFill>
              <w14:schemeClr w14:val="tx1"/>
            </w14:solidFill>
          </w14:textFill>
        </w:rPr>
        <w:t>成都市昭忠祠小学光电升级改造灯具采购项目</w:t>
      </w:r>
      <w:r>
        <w:rPr>
          <w:rFonts w:hint="eastAsia" w:ascii="宋体" w:hAnsi="宋体" w:eastAsia="宋体" w:cs="宋体"/>
          <w:color w:val="000000" w:themeColor="text1"/>
          <w:sz w:val="24"/>
          <w:szCs w:val="24"/>
          <w:highlight w:val="none"/>
          <w14:textFill>
            <w14:solidFill>
              <w14:schemeClr w14:val="tx1"/>
            </w14:solidFill>
          </w14:textFill>
        </w:rPr>
        <w:t>采用竞争性磋商方式进行采购，特邀请符合本次采购要求的供应商参加本项目的竞争性磋商。</w:t>
      </w:r>
    </w:p>
    <w:p>
      <w:pPr>
        <w:spacing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一、采购项目基本情况</w:t>
      </w:r>
    </w:p>
    <w:p>
      <w:pPr>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1.项目编号：</w:t>
      </w:r>
      <w:r>
        <w:rPr>
          <w:rFonts w:hint="eastAsia" w:ascii="宋体" w:hAnsi="宋体" w:cs="宋体"/>
          <w:color w:val="000000" w:themeColor="text1"/>
          <w:sz w:val="24"/>
          <w:szCs w:val="24"/>
          <w:highlight w:val="none"/>
          <w:lang w:eastAsia="zh-CN"/>
          <w14:textFill>
            <w14:solidFill>
              <w14:schemeClr w14:val="tx1"/>
            </w14:solidFill>
          </w14:textFill>
        </w:rPr>
        <w:t>详见磋商文件</w:t>
      </w:r>
    </w:p>
    <w:p>
      <w:pPr>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2.采购项目名称：</w:t>
      </w:r>
      <w:r>
        <w:rPr>
          <w:rFonts w:hint="eastAsia" w:ascii="宋体" w:hAnsi="宋体" w:cs="宋体"/>
          <w:color w:val="000000" w:themeColor="text1"/>
          <w:sz w:val="24"/>
          <w:szCs w:val="24"/>
          <w:highlight w:val="none"/>
          <w:lang w:eastAsia="zh-CN"/>
          <w14:textFill>
            <w14:solidFill>
              <w14:schemeClr w14:val="tx1"/>
            </w14:solidFill>
          </w14:textFill>
        </w:rPr>
        <w:t>成都市昭忠祠小学光电升级改造灯具采购项目</w:t>
      </w:r>
    </w:p>
    <w:p>
      <w:pPr>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3.采购人：</w:t>
      </w:r>
      <w:r>
        <w:rPr>
          <w:rFonts w:hint="eastAsia" w:ascii="宋体" w:hAnsi="宋体" w:cs="宋体"/>
          <w:color w:val="000000" w:themeColor="text1"/>
          <w:sz w:val="24"/>
          <w:szCs w:val="24"/>
          <w:highlight w:val="none"/>
          <w:lang w:eastAsia="zh-CN"/>
          <w14:textFill>
            <w14:solidFill>
              <w14:schemeClr w14:val="tx1"/>
            </w14:solidFill>
          </w14:textFill>
        </w:rPr>
        <w:t>成都市昭忠祠小学</w:t>
      </w:r>
    </w:p>
    <w:p>
      <w:pPr>
        <w:spacing w:line="360" w:lineRule="auto"/>
        <w:ind w:firstLine="480" w:firstLineChars="200"/>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4.采购代理机构：</w:t>
      </w:r>
      <w:r>
        <w:rPr>
          <w:rFonts w:hint="eastAsia" w:ascii="宋体" w:hAnsi="宋体" w:eastAsia="宋体" w:cs="宋体"/>
          <w:color w:val="000000" w:themeColor="text1"/>
          <w:sz w:val="24"/>
          <w:szCs w:val="24"/>
          <w:highlight w:val="none"/>
          <w:lang w:eastAsia="zh-CN"/>
          <w14:textFill>
            <w14:solidFill>
              <w14:schemeClr w14:val="tx1"/>
            </w14:solidFill>
          </w14:textFill>
        </w:rPr>
        <w:t>成都金牡丹工程管理咨询有限公司</w:t>
      </w:r>
    </w:p>
    <w:p>
      <w:pPr>
        <w:spacing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二、资金情况</w:t>
      </w:r>
    </w:p>
    <w:p>
      <w:pPr>
        <w:spacing w:line="360" w:lineRule="auto"/>
        <w:ind w:firstLine="480" w:firstLineChars="20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资金来源及金额：</w:t>
      </w:r>
      <w:r>
        <w:rPr>
          <w:rFonts w:hint="eastAsia" w:ascii="宋体" w:hAnsi="宋体" w:eastAsia="宋体" w:cs="宋体"/>
          <w:bCs/>
          <w:color w:val="000000" w:themeColor="text1"/>
          <w:sz w:val="24"/>
          <w:szCs w:val="24"/>
          <w:highlight w:val="none"/>
          <w:lang w:eastAsia="zh-CN"/>
          <w14:textFill>
            <w14:solidFill>
              <w14:schemeClr w14:val="tx1"/>
            </w14:solidFill>
          </w14:textFill>
        </w:rPr>
        <w:t>财政性资金</w:t>
      </w:r>
      <w:r>
        <w:rPr>
          <w:rFonts w:hint="eastAsia" w:ascii="宋体" w:hAnsi="宋体" w:eastAsia="宋体" w:cs="宋体"/>
          <w:bCs/>
          <w:color w:val="000000" w:themeColor="text1"/>
          <w:sz w:val="24"/>
          <w:szCs w:val="24"/>
          <w:highlight w:val="none"/>
          <w14:textFill>
            <w14:solidFill>
              <w14:schemeClr w14:val="tx1"/>
            </w14:solidFill>
          </w14:textFill>
        </w:rPr>
        <w:t>，</w:t>
      </w:r>
      <w:r>
        <w:rPr>
          <w:rFonts w:hint="eastAsia" w:ascii="宋体" w:hAnsi="宋体" w:eastAsia="宋体" w:cs="宋体"/>
          <w:b/>
          <w:bCs w:val="0"/>
          <w:color w:val="000000" w:themeColor="text1"/>
          <w:sz w:val="24"/>
          <w:szCs w:val="24"/>
          <w:highlight w:val="none"/>
          <w14:textFill>
            <w14:solidFill>
              <w14:schemeClr w14:val="tx1"/>
            </w14:solidFill>
          </w14:textFill>
        </w:rPr>
        <w:t>采购预算（</w:t>
      </w:r>
      <w:r>
        <w:rPr>
          <w:rFonts w:hint="eastAsia" w:ascii="宋体" w:hAnsi="宋体" w:cs="宋体"/>
          <w:b/>
          <w:bCs w:val="0"/>
          <w:color w:val="000000" w:themeColor="text1"/>
          <w:sz w:val="24"/>
          <w:szCs w:val="24"/>
          <w:highlight w:val="none"/>
          <w:lang w:eastAsia="zh-CN"/>
          <w14:textFill>
            <w14:solidFill>
              <w14:schemeClr w14:val="tx1"/>
            </w14:solidFill>
          </w14:textFill>
        </w:rPr>
        <w:t>同</w:t>
      </w:r>
      <w:r>
        <w:rPr>
          <w:rFonts w:hint="eastAsia" w:ascii="宋体" w:hAnsi="宋体" w:eastAsia="宋体" w:cs="宋体"/>
          <w:b/>
          <w:bCs w:val="0"/>
          <w:color w:val="000000" w:themeColor="text1"/>
          <w:sz w:val="24"/>
          <w:szCs w:val="24"/>
          <w:highlight w:val="none"/>
          <w14:textFill>
            <w14:solidFill>
              <w14:schemeClr w14:val="tx1"/>
            </w14:solidFill>
          </w14:textFill>
        </w:rPr>
        <w:t>最高限价）：</w:t>
      </w:r>
      <w:r>
        <w:rPr>
          <w:rFonts w:hint="eastAsia" w:ascii="宋体" w:hAnsi="宋体" w:cs="宋体"/>
          <w:b/>
          <w:bCs w:val="0"/>
          <w:color w:val="000000" w:themeColor="text1"/>
          <w:sz w:val="24"/>
          <w:szCs w:val="24"/>
          <w:highlight w:val="none"/>
          <w:lang w:val="en-US" w:eastAsia="zh-CN"/>
          <w14:textFill>
            <w14:solidFill>
              <w14:schemeClr w14:val="tx1"/>
            </w14:solidFill>
          </w14:textFill>
        </w:rPr>
        <w:t>58.81万元</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计划</w:t>
      </w:r>
      <w:r>
        <w:rPr>
          <w:rFonts w:hint="eastAsia" w:ascii="宋体" w:hAnsi="宋体" w:cs="宋体"/>
          <w:bCs/>
          <w:color w:val="000000" w:themeColor="text1"/>
          <w:sz w:val="24"/>
          <w:szCs w:val="24"/>
          <w:highlight w:val="none"/>
          <w:lang w:eastAsia="zh-CN"/>
          <w14:textFill>
            <w14:solidFill>
              <w14:schemeClr w14:val="tx1"/>
            </w14:solidFill>
          </w14:textFill>
        </w:rPr>
        <w:t>备案</w:t>
      </w:r>
      <w:r>
        <w:rPr>
          <w:rFonts w:hint="eastAsia" w:ascii="宋体" w:hAnsi="宋体" w:eastAsia="宋体" w:cs="宋体"/>
          <w:bCs/>
          <w:color w:val="000000" w:themeColor="text1"/>
          <w:sz w:val="24"/>
          <w:szCs w:val="24"/>
          <w:highlight w:val="none"/>
          <w14:textFill>
            <w14:solidFill>
              <w14:schemeClr w14:val="tx1"/>
            </w14:solidFill>
          </w14:textFill>
        </w:rPr>
        <w:t>编号：</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(2021)0330号</w:t>
      </w:r>
      <w:r>
        <w:rPr>
          <w:rFonts w:hint="eastAsia" w:ascii="宋体" w:hAnsi="宋体" w:eastAsia="宋体" w:cs="宋体"/>
          <w:b w:val="0"/>
          <w:bCs/>
          <w:color w:val="000000" w:themeColor="text1"/>
          <w:sz w:val="24"/>
          <w:szCs w:val="24"/>
          <w:highlight w:val="none"/>
          <w:lang w:val="en-US" w:eastAsia="zh-CN"/>
          <w14:textFill>
            <w14:solidFill>
              <w14:schemeClr w14:val="tx1"/>
            </w14:solidFill>
          </w14:textFill>
        </w:rPr>
        <w:t>；采购品目编码：</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A020619 照明设备</w:t>
      </w:r>
      <w:r>
        <w:rPr>
          <w:rFonts w:hint="eastAsia" w:ascii="宋体" w:hAnsi="宋体" w:eastAsia="宋体" w:cs="宋体"/>
          <w:bCs/>
          <w:color w:val="000000" w:themeColor="text1"/>
          <w:sz w:val="24"/>
          <w:szCs w:val="24"/>
          <w:highlight w:val="none"/>
          <w14:textFill>
            <w14:solidFill>
              <w14:schemeClr w14:val="tx1"/>
            </w14:solidFill>
          </w14:textFill>
        </w:rPr>
        <w:t>。</w:t>
      </w:r>
    </w:p>
    <w:p>
      <w:pPr>
        <w:spacing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三、采购项目简介：</w:t>
      </w:r>
    </w:p>
    <w:p>
      <w:pPr>
        <w:spacing w:line="360" w:lineRule="auto"/>
        <w:ind w:firstLine="420" w:firstLineChars="175"/>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本项目共一个包件</w:t>
      </w:r>
      <w:bookmarkStart w:id="6" w:name="_Toc367783318"/>
      <w:bookmarkStart w:id="7" w:name="_Toc371692913"/>
      <w:r>
        <w:rPr>
          <w:rFonts w:hint="eastAsia" w:ascii="宋体" w:hAnsi="宋体" w:cs="宋体"/>
          <w:color w:val="000000" w:themeColor="text1"/>
          <w:sz w:val="24"/>
          <w:szCs w:val="24"/>
          <w:highlight w:val="none"/>
          <w:lang w:eastAsia="zh-CN"/>
          <w14:textFill>
            <w14:solidFill>
              <w14:schemeClr w14:val="tx1"/>
            </w14:solidFill>
          </w14:textFill>
        </w:rPr>
        <w:t>，本项目所属行业为：工业。</w:t>
      </w:r>
    </w:p>
    <w:p>
      <w:pPr>
        <w:spacing w:line="360" w:lineRule="auto"/>
        <w:ind w:firstLine="420" w:firstLineChars="17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本项目为</w:t>
      </w:r>
      <w:r>
        <w:rPr>
          <w:rFonts w:hint="eastAsia" w:ascii="宋体" w:hAnsi="宋体" w:cs="宋体"/>
          <w:color w:val="000000" w:themeColor="text1"/>
          <w:sz w:val="24"/>
          <w:szCs w:val="24"/>
          <w:highlight w:val="none"/>
          <w:lang w:eastAsia="zh-CN"/>
          <w14:textFill>
            <w14:solidFill>
              <w14:schemeClr w14:val="tx1"/>
            </w14:solidFill>
          </w14:textFill>
        </w:rPr>
        <w:t>成都市昭忠祠小学成都市昭忠祠小学光电升级改造灯具采购项目</w:t>
      </w:r>
      <w:r>
        <w:rPr>
          <w:rFonts w:hint="eastAsia" w:ascii="宋体" w:hAnsi="宋体" w:eastAsia="宋体" w:cs="宋体"/>
          <w:color w:val="000000" w:themeColor="text1"/>
          <w:sz w:val="24"/>
          <w:szCs w:val="24"/>
          <w:highlight w:val="none"/>
          <w14:textFill>
            <w14:solidFill>
              <w14:schemeClr w14:val="tx1"/>
            </w14:solidFill>
          </w14:textFill>
        </w:rPr>
        <w:t>择优选择一家合格供应商</w:t>
      </w:r>
      <w:bookmarkEnd w:id="6"/>
      <w:bookmarkEnd w:id="7"/>
      <w:r>
        <w:rPr>
          <w:rFonts w:hint="eastAsia" w:ascii="宋体" w:hAnsi="宋体" w:cs="宋体"/>
          <w:color w:val="000000" w:themeColor="text1"/>
          <w:sz w:val="24"/>
          <w:szCs w:val="24"/>
          <w:highlight w:val="none"/>
          <w:lang w:eastAsia="zh-CN"/>
          <w14:textFill>
            <w14:solidFill>
              <w14:schemeClr w14:val="tx1"/>
            </w14:solidFill>
          </w14:textFill>
        </w:rPr>
        <w:t>提供相应的货物及服务</w:t>
      </w:r>
      <w:r>
        <w:rPr>
          <w:rFonts w:hint="eastAsia" w:ascii="宋体" w:hAnsi="宋体" w:eastAsia="宋体" w:cs="宋体"/>
          <w:b/>
          <w:bCs/>
          <w:color w:val="000000" w:themeColor="text1"/>
          <w:sz w:val="24"/>
          <w:szCs w:val="24"/>
          <w:highlight w:val="none"/>
          <w14:textFill>
            <w14:solidFill>
              <w14:schemeClr w14:val="tx1"/>
            </w14:solidFill>
          </w14:textFill>
        </w:rPr>
        <w:t>（具体要求详见磋商文件第五章）</w:t>
      </w:r>
      <w:r>
        <w:rPr>
          <w:rFonts w:hint="eastAsia" w:ascii="宋体" w:hAnsi="宋体" w:eastAsia="宋体" w:cs="宋体"/>
          <w:color w:val="000000" w:themeColor="text1"/>
          <w:sz w:val="24"/>
          <w:szCs w:val="24"/>
          <w:highlight w:val="none"/>
          <w14:textFill>
            <w14:solidFill>
              <w14:schemeClr w14:val="tx1"/>
            </w14:solidFill>
          </w14:textFill>
        </w:rPr>
        <w:t>。</w:t>
      </w:r>
    </w:p>
    <w:p>
      <w:pPr>
        <w:spacing w:after="12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四、供应商邀请方式</w:t>
      </w:r>
    </w:p>
    <w:p>
      <w:pPr>
        <w:spacing w:line="360" w:lineRule="auto"/>
        <w:ind w:firstLine="420" w:firstLineChars="17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本次竞争性磋商邀请在</w:t>
      </w:r>
      <w:r>
        <w:rPr>
          <w:rFonts w:hint="eastAsia" w:ascii="宋体" w:hAnsi="宋体" w:eastAsia="宋体" w:cs="宋体"/>
          <w:b/>
          <w:bCs/>
          <w:color w:val="000000" w:themeColor="text1"/>
          <w:sz w:val="24"/>
          <w:szCs w:val="24"/>
          <w:highlight w:val="none"/>
          <w14:textFill>
            <w14:solidFill>
              <w14:schemeClr w14:val="tx1"/>
            </w14:solidFill>
          </w14:textFill>
        </w:rPr>
        <w:t>四川政府采购网（www.ccgp-sichuan.gov.cn）</w:t>
      </w:r>
      <w:r>
        <w:rPr>
          <w:rFonts w:hint="eastAsia" w:ascii="宋体" w:hAnsi="宋体" w:eastAsia="宋体" w:cs="宋体"/>
          <w:color w:val="000000" w:themeColor="text1"/>
          <w:sz w:val="24"/>
          <w:szCs w:val="24"/>
          <w:highlight w:val="none"/>
          <w14:textFill>
            <w14:solidFill>
              <w14:schemeClr w14:val="tx1"/>
            </w14:solidFill>
          </w14:textFill>
        </w:rPr>
        <w:t>上以公告形式发布。</w:t>
      </w:r>
    </w:p>
    <w:p>
      <w:pPr>
        <w:spacing w:after="12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五、供应商参加本次政府采购活动应具备下列条件</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（一）满足《中华人民共和国政府采购法》第二十二条规定：</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1、具有独立承担民事责任的能力；</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2、具有良好的商业信誉和健全的财务会计制度；</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3、具有履行合同所必需的设备和专业技术能力；</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4、具有依法缴纳税收和社会保障资金的良好记录；</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5、参加本次政府采购活动前三年内，在经营活动中没有重大违法记录；</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6</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、法律、行政法规规定的其他条件。</w:t>
      </w:r>
    </w:p>
    <w:p>
      <w:pPr>
        <w:pStyle w:val="67"/>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（二）落实政府采购政策需满足的资格要求：</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无</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（三）本项目的特定资格要求：</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无</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spacing w:after="120" w:line="360" w:lineRule="auto"/>
        <w:ind w:firstLine="482" w:firstLineChars="200"/>
        <w:rPr>
          <w:rFonts w:hint="eastAsia" w:ascii="宋体" w:hAnsi="宋体" w:eastAsia="宋体" w:cs="宋体"/>
          <w:b/>
          <w:bCs/>
          <w:color w:val="000000" w:themeColor="text1"/>
          <w:sz w:val="24"/>
          <w:szCs w:val="24"/>
          <w:highlight w:val="none"/>
          <w:lang w:val="zh-CN"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六</w:t>
      </w:r>
      <w:r>
        <w:rPr>
          <w:rFonts w:hint="eastAsia" w:ascii="宋体" w:hAnsi="宋体" w:eastAsia="宋体" w:cs="宋体"/>
          <w:b/>
          <w:bCs/>
          <w:color w:val="000000" w:themeColor="text1"/>
          <w:sz w:val="24"/>
          <w:szCs w:val="24"/>
          <w:highlight w:val="none"/>
          <w:lang w:val="zh-CN" w:eastAsia="zh-CN"/>
          <w14:textFill>
            <w14:solidFill>
              <w14:schemeClr w14:val="tx1"/>
            </w14:solidFill>
          </w14:textFill>
        </w:rPr>
        <w:t>、本项目不接受联合体响应。</w:t>
      </w:r>
    </w:p>
    <w:p>
      <w:pPr>
        <w:spacing w:after="12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七</w:t>
      </w:r>
      <w:r>
        <w:rPr>
          <w:rFonts w:hint="eastAsia" w:ascii="宋体" w:hAnsi="宋体" w:eastAsia="宋体" w:cs="宋体"/>
          <w:b/>
          <w:bCs/>
          <w:color w:val="000000" w:themeColor="text1"/>
          <w:sz w:val="24"/>
          <w:szCs w:val="24"/>
          <w:highlight w:val="none"/>
          <w14:textFill>
            <w14:solidFill>
              <w14:schemeClr w14:val="tx1"/>
            </w14:solidFill>
          </w14:textFill>
        </w:rPr>
        <w:t>、禁止参加本次采购活动的供应商</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1.根据《</w:t>
      </w:r>
      <w:r>
        <w:rPr>
          <w:rFonts w:hint="eastAsia" w:ascii="宋体" w:hAnsi="宋体" w:eastAsia="宋体" w:cs="宋体"/>
          <w:color w:val="000000" w:themeColor="text1"/>
          <w:sz w:val="24"/>
          <w:szCs w:val="24"/>
          <w:highlight w:val="none"/>
          <w:lang w:val="zh-CN"/>
          <w14:textFill>
            <w14:solidFill>
              <w14:schemeClr w14:val="tx1"/>
            </w14:solidFill>
          </w14:textFill>
        </w:rPr>
        <w:t>财政部</w:t>
      </w:r>
      <w:r>
        <w:rPr>
          <w:rFonts w:hint="eastAsia" w:ascii="宋体" w:hAnsi="宋体" w:eastAsia="宋体" w:cs="宋体"/>
          <w:color w:val="000000" w:themeColor="text1"/>
          <w:sz w:val="24"/>
          <w:szCs w:val="24"/>
          <w:highlight w:val="none"/>
          <w14:textFill>
            <w14:solidFill>
              <w14:schemeClr w14:val="tx1"/>
            </w14:solidFill>
          </w14:textFill>
        </w:rPr>
        <w:t>关于在政府采购活动中查询及使用信用记录有关问题的通知》（财库〔2016〕125号）的要求，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p>
      <w:pPr>
        <w:spacing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为采购项目提供整体设计、规范编制或者项目管理、监理、检测等服务的供应商，不得参加本采购项目。供应商为采购人、采购代理机构在确定采购需求、编制磋商文件过程中提供咨询论证，其提供的咨询论证意见成为磋商文件中规定的供应商资格条件、技术服务商务要求、评审因素和标准、政府采购合同等实质性内容条款的，视同为采购项目提供规范编制。</w:t>
      </w:r>
    </w:p>
    <w:p>
      <w:pPr>
        <w:bidi w:val="0"/>
        <w:spacing w:line="360" w:lineRule="auto"/>
        <w:ind w:left="0" w:leftChars="0" w:firstLine="420" w:firstLineChars="175"/>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3.供应商之间，单位负责人不为同一人而且不存在直接控股、管理关系。</w:t>
      </w:r>
    </w:p>
    <w:p>
      <w:pPr>
        <w:bidi w:val="0"/>
        <w:spacing w:line="360" w:lineRule="auto"/>
        <w:ind w:left="0" w:leftChars="0" w:firstLine="420" w:firstLineChars="175"/>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4.参加本项目政府采购活动的供应商及其现任法定代表人</w:t>
      </w:r>
      <w:r>
        <w:rPr>
          <w:rFonts w:hint="eastAsia" w:ascii="宋体" w:hAnsi="宋体" w:eastAsia="宋体" w:cs="宋体"/>
          <w:color w:val="000000" w:themeColor="text1"/>
          <w:sz w:val="24"/>
          <w:szCs w:val="24"/>
          <w:highlight w:val="none"/>
          <w:lang w:val="zh-CN" w:eastAsia="zh-CN"/>
          <w14:textFill>
            <w14:solidFill>
              <w14:schemeClr w14:val="tx1"/>
            </w14:solidFill>
          </w14:textFill>
        </w:rPr>
        <w:t>/主要负责人</w:t>
      </w:r>
      <w:r>
        <w:rPr>
          <w:rFonts w:hint="eastAsia" w:ascii="宋体" w:hAnsi="宋体" w:eastAsia="宋体" w:cs="宋体"/>
          <w:color w:val="000000" w:themeColor="text1"/>
          <w:sz w:val="24"/>
          <w:szCs w:val="24"/>
          <w:highlight w:val="none"/>
          <w:lang w:val="en-US" w:eastAsia="zh-CN"/>
          <w14:textFill>
            <w14:solidFill>
              <w14:schemeClr w14:val="tx1"/>
            </w14:solidFill>
          </w14:textFill>
        </w:rPr>
        <w:t>不得具有行贿犯罪记录。</w:t>
      </w:r>
    </w:p>
    <w:p>
      <w:pPr>
        <w:spacing w:after="120" w:line="360" w:lineRule="auto"/>
        <w:ind w:firstLine="482"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lang w:eastAsia="zh-CN"/>
          <w14:textFill>
            <w14:solidFill>
              <w14:schemeClr w14:val="tx1"/>
            </w14:solidFill>
          </w14:textFill>
        </w:rPr>
        <w:t>八</w:t>
      </w:r>
      <w:r>
        <w:rPr>
          <w:rFonts w:hint="eastAsia" w:ascii="宋体" w:hAnsi="宋体" w:eastAsia="宋体" w:cs="宋体"/>
          <w:b/>
          <w:bCs/>
          <w:color w:val="000000" w:themeColor="text1"/>
          <w:sz w:val="24"/>
          <w:szCs w:val="24"/>
          <w:highlight w:val="none"/>
          <w14:textFill>
            <w14:solidFill>
              <w14:schemeClr w14:val="tx1"/>
            </w14:solidFill>
          </w14:textFill>
        </w:rPr>
        <w:t>、磋商文件获取方式、时间、地点：</w:t>
      </w:r>
    </w:p>
    <w:p>
      <w:pPr>
        <w:spacing w:line="440" w:lineRule="exact"/>
        <w:ind w:firstLine="480" w:firstLineChars="200"/>
        <w:rPr>
          <w:rFonts w:hint="eastAsia" w:hAnsi="宋体" w:cs="宋体"/>
          <w:color w:val="000000" w:themeColor="text1"/>
          <w:sz w:val="24"/>
          <w:szCs w:val="24"/>
          <w:highlight w:val="none"/>
          <w:lang w:eastAsia="zh-CN"/>
          <w14:textFill>
            <w14:solidFill>
              <w14:schemeClr w14:val="tx1"/>
            </w14:solidFill>
          </w14:textFill>
        </w:rPr>
      </w:pPr>
      <w:r>
        <w:rPr>
          <w:rFonts w:hint="eastAsia" w:hAnsi="宋体" w:cs="宋体"/>
          <w:color w:val="000000" w:themeColor="text1"/>
          <w:sz w:val="24"/>
          <w:szCs w:val="24"/>
          <w:highlight w:val="none"/>
          <w14:textFill>
            <w14:solidFill>
              <w14:schemeClr w14:val="tx1"/>
            </w14:solidFill>
          </w14:textFill>
        </w:rPr>
        <w:t>磋商文件</w:t>
      </w:r>
      <w:r>
        <w:rPr>
          <w:rFonts w:hint="eastAsia" w:hAnsi="宋体" w:cs="宋体"/>
          <w:color w:val="000000" w:themeColor="text1"/>
          <w:sz w:val="24"/>
          <w:szCs w:val="24"/>
          <w:highlight w:val="none"/>
          <w:lang w:eastAsia="zh-CN"/>
          <w14:textFill>
            <w14:solidFill>
              <w14:schemeClr w14:val="tx1"/>
            </w14:solidFill>
          </w14:textFill>
        </w:rPr>
        <w:t>获取（即报名）时间：</w:t>
      </w:r>
      <w:r>
        <w:rPr>
          <w:rFonts w:hint="eastAsia" w:hAnsi="宋体" w:eastAsia="宋体" w:cs="宋体"/>
          <w:b/>
          <w:bCs/>
          <w:color w:val="000000" w:themeColor="text1"/>
          <w:sz w:val="24"/>
          <w:szCs w:val="24"/>
          <w:highlight w:val="none"/>
          <w14:textFill>
            <w14:solidFill>
              <w14:schemeClr w14:val="tx1"/>
            </w14:solidFill>
          </w14:textFill>
        </w:rPr>
        <w:t>自202</w:t>
      </w:r>
      <w:r>
        <w:rPr>
          <w:rFonts w:hint="eastAsia" w:hAnsi="宋体" w:cs="宋体"/>
          <w:b/>
          <w:bCs/>
          <w:color w:val="000000" w:themeColor="text1"/>
          <w:sz w:val="24"/>
          <w:szCs w:val="24"/>
          <w:highlight w:val="none"/>
          <w14:textFill>
            <w14:solidFill>
              <w14:schemeClr w14:val="tx1"/>
            </w14:solidFill>
          </w14:textFill>
        </w:rPr>
        <w:t>1年</w:t>
      </w:r>
      <w:r>
        <w:rPr>
          <w:rFonts w:hint="eastAsia" w:hAnsi="宋体" w:cs="宋体"/>
          <w:b/>
          <w:bCs/>
          <w:color w:val="000000" w:themeColor="text1"/>
          <w:sz w:val="24"/>
          <w:szCs w:val="24"/>
          <w:highlight w:val="none"/>
          <w:lang w:val="en-US" w:eastAsia="zh-CN"/>
          <w14:textFill>
            <w14:solidFill>
              <w14:schemeClr w14:val="tx1"/>
            </w14:solidFill>
          </w14:textFill>
        </w:rPr>
        <w:t>10</w:t>
      </w:r>
      <w:r>
        <w:rPr>
          <w:rFonts w:hint="eastAsia" w:hAnsi="宋体" w:cs="宋体"/>
          <w:b/>
          <w:bCs/>
          <w:color w:val="000000" w:themeColor="text1"/>
          <w:sz w:val="24"/>
          <w:szCs w:val="24"/>
          <w:highlight w:val="none"/>
          <w14:textFill>
            <w14:solidFill>
              <w14:schemeClr w14:val="tx1"/>
            </w14:solidFill>
          </w14:textFill>
        </w:rPr>
        <w:t>月</w:t>
      </w:r>
      <w:r>
        <w:rPr>
          <w:rFonts w:hint="eastAsia" w:hAnsi="宋体" w:cs="宋体"/>
          <w:b/>
          <w:bCs/>
          <w:color w:val="000000" w:themeColor="text1"/>
          <w:sz w:val="24"/>
          <w:szCs w:val="24"/>
          <w:highlight w:val="none"/>
          <w:lang w:val="en-US" w:eastAsia="zh-CN"/>
          <w14:textFill>
            <w14:solidFill>
              <w14:schemeClr w14:val="tx1"/>
            </w14:solidFill>
          </w14:textFill>
        </w:rPr>
        <w:t>08</w:t>
      </w:r>
      <w:r>
        <w:rPr>
          <w:rFonts w:hint="eastAsia" w:hAnsi="宋体" w:cs="宋体"/>
          <w:b/>
          <w:bCs/>
          <w:color w:val="000000" w:themeColor="text1"/>
          <w:sz w:val="24"/>
          <w:szCs w:val="24"/>
          <w:highlight w:val="none"/>
          <w14:textFill>
            <w14:solidFill>
              <w14:schemeClr w14:val="tx1"/>
            </w14:solidFill>
          </w14:textFill>
        </w:rPr>
        <w:t>日至2021年</w:t>
      </w:r>
      <w:r>
        <w:rPr>
          <w:rFonts w:hint="eastAsia" w:hAnsi="宋体" w:cs="宋体"/>
          <w:b/>
          <w:bCs/>
          <w:color w:val="000000" w:themeColor="text1"/>
          <w:sz w:val="24"/>
          <w:szCs w:val="24"/>
          <w:highlight w:val="none"/>
          <w:lang w:val="en-US" w:eastAsia="zh-CN"/>
          <w14:textFill>
            <w14:solidFill>
              <w14:schemeClr w14:val="tx1"/>
            </w14:solidFill>
          </w14:textFill>
        </w:rPr>
        <w:t>10</w:t>
      </w:r>
      <w:r>
        <w:rPr>
          <w:rFonts w:hint="eastAsia" w:hAnsi="宋体" w:cs="宋体"/>
          <w:b/>
          <w:bCs/>
          <w:color w:val="000000" w:themeColor="text1"/>
          <w:sz w:val="24"/>
          <w:szCs w:val="24"/>
          <w:highlight w:val="none"/>
          <w14:textFill>
            <w14:solidFill>
              <w14:schemeClr w14:val="tx1"/>
            </w14:solidFill>
          </w14:textFill>
        </w:rPr>
        <w:t>月</w:t>
      </w:r>
      <w:r>
        <w:rPr>
          <w:rFonts w:hint="eastAsia" w:hAnsi="宋体" w:cs="宋体"/>
          <w:b/>
          <w:bCs/>
          <w:color w:val="000000" w:themeColor="text1"/>
          <w:sz w:val="24"/>
          <w:szCs w:val="24"/>
          <w:highlight w:val="none"/>
          <w:lang w:val="en-US" w:eastAsia="zh-CN"/>
          <w14:textFill>
            <w14:solidFill>
              <w14:schemeClr w14:val="tx1"/>
            </w14:solidFill>
          </w14:textFill>
        </w:rPr>
        <w:t>13</w:t>
      </w:r>
      <w:r>
        <w:rPr>
          <w:rFonts w:hint="eastAsia" w:hAnsi="宋体" w:cs="宋体"/>
          <w:b/>
          <w:bCs/>
          <w:color w:val="000000" w:themeColor="text1"/>
          <w:sz w:val="24"/>
          <w:szCs w:val="24"/>
          <w:highlight w:val="none"/>
          <w14:textFill>
            <w14:solidFill>
              <w14:schemeClr w14:val="tx1"/>
            </w14:solidFill>
          </w14:textFill>
        </w:rPr>
        <w:t>日09:00- 17:00</w:t>
      </w:r>
      <w:r>
        <w:rPr>
          <w:rFonts w:hint="eastAsia" w:hAnsi="宋体" w:cs="宋体"/>
          <w:color w:val="000000" w:themeColor="text1"/>
          <w:sz w:val="24"/>
          <w:szCs w:val="24"/>
          <w:highlight w:val="none"/>
          <w14:textFill>
            <w14:solidFill>
              <w14:schemeClr w14:val="tx1"/>
            </w14:solidFill>
          </w14:textFill>
        </w:rPr>
        <w:t>（北京时间，法定节假日除外）</w:t>
      </w:r>
      <w:r>
        <w:rPr>
          <w:rFonts w:hint="eastAsia" w:hAnsi="宋体" w:cs="宋体"/>
          <w:color w:val="000000" w:themeColor="text1"/>
          <w:sz w:val="24"/>
          <w:szCs w:val="24"/>
          <w:highlight w:val="none"/>
          <w:lang w:eastAsia="zh-CN"/>
          <w14:textFill>
            <w14:solidFill>
              <w14:schemeClr w14:val="tx1"/>
            </w14:solidFill>
          </w14:textFill>
        </w:rPr>
        <w:t>。</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firstLine="482" w:firstLineChars="200"/>
        <w:jc w:val="left"/>
        <w:textAlignment w:val="auto"/>
        <w:outlineLvl w:val="9"/>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本项目</w:t>
      </w:r>
      <w:r>
        <w:rPr>
          <w:rFonts w:hint="eastAsia" w:hAnsi="宋体" w:cs="宋体"/>
          <w:b/>
          <w:bCs/>
          <w:color w:val="000000" w:themeColor="text1"/>
          <w:sz w:val="24"/>
          <w:szCs w:val="24"/>
          <w:highlight w:val="none"/>
          <w:lang w:eastAsia="zh-CN"/>
          <w14:textFill>
            <w14:solidFill>
              <w14:schemeClr w14:val="tx1"/>
            </w14:solidFill>
          </w14:textFill>
        </w:rPr>
        <w:t>磋商文件</w:t>
      </w:r>
      <w:r>
        <w:rPr>
          <w:rFonts w:hint="eastAsia" w:ascii="宋体" w:hAnsi="宋体" w:eastAsia="宋体" w:cs="宋体"/>
          <w:b/>
          <w:bCs/>
          <w:color w:val="000000" w:themeColor="text1"/>
          <w:sz w:val="24"/>
          <w:szCs w:val="24"/>
          <w:highlight w:val="none"/>
          <w14:textFill>
            <w14:solidFill>
              <w14:schemeClr w14:val="tx1"/>
            </w14:solidFill>
          </w14:textFill>
        </w:rPr>
        <w:t>无偿获取（</w:t>
      </w:r>
      <w:r>
        <w:rPr>
          <w:rFonts w:hint="eastAsia" w:hAnsi="宋体" w:cs="宋体"/>
          <w:b/>
          <w:bCs/>
          <w:color w:val="000000" w:themeColor="text1"/>
          <w:sz w:val="24"/>
          <w:szCs w:val="24"/>
          <w:highlight w:val="none"/>
          <w:lang w:eastAsia="zh-CN"/>
          <w14:textFill>
            <w14:solidFill>
              <w14:schemeClr w14:val="tx1"/>
            </w14:solidFill>
          </w14:textFill>
        </w:rPr>
        <w:t>磋商文件</w:t>
      </w:r>
      <w:r>
        <w:rPr>
          <w:rFonts w:hint="eastAsia" w:ascii="宋体" w:hAnsi="宋体" w:eastAsia="宋体" w:cs="宋体"/>
          <w:b/>
          <w:bCs/>
          <w:color w:val="000000" w:themeColor="text1"/>
          <w:sz w:val="24"/>
          <w:szCs w:val="24"/>
          <w:highlight w:val="none"/>
          <w14:textFill>
            <w14:solidFill>
              <w14:schemeClr w14:val="tx1"/>
            </w14:solidFill>
          </w14:textFill>
        </w:rPr>
        <w:t>售后不退，</w:t>
      </w:r>
      <w:r>
        <w:rPr>
          <w:rFonts w:hint="eastAsia" w:ascii="宋体" w:hAnsi="宋体" w:cs="宋体"/>
          <w:b/>
          <w:bCs/>
          <w:color w:val="000000" w:themeColor="text1"/>
          <w:sz w:val="24"/>
          <w:szCs w:val="24"/>
          <w:highlight w:val="none"/>
          <w:lang w:eastAsia="zh-CN"/>
          <w14:textFill>
            <w14:solidFill>
              <w14:schemeClr w14:val="tx1"/>
            </w14:solidFill>
          </w14:textFill>
        </w:rPr>
        <w:t>磋商</w:t>
      </w:r>
      <w:r>
        <w:rPr>
          <w:rFonts w:hint="eastAsia" w:ascii="宋体" w:hAnsi="宋体" w:eastAsia="宋体" w:cs="宋体"/>
          <w:b/>
          <w:bCs/>
          <w:color w:val="000000" w:themeColor="text1"/>
          <w:sz w:val="24"/>
          <w:szCs w:val="24"/>
          <w:highlight w:val="none"/>
          <w14:textFill>
            <w14:solidFill>
              <w14:schemeClr w14:val="tx1"/>
            </w14:solidFill>
          </w14:textFill>
        </w:rPr>
        <w:t>资格不能转让）</w:t>
      </w:r>
      <w:r>
        <w:rPr>
          <w:rFonts w:hint="eastAsia" w:ascii="宋体" w:hAnsi="宋体" w:eastAsia="宋体" w:cs="宋体"/>
          <w:b/>
          <w:bCs/>
          <w:color w:val="000000" w:themeColor="text1"/>
          <w:sz w:val="24"/>
          <w:szCs w:val="24"/>
          <w:highlight w:val="none"/>
          <w:lang w:eastAsia="zh-CN"/>
          <w14:textFill>
            <w14:solidFill>
              <w14:schemeClr w14:val="tx1"/>
            </w14:solidFill>
          </w14:textFill>
        </w:rPr>
        <w:t>。</w:t>
      </w:r>
    </w:p>
    <w:p>
      <w:pPr>
        <w:keepNext w:val="0"/>
        <w:keepLines w:val="0"/>
        <w:pageBreakBefore w:val="0"/>
        <w:widowControl w:val="0"/>
        <w:tabs>
          <w:tab w:val="left" w:pos="7665"/>
        </w:tabs>
        <w:kinsoku/>
        <w:wordWrap/>
        <w:overflowPunct/>
        <w:topLinePunct w:val="0"/>
        <w:autoSpaceDE/>
        <w:autoSpaceDN/>
        <w:bidi w:val="0"/>
        <w:adjustRightInd/>
        <w:snapToGrid/>
        <w:spacing w:line="360" w:lineRule="auto"/>
        <w:ind w:firstLine="480" w:firstLineChars="200"/>
        <w:jc w:val="left"/>
        <w:textAlignment w:val="auto"/>
        <w:outlineLvl w:val="9"/>
        <w:rPr>
          <w:rFonts w:hint="eastAsia" w:hAnsi="宋体" w:cs="宋体"/>
          <w:color w:val="000000" w:themeColor="text1"/>
          <w:sz w:val="24"/>
          <w:szCs w:val="24"/>
          <w:highlight w:val="none"/>
          <w:lang w:val="en-US" w:eastAsia="zh-CN"/>
          <w14:textFill>
            <w14:solidFill>
              <w14:schemeClr w14:val="tx1"/>
            </w14:solidFill>
          </w14:textFill>
        </w:rPr>
      </w:pPr>
      <w:r>
        <w:rPr>
          <w:rFonts w:hint="eastAsia" w:hAnsi="宋体" w:cs="宋体"/>
          <w:color w:val="000000" w:themeColor="text1"/>
          <w:sz w:val="24"/>
          <w:szCs w:val="24"/>
          <w:highlight w:val="none"/>
          <w:lang w:val="en-US" w:eastAsia="zh-CN"/>
          <w14:textFill>
            <w14:solidFill>
              <w14:schemeClr w14:val="tx1"/>
            </w14:solidFill>
          </w14:textFill>
        </w:rPr>
        <w:t>本项目磋商文件，供应商从“政府采购云平台”（https://www.zcygov.cn）获取：登录“政府采购云平台”→项目采购→获取采购文件→申请获取采购文件。</w:t>
      </w:r>
    </w:p>
    <w:p>
      <w:pPr>
        <w:spacing w:after="120" w:line="440" w:lineRule="exact"/>
        <w:ind w:firstLine="482" w:firstLineChars="200"/>
        <w:rPr>
          <w:rFonts w:hAnsi="宋体" w:cs="宋体"/>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lang w:eastAsia="zh-CN"/>
          <w14:textFill>
            <w14:solidFill>
              <w14:schemeClr w14:val="tx1"/>
            </w14:solidFill>
          </w14:textFill>
        </w:rPr>
        <w:t>九</w:t>
      </w:r>
      <w:r>
        <w:rPr>
          <w:rFonts w:hint="eastAsia" w:hAnsi="宋体" w:cs="宋体"/>
          <w:b/>
          <w:color w:val="000000" w:themeColor="text1"/>
          <w:sz w:val="24"/>
          <w:szCs w:val="24"/>
          <w:highlight w:val="none"/>
          <w14:textFill>
            <w14:solidFill>
              <w14:schemeClr w14:val="tx1"/>
            </w14:solidFill>
          </w14:textFill>
        </w:rPr>
        <w:t>、递交响应文件截止时间：</w:t>
      </w:r>
      <w:r>
        <w:rPr>
          <w:rFonts w:hint="eastAsia" w:hAnsi="宋体" w:cs="宋体"/>
          <w:b/>
          <w:bCs w:val="0"/>
          <w:color w:val="000000" w:themeColor="text1"/>
          <w:sz w:val="24"/>
          <w:szCs w:val="24"/>
          <w:highlight w:val="none"/>
          <w14:textFill>
            <w14:solidFill>
              <w14:schemeClr w14:val="tx1"/>
            </w14:solidFill>
          </w14:textFill>
        </w:rPr>
        <w:t>2021年</w:t>
      </w:r>
      <w:r>
        <w:rPr>
          <w:rFonts w:hint="eastAsia" w:hAnsi="宋体" w:cs="宋体"/>
          <w:b/>
          <w:bCs w:val="0"/>
          <w:color w:val="000000" w:themeColor="text1"/>
          <w:sz w:val="24"/>
          <w:szCs w:val="24"/>
          <w:highlight w:val="none"/>
          <w:lang w:val="en-US" w:eastAsia="zh-CN"/>
          <w14:textFill>
            <w14:solidFill>
              <w14:schemeClr w14:val="tx1"/>
            </w14:solidFill>
          </w14:textFill>
        </w:rPr>
        <w:t>10</w:t>
      </w:r>
      <w:r>
        <w:rPr>
          <w:rFonts w:hint="eastAsia" w:hAnsi="宋体" w:cs="宋体"/>
          <w:b/>
          <w:bCs w:val="0"/>
          <w:color w:val="000000" w:themeColor="text1"/>
          <w:sz w:val="24"/>
          <w:szCs w:val="24"/>
          <w:highlight w:val="none"/>
          <w14:textFill>
            <w14:solidFill>
              <w14:schemeClr w14:val="tx1"/>
            </w14:solidFill>
          </w14:textFill>
        </w:rPr>
        <w:t>月</w:t>
      </w:r>
      <w:r>
        <w:rPr>
          <w:rFonts w:hint="eastAsia" w:hAnsi="宋体" w:cs="宋体"/>
          <w:b/>
          <w:bCs w:val="0"/>
          <w:color w:val="000000" w:themeColor="text1"/>
          <w:sz w:val="24"/>
          <w:szCs w:val="24"/>
          <w:highlight w:val="none"/>
          <w:lang w:val="en-US" w:eastAsia="zh-CN"/>
          <w14:textFill>
            <w14:solidFill>
              <w14:schemeClr w14:val="tx1"/>
            </w14:solidFill>
          </w14:textFill>
        </w:rPr>
        <w:t>18</w:t>
      </w:r>
      <w:r>
        <w:rPr>
          <w:rFonts w:hint="eastAsia" w:hAnsi="宋体" w:cs="宋体"/>
          <w:b/>
          <w:bCs w:val="0"/>
          <w:color w:val="000000" w:themeColor="text1"/>
          <w:sz w:val="24"/>
          <w:szCs w:val="24"/>
          <w:highlight w:val="none"/>
          <w14:textFill>
            <w14:solidFill>
              <w14:schemeClr w14:val="tx1"/>
            </w14:solidFill>
          </w14:textFill>
        </w:rPr>
        <w:t>日</w:t>
      </w:r>
      <w:r>
        <w:rPr>
          <w:rFonts w:hint="eastAsia" w:hAnsi="宋体" w:cs="宋体"/>
          <w:b/>
          <w:bCs w:val="0"/>
          <w:color w:val="000000" w:themeColor="text1"/>
          <w:sz w:val="24"/>
          <w:szCs w:val="24"/>
          <w:highlight w:val="none"/>
          <w:lang w:val="en-US" w:eastAsia="zh-CN"/>
          <w14:textFill>
            <w14:solidFill>
              <w14:schemeClr w14:val="tx1"/>
            </w14:solidFill>
          </w14:textFill>
        </w:rPr>
        <w:t>14</w:t>
      </w:r>
      <w:r>
        <w:rPr>
          <w:rFonts w:hint="eastAsia" w:hAnsi="宋体" w:cs="宋体"/>
          <w:b/>
          <w:bCs w:val="0"/>
          <w:color w:val="000000" w:themeColor="text1"/>
          <w:sz w:val="24"/>
          <w:szCs w:val="24"/>
          <w:highlight w:val="none"/>
          <w14:textFill>
            <w14:solidFill>
              <w14:schemeClr w14:val="tx1"/>
            </w14:solidFill>
          </w14:textFill>
        </w:rPr>
        <w:t xml:space="preserve">:00 </w:t>
      </w:r>
      <w:r>
        <w:rPr>
          <w:rFonts w:hint="eastAsia" w:hAnsi="宋体" w:cs="宋体"/>
          <w:color w:val="000000" w:themeColor="text1"/>
          <w:sz w:val="24"/>
          <w:szCs w:val="24"/>
          <w:highlight w:val="none"/>
          <w14:textFill>
            <w14:solidFill>
              <w14:schemeClr w14:val="tx1"/>
            </w14:solidFill>
          </w14:textFill>
        </w:rPr>
        <w:t>（北京时间）。</w:t>
      </w:r>
    </w:p>
    <w:p>
      <w:pPr>
        <w:spacing w:after="120" w:line="440" w:lineRule="exact"/>
        <w:ind w:firstLine="482" w:firstLineChars="200"/>
        <w:rPr>
          <w:rFonts w:hAnsi="宋体" w:cs="宋体"/>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lang w:eastAsia="zh-CN"/>
          <w14:textFill>
            <w14:solidFill>
              <w14:schemeClr w14:val="tx1"/>
            </w14:solidFill>
          </w14:textFill>
        </w:rPr>
        <w:t>十</w:t>
      </w:r>
      <w:r>
        <w:rPr>
          <w:rFonts w:hint="eastAsia" w:hAnsi="宋体" w:cs="宋体"/>
          <w:b/>
          <w:color w:val="000000" w:themeColor="text1"/>
          <w:sz w:val="24"/>
          <w:szCs w:val="24"/>
          <w:highlight w:val="none"/>
          <w14:textFill>
            <w14:solidFill>
              <w14:schemeClr w14:val="tx1"/>
            </w14:solidFill>
          </w14:textFill>
        </w:rPr>
        <w:t>、递交响应文件地点：</w:t>
      </w:r>
      <w:r>
        <w:rPr>
          <w:rFonts w:hint="eastAsia" w:hAnsi="宋体" w:cs="宋体"/>
          <w:color w:val="000000" w:themeColor="text1"/>
          <w:sz w:val="24"/>
          <w:szCs w:val="24"/>
          <w:highlight w:val="none"/>
          <w14:textFill>
            <w14:solidFill>
              <w14:schemeClr w14:val="tx1"/>
            </w14:solidFill>
          </w14:textFill>
        </w:rPr>
        <w:t>响应文件必须在递交响应文件截止时间前送达磋商地点。逾期送达、密封和标注错误的响应文件，采购代理机构恕不接收。本次采购不接收邮寄的响应文件。</w:t>
      </w:r>
    </w:p>
    <w:p>
      <w:pPr>
        <w:spacing w:after="120" w:line="440" w:lineRule="exact"/>
        <w:ind w:firstLine="482" w:firstLineChars="200"/>
        <w:rPr>
          <w:rFonts w:hAnsi="宋体" w:cs="宋体"/>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十</w:t>
      </w:r>
      <w:r>
        <w:rPr>
          <w:rFonts w:hint="eastAsia" w:hAnsi="宋体" w:cs="宋体"/>
          <w:b/>
          <w:color w:val="000000" w:themeColor="text1"/>
          <w:sz w:val="24"/>
          <w:szCs w:val="24"/>
          <w:highlight w:val="none"/>
          <w:lang w:eastAsia="zh-CN"/>
          <w14:textFill>
            <w14:solidFill>
              <w14:schemeClr w14:val="tx1"/>
            </w14:solidFill>
          </w14:textFill>
        </w:rPr>
        <w:t>一</w:t>
      </w:r>
      <w:r>
        <w:rPr>
          <w:rFonts w:hint="eastAsia" w:hAnsi="宋体" w:cs="宋体"/>
          <w:b/>
          <w:color w:val="000000" w:themeColor="text1"/>
          <w:sz w:val="24"/>
          <w:szCs w:val="24"/>
          <w:highlight w:val="none"/>
          <w14:textFill>
            <w14:solidFill>
              <w14:schemeClr w14:val="tx1"/>
            </w14:solidFill>
          </w14:textFill>
        </w:rPr>
        <w:t>、响应文件开启时间：</w:t>
      </w:r>
      <w:r>
        <w:rPr>
          <w:rFonts w:hint="eastAsia" w:hAnsi="宋体" w:cs="宋体"/>
          <w:b/>
          <w:bCs w:val="0"/>
          <w:color w:val="000000" w:themeColor="text1"/>
          <w:sz w:val="24"/>
          <w:szCs w:val="24"/>
          <w:highlight w:val="none"/>
          <w14:textFill>
            <w14:solidFill>
              <w14:schemeClr w14:val="tx1"/>
            </w14:solidFill>
          </w14:textFill>
        </w:rPr>
        <w:t>2021年</w:t>
      </w:r>
      <w:r>
        <w:rPr>
          <w:rFonts w:hint="eastAsia" w:hAnsi="宋体" w:cs="宋体"/>
          <w:b/>
          <w:bCs w:val="0"/>
          <w:color w:val="000000" w:themeColor="text1"/>
          <w:sz w:val="24"/>
          <w:szCs w:val="24"/>
          <w:highlight w:val="none"/>
          <w:lang w:val="en-US" w:eastAsia="zh-CN"/>
          <w14:textFill>
            <w14:solidFill>
              <w14:schemeClr w14:val="tx1"/>
            </w14:solidFill>
          </w14:textFill>
        </w:rPr>
        <w:t>10</w:t>
      </w:r>
      <w:r>
        <w:rPr>
          <w:rFonts w:hint="eastAsia" w:hAnsi="宋体" w:cs="宋体"/>
          <w:b/>
          <w:bCs w:val="0"/>
          <w:color w:val="000000" w:themeColor="text1"/>
          <w:sz w:val="24"/>
          <w:szCs w:val="24"/>
          <w:highlight w:val="none"/>
          <w14:textFill>
            <w14:solidFill>
              <w14:schemeClr w14:val="tx1"/>
            </w14:solidFill>
          </w14:textFill>
        </w:rPr>
        <w:t>月</w:t>
      </w:r>
      <w:r>
        <w:rPr>
          <w:rFonts w:hint="eastAsia" w:hAnsi="宋体" w:cs="宋体"/>
          <w:b/>
          <w:bCs w:val="0"/>
          <w:color w:val="000000" w:themeColor="text1"/>
          <w:sz w:val="24"/>
          <w:szCs w:val="24"/>
          <w:highlight w:val="none"/>
          <w:lang w:val="en-US" w:eastAsia="zh-CN"/>
          <w14:textFill>
            <w14:solidFill>
              <w14:schemeClr w14:val="tx1"/>
            </w14:solidFill>
          </w14:textFill>
        </w:rPr>
        <w:t>18</w:t>
      </w:r>
      <w:r>
        <w:rPr>
          <w:rFonts w:hint="eastAsia" w:hAnsi="宋体" w:cs="宋体"/>
          <w:b/>
          <w:bCs w:val="0"/>
          <w:color w:val="000000" w:themeColor="text1"/>
          <w:sz w:val="24"/>
          <w:szCs w:val="24"/>
          <w:highlight w:val="none"/>
          <w14:textFill>
            <w14:solidFill>
              <w14:schemeClr w14:val="tx1"/>
            </w14:solidFill>
          </w14:textFill>
        </w:rPr>
        <w:t>日</w:t>
      </w:r>
      <w:r>
        <w:rPr>
          <w:rFonts w:hint="eastAsia" w:hAnsi="宋体" w:cs="宋体"/>
          <w:b/>
          <w:bCs w:val="0"/>
          <w:color w:val="000000" w:themeColor="text1"/>
          <w:sz w:val="24"/>
          <w:szCs w:val="24"/>
          <w:highlight w:val="none"/>
          <w:lang w:val="en-US" w:eastAsia="zh-CN"/>
          <w14:textFill>
            <w14:solidFill>
              <w14:schemeClr w14:val="tx1"/>
            </w14:solidFill>
          </w14:textFill>
        </w:rPr>
        <w:t>14</w:t>
      </w:r>
      <w:r>
        <w:rPr>
          <w:rFonts w:hint="eastAsia" w:hAnsi="宋体" w:cs="宋体"/>
          <w:b/>
          <w:bCs w:val="0"/>
          <w:color w:val="000000" w:themeColor="text1"/>
          <w:sz w:val="24"/>
          <w:szCs w:val="24"/>
          <w:highlight w:val="none"/>
          <w14:textFill>
            <w14:solidFill>
              <w14:schemeClr w14:val="tx1"/>
            </w14:solidFill>
          </w14:textFill>
        </w:rPr>
        <w:t>:00</w:t>
      </w:r>
      <w:r>
        <w:rPr>
          <w:rFonts w:hint="eastAsia" w:hAnsi="宋体" w:cs="宋体"/>
          <w:color w:val="000000" w:themeColor="text1"/>
          <w:sz w:val="24"/>
          <w:szCs w:val="24"/>
          <w:highlight w:val="none"/>
          <w14:textFill>
            <w14:solidFill>
              <w14:schemeClr w14:val="tx1"/>
            </w14:solidFill>
          </w14:textFill>
        </w:rPr>
        <w:t>（北京时间）在磋商地点开启。</w:t>
      </w:r>
    </w:p>
    <w:p>
      <w:pPr>
        <w:spacing w:line="440" w:lineRule="exact"/>
        <w:ind w:firstLine="489" w:firstLineChars="203"/>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十</w:t>
      </w:r>
      <w:r>
        <w:rPr>
          <w:rFonts w:hint="eastAsia" w:hAnsi="宋体" w:cs="宋体"/>
          <w:b/>
          <w:color w:val="000000" w:themeColor="text1"/>
          <w:sz w:val="24"/>
          <w:szCs w:val="24"/>
          <w:highlight w:val="none"/>
          <w:lang w:eastAsia="zh-CN"/>
          <w14:textFill>
            <w14:solidFill>
              <w14:schemeClr w14:val="tx1"/>
            </w14:solidFill>
          </w14:textFill>
        </w:rPr>
        <w:t>二</w:t>
      </w:r>
      <w:r>
        <w:rPr>
          <w:rFonts w:hint="eastAsia" w:hAnsi="宋体" w:cs="宋体"/>
          <w:b/>
          <w:color w:val="000000" w:themeColor="text1"/>
          <w:sz w:val="24"/>
          <w:szCs w:val="24"/>
          <w:highlight w:val="none"/>
          <w14:textFill>
            <w14:solidFill>
              <w14:schemeClr w14:val="tx1"/>
            </w14:solidFill>
          </w14:textFill>
        </w:rPr>
        <w:t>、磋商地点：</w:t>
      </w:r>
      <w:r>
        <w:rPr>
          <w:rFonts w:hint="eastAsia" w:hAnsi="宋体" w:cs="宋体"/>
          <w:color w:val="000000" w:themeColor="text1"/>
          <w:sz w:val="24"/>
          <w:szCs w:val="24"/>
          <w:highlight w:val="none"/>
          <w:u w:val="none"/>
          <w:lang w:eastAsia="zh-CN"/>
          <w14:textFill>
            <w14:solidFill>
              <w14:schemeClr w14:val="tx1"/>
            </w14:solidFill>
          </w14:textFill>
        </w:rPr>
        <w:t>成都市金牛区金沙路69号金沙楼401室</w:t>
      </w:r>
      <w:r>
        <w:rPr>
          <w:rFonts w:hint="eastAsia" w:hAnsi="宋体" w:cs="宋体"/>
          <w:color w:val="000000" w:themeColor="text1"/>
          <w:sz w:val="24"/>
          <w:szCs w:val="24"/>
          <w:highlight w:val="none"/>
          <w14:textFill>
            <w14:solidFill>
              <w14:schemeClr w14:val="tx1"/>
            </w14:solidFill>
          </w14:textFill>
        </w:rPr>
        <w:t>。</w:t>
      </w:r>
    </w:p>
    <w:p>
      <w:pPr>
        <w:pStyle w:val="67"/>
        <w:spacing w:line="440" w:lineRule="exact"/>
        <w:ind w:firstLine="482"/>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十</w:t>
      </w:r>
      <w:r>
        <w:rPr>
          <w:rFonts w:hint="eastAsia" w:hAnsi="宋体" w:cs="宋体"/>
          <w:b/>
          <w:color w:val="000000" w:themeColor="text1"/>
          <w:sz w:val="24"/>
          <w:szCs w:val="24"/>
          <w:highlight w:val="none"/>
          <w:lang w:eastAsia="zh-CN"/>
          <w14:textFill>
            <w14:solidFill>
              <w14:schemeClr w14:val="tx1"/>
            </w14:solidFill>
          </w14:textFill>
        </w:rPr>
        <w:t>三</w:t>
      </w:r>
      <w:r>
        <w:rPr>
          <w:rFonts w:hint="eastAsia" w:hAnsi="宋体" w:cs="宋体"/>
          <w:b/>
          <w:color w:val="000000" w:themeColor="text1"/>
          <w:sz w:val="24"/>
          <w:szCs w:val="24"/>
          <w:highlight w:val="none"/>
          <w14:textFill>
            <w14:solidFill>
              <w14:schemeClr w14:val="tx1"/>
            </w14:solidFill>
          </w14:textFill>
        </w:rPr>
        <w:t>、联系方式</w:t>
      </w:r>
    </w:p>
    <w:p>
      <w:pPr>
        <w:pStyle w:val="67"/>
        <w:spacing w:line="440" w:lineRule="exact"/>
        <w:ind w:firstLine="954" w:firstLineChars="396"/>
        <w:rPr>
          <w:rFonts w:hint="eastAsia" w:hAnsi="宋体" w:eastAsia="宋体" w:cs="宋体"/>
          <w:b/>
          <w:bCs/>
          <w:color w:val="000000" w:themeColor="text1"/>
          <w:sz w:val="24"/>
          <w:szCs w:val="24"/>
          <w:highlight w:val="none"/>
          <w:lang w:eastAsia="zh-CN"/>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 xml:space="preserve">  采购人：</w:t>
      </w:r>
      <w:r>
        <w:rPr>
          <w:rFonts w:hint="eastAsia" w:hAnsi="宋体" w:cs="宋体"/>
          <w:b/>
          <w:bCs/>
          <w:color w:val="000000" w:themeColor="text1"/>
          <w:sz w:val="24"/>
          <w:szCs w:val="24"/>
          <w:highlight w:val="none"/>
          <w:lang w:eastAsia="zh-CN"/>
          <w14:textFill>
            <w14:solidFill>
              <w14:schemeClr w14:val="tx1"/>
            </w14:solidFill>
          </w14:textFill>
        </w:rPr>
        <w:t>成都市昭忠祠小学</w:t>
      </w:r>
    </w:p>
    <w:p>
      <w:pPr>
        <w:pStyle w:val="67"/>
        <w:spacing w:line="440" w:lineRule="exact"/>
        <w:ind w:firstLine="1200" w:firstLineChars="500"/>
        <w:rPr>
          <w:rFonts w:hint="default" w:hAnsi="宋体" w:eastAsia="宋体" w:cs="宋体"/>
          <w:bCs/>
          <w:color w:val="000000" w:themeColor="text1"/>
          <w:sz w:val="24"/>
          <w:szCs w:val="24"/>
          <w:highlight w:val="none"/>
          <w:lang w:val="en-US" w:eastAsia="zh-CN"/>
          <w14:textFill>
            <w14:solidFill>
              <w14:schemeClr w14:val="tx1"/>
            </w14:solidFill>
          </w14:textFill>
        </w:rPr>
      </w:pPr>
      <w:r>
        <w:rPr>
          <w:rFonts w:hint="eastAsia" w:hAnsi="宋体" w:cs="宋体"/>
          <w:bCs/>
          <w:color w:val="000000" w:themeColor="text1"/>
          <w:sz w:val="24"/>
          <w:szCs w:val="24"/>
          <w:highlight w:val="none"/>
          <w14:textFill>
            <w14:solidFill>
              <w14:schemeClr w14:val="tx1"/>
            </w14:solidFill>
          </w14:textFill>
        </w:rPr>
        <w:t>通讯地址：</w:t>
      </w:r>
      <w:r>
        <w:rPr>
          <w:rFonts w:hint="eastAsia" w:hAnsi="宋体" w:cs="宋体"/>
          <w:bCs/>
          <w:color w:val="000000" w:themeColor="text1"/>
          <w:sz w:val="24"/>
          <w:szCs w:val="24"/>
          <w:highlight w:val="none"/>
          <w:lang w:eastAsia="zh-CN"/>
          <w14:textFill>
            <w14:solidFill>
              <w14:schemeClr w14:val="tx1"/>
            </w14:solidFill>
          </w14:textFill>
        </w:rPr>
        <w:t>成都市锦江区昭忠祠街69号</w:t>
      </w:r>
    </w:p>
    <w:p>
      <w:pPr>
        <w:pStyle w:val="67"/>
        <w:spacing w:line="440" w:lineRule="exact"/>
        <w:ind w:firstLine="1200" w:firstLineChars="500"/>
        <w:rPr>
          <w:rFonts w:hint="eastAsia" w:hAnsi="宋体" w:eastAsia="宋体" w:cs="宋体"/>
          <w:bCs/>
          <w:color w:val="000000" w:themeColor="text1"/>
          <w:sz w:val="24"/>
          <w:szCs w:val="24"/>
          <w:highlight w:val="none"/>
          <w:lang w:eastAsia="zh-CN"/>
          <w14:textFill>
            <w14:solidFill>
              <w14:schemeClr w14:val="tx1"/>
            </w14:solidFill>
          </w14:textFill>
        </w:rPr>
      </w:pPr>
      <w:r>
        <w:rPr>
          <w:rFonts w:hint="eastAsia" w:hAnsi="宋体" w:cs="宋体"/>
          <w:bCs/>
          <w:color w:val="000000" w:themeColor="text1"/>
          <w:sz w:val="24"/>
          <w:szCs w:val="24"/>
          <w:highlight w:val="none"/>
          <w14:textFill>
            <w14:solidFill>
              <w14:schemeClr w14:val="tx1"/>
            </w14:solidFill>
          </w14:textFill>
        </w:rPr>
        <w:t>联 系 人：</w:t>
      </w:r>
      <w:r>
        <w:rPr>
          <w:rFonts w:hint="eastAsia" w:hAnsi="宋体" w:cs="宋体"/>
          <w:bCs/>
          <w:color w:val="000000" w:themeColor="text1"/>
          <w:sz w:val="24"/>
          <w:szCs w:val="24"/>
          <w:highlight w:val="none"/>
          <w:lang w:eastAsia="zh-CN"/>
          <w14:textFill>
            <w14:solidFill>
              <w14:schemeClr w14:val="tx1"/>
            </w14:solidFill>
          </w14:textFill>
        </w:rPr>
        <w:t>孙老师</w:t>
      </w:r>
    </w:p>
    <w:p>
      <w:pPr>
        <w:pStyle w:val="67"/>
        <w:spacing w:line="440" w:lineRule="exact"/>
        <w:ind w:firstLine="1200" w:firstLineChars="500"/>
        <w:rPr>
          <w:rFonts w:hint="default" w:hAnsi="宋体" w:eastAsia="宋体" w:cs="宋体"/>
          <w:bCs/>
          <w:color w:val="000000" w:themeColor="text1"/>
          <w:sz w:val="24"/>
          <w:szCs w:val="24"/>
          <w:highlight w:val="none"/>
          <w:lang w:val="en-US" w:eastAsia="zh-CN"/>
          <w14:textFill>
            <w14:solidFill>
              <w14:schemeClr w14:val="tx1"/>
            </w14:solidFill>
          </w14:textFill>
        </w:rPr>
      </w:pPr>
      <w:r>
        <w:rPr>
          <w:rFonts w:hint="eastAsia" w:hAnsi="宋体" w:cs="宋体"/>
          <w:bCs/>
          <w:color w:val="000000" w:themeColor="text1"/>
          <w:sz w:val="24"/>
          <w:szCs w:val="24"/>
          <w:highlight w:val="none"/>
          <w14:textFill>
            <w14:solidFill>
              <w14:schemeClr w14:val="tx1"/>
            </w14:solidFill>
          </w14:textFill>
        </w:rPr>
        <w:t>联系电话：028-</w:t>
      </w:r>
      <w:r>
        <w:rPr>
          <w:rFonts w:hint="eastAsia" w:hAnsi="宋体" w:cs="宋体"/>
          <w:bCs/>
          <w:color w:val="000000" w:themeColor="text1"/>
          <w:sz w:val="24"/>
          <w:szCs w:val="24"/>
          <w:highlight w:val="none"/>
          <w:lang w:val="en-US" w:eastAsia="zh-CN"/>
          <w14:textFill>
            <w14:solidFill>
              <w14:schemeClr w14:val="tx1"/>
            </w14:solidFill>
          </w14:textFill>
        </w:rPr>
        <w:t>86950722转8005</w:t>
      </w:r>
    </w:p>
    <w:p>
      <w:pPr>
        <w:pStyle w:val="67"/>
        <w:spacing w:line="440" w:lineRule="exact"/>
        <w:ind w:firstLine="1135" w:firstLineChars="471"/>
        <w:rPr>
          <w:rFonts w:hAnsi="宋体" w:cs="宋体"/>
          <w:b/>
          <w:color w:val="000000" w:themeColor="text1"/>
          <w:sz w:val="24"/>
          <w:szCs w:val="24"/>
          <w:highlight w:val="none"/>
          <w14:textFill>
            <w14:solidFill>
              <w14:schemeClr w14:val="tx1"/>
            </w14:solidFill>
          </w14:textFill>
        </w:rPr>
      </w:pPr>
      <w:r>
        <w:rPr>
          <w:rFonts w:hint="eastAsia" w:hAnsi="宋体" w:cs="宋体"/>
          <w:b/>
          <w:color w:val="000000" w:themeColor="text1"/>
          <w:sz w:val="24"/>
          <w:szCs w:val="24"/>
          <w:highlight w:val="none"/>
          <w14:textFill>
            <w14:solidFill>
              <w14:schemeClr w14:val="tx1"/>
            </w14:solidFill>
          </w14:textFill>
        </w:rPr>
        <w:t>采购代理机构：</w:t>
      </w:r>
      <w:r>
        <w:rPr>
          <w:rFonts w:hint="eastAsia" w:hAnsi="宋体" w:cs="宋体"/>
          <w:b/>
          <w:color w:val="000000" w:themeColor="text1"/>
          <w:sz w:val="24"/>
          <w:szCs w:val="24"/>
          <w:highlight w:val="none"/>
          <w:lang w:eastAsia="zh-CN"/>
          <w14:textFill>
            <w14:solidFill>
              <w14:schemeClr w14:val="tx1"/>
            </w14:solidFill>
          </w14:textFill>
        </w:rPr>
        <w:t>成都金牡丹工程管理咨询有限公司</w:t>
      </w:r>
      <w:r>
        <w:rPr>
          <w:rFonts w:hint="eastAsia" w:hAnsi="宋体" w:cs="宋体"/>
          <w:b/>
          <w:color w:val="000000" w:themeColor="text1"/>
          <w:sz w:val="24"/>
          <w:szCs w:val="24"/>
          <w:highlight w:val="none"/>
          <w14:textFill>
            <w14:solidFill>
              <w14:schemeClr w14:val="tx1"/>
            </w14:solidFill>
          </w14:textFill>
        </w:rPr>
        <w:t xml:space="preserve"> </w:t>
      </w:r>
    </w:p>
    <w:p>
      <w:pPr>
        <w:pStyle w:val="67"/>
        <w:spacing w:line="440" w:lineRule="exact"/>
        <w:ind w:firstLine="1200" w:firstLineChars="500"/>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通讯地址：</w:t>
      </w:r>
      <w:r>
        <w:rPr>
          <w:rFonts w:hint="eastAsia" w:ascii="宋体" w:hAnsi="宋体" w:eastAsia="宋体" w:cs="宋体"/>
          <w:color w:val="000000" w:themeColor="text1"/>
          <w:sz w:val="24"/>
          <w:szCs w:val="24"/>
          <w:highlight w:val="none"/>
          <w:lang w:val="zh-CN" w:eastAsia="zh-CN"/>
          <w14:textFill>
            <w14:solidFill>
              <w14:schemeClr w14:val="tx1"/>
            </w14:solidFill>
          </w14:textFill>
        </w:rPr>
        <w:t>成都市金牛区金沙路69号金沙楼401室</w:t>
      </w:r>
    </w:p>
    <w:p>
      <w:pPr>
        <w:pStyle w:val="67"/>
        <w:spacing w:line="440" w:lineRule="exact"/>
        <w:ind w:firstLine="1200" w:firstLineChars="50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 系 人：</w:t>
      </w:r>
      <w:r>
        <w:rPr>
          <w:rFonts w:hint="eastAsia" w:ascii="宋体" w:hAnsi="宋体" w:eastAsia="宋体" w:cs="宋体"/>
          <w:color w:val="000000" w:themeColor="text1"/>
          <w:sz w:val="24"/>
          <w:szCs w:val="24"/>
          <w:highlight w:val="none"/>
          <w:lang w:val="zh-CN" w:eastAsia="zh-CN"/>
          <w14:textFill>
            <w14:solidFill>
              <w14:schemeClr w14:val="tx1"/>
            </w14:solidFill>
          </w14:textFill>
        </w:rPr>
        <w:t>王老师</w:t>
      </w:r>
    </w:p>
    <w:p>
      <w:pPr>
        <w:pStyle w:val="67"/>
        <w:spacing w:line="440" w:lineRule="exact"/>
        <w:ind w:firstLine="1200" w:firstLineChars="5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联系电话：028-62467087</w:t>
      </w:r>
    </w:p>
    <w:p>
      <w:pPr>
        <w:pStyle w:val="67"/>
        <w:spacing w:line="440" w:lineRule="exact"/>
        <w:ind w:firstLine="1200" w:firstLineChars="5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开户行：交通银行成都西安路支行</w:t>
      </w:r>
    </w:p>
    <w:p>
      <w:pPr>
        <w:pStyle w:val="67"/>
        <w:spacing w:line="440" w:lineRule="exact"/>
        <w:ind w:firstLine="1200" w:firstLineChars="500"/>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银行帐号：511511093013000448705</w:t>
      </w:r>
    </w:p>
    <w:p>
      <w:pPr>
        <w:widowControl/>
        <w:jc w:val="left"/>
        <w:rPr>
          <w:rFonts w:hint="eastAsia" w:ascii="宋体" w:hAnsi="宋体" w:eastAsia="宋体" w:cs="宋体"/>
          <w:b/>
          <w:bCs/>
          <w:color w:val="000000" w:themeColor="text1"/>
          <w:kern w:val="44"/>
          <w:sz w:val="36"/>
          <w:szCs w:val="36"/>
          <w:highlight w:val="none"/>
          <w14:textFill>
            <w14:solidFill>
              <w14:schemeClr w14:val="tx1"/>
            </w14:solidFill>
          </w14:textFill>
        </w:rPr>
      </w:pPr>
      <w:bookmarkStart w:id="8" w:name="_Toc213397009"/>
      <w:bookmarkStart w:id="9" w:name="_Toc213396945"/>
      <w:bookmarkStart w:id="10" w:name="_Toc213396759"/>
      <w:bookmarkStart w:id="11" w:name="_Toc217446031"/>
      <w:bookmarkStart w:id="12" w:name="_Toc213496267"/>
      <w:r>
        <w:rPr>
          <w:rFonts w:hint="eastAsia" w:ascii="宋体" w:hAnsi="宋体" w:eastAsia="宋体" w:cs="宋体"/>
          <w:color w:val="000000" w:themeColor="text1"/>
          <w:sz w:val="36"/>
          <w:szCs w:val="36"/>
          <w:highlight w:val="none"/>
          <w14:textFill>
            <w14:solidFill>
              <w14:schemeClr w14:val="tx1"/>
            </w14:solidFill>
          </w14:textFill>
        </w:rPr>
        <w:br w:type="page"/>
      </w:r>
    </w:p>
    <w:p>
      <w:pPr>
        <w:pStyle w:val="4"/>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bookmarkStart w:id="13" w:name="_Toc7961744"/>
      <w:bookmarkStart w:id="14" w:name="_Toc19616"/>
      <w:bookmarkStart w:id="15" w:name="_Toc29422"/>
      <w:bookmarkStart w:id="16" w:name="_Toc16020"/>
      <w:r>
        <w:rPr>
          <w:rFonts w:hint="eastAsia" w:ascii="宋体" w:hAnsi="宋体" w:eastAsia="宋体" w:cs="宋体"/>
          <w:color w:val="000000" w:themeColor="text1"/>
          <w:sz w:val="36"/>
          <w:szCs w:val="36"/>
          <w:highlight w:val="none"/>
          <w14:textFill>
            <w14:solidFill>
              <w14:schemeClr w14:val="tx1"/>
            </w14:solidFill>
          </w14:textFill>
        </w:rPr>
        <w:t>第二章  磋商须知</w:t>
      </w:r>
      <w:bookmarkEnd w:id="8"/>
      <w:bookmarkEnd w:id="9"/>
      <w:bookmarkEnd w:id="10"/>
      <w:bookmarkEnd w:id="11"/>
      <w:bookmarkEnd w:id="12"/>
      <w:bookmarkEnd w:id="13"/>
      <w:bookmarkEnd w:id="14"/>
      <w:bookmarkEnd w:id="15"/>
      <w:bookmarkEnd w:id="16"/>
    </w:p>
    <w:p>
      <w:pPr>
        <w:pStyle w:val="5"/>
        <w:keepNext w:val="0"/>
        <w:keepLines w:val="0"/>
        <w:spacing w:before="0" w:after="0" w:line="240" w:lineRule="auto"/>
        <w:jc w:val="center"/>
        <w:rPr>
          <w:rFonts w:hint="eastAsia" w:ascii="宋体" w:hAnsi="宋体" w:eastAsia="宋体" w:cs="宋体"/>
          <w:color w:val="000000" w:themeColor="text1"/>
          <w:highlight w:val="none"/>
          <w14:textFill>
            <w14:solidFill>
              <w14:schemeClr w14:val="tx1"/>
            </w14:solidFill>
          </w14:textFill>
        </w:rPr>
      </w:pPr>
      <w:bookmarkStart w:id="17" w:name="_Toc22467"/>
      <w:r>
        <w:rPr>
          <w:rFonts w:hint="eastAsia" w:ascii="宋体" w:hAnsi="宋体" w:eastAsia="宋体" w:cs="宋体"/>
          <w:color w:val="000000" w:themeColor="text1"/>
          <w:highlight w:val="none"/>
          <w14:textFill>
            <w14:solidFill>
              <w14:schemeClr w14:val="tx1"/>
            </w14:solidFill>
          </w14:textFill>
        </w:rPr>
        <w:t>一、供应商须知附表</w:t>
      </w:r>
      <w:bookmarkEnd w:id="17"/>
    </w:p>
    <w:tbl>
      <w:tblPr>
        <w:tblStyle w:val="30"/>
        <w:tblW w:w="9636"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0" w:type="dxa"/>
          <w:bottom w:w="0" w:type="dxa"/>
          <w:right w:w="0" w:type="dxa"/>
        </w:tblCellMar>
      </w:tblPr>
      <w:tblGrid>
        <w:gridCol w:w="538"/>
        <w:gridCol w:w="2064"/>
        <w:gridCol w:w="7034"/>
      </w:tblGrid>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tblHeader/>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序号</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应知事项</w:t>
            </w:r>
          </w:p>
        </w:tc>
        <w:tc>
          <w:tcPr>
            <w:tcW w:w="7034" w:type="dxa"/>
            <w:vAlign w:val="center"/>
          </w:tcPr>
          <w:p>
            <w:pPr>
              <w:bidi w:val="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说明和要求</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确定邀请磋商的供应商数量和方式</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本次磋商邀请的供应商数量：3个及以上；</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本次采购采取公开发布公告的方式邀请参加磋商的供应商。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771"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采购预算</w:t>
            </w:r>
          </w:p>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采购预算：</w:t>
            </w:r>
            <w:r>
              <w:rPr>
                <w:rFonts w:hint="eastAsia" w:ascii="宋体" w:hAnsi="宋体" w:cs="宋体"/>
                <w:color w:val="000000" w:themeColor="text1"/>
                <w:sz w:val="21"/>
                <w:szCs w:val="21"/>
                <w:highlight w:val="none"/>
                <w:lang w:val="en-US" w:eastAsia="zh-CN"/>
                <w14:textFill>
                  <w14:solidFill>
                    <w14:schemeClr w14:val="tx1"/>
                  </w14:solidFill>
                </w14:textFill>
              </w:rPr>
              <w:t>58.81万元</w:t>
            </w:r>
            <w:r>
              <w:rPr>
                <w:rFonts w:hint="eastAsia" w:ascii="宋体" w:hAnsi="宋体" w:eastAsia="宋体" w:cs="宋体"/>
                <w:color w:val="000000" w:themeColor="text1"/>
                <w:sz w:val="21"/>
                <w:szCs w:val="21"/>
                <w:highlight w:val="none"/>
                <w:lang w:val="zh-CN"/>
                <w14:textFill>
                  <w14:solidFill>
                    <w14:schemeClr w14:val="tx1"/>
                  </w14:solidFill>
                </w14:textFill>
              </w:rPr>
              <w:t>；</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超过采购预算的报价无效。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3</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最高限价</w:t>
            </w:r>
          </w:p>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最高限价：</w:t>
            </w:r>
            <w:r>
              <w:rPr>
                <w:rFonts w:hint="eastAsia" w:ascii="宋体" w:hAnsi="宋体" w:cs="宋体"/>
                <w:color w:val="000000" w:themeColor="text1"/>
                <w:sz w:val="21"/>
                <w:szCs w:val="21"/>
                <w:highlight w:val="none"/>
                <w:lang w:val="en-US" w:eastAsia="zh-CN"/>
                <w14:textFill>
                  <w14:solidFill>
                    <w14:schemeClr w14:val="tx1"/>
                  </w14:solidFill>
                </w14:textFill>
              </w:rPr>
              <w:t>58.81万元</w:t>
            </w:r>
            <w:r>
              <w:rPr>
                <w:rFonts w:hint="eastAsia" w:ascii="宋体" w:hAnsi="宋体" w:eastAsia="宋体" w:cs="宋体"/>
                <w:color w:val="000000" w:themeColor="text1"/>
                <w:sz w:val="21"/>
                <w:szCs w:val="21"/>
                <w:highlight w:val="none"/>
                <w:lang w:val="zh-CN"/>
                <w14:textFill>
                  <w14:solidFill>
                    <w14:schemeClr w14:val="tx1"/>
                  </w14:solidFill>
                </w14:textFill>
              </w:rPr>
              <w:t>；</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超过最高限价的报价无效。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4</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联合体</w:t>
            </w:r>
          </w:p>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不允许联合体。</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5</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低于成本价不正当竞争预防措施</w:t>
            </w:r>
          </w:p>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在评审过程中，供应商报价明显低于其他有效供应商的报价，有可能影响产品质量或者不能诚信履约的，磋商小组应当要求其在磋商现场合理的时间内提供书面说明，并提交相关证明材料，供应商不能证明其报价合理性的，磋商小组应当将其作为无效处理。</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14:textFill>
                  <w14:solidFill>
                    <w14:schemeClr w14:val="tx1"/>
                  </w14:solidFill>
                </w14:textFill>
              </w:rPr>
              <w:t>供应商的书面说明材料应当按照国家财务会计制度的规定要求，逐项就供应商提供的货物、工程和服务的主营业务成本、税金及附加、销售费用、管理费用、财务费用等成本构成事项详细陈述。</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r>
              <w:rPr>
                <w:rFonts w:hint="eastAsia" w:ascii="宋体" w:hAnsi="宋体" w:eastAsia="宋体" w:cs="宋体"/>
                <w:color w:val="000000" w:themeColor="text1"/>
                <w:sz w:val="21"/>
                <w:szCs w:val="21"/>
                <w:highlight w:val="none"/>
                <w:lang w:val="zh-CN"/>
                <w14:textFill>
                  <w14:solidFill>
                    <w14:schemeClr w14:val="tx1"/>
                  </w14:solidFill>
                </w14:textFill>
              </w:rPr>
              <w:t xml:space="preserve">供应商书面说明应当签字确认或者加盖公章，否则无效。书面说明的签字确认，由其法定代表人/主要负责人/本人或者其授权代表签字确认。 </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r>
              <w:rPr>
                <w:rFonts w:hint="eastAsia" w:ascii="宋体" w:hAnsi="宋体" w:eastAsia="宋体" w:cs="宋体"/>
                <w:color w:val="000000" w:themeColor="text1"/>
                <w:sz w:val="21"/>
                <w:szCs w:val="21"/>
                <w:highlight w:val="none"/>
                <w:lang w:val="zh-CN"/>
                <w14:textFill>
                  <w14:solidFill>
                    <w14:schemeClr w14:val="tx1"/>
                  </w14:solidFill>
                </w14:textFill>
              </w:rPr>
              <w:t>.供应商提供书面说明后，磋商小组应当结合采购项目采购需求、专业实际情况、供应商财务状况报告、与其他供应商比较情况等就供应商书面说明进行审查评价。供应商拒绝或者变相拒绝提供有效书面说明或者书面说明不能证明其报价合理性的或未在规定时间内递交有效书面说明书的，磋商小组应当将其响应文件作为无效处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6</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是否专门面向中小企业的项目或专门面向小微企业采购的项目</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本项目为</w:t>
            </w:r>
            <w:r>
              <w:rPr>
                <w:rFonts w:hint="eastAsia" w:ascii="宋体" w:hAnsi="宋体" w:cs="宋体"/>
                <w:color w:val="000000" w:themeColor="text1"/>
                <w:sz w:val="21"/>
                <w:szCs w:val="21"/>
                <w:highlight w:val="none"/>
                <w:lang w:val="zh-CN"/>
                <w14:textFill>
                  <w14:solidFill>
                    <w14:schemeClr w14:val="tx1"/>
                  </w14:solidFill>
                </w14:textFill>
              </w:rPr>
              <w:t>非</w:t>
            </w:r>
            <w:r>
              <w:rPr>
                <w:rFonts w:hint="eastAsia" w:ascii="宋体" w:hAnsi="宋体" w:eastAsia="宋体" w:cs="宋体"/>
                <w:color w:val="000000" w:themeColor="text1"/>
                <w:sz w:val="21"/>
                <w:szCs w:val="21"/>
                <w:highlight w:val="none"/>
                <w:lang w:val="zh-CN"/>
                <w14:textFill>
                  <w14:solidFill>
                    <w14:schemeClr w14:val="tx1"/>
                  </w14:solidFill>
                </w14:textFill>
              </w:rPr>
              <w:t>专门面向中小企业采购的项目。</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7</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小微企业（监狱企业、残疾人福利性单位视同小微企业）政府采购政策扶持</w:t>
            </w:r>
          </w:p>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7034" w:type="dxa"/>
            <w:vAlign w:val="center"/>
          </w:tcPr>
          <w:p>
            <w:pPr>
              <w:bidi w:val="0"/>
              <w:ind w:left="80" w:leftChars="38" w:right="80" w:rightChars="38" w:firstLine="0" w:firstLineChars="0"/>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一、小微企业价格扣除</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1.根据《政府采购促进中小企业发展管理办法》（财库﹝2020﹞46 号）的规定，对小型和微型企业产品的价格给予10%的价格扣除，用扣除后的价格参与评审。</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2.参加政府采购活动的中小企业应当提供《中小企业声明函》原件。</w:t>
            </w:r>
          </w:p>
          <w:p>
            <w:pPr>
              <w:bidi w:val="0"/>
              <w:ind w:left="80" w:leftChars="38" w:right="80" w:rightChars="38" w:firstLine="0" w:firstLineChars="0"/>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二、监狱企业价格扣除</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根据财政部、司法部关于政府采购支持监狱企业有关问题的通知（财库［2014］68号）规定，在政府采购活动中，监狱企业视同小型、微型企业，享受预留份额、评审中价格扣除等政府采购促进中小企业发展的政府采购政策。</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2.本项目对监狱企业参与磋商的价格给予10%的扣除，用扣除后的价格参与评审。</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3.监狱企业参加政府采购活动时，就当提供由省级以上监狱管理局、戒毒管理局（含新彊生产建设兵团）出具的属于监狱企业的证明文件。</w:t>
            </w:r>
          </w:p>
          <w:p>
            <w:pPr>
              <w:bidi w:val="0"/>
              <w:ind w:left="80" w:leftChars="38" w:right="80" w:rightChars="38" w:firstLine="0" w:firstLineChars="0"/>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三、残疾人福利性单位价格扣除</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1.根据《三部门联合发布关于促进残疾人就业政府采购政策的通知》(财库〔2017〕141 号)的要求，在政府采购活动中，残疾人福利性单位视同小型、微型企业，享受预留份额、评审中价格扣除等促进中小企业发展的政府采购政策。</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2.本项目对残疾人福利性单位参与磋商响应的价格给予 10%的扣除，用扣除后的价格参与评审。</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3.残疾人福利性单位参加政府采购活动时，应当提供本通知规定的《残疾人福利性单位声明函》。</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4.供应商提供的《残疾人福利性单位声明函》与事实不符的，依照《政府采购法》第七十七条第一款的规定追究法律责任。</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5.残疾人福利性单位属于小型、微型企业的，不重复享受政策。</w:t>
            </w:r>
          </w:p>
          <w:p>
            <w:pPr>
              <w:bidi w:val="0"/>
              <w:ind w:left="80" w:leftChars="38" w:right="80" w:rightChars="38" w:firstLine="0" w:firstLineChars="0"/>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四、在技术、商务、服务条件相同时，优先采购不发达地区和少数民族地区企业的产品。【供应商需提供相关证明材料才能享受优先】</w:t>
            </w:r>
          </w:p>
          <w:p>
            <w:pPr>
              <w:bidi w:val="0"/>
              <w:ind w:left="80" w:leftChars="38" w:right="80" w:rightChars="38" w:firstLine="0" w:firstLineChars="0"/>
              <w:rPr>
                <w:rFonts w:hint="eastAsia" w:ascii="宋体" w:hAnsi="宋体" w:eastAsia="宋体" w:cs="宋体"/>
                <w:b/>
                <w:bCs/>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五、失信企业报价加成或者扣分</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对记入诚信档案的且在有效期内的失信供应商，在参加政府采购活动中实行10%/次的报价加成，以加成后报价作为该供应商报价评审。因其失信行为进行报价惩戒后报价超过政府采购预算时，其响应文件按无效处理。</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2.供应商参加政府采购活动时，应当就自己的诚信情况在响应文件中进行承诺。</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3.“信用中国”网站（www.creditchina.gov.cn）中列入失信被执行人和重大税收违法案件当事人名单的供应商和四川政府采购网（http://www.ccgp-sichuan.gov.cn）政府采购严重违法失信行为记录名单中被财政部门禁止参加政府采购活动的供应商参加项目磋商直接作废标处理，不予报价加成或者加分。</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415"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强制认证产品</w:t>
            </w:r>
          </w:p>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(如涉及)</w:t>
            </w:r>
          </w:p>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（实质性要求）</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如涉及3C认证产品的认证证书在响应文件中可提供相应证书，也可在响应文件中</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作出承诺：在签订采购合同时提供3C认证证书至采购人，</w:t>
            </w:r>
            <w:r>
              <w:rPr>
                <w:rFonts w:hint="eastAsia" w:ascii="宋体" w:hAnsi="宋体" w:eastAsia="宋体" w:cs="宋体"/>
                <w:color w:val="000000" w:themeColor="text1"/>
                <w:sz w:val="21"/>
                <w:szCs w:val="21"/>
                <w:highlight w:val="none"/>
                <w:lang w:val="zh-CN" w:eastAsia="zh-CN"/>
                <w14:textFill>
                  <w14:solidFill>
                    <w14:schemeClr w14:val="tx1"/>
                  </w14:solidFill>
                </w14:textFill>
              </w:rPr>
              <w:t>未提供或不能提供的视为放弃成交。采购人有权另行确定成交人或重新组织采购（提供承诺函原件）</w:t>
            </w:r>
            <w:r>
              <w:rPr>
                <w:rFonts w:hint="eastAsia" w:ascii="宋体" w:hAnsi="宋体" w:eastAsia="宋体" w:cs="宋体"/>
                <w:color w:val="000000" w:themeColor="text1"/>
                <w:sz w:val="21"/>
                <w:szCs w:val="21"/>
                <w:highlight w:val="none"/>
                <w:lang w:val="zh-CN"/>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1994"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节能产品、环境标志产品、无线局域网产品采购政策</w:t>
            </w:r>
          </w:p>
        </w:tc>
        <w:tc>
          <w:tcPr>
            <w:tcW w:w="7034" w:type="dxa"/>
            <w:vAlign w:val="center"/>
          </w:tcPr>
          <w:p>
            <w:pPr>
              <w:bidi w:val="0"/>
              <w:ind w:left="80" w:leftChars="38" w:right="80" w:rightChars="38" w:firstLine="0" w:firstLineChars="0"/>
              <w:rPr>
                <w:rFonts w:hint="eastAsia" w:ascii="宋体" w:hAnsi="宋体" w:eastAsia="宋体" w:cs="宋体"/>
                <w:b/>
                <w:bCs/>
                <w:color w:val="000000" w:themeColor="text1"/>
                <w:sz w:val="21"/>
                <w:szCs w:val="21"/>
                <w:highlight w:val="none"/>
                <w:lang w:val="zh-CN" w:eastAsia="zh-CN"/>
                <w14:textFill>
                  <w14:solidFill>
                    <w14:schemeClr w14:val="tx1"/>
                  </w14:solidFill>
                </w14:textFill>
              </w:rPr>
            </w:pP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一、节能、环保产品政府采购政策：</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zh-CN" w:eastAsia="zh-CN"/>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eastAsia="zh-CN"/>
                <w14:textFill>
                  <w14:solidFill>
                    <w14:schemeClr w14:val="tx1"/>
                  </w14:solidFill>
                </w14:textFill>
              </w:rPr>
              <w:t>本项目采购的产品属于节能产品政府采购品目清单中带“★”号产品的，</w:t>
            </w:r>
            <w:r>
              <w:rPr>
                <w:rFonts w:hint="eastAsia" w:ascii="宋体" w:hAnsi="宋体" w:eastAsia="宋体" w:cs="宋体"/>
                <w:color w:val="000000" w:themeColor="text1"/>
                <w:sz w:val="21"/>
                <w:szCs w:val="21"/>
                <w:highlight w:val="none"/>
                <w:lang w:val="en-US" w:eastAsia="zh-CN"/>
                <w14:textFill>
                  <w14:solidFill>
                    <w14:schemeClr w14:val="tx1"/>
                  </w14:solidFill>
                </w14:textFill>
              </w:rPr>
              <w:t>以</w:t>
            </w:r>
            <w:r>
              <w:rPr>
                <w:rFonts w:hint="eastAsia" w:ascii="宋体" w:hAnsi="宋体" w:eastAsia="宋体" w:cs="宋体"/>
                <w:color w:val="000000" w:themeColor="text1"/>
                <w:sz w:val="21"/>
                <w:szCs w:val="21"/>
                <w:highlight w:val="none"/>
                <w:lang w:val="zh-CN" w:eastAsia="zh-CN"/>
                <w14:textFill>
                  <w14:solidFill>
                    <w14:schemeClr w14:val="tx1"/>
                  </w14:solidFill>
                </w14:textFill>
              </w:rPr>
              <w:t>节能、环境标志产品目清单</w:t>
            </w:r>
            <w:r>
              <w:rPr>
                <w:rFonts w:hint="eastAsia" w:ascii="宋体" w:hAnsi="宋体" w:eastAsia="宋体" w:cs="宋体"/>
                <w:color w:val="000000" w:themeColor="text1"/>
                <w:sz w:val="21"/>
                <w:szCs w:val="21"/>
                <w:highlight w:val="none"/>
                <w:lang w:val="en-US" w:eastAsia="zh-CN"/>
                <w14:textFill>
                  <w14:solidFill>
                    <w14:schemeClr w14:val="tx1"/>
                  </w14:solidFill>
                </w14:textFill>
              </w:rPr>
              <w:t>为准，详见附件。</w:t>
            </w:r>
            <w:r>
              <w:rPr>
                <w:rFonts w:hint="eastAsia" w:ascii="宋体" w:hAnsi="宋体" w:eastAsia="宋体" w:cs="宋体"/>
                <w:b w:val="0"/>
                <w:bCs w:val="0"/>
                <w:color w:val="000000" w:themeColor="text1"/>
                <w:sz w:val="21"/>
                <w:szCs w:val="21"/>
                <w:highlight w:val="none"/>
                <w:lang w:val="zh-CN" w:eastAsia="zh-CN"/>
                <w14:textFill>
                  <w14:solidFill>
                    <w14:schemeClr w14:val="tx1"/>
                  </w14:solidFill>
                </w14:textFill>
              </w:rPr>
              <w:t>供应商应按上述要求提供产品认证证书复印件加盖供应商单位公章（鲜章）；或者提供国家确定的认证机构的认证结果信息发布平台公布的该产品认证信息截图或者打印资料并加盖供应商公章（鲜章），否则响应无效。</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（实质性要求）</w:t>
            </w:r>
          </w:p>
          <w:p>
            <w:pPr>
              <w:bidi w:val="0"/>
              <w:ind w:left="80" w:leftChars="38" w:right="80" w:rightChars="38" w:firstLine="0" w:firstLineChars="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本项目采购的产品属于节能、环境标志产品目清单优先采购范围的，</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以</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节能、环境标志产品目清单</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为准，详见附件</w:t>
            </w:r>
            <w:r>
              <w:rPr>
                <w:rFonts w:hint="eastAsia" w:ascii="宋体" w:hAnsi="宋体" w:eastAsia="宋体" w:cs="宋体"/>
                <w:color w:val="000000" w:themeColor="text1"/>
                <w:sz w:val="21"/>
                <w:szCs w:val="21"/>
                <w:highlight w:val="none"/>
                <w:lang w:val="en-US" w:eastAsia="zh-CN"/>
                <w14:textFill>
                  <w14:solidFill>
                    <w14:schemeClr w14:val="tx1"/>
                  </w14:solidFill>
                </w14:textFill>
              </w:rPr>
              <w:t>。供应商提供国家确定的认证机构出具的、处于有效期之内的节能产品、环境标志产品认证证书复印件并加盖供应商单位公章的，在参与询价时的价格给予扣除（详见评分明细表），用扣除后的价格参与评审。</w:t>
            </w:r>
          </w:p>
          <w:p>
            <w:pPr>
              <w:bidi w:val="0"/>
              <w:ind w:left="80" w:leftChars="38" w:right="80" w:rightChars="38" w:firstLine="0" w:firstLineChars="0"/>
              <w:rPr>
                <w:rFonts w:hint="eastAsia" w:ascii="宋体" w:hAnsi="宋体" w:eastAsia="宋体" w:cs="宋体"/>
                <w:b/>
                <w:bCs/>
                <w:color w:val="000000" w:themeColor="text1"/>
                <w:sz w:val="21"/>
                <w:szCs w:val="21"/>
                <w:highlight w:val="none"/>
                <w:lang w:val="en-US" w:eastAsia="zh-CN"/>
                <w14:textFill>
                  <w14:solidFill>
                    <w14:schemeClr w14:val="tx1"/>
                  </w14:solidFill>
                </w14:textFill>
              </w:rPr>
            </w:pP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二、无线局域网产品政府采购政策：</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本项目采购的产品属于中国政府采购网公布的《无线局域网认证产品政府采购清单》的，具体以无线局域网认证产品政府采购清单为准，详见附件</w:t>
            </w:r>
            <w:r>
              <w:rPr>
                <w:rFonts w:hint="eastAsia" w:ascii="宋体" w:hAnsi="宋体" w:eastAsia="宋体" w:cs="宋体"/>
                <w:color w:val="000000" w:themeColor="text1"/>
                <w:sz w:val="21"/>
                <w:szCs w:val="21"/>
                <w:highlight w:val="none"/>
                <w:lang w:val="zh-CN" w:eastAsia="zh-CN"/>
                <w14:textFill>
                  <w14:solidFill>
                    <w14:schemeClr w14:val="tx1"/>
                  </w14:solidFill>
                </w14:textFill>
              </w:rPr>
              <w:t>。</w:t>
            </w:r>
            <w:r>
              <w:rPr>
                <w:rFonts w:hint="eastAsia" w:ascii="宋体" w:hAnsi="宋体" w:eastAsia="宋体" w:cs="宋体"/>
                <w:color w:val="000000" w:themeColor="text1"/>
                <w:sz w:val="21"/>
                <w:szCs w:val="21"/>
                <w:highlight w:val="none"/>
                <w:lang w:val="en-US" w:eastAsia="zh-CN"/>
                <w14:textFill>
                  <w14:solidFill>
                    <w14:schemeClr w14:val="tx1"/>
                  </w14:solidFill>
                </w14:textFill>
              </w:rPr>
              <w:t>供应商提供《无线局域网认证产品政府采购清单》对应页复印件并加盖供应商单位公章的，在参与询价时的价格给予扣除（详见评分明细表），用扣除后的价格参与评审。</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10</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是否允许进口产品报价</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本项目磋商文件中未载明“允许采购进口产品”的产品，视为拒绝进口产品参与竞争，供应商以进口产品进行报价时，将在有效性、完整性和其他响应程度审查时按无效处理。本项目所称“进口产品”是指整个产品原装进口。</w:t>
            </w:r>
            <w:r>
              <w:rPr>
                <w:rFonts w:hint="eastAsia" w:ascii="宋体" w:hAnsi="宋体" w:eastAsia="宋体" w:cs="宋体"/>
                <w:b/>
                <w:bCs/>
                <w:color w:val="000000" w:themeColor="text1"/>
                <w:sz w:val="21"/>
                <w:szCs w:val="21"/>
                <w:highlight w:val="none"/>
                <w:lang w:val="zh-CN"/>
                <w14:textFill>
                  <w14:solidFill>
                    <w14:schemeClr w14:val="tx1"/>
                  </w14:solidFill>
                </w14:textFill>
              </w:rPr>
              <w:t>本项目不允许采购进口产品。</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2.国家关于政府采购进口产品的规定：</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在没有注明“允许进口产品参与报价”的情况下，只有国产产品（其中可以含进口部件，见以下释义）才可成交，只有技术需求中标明为“允许进口产品参与报价”，才允许进口产品报价，但不排斥满足条件国产产品报价和成交。</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（2）国产产品定义：在中华人民共和国关境内生产的产品。</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（3）根据《中华人民共和国海关法》（以下简称海关法）的规定，我国现行关境是指适用海关法的中华人民共和国行政管辖区域，不包括香港、澳门和台湾金马等单独关境地区。</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4）保税区、出口加工区、保税港区、综合保税区等区域，为海关特殊监管区域，这些区域仅在关税待遇及贸易管制方面实施不同于我国关境内其他地区的特殊政策，但仍属于中华人民共和国关境内区域，由海关按照海关法实施监管。因此，凡在海关特殊监管区域内企业生产或加工（包括从境外进口料件）销往境内其他地区的产品，不作为政府采购项下进口产品。</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（5）对从境外进入海关特殊监管区域，再经办理报关手续后从海关特殊监管区进入境内其他地区的产品，应当认定为进口产品。</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11</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磋商情况公告</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1、供应商资格审查情况、有效性、完整性和其他响应情况、报价情况、磋商结果等在四川政府采购网上采购结果公告栏中予以公告。</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2、供应商应对响应文件中涉及商业秘密和知识产权的内容进行标注和说明，若未进行标注和说明的，视为响应文件全部内容均可公布，采购人或者采购代理机构对相关内容予以公告不承担任何责任。</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磋商保证金</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根据四川省财政厅发布的《四川省财政厅关于进一步做好疫情防控期间政府采购工作有关事项的通知》川财采（2020）28号文相关规定，本项目不收取磋商保证金。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3</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履约保证金</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val="0"/>
                <w:bCs w:val="0"/>
                <w:color w:val="000000" w:themeColor="text1"/>
                <w:sz w:val="21"/>
                <w:szCs w:val="21"/>
                <w:highlight w:val="none"/>
                <w:lang w:val="zh-CN"/>
                <w14:textFill>
                  <w14:solidFill>
                    <w14:schemeClr w14:val="tx1"/>
                  </w14:solidFill>
                </w14:textFill>
              </w:rPr>
              <w:t>本项目不收取履约保证金。</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4</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采购项目具体事项/采购文件内容咨询</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联系人：</w:t>
            </w:r>
            <w:r>
              <w:rPr>
                <w:rFonts w:hint="eastAsia" w:ascii="宋体" w:hAnsi="宋体" w:eastAsia="宋体" w:cs="宋体"/>
                <w:color w:val="000000" w:themeColor="text1"/>
                <w:sz w:val="21"/>
                <w:szCs w:val="21"/>
                <w:highlight w:val="none"/>
                <w:lang w:eastAsia="zh-CN"/>
                <w14:textFill>
                  <w14:solidFill>
                    <w14:schemeClr w14:val="tx1"/>
                  </w14:solidFill>
                </w14:textFill>
              </w:rPr>
              <w:t>王女士</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联系电话：</w:t>
            </w:r>
            <w:r>
              <w:rPr>
                <w:rFonts w:hint="eastAsia" w:ascii="宋体" w:hAnsi="宋体" w:eastAsia="宋体" w:cs="宋体"/>
                <w:color w:val="000000" w:themeColor="text1"/>
                <w:sz w:val="21"/>
                <w:szCs w:val="21"/>
                <w:highlight w:val="none"/>
                <w:lang w:eastAsia="zh-CN"/>
                <w14:textFill>
                  <w14:solidFill>
                    <w14:schemeClr w14:val="tx1"/>
                  </w14:solidFill>
                </w14:textFill>
              </w:rPr>
              <w:t>028-62467087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5</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磋商过程、结果工作咨询</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联系人：</w:t>
            </w:r>
            <w:r>
              <w:rPr>
                <w:rFonts w:hint="eastAsia" w:ascii="宋体" w:hAnsi="宋体" w:eastAsia="宋体" w:cs="宋体"/>
                <w:color w:val="000000" w:themeColor="text1"/>
                <w:sz w:val="21"/>
                <w:szCs w:val="21"/>
                <w:highlight w:val="none"/>
                <w:lang w:eastAsia="zh-CN"/>
                <w14:textFill>
                  <w14:solidFill>
                    <w14:schemeClr w14:val="tx1"/>
                  </w14:solidFill>
                </w14:textFill>
              </w:rPr>
              <w:t>王女士</w:t>
            </w:r>
            <w:r>
              <w:rPr>
                <w:rFonts w:hint="eastAsia" w:ascii="宋体" w:hAnsi="宋体" w:eastAsia="宋体" w:cs="宋体"/>
                <w:color w:val="000000" w:themeColor="text1"/>
                <w:sz w:val="21"/>
                <w:szCs w:val="21"/>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1"/>
                <w:szCs w:val="21"/>
                <w:highlight w:val="none"/>
                <w14:textFill>
                  <w14:solidFill>
                    <w14:schemeClr w14:val="tx1"/>
                  </w14:solidFill>
                </w14:textFill>
              </w:rPr>
              <w:t>联系电话：</w:t>
            </w:r>
            <w:r>
              <w:rPr>
                <w:rFonts w:hint="eastAsia" w:ascii="宋体" w:hAnsi="宋体" w:eastAsia="宋体" w:cs="宋体"/>
                <w:color w:val="000000" w:themeColor="text1"/>
                <w:sz w:val="21"/>
                <w:szCs w:val="21"/>
                <w:highlight w:val="none"/>
                <w:lang w:eastAsia="zh-CN"/>
                <w14:textFill>
                  <w14:solidFill>
                    <w14:schemeClr w14:val="tx1"/>
                  </w14:solidFill>
                </w14:textFill>
              </w:rPr>
              <w:t>028-62467087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6</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成交通知书领取</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采购结果公告在四川政府采购网上发布后，请成交供应商凭有效身份证明（介绍信及经办人身份证复印件加盖鲜章）到成都金牡丹工程管理咨询有限公司领取成交通知书。</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 系 人：王女士</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联系电话：028-62467087</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地址：成都金牡丹工程管理咨询有限公司（成都市金牛区金沙路69号金沙楼401室）。</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7</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供应商询问</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根据委托代理协议约定，供应商询问由成都金牡丹工程管理咨询有限公司负责答复。</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地址：成都市金牛区金沙路69号金沙楼401室</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联系人：王女士</w:t>
            </w:r>
          </w:p>
          <w:p>
            <w:pPr>
              <w:bidi w:val="0"/>
              <w:ind w:left="80" w:leftChars="38" w:right="80" w:rightChars="38" w:firstLine="0" w:firstLineChars="0"/>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联系电话：028-62467087</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8</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供应商质疑</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根据委托代理协议约定，对磋商文件、磋商过程、磋商结果的质疑由成都金牡丹工程管理咨询有限公司负责答复。</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 系 人：向女士</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联系电话：028-62467087</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联系地址：成都市金牛区金沙路69号金沙楼401室。</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注：根据《中华人民共和国政府采购法》的规定，供应商质疑不得超出磋商文件、磋商过程、磋商结果的范围。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1</w:t>
            </w:r>
            <w:r>
              <w:rPr>
                <w:rFonts w:hint="eastAsia" w:ascii="宋体" w:hAnsi="宋体" w:eastAsia="宋体" w:cs="宋体"/>
                <w:color w:val="000000" w:themeColor="text1"/>
                <w:sz w:val="21"/>
                <w:szCs w:val="21"/>
                <w:highlight w:val="none"/>
                <w:lang w:val="en-US" w:eastAsia="zh-CN"/>
                <w14:textFill>
                  <w14:solidFill>
                    <w14:schemeClr w14:val="tx1"/>
                  </w14:solidFill>
                </w14:textFill>
              </w:rPr>
              <w:t>9</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供应商投诉</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投诉受理单位：本项目同级财政部门，即成都市</w:t>
            </w:r>
            <w:r>
              <w:rPr>
                <w:rFonts w:hint="eastAsia" w:ascii="宋体" w:hAnsi="宋体" w:eastAsia="宋体" w:cs="宋体"/>
                <w:color w:val="000000" w:themeColor="text1"/>
                <w:sz w:val="21"/>
                <w:szCs w:val="21"/>
                <w:highlight w:val="none"/>
                <w:lang w:val="en-US" w:eastAsia="zh-CN"/>
                <w14:textFill>
                  <w14:solidFill>
                    <w14:schemeClr w14:val="tx1"/>
                  </w14:solidFill>
                </w14:textFill>
              </w:rPr>
              <w:t>锦江区</w:t>
            </w:r>
            <w:r>
              <w:rPr>
                <w:rFonts w:hint="eastAsia" w:ascii="宋体" w:hAnsi="宋体" w:eastAsia="宋体" w:cs="宋体"/>
                <w:color w:val="000000" w:themeColor="text1"/>
                <w:sz w:val="21"/>
                <w:szCs w:val="21"/>
                <w:highlight w:val="none"/>
                <w:lang w:val="zh-CN"/>
                <w14:textFill>
                  <w14:solidFill>
                    <w14:schemeClr w14:val="tx1"/>
                  </w14:solidFill>
                </w14:textFill>
              </w:rPr>
              <w:t>财政局。</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联系电话：028-86513373</w:t>
            </w:r>
          </w:p>
          <w:p>
            <w:pPr>
              <w:bidi w:val="0"/>
              <w:ind w:left="80" w:leftChars="38" w:right="80" w:rightChars="38" w:firstLine="0" w:firstLineChars="0"/>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注：根据《中华人民共和国政府采购法实施条例》的规定，供应商投诉事项不得超出已质疑事项的范围。</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20</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政府采购合同公告</w:t>
            </w:r>
          </w:p>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备案</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政府采购合同签订之日起2个工作日内，政府采购合同将在四川政府采购网公告；政府采购合同签订之日起七个工作日内，政府采购合同将向采购项目同级财政部门备案，即成都市</w:t>
            </w:r>
            <w:r>
              <w:rPr>
                <w:rFonts w:hint="eastAsia" w:ascii="宋体" w:hAnsi="宋体" w:eastAsia="宋体" w:cs="宋体"/>
                <w:color w:val="000000" w:themeColor="text1"/>
                <w:sz w:val="21"/>
                <w:szCs w:val="21"/>
                <w:highlight w:val="none"/>
                <w:lang w:val="en-US" w:eastAsia="zh-CN"/>
                <w14:textFill>
                  <w14:solidFill>
                    <w14:schemeClr w14:val="tx1"/>
                  </w14:solidFill>
                </w14:textFill>
              </w:rPr>
              <w:t>锦江区</w:t>
            </w:r>
            <w:r>
              <w:rPr>
                <w:rFonts w:hint="eastAsia" w:ascii="宋体" w:hAnsi="宋体" w:eastAsia="宋体" w:cs="宋体"/>
                <w:color w:val="000000" w:themeColor="text1"/>
                <w:sz w:val="21"/>
                <w:szCs w:val="21"/>
                <w:highlight w:val="none"/>
                <w:lang w:val="zh-CN"/>
                <w14:textFill>
                  <w14:solidFill>
                    <w14:schemeClr w14:val="tx1"/>
                  </w14:solidFill>
                </w14:textFill>
              </w:rPr>
              <w:t>财政局备案。</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21</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招标代理服务费</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本项目的招标代理服务费参照国家计委委员会发布的《招标代理服务收费管理暂行办法》（计价格〔2002〕1980号）收费标准</w:t>
            </w:r>
            <w:r>
              <w:rPr>
                <w:rFonts w:hint="eastAsia" w:ascii="宋体" w:hAnsi="宋体" w:cs="宋体"/>
                <w:color w:val="000000" w:themeColor="text1"/>
                <w:sz w:val="21"/>
                <w:szCs w:val="21"/>
                <w:highlight w:val="none"/>
                <w:lang w:val="zh-CN"/>
                <w14:textFill>
                  <w14:solidFill>
                    <w14:schemeClr w14:val="tx1"/>
                  </w14:solidFill>
                </w14:textFill>
              </w:rPr>
              <w:t>下浮</w:t>
            </w:r>
            <w:r>
              <w:rPr>
                <w:rFonts w:hint="eastAsia" w:ascii="宋体" w:hAnsi="宋体" w:cs="宋体"/>
                <w:color w:val="000000" w:themeColor="text1"/>
                <w:sz w:val="21"/>
                <w:szCs w:val="21"/>
                <w:highlight w:val="none"/>
                <w:lang w:val="en-US" w:eastAsia="zh-CN"/>
                <w14:textFill>
                  <w14:solidFill>
                    <w14:schemeClr w14:val="tx1"/>
                  </w14:solidFill>
                </w14:textFill>
              </w:rPr>
              <w:t>10%</w:t>
            </w:r>
            <w:r>
              <w:rPr>
                <w:rFonts w:hint="eastAsia" w:ascii="宋体" w:hAnsi="宋体" w:eastAsia="宋体" w:cs="宋体"/>
                <w:color w:val="000000" w:themeColor="text1"/>
                <w:sz w:val="21"/>
                <w:szCs w:val="21"/>
                <w:highlight w:val="none"/>
                <w:lang w:val="zh-CN"/>
                <w14:textFill>
                  <w14:solidFill>
                    <w14:schemeClr w14:val="tx1"/>
                  </w14:solidFill>
                </w14:textFill>
              </w:rPr>
              <w:t>收取，由成交人在领取</w:t>
            </w:r>
            <w:r>
              <w:rPr>
                <w:rFonts w:hint="eastAsia" w:ascii="宋体" w:hAnsi="宋体" w:eastAsia="宋体" w:cs="宋体"/>
                <w:color w:val="000000" w:themeColor="text1"/>
                <w:sz w:val="21"/>
                <w:szCs w:val="21"/>
                <w:highlight w:val="none"/>
                <w:lang w:val="zh-CN" w:eastAsia="zh-CN"/>
                <w14:textFill>
                  <w14:solidFill>
                    <w14:schemeClr w14:val="tx1"/>
                  </w14:solidFill>
                </w14:textFill>
              </w:rPr>
              <w:t>成交</w:t>
            </w:r>
            <w:r>
              <w:rPr>
                <w:rFonts w:hint="eastAsia" w:ascii="宋体" w:hAnsi="宋体" w:eastAsia="宋体" w:cs="宋体"/>
                <w:color w:val="000000" w:themeColor="text1"/>
                <w:sz w:val="21"/>
                <w:szCs w:val="21"/>
                <w:highlight w:val="none"/>
                <w:lang w:val="zh-CN"/>
                <w14:textFill>
                  <w14:solidFill>
                    <w14:schemeClr w14:val="tx1"/>
                  </w14:solidFill>
                </w14:textFill>
              </w:rPr>
              <w:t>通知书时</w:t>
            </w:r>
            <w:r>
              <w:rPr>
                <w:rFonts w:hint="eastAsia" w:ascii="宋体" w:hAnsi="宋体" w:eastAsia="宋体" w:cs="宋体"/>
                <w:color w:val="000000" w:themeColor="text1"/>
                <w:sz w:val="21"/>
                <w:szCs w:val="21"/>
                <w:highlight w:val="none"/>
                <w:lang w:val="zh-CN" w:eastAsia="zh-CN"/>
                <w14:textFill>
                  <w14:solidFill>
                    <w14:schemeClr w14:val="tx1"/>
                  </w14:solidFill>
                </w14:textFill>
              </w:rPr>
              <w:t>一次性</w:t>
            </w:r>
            <w:r>
              <w:rPr>
                <w:rFonts w:hint="eastAsia" w:ascii="宋体" w:hAnsi="宋体" w:eastAsia="宋体" w:cs="宋体"/>
                <w:color w:val="000000" w:themeColor="text1"/>
                <w:sz w:val="21"/>
                <w:szCs w:val="21"/>
                <w:highlight w:val="none"/>
                <w:lang w:val="zh-CN"/>
                <w14:textFill>
                  <w14:solidFill>
                    <w14:schemeClr w14:val="tx1"/>
                  </w14:solidFill>
                </w14:textFill>
              </w:rPr>
              <w:t>支付招标代理</w:t>
            </w:r>
            <w:r>
              <w:rPr>
                <w:rFonts w:hint="eastAsia" w:ascii="宋体" w:hAnsi="宋体" w:eastAsia="宋体" w:cs="宋体"/>
                <w:color w:val="000000" w:themeColor="text1"/>
                <w:sz w:val="21"/>
                <w:szCs w:val="21"/>
                <w:highlight w:val="none"/>
                <w:lang w:val="zh-CN" w:eastAsia="zh-CN"/>
                <w14:textFill>
                  <w14:solidFill>
                    <w14:schemeClr w14:val="tx1"/>
                  </w14:solidFill>
                </w14:textFill>
              </w:rPr>
              <w:t>机构</w:t>
            </w:r>
            <w:r>
              <w:rPr>
                <w:rFonts w:hint="eastAsia" w:ascii="宋体" w:hAnsi="宋体" w:eastAsia="宋体" w:cs="宋体"/>
                <w:color w:val="000000" w:themeColor="text1"/>
                <w:sz w:val="21"/>
                <w:szCs w:val="21"/>
                <w:highlight w:val="none"/>
                <w:lang w:val="zh-CN"/>
                <w14:textFill>
                  <w14:solidFill>
                    <w14:schemeClr w14:val="tx1"/>
                  </w14:solidFill>
                </w14:textFill>
              </w:rPr>
              <w:t>。</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日期、数量的计算</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1、本磋商文件按日计算期间的，开始当天不计入，从次日开始计算。期限的最后一日是国家法定节假日的，顺延到节假日后的次日为期限的最后一日。</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2、本磋商文件所称的“以上”、“以下”、“内”、“以内”，包括本数；所称的“不足”，不包括本数。</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538" w:type="dxa"/>
            <w:vAlign w:val="center"/>
          </w:tcPr>
          <w:p>
            <w:pPr>
              <w:bidi w:val="0"/>
              <w:jc w:val="center"/>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23</w:t>
            </w:r>
          </w:p>
        </w:tc>
        <w:tc>
          <w:tcPr>
            <w:tcW w:w="2064" w:type="dxa"/>
            <w:vAlign w:val="center"/>
          </w:tcPr>
          <w:p>
            <w:pPr>
              <w:bidi w:val="0"/>
              <w:ind w:left="59" w:leftChars="28" w:right="86" w:rightChars="41" w:firstLine="0" w:firstLineChars="0"/>
              <w:jc w:val="center"/>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政府采购供应商信用融资</w:t>
            </w:r>
          </w:p>
        </w:tc>
        <w:tc>
          <w:tcPr>
            <w:tcW w:w="7034" w:type="dxa"/>
            <w:vAlign w:val="center"/>
          </w:tcPr>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lang w:val="zh-CN"/>
                <w14:textFill>
                  <w14:solidFill>
                    <w14:schemeClr w14:val="tx1"/>
                  </w14:solidFill>
                </w14:textFill>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bidi w:val="0"/>
              <w:ind w:left="80" w:leftChars="38" w:right="80" w:rightChars="38"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zh-CN"/>
                <w14:textFill>
                  <w14:solidFill>
                    <w14:schemeClr w14:val="tx1"/>
                  </w14:solidFill>
                </w14:textFill>
              </w:rPr>
              <w:t>根据《四川省财政厅关于推进四川省政府采购供应商信用融资工作的通知》（川财采[2018]123 号文)文件要求，有融资需求的供应商可根据四川政府采购网公示的银行及其“政采贷”产品，自行选择符合自身情况的“政采贷”银行及其产品，凭中标（成交)通知书向银行提出贷款意向申请。</w:t>
            </w:r>
          </w:p>
        </w:tc>
      </w:tr>
      <w:tr>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9636" w:type="dxa"/>
            <w:gridSpan w:val="3"/>
            <w:vAlign w:val="center"/>
          </w:tcPr>
          <w:p>
            <w:pPr>
              <w:bidi w:val="0"/>
              <w:ind w:left="40" w:leftChars="19" w:right="84" w:rightChars="40" w:firstLine="0" w:firstLineChars="0"/>
              <w:rPr>
                <w:rFonts w:hint="eastAsia" w:ascii="宋体" w:hAnsi="宋体" w:eastAsia="宋体" w:cs="宋体"/>
                <w:color w:val="000000" w:themeColor="text1"/>
                <w:sz w:val="21"/>
                <w:szCs w:val="21"/>
                <w:highlight w:val="none"/>
                <w:lang w:val="zh-CN"/>
                <w14:textFill>
                  <w14:solidFill>
                    <w14:schemeClr w14:val="tx1"/>
                  </w14:solidFill>
                </w14:textFill>
              </w:rPr>
            </w:pPr>
            <w:r>
              <w:rPr>
                <w:rFonts w:hint="eastAsia" w:ascii="宋体" w:hAnsi="宋体" w:eastAsia="宋体" w:cs="宋体"/>
                <w:b/>
                <w:bCs/>
                <w:color w:val="000000" w:themeColor="text1"/>
                <w:sz w:val="21"/>
                <w:szCs w:val="21"/>
                <w:highlight w:val="none"/>
                <w:lang w:val="zh-CN"/>
                <w14:textFill>
                  <w14:solidFill>
                    <w14:schemeClr w14:val="tx1"/>
                  </w14:solidFill>
                </w14:textFill>
              </w:rPr>
              <w:t>备注：磋商文件其他地方与本须知前附表不一致的地方，以本须知前附表为准，有更正文件的，以更正文件为准。</w:t>
            </w:r>
          </w:p>
        </w:tc>
      </w:tr>
    </w:tbl>
    <w:p>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pPr>
        <w:pStyle w:val="5"/>
        <w:keepNext w:val="0"/>
        <w:keepLines w:val="0"/>
        <w:spacing w:before="0" w:after="0" w:line="400" w:lineRule="exact"/>
        <w:jc w:val="center"/>
        <w:rPr>
          <w:rFonts w:hint="eastAsia" w:ascii="宋体" w:hAnsi="宋体" w:eastAsia="宋体" w:cs="宋体"/>
          <w:bCs w:val="0"/>
          <w:color w:val="000000" w:themeColor="text1"/>
          <w:highlight w:val="none"/>
          <w14:textFill>
            <w14:solidFill>
              <w14:schemeClr w14:val="tx1"/>
            </w14:solidFill>
          </w14:textFill>
        </w:rPr>
      </w:pPr>
      <w:bookmarkStart w:id="18" w:name="_Toc11728"/>
      <w:r>
        <w:rPr>
          <w:rFonts w:hint="eastAsia" w:ascii="宋体" w:hAnsi="宋体" w:eastAsia="宋体" w:cs="宋体"/>
          <w:bCs w:val="0"/>
          <w:color w:val="000000" w:themeColor="text1"/>
          <w:highlight w:val="none"/>
          <w14:textFill>
            <w14:solidFill>
              <w14:schemeClr w14:val="tx1"/>
            </w14:solidFill>
          </w14:textFill>
        </w:rPr>
        <w:t>二、总  则</w:t>
      </w:r>
      <w:bookmarkEnd w:id="18"/>
      <w:bookmarkStart w:id="19" w:name="_Toc183682342"/>
      <w:bookmarkStart w:id="20" w:name="_Toc183582205"/>
      <w:bookmarkStart w:id="21" w:name="_Toc217446034"/>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22" w:name="_Toc11981"/>
      <w:r>
        <w:rPr>
          <w:rFonts w:hint="eastAsia" w:ascii="宋体" w:hAnsi="宋体" w:eastAsia="宋体" w:cs="宋体"/>
          <w:color w:val="000000" w:themeColor="text1"/>
          <w:sz w:val="24"/>
          <w:highlight w:val="none"/>
          <w14:textFill>
            <w14:solidFill>
              <w14:schemeClr w14:val="tx1"/>
            </w14:solidFill>
          </w14:textFill>
        </w:rPr>
        <w:t>1.</w:t>
      </w:r>
      <w:bookmarkEnd w:id="19"/>
      <w:bookmarkEnd w:id="20"/>
      <w:r>
        <w:rPr>
          <w:rFonts w:hint="eastAsia" w:ascii="宋体" w:hAnsi="宋体" w:eastAsia="宋体" w:cs="宋体"/>
          <w:color w:val="000000" w:themeColor="text1"/>
          <w:sz w:val="24"/>
          <w:szCs w:val="24"/>
          <w:highlight w:val="none"/>
          <w14:textFill>
            <w14:solidFill>
              <w14:schemeClr w14:val="tx1"/>
            </w14:solidFill>
          </w14:textFill>
        </w:rPr>
        <w:t>适用范围</w:t>
      </w:r>
      <w:bookmarkEnd w:id="21"/>
      <w:bookmarkEnd w:id="22"/>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 本磋商文件仅适用于本次磋商所叙述的货物采购。</w:t>
      </w:r>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 本磋商文件的解释权归采购人和采购代理机构所有。</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23" w:name="_Toc217446035"/>
      <w:bookmarkStart w:id="24" w:name="_Toc183682343"/>
      <w:bookmarkStart w:id="25" w:name="_Toc183582206"/>
      <w:bookmarkStart w:id="26" w:name="_Toc10905"/>
      <w:r>
        <w:rPr>
          <w:rFonts w:hint="eastAsia" w:ascii="宋体" w:hAnsi="宋体" w:eastAsia="宋体" w:cs="宋体"/>
          <w:color w:val="000000" w:themeColor="text1"/>
          <w:sz w:val="24"/>
          <w:highlight w:val="none"/>
          <w14:textFill>
            <w14:solidFill>
              <w14:schemeClr w14:val="tx1"/>
            </w14:solidFill>
          </w14:textFill>
        </w:rPr>
        <w:t>2.</w:t>
      </w:r>
      <w:bookmarkEnd w:id="23"/>
      <w:bookmarkEnd w:id="24"/>
      <w:bookmarkEnd w:id="25"/>
      <w:r>
        <w:rPr>
          <w:rFonts w:hint="eastAsia" w:ascii="宋体" w:hAnsi="宋体" w:eastAsia="宋体" w:cs="宋体"/>
          <w:color w:val="000000" w:themeColor="text1"/>
          <w:sz w:val="24"/>
          <w:highlight w:val="none"/>
          <w14:textFill>
            <w14:solidFill>
              <w14:schemeClr w14:val="tx1"/>
            </w14:solidFill>
          </w14:textFill>
        </w:rPr>
        <w:t>采购主体</w:t>
      </w:r>
      <w:bookmarkEnd w:id="26"/>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2.1本次磋商的采购人是</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cs="宋体"/>
          <w:color w:val="000000" w:themeColor="text1"/>
          <w:sz w:val="24"/>
          <w:highlight w:val="none"/>
          <w:u w:val="single"/>
          <w:lang w:val="zh-CN"/>
          <w14:textFill>
            <w14:solidFill>
              <w14:schemeClr w14:val="tx1"/>
            </w14:solidFill>
          </w14:textFill>
        </w:rPr>
        <w:t>成都市昭忠祠小学</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2.2本次磋商的采购代理机构是</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eastAsia="zh-CN"/>
          <w14:textFill>
            <w14:solidFill>
              <w14:schemeClr w14:val="tx1"/>
            </w14:solidFill>
          </w14:textFill>
        </w:rPr>
        <w:t>成都金牡丹工程管理咨询有限公司</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27" w:name="_Toc25181"/>
      <w:r>
        <w:rPr>
          <w:rFonts w:hint="eastAsia" w:ascii="宋体" w:hAnsi="宋体" w:eastAsia="宋体" w:cs="宋体"/>
          <w:color w:val="000000" w:themeColor="text1"/>
          <w:sz w:val="24"/>
          <w:highlight w:val="none"/>
          <w14:textFill>
            <w14:solidFill>
              <w14:schemeClr w14:val="tx1"/>
            </w14:solidFill>
          </w14:textFill>
        </w:rPr>
        <w:t>3.合格供应商（实质性要求）</w:t>
      </w:r>
      <w:bookmarkEnd w:id="27"/>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合格供应商应具备以下条件：</w:t>
      </w:r>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 具备法律法规和本采购文件规定的资格条件；</w:t>
      </w:r>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3.2 不属于禁止参加本项目采购活动的供应商；</w:t>
      </w:r>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3.3 按照规定获取了磋商文件，属于实质性参加政府采购活动的供应商。</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28" w:name="_Toc844"/>
      <w:r>
        <w:rPr>
          <w:rFonts w:hint="eastAsia" w:ascii="宋体" w:hAnsi="宋体" w:eastAsia="宋体" w:cs="宋体"/>
          <w:color w:val="000000" w:themeColor="text1"/>
          <w:sz w:val="24"/>
          <w:highlight w:val="none"/>
          <w14:textFill>
            <w14:solidFill>
              <w14:schemeClr w14:val="tx1"/>
            </w14:solidFill>
          </w14:textFill>
        </w:rPr>
        <w:t>4.磋商费用</w:t>
      </w:r>
      <w:bookmarkEnd w:id="28"/>
    </w:p>
    <w:p>
      <w:pPr>
        <w:tabs>
          <w:tab w:val="left" w:pos="7665"/>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无论竞争性磋商采购的结果如何，供应商自行承担本次参加竞争性磋商有关的全部费用。</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29" w:name="_Toc10940"/>
      <w:r>
        <w:rPr>
          <w:rFonts w:hint="eastAsia" w:ascii="宋体" w:hAnsi="宋体" w:eastAsia="宋体" w:cs="宋体"/>
          <w:color w:val="000000" w:themeColor="text1"/>
          <w:sz w:val="24"/>
          <w:highlight w:val="none"/>
          <w14:textFill>
            <w14:solidFill>
              <w14:schemeClr w14:val="tx1"/>
            </w14:solidFill>
          </w14:textFill>
        </w:rPr>
        <w:t>5.充分、公平竞争保障措施（实质性要求）</w:t>
      </w:r>
      <w:bookmarkEnd w:id="29"/>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5.2利害关系授权代表处理。两家以上的供应商不得在同一合同项下的采购项目中，委托同一个自然人、同一家庭的人员、同一单位的人员作为其授权代表，否则，其响应文件作为无效处理。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5.3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5.4供应商实际控制人或者中高级管理人员，同时是采购代理机构工作人员，不得参与本项目政府采购活动。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5.5综合评分法的采购项目，提供相同品牌产品且通过资格审查、符合性审查的不同</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eastAsia="宋体" w:cs="宋体"/>
          <w:color w:val="000000" w:themeColor="text1"/>
          <w:sz w:val="24"/>
          <w:highlight w:val="none"/>
          <w14:textFill>
            <w14:solidFill>
              <w14:schemeClr w14:val="tx1"/>
            </w14:solidFill>
          </w14:textFill>
        </w:rPr>
        <w:t>参加同一合同项下投标的，按一家</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eastAsia="宋体" w:cs="宋体"/>
          <w:color w:val="000000" w:themeColor="text1"/>
          <w:sz w:val="24"/>
          <w:highlight w:val="none"/>
          <w14:textFill>
            <w14:solidFill>
              <w14:schemeClr w14:val="tx1"/>
            </w14:solidFill>
          </w14:textFill>
        </w:rPr>
        <w:t>计算，评审后得分最高的同品牌</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eastAsia="宋体" w:cs="宋体"/>
          <w:color w:val="000000" w:themeColor="text1"/>
          <w:sz w:val="24"/>
          <w:highlight w:val="none"/>
          <w14:textFill>
            <w14:solidFill>
              <w14:schemeClr w14:val="tx1"/>
            </w14:solidFill>
          </w14:textFill>
        </w:rPr>
        <w:t>获得中标</w:t>
      </w:r>
      <w:r>
        <w:rPr>
          <w:rFonts w:hint="eastAsia" w:ascii="宋体" w:hAnsi="宋体" w:cs="宋体"/>
          <w:color w:val="000000" w:themeColor="text1"/>
          <w:sz w:val="24"/>
          <w:highlight w:val="none"/>
          <w:lang w:eastAsia="zh-CN"/>
          <w14:textFill>
            <w14:solidFill>
              <w14:schemeClr w14:val="tx1"/>
            </w14:solidFill>
          </w14:textFill>
        </w:rPr>
        <w:t>（成交）</w:t>
      </w:r>
      <w:r>
        <w:rPr>
          <w:rFonts w:hint="eastAsia" w:ascii="宋体" w:hAnsi="宋体" w:eastAsia="宋体" w:cs="宋体"/>
          <w:color w:val="000000" w:themeColor="text1"/>
          <w:sz w:val="24"/>
          <w:highlight w:val="none"/>
          <w14:textFill>
            <w14:solidFill>
              <w14:schemeClr w14:val="tx1"/>
            </w14:solidFill>
          </w14:textFill>
        </w:rPr>
        <w:t>人推荐资格；评审得分相同的，</w:t>
      </w:r>
      <w:r>
        <w:rPr>
          <w:rFonts w:hint="eastAsia" w:ascii="宋体" w:hAnsi="宋体" w:eastAsia="宋体" w:cs="宋体"/>
          <w:b/>
          <w:bCs/>
          <w:color w:val="000000" w:themeColor="text1"/>
          <w:sz w:val="24"/>
          <w:highlight w:val="none"/>
          <w14:textFill>
            <w14:solidFill>
              <w14:schemeClr w14:val="tx1"/>
            </w14:solidFill>
          </w14:textFill>
        </w:rPr>
        <w:t>委托评标委员会按</w:t>
      </w:r>
      <w:r>
        <w:rPr>
          <w:rFonts w:hint="eastAsia" w:ascii="宋体" w:hAnsi="宋体" w:cs="宋体"/>
          <w:b/>
          <w:bCs/>
          <w:color w:val="000000" w:themeColor="text1"/>
          <w:sz w:val="24"/>
          <w:highlight w:val="none"/>
          <w:lang w:eastAsia="zh-CN"/>
          <w14:textFill>
            <w14:solidFill>
              <w14:schemeClr w14:val="tx1"/>
            </w14:solidFill>
          </w14:textFill>
        </w:rPr>
        <w:t>供应商</w:t>
      </w:r>
      <w:r>
        <w:rPr>
          <w:rFonts w:hint="eastAsia" w:ascii="宋体" w:hAnsi="宋体" w:eastAsia="宋体" w:cs="宋体"/>
          <w:b/>
          <w:bCs/>
          <w:color w:val="000000" w:themeColor="text1"/>
          <w:sz w:val="24"/>
          <w:highlight w:val="none"/>
          <w14:textFill>
            <w14:solidFill>
              <w14:schemeClr w14:val="tx1"/>
            </w14:solidFill>
          </w14:textFill>
        </w:rPr>
        <w:t>报价最低的确定一个</w:t>
      </w:r>
      <w:r>
        <w:rPr>
          <w:rFonts w:hint="eastAsia" w:ascii="宋体" w:hAnsi="宋体" w:cs="宋体"/>
          <w:b/>
          <w:bCs/>
          <w:color w:val="000000" w:themeColor="text1"/>
          <w:sz w:val="24"/>
          <w:highlight w:val="none"/>
          <w:lang w:eastAsia="zh-CN"/>
          <w14:textFill>
            <w14:solidFill>
              <w14:schemeClr w14:val="tx1"/>
            </w14:solidFill>
          </w14:textFill>
        </w:rPr>
        <w:t>供应商</w:t>
      </w:r>
      <w:r>
        <w:rPr>
          <w:rFonts w:hint="eastAsia" w:ascii="宋体" w:hAnsi="宋体" w:eastAsia="宋体" w:cs="宋体"/>
          <w:b/>
          <w:bCs/>
          <w:color w:val="000000" w:themeColor="text1"/>
          <w:sz w:val="24"/>
          <w:highlight w:val="none"/>
          <w14:textFill>
            <w14:solidFill>
              <w14:schemeClr w14:val="tx1"/>
            </w14:solidFill>
          </w14:textFill>
        </w:rPr>
        <w:t>获得中标</w:t>
      </w:r>
      <w:r>
        <w:rPr>
          <w:rFonts w:hint="eastAsia" w:ascii="宋体" w:hAnsi="宋体" w:cs="宋体"/>
          <w:b/>
          <w:bCs/>
          <w:color w:val="000000" w:themeColor="text1"/>
          <w:sz w:val="24"/>
          <w:highlight w:val="none"/>
          <w:lang w:eastAsia="zh-CN"/>
          <w14:textFill>
            <w14:solidFill>
              <w14:schemeClr w14:val="tx1"/>
            </w14:solidFill>
          </w14:textFill>
        </w:rPr>
        <w:t>（成交）</w:t>
      </w:r>
      <w:r>
        <w:rPr>
          <w:rFonts w:hint="eastAsia" w:ascii="宋体" w:hAnsi="宋体" w:eastAsia="宋体" w:cs="宋体"/>
          <w:b/>
          <w:bCs/>
          <w:color w:val="000000" w:themeColor="text1"/>
          <w:sz w:val="24"/>
          <w:highlight w:val="none"/>
          <w14:textFill>
            <w14:solidFill>
              <w14:schemeClr w14:val="tx1"/>
            </w14:solidFill>
          </w14:textFill>
        </w:rPr>
        <w:t>人推荐资格</w:t>
      </w:r>
      <w:r>
        <w:rPr>
          <w:rFonts w:hint="eastAsia" w:ascii="宋体" w:hAnsi="宋体" w:eastAsia="宋体" w:cs="宋体"/>
          <w:color w:val="000000" w:themeColor="text1"/>
          <w:sz w:val="24"/>
          <w:highlight w:val="none"/>
          <w14:textFill>
            <w14:solidFill>
              <w14:schemeClr w14:val="tx1"/>
            </w14:solidFill>
          </w14:textFill>
        </w:rPr>
        <w:t>，采购文件未规定的采取随机抽取方式确定，其他同品牌</w:t>
      </w:r>
      <w:r>
        <w:rPr>
          <w:rFonts w:hint="eastAsia" w:ascii="宋体" w:hAnsi="宋体" w:cs="宋体"/>
          <w:color w:val="000000" w:themeColor="text1"/>
          <w:sz w:val="24"/>
          <w:highlight w:val="none"/>
          <w:lang w:eastAsia="zh-CN"/>
          <w14:textFill>
            <w14:solidFill>
              <w14:schemeClr w14:val="tx1"/>
            </w14:solidFill>
          </w14:textFill>
        </w:rPr>
        <w:t>供应商</w:t>
      </w:r>
      <w:r>
        <w:rPr>
          <w:rFonts w:hint="eastAsia" w:ascii="宋体" w:hAnsi="宋体" w:eastAsia="宋体" w:cs="宋体"/>
          <w:color w:val="000000" w:themeColor="text1"/>
          <w:sz w:val="24"/>
          <w:highlight w:val="none"/>
          <w14:textFill>
            <w14:solidFill>
              <w14:schemeClr w14:val="tx1"/>
            </w14:solidFill>
          </w14:textFill>
        </w:rPr>
        <w:t>不作为中标</w:t>
      </w:r>
      <w:r>
        <w:rPr>
          <w:rFonts w:hint="eastAsia" w:ascii="宋体" w:hAnsi="宋体" w:cs="宋体"/>
          <w:color w:val="000000" w:themeColor="text1"/>
          <w:sz w:val="24"/>
          <w:highlight w:val="none"/>
          <w:lang w:eastAsia="zh-CN"/>
          <w14:textFill>
            <w14:solidFill>
              <w14:schemeClr w14:val="tx1"/>
            </w14:solidFill>
          </w14:textFill>
        </w:rPr>
        <w:t>（成交）</w:t>
      </w:r>
      <w:r>
        <w:rPr>
          <w:rFonts w:hint="eastAsia" w:ascii="宋体" w:hAnsi="宋体" w:eastAsia="宋体" w:cs="宋体"/>
          <w:color w:val="000000" w:themeColor="text1"/>
          <w:sz w:val="24"/>
          <w:highlight w:val="none"/>
          <w14:textFill>
            <w14:solidFill>
              <w14:schemeClr w14:val="tx1"/>
            </w14:solidFill>
          </w14:textFill>
        </w:rPr>
        <w:t>候选人。</w:t>
      </w:r>
    </w:p>
    <w:p>
      <w:pPr>
        <w:spacing w:line="360" w:lineRule="auto"/>
        <w:ind w:firstLine="482" w:firstLineChars="200"/>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非单一产品采购项目中，多家</w:t>
      </w:r>
      <w:r>
        <w:rPr>
          <w:rFonts w:hint="eastAsia" w:ascii="宋体" w:hAnsi="宋体" w:cs="宋体"/>
          <w:b/>
          <w:bCs/>
          <w:color w:val="000000" w:themeColor="text1"/>
          <w:sz w:val="24"/>
          <w:highlight w:val="none"/>
          <w:lang w:val="en-US" w:eastAsia="zh-CN"/>
          <w14:textFill>
            <w14:solidFill>
              <w14:schemeClr w14:val="tx1"/>
            </w14:solidFill>
          </w14:textFill>
        </w:rPr>
        <w:t>供应商</w:t>
      </w:r>
      <w:r>
        <w:rPr>
          <w:rFonts w:hint="eastAsia" w:ascii="宋体" w:hAnsi="宋体" w:eastAsia="宋体" w:cs="宋体"/>
          <w:b/>
          <w:bCs/>
          <w:color w:val="000000" w:themeColor="text1"/>
          <w:sz w:val="24"/>
          <w:highlight w:val="none"/>
          <w:lang w:val="en-US" w:eastAsia="zh-CN"/>
          <w14:textFill>
            <w14:solidFill>
              <w14:schemeClr w14:val="tx1"/>
            </w14:solidFill>
          </w14:textFill>
        </w:rPr>
        <w:t>提供的所有核心产品品牌相同的，视为提供相同品牌产品，本项目核心产品为：</w:t>
      </w:r>
      <w:r>
        <w:rPr>
          <w:rFonts w:hint="eastAsia" w:ascii="宋体" w:hAnsi="宋体" w:cs="宋体"/>
          <w:b/>
          <w:bCs/>
          <w:color w:val="000000" w:themeColor="text1"/>
          <w:sz w:val="24"/>
          <w:highlight w:val="none"/>
          <w:lang w:val="en-US" w:eastAsia="zh-CN"/>
          <w14:textFill>
            <w14:solidFill>
              <w14:schemeClr w14:val="tx1"/>
            </w14:solidFill>
          </w14:textFill>
        </w:rPr>
        <w:t>LED教室灯</w:t>
      </w:r>
      <w:r>
        <w:rPr>
          <w:rFonts w:hint="eastAsia" w:ascii="宋体" w:hAnsi="宋体" w:eastAsia="宋体" w:cs="宋体"/>
          <w:b/>
          <w:bCs/>
          <w:color w:val="000000" w:themeColor="text1"/>
          <w:sz w:val="24"/>
          <w:highlight w:val="none"/>
          <w:lang w:val="zh-TW" w:eastAsia="zh-CN"/>
          <w14:textFill>
            <w14:solidFill>
              <w14:schemeClr w14:val="tx1"/>
            </w14:solidFill>
          </w14:textFill>
        </w:rPr>
        <w:t>。</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5.6供应商与采购代理机构存在关联关系，或者是采购代理机构的母公司或子公司，不得参加本项目政府采购活动。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5.7回避。政府采购活动中，采购人员及相关人员与供应商有下列利害关系之一的，应当回避：</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（1）参加采购活动前3年内与供应商存在劳动关系；</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（2）参加采购活动前3年内担任供应商的董事、监事；</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（3）参加采购活动前3年内是供应商的控股股东或者实际控制人；</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（4）与供应商的法定代表人或者负责人有夫妻、直系血亲、三代以内旁系血亲或者近姻亲关系；</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（5）与供应商有其他可能影响政府采购活动公平、公正进行的关系。</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政府采购活动中需要依法回避的采购人员是指采购人内部负责采购项目的具体经办工作人员和直接分管采购项目的负责人，以及采购代理机构负责采购项目的具体经办工作人员和直接分管采购活动的负责人。本项目政府采购活动中需要依法回避的相关人员是指磋商小组成员。</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供应商认为采购人员及相关人员与其他供应商有利害关系的，可以向采购代理机构书面提出回避申请，并说明理由。采购代理机构将及时询问被申请回避人员，有利害关系的被申请回避人员应当回避。</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30" w:name="_Toc11494"/>
      <w:r>
        <w:rPr>
          <w:rFonts w:hint="eastAsia" w:ascii="宋体" w:hAnsi="宋体" w:eastAsia="宋体" w:cs="宋体"/>
          <w:color w:val="000000" w:themeColor="text1"/>
          <w:sz w:val="24"/>
          <w:highlight w:val="none"/>
          <w14:textFill>
            <w14:solidFill>
              <w14:schemeClr w14:val="tx1"/>
            </w14:solidFill>
          </w14:textFill>
        </w:rPr>
        <w:t>6.联合体竞争性磋商（实质性要求）</w:t>
      </w:r>
      <w:bookmarkEnd w:id="30"/>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w:t>
      </w:r>
      <w:r>
        <w:rPr>
          <w:rFonts w:hint="eastAsia" w:ascii="宋体" w:hAnsi="宋体" w:eastAsia="宋体" w:cs="宋体"/>
          <w:b/>
          <w:bCs/>
          <w:color w:val="000000" w:themeColor="text1"/>
          <w:sz w:val="24"/>
          <w:highlight w:val="none"/>
          <w14:textFill>
            <w14:solidFill>
              <w14:schemeClr w14:val="tx1"/>
            </w14:solidFill>
          </w14:textFill>
        </w:rPr>
        <w:t>不接受联合体</w:t>
      </w:r>
      <w:r>
        <w:rPr>
          <w:rFonts w:hint="eastAsia" w:ascii="宋体" w:hAnsi="宋体" w:eastAsia="宋体" w:cs="宋体"/>
          <w:color w:val="000000" w:themeColor="text1"/>
          <w:sz w:val="24"/>
          <w:highlight w:val="none"/>
          <w14:textFill>
            <w14:solidFill>
              <w14:schemeClr w14:val="tx1"/>
            </w14:solidFill>
          </w14:textFill>
        </w:rPr>
        <w:t>参与采购活动。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6.1两个以上供应商可以组成一个联合体竞争性磋商，以一个供应商的身份竞争性磋商。以联合体形式参加竞争性磋商的，联合体各方均应当符合政府采购法第二十二条规定的条件。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6.2 联合体各方之间应当签订联合体竞争性磋商协议，明确约定联合体各方承担的工作和相应的责任。联合体参与竞争性磋商的，应在响应文件中提供联合体协议原件。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6.3 联合体应当确定其中一个单位为竞争性磋商的全权代表，负责参加竞争性磋商的一切事务。</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6.4 联合体各方应当共同与采购人签订采购合同，就采购合同约定的事项对采购人承担连带责任。</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6.5联合体中有同类资质的供应商按照联合体分工承担相同工作的，将按照资质等级较低的供应商确定资质等级。</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6.6以联合体形式参加政府采购活动的，联合体各方不得再单独参加或者与其他供应商另外组成联合体参加同一合同项下的政府采购活动。</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31" w:name="_Toc14182"/>
      <w:r>
        <w:rPr>
          <w:rFonts w:hint="eastAsia" w:ascii="宋体" w:hAnsi="宋体" w:eastAsia="宋体" w:cs="宋体"/>
          <w:color w:val="000000" w:themeColor="text1"/>
          <w:sz w:val="24"/>
          <w:highlight w:val="none"/>
          <w14:textFill>
            <w14:solidFill>
              <w14:schemeClr w14:val="tx1"/>
            </w14:solidFill>
          </w14:textFill>
        </w:rPr>
        <w:t>7.磋商保证金（实质性要求）</w:t>
      </w:r>
      <w:bookmarkEnd w:id="31"/>
    </w:p>
    <w:p>
      <w:pPr>
        <w:spacing w:line="360" w:lineRule="auto"/>
        <w:ind w:firstLine="482" w:firstLineChars="200"/>
        <w:rPr>
          <w:rFonts w:hint="eastAsia" w:ascii="宋体" w:hAnsi="宋体" w:eastAsia="宋体" w:cs="宋体"/>
          <w:b/>
          <w:bCs/>
          <w:color w:val="000000" w:themeColor="text1"/>
          <w:sz w:val="24"/>
          <w:highlight w:val="none"/>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本项目不收取磋商保证金。</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32" w:name="_Toc13728"/>
      <w:r>
        <w:rPr>
          <w:rFonts w:hint="eastAsia" w:ascii="宋体" w:hAnsi="宋体" w:eastAsia="宋体" w:cs="宋体"/>
          <w:color w:val="000000" w:themeColor="text1"/>
          <w:sz w:val="24"/>
          <w:highlight w:val="none"/>
          <w14:textFill>
            <w14:solidFill>
              <w14:schemeClr w14:val="tx1"/>
            </w14:solidFill>
          </w14:textFill>
        </w:rPr>
        <w:t>8.响应文件有效期（实质性要求）</w:t>
      </w:r>
      <w:bookmarkEnd w:id="32"/>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本项目响应文件有效期</w:t>
      </w:r>
      <w:r>
        <w:rPr>
          <w:rFonts w:hint="eastAsia" w:ascii="宋体" w:hAnsi="宋体" w:eastAsia="宋体" w:cs="宋体"/>
          <w:bCs/>
          <w:color w:val="000000" w:themeColor="text1"/>
          <w:sz w:val="24"/>
          <w:highlight w:val="none"/>
          <w14:textFill>
            <w14:solidFill>
              <w14:schemeClr w14:val="tx1"/>
            </w14:solidFill>
          </w14:textFill>
        </w:rPr>
        <w:t>为递交磋商响应文件截止之日起</w:t>
      </w:r>
      <w:r>
        <w:rPr>
          <w:rFonts w:hint="eastAsia" w:ascii="宋体" w:hAnsi="宋体" w:eastAsia="宋体" w:cs="宋体"/>
          <w:b/>
          <w:color w:val="000000" w:themeColor="text1"/>
          <w:sz w:val="24"/>
          <w:highlight w:val="none"/>
          <w14:textFill>
            <w14:solidFill>
              <w14:schemeClr w14:val="tx1"/>
            </w14:solidFill>
          </w14:textFill>
        </w:rPr>
        <w:t>90天</w:t>
      </w:r>
      <w:r>
        <w:rPr>
          <w:rFonts w:hint="eastAsia" w:ascii="宋体" w:hAnsi="宋体" w:eastAsia="宋体" w:cs="宋体"/>
          <w:color w:val="000000" w:themeColor="text1"/>
          <w:sz w:val="24"/>
          <w:highlight w:val="none"/>
          <w14:textFill>
            <w14:solidFill>
              <w14:schemeClr w14:val="tx1"/>
            </w14:solidFill>
          </w14:textFill>
        </w:rPr>
        <w:t>。供应商响应文件中必须载明响应文件有效期，响应文件中载明的响应文件有效期可以长于磋商文件规定的期限，但不得短于磋商文件规定的期限。否则，其响应文件将作为无效处理。</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33" w:name="_Toc12210"/>
      <w:r>
        <w:rPr>
          <w:rFonts w:hint="eastAsia" w:ascii="宋体" w:hAnsi="宋体" w:eastAsia="宋体" w:cs="宋体"/>
          <w:color w:val="000000" w:themeColor="text1"/>
          <w:sz w:val="24"/>
          <w:highlight w:val="none"/>
          <w14:textFill>
            <w14:solidFill>
              <w14:schemeClr w14:val="tx1"/>
            </w14:solidFill>
          </w14:textFill>
        </w:rPr>
        <w:t>9.知识产权（实质性要求）</w:t>
      </w:r>
      <w:bookmarkEnd w:id="33"/>
    </w:p>
    <w:p>
      <w:pPr>
        <w:pStyle w:val="15"/>
        <w:spacing w:line="400" w:lineRule="exact"/>
        <w:ind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9.1 供应商应保证在本项目中使用的任何产品和服务（包括部分使用），不会产生因第三方提出侵犯其专利权、商标权或其它知识产权而引起的法律和经济纠纷，如因专利权、商标权或其它知识产权而引起法律和经济纠纷，由供应商承担所有相关责任</w:t>
      </w:r>
      <w:r>
        <w:rPr>
          <w:rFonts w:hint="eastAsia" w:ascii="宋体" w:hAnsi="宋体" w:eastAsia="宋体" w:cs="宋体"/>
          <w:b/>
          <w:bCs/>
          <w:color w:val="000000" w:themeColor="text1"/>
          <w:kern w:val="2"/>
          <w:sz w:val="24"/>
          <w:szCs w:val="24"/>
          <w:highlight w:val="none"/>
          <w:lang w:val="en-US" w:eastAsia="zh-CN" w:bidi="ar-SA"/>
          <w14:textFill>
            <w14:solidFill>
              <w14:schemeClr w14:val="tx1"/>
            </w14:solidFill>
          </w14:textFill>
        </w:rPr>
        <w:t>（需单独提供承诺函原件）</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pStyle w:val="15"/>
        <w:spacing w:line="400" w:lineRule="exact"/>
        <w:ind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9.2 除非磋商文件特别规定，采购人享有本项目实施过程中产生的知识成果及知识产权。</w:t>
      </w:r>
    </w:p>
    <w:p>
      <w:pPr>
        <w:spacing w:line="400" w:lineRule="exact"/>
        <w:ind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9.3供应商将在采购项目实施过程中采用自有或者第三方知识成果的，应当在响应文件中载明，并提供相关知识产权证明文件。使用该知识成果后，供应商需提供开发接口和开发手册等技术资料，并承诺提供无限期支持，采购人享有使用权（含采购人委托第三方在该项目后续开发的使用权）。</w:t>
      </w:r>
    </w:p>
    <w:p>
      <w:pPr>
        <w:spacing w:line="400" w:lineRule="exact"/>
        <w:ind w:firstLine="460" w:firstLineChars="192"/>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 xml:space="preserve">9.4 如采用供应商所不拥有的知识产权，则在报价中必须包括合法获取该知识产权的相关费用。 </w:t>
      </w:r>
    </w:p>
    <w:p>
      <w:pPr>
        <w:pStyle w:val="5"/>
        <w:keepNext w:val="0"/>
        <w:keepLines w:val="0"/>
        <w:spacing w:before="0" w:after="0" w:line="360" w:lineRule="auto"/>
        <w:ind w:firstLine="200"/>
        <w:jc w:val="center"/>
        <w:rPr>
          <w:rFonts w:hint="eastAsia" w:ascii="宋体" w:hAnsi="宋体" w:eastAsia="宋体" w:cs="宋体"/>
          <w:bCs w:val="0"/>
          <w:color w:val="000000" w:themeColor="text1"/>
          <w:highlight w:val="none"/>
          <w14:textFill>
            <w14:solidFill>
              <w14:schemeClr w14:val="tx1"/>
            </w14:solidFill>
          </w14:textFill>
        </w:rPr>
      </w:pPr>
      <w:bookmarkStart w:id="34" w:name="_Toc183682346"/>
      <w:bookmarkStart w:id="35" w:name="_Toc183582209"/>
      <w:bookmarkStart w:id="36" w:name="_Toc89075875"/>
      <w:bookmarkStart w:id="37" w:name="_Toc77400779"/>
      <w:bookmarkStart w:id="38" w:name="_Toc217446038"/>
      <w:bookmarkStart w:id="39" w:name="_Toc14699"/>
      <w:r>
        <w:rPr>
          <w:rFonts w:hint="eastAsia" w:ascii="宋体" w:hAnsi="宋体" w:eastAsia="宋体" w:cs="宋体"/>
          <w:bCs w:val="0"/>
          <w:color w:val="000000" w:themeColor="text1"/>
          <w:highlight w:val="none"/>
          <w14:textFill>
            <w14:solidFill>
              <w14:schemeClr w14:val="tx1"/>
            </w14:solidFill>
          </w14:textFill>
        </w:rPr>
        <w:t>三、磋商文件</w:t>
      </w:r>
      <w:bookmarkEnd w:id="34"/>
      <w:bookmarkEnd w:id="35"/>
      <w:bookmarkEnd w:id="36"/>
      <w:bookmarkEnd w:id="37"/>
      <w:bookmarkEnd w:id="38"/>
      <w:bookmarkEnd w:id="39"/>
      <w:bookmarkStart w:id="40" w:name="_Toc183682347"/>
      <w:bookmarkStart w:id="41" w:name="_Toc183582210"/>
      <w:bookmarkStart w:id="42" w:name="_Toc217446039"/>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43" w:name="_Toc29151"/>
      <w:r>
        <w:rPr>
          <w:rFonts w:hint="eastAsia" w:ascii="宋体" w:hAnsi="宋体" w:eastAsia="宋体" w:cs="宋体"/>
          <w:color w:val="000000" w:themeColor="text1"/>
          <w:sz w:val="24"/>
          <w:highlight w:val="none"/>
          <w14:textFill>
            <w14:solidFill>
              <w14:schemeClr w14:val="tx1"/>
            </w14:solidFill>
          </w14:textFill>
        </w:rPr>
        <w:t>10</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磋商文件的构成</w:t>
      </w:r>
      <w:bookmarkEnd w:id="40"/>
      <w:bookmarkEnd w:id="41"/>
      <w:bookmarkEnd w:id="42"/>
      <w:r>
        <w:rPr>
          <w:rFonts w:hint="eastAsia" w:ascii="宋体" w:hAnsi="宋体" w:eastAsia="宋体" w:cs="宋体"/>
          <w:color w:val="000000" w:themeColor="text1"/>
          <w:sz w:val="24"/>
          <w:highlight w:val="none"/>
          <w14:textFill>
            <w14:solidFill>
              <w14:schemeClr w14:val="tx1"/>
            </w14:solidFill>
          </w14:textFill>
        </w:rPr>
        <w:t>（实质性要求）</w:t>
      </w:r>
      <w:bookmarkEnd w:id="43"/>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10.1 磋商文件是供应商准备响应文件和参加磋商的依据，同时也是磋商的重要依据。磋商文件用以阐明磋商项目所需的资质、技术、服务及报价等要求、磋商程序、有关规定和注意事项以及合同主要条款等。</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10.2 供应商应认真阅读和充分理解磋商文件中所有的事项、格式条款和规范要求。供应商应详细阅读磋商文件的全部内容，按照磋商文件的要求提供响应文件，并保证所提供的全部资料的真实性和有效性，一经发现有虚假行为的，将取消其参加磋商或成交资格，并承担相应的法律责任。</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44" w:name="_Toc183582211"/>
      <w:bookmarkStart w:id="45" w:name="_Toc183682348"/>
      <w:bookmarkStart w:id="46" w:name="_Toc20312"/>
      <w:bookmarkStart w:id="47" w:name="_Toc217446040"/>
      <w:r>
        <w:rPr>
          <w:rFonts w:hint="eastAsia" w:ascii="宋体" w:hAnsi="宋体" w:eastAsia="宋体" w:cs="宋体"/>
          <w:color w:val="000000" w:themeColor="text1"/>
          <w:sz w:val="24"/>
          <w:highlight w:val="none"/>
          <w14:textFill>
            <w14:solidFill>
              <w14:schemeClr w14:val="tx1"/>
            </w14:solidFill>
          </w14:textFill>
        </w:rPr>
        <w:t>11</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磋商文件的澄清</w:t>
      </w:r>
      <w:bookmarkEnd w:id="44"/>
      <w:bookmarkEnd w:id="45"/>
      <w:r>
        <w:rPr>
          <w:rFonts w:hint="eastAsia" w:ascii="宋体" w:hAnsi="宋体" w:eastAsia="宋体" w:cs="宋体"/>
          <w:color w:val="000000" w:themeColor="text1"/>
          <w:sz w:val="24"/>
          <w:highlight w:val="none"/>
          <w14:textFill>
            <w14:solidFill>
              <w14:schemeClr w14:val="tx1"/>
            </w14:solidFill>
          </w14:textFill>
        </w:rPr>
        <w:t>和修改</w:t>
      </w:r>
      <w:bookmarkEnd w:id="46"/>
      <w:bookmarkEnd w:id="47"/>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11.1 在递交响应文件截止时间前，采购人、采购代理机构可以对磋商文件进行澄清或者修改。</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11.2 采购代理机构对已发出的磋商文件进行澄清或者修改，应当以书面形式将澄清或者修改的内容通知所有购买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提交首次响应文件截止之日起5日前；不足上述时间的，应当顺延递交响应文件的截止时间。</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11.3供应商认为采购代理机构需要对磋商文件进行澄清或者修改的，可以在5日前以书面形式向采购代理机构提出申请，由采购代理机构决定是否采纳供应商的申请事项。</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48" w:name="_Toc208848971"/>
      <w:bookmarkStart w:id="49" w:name="_Toc19294"/>
      <w:bookmarkStart w:id="50" w:name="_Toc217446041"/>
      <w:r>
        <w:rPr>
          <w:rFonts w:hint="eastAsia" w:ascii="宋体" w:hAnsi="宋体" w:eastAsia="宋体" w:cs="宋体"/>
          <w:color w:val="000000" w:themeColor="text1"/>
          <w:sz w:val="24"/>
          <w:highlight w:val="none"/>
          <w14:textFill>
            <w14:solidFill>
              <w14:schemeClr w14:val="tx1"/>
            </w14:solidFill>
          </w14:textFill>
        </w:rPr>
        <w:t>12</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答疑会和现场考察</w:t>
      </w:r>
      <w:bookmarkEnd w:id="48"/>
      <w:bookmarkEnd w:id="49"/>
      <w:bookmarkEnd w:id="50"/>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12.1 根据采购项目和具体情况，采购人、采购代理机构认为有必要，可以在磋商文件提供期限截止后响应文件提交截止前，组织已获取磋商文件的潜在供应商现场考察或者召开答疑会。</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12.2采购人、采购代理机构组织现场考察或者召开答疑会的，将以书面形式通知所有获取磋商文件的潜在供应商。供应商接到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12.3 供应商考察现场或者参加答疑会所发生的一切费用由供应商自己承担。</w:t>
      </w:r>
    </w:p>
    <w:p>
      <w:pPr>
        <w:pStyle w:val="5"/>
        <w:keepNext w:val="0"/>
        <w:keepLines w:val="0"/>
        <w:spacing w:before="0" w:after="0" w:line="360" w:lineRule="auto"/>
        <w:ind w:firstLine="200"/>
        <w:jc w:val="center"/>
        <w:rPr>
          <w:rFonts w:hint="eastAsia" w:ascii="宋体" w:hAnsi="宋体" w:eastAsia="宋体" w:cs="宋体"/>
          <w:bCs w:val="0"/>
          <w:color w:val="000000" w:themeColor="text1"/>
          <w:highlight w:val="none"/>
          <w14:textFill>
            <w14:solidFill>
              <w14:schemeClr w14:val="tx1"/>
            </w14:solidFill>
          </w14:textFill>
        </w:rPr>
      </w:pPr>
      <w:bookmarkStart w:id="51" w:name="_Toc77400780"/>
      <w:bookmarkStart w:id="52" w:name="_Toc217446042"/>
      <w:bookmarkStart w:id="53" w:name="_Toc183682351"/>
      <w:bookmarkStart w:id="54" w:name="_Toc24364"/>
      <w:bookmarkStart w:id="55" w:name="_Toc183582214"/>
      <w:bookmarkStart w:id="56" w:name="_Toc89075876"/>
      <w:r>
        <w:rPr>
          <w:rFonts w:hint="eastAsia" w:ascii="宋体" w:hAnsi="宋体" w:eastAsia="宋体" w:cs="宋体"/>
          <w:bCs w:val="0"/>
          <w:color w:val="000000" w:themeColor="text1"/>
          <w:highlight w:val="none"/>
          <w14:textFill>
            <w14:solidFill>
              <w14:schemeClr w14:val="tx1"/>
            </w14:solidFill>
          </w14:textFill>
        </w:rPr>
        <w:t>四、响应文件</w:t>
      </w:r>
      <w:bookmarkEnd w:id="51"/>
      <w:bookmarkEnd w:id="52"/>
      <w:bookmarkEnd w:id="53"/>
      <w:bookmarkEnd w:id="54"/>
      <w:bookmarkEnd w:id="55"/>
      <w:bookmarkEnd w:id="56"/>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57" w:name="_Toc31886"/>
      <w:bookmarkStart w:id="58" w:name="_Toc183682352"/>
      <w:bookmarkStart w:id="59" w:name="_Toc183582215"/>
      <w:bookmarkStart w:id="60" w:name="_Toc217446043"/>
      <w:r>
        <w:rPr>
          <w:rFonts w:hint="eastAsia" w:ascii="宋体" w:hAnsi="宋体" w:eastAsia="宋体" w:cs="宋体"/>
          <w:color w:val="000000" w:themeColor="text1"/>
          <w:sz w:val="24"/>
          <w:highlight w:val="none"/>
          <w14:textFill>
            <w14:solidFill>
              <w14:schemeClr w14:val="tx1"/>
            </w14:solidFill>
          </w14:textFill>
        </w:rPr>
        <w:t>13.响应文件的组成</w:t>
      </w:r>
      <w:bookmarkEnd w:id="57"/>
    </w:p>
    <w:p>
      <w:pPr>
        <w:numPr>
          <w:ilvl w:val="255"/>
          <w:numId w:val="0"/>
        </w:num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供应商应按照磋商文件的规定和要求编制响应文件。供应商在成交后将成交项目的非主体、非关键性工作分包他人完成的，应当在响应文件中载明或磋商过程中澄清。</w:t>
      </w:r>
    </w:p>
    <w:p>
      <w:pPr>
        <w:numPr>
          <w:ilvl w:val="255"/>
          <w:numId w:val="0"/>
        </w:numPr>
        <w:spacing w:line="360" w:lineRule="auto"/>
        <w:ind w:firstLine="482" w:firstLineChars="200"/>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b/>
          <w:bCs/>
          <w:color w:val="000000" w:themeColor="text1"/>
          <w:sz w:val="24"/>
          <w:highlight w:val="none"/>
          <w14:textFill>
            <w14:solidFill>
              <w14:schemeClr w14:val="tx1"/>
            </w14:solidFill>
          </w14:textFill>
        </w:rPr>
        <w:t>供应商编写的响应文件应包括资格性响应文件和其他响应文件两部分，分册装订。</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61" w:name="_Toc2229"/>
      <w:r>
        <w:rPr>
          <w:rFonts w:hint="eastAsia" w:ascii="宋体" w:hAnsi="宋体" w:eastAsia="宋体" w:cs="宋体"/>
          <w:color w:val="000000" w:themeColor="text1"/>
          <w:sz w:val="24"/>
          <w:highlight w:val="none"/>
          <w14:textFill>
            <w14:solidFill>
              <w14:schemeClr w14:val="tx1"/>
            </w14:solidFill>
          </w14:textFill>
        </w:rPr>
        <w:t>14.响应文件的语言</w:t>
      </w:r>
      <w:bookmarkEnd w:id="58"/>
      <w:bookmarkEnd w:id="59"/>
      <w:bookmarkEnd w:id="60"/>
      <w:r>
        <w:rPr>
          <w:rFonts w:hint="eastAsia" w:ascii="宋体" w:hAnsi="宋体" w:eastAsia="宋体" w:cs="宋体"/>
          <w:color w:val="000000" w:themeColor="text1"/>
          <w:sz w:val="24"/>
          <w:highlight w:val="none"/>
          <w14:textFill>
            <w14:solidFill>
              <w14:schemeClr w14:val="tx1"/>
            </w14:solidFill>
          </w14:textFill>
        </w:rPr>
        <w:t>（实质性要求）</w:t>
      </w:r>
      <w:bookmarkEnd w:id="61"/>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14.1供应商提交的响应文件以及供应商与采购人、采购代理机构就有关报价的所有来往书面文件均须使用中文。响应文件中如附有外文资料，必须逐一对应翻译成中文并加盖供应商公章后附在相关外文资料后面，否则，供应商的外文资料将作为无效处理。（说明：供应商的法定代表人为外籍人士的，法定代表人的签字和护照除外。）</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14.2翻译的中文资料与外文资料如果出现差异和矛盾，以中文为准。但不能故意错误翻译，否则，供应商的外文资料将作为无效处理。</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62" w:name="_Toc183582216"/>
      <w:bookmarkStart w:id="63" w:name="_Toc217446044"/>
      <w:bookmarkStart w:id="64" w:name="_Toc183682353"/>
      <w:bookmarkStart w:id="65" w:name="_Toc11084"/>
      <w:r>
        <w:rPr>
          <w:rFonts w:hint="eastAsia" w:ascii="宋体" w:hAnsi="宋体" w:eastAsia="宋体" w:cs="宋体"/>
          <w:color w:val="000000" w:themeColor="text1"/>
          <w:sz w:val="24"/>
          <w:highlight w:val="none"/>
          <w14:textFill>
            <w14:solidFill>
              <w14:schemeClr w14:val="tx1"/>
            </w14:solidFill>
          </w14:textFill>
        </w:rPr>
        <w:t>15.计量单位</w:t>
      </w:r>
      <w:bookmarkEnd w:id="62"/>
      <w:bookmarkEnd w:id="63"/>
      <w:bookmarkEnd w:id="64"/>
      <w:r>
        <w:rPr>
          <w:rFonts w:hint="eastAsia" w:ascii="宋体" w:hAnsi="宋体" w:eastAsia="宋体" w:cs="宋体"/>
          <w:color w:val="000000" w:themeColor="text1"/>
          <w:sz w:val="24"/>
          <w:highlight w:val="none"/>
          <w14:textFill>
            <w14:solidFill>
              <w14:schemeClr w14:val="tx1"/>
            </w14:solidFill>
          </w14:textFill>
        </w:rPr>
        <w:t>（实质性要求）</w:t>
      </w:r>
      <w:bookmarkEnd w:id="65"/>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除磋商文件中另有规定外，本次采购项目所有合同项下的报价均采用国家法定的计量单位。</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66" w:name="_Toc21141"/>
      <w:bookmarkStart w:id="67" w:name="_Toc217446045"/>
      <w:r>
        <w:rPr>
          <w:rFonts w:hint="eastAsia" w:ascii="宋体" w:hAnsi="宋体" w:eastAsia="宋体" w:cs="宋体"/>
          <w:color w:val="000000" w:themeColor="text1"/>
          <w:sz w:val="24"/>
          <w:highlight w:val="none"/>
          <w14:textFill>
            <w14:solidFill>
              <w14:schemeClr w14:val="tx1"/>
            </w14:solidFill>
          </w14:textFill>
        </w:rPr>
        <w:t>16.报价货币</w:t>
      </w:r>
      <w:bookmarkEnd w:id="66"/>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本次磋商项目的货币为人民币，报价以磋商文件规定为准。</w:t>
      </w:r>
    </w:p>
    <w:bookmarkEnd w:id="67"/>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68" w:name="_Toc17150"/>
      <w:r>
        <w:rPr>
          <w:rFonts w:hint="eastAsia" w:ascii="宋体" w:hAnsi="宋体" w:eastAsia="宋体" w:cs="宋体"/>
          <w:color w:val="000000" w:themeColor="text1"/>
          <w:sz w:val="24"/>
          <w:highlight w:val="none"/>
          <w14:textFill>
            <w14:solidFill>
              <w14:schemeClr w14:val="tx1"/>
            </w14:solidFill>
          </w14:textFill>
        </w:rPr>
        <w:t>17.响应文件格式</w:t>
      </w:r>
      <w:bookmarkEnd w:id="68"/>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17.1供应商应执行磋商文件</w:t>
      </w:r>
      <w:r>
        <w:rPr>
          <w:rFonts w:hint="eastAsia" w:ascii="宋体" w:hAnsi="宋体" w:eastAsia="宋体" w:cs="宋体"/>
          <w:b/>
          <w:bCs/>
          <w:color w:val="000000" w:themeColor="text1"/>
          <w:sz w:val="24"/>
          <w:highlight w:val="none"/>
          <w14:textFill>
            <w14:solidFill>
              <w14:schemeClr w14:val="tx1"/>
            </w14:solidFill>
          </w14:textFill>
        </w:rPr>
        <w:t>第六章</w:t>
      </w:r>
      <w:r>
        <w:rPr>
          <w:rFonts w:hint="eastAsia" w:ascii="宋体" w:hAnsi="宋体" w:eastAsia="宋体" w:cs="宋体"/>
          <w:color w:val="000000" w:themeColor="text1"/>
          <w:sz w:val="24"/>
          <w:highlight w:val="none"/>
          <w14:textFill>
            <w14:solidFill>
              <w14:schemeClr w14:val="tx1"/>
            </w14:solidFill>
          </w14:textFill>
        </w:rPr>
        <w:t>的规定要求。</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17.2对于没有格式要求的磋商文件由供应商自行编写。</w:t>
      </w:r>
      <w:bookmarkStart w:id="69" w:name="_Toc183682361"/>
      <w:bookmarkStart w:id="70" w:name="_Toc183582224"/>
      <w:bookmarkStart w:id="71" w:name="_Toc217446051"/>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72" w:name="_Toc17571"/>
      <w:r>
        <w:rPr>
          <w:rFonts w:hint="eastAsia" w:ascii="宋体" w:hAnsi="宋体" w:eastAsia="宋体" w:cs="宋体"/>
          <w:color w:val="000000" w:themeColor="text1"/>
          <w:sz w:val="24"/>
          <w:highlight w:val="none"/>
          <w14:textFill>
            <w14:solidFill>
              <w14:schemeClr w14:val="tx1"/>
            </w14:solidFill>
          </w14:textFill>
        </w:rPr>
        <w:t>18.响应文件的编制和签署</w:t>
      </w:r>
      <w:bookmarkEnd w:id="72"/>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18.1资格性响应文件正本1份副本2份，并在其封面上清楚地标明资格性响应文件、采购项目名称、采购项目编号、包件号及名称（若有）、供应商名称以及“正本”或“副本”字样。若正本和副本有不一致的内容，以正本书面响应文件为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18.2其他响应文件正本1份副本2份，并在其封面上清楚地标明其他响应文件、采购项目名称、采购项目编号、包件号及名称（若有）、供应商名称以及“正本”或“副本”字样。若正本和副本有不一致的内容，以正本书面响应文件为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18.3响应文件正本和副本均需在规定签章处签字和盖章。响应文件副本可采用正本的复印件。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18.4响应文件的打印和书写应清楚工整，任何行间插字、涂改或增删，必须由供应商的法定代表人或其授权代表签字并盖供应商公章。</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18.5</w:t>
      </w:r>
      <w:r>
        <w:rPr>
          <w:rFonts w:hint="eastAsia" w:ascii="宋体" w:hAnsi="宋体" w:eastAsia="宋体" w:cs="宋体"/>
          <w:b/>
          <w:bCs/>
          <w:color w:val="000000" w:themeColor="text1"/>
          <w:sz w:val="24"/>
          <w:highlight w:val="none"/>
          <w14:textFill>
            <w14:solidFill>
              <w14:schemeClr w14:val="tx1"/>
            </w14:solidFill>
          </w14:textFill>
        </w:rPr>
        <w:t>（实质性要求）</w:t>
      </w:r>
      <w:r>
        <w:rPr>
          <w:rFonts w:hint="eastAsia" w:ascii="宋体" w:hAnsi="宋体" w:eastAsia="宋体" w:cs="宋体"/>
          <w:color w:val="000000" w:themeColor="text1"/>
          <w:sz w:val="24"/>
          <w:highlight w:val="none"/>
          <w14:textFill>
            <w14:solidFill>
              <w14:schemeClr w14:val="tx1"/>
            </w14:solidFill>
          </w14:textFill>
        </w:rPr>
        <w:t>响应文件应由供应商法定代表人/主要负责人/本人或其授权代表在响应文件要求的地方签字（或加盖私人印章），要求加盖公章的地方加盖单位公章，不得使用专用章（如经济合同章、投标专用章等）或下属单位印章代替。</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18.6响应文件正本和副本需要逐页编目编码。</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18.7响应文件正本和副本应当采用胶装方式装订成册，不得散装或者合页装订。</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18.8响应文件应根据磋商文件的要求制作，签署、盖章。（按照《四川省政府采购评审工作规程（修订）》规范）</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18.9响应文件统一用A4幅面纸印制，除另有规定外。</w:t>
      </w:r>
    </w:p>
    <w:bookmarkEnd w:id="69"/>
    <w:bookmarkEnd w:id="70"/>
    <w:bookmarkEnd w:id="71"/>
    <w:p>
      <w:pPr>
        <w:pStyle w:val="6"/>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73" w:name="_Toc30216"/>
      <w:bookmarkStart w:id="74" w:name="_Toc217446053"/>
      <w:bookmarkStart w:id="75" w:name="_Toc89075877"/>
      <w:bookmarkStart w:id="76" w:name="_Toc183582226"/>
      <w:bookmarkStart w:id="77" w:name="_Toc77400781"/>
      <w:bookmarkStart w:id="78" w:name="_Toc183682363"/>
      <w:r>
        <w:rPr>
          <w:rFonts w:hint="eastAsia" w:ascii="宋体" w:hAnsi="宋体" w:eastAsia="宋体" w:cs="宋体"/>
          <w:color w:val="000000" w:themeColor="text1"/>
          <w:sz w:val="24"/>
          <w:highlight w:val="none"/>
          <w14:textFill>
            <w14:solidFill>
              <w14:schemeClr w14:val="tx1"/>
            </w14:solidFill>
          </w14:textFill>
        </w:rPr>
        <w:t>19.响应文件的密封和标注（不属于本项目磋商小组评审范畴，由采购人、采购代理机构在接收响应文件时及时处理）</w:t>
      </w:r>
      <w:bookmarkEnd w:id="73"/>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19.1响应文件可以单独密封包装，也可以所有响应文件密封包装在一个密封袋内。</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19.2响应文件密封袋的最外层应清楚地标明采购项目名称、采购项目编号、包件号及名称（若有）、供应商名称。</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19.3所有外层密封袋的封口处应粘贴牢固。</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19.4未按以上要求进行密封和标注的响应文件，采购人、采购代理机构将拒收或者在时间允许的范围内，要求修改完善后接收。</w:t>
      </w:r>
    </w:p>
    <w:p>
      <w:pPr>
        <w:pStyle w:val="6"/>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79" w:name="_Toc29198"/>
      <w:r>
        <w:rPr>
          <w:rFonts w:hint="eastAsia" w:ascii="宋体" w:hAnsi="宋体" w:eastAsia="宋体" w:cs="宋体"/>
          <w:color w:val="000000" w:themeColor="text1"/>
          <w:sz w:val="24"/>
          <w:highlight w:val="none"/>
          <w14:textFill>
            <w14:solidFill>
              <w14:schemeClr w14:val="tx1"/>
            </w14:solidFill>
          </w14:textFill>
        </w:rPr>
        <w:t>20.响应文件的递交</w:t>
      </w:r>
      <w:bookmarkEnd w:id="79"/>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20.1资格性响应文件和其他响应文件应于递交响应文件截止时间前送达指定地点，采购代理机构拒绝接收截止时间后送达的响应文件。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20.2采购代理机构将向通过资格审查的供应商发出磋商邀请；告知未通过资格审查的供应商未通过的原因。</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20.3报价表在磋商后，磋商小组要求供应商进行最后报价时递交。</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20.4本次采购不接收邮寄的响应文件。</w:t>
      </w:r>
    </w:p>
    <w:bookmarkEnd w:id="74"/>
    <w:bookmarkEnd w:id="75"/>
    <w:bookmarkEnd w:id="76"/>
    <w:bookmarkEnd w:id="77"/>
    <w:bookmarkEnd w:id="78"/>
    <w:p>
      <w:pPr>
        <w:pStyle w:val="6"/>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80" w:name="_Toc29639"/>
      <w:bookmarkStart w:id="81" w:name="_Toc183582228"/>
      <w:bookmarkStart w:id="82" w:name="_Toc217446055"/>
      <w:bookmarkStart w:id="83" w:name="_Toc183682365"/>
      <w:r>
        <w:rPr>
          <w:rFonts w:hint="eastAsia" w:ascii="宋体" w:hAnsi="宋体" w:eastAsia="宋体" w:cs="宋体"/>
          <w:color w:val="000000" w:themeColor="text1"/>
          <w:sz w:val="24"/>
          <w:highlight w:val="none"/>
          <w14:textFill>
            <w14:solidFill>
              <w14:schemeClr w14:val="tx1"/>
            </w14:solidFill>
          </w14:textFill>
        </w:rPr>
        <w:t>21.响应文件的修改和撤回（补充、修改响应文件的密封和标注按照本章“19.响应文件的密封和标注”规定处理）</w:t>
      </w:r>
      <w:bookmarkEnd w:id="80"/>
    </w:p>
    <w:p>
      <w:pPr>
        <w:pStyle w:val="12"/>
        <w:spacing w:line="400" w:lineRule="exact"/>
        <w:ind w:firstLine="48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21.1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 供应商在提交响应文件截止时间前，可以对所提交的响应文件进行补充、修改或者撤回，补充、修改的内容与响应文件不一致的，以补充、修改的内容为准。</w:t>
      </w:r>
    </w:p>
    <w:p>
      <w:pPr>
        <w:adjustRightInd w:val="0"/>
        <w:snapToGrid w:val="0"/>
        <w:spacing w:line="400" w:lineRule="exact"/>
        <w:ind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21.2供应商对响应文件修改的书面材料或撤回的通知应该按规定进行编写、密封、标注和递送，并注明“修改响应文件”字样。</w:t>
      </w:r>
    </w:p>
    <w:p>
      <w:pPr>
        <w:adjustRightInd w:val="0"/>
        <w:snapToGrid w:val="0"/>
        <w:spacing w:line="400" w:lineRule="exact"/>
        <w:ind w:firstLine="48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21.3供应商不得在递交截止时间起至响应文件有效期期满前撤销其响应文件。否则将报财政部门进行处理。</w:t>
      </w:r>
    </w:p>
    <w:p>
      <w:pPr>
        <w:spacing w:line="400" w:lineRule="exact"/>
        <w:ind w:firstLine="48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21.4 响应文件中报价如果出现下列不一致的，可按以下原则进行修改：</w:t>
      </w:r>
    </w:p>
    <w:p>
      <w:pPr>
        <w:spacing w:line="400" w:lineRule="exact"/>
        <w:ind w:firstLine="48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（一）大写金额和小写金额不一致的，以大写金额为准，但大写金额文字存在错误的，应当先对大写金额的文字错误进行澄清、说明或者更正，再行修正。</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（二）总价金额与按单价汇总金额不一致的，以单价金额计算结果为准，但单</w:t>
      </w:r>
      <w:r>
        <w:rPr>
          <w:rFonts w:hint="eastAsia" w:ascii="宋体" w:hAnsi="宋体" w:eastAsia="宋体" w:cs="宋体"/>
          <w:color w:val="000000" w:themeColor="text1"/>
          <w:sz w:val="24"/>
          <w:highlight w:val="none"/>
          <w:lang w:val="en-US" w:eastAsia="zh-CN"/>
          <w14:textFill>
            <w14:solidFill>
              <w14:schemeClr w14:val="tx1"/>
            </w14:solidFill>
          </w14:textFill>
        </w:rPr>
        <w:t>价或者单价汇总金额存在数字或者文字错误的，应当先对数字或者文字错误进行澄清、说明或者更正，再行修正。</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（三）单价金额小数点或者百分比有明显错位的，以总价为准，修正单价。</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同时出现两种以上不一致的，按照上述规定的顺序修正。修正后的报价经供应</w:t>
      </w:r>
      <w:r>
        <w:rPr>
          <w:rFonts w:hint="eastAsia" w:ascii="宋体" w:hAnsi="宋体" w:eastAsia="宋体" w:cs="宋体"/>
          <w:color w:val="000000" w:themeColor="text1"/>
          <w:sz w:val="24"/>
          <w:highlight w:val="none"/>
          <w14:textFill>
            <w14:solidFill>
              <w14:schemeClr w14:val="tx1"/>
            </w14:solidFill>
          </w14:textFill>
        </w:rPr>
        <w:t>商确认后产生约束力，供应商不确认的，其响应文件作为无效处理。供应商确认采取书面且加盖单位公章或者供应商授权代表签字的方式。</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21.5供应商对其提交的响应文件的真实性、合法性承担法律责任。</w:t>
      </w:r>
    </w:p>
    <w:bookmarkEnd w:id="81"/>
    <w:bookmarkEnd w:id="82"/>
    <w:bookmarkEnd w:id="83"/>
    <w:p>
      <w:pPr>
        <w:pStyle w:val="5"/>
        <w:keepNext w:val="0"/>
        <w:keepLines w:val="0"/>
        <w:spacing w:line="360" w:lineRule="auto"/>
        <w:ind w:firstLine="200"/>
        <w:jc w:val="center"/>
        <w:rPr>
          <w:rFonts w:hint="eastAsia" w:ascii="宋体" w:hAnsi="宋体" w:eastAsia="宋体" w:cs="宋体"/>
          <w:color w:val="000000" w:themeColor="text1"/>
          <w:highlight w:val="none"/>
          <w14:textFill>
            <w14:solidFill>
              <w14:schemeClr w14:val="tx1"/>
            </w14:solidFill>
          </w14:textFill>
        </w:rPr>
      </w:pPr>
      <w:bookmarkStart w:id="84" w:name="_Toc23019"/>
      <w:bookmarkStart w:id="85" w:name="_Toc183582231"/>
      <w:bookmarkStart w:id="86" w:name="_Toc89075878"/>
      <w:bookmarkStart w:id="87" w:name="_Toc77400782"/>
      <w:bookmarkStart w:id="88" w:name="_Toc183682368"/>
      <w:bookmarkStart w:id="89" w:name="_Toc217446056"/>
      <w:r>
        <w:rPr>
          <w:rFonts w:hint="eastAsia" w:ascii="宋体" w:hAnsi="宋体" w:eastAsia="宋体" w:cs="宋体"/>
          <w:color w:val="000000" w:themeColor="text1"/>
          <w:highlight w:val="none"/>
          <w14:textFill>
            <w14:solidFill>
              <w14:schemeClr w14:val="tx1"/>
            </w14:solidFill>
          </w14:textFill>
        </w:rPr>
        <w:t>五、评审</w:t>
      </w:r>
      <w:bookmarkEnd w:id="84"/>
    </w:p>
    <w:p>
      <w:pPr>
        <w:pStyle w:val="6"/>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lang w:val="en-US" w:eastAsia="zh-CN"/>
          <w14:textFill>
            <w14:solidFill>
              <w14:schemeClr w14:val="tx1"/>
            </w14:solidFill>
          </w14:textFill>
        </w:rPr>
      </w:pPr>
      <w:bookmarkStart w:id="90" w:name="_Toc30928"/>
      <w:r>
        <w:rPr>
          <w:rFonts w:hint="eastAsia" w:ascii="宋体" w:hAnsi="宋体" w:eastAsia="宋体" w:cs="宋体"/>
          <w:color w:val="000000" w:themeColor="text1"/>
          <w:sz w:val="24"/>
          <w:highlight w:val="none"/>
          <w:lang w:val="en-US" w:eastAsia="zh-CN"/>
          <w14:textFill>
            <w14:solidFill>
              <w14:schemeClr w14:val="tx1"/>
            </w14:solidFill>
          </w14:textFill>
        </w:rPr>
        <w:t>22.磋商小组的组建及其评审工作按照有关法律制度和本文件第七章的规定进行。</w:t>
      </w:r>
    </w:p>
    <w:p>
      <w:pPr>
        <w:pStyle w:val="5"/>
        <w:keepNext w:val="0"/>
        <w:keepLines w:val="0"/>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六、成交事项</w:t>
      </w:r>
      <w:bookmarkEnd w:id="90"/>
    </w:p>
    <w:p>
      <w:pPr>
        <w:pStyle w:val="6"/>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lang w:val="en-US" w:eastAsia="zh-CN"/>
          <w14:textFill>
            <w14:solidFill>
              <w14:schemeClr w14:val="tx1"/>
            </w14:solidFill>
          </w14:textFill>
        </w:rPr>
      </w:pPr>
      <w:bookmarkStart w:id="91" w:name="_Toc14351"/>
      <w:r>
        <w:rPr>
          <w:rFonts w:hint="eastAsia" w:ascii="宋体" w:hAnsi="宋体" w:eastAsia="宋体" w:cs="宋体"/>
          <w:color w:val="000000" w:themeColor="text1"/>
          <w:sz w:val="24"/>
          <w:highlight w:val="none"/>
          <w:lang w:val="en-US" w:eastAsia="zh-CN"/>
          <w14:textFill>
            <w14:solidFill>
              <w14:schemeClr w14:val="tx1"/>
            </w14:solidFill>
          </w14:textFill>
        </w:rPr>
        <w:t>23.确定成交供应商</w:t>
      </w:r>
      <w:bookmarkEnd w:id="91"/>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采购人将按磋商小组推荐的成交候选供应商顺序确定成交供应商。</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23.1采购代理机构自评审结束后2个工作日内将磋商报告及有关资料送交采购人确定成交供应商。</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23.2采购人收到磋商报告及有关资料后，将在5个工作日内按照磋商报告中推荐的成交候选供应商顺序确定成交供应商。成交候选供应商并列的，采购人自主采取公平、择优的方式选择成交供应商。</w:t>
      </w:r>
      <w:r>
        <w:rPr>
          <w:rFonts w:hint="eastAsia" w:ascii="宋体" w:hAnsi="宋体" w:eastAsia="宋体" w:cs="宋体"/>
          <w:b/>
          <w:bCs/>
          <w:color w:val="000000" w:themeColor="text1"/>
          <w:sz w:val="24"/>
          <w:highlight w:val="none"/>
          <w:lang w:val="en-US" w:eastAsia="zh-CN"/>
          <w14:textFill>
            <w14:solidFill>
              <w14:schemeClr w14:val="tx1"/>
            </w14:solidFill>
          </w14:textFill>
        </w:rPr>
        <w:t>采购人应综合考虑节约能源、保护环境、扶持不发达地区和少数民族地区、促进中小企业发展等政府采购政策因素确定成交候选人。</w:t>
      </w:r>
      <w:r>
        <w:rPr>
          <w:rFonts w:hint="eastAsia" w:ascii="宋体" w:hAnsi="宋体" w:eastAsia="宋体" w:cs="宋体"/>
          <w:color w:val="000000" w:themeColor="text1"/>
          <w:sz w:val="24"/>
          <w:highlight w:val="none"/>
          <w:lang w:val="en-US" w:eastAsia="zh-CN"/>
          <w14:textFill>
            <w14:solidFill>
              <w14:schemeClr w14:val="tx1"/>
            </w14:solidFill>
          </w14:textFill>
        </w:rPr>
        <w:t>采购人逾期未确定成交供应商且不提出异议的，视为确定磋商报告提出的排序第一的供应商为成交供应商。</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23.3采购人确定成交供应商过程中，发现成交候选供应商有下列情形之一的，应当不予确定其为成交供应商：</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（1）发现成交候选供应商存在禁止参加本项目采购活动的违法行为的；</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（2）成交候选供应商因不可抗力，不能继续参加政府采购活动；</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（3）成交候选供应商无偿赠与或者低于成本价竞争；</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（4）成交候选供应商提供虚假材料；</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（5）成交候选供应商恶意串通。</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成交候选供应商有本条情形之一的，采购人可以确定后一位成交候选供应商为成交供应商，依次类推。无法确定成交供应商的，应当重新组织采购。</w:t>
      </w:r>
    </w:p>
    <w:p>
      <w:pPr>
        <w:pStyle w:val="6"/>
        <w:keepNext w:val="0"/>
        <w:keepLines w:val="0"/>
        <w:tabs>
          <w:tab w:val="left" w:pos="1080"/>
        </w:tabs>
        <w:spacing w:before="0" w:after="0" w:line="360" w:lineRule="auto"/>
        <w:ind w:firstLine="482" w:firstLineChars="200"/>
        <w:rPr>
          <w:rFonts w:hint="eastAsia" w:ascii="宋体" w:hAnsi="宋体" w:eastAsia="宋体" w:cs="宋体"/>
          <w:color w:val="000000" w:themeColor="text1"/>
          <w:sz w:val="24"/>
          <w:highlight w:val="none"/>
          <w:lang w:val="en-US" w:eastAsia="zh-CN"/>
          <w14:textFill>
            <w14:solidFill>
              <w14:schemeClr w14:val="tx1"/>
            </w14:solidFill>
          </w14:textFill>
        </w:rPr>
      </w:pPr>
      <w:bookmarkStart w:id="92" w:name="_Toc31914"/>
      <w:r>
        <w:rPr>
          <w:rFonts w:hint="eastAsia" w:ascii="宋体" w:hAnsi="宋体" w:eastAsia="宋体" w:cs="宋体"/>
          <w:color w:val="000000" w:themeColor="text1"/>
          <w:sz w:val="24"/>
          <w:highlight w:val="none"/>
          <w:lang w:val="en-US" w:eastAsia="zh-CN"/>
          <w14:textFill>
            <w14:solidFill>
              <w14:schemeClr w14:val="tx1"/>
            </w14:solidFill>
          </w14:textFill>
        </w:rPr>
        <w:t>24.</w:t>
      </w:r>
      <w:bookmarkEnd w:id="92"/>
      <w:r>
        <w:rPr>
          <w:rFonts w:hint="eastAsia" w:ascii="宋体" w:hAnsi="宋体" w:eastAsia="宋体" w:cs="宋体"/>
          <w:color w:val="000000" w:themeColor="text1"/>
          <w:sz w:val="24"/>
          <w:highlight w:val="none"/>
          <w:lang w:val="en-US" w:eastAsia="zh-CN"/>
          <w14:textFill>
            <w14:solidFill>
              <w14:schemeClr w14:val="tx1"/>
            </w14:solidFill>
          </w14:textFill>
        </w:rPr>
        <w:t>行贿犯罪档案查询和记录的使用</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根据《最高人民检察院关于行贿犯罪档案查询工作的规定》和《关于在政府采购活动中全面开展行贿犯罪档案查询的通知》（川检会[2016]5号）的要求，成交候选供应商单位及其现任法定代表人、主要负责人存在行贿犯罪记录的，成交后未签订政府采购合同的，将认定成交无效；成交后签订政府采购合同未履行的，将认定成交无效，同时撤销政府采购合同；成交后签订政府采购合同且已经履行的，将认定采购活动违法，由相关当事人承担赔偿责任。</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93" w:name="_Toc7361"/>
      <w:r>
        <w:rPr>
          <w:rFonts w:hint="eastAsia" w:ascii="宋体" w:hAnsi="宋体" w:eastAsia="宋体" w:cs="宋体"/>
          <w:color w:val="000000" w:themeColor="text1"/>
          <w:sz w:val="24"/>
          <w:highlight w:val="none"/>
          <w14:textFill>
            <w14:solidFill>
              <w14:schemeClr w14:val="tx1"/>
            </w14:solidFill>
          </w14:textFill>
        </w:rPr>
        <w:t>25.成交结果</w:t>
      </w:r>
      <w:bookmarkEnd w:id="93"/>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25.1采购人确定成交供应商后，及时书面通知采购代理机构，发出成交通知书并发布成交结果公告。</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25.2成交供应商应当及时领取成交通知书。</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25.3成家供应商不能及时领取成交通知书，采购人或者采购代理机应当通过邮寄、快递等方式将项目成交通知书送达成交供应商。</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94" w:name="_Toc21495"/>
      <w:r>
        <w:rPr>
          <w:rFonts w:hint="eastAsia" w:ascii="宋体" w:hAnsi="宋体" w:eastAsia="宋体" w:cs="宋体"/>
          <w:color w:val="000000" w:themeColor="text1"/>
          <w:sz w:val="24"/>
          <w:highlight w:val="none"/>
          <w14:textFill>
            <w14:solidFill>
              <w14:schemeClr w14:val="tx1"/>
            </w14:solidFill>
          </w14:textFill>
        </w:rPr>
        <w:t>26.成交通知书</w:t>
      </w:r>
      <w:bookmarkEnd w:id="94"/>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26.1成交通知书为签订政府采购合同的依据之一，是合同的有效组成部分。</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26.2成交通知书对采购人和成交供应商均具有法律效力。成交通知书发出后，采购人无正当理由改变成交结果，或者成交供应商无正当理由放弃成交的，将承担相应的法律责任。</w:t>
      </w:r>
    </w:p>
    <w:p>
      <w:pPr>
        <w:spacing w:line="360" w:lineRule="auto"/>
        <w:ind w:firstLine="480" w:firstLineChars="200"/>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26.3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pPr>
        <w:pStyle w:val="5"/>
        <w:keepNext w:val="0"/>
        <w:keepLines w:val="0"/>
        <w:spacing w:line="360" w:lineRule="auto"/>
        <w:ind w:firstLine="200"/>
        <w:jc w:val="center"/>
        <w:rPr>
          <w:rFonts w:hint="eastAsia" w:ascii="宋体" w:hAnsi="宋体" w:eastAsia="宋体" w:cs="宋体"/>
          <w:color w:val="000000" w:themeColor="text1"/>
          <w:highlight w:val="none"/>
          <w14:textFill>
            <w14:solidFill>
              <w14:schemeClr w14:val="tx1"/>
            </w14:solidFill>
          </w14:textFill>
        </w:rPr>
      </w:pPr>
      <w:bookmarkStart w:id="95" w:name="_Toc1105"/>
      <w:r>
        <w:rPr>
          <w:rFonts w:hint="eastAsia" w:ascii="宋体" w:hAnsi="宋体" w:eastAsia="宋体" w:cs="宋体"/>
          <w:color w:val="000000" w:themeColor="text1"/>
          <w:highlight w:val="none"/>
          <w14:textFill>
            <w14:solidFill>
              <w14:schemeClr w14:val="tx1"/>
            </w14:solidFill>
          </w14:textFill>
        </w:rPr>
        <w:t>七、合同事项</w:t>
      </w:r>
      <w:bookmarkEnd w:id="95"/>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96" w:name="_Toc209847069"/>
      <w:bookmarkStart w:id="97" w:name="_Toc23554"/>
      <w:bookmarkStart w:id="98" w:name="_Toc101338364"/>
      <w:bookmarkStart w:id="99" w:name="_Toc430773927"/>
      <w:bookmarkStart w:id="100" w:name="_Toc101250646"/>
      <w:bookmarkStart w:id="101" w:name="_Toc101174151"/>
      <w:r>
        <w:rPr>
          <w:rFonts w:hint="eastAsia" w:ascii="宋体" w:hAnsi="宋体" w:eastAsia="宋体" w:cs="宋体"/>
          <w:color w:val="000000" w:themeColor="text1"/>
          <w:sz w:val="24"/>
          <w:highlight w:val="none"/>
          <w14:textFill>
            <w14:solidFill>
              <w14:schemeClr w14:val="tx1"/>
            </w14:solidFill>
          </w14:textFill>
        </w:rPr>
        <w:t>27.签订合同</w:t>
      </w:r>
      <w:bookmarkEnd w:id="96"/>
      <w:bookmarkEnd w:id="97"/>
      <w:bookmarkEnd w:id="98"/>
      <w:bookmarkEnd w:id="99"/>
      <w:bookmarkEnd w:id="100"/>
      <w:bookmarkEnd w:id="101"/>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27.1 成交供应商应在成交通知书发出之日起三十日内与采购人签订采购合同。由于成交供应商的原因逾期未与采购人签订采购合同的，将视为放弃成交，取消其成交资格并将按相关规定进行处理。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27.2 磋商文件、成交供应商的响应文件及双方确认的澄清文件等，均为有法律约束力的合同组成部分。</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27.3 采购人不得向成交供应商提出任何不合理的要求，作为签订合同的条件，不得与成交供应商私下订立背离合同实质性内容的任何协议，所签订的合同不得对磋商文件和成交供应商响应文件确定的事项进行修改。</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27.4 成交供应商因不可抗力原因不能履行采购合同或放弃成交的，采购人可以与排在成交供应商之后第一位的成交候选人签订采购合同，以此类推。</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27.5竞争性磋商文件、成交供应商提交的响应文件、磋商中的最后报价、成交供应商承诺书、成交通知书等均称为有法律约束力的合同组成内容。</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2" w:name="_Toc6819"/>
      <w:r>
        <w:rPr>
          <w:rFonts w:hint="eastAsia" w:ascii="宋体" w:hAnsi="宋体" w:eastAsia="宋体" w:cs="宋体"/>
          <w:color w:val="000000" w:themeColor="text1"/>
          <w:sz w:val="24"/>
          <w:highlight w:val="none"/>
          <w14:textFill>
            <w14:solidFill>
              <w14:schemeClr w14:val="tx1"/>
            </w14:solidFill>
          </w14:textFill>
        </w:rPr>
        <w:t>28.合同分包（实质性要求）</w:t>
      </w:r>
      <w:bookmarkEnd w:id="102"/>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28.1 经采购人同意，成交供应商可以依法采取分包方式履行合同，但必须在响应文件中事前载明。这种要求应当在合同签订之前征得采购人同意，并且分包供应商履行的分包项目的品牌、规格型号及技术要求等，必须与成交的一致。</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分包履行合同的部分应当为采购项目的非主体、非关键性工作，不属于成交供应商的主要合同义务。</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28.2 采购合同实行分包履行的，成交供应商就采购项目和分包项目向采购人负责，分包供应商就分包项目承担责任。</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28.3 中小企业依据《政府采购促进中小企业发展管理办法》（财库﹝2020﹞46 号）规定的政策获取政府采购合同后，小型、微型企业不得分包或转包给大型、中型企业，中型企业不得分包或转包给大型企业。</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3" w:name="_Toc19928"/>
      <w:r>
        <w:rPr>
          <w:rFonts w:hint="eastAsia" w:ascii="宋体" w:hAnsi="宋体" w:eastAsia="宋体" w:cs="宋体"/>
          <w:color w:val="000000" w:themeColor="text1"/>
          <w:sz w:val="24"/>
          <w:highlight w:val="none"/>
          <w14:textFill>
            <w14:solidFill>
              <w14:schemeClr w14:val="tx1"/>
            </w14:solidFill>
          </w14:textFill>
        </w:rPr>
        <w:t>29.合同转包（实质性要求）</w:t>
      </w:r>
      <w:bookmarkEnd w:id="103"/>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成交供应商转包的，视同拒绝履行政府采购合同义务，将依法追究法律责任。</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4" w:name="_Toc26206"/>
      <w:r>
        <w:rPr>
          <w:rFonts w:hint="eastAsia" w:ascii="宋体" w:hAnsi="宋体" w:eastAsia="宋体" w:cs="宋体"/>
          <w:color w:val="000000" w:themeColor="text1"/>
          <w:sz w:val="24"/>
          <w:highlight w:val="none"/>
          <w14:textFill>
            <w14:solidFill>
              <w14:schemeClr w14:val="tx1"/>
            </w14:solidFill>
          </w14:textFill>
        </w:rPr>
        <w:t>30.补充合同</w:t>
      </w:r>
      <w:bookmarkEnd w:id="104"/>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xml:space="preserve">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5" w:name="_Toc18447"/>
      <w:r>
        <w:rPr>
          <w:rFonts w:hint="eastAsia" w:ascii="宋体" w:hAnsi="宋体" w:eastAsia="宋体" w:cs="宋体"/>
          <w:color w:val="000000" w:themeColor="text1"/>
          <w:sz w:val="24"/>
          <w:highlight w:val="none"/>
          <w14:textFill>
            <w14:solidFill>
              <w14:schemeClr w14:val="tx1"/>
            </w14:solidFill>
          </w14:textFill>
        </w:rPr>
        <w:t>31.履约保证金（实质性要求）</w:t>
      </w:r>
      <w:bookmarkEnd w:id="105"/>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w:t>
      </w:r>
      <w:r>
        <w:rPr>
          <w:rFonts w:hint="eastAsia" w:ascii="宋体" w:hAnsi="宋体" w:eastAsia="宋体" w:cs="宋体"/>
          <w:b/>
          <w:bCs/>
          <w:color w:val="000000" w:themeColor="text1"/>
          <w:sz w:val="24"/>
          <w:highlight w:val="none"/>
          <w14:textFill>
            <w14:solidFill>
              <w14:schemeClr w14:val="tx1"/>
            </w14:solidFill>
          </w14:textFill>
        </w:rPr>
        <w:t>不收取</w:t>
      </w:r>
      <w:r>
        <w:rPr>
          <w:rFonts w:hint="eastAsia" w:ascii="宋体" w:hAnsi="宋体" w:eastAsia="宋体" w:cs="宋体"/>
          <w:color w:val="000000" w:themeColor="text1"/>
          <w:sz w:val="24"/>
          <w:highlight w:val="none"/>
          <w14:textFill>
            <w14:solidFill>
              <w14:schemeClr w14:val="tx1"/>
            </w14:solidFill>
          </w14:textFill>
        </w:rPr>
        <w:t>履约保证金。</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31.1成交供应商应在合同签订之前交纳采购文件规定数额的履约保证金。</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31.2如果成交供应商在规定的合同签订时间内，没有按照采购文件的规定交纳履约保证金，且又无正当理由的，将视为放弃成交。</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6" w:name="_Toc7205"/>
      <w:r>
        <w:rPr>
          <w:rFonts w:hint="eastAsia" w:ascii="宋体" w:hAnsi="宋体" w:eastAsia="宋体" w:cs="宋体"/>
          <w:color w:val="000000" w:themeColor="text1"/>
          <w:sz w:val="24"/>
          <w:highlight w:val="none"/>
          <w14:textFill>
            <w14:solidFill>
              <w14:schemeClr w14:val="tx1"/>
            </w14:solidFill>
          </w14:textFill>
        </w:rPr>
        <w:t>32.合同公告</w:t>
      </w:r>
      <w:bookmarkEnd w:id="106"/>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采购人应当自政府采购合同签订（双方当事人均已签字盖章）之日起2个工作日内，将政府采购合同在四川政府采购网上公告，但政府采购合同中涉及国家秘密、商业秘密的内容除外。</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7" w:name="_Toc916"/>
      <w:r>
        <w:rPr>
          <w:rFonts w:hint="eastAsia" w:ascii="宋体" w:hAnsi="宋体" w:eastAsia="宋体" w:cs="宋体"/>
          <w:color w:val="000000" w:themeColor="text1"/>
          <w:sz w:val="24"/>
          <w:highlight w:val="none"/>
          <w14:textFill>
            <w14:solidFill>
              <w14:schemeClr w14:val="tx1"/>
            </w14:solidFill>
          </w14:textFill>
        </w:rPr>
        <w:t>33.合同备案</w:t>
      </w:r>
      <w:bookmarkEnd w:id="107"/>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采购人应当将政府采购合同副本自签订（双方当事人均已签字盖章）之日起七个工作日内通过四川政府采购网报同级财政部门备案。</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8" w:name="_Toc29857"/>
      <w:r>
        <w:rPr>
          <w:rFonts w:hint="eastAsia" w:ascii="宋体" w:hAnsi="宋体" w:eastAsia="宋体" w:cs="宋体"/>
          <w:color w:val="000000" w:themeColor="text1"/>
          <w:sz w:val="24"/>
          <w:highlight w:val="none"/>
          <w14:textFill>
            <w14:solidFill>
              <w14:schemeClr w14:val="tx1"/>
            </w14:solidFill>
          </w14:textFill>
        </w:rPr>
        <w:t>34.履行合同</w:t>
      </w:r>
      <w:bookmarkEnd w:id="108"/>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34.1成交供应商与采购人签订合同后，合同双方应严格执行合同条款，履行合同规定的义务，保证合同的顺利完成。</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34.2在合同履行过程中，如发生合同纠纷，合同双方应按照《民法典》的有关规定进行处理。</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09" w:name="_Toc29724"/>
      <w:r>
        <w:rPr>
          <w:rFonts w:hint="eastAsia" w:ascii="宋体" w:hAnsi="宋体" w:eastAsia="宋体" w:cs="宋体"/>
          <w:color w:val="000000" w:themeColor="text1"/>
          <w:sz w:val="24"/>
          <w:highlight w:val="none"/>
          <w14:textFill>
            <w14:solidFill>
              <w14:schemeClr w14:val="tx1"/>
            </w14:solidFill>
          </w14:textFill>
        </w:rPr>
        <w:t>35.验收</w:t>
      </w:r>
      <w:bookmarkEnd w:id="109"/>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35.1本项目将严格按照政府采购相关法律法规以及《财政部关于进一步加强政府采购需求和履约验收管理的指导意见》（财库〔2016〕205 号）的要求进行验收。</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35.2 验收结果合格的，成交供应商凭采购人出具的验收合格书面证明到采购人处办理相关手续；验收结果不合格的，将不予支付采购资金，还可能会报本项目同级财政部门</w:t>
      </w:r>
      <w:r>
        <w:rPr>
          <w:rFonts w:hint="eastAsia" w:ascii="宋体" w:hAnsi="宋体" w:eastAsia="宋体" w:cs="宋体"/>
          <w:color w:val="000000" w:themeColor="text1"/>
          <w:sz w:val="24"/>
          <w:highlight w:val="none"/>
          <w:lang w:eastAsia="zh-CN"/>
          <w14:textFill>
            <w14:solidFill>
              <w14:schemeClr w14:val="tx1"/>
            </w14:solidFill>
          </w14:textFill>
        </w:rPr>
        <w:t>，将严格</w:t>
      </w:r>
      <w:r>
        <w:rPr>
          <w:rFonts w:hint="eastAsia" w:ascii="宋体" w:hAnsi="宋体" w:eastAsia="宋体" w:cs="宋体"/>
          <w:color w:val="000000" w:themeColor="text1"/>
          <w:sz w:val="24"/>
          <w:highlight w:val="none"/>
          <w14:textFill>
            <w14:solidFill>
              <w14:schemeClr w14:val="tx1"/>
            </w14:solidFill>
          </w14:textFill>
        </w:rPr>
        <w:t>按照《四川省公共资源交易领域严重失信联合惩戒实施办法》（川发改信用规〔2019〕405号）、《关于对政府采购领域严重违法失信主体开展联合惩戒的合作备忘录》（发改财金〔2018〕1614号）</w:t>
      </w:r>
      <w:r>
        <w:rPr>
          <w:rFonts w:hint="eastAsia" w:ascii="宋体" w:hAnsi="宋体" w:eastAsia="宋体" w:cs="宋体"/>
          <w:color w:val="000000" w:themeColor="text1"/>
          <w:sz w:val="24"/>
          <w:highlight w:val="none"/>
          <w:lang w:eastAsia="zh-CN"/>
          <w14:textFill>
            <w14:solidFill>
              <w14:schemeClr w14:val="tx1"/>
            </w14:solidFill>
          </w14:textFill>
        </w:rPr>
        <w:t>等</w:t>
      </w:r>
      <w:r>
        <w:rPr>
          <w:rFonts w:hint="eastAsia" w:ascii="宋体" w:hAnsi="宋体" w:eastAsia="宋体" w:cs="宋体"/>
          <w:color w:val="000000" w:themeColor="text1"/>
          <w:sz w:val="24"/>
          <w:highlight w:val="none"/>
          <w14:textFill>
            <w14:solidFill>
              <w14:schemeClr w14:val="tx1"/>
            </w14:solidFill>
          </w14:textFill>
        </w:rPr>
        <w:t>政府采购法律法规</w:t>
      </w:r>
      <w:r>
        <w:rPr>
          <w:rFonts w:hint="eastAsia" w:ascii="宋体" w:hAnsi="宋体" w:eastAsia="宋体" w:cs="宋体"/>
          <w:color w:val="000000" w:themeColor="text1"/>
          <w:sz w:val="24"/>
          <w:highlight w:val="none"/>
          <w:lang w:eastAsia="zh-CN"/>
          <w14:textFill>
            <w14:solidFill>
              <w14:schemeClr w14:val="tx1"/>
            </w14:solidFill>
          </w14:textFill>
        </w:rPr>
        <w:t>相关规定</w:t>
      </w:r>
      <w:r>
        <w:rPr>
          <w:rFonts w:hint="eastAsia" w:ascii="宋体" w:hAnsi="宋体" w:eastAsia="宋体" w:cs="宋体"/>
          <w:color w:val="000000" w:themeColor="text1"/>
          <w:sz w:val="24"/>
          <w:highlight w:val="none"/>
          <w14:textFill>
            <w14:solidFill>
              <w14:schemeClr w14:val="tx1"/>
            </w14:solidFill>
          </w14:textFill>
        </w:rPr>
        <w:t>执行。</w:t>
      </w:r>
    </w:p>
    <w:p>
      <w:pPr>
        <w:pStyle w:val="6"/>
        <w:keepNext w:val="0"/>
        <w:keepLines w:val="0"/>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10" w:name="_Toc25527"/>
      <w:r>
        <w:rPr>
          <w:rFonts w:hint="eastAsia" w:ascii="宋体" w:hAnsi="宋体" w:eastAsia="宋体" w:cs="宋体"/>
          <w:color w:val="000000" w:themeColor="text1"/>
          <w:sz w:val="24"/>
          <w:highlight w:val="none"/>
          <w14:textFill>
            <w14:solidFill>
              <w14:schemeClr w14:val="tx1"/>
            </w14:solidFill>
          </w14:textFill>
        </w:rPr>
        <w:t>36.资金支付</w:t>
      </w:r>
      <w:bookmarkEnd w:id="110"/>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采购人将按照政府采购合同规定，及时向成交供应商支付采购资金。</w:t>
      </w:r>
    </w:p>
    <w:p>
      <w:pPr>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本项目采购资金支付程序详见</w:t>
      </w:r>
      <w:r>
        <w:rPr>
          <w:rFonts w:hint="eastAsia" w:ascii="宋体" w:hAnsi="宋体" w:eastAsia="宋体" w:cs="宋体"/>
          <w:b/>
          <w:bCs/>
          <w:color w:val="000000" w:themeColor="text1"/>
          <w:sz w:val="24"/>
          <w:highlight w:val="none"/>
          <w14:textFill>
            <w14:solidFill>
              <w14:schemeClr w14:val="tx1"/>
            </w14:solidFill>
          </w14:textFill>
        </w:rPr>
        <w:t>第五章</w:t>
      </w:r>
      <w:r>
        <w:rPr>
          <w:rFonts w:hint="eastAsia" w:ascii="宋体" w:hAnsi="宋体" w:eastAsia="宋体" w:cs="宋体"/>
          <w:color w:val="000000" w:themeColor="text1"/>
          <w:sz w:val="24"/>
          <w:highlight w:val="none"/>
          <w14:textFill>
            <w14:solidFill>
              <w14:schemeClr w14:val="tx1"/>
            </w14:solidFill>
          </w14:textFill>
        </w:rPr>
        <w:t>。</w:t>
      </w:r>
    </w:p>
    <w:p>
      <w:pPr>
        <w:pStyle w:val="5"/>
        <w:keepNext w:val="0"/>
        <w:keepLines w:val="0"/>
        <w:spacing w:before="0" w:after="0" w:line="360" w:lineRule="auto"/>
        <w:ind w:firstLine="200"/>
        <w:jc w:val="center"/>
        <w:rPr>
          <w:rFonts w:hint="eastAsia" w:ascii="宋体" w:hAnsi="宋体" w:eastAsia="宋体" w:cs="宋体"/>
          <w:color w:val="000000" w:themeColor="text1"/>
          <w:highlight w:val="none"/>
          <w14:textFill>
            <w14:solidFill>
              <w14:schemeClr w14:val="tx1"/>
            </w14:solidFill>
          </w14:textFill>
        </w:rPr>
      </w:pPr>
      <w:bookmarkStart w:id="111" w:name="_Toc22766"/>
      <w:r>
        <w:rPr>
          <w:rFonts w:hint="eastAsia" w:ascii="宋体" w:hAnsi="宋体" w:eastAsia="宋体" w:cs="宋体"/>
          <w:color w:val="000000" w:themeColor="text1"/>
          <w:highlight w:val="none"/>
          <w14:textFill>
            <w14:solidFill>
              <w14:schemeClr w14:val="tx1"/>
            </w14:solidFill>
          </w14:textFill>
        </w:rPr>
        <w:t>八、磋商纪律要求</w:t>
      </w:r>
      <w:bookmarkEnd w:id="111"/>
    </w:p>
    <w:p>
      <w:pPr>
        <w:pStyle w:val="6"/>
        <w:keepNext w:val="0"/>
        <w:keepLines w:val="0"/>
        <w:tabs>
          <w:tab w:val="left" w:pos="851"/>
        </w:tabs>
        <w:spacing w:before="0" w:after="0" w:line="360" w:lineRule="auto"/>
        <w:ind w:firstLine="482" w:firstLineChars="200"/>
        <w:rPr>
          <w:rFonts w:hint="eastAsia" w:ascii="宋体" w:hAnsi="宋体" w:eastAsia="宋体" w:cs="宋体"/>
          <w:color w:val="000000" w:themeColor="text1"/>
          <w:sz w:val="24"/>
          <w:highlight w:val="none"/>
          <w14:textFill>
            <w14:solidFill>
              <w14:schemeClr w14:val="tx1"/>
            </w14:solidFill>
          </w14:textFill>
        </w:rPr>
      </w:pPr>
      <w:bookmarkStart w:id="112" w:name="_Toc17062"/>
      <w:r>
        <w:rPr>
          <w:rFonts w:hint="eastAsia" w:ascii="宋体" w:hAnsi="宋体" w:eastAsia="宋体" w:cs="宋体"/>
          <w:color w:val="000000" w:themeColor="text1"/>
          <w:sz w:val="24"/>
          <w:highlight w:val="none"/>
          <w14:textFill>
            <w14:solidFill>
              <w14:schemeClr w14:val="tx1"/>
            </w14:solidFill>
          </w14:textFill>
        </w:rPr>
        <w:t>37.供应商不得具有的情形</w:t>
      </w:r>
      <w:bookmarkEnd w:id="112"/>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供应商参加本项目磋商不得有下列情形：</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（1）提供虚假材料谋取成交；</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（2）采取不正当手段诋毁、排挤其他供应商；</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（3）与采购人、采购代理机构、或其他供应商恶意串通；</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（4）向采购人、采购代理机构、磋商小组成员行贿或者提供其他不正当利益；</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（5）在磋商过程中与采购人、采购代理机构进行协商；</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（6）成交后无正当理由拒不与采购人签订政府采购合同；</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（7）未按照磋商文件确定的事项签订政府采购合同；</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（8）将政府采购合同转包或者违规分包；</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（9）提供假冒伪劣产品；</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（10）擅自变更、中止或者终止政府采购合同；</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（11）拒绝有关部门的监督检查或者向监督检查部门提供虚假情况；</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（12）法律法规规定的其他情形。</w:t>
      </w:r>
    </w:p>
    <w:p>
      <w:pPr>
        <w:tabs>
          <w:tab w:val="left" w:pos="851"/>
        </w:tabs>
        <w:spacing w:line="360" w:lineRule="auto"/>
        <w:ind w:firstLine="48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供应商有上述情形的，按照规定追究法律责任，具备（1）-（10）条情形之一的，同时将取消被确认为成交供应商的资格或者认定成交无效。</w:t>
      </w:r>
    </w:p>
    <w:p>
      <w:pPr>
        <w:tabs>
          <w:tab w:val="left" w:pos="851"/>
        </w:tabs>
        <w:spacing w:line="360" w:lineRule="auto"/>
        <w:ind w:firstLine="200"/>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九、询问、质疑和投诉</w:t>
      </w:r>
    </w:p>
    <w:p>
      <w:pPr>
        <w:pStyle w:val="6"/>
        <w:keepNext w:val="0"/>
        <w:keepLines w:val="0"/>
        <w:tabs>
          <w:tab w:val="left" w:pos="851"/>
        </w:tabs>
        <w:spacing w:before="0" w:after="0" w:line="360" w:lineRule="auto"/>
        <w:ind w:firstLine="480" w:firstLineChars="200"/>
        <w:rPr>
          <w:rFonts w:hint="eastAsia" w:ascii="宋体" w:hAnsi="宋体" w:eastAsia="宋体" w:cs="宋体"/>
          <w:color w:val="000000" w:themeColor="text1"/>
          <w:highlight w:val="none"/>
          <w14:textFill>
            <w14:solidFill>
              <w14:schemeClr w14:val="tx1"/>
            </w14:solidFill>
          </w14:textFill>
        </w:rPr>
      </w:pPr>
      <w:bookmarkStart w:id="113" w:name="_Toc10519"/>
      <w:r>
        <w:rPr>
          <w:rFonts w:hint="eastAsia" w:ascii="宋体" w:hAnsi="宋体" w:eastAsia="宋体" w:cs="宋体"/>
          <w:b w:val="0"/>
          <w:bCs/>
          <w:color w:val="000000" w:themeColor="text1"/>
          <w:kern w:val="2"/>
          <w:sz w:val="24"/>
          <w:szCs w:val="32"/>
          <w:highlight w:val="none"/>
          <w:lang w:val="en-US" w:eastAsia="zh-CN" w:bidi="ar-SA"/>
          <w14:textFill>
            <w14:solidFill>
              <w14:schemeClr w14:val="tx1"/>
            </w14:solidFill>
          </w14:textFill>
        </w:rPr>
        <w:t>38.询问、质疑、投诉的接收和处理严格按照《中华人民共和国政府采购法》、《中华人民共和国政府采购法实施条例》、《政府采购质疑和投诉办法（财政部第 94 号令）》、《财政部关于加强政府采购供应商投诉受理审查工作的通知》和四川省的有关规定办理（详细规定请在四川政府采购网政策法规模块查询）。</w:t>
      </w:r>
      <w:bookmarkEnd w:id="113"/>
    </w:p>
    <w:p>
      <w:pPr>
        <w:tabs>
          <w:tab w:val="left" w:pos="851"/>
        </w:tabs>
        <w:spacing w:line="360" w:lineRule="auto"/>
        <w:ind w:firstLine="200"/>
        <w:jc w:val="center"/>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t>十、其  他</w:t>
      </w:r>
    </w:p>
    <w:p>
      <w:pPr>
        <w:pStyle w:val="6"/>
        <w:keepNext w:val="0"/>
        <w:keepLines w:val="0"/>
        <w:tabs>
          <w:tab w:val="left" w:pos="851"/>
        </w:tabs>
        <w:spacing w:before="0" w:after="0" w:line="360" w:lineRule="auto"/>
        <w:ind w:firstLine="480" w:firstLineChars="200"/>
        <w:rPr>
          <w:rFonts w:hint="eastAsia" w:ascii="宋体" w:hAnsi="宋体" w:eastAsia="宋体" w:cs="宋体"/>
          <w:b w:val="0"/>
          <w:bCs w:val="0"/>
          <w:color w:val="000000" w:themeColor="text1"/>
          <w:sz w:val="24"/>
          <w:highlight w:val="none"/>
          <w14:textFill>
            <w14:solidFill>
              <w14:schemeClr w14:val="tx1"/>
            </w14:solidFill>
          </w14:textFill>
        </w:rPr>
      </w:pPr>
      <w:bookmarkStart w:id="114" w:name="_Toc24153"/>
      <w:r>
        <w:rPr>
          <w:rFonts w:hint="eastAsia" w:ascii="宋体" w:hAnsi="宋体" w:eastAsia="宋体" w:cs="宋体"/>
          <w:b w:val="0"/>
          <w:bCs w:val="0"/>
          <w:color w:val="000000" w:themeColor="text1"/>
          <w:sz w:val="24"/>
          <w:highlight w:val="none"/>
          <w14:textFill>
            <w14:solidFill>
              <w14:schemeClr w14:val="tx1"/>
            </w14:solidFill>
          </w14:textFill>
        </w:rPr>
        <w:t>39.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bookmarkEnd w:id="114"/>
    </w:p>
    <w:p>
      <w:pPr>
        <w:rPr>
          <w:rFonts w:hint="eastAsia" w:ascii="宋体" w:hAnsi="宋体" w:eastAsia="宋体" w:cs="宋体"/>
          <w:b w:val="0"/>
          <w:bCs w:val="0"/>
          <w:color w:val="000000" w:themeColor="text1"/>
          <w:sz w:val="24"/>
          <w:highlight w:val="none"/>
          <w14:textFill>
            <w14:solidFill>
              <w14:schemeClr w14:val="tx1"/>
            </w14:solidFill>
          </w14:textFill>
        </w:rPr>
      </w:pPr>
    </w:p>
    <w:p>
      <w:pPr>
        <w:pStyle w:val="4"/>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b w:val="0"/>
          <w:bCs w:val="0"/>
          <w:color w:val="000000" w:themeColor="text1"/>
          <w:kern w:val="2"/>
          <w:sz w:val="24"/>
          <w:szCs w:val="32"/>
          <w:highlight w:val="none"/>
          <w:lang w:val="en-US" w:eastAsia="zh-CN" w:bidi="ar-SA"/>
          <w14:textFill>
            <w14:solidFill>
              <w14:schemeClr w14:val="tx1"/>
            </w14:solidFill>
          </w14:textFill>
        </w:rPr>
        <w:br w:type="page"/>
      </w:r>
      <w:bookmarkStart w:id="115" w:name="_Toc7961745"/>
      <w:bookmarkStart w:id="116" w:name="_Toc32478"/>
      <w:bookmarkStart w:id="117" w:name="_Toc13841"/>
      <w:bookmarkStart w:id="118" w:name="_Toc23984"/>
      <w:r>
        <w:rPr>
          <w:rFonts w:hint="eastAsia" w:ascii="宋体" w:hAnsi="宋体" w:eastAsia="宋体" w:cs="宋体"/>
          <w:color w:val="000000" w:themeColor="text1"/>
          <w:sz w:val="36"/>
          <w:szCs w:val="36"/>
          <w:highlight w:val="none"/>
          <w14:textFill>
            <w14:solidFill>
              <w14:schemeClr w14:val="tx1"/>
            </w14:solidFill>
          </w14:textFill>
        </w:rPr>
        <w:t>第三章  供应商的资格、资质性及其他类似效力要求</w:t>
      </w:r>
      <w:bookmarkEnd w:id="115"/>
      <w:bookmarkEnd w:id="116"/>
      <w:bookmarkEnd w:id="117"/>
      <w:bookmarkEnd w:id="118"/>
    </w:p>
    <w:p>
      <w:pPr>
        <w:pStyle w:val="67"/>
        <w:ind w:firstLine="195" w:firstLineChars="81"/>
        <w:rPr>
          <w:rFonts w:hint="eastAsia" w:ascii="宋体" w:hAnsi="宋体" w:eastAsia="宋体" w:cs="宋体"/>
          <w:b/>
          <w:bCs/>
          <w:color w:val="000000" w:themeColor="text1"/>
          <w:sz w:val="24"/>
          <w:szCs w:val="22"/>
          <w:highlight w:val="none"/>
          <w14:textFill>
            <w14:solidFill>
              <w14:schemeClr w14:val="tx1"/>
            </w14:solidFill>
          </w14:textFill>
        </w:rPr>
      </w:pPr>
    </w:p>
    <w:p>
      <w:pPr>
        <w:pStyle w:val="67"/>
        <w:spacing w:line="360" w:lineRule="auto"/>
        <w:ind w:firstLine="195" w:firstLineChars="81"/>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一、参加磋商的供应商应具备下列资格条件：</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（一）满足《中华人民共和国政府采购法》第二十二条规定：</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1、具有独立承担民事责任的能力；</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2、具有良好的商业信誉和健全的财务会计制度；</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3、具有履行合同所必需的设备和专业技术能力；</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4、具有依法缴纳税收和社会保障资金的良好记录；</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5、参加本次政府采购活动前三年内，在经营活动中没有重大违法记录；</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6</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、法律、行政法规规定的其他条件。</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（二）落实政府采购政策需满足的资格要求：</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无</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（三）本项目的特定资格要求：</w:t>
      </w:r>
      <w:r>
        <w:rPr>
          <w:rFonts w:hint="eastAsia" w:ascii="宋体" w:hAnsi="宋体" w:cs="宋体"/>
          <w:color w:val="000000" w:themeColor="text1"/>
          <w:kern w:val="2"/>
          <w:sz w:val="24"/>
          <w:szCs w:val="24"/>
          <w:highlight w:val="none"/>
          <w:lang w:val="en-US" w:eastAsia="zh-CN" w:bidi="ar-SA"/>
          <w14:textFill>
            <w14:solidFill>
              <w14:schemeClr w14:val="tx1"/>
            </w14:solidFill>
          </w14:textFill>
        </w:rPr>
        <w:t>无</w:t>
      </w: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w:t>
      </w:r>
    </w:p>
    <w:p>
      <w:pPr>
        <w:pStyle w:val="67"/>
        <w:spacing w:line="360" w:lineRule="auto"/>
        <w:ind w:firstLine="195" w:firstLineChars="81"/>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二、其他类似效力要求：</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1、</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参加本项目政府采购活动的供应商及其现任法定代表人/主要负责人不得具有行贿犯罪记录；</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2、</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供应商之间，单位负责人不为同一人而且不存在直接控股、管理关系。</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3、</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未参加过本项目整体设计、规范编制或者项目管理、监理、检测等服务；</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4、</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pStyle w:val="67"/>
        <w:spacing w:line="360" w:lineRule="auto"/>
        <w:ind w:firstLine="720" w:firstLineChars="3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5、</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本项目不接受联合体参与采购活动。</w:t>
      </w:r>
    </w:p>
    <w:p>
      <w:pPr>
        <w:spacing w:line="360" w:lineRule="auto"/>
        <w:ind w:firstLine="474" w:firstLineChars="225"/>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t>注：1.本项目确定供应商重大违法记录中较大数额罚款的金额标准是指：若采购项目所属行业行政主管部门对较大数额罚款金额标准有明文规定的，以所属行业行政主管部门规定的较大数额罚款金额标准；若采购项目所属行业行政主管部门对较大数额罚款金额标准未明文规定的，以四川省人民政府规定的行政处罚罚款听证标准金额为准。</w:t>
      </w:r>
    </w:p>
    <w:p>
      <w:pPr>
        <w:pStyle w:val="67"/>
        <w:numPr>
          <w:ilvl w:val="0"/>
          <w:numId w:val="0"/>
        </w:numPr>
        <w:tabs>
          <w:tab w:val="left" w:pos="0"/>
        </w:tabs>
        <w:ind w:left="0" w:leftChars="0" w:firstLine="430" w:firstLineChars="204"/>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pPr>
      <w:r>
        <w:rPr>
          <w:rFonts w:hint="eastAsia" w:ascii="宋体" w:hAnsi="宋体" w:eastAsia="宋体" w:cs="宋体"/>
          <w:b/>
          <w:color w:val="000000" w:themeColor="text1"/>
          <w:kern w:val="2"/>
          <w:sz w:val="21"/>
          <w:szCs w:val="24"/>
          <w:highlight w:val="none"/>
          <w:lang w:val="en-US" w:eastAsia="zh-CN" w:bidi="ar-SA"/>
          <w14:textFill>
            <w14:solidFill>
              <w14:schemeClr w14:val="tx1"/>
            </w14:solidFill>
          </w14:textFill>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4"/>
        <w:keepNext w:val="0"/>
        <w:keepLines w:val="0"/>
        <w:spacing w:before="0" w:after="0" w:line="240" w:lineRule="auto"/>
        <w:jc w:val="center"/>
        <w:rPr>
          <w:rFonts w:hint="eastAsia" w:ascii="宋体" w:hAnsi="宋体" w:eastAsia="宋体" w:cs="宋体"/>
          <w:b/>
          <w:bCs/>
          <w:color w:val="000000" w:themeColor="text1"/>
          <w:sz w:val="24"/>
          <w:szCs w:val="22"/>
          <w:highlight w:val="none"/>
          <w14:textFill>
            <w14:solidFill>
              <w14:schemeClr w14:val="tx1"/>
            </w14:solidFill>
          </w14:textFill>
        </w:rPr>
      </w:pPr>
      <w:r>
        <w:rPr>
          <w:rFonts w:hint="eastAsia" w:ascii="宋体" w:hAnsi="宋体" w:eastAsia="宋体" w:cs="宋体"/>
          <w:color w:val="000000" w:themeColor="text1"/>
          <w:sz w:val="32"/>
          <w:szCs w:val="32"/>
          <w:highlight w:val="none"/>
          <w14:textFill>
            <w14:solidFill>
              <w14:schemeClr w14:val="tx1"/>
            </w14:solidFill>
          </w14:textFill>
        </w:rPr>
        <w:br w:type="page"/>
      </w:r>
      <w:bookmarkStart w:id="119" w:name="_Toc31811"/>
      <w:bookmarkStart w:id="120" w:name="_Toc28172"/>
      <w:bookmarkStart w:id="121" w:name="_Toc7961746"/>
      <w:bookmarkStart w:id="122" w:name="_Toc31689"/>
      <w:r>
        <w:rPr>
          <w:rFonts w:hint="eastAsia" w:ascii="宋体" w:hAnsi="宋体" w:eastAsia="宋体" w:cs="宋体"/>
          <w:color w:val="000000" w:themeColor="text1"/>
          <w:sz w:val="36"/>
          <w:szCs w:val="36"/>
          <w:highlight w:val="none"/>
          <w14:textFill>
            <w14:solidFill>
              <w14:schemeClr w14:val="tx1"/>
            </w14:solidFill>
          </w14:textFill>
        </w:rPr>
        <w:t>第四章  供应商的资格、资质性及其他类似效力要求证明材料</w:t>
      </w:r>
      <w:bookmarkEnd w:id="119"/>
      <w:bookmarkEnd w:id="120"/>
      <w:bookmarkEnd w:id="121"/>
      <w:bookmarkEnd w:id="122"/>
    </w:p>
    <w:tbl>
      <w:tblPr>
        <w:tblStyle w:val="30"/>
        <w:tblW w:w="93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3164"/>
        <w:gridCol w:w="55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395" w:type="dxa"/>
            <w:gridSpan w:val="3"/>
            <w:noWrap w:val="0"/>
            <w:vAlign w:val="center"/>
          </w:tcPr>
          <w:p>
            <w:pPr>
              <w:spacing w:line="240" w:lineRule="auto"/>
              <w:jc w:val="center"/>
              <w:rPr>
                <w:rFonts w:hint="eastAsia" w:ascii="宋体" w:hAnsi="宋体" w:eastAsia="宋体" w:cs="宋体"/>
                <w:b/>
                <w:color w:val="000000" w:themeColor="text1"/>
                <w:sz w:val="22"/>
                <w:szCs w:val="22"/>
                <w:highlight w:val="none"/>
                <w14:textFill>
                  <w14:solidFill>
                    <w14:schemeClr w14:val="tx1"/>
                  </w14:solidFill>
                </w14:textFill>
              </w:rPr>
            </w:pPr>
            <w:r>
              <w:rPr>
                <w:rFonts w:hint="eastAsia" w:ascii="宋体" w:hAnsi="宋体" w:eastAsia="宋体" w:cs="宋体"/>
                <w:b/>
                <w:color w:val="000000" w:themeColor="text1"/>
                <w:sz w:val="22"/>
                <w:szCs w:val="22"/>
                <w:highlight w:val="none"/>
                <w14:textFill>
                  <w14:solidFill>
                    <w14:schemeClr w14:val="tx1"/>
                  </w14:solidFill>
                </w14:textFill>
              </w:rPr>
              <w:t>供应商资格、资质性要求相关证明材料对应表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95" w:type="dxa"/>
            <w:noWrap w:val="0"/>
            <w:vAlign w:val="center"/>
          </w:tcPr>
          <w:p>
            <w:pPr>
              <w:spacing w:line="240" w:lineRule="auto"/>
              <w:jc w:val="center"/>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序号</w:t>
            </w:r>
          </w:p>
        </w:tc>
        <w:tc>
          <w:tcPr>
            <w:tcW w:w="3164" w:type="dxa"/>
            <w:noWrap w:val="0"/>
            <w:vAlign w:val="center"/>
          </w:tcPr>
          <w:p>
            <w:pPr>
              <w:spacing w:line="240" w:lineRule="auto"/>
              <w:jc w:val="center"/>
              <w:rPr>
                <w:rFonts w:hint="eastAsia" w:ascii="宋体" w:hAnsi="宋体" w:eastAsia="宋体" w:cs="宋体"/>
                <w:b/>
                <w:color w:val="000000" w:themeColor="text1"/>
                <w:sz w:val="22"/>
                <w:szCs w:val="22"/>
                <w:highlight w:val="none"/>
                <w14:textFill>
                  <w14:solidFill>
                    <w14:schemeClr w14:val="tx1"/>
                  </w14:solidFill>
                </w14:textFill>
              </w:rPr>
            </w:pPr>
            <w:r>
              <w:rPr>
                <w:rFonts w:hint="eastAsia" w:ascii="宋体" w:hAnsi="宋体" w:eastAsia="宋体" w:cs="宋体"/>
                <w:b/>
                <w:color w:val="000000" w:themeColor="text1"/>
                <w:sz w:val="22"/>
                <w:szCs w:val="22"/>
                <w:highlight w:val="none"/>
                <w14:textFill>
                  <w14:solidFill>
                    <w14:schemeClr w14:val="tx1"/>
                  </w14:solidFill>
                </w14:textFill>
              </w:rPr>
              <w:t>供应商资格、资质性要求</w:t>
            </w:r>
          </w:p>
        </w:tc>
        <w:tc>
          <w:tcPr>
            <w:tcW w:w="5536" w:type="dxa"/>
            <w:noWrap w:val="0"/>
            <w:vAlign w:val="center"/>
          </w:tcPr>
          <w:p>
            <w:pPr>
              <w:spacing w:line="240" w:lineRule="auto"/>
              <w:jc w:val="center"/>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color w:val="000000" w:themeColor="text1"/>
                <w:sz w:val="22"/>
                <w:szCs w:val="22"/>
                <w:highlight w:val="none"/>
                <w14:textFill>
                  <w14:solidFill>
                    <w14:schemeClr w14:val="tx1"/>
                  </w14:solidFill>
                </w14:textFill>
              </w:rPr>
              <w:t>供应商相关证明材料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5" w:type="dxa"/>
            <w:noWrap w:val="0"/>
            <w:vAlign w:val="center"/>
          </w:tcPr>
          <w:p>
            <w:pPr>
              <w:spacing w:line="240" w:lineRule="auto"/>
              <w:jc w:val="center"/>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1</w:t>
            </w:r>
          </w:p>
        </w:tc>
        <w:tc>
          <w:tcPr>
            <w:tcW w:w="3164" w:type="dxa"/>
            <w:noWrap w:val="0"/>
            <w:vAlign w:val="center"/>
          </w:tcPr>
          <w:p>
            <w:pPr>
              <w:spacing w:line="240" w:lineRule="auto"/>
              <w:jc w:val="both"/>
              <w:rPr>
                <w:rFonts w:hint="eastAsia" w:ascii="宋体" w:hAnsi="宋体" w:eastAsia="宋体" w:cs="宋体"/>
                <w:b/>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lang w:eastAsia="zh-CN"/>
                <w14:textFill>
                  <w14:solidFill>
                    <w14:schemeClr w14:val="tx1"/>
                  </w14:solidFill>
                </w14:textFill>
              </w:rPr>
              <w:t>满足</w:t>
            </w:r>
            <w:r>
              <w:rPr>
                <w:rFonts w:hint="eastAsia" w:ascii="宋体" w:hAnsi="宋体" w:eastAsia="宋体" w:cs="宋体"/>
                <w:bCs/>
                <w:color w:val="000000" w:themeColor="text1"/>
                <w:sz w:val="22"/>
                <w:szCs w:val="22"/>
                <w:highlight w:val="none"/>
                <w14:textFill>
                  <w14:solidFill>
                    <w14:schemeClr w14:val="tx1"/>
                  </w14:solidFill>
                </w14:textFill>
              </w:rPr>
              <w:t>《中华人民共和国政府采购法》第二十二条规定</w:t>
            </w:r>
          </w:p>
        </w:tc>
        <w:tc>
          <w:tcPr>
            <w:tcW w:w="5536" w:type="dxa"/>
            <w:noWrap w:val="0"/>
            <w:vAlign w:val="center"/>
          </w:tcPr>
          <w:p>
            <w:pPr>
              <w:spacing w:line="240" w:lineRule="auto"/>
              <w:jc w:val="both"/>
              <w:rPr>
                <w:rFonts w:hint="eastAsia" w:ascii="宋体" w:hAnsi="宋体" w:eastAsia="宋体" w:cs="宋体"/>
                <w:b/>
                <w:color w:val="000000" w:themeColor="text1"/>
                <w:sz w:val="22"/>
                <w:szCs w:val="22"/>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6"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1.</w:t>
            </w:r>
            <w:r>
              <w:rPr>
                <w:rFonts w:hint="eastAsia" w:ascii="宋体" w:hAnsi="宋体" w:eastAsia="宋体" w:cs="宋体"/>
                <w:bCs/>
                <w:color w:val="000000" w:themeColor="text1"/>
                <w:sz w:val="22"/>
                <w:szCs w:val="22"/>
                <w:highlight w:val="none"/>
                <w14:textFill>
                  <w14:solidFill>
                    <w14:schemeClr w14:val="tx1"/>
                  </w14:solidFill>
                </w14:textFill>
              </w:rPr>
              <w:t>1</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具有独立承担民事责任的能力</w:t>
            </w:r>
          </w:p>
        </w:tc>
        <w:tc>
          <w:tcPr>
            <w:tcW w:w="5536"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民间非营利组织或其他未列明组织法人：提供“对应主管部门颁发的准许执业证明文件或登记证书”；④若为银行、保险、石油石化、电力、电信（含广电网络）等特殊行业可以以分支机构的身份参加政府采购项目；⑤若为自然人：提供“有效身份证明材料”。</w:t>
            </w:r>
          </w:p>
          <w:p>
            <w:pPr>
              <w:spacing w:line="240" w:lineRule="auto"/>
              <w:jc w:val="both"/>
              <w:rPr>
                <w:rFonts w:hint="eastAsia" w:ascii="宋体" w:hAnsi="宋体" w:eastAsia="宋体" w:cs="宋体"/>
                <w:bCs/>
                <w:color w:val="000000" w:themeColor="text1"/>
                <w:sz w:val="22"/>
                <w:szCs w:val="22"/>
                <w:highlight w:val="none"/>
                <w:lang w:val="zh-CN" w:eastAsia="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注：供应商根据自身情况任选其一提供证明资料，证明材料以复印件加盖单位公章为准。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7"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1.</w:t>
            </w:r>
            <w:r>
              <w:rPr>
                <w:rFonts w:hint="eastAsia" w:ascii="宋体" w:hAnsi="宋体" w:eastAsia="宋体" w:cs="宋体"/>
                <w:bCs/>
                <w:color w:val="000000" w:themeColor="text1"/>
                <w:sz w:val="22"/>
                <w:szCs w:val="22"/>
                <w:highlight w:val="none"/>
                <w:lang w:val="zh-CN"/>
                <w14:textFill>
                  <w14:solidFill>
                    <w14:schemeClr w14:val="tx1"/>
                  </w14:solidFill>
                </w14:textFill>
              </w:rPr>
              <w:t>2</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具有良好的商业信誉和健全的财务会计制度</w:t>
            </w:r>
          </w:p>
        </w:tc>
        <w:tc>
          <w:tcPr>
            <w:tcW w:w="5536"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①提供2020或2019年度第三方机构出具的财务报告（经审计的有效财务报告包含审计报告和审计报告中所涉及的财务报表和报表附注等完整内容，并由注册会计师签名、盖章以及会计师事务所盖章)（复印件）；也可提供2020或2019年度供应商内部的财务报表【（至少包含资产负债表、现金流量表、利润表（或损益表或业务活动表）】（复印件）；也可提供响应文件递交截止日一年内银行出具的资信证明（复印件）；也可提供财政部门认可的政府采购专业担保机构出具的投标担保函（复印件）；供应商注册时间至文件递交截止日不足一年的，也可提供在工商备案的公司章程（复印件）或承诺函。</w:t>
            </w:r>
          </w:p>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②提供具有良好的商业信誉提供承诺函。</w:t>
            </w:r>
          </w:p>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以上提供的复印件并盖单位公章。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1.</w:t>
            </w:r>
            <w:r>
              <w:rPr>
                <w:rFonts w:hint="eastAsia" w:ascii="宋体" w:hAnsi="宋体" w:eastAsia="宋体" w:cs="宋体"/>
                <w:bCs/>
                <w:color w:val="000000" w:themeColor="text1"/>
                <w:sz w:val="22"/>
                <w:szCs w:val="22"/>
                <w:highlight w:val="none"/>
                <w:lang w:val="zh-CN"/>
                <w14:textFill>
                  <w14:solidFill>
                    <w14:schemeClr w14:val="tx1"/>
                  </w14:solidFill>
                </w14:textFill>
              </w:rPr>
              <w:t>3</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具有履行合同所必需的设备和专业技术能力</w:t>
            </w:r>
          </w:p>
        </w:tc>
        <w:tc>
          <w:tcPr>
            <w:tcW w:w="5536"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eastAsia="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提供承诺函</w:t>
            </w:r>
            <w:r>
              <w:rPr>
                <w:rFonts w:hint="eastAsia" w:ascii="宋体" w:hAnsi="宋体" w:eastAsia="宋体" w:cs="宋体"/>
                <w:bCs/>
                <w:color w:val="000000" w:themeColor="text1"/>
                <w:sz w:val="22"/>
                <w:szCs w:val="22"/>
                <w:highlight w:val="none"/>
                <w:lang w:val="zh-CN"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1.</w:t>
            </w:r>
            <w:r>
              <w:rPr>
                <w:rFonts w:hint="eastAsia" w:ascii="宋体" w:hAnsi="宋体" w:eastAsia="宋体" w:cs="宋体"/>
                <w:bCs/>
                <w:color w:val="000000" w:themeColor="text1"/>
                <w:sz w:val="22"/>
                <w:szCs w:val="22"/>
                <w:highlight w:val="none"/>
                <w:lang w:val="zh-CN"/>
                <w14:textFill>
                  <w14:solidFill>
                    <w14:schemeClr w14:val="tx1"/>
                  </w14:solidFill>
                </w14:textFill>
              </w:rPr>
              <w:t>4</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具有依法缴纳税收和社会保障资金的良好记录</w:t>
            </w:r>
          </w:p>
        </w:tc>
        <w:tc>
          <w:tcPr>
            <w:tcW w:w="5536" w:type="dxa"/>
            <w:noWrap w:val="0"/>
            <w:vAlign w:val="center"/>
          </w:tcPr>
          <w:p>
            <w:pPr>
              <w:pStyle w:val="5"/>
              <w:numPr>
                <w:ilvl w:val="0"/>
                <w:numId w:val="0"/>
              </w:numPr>
              <w:spacing w:line="240" w:lineRule="auto"/>
              <w:ind w:leftChars="0"/>
              <w:jc w:val="both"/>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b w:val="0"/>
                <w:bCs w:val="0"/>
                <w:color w:val="000000" w:themeColor="text1"/>
                <w:sz w:val="22"/>
                <w:szCs w:val="22"/>
                <w:highlight w:val="none"/>
                <w14:textFill>
                  <w14:solidFill>
                    <w14:schemeClr w14:val="tx1"/>
                  </w14:solidFill>
                </w14:textFill>
              </w:rPr>
              <w:t>提供承诺函</w:t>
            </w:r>
            <w:r>
              <w:rPr>
                <w:rFonts w:hint="eastAsia" w:ascii="宋体" w:hAnsi="宋体" w:eastAsia="宋体" w:cs="宋体"/>
                <w:b w:val="0"/>
                <w:bCs w:val="0"/>
                <w:color w:val="000000" w:themeColor="text1"/>
                <w:sz w:val="22"/>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1.</w:t>
            </w:r>
            <w:r>
              <w:rPr>
                <w:rFonts w:hint="eastAsia" w:ascii="宋体" w:hAnsi="宋体" w:eastAsia="宋体" w:cs="宋体"/>
                <w:bCs/>
                <w:color w:val="000000" w:themeColor="text1"/>
                <w:sz w:val="22"/>
                <w:szCs w:val="22"/>
                <w:highlight w:val="none"/>
                <w:lang w:val="zh-CN"/>
                <w14:textFill>
                  <w14:solidFill>
                    <w14:schemeClr w14:val="tx1"/>
                  </w14:solidFill>
                </w14:textFill>
              </w:rPr>
              <w:t>5</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eastAsia="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参加本次政府采购活动前三年内，在经营活动中没有重大违法记录</w:t>
            </w:r>
          </w:p>
        </w:tc>
        <w:tc>
          <w:tcPr>
            <w:tcW w:w="5536" w:type="dxa"/>
            <w:noWrap w:val="0"/>
            <w:vAlign w:val="center"/>
          </w:tcPr>
          <w:p>
            <w:pPr>
              <w:spacing w:line="240" w:lineRule="auto"/>
              <w:jc w:val="both"/>
              <w:rPr>
                <w:rFonts w:hint="eastAsia" w:ascii="宋体" w:hAnsi="宋体" w:eastAsia="宋体" w:cs="宋体"/>
                <w:bCs/>
                <w:color w:val="000000" w:themeColor="text1"/>
                <w:sz w:val="22"/>
                <w:szCs w:val="22"/>
                <w:highlight w:val="none"/>
                <w:lang w:eastAsia="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提供承诺函</w:t>
            </w:r>
            <w:r>
              <w:rPr>
                <w:rFonts w:hint="eastAsia" w:ascii="宋体" w:hAnsi="宋体" w:eastAsia="宋体" w:cs="宋体"/>
                <w:bCs/>
                <w:color w:val="000000" w:themeColor="text1"/>
                <w:sz w:val="22"/>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Cs/>
                <w:color w:val="000000" w:themeColor="text1"/>
                <w:sz w:val="22"/>
                <w:szCs w:val="22"/>
                <w:highlight w:val="none"/>
                <w:lang w:val="en-US" w:eastAsia="zh-CN"/>
                <w14:textFill>
                  <w14:solidFill>
                    <w14:schemeClr w14:val="tx1"/>
                  </w14:solidFill>
                </w14:textFill>
              </w:rPr>
              <w:t>1.6</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eastAsia="zh-CN"/>
                <w14:textFill>
                  <w14:solidFill>
                    <w14:schemeClr w14:val="tx1"/>
                  </w14:solidFill>
                </w14:textFill>
              </w:rPr>
              <w:t>法律、行政法规规定的其他条件</w:t>
            </w:r>
          </w:p>
        </w:tc>
        <w:tc>
          <w:tcPr>
            <w:tcW w:w="5536"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提供承诺函</w:t>
            </w:r>
            <w:r>
              <w:rPr>
                <w:rFonts w:hint="eastAsia" w:ascii="宋体" w:hAnsi="宋体" w:eastAsia="宋体" w:cs="宋体"/>
                <w:bCs/>
                <w:color w:val="000000" w:themeColor="text1"/>
                <w:sz w:val="22"/>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cs="宋体"/>
                <w:bCs/>
                <w:color w:val="000000" w:themeColor="text1"/>
                <w:sz w:val="22"/>
                <w:szCs w:val="22"/>
                <w:highlight w:val="none"/>
                <w:lang w:val="en-US" w:eastAsia="zh-CN"/>
                <w14:textFill>
                  <w14:solidFill>
                    <w14:schemeClr w14:val="tx1"/>
                  </w14:solidFill>
                </w14:textFill>
              </w:rPr>
              <w:t>2</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Cs/>
                <w:color w:val="000000" w:themeColor="text1"/>
                <w:sz w:val="22"/>
                <w:szCs w:val="22"/>
                <w:highlight w:val="none"/>
                <w:lang w:val="zh-CN" w:eastAsia="zh-CN"/>
                <w14:textFill>
                  <w14:solidFill>
                    <w14:schemeClr w14:val="tx1"/>
                  </w14:solidFill>
                </w14:textFill>
              </w:rPr>
              <w:t>供应商及其现任法定代表人/主要负责人不得具有行贿犯罪记录</w:t>
            </w:r>
          </w:p>
        </w:tc>
        <w:tc>
          <w:tcPr>
            <w:tcW w:w="5536" w:type="dxa"/>
            <w:noWrap w:val="0"/>
            <w:vAlign w:val="center"/>
          </w:tcPr>
          <w:p>
            <w:pPr>
              <w:spacing w:line="240" w:lineRule="auto"/>
              <w:jc w:val="both"/>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提供承诺函。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9"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cs="宋体"/>
                <w:bCs/>
                <w:color w:val="000000" w:themeColor="text1"/>
                <w:sz w:val="22"/>
                <w:szCs w:val="22"/>
                <w:highlight w:val="none"/>
                <w:lang w:val="en-US" w:eastAsia="zh-CN"/>
                <w14:textFill>
                  <w14:solidFill>
                    <w14:schemeClr w14:val="tx1"/>
                  </w14:solidFill>
                </w14:textFill>
              </w:rPr>
              <w:t>3</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eastAsia="zh-CN"/>
                <w14:textFill>
                  <w14:solidFill>
                    <w14:schemeClr w14:val="tx1"/>
                  </w14:solidFill>
                </w14:textFill>
              </w:rPr>
            </w:pPr>
            <w:r>
              <w:rPr>
                <w:rFonts w:hint="eastAsia" w:ascii="宋体" w:hAnsi="宋体" w:eastAsia="宋体" w:cs="宋体"/>
                <w:bCs/>
                <w:color w:val="000000" w:themeColor="text1"/>
                <w:sz w:val="22"/>
                <w:szCs w:val="22"/>
                <w:highlight w:val="none"/>
                <w:lang w:val="zh-CN" w:eastAsia="zh-CN"/>
                <w14:textFill>
                  <w14:solidFill>
                    <w14:schemeClr w14:val="tx1"/>
                  </w14:solidFill>
                </w14:textFill>
              </w:rPr>
              <w:t>供应商与其他供应商之间，单位负责人不为同一人而且不存在直接控股、管理关系</w:t>
            </w:r>
          </w:p>
        </w:tc>
        <w:tc>
          <w:tcPr>
            <w:tcW w:w="5536" w:type="dxa"/>
            <w:noWrap w:val="0"/>
            <w:vAlign w:val="center"/>
          </w:tcPr>
          <w:p>
            <w:pPr>
              <w:spacing w:line="240" w:lineRule="auto"/>
              <w:jc w:val="both"/>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提供承诺函</w:t>
            </w:r>
            <w:r>
              <w:rPr>
                <w:rFonts w:hint="eastAsia" w:ascii="宋体" w:hAnsi="宋体" w:eastAsia="宋体" w:cs="宋体"/>
                <w:color w:val="000000" w:themeColor="text1"/>
                <w:sz w:val="22"/>
                <w:szCs w:val="22"/>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eastAsia="zh-CN"/>
                <w14:textFill>
                  <w14:solidFill>
                    <w14:schemeClr w14:val="tx1"/>
                  </w14:solidFill>
                </w14:textFill>
              </w:rPr>
            </w:pPr>
            <w:r>
              <w:rPr>
                <w:rFonts w:hint="eastAsia" w:ascii="宋体" w:hAnsi="宋体" w:cs="宋体"/>
                <w:bCs/>
                <w:color w:val="000000" w:themeColor="text1"/>
                <w:sz w:val="22"/>
                <w:szCs w:val="22"/>
                <w:highlight w:val="none"/>
                <w:lang w:val="en-US" w:eastAsia="zh-CN"/>
                <w14:textFill>
                  <w14:solidFill>
                    <w14:schemeClr w14:val="tx1"/>
                  </w14:solidFill>
                </w14:textFill>
              </w:rPr>
              <w:t>4</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供应商不得为“信用中国”网站中列入失信被执行人和重大税收违法案件当事人名单的供应商，不得为中国政府采购网政府采购严重违法失信行为记录名单中被财政部门禁止参加政府采购活动的供应商</w:t>
            </w:r>
          </w:p>
        </w:tc>
        <w:tc>
          <w:tcPr>
            <w:tcW w:w="5536" w:type="dxa"/>
            <w:noWrap w:val="0"/>
            <w:vAlign w:val="center"/>
          </w:tcPr>
          <w:p>
            <w:pPr>
              <w:snapToGrid w:val="0"/>
              <w:spacing w:line="240" w:lineRule="auto"/>
              <w:jc w:val="both"/>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1.根据《关于在政府采购活动中查询及使用信用记录有关问题的通知》（财库〔2016〕125号）的要求，采购人及采购代理机构将通过“信用中国”网站（www.creditchina.gov.cn）、“中国政府采购网”网站（www.ccgp.gov.cn）等渠道查询供应商在采购公告发布之日前的信用记录，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pPr>
              <w:snapToGrid w:val="0"/>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2.企业参与投标时无需对此条进行响应， 非企业参与磋商时由供应商在响应文件中自行提供承诺函，格式自拟。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eastAsia="zh-CN"/>
                <w14:textFill>
                  <w14:solidFill>
                    <w14:schemeClr w14:val="tx1"/>
                  </w14:solidFill>
                </w14:textFill>
              </w:rPr>
            </w:pPr>
            <w:r>
              <w:rPr>
                <w:rFonts w:hint="eastAsia" w:ascii="宋体" w:hAnsi="宋体" w:cs="宋体"/>
                <w:bCs/>
                <w:color w:val="000000" w:themeColor="text1"/>
                <w:sz w:val="22"/>
                <w:szCs w:val="22"/>
                <w:highlight w:val="none"/>
                <w:lang w:val="en-US" w:eastAsia="zh-CN"/>
                <w14:textFill>
                  <w14:solidFill>
                    <w14:schemeClr w14:val="tx1"/>
                  </w14:solidFill>
                </w14:textFill>
              </w:rPr>
              <w:t>5</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法定代表人身份证明书</w:t>
            </w:r>
          </w:p>
        </w:tc>
        <w:tc>
          <w:tcPr>
            <w:tcW w:w="5536" w:type="dxa"/>
            <w:noWrap w:val="0"/>
            <w:vAlign w:val="center"/>
          </w:tcPr>
          <w:p>
            <w:pPr>
              <w:snapToGrid w:val="0"/>
              <w:spacing w:line="240" w:lineRule="auto"/>
              <w:jc w:val="both"/>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按磋商文件格式提供，附件应齐全。注：法定代表人亲自参与磋商的提供。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3" w:hRule="atLeast"/>
          <w:jc w:val="center"/>
        </w:trPr>
        <w:tc>
          <w:tcPr>
            <w:tcW w:w="695" w:type="dxa"/>
            <w:noWrap w:val="0"/>
            <w:vAlign w:val="center"/>
          </w:tcPr>
          <w:p>
            <w:pPr>
              <w:spacing w:line="240" w:lineRule="auto"/>
              <w:jc w:val="center"/>
              <w:rPr>
                <w:rFonts w:hint="eastAsia" w:ascii="宋体" w:hAnsi="宋体" w:eastAsia="宋体" w:cs="宋体"/>
                <w:bCs/>
                <w:color w:val="000000" w:themeColor="text1"/>
                <w:sz w:val="22"/>
                <w:szCs w:val="22"/>
                <w:highlight w:val="none"/>
                <w:lang w:eastAsia="zh-CN"/>
                <w14:textFill>
                  <w14:solidFill>
                    <w14:schemeClr w14:val="tx1"/>
                  </w14:solidFill>
                </w14:textFill>
              </w:rPr>
            </w:pPr>
            <w:r>
              <w:rPr>
                <w:rFonts w:hint="eastAsia" w:ascii="宋体" w:hAnsi="宋体" w:cs="宋体"/>
                <w:bCs/>
                <w:color w:val="000000" w:themeColor="text1"/>
                <w:sz w:val="22"/>
                <w:szCs w:val="22"/>
                <w:highlight w:val="none"/>
                <w:lang w:val="en-US" w:eastAsia="zh-CN"/>
                <w14:textFill>
                  <w14:solidFill>
                    <w14:schemeClr w14:val="tx1"/>
                  </w14:solidFill>
                </w14:textFill>
              </w:rPr>
              <w:t>6</w:t>
            </w:r>
          </w:p>
        </w:tc>
        <w:tc>
          <w:tcPr>
            <w:tcW w:w="3164" w:type="dxa"/>
            <w:noWrap w:val="0"/>
            <w:vAlign w:val="center"/>
          </w:tcPr>
          <w:p>
            <w:pPr>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bCs/>
                <w:color w:val="000000" w:themeColor="text1"/>
                <w:sz w:val="22"/>
                <w:szCs w:val="22"/>
                <w:highlight w:val="none"/>
                <w:lang w:val="zh-CN"/>
                <w14:textFill>
                  <w14:solidFill>
                    <w14:schemeClr w14:val="tx1"/>
                  </w14:solidFill>
                </w14:textFill>
              </w:rPr>
              <w:t>授权委托书</w:t>
            </w:r>
          </w:p>
        </w:tc>
        <w:tc>
          <w:tcPr>
            <w:tcW w:w="5536" w:type="dxa"/>
            <w:noWrap w:val="0"/>
            <w:vAlign w:val="center"/>
          </w:tcPr>
          <w:p>
            <w:pPr>
              <w:snapToGrid w:val="0"/>
              <w:spacing w:line="240" w:lineRule="auto"/>
              <w:jc w:val="both"/>
              <w:rPr>
                <w:rFonts w:hint="eastAsia" w:ascii="宋体" w:hAnsi="宋体" w:eastAsia="宋体" w:cs="宋体"/>
                <w:bCs/>
                <w:color w:val="000000" w:themeColor="text1"/>
                <w:sz w:val="22"/>
                <w:szCs w:val="22"/>
                <w:highlight w:val="none"/>
                <w:lang w:val="zh-CN"/>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按磋商文件格式提供，附件应齐全。注：授权代表参与磋商的提供。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jc w:val="center"/>
        </w:trPr>
        <w:tc>
          <w:tcPr>
            <w:tcW w:w="9395" w:type="dxa"/>
            <w:gridSpan w:val="3"/>
            <w:noWrap w:val="0"/>
            <w:vAlign w:val="center"/>
          </w:tcPr>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14:textFill>
                  <w14:solidFill>
                    <w14:schemeClr w14:val="tx1"/>
                  </w14:solidFill>
                </w14:textFill>
              </w:rPr>
              <w:t>注：</w:t>
            </w:r>
          </w:p>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1.</w:t>
            </w:r>
            <w:r>
              <w:rPr>
                <w:rFonts w:hint="eastAsia" w:ascii="宋体" w:hAnsi="宋体" w:eastAsia="宋体" w:cs="宋体"/>
                <w:b/>
                <w:bCs/>
                <w:color w:val="000000" w:themeColor="text1"/>
                <w:sz w:val="22"/>
                <w:szCs w:val="22"/>
                <w:highlight w:val="none"/>
                <w14:textFill>
                  <w14:solidFill>
                    <w14:schemeClr w14:val="tx1"/>
                  </w14:solidFill>
                </w14:textFill>
              </w:rPr>
              <w:t>本项目不接受联合体。</w:t>
            </w:r>
          </w:p>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2.</w:t>
            </w:r>
            <w:r>
              <w:rPr>
                <w:rFonts w:hint="eastAsia" w:ascii="宋体" w:hAnsi="宋体" w:eastAsia="宋体" w:cs="宋体"/>
                <w:b/>
                <w:bCs/>
                <w:color w:val="000000" w:themeColor="text1"/>
                <w:sz w:val="22"/>
                <w:szCs w:val="22"/>
                <w:highlight w:val="none"/>
                <w14:textFill>
                  <w14:solidFill>
                    <w14:schemeClr w14:val="tx1"/>
                  </w14:solidFill>
                </w14:textFill>
              </w:rPr>
              <w:t>供应商须严格按照上述要求提供资格证明文件，未按</w:t>
            </w:r>
            <w:r>
              <w:rPr>
                <w:rFonts w:hint="eastAsia" w:ascii="宋体" w:hAnsi="宋体" w:cs="宋体"/>
                <w:b/>
                <w:bCs/>
                <w:color w:val="000000" w:themeColor="text1"/>
                <w:sz w:val="22"/>
                <w:szCs w:val="22"/>
                <w:highlight w:val="none"/>
                <w:lang w:eastAsia="zh-CN"/>
                <w14:textFill>
                  <w14:solidFill>
                    <w14:schemeClr w14:val="tx1"/>
                  </w14:solidFill>
                </w14:textFill>
              </w:rPr>
              <w:t>磋商</w:t>
            </w:r>
            <w:r>
              <w:rPr>
                <w:rFonts w:hint="eastAsia" w:ascii="宋体" w:hAnsi="宋体" w:eastAsia="宋体" w:cs="宋体"/>
                <w:b/>
                <w:bCs/>
                <w:color w:val="000000" w:themeColor="text1"/>
                <w:sz w:val="22"/>
                <w:szCs w:val="22"/>
                <w:highlight w:val="none"/>
                <w14:textFill>
                  <w14:solidFill>
                    <w14:schemeClr w14:val="tx1"/>
                  </w14:solidFill>
                </w14:textFill>
              </w:rPr>
              <w:t>文件格式提供的，自行承担无法通过资格性审查的风险。</w:t>
            </w:r>
          </w:p>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3.</w:t>
            </w:r>
            <w:r>
              <w:rPr>
                <w:rFonts w:hint="eastAsia" w:ascii="宋体" w:hAnsi="宋体" w:eastAsia="宋体" w:cs="宋体"/>
                <w:b/>
                <w:bCs/>
                <w:color w:val="000000" w:themeColor="text1"/>
                <w:sz w:val="22"/>
                <w:szCs w:val="22"/>
                <w:highlight w:val="none"/>
                <w:lang w:val="zh-CN"/>
                <w14:textFill>
                  <w14:solidFill>
                    <w14:schemeClr w14:val="tx1"/>
                  </w14:solidFill>
                </w14:textFill>
              </w:rPr>
              <w:t>以上证明材料要求提供承诺函的，不同承诺项要求在同一承诺函格式内的，可仅提供一次相应承诺函。</w:t>
            </w:r>
          </w:p>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4</w:t>
            </w:r>
            <w:r>
              <w:rPr>
                <w:rFonts w:hint="eastAsia" w:ascii="宋体" w:hAnsi="宋体" w:eastAsia="宋体" w:cs="宋体"/>
                <w:b/>
                <w:bCs/>
                <w:color w:val="000000" w:themeColor="text1"/>
                <w:sz w:val="22"/>
                <w:szCs w:val="22"/>
                <w:highlight w:val="none"/>
                <w14:textFill>
                  <w14:solidFill>
                    <w14:schemeClr w14:val="tx1"/>
                  </w14:solidFill>
                </w14:textFill>
              </w:rPr>
              <w:t>.供应商应对其所提供的资格证明材料来源的合法性、真实性负责。</w:t>
            </w:r>
          </w:p>
          <w:p>
            <w:pPr>
              <w:tabs>
                <w:tab w:val="left" w:pos="394"/>
              </w:tabs>
              <w:snapToGrid w:val="0"/>
              <w:spacing w:line="240" w:lineRule="auto"/>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5.</w:t>
            </w:r>
            <w:r>
              <w:rPr>
                <w:rFonts w:hint="eastAsia" w:ascii="宋体" w:hAnsi="宋体" w:eastAsia="宋体" w:cs="宋体"/>
                <w:b/>
                <w:bCs/>
                <w:color w:val="000000" w:themeColor="text1"/>
                <w:sz w:val="22"/>
                <w:szCs w:val="22"/>
                <w:highlight w:val="none"/>
                <w14:textFill>
                  <w14:solidFill>
                    <w14:schemeClr w14:val="tx1"/>
                  </w14:solidFill>
                </w14:textFill>
              </w:rPr>
              <w:t>本资格审核表格内容与本磋商文件其他地方出现前后不一致情况时，以此表格要求为准，在不影响公平，公正，不违反相关法律法规规定的前提下，做出对供应商有利的解释。</w:t>
            </w:r>
          </w:p>
        </w:tc>
      </w:tr>
    </w:tbl>
    <w:p>
      <w:pPr>
        <w:pStyle w:val="4"/>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br w:type="page"/>
      </w:r>
      <w:bookmarkStart w:id="123" w:name="_Toc7961747"/>
      <w:bookmarkStart w:id="124" w:name="_Toc2959"/>
      <w:bookmarkStart w:id="125" w:name="_Toc29484"/>
      <w:bookmarkStart w:id="126" w:name="_Toc32551"/>
      <w:r>
        <w:rPr>
          <w:rFonts w:hint="eastAsia" w:ascii="宋体" w:hAnsi="宋体" w:eastAsia="宋体" w:cs="宋体"/>
          <w:color w:val="000000" w:themeColor="text1"/>
          <w:sz w:val="36"/>
          <w:szCs w:val="36"/>
          <w:highlight w:val="none"/>
          <w14:textFill>
            <w14:solidFill>
              <w14:schemeClr w14:val="tx1"/>
            </w14:solidFill>
          </w14:textFill>
        </w:rPr>
        <w:t>第五章  采购项目技术、服务及其他商务要求</w:t>
      </w:r>
      <w:bookmarkEnd w:id="123"/>
      <w:bookmarkEnd w:id="124"/>
      <w:bookmarkEnd w:id="125"/>
      <w:bookmarkEnd w:id="126"/>
    </w:p>
    <w:bookmarkEnd w:id="85"/>
    <w:bookmarkEnd w:id="86"/>
    <w:bookmarkEnd w:id="87"/>
    <w:bookmarkEnd w:id="88"/>
    <w:bookmarkEnd w:id="89"/>
    <w:p>
      <w:pPr>
        <w:spacing w:line="360" w:lineRule="auto"/>
        <w:jc w:val="left"/>
        <w:rPr>
          <w:rFonts w:hint="eastAsia" w:ascii="宋体" w:hAnsi="宋体" w:eastAsia="宋体" w:cs="宋体"/>
          <w:b/>
          <w:color w:val="000000" w:themeColor="text1"/>
          <w:sz w:val="24"/>
          <w:highlight w:val="none"/>
          <w14:textFill>
            <w14:solidFill>
              <w14:schemeClr w14:val="tx1"/>
            </w14:solidFill>
          </w14:textFill>
        </w:rPr>
      </w:pPr>
      <w:bookmarkStart w:id="127" w:name="_Toc217446057"/>
      <w:bookmarkStart w:id="128" w:name="_Toc183582232"/>
      <w:bookmarkStart w:id="129" w:name="_Toc183682369"/>
    </w:p>
    <w:p>
      <w:pPr>
        <w:pStyle w:val="5"/>
        <w:tabs>
          <w:tab w:val="left" w:pos="720"/>
        </w:tabs>
        <w:bidi w:val="0"/>
        <w:spacing w:line="360" w:lineRule="auto"/>
        <w:jc w:val="left"/>
        <w:rPr>
          <w:rFonts w:hint="eastAsia" w:ascii="宋体" w:hAnsi="宋体" w:eastAsia="宋体" w:cs="宋体"/>
          <w:color w:val="000000" w:themeColor="text1"/>
          <w:sz w:val="24"/>
          <w:szCs w:val="24"/>
          <w:highlight w:val="none"/>
          <w:lang w:eastAsia="zh-CN"/>
          <w14:textFill>
            <w14:solidFill>
              <w14:schemeClr w14:val="tx1"/>
            </w14:solidFill>
          </w14:textFill>
        </w:rPr>
      </w:pPr>
      <w:bookmarkStart w:id="130" w:name="_Toc24622"/>
      <w:bookmarkStart w:id="131" w:name="_Toc12781"/>
      <w:bookmarkStart w:id="132" w:name="_Toc8617"/>
      <w:bookmarkStart w:id="133" w:name="_Toc5856"/>
      <w:bookmarkStart w:id="134" w:name="_Toc14456"/>
      <w:bookmarkStart w:id="135" w:name="_Toc25482"/>
      <w:bookmarkStart w:id="136" w:name="_Toc23893"/>
      <w:bookmarkStart w:id="137" w:name="_Toc534971195"/>
      <w:bookmarkStart w:id="138" w:name="_Toc27605"/>
      <w:bookmarkStart w:id="139" w:name="_Toc9074"/>
      <w:bookmarkStart w:id="140" w:name="_Toc217446095"/>
      <w:bookmarkStart w:id="141" w:name="_Toc534971198"/>
      <w:bookmarkStart w:id="142" w:name="_Toc5749"/>
      <w:bookmarkStart w:id="143" w:name="_Toc11339"/>
      <w:bookmarkStart w:id="144" w:name="_Toc534570468"/>
      <w:bookmarkStart w:id="145" w:name="_Toc217446094"/>
      <w:bookmarkStart w:id="146" w:name="_Toc534570459"/>
      <w:bookmarkStart w:id="147" w:name="_Toc32243"/>
      <w:bookmarkStart w:id="148" w:name="_Toc1918101"/>
      <w:bookmarkStart w:id="149" w:name="_Toc534570386"/>
      <w:bookmarkStart w:id="150" w:name="_Toc21125"/>
      <w:bookmarkStart w:id="151" w:name="_Toc1917883"/>
      <w:bookmarkStart w:id="152" w:name="_Toc534570383"/>
      <w:r>
        <w:rPr>
          <w:rFonts w:hint="eastAsia" w:ascii="宋体" w:hAnsi="宋体" w:eastAsia="宋体" w:cs="宋体"/>
          <w:color w:val="000000" w:themeColor="text1"/>
          <w:sz w:val="24"/>
          <w:szCs w:val="24"/>
          <w:highlight w:val="none"/>
          <w:lang w:val="en-US" w:eastAsia="zh-CN"/>
          <w14:textFill>
            <w14:solidFill>
              <w14:schemeClr w14:val="tx1"/>
            </w14:solidFill>
          </w14:textFill>
        </w:rPr>
        <w:t>一、</w:t>
      </w:r>
      <w:r>
        <w:rPr>
          <w:rFonts w:hint="eastAsia" w:ascii="宋体" w:hAnsi="宋体" w:eastAsia="宋体" w:cs="宋体"/>
          <w:color w:val="000000" w:themeColor="text1"/>
          <w:sz w:val="24"/>
          <w:szCs w:val="24"/>
          <w:highlight w:val="none"/>
          <w:lang w:eastAsia="zh-CN"/>
          <w14:textFill>
            <w14:solidFill>
              <w14:schemeClr w14:val="tx1"/>
            </w14:solidFill>
          </w14:textFill>
        </w:rPr>
        <w:t>项目概况</w:t>
      </w:r>
      <w:bookmarkEnd w:id="130"/>
      <w:bookmarkEnd w:id="131"/>
    </w:p>
    <w:p>
      <w:pPr>
        <w:bidi w:val="0"/>
        <w:spacing w:line="360" w:lineRule="auto"/>
        <w:ind w:left="0" w:leftChars="0" w:firstLine="420" w:firstLineChars="175"/>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为贯彻落实教育部等八部门《综合防控儿童青少年近视实施方案》有关要求，加快推进我校师生近视综合防控建设，切实保护青少年视力健康，确保教室和实训室光环境达标，成都市昭忠祠小学拟对光电升级改造项目择优选择一家合格供应商，严格按照教育系统光环境提升工程参考手册执行本次采购项目。</w:t>
      </w:r>
    </w:p>
    <w:p>
      <w:pPr>
        <w:pStyle w:val="5"/>
        <w:tabs>
          <w:tab w:val="left" w:pos="720"/>
        </w:tabs>
        <w:bidi w:val="0"/>
        <w:spacing w:line="360" w:lineRule="auto"/>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153" w:name="_Toc28375"/>
      <w:bookmarkStart w:id="154" w:name="_Toc12191"/>
      <w:r>
        <w:rPr>
          <w:rFonts w:hint="eastAsia" w:ascii="宋体" w:hAnsi="宋体" w:eastAsia="宋体" w:cs="宋体"/>
          <w:color w:val="000000" w:themeColor="text1"/>
          <w:sz w:val="24"/>
          <w:szCs w:val="24"/>
          <w:highlight w:val="none"/>
          <w:lang w:val="en-US" w:eastAsia="zh-CN"/>
          <w14:textFill>
            <w14:solidFill>
              <w14:schemeClr w14:val="tx1"/>
            </w14:solidFill>
          </w14:textFill>
        </w:rPr>
        <w:t>二、技术、服务内容及要求</w:t>
      </w:r>
      <w:bookmarkEnd w:id="153"/>
      <w:bookmarkEnd w:id="154"/>
    </w:p>
    <w:p>
      <w:pPr>
        <w:keepNext w:val="0"/>
        <w:keepLines w:val="0"/>
        <w:pageBreakBefore w:val="0"/>
        <w:widowControl/>
        <w:kinsoku/>
        <w:wordWrap/>
        <w:overflowPunct/>
        <w:topLinePunct w:val="0"/>
        <w:autoSpaceDE/>
        <w:autoSpaceDN/>
        <w:bidi w:val="0"/>
        <w:adjustRightInd/>
        <w:snapToGrid/>
        <w:spacing w:before="10" w:after="313" w:afterLines="100" w:line="480" w:lineRule="exact"/>
        <w:ind w:left="210" w:leftChars="100" w:right="210" w:rightChars="100"/>
        <w:jc w:val="left"/>
        <w:textAlignment w:val="auto"/>
        <w:rPr>
          <w:rFonts w:hint="default" w:eastAsia="宋体"/>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1、灯具采购清单</w:t>
      </w:r>
    </w:p>
    <w:tbl>
      <w:tblPr>
        <w:tblStyle w:val="31"/>
        <w:tblW w:w="90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1957"/>
        <w:gridCol w:w="1031"/>
        <w:gridCol w:w="803"/>
        <w:gridCol w:w="1562"/>
        <w:gridCol w:w="1343"/>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jc w:val="center"/>
        </w:trPr>
        <w:tc>
          <w:tcPr>
            <w:tcW w:w="838"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序号</w:t>
            </w:r>
          </w:p>
        </w:tc>
        <w:tc>
          <w:tcPr>
            <w:tcW w:w="1957"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教室类型</w:t>
            </w:r>
          </w:p>
        </w:tc>
        <w:tc>
          <w:tcPr>
            <w:tcW w:w="1031"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数量</w:t>
            </w:r>
          </w:p>
        </w:tc>
        <w:tc>
          <w:tcPr>
            <w:tcW w:w="80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单位</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面积（平方）</w:t>
            </w:r>
          </w:p>
        </w:tc>
        <w:tc>
          <w:tcPr>
            <w:tcW w:w="134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教室灯数量</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黑板灯数量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38"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w:t>
            </w:r>
          </w:p>
        </w:tc>
        <w:tc>
          <w:tcPr>
            <w:tcW w:w="1957"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教室1</w:t>
            </w:r>
          </w:p>
        </w:tc>
        <w:tc>
          <w:tcPr>
            <w:tcW w:w="1031"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11</w:t>
            </w:r>
          </w:p>
        </w:tc>
        <w:tc>
          <w:tcPr>
            <w:tcW w:w="80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间</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50</w:t>
            </w:r>
          </w:p>
        </w:tc>
        <w:tc>
          <w:tcPr>
            <w:tcW w:w="134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99</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38"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w:t>
            </w:r>
          </w:p>
        </w:tc>
        <w:tc>
          <w:tcPr>
            <w:tcW w:w="1957"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教室2</w:t>
            </w:r>
          </w:p>
        </w:tc>
        <w:tc>
          <w:tcPr>
            <w:tcW w:w="1031"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8</w:t>
            </w:r>
          </w:p>
        </w:tc>
        <w:tc>
          <w:tcPr>
            <w:tcW w:w="80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间</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65</w:t>
            </w:r>
          </w:p>
        </w:tc>
        <w:tc>
          <w:tcPr>
            <w:tcW w:w="134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72</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38"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3</w:t>
            </w:r>
          </w:p>
        </w:tc>
        <w:tc>
          <w:tcPr>
            <w:tcW w:w="1957"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功能室</w:t>
            </w:r>
          </w:p>
        </w:tc>
        <w:tc>
          <w:tcPr>
            <w:tcW w:w="1031"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8</w:t>
            </w:r>
          </w:p>
        </w:tc>
        <w:tc>
          <w:tcPr>
            <w:tcW w:w="80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间</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85</w:t>
            </w:r>
          </w:p>
        </w:tc>
        <w:tc>
          <w:tcPr>
            <w:tcW w:w="134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96</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jc w:val="center"/>
        </w:trPr>
        <w:tc>
          <w:tcPr>
            <w:tcW w:w="838"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4</w:t>
            </w:r>
          </w:p>
        </w:tc>
        <w:tc>
          <w:tcPr>
            <w:tcW w:w="1957"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微机室</w:t>
            </w:r>
          </w:p>
        </w:tc>
        <w:tc>
          <w:tcPr>
            <w:tcW w:w="1031"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w:t>
            </w:r>
          </w:p>
        </w:tc>
        <w:tc>
          <w:tcPr>
            <w:tcW w:w="80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间</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85</w:t>
            </w:r>
          </w:p>
        </w:tc>
        <w:tc>
          <w:tcPr>
            <w:tcW w:w="134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30</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38"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5</w:t>
            </w:r>
          </w:p>
        </w:tc>
        <w:tc>
          <w:tcPr>
            <w:tcW w:w="1957"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美术室</w:t>
            </w:r>
          </w:p>
        </w:tc>
        <w:tc>
          <w:tcPr>
            <w:tcW w:w="1031"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w:t>
            </w:r>
          </w:p>
        </w:tc>
        <w:tc>
          <w:tcPr>
            <w:tcW w:w="80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间</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85</w:t>
            </w:r>
          </w:p>
        </w:tc>
        <w:tc>
          <w:tcPr>
            <w:tcW w:w="134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24</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jc w:val="center"/>
        </w:trPr>
        <w:tc>
          <w:tcPr>
            <w:tcW w:w="838"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6</w:t>
            </w:r>
          </w:p>
        </w:tc>
        <w:tc>
          <w:tcPr>
            <w:tcW w:w="1957"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学生阅览室</w:t>
            </w:r>
          </w:p>
        </w:tc>
        <w:tc>
          <w:tcPr>
            <w:tcW w:w="1031"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w:t>
            </w:r>
          </w:p>
        </w:tc>
        <w:tc>
          <w:tcPr>
            <w:tcW w:w="80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间</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90</w:t>
            </w:r>
          </w:p>
        </w:tc>
        <w:tc>
          <w:tcPr>
            <w:tcW w:w="134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15</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38"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7</w:t>
            </w:r>
          </w:p>
        </w:tc>
        <w:tc>
          <w:tcPr>
            <w:tcW w:w="1957"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教师阅览室</w:t>
            </w:r>
          </w:p>
        </w:tc>
        <w:tc>
          <w:tcPr>
            <w:tcW w:w="1031"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1</w:t>
            </w:r>
          </w:p>
        </w:tc>
        <w:tc>
          <w:tcPr>
            <w:tcW w:w="80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间</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50</w:t>
            </w:r>
          </w:p>
        </w:tc>
        <w:tc>
          <w:tcPr>
            <w:tcW w:w="134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9</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838"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合计</w:t>
            </w:r>
          </w:p>
        </w:tc>
        <w:tc>
          <w:tcPr>
            <w:tcW w:w="1957"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eastAsia="zh-CN"/>
                <w14:textFill>
                  <w14:solidFill>
                    <w14:schemeClr w14:val="tx1"/>
                  </w14:solidFill>
                </w14:textFill>
              </w:rPr>
            </w:pPr>
          </w:p>
        </w:tc>
        <w:tc>
          <w:tcPr>
            <w:tcW w:w="1031"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33</w:t>
            </w:r>
          </w:p>
        </w:tc>
        <w:tc>
          <w:tcPr>
            <w:tcW w:w="80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间</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p>
        </w:tc>
        <w:tc>
          <w:tcPr>
            <w:tcW w:w="1343"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345</w:t>
            </w:r>
          </w:p>
        </w:tc>
        <w:tc>
          <w:tcPr>
            <w:tcW w:w="1562" w:type="dxa"/>
            <w:noWrap w:val="0"/>
            <w:vAlign w:val="center"/>
          </w:tcPr>
          <w:p>
            <w:pPr>
              <w:widowControl/>
              <w:spacing w:before="10" w:after="10" w:line="240" w:lineRule="auto"/>
              <w:jc w:val="cente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pPr>
            <w:r>
              <w:rPr>
                <w:rFonts w:hint="eastAsia" w:ascii="宋体" w:hAnsi="宋体" w:eastAsia="宋体" w:cs="宋体"/>
                <w:color w:val="000000" w:themeColor="text1"/>
                <w:kern w:val="0"/>
                <w:sz w:val="21"/>
                <w:szCs w:val="21"/>
                <w:highlight w:val="none"/>
                <w:lang w:val="en-US" w:eastAsia="zh-CN"/>
                <w14:textFill>
                  <w14:solidFill>
                    <w14:schemeClr w14:val="tx1"/>
                  </w14:solidFill>
                </w14:textFill>
              </w:rPr>
              <w:t>99</w:t>
            </w:r>
          </w:p>
        </w:tc>
      </w:tr>
    </w:tbl>
    <w:p>
      <w:pPr>
        <w:rPr>
          <w:rFonts w:hint="eastAsia" w:ascii="宋体" w:hAnsi="宋体" w:eastAsia="宋体" w:cs="宋体"/>
          <w:b/>
          <w:bCs/>
          <w:color w:val="000000" w:themeColor="text1"/>
          <w:sz w:val="24"/>
          <w:szCs w:val="24"/>
          <w:highlight w:val="none"/>
          <w:lang w:val="en-US" w:eastAsia="zh-CN"/>
          <w14:textFill>
            <w14:solidFill>
              <w14:schemeClr w14:val="tx1"/>
            </w14:solidFill>
          </w14:textFill>
        </w:rPr>
        <w:sectPr>
          <w:headerReference r:id="rId7" w:type="default"/>
          <w:footerReference r:id="rId8" w:type="default"/>
          <w:footerReference r:id="rId9" w:type="even"/>
          <w:pgSz w:w="11906" w:h="16838"/>
          <w:pgMar w:top="1440" w:right="1440" w:bottom="1440" w:left="1440" w:header="851" w:footer="992" w:gutter="0"/>
          <w:pgNumType w:fmt="numberInDash" w:start="1"/>
          <w:cols w:space="720" w:num="1"/>
          <w:docGrid w:type="lines" w:linePitch="312" w:charSpace="0"/>
        </w:sectPr>
      </w:pPr>
    </w:p>
    <w:p>
      <w:pPr>
        <w:rPr>
          <w:rFonts w:hint="default"/>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2、技术参数要求</w:t>
      </w:r>
    </w:p>
    <w:tbl>
      <w:tblPr>
        <w:tblStyle w:val="30"/>
        <w:tblW w:w="50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1"/>
        <w:gridCol w:w="754"/>
        <w:gridCol w:w="6989"/>
        <w:gridCol w:w="585"/>
        <w:gridCol w:w="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269" w:type="pct"/>
            <w:noWrap w:val="0"/>
            <w:vAlign w:val="center"/>
          </w:tcPr>
          <w:p>
            <w:pPr>
              <w:spacing w:line="320" w:lineRule="exact"/>
              <w:jc w:val="center"/>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序号</w:t>
            </w:r>
          </w:p>
        </w:tc>
        <w:tc>
          <w:tcPr>
            <w:tcW w:w="405" w:type="pct"/>
            <w:noWrap w:val="0"/>
            <w:vAlign w:val="center"/>
          </w:tcPr>
          <w:p>
            <w:pPr>
              <w:spacing w:line="320" w:lineRule="exact"/>
              <w:jc w:val="center"/>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lang w:eastAsia="zh-CN"/>
                <w14:textFill>
                  <w14:solidFill>
                    <w14:schemeClr w14:val="tx1"/>
                  </w14:solidFill>
                </w14:textFill>
              </w:rPr>
              <w:t>标的</w:t>
            </w:r>
            <w:r>
              <w:rPr>
                <w:rFonts w:hint="eastAsia" w:ascii="宋体" w:hAnsi="宋体" w:cs="宋体"/>
                <w:b/>
                <w:bCs/>
                <w:color w:val="000000" w:themeColor="text1"/>
                <w:highlight w:val="none"/>
                <w14:textFill>
                  <w14:solidFill>
                    <w14:schemeClr w14:val="tx1"/>
                  </w14:solidFill>
                </w14:textFill>
              </w:rPr>
              <w:t>名称</w:t>
            </w:r>
          </w:p>
        </w:tc>
        <w:tc>
          <w:tcPr>
            <w:tcW w:w="3754" w:type="pct"/>
            <w:noWrap w:val="0"/>
            <w:vAlign w:val="center"/>
          </w:tcPr>
          <w:p>
            <w:pPr>
              <w:spacing w:line="320" w:lineRule="exact"/>
              <w:jc w:val="center"/>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技术参数及功能要求</w:t>
            </w:r>
          </w:p>
        </w:tc>
        <w:tc>
          <w:tcPr>
            <w:tcW w:w="314" w:type="pct"/>
            <w:noWrap w:val="0"/>
            <w:vAlign w:val="center"/>
          </w:tcPr>
          <w:p>
            <w:pPr>
              <w:spacing w:line="320" w:lineRule="exact"/>
              <w:jc w:val="center"/>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数量</w:t>
            </w:r>
          </w:p>
        </w:tc>
        <w:tc>
          <w:tcPr>
            <w:tcW w:w="256" w:type="pct"/>
            <w:noWrap w:val="0"/>
            <w:vAlign w:val="center"/>
          </w:tcPr>
          <w:p>
            <w:pPr>
              <w:spacing w:line="320" w:lineRule="exact"/>
              <w:jc w:val="center"/>
              <w:rPr>
                <w:rFonts w:ascii="宋体" w:hAnsi="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14:textFill>
                  <w14:solidFill>
                    <w14:schemeClr w14:val="tx1"/>
                  </w14:solidFill>
                </w14:textFill>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69" w:type="pct"/>
            <w:noWrap w:val="0"/>
            <w:vAlign w:val="center"/>
          </w:tcPr>
          <w:p>
            <w:pPr>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w:t>
            </w:r>
            <w:r>
              <w:rPr>
                <w:rFonts w:hint="eastAsia" w:ascii="宋体" w:hAnsi="宋体" w:cs="宋体"/>
                <w:color w:val="000000" w:themeColor="text1"/>
                <w:highlight w:val="none"/>
                <w14:textFill>
                  <w14:solidFill>
                    <w14:schemeClr w14:val="tx1"/>
                  </w14:solidFill>
                </w14:textFill>
              </w:rPr>
              <w:t>1</w:t>
            </w:r>
          </w:p>
        </w:tc>
        <w:tc>
          <w:tcPr>
            <w:tcW w:w="405" w:type="pct"/>
            <w:noWrap w:val="0"/>
            <w:vAlign w:val="center"/>
          </w:tcPr>
          <w:p>
            <w:pPr>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LED教室灯</w:t>
            </w:r>
          </w:p>
        </w:tc>
        <w:tc>
          <w:tcPr>
            <w:tcW w:w="3754" w:type="pct"/>
            <w:noWrap w:val="0"/>
            <w:vAlign w:val="center"/>
          </w:tcPr>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LED教室灯为一体式防眩灯具，灯具</w:t>
            </w:r>
            <w:r>
              <w:rPr>
                <w:rFonts w:hint="eastAsia" w:ascii="宋体" w:hAnsi="宋体" w:eastAsia="宋体" w:cs="宋体"/>
                <w:bCs/>
                <w:color w:val="000000" w:themeColor="text1"/>
                <w:kern w:val="2"/>
                <w:sz w:val="21"/>
                <w:szCs w:val="21"/>
                <w:highlight w:val="none"/>
                <w:lang w:val="en-US" w:eastAsia="zh-Hans" w:bidi="ar-SA"/>
                <w14:textFill>
                  <w14:solidFill>
                    <w14:schemeClr w14:val="tx1"/>
                  </w14:solidFill>
                </w14:textFill>
              </w:rPr>
              <w:t>边框</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材料为不易变形抗氧化金属材质</w:t>
            </w:r>
            <w:r>
              <w:rPr>
                <w:rFonts w:hint="eastAsia" w:ascii="宋体" w:hAnsi="宋体" w:eastAsia="宋体" w:cs="宋体"/>
                <w:bCs/>
                <w:color w:val="000000" w:themeColor="text1"/>
                <w:kern w:val="2"/>
                <w:sz w:val="21"/>
                <w:szCs w:val="21"/>
                <w:highlight w:val="none"/>
                <w:lang w:val="en-US" w:eastAsia="zh-Hans" w:bidi="ar-SA"/>
                <w14:textFill>
                  <w14:solidFill>
                    <w14:schemeClr w14:val="tx1"/>
                  </w14:solidFill>
                </w14:textFill>
              </w:rPr>
              <w:t>，灯具</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连接方式推荐为嵌入加螺丝螺帽连接固定，避免安全隐患。</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LED教室灯驱动电源需为恒流驱动,电源应有外壳并可靠固定，</w:t>
            </w:r>
            <w:r>
              <w:rPr>
                <w:rFonts w:hint="eastAsia" w:ascii="宋体" w:hAnsi="宋体" w:eastAsia="宋体" w:cs="宋体"/>
                <w:bCs/>
                <w:color w:val="000000" w:themeColor="text1"/>
                <w:kern w:val="2"/>
                <w:sz w:val="21"/>
                <w:szCs w:val="21"/>
                <w:highlight w:val="none"/>
                <w:lang w:val="en-US" w:eastAsia="zh-Hans" w:bidi="ar-SA"/>
                <w14:textFill>
                  <w14:solidFill>
                    <w14:schemeClr w14:val="tx1"/>
                  </w14:solidFill>
                </w14:textFill>
              </w:rPr>
              <w:t>不可徒</w:t>
            </w:r>
            <w:r>
              <w:rPr>
                <w:rFonts w:hint="eastAsia" w:ascii="宋体" w:hAnsi="宋体" w:eastAsia="宋体" w:cs="宋体"/>
                <w:bCs/>
                <w:color w:val="000000" w:themeColor="text1"/>
                <w:kern w:val="2"/>
                <w:sz w:val="21"/>
                <w:szCs w:val="21"/>
                <w:highlight w:val="none"/>
                <w:shd w:val="clear"/>
                <w:lang w:val="en-US" w:eastAsia="zh-Hans" w:bidi="ar-SA"/>
                <w14:textFill>
                  <w14:solidFill>
                    <w14:schemeClr w14:val="tx1"/>
                  </w14:solidFill>
                </w14:textFill>
              </w:rPr>
              <w:t>手插拔，</w:t>
            </w:r>
            <w:r>
              <w:rPr>
                <w:rFonts w:hint="eastAsia" w:ascii="宋体" w:hAnsi="宋体" w:eastAsia="宋体" w:cs="宋体"/>
                <w:bCs/>
                <w:color w:val="000000" w:themeColor="text1"/>
                <w:kern w:val="2"/>
                <w:sz w:val="21"/>
                <w:szCs w:val="21"/>
                <w:highlight w:val="none"/>
                <w:shd w:val="clear"/>
                <w:lang w:val="en-US" w:eastAsia="zh-CN" w:bidi="ar-SA"/>
                <w14:textFill>
                  <w14:solidFill>
                    <w14:schemeClr w14:val="tx1"/>
                  </w14:solidFill>
                </w14:textFill>
              </w:rPr>
              <w:t>同时驱动与灯具为同一品牌生产，整灯及驱动通过 IP40 的CCC认证</w:t>
            </w:r>
            <w:r>
              <w:rPr>
                <w:rFonts w:hint="eastAsia" w:ascii="宋体" w:hAnsi="宋体" w:eastAsia="宋体" w:cs="宋体"/>
                <w:b/>
                <w:bCs w:val="0"/>
                <w:color w:val="000000" w:themeColor="text1"/>
                <w:kern w:val="2"/>
                <w:sz w:val="21"/>
                <w:szCs w:val="21"/>
                <w:highlight w:val="none"/>
                <w:shd w:val="clear"/>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shd w:val="clear"/>
                <w:lang w:val="en-US" w:eastAsia="zh-CN" w:bidi="ar-SA"/>
                <w14:textFill>
                  <w14:solidFill>
                    <w14:schemeClr w14:val="tx1"/>
                  </w14:solidFill>
                </w14:textFill>
              </w:rPr>
              <w:t>按须知前附表要求提供承诺函或提供对应型号整灯国家强制性CCC认证证书复印件并加盖供应商公章</w:t>
            </w:r>
            <w:r>
              <w:rPr>
                <w:rFonts w:hint="eastAsia" w:ascii="宋体" w:hAnsi="宋体" w:eastAsia="宋体" w:cs="宋体"/>
                <w:b/>
                <w:bCs w:val="0"/>
                <w:color w:val="000000" w:themeColor="text1"/>
                <w:kern w:val="2"/>
                <w:sz w:val="21"/>
                <w:szCs w:val="21"/>
                <w:highlight w:val="none"/>
                <w:shd w:val="clear"/>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shd w:val="clear"/>
                <w:lang w:val="en-US" w:eastAsia="zh-CN" w:bidi="ar-SA"/>
                <w14:textFill>
                  <w14:solidFill>
                    <w14:schemeClr w14:val="tx1"/>
                  </w14:solidFill>
                </w14:textFill>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为了增加整灯结构的牢固度，边框四个转角为榫卯结构组装，不接受灯具四角与边框用螺丝二次组装的灯具，灯盘采用ABS材料注塑加工</w:t>
            </w:r>
            <w:r>
              <w:rPr>
                <w:rFonts w:hint="eastAsia" w:ascii="宋体" w:hAnsi="宋体" w:eastAsia="宋体" w:cs="宋体"/>
                <w:bCs/>
                <w:color w:val="000000" w:themeColor="text1"/>
                <w:kern w:val="2"/>
                <w:sz w:val="21"/>
                <w:szCs w:val="21"/>
                <w:highlight w:val="none"/>
                <w:lang w:val="en-US" w:eastAsia="zh-Hans" w:bidi="ar-SA"/>
                <w14:textFill>
                  <w14:solidFill>
                    <w14:schemeClr w14:val="tx1"/>
                  </w14:solidFill>
                </w14:textFill>
              </w:rPr>
              <w:t>工艺</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，具有背出光功能。防眩光格栅格数不大于540格，产品外形尺寸不小于1190*290*90mm</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（提供产品彩色照片并加盖供应商公章）</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sz w:val="21"/>
                <w:szCs w:val="21"/>
                <w:highlight w:val="none"/>
                <w:lang w:val="zh-CN"/>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LED教室灯为了保证产品的寿命及稳定性，要求</w:t>
            </w:r>
            <w:r>
              <w:rPr>
                <w:rFonts w:hint="eastAsia" w:ascii="宋体" w:hAnsi="宋体" w:eastAsia="宋体" w:cs="宋体"/>
                <w:bCs/>
                <w:color w:val="000000" w:themeColor="text1"/>
                <w:kern w:val="2"/>
                <w:sz w:val="21"/>
                <w:szCs w:val="21"/>
                <w:highlight w:val="none"/>
                <w:lang w:val="en-US" w:eastAsia="zh-Hans" w:bidi="ar-SA"/>
                <w14:textFill>
                  <w14:solidFill>
                    <w14:schemeClr w14:val="tx1"/>
                  </w14:solidFill>
                </w14:textFill>
              </w:rPr>
              <w:t>灯具</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的LED模</w:t>
            </w:r>
            <w:r>
              <w:rPr>
                <w:rFonts w:hint="eastAsia" w:ascii="宋体" w:hAnsi="宋体" w:eastAsia="宋体" w:cs="宋体"/>
                <w:bCs/>
                <w:color w:val="000000" w:themeColor="text1"/>
                <w:kern w:val="2"/>
                <w:sz w:val="21"/>
                <w:szCs w:val="21"/>
                <w:highlight w:val="none"/>
                <w:lang w:val="en-US" w:eastAsia="zh-Hans" w:bidi="ar-SA"/>
                <w14:textFill>
                  <w14:solidFill>
                    <w14:schemeClr w14:val="tx1"/>
                  </w14:solidFill>
                </w14:textFill>
              </w:rPr>
              <w:t>组</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总功率相比灯具额定功率具有较高的冗余量。LED 模组光源</w:t>
            </w:r>
            <w:r>
              <w:rPr>
                <w:rFonts w:hint="eastAsia" w:ascii="宋体" w:hAnsi="宋体" w:eastAsia="宋体" w:cs="宋体"/>
                <w:bCs/>
                <w:color w:val="000000" w:themeColor="text1"/>
                <w:kern w:val="2"/>
                <w:sz w:val="21"/>
                <w:szCs w:val="21"/>
                <w:highlight w:val="none"/>
                <w:lang w:val="en-US" w:eastAsia="zh-Hans" w:bidi="ar-SA"/>
                <w14:textFill>
                  <w14:solidFill>
                    <w14:schemeClr w14:val="tx1"/>
                  </w14:solidFill>
                </w14:textFill>
              </w:rPr>
              <w:t>颗粒</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数乘以光源额定功率之积是灯具额定功率的</w:t>
            </w:r>
            <w:r>
              <w:rPr>
                <w:rFonts w:hint="eastAsia" w:ascii="宋体" w:hAnsi="宋体" w:eastAsia="宋体" w:cs="宋体"/>
                <w:bCs/>
                <w:color w:val="000000" w:themeColor="text1"/>
                <w:kern w:val="2"/>
                <w:sz w:val="21"/>
                <w:szCs w:val="21"/>
                <w:highlight w:val="none"/>
                <w:lang w:eastAsia="zh-CN" w:bidi="ar-SA"/>
                <w14:textFill>
                  <w14:solidFill>
                    <w14:schemeClr w14:val="tx1"/>
                  </w14:solidFill>
                </w14:textFill>
              </w:rPr>
              <w:t>3</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倍及以上</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LED教室灯额定电压：AC220-240V，频率：50/60Hz，功率为≤36W，功率因素≥0.95</w:t>
            </w:r>
            <w:r>
              <w:rPr>
                <w:rFonts w:hint="eastAsia" w:ascii="宋体" w:hAnsi="宋体" w:eastAsia="宋体" w:cs="宋体"/>
                <w:bCs/>
                <w:color w:val="000000" w:themeColor="text1"/>
                <w:kern w:val="2"/>
                <w:sz w:val="21"/>
                <w:szCs w:val="21"/>
                <w:highlight w:val="none"/>
                <w:lang w:val="en-US" w:eastAsia="zh-Hans"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 xml:space="preserve"> </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▲LED教室灯整灯光通量≥3400LM，LED教室灯光效（或灯具效能）＞95 lm/W，其中上射光通比＜20%（占灯具），下射光通比＞80%（占灯具）。</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▲为使课桌面达到最佳照度均匀度与防眩效果，LED教室灯半峰边角（50%）在C0-180面满足100°±3°，在C90-270面满足100°±3°</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LED教室灯色温在3300-5300K，初始色温与10000小时色温差值绝对值＜5</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▲LED教室灯显色指数</w:t>
            </w:r>
            <w:r>
              <w:rPr>
                <w:rFonts w:hint="eastAsia" w:ascii="宋体" w:hAnsi="宋体" w:eastAsia="宋体" w:cs="宋体"/>
                <w:color w:val="000000" w:themeColor="text1"/>
                <w:sz w:val="21"/>
                <w:szCs w:val="21"/>
                <w:highlight w:val="none"/>
                <w:lang w:val="en-US" w:eastAsia="zh-CN"/>
                <w14:textFill>
                  <w14:solidFill>
                    <w14:schemeClr w14:val="tx1"/>
                  </w14:solidFill>
                </w14:textFill>
              </w:rPr>
              <w:t>Ra&gt;97且R9&gt;93</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，初始显色性指数与10000小时显色性指数差值绝对值≤1</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LED教室灯色容差（色品容差）≤2 SDCM</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LED教室灯满足课桌面上维持平均照度≥300LX，照度均匀度≥0.8，统一眩光值（UGR)≤16，功率密度≤9W/㎡</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▲LED教室灯应满足10000小时或以上时间光通维持率＞98%，以保证产品质量和灯具使用寿命</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，不接受以GB/T33721-2017或者GB/T31879.201-2016为依据的加速与推算的结果。</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LED教室灯蓝光危害等级为RG0（或0类危险）</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▲LED教室灯</w:t>
            </w:r>
            <w:r>
              <w:rPr>
                <w:rFonts w:hint="eastAsia" w:ascii="宋体" w:hAnsi="宋体" w:eastAsia="宋体" w:cs="宋体"/>
                <w:color w:val="000000" w:themeColor="text1"/>
                <w:highlight w:val="none"/>
                <w:lang w:val="en-US" w:eastAsia="zh-Hans"/>
                <w14:textFill>
                  <w14:solidFill>
                    <w14:schemeClr w14:val="tx1"/>
                  </w14:solidFill>
                </w14:textFill>
              </w:rPr>
              <w:t>光输出波形频率＞3125Hz</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，光频闪的危害评测结果为“无显著影响”</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为防止灯体本身因灰尘</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梅雨天气</w:t>
            </w:r>
            <w:r>
              <w:rPr>
                <w:rFonts w:hint="eastAsia" w:ascii="宋体" w:hAnsi="宋体" w:eastAsia="宋体" w:cs="宋体"/>
                <w:color w:val="000000" w:themeColor="text1"/>
                <w:highlight w:val="none"/>
                <w14:textFill>
                  <w14:solidFill>
                    <w14:schemeClr w14:val="tx1"/>
                  </w14:solidFill>
                </w14:textFill>
              </w:rPr>
              <w:t>等原因造成光衰</w:t>
            </w:r>
            <w:r>
              <w:rPr>
                <w:rFonts w:hint="eastAsia" w:ascii="宋体" w:hAnsi="宋体" w:eastAsia="宋体" w:cs="宋体"/>
                <w:color w:val="000000" w:themeColor="text1"/>
                <w:highlight w:val="none"/>
                <w:lang w:val="en-US" w:eastAsia="zh-CN"/>
                <w14:textFill>
                  <w14:solidFill>
                    <w14:schemeClr w14:val="tx1"/>
                  </w14:solidFill>
                </w14:textFill>
              </w:rPr>
              <w:t>或损坏</w:t>
            </w:r>
            <w:r>
              <w:rPr>
                <w:rFonts w:hint="eastAsia" w:ascii="宋体" w:hAnsi="宋体" w:eastAsia="宋体" w:cs="宋体"/>
                <w:color w:val="000000" w:themeColor="text1"/>
                <w:highlight w:val="none"/>
                <w14:textFill>
                  <w14:solidFill>
                    <w14:schemeClr w14:val="tx1"/>
                  </w14:solidFill>
                </w14:textFill>
              </w:rPr>
              <w:t>，应具备IP</w:t>
            </w:r>
            <w:r>
              <w:rPr>
                <w:rFonts w:hint="eastAsia" w:ascii="宋体" w:hAnsi="宋体" w:eastAsia="宋体" w:cs="宋体"/>
                <w:color w:val="000000" w:themeColor="text1"/>
                <w:highlight w:val="none"/>
                <w:lang w:val="en-US" w:eastAsia="zh-CN"/>
                <w14:textFill>
                  <w14:solidFill>
                    <w14:schemeClr w14:val="tx1"/>
                  </w14:solidFill>
                </w14:textFill>
              </w:rPr>
              <w:t>54</w:t>
            </w:r>
            <w:r>
              <w:rPr>
                <w:rFonts w:hint="eastAsia" w:ascii="宋体" w:hAnsi="宋体" w:eastAsia="宋体" w:cs="宋体"/>
                <w:color w:val="000000" w:themeColor="text1"/>
                <w:highlight w:val="none"/>
                <w14:textFill>
                  <w14:solidFill>
                    <w14:schemeClr w14:val="tx1"/>
                  </w14:solidFill>
                </w14:textFill>
              </w:rPr>
              <w:t>或以上防护等级</w:t>
            </w:r>
            <w:r>
              <w:rPr>
                <w:rFonts w:hint="eastAsia" w:ascii="宋体" w:hAnsi="宋体" w:eastAsia="宋体" w:cs="宋体"/>
                <w:b/>
                <w:bCs/>
                <w:color w:val="000000" w:themeColor="text1"/>
                <w:highlight w:val="none"/>
                <w:lang w:eastAsia="zh-CN"/>
                <w14:textFill>
                  <w14:solidFill>
                    <w14:schemeClr w14:val="tx1"/>
                  </w14:solidFill>
                </w14:textFill>
              </w:rPr>
              <w:t>（</w:t>
            </w:r>
            <w:r>
              <w:rPr>
                <w:rFonts w:hint="eastAsia" w:ascii="宋体" w:hAnsi="宋体" w:cs="宋体"/>
                <w:b/>
                <w:bCs/>
                <w:color w:val="000000" w:themeColor="text1"/>
                <w:highlight w:val="none"/>
                <w:lang w:eastAsia="zh-CN"/>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pStyle w:val="45"/>
              <w:keepNext w:val="0"/>
              <w:keepLines w:val="0"/>
              <w:pageBreakBefore w:val="0"/>
              <w:widowControl w:val="0"/>
              <w:numPr>
                <w:ilvl w:val="0"/>
                <w:numId w:val="3"/>
              </w:numPr>
              <w:kinsoku/>
              <w:wordWrap/>
              <w:overflowPunct/>
              <w:topLinePunct w:val="0"/>
              <w:autoSpaceDE w:val="0"/>
              <w:autoSpaceDN w:val="0"/>
              <w:bidi w:val="0"/>
              <w:adjustRightInd/>
              <w:snapToGrid/>
              <w:spacing w:line="288" w:lineRule="auto"/>
              <w:ind w:left="425" w:leftChars="0" w:hanging="425" w:firstLineChars="0"/>
              <w:textAlignment w:val="auto"/>
              <w:rPr>
                <w:rFonts w:hint="eastAsia" w:ascii="宋体" w:hAnsi="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▲LED教室灯焊点结温在ta:40℃下进行热试验测试不大于70℃</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tc>
        <w:tc>
          <w:tcPr>
            <w:tcW w:w="314" w:type="pct"/>
            <w:noWrap w:val="0"/>
            <w:vAlign w:val="center"/>
          </w:tcPr>
          <w:p>
            <w:pPr>
              <w:autoSpaceDE w:val="0"/>
              <w:autoSpaceDN w:val="0"/>
              <w:spacing w:line="320" w:lineRule="exact"/>
              <w:jc w:val="center"/>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345</w:t>
            </w:r>
          </w:p>
        </w:tc>
        <w:tc>
          <w:tcPr>
            <w:tcW w:w="256" w:type="pct"/>
            <w:noWrap w:val="0"/>
            <w:vAlign w:val="center"/>
          </w:tcPr>
          <w:p>
            <w:pPr>
              <w:autoSpaceDE w:val="0"/>
              <w:autoSpaceDN w:val="0"/>
              <w:spacing w:line="320" w:lineRule="exact"/>
              <w:jc w:val="center"/>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9" w:type="pct"/>
            <w:noWrap w:val="0"/>
            <w:vAlign w:val="center"/>
          </w:tcPr>
          <w:p>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w:t>
            </w:r>
          </w:p>
        </w:tc>
        <w:tc>
          <w:tcPr>
            <w:tcW w:w="405" w:type="pct"/>
            <w:noWrap w:val="0"/>
            <w:vAlign w:val="center"/>
          </w:tcPr>
          <w:p>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LED黑板灯</w:t>
            </w:r>
          </w:p>
        </w:tc>
        <w:tc>
          <w:tcPr>
            <w:tcW w:w="3754" w:type="pct"/>
            <w:noWrap w:val="0"/>
            <w:vAlign w:val="center"/>
          </w:tcPr>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LED黑板灯为一体式LED防眩灯具，灯具主体材料为不易变形抗氧化金属材质，避免安全隐患</w:t>
            </w:r>
            <w:r>
              <w:rPr>
                <w:rFonts w:hint="eastAsia" w:ascii="宋体" w:hAnsi="宋体" w:eastAsia="宋体" w:cs="宋体"/>
                <w:bCs/>
                <w:color w:val="000000" w:themeColor="text1"/>
                <w:kern w:val="2"/>
                <w:sz w:val="21"/>
                <w:szCs w:val="21"/>
                <w:highlight w:val="none"/>
                <w:lang w:val="en-US" w:eastAsia="zh-Hans"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吊杆采用经过阳极氧化的铝型材材质，两头螺纹结构，不接受插销式连接，吊杆直径不大于13.0mm，壁厚不小于1.0mm</w:t>
            </w:r>
            <w:r>
              <w:rPr>
                <w:rFonts w:hint="eastAsia" w:ascii="宋体" w:hAnsi="宋体" w:eastAsia="宋体" w:cs="宋体"/>
                <w:bCs/>
                <w:color w:val="000000" w:themeColor="text1"/>
                <w:kern w:val="2"/>
                <w:sz w:val="21"/>
                <w:szCs w:val="21"/>
                <w:highlight w:val="none"/>
                <w:lang w:val="en-US" w:eastAsia="zh-Hans"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滑槽移动距离大于900.0mm。</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zh-CN"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LED黑板灯驱动电源需为恒流驱动，电源应有外壳并可靠固定，同时驱动与灯具为同一品牌生产，整灯及驱动通过IP40 的CCC认证</w:t>
            </w:r>
            <w:r>
              <w:rPr>
                <w:rFonts w:hint="eastAsia" w:ascii="宋体" w:hAnsi="宋体" w:eastAsia="宋体" w:cs="宋体"/>
                <w:b/>
                <w:bCs w:val="0"/>
                <w:color w:val="000000" w:themeColor="text1"/>
                <w:kern w:val="2"/>
                <w:sz w:val="21"/>
                <w:szCs w:val="21"/>
                <w:highlight w:val="none"/>
                <w:shd w:val="clear"/>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shd w:val="clear"/>
                <w:lang w:val="en-US" w:eastAsia="zh-CN" w:bidi="ar-SA"/>
                <w14:textFill>
                  <w14:solidFill>
                    <w14:schemeClr w14:val="tx1"/>
                  </w14:solidFill>
                </w14:textFill>
              </w:rPr>
              <w:t>按须知前附表要求提供承诺函或提供对应型号整灯国家强制性CCC认证证书复印件并加盖供应商公章</w:t>
            </w:r>
            <w:r>
              <w:rPr>
                <w:rFonts w:hint="eastAsia" w:ascii="宋体" w:hAnsi="宋体" w:eastAsia="宋体" w:cs="宋体"/>
                <w:b/>
                <w:bCs w:val="0"/>
                <w:color w:val="000000" w:themeColor="text1"/>
                <w:kern w:val="2"/>
                <w:sz w:val="21"/>
                <w:szCs w:val="21"/>
                <w:highlight w:val="none"/>
                <w:shd w:val="clear"/>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shd w:val="clear"/>
                <w:lang w:val="en-US" w:eastAsia="zh-CN" w:bidi="ar-SA"/>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zh-CN"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LED黑板灯采用分体式防眩格栅+二次光学透镜且格栅和透镜均小于5段，每段格栅数量不大于19格，产品尺寸须全部不大于L1198×W68×H108mm</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 xml:space="preserve">（提供产品彩色照片并加盖供应商公章）。 </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zh-CN"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w:t>
            </w:r>
            <w:r>
              <w:rPr>
                <w:rFonts w:hint="eastAsia" w:ascii="宋体" w:hAnsi="宋体" w:eastAsia="宋体" w:cs="宋体"/>
                <w:bCs/>
                <w:color w:val="000000" w:themeColor="text1"/>
                <w:kern w:val="2"/>
                <w:sz w:val="21"/>
                <w:szCs w:val="21"/>
                <w:highlight w:val="none"/>
                <w:lang w:val="en-US" w:eastAsia="zh-Hans" w:bidi="ar-SA"/>
                <w14:textFill>
                  <w14:solidFill>
                    <w14:schemeClr w14:val="tx1"/>
                  </w14:solidFill>
                </w14:textFill>
              </w:rPr>
              <w:t>黑板灯</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为了保证产品的寿命及稳定性，要求</w:t>
            </w:r>
            <w:r>
              <w:rPr>
                <w:rFonts w:hint="eastAsia" w:ascii="宋体" w:hAnsi="宋体" w:eastAsia="宋体" w:cs="宋体"/>
                <w:bCs/>
                <w:color w:val="000000" w:themeColor="text1"/>
                <w:kern w:val="2"/>
                <w:sz w:val="21"/>
                <w:szCs w:val="21"/>
                <w:highlight w:val="none"/>
                <w:lang w:val="en-US" w:eastAsia="zh-Hans" w:bidi="ar-SA"/>
                <w14:textFill>
                  <w14:solidFill>
                    <w14:schemeClr w14:val="tx1"/>
                  </w14:solidFill>
                </w14:textFill>
              </w:rPr>
              <w:t>灯具</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的LED模</w:t>
            </w:r>
            <w:r>
              <w:rPr>
                <w:rFonts w:hint="eastAsia" w:ascii="宋体" w:hAnsi="宋体" w:eastAsia="宋体" w:cs="宋体"/>
                <w:bCs/>
                <w:color w:val="000000" w:themeColor="text1"/>
                <w:kern w:val="2"/>
                <w:sz w:val="21"/>
                <w:szCs w:val="21"/>
                <w:highlight w:val="none"/>
                <w:lang w:val="en-US" w:eastAsia="zh-Hans" w:bidi="ar-SA"/>
                <w14:textFill>
                  <w14:solidFill>
                    <w14:schemeClr w14:val="tx1"/>
                  </w14:solidFill>
                </w14:textFill>
              </w:rPr>
              <w:t>组</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总功率相比灯具额定功率具有较高的冗余量。LED 模组光源</w:t>
            </w:r>
            <w:r>
              <w:rPr>
                <w:rFonts w:hint="eastAsia" w:ascii="宋体" w:hAnsi="宋体" w:eastAsia="宋体" w:cs="宋体"/>
                <w:bCs/>
                <w:color w:val="000000" w:themeColor="text1"/>
                <w:kern w:val="2"/>
                <w:sz w:val="21"/>
                <w:szCs w:val="21"/>
                <w:highlight w:val="none"/>
                <w:lang w:val="en-US" w:eastAsia="zh-Hans" w:bidi="ar-SA"/>
                <w14:textFill>
                  <w14:solidFill>
                    <w14:schemeClr w14:val="tx1"/>
                  </w14:solidFill>
                </w14:textFill>
              </w:rPr>
              <w:t>颗粒</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数乘以光源额定功率之积是灯具额定功率的3倍及以上。</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LED黑板灯额定电压：AC220-240V，频率：50/60Hz，功率为≤32W，功率因素≥0.95</w:t>
            </w:r>
            <w:r>
              <w:rPr>
                <w:rFonts w:hint="eastAsia" w:ascii="宋体" w:hAnsi="宋体" w:eastAsia="宋体" w:cs="宋体"/>
                <w:bCs/>
                <w:color w:val="000000" w:themeColor="text1"/>
                <w:kern w:val="2"/>
                <w:sz w:val="21"/>
                <w:szCs w:val="21"/>
                <w:highlight w:val="none"/>
                <w:lang w:val="en-US" w:eastAsia="zh-Hans" w:bidi="ar-SA"/>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LED黑板灯整灯光通量≥3200LM，LED黑板灯光效（或灯具效能）≥100Lm/W</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LED黑板灯半峰边角（50%）在C0-180面满足70°±2°，在C90-270面满足65°±2°</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LED教室灯色温在3300-5300K，初始色温与10000小时色温差值绝对值＜5</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▲LED黑板灯显色指数Ra&gt;98且R9&gt;95，初始显色性指数与10000小时显色性指数差值绝对值≤1</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LED黑板灯色容差（色品容差）≤2 SDCM</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LED黑板灯满足黑板面上维持平均照度≥500LX，照度均匀度≥0.8</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▲LED黑板灯应满足10000小时或以上时间光通维持率＞98%，以保证产品质量和灯具使用寿命</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，不接受以GB/T33721-2017或者GB/T31879.201-2016为依据的加速与推算的结果。</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LED黑板灯蓝光危害等级为RG0（或0类危险）</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zh-CN"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LED黑板灯</w:t>
            </w:r>
            <w:r>
              <w:rPr>
                <w:rFonts w:hint="eastAsia" w:ascii="宋体" w:hAnsi="宋体" w:eastAsia="宋体" w:cs="宋体"/>
                <w:bCs/>
                <w:color w:val="000000" w:themeColor="text1"/>
                <w:kern w:val="2"/>
                <w:sz w:val="21"/>
                <w:szCs w:val="21"/>
                <w:highlight w:val="none"/>
                <w:lang w:val="en-US" w:eastAsia="zh-Hans" w:bidi="ar-SA"/>
                <w14:textFill>
                  <w14:solidFill>
                    <w14:schemeClr w14:val="tx1"/>
                  </w14:solidFill>
                </w14:textFill>
              </w:rPr>
              <w:t>光输出波形频率＞3125Hz</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，光频闪的危害评测结果为“无显著影响”</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jc w:val="left"/>
              <w:textAlignment w:val="auto"/>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为防止灯体本身因灰尘、梅雨天气等原因造成光衰或损坏，应具备IP54或以上防护等级</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p>
            <w:pPr>
              <w:pStyle w:val="15"/>
              <w:keepNext w:val="0"/>
              <w:keepLines w:val="0"/>
              <w:pageBreakBefore w:val="0"/>
              <w:widowControl w:val="0"/>
              <w:numPr>
                <w:ilvl w:val="0"/>
                <w:numId w:val="4"/>
              </w:numPr>
              <w:kinsoku/>
              <w:wordWrap/>
              <w:overflowPunct/>
              <w:topLinePunct w:val="0"/>
              <w:autoSpaceDE/>
              <w:autoSpaceDN/>
              <w:bidi w:val="0"/>
              <w:adjustRightInd/>
              <w:snapToGrid/>
              <w:spacing w:line="288" w:lineRule="auto"/>
              <w:ind w:left="425" w:leftChars="0" w:hanging="425" w:firstLineChars="0"/>
              <w:textAlignment w:val="auto"/>
              <w:rPr>
                <w:rFonts w:hint="eastAsia" w:ascii="宋体" w:hAnsi="宋体" w:eastAsia="宋体" w:cs="宋体"/>
                <w:color w:val="000000" w:themeColor="text1"/>
                <w:kern w:val="2"/>
                <w:sz w:val="21"/>
                <w:szCs w:val="21"/>
                <w:highlight w:val="none"/>
                <w:lang w:val="en-US" w:eastAsia="zh-CN" w:bidi="ar-SA"/>
                <w14:textFill>
                  <w14:solidFill>
                    <w14:schemeClr w14:val="tx1"/>
                  </w14:solidFill>
                </w14:textFill>
              </w:rPr>
            </w:pP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▲LED黑板灯焊点结温在ta:40℃下进行热试验测试不大于70℃</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cs="宋体"/>
                <w:b/>
                <w:bCs w:val="0"/>
                <w:color w:val="000000" w:themeColor="text1"/>
                <w:kern w:val="2"/>
                <w:sz w:val="21"/>
                <w:szCs w:val="21"/>
                <w:highlight w:val="none"/>
                <w:lang w:val="en-US" w:eastAsia="zh-CN" w:bidi="ar-SA"/>
                <w14:textFill>
                  <w14:solidFill>
                    <w14:schemeClr w14:val="tx1"/>
                  </w14:solidFill>
                </w14:textFill>
              </w:rPr>
              <w:t>提供封面带有 CMA、ILAC-MRA、CNAS标志的第三方检测机构出具的完整检测报告复印件</w:t>
            </w:r>
            <w:r>
              <w:rPr>
                <w:rFonts w:hint="eastAsia" w:ascii="宋体" w:hAnsi="宋体" w:eastAsia="宋体" w:cs="宋体"/>
                <w:b/>
                <w:bCs w:val="0"/>
                <w:color w:val="000000" w:themeColor="text1"/>
                <w:kern w:val="2"/>
                <w:sz w:val="21"/>
                <w:szCs w:val="21"/>
                <w:highlight w:val="none"/>
                <w:lang w:val="en-US" w:eastAsia="zh-CN" w:bidi="ar-SA"/>
                <w14:textFill>
                  <w14:solidFill>
                    <w14:schemeClr w14:val="tx1"/>
                  </w14:solidFill>
                </w14:textFill>
              </w:rPr>
              <w:t>）</w:t>
            </w:r>
            <w:r>
              <w:rPr>
                <w:rFonts w:hint="eastAsia" w:ascii="宋体" w:hAnsi="宋体" w:eastAsia="宋体" w:cs="宋体"/>
                <w:bCs/>
                <w:color w:val="000000" w:themeColor="text1"/>
                <w:kern w:val="2"/>
                <w:sz w:val="21"/>
                <w:szCs w:val="21"/>
                <w:highlight w:val="none"/>
                <w:lang w:val="en-US" w:eastAsia="zh-CN" w:bidi="ar-SA"/>
                <w14:textFill>
                  <w14:solidFill>
                    <w14:schemeClr w14:val="tx1"/>
                  </w14:solidFill>
                </w14:textFill>
              </w:rPr>
              <w:t>。</w:t>
            </w:r>
          </w:p>
        </w:tc>
        <w:tc>
          <w:tcPr>
            <w:tcW w:w="314" w:type="pct"/>
            <w:noWrap w:val="0"/>
            <w:vAlign w:val="center"/>
          </w:tcPr>
          <w:p>
            <w:pPr>
              <w:pStyle w:val="68"/>
              <w:adjustRightInd w:val="0"/>
              <w:spacing w:line="320" w:lineRule="exact"/>
              <w:ind w:right="74"/>
              <w:jc w:val="center"/>
              <w:rPr>
                <w:rFonts w:hint="default"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99</w:t>
            </w:r>
          </w:p>
        </w:tc>
        <w:tc>
          <w:tcPr>
            <w:tcW w:w="256" w:type="pct"/>
            <w:noWrap w:val="0"/>
            <w:vAlign w:val="center"/>
          </w:tcPr>
          <w:p>
            <w:pPr>
              <w:spacing w:line="320" w:lineRule="exact"/>
              <w:jc w:val="center"/>
              <w:rPr>
                <w:rFonts w:hint="eastAsia" w:ascii="宋体" w:hAnsi="宋体" w:cs="宋体"/>
                <w:color w:val="000000" w:themeColor="text1"/>
                <w:kern w:val="0"/>
                <w:highlight w:val="none"/>
                <w14:textFill>
                  <w14:solidFill>
                    <w14:schemeClr w14:val="tx1"/>
                  </w14:solidFill>
                </w14:textFill>
              </w:rPr>
            </w:pPr>
            <w:r>
              <w:rPr>
                <w:rFonts w:hint="eastAsia" w:ascii="宋体" w:hAnsi="宋体" w:cs="宋体"/>
                <w:color w:val="000000" w:themeColor="text1"/>
                <w:kern w:val="0"/>
                <w:highlight w:val="none"/>
                <w14:textFill>
                  <w14:solidFill>
                    <w14:schemeClr w14:val="tx1"/>
                  </w14:solidFill>
                </w14:textFill>
              </w:rPr>
              <w:t>盏</w:t>
            </w:r>
          </w:p>
        </w:tc>
      </w:tr>
    </w:tbl>
    <w:p>
      <w:pPr>
        <w:pageBreakBefore w:val="0"/>
        <w:widowControl w:val="0"/>
        <w:kinsoku/>
        <w:wordWrap/>
        <w:overflowPunct/>
        <w:topLinePunct w:val="0"/>
        <w:autoSpaceDE/>
        <w:autoSpaceDN/>
        <w:bidi w:val="0"/>
        <w:adjustRightInd/>
        <w:snapToGrid/>
        <w:spacing w:line="360" w:lineRule="auto"/>
        <w:ind w:firstLine="221" w:firstLineChars="100"/>
        <w:textAlignment w:val="auto"/>
        <w:rPr>
          <w:rFonts w:hint="eastAsia" w:ascii="宋体" w:hAnsi="宋体" w:eastAsia="宋体" w:cs="宋体"/>
          <w:b/>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
          <w:bCs/>
          <w:color w:val="000000" w:themeColor="text1"/>
          <w:sz w:val="22"/>
          <w:szCs w:val="22"/>
          <w:highlight w:val="none"/>
          <w:lang w:val="en-US" w:eastAsia="zh-CN"/>
          <w14:textFill>
            <w14:solidFill>
              <w14:schemeClr w14:val="tx1"/>
            </w14:solidFill>
          </w14:textFill>
        </w:rPr>
        <w:t>备注：各供应商在满足采购要求的前提下，可以提供质量、技术要求同档次或高于参照品牌要求的其他合格产品。</w:t>
      </w:r>
    </w:p>
    <w:p>
      <w:pPr>
        <w:bidi w:val="0"/>
        <w:rPr>
          <w:rFonts w:hint="eastAsia"/>
          <w:color w:val="000000" w:themeColor="text1"/>
          <w:highlight w:val="none"/>
          <w:lang w:val="en-US" w:eastAsia="zh-CN"/>
          <w14:textFill>
            <w14:solidFill>
              <w14:schemeClr w14:val="tx1"/>
            </w14:solidFill>
          </w14:textFill>
        </w:rPr>
        <w:sectPr>
          <w:headerReference r:id="rId10" w:type="default"/>
          <w:footerReference r:id="rId11" w:type="default"/>
          <w:footerReference r:id="rId12" w:type="even"/>
          <w:pgSz w:w="11906" w:h="16838"/>
          <w:pgMar w:top="1440" w:right="1440" w:bottom="1440" w:left="1440" w:header="851" w:footer="992" w:gutter="0"/>
          <w:pgNumType w:fmt="numberInDash"/>
          <w:cols w:space="720" w:num="1"/>
          <w:docGrid w:type="lines" w:linePitch="312" w:charSpace="0"/>
        </w:sectPr>
      </w:pPr>
    </w:p>
    <w:p>
      <w:pPr>
        <w:bidi w:val="0"/>
        <w:spacing w:line="360" w:lineRule="auto"/>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3、原有设备设施拆除要求</w:t>
      </w:r>
    </w:p>
    <w:p>
      <w:pPr>
        <w:bidi w:val="0"/>
        <w:spacing w:line="360" w:lineRule="auto"/>
        <w:ind w:left="0" w:leftChars="0" w:firstLine="420" w:firstLineChars="175"/>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供应商负责现有灯具及线路的拆卸和安全处置，费用包含在磋商报价中，采购人不再另行支付。拆除的灯具应完好交学校留存；能继续正常使用的光源应完好交学校留存，不能正常使用的光源应交有环保资质的企业进行回收。拆除现场应区域划分，材料堆放归类，处理拆除后的建渣，并保证不破坏原有建筑体，但不包含老旧线路的拆除。</w:t>
      </w:r>
    </w:p>
    <w:p>
      <w:pPr>
        <w:numPr>
          <w:ilvl w:val="0"/>
          <w:numId w:val="0"/>
        </w:numPr>
        <w:bidi w:val="0"/>
        <w:spacing w:line="360" w:lineRule="auto"/>
        <w:ind w:leftChars="0"/>
        <w:rPr>
          <w:rFonts w:hint="eastAsia" w:ascii="宋体" w:hAnsi="宋体" w:eastAsia="宋体" w:cs="宋体"/>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4、安装调试要求</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成交供应商接到采购人进场施工通知之日起在规定的时间内完成安装、调试、检验，检验合格后完成本项目的后续供货，安装（含原有设备拆除及搬运）、调试，经采购人验收合格后交付使用。悬挂物（若有）必须安装牢固；设备及施工安全问题由供应商终身负责。</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中标</w:t>
      </w:r>
      <w:r>
        <w:rPr>
          <w:rFonts w:hint="eastAsia" w:ascii="宋体" w:hAnsi="宋体" w:cs="宋体"/>
          <w:color w:val="000000" w:themeColor="text1"/>
          <w:sz w:val="24"/>
          <w:highlight w:val="none"/>
          <w:lang w:val="en-US" w:eastAsia="zh-CN"/>
          <w14:textFill>
            <w14:solidFill>
              <w14:schemeClr w14:val="tx1"/>
            </w14:solidFill>
          </w14:textFill>
        </w:rPr>
        <w:t>（成交）</w:t>
      </w:r>
      <w:r>
        <w:rPr>
          <w:rFonts w:hint="eastAsia" w:ascii="宋体" w:hAnsi="宋体" w:eastAsia="宋体" w:cs="宋体"/>
          <w:color w:val="000000" w:themeColor="text1"/>
          <w:sz w:val="24"/>
          <w:highlight w:val="none"/>
          <w:lang w:val="en-US" w:eastAsia="zh-CN"/>
          <w14:textFill>
            <w14:solidFill>
              <w14:schemeClr w14:val="tx1"/>
            </w14:solidFill>
          </w14:textFill>
        </w:rPr>
        <w:t>后在施工前</w:t>
      </w:r>
      <w:r>
        <w:rPr>
          <w:rFonts w:hint="eastAsia" w:ascii="宋体" w:hAnsi="宋体" w:cs="宋体"/>
          <w:color w:val="000000" w:themeColor="text1"/>
          <w:sz w:val="24"/>
          <w:highlight w:val="none"/>
          <w:lang w:val="en-US" w:eastAsia="zh-CN"/>
          <w14:textFill>
            <w14:solidFill>
              <w14:schemeClr w14:val="tx1"/>
            </w14:solidFill>
          </w14:textFill>
        </w:rPr>
        <w:t>，</w:t>
      </w:r>
      <w:r>
        <w:rPr>
          <w:rFonts w:hint="eastAsia" w:ascii="宋体" w:hAnsi="宋体" w:eastAsia="宋体" w:cs="宋体"/>
          <w:color w:val="000000" w:themeColor="text1"/>
          <w:sz w:val="24"/>
          <w:highlight w:val="none"/>
          <w:lang w:val="en-US" w:eastAsia="zh-CN"/>
          <w14:textFill>
            <w14:solidFill>
              <w14:schemeClr w14:val="tx1"/>
            </w14:solidFill>
          </w14:textFill>
        </w:rPr>
        <w:t>中标</w:t>
      </w:r>
      <w:r>
        <w:rPr>
          <w:rFonts w:hint="eastAsia" w:ascii="宋体" w:hAnsi="宋体" w:cs="宋体"/>
          <w:color w:val="000000" w:themeColor="text1"/>
          <w:sz w:val="24"/>
          <w:highlight w:val="none"/>
          <w:lang w:val="en-US" w:eastAsia="zh-CN"/>
          <w14:textFill>
            <w14:solidFill>
              <w14:schemeClr w14:val="tx1"/>
            </w14:solidFill>
          </w14:textFill>
        </w:rPr>
        <w:t>（成交）</w:t>
      </w:r>
      <w:r>
        <w:rPr>
          <w:rFonts w:hint="eastAsia" w:ascii="宋体" w:hAnsi="宋体" w:eastAsia="宋体" w:cs="宋体"/>
          <w:color w:val="000000" w:themeColor="text1"/>
          <w:sz w:val="24"/>
          <w:highlight w:val="none"/>
          <w:lang w:val="en-US" w:eastAsia="zh-CN"/>
          <w14:textFill>
            <w14:solidFill>
              <w14:schemeClr w14:val="tx1"/>
            </w14:solidFill>
          </w14:textFill>
        </w:rPr>
        <w:t>单位提供由 DIALux 或软件仿真设计的完整报表，报表中的教室尺寸等信息由甲方提供，报表中的灯具参数必须和供应商提供的灯具检测报告上的参数一致。计算结果数据达到以下指标，维护系数取值 1.0，全部灯具点亮时，课桌面平均照度≥375lx、均匀度≥0.7，板书面平均照度≥625lx、均匀度≥0.8，统一眩光值 UGR&lt;16；普通教室等功率密度（不含板书灯）≤7W/m2，实训等功率密度≤9W/m2。</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供应商针对学校供货及安装实施情况，提供施工进度表、施工人员投入一览表及规范的管理制度。提供内容</w:t>
      </w:r>
      <w:r>
        <w:rPr>
          <w:rFonts w:hint="eastAsia" w:ascii="宋体" w:hAnsi="宋体" w:cs="宋体"/>
          <w:color w:val="000000" w:themeColor="text1"/>
          <w:sz w:val="24"/>
          <w:highlight w:val="none"/>
          <w:lang w:val="en-US" w:eastAsia="zh-CN"/>
          <w14:textFill>
            <w14:solidFill>
              <w14:schemeClr w14:val="tx1"/>
            </w14:solidFill>
          </w14:textFill>
        </w:rPr>
        <w:t>清晰</w:t>
      </w:r>
      <w:r>
        <w:rPr>
          <w:rFonts w:hint="eastAsia" w:ascii="宋体" w:hAnsi="宋体" w:eastAsia="宋体" w:cs="宋体"/>
          <w:color w:val="000000" w:themeColor="text1"/>
          <w:sz w:val="24"/>
          <w:highlight w:val="none"/>
          <w:lang w:val="en-US" w:eastAsia="zh-CN"/>
          <w14:textFill>
            <w14:solidFill>
              <w14:schemeClr w14:val="tx1"/>
            </w14:solidFill>
          </w14:textFill>
        </w:rPr>
        <w:t>明</w:t>
      </w:r>
      <w:r>
        <w:rPr>
          <w:rFonts w:hint="eastAsia" w:ascii="宋体" w:hAnsi="宋体" w:cs="宋体"/>
          <w:color w:val="000000" w:themeColor="text1"/>
          <w:sz w:val="24"/>
          <w:highlight w:val="none"/>
          <w:lang w:val="en-US" w:eastAsia="zh-CN"/>
          <w14:textFill>
            <w14:solidFill>
              <w14:schemeClr w14:val="tx1"/>
            </w14:solidFill>
          </w14:textFill>
        </w:rPr>
        <w:t>了</w:t>
      </w:r>
      <w:r>
        <w:rPr>
          <w:rFonts w:hint="eastAsia" w:ascii="宋体" w:hAnsi="宋体" w:eastAsia="宋体" w:cs="宋体"/>
          <w:color w:val="000000" w:themeColor="text1"/>
          <w:sz w:val="24"/>
          <w:highlight w:val="none"/>
          <w:lang w:val="en-US" w:eastAsia="zh-CN"/>
          <w14:textFill>
            <w14:solidFill>
              <w14:schemeClr w14:val="tx1"/>
            </w14:solidFill>
          </w14:textFill>
        </w:rPr>
        <w:t>易于实施的工程安装方案和实施要求。</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工程安装要求如下：</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1.灯具距课桌面的最低悬挂高度为1.7m，非嵌入式灯具应使用刚性吊杆安装，吊杆应与灯面垂直，不得倾斜，两杆间距偏差±5 mm；灯具排列采用长轴垂直于板书区域布置；灯具对称安装，其横（纵）向中心轴线宜在同一直线上，偏斜不应大于 20mm。</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2.吊杆安装的灯具应采用不小于 Φ6mm 膨胀螺栓固定，预埋件承重能不低于灯具重量的 10 倍。</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灯具及其附件应安装齐全，并无损伤、变形、涂层剥落和灯罩破裂等缺陷；灯具接线牢固、接触良好；开关面板及接线盒盒体安装完整、无破损变形，零件齐全；墙面明线安装中导管管径大小和接线盒孔径相匹配，导管和接线盒连接紧密。</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4.对施工中造成的墙面破损应修复。</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5.按教室照明设置情况和天然采光状况，每个照明开关所控制灯具数不应多于 3 个；板书区域灯具应单独控制，开关安装在板书区域同侧；</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6.灯具安装时，要注意避免对其他设备（如：监控摄像机、投影机 、顶装空调）的遮挡；如果光线受到建筑构件遮挡，应注意在限值内调整灯具的水平安装位置或降低灯具的安装高度；安装风扇的教室中，出光口面应低于风扇叶面。</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7.安装过程的信息采集见附录：“教室照明质量检测记录表、教室内部及主要物件尺寸测量记录表、安装调试记录表”。</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8.教室照明灯具驱动电源需为LED控制装置，电源应有外壳并可靠固定。</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9.供应商安装过程中须确保产品安装位置合理，布线整齐美观，线路穿管，符合国家相关标准及采购人要求。</w:t>
      </w:r>
    </w:p>
    <w:p>
      <w:pPr>
        <w:spacing w:line="360" w:lineRule="auto"/>
        <w:ind w:firstLine="422" w:firstLineChars="175"/>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5、其他服务要求</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cs="宋体"/>
          <w:color w:val="000000" w:themeColor="text1"/>
          <w:sz w:val="24"/>
          <w:highlight w:val="none"/>
          <w:lang w:val="en-US" w:eastAsia="zh-CN"/>
          <w14:textFill>
            <w14:solidFill>
              <w14:schemeClr w14:val="tx1"/>
            </w14:solidFill>
          </w14:textFill>
        </w:rPr>
        <w:t>施工前</w:t>
      </w:r>
      <w:r>
        <w:rPr>
          <w:rFonts w:hint="eastAsia" w:ascii="宋体" w:hAnsi="宋体" w:eastAsia="宋体" w:cs="宋体"/>
          <w:color w:val="000000" w:themeColor="text1"/>
          <w:sz w:val="24"/>
          <w:highlight w:val="none"/>
          <w:lang w:val="en-US" w:eastAsia="zh-CN"/>
          <w14:textFill>
            <w14:solidFill>
              <w14:schemeClr w14:val="tx1"/>
            </w14:solidFill>
          </w14:textFill>
        </w:rPr>
        <w:t>检查设计方案：批量产品抽检合格后，应检查设计方案。设计方案图纸中应包含标注环境实际数据、灯具实际定位数据的平面图、3D 效果图、课桌平面照度值分布及均匀度分析图、板书平面照度值分布及均匀度分析图、指定位置统一眩光值（UGR）分析图、灯具安装电路图。</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bookmarkStart w:id="155" w:name="4.2.3安装样板教室"/>
      <w:bookmarkEnd w:id="155"/>
      <w:bookmarkStart w:id="156" w:name="_bookmark22"/>
      <w:bookmarkEnd w:id="156"/>
      <w:r>
        <w:rPr>
          <w:rFonts w:hint="eastAsia" w:ascii="宋体" w:hAnsi="宋体" w:eastAsia="宋体" w:cs="宋体"/>
          <w:color w:val="000000" w:themeColor="text1"/>
          <w:sz w:val="24"/>
          <w:highlight w:val="none"/>
          <w:lang w:val="en-US" w:eastAsia="zh-CN"/>
          <w14:textFill>
            <w14:solidFill>
              <w14:schemeClr w14:val="tx1"/>
            </w14:solidFill>
          </w14:textFill>
        </w:rPr>
        <w:t>2.安装样板教室：进场施工后，首先进行样板间的安装，安装样板教室用于验证设计的性能效果，如实测的初始平均照度及均匀度超出设计值的±10%，需要再次校验教室灯光效果模型并优化灯具配置方案，优化后的方案作为批量安装的依据。</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bookmarkStart w:id="157" w:name="_bookmark23"/>
      <w:bookmarkEnd w:id="157"/>
      <w:bookmarkStart w:id="158" w:name="4.2.4施工测试条件"/>
      <w:bookmarkEnd w:id="158"/>
      <w:r>
        <w:rPr>
          <w:rFonts w:hint="eastAsia" w:ascii="宋体" w:hAnsi="宋体" w:eastAsia="宋体" w:cs="宋体"/>
          <w:color w:val="000000" w:themeColor="text1"/>
          <w:sz w:val="24"/>
          <w:highlight w:val="none"/>
          <w:lang w:val="en-US" w:eastAsia="zh-CN"/>
          <w14:textFill>
            <w14:solidFill>
              <w14:schemeClr w14:val="tx1"/>
            </w14:solidFill>
          </w14:textFill>
        </w:rPr>
        <w:t>3.施工测试条件：中标</w:t>
      </w:r>
      <w:r>
        <w:rPr>
          <w:rFonts w:hint="eastAsia" w:ascii="宋体" w:hAnsi="宋体" w:cs="宋体"/>
          <w:color w:val="000000" w:themeColor="text1"/>
          <w:sz w:val="24"/>
          <w:highlight w:val="none"/>
          <w:lang w:val="en-US" w:eastAsia="zh-CN"/>
          <w14:textFill>
            <w14:solidFill>
              <w14:schemeClr w14:val="tx1"/>
            </w14:solidFill>
          </w14:textFill>
        </w:rPr>
        <w:t>（成交）</w:t>
      </w:r>
      <w:r>
        <w:rPr>
          <w:rFonts w:hint="eastAsia" w:ascii="宋体" w:hAnsi="宋体" w:eastAsia="宋体" w:cs="宋体"/>
          <w:color w:val="000000" w:themeColor="text1"/>
          <w:sz w:val="24"/>
          <w:highlight w:val="none"/>
          <w:lang w:val="en-US" w:eastAsia="zh-CN"/>
          <w14:textFill>
            <w14:solidFill>
              <w14:schemeClr w14:val="tx1"/>
            </w14:solidFill>
          </w14:textFill>
        </w:rPr>
        <w:t>人需具备光谱照度闪烁测试设备，对每种类型教室安装后进行自测，并将自测数据及时提交给采购人。</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bookmarkStart w:id="159" w:name="4.3施工阶段质量监管"/>
      <w:bookmarkEnd w:id="159"/>
      <w:bookmarkStart w:id="160" w:name="_bookmark27"/>
      <w:bookmarkEnd w:id="160"/>
      <w:bookmarkStart w:id="161" w:name="4.3.3_严格质量管控"/>
      <w:bookmarkEnd w:id="161"/>
      <w:bookmarkStart w:id="162" w:name="_bookmark24"/>
      <w:bookmarkEnd w:id="162"/>
      <w:r>
        <w:rPr>
          <w:rFonts w:hint="eastAsia" w:ascii="宋体" w:hAnsi="宋体" w:eastAsia="宋体" w:cs="宋体"/>
          <w:color w:val="000000" w:themeColor="text1"/>
          <w:sz w:val="24"/>
          <w:highlight w:val="none"/>
          <w:lang w:val="en-US" w:eastAsia="zh-CN"/>
          <w14:textFill>
            <w14:solidFill>
              <w14:schemeClr w14:val="tx1"/>
            </w14:solidFill>
          </w14:textFill>
        </w:rPr>
        <w:t>4.中标</w:t>
      </w:r>
      <w:r>
        <w:rPr>
          <w:rFonts w:hint="eastAsia" w:ascii="宋体" w:hAnsi="宋体" w:cs="宋体"/>
          <w:color w:val="000000" w:themeColor="text1"/>
          <w:sz w:val="24"/>
          <w:highlight w:val="none"/>
          <w:lang w:val="en-US" w:eastAsia="zh-CN"/>
          <w14:textFill>
            <w14:solidFill>
              <w14:schemeClr w14:val="tx1"/>
            </w14:solidFill>
          </w14:textFill>
        </w:rPr>
        <w:t>（成交）</w:t>
      </w:r>
      <w:r>
        <w:rPr>
          <w:rFonts w:hint="eastAsia" w:ascii="宋体" w:hAnsi="宋体" w:eastAsia="宋体" w:cs="宋体"/>
          <w:color w:val="000000" w:themeColor="text1"/>
          <w:sz w:val="24"/>
          <w:highlight w:val="none"/>
          <w:lang w:val="en-US" w:eastAsia="zh-CN"/>
          <w14:textFill>
            <w14:solidFill>
              <w14:schemeClr w14:val="tx1"/>
            </w14:solidFill>
          </w14:textFill>
        </w:rPr>
        <w:t>人自检后学校预验收；验收中相关纸质文档（包括且不限于逐项验收表、分校验收清单、项目总验收单等）必须签字盖章，并放到后续的验收材料中。</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5.在项目验收过程中，学校应邀请第三方检测机构对改造效果进行全面检测。第三方检测报告（含光环境检测报告），主要指标数据应符合本规程相关标准。</w:t>
      </w:r>
      <w:bookmarkStart w:id="163" w:name="_bookmark31"/>
      <w:bookmarkEnd w:id="163"/>
      <w:bookmarkStart w:id="164" w:name="5.1.3_验收要素"/>
      <w:bookmarkEnd w:id="164"/>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6.验收时中标</w:t>
      </w:r>
      <w:r>
        <w:rPr>
          <w:rFonts w:hint="eastAsia" w:ascii="宋体" w:hAnsi="宋体" w:cs="宋体"/>
          <w:color w:val="000000" w:themeColor="text1"/>
          <w:sz w:val="24"/>
          <w:highlight w:val="none"/>
          <w:lang w:val="en-US" w:eastAsia="zh-CN"/>
          <w14:textFill>
            <w14:solidFill>
              <w14:schemeClr w14:val="tx1"/>
            </w14:solidFill>
          </w14:textFill>
        </w:rPr>
        <w:t>（成交）</w:t>
      </w:r>
      <w:r>
        <w:rPr>
          <w:rFonts w:hint="eastAsia" w:ascii="宋体" w:hAnsi="宋体" w:eastAsia="宋体" w:cs="宋体"/>
          <w:color w:val="000000" w:themeColor="text1"/>
          <w:sz w:val="24"/>
          <w:highlight w:val="none"/>
          <w:lang w:val="en-US" w:eastAsia="zh-CN"/>
          <w14:textFill>
            <w14:solidFill>
              <w14:schemeClr w14:val="tx1"/>
            </w14:solidFill>
          </w14:textFill>
        </w:rPr>
        <w:t>人提供该项目总竣工文档、分校竣工文档（分别提供纸质胶装手册），具体要素如下：</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竣工图纸：每一类教室均包含标注环境实际数据、灯具实际定位数据的面图、灯具安装电路图；设计方案等。</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安装过程的主材开箱记录单、隐蔽部位现场见证单、变更签证单、施工进度表、施工人员（设备）投入一览表、施工质量（安全）管理制度；委托检测机构出具的检测报告；培训资料、合同及其他相关资料。</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7.灯具主体材料为灯具边框为金属材质，连接方式推荐嵌入加螺丝螺帽连接固定，避免安全隐患。</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8.评审结束以后由采购人对成交供应商提供的样品进行封存，作为验收的依据。履行合同的质量及加工工艺不得低于样品水平，否则采购人有权拒收和拒付价款。</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9.其余供应商样品可在当天评标结束后2个工作日内向招标代理机构索回，逾时代理机构有权自行处理。</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10.样品只作为评分因素，不提供样品综合评分表样品一栏不得分。样品送样时间及地点为：同响应文件递交时间及地点。</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11.样品的生产、运输费等一切费用由供应商自理。</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12.递交样品的同时需单独递交一份样品清单给代理机构并加盖供应商鲜章，代理机构现场清点样品数量是否与清单一致，样品清单不得附在样品上。样品需密封好递交至代理机构，样品包装应无任何标识、样品上不得有品牌标志外露，现场由代理机构工作人员进行统一标识。有标识的样品将被拒收。样品清单上明确标明所投项目名称、项目编号、所投包号（如有）以及样品名称。</w:t>
      </w:r>
    </w:p>
    <w:p>
      <w:pPr>
        <w:spacing w:line="360" w:lineRule="auto"/>
        <w:ind w:firstLine="422" w:firstLineChars="175"/>
        <w:rPr>
          <w:rFonts w:hint="eastAsia" w:ascii="宋体" w:hAnsi="宋体" w:eastAsia="宋体" w:cs="宋体"/>
          <w:b/>
          <w:bCs/>
          <w:color w:val="000000" w:themeColor="text1"/>
          <w:sz w:val="24"/>
          <w:highlight w:val="none"/>
          <w:lang w:val="en-US" w:eastAsia="zh-CN"/>
          <w14:textFill>
            <w14:solidFill>
              <w14:schemeClr w14:val="tx1"/>
            </w14:solidFill>
          </w14:textFill>
        </w:rPr>
      </w:pPr>
      <w:r>
        <w:rPr>
          <w:rFonts w:hint="eastAsia" w:ascii="宋体" w:hAnsi="宋体" w:eastAsia="宋体" w:cs="宋体"/>
          <w:b/>
          <w:bCs/>
          <w:color w:val="000000" w:themeColor="text1"/>
          <w:sz w:val="24"/>
          <w:highlight w:val="none"/>
          <w:lang w:val="en-US" w:eastAsia="zh-CN"/>
          <w14:textFill>
            <w14:solidFill>
              <w14:schemeClr w14:val="tx1"/>
            </w14:solidFill>
          </w14:textFill>
        </w:rPr>
        <w:t>13.本项目所需样品为：LED教室灯。</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14.售后服务：产品出现的质量问题，2小时内响应，如不能电话指导解决问题，供应商需在接到客户维修通知后8小时内到达现场，及时排除故障。在使用中，使用方在使用中有任何疑问，可向供应商电询，需要专门技术人员进行解答。</w:t>
      </w:r>
      <w:r>
        <w:rPr>
          <w:rFonts w:hint="eastAsia" w:ascii="宋体" w:hAnsi="宋体" w:eastAsia="宋体" w:cs="宋体"/>
          <w:b/>
          <w:bCs/>
          <w:color w:val="000000" w:themeColor="text1"/>
          <w:sz w:val="24"/>
          <w:highlight w:val="none"/>
          <w:lang w:val="en-US" w:eastAsia="zh-CN"/>
          <w14:textFill>
            <w14:solidFill>
              <w14:schemeClr w14:val="tx1"/>
            </w14:solidFill>
          </w14:textFill>
        </w:rPr>
        <w:t>（提供承诺函）</w:t>
      </w:r>
    </w:p>
    <w:p>
      <w:pPr>
        <w:pStyle w:val="5"/>
        <w:tabs>
          <w:tab w:val="left" w:pos="720"/>
        </w:tabs>
        <w:bidi w:val="0"/>
        <w:spacing w:line="360" w:lineRule="auto"/>
        <w:jc w:val="left"/>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165" w:name="_Toc28943"/>
      <w:bookmarkStart w:id="166" w:name="_Toc714"/>
      <w:r>
        <w:rPr>
          <w:rFonts w:hint="eastAsia" w:ascii="宋体" w:hAnsi="宋体" w:eastAsia="宋体" w:cs="宋体"/>
          <w:color w:val="000000" w:themeColor="text1"/>
          <w:sz w:val="24"/>
          <w:szCs w:val="24"/>
          <w:highlight w:val="none"/>
          <w:lang w:val="en-US" w:eastAsia="zh-CN"/>
          <w14:textFill>
            <w14:solidFill>
              <w14:schemeClr w14:val="tx1"/>
            </w14:solidFill>
          </w14:textFill>
        </w:rPr>
        <w:t>三、◆商务要求</w:t>
      </w:r>
      <w:bookmarkEnd w:id="165"/>
      <w:bookmarkEnd w:id="166"/>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1、交货时间：签订合同时约定。</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2、交货地点：采购人指定地点，需提供安装服务。</w:t>
      </w:r>
    </w:p>
    <w:p>
      <w:pPr>
        <w:spacing w:line="360" w:lineRule="auto"/>
        <w:ind w:firstLine="420" w:firstLineChars="175"/>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3、交货要求：供应商所提交的货物均为全新、出厂时原包装产品，表面无划痕、碰撞现象，设备工作正常、无异响。</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4、安全责任：本项目实施过程中一切安全责任由供应商自行承担。（提供承诺函）</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5、付款方式和条件：合同签订之日起十个工作日内，采购人向成交供应商支付合同款项的40%；成交供应商将货物送达至采购人指定地点之日起十个工作日内，采购人向成交供应商支付合同款项的30%；成交供应商安装调试完成并验收合格之日起十个工作日内，采购人向成交供应商支付合同款项的30%。（注：供应商向采购人出具有效的增值税发票及凭证资料。）</w:t>
      </w:r>
    </w:p>
    <w:p>
      <w:pPr>
        <w:spacing w:line="360" w:lineRule="auto"/>
        <w:ind w:firstLine="420" w:firstLineChars="175"/>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6、履约验收：按照《财政部关于进一步加强政府采购需求和履约验收管理的指导意见》（财库〔2016〕205号）及现行有效的国家（或行业）相关标准、行业管理规范、采购文件以及采购人相关要求进行。</w:t>
      </w:r>
    </w:p>
    <w:p>
      <w:pPr>
        <w:spacing w:line="360" w:lineRule="auto"/>
        <w:ind w:firstLine="420" w:firstLineChars="175"/>
        <w:rPr>
          <w:rFonts w:hint="default"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7、质保期：质保期自验收合格之日起计算，本次采购项目所有产品的质保期</w:t>
      </w:r>
      <w:r>
        <w:rPr>
          <w:rFonts w:hint="eastAsia" w:ascii="宋体" w:hAnsi="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lang w:val="en-US" w:eastAsia="zh-CN"/>
          <w14:textFill>
            <w14:solidFill>
              <w14:schemeClr w14:val="tx1"/>
            </w14:solidFill>
          </w14:textFill>
        </w:rPr>
        <w:t>年。质保期内出现产品问题由供应商应负责包修、包换、包退，所有备品备件、专用耗材等费用供应商自行负担。如因中标（成交）人保修不及时导致用户经济损失的，中标（成交）人将付出双倍的赔偿；引起法律责任的，中标（成交）人依法承担法律责任。质保期满时，应进行一次全面检查。检查内容包括且不限于故障缺陷原因、解决措施、修理内容、完成修理所费时间及恢复正常使用运行日期等。对检查中发现的问题，应由中标（成交）人负责保修。质保期满后，中标（成交）人应继续提供维修。如维修不及时导致用户使用不便的，由中标（成交）人承担维修材料费。</w:t>
      </w:r>
      <w:r>
        <w:rPr>
          <w:rFonts w:hint="eastAsia" w:ascii="宋体" w:hAnsi="宋体" w:eastAsia="宋体" w:cs="宋体"/>
          <w:b/>
          <w:bCs/>
          <w:color w:val="000000" w:themeColor="text1"/>
          <w:sz w:val="24"/>
          <w:highlight w:val="none"/>
          <w:lang w:val="en-US" w:eastAsia="zh-CN"/>
          <w14:textFill>
            <w14:solidFill>
              <w14:schemeClr w14:val="tx1"/>
            </w14:solidFill>
          </w14:textFill>
        </w:rPr>
        <w:t>（提供承诺函）</w:t>
      </w:r>
    </w:p>
    <w:p>
      <w:pPr>
        <w:spacing w:line="360" w:lineRule="auto"/>
        <w:rPr>
          <w:rFonts w:hint="eastAsia" w:ascii="宋体" w:hAnsi="宋体" w:eastAsia="宋体" w:cs="宋体"/>
          <w:color w:val="000000" w:themeColor="text1"/>
          <w:sz w:val="24"/>
          <w:highlight w:val="none"/>
          <w:lang w:val="en-US" w:eastAsia="zh-CN"/>
          <w14:textFill>
            <w14:solidFill>
              <w14:schemeClr w14:val="tx1"/>
            </w14:solidFill>
          </w14:textFill>
        </w:rPr>
      </w:pPr>
    </w:p>
    <w:p>
      <w:pPr>
        <w:spacing w:line="360" w:lineRule="auto"/>
        <w:rPr>
          <w:rFonts w:hint="eastAsia" w:ascii="宋体" w:hAnsi="宋体" w:eastAsia="宋体" w:cs="宋体"/>
          <w:color w:val="000000" w:themeColor="text1"/>
          <w:sz w:val="24"/>
          <w:highlight w:val="none"/>
          <w:lang w:val="en-US" w:eastAsia="zh-CN"/>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注：</w:t>
      </w:r>
    </w:p>
    <w:p>
      <w:pPr>
        <w:spacing w:line="360" w:lineRule="auto"/>
        <w:rPr>
          <w:rFonts w:hint="eastAsia" w:ascii="宋体" w:hAnsi="宋体" w:eastAsia="宋体" w:cs="宋体"/>
          <w:b/>
          <w:bCs/>
          <w:color w:val="000000" w:themeColor="text1"/>
          <w:szCs w:val="21"/>
          <w:highlight w:val="none"/>
          <w:lang w:val="en-US" w:eastAsia="zh-CN"/>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1、</w:t>
      </w:r>
      <w:r>
        <w:rPr>
          <w:rFonts w:hint="eastAsia" w:ascii="宋体" w:hAnsi="宋体" w:eastAsia="宋体" w:cs="宋体"/>
          <w:b/>
          <w:bCs/>
          <w:color w:val="000000" w:themeColor="text1"/>
          <w:szCs w:val="21"/>
          <w:highlight w:val="none"/>
          <w14:textFill>
            <w14:solidFill>
              <w14:schemeClr w14:val="tx1"/>
            </w14:solidFill>
          </w14:textFill>
        </w:rPr>
        <w:t>本章采购清单中</w:t>
      </w:r>
      <w:r>
        <w:rPr>
          <w:rFonts w:hint="eastAsia" w:ascii="宋体" w:hAnsi="宋体" w:eastAsia="宋体" w:cs="宋体"/>
          <w:b/>
          <w:bCs/>
          <w:color w:val="000000" w:themeColor="text1"/>
          <w:szCs w:val="21"/>
          <w:highlight w:val="none"/>
          <w:lang w:val="en-US" w:eastAsia="zh-CN"/>
          <w14:textFill>
            <w14:solidFill>
              <w14:schemeClr w14:val="tx1"/>
            </w14:solidFill>
          </w14:textFill>
        </w:rPr>
        <w:t>带“▲”的为重点参数，不带“▲”的为一般参数，</w:t>
      </w:r>
      <w:r>
        <w:rPr>
          <w:rFonts w:hint="eastAsia" w:ascii="宋体" w:hAnsi="宋体" w:eastAsia="宋体" w:cs="宋体"/>
          <w:b/>
          <w:bCs/>
          <w:color w:val="000000" w:themeColor="text1"/>
          <w:szCs w:val="21"/>
          <w:highlight w:val="none"/>
          <w:lang w:eastAsia="zh-CN"/>
          <w14:textFill>
            <w14:solidFill>
              <w14:schemeClr w14:val="tx1"/>
            </w14:solidFill>
          </w14:textFill>
        </w:rPr>
        <w:t>带“※”的为</w:t>
      </w:r>
      <w:r>
        <w:rPr>
          <w:rFonts w:hint="eastAsia" w:ascii="宋体" w:hAnsi="宋体" w:eastAsia="宋体" w:cs="宋体"/>
          <w:b/>
          <w:bCs/>
          <w:color w:val="000000" w:themeColor="text1"/>
          <w:szCs w:val="21"/>
          <w:highlight w:val="none"/>
          <w14:textFill>
            <w14:solidFill>
              <w14:schemeClr w14:val="tx1"/>
            </w14:solidFill>
          </w14:textFill>
        </w:rPr>
        <w:t>本项目的核心产品</w:t>
      </w:r>
      <w:r>
        <w:rPr>
          <w:rFonts w:hint="eastAsia" w:ascii="宋体" w:hAnsi="宋体" w:eastAsia="宋体" w:cs="宋体"/>
          <w:b/>
          <w:bCs/>
          <w:color w:val="000000" w:themeColor="text1"/>
          <w:szCs w:val="21"/>
          <w:highlight w:val="none"/>
          <w:lang w:eastAsia="zh-CN"/>
          <w14:textFill>
            <w14:solidFill>
              <w14:schemeClr w14:val="tx1"/>
            </w14:solidFill>
          </w14:textFill>
        </w:rPr>
        <w:t>，</w:t>
      </w:r>
      <w:r>
        <w:rPr>
          <w:rFonts w:hint="eastAsia" w:ascii="宋体" w:hAnsi="宋体" w:eastAsia="宋体" w:cs="宋体"/>
          <w:b/>
          <w:bCs/>
          <w:color w:val="000000" w:themeColor="text1"/>
          <w:szCs w:val="21"/>
          <w:highlight w:val="none"/>
          <w:lang w:val="en-US" w:eastAsia="zh-CN"/>
          <w14:textFill>
            <w14:solidFill>
              <w14:schemeClr w14:val="tx1"/>
            </w14:solidFill>
          </w14:textFill>
        </w:rPr>
        <w:t>即：</w:t>
      </w:r>
      <w:r>
        <w:rPr>
          <w:rFonts w:hint="eastAsia" w:ascii="宋体" w:hAnsi="宋体" w:eastAsia="宋体" w:cs="宋体"/>
          <w:b/>
          <w:bCs/>
          <w:color w:val="000000" w:themeColor="text1"/>
          <w:sz w:val="24"/>
          <w:highlight w:val="none"/>
          <w:lang w:val="en-US" w:eastAsia="zh-CN"/>
          <w14:textFill>
            <w14:solidFill>
              <w14:schemeClr w14:val="tx1"/>
            </w14:solidFill>
          </w14:textFill>
        </w:rPr>
        <w:t>LED教室</w:t>
      </w:r>
      <w:r>
        <w:rPr>
          <w:rFonts w:hint="eastAsia" w:ascii="宋体" w:hAnsi="宋体" w:eastAsia="宋体" w:cs="宋体"/>
          <w:b/>
          <w:bCs/>
          <w:color w:val="000000" w:themeColor="text1"/>
          <w:szCs w:val="21"/>
          <w:highlight w:val="none"/>
          <w:lang w:val="en-US" w:eastAsia="zh-CN"/>
          <w14:textFill>
            <w14:solidFill>
              <w14:schemeClr w14:val="tx1"/>
            </w14:solidFill>
          </w14:textFill>
        </w:rPr>
        <w:t>灯；带“◆”的参数为实质性要求，须完全满足采购文件要求，否则作无效处理。</w:t>
      </w:r>
    </w:p>
    <w:p>
      <w:pPr>
        <w:spacing w:line="360" w:lineRule="auto"/>
        <w:rPr>
          <w:rFonts w:hint="eastAsia" w:ascii="宋体" w:hAnsi="宋体" w:eastAsia="宋体" w:cs="宋体"/>
          <w:b/>
          <w:bCs/>
          <w:color w:val="000000" w:themeColor="text1"/>
          <w:szCs w:val="21"/>
          <w:highlight w:val="none"/>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2、</w:t>
      </w:r>
      <w:r>
        <w:rPr>
          <w:rFonts w:hint="eastAsia" w:ascii="宋体" w:hAnsi="宋体" w:eastAsia="宋体" w:cs="宋体"/>
          <w:b/>
          <w:bCs/>
          <w:color w:val="000000" w:themeColor="text1"/>
          <w:szCs w:val="21"/>
          <w:highlight w:val="none"/>
          <w14:textFill>
            <w14:solidFill>
              <w14:schemeClr w14:val="tx1"/>
            </w14:solidFill>
          </w14:textFill>
        </w:rPr>
        <w:t>在磋商过程中，磋商小组可以根据磋商文件和磋商情况实质性变动磋商文件的技术、服务要求以及合同草案条款，但不得变动磋商文件中的其他内容。实质性变动的内容，须经采购人代表书面确认。</w:t>
      </w:r>
    </w:p>
    <w:p>
      <w:pPr>
        <w:spacing w:line="360" w:lineRule="auto"/>
        <w:rPr>
          <w:rFonts w:hint="eastAsia" w:ascii="宋体" w:hAnsi="宋体" w:eastAsia="宋体" w:cs="宋体"/>
          <w:b/>
          <w:bCs/>
          <w:color w:val="000000" w:themeColor="text1"/>
          <w:szCs w:val="36"/>
          <w:highlight w:val="none"/>
          <w14:textFill>
            <w14:solidFill>
              <w14:schemeClr w14:val="tx1"/>
            </w14:solidFill>
          </w14:textFill>
        </w:rPr>
      </w:pPr>
      <w:r>
        <w:rPr>
          <w:rFonts w:hint="eastAsia" w:ascii="宋体" w:hAnsi="宋体" w:eastAsia="宋体" w:cs="宋体"/>
          <w:b/>
          <w:bCs/>
          <w:color w:val="000000" w:themeColor="text1"/>
          <w:szCs w:val="21"/>
          <w:highlight w:val="none"/>
          <w:lang w:val="en-US" w:eastAsia="zh-CN"/>
          <w14:textFill>
            <w14:solidFill>
              <w14:schemeClr w14:val="tx1"/>
            </w14:solidFill>
          </w14:textFill>
        </w:rPr>
        <w:t>3</w:t>
      </w:r>
      <w:r>
        <w:rPr>
          <w:rFonts w:hint="eastAsia" w:ascii="宋体" w:hAnsi="宋体" w:eastAsia="宋体" w:cs="宋体"/>
          <w:b/>
          <w:bCs/>
          <w:color w:val="000000" w:themeColor="text1"/>
          <w:szCs w:val="21"/>
          <w:highlight w:val="none"/>
          <w14:textFill>
            <w14:solidFill>
              <w14:schemeClr w14:val="tx1"/>
            </w14:solidFill>
          </w14:textFill>
        </w:rPr>
        <w:t>、本章所述事项最终以本项目磋商文件及合同约定为准。</w:t>
      </w:r>
    </w:p>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Pr>
        <w:pStyle w:val="14"/>
        <w:jc w:val="center"/>
        <w:rPr>
          <w:rFonts w:hint="eastAsia" w:ascii="宋体" w:hAnsi="宋体" w:eastAsia="宋体" w:cs="宋体"/>
          <w:color w:val="000000" w:themeColor="text1"/>
          <w:sz w:val="24"/>
          <w:highlight w:val="none"/>
          <w14:textFill>
            <w14:solidFill>
              <w14:schemeClr w14:val="tx1"/>
            </w14:solidFill>
          </w14:textFill>
        </w:rPr>
      </w:pPr>
      <w:bookmarkStart w:id="167" w:name="_Toc7961748"/>
    </w:p>
    <w:p>
      <w:pPr>
        <w:pStyle w:val="4"/>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color w:val="000000" w:themeColor="text1"/>
          <w:sz w:val="36"/>
          <w:szCs w:val="36"/>
          <w:highlight w:val="none"/>
          <w14:textFill>
            <w14:solidFill>
              <w14:schemeClr w14:val="tx1"/>
            </w14:solidFill>
          </w14:textFill>
        </w:rPr>
        <w:br w:type="page"/>
      </w:r>
      <w:bookmarkStart w:id="168" w:name="_Toc7912"/>
      <w:bookmarkStart w:id="169" w:name="_Toc20090"/>
      <w:bookmarkStart w:id="170" w:name="_Toc32508"/>
      <w:r>
        <w:rPr>
          <w:rFonts w:hint="eastAsia" w:ascii="宋体" w:hAnsi="宋体" w:eastAsia="宋体" w:cs="宋体"/>
          <w:color w:val="000000" w:themeColor="text1"/>
          <w:sz w:val="36"/>
          <w:szCs w:val="36"/>
          <w:highlight w:val="none"/>
          <w14:textFill>
            <w14:solidFill>
              <w14:schemeClr w14:val="tx1"/>
            </w14:solidFill>
          </w14:textFill>
        </w:rPr>
        <w:t>第六章  响应文件格式</w:t>
      </w:r>
      <w:bookmarkEnd w:id="167"/>
      <w:bookmarkEnd w:id="168"/>
      <w:bookmarkEnd w:id="169"/>
      <w:bookmarkEnd w:id="170"/>
    </w:p>
    <w:p>
      <w:pPr>
        <w:pStyle w:val="62"/>
        <w:spacing w:line="360" w:lineRule="auto"/>
        <w:ind w:firstLine="490"/>
        <w:rPr>
          <w:rFonts w:hint="eastAsia" w:ascii="宋体" w:hAnsi="宋体" w:eastAsia="宋体" w:cs="宋体"/>
          <w:color w:val="000000" w:themeColor="text1"/>
          <w:highlight w:val="none"/>
          <w14:textFill>
            <w14:solidFill>
              <w14:schemeClr w14:val="tx1"/>
            </w14:solidFill>
          </w14:textFill>
        </w:rPr>
      </w:pPr>
    </w:p>
    <w:p>
      <w:pPr>
        <w:pStyle w:val="62"/>
        <w:tabs>
          <w:tab w:val="left" w:pos="426"/>
        </w:tabs>
        <w:spacing w:line="360" w:lineRule="auto"/>
        <w:ind w:firstLine="49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一、本章所制响应文件格式，除格式中明确将该格式作为实质性要求的，一律不具有强制性。</w:t>
      </w:r>
    </w:p>
    <w:p>
      <w:pPr>
        <w:pStyle w:val="62"/>
        <w:tabs>
          <w:tab w:val="left" w:pos="426"/>
        </w:tabs>
        <w:spacing w:line="360" w:lineRule="auto"/>
        <w:ind w:firstLine="49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二、本章所制响应文件格式有关表格中的备注栏，由供应商根据自身响应情况作解释性说明，不作为必填项。</w:t>
      </w:r>
    </w:p>
    <w:p>
      <w:pPr>
        <w:pStyle w:val="62"/>
        <w:tabs>
          <w:tab w:val="left" w:pos="426"/>
        </w:tabs>
        <w:spacing w:line="360" w:lineRule="auto"/>
        <w:ind w:firstLine="49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三、本章所制响应文件格式中需要填写的相关内容事项，可能会与本采购项目无关，在不改变响应文件原义、不影响本项目采购需求的情况下，供应商可以不予填写，但应当注明。</w:t>
      </w:r>
    </w:p>
    <w:p>
      <w:pPr>
        <w:pStyle w:val="62"/>
        <w:tabs>
          <w:tab w:val="left" w:pos="426"/>
        </w:tabs>
        <w:spacing w:line="360" w:lineRule="auto"/>
        <w:ind w:firstLine="490"/>
        <w:jc w:val="lef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四、格式涉及“法定代表人”相关描述，供应商为法人单位时按照“法定代表人”进行描述，供应商为其他组织时可自行修改为“单位负责人”。</w:t>
      </w:r>
    </w:p>
    <w:p>
      <w:pPr>
        <w:jc w:val="left"/>
        <w:rPr>
          <w:rFonts w:hint="eastAsia" w:ascii="宋体" w:hAnsi="宋体" w:eastAsia="宋体" w:cs="宋体"/>
          <w:b/>
          <w:color w:val="000000" w:themeColor="text1"/>
          <w:szCs w:val="21"/>
          <w:highlight w:val="none"/>
          <w14:textFill>
            <w14:solidFill>
              <w14:schemeClr w14:val="tx1"/>
            </w14:solidFill>
          </w14:textFill>
        </w:rPr>
      </w:pPr>
    </w:p>
    <w:p>
      <w:pPr>
        <w:jc w:val="left"/>
        <w:rPr>
          <w:rFonts w:hint="eastAsia" w:ascii="宋体" w:hAnsi="宋体" w:eastAsia="宋体" w:cs="宋体"/>
          <w:b/>
          <w:color w:val="000000" w:themeColor="text1"/>
          <w:szCs w:val="21"/>
          <w:highlight w:val="none"/>
          <w14:textFill>
            <w14:solidFill>
              <w14:schemeClr w14:val="tx1"/>
            </w14:solidFill>
          </w14:textFill>
        </w:rPr>
      </w:pPr>
    </w:p>
    <w:p>
      <w:pPr>
        <w:pStyle w:val="5"/>
        <w:tabs>
          <w:tab w:val="left" w:pos="720"/>
        </w:tabs>
        <w:spacing w:line="400" w:lineRule="exact"/>
        <w:ind w:firstLine="562"/>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highlight w:val="none"/>
          <w14:textFill>
            <w14:solidFill>
              <w14:schemeClr w14:val="tx1"/>
            </w14:solidFill>
          </w14:textFill>
        </w:rPr>
        <w:br w:type="page"/>
      </w:r>
      <w:bookmarkStart w:id="171" w:name="OLE_LINK32"/>
      <w:r>
        <w:rPr>
          <w:rFonts w:hint="eastAsia" w:ascii="宋体" w:hAnsi="宋体" w:eastAsia="宋体" w:cs="宋体"/>
          <w:color w:val="000000" w:themeColor="text1"/>
          <w:sz w:val="24"/>
          <w:szCs w:val="24"/>
          <w:highlight w:val="none"/>
          <w14:textFill>
            <w14:solidFill>
              <w14:schemeClr w14:val="tx1"/>
            </w14:solidFill>
          </w14:textFill>
        </w:rPr>
        <w:t>第一部分  资格性响应文件（格式）</w:t>
      </w:r>
    </w:p>
    <w:bookmarkEnd w:id="171"/>
    <w:p>
      <w:pPr>
        <w:pStyle w:val="5"/>
        <w:numPr>
          <w:ilvl w:val="0"/>
          <w:numId w:val="0"/>
        </w:numPr>
        <w:tabs>
          <w:tab w:val="left" w:pos="0"/>
        </w:tabs>
        <w:spacing w:line="400" w:lineRule="exact"/>
        <w:ind w:leftChars="0"/>
        <w:jc w:val="center"/>
        <w:rPr>
          <w:rFonts w:hint="eastAsia"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lang w:eastAsia="zh-CN"/>
          <w14:textFill>
            <w14:solidFill>
              <w14:schemeClr w14:val="tx1"/>
            </w14:solidFill>
          </w14:textFill>
        </w:rPr>
        <w:t>一、</w:t>
      </w:r>
      <w:r>
        <w:rPr>
          <w:rFonts w:hint="eastAsia" w:ascii="宋体" w:hAnsi="宋体" w:eastAsia="宋体" w:cs="宋体"/>
          <w:bCs w:val="0"/>
          <w:color w:val="000000" w:themeColor="text1"/>
          <w:sz w:val="24"/>
          <w:szCs w:val="24"/>
          <w:highlight w:val="none"/>
          <w14:textFill>
            <w14:solidFill>
              <w14:schemeClr w14:val="tx1"/>
            </w14:solidFill>
          </w14:textFill>
        </w:rPr>
        <w:t>关于资格的声明函</w:t>
      </w:r>
    </w:p>
    <w:p>
      <w:pPr>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（采购代理机构）</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关于贵方</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（项目编号）磋商邀请，我方愿意参加磋商并提供采购文件中规定的采购需求。本签字人确认资格文件中的说明以及响应文件中所有提交的文件和材料是真实的、准确的。</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我方在此声明，已提供了全部现有资料和数据，我方同意根据贵方要求出示文件予以证实，并确定所有文件资料真实。本声明如有虚假或不实之外，我方将失去合格供应商资格。</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spacing w:line="500" w:lineRule="exact"/>
        <w:ind w:firstLine="4620" w:firstLineChars="19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firstLine="4620" w:firstLineChars="19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right="480" w:firstLine="4620" w:firstLineChars="1925"/>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ind w:firstLine="480"/>
        <w:rPr>
          <w:rFonts w:hint="eastAsia" w:ascii="宋体" w:hAnsi="宋体" w:eastAsia="宋体" w:cs="宋体"/>
          <w:color w:val="000000" w:themeColor="text1"/>
          <w:sz w:val="24"/>
          <w:szCs w:val="24"/>
          <w:highlight w:val="none"/>
          <w14:textFill>
            <w14:solidFill>
              <w14:schemeClr w14:val="tx1"/>
            </w14:solidFill>
          </w14:textFill>
        </w:rPr>
      </w:pPr>
    </w:p>
    <w:p>
      <w:pPr>
        <w:ind w:firstLine="480"/>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r>
        <w:rPr>
          <w:rFonts w:hint="eastAsia" w:ascii="宋体" w:hAnsi="宋体" w:eastAsia="宋体" w:cs="宋体"/>
          <w:b/>
          <w:color w:val="000000" w:themeColor="text1"/>
          <w:sz w:val="24"/>
          <w:szCs w:val="24"/>
          <w:highlight w:val="none"/>
          <w14:textFill>
            <w14:solidFill>
              <w14:schemeClr w14:val="tx1"/>
            </w14:solidFill>
          </w14:textFill>
        </w:rPr>
        <w:t>二、法定代表人身份证明</w:t>
      </w:r>
    </w:p>
    <w:p>
      <w:pPr>
        <w:ind w:firstLine="482"/>
        <w:jc w:val="center"/>
        <w:rPr>
          <w:rFonts w:hint="eastAsia" w:ascii="宋体" w:hAnsi="宋体" w:eastAsia="宋体" w:cs="宋体"/>
          <w:b/>
          <w:color w:val="000000" w:themeColor="text1"/>
          <w:sz w:val="24"/>
          <w:szCs w:val="24"/>
          <w:highlight w:val="none"/>
          <w:u w:val="single"/>
          <w14:textFill>
            <w14:solidFill>
              <w14:schemeClr w14:val="tx1"/>
            </w14:solidFill>
          </w14:textFill>
        </w:rPr>
      </w:pPr>
    </w:p>
    <w:p>
      <w:pPr>
        <w:pStyle w:val="14"/>
        <w:rPr>
          <w:rFonts w:hint="eastAsia" w:ascii="宋体" w:hAnsi="宋体" w:eastAsia="宋体" w:cs="宋体"/>
          <w:color w:val="000000" w:themeColor="text1"/>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单位性质：</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成立时间：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经营期限：</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性别：</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职务：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电话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系</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（供应商名称）的法定代表人。</w:t>
      </w:r>
    </w:p>
    <w:p>
      <w:pPr>
        <w:snapToGrid w:val="0"/>
        <w:spacing w:line="360" w:lineRule="auto"/>
        <w:ind w:firstLine="96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特此证明。</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附：法定代表人身份证复印件（身份证正反面复印并加盖公章）</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ind w:firstLine="4620" w:firstLineChars="1925"/>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供应商名称：</w:t>
      </w:r>
      <w:r>
        <w:rPr>
          <w:rFonts w:hint="eastAsia" w:ascii="宋体" w:hAnsi="宋体" w:eastAsia="宋体" w:cs="宋体"/>
          <w:color w:val="000000" w:themeColor="text1"/>
          <w:sz w:val="24"/>
          <w:szCs w:val="24"/>
          <w:highlight w:val="none"/>
          <w:u w:val="single"/>
          <w:lang w:val="zh-CN"/>
          <w14:textFill>
            <w14:solidFill>
              <w14:schemeClr w14:val="tx1"/>
            </w14:solidFill>
          </w14:textFill>
        </w:rPr>
        <w:tab/>
      </w:r>
      <w:r>
        <w:rPr>
          <w:rFonts w:hint="eastAsia" w:ascii="宋体" w:hAnsi="宋体" w:eastAsia="宋体" w:cs="宋体"/>
          <w:color w:val="000000" w:themeColor="text1"/>
          <w:sz w:val="24"/>
          <w:szCs w:val="24"/>
          <w:highlight w:val="none"/>
          <w:u w:val="single"/>
          <w:lang w:val="zh-CN"/>
          <w14:textFill>
            <w14:solidFill>
              <w14:schemeClr w14:val="tx1"/>
            </w14:solidFill>
          </w14:textFill>
        </w:rPr>
        <w:tab/>
      </w:r>
      <w:r>
        <w:rPr>
          <w:rFonts w:hint="eastAsia" w:ascii="宋体" w:hAnsi="宋体" w:eastAsia="宋体" w:cs="宋体"/>
          <w:color w:val="000000" w:themeColor="text1"/>
          <w:sz w:val="24"/>
          <w:szCs w:val="24"/>
          <w:highlight w:val="none"/>
          <w:u w:val="single"/>
          <w:lang w:val="zh-CN"/>
          <w14:textFill>
            <w14:solidFill>
              <w14:schemeClr w14:val="tx1"/>
            </w14:solidFill>
          </w14:textFill>
        </w:rPr>
        <w:tab/>
      </w:r>
      <w:r>
        <w:rPr>
          <w:rFonts w:hint="eastAsia" w:ascii="宋体" w:hAnsi="宋体" w:eastAsia="宋体" w:cs="宋体"/>
          <w:color w:val="000000" w:themeColor="text1"/>
          <w:sz w:val="24"/>
          <w:szCs w:val="24"/>
          <w:highlight w:val="none"/>
          <w:u w:val="single"/>
          <w:lang w:val="zh-CN"/>
          <w14:textFill>
            <w14:solidFill>
              <w14:schemeClr w14:val="tx1"/>
            </w14:solidFill>
          </w14:textFill>
        </w:rPr>
        <w:tab/>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（公章）</w:t>
      </w:r>
    </w:p>
    <w:p>
      <w:pPr>
        <w:spacing w:line="360" w:lineRule="auto"/>
        <w:ind w:firstLine="4620" w:firstLineChars="1925"/>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（签字或盖个人名章）</w:t>
      </w:r>
    </w:p>
    <w:p>
      <w:pPr>
        <w:spacing w:line="360" w:lineRule="auto"/>
        <w:ind w:firstLine="4620" w:firstLineChars="1925"/>
        <w:rPr>
          <w:rFonts w:hint="eastAsia" w:ascii="宋体" w:hAnsi="宋体" w:eastAsia="宋体" w:cs="宋体"/>
          <w:color w:val="000000" w:themeColor="text1"/>
          <w:sz w:val="24"/>
          <w:szCs w:val="24"/>
          <w:highlight w:val="none"/>
          <w:lang w:val="zh-CN"/>
          <w14:textFill>
            <w14:solidFill>
              <w14:schemeClr w14:val="tx1"/>
            </w14:solidFill>
          </w14:textFill>
        </w:rPr>
      </w:pPr>
      <w:r>
        <w:rPr>
          <w:rFonts w:hint="eastAsia" w:ascii="宋体" w:hAnsi="宋体" w:eastAsia="宋体" w:cs="宋体"/>
          <w:color w:val="000000" w:themeColor="text1"/>
          <w:sz w:val="24"/>
          <w:szCs w:val="24"/>
          <w:highlight w:val="none"/>
          <w:lang w:val="zh-CN"/>
          <w14:textFill>
            <w14:solidFill>
              <w14:schemeClr w14:val="tx1"/>
            </w14:solidFill>
          </w14:textFill>
        </w:rPr>
        <w:t>日</w:t>
      </w: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期：</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年</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月</w:t>
      </w:r>
      <w:r>
        <w:rPr>
          <w:rFonts w:hint="eastAsia" w:ascii="宋体" w:hAnsi="宋体" w:eastAsia="宋体" w:cs="宋体"/>
          <w:color w:val="000000" w:themeColor="text1"/>
          <w:sz w:val="24"/>
          <w:szCs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szCs w:val="24"/>
          <w:highlight w:val="none"/>
          <w:lang w:val="zh-CN"/>
          <w14:textFill>
            <w14:solidFill>
              <w14:schemeClr w14:val="tx1"/>
            </w14:solidFill>
          </w14:textFill>
        </w:rPr>
        <w:t>日</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pStyle w:val="40"/>
        <w:rPr>
          <w:rFonts w:hint="eastAsia" w:ascii="宋体" w:hAnsi="宋体" w:eastAsia="宋体" w:cs="宋体"/>
          <w:color w:val="000000" w:themeColor="text1"/>
          <w:szCs w:val="24"/>
          <w:highlight w:val="none"/>
          <w14:textFill>
            <w14:solidFill>
              <w14:schemeClr w14:val="tx1"/>
            </w14:solidFill>
          </w14:textFill>
        </w:rPr>
      </w:pPr>
    </w:p>
    <w:p>
      <w:pPr>
        <w:pStyle w:val="40"/>
        <w:rPr>
          <w:rFonts w:hint="eastAsia" w:ascii="宋体" w:hAnsi="宋体" w:eastAsia="宋体" w:cs="宋体"/>
          <w:color w:val="000000" w:themeColor="text1"/>
          <w:szCs w:val="24"/>
          <w:highlight w:val="none"/>
          <w14:textFill>
            <w14:solidFill>
              <w14:schemeClr w14:val="tx1"/>
            </w14:solidFill>
          </w14:textFill>
        </w:rPr>
      </w:pPr>
    </w:p>
    <w:p>
      <w:pPr>
        <w:pStyle w:val="40"/>
        <w:rPr>
          <w:rFonts w:hint="eastAsia" w:ascii="宋体" w:hAnsi="宋体" w:eastAsia="宋体" w:cs="宋体"/>
          <w:color w:val="000000" w:themeColor="text1"/>
          <w:szCs w:val="24"/>
          <w:highlight w:val="none"/>
          <w14:textFill>
            <w14:solidFill>
              <w14:schemeClr w14:val="tx1"/>
            </w14:solidFill>
          </w14:textFill>
        </w:rPr>
      </w:pPr>
    </w:p>
    <w:p>
      <w:pPr>
        <w:pStyle w:val="40"/>
        <w:rPr>
          <w:rFonts w:hint="eastAsia" w:ascii="宋体" w:hAnsi="宋体" w:eastAsia="宋体" w:cs="宋体"/>
          <w:color w:val="000000" w:themeColor="text1"/>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361" w:firstLineChars="15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注：(1)法定代表人亲自参与磋商而不是委托代理人磋商适用。</w:t>
      </w:r>
    </w:p>
    <w:p>
      <w:pPr>
        <w:snapToGrid w:val="0"/>
        <w:spacing w:line="360" w:lineRule="auto"/>
        <w:ind w:firstLine="361" w:firstLineChars="15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(2)法定代表人在递交响应文件时，应携带法定代表人身份证</w:t>
      </w:r>
      <w:r>
        <w:rPr>
          <w:rFonts w:hint="eastAsia" w:ascii="宋体" w:hAnsi="宋体" w:cs="宋体"/>
          <w:b/>
          <w:bCs/>
          <w:color w:val="000000" w:themeColor="text1"/>
          <w:sz w:val="24"/>
          <w:szCs w:val="24"/>
          <w:highlight w:val="none"/>
          <w:lang w:eastAsia="zh-CN"/>
          <w14:textFill>
            <w14:solidFill>
              <w14:schemeClr w14:val="tx1"/>
            </w14:solidFill>
          </w14:textFill>
        </w:rPr>
        <w:t>明</w:t>
      </w:r>
      <w:r>
        <w:rPr>
          <w:rFonts w:hint="eastAsia" w:ascii="宋体" w:hAnsi="宋体" w:eastAsia="宋体" w:cs="宋体"/>
          <w:b/>
          <w:bCs/>
          <w:color w:val="000000" w:themeColor="text1"/>
          <w:sz w:val="24"/>
          <w:szCs w:val="24"/>
          <w:highlight w:val="none"/>
          <w14:textFill>
            <w14:solidFill>
              <w14:schemeClr w14:val="tx1"/>
            </w14:solidFill>
          </w14:textFill>
        </w:rPr>
        <w:t>原件备查。</w:t>
      </w:r>
    </w:p>
    <w:p>
      <w:pPr>
        <w:snapToGrid w:val="0"/>
        <w:spacing w:line="360" w:lineRule="auto"/>
        <w:ind w:firstLine="361" w:firstLineChars="15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(3)法定代表人提供的证件、证明不齐或不符合要求的，响应文件不予接收。</w:t>
      </w:r>
    </w:p>
    <w:p>
      <w:pPr>
        <w:pStyle w:val="40"/>
        <w:rPr>
          <w:rFonts w:hint="eastAsia" w:ascii="宋体" w:hAnsi="宋体" w:eastAsia="宋体" w:cs="宋体"/>
          <w:color w:val="000000" w:themeColor="text1"/>
          <w:szCs w:val="24"/>
          <w:highlight w:val="none"/>
          <w14:textFill>
            <w14:solidFill>
              <w14:schemeClr w14:val="tx1"/>
            </w14:solidFill>
          </w14:textFill>
        </w:rPr>
      </w:pPr>
    </w:p>
    <w:p>
      <w:pPr>
        <w:pStyle w:val="40"/>
        <w:rPr>
          <w:rFonts w:hint="eastAsia" w:ascii="宋体" w:hAnsi="宋体" w:eastAsia="宋体" w:cs="宋体"/>
          <w:color w:val="000000" w:themeColor="text1"/>
          <w:szCs w:val="24"/>
          <w:highlight w:val="none"/>
          <w14:textFill>
            <w14:solidFill>
              <w14:schemeClr w14:val="tx1"/>
            </w14:solidFill>
          </w14:textFill>
        </w:rPr>
        <w:sectPr>
          <w:pgSz w:w="11906" w:h="16838"/>
          <w:pgMar w:top="1440" w:right="1440" w:bottom="1440" w:left="1440" w:header="851" w:footer="992" w:gutter="0"/>
          <w:pgNumType w:fmt="numberInDash"/>
          <w:cols w:space="720" w:num="1"/>
          <w:docGrid w:type="lines" w:linePitch="312" w:charSpace="0"/>
        </w:sectPr>
      </w:pPr>
    </w:p>
    <w:p>
      <w:pPr>
        <w:pStyle w:val="5"/>
        <w:numPr>
          <w:ilvl w:val="0"/>
          <w:numId w:val="0"/>
        </w:numPr>
        <w:tabs>
          <w:tab w:val="left" w:pos="0"/>
        </w:tabs>
        <w:spacing w:line="400" w:lineRule="exact"/>
        <w:ind w:leftChars="0"/>
        <w:jc w:val="center"/>
        <w:rPr>
          <w:rFonts w:hint="eastAsia" w:ascii="宋体" w:hAnsi="宋体" w:eastAsia="宋体" w:cs="宋体"/>
          <w:bCs w:val="0"/>
          <w:color w:val="000000" w:themeColor="text1"/>
          <w:sz w:val="24"/>
          <w:szCs w:val="24"/>
          <w:highlight w:val="none"/>
          <w14:textFill>
            <w14:solidFill>
              <w14:schemeClr w14:val="tx1"/>
            </w14:solidFill>
          </w14:textFill>
        </w:rPr>
      </w:pPr>
      <w:bookmarkStart w:id="172" w:name="_Toc319937308"/>
      <w:bookmarkStart w:id="173" w:name="_Toc317509429"/>
      <w:bookmarkStart w:id="174" w:name="_Toc217446083"/>
      <w:r>
        <w:rPr>
          <w:rFonts w:hint="eastAsia" w:ascii="宋体" w:hAnsi="宋体" w:eastAsia="宋体" w:cs="宋体"/>
          <w:bCs w:val="0"/>
          <w:color w:val="000000" w:themeColor="text1"/>
          <w:sz w:val="24"/>
          <w:szCs w:val="24"/>
          <w:highlight w:val="none"/>
          <w:lang w:eastAsia="zh-CN"/>
          <w14:textFill>
            <w14:solidFill>
              <w14:schemeClr w14:val="tx1"/>
            </w14:solidFill>
          </w14:textFill>
        </w:rPr>
        <w:t>二、</w:t>
      </w:r>
      <w:r>
        <w:rPr>
          <w:rFonts w:hint="eastAsia" w:ascii="宋体" w:hAnsi="宋体" w:eastAsia="宋体" w:cs="宋体"/>
          <w:bCs w:val="0"/>
          <w:color w:val="000000" w:themeColor="text1"/>
          <w:sz w:val="24"/>
          <w:szCs w:val="24"/>
          <w:highlight w:val="none"/>
          <w14:textFill>
            <w14:solidFill>
              <w14:schemeClr w14:val="tx1"/>
            </w14:solidFill>
          </w14:textFill>
        </w:rPr>
        <w:t>法定代表人授权书</w:t>
      </w:r>
      <w:bookmarkEnd w:id="172"/>
      <w:bookmarkEnd w:id="173"/>
      <w:bookmarkEnd w:id="174"/>
    </w:p>
    <w:p>
      <w:pPr>
        <w:spacing w:line="400" w:lineRule="exact"/>
        <w:ind w:firstLine="883"/>
        <w:jc w:val="center"/>
        <w:rPr>
          <w:rFonts w:hint="eastAsia" w:ascii="宋体" w:hAnsi="宋体" w:eastAsia="宋体" w:cs="宋体"/>
          <w:b/>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（采购代理机构名称）：</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本授权声明：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（法定代表人姓名、职务）授权</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（授权代理人姓名、职务、身份证号码）为我方 </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项目（项目编号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）磋商采购活动的合法代表，全权代表本公司处理响应过程的一切事宜。授权代理人在响应过程中所签署的一切文件和处理与之有关的一切事务，本公司均予以认可并对此承担责任。授权代理人无转让委托权。</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本授权书有效期自签署之日起至本项目采购文件第二章规定的磋商有效期结束为止。特此声明。</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性别：</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身份证号：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授权代理人：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性别：</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身份证号：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部门：</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职务：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详细通讯地址：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电话：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附：法定代表人和授权代理人有效的身份证复印件（身份证正反面复印并加盖公章）</w:t>
      </w:r>
    </w:p>
    <w:p>
      <w:pPr>
        <w:snapToGrid w:val="0"/>
        <w:spacing w:line="360" w:lineRule="auto"/>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ind w:left="0" w:leftChars="0" w:firstLine="3015" w:firstLineChars="1231"/>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360" w:lineRule="auto"/>
        <w:ind w:left="0" w:leftChars="0" w:firstLine="3015" w:firstLineChars="123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（签字或盖个人名章）</w:t>
      </w:r>
    </w:p>
    <w:p>
      <w:pPr>
        <w:spacing w:line="360" w:lineRule="auto"/>
        <w:ind w:left="0" w:leftChars="0" w:firstLine="3015" w:firstLineChars="123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360" w:lineRule="auto"/>
        <w:ind w:left="0" w:leftChars="0" w:firstLine="3015" w:firstLineChars="1231"/>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联系电话：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360" w:lineRule="auto"/>
        <w:ind w:left="0" w:leftChars="0" w:firstLine="3015" w:firstLineChars="1231"/>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b/>
          <w:bCs/>
          <w:color w:val="000000" w:themeColor="text1"/>
          <w:sz w:val="24"/>
          <w:szCs w:val="24"/>
          <w:highlight w:val="none"/>
          <w14:textFill>
            <w14:solidFill>
              <w14:schemeClr w14:val="tx1"/>
            </w14:solidFill>
          </w14:textFill>
        </w:rPr>
        <w:t>注：(1)法定代表人不亲自参与磋商而是由委托代理人参与磋商适用。</w:t>
      </w:r>
    </w:p>
    <w:p>
      <w:pP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(2)法定代表人委托他人参与磋商的，委托代理人应是供应商本单位的人员。</w:t>
      </w:r>
    </w:p>
    <w:p>
      <w:pP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 xml:space="preserve">    (3)委托代理人在递交响应文件时，应携带委托代理人身份证</w:t>
      </w:r>
      <w:r>
        <w:rPr>
          <w:rFonts w:hint="eastAsia" w:ascii="宋体" w:hAnsi="宋体" w:cs="宋体"/>
          <w:b/>
          <w:bCs/>
          <w:color w:val="000000" w:themeColor="text1"/>
          <w:sz w:val="24"/>
          <w:szCs w:val="24"/>
          <w:highlight w:val="none"/>
          <w:lang w:eastAsia="zh-CN"/>
          <w14:textFill>
            <w14:solidFill>
              <w14:schemeClr w14:val="tx1"/>
            </w14:solidFill>
          </w14:textFill>
        </w:rPr>
        <w:t>明</w:t>
      </w:r>
      <w:r>
        <w:rPr>
          <w:rFonts w:hint="eastAsia" w:ascii="宋体" w:hAnsi="宋体" w:eastAsia="宋体" w:cs="宋体"/>
          <w:b/>
          <w:bCs/>
          <w:color w:val="000000" w:themeColor="text1"/>
          <w:sz w:val="24"/>
          <w:szCs w:val="24"/>
          <w:highlight w:val="none"/>
          <w14:textFill>
            <w14:solidFill>
              <w14:schemeClr w14:val="tx1"/>
            </w14:solidFill>
          </w14:textFill>
        </w:rPr>
        <w:t>原件。</w:t>
      </w:r>
    </w:p>
    <w:p>
      <w:pPr>
        <w:ind w:firstLine="481"/>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(4)委托代理人提供的证件、证明不齐或不符合要求的，响应文件不予接收。</w:t>
      </w:r>
    </w:p>
    <w:p>
      <w:pPr>
        <w:pStyle w:val="5"/>
        <w:numPr>
          <w:ilvl w:val="0"/>
          <w:numId w:val="0"/>
        </w:numPr>
        <w:tabs>
          <w:tab w:val="left" w:pos="0"/>
        </w:tabs>
        <w:spacing w:line="400" w:lineRule="exact"/>
        <w:ind w:leftChars="0"/>
        <w:jc w:val="center"/>
        <w:rPr>
          <w:rFonts w:hint="eastAsia"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t>三、供应商基本情况表</w:t>
      </w:r>
    </w:p>
    <w:p>
      <w:pPr>
        <w:pStyle w:val="12"/>
        <w:spacing w:line="400" w:lineRule="exact"/>
        <w:ind w:firstLine="482"/>
        <w:jc w:val="center"/>
        <w:rPr>
          <w:rFonts w:hint="eastAsia" w:ascii="宋体" w:hAnsi="宋体" w:eastAsia="宋体" w:cs="宋体"/>
          <w:b/>
          <w:color w:val="000000" w:themeColor="text1"/>
          <w:kern w:val="10"/>
          <w:sz w:val="24"/>
          <w:szCs w:val="24"/>
          <w:highlight w:val="none"/>
          <w14:textFill>
            <w14:solidFill>
              <w14:schemeClr w14:val="tx1"/>
            </w14:solidFill>
          </w14:textFill>
        </w:rPr>
      </w:pPr>
    </w:p>
    <w:tbl>
      <w:tblPr>
        <w:tblStyle w:val="30"/>
        <w:tblW w:w="93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1265"/>
        <w:gridCol w:w="2089"/>
        <w:gridCol w:w="1425"/>
        <w:gridCol w:w="21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注册地址</w:t>
            </w:r>
          </w:p>
        </w:tc>
        <w:tc>
          <w:tcPr>
            <w:tcW w:w="335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邮政编码</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2379" w:type="dxa"/>
            <w:vMerge w:val="restart"/>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联系方式</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联系人</w:t>
            </w:r>
          </w:p>
        </w:tc>
        <w:tc>
          <w:tcPr>
            <w:tcW w:w="208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379" w:type="dxa"/>
            <w:vMerge w:val="continue"/>
            <w:tcBorders>
              <w:top w:val="single" w:color="auto" w:sz="4" w:space="0"/>
              <w:left w:val="single" w:color="auto" w:sz="4" w:space="0"/>
              <w:bottom w:val="single" w:color="auto" w:sz="4" w:space="0"/>
              <w:right w:val="single" w:color="auto" w:sz="4" w:space="0"/>
            </w:tcBorders>
            <w:vAlign w:val="center"/>
          </w:tcPr>
          <w:p>
            <w:pPr>
              <w:adjustRightInd w:val="0"/>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传真</w:t>
            </w:r>
          </w:p>
        </w:tc>
        <w:tc>
          <w:tcPr>
            <w:tcW w:w="208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网址</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208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技术负责人</w:t>
            </w:r>
          </w:p>
        </w:tc>
        <w:tc>
          <w:tcPr>
            <w:tcW w:w="126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208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25"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p>
        </w:tc>
        <w:tc>
          <w:tcPr>
            <w:tcW w:w="2177" w:type="dxa"/>
            <w:tcBorders>
              <w:top w:val="single" w:color="auto" w:sz="4" w:space="0"/>
              <w:left w:val="single" w:color="auto" w:sz="4" w:space="0"/>
              <w:bottom w:val="single" w:color="auto" w:sz="4" w:space="0"/>
              <w:right w:val="single" w:color="auto" w:sz="4" w:space="0"/>
            </w:tcBorders>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成立时间</w:t>
            </w:r>
          </w:p>
        </w:tc>
        <w:tc>
          <w:tcPr>
            <w:tcW w:w="3354"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3602" w:type="dxa"/>
            <w:gridSpan w:val="2"/>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员工总人数：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统一社会信用代码</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注册资金</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开户银行</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5"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经营范围</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jc w:val="center"/>
        </w:trPr>
        <w:tc>
          <w:tcPr>
            <w:tcW w:w="2379" w:type="dxa"/>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tc>
        <w:tc>
          <w:tcPr>
            <w:tcW w:w="6956" w:type="dxa"/>
            <w:gridSpan w:val="4"/>
            <w:tcBorders>
              <w:top w:val="single" w:color="auto" w:sz="4" w:space="0"/>
              <w:left w:val="single" w:color="auto" w:sz="4" w:space="0"/>
              <w:bottom w:val="single" w:color="auto" w:sz="4" w:space="0"/>
              <w:right w:val="single" w:color="auto" w:sz="4" w:space="0"/>
            </w:tcBorders>
            <w:vAlign w:val="center"/>
          </w:tcPr>
          <w:p>
            <w:pPr>
              <w:adjustRightInd w:val="0"/>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bl>
    <w:p>
      <w:pPr>
        <w:spacing w:line="400" w:lineRule="exact"/>
        <w:ind w:firstLine="36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ind w:firstLine="36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ind w:firstLine="360"/>
        <w:jc w:val="center"/>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left="0" w:leftChars="0" w:firstLine="2797" w:firstLineChars="114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left="0" w:leftChars="0" w:firstLine="2797" w:firstLineChars="114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left="0" w:leftChars="0" w:right="480" w:firstLine="2797" w:firstLineChars="1142"/>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ind w:left="0" w:leftChars="0" w:firstLine="2797" w:firstLineChars="1142"/>
        <w:rPr>
          <w:rFonts w:hint="eastAsia" w:ascii="宋体" w:hAnsi="宋体" w:eastAsia="宋体" w:cs="宋体"/>
          <w:color w:val="000000" w:themeColor="text1"/>
          <w:sz w:val="24"/>
          <w:szCs w:val="24"/>
          <w:highlight w:val="none"/>
          <w14:textFill>
            <w14:solidFill>
              <w14:schemeClr w14:val="tx1"/>
            </w14:solidFill>
          </w14:textFill>
        </w:rPr>
      </w:pPr>
    </w:p>
    <w:p>
      <w:pPr>
        <w:pStyle w:val="5"/>
        <w:bidi w:val="0"/>
        <w:jc w:val="center"/>
        <w:rPr>
          <w:rFonts w:hint="eastAsia" w:ascii="宋体" w:hAnsi="宋体" w:eastAsia="宋体" w:cs="宋体"/>
          <w:bCs w:val="0"/>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r>
        <w:rPr>
          <w:rFonts w:hint="eastAsia" w:ascii="宋体" w:hAnsi="宋体" w:eastAsia="宋体" w:cs="宋体"/>
          <w:bCs w:val="0"/>
          <w:color w:val="000000" w:themeColor="text1"/>
          <w:sz w:val="24"/>
          <w:szCs w:val="24"/>
          <w:highlight w:val="none"/>
          <w:lang w:val="en-US" w:eastAsia="zh-CN"/>
          <w14:textFill>
            <w14:solidFill>
              <w14:schemeClr w14:val="tx1"/>
            </w14:solidFill>
          </w14:textFill>
        </w:rPr>
        <w:t>四、承诺书</w:t>
      </w:r>
    </w:p>
    <w:p>
      <w:pPr>
        <w:snapToGrid w:val="0"/>
        <w:spacing w:line="360" w:lineRule="exact"/>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（采购代理机构）：</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一、具备《中华人民共和国政府采购法》第二十二条和本项目规定的条件：</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 xml:space="preserve">（一）具有独立承担民事责任的能力； </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（二）具有良好的商业信誉和健全的财务会计制度；</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 xml:space="preserve">（三）具有履行合同所必需的设备和专业技术能力； </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 xml:space="preserve">（四）有依法缴纳税收和社会保障资金的良好记录； </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（五）参加政府采购活动前三年内，在经营活动中没有重大违法记录；</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（六）法律、行政法规规定的其他条件。</w:t>
      </w:r>
    </w:p>
    <w:p>
      <w:pPr>
        <w:spacing w:line="360" w:lineRule="exact"/>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en-US" w:eastAsia="zh-CN"/>
          <w14:textFill>
            <w14:solidFill>
              <w14:schemeClr w14:val="tx1"/>
            </w14:solidFill>
          </w14:textFill>
        </w:rPr>
        <w:t>1</w:t>
      </w:r>
      <w:r>
        <w:rPr>
          <w:rFonts w:hint="eastAsia" w:ascii="宋体" w:hAnsi="宋体" w:eastAsia="宋体" w:cs="宋体"/>
          <w:color w:val="000000" w:themeColor="text1"/>
          <w:sz w:val="24"/>
          <w:highlight w:val="none"/>
          <w14:textFill>
            <w14:solidFill>
              <w14:schemeClr w14:val="tx1"/>
            </w14:solidFill>
          </w14:textFill>
        </w:rPr>
        <w:t>、我方及现任法定代表人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（姓名、身份证</w:t>
      </w:r>
      <w:r>
        <w:rPr>
          <w:rFonts w:hint="eastAsia" w:ascii="宋体" w:hAnsi="宋体" w:eastAsia="宋体" w:cs="宋体"/>
          <w:color w:val="000000" w:themeColor="text1"/>
          <w:highlight w:val="none"/>
          <w:u w:val="single"/>
          <w14:textFill>
            <w14:solidFill>
              <w14:schemeClr w14:val="tx1"/>
            </w14:solidFill>
          </w14:textFill>
        </w:rPr>
        <w:t>号</w:t>
      </w:r>
      <w:r>
        <w:rPr>
          <w:rFonts w:hint="eastAsia" w:ascii="宋体" w:hAnsi="宋体" w:eastAsia="宋体" w:cs="宋体"/>
          <w:color w:val="000000" w:themeColor="text1"/>
          <w:sz w:val="24"/>
          <w:highlight w:val="none"/>
          <w:u w:val="single"/>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、主要负责人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（姓名、身份证</w:t>
      </w:r>
      <w:r>
        <w:rPr>
          <w:rFonts w:hint="eastAsia" w:ascii="宋体" w:hAnsi="宋体" w:eastAsia="宋体" w:cs="宋体"/>
          <w:color w:val="000000" w:themeColor="text1"/>
          <w:highlight w:val="none"/>
          <w:u w:val="single"/>
          <w14:textFill>
            <w14:solidFill>
              <w14:schemeClr w14:val="tx1"/>
            </w14:solidFill>
          </w14:textFill>
        </w:rPr>
        <w:t>号</w:t>
      </w:r>
      <w:r>
        <w:rPr>
          <w:rFonts w:hint="eastAsia" w:ascii="宋体" w:hAnsi="宋体" w:eastAsia="宋体" w:cs="宋体"/>
          <w:color w:val="000000" w:themeColor="text1"/>
          <w:sz w:val="24"/>
          <w:highlight w:val="none"/>
          <w:u w:val="single"/>
          <w14:textFill>
            <w14:solidFill>
              <w14:schemeClr w14:val="tx1"/>
            </w14:solidFill>
          </w14:textFill>
        </w:rPr>
        <w:t>）</w:t>
      </w:r>
      <w:r>
        <w:rPr>
          <w:rFonts w:hint="eastAsia" w:ascii="宋体" w:hAnsi="宋体" w:eastAsia="宋体" w:cs="宋体"/>
          <w:color w:val="000000" w:themeColor="text1"/>
          <w:sz w:val="24"/>
          <w:highlight w:val="none"/>
          <w14:textFill>
            <w14:solidFill>
              <w14:schemeClr w14:val="tx1"/>
            </w14:solidFill>
          </w14:textFill>
        </w:rPr>
        <w:t>不具有行贿犯罪记录；</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lang w:val="en-US" w:eastAsia="zh-CN"/>
          <w14:textFill>
            <w14:solidFill>
              <w14:schemeClr w14:val="tx1"/>
            </w14:solidFill>
          </w14:textFill>
        </w:rPr>
        <w:t>2</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参加本次采购活动，不存在与</w:t>
      </w:r>
      <w:r>
        <w:rPr>
          <w:rFonts w:hint="eastAsia" w:ascii="宋体" w:hAnsi="宋体" w:eastAsia="宋体" w:cs="宋体"/>
          <w:snapToGrid w:val="0"/>
          <w:color w:val="000000" w:themeColor="text1"/>
          <w:sz w:val="24"/>
          <w:szCs w:val="24"/>
          <w:highlight w:val="none"/>
          <w:lang w:val="zh-CN" w:eastAsia="zh-CN"/>
          <w14:textFill>
            <w14:solidFill>
              <w14:schemeClr w14:val="tx1"/>
            </w14:solidFill>
          </w14:textFill>
        </w:rPr>
        <w:t>其他供应商之间，</w:t>
      </w:r>
      <w:r>
        <w:rPr>
          <w:rFonts w:hint="eastAsia" w:ascii="宋体" w:hAnsi="宋体" w:eastAsia="宋体" w:cs="宋体"/>
          <w:snapToGrid w:val="0"/>
          <w:color w:val="000000" w:themeColor="text1"/>
          <w:sz w:val="24"/>
          <w:szCs w:val="24"/>
          <w:highlight w:val="none"/>
          <w14:textFill>
            <w14:solidFill>
              <w14:schemeClr w14:val="tx1"/>
            </w14:solidFill>
          </w14:textFill>
        </w:rPr>
        <w:t>单位负责人为同一人或者存在直接控股、管理关系</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r>
        <w:rPr>
          <w:rFonts w:hint="eastAsia" w:ascii="宋体" w:hAnsi="宋体" w:eastAsia="宋体" w:cs="宋体"/>
          <w:snapToGrid w:val="0"/>
          <w:color w:val="000000" w:themeColor="text1"/>
          <w:sz w:val="24"/>
          <w:szCs w:val="24"/>
          <w:highlight w:val="none"/>
          <w14:textFill>
            <w14:solidFill>
              <w14:schemeClr w14:val="tx1"/>
            </w14:solidFill>
          </w14:textFill>
        </w:rPr>
        <w:t>同时委托同一个自然人、同一家庭的人员、同一单位的人员作为代理人或参与同一合同项下的政府采购活动的行为</w:t>
      </w:r>
      <w:r>
        <w:rPr>
          <w:rFonts w:hint="eastAsia" w:ascii="宋体" w:hAnsi="宋体" w:eastAsia="宋体" w:cs="宋体"/>
          <w:snapToGrid w:val="0"/>
          <w:color w:val="000000" w:themeColor="text1"/>
          <w:sz w:val="24"/>
          <w:szCs w:val="24"/>
          <w:highlight w:val="none"/>
          <w:lang w:eastAsia="zh-CN"/>
          <w14:textFill>
            <w14:solidFill>
              <w14:schemeClr w14:val="tx1"/>
            </w14:solidFill>
          </w14:textFill>
        </w:rPr>
        <w:t>；</w:t>
      </w:r>
    </w:p>
    <w:p>
      <w:pPr>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二、完全接受和满足本项目采购文件中规定的实质性要求（如报价、响应文件有效期、采购文件的构成、响应文件的组成、计量单位、报价货币、合同分包、合同转包等），如对采购文件有异议，已经在磋商截止时间届满前依法进行维权救济，不存在对采购文件有异议的同时又参加磋商以求侥幸中标</w:t>
      </w:r>
      <w:r>
        <w:rPr>
          <w:rFonts w:hint="eastAsia" w:ascii="宋体" w:hAnsi="宋体" w:cs="宋体"/>
          <w:snapToGrid w:val="0"/>
          <w:color w:val="000000" w:themeColor="text1"/>
          <w:sz w:val="24"/>
          <w:szCs w:val="24"/>
          <w:highlight w:val="none"/>
          <w:lang w:eastAsia="zh-CN"/>
          <w14:textFill>
            <w14:solidFill>
              <w14:schemeClr w14:val="tx1"/>
            </w14:solidFill>
          </w14:textFill>
        </w:rPr>
        <w:t>（成交）</w:t>
      </w:r>
      <w:r>
        <w:rPr>
          <w:rFonts w:hint="eastAsia" w:ascii="宋体" w:hAnsi="宋体" w:eastAsia="宋体" w:cs="宋体"/>
          <w:snapToGrid w:val="0"/>
          <w:color w:val="000000" w:themeColor="text1"/>
          <w:sz w:val="24"/>
          <w:szCs w:val="24"/>
          <w:highlight w:val="none"/>
          <w14:textFill>
            <w14:solidFill>
              <w14:schemeClr w14:val="tx1"/>
            </w14:solidFill>
          </w14:textFill>
        </w:rPr>
        <w:t>或者为实现其他非法目的的行为。</w:t>
      </w:r>
    </w:p>
    <w:p>
      <w:pPr>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三、参加本次采购活动，不存在与单位负责人为同一人或者存在直接控股、管理关系的其他供应商参与同一合同项下的政府采购活动的行为。</w:t>
      </w:r>
    </w:p>
    <w:p>
      <w:pPr>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四、参加本次采购活动，不存在和其他供应商在同一合同项下的采购项目中，同时委托同一个自然人、同一家庭的人员、同一单位的人员作为代理人或参与供应商的行为。</w:t>
      </w:r>
    </w:p>
    <w:p>
      <w:pPr>
        <w:numPr>
          <w:ilvl w:val="0"/>
          <w:numId w:val="5"/>
        </w:numPr>
        <w:spacing w:line="360" w:lineRule="auto"/>
        <w:ind w:right="80" w:firstLine="480"/>
        <w:rPr>
          <w:rFonts w:hint="eastAsia" w:ascii="宋体" w:hAnsi="宋体" w:eastAsia="宋体" w:cs="宋体"/>
          <w:snapToGrid w:val="0"/>
          <w:color w:val="000000" w:themeColor="text1"/>
          <w:sz w:val="24"/>
          <w:szCs w:val="24"/>
          <w:highlight w:val="none"/>
          <w14:textFill>
            <w14:solidFill>
              <w14:schemeClr w14:val="tx1"/>
            </w14:solidFill>
          </w14:textFill>
        </w:rPr>
      </w:pPr>
      <w:bookmarkStart w:id="175" w:name="_Toc18873"/>
      <w:bookmarkStart w:id="176" w:name="_Toc14469"/>
      <w:r>
        <w:rPr>
          <w:rFonts w:hint="eastAsia" w:ascii="宋体" w:hAnsi="宋体" w:eastAsia="宋体" w:cs="宋体"/>
          <w:color w:val="000000" w:themeColor="text1"/>
          <w:sz w:val="24"/>
          <w:szCs w:val="24"/>
          <w:highlight w:val="none"/>
          <w14:textFill>
            <w14:solidFill>
              <w14:schemeClr w14:val="tx1"/>
            </w14:solidFill>
          </w14:textFill>
        </w:rPr>
        <w:t>在磋商截止日前，</w:t>
      </w:r>
      <w:r>
        <w:rPr>
          <w:rFonts w:hint="eastAsia" w:ascii="宋体" w:hAnsi="宋体" w:cs="宋体"/>
          <w:color w:val="000000" w:themeColor="text1"/>
          <w:sz w:val="24"/>
          <w:szCs w:val="24"/>
          <w:highlight w:val="none"/>
          <w:lang w:eastAsia="zh-CN"/>
          <w14:textFill>
            <w14:solidFill>
              <w14:schemeClr w14:val="tx1"/>
            </w14:solidFill>
          </w14:textFill>
        </w:rPr>
        <w:t>参照</w:t>
      </w:r>
      <w:r>
        <w:rPr>
          <w:rFonts w:hint="eastAsia" w:hAnsi="宋体" w:cs="宋体"/>
          <w:color w:val="000000" w:themeColor="text1"/>
          <w:sz w:val="24"/>
          <w:szCs w:val="24"/>
          <w:highlight w:val="none"/>
          <w:lang w:eastAsia="zh-CN"/>
          <w14:textFill>
            <w14:solidFill>
              <w14:schemeClr w14:val="tx1"/>
            </w14:solidFill>
          </w14:textFill>
        </w:rPr>
        <w:t>《四川省政府采购当事人诚信管理办法》（川财采〔2015〕33号文件）、严格按照《四川省公共资源交易领域严重失信联合惩戒实施办法》（川发改信用规〔2019〕405号）、《关于对政府采购领域严重违法失信主体开展联合惩戒的合作备忘录》（发改财金〔2018〕1614号）</w:t>
      </w:r>
      <w:r>
        <w:rPr>
          <w:rFonts w:hint="eastAsia" w:ascii="宋体" w:hAnsi="宋体" w:eastAsia="宋体" w:cs="宋体"/>
          <w:color w:val="000000" w:themeColor="text1"/>
          <w:sz w:val="24"/>
          <w:szCs w:val="24"/>
          <w:highlight w:val="none"/>
          <w14:textFill>
            <w14:solidFill>
              <w14:schemeClr w14:val="tx1"/>
            </w14:solidFill>
          </w14:textFill>
        </w:rPr>
        <w:t>等相关规定失信行为的</w:t>
      </w:r>
      <w:r>
        <w:rPr>
          <w:rFonts w:hint="eastAsia" w:ascii="宋体" w:hAnsi="宋体" w:eastAsia="宋体" w:cs="宋体"/>
          <w:b/>
          <w:color w:val="000000" w:themeColor="text1"/>
          <w:sz w:val="24"/>
          <w:szCs w:val="24"/>
          <w:highlight w:val="none"/>
          <w14:textFill>
            <w14:solidFill>
              <w14:schemeClr w14:val="tx1"/>
            </w14:solidFill>
          </w14:textFill>
        </w:rPr>
        <w:t>有</w:t>
      </w:r>
      <w:r>
        <w:rPr>
          <w:rFonts w:hint="eastAsia" w:ascii="宋体" w:hAnsi="宋体" w:eastAsia="宋体" w:cs="宋体"/>
          <w:b/>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
          <w:color w:val="000000" w:themeColor="text1"/>
          <w:sz w:val="24"/>
          <w:szCs w:val="24"/>
          <w:highlight w:val="none"/>
          <w14:textFill>
            <w14:solidFill>
              <w14:schemeClr w14:val="tx1"/>
            </w14:solidFill>
          </w14:textFill>
        </w:rPr>
        <w:t>次；</w:t>
      </w:r>
      <w:r>
        <w:rPr>
          <w:rFonts w:hint="eastAsia" w:ascii="宋体" w:hAnsi="宋体" w:eastAsia="宋体" w:cs="宋体"/>
          <w:color w:val="000000" w:themeColor="text1"/>
          <w:sz w:val="24"/>
          <w:szCs w:val="24"/>
          <w:highlight w:val="none"/>
          <w14:textFill>
            <w14:solidFill>
              <w14:schemeClr w14:val="tx1"/>
            </w14:solidFill>
          </w14:textFill>
        </w:rPr>
        <w:t>在磋商截止日前被工商部门、税务部门、审判机关及其他有关部门单位认定且处于有效期内的失信行为的</w:t>
      </w:r>
      <w:r>
        <w:rPr>
          <w:rFonts w:hint="eastAsia" w:ascii="宋体" w:hAnsi="宋体" w:eastAsia="宋体" w:cs="宋体"/>
          <w:b/>
          <w:color w:val="000000" w:themeColor="text1"/>
          <w:sz w:val="24"/>
          <w:szCs w:val="24"/>
          <w:highlight w:val="none"/>
          <w14:textFill>
            <w14:solidFill>
              <w14:schemeClr w14:val="tx1"/>
            </w14:solidFill>
          </w14:textFill>
        </w:rPr>
        <w:t>有</w:t>
      </w:r>
      <w:r>
        <w:rPr>
          <w:rFonts w:hint="eastAsia" w:ascii="宋体" w:hAnsi="宋体" w:eastAsia="宋体" w:cs="宋体"/>
          <w:b/>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b/>
          <w:color w:val="000000" w:themeColor="text1"/>
          <w:sz w:val="24"/>
          <w:szCs w:val="24"/>
          <w:highlight w:val="none"/>
          <w14:textFill>
            <w14:solidFill>
              <w14:schemeClr w14:val="tx1"/>
            </w14:solidFill>
          </w14:textFill>
        </w:rPr>
        <w:t>次</w:t>
      </w:r>
      <w:r>
        <w:rPr>
          <w:rFonts w:hint="eastAsia" w:ascii="宋体" w:hAnsi="宋体" w:eastAsia="宋体" w:cs="宋体"/>
          <w:color w:val="000000" w:themeColor="text1"/>
          <w:sz w:val="24"/>
          <w:szCs w:val="24"/>
          <w:highlight w:val="none"/>
          <w14:textFill>
            <w14:solidFill>
              <w14:schemeClr w14:val="tx1"/>
            </w14:solidFill>
          </w14:textFill>
        </w:rPr>
        <w:t>。</w:t>
      </w:r>
      <w:bookmarkEnd w:id="175"/>
      <w:bookmarkEnd w:id="176"/>
    </w:p>
    <w:p>
      <w:pPr>
        <w:numPr>
          <w:ilvl w:val="0"/>
          <w:numId w:val="5"/>
        </w:numPr>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响应文件中提供的能够给予我公司带来优惠、好处的任何材料资料和技术、服务、商务等响应承诺情况都是真实的、有效的、合法的。</w:t>
      </w:r>
    </w:p>
    <w:p>
      <w:pPr>
        <w:numPr>
          <w:ilvl w:val="0"/>
          <w:numId w:val="5"/>
        </w:numPr>
        <w:spacing w:line="360" w:lineRule="auto"/>
        <w:ind w:firstLine="480"/>
        <w:outlineLvl w:val="1"/>
        <w:rPr>
          <w:rFonts w:hint="eastAsia" w:ascii="宋体" w:hAnsi="宋体" w:eastAsia="宋体" w:cs="宋体"/>
          <w:color w:val="000000" w:themeColor="text1"/>
          <w:sz w:val="24"/>
          <w:szCs w:val="24"/>
          <w:highlight w:val="none"/>
          <w14:textFill>
            <w14:solidFill>
              <w14:schemeClr w14:val="tx1"/>
            </w14:solidFill>
          </w14:textFill>
        </w:rPr>
      </w:pPr>
      <w:bookmarkStart w:id="177" w:name="_Toc13363"/>
      <w:bookmarkStart w:id="178" w:name="_Toc31010"/>
      <w:bookmarkStart w:id="179" w:name="_Toc15366"/>
      <w:r>
        <w:rPr>
          <w:rFonts w:hint="eastAsia" w:ascii="宋体" w:hAnsi="宋体" w:eastAsia="宋体" w:cs="宋体"/>
          <w:color w:val="000000" w:themeColor="text1"/>
          <w:sz w:val="24"/>
          <w:szCs w:val="24"/>
          <w:highlight w:val="none"/>
          <w14:textFill>
            <w14:solidFill>
              <w14:schemeClr w14:val="tx1"/>
            </w14:solidFill>
          </w14:textFill>
        </w:rPr>
        <w:t>在磋商截止日前，未被列入“信用中国”网站(www.creditchina.gov.cn)中列入失信被执行人和重大税收违法案件当事人名单的供应商，未被列入中国政府采购网(www.ccgp.gov. cn)、四川政府采购网（</w:t>
      </w:r>
      <w:r>
        <w:rPr>
          <w:rFonts w:hint="eastAsia" w:ascii="宋体" w:hAnsi="宋体" w:eastAsia="宋体" w:cs="宋体"/>
          <w:color w:val="000000" w:themeColor="text1"/>
          <w:sz w:val="24"/>
          <w:szCs w:val="24"/>
          <w:highlight w:val="none"/>
          <w14:textFill>
            <w14:solidFill>
              <w14:schemeClr w14:val="tx1"/>
            </w14:solidFill>
          </w14:textFill>
        </w:rPr>
        <w:fldChar w:fldCharType="begin"/>
      </w:r>
      <w:r>
        <w:rPr>
          <w:rFonts w:hint="eastAsia" w:ascii="宋体" w:hAnsi="宋体" w:eastAsia="宋体" w:cs="宋体"/>
          <w:color w:val="000000" w:themeColor="text1"/>
          <w:sz w:val="24"/>
          <w:szCs w:val="24"/>
          <w:highlight w:val="none"/>
          <w14:textFill>
            <w14:solidFill>
              <w14:schemeClr w14:val="tx1"/>
            </w14:solidFill>
          </w14:textFill>
        </w:rPr>
        <w:instrText xml:space="preserve"> HYPERLINK "http://www.ccgp-sichuan.gov.cn" </w:instrText>
      </w:r>
      <w:r>
        <w:rPr>
          <w:rFonts w:hint="eastAsia" w:ascii="宋体" w:hAnsi="宋体" w:eastAsia="宋体" w:cs="宋体"/>
          <w:color w:val="000000" w:themeColor="text1"/>
          <w:sz w:val="24"/>
          <w:szCs w:val="24"/>
          <w:highlight w:val="none"/>
          <w14:textFill>
            <w14:solidFill>
              <w14:schemeClr w14:val="tx1"/>
            </w14:solidFill>
          </w14:textFill>
        </w:rPr>
        <w:fldChar w:fldCharType="separate"/>
      </w:r>
      <w:r>
        <w:rPr>
          <w:rFonts w:hint="eastAsia" w:ascii="宋体" w:hAnsi="宋体" w:eastAsia="宋体" w:cs="宋体"/>
          <w:color w:val="000000" w:themeColor="text1"/>
          <w:sz w:val="24"/>
          <w:szCs w:val="24"/>
          <w:highlight w:val="none"/>
          <w14:textFill>
            <w14:solidFill>
              <w14:schemeClr w14:val="tx1"/>
            </w14:solidFill>
          </w14:textFill>
        </w:rPr>
        <w:t>http://www.ccgp-sichuan.gov.cn</w:t>
      </w:r>
      <w:r>
        <w:rPr>
          <w:rFonts w:hint="eastAsia" w:ascii="宋体" w:hAnsi="宋体" w:eastAsia="宋体" w:cs="宋体"/>
          <w:color w:val="000000" w:themeColor="text1"/>
          <w:sz w:val="24"/>
          <w:szCs w:val="24"/>
          <w:highlight w:val="none"/>
          <w14:textFill>
            <w14:solidFill>
              <w14:schemeClr w14:val="tx1"/>
            </w14:solidFill>
          </w14:textFill>
        </w:rPr>
        <w:fldChar w:fldCharType="end"/>
      </w:r>
      <w:r>
        <w:rPr>
          <w:rFonts w:hint="eastAsia" w:ascii="宋体" w:hAnsi="宋体" w:eastAsia="宋体" w:cs="宋体"/>
          <w:color w:val="000000" w:themeColor="text1"/>
          <w:sz w:val="24"/>
          <w:szCs w:val="24"/>
          <w:highlight w:val="none"/>
          <w14:textFill>
            <w14:solidFill>
              <w14:schemeClr w14:val="tx1"/>
            </w14:solidFill>
          </w14:textFill>
        </w:rPr>
        <w:t>）政府采购严重违法失信行为记录名单中被财政部门禁止参加政府采购活动的供应商(处罚决定规定的时间和地域范围内)。</w:t>
      </w:r>
      <w:bookmarkEnd w:id="177"/>
      <w:bookmarkEnd w:id="178"/>
      <w:bookmarkEnd w:id="179"/>
    </w:p>
    <w:p>
      <w:pPr>
        <w:spacing w:line="360" w:lineRule="auto"/>
        <w:ind w:firstLine="490" w:firstLineChars="20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本公司对上述承诺的内容事项真实性负责。如经查实上述承诺的内容事项存在虚假，我公司愿意接受以提供虚假材料谋取中标</w:t>
      </w:r>
      <w:r>
        <w:rPr>
          <w:rFonts w:hint="eastAsia" w:ascii="宋体" w:hAnsi="宋体" w:cs="宋体"/>
          <w:snapToGrid w:val="0"/>
          <w:color w:val="000000" w:themeColor="text1"/>
          <w:sz w:val="24"/>
          <w:szCs w:val="24"/>
          <w:highlight w:val="none"/>
          <w:lang w:eastAsia="zh-CN"/>
          <w14:textFill>
            <w14:solidFill>
              <w14:schemeClr w14:val="tx1"/>
            </w14:solidFill>
          </w14:textFill>
        </w:rPr>
        <w:t>（成交）</w:t>
      </w:r>
      <w:r>
        <w:rPr>
          <w:rFonts w:hint="eastAsia" w:ascii="宋体" w:hAnsi="宋体" w:eastAsia="宋体" w:cs="宋体"/>
          <w:snapToGrid w:val="0"/>
          <w:color w:val="000000" w:themeColor="text1"/>
          <w:sz w:val="24"/>
          <w:szCs w:val="24"/>
          <w:highlight w:val="none"/>
          <w14:textFill>
            <w14:solidFill>
              <w14:schemeClr w14:val="tx1"/>
            </w14:solidFill>
          </w14:textFill>
        </w:rPr>
        <w:t>追究法律责任。</w:t>
      </w:r>
    </w:p>
    <w:p>
      <w:pPr>
        <w:spacing w:line="360" w:lineRule="auto"/>
        <w:ind w:firstLine="482"/>
        <w:rPr>
          <w:rFonts w:hint="eastAsia" w:ascii="宋体" w:hAnsi="宋体" w:eastAsia="宋体" w:cs="宋体"/>
          <w:snapToGrid w:val="0"/>
          <w:color w:val="000000" w:themeColor="text1"/>
          <w:sz w:val="24"/>
          <w:szCs w:val="24"/>
          <w:highlight w:val="none"/>
          <w14:textFill>
            <w14:solidFill>
              <w14:schemeClr w14:val="tx1"/>
            </w14:solidFill>
          </w14:textFill>
        </w:rPr>
      </w:pPr>
    </w:p>
    <w:p>
      <w:pPr>
        <w:pStyle w:val="40"/>
        <w:spacing w:line="360" w:lineRule="exact"/>
        <w:rPr>
          <w:rFonts w:hint="eastAsia" w:ascii="宋体" w:hAnsi="宋体" w:eastAsia="宋体" w:cs="宋体"/>
          <w:snapToGrid w:val="0"/>
          <w:color w:val="000000" w:themeColor="text1"/>
          <w:szCs w:val="24"/>
          <w:highlight w:val="none"/>
          <w14:textFill>
            <w14:solidFill>
              <w14:schemeClr w14:val="tx1"/>
            </w14:solidFill>
          </w14:textFill>
        </w:rPr>
      </w:pPr>
    </w:p>
    <w:p>
      <w:pPr>
        <w:spacing w:line="360" w:lineRule="exact"/>
        <w:ind w:firstLine="4716" w:firstLineChars="1925"/>
        <w:rPr>
          <w:rFonts w:hint="eastAsia" w:ascii="宋体" w:hAnsi="宋体" w:eastAsia="宋体" w:cs="宋体"/>
          <w:color w:val="000000" w:themeColor="text1"/>
          <w:sz w:val="24"/>
          <w:szCs w:val="24"/>
          <w:highlight w:val="none"/>
          <w14:textFill>
            <w14:solidFill>
              <w14:schemeClr w14:val="tx1"/>
            </w14:solidFill>
          </w14:textFill>
        </w:rPr>
      </w:pPr>
    </w:p>
    <w:p>
      <w:pPr>
        <w:spacing w:line="360" w:lineRule="auto"/>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360" w:lineRule="auto"/>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360" w:lineRule="auto"/>
        <w:ind w:right="480"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pStyle w:val="5"/>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 w:val="0"/>
          <w:color w:val="000000" w:themeColor="text1"/>
          <w:sz w:val="30"/>
          <w:szCs w:val="30"/>
          <w:highlight w:val="none"/>
          <w14:textFill>
            <w14:solidFill>
              <w14:schemeClr w14:val="tx1"/>
            </w14:solidFill>
          </w14:textFill>
        </w:rPr>
        <w:br w:type="page"/>
      </w: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五、中小企业声明函（如适用）</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本公司（联合体）郑重声明，根据《政府采购促进中小企业发展管理办法》（财库﹝2020﹞46号）的规定，本公司（联合体）参加</w:t>
      </w:r>
      <w:r>
        <w:rPr>
          <w:rFonts w:hint="eastAsia" w:ascii="宋体" w:hAnsi="宋体" w:eastAsia="宋体" w:cs="宋体"/>
          <w:color w:val="000000" w:themeColor="text1"/>
          <w:sz w:val="24"/>
          <w:highlight w:val="none"/>
          <w:u w:val="single"/>
          <w14:textFill>
            <w14:solidFill>
              <w14:schemeClr w14:val="tx1"/>
            </w14:solidFill>
          </w14:textFill>
        </w:rPr>
        <w:t xml:space="preserve">  （单位名称）</w:t>
      </w:r>
      <w:r>
        <w:rPr>
          <w:rFonts w:hint="eastAsia" w:ascii="宋体" w:hAnsi="宋体" w:eastAsia="宋体" w:cs="宋体"/>
          <w:color w:val="000000" w:themeColor="text1"/>
          <w:sz w:val="24"/>
          <w:highlight w:val="none"/>
          <w14:textFill>
            <w14:solidFill>
              <w14:schemeClr w14:val="tx1"/>
            </w14:solidFill>
          </w14:textFill>
        </w:rPr>
        <w:t>的</w:t>
      </w:r>
      <w:r>
        <w:rPr>
          <w:rFonts w:hint="eastAsia" w:ascii="宋体" w:hAnsi="宋体" w:eastAsia="宋体" w:cs="宋体"/>
          <w:color w:val="000000" w:themeColor="text1"/>
          <w:sz w:val="24"/>
          <w:highlight w:val="none"/>
          <w:u w:val="single"/>
          <w14:textFill>
            <w14:solidFill>
              <w14:schemeClr w14:val="tx1"/>
            </w14:solidFill>
          </w14:textFill>
        </w:rPr>
        <w:t xml:space="preserve">  （项目名称）</w:t>
      </w:r>
      <w:r>
        <w:rPr>
          <w:rFonts w:hint="eastAsia" w:ascii="宋体" w:hAnsi="宋体" w:eastAsia="宋体" w:cs="宋体"/>
          <w:color w:val="000000" w:themeColor="text1"/>
          <w:sz w:val="24"/>
          <w:highlight w:val="none"/>
          <w14:textFill>
            <w14:solidFill>
              <w14:schemeClr w14:val="tx1"/>
            </w14:solidFill>
          </w14:textFill>
        </w:rPr>
        <w:t>采购活动，提供的货物全部由符合政策要求的中小企业制造。相关企业（含联合体中的中小企业、签订分包意向协议的中小企业）的具体情况如下：</w:t>
      </w:r>
    </w:p>
    <w:p>
      <w:pPr>
        <w:numPr>
          <w:ilvl w:val="0"/>
          <w:numId w:val="6"/>
        </w:num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u w:val="single"/>
          <w14:textFill>
            <w14:solidFill>
              <w14:schemeClr w14:val="tx1"/>
            </w14:solidFill>
          </w14:textFill>
        </w:rPr>
        <w:t xml:space="preserve">  （标的名称） </w:t>
      </w:r>
      <w:r>
        <w:rPr>
          <w:rFonts w:hint="eastAsia" w:ascii="宋体" w:hAnsi="宋体" w:eastAsia="宋体" w:cs="宋体"/>
          <w:color w:val="000000" w:themeColor="text1"/>
          <w:sz w:val="24"/>
          <w:highlight w:val="none"/>
          <w14:textFill>
            <w14:solidFill>
              <w14:schemeClr w14:val="tx1"/>
            </w14:solidFill>
          </w14:textFill>
        </w:rPr>
        <w:t>，属于</w:t>
      </w:r>
      <w:r>
        <w:rPr>
          <w:rFonts w:hint="eastAsia" w:ascii="宋体" w:hAnsi="宋体" w:eastAsia="宋体" w:cs="宋体"/>
          <w:color w:val="000000" w:themeColor="text1"/>
          <w:sz w:val="24"/>
          <w:highlight w:val="none"/>
          <w:u w:val="single"/>
          <w14:textFill>
            <w14:solidFill>
              <w14:schemeClr w14:val="tx1"/>
            </w14:solidFill>
          </w14:textFill>
        </w:rPr>
        <w:t xml:space="preserve">  （采购文件中明确的所属行业）</w:t>
      </w:r>
      <w:r>
        <w:rPr>
          <w:rFonts w:hint="eastAsia" w:ascii="宋体" w:hAnsi="宋体" w:eastAsia="宋体" w:cs="宋体"/>
          <w:color w:val="000000" w:themeColor="text1"/>
          <w:sz w:val="24"/>
          <w:highlight w:val="none"/>
          <w14:textFill>
            <w14:solidFill>
              <w14:schemeClr w14:val="tx1"/>
            </w14:solidFill>
          </w14:textFill>
        </w:rPr>
        <w:t>行业；制造商为</w:t>
      </w:r>
      <w:r>
        <w:rPr>
          <w:rFonts w:hint="eastAsia" w:ascii="宋体" w:hAnsi="宋体" w:eastAsia="宋体" w:cs="宋体"/>
          <w:color w:val="000000" w:themeColor="text1"/>
          <w:sz w:val="24"/>
          <w:highlight w:val="none"/>
          <w:u w:val="single"/>
          <w14:textFill>
            <w14:solidFill>
              <w14:schemeClr w14:val="tx1"/>
            </w14:solidFill>
          </w14:textFill>
        </w:rPr>
        <w:t xml:space="preserve">  （企业名称）</w:t>
      </w:r>
      <w:r>
        <w:rPr>
          <w:rFonts w:hint="eastAsia" w:ascii="宋体" w:hAnsi="宋体" w:eastAsia="宋体" w:cs="宋体"/>
          <w:color w:val="000000" w:themeColor="text1"/>
          <w:sz w:val="24"/>
          <w:highlight w:val="none"/>
          <w14:textFill>
            <w14:solidFill>
              <w14:schemeClr w14:val="tx1"/>
            </w14:solidFill>
          </w14:textFill>
        </w:rPr>
        <w:t>，从业人员</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人，营业收入为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万元，资产总额为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万元，属于</w:t>
      </w:r>
      <w:r>
        <w:rPr>
          <w:rFonts w:hint="eastAsia" w:ascii="宋体" w:hAnsi="宋体" w:eastAsia="宋体" w:cs="宋体"/>
          <w:color w:val="000000" w:themeColor="text1"/>
          <w:sz w:val="24"/>
          <w:highlight w:val="none"/>
          <w:u w:val="single"/>
          <w14:textFill>
            <w14:solidFill>
              <w14:schemeClr w14:val="tx1"/>
            </w14:solidFill>
          </w14:textFill>
        </w:rPr>
        <w:t xml:space="preserve">    （中型企业、小型企业、微型企业）</w:t>
      </w: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2.</w:t>
      </w:r>
      <w:r>
        <w:rPr>
          <w:rFonts w:hint="eastAsia" w:ascii="宋体" w:hAnsi="宋体" w:eastAsia="宋体" w:cs="宋体"/>
          <w:color w:val="000000" w:themeColor="text1"/>
          <w:sz w:val="24"/>
          <w:highlight w:val="none"/>
          <w:u w:val="single"/>
          <w14:textFill>
            <w14:solidFill>
              <w14:schemeClr w14:val="tx1"/>
            </w14:solidFill>
          </w14:textFill>
        </w:rPr>
        <w:t xml:space="preserve">   （标的名称）</w:t>
      </w:r>
      <w:r>
        <w:rPr>
          <w:rFonts w:hint="eastAsia" w:ascii="宋体" w:hAnsi="宋体" w:eastAsia="宋体" w:cs="宋体"/>
          <w:color w:val="000000" w:themeColor="text1"/>
          <w:sz w:val="24"/>
          <w:highlight w:val="none"/>
          <w14:textFill>
            <w14:solidFill>
              <w14:schemeClr w14:val="tx1"/>
            </w14:solidFill>
          </w14:textFill>
        </w:rPr>
        <w:t>，属于</w:t>
      </w:r>
      <w:r>
        <w:rPr>
          <w:rFonts w:hint="eastAsia" w:ascii="宋体" w:hAnsi="宋体" w:eastAsia="宋体" w:cs="宋体"/>
          <w:color w:val="000000" w:themeColor="text1"/>
          <w:sz w:val="24"/>
          <w:highlight w:val="none"/>
          <w:u w:val="single"/>
          <w14:textFill>
            <w14:solidFill>
              <w14:schemeClr w14:val="tx1"/>
            </w14:solidFill>
          </w14:textFill>
        </w:rPr>
        <w:t xml:space="preserve">  （采购文件中明确的所属行业）</w:t>
      </w:r>
      <w:r>
        <w:rPr>
          <w:rFonts w:hint="eastAsia" w:ascii="宋体" w:hAnsi="宋体" w:eastAsia="宋体" w:cs="宋体"/>
          <w:color w:val="000000" w:themeColor="text1"/>
          <w:sz w:val="24"/>
          <w:highlight w:val="none"/>
          <w14:textFill>
            <w14:solidFill>
              <w14:schemeClr w14:val="tx1"/>
            </w14:solidFill>
          </w14:textFill>
        </w:rPr>
        <w:t>行业；制造商为</w:t>
      </w:r>
      <w:r>
        <w:rPr>
          <w:rFonts w:hint="eastAsia" w:ascii="宋体" w:hAnsi="宋体" w:eastAsia="宋体" w:cs="宋体"/>
          <w:color w:val="000000" w:themeColor="text1"/>
          <w:sz w:val="24"/>
          <w:highlight w:val="none"/>
          <w:u w:val="single"/>
          <w14:textFill>
            <w14:solidFill>
              <w14:schemeClr w14:val="tx1"/>
            </w14:solidFill>
          </w14:textFill>
        </w:rPr>
        <w:t xml:space="preserve">  （企业名称）</w:t>
      </w:r>
      <w:r>
        <w:rPr>
          <w:rFonts w:hint="eastAsia" w:ascii="宋体" w:hAnsi="宋体" w:eastAsia="宋体" w:cs="宋体"/>
          <w:color w:val="000000" w:themeColor="text1"/>
          <w:sz w:val="24"/>
          <w:highlight w:val="none"/>
          <w14:textFill>
            <w14:solidFill>
              <w14:schemeClr w14:val="tx1"/>
            </w14:solidFill>
          </w14:textFill>
        </w:rPr>
        <w:t>，从业人员</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14:textFill>
            <w14:solidFill>
              <w14:schemeClr w14:val="tx1"/>
            </w14:solidFill>
          </w14:textFill>
        </w:rPr>
        <w:t>人，营业收入为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ab/>
      </w:r>
      <w:r>
        <w:rPr>
          <w:rFonts w:hint="eastAsia" w:ascii="宋体" w:hAnsi="宋体" w:eastAsia="宋体" w:cs="宋体"/>
          <w:color w:val="000000" w:themeColor="text1"/>
          <w:sz w:val="24"/>
          <w:highlight w:val="none"/>
          <w14:textFill>
            <w14:solidFill>
              <w14:schemeClr w14:val="tx1"/>
            </w14:solidFill>
          </w14:textFill>
        </w:rPr>
        <w:t>万元，资产总额为</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ab/>
      </w:r>
      <w:r>
        <w:rPr>
          <w:rFonts w:hint="eastAsia" w:ascii="宋体" w:hAnsi="宋体" w:eastAsia="宋体" w:cs="宋体"/>
          <w:color w:val="000000" w:themeColor="text1"/>
          <w:sz w:val="24"/>
          <w:highlight w:val="none"/>
          <w14:textFill>
            <w14:solidFill>
              <w14:schemeClr w14:val="tx1"/>
            </w14:solidFill>
          </w14:textFill>
        </w:rPr>
        <w:t>万元，属于</w:t>
      </w:r>
      <w:r>
        <w:rPr>
          <w:rFonts w:hint="eastAsia" w:ascii="宋体" w:hAnsi="宋体" w:eastAsia="宋体" w:cs="宋体"/>
          <w:color w:val="000000" w:themeColor="text1"/>
          <w:sz w:val="24"/>
          <w:highlight w:val="none"/>
          <w:u w:val="single"/>
          <w14:textFill>
            <w14:solidFill>
              <w14:schemeClr w14:val="tx1"/>
            </w14:solidFill>
          </w14:textFill>
        </w:rPr>
        <w:t xml:space="preserve">     （中型企业、小型企业、微型企业）</w:t>
      </w: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以上企业，不属于大企业的分支机构，不存在控股股东为大企业的情形，也不存在与大企业的负责人为同一人的情形。</w:t>
      </w:r>
    </w:p>
    <w:p>
      <w:pPr>
        <w:spacing w:line="360" w:lineRule="auto"/>
        <w:ind w:firstLine="575" w:firstLineChars="235"/>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本企业对上述声明内容的真实性负责。如有虚假，将依法承担相应责任。</w:t>
      </w:r>
    </w:p>
    <w:p>
      <w:pPr>
        <w:pStyle w:val="40"/>
        <w:rPr>
          <w:rFonts w:hint="eastAsia" w:ascii="宋体" w:hAnsi="宋体" w:eastAsia="宋体" w:cs="宋体"/>
          <w:color w:val="000000" w:themeColor="text1"/>
          <w:highlight w:val="none"/>
          <w14:textFill>
            <w14:solidFill>
              <w14:schemeClr w14:val="tx1"/>
            </w14:solidFill>
          </w14:textFill>
        </w:rPr>
      </w:pPr>
    </w:p>
    <w:p>
      <w:pPr>
        <w:pStyle w:val="40"/>
        <w:rPr>
          <w:rFonts w:hint="eastAsia" w:ascii="宋体" w:hAnsi="宋体" w:eastAsia="宋体" w:cs="宋体"/>
          <w:color w:val="000000" w:themeColor="text1"/>
          <w:highlight w:val="none"/>
          <w14:textFill>
            <w14:solidFill>
              <w14:schemeClr w14:val="tx1"/>
            </w14:solidFill>
          </w14:textFill>
        </w:rPr>
      </w:pPr>
    </w:p>
    <w:p>
      <w:pPr>
        <w:spacing w:line="360" w:lineRule="auto"/>
        <w:ind w:firstLine="3332" w:firstLineChars="136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企业名称（盖章）：</w:t>
      </w:r>
    </w:p>
    <w:p>
      <w:pPr>
        <w:spacing w:line="360" w:lineRule="auto"/>
        <w:ind w:firstLine="3332" w:firstLineChars="136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日期：</w:t>
      </w:r>
    </w:p>
    <w:p>
      <w:pPr>
        <w:pStyle w:val="40"/>
        <w:rPr>
          <w:rFonts w:hint="eastAsia" w:ascii="宋体" w:hAnsi="宋体" w:eastAsia="宋体" w:cs="宋体"/>
          <w:color w:val="000000" w:themeColor="text1"/>
          <w:highlight w:val="none"/>
          <w14:textFill>
            <w14:solidFill>
              <w14:schemeClr w14:val="tx1"/>
            </w14:solidFill>
          </w14:textFill>
        </w:rPr>
      </w:pPr>
    </w:p>
    <w:p>
      <w:pPr>
        <w:pStyle w:val="40"/>
        <w:rPr>
          <w:rFonts w:hint="eastAsia" w:ascii="宋体" w:hAnsi="宋体" w:eastAsia="宋体" w:cs="宋体"/>
          <w:color w:val="000000" w:themeColor="text1"/>
          <w:highlight w:val="none"/>
          <w14:textFill>
            <w14:solidFill>
              <w14:schemeClr w14:val="tx1"/>
            </w14:solidFill>
          </w14:textFill>
        </w:rPr>
      </w:pPr>
    </w:p>
    <w:p>
      <w:pPr>
        <w:spacing w:line="360" w:lineRule="auto"/>
        <w:ind w:firstLine="638" w:firstLineChars="284"/>
        <w:rPr>
          <w:rFonts w:hint="eastAsia" w:ascii="宋体" w:hAnsi="宋体" w:eastAsia="宋体" w:cs="宋体"/>
          <w:b/>
          <w:bCs/>
          <w:color w:val="000000" w:themeColor="text1"/>
          <w:sz w:val="22"/>
          <w:szCs w:val="22"/>
          <w:highlight w:val="none"/>
          <w14:textFill>
            <w14:solidFill>
              <w14:schemeClr w14:val="tx1"/>
            </w14:solidFill>
          </w14:textFill>
        </w:rPr>
      </w:pPr>
      <w:bookmarkStart w:id="180" w:name="_bookmark1"/>
      <w:bookmarkEnd w:id="180"/>
      <w:r>
        <w:rPr>
          <w:rFonts w:hint="eastAsia" w:ascii="宋体" w:hAnsi="宋体" w:eastAsia="宋体" w:cs="宋体"/>
          <w:b/>
          <w:bCs/>
          <w:color w:val="000000" w:themeColor="text1"/>
          <w:sz w:val="22"/>
          <w:szCs w:val="22"/>
          <w:highlight w:val="none"/>
          <w14:textFill>
            <w14:solidFill>
              <w14:schemeClr w14:val="tx1"/>
            </w14:solidFill>
          </w14:textFill>
        </w:rPr>
        <w:t>注：1.从业人员、营业收入、资产总额填报上一年度数据，无上一年度数据的新成立企业可不填报。</w:t>
      </w:r>
    </w:p>
    <w:p>
      <w:pPr>
        <w:spacing w:line="360" w:lineRule="auto"/>
        <w:ind w:firstLine="695" w:firstLineChars="284"/>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cs="宋体"/>
          <w:b/>
          <w:bCs/>
          <w:color w:val="000000" w:themeColor="text1"/>
          <w:sz w:val="24"/>
          <w:szCs w:val="24"/>
          <w:highlight w:val="none"/>
          <w:lang w:val="en-US" w:eastAsia="zh-CN"/>
          <w14:textFill>
            <w14:solidFill>
              <w14:schemeClr w14:val="tx1"/>
            </w14:solidFill>
          </w14:textFill>
        </w:rPr>
        <w:t>2.</w:t>
      </w:r>
      <w:r>
        <w:rPr>
          <w:rFonts w:hint="eastAsia" w:hAnsi="宋体" w:cs="宋体"/>
          <w:b/>
          <w:bCs/>
          <w:color w:val="000000" w:themeColor="text1"/>
          <w:sz w:val="24"/>
          <w:szCs w:val="24"/>
          <w:highlight w:val="none"/>
          <w:lang w:val="en-US" w:eastAsia="zh-CN"/>
          <w14:textFill>
            <w14:solidFill>
              <w14:schemeClr w14:val="tx1"/>
            </w14:solidFill>
          </w14:textFill>
        </w:rPr>
        <w:t>根据“工信部联企业〔2011〕300号——关于印发中小企业划型标准规定的通知”，</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本项目所属行业为：工业，其划分标准为：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r>
        <w:rPr>
          <w:rFonts w:hint="eastAsia" w:ascii="宋体" w:hAnsi="宋体" w:eastAsia="宋体" w:cs="宋体"/>
          <w:b/>
          <w:bCs/>
          <w:color w:val="000000" w:themeColor="text1"/>
          <w:sz w:val="22"/>
          <w:szCs w:val="22"/>
          <w:highlight w:val="none"/>
          <w14:textFill>
            <w14:solidFill>
              <w14:schemeClr w14:val="tx1"/>
            </w14:solidFill>
          </w14:textFill>
        </w:rPr>
        <w:t>。</w:t>
      </w:r>
    </w:p>
    <w:p>
      <w:pPr>
        <w:pStyle w:val="5"/>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br w:type="page"/>
      </w: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六、监狱企业证明文件（如涉及）</w:t>
      </w:r>
    </w:p>
    <w:p>
      <w:pPr>
        <w:ind w:firstLine="480"/>
        <w:rPr>
          <w:rFonts w:hint="eastAsia" w:ascii="宋体" w:hAnsi="宋体" w:eastAsia="宋体" w:cs="宋体"/>
          <w:color w:val="000000" w:themeColor="text1"/>
          <w:highlight w:val="none"/>
          <w14:textFill>
            <w14:solidFill>
              <w14:schemeClr w14:val="tx1"/>
            </w14:solidFill>
          </w14:textFill>
        </w:rPr>
      </w:pPr>
    </w:p>
    <w:p>
      <w:pPr>
        <w:widowControl/>
        <w:spacing w:after="225" w:line="360" w:lineRule="auto"/>
        <w:ind w:firstLine="420"/>
        <w:jc w:val="left"/>
        <w:rPr>
          <w:rFonts w:hint="eastAsia" w:ascii="宋体" w:hAnsi="宋体" w:eastAsia="宋体" w:cs="宋体"/>
          <w:color w:val="000000" w:themeColor="text1"/>
          <w:kern w:val="0"/>
          <w:sz w:val="24"/>
          <w:highlight w:val="none"/>
          <w:lang w:bidi="ar"/>
          <w14:textFill>
            <w14:solidFill>
              <w14:schemeClr w14:val="tx1"/>
            </w14:solidFill>
          </w14:textFill>
        </w:rPr>
      </w:pPr>
    </w:p>
    <w:p>
      <w:pPr>
        <w:widowControl/>
        <w:spacing w:after="225" w:line="360" w:lineRule="auto"/>
        <w:ind w:firstLine="420"/>
        <w:jc w:val="left"/>
        <w:rPr>
          <w:rFonts w:hint="eastAsia" w:ascii="宋体" w:hAnsi="宋体" w:eastAsia="宋体" w:cs="宋体"/>
          <w:color w:val="000000" w:themeColor="text1"/>
          <w:kern w:val="0"/>
          <w:sz w:val="24"/>
          <w:highlight w:val="no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监狱企业参加政府采购活动时，应当提供由省级以上监狱管理局、戒毒管理局（含新疆生产建设兵团）出具的属于监狱企业的证明文件。</w:t>
      </w:r>
    </w:p>
    <w:p>
      <w:pPr>
        <w:pStyle w:val="14"/>
        <w:ind w:firstLine="420"/>
        <w:rPr>
          <w:rFonts w:hint="eastAsia" w:ascii="宋体" w:hAnsi="宋体" w:eastAsia="宋体" w:cs="宋体"/>
          <w:color w:val="000000" w:themeColor="text1"/>
          <w:highlight w:val="none"/>
          <w14:textFill>
            <w14:solidFill>
              <w14:schemeClr w14:val="tx1"/>
            </w14:solidFill>
          </w14:textFill>
        </w:rPr>
      </w:pPr>
    </w:p>
    <w:p>
      <w:pPr>
        <w:pStyle w:val="14"/>
        <w:ind w:firstLine="420"/>
        <w:rPr>
          <w:rFonts w:hint="eastAsia" w:ascii="宋体" w:hAnsi="宋体" w:eastAsia="宋体" w:cs="宋体"/>
          <w:color w:val="000000" w:themeColor="text1"/>
          <w:highlight w:val="none"/>
          <w14:textFill>
            <w14:solidFill>
              <w14:schemeClr w14:val="tx1"/>
            </w14:solidFill>
          </w14:textFill>
        </w:rPr>
      </w:pPr>
    </w:p>
    <w:p>
      <w:pPr>
        <w:pStyle w:val="14"/>
        <w:ind w:firstLine="420"/>
        <w:rPr>
          <w:rFonts w:hint="eastAsia" w:ascii="宋体" w:hAnsi="宋体" w:eastAsia="宋体" w:cs="宋体"/>
          <w:color w:val="000000" w:themeColor="text1"/>
          <w:highlight w:val="none"/>
          <w14:textFill>
            <w14:solidFill>
              <w14:schemeClr w14:val="tx1"/>
            </w14:solidFill>
          </w14:textFill>
        </w:rPr>
      </w:pPr>
    </w:p>
    <w:p>
      <w:pPr>
        <w:pStyle w:val="14"/>
        <w:ind w:firstLine="480"/>
        <w:rPr>
          <w:rFonts w:hint="eastAsia" w:ascii="宋体" w:hAnsi="宋体" w:eastAsia="宋体" w:cs="宋体"/>
          <w:color w:val="000000" w:themeColor="text1"/>
          <w:kern w:val="0"/>
          <w:sz w:val="24"/>
          <w:szCs w:val="20"/>
          <w:highlight w:val="none"/>
          <w14:textFill>
            <w14:solidFill>
              <w14:schemeClr w14:val="tx1"/>
            </w14:solidFill>
          </w14:textFill>
        </w:rPr>
      </w:pPr>
    </w:p>
    <w:p>
      <w:pPr>
        <w:pStyle w:val="14"/>
        <w:ind w:firstLine="480"/>
        <w:rPr>
          <w:rFonts w:hint="eastAsia" w:ascii="宋体" w:hAnsi="宋体" w:eastAsia="宋体" w:cs="宋体"/>
          <w:color w:val="000000" w:themeColor="text1"/>
          <w:kern w:val="0"/>
          <w:sz w:val="24"/>
          <w:highlight w:val="none"/>
          <w:lang w:bidi="ar"/>
          <w14:textFill>
            <w14:solidFill>
              <w14:schemeClr w14:val="tx1"/>
            </w14:solidFill>
          </w14:textFill>
        </w:rPr>
      </w:pPr>
      <w:r>
        <w:rPr>
          <w:rFonts w:hint="eastAsia" w:ascii="宋体" w:hAnsi="宋体" w:eastAsia="宋体" w:cs="宋体"/>
          <w:color w:val="000000" w:themeColor="text1"/>
          <w:kern w:val="0"/>
          <w:sz w:val="24"/>
          <w:highlight w:val="none"/>
          <w:lang w:bidi="ar"/>
          <w14:textFill>
            <w14:solidFill>
              <w14:schemeClr w14:val="tx1"/>
            </w14:solidFill>
          </w14:textFill>
        </w:rPr>
        <w:t>注：在政府采购活动中，监狱企业视同小型、微型企业，享受预留份额。</w:t>
      </w:r>
    </w:p>
    <w:p>
      <w:pPr>
        <w:pStyle w:val="14"/>
        <w:ind w:firstLine="420"/>
        <w:rPr>
          <w:rFonts w:hint="eastAsia" w:ascii="宋体" w:hAnsi="宋体" w:eastAsia="宋体" w:cs="宋体"/>
          <w:color w:val="000000" w:themeColor="text1"/>
          <w:highlight w:val="none"/>
          <w14:textFill>
            <w14:solidFill>
              <w14:schemeClr w14:val="tx1"/>
            </w14:solidFill>
          </w14:textFill>
        </w:rPr>
      </w:pPr>
    </w:p>
    <w:p>
      <w:pPr>
        <w:pStyle w:val="14"/>
        <w:ind w:firstLine="420"/>
        <w:rPr>
          <w:rFonts w:hint="eastAsia" w:ascii="宋体" w:hAnsi="宋体" w:eastAsia="宋体" w:cs="宋体"/>
          <w:color w:val="000000" w:themeColor="text1"/>
          <w:highlight w:val="none"/>
          <w14:textFill>
            <w14:solidFill>
              <w14:schemeClr w14:val="tx1"/>
            </w14:solidFill>
          </w14:textFill>
        </w:rPr>
      </w:pPr>
    </w:p>
    <w:p>
      <w:pPr>
        <w:rPr>
          <w:rFonts w:hint="eastAsia" w:ascii="宋体" w:hAnsi="宋体" w:eastAsia="宋体" w:cs="宋体"/>
          <w:color w:val="000000" w:themeColor="text1"/>
          <w:sz w:val="32"/>
          <w:szCs w:val="32"/>
          <w:highlight w:val="none"/>
          <w14:textFill>
            <w14:solidFill>
              <w14:schemeClr w14:val="tx1"/>
            </w14:solidFill>
          </w14:textFill>
        </w:rPr>
      </w:pPr>
    </w:p>
    <w:p>
      <w:pPr>
        <w:rPr>
          <w:rFonts w:hint="eastAsia" w:ascii="宋体" w:hAnsi="宋体" w:eastAsia="宋体" w:cs="宋体"/>
          <w:color w:val="000000" w:themeColor="text1"/>
          <w:sz w:val="32"/>
          <w:szCs w:val="32"/>
          <w:highlight w:val="none"/>
          <w14:textFill>
            <w14:solidFill>
              <w14:schemeClr w14:val="tx1"/>
            </w14:solidFill>
          </w14:textFill>
        </w:rPr>
      </w:pPr>
    </w:p>
    <w:p>
      <w:pPr>
        <w:rPr>
          <w:rFonts w:hint="eastAsia" w:ascii="宋体" w:hAnsi="宋体" w:eastAsia="宋体" w:cs="宋体"/>
          <w:color w:val="000000" w:themeColor="text1"/>
          <w:sz w:val="32"/>
          <w:szCs w:val="32"/>
          <w:highlight w:val="none"/>
          <w14:textFill>
            <w14:solidFill>
              <w14:schemeClr w14:val="tx1"/>
            </w14:solidFill>
          </w14:textFill>
        </w:rPr>
      </w:pPr>
    </w:p>
    <w:p>
      <w:pPr>
        <w:rPr>
          <w:rFonts w:hint="eastAsia" w:ascii="宋体" w:hAnsi="宋体" w:eastAsia="宋体" w:cs="宋体"/>
          <w:color w:val="000000" w:themeColor="text1"/>
          <w:sz w:val="32"/>
          <w:szCs w:val="32"/>
          <w:highlight w:val="none"/>
          <w14:textFill>
            <w14:solidFill>
              <w14:schemeClr w14:val="tx1"/>
            </w14:solidFill>
          </w14:textFill>
        </w:rPr>
      </w:pPr>
    </w:p>
    <w:p>
      <w:pPr>
        <w:ind w:firstLine="480"/>
        <w:rPr>
          <w:rFonts w:hint="eastAsia" w:ascii="宋体" w:hAnsi="宋体" w:eastAsia="宋体" w:cs="宋体"/>
          <w:color w:val="000000" w:themeColor="text1"/>
          <w:highlight w:val="none"/>
          <w14:textFill>
            <w14:solidFill>
              <w14:schemeClr w14:val="tx1"/>
            </w14:solidFill>
          </w14:textFill>
        </w:rPr>
      </w:pPr>
    </w:p>
    <w:p>
      <w:pPr>
        <w:ind w:firstLine="480"/>
        <w:rPr>
          <w:rFonts w:hint="eastAsia" w:ascii="宋体" w:hAnsi="宋体" w:eastAsia="宋体" w:cs="宋体"/>
          <w:color w:val="000000" w:themeColor="text1"/>
          <w:highlight w:val="none"/>
          <w14:textFill>
            <w14:solidFill>
              <w14:schemeClr w14:val="tx1"/>
            </w14:solidFill>
          </w14:textFill>
        </w:rPr>
      </w:pPr>
    </w:p>
    <w:p>
      <w:pPr>
        <w:pStyle w:val="5"/>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 w:val="0"/>
          <w:color w:val="000000" w:themeColor="text1"/>
          <w:spacing w:val="6"/>
          <w:sz w:val="32"/>
          <w:szCs w:val="32"/>
          <w:highlight w:val="none"/>
          <w14:textFill>
            <w14:solidFill>
              <w14:schemeClr w14:val="tx1"/>
            </w14:solidFill>
          </w14:textFill>
        </w:rPr>
        <w:br w:type="page"/>
      </w: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七、残疾人福利性单位声明函（如涉及）</w:t>
      </w:r>
    </w:p>
    <w:p>
      <w:pPr>
        <w:spacing w:line="588" w:lineRule="exact"/>
        <w:ind w:firstLine="626"/>
        <w:rPr>
          <w:rFonts w:hint="eastAsia" w:ascii="宋体" w:hAnsi="宋体" w:eastAsia="宋体" w:cs="宋体"/>
          <w:b/>
          <w:color w:val="000000" w:themeColor="text1"/>
          <w:spacing w:val="6"/>
          <w:sz w:val="30"/>
          <w:szCs w:val="30"/>
          <w:highlight w:val="none"/>
          <w14:textFill>
            <w14:solidFill>
              <w14:schemeClr w14:val="tx1"/>
            </w14:solidFill>
          </w14:textFill>
        </w:rPr>
      </w:pPr>
    </w:p>
    <w:p>
      <w:pPr>
        <w:spacing w:line="588" w:lineRule="exact"/>
        <w:jc w:val="center"/>
        <w:rPr>
          <w:rFonts w:hint="eastAsia" w:ascii="宋体" w:hAnsi="宋体" w:eastAsia="宋体" w:cs="宋体"/>
          <w:b/>
          <w:bCs/>
          <w:color w:val="000000" w:themeColor="text1"/>
          <w:szCs w:val="28"/>
          <w:highlight w:val="none"/>
          <w14:textFill>
            <w14:solidFill>
              <w14:schemeClr w14:val="tx1"/>
            </w14:solidFill>
          </w14:textFill>
        </w:rPr>
      </w:pPr>
      <w:r>
        <w:rPr>
          <w:rFonts w:hint="eastAsia" w:ascii="宋体" w:hAnsi="宋体" w:eastAsia="宋体" w:cs="宋体"/>
          <w:b/>
          <w:bCs/>
          <w:color w:val="000000" w:themeColor="text1"/>
          <w:szCs w:val="28"/>
          <w:highlight w:val="none"/>
          <w14:textFill>
            <w14:solidFill>
              <w14:schemeClr w14:val="tx1"/>
            </w14:solidFill>
          </w14:textFill>
        </w:rPr>
        <w:t>（注：仅残疾人福利性单位提供，非残疾人福利性单位不提供本声明函）</w:t>
      </w:r>
    </w:p>
    <w:p>
      <w:pPr>
        <w:pStyle w:val="14"/>
        <w:rPr>
          <w:rFonts w:hint="eastAsia" w:ascii="宋体" w:hAnsi="宋体" w:eastAsia="宋体" w:cs="宋体"/>
          <w:color w:val="000000" w:themeColor="text1"/>
          <w:highlight w:val="none"/>
          <w14:textFill>
            <w14:solidFill>
              <w14:schemeClr w14:val="tx1"/>
            </w14:solidFill>
          </w14:textFill>
        </w:rPr>
      </w:pPr>
    </w:p>
    <w:p>
      <w:pPr>
        <w:spacing w:line="360" w:lineRule="auto"/>
        <w:ind w:firstLine="504"/>
        <w:rPr>
          <w:rFonts w:hint="eastAsia" w:ascii="宋体" w:hAnsi="宋体" w:eastAsia="宋体" w:cs="宋体"/>
          <w:color w:val="000000" w:themeColor="text1"/>
          <w:spacing w:val="6"/>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本单位郑重声明，根据《财政部 民政部 中国残疾人联合会关于促进残疾人就业政府采购政策的通知》（财库</w:t>
      </w:r>
      <w:r>
        <w:rPr>
          <w:rFonts w:hint="eastAsia" w:ascii="宋体" w:hAnsi="宋体" w:eastAsia="宋体" w:cs="宋体"/>
          <w:color w:val="000000" w:themeColor="text1"/>
          <w:sz w:val="24"/>
          <w:highlight w:val="none"/>
          <w14:textFill>
            <w14:solidFill>
              <w14:schemeClr w14:val="tx1"/>
            </w14:solidFill>
          </w14:textFill>
        </w:rPr>
        <w:t>〔2017〕 141</w:t>
      </w:r>
      <w:r>
        <w:rPr>
          <w:rFonts w:hint="eastAsia" w:ascii="宋体" w:hAnsi="宋体" w:eastAsia="宋体" w:cs="宋体"/>
          <w:color w:val="000000" w:themeColor="text1"/>
          <w:spacing w:val="6"/>
          <w:sz w:val="24"/>
          <w:highlight w:val="none"/>
          <w14:textFill>
            <w14:solidFill>
              <w14:schemeClr w14:val="tx1"/>
            </w14:solidFill>
          </w14:textFill>
        </w:rPr>
        <w:t>号）的规定，本单位为符合条件的残疾人福利性单位，且本单位参加</w:t>
      </w:r>
      <w:r>
        <w:rPr>
          <w:rFonts w:hint="eastAsia" w:ascii="宋体" w:hAnsi="宋体" w:eastAsia="宋体" w:cs="宋体"/>
          <w:color w:val="000000" w:themeColor="text1"/>
          <w:spacing w:val="6"/>
          <w:sz w:val="24"/>
          <w:highlight w:val="none"/>
          <w:u w:val="single"/>
          <w14:textFill>
            <w14:solidFill>
              <w14:schemeClr w14:val="tx1"/>
            </w14:solidFill>
          </w14:textFill>
        </w:rPr>
        <w:t xml:space="preserve">          </w:t>
      </w:r>
      <w:r>
        <w:rPr>
          <w:rFonts w:hint="eastAsia" w:ascii="宋体" w:hAnsi="宋体" w:eastAsia="宋体" w:cs="宋体"/>
          <w:color w:val="000000" w:themeColor="text1"/>
          <w:spacing w:val="6"/>
          <w:sz w:val="24"/>
          <w:highlight w:val="none"/>
          <w14:textFill>
            <w14:solidFill>
              <w14:schemeClr w14:val="tx1"/>
            </w14:solidFill>
          </w14:textFill>
        </w:rPr>
        <w:t>单位的</w:t>
      </w:r>
      <w:r>
        <w:rPr>
          <w:rFonts w:hint="eastAsia" w:ascii="宋体" w:hAnsi="宋体" w:eastAsia="宋体" w:cs="宋体"/>
          <w:color w:val="000000" w:themeColor="text1"/>
          <w:spacing w:val="6"/>
          <w:sz w:val="24"/>
          <w:highlight w:val="none"/>
          <w:u w:val="single"/>
          <w14:textFill>
            <w14:solidFill>
              <w14:schemeClr w14:val="tx1"/>
            </w14:solidFill>
          </w14:textFill>
        </w:rPr>
        <w:t xml:space="preserve">        </w:t>
      </w:r>
      <w:r>
        <w:rPr>
          <w:rFonts w:hint="eastAsia" w:ascii="宋体" w:hAnsi="宋体" w:eastAsia="宋体" w:cs="宋体"/>
          <w:color w:val="000000" w:themeColor="text1"/>
          <w:spacing w:val="6"/>
          <w:sz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spacing w:line="360" w:lineRule="auto"/>
        <w:ind w:firstLine="504"/>
        <w:rPr>
          <w:rFonts w:hint="eastAsia" w:ascii="宋体" w:hAnsi="宋体" w:eastAsia="宋体" w:cs="宋体"/>
          <w:color w:val="000000" w:themeColor="text1"/>
          <w:spacing w:val="6"/>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本单位对上述声明的真实性负责。如有虚假，将依法承担相应责任。</w:t>
      </w:r>
    </w:p>
    <w:p>
      <w:pPr>
        <w:spacing w:line="360" w:lineRule="auto"/>
        <w:ind w:firstLine="624"/>
        <w:rPr>
          <w:rFonts w:hint="eastAsia" w:ascii="宋体" w:hAnsi="宋体" w:eastAsia="宋体" w:cs="宋体"/>
          <w:color w:val="000000" w:themeColor="text1"/>
          <w:spacing w:val="6"/>
          <w:sz w:val="24"/>
          <w:highlight w:val="none"/>
          <w14:textFill>
            <w14:solidFill>
              <w14:schemeClr w14:val="tx1"/>
            </w14:solidFill>
          </w14:textFill>
        </w:rPr>
      </w:pPr>
    </w:p>
    <w:p>
      <w:pPr>
        <w:spacing w:line="360" w:lineRule="auto"/>
        <w:ind w:firstLine="624"/>
        <w:rPr>
          <w:rFonts w:hint="eastAsia" w:ascii="宋体" w:hAnsi="宋体" w:eastAsia="宋体" w:cs="宋体"/>
          <w:color w:val="000000" w:themeColor="text1"/>
          <w:spacing w:val="6"/>
          <w:sz w:val="24"/>
          <w:highlight w:val="none"/>
          <w14:textFill>
            <w14:solidFill>
              <w14:schemeClr w14:val="tx1"/>
            </w14:solidFill>
          </w14:textFill>
        </w:rPr>
      </w:pPr>
    </w:p>
    <w:p>
      <w:pPr>
        <w:widowControl/>
        <w:spacing w:line="360" w:lineRule="auto"/>
        <w:ind w:firstLine="624"/>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pacing w:val="6"/>
          <w:sz w:val="24"/>
          <w:highlight w:val="none"/>
          <w14:textFill>
            <w14:solidFill>
              <w14:schemeClr w14:val="tx1"/>
            </w14:solidFill>
          </w14:textFill>
        </w:rPr>
        <w:t xml:space="preserve">            </w:t>
      </w:r>
    </w:p>
    <w:p>
      <w:pPr>
        <w:widowControl/>
        <w:spacing w:line="360" w:lineRule="auto"/>
        <w:ind w:firstLine="480"/>
        <w:jc w:val="left"/>
        <w:rPr>
          <w:rFonts w:hint="eastAsia" w:ascii="宋体" w:hAnsi="宋体" w:eastAsia="宋体" w:cs="宋体"/>
          <w:color w:val="000000" w:themeColor="text1"/>
          <w:sz w:val="24"/>
          <w:highlight w:val="none"/>
          <w14:textFill>
            <w14:solidFill>
              <w14:schemeClr w14:val="tx1"/>
            </w14:solidFill>
          </w14:textFill>
        </w:rPr>
      </w:pPr>
    </w:p>
    <w:p>
      <w:pPr>
        <w:widowControl/>
        <w:spacing w:line="360" w:lineRule="auto"/>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　　</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ab/>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p>
    <w:p>
      <w:pPr>
        <w:spacing w:line="360" w:lineRule="auto"/>
        <w:ind w:firstLine="504"/>
        <w:rPr>
          <w:rFonts w:hint="eastAsia" w:ascii="宋体" w:hAnsi="宋体" w:eastAsia="宋体" w:cs="宋体"/>
          <w:color w:val="000000" w:themeColor="text1"/>
          <w:spacing w:val="6"/>
          <w:sz w:val="24"/>
          <w:highlight w:val="none"/>
          <w14:textFill>
            <w14:solidFill>
              <w14:schemeClr w14:val="tx1"/>
            </w14:solidFill>
          </w14:textFill>
        </w:rPr>
      </w:pPr>
    </w:p>
    <w:p>
      <w:pPr>
        <w:pStyle w:val="14"/>
        <w:ind w:firstLine="48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注：在政府采购活动中，残疾人福利性单位视同小型、微型企业，享受预留份额。</w:t>
      </w:r>
    </w:p>
    <w:p>
      <w:pPr>
        <w:pStyle w:val="5"/>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br w:type="page"/>
      </w: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八、供应商资格证明材料</w:t>
      </w:r>
    </w:p>
    <w:p>
      <w:pPr>
        <w:rPr>
          <w:rFonts w:hint="eastAsia" w:ascii="宋体" w:hAnsi="宋体" w:eastAsia="宋体" w:cs="宋体"/>
          <w:color w:val="000000" w:themeColor="text1"/>
          <w:highlight w:val="none"/>
          <w14:textFill>
            <w14:solidFill>
              <w14:schemeClr w14:val="tx1"/>
            </w14:solidFill>
          </w14:textFill>
        </w:rPr>
      </w:pPr>
    </w:p>
    <w:p>
      <w:pPr>
        <w:pStyle w:val="14"/>
        <w:ind w:firstLine="480"/>
        <w:rPr>
          <w:rFonts w:hint="eastAsia" w:ascii="宋体" w:hAnsi="宋体" w:eastAsia="宋体" w:cs="宋体"/>
          <w:color w:val="000000" w:themeColor="text1"/>
          <w:kern w:val="0"/>
          <w:sz w:val="24"/>
          <w:szCs w:val="20"/>
          <w:highlight w:val="none"/>
          <w14:textFill>
            <w14:solidFill>
              <w14:schemeClr w14:val="tx1"/>
            </w14:solidFill>
          </w14:textFill>
        </w:rPr>
      </w:pPr>
    </w:p>
    <w:p>
      <w:pPr>
        <w:pStyle w:val="14"/>
        <w:ind w:firstLine="480"/>
        <w:rPr>
          <w:rFonts w:hint="eastAsia" w:ascii="宋体" w:hAnsi="宋体" w:eastAsia="宋体" w:cs="宋体"/>
          <w:color w:val="000000" w:themeColor="text1"/>
          <w:kern w:val="0"/>
          <w:sz w:val="24"/>
          <w:highlight w:val="none"/>
          <w14:textFill>
            <w14:solidFill>
              <w14:schemeClr w14:val="tx1"/>
            </w14:solidFill>
          </w14:textFill>
        </w:rPr>
      </w:pPr>
      <w:r>
        <w:rPr>
          <w:rFonts w:hint="eastAsia" w:ascii="宋体" w:hAnsi="宋体" w:eastAsia="宋体" w:cs="宋体"/>
          <w:color w:val="000000" w:themeColor="text1"/>
          <w:kern w:val="0"/>
          <w:sz w:val="24"/>
          <w:highlight w:val="none"/>
          <w14:textFill>
            <w14:solidFill>
              <w14:schemeClr w14:val="tx1"/>
            </w14:solidFill>
          </w14:textFill>
        </w:rPr>
        <w:t>注：供应商应按照第四章的要求提供相应其他证明材料。格式自拟。</w:t>
      </w:r>
    </w:p>
    <w:p>
      <w:pPr>
        <w:pStyle w:val="14"/>
        <w:ind w:firstLine="480"/>
        <w:rPr>
          <w:rFonts w:hint="eastAsia" w:ascii="宋体" w:hAnsi="宋体" w:eastAsia="宋体" w:cs="宋体"/>
          <w:color w:val="000000" w:themeColor="text1"/>
          <w:kern w:val="0"/>
          <w:sz w:val="24"/>
          <w:highlight w:val="none"/>
          <w14:textFill>
            <w14:solidFill>
              <w14:schemeClr w14:val="tx1"/>
            </w14:solidFill>
          </w14:textFill>
        </w:rPr>
      </w:pPr>
    </w:p>
    <w:p>
      <w:pPr>
        <w:autoSpaceDE w:val="0"/>
        <w:autoSpaceDN w:val="0"/>
        <w:adjustRightInd w:val="0"/>
        <w:spacing w:line="440" w:lineRule="exact"/>
        <w:ind w:firstLine="480"/>
        <w:jc w:val="left"/>
        <w:rPr>
          <w:rFonts w:hint="eastAsia" w:ascii="宋体" w:hAnsi="宋体" w:eastAsia="宋体" w:cs="宋体"/>
          <w:color w:val="000000" w:themeColor="text1"/>
          <w:sz w:val="36"/>
          <w:szCs w:val="36"/>
          <w:highlight w:val="none"/>
          <w14:textFill>
            <w14:solidFill>
              <w14:schemeClr w14:val="tx1"/>
            </w14:solidFill>
          </w14:textFill>
        </w:rPr>
      </w:pPr>
    </w:p>
    <w:p>
      <w:pPr>
        <w:pStyle w:val="14"/>
        <w:ind w:firstLine="0"/>
        <w:rPr>
          <w:rFonts w:hint="eastAsia" w:ascii="宋体" w:hAnsi="宋体" w:eastAsia="宋体" w:cs="宋体"/>
          <w:color w:val="000000" w:themeColor="text1"/>
          <w:sz w:val="36"/>
          <w:szCs w:val="36"/>
          <w:highlight w:val="none"/>
          <w14:textFill>
            <w14:solidFill>
              <w14:schemeClr w14:val="tx1"/>
            </w14:solidFill>
          </w14:textFill>
        </w:rPr>
      </w:pPr>
    </w:p>
    <w:p>
      <w:pPr>
        <w:pStyle w:val="5"/>
        <w:spacing w:line="400" w:lineRule="exact"/>
        <w:jc w:val="center"/>
        <w:rPr>
          <w:rFonts w:hint="eastAsia" w:ascii="宋体" w:hAnsi="宋体" w:eastAsia="宋体" w:cs="宋体"/>
          <w:color w:val="000000" w:themeColor="text1"/>
          <w:sz w:val="24"/>
          <w:szCs w:val="24"/>
          <w:highlight w:val="none"/>
          <w14:textFill>
            <w14:solidFill>
              <w14:schemeClr w14:val="tx1"/>
            </w14:solidFill>
          </w14:textFill>
        </w:rPr>
      </w:pPr>
      <w:bookmarkStart w:id="181" w:name="_Toc27691"/>
      <w:r>
        <w:rPr>
          <w:rFonts w:hint="eastAsia" w:ascii="宋体" w:hAnsi="宋体" w:eastAsia="宋体" w:cs="宋体"/>
          <w:color w:val="000000" w:themeColor="text1"/>
          <w:highlight w:val="none"/>
          <w:lang w:val="zh-CN"/>
          <w14:textFill>
            <w14:solidFill>
              <w14:schemeClr w14:val="tx1"/>
            </w14:solidFill>
          </w14:textFill>
        </w:rPr>
        <w:br w:type="page"/>
      </w:r>
      <w:bookmarkEnd w:id="181"/>
      <w:r>
        <w:rPr>
          <w:rFonts w:hint="eastAsia" w:ascii="宋体" w:hAnsi="宋体" w:eastAsia="宋体" w:cs="宋体"/>
          <w:color w:val="000000" w:themeColor="text1"/>
          <w:sz w:val="24"/>
          <w:szCs w:val="24"/>
          <w:highlight w:val="none"/>
          <w14:textFill>
            <w14:solidFill>
              <w14:schemeClr w14:val="tx1"/>
            </w14:solidFill>
          </w14:textFill>
        </w:rPr>
        <w:t>第二部分  其他响应文件（格式）</w:t>
      </w:r>
    </w:p>
    <w:p>
      <w:pPr>
        <w:ind w:firstLine="345" w:firstLineChars="141"/>
        <w:jc w:val="center"/>
        <w:rPr>
          <w:rFonts w:hint="eastAsia" w:ascii="宋体" w:hAnsi="宋体" w:eastAsia="宋体" w:cs="宋体"/>
          <w:color w:val="000000" w:themeColor="text1"/>
          <w:sz w:val="24"/>
          <w:szCs w:val="24"/>
          <w:highlight w:val="none"/>
          <w14:textFill>
            <w14:solidFill>
              <w14:schemeClr w14:val="tx1"/>
            </w14:solidFill>
          </w14:textFill>
        </w:rPr>
      </w:pPr>
    </w:p>
    <w:p>
      <w:pPr>
        <w:pStyle w:val="5"/>
        <w:spacing w:before="0" w:after="0" w:line="400" w:lineRule="exact"/>
        <w:jc w:val="center"/>
        <w:rPr>
          <w:rFonts w:hint="eastAsia"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t>一、</w:t>
      </w:r>
      <w:r>
        <w:rPr>
          <w:rFonts w:hint="eastAsia" w:ascii="宋体" w:hAnsi="宋体" w:eastAsia="宋体" w:cs="宋体"/>
          <w:bCs w:val="0"/>
          <w:color w:val="000000" w:themeColor="text1"/>
          <w:sz w:val="24"/>
          <w:szCs w:val="24"/>
          <w:highlight w:val="none"/>
          <w:lang w:eastAsia="zh-CN"/>
          <w14:textFill>
            <w14:solidFill>
              <w14:schemeClr w14:val="tx1"/>
            </w14:solidFill>
          </w14:textFill>
        </w:rPr>
        <w:t>响应</w:t>
      </w:r>
      <w:r>
        <w:rPr>
          <w:rFonts w:hint="eastAsia" w:ascii="宋体" w:hAnsi="宋体" w:eastAsia="宋体" w:cs="宋体"/>
          <w:bCs w:val="0"/>
          <w:color w:val="000000" w:themeColor="text1"/>
          <w:sz w:val="24"/>
          <w:szCs w:val="24"/>
          <w:highlight w:val="none"/>
          <w14:textFill>
            <w14:solidFill>
              <w14:schemeClr w14:val="tx1"/>
            </w14:solidFill>
          </w14:textFill>
        </w:rPr>
        <w:t>函</w:t>
      </w:r>
    </w:p>
    <w:p>
      <w:pPr>
        <w:pStyle w:val="18"/>
        <w:spacing w:line="400" w:lineRule="exact"/>
        <w:ind w:left="0" w:leftChars="0" w:firstLine="345" w:firstLineChars="141"/>
        <w:rPr>
          <w:rFonts w:hint="eastAsia" w:ascii="宋体" w:hAnsi="宋体" w:eastAsia="宋体" w:cs="宋体"/>
          <w:color w:val="000000" w:themeColor="text1"/>
          <w:sz w:val="24"/>
          <w:szCs w:val="24"/>
          <w:highlight w:val="none"/>
          <w:u w:val="single"/>
          <w14:textFill>
            <w14:solidFill>
              <w14:schemeClr w14:val="tx1"/>
            </w14:solidFill>
          </w14:textFill>
        </w:rPr>
      </w:pPr>
    </w:p>
    <w:p>
      <w:pPr>
        <w:pStyle w:val="18"/>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（采购代理机构名称）：</w:t>
      </w:r>
    </w:p>
    <w:p>
      <w:pPr>
        <w:pStyle w:val="18"/>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我方全面研究了</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项目采购文件（项目编号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），决定参加贵单位组织的本项目</w:t>
      </w:r>
      <w:r>
        <w:rPr>
          <w:rFonts w:hint="eastAsia" w:ascii="宋体" w:hAnsi="宋体" w:eastAsia="宋体" w:cs="宋体"/>
          <w:color w:val="000000" w:themeColor="text1"/>
          <w:sz w:val="24"/>
          <w:szCs w:val="24"/>
          <w:highlight w:val="none"/>
          <w:lang w:val="zh-CN"/>
          <w14:textFill>
            <w14:solidFill>
              <w14:schemeClr w14:val="tx1"/>
            </w14:solidFill>
          </w14:textFill>
        </w:rPr>
        <w:t>磋商</w:t>
      </w:r>
      <w:r>
        <w:rPr>
          <w:rFonts w:hint="eastAsia" w:ascii="宋体" w:hAnsi="宋体" w:eastAsia="宋体" w:cs="宋体"/>
          <w:color w:val="000000" w:themeColor="text1"/>
          <w:sz w:val="24"/>
          <w:szCs w:val="24"/>
          <w:highlight w:val="none"/>
          <w14:textFill>
            <w14:solidFill>
              <w14:schemeClr w14:val="tx1"/>
            </w14:solidFill>
          </w14:textFill>
        </w:rPr>
        <w:t>。</w:t>
      </w:r>
    </w:p>
    <w:p>
      <w:pPr>
        <w:pStyle w:val="18"/>
        <w:numPr>
          <w:ilvl w:val="0"/>
          <w:numId w:val="7"/>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我方自愿按照报价单上的价格及采购文件规定的各项要求向采购人提供所需服务。</w:t>
      </w:r>
    </w:p>
    <w:p>
      <w:pPr>
        <w:pStyle w:val="18"/>
        <w:numPr>
          <w:ilvl w:val="0"/>
          <w:numId w:val="7"/>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一旦我方成交，我方将严格履行合同规定的责任和义务。</w:t>
      </w:r>
    </w:p>
    <w:p>
      <w:pPr>
        <w:pStyle w:val="18"/>
        <w:numPr>
          <w:ilvl w:val="0"/>
          <w:numId w:val="7"/>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同意本磋商文件依据《四川省公共资源交易领域严重失信联合惩戒实施办法》（川发改信用规〔2019〕405号）、《关于对政府采购领域严重违法失信主体开展联合惩戒的合作备忘录》（发改财金〔2018〕1614号）等相关规定对我方可能存在的失信行为进行惩戒。</w:t>
      </w:r>
    </w:p>
    <w:p>
      <w:pPr>
        <w:pStyle w:val="18"/>
        <w:numPr>
          <w:ilvl w:val="0"/>
          <w:numId w:val="7"/>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我方为本项目提交的响应文件正本各1份，副本各2份，用于磋商。</w:t>
      </w:r>
    </w:p>
    <w:p>
      <w:pPr>
        <w:pStyle w:val="18"/>
        <w:numPr>
          <w:ilvl w:val="0"/>
          <w:numId w:val="7"/>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我方愿意提供贵单位可能另外要求的，与磋商报价有关的文件资料，并保证我方已提供和将要提供的文件资料是真实、准确的。</w:t>
      </w:r>
    </w:p>
    <w:p>
      <w:pPr>
        <w:pStyle w:val="18"/>
        <w:numPr>
          <w:ilvl w:val="0"/>
          <w:numId w:val="7"/>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本次磋商，我方递交的响应文件有效期为磋商文件规定起算之日起</w:t>
      </w:r>
      <w:r>
        <w:rPr>
          <w:rFonts w:hint="eastAsia" w:ascii="宋体" w:hAnsi="宋体" w:eastAsia="宋体" w:cs="宋体"/>
          <w:b/>
          <w:bCs/>
          <w:color w:val="000000" w:themeColor="text1"/>
          <w:sz w:val="24"/>
          <w:szCs w:val="24"/>
          <w:highlight w:val="none"/>
          <w:lang w:val="en-US" w:eastAsia="zh-CN"/>
          <w14:textFill>
            <w14:solidFill>
              <w14:schemeClr w14:val="tx1"/>
            </w14:solidFill>
          </w14:textFill>
        </w:rPr>
        <w:t>9</w:t>
      </w:r>
      <w:r>
        <w:rPr>
          <w:rFonts w:hint="eastAsia" w:ascii="宋体" w:hAnsi="宋体" w:eastAsia="宋体" w:cs="宋体"/>
          <w:b/>
          <w:bCs/>
          <w:color w:val="000000" w:themeColor="text1"/>
          <w:sz w:val="24"/>
          <w:szCs w:val="24"/>
          <w:highlight w:val="none"/>
          <w14:textFill>
            <w14:solidFill>
              <w14:schemeClr w14:val="tx1"/>
            </w14:solidFill>
          </w14:textFill>
        </w:rPr>
        <w:t>0</w:t>
      </w:r>
      <w:r>
        <w:rPr>
          <w:rFonts w:hint="eastAsia" w:ascii="宋体" w:hAnsi="宋体" w:eastAsia="宋体" w:cs="宋体"/>
          <w:color w:val="000000" w:themeColor="text1"/>
          <w:sz w:val="24"/>
          <w:szCs w:val="24"/>
          <w:highlight w:val="none"/>
          <w14:textFill>
            <w14:solidFill>
              <w14:schemeClr w14:val="tx1"/>
            </w14:solidFill>
          </w14:textFill>
        </w:rPr>
        <w:t>天。</w:t>
      </w:r>
    </w:p>
    <w:p>
      <w:pPr>
        <w:pStyle w:val="18"/>
        <w:numPr>
          <w:ilvl w:val="0"/>
          <w:numId w:val="7"/>
        </w:numPr>
        <w:spacing w:line="400" w:lineRule="exact"/>
        <w:ind w:left="0" w:leftChars="0" w:firstLine="345" w:firstLineChars="14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我方完全理解采购人不一定将合同授予最低报价的供应商的行为。</w:t>
      </w:r>
    </w:p>
    <w:p>
      <w:pPr>
        <w:pStyle w:val="18"/>
        <w:spacing w:line="400" w:lineRule="exact"/>
        <w:ind w:left="0" w:leftChars="0" w:firstLine="3468" w:firstLineChars="1416"/>
        <w:rPr>
          <w:rFonts w:hint="eastAsia" w:ascii="宋体" w:hAnsi="宋体" w:eastAsia="宋体" w:cs="宋体"/>
          <w:color w:val="000000" w:themeColor="text1"/>
          <w:sz w:val="24"/>
          <w:szCs w:val="24"/>
          <w:highlight w:val="none"/>
          <w14:textFill>
            <w14:solidFill>
              <w14:schemeClr w14:val="tx1"/>
            </w14:solidFill>
          </w14:textFill>
        </w:rPr>
      </w:pPr>
    </w:p>
    <w:p>
      <w:pPr>
        <w:spacing w:line="440" w:lineRule="exact"/>
        <w:ind w:firstLine="3468" w:firstLineChars="1416"/>
        <w:rPr>
          <w:rFonts w:hint="eastAsia" w:ascii="宋体" w:hAnsi="宋体" w:eastAsia="宋体" w:cs="宋体"/>
          <w:color w:val="000000" w:themeColor="text1"/>
          <w:sz w:val="24"/>
          <w:szCs w:val="24"/>
          <w:highlight w:val="none"/>
          <w14:textFill>
            <w14:solidFill>
              <w14:schemeClr w14:val="tx1"/>
            </w14:solidFill>
          </w14:textFill>
        </w:rPr>
      </w:pPr>
      <w:bookmarkStart w:id="182" w:name="_Toc217446085"/>
      <w:bookmarkStart w:id="183" w:name="_Toc319937309"/>
      <w:bookmarkStart w:id="184" w:name="_Toc317509430"/>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440" w:lineRule="exact"/>
        <w:ind w:firstLine="3468" w:firstLineChars="141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tabs>
          <w:tab w:val="left" w:pos="1080"/>
        </w:tabs>
        <w:autoSpaceDE w:val="0"/>
        <w:autoSpaceDN w:val="0"/>
        <w:adjustRightInd w:val="0"/>
        <w:spacing w:line="440" w:lineRule="exact"/>
        <w:ind w:firstLine="3468" w:firstLineChars="1416"/>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地址：</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tabs>
          <w:tab w:val="left" w:pos="1080"/>
        </w:tabs>
        <w:autoSpaceDE w:val="0"/>
        <w:autoSpaceDN w:val="0"/>
        <w:adjustRightInd w:val="0"/>
        <w:spacing w:line="440" w:lineRule="exact"/>
        <w:ind w:firstLine="3468" w:firstLineChars="1416"/>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tabs>
          <w:tab w:val="left" w:pos="1080"/>
        </w:tabs>
        <w:autoSpaceDE w:val="0"/>
        <w:autoSpaceDN w:val="0"/>
        <w:adjustRightInd w:val="0"/>
        <w:spacing w:line="440" w:lineRule="exact"/>
        <w:ind w:firstLine="3468" w:firstLineChars="1416"/>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tabs>
          <w:tab w:val="left" w:pos="1080"/>
        </w:tabs>
        <w:autoSpaceDE w:val="0"/>
        <w:autoSpaceDN w:val="0"/>
        <w:adjustRightInd w:val="0"/>
        <w:spacing w:line="440" w:lineRule="exact"/>
        <w:ind w:firstLine="3468" w:firstLineChars="141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邮政编码：</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p>
    <w:p>
      <w:pPr>
        <w:spacing w:line="440" w:lineRule="exact"/>
        <w:ind w:firstLine="3468" w:firstLineChars="1416"/>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pStyle w:val="40"/>
        <w:rPr>
          <w:rFonts w:hint="eastAsia" w:ascii="宋体" w:hAnsi="宋体" w:eastAsia="宋体" w:cs="宋体"/>
          <w:color w:val="000000" w:themeColor="text1"/>
          <w:szCs w:val="24"/>
          <w:highlight w:val="none"/>
          <w14:textFill>
            <w14:solidFill>
              <w14:schemeClr w14:val="tx1"/>
            </w14:solidFill>
          </w14:textFill>
        </w:rPr>
      </w:pPr>
    </w:p>
    <w:p>
      <w:pPr>
        <w:pStyle w:val="40"/>
        <w:rPr>
          <w:rFonts w:hint="eastAsia" w:ascii="宋体" w:hAnsi="宋体" w:eastAsia="宋体" w:cs="宋体"/>
          <w:color w:val="000000" w:themeColor="text1"/>
          <w:szCs w:val="24"/>
          <w:highlight w:val="none"/>
          <w14:textFill>
            <w14:solidFill>
              <w14:schemeClr w14:val="tx1"/>
            </w14:solidFill>
          </w14:textFill>
        </w:rPr>
        <w:sectPr>
          <w:headerReference r:id="rId13" w:type="first"/>
          <w:footerReference r:id="rId15" w:type="first"/>
          <w:footerReference r:id="rId14" w:type="default"/>
          <w:pgSz w:w="11849" w:h="16781"/>
          <w:pgMar w:top="1440" w:right="1440" w:bottom="1440" w:left="1440" w:header="851" w:footer="992" w:gutter="0"/>
          <w:pgNumType w:fmt="numberInDash"/>
          <w:cols w:space="720" w:num="1"/>
          <w:titlePg/>
          <w:docGrid w:type="linesAndChars" w:linePitch="312" w:charSpace="1060"/>
        </w:sectPr>
      </w:pPr>
    </w:p>
    <w:p>
      <w:pPr>
        <w:pStyle w:val="40"/>
        <w:rPr>
          <w:rFonts w:hint="eastAsia" w:ascii="宋体" w:hAnsi="宋体" w:eastAsia="宋体" w:cs="宋体"/>
          <w:color w:val="000000" w:themeColor="text1"/>
          <w:szCs w:val="24"/>
          <w:highlight w:val="none"/>
          <w14:textFill>
            <w14:solidFill>
              <w14:schemeClr w14:val="tx1"/>
            </w14:solidFill>
          </w14:textFill>
        </w:rPr>
      </w:pPr>
    </w:p>
    <w:p>
      <w:pPr>
        <w:pStyle w:val="5"/>
        <w:tabs>
          <w:tab w:val="left" w:pos="720"/>
        </w:tabs>
        <w:spacing w:before="0" w:after="0" w:line="400" w:lineRule="exact"/>
        <w:jc w:val="center"/>
        <w:rPr>
          <w:rFonts w:hint="eastAsia" w:ascii="宋体" w:hAnsi="宋体" w:eastAsia="宋体" w:cs="宋体"/>
          <w:bCs w:val="0"/>
          <w:color w:val="000000" w:themeColor="text1"/>
          <w:sz w:val="24"/>
          <w:szCs w:val="24"/>
          <w:highlight w:val="none"/>
          <w14:textFill>
            <w14:solidFill>
              <w14:schemeClr w14:val="tx1"/>
            </w14:solidFill>
          </w14:textFill>
        </w:rPr>
      </w:pPr>
      <w:r>
        <w:rPr>
          <w:rFonts w:hint="eastAsia" w:ascii="宋体" w:hAnsi="宋体" w:eastAsia="宋体" w:cs="宋体"/>
          <w:bCs w:val="0"/>
          <w:color w:val="000000" w:themeColor="text1"/>
          <w:sz w:val="24"/>
          <w:szCs w:val="24"/>
          <w:highlight w:val="none"/>
          <w14:textFill>
            <w14:solidFill>
              <w14:schemeClr w14:val="tx1"/>
            </w14:solidFill>
          </w14:textFill>
        </w:rPr>
        <w:t>二、</w:t>
      </w:r>
      <w:bookmarkEnd w:id="182"/>
      <w:r>
        <w:rPr>
          <w:rFonts w:hint="eastAsia" w:ascii="宋体" w:hAnsi="宋体" w:eastAsia="宋体" w:cs="宋体"/>
          <w:bCs w:val="0"/>
          <w:color w:val="000000" w:themeColor="text1"/>
          <w:sz w:val="24"/>
          <w:szCs w:val="24"/>
          <w:highlight w:val="none"/>
          <w14:textFill>
            <w14:solidFill>
              <w14:schemeClr w14:val="tx1"/>
            </w14:solidFill>
          </w14:textFill>
        </w:rPr>
        <w:t>报价一览表</w:t>
      </w:r>
      <w:bookmarkEnd w:id="183"/>
      <w:bookmarkEnd w:id="184"/>
    </w:p>
    <w:p>
      <w:pPr>
        <w:pStyle w:val="12"/>
        <w:spacing w:before="100" w:beforeAutospacing="1"/>
        <w:ind w:firstLine="482"/>
        <w:jc w:val="center"/>
        <w:rPr>
          <w:rFonts w:hint="eastAsia" w:ascii="宋体" w:hAnsi="宋体" w:eastAsia="宋体" w:cs="宋体"/>
          <w:b/>
          <w:color w:val="000000" w:themeColor="text1"/>
          <w:sz w:val="24"/>
          <w:szCs w:val="24"/>
          <w:highlight w:val="none"/>
          <w14:textFill>
            <w14:solidFill>
              <w14:schemeClr w14:val="tx1"/>
            </w14:solidFill>
          </w14:textFill>
        </w:rPr>
      </w:pPr>
      <w:r>
        <w:rPr>
          <w:rFonts w:hint="eastAsia" w:ascii="宋体" w:hAnsi="宋体" w:eastAsia="宋体" w:cs="宋体"/>
          <w:b/>
          <w:color w:val="000000" w:themeColor="text1"/>
          <w:sz w:val="24"/>
          <w:szCs w:val="24"/>
          <w:highlight w:val="none"/>
          <w14:textFill>
            <w14:solidFill>
              <w14:schemeClr w14:val="tx1"/>
            </w14:solidFill>
          </w14:textFill>
        </w:rPr>
        <w:t>（第一次报价）</w:t>
      </w:r>
    </w:p>
    <w:p>
      <w:pPr>
        <w:ind w:firstLine="367" w:firstLineChars="150"/>
        <w:jc w:val="center"/>
        <w:rPr>
          <w:rFonts w:hint="eastAsia" w:ascii="宋体" w:hAnsi="宋体" w:eastAsia="宋体" w:cs="宋体"/>
          <w:color w:val="000000" w:themeColor="text1"/>
          <w:sz w:val="24"/>
          <w:szCs w:val="24"/>
          <w:highlight w:val="none"/>
          <w14:textFill>
            <w14:solidFill>
              <w14:schemeClr w14:val="tx1"/>
            </w14:solidFill>
          </w14:textFill>
        </w:rPr>
      </w:pPr>
    </w:p>
    <w:tbl>
      <w:tblPr>
        <w:tblStyle w:val="30"/>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28"/>
        <w:gridCol w:w="3060"/>
        <w:gridCol w:w="23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3628"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tc>
        <w:tc>
          <w:tcPr>
            <w:tcW w:w="3060" w:type="dxa"/>
            <w:tcBorders>
              <w:top w:val="single" w:color="auto" w:sz="4" w:space="0"/>
              <w:left w:val="single" w:color="auto" w:sz="4" w:space="0"/>
              <w:right w:val="single" w:color="auto" w:sz="4" w:space="0"/>
            </w:tcBorders>
            <w:vAlign w:val="center"/>
          </w:tcPr>
          <w:p>
            <w:pPr>
              <w:ind w:right="-670" w:firstLine="980" w:firstLineChars="4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项目编号</w:t>
            </w:r>
          </w:p>
        </w:tc>
        <w:tc>
          <w:tcPr>
            <w:tcW w:w="2385" w:type="dxa"/>
            <w:tcBorders>
              <w:top w:val="single" w:color="auto" w:sz="4" w:space="0"/>
              <w:left w:val="single" w:color="auto" w:sz="4" w:space="0"/>
              <w:bottom w:val="single" w:color="auto" w:sz="4" w:space="0"/>
              <w:right w:val="single" w:color="auto" w:sz="4" w:space="0"/>
            </w:tcBorders>
            <w:vAlign w:val="center"/>
          </w:tcPr>
          <w:p>
            <w:pPr>
              <w:ind w:right="-670"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6" w:hRule="atLeast"/>
          <w:jc w:val="center"/>
        </w:trPr>
        <w:tc>
          <w:tcPr>
            <w:tcW w:w="3628" w:type="dxa"/>
            <w:tcBorders>
              <w:top w:val="single" w:color="auto" w:sz="4" w:space="0"/>
              <w:left w:val="single" w:color="auto" w:sz="4" w:space="0"/>
              <w:right w:val="single" w:color="auto" w:sz="4" w:space="0"/>
            </w:tcBorders>
            <w:vAlign w:val="center"/>
          </w:tcPr>
          <w:p>
            <w:pPr>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3060" w:type="dxa"/>
            <w:tcBorders>
              <w:top w:val="single" w:color="auto" w:sz="4" w:space="0"/>
              <w:left w:val="single" w:color="auto" w:sz="4" w:space="0"/>
              <w:right w:val="single" w:color="auto" w:sz="4" w:space="0"/>
            </w:tcBorders>
          </w:tcPr>
          <w:p>
            <w:pPr>
              <w:ind w:right="-670"/>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2385" w:type="dxa"/>
            <w:tcBorders>
              <w:top w:val="single" w:color="auto" w:sz="4" w:space="0"/>
              <w:left w:val="single" w:color="auto" w:sz="4" w:space="0"/>
              <w:right w:val="single" w:color="auto" w:sz="4" w:space="0"/>
            </w:tcBorders>
            <w:vAlign w:val="center"/>
          </w:tcPr>
          <w:p>
            <w:pPr>
              <w:ind w:right="-670"/>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9073" w:type="dxa"/>
            <w:gridSpan w:val="3"/>
            <w:vAlign w:val="center"/>
          </w:tcPr>
          <w:p>
            <w:pPr>
              <w:ind w:right="-670"/>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大写：</w:t>
            </w:r>
            <w:r>
              <w:rPr>
                <w:rFonts w:hint="eastAsia" w:ascii="宋体" w:hAnsi="宋体" w:eastAsia="宋体" w:cs="宋体"/>
                <w:color w:val="000000" w:themeColor="text1"/>
                <w:sz w:val="24"/>
                <w:highlight w:val="none"/>
                <w:lang w:eastAsia="zh-CN"/>
                <w14:textFill>
                  <w14:solidFill>
                    <w14:schemeClr w14:val="tx1"/>
                  </w14:solidFill>
                </w14:textFill>
              </w:rPr>
              <w:t>人民币</w:t>
            </w:r>
            <w:r>
              <w:rPr>
                <w:rFonts w:hint="eastAsia" w:ascii="宋体" w:hAnsi="宋体" w:eastAsia="宋体" w:cs="宋体"/>
                <w:color w:val="000000" w:themeColor="text1"/>
                <w:sz w:val="24"/>
                <w:highlight w:val="none"/>
                <w:u w:val="none"/>
                <w:lang w:val="en-US" w:eastAsia="zh-CN"/>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w:t>
            </w:r>
          </w:p>
        </w:tc>
      </w:tr>
    </w:tbl>
    <w:p>
      <w:pPr>
        <w:ind w:firstLine="490" w:firstLineChars="200"/>
        <w:rPr>
          <w:rFonts w:hint="eastAsia" w:ascii="宋体" w:hAnsi="宋体" w:eastAsia="宋体" w:cs="宋体"/>
          <w:bCs/>
          <w:color w:val="000000" w:themeColor="text1"/>
          <w:sz w:val="24"/>
          <w:szCs w:val="24"/>
          <w:highlight w:val="none"/>
          <w:lang w:eastAsia="zh-CN"/>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注：1.磋商报价应是采购文件载明的所有服务内容的总价</w:t>
      </w:r>
      <w:r>
        <w:rPr>
          <w:rFonts w:hint="eastAsia" w:ascii="宋体" w:hAnsi="宋体" w:eastAsia="宋体" w:cs="宋体"/>
          <w:bCs/>
          <w:color w:val="000000" w:themeColor="text1"/>
          <w:sz w:val="24"/>
          <w:szCs w:val="24"/>
          <w:highlight w:val="none"/>
          <w:lang w:val="zh-TW" w:eastAsia="zh-CN"/>
          <w14:textFill>
            <w14:solidFill>
              <w14:schemeClr w14:val="tx1"/>
            </w14:solidFill>
          </w14:textFill>
        </w:rPr>
        <w:t>，</w:t>
      </w:r>
      <w:r>
        <w:rPr>
          <w:rFonts w:hint="eastAsia" w:ascii="宋体" w:hAnsi="宋体" w:eastAsia="宋体" w:cs="宋体"/>
          <w:bCs/>
          <w:color w:val="000000" w:themeColor="text1"/>
          <w:sz w:val="24"/>
          <w:szCs w:val="24"/>
          <w:highlight w:val="none"/>
          <w:lang w:eastAsia="zh-CN"/>
          <w14:textFill>
            <w14:solidFill>
              <w14:schemeClr w14:val="tx1"/>
            </w14:solidFill>
          </w14:textFill>
        </w:rPr>
        <w:t>包含：产品设计、生产制造、包装、</w:t>
      </w:r>
      <w:r>
        <w:rPr>
          <w:rFonts w:hint="eastAsia" w:ascii="宋体" w:hAnsi="宋体" w:eastAsia="宋体" w:cs="宋体"/>
          <w:bCs/>
          <w:color w:val="000000" w:themeColor="text1"/>
          <w:sz w:val="24"/>
          <w:szCs w:val="24"/>
          <w:highlight w:val="none"/>
          <w14:textFill>
            <w14:solidFill>
              <w14:schemeClr w14:val="tx1"/>
            </w14:solidFill>
          </w14:textFill>
        </w:rPr>
        <w:t>运输、安装、调试、检验、培训、税金</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保险</w:t>
      </w:r>
      <w:r>
        <w:rPr>
          <w:rFonts w:hint="eastAsia" w:ascii="宋体" w:hAnsi="宋体" w:eastAsia="宋体" w:cs="宋体"/>
          <w:bCs/>
          <w:color w:val="000000" w:themeColor="text1"/>
          <w:sz w:val="24"/>
          <w:szCs w:val="24"/>
          <w:highlight w:val="none"/>
          <w:lang w:eastAsia="zh-CN"/>
          <w14:textFill>
            <w14:solidFill>
              <w14:schemeClr w14:val="tx1"/>
            </w14:solidFill>
          </w14:textFill>
        </w:rPr>
        <w:t>、招标代理服务费</w:t>
      </w:r>
      <w:r>
        <w:rPr>
          <w:rFonts w:hint="eastAsia" w:ascii="宋体" w:hAnsi="宋体" w:eastAsia="宋体" w:cs="宋体"/>
          <w:bCs/>
          <w:color w:val="000000" w:themeColor="text1"/>
          <w:sz w:val="24"/>
          <w:szCs w:val="24"/>
          <w:highlight w:val="none"/>
          <w14:textFill>
            <w14:solidFill>
              <w14:schemeClr w14:val="tx1"/>
            </w14:solidFill>
          </w14:textFill>
        </w:rPr>
        <w:t>等</w:t>
      </w:r>
      <w:r>
        <w:rPr>
          <w:rFonts w:hint="eastAsia" w:ascii="宋体" w:hAnsi="宋体" w:eastAsia="宋体" w:cs="宋体"/>
          <w:bCs/>
          <w:color w:val="000000" w:themeColor="text1"/>
          <w:sz w:val="24"/>
          <w:szCs w:val="24"/>
          <w:highlight w:val="none"/>
          <w:lang w:eastAsia="zh-CN"/>
          <w14:textFill>
            <w14:solidFill>
              <w14:schemeClr w14:val="tx1"/>
            </w14:solidFill>
          </w14:textFill>
        </w:rPr>
        <w:t>磋商文件</w:t>
      </w:r>
      <w:r>
        <w:rPr>
          <w:rFonts w:hint="eastAsia" w:ascii="宋体" w:hAnsi="宋体" w:eastAsia="宋体" w:cs="宋体"/>
          <w:bCs/>
          <w:color w:val="000000" w:themeColor="text1"/>
          <w:sz w:val="24"/>
          <w:szCs w:val="24"/>
          <w:highlight w:val="none"/>
          <w14:textFill>
            <w14:solidFill>
              <w14:schemeClr w14:val="tx1"/>
            </w14:solidFill>
          </w14:textFill>
        </w:rPr>
        <w:t>规定的</w:t>
      </w:r>
      <w:r>
        <w:rPr>
          <w:rFonts w:hint="eastAsia" w:ascii="宋体" w:hAnsi="宋体" w:eastAsia="宋体" w:cs="宋体"/>
          <w:bCs/>
          <w:color w:val="000000" w:themeColor="text1"/>
          <w:sz w:val="24"/>
          <w:szCs w:val="24"/>
          <w:highlight w:val="none"/>
          <w:lang w:eastAsia="zh-CN"/>
          <w14:textFill>
            <w14:solidFill>
              <w14:schemeClr w14:val="tx1"/>
            </w14:solidFill>
          </w14:textFill>
        </w:rPr>
        <w:t>所有</w:t>
      </w:r>
      <w:r>
        <w:rPr>
          <w:rFonts w:hint="eastAsia" w:ascii="宋体" w:hAnsi="宋体" w:eastAsia="宋体" w:cs="宋体"/>
          <w:bCs/>
          <w:color w:val="000000" w:themeColor="text1"/>
          <w:sz w:val="24"/>
          <w:szCs w:val="24"/>
          <w:highlight w:val="none"/>
          <w14:textFill>
            <w14:solidFill>
              <w14:schemeClr w14:val="tx1"/>
            </w14:solidFill>
          </w14:textFill>
        </w:rPr>
        <w:t>费用</w:t>
      </w:r>
      <w:r>
        <w:rPr>
          <w:rFonts w:hint="eastAsia" w:ascii="宋体" w:hAnsi="宋体" w:eastAsia="宋体" w:cs="宋体"/>
          <w:bCs/>
          <w:color w:val="000000" w:themeColor="text1"/>
          <w:sz w:val="24"/>
          <w:szCs w:val="24"/>
          <w:highlight w:val="none"/>
          <w:lang w:eastAsia="zh-CN"/>
          <w14:textFill>
            <w14:solidFill>
              <w14:schemeClr w14:val="tx1"/>
            </w14:solidFill>
          </w14:textFill>
        </w:rPr>
        <w:t>。</w:t>
      </w:r>
    </w:p>
    <w:p>
      <w:pPr>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cs="宋体"/>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.报价超过采购预算的将视为无效报价。</w:t>
      </w:r>
    </w:p>
    <w:p>
      <w:pPr>
        <w:ind w:firstLine="367" w:firstLineChars="150"/>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rPr>
          <w:rFonts w:hint="eastAsia" w:ascii="宋体" w:hAnsi="宋体" w:eastAsia="宋体" w:cs="宋体"/>
          <w:b/>
          <w:bCs/>
          <w:color w:val="000000" w:themeColor="text1"/>
          <w:sz w:val="24"/>
          <w:szCs w:val="24"/>
          <w:highlight w:val="none"/>
          <w14:textFill>
            <w14:solidFill>
              <w14:schemeClr w14:val="tx1"/>
            </w14:solidFill>
          </w14:textFill>
        </w:rPr>
      </w:pPr>
    </w:p>
    <w:p>
      <w:pPr>
        <w:spacing w:line="400" w:lineRule="exact"/>
        <w:ind w:firstLine="735" w:firstLineChars="300"/>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ind w:firstLine="735" w:firstLineChars="300"/>
        <w:rPr>
          <w:rFonts w:hint="eastAsia" w:ascii="宋体" w:hAnsi="宋体" w:eastAsia="宋体" w:cs="宋体"/>
          <w:color w:val="000000" w:themeColor="text1"/>
          <w:sz w:val="24"/>
          <w:szCs w:val="24"/>
          <w:highlight w:val="none"/>
          <w14:textFill>
            <w14:solidFill>
              <w14:schemeClr w14:val="tx1"/>
            </w14:solidFill>
          </w14:textFill>
        </w:rPr>
      </w:pP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right="480"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spacing w:line="400" w:lineRule="exact"/>
        <w:ind w:firstLine="735" w:firstLineChars="300"/>
        <w:rPr>
          <w:rFonts w:hint="eastAsia" w:ascii="宋体" w:hAnsi="宋体" w:eastAsia="宋体" w:cs="宋体"/>
          <w:color w:val="000000" w:themeColor="text1"/>
          <w:sz w:val="24"/>
          <w:szCs w:val="24"/>
          <w:highlight w:val="none"/>
          <w14:textFill>
            <w14:solidFill>
              <w14:schemeClr w14:val="tx1"/>
            </w14:solidFill>
          </w14:textFill>
        </w:rPr>
      </w:pPr>
    </w:p>
    <w:p>
      <w:pPr>
        <w:spacing w:line="400" w:lineRule="exact"/>
        <w:ind w:firstLine="735" w:firstLineChars="300"/>
        <w:rPr>
          <w:rFonts w:hint="eastAsia" w:ascii="宋体" w:hAnsi="宋体" w:eastAsia="宋体" w:cs="宋体"/>
          <w:color w:val="000000" w:themeColor="text1"/>
          <w:sz w:val="24"/>
          <w:szCs w:val="24"/>
          <w:highlight w:val="none"/>
          <w14:textFill>
            <w14:solidFill>
              <w14:schemeClr w14:val="tx1"/>
            </w14:solidFill>
          </w14:textFill>
        </w:rPr>
      </w:pPr>
    </w:p>
    <w:p>
      <w:pP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br w:type="page"/>
      </w:r>
    </w:p>
    <w:p>
      <w:pPr>
        <w:pStyle w:val="6"/>
        <w:bidi w:val="0"/>
        <w:spacing w:line="360" w:lineRule="auto"/>
        <w:jc w:val="center"/>
        <w:rPr>
          <w:rFonts w:hint="eastAsia" w:ascii="宋体" w:hAnsi="宋体" w:eastAsia="宋体" w:cs="宋体"/>
          <w:color w:val="000000" w:themeColor="text1"/>
          <w:sz w:val="28"/>
          <w:szCs w:val="28"/>
          <w:highlight w:val="none"/>
          <w:lang w:val="zh-CN"/>
          <w14:textFill>
            <w14:solidFill>
              <w14:schemeClr w14:val="tx1"/>
            </w14:solidFill>
          </w14:textFill>
        </w:rPr>
      </w:pPr>
      <w:r>
        <w:rPr>
          <w:rFonts w:hint="eastAsia" w:ascii="宋体" w:hAnsi="宋体" w:eastAsia="宋体" w:cs="宋体"/>
          <w:color w:val="000000" w:themeColor="text1"/>
          <w:sz w:val="28"/>
          <w:szCs w:val="28"/>
          <w:highlight w:val="none"/>
          <w:lang w:val="zh-CN"/>
          <w14:textFill>
            <w14:solidFill>
              <w14:schemeClr w14:val="tx1"/>
            </w14:solidFill>
          </w14:textFill>
        </w:rPr>
        <w:t>分项报价明细表</w:t>
      </w:r>
    </w:p>
    <w:p>
      <w:pPr>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项目名称：</w:t>
      </w:r>
    </w:p>
    <w:p>
      <w:pPr>
        <w:spacing w:line="360" w:lineRule="auto"/>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项目编号：</w:t>
      </w:r>
    </w:p>
    <w:tbl>
      <w:tblPr>
        <w:tblStyle w:val="30"/>
        <w:tblW w:w="9904" w:type="dxa"/>
        <w:jc w:val="center"/>
        <w:tblLayout w:type="fixed"/>
        <w:tblCellMar>
          <w:top w:w="0" w:type="dxa"/>
          <w:left w:w="0" w:type="dxa"/>
          <w:bottom w:w="0" w:type="dxa"/>
          <w:right w:w="0" w:type="dxa"/>
        </w:tblCellMar>
      </w:tblPr>
      <w:tblGrid>
        <w:gridCol w:w="540"/>
        <w:gridCol w:w="1337"/>
        <w:gridCol w:w="1512"/>
        <w:gridCol w:w="638"/>
        <w:gridCol w:w="754"/>
        <w:gridCol w:w="878"/>
        <w:gridCol w:w="878"/>
        <w:gridCol w:w="878"/>
        <w:gridCol w:w="1039"/>
        <w:gridCol w:w="860"/>
        <w:gridCol w:w="590"/>
      </w:tblGrid>
      <w:tr>
        <w:tblPrEx>
          <w:tblCellMar>
            <w:top w:w="0" w:type="dxa"/>
            <w:left w:w="0" w:type="dxa"/>
            <w:bottom w:w="0" w:type="dxa"/>
            <w:right w:w="0" w:type="dxa"/>
          </w:tblCellMar>
        </w:tblPrEx>
        <w:trPr>
          <w:trHeight w:val="1040" w:hRule="atLeast"/>
          <w:jc w:val="center"/>
        </w:trPr>
        <w:tc>
          <w:tcPr>
            <w:tcW w:w="5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t>序号</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产品名称</w:t>
            </w:r>
          </w:p>
        </w:tc>
        <w:tc>
          <w:tcPr>
            <w:tcW w:w="15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型号规格</w:t>
            </w:r>
          </w:p>
        </w:tc>
        <w:tc>
          <w:tcPr>
            <w:tcW w:w="6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t>单位</w:t>
            </w:r>
          </w:p>
        </w:tc>
        <w:tc>
          <w:tcPr>
            <w:tcW w:w="7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t>数量</w:t>
            </w: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jc w:val="center"/>
              <w:textAlignment w:val="cente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单价（元）</w:t>
            </w: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jc w:val="center"/>
              <w:textAlignment w:val="center"/>
              <w:rPr>
                <w:rFonts w:hint="eastAsia" w:ascii="宋体" w:hAnsi="宋体" w:eastAsia="宋体" w:cs="宋体"/>
                <w:b/>
                <w:bCs/>
                <w:color w:val="000000" w:themeColor="text1"/>
                <w:kern w:val="0"/>
                <w:sz w:val="21"/>
                <w:szCs w:val="21"/>
                <w:highlight w:val="none"/>
                <w:lang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总价</w:t>
            </w:r>
          </w:p>
          <w:p>
            <w:pPr>
              <w:widowControl/>
              <w:spacing w:line="240" w:lineRule="auto"/>
              <w:jc w:val="center"/>
              <w:textAlignment w:val="cente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（元）</w:t>
            </w: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jc w:val="center"/>
              <w:textAlignment w:val="cente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品牌</w:t>
            </w:r>
          </w:p>
        </w:tc>
        <w:tc>
          <w:tcPr>
            <w:tcW w:w="10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jc w:val="center"/>
              <w:textAlignment w:val="cente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生产厂家</w:t>
            </w:r>
          </w:p>
        </w:tc>
        <w:tc>
          <w:tcPr>
            <w:tcW w:w="8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jc w:val="center"/>
              <w:textAlignment w:val="cente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bidi="ar"/>
                <w14:textFill>
                  <w14:solidFill>
                    <w14:schemeClr w14:val="tx1"/>
                  </w14:solidFill>
                </w14:textFill>
              </w:rPr>
              <w:t>是否属于进口产品</w:t>
            </w:r>
          </w:p>
        </w:tc>
        <w:tc>
          <w:tcPr>
            <w:tcW w:w="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pacing w:line="240" w:lineRule="auto"/>
              <w:jc w:val="center"/>
              <w:textAlignment w:val="center"/>
              <w:rPr>
                <w:rFonts w:hint="eastAsia" w:ascii="宋体" w:hAnsi="宋体" w:eastAsia="宋体" w:cs="宋体"/>
                <w:b/>
                <w:bCs/>
                <w:color w:val="000000" w:themeColor="text1"/>
                <w:kern w:val="0"/>
                <w:sz w:val="21"/>
                <w:szCs w:val="21"/>
                <w:highlight w:val="none"/>
                <w:lang w:bidi="ar"/>
                <w14:textFill>
                  <w14:solidFill>
                    <w14:schemeClr w14:val="tx1"/>
                  </w14:solidFill>
                </w14:textFill>
              </w:rPr>
            </w:pPr>
            <w:r>
              <w:rPr>
                <w:rFonts w:hint="eastAsia" w:ascii="宋体" w:hAnsi="宋体" w:eastAsia="宋体" w:cs="宋体"/>
                <w:b/>
                <w:bCs/>
                <w:color w:val="000000" w:themeColor="text1"/>
                <w:kern w:val="0"/>
                <w:sz w:val="21"/>
                <w:szCs w:val="21"/>
                <w:highlight w:val="none"/>
                <w:lang w:val="en-US" w:eastAsia="zh-CN" w:bidi="ar"/>
                <w14:textFill>
                  <w14:solidFill>
                    <w14:schemeClr w14:val="tx1"/>
                  </w14:solidFill>
                </w14:textFill>
              </w:rPr>
              <w:t>备注</w:t>
            </w:r>
          </w:p>
        </w:tc>
      </w:tr>
      <w:tr>
        <w:tblPrEx>
          <w:tblCellMar>
            <w:top w:w="0" w:type="dxa"/>
            <w:left w:w="0" w:type="dxa"/>
            <w:bottom w:w="0" w:type="dxa"/>
            <w:right w:w="0" w:type="dxa"/>
          </w:tblCellMar>
        </w:tblPrEx>
        <w:trPr>
          <w:trHeight w:val="592" w:hRule="atLeast"/>
          <w:jc w:val="center"/>
        </w:trPr>
        <w:tc>
          <w:tcPr>
            <w:tcW w:w="5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t>1</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240" w:lineRule="auto"/>
              <w:contextualSpacing/>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LED教室灯</w:t>
            </w:r>
          </w:p>
        </w:tc>
        <w:tc>
          <w:tcPr>
            <w:tcW w:w="15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pPr>
          </w:p>
        </w:tc>
        <w:tc>
          <w:tcPr>
            <w:tcW w:w="6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p>
        </w:tc>
        <w:tc>
          <w:tcPr>
            <w:tcW w:w="7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10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8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b/>
                <w:bCs/>
                <w:i w:val="0"/>
                <w:color w:val="000000" w:themeColor="text1"/>
                <w:sz w:val="21"/>
                <w:szCs w:val="21"/>
                <w:highlight w:val="none"/>
                <w:u w:val="none"/>
                <w:lang w:eastAsia="zh-CN"/>
                <w14:textFill>
                  <w14:solidFill>
                    <w14:schemeClr w14:val="tx1"/>
                  </w14:solidFill>
                </w14:textFill>
              </w:rPr>
            </w:pPr>
          </w:p>
        </w:tc>
        <w:tc>
          <w:tcPr>
            <w:tcW w:w="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lang w:eastAsia="zh-CN"/>
                <w14:textFill>
                  <w14:solidFill>
                    <w14:schemeClr w14:val="tx1"/>
                  </w14:solidFill>
                </w14:textFill>
              </w:rPr>
            </w:pPr>
            <w:r>
              <w:rPr>
                <w:rFonts w:hint="eastAsia" w:ascii="宋体" w:hAnsi="宋体" w:eastAsia="宋体" w:cs="宋体"/>
                <w:b/>
                <w:bCs/>
                <w:i w:val="0"/>
                <w:color w:val="000000" w:themeColor="text1"/>
                <w:sz w:val="21"/>
                <w:szCs w:val="21"/>
                <w:highlight w:val="none"/>
                <w:u w:val="none"/>
                <w:lang w:eastAsia="zh-CN"/>
                <w14:textFill>
                  <w14:solidFill>
                    <w14:schemeClr w14:val="tx1"/>
                  </w14:solidFill>
                </w14:textFill>
              </w:rPr>
              <w:t>核心产品</w:t>
            </w:r>
          </w:p>
        </w:tc>
      </w:tr>
      <w:tr>
        <w:tblPrEx>
          <w:tblCellMar>
            <w:top w:w="0" w:type="dxa"/>
            <w:left w:w="0" w:type="dxa"/>
            <w:bottom w:w="0" w:type="dxa"/>
            <w:right w:w="0" w:type="dxa"/>
          </w:tblCellMar>
        </w:tblPrEx>
        <w:trPr>
          <w:trHeight w:val="668" w:hRule="atLeast"/>
          <w:jc w:val="center"/>
        </w:trPr>
        <w:tc>
          <w:tcPr>
            <w:tcW w:w="54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t>2</w:t>
            </w:r>
          </w:p>
        </w:tc>
        <w:tc>
          <w:tcPr>
            <w:tcW w:w="1337"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widowControl/>
              <w:snapToGrid w:val="0"/>
              <w:spacing w:line="240" w:lineRule="auto"/>
              <w:contextualSpacing/>
              <w:jc w:val="center"/>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LED黑板灯</w:t>
            </w:r>
          </w:p>
        </w:tc>
        <w:tc>
          <w:tcPr>
            <w:tcW w:w="1512"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kern w:val="0"/>
                <w:sz w:val="21"/>
                <w:szCs w:val="21"/>
                <w:highlight w:val="none"/>
                <w:u w:val="none"/>
                <w:lang w:val="en-US" w:eastAsia="zh-CN" w:bidi="ar"/>
                <w14:textFill>
                  <w14:solidFill>
                    <w14:schemeClr w14:val="tx1"/>
                  </w14:solidFill>
                </w14:textFill>
              </w:rPr>
            </w:pPr>
          </w:p>
        </w:tc>
        <w:tc>
          <w:tcPr>
            <w:tcW w:w="63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p>
        </w:tc>
        <w:tc>
          <w:tcPr>
            <w:tcW w:w="754"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keepNext w:val="0"/>
              <w:keepLines w:val="0"/>
              <w:widowControl/>
              <w:suppressLineNumbers w:val="0"/>
              <w:spacing w:line="240" w:lineRule="auto"/>
              <w:jc w:val="center"/>
              <w:textAlignment w:val="center"/>
              <w:rPr>
                <w:rFonts w:hint="eastAsia" w:ascii="宋体" w:hAnsi="宋体" w:eastAsia="宋体" w:cs="宋体"/>
                <w:b/>
                <w:i w:val="0"/>
                <w:color w:val="000000" w:themeColor="text1"/>
                <w:sz w:val="21"/>
                <w:szCs w:val="21"/>
                <w:highlight w:val="none"/>
                <w:u w:val="none"/>
                <w14:textFill>
                  <w14:solidFill>
                    <w14:schemeClr w14:val="tx1"/>
                  </w14:solidFill>
                </w14:textFill>
              </w:rPr>
            </w:pP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10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8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r>
      <w:tr>
        <w:tblPrEx>
          <w:tblCellMar>
            <w:top w:w="0" w:type="dxa"/>
            <w:left w:w="0" w:type="dxa"/>
            <w:bottom w:w="0" w:type="dxa"/>
            <w:right w:w="0" w:type="dxa"/>
          </w:tblCellMar>
        </w:tblPrEx>
        <w:trPr>
          <w:trHeight w:val="561" w:hRule="atLeast"/>
          <w:jc w:val="center"/>
        </w:trPr>
        <w:tc>
          <w:tcPr>
            <w:tcW w:w="5659" w:type="dxa"/>
            <w:gridSpan w:val="6"/>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right"/>
              <w:rPr>
                <w:rFonts w:hint="eastAsia" w:ascii="宋体" w:hAnsi="宋体" w:eastAsia="宋体" w:cs="宋体"/>
                <w:i w:val="0"/>
                <w:color w:val="000000" w:themeColor="text1"/>
                <w:sz w:val="21"/>
                <w:szCs w:val="21"/>
                <w:highlight w:val="none"/>
                <w:u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 xml:space="preserve">合计（元）： </w:t>
            </w: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878"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1039"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86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c>
          <w:tcPr>
            <w:tcW w:w="590" w:type="dxa"/>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center"/>
              <w:rPr>
                <w:rFonts w:hint="eastAsia" w:ascii="宋体" w:hAnsi="宋体" w:eastAsia="宋体" w:cs="宋体"/>
                <w:i w:val="0"/>
                <w:color w:val="000000" w:themeColor="text1"/>
                <w:sz w:val="21"/>
                <w:szCs w:val="21"/>
                <w:highlight w:val="none"/>
                <w:u w:val="none"/>
                <w14:textFill>
                  <w14:solidFill>
                    <w14:schemeClr w14:val="tx1"/>
                  </w14:solidFill>
                </w14:textFill>
              </w:rPr>
            </w:pPr>
          </w:p>
        </w:tc>
      </w:tr>
      <w:tr>
        <w:tblPrEx>
          <w:tblCellMar>
            <w:top w:w="0" w:type="dxa"/>
            <w:left w:w="0" w:type="dxa"/>
            <w:bottom w:w="0" w:type="dxa"/>
            <w:right w:w="0" w:type="dxa"/>
          </w:tblCellMar>
        </w:tblPrEx>
        <w:trPr>
          <w:trHeight w:val="683" w:hRule="atLeast"/>
          <w:jc w:val="center"/>
        </w:trPr>
        <w:tc>
          <w:tcPr>
            <w:tcW w:w="9904" w:type="dxa"/>
            <w:gridSpan w:val="11"/>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pPr>
              <w:spacing w:line="240" w:lineRule="auto"/>
              <w:jc w:val="left"/>
              <w:rPr>
                <w:rFonts w:hint="eastAsia" w:ascii="宋体" w:hAnsi="宋体" w:eastAsia="宋体" w:cs="宋体"/>
                <w:i w:val="0"/>
                <w:color w:val="000000" w:themeColor="text1"/>
                <w:sz w:val="21"/>
                <w:szCs w:val="21"/>
                <w:highlight w:val="none"/>
                <w:u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大写：人民币         。</w:t>
            </w:r>
          </w:p>
        </w:tc>
      </w:tr>
    </w:tbl>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注：1、供应商必须按采购清单逐一报价，不得有缺项漏项，否则视该项免费为采购人提供货物。</w:t>
      </w:r>
    </w:p>
    <w:p>
      <w:pPr>
        <w:spacing w:line="360" w:lineRule="auto"/>
        <w:jc w:val="left"/>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2、“分项报价明细表”各分项报价合计应当与“</w:t>
      </w:r>
      <w:r>
        <w:rPr>
          <w:rFonts w:hint="eastAsia" w:ascii="宋体" w:hAnsi="宋体" w:eastAsia="宋体" w:cs="宋体"/>
          <w:color w:val="000000" w:themeColor="text1"/>
          <w:szCs w:val="21"/>
          <w:highlight w:val="none"/>
          <w:lang w:val="zh-CN"/>
          <w14:textFill>
            <w14:solidFill>
              <w14:schemeClr w14:val="tx1"/>
            </w14:solidFill>
          </w14:textFill>
        </w:rPr>
        <w:t>第一次报价</w:t>
      </w:r>
      <w:r>
        <w:rPr>
          <w:rFonts w:hint="eastAsia" w:ascii="宋体" w:hAnsi="宋体" w:eastAsia="宋体" w:cs="宋体"/>
          <w:color w:val="000000" w:themeColor="text1"/>
          <w:szCs w:val="21"/>
          <w:highlight w:val="none"/>
          <w14:textFill>
            <w14:solidFill>
              <w14:schemeClr w14:val="tx1"/>
            </w14:solidFill>
          </w14:textFill>
        </w:rPr>
        <w:t>”合计相等。</w:t>
      </w:r>
    </w:p>
    <w:p>
      <w:pPr>
        <w:tabs>
          <w:tab w:val="left" w:pos="1080"/>
        </w:tabs>
        <w:autoSpaceDE w:val="0"/>
        <w:autoSpaceDN w:val="0"/>
        <w:adjustRightInd w:val="0"/>
        <w:spacing w:line="360" w:lineRule="auto"/>
        <w:ind w:firstLine="480"/>
        <w:jc w:val="left"/>
        <w:rPr>
          <w:rFonts w:hint="eastAsia" w:ascii="宋体" w:hAnsi="宋体" w:eastAsia="宋体" w:cs="宋体"/>
          <w:color w:val="000000" w:themeColor="text1"/>
          <w:szCs w:val="21"/>
          <w:highlight w:val="none"/>
          <w:lang w:val="zh-CN"/>
          <w14:textFill>
            <w14:solidFill>
              <w14:schemeClr w14:val="tx1"/>
            </w14:solidFill>
          </w14:textFill>
        </w:rPr>
      </w:pPr>
    </w:p>
    <w:p>
      <w:pPr>
        <w:pStyle w:val="14"/>
        <w:rPr>
          <w:rFonts w:hint="eastAsia" w:ascii="宋体" w:hAnsi="宋体" w:eastAsia="宋体" w:cs="宋体"/>
          <w:color w:val="000000" w:themeColor="text1"/>
          <w:highlight w:val="none"/>
          <w:lang w:val="zh-CN"/>
          <w14:textFill>
            <w14:solidFill>
              <w14:schemeClr w14:val="tx1"/>
            </w14:solidFill>
          </w14:textFill>
        </w:rPr>
      </w:pPr>
    </w:p>
    <w:p>
      <w:pPr>
        <w:tabs>
          <w:tab w:val="left" w:pos="1080"/>
        </w:tabs>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autoSpaceDE w:val="0"/>
        <w:autoSpaceDN w:val="0"/>
        <w:adjustRightInd w:val="0"/>
        <w:spacing w:line="360" w:lineRule="auto"/>
        <w:ind w:firstLine="480"/>
        <w:jc w:val="left"/>
        <w:rPr>
          <w:rFonts w:hint="eastAsia" w:ascii="宋体" w:hAnsi="宋体" w:eastAsia="宋体" w:cs="宋体"/>
          <w:color w:val="000000" w:themeColor="text1"/>
          <w:sz w:val="32"/>
          <w:szCs w:val="32"/>
          <w:highlight w:val="none"/>
          <w14:textFill>
            <w14:solidFill>
              <w14:schemeClr w14:val="tx1"/>
            </w14:solidFill>
          </w14:textFill>
        </w:rPr>
        <w:sectPr>
          <w:pgSz w:w="11849" w:h="16781"/>
          <w:pgMar w:top="1440" w:right="1440" w:bottom="1440" w:left="1440" w:header="851" w:footer="992" w:gutter="0"/>
          <w:pgNumType w:fmt="numberInDash"/>
          <w:cols w:space="720" w:num="1"/>
          <w:titlePg/>
          <w:docGrid w:type="linesAndChars" w:linePitch="312" w:charSpace="1060"/>
        </w:sectPr>
      </w:pPr>
      <w:r>
        <w:rPr>
          <w:rFonts w:hint="eastAsia" w:ascii="宋体" w:hAnsi="宋体" w:eastAsia="宋体" w:cs="宋体"/>
          <w:color w:val="000000" w:themeColor="text1"/>
          <w:sz w:val="32"/>
          <w:szCs w:val="32"/>
          <w:highlight w:val="none"/>
          <w14:textFill>
            <w14:solidFill>
              <w14:schemeClr w14:val="tx1"/>
            </w14:solidFill>
          </w14:textFill>
        </w:rPr>
        <w:br w:type="page"/>
      </w:r>
    </w:p>
    <w:p>
      <w:pPr>
        <w:pStyle w:val="6"/>
        <w:bidi w:val="0"/>
        <w:spacing w:line="360" w:lineRule="auto"/>
        <w:jc w:val="center"/>
        <w:rPr>
          <w:rFonts w:hint="eastAsia" w:ascii="宋体" w:hAnsi="宋体" w:eastAsia="宋体" w:cs="宋体"/>
          <w:color w:val="000000" w:themeColor="text1"/>
          <w:sz w:val="28"/>
          <w:szCs w:val="28"/>
          <w:highlight w:val="none"/>
          <w:lang w:val="zh-CN"/>
          <w14:textFill>
            <w14:solidFill>
              <w14:schemeClr w14:val="tx1"/>
            </w14:solidFill>
          </w14:textFill>
        </w:rPr>
      </w:pPr>
      <w:r>
        <w:rPr>
          <w:rFonts w:hint="eastAsia" w:ascii="宋体" w:hAnsi="宋体" w:eastAsia="宋体" w:cs="宋体"/>
          <w:color w:val="000000" w:themeColor="text1"/>
          <w:sz w:val="28"/>
          <w:szCs w:val="28"/>
          <w:highlight w:val="none"/>
          <w:lang w:val="zh-CN"/>
          <w14:textFill>
            <w14:solidFill>
              <w14:schemeClr w14:val="tx1"/>
            </w14:solidFill>
          </w14:textFill>
        </w:rPr>
        <w:t>最终报价及承诺书（现场填写）</w:t>
      </w: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bCs/>
          <w:color w:val="000000" w:themeColor="text1"/>
          <w:sz w:val="24"/>
          <w:szCs w:val="24"/>
          <w:highlight w:val="none"/>
          <w:u w:val="singl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项目名称：</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bCs/>
          <w:color w:val="000000" w:themeColor="text1"/>
          <w:sz w:val="24"/>
          <w:szCs w:val="24"/>
          <w:highlight w:val="none"/>
          <w:u w:val="singl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项目编号：</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bCs/>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w:t>
      </w:r>
      <w:r>
        <w:rPr>
          <w:rFonts w:hint="eastAsia" w:ascii="宋体" w:hAnsi="宋体" w:eastAsia="宋体" w:cs="宋体"/>
          <w:bCs/>
          <w:color w:val="000000" w:themeColor="text1"/>
          <w:sz w:val="24"/>
          <w:szCs w:val="24"/>
          <w:highlight w:val="none"/>
          <w14:textFill>
            <w14:solidFill>
              <w14:schemeClr w14:val="tx1"/>
            </w14:solidFill>
          </w14:textFill>
        </w:rPr>
        <w:t>名称：</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bCs/>
          <w:color w:val="000000" w:themeColor="text1"/>
          <w:sz w:val="24"/>
          <w:szCs w:val="24"/>
          <w:highlight w:val="none"/>
          <w:u w:val="singl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最终报价（小写）</w:t>
      </w:r>
      <w:r>
        <w:rPr>
          <w:rFonts w:hint="eastAsia" w:ascii="宋体" w:hAnsi="宋体" w:eastAsia="宋体" w:cs="宋体"/>
          <w:bCs/>
          <w:color w:val="000000" w:themeColor="text1"/>
          <w:sz w:val="24"/>
          <w:szCs w:val="24"/>
          <w:highlight w:val="none"/>
          <w:u w:val="none"/>
          <w14:textFill>
            <w14:solidFill>
              <w14:schemeClr w14:val="tx1"/>
            </w14:solidFill>
          </w14:textFill>
        </w:rPr>
        <w:t>：</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bCs/>
          <w:color w:val="000000" w:themeColor="text1"/>
          <w:sz w:val="24"/>
          <w:szCs w:val="24"/>
          <w:highlight w:val="none"/>
          <w:u w:val="singl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（大写）：</w:t>
      </w:r>
      <w:r>
        <w:rPr>
          <w:rFonts w:hint="eastAsia" w:ascii="宋体" w:hAnsi="宋体" w:eastAsia="宋体" w:cs="宋体"/>
          <w:bCs/>
          <w:color w:val="000000" w:themeColor="text1"/>
          <w:sz w:val="24"/>
          <w:szCs w:val="24"/>
          <w:highlight w:val="none"/>
          <w:u w:val="single"/>
          <w14:textFill>
            <w14:solidFill>
              <w14:schemeClr w14:val="tx1"/>
            </w14:solidFill>
          </w14:textFill>
        </w:rPr>
        <w:t xml:space="preserve">                                </w:t>
      </w: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其他承诺：</w:t>
      </w: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p>
    <w:p>
      <w:pPr>
        <w:ind w:firstLine="480"/>
        <w:rPr>
          <w:rFonts w:hint="eastAsia" w:ascii="宋体" w:hAnsi="宋体" w:eastAsia="宋体" w:cs="宋体"/>
          <w:bCs/>
          <w:color w:val="000000" w:themeColor="text1"/>
          <w:sz w:val="24"/>
          <w:szCs w:val="24"/>
          <w:highlight w:val="none"/>
          <w14:textFill>
            <w14:solidFill>
              <w14:schemeClr w14:val="tx1"/>
            </w14:solidFill>
          </w14:textFill>
        </w:rPr>
      </w:pPr>
    </w:p>
    <w:p>
      <w:pPr>
        <w:spacing w:line="360" w:lineRule="auto"/>
        <w:rPr>
          <w:rFonts w:hint="eastAsia" w:ascii="宋体" w:hAnsi="宋体" w:eastAsia="宋体" w:cs="宋体"/>
          <w:b/>
          <w:bCs/>
          <w:color w:val="000000" w:themeColor="text1"/>
          <w:sz w:val="24"/>
          <w:szCs w:val="24"/>
          <w:highlight w:val="none"/>
          <w14:textFill>
            <w14:solidFill>
              <w14:schemeClr w14:val="tx1"/>
            </w14:solidFill>
          </w14:textFill>
        </w:rPr>
      </w:pPr>
    </w:p>
    <w:p>
      <w:pPr>
        <w:ind w:firstLine="480"/>
        <w:rPr>
          <w:rFonts w:hint="eastAsia" w:ascii="宋体" w:hAnsi="宋体" w:eastAsia="宋体" w:cs="宋体"/>
          <w:bCs/>
          <w:color w:val="000000" w:themeColor="text1"/>
          <w:sz w:val="24"/>
          <w:szCs w:val="24"/>
          <w:highlight w:val="none"/>
          <w14:textFill>
            <w14:solidFill>
              <w14:schemeClr w14:val="tx1"/>
            </w14:solidFill>
          </w14:textFill>
        </w:rPr>
      </w:pPr>
    </w:p>
    <w:p>
      <w:pPr>
        <w:spacing w:line="500" w:lineRule="exact"/>
        <w:ind w:left="0" w:leftChars="0" w:firstLine="3015" w:firstLineChars="123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（盖章）</w:t>
      </w:r>
    </w:p>
    <w:p>
      <w:pPr>
        <w:spacing w:line="500" w:lineRule="exact"/>
        <w:ind w:left="0" w:leftChars="0" w:firstLine="3015" w:firstLineChars="123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left="0" w:leftChars="0" w:right="480" w:firstLine="3015" w:firstLineChars="123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snapToGrid w:val="0"/>
        <w:spacing w:line="360" w:lineRule="auto"/>
        <w:ind w:left="0" w:leftChars="0" w:firstLine="3015" w:firstLineChars="1231"/>
        <w:rPr>
          <w:rFonts w:hint="eastAsia" w:ascii="宋体" w:hAnsi="宋体" w:eastAsia="宋体" w:cs="宋体"/>
          <w:bCs/>
          <w:color w:val="000000" w:themeColor="text1"/>
          <w:sz w:val="24"/>
          <w:szCs w:val="24"/>
          <w:highlight w:val="none"/>
          <w14:textFill>
            <w14:solidFill>
              <w14:schemeClr w14:val="tx1"/>
            </w14:solidFill>
          </w14:textFill>
        </w:rPr>
      </w:pPr>
    </w:p>
    <w:p>
      <w:pPr>
        <w:pStyle w:val="40"/>
        <w:rPr>
          <w:rFonts w:hint="eastAsia" w:ascii="宋体" w:hAnsi="宋体" w:eastAsia="宋体" w:cs="宋体"/>
          <w:color w:val="000000" w:themeColor="text1"/>
          <w:szCs w:val="24"/>
          <w:highlight w:val="none"/>
          <w14:textFill>
            <w14:solidFill>
              <w14:schemeClr w14:val="tx1"/>
            </w14:solidFill>
          </w14:textFill>
        </w:rPr>
      </w:pP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w:t>
      </w: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1.</w:t>
      </w:r>
      <w:r>
        <w:rPr>
          <w:rFonts w:hint="eastAsia" w:ascii="宋体" w:hAnsi="宋体" w:eastAsia="宋体" w:cs="宋体"/>
          <w:bCs/>
          <w:color w:val="000000" w:themeColor="text1"/>
          <w:sz w:val="24"/>
          <w:szCs w:val="24"/>
          <w:highlight w:val="none"/>
          <w14:textFill>
            <w14:solidFill>
              <w14:schemeClr w14:val="tx1"/>
            </w14:solidFill>
          </w14:textFill>
        </w:rPr>
        <w:t>此页需持空白页至磋商现场根据实际需要填写（现场填写）。</w:t>
      </w:r>
    </w:p>
    <w:p>
      <w:pPr>
        <w:snapToGrid w:val="0"/>
        <w:spacing w:line="360" w:lineRule="auto"/>
        <w:ind w:firstLine="480"/>
        <w:rPr>
          <w:rFonts w:hint="eastAsia" w:ascii="宋体" w:hAnsi="宋体" w:eastAsia="宋体" w:cs="宋体"/>
          <w:color w:val="000000" w:themeColor="text1"/>
          <w:highlight w:val="none"/>
          <w:lang w:val="en-US" w:eastAsia="zh-CN"/>
          <w14:textFill>
            <w14:solidFill>
              <w14:schemeClr w14:val="tx1"/>
            </w14:solidFill>
          </w14:textFill>
        </w:rPr>
      </w:pPr>
      <w:bookmarkStart w:id="185" w:name="OLE_LINK27"/>
      <w:r>
        <w:rPr>
          <w:rFonts w:hint="eastAsia" w:ascii="宋体" w:hAnsi="宋体" w:eastAsia="宋体" w:cs="宋体"/>
          <w:bCs/>
          <w:color w:val="000000" w:themeColor="text1"/>
          <w:sz w:val="24"/>
          <w:szCs w:val="24"/>
          <w:highlight w:val="none"/>
          <w:lang w:val="en-US" w:eastAsia="zh-CN"/>
          <w14:textFill>
            <w14:solidFill>
              <w14:schemeClr w14:val="tx1"/>
            </w14:solidFill>
          </w14:textFill>
        </w:rPr>
        <w:t>2.</w:t>
      </w:r>
      <w:r>
        <w:rPr>
          <w:rFonts w:hint="eastAsia" w:ascii="宋体" w:hAnsi="宋体" w:eastAsia="宋体" w:cs="宋体"/>
          <w:bCs/>
          <w:color w:val="000000" w:themeColor="text1"/>
          <w:sz w:val="24"/>
          <w:szCs w:val="24"/>
          <w:highlight w:val="none"/>
          <w:lang w:val="zh-CN" w:eastAsia="zh-CN"/>
          <w14:textFill>
            <w14:solidFill>
              <w14:schemeClr w14:val="tx1"/>
            </w14:solidFill>
          </w14:textFill>
        </w:rPr>
        <w:t>根据成交供应商“最终报价”磋商总价与“第一次报价”总价下浮比例</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，分别调整分项报价明细表中的单价及总价，调整工作在成交后及结算中完成。</w:t>
      </w:r>
      <w:bookmarkEnd w:id="185"/>
    </w:p>
    <w:p>
      <w:pPr>
        <w:ind w:firstLine="490" w:firstLineChars="200"/>
        <w:rPr>
          <w:rFonts w:hint="eastAsia" w:ascii="宋体" w:hAnsi="宋体" w:eastAsia="宋体" w:cs="宋体"/>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3.磋商报价应是采购文件载明的所有服务内容的总价</w:t>
      </w:r>
      <w:r>
        <w:rPr>
          <w:rFonts w:hint="eastAsia" w:ascii="宋体" w:hAnsi="宋体" w:cs="宋体"/>
          <w:bCs/>
          <w:color w:val="000000" w:themeColor="text1"/>
          <w:sz w:val="24"/>
          <w:szCs w:val="24"/>
          <w:highlight w:val="none"/>
          <w:lang w:val="en-US" w:eastAsia="zh-CN"/>
          <w14:textFill>
            <w14:solidFill>
              <w14:schemeClr w14:val="tx1"/>
            </w14:solidFill>
          </w14:textFill>
        </w:rPr>
        <w:t>，包括：</w:t>
      </w:r>
      <w:r>
        <w:rPr>
          <w:rFonts w:hint="eastAsia" w:ascii="宋体" w:hAnsi="宋体" w:eastAsia="宋体" w:cs="宋体"/>
          <w:bCs/>
          <w:color w:val="000000" w:themeColor="text1"/>
          <w:sz w:val="24"/>
          <w:szCs w:val="24"/>
          <w:highlight w:val="none"/>
          <w:lang w:eastAsia="zh-CN"/>
          <w14:textFill>
            <w14:solidFill>
              <w14:schemeClr w14:val="tx1"/>
            </w14:solidFill>
          </w14:textFill>
        </w:rPr>
        <w:t>产品设计、生产制造、包装、</w:t>
      </w:r>
      <w:r>
        <w:rPr>
          <w:rFonts w:hint="eastAsia" w:ascii="宋体" w:hAnsi="宋体" w:eastAsia="宋体" w:cs="宋体"/>
          <w:bCs/>
          <w:color w:val="000000" w:themeColor="text1"/>
          <w:sz w:val="24"/>
          <w:szCs w:val="24"/>
          <w:highlight w:val="none"/>
          <w14:textFill>
            <w14:solidFill>
              <w14:schemeClr w14:val="tx1"/>
            </w14:solidFill>
          </w14:textFill>
        </w:rPr>
        <w:t>运输、安装、调试、检验、培训、税金</w:t>
      </w:r>
      <w:r>
        <w:rPr>
          <w:rFonts w:hint="eastAsia" w:ascii="宋体" w:hAnsi="宋体" w:eastAsia="宋体" w:cs="宋体"/>
          <w:bCs/>
          <w:color w:val="000000" w:themeColor="text1"/>
          <w:sz w:val="24"/>
          <w:szCs w:val="24"/>
          <w:highlight w:val="none"/>
          <w:lang w:eastAsia="zh-CN"/>
          <w14:textFill>
            <w14:solidFill>
              <w14:schemeClr w14:val="tx1"/>
            </w14:solidFill>
          </w14:textFill>
        </w:rPr>
        <w:t>、</w:t>
      </w:r>
      <w:r>
        <w:rPr>
          <w:rFonts w:hint="eastAsia" w:ascii="宋体" w:hAnsi="宋体" w:eastAsia="宋体" w:cs="宋体"/>
          <w:bCs/>
          <w:color w:val="000000" w:themeColor="text1"/>
          <w:sz w:val="24"/>
          <w:szCs w:val="24"/>
          <w:highlight w:val="none"/>
          <w14:textFill>
            <w14:solidFill>
              <w14:schemeClr w14:val="tx1"/>
            </w14:solidFill>
          </w14:textFill>
        </w:rPr>
        <w:t>保险</w:t>
      </w:r>
      <w:r>
        <w:rPr>
          <w:rFonts w:hint="eastAsia" w:ascii="宋体" w:hAnsi="宋体" w:eastAsia="宋体" w:cs="宋体"/>
          <w:bCs/>
          <w:color w:val="000000" w:themeColor="text1"/>
          <w:sz w:val="24"/>
          <w:szCs w:val="24"/>
          <w:highlight w:val="none"/>
          <w:lang w:eastAsia="zh-CN"/>
          <w14:textFill>
            <w14:solidFill>
              <w14:schemeClr w14:val="tx1"/>
            </w14:solidFill>
          </w14:textFill>
        </w:rPr>
        <w:t>、招标代理服务费</w:t>
      </w:r>
      <w:r>
        <w:rPr>
          <w:rFonts w:hint="eastAsia" w:ascii="宋体" w:hAnsi="宋体" w:eastAsia="宋体" w:cs="宋体"/>
          <w:bCs/>
          <w:color w:val="000000" w:themeColor="text1"/>
          <w:sz w:val="24"/>
          <w:szCs w:val="24"/>
          <w:highlight w:val="none"/>
          <w14:textFill>
            <w14:solidFill>
              <w14:schemeClr w14:val="tx1"/>
            </w14:solidFill>
          </w14:textFill>
        </w:rPr>
        <w:t>等</w:t>
      </w:r>
      <w:r>
        <w:rPr>
          <w:rFonts w:hint="eastAsia" w:ascii="宋体" w:hAnsi="宋体" w:eastAsia="宋体" w:cs="宋体"/>
          <w:bCs/>
          <w:color w:val="000000" w:themeColor="text1"/>
          <w:sz w:val="24"/>
          <w:szCs w:val="24"/>
          <w:highlight w:val="none"/>
          <w:lang w:eastAsia="zh-CN"/>
          <w14:textFill>
            <w14:solidFill>
              <w14:schemeClr w14:val="tx1"/>
            </w14:solidFill>
          </w14:textFill>
        </w:rPr>
        <w:t>磋商文件</w:t>
      </w:r>
      <w:r>
        <w:rPr>
          <w:rFonts w:hint="eastAsia" w:ascii="宋体" w:hAnsi="宋体" w:eastAsia="宋体" w:cs="宋体"/>
          <w:bCs/>
          <w:color w:val="000000" w:themeColor="text1"/>
          <w:sz w:val="24"/>
          <w:szCs w:val="24"/>
          <w:highlight w:val="none"/>
          <w14:textFill>
            <w14:solidFill>
              <w14:schemeClr w14:val="tx1"/>
            </w14:solidFill>
          </w14:textFill>
        </w:rPr>
        <w:t>规定的</w:t>
      </w:r>
      <w:r>
        <w:rPr>
          <w:rFonts w:hint="eastAsia" w:ascii="宋体" w:hAnsi="宋体" w:eastAsia="宋体" w:cs="宋体"/>
          <w:bCs/>
          <w:color w:val="000000" w:themeColor="text1"/>
          <w:sz w:val="24"/>
          <w:szCs w:val="24"/>
          <w:highlight w:val="none"/>
          <w:lang w:eastAsia="zh-CN"/>
          <w14:textFill>
            <w14:solidFill>
              <w14:schemeClr w14:val="tx1"/>
            </w14:solidFill>
          </w14:textFill>
        </w:rPr>
        <w:t>所有</w:t>
      </w:r>
      <w:r>
        <w:rPr>
          <w:rFonts w:hint="eastAsia" w:ascii="宋体" w:hAnsi="宋体" w:eastAsia="宋体" w:cs="宋体"/>
          <w:bCs/>
          <w:color w:val="000000" w:themeColor="text1"/>
          <w:sz w:val="24"/>
          <w:szCs w:val="24"/>
          <w:highlight w:val="none"/>
          <w14:textFill>
            <w14:solidFill>
              <w14:schemeClr w14:val="tx1"/>
            </w14:solidFill>
          </w14:textFill>
        </w:rPr>
        <w:t>费用</w:t>
      </w:r>
      <w:r>
        <w:rPr>
          <w:rFonts w:hint="eastAsia" w:ascii="宋体" w:hAnsi="宋体" w:eastAsia="宋体" w:cs="宋体"/>
          <w:bCs/>
          <w:color w:val="000000" w:themeColor="text1"/>
          <w:sz w:val="24"/>
          <w:szCs w:val="24"/>
          <w:highlight w:val="none"/>
          <w:lang w:val="en-US" w:eastAsia="zh-CN"/>
          <w14:textFill>
            <w14:solidFill>
              <w14:schemeClr w14:val="tx1"/>
            </w14:solidFill>
          </w14:textFill>
        </w:rPr>
        <w:t>。</w:t>
      </w:r>
    </w:p>
    <w:p>
      <w:pPr>
        <w:snapToGrid w:val="0"/>
        <w:spacing w:line="360" w:lineRule="auto"/>
        <w:ind w:firstLine="480"/>
        <w:rPr>
          <w:rFonts w:hint="eastAsia"/>
          <w:color w:val="000000" w:themeColor="text1"/>
          <w:sz w:val="20"/>
          <w:szCs w:val="15"/>
          <w:highlight w:val="none"/>
          <w14:textFill>
            <w14:solidFill>
              <w14:schemeClr w14:val="tx1"/>
            </w14:solidFill>
          </w14:textFill>
        </w:rPr>
      </w:pPr>
      <w:r>
        <w:rPr>
          <w:rFonts w:hint="eastAsia" w:ascii="宋体" w:hAnsi="宋体" w:eastAsia="宋体" w:cs="宋体"/>
          <w:bCs/>
          <w:color w:val="000000" w:themeColor="text1"/>
          <w:sz w:val="24"/>
          <w:szCs w:val="24"/>
          <w:highlight w:val="none"/>
          <w:lang w:val="en-US" w:eastAsia="zh-CN"/>
          <w14:textFill>
            <w14:solidFill>
              <w14:schemeClr w14:val="tx1"/>
            </w14:solidFill>
          </w14:textFill>
        </w:rPr>
        <w:t>4.</w:t>
      </w:r>
      <w:r>
        <w:rPr>
          <w:rFonts w:hint="eastAsia" w:ascii="宋体" w:hAnsi="宋体" w:eastAsia="宋体" w:cs="宋体"/>
          <w:b/>
          <w:bCs w:val="0"/>
          <w:color w:val="000000" w:themeColor="text1"/>
          <w:sz w:val="24"/>
          <w:szCs w:val="24"/>
          <w:highlight w:val="none"/>
          <w:lang w:val="en-US" w:eastAsia="zh-CN"/>
          <w14:textFill>
            <w14:solidFill>
              <w14:schemeClr w14:val="tx1"/>
            </w14:solidFill>
          </w14:textFill>
        </w:rPr>
        <w:t>报价表需供应商法定代表人或代理人签字，并加盖供应商公章</w:t>
      </w:r>
      <w:r>
        <w:rPr>
          <w:rFonts w:hint="eastAsia" w:ascii="宋体" w:hAnsi="宋体" w:eastAsia="宋体" w:cs="宋体"/>
          <w:b/>
          <w:bCs w:val="0"/>
          <w:color w:val="000000" w:themeColor="text1"/>
          <w:sz w:val="24"/>
          <w:szCs w:val="24"/>
          <w:highlight w:val="none"/>
          <w:lang w:val="zh-CN" w:eastAsia="zh-CN"/>
          <w14:textFill>
            <w14:solidFill>
              <w14:schemeClr w14:val="tx1"/>
            </w14:solidFill>
          </w14:textFill>
        </w:rPr>
        <w:t>，</w:t>
      </w:r>
      <w:r>
        <w:rPr>
          <w:rFonts w:hint="eastAsia" w:hAnsi="宋体" w:cs="宋体"/>
          <w:b/>
          <w:bCs w:val="0"/>
          <w:color w:val="000000" w:themeColor="text1"/>
          <w:sz w:val="24"/>
          <w:szCs w:val="24"/>
          <w:highlight w:val="none"/>
          <w14:textFill>
            <w14:solidFill>
              <w14:schemeClr w14:val="tx1"/>
            </w14:solidFill>
          </w14:textFill>
        </w:rPr>
        <w:t>并自行密封</w:t>
      </w:r>
      <w:r>
        <w:rPr>
          <w:rFonts w:hint="eastAsia" w:hAnsi="宋体" w:cs="宋体"/>
          <w:b/>
          <w:bCs w:val="0"/>
          <w:color w:val="000000" w:themeColor="text1"/>
          <w:sz w:val="24"/>
          <w:szCs w:val="24"/>
          <w:highlight w:val="none"/>
          <w:lang w:val="zh-CN" w:eastAsia="zh-CN"/>
          <w14:textFill>
            <w14:solidFill>
              <w14:schemeClr w14:val="tx1"/>
            </w14:solidFill>
          </w14:textFill>
        </w:rPr>
        <w:t>递交</w:t>
      </w:r>
      <w:r>
        <w:rPr>
          <w:rFonts w:hint="eastAsia" w:ascii="宋体" w:hAnsi="宋体" w:eastAsia="宋体" w:cs="宋体"/>
          <w:b/>
          <w:bCs w:val="0"/>
          <w:color w:val="000000" w:themeColor="text1"/>
          <w:sz w:val="24"/>
          <w:szCs w:val="24"/>
          <w:highlight w:val="none"/>
          <w:lang w:val="zh-CN" w:eastAsia="zh-CN"/>
          <w14:textFill>
            <w14:solidFill>
              <w14:schemeClr w14:val="tx1"/>
            </w14:solidFill>
          </w14:textFill>
        </w:rPr>
        <w:t>。</w:t>
      </w:r>
    </w:p>
    <w:p>
      <w:pPr>
        <w:snapToGrid w:val="0"/>
        <w:spacing w:line="360" w:lineRule="auto"/>
        <w:ind w:firstLine="480"/>
        <w:rPr>
          <w:rFonts w:hint="eastAsia" w:ascii="宋体" w:hAnsi="宋体" w:eastAsia="宋体" w:cs="宋体"/>
          <w:bCs/>
          <w:color w:val="000000" w:themeColor="text1"/>
          <w:sz w:val="24"/>
          <w:szCs w:val="24"/>
          <w:highlight w:val="none"/>
          <w:lang w:val="en-US" w:eastAsia="zh-CN"/>
          <w14:textFill>
            <w14:solidFill>
              <w14:schemeClr w14:val="tx1"/>
            </w14:solidFill>
          </w14:textFill>
        </w:rPr>
        <w:sectPr>
          <w:pgSz w:w="11849" w:h="16781"/>
          <w:pgMar w:top="1440" w:right="1440" w:bottom="1440" w:left="1440" w:header="851" w:footer="992" w:gutter="0"/>
          <w:pgNumType w:fmt="numberInDash"/>
          <w:cols w:space="720" w:num="1"/>
          <w:titlePg/>
          <w:docGrid w:type="linesAndChars" w:linePitch="312" w:charSpace="1060"/>
        </w:sectPr>
      </w:pPr>
    </w:p>
    <w:p>
      <w:pPr>
        <w:pStyle w:val="5"/>
        <w:tabs>
          <w:tab w:val="left" w:pos="720"/>
        </w:tabs>
        <w:spacing w:before="0" w:after="0" w:line="400" w:lineRule="exact"/>
        <w:jc w:val="center"/>
        <w:rPr>
          <w:rFonts w:hint="eastAsia" w:ascii="宋体" w:hAnsi="宋体" w:eastAsia="宋体" w:cs="宋体"/>
          <w:bCs w:val="0"/>
          <w:color w:val="000000" w:themeColor="text1"/>
          <w:sz w:val="24"/>
          <w:szCs w:val="24"/>
          <w:highlight w:val="none"/>
          <w:lang w:val="zh-CN"/>
          <w14:textFill>
            <w14:solidFill>
              <w14:schemeClr w14:val="tx1"/>
            </w14:solidFill>
          </w14:textFill>
        </w:rPr>
      </w:pPr>
      <w:r>
        <w:rPr>
          <w:rFonts w:hint="eastAsia" w:ascii="宋体" w:hAnsi="宋体" w:eastAsia="宋体" w:cs="宋体"/>
          <w:bCs w:val="0"/>
          <w:color w:val="000000" w:themeColor="text1"/>
          <w:sz w:val="24"/>
          <w:szCs w:val="24"/>
          <w:highlight w:val="none"/>
          <w:lang w:val="zh-CN"/>
          <w14:textFill>
            <w14:solidFill>
              <w14:schemeClr w14:val="tx1"/>
            </w14:solidFill>
          </w14:textFill>
        </w:rPr>
        <w:t>三、技术条款偏离表</w:t>
      </w:r>
    </w:p>
    <w:p>
      <w:pPr>
        <w:spacing w:line="360" w:lineRule="auto"/>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p>
    <w:p>
      <w:pPr>
        <w:spacing w:line="360" w:lineRule="auto"/>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项目名称：</w:t>
      </w:r>
    </w:p>
    <w:p>
      <w:pPr>
        <w:spacing w:line="360" w:lineRule="auto"/>
        <w:ind w:firstLine="245"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项目编号：</w:t>
      </w:r>
      <w:r>
        <w:rPr>
          <w:rFonts w:hint="eastAsia" w:ascii="宋体" w:hAnsi="宋体" w:eastAsia="宋体" w:cs="宋体"/>
          <w:color w:val="000000" w:themeColor="text1"/>
          <w:highlight w:val="none"/>
          <w14:textFill>
            <w14:solidFill>
              <w14:schemeClr w14:val="tx1"/>
            </w14:solidFill>
          </w14:textFill>
        </w:rPr>
        <w:t xml:space="preserve">                                                </w:t>
      </w:r>
    </w:p>
    <w:tbl>
      <w:tblPr>
        <w:tblStyle w:val="30"/>
        <w:tblW w:w="9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1288"/>
        <w:gridCol w:w="2878"/>
        <w:gridCol w:w="2758"/>
        <w:gridCol w:w="16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序号</w:t>
            </w:r>
          </w:p>
        </w:tc>
        <w:tc>
          <w:tcPr>
            <w:tcW w:w="1288" w:type="dxa"/>
            <w:vAlign w:val="center"/>
          </w:tcPr>
          <w:p>
            <w:pPr>
              <w:spacing w:line="36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产品名称</w:t>
            </w:r>
          </w:p>
        </w:tc>
        <w:tc>
          <w:tcPr>
            <w:tcW w:w="2878"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磋商文件的技术参数条款</w:t>
            </w:r>
          </w:p>
        </w:tc>
        <w:tc>
          <w:tcPr>
            <w:tcW w:w="2758" w:type="dxa"/>
            <w:vAlign w:val="center"/>
          </w:tcPr>
          <w:p>
            <w:pPr>
              <w:spacing w:line="360" w:lineRule="auto"/>
              <w:jc w:val="center"/>
              <w:rPr>
                <w:rFonts w:hint="eastAsia" w:ascii="宋体" w:hAnsi="宋体" w:eastAsia="宋体" w:cs="宋体"/>
                <w:color w:val="000000" w:themeColor="text1"/>
                <w:szCs w:val="21"/>
                <w:highlight w:val="none"/>
                <w:lang w:eastAsia="zh-CN"/>
                <w14:textFill>
                  <w14:solidFill>
                    <w14:schemeClr w14:val="tx1"/>
                  </w14:solidFill>
                </w14:textFill>
              </w:rPr>
            </w:pPr>
            <w:r>
              <w:rPr>
                <w:rFonts w:hint="eastAsia" w:ascii="宋体" w:hAnsi="宋体" w:eastAsia="宋体" w:cs="宋体"/>
                <w:color w:val="000000" w:themeColor="text1"/>
                <w:szCs w:val="21"/>
                <w:highlight w:val="none"/>
                <w:lang w:eastAsia="zh-CN"/>
                <w14:textFill>
                  <w14:solidFill>
                    <w14:schemeClr w14:val="tx1"/>
                  </w14:solidFill>
                </w14:textFill>
              </w:rPr>
              <w:t>技术参数条款响应</w:t>
            </w:r>
          </w:p>
        </w:tc>
        <w:tc>
          <w:tcPr>
            <w:tcW w:w="1607" w:type="dxa"/>
            <w:vAlign w:val="center"/>
          </w:tcPr>
          <w:p>
            <w:pPr>
              <w:spacing w:line="360" w:lineRule="auto"/>
              <w:jc w:val="center"/>
              <w:rPr>
                <w:rFonts w:hint="eastAsia" w:ascii="宋体" w:hAnsi="宋体" w:eastAsia="宋体" w:cs="宋体"/>
                <w:color w:val="000000" w:themeColor="text1"/>
                <w:szCs w:val="21"/>
                <w:highlight w:val="none"/>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满足或偏离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607"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607"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607"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607"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607"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607"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exact"/>
          <w:jc w:val="center"/>
        </w:trPr>
        <w:tc>
          <w:tcPr>
            <w:tcW w:w="705"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28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87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2758"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c>
          <w:tcPr>
            <w:tcW w:w="1607" w:type="dxa"/>
          </w:tcPr>
          <w:p>
            <w:pPr>
              <w:spacing w:line="360" w:lineRule="auto"/>
              <w:rPr>
                <w:rFonts w:hint="eastAsia" w:ascii="宋体" w:hAnsi="宋体" w:eastAsia="宋体" w:cs="宋体"/>
                <w:color w:val="000000" w:themeColor="text1"/>
                <w:szCs w:val="21"/>
                <w:highlight w:val="none"/>
                <w14:textFill>
                  <w14:solidFill>
                    <w14:schemeClr w14:val="tx1"/>
                  </w14:solidFill>
                </w14:textFill>
              </w:rPr>
            </w:pPr>
          </w:p>
        </w:tc>
      </w:tr>
    </w:tbl>
    <w:p>
      <w:pPr>
        <w:spacing w:line="360" w:lineRule="auto"/>
        <w:ind w:firstLine="215"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注：1.供应商必须根据磋商文件</w:t>
      </w:r>
      <w:r>
        <w:rPr>
          <w:rFonts w:hint="eastAsia" w:ascii="宋体" w:hAnsi="宋体" w:cs="宋体"/>
          <w:color w:val="000000" w:themeColor="text1"/>
          <w:highlight w:val="none"/>
          <w:lang w:eastAsia="zh-CN"/>
          <w14:textFill>
            <w14:solidFill>
              <w14:schemeClr w14:val="tx1"/>
            </w14:solidFill>
          </w14:textFill>
        </w:rPr>
        <w:t>“第五章</w:t>
      </w:r>
      <w:r>
        <w:rPr>
          <w:rFonts w:hint="eastAsia" w:ascii="宋体" w:hAnsi="宋体" w:cs="宋体"/>
          <w:color w:val="000000" w:themeColor="text1"/>
          <w:highlight w:val="none"/>
          <w:lang w:val="en-US" w:eastAsia="zh-CN"/>
          <w14:textFill>
            <w14:solidFill>
              <w14:schemeClr w14:val="tx1"/>
            </w14:solidFill>
          </w14:textFill>
        </w:rPr>
        <w:t xml:space="preserve"> 采购项目技术、服务及其他商务</w:t>
      </w:r>
      <w:r>
        <w:rPr>
          <w:rFonts w:hint="eastAsia" w:ascii="宋体" w:hAnsi="宋体" w:eastAsia="宋体" w:cs="宋体"/>
          <w:color w:val="000000" w:themeColor="text1"/>
          <w:highlight w:val="none"/>
          <w14:textFill>
            <w14:solidFill>
              <w14:schemeClr w14:val="tx1"/>
            </w14:solidFill>
          </w14:textFill>
        </w:rPr>
        <w:t>要求</w:t>
      </w:r>
      <w:r>
        <w:rPr>
          <w:rFonts w:hint="eastAsia" w:ascii="宋体" w:hAnsi="宋体" w:cs="宋体"/>
          <w:color w:val="000000" w:themeColor="text1"/>
          <w:highlight w:val="none"/>
          <w:lang w:val="en-US" w:eastAsia="zh-CN"/>
          <w14:textFill>
            <w14:solidFill>
              <w14:schemeClr w14:val="tx1"/>
            </w14:solidFill>
          </w14:textFill>
        </w:rPr>
        <w:t xml:space="preserve"> 二、技术要求、服务内容及范围”的要求</w:t>
      </w:r>
      <w:r>
        <w:rPr>
          <w:rFonts w:hint="eastAsia" w:ascii="宋体" w:hAnsi="宋体" w:eastAsia="宋体" w:cs="宋体"/>
          <w:color w:val="000000" w:themeColor="text1"/>
          <w:highlight w:val="none"/>
          <w14:textFill>
            <w14:solidFill>
              <w14:schemeClr w14:val="tx1"/>
            </w14:solidFill>
          </w14:textFill>
        </w:rPr>
        <w:t>据实逐条填写，不得虚假响应，虚假响应的，其响应文件无效并按规定追究其相关责任。</w:t>
      </w:r>
    </w:p>
    <w:p>
      <w:pPr>
        <w:pStyle w:val="14"/>
        <w:ind w:firstLine="0"/>
        <w:rPr>
          <w:rFonts w:hint="eastAsia" w:ascii="宋体" w:hAnsi="宋体" w:eastAsia="宋体" w:cs="宋体"/>
          <w:color w:val="000000" w:themeColor="text1"/>
          <w:sz w:val="40"/>
          <w:szCs w:val="32"/>
          <w:highlight w:val="none"/>
          <w14:textFill>
            <w14:solidFill>
              <w14:schemeClr w14:val="tx1"/>
            </w14:solidFill>
          </w14:textFill>
        </w:rPr>
      </w:pPr>
    </w:p>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pStyle w:val="5"/>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 w:val="0"/>
          <w:bCs w:val="0"/>
          <w:color w:val="000000" w:themeColor="text1"/>
          <w:sz w:val="32"/>
          <w:szCs w:val="32"/>
          <w:highlight w:val="none"/>
          <w14:textFill>
            <w14:solidFill>
              <w14:schemeClr w14:val="tx1"/>
            </w14:solidFill>
          </w14:textFill>
        </w:rPr>
        <w:br w:type="page"/>
      </w: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四、商务应答表</w:t>
      </w:r>
    </w:p>
    <w:p>
      <w:pPr>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p>
    <w:p>
      <w:pPr>
        <w:spacing w:line="360" w:lineRule="auto"/>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项目名称：</w:t>
      </w:r>
    </w:p>
    <w:p>
      <w:pPr>
        <w:spacing w:line="360" w:lineRule="auto"/>
        <w:ind w:firstLine="245" w:firstLineChars="100"/>
        <w:rPr>
          <w:rFonts w:hint="eastAsia" w:ascii="宋体" w:hAnsi="宋体" w:eastAsia="宋体" w:cs="宋体"/>
          <w:color w:val="000000" w:themeColor="text1"/>
          <w:highlight w:val="none"/>
          <w:u w:val="single"/>
          <w:lang w:val="zh-CN"/>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项目编号：</w:t>
      </w:r>
      <w:r>
        <w:rPr>
          <w:rFonts w:hint="eastAsia" w:ascii="宋体" w:hAnsi="宋体" w:eastAsia="宋体" w:cs="宋体"/>
          <w:color w:val="000000" w:themeColor="text1"/>
          <w:highlight w:val="none"/>
          <w14:textFill>
            <w14:solidFill>
              <w14:schemeClr w14:val="tx1"/>
            </w14:solidFill>
          </w14:textFill>
        </w:rPr>
        <w:t xml:space="preserve">             </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3"/>
        <w:gridCol w:w="3756"/>
        <w:gridCol w:w="3220"/>
        <w:gridCol w:w="1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exact"/>
          <w:jc w:val="center"/>
        </w:trPr>
        <w:tc>
          <w:tcPr>
            <w:tcW w:w="723" w:type="dxa"/>
            <w:vAlign w:val="center"/>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序号</w:t>
            </w:r>
          </w:p>
        </w:tc>
        <w:tc>
          <w:tcPr>
            <w:tcW w:w="3756" w:type="dxa"/>
            <w:vAlign w:val="center"/>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lang w:val="zh-CN"/>
                <w14:textFill>
                  <w14:solidFill>
                    <w14:schemeClr w14:val="tx1"/>
                  </w14:solidFill>
                </w14:textFill>
              </w:rPr>
              <w:t>磋商文件的商务要求</w:t>
            </w:r>
          </w:p>
        </w:tc>
        <w:tc>
          <w:tcPr>
            <w:tcW w:w="3220" w:type="dxa"/>
            <w:vAlign w:val="center"/>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商务条款响应</w:t>
            </w:r>
          </w:p>
        </w:tc>
        <w:tc>
          <w:tcPr>
            <w:tcW w:w="1785" w:type="dxa"/>
            <w:vAlign w:val="center"/>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r>
              <w:rPr>
                <w:rFonts w:hint="eastAsia" w:ascii="宋体" w:hAnsi="宋体" w:eastAsia="宋体" w:cs="宋体"/>
                <w:color w:val="000000" w:themeColor="text1"/>
                <w:szCs w:val="21"/>
                <w:highlight w:val="none"/>
                <w14:textFill>
                  <w14:solidFill>
                    <w14:schemeClr w14:val="tx1"/>
                  </w14:solidFill>
                </w14:textFill>
              </w:rPr>
              <w:t>满足或偏离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756"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220"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1785"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756"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220"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1785"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756"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3220"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c>
          <w:tcPr>
            <w:tcW w:w="1785" w:type="dxa"/>
          </w:tcPr>
          <w:p>
            <w:pPr>
              <w:autoSpaceDE w:val="0"/>
              <w:autoSpaceDN w:val="0"/>
              <w:adjustRightInd w:val="0"/>
              <w:jc w:val="center"/>
              <w:rPr>
                <w:rFonts w:hint="eastAsia" w:ascii="宋体" w:hAnsi="宋体" w:eastAsia="宋体" w:cs="宋体"/>
                <w:color w:val="000000" w:themeColor="text1"/>
                <w:highlight w:val="none"/>
                <w:lang w:val="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756"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220"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1785"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756"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220"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1785"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756"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220"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1785"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exact"/>
          <w:jc w:val="center"/>
        </w:trPr>
        <w:tc>
          <w:tcPr>
            <w:tcW w:w="723"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756"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3220"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c>
          <w:tcPr>
            <w:tcW w:w="1785" w:type="dxa"/>
          </w:tcPr>
          <w:p>
            <w:pPr>
              <w:autoSpaceDE w:val="0"/>
              <w:autoSpaceDN w:val="0"/>
              <w:adjustRightInd w:val="0"/>
              <w:ind w:firstLine="480"/>
              <w:jc w:val="left"/>
              <w:rPr>
                <w:rFonts w:hint="eastAsia" w:ascii="宋体" w:hAnsi="宋体" w:eastAsia="宋体" w:cs="宋体"/>
                <w:color w:val="000000" w:themeColor="text1"/>
                <w:highlight w:val="none"/>
                <w14:textFill>
                  <w14:solidFill>
                    <w14:schemeClr w14:val="tx1"/>
                  </w14:solidFill>
                </w14:textFill>
              </w:rPr>
            </w:pPr>
          </w:p>
        </w:tc>
      </w:tr>
    </w:tbl>
    <w:p>
      <w:pPr>
        <w:spacing w:line="360" w:lineRule="auto"/>
        <w:ind w:firstLine="480"/>
        <w:rPr>
          <w:rFonts w:hint="eastAsia" w:ascii="宋体" w:hAnsi="宋体" w:eastAsia="宋体" w:cs="宋体"/>
          <w:color w:val="000000" w:themeColor="text1"/>
          <w:szCs w:val="32"/>
          <w:highlight w:val="none"/>
          <w14:textFill>
            <w14:solidFill>
              <w14:schemeClr w14:val="tx1"/>
            </w14:solidFill>
          </w14:textFill>
        </w:rPr>
      </w:pPr>
      <w:r>
        <w:rPr>
          <w:rFonts w:hint="eastAsia" w:ascii="宋体" w:hAnsi="宋体" w:eastAsia="宋体" w:cs="宋体"/>
          <w:color w:val="000000" w:themeColor="text1"/>
          <w:szCs w:val="32"/>
          <w:highlight w:val="none"/>
          <w14:textFill>
            <w14:solidFill>
              <w14:schemeClr w14:val="tx1"/>
            </w14:solidFill>
          </w14:textFill>
        </w:rPr>
        <w:t>注：1.本表只填写响应文件中与磋商文件有偏离（包括正偏离和负偏离）的内容，响应文件中商务响应与磋商文件要求完全一致的，不用在此表中列出。未明确偏离的条款，视为默认接受，供应商不得籍未作应答而拒不接受。</w:t>
      </w:r>
    </w:p>
    <w:p>
      <w:pPr>
        <w:spacing w:line="360" w:lineRule="auto"/>
        <w:ind w:firstLine="480"/>
        <w:rPr>
          <w:rFonts w:hint="eastAsia" w:ascii="宋体" w:hAnsi="宋体" w:eastAsia="宋体" w:cs="宋体"/>
          <w:color w:val="000000" w:themeColor="text1"/>
          <w:szCs w:val="32"/>
          <w:highlight w:val="none"/>
          <w14:textFill>
            <w14:solidFill>
              <w14:schemeClr w14:val="tx1"/>
            </w14:solidFill>
          </w14:textFill>
        </w:rPr>
      </w:pPr>
      <w:r>
        <w:rPr>
          <w:rFonts w:hint="eastAsia" w:ascii="宋体" w:hAnsi="宋体" w:eastAsia="宋体" w:cs="宋体"/>
          <w:color w:val="000000" w:themeColor="text1"/>
          <w:szCs w:val="32"/>
          <w:highlight w:val="none"/>
          <w14:textFill>
            <w14:solidFill>
              <w14:schemeClr w14:val="tx1"/>
            </w14:solidFill>
          </w14:textFill>
        </w:rPr>
        <w:t>2.供应商须据实填写，不得虚假响应。</w:t>
      </w:r>
    </w:p>
    <w:p>
      <w:pPr>
        <w:pStyle w:val="29"/>
        <w:ind w:left="480" w:leftChars="0" w:firstLine="0"/>
        <w:rPr>
          <w:rFonts w:hint="eastAsia" w:ascii="宋体" w:hAnsi="宋体" w:eastAsia="宋体" w:cs="宋体"/>
          <w:color w:val="000000" w:themeColor="text1"/>
          <w:highlight w:val="none"/>
          <w14:textFill>
            <w14:solidFill>
              <w14:schemeClr w14:val="tx1"/>
            </w14:solidFill>
          </w14:textFill>
        </w:rPr>
      </w:pPr>
    </w:p>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sectPr>
          <w:pgSz w:w="11849" w:h="16781"/>
          <w:pgMar w:top="1440" w:right="1440" w:bottom="1440" w:left="1440" w:header="851" w:footer="992" w:gutter="0"/>
          <w:pgNumType w:fmt="numberInDash"/>
          <w:cols w:space="720" w:num="1"/>
          <w:titlePg/>
          <w:docGrid w:type="linesAndChars" w:linePitch="312" w:charSpace="1060"/>
        </w:sect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pStyle w:val="5"/>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五、供应商本项目管理、技术及其他服务人员情况表</w:t>
      </w:r>
    </w:p>
    <w:p>
      <w:pPr>
        <w:ind w:firstLine="215" w:firstLineChars="100"/>
        <w:rPr>
          <w:rFonts w:hint="eastAsia" w:ascii="宋体" w:hAnsi="宋体" w:eastAsia="宋体" w:cs="宋体"/>
          <w:color w:val="000000" w:themeColor="text1"/>
          <w:highlight w:val="none"/>
          <w14:textFill>
            <w14:solidFill>
              <w14:schemeClr w14:val="tx1"/>
            </w14:solidFill>
          </w14:textFill>
        </w:rPr>
      </w:pPr>
    </w:p>
    <w:p>
      <w:pPr>
        <w:spacing w:line="360" w:lineRule="auto"/>
        <w:ind w:firstLine="245" w:firstLineChars="100"/>
        <w:rPr>
          <w:rFonts w:hint="eastAsia" w:ascii="宋体" w:hAnsi="宋体" w:eastAsia="宋体" w:cs="宋体"/>
          <w:color w:val="000000" w:themeColor="text1"/>
          <w:sz w:val="24"/>
          <w:szCs w:val="32"/>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项目名称：</w:t>
      </w:r>
    </w:p>
    <w:p>
      <w:pPr>
        <w:spacing w:line="360" w:lineRule="auto"/>
        <w:ind w:firstLine="245" w:firstLineChars="1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szCs w:val="32"/>
          <w:highlight w:val="none"/>
          <w14:textFill>
            <w14:solidFill>
              <w14:schemeClr w14:val="tx1"/>
            </w14:solidFill>
          </w14:textFill>
        </w:rPr>
        <w:t>项目编号：</w:t>
      </w:r>
      <w:r>
        <w:rPr>
          <w:rFonts w:hint="eastAsia" w:ascii="宋体" w:hAnsi="宋体" w:eastAsia="宋体" w:cs="宋体"/>
          <w:color w:val="000000" w:themeColor="text1"/>
          <w:highlight w:val="none"/>
          <w14:textFill>
            <w14:solidFill>
              <w14:schemeClr w14:val="tx1"/>
            </w14:solidFill>
          </w14:textFill>
        </w:rPr>
        <w:t xml:space="preserve">  </w:t>
      </w:r>
    </w:p>
    <w:tbl>
      <w:tblPr>
        <w:tblStyle w:val="30"/>
        <w:tblW w:w="990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7"/>
        <w:gridCol w:w="1379"/>
        <w:gridCol w:w="1379"/>
        <w:gridCol w:w="1797"/>
        <w:gridCol w:w="1264"/>
        <w:gridCol w:w="1439"/>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vMerge w:val="restart"/>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拟任职务</w:t>
            </w:r>
          </w:p>
        </w:tc>
        <w:tc>
          <w:tcPr>
            <w:tcW w:w="1379" w:type="dxa"/>
            <w:vMerge w:val="restart"/>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姓名</w:t>
            </w:r>
          </w:p>
        </w:tc>
        <w:tc>
          <w:tcPr>
            <w:tcW w:w="1379" w:type="dxa"/>
            <w:vMerge w:val="restart"/>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职称</w:t>
            </w:r>
          </w:p>
        </w:tc>
        <w:tc>
          <w:tcPr>
            <w:tcW w:w="5765" w:type="dxa"/>
            <w:gridSpan w:val="4"/>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资格证明（附扫描件）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vMerge w:val="continue"/>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vMerge w:val="continue"/>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vMerge w:val="continue"/>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证书名称</w:t>
            </w:r>
          </w:p>
        </w:tc>
        <w:tc>
          <w:tcPr>
            <w:tcW w:w="1264" w:type="dxa"/>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级别</w:t>
            </w:r>
          </w:p>
        </w:tc>
        <w:tc>
          <w:tcPr>
            <w:tcW w:w="1439" w:type="dxa"/>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证号</w:t>
            </w:r>
          </w:p>
        </w:tc>
        <w:tc>
          <w:tcPr>
            <w:tcW w:w="1265" w:type="dxa"/>
            <w:vAlign w:val="center"/>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6" w:hRule="atLeast"/>
          <w:jc w:val="center"/>
        </w:trPr>
        <w:tc>
          <w:tcPr>
            <w:tcW w:w="1377" w:type="dxa"/>
          </w:tcPr>
          <w:p>
            <w:pPr>
              <w:spacing w:line="440" w:lineRule="exac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37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797"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264"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439"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c>
          <w:tcPr>
            <w:tcW w:w="1265" w:type="dxa"/>
          </w:tcPr>
          <w:p>
            <w:pPr>
              <w:spacing w:line="440" w:lineRule="exact"/>
              <w:jc w:val="center"/>
              <w:rPr>
                <w:rFonts w:hint="eastAsia" w:ascii="宋体" w:hAnsi="宋体" w:eastAsia="宋体" w:cs="宋体"/>
                <w:b/>
                <w:bCs/>
                <w:color w:val="000000" w:themeColor="text1"/>
                <w:sz w:val="24"/>
                <w:szCs w:val="24"/>
                <w:highlight w:val="none"/>
                <w14:textFill>
                  <w14:solidFill>
                    <w14:schemeClr w14:val="tx1"/>
                  </w14:solidFill>
                </w14:textFill>
              </w:rPr>
            </w:pPr>
          </w:p>
        </w:tc>
      </w:tr>
    </w:tbl>
    <w:p>
      <w:pPr>
        <w:spacing w:line="360" w:lineRule="auto"/>
        <w:rPr>
          <w:rFonts w:hint="eastAsia" w:ascii="宋体" w:hAnsi="宋体" w:eastAsia="宋体" w:cs="宋体"/>
          <w:color w:val="000000" w:themeColor="text1"/>
          <w:szCs w:val="32"/>
          <w:highlight w:val="none"/>
          <w14:textFill>
            <w14:solidFill>
              <w14:schemeClr w14:val="tx1"/>
            </w14:solidFill>
          </w14:textFill>
        </w:rPr>
      </w:pPr>
      <w:r>
        <w:rPr>
          <w:rFonts w:hint="eastAsia" w:ascii="宋体" w:hAnsi="宋体" w:eastAsia="宋体" w:cs="宋体"/>
          <w:color w:val="000000" w:themeColor="text1"/>
          <w:szCs w:val="32"/>
          <w:highlight w:val="none"/>
          <w14:textFill>
            <w14:solidFill>
              <w14:schemeClr w14:val="tx1"/>
            </w14:solidFill>
          </w14:textFill>
        </w:rPr>
        <w:t>注：1、供应商在此表中填报拟用于本项目的人员配备情况</w:t>
      </w:r>
      <w:r>
        <w:rPr>
          <w:rFonts w:hint="eastAsia" w:ascii="宋体" w:hAnsi="宋体" w:cs="宋体"/>
          <w:color w:val="000000" w:themeColor="text1"/>
          <w:szCs w:val="32"/>
          <w:highlight w:val="none"/>
          <w:lang w:eastAsia="zh-CN"/>
          <w14:textFill>
            <w14:solidFill>
              <w14:schemeClr w14:val="tx1"/>
            </w14:solidFill>
          </w14:textFill>
        </w:rPr>
        <w:t>；</w:t>
      </w:r>
    </w:p>
    <w:p>
      <w:pPr>
        <w:spacing w:line="360" w:lineRule="auto"/>
        <w:rPr>
          <w:rFonts w:hint="eastAsia" w:ascii="宋体" w:hAnsi="宋体" w:eastAsia="宋体" w:cs="宋体"/>
          <w:color w:val="000000" w:themeColor="text1"/>
          <w:szCs w:val="32"/>
          <w:highlight w:val="none"/>
          <w14:textFill>
            <w14:solidFill>
              <w14:schemeClr w14:val="tx1"/>
            </w14:solidFill>
          </w14:textFill>
        </w:rPr>
      </w:pPr>
      <w:r>
        <w:rPr>
          <w:rFonts w:hint="eastAsia" w:ascii="宋体" w:hAnsi="宋体" w:eastAsia="宋体" w:cs="宋体"/>
          <w:color w:val="000000" w:themeColor="text1"/>
          <w:szCs w:val="32"/>
          <w:highlight w:val="none"/>
          <w14:textFill>
            <w14:solidFill>
              <w14:schemeClr w14:val="tx1"/>
            </w14:solidFill>
          </w14:textFill>
        </w:rPr>
        <w:t>2、如未提供人员的相关证明材料可能会影响供应商的得分,但并不影响响应文件的有效性。</w:t>
      </w:r>
    </w:p>
    <w:p>
      <w:pPr>
        <w:spacing w:line="360" w:lineRule="auto"/>
        <w:ind w:firstLine="480"/>
        <w:rPr>
          <w:rFonts w:hint="eastAsia" w:ascii="宋体" w:hAnsi="宋体" w:eastAsia="宋体" w:cs="宋体"/>
          <w:color w:val="000000" w:themeColor="text1"/>
          <w:highlight w:val="none"/>
          <w14:textFill>
            <w14:solidFill>
              <w14:schemeClr w14:val="tx1"/>
            </w14:solidFill>
          </w14:textFill>
        </w:rPr>
      </w:pPr>
    </w:p>
    <w:p>
      <w:pPr>
        <w:tabs>
          <w:tab w:val="left" w:pos="1080"/>
        </w:tabs>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360" w:lineRule="auto"/>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autoSpaceDE w:val="0"/>
        <w:autoSpaceDN w:val="0"/>
        <w:adjustRightInd w:val="0"/>
        <w:spacing w:line="440" w:lineRule="exact"/>
        <w:ind w:firstLine="480"/>
        <w:jc w:val="left"/>
        <w:rPr>
          <w:rFonts w:hint="eastAsia" w:ascii="宋体" w:hAnsi="宋体" w:eastAsia="宋体" w:cs="宋体"/>
          <w:b/>
          <w:bCs/>
          <w:color w:val="000000" w:themeColor="text1"/>
          <w:sz w:val="28"/>
          <w:szCs w:val="28"/>
          <w:highlight w:val="none"/>
          <w14:textFill>
            <w14:solidFill>
              <w14:schemeClr w14:val="tx1"/>
            </w14:solidFill>
          </w14:textFill>
        </w:rPr>
        <w:sectPr>
          <w:pgSz w:w="11849" w:h="16781"/>
          <w:pgMar w:top="1440" w:right="1440" w:bottom="1440" w:left="1440" w:header="851" w:footer="992" w:gutter="0"/>
          <w:pgNumType w:fmt="numberInDash"/>
          <w:cols w:space="720" w:num="1"/>
          <w:titlePg/>
          <w:docGrid w:type="linesAndChars" w:linePitch="312" w:charSpace="1060"/>
        </w:sectPr>
      </w:pPr>
    </w:p>
    <w:p>
      <w:pPr>
        <w:pStyle w:val="5"/>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六、供应商类似项目业绩一览表</w:t>
      </w:r>
    </w:p>
    <w:p>
      <w:pPr>
        <w:spacing w:line="400" w:lineRule="exact"/>
        <w:rPr>
          <w:rFonts w:hint="eastAsia" w:ascii="宋体" w:hAnsi="宋体" w:eastAsia="宋体" w:cs="宋体"/>
          <w:color w:val="000000" w:themeColor="text1"/>
          <w:sz w:val="24"/>
          <w:highlight w:val="none"/>
          <w14:textFill>
            <w14:solidFill>
              <w14:schemeClr w14:val="tx1"/>
            </w14:solidFill>
          </w14:textFill>
        </w:rPr>
      </w:pPr>
    </w:p>
    <w:tbl>
      <w:tblPr>
        <w:tblStyle w:val="30"/>
        <w:tblW w:w="918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948"/>
        <w:gridCol w:w="1897"/>
        <w:gridCol w:w="1740"/>
        <w:gridCol w:w="1531"/>
        <w:gridCol w:w="1955"/>
        <w:gridCol w:w="1111"/>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756" w:hRule="atLeast"/>
          <w:jc w:val="center"/>
        </w:trPr>
        <w:tc>
          <w:tcPr>
            <w:tcW w:w="948" w:type="dxa"/>
            <w:tcBorders>
              <w:top w:val="single" w:color="auto" w:sz="4" w:space="0"/>
              <w:left w:val="single" w:color="auto" w:sz="4"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时间</w:t>
            </w:r>
          </w:p>
        </w:tc>
        <w:tc>
          <w:tcPr>
            <w:tcW w:w="1897" w:type="dxa"/>
            <w:tcBorders>
              <w:top w:val="single" w:color="auto" w:sz="4" w:space="0"/>
              <w:left w:val="single" w:color="auto" w:sz="6"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业主单位名称</w:t>
            </w:r>
          </w:p>
        </w:tc>
        <w:tc>
          <w:tcPr>
            <w:tcW w:w="1740" w:type="dxa"/>
            <w:tcBorders>
              <w:top w:val="single" w:color="auto" w:sz="4" w:space="0"/>
              <w:left w:val="single" w:color="auto" w:sz="6"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项目名称</w:t>
            </w:r>
          </w:p>
        </w:tc>
        <w:tc>
          <w:tcPr>
            <w:tcW w:w="1531" w:type="dxa"/>
            <w:tcBorders>
              <w:top w:val="single" w:color="auto" w:sz="4" w:space="0"/>
              <w:left w:val="single" w:color="auto" w:sz="6"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完成时间</w:t>
            </w:r>
          </w:p>
        </w:tc>
        <w:tc>
          <w:tcPr>
            <w:tcW w:w="1955" w:type="dxa"/>
            <w:tcBorders>
              <w:top w:val="single" w:color="auto" w:sz="4" w:space="0"/>
              <w:left w:val="single" w:color="auto" w:sz="6" w:space="0"/>
              <w:bottom w:val="single" w:color="auto" w:sz="6" w:space="0"/>
              <w:right w:val="single" w:color="auto" w:sz="4"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合同金额（元）</w:t>
            </w:r>
          </w:p>
        </w:tc>
        <w:tc>
          <w:tcPr>
            <w:tcW w:w="1111" w:type="dxa"/>
            <w:tcBorders>
              <w:top w:val="single" w:color="auto" w:sz="4" w:space="0"/>
              <w:left w:val="single" w:color="auto" w:sz="4" w:space="0"/>
              <w:bottom w:val="single" w:color="auto" w:sz="6" w:space="0"/>
              <w:right w:val="single" w:color="auto" w:sz="6" w:space="0"/>
            </w:tcBorders>
            <w:vAlign w:val="center"/>
          </w:tcPr>
          <w:p>
            <w:pPr>
              <w:spacing w:line="360" w:lineRule="atLeast"/>
              <w:jc w:val="center"/>
              <w:outlineLvl w:val="1"/>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44" w:hRule="atLeast"/>
          <w:jc w:val="center"/>
        </w:trPr>
        <w:tc>
          <w:tcPr>
            <w:tcW w:w="948" w:type="dxa"/>
            <w:tcBorders>
              <w:top w:val="single" w:color="auto" w:sz="6" w:space="0"/>
              <w:left w:val="single" w:color="auto" w:sz="4"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6"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6"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72" w:hRule="atLeast"/>
          <w:jc w:val="center"/>
        </w:trPr>
        <w:tc>
          <w:tcPr>
            <w:tcW w:w="948" w:type="dxa"/>
            <w:tcBorders>
              <w:top w:val="single" w:color="auto" w:sz="6" w:space="0"/>
              <w:left w:val="single" w:color="auto" w:sz="4" w:space="0"/>
              <w:bottom w:val="single" w:color="auto" w:sz="4"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897" w:type="dxa"/>
            <w:tcBorders>
              <w:top w:val="single" w:color="auto" w:sz="6" w:space="0"/>
              <w:left w:val="single" w:color="auto" w:sz="6" w:space="0"/>
              <w:bottom w:val="single" w:color="auto" w:sz="4"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740" w:type="dxa"/>
            <w:tcBorders>
              <w:top w:val="single" w:color="auto" w:sz="6" w:space="0"/>
              <w:left w:val="single" w:color="auto" w:sz="6" w:space="0"/>
              <w:bottom w:val="single" w:color="auto" w:sz="4"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531" w:type="dxa"/>
            <w:tcBorders>
              <w:top w:val="single" w:color="auto" w:sz="6" w:space="0"/>
              <w:left w:val="single" w:color="auto" w:sz="6" w:space="0"/>
              <w:bottom w:val="single" w:color="auto" w:sz="4" w:space="0"/>
              <w:right w:val="single" w:color="auto" w:sz="6"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955" w:type="dxa"/>
            <w:tcBorders>
              <w:top w:val="single" w:color="auto" w:sz="6" w:space="0"/>
              <w:left w:val="single" w:color="auto" w:sz="6" w:space="0"/>
              <w:bottom w:val="single" w:color="auto" w:sz="4"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c>
          <w:tcPr>
            <w:tcW w:w="1111" w:type="dxa"/>
            <w:tcBorders>
              <w:top w:val="single" w:color="auto" w:sz="6" w:space="0"/>
              <w:left w:val="single" w:color="auto" w:sz="4" w:space="0"/>
              <w:bottom w:val="single" w:color="auto" w:sz="4" w:space="0"/>
              <w:right w:val="single" w:color="auto" w:sz="4" w:space="0"/>
            </w:tcBorders>
            <w:vAlign w:val="center"/>
          </w:tcPr>
          <w:p>
            <w:pPr>
              <w:spacing w:line="360" w:lineRule="atLeast"/>
              <w:jc w:val="center"/>
              <w:rPr>
                <w:rFonts w:hint="eastAsia" w:ascii="宋体" w:hAnsi="宋体" w:eastAsia="宋体" w:cs="宋体"/>
                <w:color w:val="000000" w:themeColor="text1"/>
                <w:sz w:val="24"/>
                <w:szCs w:val="24"/>
                <w:highlight w:val="none"/>
                <w14:textFill>
                  <w14:solidFill>
                    <w14:schemeClr w14:val="tx1"/>
                  </w14:solidFill>
                </w14:textFill>
              </w:rPr>
            </w:pPr>
          </w:p>
        </w:tc>
      </w:tr>
    </w:tbl>
    <w:p>
      <w:pPr>
        <w:spacing w:line="360" w:lineRule="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注：1、供应商以上业绩需提供有关书面证明材料（以综合评分表要求为准）；</w:t>
      </w:r>
    </w:p>
    <w:p>
      <w:pPr>
        <w:spacing w:line="360" w:lineRule="auto"/>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2、如未提供业绩的相关证明材料可能会影响供应商的得分,但并不影响响应文件的有效性。</w:t>
      </w:r>
    </w:p>
    <w:p>
      <w:pPr>
        <w:jc w:val="left"/>
        <w:rPr>
          <w:rFonts w:hint="eastAsia" w:ascii="宋体" w:hAnsi="宋体" w:eastAsia="宋体" w:cs="宋体"/>
          <w:color w:val="000000" w:themeColor="text1"/>
          <w:highlight w:val="none"/>
          <w14:textFill>
            <w14:solidFill>
              <w14:schemeClr w14:val="tx1"/>
            </w14:solidFill>
          </w14:textFill>
        </w:rPr>
      </w:pPr>
    </w:p>
    <w:p>
      <w:pPr>
        <w:pStyle w:val="14"/>
        <w:rPr>
          <w:rFonts w:hint="eastAsia" w:ascii="宋体" w:hAnsi="宋体" w:eastAsia="宋体" w:cs="宋体"/>
          <w:color w:val="000000" w:themeColor="text1"/>
          <w:highlight w:val="none"/>
          <w14:textFill>
            <w14:solidFill>
              <w14:schemeClr w14:val="tx1"/>
            </w14:solidFill>
          </w14:textFill>
        </w:rPr>
      </w:pPr>
    </w:p>
    <w:p>
      <w:pPr>
        <w:tabs>
          <w:tab w:val="left" w:pos="1080"/>
        </w:tabs>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供应商名称：</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（加盖公章）</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lang w:val="zh-CN"/>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法定代表人或代理人：</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（签字）</w:t>
      </w:r>
    </w:p>
    <w:p>
      <w:pPr>
        <w:autoSpaceDE w:val="0"/>
        <w:autoSpaceDN w:val="0"/>
        <w:adjustRightInd w:val="0"/>
        <w:spacing w:line="440" w:lineRule="exact"/>
        <w:ind w:firstLine="480"/>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lang w:val="zh-CN"/>
          <w14:textFill>
            <w14:solidFill>
              <w14:schemeClr w14:val="tx1"/>
            </w14:solidFill>
          </w14:textFill>
        </w:rPr>
        <w:t>日期：</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年</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月</w:t>
      </w:r>
      <w:r>
        <w:rPr>
          <w:rFonts w:hint="eastAsia" w:ascii="宋体" w:hAnsi="宋体" w:eastAsia="宋体" w:cs="宋体"/>
          <w:color w:val="000000" w:themeColor="text1"/>
          <w:sz w:val="24"/>
          <w:highlight w:val="none"/>
          <w:u w:val="single"/>
          <w:lang w:val="zh-CN"/>
          <w14:textFill>
            <w14:solidFill>
              <w14:schemeClr w14:val="tx1"/>
            </w14:solidFill>
          </w14:textFill>
        </w:rPr>
        <w:t xml:space="preserve"> </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lang w:val="zh-CN"/>
          <w14:textFill>
            <w14:solidFill>
              <w14:schemeClr w14:val="tx1"/>
            </w14:solidFill>
          </w14:textFill>
        </w:rPr>
        <w:t>日</w:t>
      </w:r>
    </w:p>
    <w:p>
      <w:pPr>
        <w:jc w:val="left"/>
        <w:rPr>
          <w:rFonts w:hint="eastAsia" w:ascii="宋体" w:hAnsi="宋体" w:eastAsia="宋体" w:cs="宋体"/>
          <w:color w:val="000000" w:themeColor="text1"/>
          <w:sz w:val="24"/>
          <w:highlight w:val="none"/>
          <w14:textFill>
            <w14:solidFill>
              <w14:schemeClr w14:val="tx1"/>
            </w14:solidFill>
          </w14:textFill>
        </w:rPr>
      </w:pPr>
    </w:p>
    <w:p>
      <w:pPr>
        <w:spacing w:line="360" w:lineRule="auto"/>
        <w:ind w:firstLine="860" w:firstLineChars="400"/>
        <w:rPr>
          <w:rFonts w:hint="eastAsia" w:ascii="宋体" w:hAnsi="宋体" w:eastAsia="宋体" w:cs="宋体"/>
          <w:color w:val="000000" w:themeColor="text1"/>
          <w:highlight w:val="none"/>
          <w14:textFill>
            <w14:solidFill>
              <w14:schemeClr w14:val="tx1"/>
            </w14:solidFill>
          </w14:textFill>
        </w:rPr>
      </w:pPr>
      <w:bookmarkStart w:id="186" w:name="_Toc436820890"/>
      <w:bookmarkStart w:id="187" w:name="_Toc436410129"/>
      <w:bookmarkStart w:id="188" w:name="_Toc436404120"/>
      <w:bookmarkStart w:id="189" w:name="_Toc307564880"/>
      <w:bookmarkStart w:id="190" w:name="_Toc436385992"/>
    </w:p>
    <w:bookmarkEnd w:id="186"/>
    <w:bookmarkEnd w:id="187"/>
    <w:bookmarkEnd w:id="188"/>
    <w:bookmarkEnd w:id="189"/>
    <w:bookmarkEnd w:id="190"/>
    <w:p>
      <w:pPr>
        <w:spacing w:line="360" w:lineRule="auto"/>
        <w:ind w:firstLine="860" w:firstLineChars="400"/>
        <w:rPr>
          <w:rFonts w:hint="eastAsia" w:ascii="宋体" w:hAnsi="宋体" w:eastAsia="宋体" w:cs="宋体"/>
          <w:color w:val="000000" w:themeColor="text1"/>
          <w:highlight w:val="none"/>
          <w14:textFill>
            <w14:solidFill>
              <w14:schemeClr w14:val="tx1"/>
            </w14:solidFill>
          </w14:textFill>
        </w:rPr>
      </w:pPr>
    </w:p>
    <w:p>
      <w:pPr>
        <w:pStyle w:val="5"/>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七、实施方案</w:t>
      </w:r>
    </w:p>
    <w:p>
      <w:pPr>
        <w:jc w:val="center"/>
        <w:rPr>
          <w:rFonts w:hint="eastAsia" w:ascii="宋体" w:hAnsi="宋体" w:eastAsia="宋体" w:cs="宋体"/>
          <w:b/>
          <w:bCs/>
          <w:color w:val="000000" w:themeColor="text1"/>
          <w:sz w:val="32"/>
          <w:szCs w:val="32"/>
          <w:highlight w:val="none"/>
          <w14:textFill>
            <w14:solidFill>
              <w14:schemeClr w14:val="tx1"/>
            </w14:solidFill>
          </w14:textFill>
        </w:rPr>
      </w:pPr>
    </w:p>
    <w:p>
      <w:pPr>
        <w:spacing w:line="360" w:lineRule="auto"/>
        <w:ind w:firstLine="490" w:firstLineChars="20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说明：供应商针对本项目提供的实施方案应结合评分因素的内容综合制定项目方案，本项格式自拟。</w:t>
      </w:r>
    </w:p>
    <w:p>
      <w:pPr>
        <w:jc w:val="center"/>
        <w:rPr>
          <w:rFonts w:hint="eastAsia" w:ascii="宋体" w:hAnsi="宋体" w:eastAsia="宋体" w:cs="宋体"/>
          <w:color w:val="000000" w:themeColor="text1"/>
          <w:sz w:val="24"/>
          <w:highlight w:val="none"/>
          <w14:textFill>
            <w14:solidFill>
              <w14:schemeClr w14:val="tx1"/>
            </w14:solidFill>
          </w14:textFill>
        </w:rPr>
      </w:pPr>
    </w:p>
    <w:p>
      <w:pPr>
        <w:rPr>
          <w:rFonts w:hint="eastAsia" w:ascii="宋体" w:hAnsi="宋体" w:eastAsia="宋体" w:cs="宋体"/>
          <w:b/>
          <w:color w:val="000000" w:themeColor="text1"/>
          <w:sz w:val="32"/>
          <w:szCs w:val="32"/>
          <w:highlight w:val="none"/>
          <w:lang w:val="zh-CN"/>
          <w14:textFill>
            <w14:solidFill>
              <w14:schemeClr w14:val="tx1"/>
            </w14:solidFill>
          </w14:textFill>
        </w:rPr>
      </w:pPr>
    </w:p>
    <w:p>
      <w:pPr>
        <w:spacing w:line="360" w:lineRule="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color w:val="000000" w:themeColor="text1"/>
          <w:sz w:val="32"/>
          <w:szCs w:val="32"/>
          <w:highlight w:val="none"/>
          <w:lang w:val="zh-CN"/>
          <w14:textFill>
            <w14:solidFill>
              <w14:schemeClr w14:val="tx1"/>
            </w14:solidFill>
          </w14:textFill>
        </w:rPr>
        <w:br w:type="page"/>
      </w:r>
    </w:p>
    <w:p>
      <w:pPr>
        <w:pStyle w:val="5"/>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bookmarkStart w:id="191" w:name="_Toc28316"/>
      <w:bookmarkStart w:id="192" w:name="_Toc212"/>
      <w:bookmarkStart w:id="193" w:name="_Toc25561"/>
      <w:bookmarkStart w:id="194" w:name="_Toc439699524"/>
      <w:bookmarkStart w:id="195" w:name="_Toc21196"/>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八、供应商承诺给予采购单位的各种优惠条件</w:t>
      </w:r>
      <w:bookmarkEnd w:id="191"/>
      <w:bookmarkEnd w:id="192"/>
      <w:bookmarkEnd w:id="193"/>
      <w:bookmarkEnd w:id="194"/>
      <w:bookmarkEnd w:id="195"/>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（如有）</w:t>
      </w:r>
    </w:p>
    <w:p>
      <w:pPr>
        <w:ind w:firstLine="640"/>
        <w:rPr>
          <w:rFonts w:hint="eastAsia" w:ascii="宋体" w:hAnsi="宋体" w:eastAsia="宋体" w:cs="宋体"/>
          <w:snapToGrid w:val="0"/>
          <w:color w:val="000000" w:themeColor="text1"/>
          <w:sz w:val="24"/>
          <w:szCs w:val="24"/>
          <w:highlight w:val="none"/>
          <w14:textFill>
            <w14:solidFill>
              <w14:schemeClr w14:val="tx1"/>
            </w14:solidFill>
          </w14:textFill>
        </w:rPr>
      </w:pPr>
    </w:p>
    <w:p>
      <w:pPr>
        <w:snapToGrid w:val="0"/>
        <w:spacing w:line="360" w:lineRule="auto"/>
        <w:ind w:firstLine="640"/>
        <w:rPr>
          <w:rFonts w:hint="eastAsia" w:ascii="宋体" w:hAnsi="宋体" w:eastAsia="宋体" w:cs="宋体"/>
          <w:snapToGrid w:val="0"/>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优惠条件事项不能包括采购项目本身所包含的采购事项。供应商不能以“赠送、赠予”等任何名义提供服务以规避采购文件的约束。否则，供应商提供的响应文件将作为无效响应处理，即使中标</w:t>
      </w:r>
      <w:r>
        <w:rPr>
          <w:rFonts w:hint="eastAsia" w:ascii="宋体" w:hAnsi="宋体" w:cs="宋体"/>
          <w:iCs/>
          <w:snapToGrid w:val="0"/>
          <w:color w:val="000000" w:themeColor="text1"/>
          <w:sz w:val="24"/>
          <w:szCs w:val="24"/>
          <w:highlight w:val="none"/>
          <w:lang w:eastAsia="zh-CN"/>
          <w14:textFill>
            <w14:solidFill>
              <w14:schemeClr w14:val="tx1"/>
            </w14:solidFill>
          </w14:textFill>
        </w:rPr>
        <w:t>（成交）</w:t>
      </w:r>
      <w:r>
        <w:rPr>
          <w:rFonts w:hint="eastAsia" w:ascii="宋体" w:hAnsi="宋体" w:eastAsia="宋体" w:cs="宋体"/>
          <w:iCs/>
          <w:snapToGrid w:val="0"/>
          <w:color w:val="000000" w:themeColor="text1"/>
          <w:sz w:val="24"/>
          <w:szCs w:val="24"/>
          <w:highlight w:val="none"/>
          <w14:textFill>
            <w14:solidFill>
              <w14:schemeClr w14:val="tx1"/>
            </w14:solidFill>
          </w14:textFill>
        </w:rPr>
        <w:t>也将取消中标</w:t>
      </w:r>
      <w:r>
        <w:rPr>
          <w:rFonts w:hint="eastAsia" w:ascii="宋体" w:hAnsi="宋体" w:cs="宋体"/>
          <w:iCs/>
          <w:snapToGrid w:val="0"/>
          <w:color w:val="000000" w:themeColor="text1"/>
          <w:sz w:val="24"/>
          <w:szCs w:val="24"/>
          <w:highlight w:val="none"/>
          <w:lang w:eastAsia="zh-CN"/>
          <w14:textFill>
            <w14:solidFill>
              <w14:schemeClr w14:val="tx1"/>
            </w14:solidFill>
          </w14:textFill>
        </w:rPr>
        <w:t>（成交）</w:t>
      </w:r>
      <w:r>
        <w:rPr>
          <w:rFonts w:hint="eastAsia" w:ascii="宋体" w:hAnsi="宋体" w:eastAsia="宋体" w:cs="宋体"/>
          <w:iCs/>
          <w:snapToGrid w:val="0"/>
          <w:color w:val="000000" w:themeColor="text1"/>
          <w:sz w:val="24"/>
          <w:szCs w:val="24"/>
          <w:highlight w:val="none"/>
          <w14:textFill>
            <w14:solidFill>
              <w14:schemeClr w14:val="tx1"/>
            </w14:solidFill>
          </w14:textFill>
        </w:rPr>
        <w:t>资格。</w:t>
      </w:r>
    </w:p>
    <w:p>
      <w:pPr>
        <w:snapToGrid w:val="0"/>
        <w:spacing w:line="360" w:lineRule="auto"/>
        <w:ind w:firstLine="480"/>
        <w:rPr>
          <w:rFonts w:hint="eastAsia" w:ascii="宋体" w:hAnsi="宋体" w:eastAsia="宋体" w:cs="宋体"/>
          <w:iCs/>
          <w:snapToGrid w:val="0"/>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iCs/>
          <w:snapToGrid w:val="0"/>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内容由供应商自行编制，如果没有，可不提供。</w:t>
      </w:r>
    </w:p>
    <w:p>
      <w:pPr>
        <w:adjustRightInd w:val="0"/>
        <w:snapToGrid w:val="0"/>
        <w:spacing w:line="360" w:lineRule="auto"/>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right="480"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pStyle w:val="14"/>
        <w:rPr>
          <w:rFonts w:hint="eastAsia" w:ascii="宋体" w:hAnsi="宋体" w:eastAsia="宋体" w:cs="宋体"/>
          <w:color w:val="000000" w:themeColor="text1"/>
          <w:sz w:val="24"/>
          <w:szCs w:val="24"/>
          <w:highlight w:val="none"/>
          <w14:textFill>
            <w14:solidFill>
              <w14:schemeClr w14:val="tx1"/>
            </w14:solidFill>
          </w14:textFill>
        </w:rPr>
        <w:sectPr>
          <w:headerReference r:id="rId16" w:type="first"/>
          <w:footerReference r:id="rId18" w:type="first"/>
          <w:footerReference r:id="rId17" w:type="default"/>
          <w:pgSz w:w="11849" w:h="16781"/>
          <w:pgMar w:top="1440" w:right="1440" w:bottom="1440" w:left="1440" w:header="851" w:footer="992" w:gutter="0"/>
          <w:pgNumType w:fmt="numberInDash"/>
          <w:cols w:space="720" w:num="1"/>
          <w:titlePg/>
          <w:docGrid w:type="linesAndChars" w:linePitch="312" w:charSpace="1060"/>
        </w:sectPr>
      </w:pPr>
    </w:p>
    <w:p>
      <w:pPr>
        <w:pStyle w:val="5"/>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九、失信行为申明及承诺书</w:t>
      </w:r>
    </w:p>
    <w:p>
      <w:pPr>
        <w:pStyle w:val="12"/>
        <w:spacing w:line="40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XXXX（采购代理机构名称）：</w:t>
      </w:r>
    </w:p>
    <w:p>
      <w:pPr>
        <w:pStyle w:val="12"/>
        <w:spacing w:line="40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sz w:val="24"/>
          <w:szCs w:val="24"/>
          <w:highlight w:val="none"/>
          <w:u w:val="none"/>
          <w14:textFill>
            <w14:solidFill>
              <w14:schemeClr w14:val="tx1"/>
            </w14:solidFill>
          </w14:textFill>
        </w:rPr>
        <w:t>（供应商名称）</w:t>
      </w:r>
      <w:r>
        <w:rPr>
          <w:rFonts w:hint="eastAsia" w:ascii="宋体" w:hAnsi="宋体" w:eastAsia="宋体" w:cs="宋体"/>
          <w:snapToGrid w:val="0"/>
          <w:color w:val="000000" w:themeColor="text1"/>
          <w:sz w:val="24"/>
          <w:szCs w:val="24"/>
          <w:highlight w:val="none"/>
          <w14:textFill>
            <w14:solidFill>
              <w14:schemeClr w14:val="tx1"/>
            </w14:solidFill>
          </w14:textFill>
        </w:rPr>
        <w:t>作为本项目（项目编号：</w:t>
      </w:r>
      <w:r>
        <w:rPr>
          <w:rFonts w:hint="eastAsia" w:ascii="宋体" w:hAnsi="宋体" w:eastAsia="宋体" w:cs="宋体"/>
          <w:snapToGrid w:val="0"/>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sz w:val="24"/>
          <w:szCs w:val="24"/>
          <w:highlight w:val="none"/>
          <w14:textFill>
            <w14:solidFill>
              <w14:schemeClr w14:val="tx1"/>
            </w14:solidFill>
          </w14:textFill>
        </w:rPr>
        <w:t>）供应商，我单位已认真阅读并正确领会采购文件中关于失信行为的相关政策、要求，我单位在此做如下申明和承诺：</w:t>
      </w:r>
    </w:p>
    <w:p>
      <w:pPr>
        <w:pStyle w:val="12"/>
        <w:spacing w:line="400" w:lineRule="exact"/>
        <w:ind w:firstLine="480"/>
        <w:rPr>
          <w:rFonts w:hint="eastAsia" w:ascii="宋体" w:hAnsi="宋体" w:eastAsia="宋体" w:cs="宋体"/>
          <w:snapToGrid w:val="0"/>
          <w:color w:val="000000" w:themeColor="text1"/>
          <w:sz w:val="24"/>
          <w:szCs w:val="24"/>
          <w:highlight w:val="none"/>
          <w:u w:val="singl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我单位在此郑重申明，我单位参加本项目磋商前</w:t>
      </w:r>
      <w:r>
        <w:rPr>
          <w:rFonts w:hint="eastAsia" w:ascii="宋体" w:hAnsi="宋体" w:eastAsia="宋体" w:cs="宋体"/>
          <w:snapToGrid w:val="0"/>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sz w:val="24"/>
          <w:szCs w:val="24"/>
          <w:highlight w:val="none"/>
          <w14:textFill>
            <w14:solidFill>
              <w14:schemeClr w14:val="tx1"/>
            </w14:solidFill>
          </w14:textFill>
        </w:rPr>
        <w:t>（填写：“具有”或“不具有”） 采购文件第二章供应商采购须知前附表规定失信行为情形之一；若有，具体的失信行为是：</w:t>
      </w:r>
      <w:r>
        <w:rPr>
          <w:rFonts w:hint="eastAsia" w:ascii="宋体" w:hAnsi="宋体" w:eastAsia="宋体" w:cs="宋体"/>
          <w:snapToGrid w:val="0"/>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sz w:val="24"/>
          <w:szCs w:val="24"/>
          <w:highlight w:val="none"/>
          <w14:textFill>
            <w14:solidFill>
              <w14:schemeClr w14:val="tx1"/>
            </w14:solidFill>
          </w14:textFill>
        </w:rPr>
        <w:t>（填写：具体的失信行为内容,若无填写“/”），并该失信行为</w:t>
      </w:r>
      <w:r>
        <w:rPr>
          <w:rFonts w:hint="eastAsia" w:ascii="宋体" w:hAnsi="宋体" w:eastAsia="宋体" w:cs="宋体"/>
          <w:snapToGrid w:val="0"/>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snapToGrid w:val="0"/>
          <w:color w:val="000000" w:themeColor="text1"/>
          <w:sz w:val="24"/>
          <w:szCs w:val="24"/>
          <w:highlight w:val="none"/>
          <w14:textFill>
            <w14:solidFill>
              <w14:schemeClr w14:val="tx1"/>
            </w14:solidFill>
          </w14:textFill>
        </w:rPr>
        <w:t>（填写：“已受到”或“没有受到”，若无填写“/”） 行政处罚或司法惩处。</w:t>
      </w:r>
    </w:p>
    <w:p>
      <w:pPr>
        <w:pStyle w:val="12"/>
        <w:spacing w:line="40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我</w:t>
      </w:r>
      <w:r>
        <w:rPr>
          <w:rFonts w:hint="eastAsia" w:ascii="宋体" w:hAnsi="宋体" w:eastAsia="宋体" w:cs="宋体"/>
          <w:bCs/>
          <w:color w:val="000000" w:themeColor="text1"/>
          <w:sz w:val="24"/>
          <w:szCs w:val="24"/>
          <w:highlight w:val="none"/>
          <w14:textFill>
            <w14:solidFill>
              <w14:schemeClr w14:val="tx1"/>
            </w14:solidFill>
          </w14:textFill>
        </w:rPr>
        <w:t>单位</w:t>
      </w:r>
      <w:r>
        <w:rPr>
          <w:rFonts w:hint="eastAsia" w:ascii="宋体" w:hAnsi="宋体" w:eastAsia="宋体" w:cs="宋体"/>
          <w:color w:val="000000" w:themeColor="text1"/>
          <w:sz w:val="24"/>
          <w:szCs w:val="24"/>
          <w:highlight w:val="none"/>
          <w14:textFill>
            <w14:solidFill>
              <w14:schemeClr w14:val="tx1"/>
            </w14:solidFill>
          </w14:textFill>
        </w:rPr>
        <w:t>对以上填写信息的真实性负责。如有不实，本</w:t>
      </w:r>
      <w:r>
        <w:rPr>
          <w:rFonts w:hint="eastAsia" w:ascii="宋体" w:hAnsi="宋体" w:eastAsia="宋体" w:cs="宋体"/>
          <w:bCs/>
          <w:color w:val="000000" w:themeColor="text1"/>
          <w:sz w:val="24"/>
          <w:szCs w:val="24"/>
          <w:highlight w:val="none"/>
          <w14:textFill>
            <w14:solidFill>
              <w14:schemeClr w14:val="tx1"/>
            </w14:solidFill>
          </w14:textFill>
        </w:rPr>
        <w:t>单位</w:t>
      </w:r>
      <w:r>
        <w:rPr>
          <w:rFonts w:hint="eastAsia" w:ascii="宋体" w:hAnsi="宋体" w:eastAsia="宋体" w:cs="宋体"/>
          <w:color w:val="000000" w:themeColor="text1"/>
          <w:sz w:val="24"/>
          <w:szCs w:val="24"/>
          <w:highlight w:val="none"/>
          <w14:textFill>
            <w14:solidFill>
              <w14:schemeClr w14:val="tx1"/>
            </w14:solidFill>
          </w14:textFill>
        </w:rPr>
        <w:t>愿承担由此产生的一切法律责任和后果。</w:t>
      </w:r>
    </w:p>
    <w:p>
      <w:pPr>
        <w:tabs>
          <w:tab w:val="left" w:pos="7665"/>
        </w:tabs>
        <w:spacing w:line="380" w:lineRule="exact"/>
        <w:ind w:firstLine="480"/>
        <w:rPr>
          <w:rFonts w:hint="eastAsia" w:ascii="宋体" w:hAnsi="宋体" w:eastAsia="宋体" w:cs="宋体"/>
          <w:snapToGrid w:val="0"/>
          <w:color w:val="000000" w:themeColor="text1"/>
          <w:sz w:val="24"/>
          <w:szCs w:val="24"/>
          <w:highlight w:val="none"/>
          <w14:textFill>
            <w14:solidFill>
              <w14:schemeClr w14:val="tx1"/>
            </w14:solidFill>
          </w14:textFill>
        </w:rPr>
      </w:pPr>
    </w:p>
    <w:p>
      <w:pPr>
        <w:ind w:firstLine="367" w:firstLineChars="150"/>
        <w:rPr>
          <w:rFonts w:hint="eastAsia" w:ascii="宋体" w:hAnsi="宋体" w:eastAsia="宋体" w:cs="宋体"/>
          <w:snapToGrid w:val="0"/>
          <w:color w:val="000000" w:themeColor="text1"/>
          <w:sz w:val="24"/>
          <w:szCs w:val="24"/>
          <w:highlight w:val="none"/>
          <w14:textFill>
            <w14:solidFill>
              <w14:schemeClr w14:val="tx1"/>
            </w14:solidFill>
          </w14:textFill>
        </w:rPr>
      </w:pPr>
      <w:r>
        <w:rPr>
          <w:rFonts w:hint="eastAsia" w:ascii="宋体" w:hAnsi="宋体" w:eastAsia="宋体" w:cs="宋体"/>
          <w:snapToGrid w:val="0"/>
          <w:color w:val="000000" w:themeColor="text1"/>
          <w:sz w:val="24"/>
          <w:szCs w:val="24"/>
          <w:highlight w:val="none"/>
          <w14:textFill>
            <w14:solidFill>
              <w14:schemeClr w14:val="tx1"/>
            </w14:solidFill>
          </w14:textFill>
        </w:rPr>
        <w:t>附件：具体的失信行为认定资料及行政处罚或司法惩处资料复印件（磋商前有失信行为的供应商须提供）</w:t>
      </w:r>
    </w:p>
    <w:p>
      <w:pPr>
        <w:ind w:firstLine="680"/>
        <w:rPr>
          <w:rFonts w:hint="eastAsia" w:ascii="宋体" w:hAnsi="宋体" w:eastAsia="宋体" w:cs="宋体"/>
          <w:i/>
          <w:snapToGrid w:val="0"/>
          <w:color w:val="000000" w:themeColor="text1"/>
          <w:sz w:val="24"/>
          <w:szCs w:val="24"/>
          <w:highlight w:val="none"/>
          <w14:textFill>
            <w14:solidFill>
              <w14:schemeClr w14:val="tx1"/>
            </w14:solidFill>
          </w14:textFill>
        </w:rPr>
      </w:pPr>
    </w:p>
    <w:p>
      <w:pPr>
        <w:adjustRightInd w:val="0"/>
        <w:spacing w:line="380" w:lineRule="exact"/>
        <w:ind w:firstLine="2366" w:firstLineChars="966"/>
        <w:rPr>
          <w:rFonts w:hint="eastAsia" w:ascii="宋体" w:hAnsi="宋体" w:eastAsia="宋体" w:cs="宋体"/>
          <w:snapToGrid w:val="0"/>
          <w:color w:val="000000" w:themeColor="text1"/>
          <w:sz w:val="24"/>
          <w:szCs w:val="24"/>
          <w:highlight w:val="none"/>
          <w14:textFill>
            <w14:solidFill>
              <w14:schemeClr w14:val="tx1"/>
            </w14:solidFill>
          </w14:textFill>
        </w:rPr>
      </w:pPr>
    </w:p>
    <w:p>
      <w:pPr>
        <w:adjustRightInd w:val="0"/>
        <w:spacing w:line="380" w:lineRule="exact"/>
        <w:ind w:firstLine="2366" w:firstLineChars="966"/>
        <w:rPr>
          <w:rFonts w:hint="eastAsia" w:ascii="宋体" w:hAnsi="宋体" w:eastAsia="宋体" w:cs="宋体"/>
          <w:snapToGrid w:val="0"/>
          <w:color w:val="000000" w:themeColor="text1"/>
          <w:sz w:val="24"/>
          <w:szCs w:val="24"/>
          <w:highlight w:val="none"/>
          <w14:textFill>
            <w14:solidFill>
              <w14:schemeClr w14:val="tx1"/>
            </w14:solidFill>
          </w14:textFill>
        </w:rPr>
      </w:pP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right="480"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ind w:firstLine="480"/>
        <w:rPr>
          <w:rFonts w:hint="eastAsia" w:ascii="宋体" w:hAnsi="宋体" w:eastAsia="宋体" w:cs="宋体"/>
          <w:bCs/>
          <w:color w:val="000000" w:themeColor="text1"/>
          <w:sz w:val="24"/>
          <w:szCs w:val="24"/>
          <w:highlight w:val="none"/>
          <w14:textFill>
            <w14:solidFill>
              <w14:schemeClr w14:val="tx1"/>
            </w14:solidFill>
          </w14:textFill>
        </w:rPr>
      </w:pPr>
    </w:p>
    <w:p>
      <w:pPr>
        <w:pStyle w:val="40"/>
        <w:rPr>
          <w:rFonts w:hint="eastAsia" w:ascii="宋体" w:hAnsi="宋体" w:eastAsia="宋体" w:cs="宋体"/>
          <w:bCs/>
          <w:color w:val="000000" w:themeColor="text1"/>
          <w:szCs w:val="24"/>
          <w:highlight w:val="none"/>
          <w14:textFill>
            <w14:solidFill>
              <w14:schemeClr w14:val="tx1"/>
            </w14:solidFill>
          </w14:textFill>
        </w:rPr>
      </w:pPr>
    </w:p>
    <w:p>
      <w:pPr>
        <w:pStyle w:val="40"/>
        <w:rPr>
          <w:rFonts w:hint="eastAsia" w:ascii="宋体" w:hAnsi="宋体" w:eastAsia="宋体" w:cs="宋体"/>
          <w:bCs/>
          <w:color w:val="000000" w:themeColor="text1"/>
          <w:szCs w:val="24"/>
          <w:highlight w:val="none"/>
          <w14:textFill>
            <w14:solidFill>
              <w14:schemeClr w14:val="tx1"/>
            </w14:solidFill>
          </w14:textFill>
        </w:rPr>
      </w:pPr>
    </w:p>
    <w:p>
      <w:pPr>
        <w:pStyle w:val="40"/>
        <w:rPr>
          <w:rFonts w:hint="eastAsia" w:ascii="宋体" w:hAnsi="宋体" w:eastAsia="宋体" w:cs="宋体"/>
          <w:bCs/>
          <w:color w:val="000000" w:themeColor="text1"/>
          <w:szCs w:val="24"/>
          <w:highlight w:val="none"/>
          <w14:textFill>
            <w14:solidFill>
              <w14:schemeClr w14:val="tx1"/>
            </w14:solidFill>
          </w14:textFill>
        </w:rPr>
      </w:pPr>
    </w:p>
    <w:p>
      <w:pPr>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注：</w:t>
      </w:r>
    </w:p>
    <w:p>
      <w:pPr>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1、本表格式及内容仅供参考，供应商也可提供自己的格式；</w:t>
      </w:r>
    </w:p>
    <w:p>
      <w:pPr>
        <w:ind w:firstLine="480"/>
        <w:rPr>
          <w:rFonts w:hint="eastAsia" w:ascii="宋体" w:hAnsi="宋体" w:eastAsia="宋体" w:cs="宋体"/>
          <w:bCs/>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2、供应商存在以上所述失信行为的，将按照</w:t>
      </w:r>
      <w:r>
        <w:rPr>
          <w:rFonts w:hint="eastAsia" w:ascii="宋体" w:hAnsi="宋体" w:eastAsia="宋体" w:cs="宋体"/>
          <w:color w:val="000000" w:themeColor="text1"/>
          <w:sz w:val="24"/>
          <w:szCs w:val="24"/>
          <w:highlight w:val="none"/>
          <w14:textFill>
            <w14:solidFill>
              <w14:schemeClr w14:val="tx1"/>
            </w14:solidFill>
          </w14:textFill>
        </w:rPr>
        <w:t>第二章供应商须知附表的要求进行处理；</w:t>
      </w:r>
    </w:p>
    <w:p>
      <w:pPr>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Cs/>
          <w:color w:val="000000" w:themeColor="text1"/>
          <w:sz w:val="24"/>
          <w:szCs w:val="24"/>
          <w:highlight w:val="none"/>
          <w14:textFill>
            <w14:solidFill>
              <w14:schemeClr w14:val="tx1"/>
            </w14:solidFill>
          </w14:textFill>
        </w:rPr>
        <w:t>3、财政部门对政府采购当事人的失信行为依法进行处罚、处理后，应当在四川政府采购网向社会公告，并记入诚信档案，有效期为1年。工商部门、税务部门、审判机关及其他有关部门单位认定供应商的失信行为明</w:t>
      </w:r>
      <w:r>
        <w:rPr>
          <w:rFonts w:hint="eastAsia" w:ascii="宋体" w:hAnsi="宋体" w:eastAsia="宋体" w:cs="宋体"/>
          <w:color w:val="000000" w:themeColor="text1"/>
          <w:sz w:val="24"/>
          <w:szCs w:val="24"/>
          <w:highlight w:val="none"/>
          <w14:textFill>
            <w14:solidFill>
              <w14:schemeClr w14:val="tx1"/>
            </w14:solidFill>
          </w14:textFill>
        </w:rPr>
        <w:t>确了有效期的，不再重复计算。</w:t>
      </w:r>
    </w:p>
    <w:p>
      <w:pPr>
        <w:ind w:firstLine="480"/>
        <w:rPr>
          <w:rFonts w:hint="eastAsia" w:ascii="宋体" w:hAnsi="宋体" w:eastAsia="宋体" w:cs="宋体"/>
          <w:bCs/>
          <w:snapToGrid w:val="0"/>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r>
        <w:rPr>
          <w:rFonts w:hint="eastAsia" w:ascii="宋体" w:hAnsi="宋体" w:eastAsia="宋体" w:cs="宋体"/>
          <w:bCs/>
          <w:color w:val="000000" w:themeColor="text1"/>
          <w:sz w:val="24"/>
          <w:szCs w:val="24"/>
          <w:highlight w:val="none"/>
          <w14:textFill>
            <w14:solidFill>
              <w14:schemeClr w14:val="tx1"/>
            </w14:solidFill>
          </w14:textFill>
        </w:rPr>
        <w:t>供应商的失信行为受到行政处罚或司法惩处的，评审时不再对其以价格加成进行惩戒。</w:t>
      </w:r>
    </w:p>
    <w:p>
      <w:pPr>
        <w:spacing w:line="360" w:lineRule="auto"/>
        <w:ind w:firstLine="482"/>
        <w:rPr>
          <w:rFonts w:hint="eastAsia" w:ascii="宋体" w:hAnsi="宋体" w:eastAsia="宋体" w:cs="宋体"/>
          <w:b/>
          <w:snapToGrid w:val="0"/>
          <w:color w:val="000000" w:themeColor="text1"/>
          <w:sz w:val="24"/>
          <w:szCs w:val="24"/>
          <w:highlight w:val="none"/>
          <w14:textFill>
            <w14:solidFill>
              <w14:schemeClr w14:val="tx1"/>
            </w14:solidFill>
          </w14:textFill>
        </w:rPr>
      </w:pPr>
      <w:r>
        <w:rPr>
          <w:rFonts w:hint="eastAsia" w:ascii="宋体" w:hAnsi="宋体" w:eastAsia="宋体" w:cs="宋体"/>
          <w:b/>
          <w:snapToGrid w:val="0"/>
          <w:color w:val="000000" w:themeColor="text1"/>
          <w:sz w:val="24"/>
          <w:szCs w:val="24"/>
          <w:highlight w:val="none"/>
          <w14:textFill>
            <w14:solidFill>
              <w14:schemeClr w14:val="tx1"/>
            </w14:solidFill>
          </w14:textFill>
        </w:rPr>
        <w:br w:type="page"/>
      </w:r>
    </w:p>
    <w:p>
      <w:pPr>
        <w:pStyle w:val="5"/>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十、供应商按采购文件要求作出的其他实质性应答和承诺</w:t>
      </w:r>
    </w:p>
    <w:p>
      <w:pPr>
        <w:ind w:firstLine="680"/>
        <w:rPr>
          <w:rFonts w:hint="eastAsia" w:ascii="宋体" w:hAnsi="宋体" w:eastAsia="宋体" w:cs="宋体"/>
          <w:snapToGrid w:val="0"/>
          <w:color w:val="000000" w:themeColor="text1"/>
          <w:sz w:val="24"/>
          <w:szCs w:val="24"/>
          <w:highlight w:val="none"/>
          <w14:textFill>
            <w14:solidFill>
              <w14:schemeClr w14:val="tx1"/>
            </w14:solidFill>
          </w14:textFill>
        </w:rPr>
      </w:pPr>
    </w:p>
    <w:p>
      <w:pPr>
        <w:ind w:firstLine="680"/>
        <w:rPr>
          <w:rFonts w:hint="eastAsia" w:ascii="宋体" w:hAnsi="宋体" w:eastAsia="宋体" w:cs="宋体"/>
          <w:snapToGrid w:val="0"/>
          <w:color w:val="000000" w:themeColor="text1"/>
          <w:sz w:val="24"/>
          <w:szCs w:val="24"/>
          <w:highlight w:val="none"/>
          <w14:textFill>
            <w14:solidFill>
              <w14:schemeClr w14:val="tx1"/>
            </w14:solidFill>
          </w14:textFill>
        </w:rPr>
      </w:pPr>
    </w:p>
    <w:p>
      <w:pPr>
        <w:spacing w:line="360" w:lineRule="auto"/>
        <w:ind w:firstLine="482"/>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供应商按照</w:t>
      </w:r>
      <w:r>
        <w:rPr>
          <w:rFonts w:hint="eastAsia" w:ascii="宋体" w:hAnsi="宋体" w:eastAsia="宋体" w:cs="宋体"/>
          <w:snapToGrid w:val="0"/>
          <w:color w:val="000000" w:themeColor="text1"/>
          <w:sz w:val="24"/>
          <w:szCs w:val="24"/>
          <w:highlight w:val="none"/>
          <w14:textFill>
            <w14:solidFill>
              <w14:schemeClr w14:val="tx1"/>
            </w14:solidFill>
          </w14:textFill>
        </w:rPr>
        <w:t>采购</w:t>
      </w:r>
      <w:r>
        <w:rPr>
          <w:rFonts w:hint="eastAsia" w:ascii="宋体" w:hAnsi="宋体" w:eastAsia="宋体" w:cs="宋体"/>
          <w:iCs/>
          <w:snapToGrid w:val="0"/>
          <w:color w:val="000000" w:themeColor="text1"/>
          <w:sz w:val="24"/>
          <w:szCs w:val="24"/>
          <w:highlight w:val="none"/>
          <w14:textFill>
            <w14:solidFill>
              <w14:schemeClr w14:val="tx1"/>
            </w14:solidFill>
          </w14:textFill>
        </w:rPr>
        <w:t>文件要求作出的其他应答和承诺。</w:t>
      </w:r>
    </w:p>
    <w:p>
      <w:pPr>
        <w:spacing w:line="360" w:lineRule="auto"/>
        <w:ind w:firstLine="482"/>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内容由供应商按</w:t>
      </w:r>
      <w:r>
        <w:rPr>
          <w:rFonts w:hint="eastAsia" w:ascii="宋体" w:hAnsi="宋体" w:eastAsia="宋体" w:cs="宋体"/>
          <w:snapToGrid w:val="0"/>
          <w:color w:val="000000" w:themeColor="text1"/>
          <w:sz w:val="24"/>
          <w:szCs w:val="24"/>
          <w:highlight w:val="none"/>
          <w14:textFill>
            <w14:solidFill>
              <w14:schemeClr w14:val="tx1"/>
            </w14:solidFill>
          </w14:textFill>
        </w:rPr>
        <w:t>采购</w:t>
      </w:r>
      <w:r>
        <w:rPr>
          <w:rFonts w:hint="eastAsia" w:ascii="宋体" w:hAnsi="宋体" w:eastAsia="宋体" w:cs="宋体"/>
          <w:iCs/>
          <w:snapToGrid w:val="0"/>
          <w:color w:val="000000" w:themeColor="text1"/>
          <w:sz w:val="24"/>
          <w:szCs w:val="24"/>
          <w:highlight w:val="none"/>
          <w14:textFill>
            <w14:solidFill>
              <w14:schemeClr w14:val="tx1"/>
            </w14:solidFill>
          </w14:textFill>
        </w:rPr>
        <w:t>文件要求自行编制，如果没有可不提供。</w:t>
      </w: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ind w:firstLine="640"/>
        <w:rPr>
          <w:rFonts w:hint="eastAsia" w:ascii="宋体" w:hAnsi="宋体" w:eastAsia="宋体" w:cs="宋体"/>
          <w:i/>
          <w:snapToGrid w:val="0"/>
          <w:color w:val="000000" w:themeColor="text1"/>
          <w:sz w:val="24"/>
          <w:szCs w:val="24"/>
          <w:highlight w:val="none"/>
          <w:u w:val="single"/>
          <w14:textFill>
            <w14:solidFill>
              <w14:schemeClr w14:val="tx1"/>
            </w14:solidFill>
          </w14:textFill>
        </w:rPr>
      </w:pP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供应商名称：</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（公章）</w:t>
      </w:r>
    </w:p>
    <w:p>
      <w:pPr>
        <w:spacing w:line="500" w:lineRule="exact"/>
        <w:ind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法定代表人或委托代理人：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（签字）</w:t>
      </w:r>
    </w:p>
    <w:p>
      <w:pPr>
        <w:spacing w:line="500" w:lineRule="exact"/>
        <w:ind w:right="480" w:firstLine="3816" w:firstLineChars="1558"/>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年</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月</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w:t>
      </w:r>
    </w:p>
    <w:p>
      <w:pPr>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br w:type="page"/>
      </w:r>
    </w:p>
    <w:p>
      <w:pPr>
        <w:pStyle w:val="5"/>
        <w:bidi w:val="0"/>
        <w:jc w:val="center"/>
        <w:rPr>
          <w:rFonts w:hint="eastAsia" w:ascii="宋体" w:hAnsi="宋体" w:eastAsia="宋体" w:cs="宋体"/>
          <w:bCs w:val="0"/>
          <w:color w:val="000000" w:themeColor="text1"/>
          <w:sz w:val="24"/>
          <w:szCs w:val="24"/>
          <w:highlight w:val="none"/>
          <w:lang w:val="zh-CN" w:eastAsia="zh-CN"/>
          <w14:textFill>
            <w14:solidFill>
              <w14:schemeClr w14:val="tx1"/>
            </w14:solidFill>
          </w14:textFill>
        </w:rPr>
      </w:pPr>
      <w:r>
        <w:rPr>
          <w:rFonts w:hint="eastAsia" w:ascii="宋体" w:hAnsi="宋体" w:eastAsia="宋体" w:cs="宋体"/>
          <w:bCs w:val="0"/>
          <w:color w:val="000000" w:themeColor="text1"/>
          <w:sz w:val="24"/>
          <w:szCs w:val="24"/>
          <w:highlight w:val="none"/>
          <w:lang w:val="zh-CN" w:eastAsia="zh-CN"/>
          <w14:textFill>
            <w14:solidFill>
              <w14:schemeClr w14:val="tx1"/>
            </w14:solidFill>
          </w14:textFill>
        </w:rPr>
        <w:t>十一、供应商认为需要提供的其他材料</w:t>
      </w:r>
    </w:p>
    <w:p>
      <w:pPr>
        <w:spacing w:line="360" w:lineRule="auto"/>
        <w:ind w:firstLine="482"/>
        <w:rPr>
          <w:rFonts w:hint="eastAsia" w:ascii="宋体" w:hAnsi="宋体" w:eastAsia="宋体" w:cs="宋体"/>
          <w:iCs/>
          <w:snapToGrid w:val="0"/>
          <w:color w:val="000000" w:themeColor="text1"/>
          <w:sz w:val="24"/>
          <w:szCs w:val="24"/>
          <w:highlight w:val="none"/>
          <w14:textFill>
            <w14:solidFill>
              <w14:schemeClr w14:val="tx1"/>
            </w14:solidFill>
          </w14:textFill>
        </w:rPr>
      </w:pPr>
      <w:r>
        <w:rPr>
          <w:rFonts w:hint="eastAsia" w:ascii="宋体" w:hAnsi="宋体" w:eastAsia="宋体" w:cs="宋体"/>
          <w:iCs/>
          <w:snapToGrid w:val="0"/>
          <w:color w:val="000000" w:themeColor="text1"/>
          <w:sz w:val="24"/>
          <w:szCs w:val="24"/>
          <w:highlight w:val="none"/>
          <w14:textFill>
            <w14:solidFill>
              <w14:schemeClr w14:val="tx1"/>
            </w14:solidFill>
          </w14:textFill>
        </w:rPr>
        <w:t>注：供应商证明材料每处均需盖单位公章。</w:t>
      </w:r>
    </w:p>
    <w:p>
      <w:pPr>
        <w:rPr>
          <w:rFonts w:hint="eastAsia" w:ascii="宋体" w:hAnsi="宋体" w:eastAsia="宋体" w:cs="宋体"/>
          <w:color w:val="000000" w:themeColor="text1"/>
          <w:sz w:val="24"/>
          <w:szCs w:val="24"/>
          <w:highlight w:val="none"/>
          <w14:textFill>
            <w14:solidFill>
              <w14:schemeClr w14:val="tx1"/>
            </w14:solidFill>
          </w14:textFill>
        </w:rPr>
      </w:pPr>
    </w:p>
    <w:p>
      <w:pPr>
        <w:snapToGrid w:val="0"/>
        <w:spacing w:line="360" w:lineRule="auto"/>
        <w:ind w:firstLine="480"/>
        <w:rPr>
          <w:rFonts w:hint="eastAsia" w:ascii="宋体" w:hAnsi="宋体" w:eastAsia="宋体" w:cs="宋体"/>
          <w:bCs/>
          <w:color w:val="000000" w:themeColor="text1"/>
          <w:sz w:val="24"/>
          <w:szCs w:val="24"/>
          <w:highlight w:val="none"/>
          <w14:textFill>
            <w14:solidFill>
              <w14:schemeClr w14:val="tx1"/>
            </w14:solidFill>
          </w14:textFill>
        </w:rPr>
      </w:pPr>
    </w:p>
    <w:p>
      <w:pPr>
        <w:pStyle w:val="14"/>
        <w:rPr>
          <w:rFonts w:hint="eastAsia" w:ascii="宋体" w:hAnsi="宋体" w:eastAsia="宋体" w:cs="宋体"/>
          <w:bCs/>
          <w:color w:val="000000" w:themeColor="text1"/>
          <w:sz w:val="24"/>
          <w:szCs w:val="24"/>
          <w:highlight w:val="none"/>
          <w14:textFill>
            <w14:solidFill>
              <w14:schemeClr w14:val="tx1"/>
            </w14:solidFill>
          </w14:textFill>
        </w:rPr>
        <w:sectPr>
          <w:pgSz w:w="11849" w:h="16781"/>
          <w:pgMar w:top="1440" w:right="1440" w:bottom="1440" w:left="1440" w:header="851" w:footer="992" w:gutter="0"/>
          <w:pgNumType w:fmt="numberInDash"/>
          <w:cols w:space="720" w:num="1"/>
          <w:titlePg/>
          <w:docGrid w:type="linesAndChars" w:linePitch="312" w:charSpace="1060"/>
        </w:sectPr>
      </w:pPr>
    </w:p>
    <w:p>
      <w:pPr>
        <w:pStyle w:val="4"/>
        <w:keepNext w:val="0"/>
        <w:keepLines w:val="0"/>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bookmarkStart w:id="196" w:name="_Toc3036"/>
      <w:bookmarkStart w:id="197" w:name="_Toc23989"/>
      <w:bookmarkStart w:id="198" w:name="_Toc7961749"/>
      <w:bookmarkStart w:id="199" w:name="_Toc16600"/>
      <w:r>
        <w:rPr>
          <w:rFonts w:hint="eastAsia" w:ascii="宋体" w:hAnsi="宋体" w:eastAsia="宋体" w:cs="宋体"/>
          <w:color w:val="000000" w:themeColor="text1"/>
          <w:sz w:val="36"/>
          <w:szCs w:val="36"/>
          <w:highlight w:val="none"/>
          <w14:textFill>
            <w14:solidFill>
              <w14:schemeClr w14:val="tx1"/>
            </w14:solidFill>
          </w14:textFill>
        </w:rPr>
        <w:t>第七章  评审方法</w:t>
      </w:r>
      <w:bookmarkEnd w:id="196"/>
      <w:bookmarkEnd w:id="197"/>
      <w:bookmarkEnd w:id="198"/>
      <w:bookmarkEnd w:id="199"/>
    </w:p>
    <w:p>
      <w:pPr>
        <w:pStyle w:val="5"/>
        <w:bidi w:val="0"/>
        <w:spacing w:line="240" w:lineRule="auto"/>
        <w:ind w:left="0" w:leftChars="0" w:firstLine="477" w:firstLineChars="195"/>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1、总则</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1.1 根据《中华人民共和国政府采购法》、《中华人民共和国政府采购法实施条例》、《政府采购竞争性磋商采购方式管理暂行办法》等法律制度，结合本采购项目特点制定本磋商方法。</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1.2 磋商工作由采购代理机构负责组织，具体磋商由采购代理机构依法组建的磋商小组负责。</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1.3 磋商工作应遵循公平、公正、科学及择优的原则，并以相同的磋商程序和标准对待所有的供应商。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1.4 磋商小组按照磋商文件规定的磋商程序、评分方法和标准进行评审，并独立履行下列职责：</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（一）熟悉和理解磋商文件，确定磋商文件内容是否违反国家有关强制性规定或者磋商文件存在歧义、重大缺陷，根据需要书面要求采购人、采购代理机构对磋商文件作出解释；</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（二）审查供应商响应文件是否满足磋商文件要求，并作出公正评价；</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（三）根据需要要求供应商对响应文件中含义不明确、同类问题表述不一致或者有明显文字和计算错误的内容等作出必要的澄清、说明或者更正；</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（四）推荐成交供应商，或者受采购人委托确定成交供应商；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（五）起草评审报告并进行签署；</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（六）向采购代理机构、财政部门或者其他监督部门报告非法干预评审工作的行为；</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（七）法律、法规和规章规定的其他职责。</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1.5</w:t>
      </w:r>
      <w:r>
        <w:rPr>
          <w:rFonts w:hint="eastAsia" w:ascii="宋体" w:hAnsi="宋体" w:eastAsia="宋体" w:cs="宋体"/>
          <w:b/>
          <w:bCs/>
          <w:color w:val="000000" w:themeColor="text1"/>
          <w:kern w:val="2"/>
          <w:sz w:val="24"/>
          <w:szCs w:val="24"/>
          <w:highlight w:val="none"/>
          <w:lang w:val="zh-CN" w:eastAsia="zh-CN" w:bidi="ar-SA"/>
          <w14:textFill>
            <w14:solidFill>
              <w14:schemeClr w14:val="tx1"/>
            </w14:solidFill>
          </w14:textFill>
        </w:rPr>
        <w:t xml:space="preserve"> （实质性要求）</w:t>
      </w: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磋商过程独立、保密。供应商非法干预磋商过程的，其响应文件作无效处理。</w:t>
      </w:r>
    </w:p>
    <w:p>
      <w:pPr>
        <w:pStyle w:val="5"/>
        <w:bidi w:val="0"/>
        <w:spacing w:line="240" w:lineRule="auto"/>
        <w:ind w:left="0" w:leftChars="0" w:firstLine="477" w:firstLineChars="195"/>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2、磋商小组及专家组成</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根据《中华人民共和国政府采购法》、《政府采购竞争性磋商采购方式管理暂行办法》 等的规定并结合本次采购项目的实际情况，磋商小组由采购人的代表和有关方面的专家三人以上的单数组成，其中专家人数不少于成员总数的三分之二，负责本次采购项目的竞争性磋商和评审工作。</w:t>
      </w:r>
    </w:p>
    <w:p>
      <w:pPr>
        <w:pStyle w:val="5"/>
        <w:bidi w:val="0"/>
        <w:spacing w:line="240" w:lineRule="auto"/>
        <w:ind w:left="0" w:leftChars="0" w:firstLine="477" w:firstLineChars="195"/>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3、磋商组织</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磋商工作由采购代理机构组织，具体磋商事务由依法组建的磋商小组负责。</w:t>
      </w:r>
    </w:p>
    <w:p>
      <w:pPr>
        <w:pStyle w:val="5"/>
        <w:bidi w:val="0"/>
        <w:spacing w:line="240" w:lineRule="auto"/>
        <w:ind w:left="0" w:leftChars="0" w:firstLine="477" w:firstLineChars="195"/>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4、磋商程序</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0" w:name="_Toc520667445"/>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4.1审查磋商文件和停止评审。</w:t>
      </w:r>
      <w:bookmarkEnd w:id="200"/>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1" w:name="_Toc520667446"/>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4.1.1 磋商小组正式评审前，应当对磋商文件进行熟悉和理解，内容主要包括磋商文件中供应商资格条件要求、采购项目技术、服务和商务要求、磋商办法和标准、政府采购政策要求以及政府采购合同主要条款等。</w:t>
      </w:r>
      <w:bookmarkEnd w:id="201"/>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2" w:name="_Toc520667447"/>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4.1.2 本磋商文件有下列情形之一的，磋商小组应当停止评审：</w:t>
      </w:r>
      <w:bookmarkEnd w:id="202"/>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3" w:name="_Toc520667448"/>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（1）磋商文件的规定存在歧义、重大缺陷的；</w:t>
      </w:r>
      <w:bookmarkEnd w:id="203"/>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4" w:name="_Toc520667449"/>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（2）磋商文件明显以不合理条件对供应商实行差别待遇或者歧视待遇的；</w:t>
      </w:r>
      <w:bookmarkEnd w:id="204"/>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5" w:name="_Toc520667450"/>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（3）采购项目属于国家规定的优先、强制采购范围，但是磋商文件未依法体现优先、强制采购相关规定的；</w:t>
      </w:r>
      <w:bookmarkEnd w:id="205"/>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6" w:name="_Toc520667451"/>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（4）采购项目属于政府采购促进中小企业发展的范围，但是磋商文件未依法体现促进中小企业发展相关规定的；</w:t>
      </w:r>
      <w:bookmarkEnd w:id="206"/>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7" w:name="_Toc520667452"/>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（5）磋商文件将供应商的资格条件列为评分因素的；</w:t>
      </w:r>
      <w:bookmarkEnd w:id="207"/>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8" w:name="_Toc520667453"/>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（6）磋商文件载明的成交原则不合法的；</w:t>
      </w:r>
      <w:bookmarkEnd w:id="208"/>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09" w:name="_Toc520667454"/>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（7）磋商文件有违反国家其他有关强制性规定的情形。</w:t>
      </w:r>
      <w:bookmarkEnd w:id="209"/>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0" w:name="_Toc520667455"/>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4.1.3 出现本条4.1.2规定应当停止评审情形的，磋商小组应当向采购人书面说明情况。除本条规定的情形外，磋商小组不得以任何方式和理由停止评审。</w:t>
      </w:r>
      <w:bookmarkEnd w:id="210"/>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4.2资格性审查。</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1" w:name="_Toc520667457"/>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4.2.1本项目需要磋商小组进行资格性检查。磋商小组应依据法律法规和磋商文件的规定，对响应文件是否按照规定要求提供资格性证明材料、是否属于禁止参加磋商的供应商等进行审查，以确定供应商是否具备磋商资格。</w:t>
      </w:r>
      <w:bookmarkEnd w:id="211"/>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2" w:name="_Toc520667458"/>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4.2.2资格性审查结束后，磋商小组应当出具资格性审查报告，没有通过资格审查的供应商，磋商小组应当在资格审查报告中说明原因。</w:t>
      </w:r>
      <w:bookmarkEnd w:id="212"/>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3" w:name="_Toc520667459"/>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4.2.3磋商小组应依据磋商文件规定的实质性要求，对符合资格的响应文件进行有效性、完整性和响应程度审查，以确定参加磋商的供应商名单。</w:t>
      </w:r>
      <w:bookmarkEnd w:id="213"/>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4" w:name="_Toc520667460"/>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4.2.4采购人或者采购代理机构宣布未通过资格性审查的供应商名单时，应当告知供应商未通过审查的原因。</w:t>
      </w:r>
      <w:bookmarkEnd w:id="214"/>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5" w:name="_Toc520667461"/>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4.3 通过资格性审查的供应商不足3家的，</w:t>
      </w:r>
      <w:bookmarkEnd w:id="215"/>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采购人（项目实施机构）或者采购代理机构应当终止竞争性磋商采购活动，发布项目终止公告并说明原因，重新开展采购活动。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 磋商。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6" w:name="_Toc520667463"/>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4.4.1磋商小组所有成员集中与单一供应商分别进行一轮或多轮磋商，并给予所有参加磋商的供应商平等的磋商机会。磋商顺序以现场抽签的方式确定。磋商过程中，磋商小组可以根据磋商情况调整磋商轮次。</w:t>
      </w:r>
      <w:bookmarkEnd w:id="216"/>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7" w:name="_Toc520667464"/>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4.4.2每轮磋商开始前，磋商小组应根据磋商文件的规定，并结合各供应商的响应文件拟定磋商内容。</w:t>
      </w:r>
      <w:bookmarkEnd w:id="217"/>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8" w:name="_Toc520667465"/>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4.4.3在磋商过程中，磋商小组可以根据磋商文件和磋商情况实质性变动磋商文件的技术、服务要求以及合同草案条款，但不得变动磋商文件中的其他内容。实质性变动的内容，须经采购人代表书面确认。</w:t>
      </w:r>
      <w:bookmarkEnd w:id="218"/>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19" w:name="_Toc520667466"/>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4.4.4对磋商文件作出的实质性变动是磋商文件的有效组成部分，磋商小组应当及时以书面形式同时通知所有参加磋商的供应商。</w:t>
      </w:r>
      <w:bookmarkEnd w:id="219"/>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20" w:name="_Toc520667467"/>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4.4.5磋商过程中，磋商文件变动的，供应商应当按照磋商文件的变动情况和磋商小组的要求重新提交响应文件，并由其法定代表人/主要负责人/本人或其授权代表签字或者加盖公章。磋商过程中，供应商根据磋商情况自行决定变更其响应文件的，磋商小组不得拒绝，并应当给予供应商必要的时间，但是供应商变更其响应文件，应当以有利于满足磋商文件要求为原则，不得变更为不利于满足磋商文件规定，否则，其响应文件作为无效处理。</w:t>
      </w:r>
      <w:bookmarkEnd w:id="220"/>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21" w:name="_Toc520667468"/>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4.4.6磋商过程中，磋商的任何一方不得透露与磋商有关的其他供应商的技术资料、价格和其他信息。</w:t>
      </w:r>
      <w:bookmarkEnd w:id="221"/>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22" w:name="_Toc520667469"/>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4.4.7磋商过程中，磋商小组发现或者知晓供应商存在违法、违纪行为的，磋商小组应当将该供应商响应文件作无效处理，不允许其提交最后报价。</w:t>
      </w:r>
      <w:bookmarkEnd w:id="222"/>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bookmarkStart w:id="223" w:name="_Toc520667470"/>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4.4.8磋商完成后，磋商小组应出具磋商情况记录表，磋商情况记录表需包含磋商内容、磋商意见、实质性变动内容等。</w:t>
      </w:r>
      <w:bookmarkEnd w:id="223"/>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 xml:space="preserve">   </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4.5最后报价。</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4.5.1磋商文件能够详细列明采购标的的技术、服务要求的，磋商结束后，磋商小组应当要求所有实质性响应的供应商在规定时间内提交最后报价，提交最后报价的供应商不得少于3家。或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4.5.2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4.5.3供应商最后报价应当由法定代表人/主要负责人或其授权代表签字确认或加盖公章。最后报价是供应商响应文件的有效组成部分。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4.5.4最后报价中的算术错误将按以下方法修正：响应文件的大写金额和小写金额不一致的，以大写金额为准；总价金额与按单价汇总金额不一致的，以单价金额计算结果为准；单价金额小数点有明显错位的，应以总价为准，并修改单价。如果小写、大写金额和单价、总价金额出现明显文字错误，应当按照澄清、说明或者更正程序先纠正错误后，再行修正，不得不经过澄清、说明或者更正，直接将供应商响应文件作为无效处理。对不同文字文本响应文件的解释发生异议的，以中文文本为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4.6比较与评价。</w:t>
      </w:r>
      <w:r>
        <w:rPr>
          <w:rFonts w:hint="eastAsia" w:ascii="宋体" w:hAnsi="宋体" w:eastAsia="宋体" w:cs="宋体"/>
          <w:b/>
          <w:bCs/>
          <w:color w:val="000000" w:themeColor="text1"/>
          <w:kern w:val="2"/>
          <w:sz w:val="24"/>
          <w:szCs w:val="24"/>
          <w:highlight w:val="none"/>
          <w:lang w:val="zh-CN" w:eastAsia="zh-CN" w:bidi="ar-SA"/>
          <w14:textFill>
            <w14:solidFill>
              <w14:schemeClr w14:val="tx1"/>
            </w14:solidFill>
          </w14:textFill>
        </w:rPr>
        <w:t>由磋商小组采用综合评分法对提交最后报价的供应商的响应文件</w:t>
      </w:r>
      <w:r>
        <w:rPr>
          <w:rFonts w:hint="eastAsia" w:ascii="宋体" w:hAnsi="宋体" w:cs="宋体"/>
          <w:b/>
          <w:bCs/>
          <w:color w:val="000000" w:themeColor="text1"/>
          <w:kern w:val="2"/>
          <w:sz w:val="24"/>
          <w:szCs w:val="24"/>
          <w:highlight w:val="none"/>
          <w:lang w:val="zh-CN" w:eastAsia="zh-CN" w:bidi="ar-SA"/>
          <w14:textFill>
            <w14:solidFill>
              <w14:schemeClr w14:val="tx1"/>
            </w14:solidFill>
          </w14:textFill>
        </w:rPr>
        <w:t>、样品</w:t>
      </w:r>
      <w:r>
        <w:rPr>
          <w:rFonts w:hint="eastAsia" w:ascii="宋体" w:hAnsi="宋体" w:eastAsia="宋体" w:cs="宋体"/>
          <w:b/>
          <w:bCs/>
          <w:color w:val="000000" w:themeColor="text1"/>
          <w:kern w:val="2"/>
          <w:sz w:val="24"/>
          <w:szCs w:val="24"/>
          <w:highlight w:val="none"/>
          <w:lang w:val="zh-CN" w:eastAsia="zh-CN" w:bidi="ar-SA"/>
          <w14:textFill>
            <w14:solidFill>
              <w14:schemeClr w14:val="tx1"/>
            </w14:solidFill>
          </w14:textFill>
        </w:rPr>
        <w:t>和最后报价进行综合评分，具体要求详见本章综合评分部分。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4.7推荐成交候选供应商。磋商小组应当根据综合评分情况，按照评审得分由高到低顺序推荐3家以上成交候选供应商，并编写磋商报告。评审得分相同的，按照最后报价由低到高的顺序推荐。评审得分且最后报价相同的，按照技术指标优劣顺序推荐。评审得分且最后报价且技术指标分项得分均相同的，成交候选供应商并列。</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4.8磋商小组复核。磋商小组评分汇总结束后，磋商小组应当进行评审复核，对拟推荐为成交候选供应商的、报价最低的、供应商资格审查未通过的、供应商响应文件作无效处理的重点复核。</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4.9采购组织单位现场复核评审结果。</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4.9.1评审结果汇总完成后，磋商小组拟出具磋商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（1）资格性审查认定错误的；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（2）分值汇总计算错误的；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（3）分项评分超出评分标准范围的；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（4）客观评分不一致的。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采购代理机构复核过程中，磋商小组成员不得离开评审现场。</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4.9.2有下列情形之一的，不得现场修改评审结果：</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（1）磋商小组已经出具磋商报告并且离开评审现场的；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（2）采购代理机构现场复核时，复核工作人员数量不足的；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（3）采购代理机构现场复核时，没有采购监督人员现场监督的；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（4）采购代理机构现场复核内容超出规定范围的；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（5）采购代理机构未提供书面建议的。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4.10编写磋商报告。磋商小组推荐成交候选供应商后，应向采购代理机构出具磋商报告。磋商报告应当包括以下主要内容：</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（1）邀请供应商参加采购活动的具体方式和相关情况；</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（2）响应文件开启日期和地点；</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（3）获取磋商文件的供应商名单和磋商小组成员名单；</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（4）评审情况记录和说明，包括对供应商的资格审查情况、供应商响应文件审查情况、磋商情况、报价情况等；</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（5）提出的成交候选供应商的排序名单及理由。</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同意磋商报告。</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4.11磋商异议处理规则。在磋商过程中，磋商小组成员对响应文件是否符合磋商文件规定存在争议的，应当以少数服从多数的原则处理，但不违背磋商文件规定。有不同意见的磋商小组成员认为认定过程和结果不符合法律法规或者磋商文件规定的，应当在磋商报告中予以反映。</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4.12供应商澄清、说明</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4.12.1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4.12.2磋商小组要求供应商澄清、说明或者更正响应文件应当以书面形式作出。供应商的澄清、说明或者更正应当由现任法定代表人/主要负责人或其授权代表签字或者加盖公章。</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4.13终止磋商采购活动。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出现下列情形之一的，采购人或者采购代理机构应当终止竞争性磋商采购活动，发布项目终止公告并说明原因，重新开展采购活动：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（1）因情况变化，不再符合规定的竞争性磋商采购方式适用情形的；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（2）出现影响采购公正的违法、违规行为的；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（3）在采购过程中符合要求的供应商或者报价未超过采购预算的供应商不足三家的。</w:t>
      </w:r>
    </w:p>
    <w:p>
      <w:pPr>
        <w:pStyle w:val="5"/>
        <w:bidi w:val="0"/>
        <w:spacing w:line="240" w:lineRule="auto"/>
        <w:ind w:left="0" w:leftChars="0" w:firstLine="477" w:firstLineChars="195"/>
        <w:rPr>
          <w:rFonts w:hint="eastAsia" w:ascii="宋体" w:hAnsi="宋体" w:eastAsia="宋体" w:cs="宋体"/>
          <w:color w:val="000000" w:themeColor="text1"/>
          <w:sz w:val="24"/>
          <w:szCs w:val="24"/>
          <w:highlight w:val="none"/>
          <w:lang w:val="zh-CN" w:eastAsia="zh-CN"/>
          <w14:textFill>
            <w14:solidFill>
              <w14:schemeClr w14:val="tx1"/>
            </w14:solidFill>
          </w14:textFill>
        </w:rPr>
      </w:pPr>
      <w:r>
        <w:rPr>
          <w:rFonts w:hint="eastAsia" w:ascii="宋体" w:hAnsi="宋体" w:eastAsia="宋体" w:cs="宋体"/>
          <w:color w:val="000000" w:themeColor="text1"/>
          <w:sz w:val="24"/>
          <w:szCs w:val="24"/>
          <w:highlight w:val="none"/>
          <w:lang w:val="zh-CN" w:eastAsia="zh-CN"/>
          <w14:textFill>
            <w14:solidFill>
              <w14:schemeClr w14:val="tx1"/>
            </w14:solidFill>
          </w14:textFill>
        </w:rPr>
        <w:t>5、综合评分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5.1本次综合评分的因素是：见综合评分明细表。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5.2 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5.3综合评分明细表</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5.3.1综合评分明细表的制定以科学合理、降低评委会自由裁量权为原则。</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5.3.2综合评分明细表</w:t>
      </w:r>
    </w:p>
    <w:p>
      <w:pPr>
        <w:bidi w:val="0"/>
        <w:rPr>
          <w:rFonts w:hint="eastAsia"/>
          <w:color w:val="000000" w:themeColor="text1"/>
          <w:sz w:val="28"/>
          <w:szCs w:val="36"/>
          <w:highlight w:val="none"/>
          <w:lang w:val="zh-CN" w:eastAsia="zh-CN"/>
          <w14:textFill>
            <w14:solidFill>
              <w14:schemeClr w14:val="tx1"/>
            </w14:solidFill>
          </w14:textFill>
        </w:rPr>
      </w:pPr>
    </w:p>
    <w:tbl>
      <w:tblPr>
        <w:tblStyle w:val="30"/>
        <w:tblW w:w="90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
        <w:gridCol w:w="1229"/>
        <w:gridCol w:w="6510"/>
        <w:gridCol w:w="7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523" w:type="dxa"/>
            <w:noWrap w:val="0"/>
            <w:vAlign w:val="center"/>
          </w:tcPr>
          <w:p>
            <w:pPr>
              <w:bidi w:val="0"/>
              <w:spacing w:line="240" w:lineRule="auto"/>
              <w:jc w:val="center"/>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序号</w:t>
            </w:r>
          </w:p>
        </w:tc>
        <w:tc>
          <w:tcPr>
            <w:tcW w:w="1229" w:type="dxa"/>
            <w:noWrap w:val="0"/>
            <w:vAlign w:val="center"/>
          </w:tcPr>
          <w:p>
            <w:pPr>
              <w:bidi w:val="0"/>
              <w:spacing w:line="240" w:lineRule="auto"/>
              <w:jc w:val="center"/>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color w:val="000000" w:themeColor="text1"/>
                <w:sz w:val="21"/>
                <w:szCs w:val="21"/>
                <w:highlight w:val="none"/>
                <w14:textFill>
                  <w14:solidFill>
                    <w14:schemeClr w14:val="tx1"/>
                  </w14:solidFill>
                </w14:textFill>
              </w:rPr>
              <w:t>评分因素及权重</w:t>
            </w:r>
          </w:p>
        </w:tc>
        <w:tc>
          <w:tcPr>
            <w:tcW w:w="6510" w:type="dxa"/>
            <w:noWrap w:val="0"/>
            <w:vAlign w:val="center"/>
          </w:tcPr>
          <w:p>
            <w:pPr>
              <w:bidi w:val="0"/>
              <w:spacing w:line="240" w:lineRule="auto"/>
              <w:jc w:val="center"/>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分值</w:t>
            </w:r>
          </w:p>
        </w:tc>
        <w:tc>
          <w:tcPr>
            <w:tcW w:w="760" w:type="dxa"/>
            <w:noWrap w:val="0"/>
            <w:vAlign w:val="center"/>
          </w:tcPr>
          <w:p>
            <w:pPr>
              <w:bidi w:val="0"/>
              <w:spacing w:line="240" w:lineRule="auto"/>
              <w:jc w:val="center"/>
              <w:rPr>
                <w:rFonts w:hint="eastAsia" w:ascii="宋体" w:hAnsi="宋体" w:eastAsia="宋体" w:cs="宋体"/>
                <w:b/>
                <w:bCs/>
                <w:color w:val="000000" w:themeColor="text1"/>
                <w:sz w:val="22"/>
                <w:szCs w:val="22"/>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0" w:hRule="atLeast"/>
          <w:jc w:val="center"/>
        </w:trPr>
        <w:tc>
          <w:tcPr>
            <w:tcW w:w="523" w:type="dxa"/>
            <w:noWrap w:val="0"/>
            <w:vAlign w:val="center"/>
          </w:tcPr>
          <w:p>
            <w:pPr>
              <w:ind w:firstLine="28"/>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1</w:t>
            </w:r>
          </w:p>
        </w:tc>
        <w:tc>
          <w:tcPr>
            <w:tcW w:w="1229" w:type="dxa"/>
            <w:noWrap w:val="0"/>
            <w:vAlign w:val="center"/>
          </w:tcPr>
          <w:p>
            <w:pPr>
              <w:jc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报价</w:t>
            </w:r>
          </w:p>
          <w:p>
            <w:pPr>
              <w:jc w:val="cente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eastAsia="zh-CN"/>
                <w14:textFill>
                  <w14:solidFill>
                    <w14:schemeClr w14:val="tx1"/>
                  </w14:solidFill>
                </w14:textFill>
              </w:rPr>
              <w:t>（</w:t>
            </w:r>
            <w:r>
              <w:rPr>
                <w:rFonts w:hint="eastAsia" w:ascii="宋体" w:hAnsi="宋体" w:eastAsia="宋体" w:cs="宋体"/>
                <w:color w:val="000000" w:themeColor="text1"/>
                <w:sz w:val="22"/>
                <w:szCs w:val="22"/>
                <w:highlight w:val="none"/>
                <w:lang w:val="en-US" w:eastAsia="zh-CN"/>
                <w14:textFill>
                  <w14:solidFill>
                    <w14:schemeClr w14:val="tx1"/>
                  </w14:solidFill>
                </w14:textFill>
              </w:rPr>
              <w:t>30分）</w:t>
            </w:r>
          </w:p>
        </w:tc>
        <w:tc>
          <w:tcPr>
            <w:tcW w:w="6510" w:type="dxa"/>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Cs/>
                <w:color w:val="000000" w:themeColor="text1"/>
                <w:sz w:val="22"/>
                <w:szCs w:val="22"/>
                <w:highlight w:val="none"/>
                <w:lang w:val="en-US" w:eastAsia="zh-CN"/>
                <w14:textFill>
                  <w14:solidFill>
                    <w14:schemeClr w14:val="tx1"/>
                  </w14:solidFill>
                </w14:textFill>
              </w:rPr>
              <w:t>满足磋商文件要求且最后报价最低的供应商的价格为评标基准价，其价格分为满分。其他供应商的价格分统一按照下列公式计算：报价得分=（评标基准价/响应报价）×30。</w:t>
            </w:r>
          </w:p>
          <w:p>
            <w:pPr>
              <w:pStyle w:val="84"/>
              <w:ind w:left="21" w:leftChars="10"/>
              <w:rPr>
                <w:rFonts w:hint="eastAsia" w:ascii="宋体" w:hAnsi="宋体" w:eastAsia="宋体" w:cs="宋体"/>
                <w:sz w:val="21"/>
                <w:szCs w:val="21"/>
                <w:highlight w:val="none"/>
              </w:rPr>
            </w:pPr>
            <w:r>
              <w:rPr>
                <w:rFonts w:hint="eastAsia" w:ascii="宋体" w:hAnsi="宋体" w:eastAsia="宋体" w:cs="宋体"/>
                <w:bCs/>
                <w:color w:val="000000" w:themeColor="text1"/>
                <w:sz w:val="22"/>
                <w:szCs w:val="22"/>
                <w:highlight w:val="none"/>
                <w:lang w:val="en-US" w:eastAsia="zh-CN"/>
                <w14:textFill>
                  <w14:solidFill>
                    <w14:schemeClr w14:val="tx1"/>
                  </w14:solidFill>
                </w14:textFill>
              </w:rPr>
              <w:t>注：1.</w:t>
            </w:r>
            <w:r>
              <w:rPr>
                <w:rFonts w:hint="eastAsia" w:ascii="宋体" w:hAnsi="宋体" w:eastAsia="宋体" w:cs="宋体"/>
                <w:sz w:val="21"/>
                <w:szCs w:val="21"/>
                <w:highlight w:val="none"/>
              </w:rPr>
              <w:t>小微企业(残疾人福利性单位、监狱企业视同小微企业)价格扣除及失信企业价格惩戒加成按照本招标文件</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须知附表规定执行。</w:t>
            </w:r>
          </w:p>
          <w:p>
            <w:pP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cs="宋体"/>
                <w:bCs/>
                <w:color w:val="000000" w:themeColor="text1"/>
                <w:sz w:val="22"/>
                <w:szCs w:val="22"/>
                <w:highlight w:val="none"/>
                <w:lang w:val="en-US" w:eastAsia="zh-CN"/>
                <w14:textFill>
                  <w14:solidFill>
                    <w14:schemeClr w14:val="tx1"/>
                  </w14:solidFill>
                </w14:textFill>
              </w:rPr>
              <w:t>2.</w:t>
            </w:r>
            <w:r>
              <w:rPr>
                <w:rFonts w:hint="eastAsia" w:ascii="宋体" w:hAnsi="宋体" w:eastAsia="宋体" w:cs="宋体"/>
                <w:bCs/>
                <w:color w:val="000000" w:themeColor="text1"/>
                <w:sz w:val="22"/>
                <w:szCs w:val="22"/>
                <w:highlight w:val="none"/>
                <w:lang w:eastAsia="zh-CN"/>
                <w14:textFill>
                  <w14:solidFill>
                    <w14:schemeClr w14:val="tx1"/>
                  </w14:solidFill>
                </w14:textFill>
              </w:rPr>
              <w:t>对记入诚信档案且在有效期内的失信供应商，参加政府采购活动按照10%</w:t>
            </w:r>
            <w:r>
              <w:rPr>
                <w:rFonts w:hint="eastAsia" w:ascii="宋体" w:hAnsi="宋体" w:eastAsia="宋体" w:cs="宋体"/>
                <w:bCs/>
                <w:color w:val="000000" w:themeColor="text1"/>
                <w:sz w:val="22"/>
                <w:szCs w:val="22"/>
                <w:highlight w:val="none"/>
                <w:lang w:val="zh-CN" w:eastAsia="zh-CN"/>
                <w14:textFill>
                  <w14:solidFill>
                    <w14:schemeClr w14:val="tx1"/>
                  </w14:solidFill>
                </w14:textFill>
              </w:rPr>
              <w:t>/次</w:t>
            </w:r>
            <w:r>
              <w:rPr>
                <w:rFonts w:hint="eastAsia" w:ascii="宋体" w:hAnsi="宋体" w:eastAsia="宋体" w:cs="宋体"/>
                <w:bCs/>
                <w:color w:val="000000" w:themeColor="text1"/>
                <w:sz w:val="22"/>
                <w:szCs w:val="22"/>
                <w:highlight w:val="none"/>
                <w:lang w:eastAsia="zh-CN"/>
                <w14:textFill>
                  <w14:solidFill>
                    <w14:schemeClr w14:val="tx1"/>
                  </w14:solidFill>
                </w14:textFill>
              </w:rPr>
              <w:t>的报价加成，以加成后报价作为该供应商报价参与评审。供应商失信行为惩戒实行无限制累加制，因其失信行为进行报价加成惩戒后报价超过政府采购预算的，其响应文件按照无效处理。供应商参加政府采购活动时，应当就自己的诚信情况在响应文件中进行承诺。</w:t>
            </w:r>
          </w:p>
        </w:tc>
        <w:tc>
          <w:tcPr>
            <w:tcW w:w="760" w:type="dxa"/>
            <w:noWrap w:val="0"/>
            <w:vAlign w:val="center"/>
          </w:tcPr>
          <w:p>
            <w:pPr>
              <w:bidi w:val="0"/>
              <w:spacing w:line="240" w:lineRule="auto"/>
              <w:jc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8" w:hRule="atLeast"/>
          <w:jc w:val="center"/>
        </w:trPr>
        <w:tc>
          <w:tcPr>
            <w:tcW w:w="523" w:type="dxa"/>
            <w:noWrap w:val="0"/>
            <w:vAlign w:val="center"/>
          </w:tcPr>
          <w:p>
            <w:pPr>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2</w:t>
            </w:r>
          </w:p>
        </w:tc>
        <w:tc>
          <w:tcPr>
            <w:tcW w:w="1229" w:type="dxa"/>
            <w:noWrap w:val="0"/>
            <w:vAlign w:val="center"/>
          </w:tcPr>
          <w:p>
            <w:pPr>
              <w:jc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技术</w:t>
            </w:r>
            <w:r>
              <w:rPr>
                <w:rFonts w:hint="eastAsia" w:ascii="宋体" w:hAnsi="宋体" w:cs="宋体"/>
                <w:color w:val="000000" w:themeColor="text1"/>
                <w:sz w:val="22"/>
                <w:szCs w:val="22"/>
                <w:highlight w:val="none"/>
                <w:lang w:eastAsia="zh-CN"/>
                <w14:textFill>
                  <w14:solidFill>
                    <w14:schemeClr w14:val="tx1"/>
                  </w14:solidFill>
                </w14:textFill>
              </w:rPr>
              <w:t>参数</w:t>
            </w:r>
          </w:p>
          <w:p>
            <w:pPr>
              <w:jc w:val="cente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eastAsia="zh-CN"/>
                <w14:textFill>
                  <w14:solidFill>
                    <w14:schemeClr w14:val="tx1"/>
                  </w14:solidFill>
                </w14:textFill>
              </w:rPr>
              <w:t>（</w:t>
            </w:r>
            <w:r>
              <w:rPr>
                <w:rFonts w:hint="eastAsia" w:ascii="宋体" w:hAnsi="宋体" w:eastAsia="宋体" w:cs="宋体"/>
                <w:color w:val="000000" w:themeColor="text1"/>
                <w:sz w:val="22"/>
                <w:szCs w:val="22"/>
                <w:highlight w:val="none"/>
                <w:lang w:val="en-US" w:eastAsia="zh-CN"/>
                <w14:textFill>
                  <w14:solidFill>
                    <w14:schemeClr w14:val="tx1"/>
                  </w14:solidFill>
                </w14:textFill>
              </w:rPr>
              <w:t>29分）</w:t>
            </w:r>
          </w:p>
        </w:tc>
        <w:tc>
          <w:tcPr>
            <w:tcW w:w="65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pPr>
            <w:r>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t>完全符合采购文件第五章“（二）技术、服务内容及要求 2、技术参数要求”，没有负偏离得29分。带“▲”的参数（共1</w:t>
            </w:r>
            <w:r>
              <w:rPr>
                <w:rFonts w:hint="eastAsia" w:ascii="宋体" w:hAnsi="宋体" w:cs="宋体"/>
                <w:color w:val="000000" w:themeColor="text1"/>
                <w:kern w:val="0"/>
                <w:sz w:val="22"/>
                <w:szCs w:val="22"/>
                <w:highlight w:val="none"/>
                <w:lang w:val="en-US" w:eastAsia="zh-CN" w:bidi="ar"/>
                <w14:textFill>
                  <w14:solidFill>
                    <w14:schemeClr w14:val="tx1"/>
                  </w14:solidFill>
                </w14:textFill>
              </w:rPr>
              <w:t>4</w:t>
            </w:r>
            <w:r>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t>条），每一条参数不符合要求，每一项扣1.5分，不带“▲”的参数（共1</w:t>
            </w:r>
            <w:r>
              <w:rPr>
                <w:rFonts w:hint="eastAsia" w:ascii="宋体" w:hAnsi="宋体" w:cs="宋体"/>
                <w:color w:val="000000" w:themeColor="text1"/>
                <w:kern w:val="0"/>
                <w:sz w:val="22"/>
                <w:szCs w:val="22"/>
                <w:highlight w:val="none"/>
                <w:lang w:val="en-US" w:eastAsia="zh-CN" w:bidi="ar"/>
                <w14:textFill>
                  <w14:solidFill>
                    <w14:schemeClr w14:val="tx1"/>
                  </w14:solidFill>
                </w14:textFill>
              </w:rPr>
              <w:t>6</w:t>
            </w:r>
            <w:r>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t>条），每一条参数不符合要求，每一项扣0.5分，带“◆”的参数（共</w:t>
            </w:r>
            <w:r>
              <w:rPr>
                <w:rFonts w:hint="eastAsia" w:ascii="宋体" w:hAnsi="宋体" w:cs="宋体"/>
                <w:color w:val="000000" w:themeColor="text1"/>
                <w:kern w:val="0"/>
                <w:sz w:val="22"/>
                <w:szCs w:val="22"/>
                <w:highlight w:val="none"/>
                <w:lang w:val="en-US" w:eastAsia="zh-CN" w:bidi="ar"/>
                <w14:textFill>
                  <w14:solidFill>
                    <w14:schemeClr w14:val="tx1"/>
                  </w14:solidFill>
                </w14:textFill>
              </w:rPr>
              <w:t>2</w:t>
            </w:r>
            <w:r>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t>条）为实质性要求，须完全满足采购文件要求，否则作无效处理。</w:t>
            </w:r>
          </w:p>
          <w:p>
            <w:pPr>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pPr>
            <w:r>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t>注：1）“▲”项参数需提供佐证材料，否则视为负偏离或缺项扣分。</w:t>
            </w:r>
          </w:p>
          <w:p>
            <w:pP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t>2）佐证材料是指产品检测报告或相应证书复印件等证明材料。</w:t>
            </w:r>
          </w:p>
        </w:tc>
        <w:tc>
          <w:tcPr>
            <w:tcW w:w="760" w:type="dxa"/>
            <w:noWrap w:val="0"/>
            <w:vAlign w:val="center"/>
          </w:tcPr>
          <w:p>
            <w:pPr>
              <w:bidi w:val="0"/>
              <w:spacing w:line="240" w:lineRule="auto"/>
              <w:jc w:val="cente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8" w:hRule="atLeast"/>
          <w:jc w:val="center"/>
        </w:trPr>
        <w:tc>
          <w:tcPr>
            <w:tcW w:w="523" w:type="dxa"/>
            <w:noWrap w:val="0"/>
            <w:vAlign w:val="center"/>
          </w:tcPr>
          <w:p>
            <w:pPr>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3</w:t>
            </w:r>
          </w:p>
        </w:tc>
        <w:tc>
          <w:tcPr>
            <w:tcW w:w="1229" w:type="dxa"/>
            <w:noWrap w:val="0"/>
            <w:vAlign w:val="center"/>
          </w:tcPr>
          <w:p>
            <w:pPr>
              <w:jc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项目实施</w:t>
            </w:r>
            <w:r>
              <w:rPr>
                <w:rFonts w:hint="eastAsia" w:ascii="宋体" w:hAnsi="宋体" w:eastAsia="宋体" w:cs="宋体"/>
                <w:color w:val="000000" w:themeColor="text1"/>
                <w:sz w:val="22"/>
                <w:szCs w:val="22"/>
                <w:highlight w:val="none"/>
                <w14:textFill>
                  <w14:solidFill>
                    <w14:schemeClr w14:val="tx1"/>
                  </w14:solidFill>
                </w14:textFill>
              </w:rPr>
              <w:t>方案</w:t>
            </w:r>
          </w:p>
          <w:p>
            <w:pPr>
              <w:jc w:val="cente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eastAsia="zh-CN"/>
                <w14:textFill>
                  <w14:solidFill>
                    <w14:schemeClr w14:val="tx1"/>
                  </w14:solidFill>
                </w14:textFill>
              </w:rPr>
              <w:t>（</w:t>
            </w:r>
            <w:r>
              <w:rPr>
                <w:rFonts w:hint="eastAsia" w:ascii="宋体" w:hAnsi="宋体" w:eastAsia="宋体" w:cs="宋体"/>
                <w:color w:val="000000" w:themeColor="text1"/>
                <w:sz w:val="22"/>
                <w:szCs w:val="22"/>
                <w:highlight w:val="none"/>
                <w:lang w:val="en-US" w:eastAsia="zh-CN"/>
                <w14:textFill>
                  <w14:solidFill>
                    <w14:schemeClr w14:val="tx1"/>
                  </w14:solidFill>
                </w14:textFill>
              </w:rPr>
              <w:t>14分）</w:t>
            </w:r>
          </w:p>
        </w:tc>
        <w:tc>
          <w:tcPr>
            <w:tcW w:w="651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pPr>
            <w:r>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t>1、供应商针对本项目的服务方案包括但不限于：（1）项目总体实施方案其中包含施工（安装调试）方案；（2）项目进度安排；（3）质量保障措施；（4）疫情防控方案；（5）安全保障措施；（6）人员岗位配置</w:t>
            </w:r>
            <w:r>
              <w:rPr>
                <w:rFonts w:hint="eastAsia" w:ascii="宋体" w:hAnsi="宋体" w:cs="宋体"/>
                <w:color w:val="000000" w:themeColor="text1"/>
                <w:kern w:val="0"/>
                <w:sz w:val="22"/>
                <w:szCs w:val="22"/>
                <w:highlight w:val="none"/>
                <w:lang w:val="en-US" w:eastAsia="zh-CN" w:bidi="ar"/>
                <w14:textFill>
                  <w14:solidFill>
                    <w14:schemeClr w14:val="tx1"/>
                  </w14:solidFill>
                </w14:textFill>
              </w:rPr>
              <w:t>等</w:t>
            </w:r>
            <w:r>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t>满足采购人要求，</w:t>
            </w:r>
            <w:r>
              <w:rPr>
                <w:rFonts w:hint="eastAsia" w:ascii="宋体" w:hAnsi="宋体" w:eastAsia="宋体" w:cs="宋体"/>
                <w:b w:val="0"/>
                <w:bCs w:val="0"/>
                <w:color w:val="000000" w:themeColor="text1"/>
                <w:kern w:val="0"/>
                <w:sz w:val="22"/>
                <w:szCs w:val="22"/>
                <w:highlight w:val="none"/>
                <w:lang w:val="en-US" w:eastAsia="zh-CN" w:bidi="ar"/>
                <w14:textFill>
                  <w14:solidFill>
                    <w14:schemeClr w14:val="tx1"/>
                  </w14:solidFill>
                </w14:textFill>
              </w:rPr>
              <w:t>（针对所投学校</w:t>
            </w:r>
            <w:r>
              <w:rPr>
                <w:rFonts w:hint="eastAsia" w:ascii="宋体" w:hAnsi="宋体" w:cs="宋体"/>
                <w:b w:val="0"/>
                <w:bCs w:val="0"/>
                <w:color w:val="000000" w:themeColor="text1"/>
                <w:kern w:val="0"/>
                <w:sz w:val="22"/>
                <w:szCs w:val="22"/>
                <w:highlight w:val="none"/>
                <w:lang w:val="en-US" w:eastAsia="zh-CN" w:bidi="ar"/>
                <w14:textFill>
                  <w14:solidFill>
                    <w14:schemeClr w14:val="tx1"/>
                  </w14:solidFill>
                </w14:textFill>
              </w:rPr>
              <w:t>配备安装</w:t>
            </w:r>
            <w:r>
              <w:rPr>
                <w:rFonts w:hint="eastAsia" w:ascii="宋体" w:hAnsi="宋体" w:eastAsia="宋体" w:cs="宋体"/>
                <w:b w:val="0"/>
                <w:bCs w:val="0"/>
                <w:color w:val="000000" w:themeColor="text1"/>
                <w:kern w:val="0"/>
                <w:sz w:val="22"/>
                <w:szCs w:val="22"/>
                <w:highlight w:val="none"/>
                <w:lang w:val="en-US" w:eastAsia="zh-CN" w:bidi="ar"/>
                <w14:textFill>
                  <w14:solidFill>
                    <w14:schemeClr w14:val="tx1"/>
                  </w14:solidFill>
                </w14:textFill>
              </w:rPr>
              <w:t>施工队人员，包含货物配送、勘测定位设计、线路改造、灯具安装、光环境检测等岗位专职人员姓名、身份证复印件等信息）</w:t>
            </w:r>
            <w:r>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t>。方案齐全、表述清楚、完全满足项目要求并且能够最大化保障项目顺利实施的得12分。每有一项漏项或方案内容与项目实际脱离或完全不满足要求的扣2分，每有一项有偏差（与本项目无关）或方案内容不完整，有瑕疵或描述不到位或与本项目实际需求不符合或不能完全满足采购人要求、可行性小的扣1分。</w:t>
            </w:r>
          </w:p>
          <w:p>
            <w:pPr>
              <w:rPr>
                <w:rFonts w:hint="eastAsia" w:ascii="宋体" w:hAnsi="宋体" w:eastAsia="宋体" w:cs="宋体"/>
                <w:color w:val="000000" w:themeColor="text1"/>
                <w:sz w:val="22"/>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t>2、除上述方案内容外，供应商每增加一项有利于且满足本项目采购需求实施的服务方案加2分；可行性小、不够完善的加1分，最多加2分。</w:t>
            </w:r>
          </w:p>
        </w:tc>
        <w:tc>
          <w:tcPr>
            <w:tcW w:w="760" w:type="dxa"/>
            <w:noWrap w:val="0"/>
            <w:vAlign w:val="center"/>
          </w:tcPr>
          <w:p>
            <w:pPr>
              <w:jc w:val="cente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1" w:hRule="atLeast"/>
          <w:jc w:val="center"/>
        </w:trPr>
        <w:tc>
          <w:tcPr>
            <w:tcW w:w="523" w:type="dxa"/>
            <w:noWrap w:val="0"/>
            <w:vAlign w:val="center"/>
          </w:tcPr>
          <w:p>
            <w:pPr>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4</w:t>
            </w:r>
          </w:p>
        </w:tc>
        <w:tc>
          <w:tcPr>
            <w:tcW w:w="1229" w:type="dxa"/>
            <w:noWrap w:val="0"/>
            <w:vAlign w:val="center"/>
          </w:tcPr>
          <w:p>
            <w:pPr>
              <w:jc w:val="center"/>
              <w:rPr>
                <w:rFonts w:hint="eastAsia" w:ascii="宋体" w:hAnsi="宋体" w:eastAsia="宋体" w:cs="宋体"/>
                <w:bCs/>
                <w:color w:val="000000" w:themeColor="text1"/>
                <w:sz w:val="22"/>
                <w:szCs w:val="22"/>
                <w:highlight w:val="none"/>
                <w:lang w:val="en-US" w:eastAsia="zh-Hans"/>
                <w14:textFill>
                  <w14:solidFill>
                    <w14:schemeClr w14:val="tx1"/>
                  </w14:solidFill>
                </w14:textFill>
              </w:rPr>
            </w:pPr>
            <w:r>
              <w:rPr>
                <w:rFonts w:hint="eastAsia" w:ascii="宋体" w:hAnsi="宋体" w:eastAsia="宋体" w:cs="宋体"/>
                <w:bCs/>
                <w:color w:val="000000" w:themeColor="text1"/>
                <w:sz w:val="22"/>
                <w:szCs w:val="22"/>
                <w:highlight w:val="none"/>
                <w:lang w:val="en-US" w:eastAsia="zh-Hans"/>
                <w14:textFill>
                  <w14:solidFill>
                    <w14:schemeClr w14:val="tx1"/>
                  </w14:solidFill>
                </w14:textFill>
              </w:rPr>
              <w:t>质量保证</w:t>
            </w:r>
          </w:p>
          <w:p>
            <w:pPr>
              <w:jc w:val="center"/>
              <w:rPr>
                <w:rFonts w:hint="eastAsia"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Cs/>
                <w:color w:val="000000" w:themeColor="text1"/>
                <w:sz w:val="22"/>
                <w:szCs w:val="22"/>
                <w:highlight w:val="none"/>
                <w:lang w:val="en-US" w:eastAsia="zh-CN"/>
                <w14:textFill>
                  <w14:solidFill>
                    <w14:schemeClr w14:val="tx1"/>
                  </w14:solidFill>
                </w14:textFill>
              </w:rPr>
              <w:t>（5分）</w:t>
            </w:r>
          </w:p>
        </w:tc>
        <w:tc>
          <w:tcPr>
            <w:tcW w:w="6510" w:type="dxa"/>
            <w:noWrap w:val="0"/>
            <w:vAlign w:val="center"/>
          </w:tcPr>
          <w:p>
            <w:pPr>
              <w:pStyle w:val="82"/>
              <w:keepNext w:val="0"/>
              <w:keepLines w:val="0"/>
              <w:widowControl/>
              <w:suppressLineNumbers w:val="0"/>
              <w:rPr>
                <w:rFonts w:hint="eastAsia" w:ascii="宋体" w:hAnsi="宋体" w:eastAsia="宋体" w:cs="宋体"/>
                <w:color w:val="000000" w:themeColor="text1"/>
                <w:kern w:val="2"/>
                <w:sz w:val="22"/>
                <w:szCs w:val="22"/>
                <w:highlight w:val="none"/>
                <w:lang w:val="en-US" w:eastAsia="zh-Hans" w:bidi="ar-SA"/>
                <w14:textFill>
                  <w14:solidFill>
                    <w14:schemeClr w14:val="tx1"/>
                  </w14:solidFill>
                </w14:textFill>
              </w:rPr>
            </w:pPr>
            <w:r>
              <w:rPr>
                <w:rFonts w:hint="eastAsia" w:ascii="宋体" w:hAnsi="宋体" w:eastAsia="宋体" w:cs="宋体"/>
                <w:color w:val="000000" w:themeColor="text1"/>
                <w:sz w:val="22"/>
                <w:szCs w:val="22"/>
                <w:highlight w:val="none"/>
                <w14:textFill>
                  <w14:solidFill>
                    <w14:schemeClr w14:val="tx1"/>
                  </w14:solidFill>
                </w14:textFill>
              </w:rPr>
              <w:t>1</w:t>
            </w:r>
            <w:r>
              <w:rPr>
                <w:rFonts w:hint="eastAsia" w:ascii="宋体" w:hAnsi="宋体" w:eastAsia="宋体" w:cs="宋体"/>
                <w:color w:val="000000" w:themeColor="text1"/>
                <w:sz w:val="22"/>
                <w:szCs w:val="22"/>
                <w:highlight w:val="none"/>
                <w:lang w:eastAsia="zh-Hans"/>
                <w14:textFill>
                  <w14:solidFill>
                    <w14:schemeClr w14:val="tx1"/>
                  </w14:solidFill>
                </w14:textFill>
              </w:rPr>
              <w:t>、</w:t>
            </w:r>
            <w:r>
              <w:rPr>
                <w:rFonts w:hint="eastAsia" w:ascii="宋体" w:hAnsi="宋体" w:eastAsia="宋体" w:cs="宋体"/>
                <w:color w:val="000000" w:themeColor="text1"/>
                <w:sz w:val="22"/>
                <w:szCs w:val="22"/>
                <w:highlight w:val="none"/>
                <w:lang w:eastAsia="zh-CN"/>
                <w14:textFill>
                  <w14:solidFill>
                    <w14:schemeClr w14:val="tx1"/>
                  </w14:solidFill>
                </w14:textFill>
              </w:rPr>
              <w:t>供应商所投</w:t>
            </w:r>
            <w:r>
              <w:rPr>
                <w:rFonts w:hint="eastAsia" w:ascii="宋体" w:hAnsi="宋体" w:eastAsia="宋体" w:cs="宋体"/>
                <w:color w:val="000000" w:themeColor="text1"/>
                <w:sz w:val="22"/>
                <w:szCs w:val="22"/>
                <w:highlight w:val="none"/>
                <w:lang w:val="en-US" w:eastAsia="zh-Hans"/>
                <w14:textFill>
                  <w14:solidFill>
                    <w14:schemeClr w14:val="tx1"/>
                  </w14:solidFill>
                </w14:textFill>
              </w:rPr>
              <w:t>核心</w:t>
            </w:r>
            <w:r>
              <w:rPr>
                <w:rFonts w:hint="eastAsia" w:ascii="宋体" w:hAnsi="宋体" w:eastAsia="宋体" w:cs="宋体"/>
                <w:color w:val="000000" w:themeColor="text1"/>
                <w:sz w:val="22"/>
                <w:szCs w:val="22"/>
                <w:highlight w:val="none"/>
                <w14:textFill>
                  <w14:solidFill>
                    <w14:schemeClr w14:val="tx1"/>
                  </w14:solidFill>
                </w14:textFill>
              </w:rPr>
              <w:t>产品</w:t>
            </w:r>
            <w:r>
              <w:rPr>
                <w:rFonts w:hint="eastAsia" w:ascii="宋体" w:hAnsi="宋体" w:eastAsia="宋体" w:cs="宋体"/>
                <w:color w:val="000000" w:themeColor="text1"/>
                <w:sz w:val="22"/>
                <w:szCs w:val="22"/>
                <w:highlight w:val="none"/>
                <w:lang w:val="en-US" w:eastAsia="zh-Hans"/>
                <w14:textFill>
                  <w14:solidFill>
                    <w14:schemeClr w14:val="tx1"/>
                  </w14:solidFill>
                </w14:textFill>
              </w:rPr>
              <w:t>教室灯</w:t>
            </w:r>
            <w:r>
              <w:rPr>
                <w:rFonts w:hint="eastAsia" w:ascii="宋体" w:hAnsi="宋体" w:eastAsia="宋体" w:cs="宋体"/>
                <w:color w:val="000000" w:themeColor="text1"/>
                <w:sz w:val="22"/>
                <w:szCs w:val="22"/>
                <w:highlight w:val="none"/>
                <w14:textFill>
                  <w14:solidFill>
                    <w14:schemeClr w14:val="tx1"/>
                  </w14:solidFill>
                </w14:textFill>
              </w:rPr>
              <w:t>参保有效期内产品</w:t>
            </w:r>
            <w:r>
              <w:rPr>
                <w:rFonts w:hint="eastAsia" w:ascii="宋体" w:hAnsi="宋体" w:eastAsia="宋体" w:cs="宋体"/>
                <w:color w:val="000000" w:themeColor="text1"/>
                <w:sz w:val="22"/>
                <w:szCs w:val="22"/>
                <w:highlight w:val="none"/>
                <w:lang w:val="en-US" w:eastAsia="zh-Hans"/>
                <w14:textFill>
                  <w14:solidFill>
                    <w14:schemeClr w14:val="tx1"/>
                  </w14:solidFill>
                </w14:textFill>
              </w:rPr>
              <w:t>质量</w:t>
            </w:r>
            <w:r>
              <w:rPr>
                <w:rFonts w:hint="eastAsia" w:ascii="宋体" w:hAnsi="宋体" w:eastAsia="宋体" w:cs="宋体"/>
                <w:color w:val="000000" w:themeColor="text1"/>
                <w:sz w:val="22"/>
                <w:szCs w:val="22"/>
                <w:highlight w:val="none"/>
                <w14:textFill>
                  <w14:solidFill>
                    <w14:schemeClr w14:val="tx1"/>
                  </w14:solidFill>
                </w14:textFill>
              </w:rPr>
              <w:t>保险</w:t>
            </w:r>
            <w:r>
              <w:rPr>
                <w:rFonts w:hint="eastAsia" w:ascii="宋体" w:hAnsi="宋体" w:eastAsia="宋体" w:cs="宋体"/>
                <w:color w:val="000000" w:themeColor="text1"/>
                <w:sz w:val="22"/>
                <w:szCs w:val="22"/>
                <w:highlight w:val="none"/>
                <w:lang w:eastAsia="zh-CN"/>
                <w14:textFill>
                  <w14:solidFill>
                    <w14:schemeClr w14:val="tx1"/>
                  </w14:solidFill>
                </w14:textFill>
              </w:rPr>
              <w:t>的</w:t>
            </w:r>
            <w:r>
              <w:rPr>
                <w:rFonts w:hint="eastAsia" w:ascii="宋体" w:hAnsi="宋体" w:eastAsia="宋体" w:cs="宋体"/>
                <w:color w:val="000000" w:themeColor="text1"/>
                <w:sz w:val="22"/>
                <w:szCs w:val="22"/>
                <w:highlight w:val="none"/>
                <w:lang w:val="en-US" w:eastAsia="zh-Hans"/>
                <w14:textFill>
                  <w14:solidFill>
                    <w14:schemeClr w14:val="tx1"/>
                  </w14:solidFill>
                </w14:textFill>
              </w:rPr>
              <w:t>得</w:t>
            </w:r>
            <w:r>
              <w:rPr>
                <w:rFonts w:hint="eastAsia" w:ascii="宋体" w:hAnsi="宋体" w:eastAsia="宋体" w:cs="宋体"/>
                <w:color w:val="000000" w:themeColor="text1"/>
                <w:sz w:val="22"/>
                <w:szCs w:val="22"/>
                <w:highlight w:val="none"/>
                <w:lang w:eastAsia="zh-Hans"/>
                <w14:textFill>
                  <w14:solidFill>
                    <w14:schemeClr w14:val="tx1"/>
                  </w14:solidFill>
                </w14:textFill>
              </w:rPr>
              <w:t>1</w:t>
            </w:r>
            <w:r>
              <w:rPr>
                <w:rFonts w:hint="eastAsia" w:ascii="宋体" w:hAnsi="宋体" w:eastAsia="宋体" w:cs="宋体"/>
                <w:color w:val="000000" w:themeColor="text1"/>
                <w:sz w:val="22"/>
                <w:szCs w:val="22"/>
                <w:highlight w:val="none"/>
                <w14:textFill>
                  <w14:solidFill>
                    <w14:schemeClr w14:val="tx1"/>
                  </w14:solidFill>
                </w14:textFill>
              </w:rPr>
              <w:t>分</w:t>
            </w:r>
            <w:r>
              <w:rPr>
                <w:rFonts w:hint="eastAsia" w:ascii="宋体" w:hAnsi="宋体" w:eastAsia="宋体" w:cs="宋体"/>
                <w:color w:val="000000" w:themeColor="text1"/>
                <w:sz w:val="22"/>
                <w:szCs w:val="22"/>
                <w:highlight w:val="none"/>
                <w:lang w:eastAsia="zh-CN"/>
                <w14:textFill>
                  <w14:solidFill>
                    <w14:schemeClr w14:val="tx1"/>
                  </w14:solidFill>
                </w14:textFill>
              </w:rPr>
              <w:t>。</w:t>
            </w:r>
          </w:p>
          <w:p>
            <w:pPr>
              <w:pStyle w:val="82"/>
              <w:keepNext w:val="0"/>
              <w:keepLines w:val="0"/>
              <w:widowControl/>
              <w:suppressLineNumbers w:val="0"/>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2</w:t>
            </w:r>
            <w:r>
              <w:rPr>
                <w:rFonts w:hint="eastAsia" w:ascii="宋体" w:hAnsi="宋体" w:eastAsia="宋体" w:cs="宋体"/>
                <w:color w:val="000000" w:themeColor="text1"/>
                <w:sz w:val="22"/>
                <w:szCs w:val="22"/>
                <w:highlight w:val="none"/>
                <w:lang w:eastAsia="zh-Hans"/>
                <w14:textFill>
                  <w14:solidFill>
                    <w14:schemeClr w14:val="tx1"/>
                  </w14:solidFill>
                </w14:textFill>
              </w:rPr>
              <w:t>、</w:t>
            </w:r>
            <w:r>
              <w:rPr>
                <w:rFonts w:hint="eastAsia" w:ascii="宋体" w:hAnsi="宋体" w:eastAsia="宋体" w:cs="宋体"/>
                <w:color w:val="000000" w:themeColor="text1"/>
                <w:sz w:val="22"/>
                <w:szCs w:val="22"/>
                <w:highlight w:val="none"/>
                <w:lang w:eastAsia="zh-CN"/>
                <w14:textFill>
                  <w14:solidFill>
                    <w14:schemeClr w14:val="tx1"/>
                  </w14:solidFill>
                </w14:textFill>
              </w:rPr>
              <w:t>供应商所投</w:t>
            </w:r>
            <w:r>
              <w:rPr>
                <w:rFonts w:hint="eastAsia" w:ascii="宋体" w:hAnsi="宋体" w:eastAsia="宋体" w:cs="宋体"/>
                <w:color w:val="000000" w:themeColor="text1"/>
                <w:sz w:val="22"/>
                <w:szCs w:val="22"/>
                <w:highlight w:val="none"/>
                <w:lang w:val="en-US" w:eastAsia="zh-Hans"/>
                <w14:textFill>
                  <w14:solidFill>
                    <w14:schemeClr w14:val="tx1"/>
                  </w14:solidFill>
                </w14:textFill>
              </w:rPr>
              <w:t>核心</w:t>
            </w:r>
            <w:r>
              <w:rPr>
                <w:rFonts w:hint="eastAsia" w:ascii="宋体" w:hAnsi="宋体" w:eastAsia="宋体" w:cs="宋体"/>
                <w:color w:val="000000" w:themeColor="text1"/>
                <w:sz w:val="22"/>
                <w:szCs w:val="22"/>
                <w:highlight w:val="none"/>
                <w14:textFill>
                  <w14:solidFill>
                    <w14:schemeClr w14:val="tx1"/>
                  </w14:solidFill>
                </w14:textFill>
              </w:rPr>
              <w:t>产品</w:t>
            </w:r>
            <w:r>
              <w:rPr>
                <w:rFonts w:hint="eastAsia" w:ascii="宋体" w:hAnsi="宋体" w:eastAsia="宋体" w:cs="宋体"/>
                <w:color w:val="000000" w:themeColor="text1"/>
                <w:sz w:val="22"/>
                <w:szCs w:val="22"/>
                <w:highlight w:val="none"/>
                <w:lang w:val="en-US" w:eastAsia="zh-Hans"/>
                <w14:textFill>
                  <w14:solidFill>
                    <w14:schemeClr w14:val="tx1"/>
                  </w14:solidFill>
                </w14:textFill>
              </w:rPr>
              <w:t>教室灯</w:t>
            </w:r>
            <w:r>
              <w:rPr>
                <w:rFonts w:hint="eastAsia" w:ascii="宋体" w:hAnsi="宋体" w:eastAsia="宋体" w:cs="宋体"/>
                <w:color w:val="000000" w:themeColor="text1"/>
                <w:sz w:val="22"/>
                <w:szCs w:val="22"/>
                <w:highlight w:val="none"/>
                <w:lang w:val="en-US" w:eastAsia="zh-CN"/>
                <w14:textFill>
                  <w14:solidFill>
                    <w14:schemeClr w14:val="tx1"/>
                  </w14:solidFill>
                </w14:textFill>
              </w:rPr>
              <w:t>已获得CQC依据IEC/TR62778-2014产品认证证书，蓝光认证结果为RG0的</w:t>
            </w:r>
            <w:r>
              <w:rPr>
                <w:rFonts w:hint="eastAsia" w:ascii="宋体" w:hAnsi="宋体" w:eastAsia="宋体" w:cs="宋体"/>
                <w:color w:val="000000" w:themeColor="text1"/>
                <w:sz w:val="22"/>
                <w:szCs w:val="22"/>
                <w:highlight w:val="none"/>
                <w:lang w:val="en-US" w:eastAsia="zh-Hans"/>
                <w14:textFill>
                  <w14:solidFill>
                    <w14:schemeClr w14:val="tx1"/>
                  </w14:solidFill>
                </w14:textFill>
              </w:rPr>
              <w:t>得</w:t>
            </w:r>
            <w:r>
              <w:rPr>
                <w:rFonts w:hint="eastAsia" w:ascii="宋体" w:hAnsi="宋体" w:eastAsia="宋体" w:cs="宋体"/>
                <w:color w:val="000000" w:themeColor="text1"/>
                <w:sz w:val="22"/>
                <w:szCs w:val="22"/>
                <w:highlight w:val="none"/>
                <w:lang w:val="en-US" w:eastAsia="zh-CN"/>
                <w14:textFill>
                  <w14:solidFill>
                    <w14:schemeClr w14:val="tx1"/>
                  </w14:solidFill>
                </w14:textFill>
              </w:rPr>
              <w:t>2</w:t>
            </w:r>
            <w:r>
              <w:rPr>
                <w:rFonts w:hint="eastAsia" w:ascii="宋体" w:hAnsi="宋体" w:eastAsia="宋体" w:cs="宋体"/>
                <w:color w:val="000000" w:themeColor="text1"/>
                <w:sz w:val="22"/>
                <w:szCs w:val="22"/>
                <w:highlight w:val="none"/>
                <w:lang w:val="en-US" w:eastAsia="zh-Hans"/>
                <w14:textFill>
                  <w14:solidFill>
                    <w14:schemeClr w14:val="tx1"/>
                  </w14:solidFill>
                </w14:textFill>
              </w:rPr>
              <w:t>分</w:t>
            </w:r>
            <w:r>
              <w:rPr>
                <w:rFonts w:hint="eastAsia" w:ascii="宋体" w:hAnsi="宋体" w:eastAsia="宋体" w:cs="宋体"/>
                <w:color w:val="000000" w:themeColor="text1"/>
                <w:sz w:val="22"/>
                <w:szCs w:val="22"/>
                <w:highlight w:val="none"/>
                <w:lang w:val="en-US" w:eastAsia="zh-CN"/>
                <w14:textFill>
                  <w14:solidFill>
                    <w14:schemeClr w14:val="tx1"/>
                  </w14:solidFill>
                </w14:textFill>
              </w:rPr>
              <w:t>。</w:t>
            </w:r>
          </w:p>
          <w:p>
            <w:pPr>
              <w:pStyle w:val="82"/>
              <w:keepNext w:val="0"/>
              <w:keepLines w:val="0"/>
              <w:widowControl/>
              <w:suppressLineNumbers w:val="0"/>
              <w:rPr>
                <w:rFonts w:hint="eastAsia" w:ascii="宋体" w:hAnsi="宋体" w:eastAsia="宋体" w:cs="宋体"/>
                <w:color w:val="000000" w:themeColor="text1"/>
                <w:sz w:val="22"/>
                <w:szCs w:val="22"/>
                <w:highlight w:val="none"/>
                <w:lang w:eastAsia="zh-Hans"/>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3、供应商</w:t>
            </w:r>
            <w:r>
              <w:rPr>
                <w:rFonts w:hint="eastAsia" w:ascii="宋体" w:hAnsi="宋体" w:eastAsia="宋体" w:cs="宋体"/>
                <w:color w:val="000000" w:themeColor="text1"/>
                <w:sz w:val="22"/>
                <w:szCs w:val="22"/>
                <w:highlight w:val="none"/>
                <w:lang w:val="en-US" w:eastAsia="zh-Hans"/>
                <w14:textFill>
                  <w14:solidFill>
                    <w14:schemeClr w14:val="tx1"/>
                  </w14:solidFill>
                </w14:textFill>
              </w:rPr>
              <w:t>或</w:t>
            </w:r>
            <w:r>
              <w:rPr>
                <w:rFonts w:hint="eastAsia" w:ascii="宋体" w:hAnsi="宋体" w:eastAsia="宋体" w:cs="宋体"/>
                <w:color w:val="000000" w:themeColor="text1"/>
                <w:sz w:val="22"/>
                <w:szCs w:val="22"/>
                <w:highlight w:val="none"/>
                <w:lang w:eastAsia="zh-Hans"/>
                <w14:textFill>
                  <w14:solidFill>
                    <w14:schemeClr w14:val="tx1"/>
                  </w14:solidFill>
                </w14:textFill>
              </w:rPr>
              <w:t>所投产品制造商获得依照CQC16-465199-2020认证的教室优质照明光环境认证</w:t>
            </w:r>
            <w:r>
              <w:rPr>
                <w:rFonts w:hint="eastAsia" w:ascii="宋体" w:hAnsi="宋体" w:eastAsia="宋体" w:cs="宋体"/>
                <w:color w:val="000000" w:themeColor="text1"/>
                <w:sz w:val="22"/>
                <w:szCs w:val="22"/>
                <w:highlight w:val="none"/>
                <w:lang w:eastAsia="zh-CN"/>
                <w14:textFill>
                  <w14:solidFill>
                    <w14:schemeClr w14:val="tx1"/>
                  </w14:solidFill>
                </w14:textFill>
              </w:rPr>
              <w:t>的</w:t>
            </w:r>
            <w:r>
              <w:rPr>
                <w:rFonts w:hint="eastAsia" w:ascii="宋体" w:hAnsi="宋体" w:eastAsia="宋体" w:cs="宋体"/>
                <w:color w:val="000000" w:themeColor="text1"/>
                <w:sz w:val="22"/>
                <w:szCs w:val="22"/>
                <w:highlight w:val="none"/>
                <w:lang w:eastAsia="zh-Hans"/>
                <w14:textFill>
                  <w14:solidFill>
                    <w14:schemeClr w14:val="tx1"/>
                  </w14:solidFill>
                </w14:textFill>
              </w:rPr>
              <w:t>得</w:t>
            </w:r>
            <w:r>
              <w:rPr>
                <w:rFonts w:hint="eastAsia" w:ascii="宋体" w:hAnsi="宋体" w:eastAsia="宋体" w:cs="宋体"/>
                <w:color w:val="000000" w:themeColor="text1"/>
                <w:sz w:val="22"/>
                <w:szCs w:val="22"/>
                <w:highlight w:val="none"/>
                <w:lang w:val="en-US" w:eastAsia="zh-CN"/>
                <w14:textFill>
                  <w14:solidFill>
                    <w14:schemeClr w14:val="tx1"/>
                  </w14:solidFill>
                </w14:textFill>
              </w:rPr>
              <w:t>2</w:t>
            </w:r>
            <w:r>
              <w:rPr>
                <w:rFonts w:hint="eastAsia" w:ascii="宋体" w:hAnsi="宋体" w:eastAsia="宋体" w:cs="宋体"/>
                <w:color w:val="000000" w:themeColor="text1"/>
                <w:sz w:val="22"/>
                <w:szCs w:val="22"/>
                <w:highlight w:val="none"/>
                <w:lang w:eastAsia="zh-Hans"/>
                <w14:textFill>
                  <w14:solidFill>
                    <w14:schemeClr w14:val="tx1"/>
                  </w14:solidFill>
                </w14:textFill>
              </w:rPr>
              <w:t>分。</w:t>
            </w:r>
          </w:p>
          <w:p>
            <w:pPr>
              <w:pStyle w:val="82"/>
              <w:keepNext w:val="0"/>
              <w:keepLines w:val="0"/>
              <w:widowControl/>
              <w:suppressLineNumbers w:val="0"/>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注：以上需提供相应的参保证明、证书复印件等证明材料并加盖供应商公章，未提供的不得分。</w:t>
            </w:r>
          </w:p>
        </w:tc>
        <w:tc>
          <w:tcPr>
            <w:tcW w:w="760" w:type="dxa"/>
            <w:noWrap w:val="0"/>
            <w:vAlign w:val="center"/>
          </w:tcPr>
          <w:p>
            <w:pPr>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jc w:val="center"/>
        </w:trPr>
        <w:tc>
          <w:tcPr>
            <w:tcW w:w="523" w:type="dxa"/>
            <w:noWrap w:val="0"/>
            <w:vAlign w:val="center"/>
          </w:tcPr>
          <w:p>
            <w:pPr>
              <w:jc w:val="cente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5</w:t>
            </w:r>
          </w:p>
        </w:tc>
        <w:tc>
          <w:tcPr>
            <w:tcW w:w="1229" w:type="dxa"/>
            <w:noWrap w:val="0"/>
            <w:vAlign w:val="center"/>
          </w:tcPr>
          <w:p>
            <w:pPr>
              <w:jc w:val="center"/>
              <w:rPr>
                <w:rFonts w:hint="eastAsia"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Cs/>
                <w:color w:val="000000" w:themeColor="text1"/>
                <w:sz w:val="22"/>
                <w:szCs w:val="22"/>
                <w:highlight w:val="none"/>
                <w:lang w:val="en-US" w:eastAsia="zh-CN"/>
                <w14:textFill>
                  <w14:solidFill>
                    <w14:schemeClr w14:val="tx1"/>
                  </w14:solidFill>
                </w14:textFill>
              </w:rPr>
              <w:t>业绩</w:t>
            </w:r>
          </w:p>
          <w:p>
            <w:pPr>
              <w:jc w:val="center"/>
              <w:rPr>
                <w:rFonts w:hint="default"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Cs/>
                <w:color w:val="000000" w:themeColor="text1"/>
                <w:sz w:val="22"/>
                <w:szCs w:val="22"/>
                <w:highlight w:val="none"/>
                <w:lang w:val="en-US" w:eastAsia="zh-CN"/>
                <w14:textFill>
                  <w14:solidFill>
                    <w14:schemeClr w14:val="tx1"/>
                  </w14:solidFill>
                </w14:textFill>
              </w:rPr>
              <w:t>（6分）</w:t>
            </w:r>
          </w:p>
        </w:tc>
        <w:tc>
          <w:tcPr>
            <w:tcW w:w="6510" w:type="dxa"/>
            <w:noWrap w:val="0"/>
            <w:vAlign w:val="center"/>
          </w:tcPr>
          <w:p>
            <w:pPr>
              <w:keepNext w:val="0"/>
              <w:keepLines w:val="0"/>
              <w:pageBreakBefore w:val="0"/>
              <w:kinsoku/>
              <w:wordWrap/>
              <w:overflowPunct/>
              <w:topLinePunct w:val="0"/>
              <w:autoSpaceDE/>
              <w:autoSpaceDN/>
              <w:bidi w:val="0"/>
              <w:adjustRightInd/>
              <w:snapToGrid/>
              <w:spacing w:line="240" w:lineRule="auto"/>
              <w:textAlignment w:val="auto"/>
              <w:rPr>
                <w:rFonts w:hint="eastAsia"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pPr>
            <w:r>
              <w:rPr>
                <w:rFonts w:hint="eastAsia" w:ascii="宋体" w:hAnsi="宋体" w:eastAsia="宋体" w:cs="宋体"/>
                <w:b w:val="0"/>
                <w:bCs w:val="0"/>
                <w:color w:val="000000" w:themeColor="text1"/>
                <w:kern w:val="0"/>
                <w:sz w:val="22"/>
                <w:szCs w:val="22"/>
                <w:highlight w:val="none"/>
                <w:lang w:val="en-US" w:eastAsia="zh-CN" w:bidi="ar-SA"/>
                <w14:textFill>
                  <w14:solidFill>
                    <w14:schemeClr w14:val="tx1"/>
                  </w14:solidFill>
                </w14:textFill>
              </w:rPr>
              <w:t>供应商或制造商2018年01月01日（含）至今每有一个类似业绩（类似业绩指：供货为灯具类产品）得2分，最多得6分。</w:t>
            </w:r>
          </w:p>
          <w:p>
            <w:pPr>
              <w:pStyle w:val="26"/>
              <w:keepNext w:val="0"/>
              <w:keepLines w:val="0"/>
              <w:widowControl/>
              <w:suppressLineNumbers w:val="0"/>
              <w:spacing w:before="0" w:beforeAutospacing="0" w:after="0" w:afterAutospacing="0"/>
              <w:ind w:left="0" w:right="0"/>
              <w:jc w:val="left"/>
              <w:rPr>
                <w:rFonts w:hint="eastAsia" w:ascii="宋体" w:hAnsi="宋体" w:eastAsia="宋体" w:cs="宋体"/>
                <w:b/>
                <w:bCs/>
                <w:color w:val="000000" w:themeColor="text1"/>
                <w:kern w:val="0"/>
                <w:sz w:val="22"/>
                <w:szCs w:val="22"/>
                <w:highlight w:val="none"/>
                <w:lang w:val="en-US" w:eastAsia="zh-CN" w:bidi="ar-SA"/>
                <w14:textFill>
                  <w14:solidFill>
                    <w14:schemeClr w14:val="tx1"/>
                  </w14:solidFill>
                </w14:textFill>
              </w:rPr>
            </w:pPr>
            <w:r>
              <w:rPr>
                <w:rFonts w:hint="eastAsia" w:ascii="宋体" w:hAnsi="宋体" w:eastAsia="宋体" w:cs="宋体"/>
                <w:b/>
                <w:bCs/>
                <w:color w:val="000000" w:themeColor="text1"/>
                <w:kern w:val="0"/>
                <w:sz w:val="22"/>
                <w:szCs w:val="22"/>
                <w:highlight w:val="none"/>
                <w:lang w:val="en-US" w:eastAsia="zh-CN" w:bidi="ar-SA"/>
                <w14:textFill>
                  <w14:solidFill>
                    <w14:schemeClr w14:val="tx1"/>
                  </w14:solidFill>
                </w14:textFill>
              </w:rPr>
              <w:t>注：提供中标/成交通知书或合同复印件（含供货清单）并加盖公章；合同无法体现供货产品或清单的，需提供部分供货清单或供货发票，未提供不得分。</w:t>
            </w:r>
          </w:p>
        </w:tc>
        <w:tc>
          <w:tcPr>
            <w:tcW w:w="760" w:type="dxa"/>
            <w:noWrap w:val="0"/>
            <w:vAlign w:val="center"/>
          </w:tcPr>
          <w:p>
            <w:pPr>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jc w:val="center"/>
        </w:trPr>
        <w:tc>
          <w:tcPr>
            <w:tcW w:w="523" w:type="dxa"/>
            <w:noWrap w:val="0"/>
            <w:vAlign w:val="center"/>
          </w:tcPr>
          <w:p>
            <w:pPr>
              <w:jc w:val="cente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6</w:t>
            </w:r>
          </w:p>
        </w:tc>
        <w:tc>
          <w:tcPr>
            <w:tcW w:w="1229" w:type="dxa"/>
            <w:noWrap w:val="0"/>
            <w:vAlign w:val="center"/>
          </w:tcPr>
          <w:p>
            <w:pPr>
              <w:jc w:val="center"/>
              <w:rPr>
                <w:rFonts w:hint="eastAsia" w:ascii="宋体" w:hAnsi="宋体" w:eastAsia="宋体" w:cs="宋体"/>
                <w:bCs/>
                <w:color w:val="000000" w:themeColor="text1"/>
                <w:sz w:val="22"/>
                <w:szCs w:val="22"/>
                <w:highlight w:val="none"/>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售后服务方案</w:t>
            </w:r>
          </w:p>
          <w:p>
            <w:pPr>
              <w:jc w:val="center"/>
              <w:rPr>
                <w:rFonts w:hint="default"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Cs/>
                <w:color w:val="000000" w:themeColor="text1"/>
                <w:sz w:val="22"/>
                <w:szCs w:val="22"/>
                <w:highlight w:val="none"/>
                <w:lang w:eastAsia="zh-CN"/>
                <w14:textFill>
                  <w14:solidFill>
                    <w14:schemeClr w14:val="tx1"/>
                  </w14:solidFill>
                </w14:textFill>
              </w:rPr>
              <w:t>（</w:t>
            </w:r>
            <w:r>
              <w:rPr>
                <w:rFonts w:hint="eastAsia" w:ascii="宋体" w:hAnsi="宋体" w:eastAsia="宋体" w:cs="宋体"/>
                <w:bCs/>
                <w:color w:val="000000" w:themeColor="text1"/>
                <w:sz w:val="22"/>
                <w:szCs w:val="22"/>
                <w:highlight w:val="none"/>
                <w:lang w:val="en-US" w:eastAsia="zh-CN"/>
                <w14:textFill>
                  <w14:solidFill>
                    <w14:schemeClr w14:val="tx1"/>
                  </w14:solidFill>
                </w14:textFill>
              </w:rPr>
              <w:t>5分）</w:t>
            </w:r>
          </w:p>
        </w:tc>
        <w:tc>
          <w:tcPr>
            <w:tcW w:w="6510" w:type="dxa"/>
            <w:noWrap w:val="0"/>
            <w:vAlign w:val="center"/>
          </w:tcPr>
          <w:p>
            <w:pPr>
              <w:pStyle w:val="13"/>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pPr>
            <w:r>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t>1、根据</w:t>
            </w:r>
            <w:r>
              <w:rPr>
                <w:rFonts w:hint="eastAsia" w:ascii="宋体" w:hAnsi="宋体" w:cs="宋体"/>
                <w:color w:val="000000" w:themeColor="text1"/>
                <w:kern w:val="0"/>
                <w:sz w:val="22"/>
                <w:szCs w:val="22"/>
                <w:highlight w:val="none"/>
                <w:lang w:val="en-US" w:eastAsia="zh-CN" w:bidi="ar"/>
                <w14:textFill>
                  <w14:solidFill>
                    <w14:schemeClr w14:val="tx1"/>
                  </w14:solidFill>
                </w14:textFill>
              </w:rPr>
              <w:t>供应商</w:t>
            </w:r>
            <w:r>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t>为本项目制定的售后服务方案打分，方案包括但不限于：（1）售后服务承诺；（2）技术支持与服务原则；（3）技术维护队伍；（4）响应时间；（5）巡检方案。</w:t>
            </w:r>
          </w:p>
          <w:p>
            <w:pPr>
              <w:pStyle w:val="13"/>
              <w:rPr>
                <w:rFonts w:hint="eastAsia" w:ascii="宋体" w:hAnsi="宋体" w:eastAsia="宋体" w:cs="宋体"/>
                <w:color w:val="000000" w:themeColor="text1"/>
                <w:kern w:val="0"/>
                <w:sz w:val="22"/>
                <w:szCs w:val="22"/>
                <w:highlight w:val="none"/>
                <w:lang w:val="zh-CN" w:eastAsia="zh-CN" w:bidi="ar"/>
                <w14:textFill>
                  <w14:solidFill>
                    <w14:schemeClr w14:val="tx1"/>
                  </w14:solidFill>
                </w14:textFill>
              </w:rPr>
            </w:pPr>
            <w:r>
              <w:rPr>
                <w:rFonts w:hint="eastAsia" w:ascii="宋体" w:hAnsi="宋体" w:eastAsia="宋体" w:cs="宋体"/>
                <w:color w:val="000000" w:themeColor="text1"/>
                <w:kern w:val="0"/>
                <w:sz w:val="22"/>
                <w:szCs w:val="22"/>
                <w:highlight w:val="none"/>
                <w:lang w:val="en-US" w:eastAsia="zh-CN" w:bidi="ar"/>
                <w14:textFill>
                  <w14:solidFill>
                    <w14:schemeClr w14:val="tx1"/>
                  </w14:solidFill>
                </w14:textFill>
              </w:rPr>
              <w:t>每项分析描述要结合本项目的实际特点进行综合考虑，每项分析描述符合采购人采购需求的，每项得1分，每项分析描述有缺陷或缺项该项不得分。</w:t>
            </w:r>
          </w:p>
        </w:tc>
        <w:tc>
          <w:tcPr>
            <w:tcW w:w="760" w:type="dxa"/>
            <w:noWrap w:val="0"/>
            <w:vAlign w:val="center"/>
          </w:tcPr>
          <w:p>
            <w:pPr>
              <w:jc w:val="center"/>
              <w:rPr>
                <w:rFonts w:hint="eastAsia" w:ascii="宋体" w:hAnsi="宋体" w:eastAsia="宋体" w:cs="宋体"/>
                <w:color w:val="000000" w:themeColor="text1"/>
                <w:sz w:val="22"/>
                <w:szCs w:val="22"/>
                <w:highlight w:val="none"/>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jc w:val="center"/>
        </w:trPr>
        <w:tc>
          <w:tcPr>
            <w:tcW w:w="523" w:type="dxa"/>
            <w:noWrap w:val="0"/>
            <w:vAlign w:val="center"/>
          </w:tcPr>
          <w:p>
            <w:pPr>
              <w:jc w:val="cente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7</w:t>
            </w:r>
          </w:p>
        </w:tc>
        <w:tc>
          <w:tcPr>
            <w:tcW w:w="1229" w:type="dxa"/>
            <w:noWrap w:val="0"/>
            <w:vAlign w:val="center"/>
          </w:tcPr>
          <w:p>
            <w:pPr>
              <w:jc w:val="center"/>
              <w:rPr>
                <w:rFonts w:hint="eastAsia" w:ascii="宋体" w:hAnsi="宋体" w:eastAsia="宋体" w:cs="宋体"/>
                <w:bCs/>
                <w:color w:val="000000" w:themeColor="text1"/>
                <w:sz w:val="22"/>
                <w:szCs w:val="22"/>
                <w:highlight w:val="none"/>
                <w:lang w:val="en-US" w:eastAsia="zh-Hans"/>
                <w14:textFill>
                  <w14:solidFill>
                    <w14:schemeClr w14:val="tx1"/>
                  </w14:solidFill>
                </w14:textFill>
              </w:rPr>
            </w:pPr>
            <w:r>
              <w:rPr>
                <w:rFonts w:hint="eastAsia" w:ascii="宋体" w:hAnsi="宋体" w:eastAsia="宋体" w:cs="宋体"/>
                <w:bCs/>
                <w:color w:val="000000" w:themeColor="text1"/>
                <w:sz w:val="22"/>
                <w:szCs w:val="22"/>
                <w:highlight w:val="none"/>
                <w:lang w:val="en-US" w:eastAsia="zh-Hans"/>
                <w14:textFill>
                  <w14:solidFill>
                    <w14:schemeClr w14:val="tx1"/>
                  </w14:solidFill>
                </w14:textFill>
              </w:rPr>
              <w:t>履约能力</w:t>
            </w:r>
          </w:p>
          <w:p>
            <w:pPr>
              <w:jc w:val="center"/>
              <w:rPr>
                <w:rFonts w:hint="default"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Cs/>
                <w:color w:val="000000" w:themeColor="text1"/>
                <w:sz w:val="22"/>
                <w:szCs w:val="22"/>
                <w:highlight w:val="none"/>
                <w:lang w:val="en-US" w:eastAsia="zh-CN"/>
                <w14:textFill>
                  <w14:solidFill>
                    <w14:schemeClr w14:val="tx1"/>
                  </w14:solidFill>
                </w14:textFill>
              </w:rPr>
              <w:t>（3分）</w:t>
            </w:r>
          </w:p>
        </w:tc>
        <w:tc>
          <w:tcPr>
            <w:tcW w:w="6510" w:type="dxa"/>
            <w:noWrap w:val="0"/>
            <w:vAlign w:val="center"/>
          </w:tcPr>
          <w:p>
            <w:pPr>
              <w:pStyle w:val="68"/>
              <w:numPr>
                <w:ilvl w:val="0"/>
                <w:numId w:val="0"/>
              </w:numPr>
              <w:spacing w:before="79" w:line="300" w:lineRule="exact"/>
              <w:ind w:right="74" w:rightChars="0"/>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eastAsia="zh-CN"/>
                <w14:textFill>
                  <w14:solidFill>
                    <w14:schemeClr w14:val="tx1"/>
                  </w14:solidFill>
                </w14:textFill>
              </w:rPr>
              <w:t>供应商或所投产品</w:t>
            </w:r>
            <w:r>
              <w:rPr>
                <w:rFonts w:hint="eastAsia" w:ascii="宋体" w:hAnsi="宋体" w:eastAsia="宋体" w:cs="宋体"/>
                <w:color w:val="000000" w:themeColor="text1"/>
                <w:sz w:val="22"/>
                <w:szCs w:val="22"/>
                <w:highlight w:val="none"/>
                <w:lang w:val="en-US" w:eastAsia="zh-Hans"/>
                <w14:textFill>
                  <w14:solidFill>
                    <w14:schemeClr w14:val="tx1"/>
                  </w14:solidFill>
                </w14:textFill>
              </w:rPr>
              <w:t>制造商</w:t>
            </w:r>
            <w:r>
              <w:rPr>
                <w:rFonts w:hint="eastAsia" w:ascii="宋体" w:hAnsi="宋体" w:eastAsia="宋体" w:cs="宋体"/>
                <w:color w:val="000000" w:themeColor="text1"/>
                <w:sz w:val="22"/>
                <w:szCs w:val="22"/>
                <w:highlight w:val="none"/>
                <w:lang w:eastAsia="zh-CN"/>
                <w14:textFill>
                  <w14:solidFill>
                    <w14:schemeClr w14:val="tx1"/>
                  </w14:solidFill>
                </w14:textFill>
              </w:rPr>
              <w:t>具有</w:t>
            </w:r>
            <w:r>
              <w:rPr>
                <w:rFonts w:hint="eastAsia" w:ascii="宋体" w:hAnsi="宋体" w:eastAsia="宋体" w:cs="宋体"/>
                <w:color w:val="000000" w:themeColor="text1"/>
                <w:sz w:val="22"/>
                <w:szCs w:val="22"/>
                <w:highlight w:val="none"/>
                <w:lang w:val="en-US" w:eastAsia="zh-CN"/>
                <w14:textFill>
                  <w14:solidFill>
                    <w14:schemeClr w14:val="tx1"/>
                  </w14:solidFill>
                </w14:textFill>
              </w:rPr>
              <w:t>1名</w:t>
            </w:r>
            <w:r>
              <w:rPr>
                <w:rFonts w:hint="eastAsia" w:ascii="宋体" w:hAnsi="宋体" w:eastAsia="宋体" w:cs="宋体"/>
                <w:color w:val="000000" w:themeColor="text1"/>
                <w:sz w:val="22"/>
                <w:szCs w:val="22"/>
                <w:highlight w:val="none"/>
                <w:lang w:eastAsia="zh-CN"/>
                <w14:textFill>
                  <w14:solidFill>
                    <w14:schemeClr w14:val="tx1"/>
                  </w14:solidFill>
                </w14:textFill>
              </w:rPr>
              <w:t>机电工程或相关专业中级或以上职称证书的得</w:t>
            </w:r>
            <w:r>
              <w:rPr>
                <w:rFonts w:hint="eastAsia" w:ascii="宋体" w:hAnsi="宋体" w:eastAsia="宋体" w:cs="宋体"/>
                <w:color w:val="000000" w:themeColor="text1"/>
                <w:sz w:val="22"/>
                <w:szCs w:val="22"/>
                <w:highlight w:val="none"/>
                <w:lang w:val="en-US" w:eastAsia="zh-CN"/>
                <w14:textFill>
                  <w14:solidFill>
                    <w14:schemeClr w14:val="tx1"/>
                  </w14:solidFill>
                </w14:textFill>
              </w:rPr>
              <w:t>2分</w:t>
            </w:r>
            <w:r>
              <w:rPr>
                <w:rFonts w:hint="eastAsia" w:ascii="宋体" w:hAnsi="宋体" w:eastAsia="宋体" w:cs="宋体"/>
                <w:color w:val="000000" w:themeColor="text1"/>
                <w:sz w:val="22"/>
                <w:szCs w:val="22"/>
                <w:highlight w:val="none"/>
                <w:lang w:eastAsia="zh-CN"/>
                <w14:textFill>
                  <w14:solidFill>
                    <w14:schemeClr w14:val="tx1"/>
                  </w14:solidFill>
                </w14:textFill>
              </w:rPr>
              <w:t>；具有二级</w:t>
            </w:r>
            <w:r>
              <w:rPr>
                <w:rFonts w:hint="eastAsia" w:ascii="宋体" w:hAnsi="宋体" w:eastAsia="宋体" w:cs="宋体"/>
                <w:color w:val="000000" w:themeColor="text1"/>
                <w:sz w:val="22"/>
                <w:szCs w:val="22"/>
                <w:highlight w:val="none"/>
                <w:lang w:val="en-US" w:eastAsia="zh-Hans"/>
                <w14:textFill>
                  <w14:solidFill>
                    <w14:schemeClr w14:val="tx1"/>
                  </w14:solidFill>
                </w14:textFill>
              </w:rPr>
              <w:t>及</w:t>
            </w:r>
            <w:r>
              <w:rPr>
                <w:rFonts w:hint="eastAsia" w:ascii="宋体" w:hAnsi="宋体" w:eastAsia="宋体" w:cs="宋体"/>
                <w:color w:val="000000" w:themeColor="text1"/>
                <w:sz w:val="22"/>
                <w:szCs w:val="22"/>
                <w:highlight w:val="none"/>
                <w:lang w:eastAsia="zh-CN"/>
                <w14:textFill>
                  <w14:solidFill>
                    <w14:schemeClr w14:val="tx1"/>
                  </w14:solidFill>
                </w14:textFill>
              </w:rPr>
              <w:t>以上注册照明设计师或相关专业职称证书的得</w:t>
            </w:r>
            <w:r>
              <w:rPr>
                <w:rFonts w:hint="eastAsia" w:ascii="宋体" w:hAnsi="宋体" w:eastAsia="宋体" w:cs="宋体"/>
                <w:color w:val="000000" w:themeColor="text1"/>
                <w:sz w:val="22"/>
                <w:szCs w:val="22"/>
                <w:highlight w:val="none"/>
                <w:lang w:val="en-US" w:eastAsia="zh-CN"/>
                <w14:textFill>
                  <w14:solidFill>
                    <w14:schemeClr w14:val="tx1"/>
                  </w14:solidFill>
                </w14:textFill>
              </w:rPr>
              <w:t>1分</w:t>
            </w:r>
            <w:r>
              <w:rPr>
                <w:rFonts w:hint="eastAsia" w:ascii="宋体" w:hAnsi="宋体" w:eastAsia="宋体" w:cs="宋体"/>
                <w:color w:val="000000" w:themeColor="text1"/>
                <w:sz w:val="22"/>
                <w:szCs w:val="22"/>
                <w:highlight w:val="none"/>
                <w:lang w:eastAsia="zh-CN"/>
                <w14:textFill>
                  <w14:solidFill>
                    <w14:schemeClr w14:val="tx1"/>
                  </w14:solidFill>
                </w14:textFill>
              </w:rPr>
              <w:t>。此项最多得</w:t>
            </w:r>
            <w:r>
              <w:rPr>
                <w:rFonts w:hint="eastAsia" w:ascii="宋体" w:hAnsi="宋体" w:eastAsia="宋体" w:cs="宋体"/>
                <w:color w:val="000000" w:themeColor="text1"/>
                <w:sz w:val="22"/>
                <w:szCs w:val="22"/>
                <w:highlight w:val="none"/>
                <w:lang w:val="en-US" w:eastAsia="zh-CN"/>
                <w14:textFill>
                  <w14:solidFill>
                    <w14:schemeClr w14:val="tx1"/>
                  </w14:solidFill>
                </w14:textFill>
              </w:rPr>
              <w:t>3分。</w:t>
            </w:r>
          </w:p>
          <w:p>
            <w:pPr>
              <w:pStyle w:val="68"/>
              <w:numPr>
                <w:ilvl w:val="0"/>
                <w:numId w:val="0"/>
              </w:numPr>
              <w:spacing w:before="79" w:line="300" w:lineRule="exact"/>
              <w:ind w:right="74" w:rightChars="0"/>
              <w:rPr>
                <w:rFonts w:hint="eastAsia" w:ascii="宋体" w:hAnsi="宋体" w:eastAsia="宋体" w:cs="宋体"/>
                <w:color w:val="000000" w:themeColor="text1"/>
                <w:kern w:val="2"/>
                <w:sz w:val="22"/>
                <w:szCs w:val="22"/>
                <w:highlight w:val="none"/>
                <w:lang w:val="en-US" w:eastAsia="zh-CN" w:bidi="ar-SA"/>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注：提供相应证书复印件并加盖供应商公章，未提供的不得分</w:t>
            </w:r>
            <w:r>
              <w:rPr>
                <w:rFonts w:hint="eastAsia" w:ascii="宋体" w:hAnsi="宋体" w:eastAsia="宋体" w:cs="宋体"/>
                <w:color w:val="000000" w:themeColor="text1"/>
                <w:sz w:val="22"/>
                <w:szCs w:val="22"/>
                <w:highlight w:val="none"/>
                <w:lang w:eastAsia="zh-CN"/>
                <w14:textFill>
                  <w14:solidFill>
                    <w14:schemeClr w14:val="tx1"/>
                  </w14:solidFill>
                </w14:textFill>
              </w:rPr>
              <w:t>。</w:t>
            </w:r>
          </w:p>
        </w:tc>
        <w:tc>
          <w:tcPr>
            <w:tcW w:w="760" w:type="dxa"/>
            <w:noWrap w:val="0"/>
            <w:vAlign w:val="center"/>
          </w:tcPr>
          <w:p>
            <w:pPr>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6" w:hRule="atLeast"/>
          <w:jc w:val="center"/>
        </w:trPr>
        <w:tc>
          <w:tcPr>
            <w:tcW w:w="523" w:type="dxa"/>
            <w:noWrap w:val="0"/>
            <w:vAlign w:val="center"/>
          </w:tcPr>
          <w:p>
            <w:pPr>
              <w:jc w:val="cente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8</w:t>
            </w:r>
          </w:p>
        </w:tc>
        <w:tc>
          <w:tcPr>
            <w:tcW w:w="1229" w:type="dxa"/>
            <w:noWrap w:val="0"/>
            <w:vAlign w:val="center"/>
          </w:tcPr>
          <w:p>
            <w:pPr>
              <w:jc w:val="center"/>
              <w:rPr>
                <w:rFonts w:hint="eastAsia" w:ascii="宋体" w:hAnsi="宋体" w:eastAsia="宋体" w:cs="宋体"/>
                <w:bCs/>
                <w:color w:val="000000" w:themeColor="text1"/>
                <w:sz w:val="22"/>
                <w:szCs w:val="22"/>
                <w:highlight w:val="none"/>
                <w14:textFill>
                  <w14:solidFill>
                    <w14:schemeClr w14:val="tx1"/>
                  </w14:solidFill>
                </w14:textFill>
              </w:rPr>
            </w:pPr>
            <w:r>
              <w:rPr>
                <w:rFonts w:hint="eastAsia" w:ascii="宋体" w:hAnsi="宋体" w:eastAsia="宋体" w:cs="宋体"/>
                <w:bCs/>
                <w:color w:val="000000" w:themeColor="text1"/>
                <w:sz w:val="22"/>
                <w:szCs w:val="22"/>
                <w:highlight w:val="none"/>
                <w14:textFill>
                  <w14:solidFill>
                    <w14:schemeClr w14:val="tx1"/>
                  </w14:solidFill>
                </w14:textFill>
              </w:rPr>
              <w:t>样品</w:t>
            </w:r>
          </w:p>
          <w:p>
            <w:pPr>
              <w:jc w:val="center"/>
              <w:rPr>
                <w:rFonts w:hint="default" w:ascii="宋体" w:hAnsi="宋体" w:eastAsia="宋体" w:cs="宋体"/>
                <w:bCs/>
                <w:color w:val="000000" w:themeColor="text1"/>
                <w:sz w:val="22"/>
                <w:szCs w:val="22"/>
                <w:highlight w:val="none"/>
                <w:lang w:val="en-US" w:eastAsia="zh-CN"/>
                <w14:textFill>
                  <w14:solidFill>
                    <w14:schemeClr w14:val="tx1"/>
                  </w14:solidFill>
                </w14:textFill>
              </w:rPr>
            </w:pPr>
            <w:r>
              <w:rPr>
                <w:rFonts w:hint="eastAsia" w:ascii="宋体" w:hAnsi="宋体" w:eastAsia="宋体" w:cs="宋体"/>
                <w:bCs/>
                <w:color w:val="000000" w:themeColor="text1"/>
                <w:sz w:val="22"/>
                <w:szCs w:val="22"/>
                <w:highlight w:val="none"/>
                <w:lang w:eastAsia="zh-CN"/>
                <w14:textFill>
                  <w14:solidFill>
                    <w14:schemeClr w14:val="tx1"/>
                  </w14:solidFill>
                </w14:textFill>
              </w:rPr>
              <w:t>（</w:t>
            </w:r>
            <w:r>
              <w:rPr>
                <w:rFonts w:hint="eastAsia" w:ascii="宋体" w:hAnsi="宋体" w:eastAsia="宋体" w:cs="宋体"/>
                <w:bCs/>
                <w:color w:val="000000" w:themeColor="text1"/>
                <w:sz w:val="22"/>
                <w:szCs w:val="22"/>
                <w:highlight w:val="none"/>
                <w:lang w:val="en-US" w:eastAsia="zh-CN"/>
                <w14:textFill>
                  <w14:solidFill>
                    <w14:schemeClr w14:val="tx1"/>
                  </w14:solidFill>
                </w14:textFill>
              </w:rPr>
              <w:t>6分）</w:t>
            </w:r>
          </w:p>
        </w:tc>
        <w:tc>
          <w:tcPr>
            <w:tcW w:w="6510" w:type="dxa"/>
            <w:noWrap w:val="0"/>
            <w:vAlign w:val="center"/>
          </w:tcPr>
          <w:p>
            <w:pPr>
              <w:pStyle w:val="83"/>
              <w:ind w:firstLine="0" w:firstLineChars="0"/>
              <w:contextualSpacing/>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LED教室灯样品需带全。评审委员会根据供应商提供的LED样品灯具进行评审：①外形平整；②表面无凹陷、毛刺；③无刺激异味；④喷涂后表面均匀、光洁，无流挂现象；⑤整体稳固；⑥各角度</w:t>
            </w:r>
            <w:r>
              <w:rPr>
                <w:rFonts w:hint="eastAsia" w:ascii="宋体" w:hAnsi="宋体" w:cs="宋体"/>
                <w:color w:val="000000" w:themeColor="text1"/>
                <w:sz w:val="22"/>
                <w:szCs w:val="22"/>
                <w:highlight w:val="none"/>
                <w:lang w:val="en-US" w:eastAsia="zh-CN"/>
                <w14:textFill>
                  <w14:solidFill>
                    <w14:schemeClr w14:val="tx1"/>
                  </w14:solidFill>
                </w14:textFill>
              </w:rPr>
              <w:t>灯光</w:t>
            </w:r>
            <w:r>
              <w:rPr>
                <w:rFonts w:hint="eastAsia" w:ascii="宋体" w:hAnsi="宋体" w:eastAsia="宋体" w:cs="宋体"/>
                <w:color w:val="000000" w:themeColor="text1"/>
                <w:sz w:val="22"/>
                <w:szCs w:val="22"/>
                <w:highlight w:val="none"/>
                <w:lang w:val="en-US" w:eastAsia="zh-CN"/>
                <w14:textFill>
                  <w14:solidFill>
                    <w14:schemeClr w14:val="tx1"/>
                  </w14:solidFill>
                </w14:textFill>
              </w:rPr>
              <w:t>无明显亮暗偏差。样品满足以上6项中的每一项要求的得1分，最高6分。</w:t>
            </w:r>
          </w:p>
          <w:p>
            <w:pPr>
              <w:pStyle w:val="83"/>
              <w:ind w:firstLine="0" w:firstLineChars="0"/>
              <w:contextualSpacing/>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说明：没按规定送样的（不送样、样品不符合</w:t>
            </w:r>
            <w:r>
              <w:rPr>
                <w:rFonts w:hint="eastAsia" w:ascii="宋体" w:hAnsi="宋体" w:cs="宋体"/>
                <w:color w:val="000000" w:themeColor="text1"/>
                <w:sz w:val="22"/>
                <w:szCs w:val="22"/>
                <w:highlight w:val="none"/>
                <w:lang w:val="en-US" w:eastAsia="zh-CN"/>
                <w14:textFill>
                  <w14:solidFill>
                    <w14:schemeClr w14:val="tx1"/>
                  </w14:solidFill>
                </w14:textFill>
              </w:rPr>
              <w:t>响应</w:t>
            </w:r>
            <w:r>
              <w:rPr>
                <w:rFonts w:hint="eastAsia" w:ascii="宋体" w:hAnsi="宋体" w:eastAsia="宋体" w:cs="宋体"/>
                <w:color w:val="000000" w:themeColor="text1"/>
                <w:sz w:val="22"/>
                <w:szCs w:val="22"/>
                <w:highlight w:val="none"/>
                <w:lang w:val="en-US" w:eastAsia="zh-CN"/>
                <w14:textFill>
                  <w14:solidFill>
                    <w14:schemeClr w14:val="tx1"/>
                  </w14:solidFill>
                </w14:textFill>
              </w:rPr>
              <w:t>文件的技术参数及要求、样品出现错误的、未按样品封装和标注要求提供的）本项不得分。</w:t>
            </w:r>
          </w:p>
        </w:tc>
        <w:tc>
          <w:tcPr>
            <w:tcW w:w="760" w:type="dxa"/>
            <w:noWrap w:val="0"/>
            <w:vAlign w:val="center"/>
          </w:tcPr>
          <w:p>
            <w:pPr>
              <w:jc w:val="center"/>
              <w:rPr>
                <w:rFonts w:hint="eastAsia" w:ascii="宋体" w:hAnsi="宋体" w:eastAsia="宋体" w:cs="宋体"/>
                <w:color w:val="000000" w:themeColor="text1"/>
                <w:sz w:val="22"/>
                <w:szCs w:val="22"/>
                <w:highlight w:val="none"/>
                <w:lang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技术类评审因素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8" w:hRule="atLeast"/>
          <w:jc w:val="center"/>
        </w:trPr>
        <w:tc>
          <w:tcPr>
            <w:tcW w:w="523" w:type="dxa"/>
            <w:noWrap w:val="0"/>
            <w:vAlign w:val="center"/>
          </w:tcPr>
          <w:p>
            <w:pPr>
              <w:jc w:val="center"/>
              <w:rPr>
                <w:rFonts w:hint="default"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2"/>
                <w:szCs w:val="22"/>
                <w:highlight w:val="none"/>
                <w:lang w:val="en-US" w:eastAsia="zh-CN"/>
                <w14:textFill>
                  <w14:solidFill>
                    <w14:schemeClr w14:val="tx1"/>
                  </w14:solidFill>
                </w14:textFill>
              </w:rPr>
              <w:t>9</w:t>
            </w:r>
          </w:p>
        </w:tc>
        <w:tc>
          <w:tcPr>
            <w:tcW w:w="1229" w:type="dxa"/>
            <w:noWrap w:val="0"/>
            <w:vAlign w:val="center"/>
          </w:tcPr>
          <w:p>
            <w:pPr>
              <w:bidi w:val="0"/>
              <w:spacing w:line="240" w:lineRule="auto"/>
              <w:jc w:val="center"/>
              <w:rPr>
                <w:rFonts w:hint="eastAsia" w:ascii="宋体" w:hAnsi="宋体" w:cs="宋体"/>
                <w:color w:val="000000" w:themeColor="text1"/>
                <w:sz w:val="21"/>
                <w:szCs w:val="21"/>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节能、环境标志、无线局域网产品</w:t>
            </w:r>
          </w:p>
          <w:p>
            <w:pPr>
              <w:jc w:val="center"/>
              <w:rPr>
                <w:rFonts w:hint="eastAsia" w:ascii="宋体" w:hAnsi="宋体" w:eastAsia="宋体" w:cs="宋体"/>
                <w:bCs/>
                <w:color w:val="000000" w:themeColor="text1"/>
                <w:sz w:val="22"/>
                <w:szCs w:val="22"/>
                <w:highlight w:val="none"/>
                <w:lang w:eastAsia="zh-CN"/>
                <w14:textFill>
                  <w14:solidFill>
                    <w14:schemeClr w14:val="tx1"/>
                  </w14:solidFill>
                </w14:textFill>
              </w:rPr>
            </w:pPr>
            <w:r>
              <w:rPr>
                <w:rFonts w:hint="eastAsia" w:ascii="宋体" w:hAnsi="宋体" w:cs="宋体"/>
                <w:color w:val="000000" w:themeColor="text1"/>
                <w:sz w:val="21"/>
                <w:szCs w:val="21"/>
                <w:highlight w:val="none"/>
                <w:lang w:val="en-US" w:eastAsia="zh-CN"/>
                <w14:textFill>
                  <w14:solidFill>
                    <w14:schemeClr w14:val="tx1"/>
                  </w14:solidFill>
                </w14:textFill>
              </w:rPr>
              <w:t>（2分）</w:t>
            </w:r>
          </w:p>
        </w:tc>
        <w:tc>
          <w:tcPr>
            <w:tcW w:w="6510" w:type="dxa"/>
            <w:noWrap w:val="0"/>
            <w:vAlign w:val="center"/>
          </w:tcPr>
          <w:p>
            <w:pPr>
              <w:bidi w:val="0"/>
              <w:spacing w:line="240" w:lineRule="auto"/>
              <w:rPr>
                <w:rFonts w:hint="eastAsia" w:ascii="宋体" w:hAnsi="宋体" w:eastAsia="宋体" w:cs="宋体"/>
                <w:color w:val="000000" w:themeColor="text1"/>
                <w:sz w:val="21"/>
                <w:szCs w:val="21"/>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供应商提供的产品若属于国家强制采购范围的按须知表要求而处理，不计入此项评审；若属于国家优先采购范围的，则每有一项为节能产品或环境标志产品或无线局域网产品政府采购清单中的得</w:t>
            </w:r>
            <w:r>
              <w:rPr>
                <w:rFonts w:hint="eastAsia" w:ascii="宋体" w:hAnsi="宋体" w:cs="宋体"/>
                <w:color w:val="000000" w:themeColor="text1"/>
                <w:sz w:val="21"/>
                <w:szCs w:val="21"/>
                <w:highlight w:val="none"/>
                <w:lang w:val="en-US" w:eastAsia="zh-CN"/>
                <w14:textFill>
                  <w14:solidFill>
                    <w14:schemeClr w14:val="tx1"/>
                  </w14:solidFill>
                </w14:textFill>
              </w:rPr>
              <w:t>1</w:t>
            </w:r>
            <w:r>
              <w:rPr>
                <w:rFonts w:hint="eastAsia" w:ascii="宋体" w:hAnsi="宋体" w:eastAsia="宋体" w:cs="宋体"/>
                <w:color w:val="000000" w:themeColor="text1"/>
                <w:sz w:val="21"/>
                <w:szCs w:val="21"/>
                <w:highlight w:val="none"/>
                <w14:textFill>
                  <w14:solidFill>
                    <w14:schemeClr w14:val="tx1"/>
                  </w14:solidFill>
                </w14:textFill>
              </w:rPr>
              <w:t>分</w:t>
            </w:r>
            <w:r>
              <w:rPr>
                <w:rFonts w:hint="eastAsia" w:ascii="宋体" w:hAnsi="宋体" w:eastAsia="宋体" w:cs="宋体"/>
                <w:color w:val="000000" w:themeColor="text1"/>
                <w:sz w:val="21"/>
                <w:szCs w:val="21"/>
                <w:highlight w:val="none"/>
                <w:lang w:eastAsia="zh-CN"/>
                <w14:textFill>
                  <w14:solidFill>
                    <w14:schemeClr w14:val="tx1"/>
                  </w14:solidFill>
                </w14:textFill>
              </w:rPr>
              <w:t>，最多得</w:t>
            </w:r>
            <w:r>
              <w:rPr>
                <w:rFonts w:hint="eastAsia" w:ascii="宋体" w:hAnsi="宋体" w:cs="宋体"/>
                <w:color w:val="000000" w:themeColor="text1"/>
                <w:sz w:val="21"/>
                <w:szCs w:val="21"/>
                <w:highlight w:val="none"/>
                <w:lang w:val="en-US" w:eastAsia="zh-CN"/>
                <w14:textFill>
                  <w14:solidFill>
                    <w14:schemeClr w14:val="tx1"/>
                  </w14:solidFill>
                </w14:textFill>
              </w:rPr>
              <w:t>2</w:t>
            </w:r>
            <w:r>
              <w:rPr>
                <w:rFonts w:hint="eastAsia" w:ascii="宋体" w:hAnsi="宋体" w:eastAsia="宋体" w:cs="宋体"/>
                <w:color w:val="000000" w:themeColor="text1"/>
                <w:sz w:val="21"/>
                <w:szCs w:val="21"/>
                <w:highlight w:val="none"/>
                <w:lang w:val="en-US" w:eastAsia="zh-CN"/>
                <w14:textFill>
                  <w14:solidFill>
                    <w14:schemeClr w14:val="tx1"/>
                  </w14:solidFill>
                </w14:textFill>
              </w:rPr>
              <w:t>分。</w:t>
            </w:r>
          </w:p>
          <w:p>
            <w:pPr>
              <w:bidi w:val="0"/>
              <w:spacing w:line="240" w:lineRule="auto"/>
              <w:rPr>
                <w:rFonts w:hint="eastAsia" w:ascii="宋体" w:hAnsi="宋体" w:eastAsia="宋体" w:cs="宋体"/>
                <w:color w:val="000000" w:themeColor="text1"/>
                <w:sz w:val="21"/>
                <w:szCs w:val="21"/>
                <w:highlight w:val="none"/>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注1</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“节能产品政府采购品目清单”、“环境标志产品政府采购品目清单”提供国家确定的认证机构出具的、处于有效期之内的节能产品、环境标志产品认证证书和提供该产品所在品目清单页截图。</w:t>
            </w:r>
          </w:p>
          <w:p>
            <w:pPr>
              <w:bidi w:val="0"/>
              <w:spacing w:line="240" w:lineRule="auto"/>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eastAsia="宋体" w:cs="宋体"/>
                <w:color w:val="000000" w:themeColor="text1"/>
                <w:sz w:val="21"/>
                <w:szCs w:val="21"/>
                <w:highlight w:val="none"/>
                <w14:textFill>
                  <w14:solidFill>
                    <w14:schemeClr w14:val="tx1"/>
                  </w14:solidFill>
                </w14:textFill>
              </w:rPr>
              <w:t>2</w:t>
            </w:r>
            <w:r>
              <w:rPr>
                <w:rFonts w:hint="eastAsia" w:ascii="宋体" w:hAnsi="宋体" w:eastAsia="宋体" w:cs="宋体"/>
                <w:color w:val="000000" w:themeColor="text1"/>
                <w:sz w:val="21"/>
                <w:szCs w:val="21"/>
                <w:highlight w:val="none"/>
                <w:lang w:eastAsia="zh-CN"/>
                <w14:textFill>
                  <w14:solidFill>
                    <w14:schemeClr w14:val="tx1"/>
                  </w14:solidFill>
                </w14:textFill>
              </w:rPr>
              <w:t>、</w:t>
            </w:r>
            <w:r>
              <w:rPr>
                <w:rFonts w:hint="eastAsia" w:ascii="宋体" w:hAnsi="宋体" w:eastAsia="宋体" w:cs="宋体"/>
                <w:color w:val="000000" w:themeColor="text1"/>
                <w:sz w:val="21"/>
                <w:szCs w:val="21"/>
                <w:highlight w:val="none"/>
                <w14:textFill>
                  <w14:solidFill>
                    <w14:schemeClr w14:val="tx1"/>
                  </w14:solidFill>
                </w14:textFill>
              </w:rPr>
              <w:t>“无线局域网认证产品政府采购清单”以财政部会同国务院有关部门机构认定的为准。</w:t>
            </w:r>
          </w:p>
        </w:tc>
        <w:tc>
          <w:tcPr>
            <w:tcW w:w="760" w:type="dxa"/>
            <w:noWrap w:val="0"/>
            <w:vAlign w:val="center"/>
          </w:tcPr>
          <w:p>
            <w:pPr>
              <w:bidi w:val="0"/>
              <w:spacing w:line="240" w:lineRule="auto"/>
              <w:jc w:val="center"/>
              <w:rPr>
                <w:rFonts w:hint="eastAsia" w:ascii="宋体" w:hAnsi="宋体" w:eastAsia="宋体" w:cs="宋体"/>
                <w:color w:val="000000" w:themeColor="text1"/>
                <w:sz w:val="22"/>
                <w:szCs w:val="22"/>
                <w:highlight w:val="none"/>
                <w:lang w:val="en-US" w:eastAsia="zh-CN"/>
                <w14:textFill>
                  <w14:solidFill>
                    <w14:schemeClr w14:val="tx1"/>
                  </w14:solidFill>
                </w14:textFill>
              </w:rPr>
            </w:pPr>
            <w:r>
              <w:rPr>
                <w:rFonts w:hint="eastAsia" w:ascii="宋体" w:hAnsi="宋体" w:cs="宋体"/>
                <w:color w:val="000000" w:themeColor="text1"/>
                <w:sz w:val="21"/>
                <w:szCs w:val="21"/>
                <w:highlight w:val="none"/>
                <w:lang w:eastAsia="zh-CN"/>
                <w14:textFill>
                  <w14:solidFill>
                    <w14:schemeClr w14:val="tx1"/>
                  </w14:solidFill>
                </w14:textFill>
              </w:rPr>
              <w:t>共同评分因素</w:t>
            </w:r>
          </w:p>
        </w:tc>
      </w:tr>
    </w:tbl>
    <w:p>
      <w:pPr>
        <w:pStyle w:val="60"/>
        <w:spacing w:line="240" w:lineRule="auto"/>
        <w:rPr>
          <w:rFonts w:hint="eastAsia" w:ascii="宋体" w:hAnsi="宋体" w:eastAsia="宋体" w:cs="宋体"/>
          <w:b/>
          <w:color w:val="000000" w:themeColor="text1"/>
          <w:sz w:val="21"/>
          <w:szCs w:val="21"/>
          <w:highlight w:val="none"/>
          <w14:textFill>
            <w14:solidFill>
              <w14:schemeClr w14:val="tx1"/>
            </w14:solidFill>
          </w14:textFill>
        </w:rPr>
      </w:pPr>
      <w:r>
        <w:rPr>
          <w:rFonts w:hint="eastAsia" w:ascii="宋体" w:hAnsi="宋体" w:eastAsia="宋体" w:cs="宋体"/>
          <w:b/>
          <w:bCs/>
          <w:color w:val="000000" w:themeColor="text1"/>
          <w:sz w:val="21"/>
          <w:szCs w:val="21"/>
          <w:highlight w:val="none"/>
          <w14:textFill>
            <w14:solidFill>
              <w14:schemeClr w14:val="tx1"/>
            </w14:solidFill>
          </w14:textFill>
        </w:rPr>
        <w:t>注：</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1）</w:t>
      </w:r>
      <w:r>
        <w:rPr>
          <w:rFonts w:hint="eastAsia" w:ascii="宋体" w:hAnsi="宋体" w:eastAsia="宋体" w:cs="宋体"/>
          <w:b/>
          <w:bCs/>
          <w:color w:val="000000" w:themeColor="text1"/>
          <w:sz w:val="21"/>
          <w:szCs w:val="21"/>
          <w:highlight w:val="none"/>
          <w14:textFill>
            <w14:solidFill>
              <w14:schemeClr w14:val="tx1"/>
            </w14:solidFill>
          </w14:textFill>
        </w:rPr>
        <w:t>评分依据的所有证明材料必须加盖单位公章(鲜章)，若提供的证明材料不实，将取消其响应或成交资格。</w:t>
      </w:r>
      <w:r>
        <w:rPr>
          <w:rFonts w:hint="eastAsia" w:ascii="宋体" w:hAnsi="宋体" w:eastAsia="宋体" w:cs="宋体"/>
          <w:b/>
          <w:bCs/>
          <w:color w:val="000000" w:themeColor="text1"/>
          <w:sz w:val="21"/>
          <w:szCs w:val="21"/>
          <w:highlight w:val="none"/>
          <w:lang w:val="en-US" w:eastAsia="zh-CN"/>
          <w14:textFill>
            <w14:solidFill>
              <w14:schemeClr w14:val="tx1"/>
            </w14:solidFill>
          </w14:textFill>
        </w:rPr>
        <w:t>2）评分的取值按四舍五入法，保留小数点后两位。在技术、商务、服务条件相同时，优先采购不发达地区和少数民族地区企业的产品。</w:t>
      </w:r>
      <w:r>
        <w:rPr>
          <w:rFonts w:hint="eastAsia" w:ascii="宋体" w:hAnsi="宋体" w:eastAsia="宋体" w:cs="宋体"/>
          <w:b/>
          <w:bCs/>
          <w:color w:val="000000" w:themeColor="text1"/>
          <w:sz w:val="21"/>
          <w:szCs w:val="21"/>
          <w:highlight w:val="none"/>
          <w:lang w:val="zh-CN" w:eastAsia="zh-CN"/>
          <w14:textFill>
            <w14:solidFill>
              <w14:schemeClr w14:val="tx1"/>
            </w14:solidFill>
          </w14:textFill>
        </w:rPr>
        <w:t>【供应商需提供相关证明材料才能享受优先】</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5.4 磋商过程中，有下列情形之一的，磋商失败：</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（1）通过资格审查的供应商不足三家的；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（2）参加磋商的供应商被淘汰，最后报价的供应商不足三家的；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（3）供应商最后报价均超过政府采购预算或者本次采购项目最高限价，且采购人不能支付的；</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（4）其他无法继续开展磋商或者无法成交的情形。</w:t>
      </w:r>
    </w:p>
    <w:p>
      <w:pPr>
        <w:pStyle w:val="5"/>
        <w:bidi w:val="0"/>
        <w:spacing w:line="240" w:lineRule="auto"/>
        <w:ind w:left="0" w:leftChars="0" w:firstLine="477" w:firstLineChars="195"/>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6、确定成交供应商的标准</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6.1 本次磋商小组成员应当按照客观、公正、审慎的原则进行。</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6.2 供应商报价结束后，磋商小组应当根据综合评分情况，按照评审得分由高到低顺序推荐3名成交候选供应商。评审得分相同的，按照最后报价由低到高的顺序推荐。评审得分且最后报价相同的，按照技术指标优劣顺序推荐。</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6.3 磋商小组推荐成交候选供应商后，应当向采购代理机构出具评审报告。</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6.4 对于违反磋商纪律的将可能被取消成交供应商资格或视为无效响应。</w:t>
      </w:r>
    </w:p>
    <w:p>
      <w:pPr>
        <w:pStyle w:val="5"/>
        <w:bidi w:val="0"/>
        <w:spacing w:line="240" w:lineRule="auto"/>
        <w:ind w:left="0" w:leftChars="0" w:firstLine="477" w:firstLineChars="195"/>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224" w:name="_Toc183582297"/>
      <w:bookmarkStart w:id="225" w:name="_Toc217446105"/>
      <w:bookmarkStart w:id="226" w:name="_Toc183682432"/>
      <w:bookmarkStart w:id="227" w:name="_Toc208849022"/>
      <w:bookmarkStart w:id="228" w:name="_Toc445888138"/>
      <w:bookmarkStart w:id="229" w:name="_Toc14165"/>
      <w:r>
        <w:rPr>
          <w:rFonts w:hint="eastAsia" w:ascii="宋体" w:hAnsi="宋体" w:eastAsia="宋体" w:cs="宋体"/>
          <w:color w:val="000000" w:themeColor="text1"/>
          <w:sz w:val="24"/>
          <w:szCs w:val="24"/>
          <w:highlight w:val="none"/>
          <w:lang w:val="en-US" w:eastAsia="zh-CN"/>
          <w14:textFill>
            <w14:solidFill>
              <w14:schemeClr w14:val="tx1"/>
            </w14:solidFill>
          </w14:textFill>
        </w:rPr>
        <w:t>7</w:t>
      </w:r>
      <w:bookmarkEnd w:id="224"/>
      <w:bookmarkEnd w:id="225"/>
      <w:bookmarkEnd w:id="226"/>
      <w:bookmarkEnd w:id="227"/>
      <w:r>
        <w:rPr>
          <w:rFonts w:hint="eastAsia" w:ascii="宋体" w:hAnsi="宋体" w:eastAsia="宋体" w:cs="宋体"/>
          <w:color w:val="000000" w:themeColor="text1"/>
          <w:sz w:val="24"/>
          <w:szCs w:val="24"/>
          <w:highlight w:val="none"/>
          <w:lang w:val="en-US" w:eastAsia="zh-CN"/>
          <w14:textFill>
            <w14:solidFill>
              <w14:schemeClr w14:val="tx1"/>
            </w14:solidFill>
          </w14:textFill>
        </w:rPr>
        <w:t>、评标专家在政府采购活动中承担以下义务</w:t>
      </w:r>
      <w:bookmarkEnd w:id="228"/>
      <w:bookmarkEnd w:id="229"/>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7.1 遵纪守法，客观、公正、廉洁地履行职责。</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7.2 按照政府采购法律法规和采购文件的规定要求对供应商的资格条件和供应商提供的产品价格、技术、服务等方面严格进行评判，提供科学合理、公平公正的评审意见，参与起草评审报告，并予签字确认。</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7.3 保守秘密。不得透露采购文件咨询情况，不得泄漏供应商的响应文件及知悉的商业秘密，不得向供应商透露评审情况。</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7.4 发现供应商在政府采购活动中有不正当竞争或恶意串通等违规行为，及时向政府采购评审工作的组织者或财政部门报告并加以制止。</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发现采购人、政府采购代理机构及其工作人员在政府采购活动中有干预评审、发表倾向性和歧视性言论、受贿或者接受供应商的其他好处及其他违法违规行为，及时向财政部门报告。</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7.5 解答有关方面对政府采购评审工作中有关问题的询问，配合采购人或者政府采购代理机构答复供应商质疑，配合财政部门的投诉处理工作等事宜。</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7.6 法律、法规和规章规定的其他义务。</w:t>
      </w:r>
    </w:p>
    <w:p>
      <w:pPr>
        <w:pStyle w:val="5"/>
        <w:bidi w:val="0"/>
        <w:spacing w:line="240" w:lineRule="auto"/>
        <w:ind w:left="0" w:leftChars="0" w:firstLine="477" w:firstLineChars="195"/>
        <w:rPr>
          <w:rFonts w:hint="eastAsia" w:ascii="宋体" w:hAnsi="宋体" w:eastAsia="宋体" w:cs="宋体"/>
          <w:color w:val="000000" w:themeColor="text1"/>
          <w:sz w:val="24"/>
          <w:szCs w:val="24"/>
          <w:highlight w:val="none"/>
          <w:lang w:val="en-US" w:eastAsia="zh-CN"/>
          <w14:textFill>
            <w14:solidFill>
              <w14:schemeClr w14:val="tx1"/>
            </w14:solidFill>
          </w14:textFill>
        </w:rPr>
      </w:pPr>
      <w:bookmarkStart w:id="230" w:name="_Toc5163"/>
      <w:bookmarkStart w:id="231" w:name="_Toc445888139"/>
      <w:r>
        <w:rPr>
          <w:rFonts w:hint="eastAsia" w:ascii="宋体" w:hAnsi="宋体" w:eastAsia="宋体" w:cs="宋体"/>
          <w:color w:val="000000" w:themeColor="text1"/>
          <w:sz w:val="24"/>
          <w:szCs w:val="24"/>
          <w:highlight w:val="none"/>
          <w:lang w:val="en-US" w:eastAsia="zh-CN"/>
          <w14:textFill>
            <w14:solidFill>
              <w14:schemeClr w14:val="tx1"/>
            </w14:solidFill>
          </w14:textFill>
        </w:rPr>
        <w:t>8、评审专家在政府采购活动中应当遵守以下工作纪律</w:t>
      </w:r>
      <w:bookmarkEnd w:id="230"/>
      <w:bookmarkEnd w:id="231"/>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8.1 应邀按时参加评审和咨询活动。遇特殊情况不能出席或途中遇阻不能按时参加评审或咨询的，应及时告知财政部门或者采购人或者政府采购代理机构，不得私自转托他人。</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8.2 不得参加与自己有利害关系的政府采购项目的评审活动。对与自己有利害关系的评审项目，如受到邀请，应主动提出回避。财政部门、采购人或政府采购代理机构也可要求该评审专家回避。</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有利害关系主要是指三年内曾在参加该采购项目供应商中任职(包括一般工作)或担任顾问，配偶或直系亲属在参加该采购项目的供应商中任职或担任顾问，与参加该采购项目供应商发生过法律纠纷，以及其他可能影响公正评审的情况。</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8.3 评审或咨询过程中关闭通讯设备，不得与外界联系。因发生不可预见情况，确实需要与外界联系的，应当有在场工作人员陪同。</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8.4 评审过程中，不得发表影响评审公正的倾向性、歧视性言论；不得征询或者接受采购人的倾向性意见；不得以任何明示或暗示的方式要求参加该采购项目的供应商以澄清、说明或补正为借口，表达与其原响应文件原意不同的新意见；不得以采购文件没有规定的方法和标准作为评审的依据；不得违反规定的评审格式评分和撰写评审意见；不得拒绝对自己的评审意见签字确认。</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8.5 在咨询工作中，严格执行国家产业政策和产品标准，认真听取咨询方的合理要求，提出科学合理的、无倾向性和歧视性的咨询方案，并对所提出的意见和建议承担个人责任。</w:t>
      </w:r>
    </w:p>
    <w:p>
      <w:pPr>
        <w:tabs>
          <w:tab w:val="left" w:pos="851"/>
        </w:tabs>
        <w:spacing w:line="440" w:lineRule="exact"/>
        <w:ind w:firstLine="490" w:firstLineChars="200"/>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pPr>
      <w:r>
        <w:rPr>
          <w:rFonts w:hint="eastAsia" w:ascii="宋体" w:hAnsi="宋体" w:eastAsia="宋体" w:cs="宋体"/>
          <w:color w:val="000000" w:themeColor="text1"/>
          <w:kern w:val="2"/>
          <w:sz w:val="24"/>
          <w:szCs w:val="24"/>
          <w:highlight w:val="none"/>
          <w:lang w:val="zh-CN" w:eastAsia="zh-CN" w:bidi="ar-SA"/>
          <w14:textFill>
            <w14:solidFill>
              <w14:schemeClr w14:val="tx1"/>
            </w14:solidFill>
          </w14:textFill>
        </w:rPr>
        <w:t>8.6 有关部门（机构）制定的其他评审工作纪律。</w:t>
      </w:r>
    </w:p>
    <w:p>
      <w:pPr>
        <w:pStyle w:val="4"/>
        <w:keepNext w:val="0"/>
        <w:keepLines w:val="0"/>
        <w:tabs>
          <w:tab w:val="left" w:pos="7665"/>
        </w:tabs>
        <w:spacing w:before="0" w:after="0" w:line="240" w:lineRule="auto"/>
        <w:jc w:val="center"/>
        <w:rPr>
          <w:rFonts w:hint="eastAsia" w:ascii="宋体" w:hAnsi="宋体" w:eastAsia="宋体" w:cs="宋体"/>
          <w:color w:val="000000" w:themeColor="text1"/>
          <w:sz w:val="36"/>
          <w:szCs w:val="36"/>
          <w:highlight w:val="none"/>
          <w14:textFill>
            <w14:solidFill>
              <w14:schemeClr w14:val="tx1"/>
            </w14:solidFill>
          </w14:textFill>
        </w:rPr>
      </w:pPr>
      <w:r>
        <w:rPr>
          <w:rFonts w:hint="eastAsia" w:ascii="宋体" w:hAnsi="宋体" w:eastAsia="宋体" w:cs="宋体"/>
          <w:b w:val="0"/>
          <w:color w:val="000000" w:themeColor="text1"/>
          <w:sz w:val="32"/>
          <w:highlight w:val="none"/>
          <w14:textFill>
            <w14:solidFill>
              <w14:schemeClr w14:val="tx1"/>
            </w14:solidFill>
          </w14:textFill>
        </w:rPr>
        <w:br w:type="page"/>
      </w:r>
      <w:bookmarkStart w:id="232" w:name="_Toc16511"/>
      <w:bookmarkStart w:id="233" w:name="_Toc23551"/>
      <w:bookmarkStart w:id="234" w:name="_Toc7961750"/>
      <w:bookmarkStart w:id="235" w:name="_Toc20488"/>
      <w:r>
        <w:rPr>
          <w:rFonts w:hint="eastAsia" w:ascii="宋体" w:hAnsi="宋体" w:eastAsia="宋体" w:cs="宋体"/>
          <w:color w:val="000000" w:themeColor="text1"/>
          <w:sz w:val="36"/>
          <w:szCs w:val="36"/>
          <w:highlight w:val="none"/>
          <w14:textFill>
            <w14:solidFill>
              <w14:schemeClr w14:val="tx1"/>
            </w14:solidFill>
          </w14:textFill>
        </w:rPr>
        <w:t>第八章  政府采购合同（草案）</w:t>
      </w:r>
      <w:bookmarkEnd w:id="232"/>
      <w:bookmarkEnd w:id="233"/>
      <w:bookmarkEnd w:id="234"/>
      <w:bookmarkEnd w:id="235"/>
    </w:p>
    <w:bookmarkEnd w:id="127"/>
    <w:bookmarkEnd w:id="128"/>
    <w:bookmarkEnd w:id="129"/>
    <w:p>
      <w:pPr>
        <w:spacing w:line="360" w:lineRule="auto"/>
        <w:ind w:firstLine="490" w:firstLineChars="200"/>
        <w:rPr>
          <w:rFonts w:hint="eastAsia" w:ascii="宋体" w:hAnsi="宋体" w:eastAsia="宋体" w:cs="宋体"/>
          <w:b/>
          <w:bCs/>
          <w:color w:val="000000" w:themeColor="text1"/>
          <w:sz w:val="24"/>
          <w:highlight w:val="none"/>
          <w14:textFill>
            <w14:solidFill>
              <w14:schemeClr w14:val="tx1"/>
            </w14:solidFill>
          </w14:textFill>
        </w:rPr>
      </w:pPr>
      <w:bookmarkStart w:id="236" w:name="_Hlt101846155"/>
      <w:bookmarkEnd w:id="236"/>
    </w:p>
    <w:p>
      <w:pPr>
        <w:spacing w:line="360" w:lineRule="auto"/>
        <w:ind w:firstLine="490" w:firstLineChars="200"/>
        <w:rPr>
          <w:rFonts w:hint="eastAsia" w:ascii="宋体" w:hAnsi="宋体" w:eastAsia="宋体" w:cs="宋体"/>
          <w:color w:val="000000" w:themeColor="text1"/>
          <w:sz w:val="24"/>
          <w:highlight w:val="none"/>
          <w14:textFill>
            <w14:solidFill>
              <w14:schemeClr w14:val="tx1"/>
            </w14:solidFill>
          </w14:textFill>
        </w:rPr>
      </w:pP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合同编号：XXXX。</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签订地点：XXXX。</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签订时间：XXXX年XX月XX日。</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采购人（甲方）：                              </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供应商（乙方）：        </w:t>
      </w:r>
    </w:p>
    <w:p>
      <w:pPr>
        <w:spacing w:line="440" w:lineRule="exact"/>
        <w:rPr>
          <w:rFonts w:hint="eastAsia" w:ascii="宋体" w:hAnsi="宋体" w:eastAsia="宋体" w:cs="宋体"/>
          <w:color w:val="000000" w:themeColor="text1"/>
          <w:sz w:val="24"/>
          <w:szCs w:val="24"/>
          <w:highlight w:val="none"/>
          <w14:textFill>
            <w14:solidFill>
              <w14:schemeClr w14:val="tx1"/>
            </w14:solidFill>
          </w14:textFill>
        </w:rPr>
      </w:pP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根据《中华人民共和国政府采购法》、《中华人民共和国合同法》及XXXX采购项目（项目编号：XX）的《竞争性磋商文件》、乙方的《响应文件》及《成交通知书》，甲、乙双方同意签订本合同。详细技术说明及其他有关合同项目的特定信息由合同附件予以说明，合同附件及本项目的《竞争性磋商文件》、响应文件、《成交通知书》等均为本合同不可分割的部分。双方同意共同遵守如下条款：</w:t>
      </w:r>
    </w:p>
    <w:p>
      <w:pPr>
        <w:pStyle w:val="5"/>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37" w:name="_Toc6625"/>
      <w:bookmarkStart w:id="238" w:name="_Toc217446107"/>
      <w:bookmarkStart w:id="239" w:name="_Toc11498"/>
      <w:r>
        <w:rPr>
          <w:rFonts w:hint="eastAsia" w:ascii="宋体" w:hAnsi="宋体" w:eastAsia="宋体" w:cs="宋体"/>
          <w:color w:val="000000" w:themeColor="text1"/>
          <w:sz w:val="24"/>
          <w:szCs w:val="24"/>
          <w:highlight w:val="none"/>
          <w14:textFill>
            <w14:solidFill>
              <w14:schemeClr w14:val="tx1"/>
            </w14:solidFill>
          </w14:textFill>
        </w:rPr>
        <w:t>一、合同货物</w:t>
      </w:r>
      <w:bookmarkEnd w:id="237"/>
      <w:bookmarkEnd w:id="238"/>
      <w:bookmarkEnd w:id="239"/>
    </w:p>
    <w:tbl>
      <w:tblPr>
        <w:tblStyle w:val="30"/>
        <w:tblW w:w="95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9"/>
        <w:gridCol w:w="889"/>
        <w:gridCol w:w="904"/>
        <w:gridCol w:w="704"/>
        <w:gridCol w:w="920"/>
        <w:gridCol w:w="951"/>
        <w:gridCol w:w="1277"/>
        <w:gridCol w:w="885"/>
        <w:gridCol w:w="1050"/>
        <w:gridCol w:w="801"/>
        <w:gridCol w:w="6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59" w:type="dxa"/>
            <w:noWrap w:val="0"/>
            <w:vAlign w:val="center"/>
          </w:tcPr>
          <w:p>
            <w:pPr>
              <w:jc w:val="center"/>
              <w:rPr>
                <w:rFonts w:hint="eastAsia"/>
                <w:color w:val="000000" w:themeColor="text1"/>
                <w:sz w:val="24"/>
                <w:highlight w:val="none"/>
                <w14:textFill>
                  <w14:solidFill>
                    <w14:schemeClr w14:val="tx1"/>
                  </w14:solidFill>
                </w14:textFill>
              </w:rPr>
            </w:pPr>
            <w:bookmarkStart w:id="240" w:name="_Toc32679"/>
            <w:bookmarkStart w:id="241" w:name="_Toc217446108"/>
            <w:bookmarkStart w:id="242" w:name="_Toc10058"/>
            <w:r>
              <w:rPr>
                <w:rFonts w:hint="eastAsia"/>
                <w:color w:val="000000" w:themeColor="text1"/>
                <w:sz w:val="24"/>
                <w:highlight w:val="none"/>
                <w14:textFill>
                  <w14:solidFill>
                    <w14:schemeClr w14:val="tx1"/>
                  </w14:solidFill>
                </w14:textFill>
              </w:rPr>
              <w:t>序号</w:t>
            </w:r>
          </w:p>
        </w:tc>
        <w:tc>
          <w:tcPr>
            <w:tcW w:w="889"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产品</w:t>
            </w:r>
            <w:r>
              <w:rPr>
                <w:rFonts w:hint="eastAsia"/>
                <w:color w:val="000000" w:themeColor="text1"/>
                <w:sz w:val="24"/>
                <w:highlight w:val="none"/>
                <w14:textFill>
                  <w14:solidFill>
                    <w14:schemeClr w14:val="tx1"/>
                  </w14:solidFill>
                </w14:textFill>
              </w:rPr>
              <w:t>名称</w:t>
            </w:r>
          </w:p>
        </w:tc>
        <w:tc>
          <w:tcPr>
            <w:tcW w:w="904"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规格型号</w:t>
            </w:r>
          </w:p>
        </w:tc>
        <w:tc>
          <w:tcPr>
            <w:tcW w:w="704"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数量</w:t>
            </w:r>
          </w:p>
        </w:tc>
        <w:tc>
          <w:tcPr>
            <w:tcW w:w="920"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单价（元）</w:t>
            </w:r>
          </w:p>
        </w:tc>
        <w:tc>
          <w:tcPr>
            <w:tcW w:w="951"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总价（元）</w:t>
            </w:r>
          </w:p>
        </w:tc>
        <w:tc>
          <w:tcPr>
            <w:tcW w:w="1277" w:type="dxa"/>
            <w:noWrap w:val="0"/>
            <w:vAlign w:val="center"/>
          </w:tcPr>
          <w:p>
            <w:pPr>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制造商家</w:t>
            </w:r>
          </w:p>
        </w:tc>
        <w:tc>
          <w:tcPr>
            <w:tcW w:w="885" w:type="dxa"/>
            <w:noWrap w:val="0"/>
            <w:vAlign w:val="center"/>
          </w:tcPr>
          <w:p>
            <w:pPr>
              <w:ind w:left="0" w:leftChars="0" w:firstLine="0" w:firstLineChars="0"/>
              <w:jc w:val="center"/>
              <w:rPr>
                <w:rFonts w:hint="eastAsia" w:eastAsia="宋体"/>
                <w:color w:val="000000" w:themeColor="text1"/>
                <w:sz w:val="24"/>
                <w:highlight w:val="none"/>
                <w:lang w:eastAsia="zh-CN"/>
                <w14:textFill>
                  <w14:solidFill>
                    <w14:schemeClr w14:val="tx1"/>
                  </w14:solidFill>
                </w14:textFill>
              </w:rPr>
            </w:pPr>
            <w:r>
              <w:rPr>
                <w:rFonts w:hint="eastAsia"/>
                <w:color w:val="000000" w:themeColor="text1"/>
                <w:sz w:val="24"/>
                <w:highlight w:val="none"/>
                <w:lang w:eastAsia="zh-CN"/>
                <w14:textFill>
                  <w14:solidFill>
                    <w14:schemeClr w14:val="tx1"/>
                  </w14:solidFill>
                </w14:textFill>
              </w:rPr>
              <w:t>品牌</w:t>
            </w:r>
          </w:p>
        </w:tc>
        <w:tc>
          <w:tcPr>
            <w:tcW w:w="1050" w:type="dxa"/>
            <w:noWrap w:val="0"/>
            <w:vAlign w:val="center"/>
          </w:tcPr>
          <w:p>
            <w:pPr>
              <w:ind w:left="0" w:leftChars="0" w:firstLine="0" w:firstLineChars="0"/>
              <w:jc w:val="center"/>
              <w:rPr>
                <w:rFonts w:hint="eastAsia"/>
                <w:color w:val="000000" w:themeColor="text1"/>
                <w:sz w:val="24"/>
                <w:highlight w:val="none"/>
                <w14:textFill>
                  <w14:solidFill>
                    <w14:schemeClr w14:val="tx1"/>
                  </w14:solidFill>
                </w14:textFill>
              </w:rPr>
            </w:pPr>
            <w:r>
              <w:rPr>
                <w:rFonts w:hint="eastAsia"/>
                <w:color w:val="000000" w:themeColor="text1"/>
                <w:sz w:val="24"/>
                <w:highlight w:val="none"/>
                <w14:textFill>
                  <w14:solidFill>
                    <w14:schemeClr w14:val="tx1"/>
                  </w14:solidFill>
                </w14:textFill>
              </w:rPr>
              <w:t>是否属于进口产品</w:t>
            </w:r>
          </w:p>
        </w:tc>
        <w:tc>
          <w:tcPr>
            <w:tcW w:w="801" w:type="dxa"/>
            <w:noWrap w:val="0"/>
            <w:vAlign w:val="center"/>
          </w:tcPr>
          <w:p>
            <w:pPr>
              <w:jc w:val="center"/>
              <w:rPr>
                <w:rFonts w:hint="eastAsia"/>
                <w:color w:val="000000" w:themeColor="text1"/>
                <w:sz w:val="24"/>
                <w:szCs w:val="22"/>
                <w:highlight w:val="none"/>
                <w:lang w:eastAsia="zh-CN"/>
                <w14:textFill>
                  <w14:solidFill>
                    <w14:schemeClr w14:val="tx1"/>
                  </w14:solidFill>
                </w14:textFill>
              </w:rPr>
            </w:pPr>
            <w:r>
              <w:rPr>
                <w:rFonts w:hint="eastAsia"/>
                <w:color w:val="000000" w:themeColor="text1"/>
                <w:sz w:val="24"/>
                <w:szCs w:val="22"/>
                <w:highlight w:val="none"/>
                <w:lang w:eastAsia="zh-CN"/>
                <w14:textFill>
                  <w14:solidFill>
                    <w14:schemeClr w14:val="tx1"/>
                  </w14:solidFill>
                </w14:textFill>
              </w:rPr>
              <w:t>交货日期</w:t>
            </w:r>
          </w:p>
        </w:tc>
        <w:tc>
          <w:tcPr>
            <w:tcW w:w="655" w:type="dxa"/>
            <w:noWrap w:val="0"/>
            <w:vAlign w:val="center"/>
          </w:tcPr>
          <w:p>
            <w:pPr>
              <w:jc w:val="center"/>
              <w:rPr>
                <w:rFonts w:hint="eastAsia"/>
                <w:color w:val="000000" w:themeColor="text1"/>
                <w:sz w:val="24"/>
                <w:szCs w:val="22"/>
                <w:highlight w:val="none"/>
                <w14:textFill>
                  <w14:solidFill>
                    <w14:schemeClr w14:val="tx1"/>
                  </w14:solidFill>
                </w14:textFill>
              </w:rPr>
            </w:pPr>
            <w:r>
              <w:rPr>
                <w:rFonts w:hint="eastAsia"/>
                <w:color w:val="000000" w:themeColor="text1"/>
                <w:sz w:val="24"/>
                <w:szCs w:val="22"/>
                <w:highlight w:val="none"/>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59" w:type="dxa"/>
            <w:noWrap w:val="0"/>
            <w:vAlign w:val="top"/>
          </w:tcPr>
          <w:p>
            <w:pPr>
              <w:rPr>
                <w:rFonts w:hint="eastAsia"/>
                <w:color w:val="000000" w:themeColor="text1"/>
                <w:sz w:val="24"/>
                <w:highlight w:val="none"/>
                <w14:textFill>
                  <w14:solidFill>
                    <w14:schemeClr w14:val="tx1"/>
                  </w14:solidFill>
                </w14:textFill>
              </w:rPr>
            </w:pPr>
          </w:p>
        </w:tc>
        <w:tc>
          <w:tcPr>
            <w:tcW w:w="889" w:type="dxa"/>
            <w:noWrap w:val="0"/>
            <w:vAlign w:val="top"/>
          </w:tcPr>
          <w:p>
            <w:pPr>
              <w:rPr>
                <w:rFonts w:hint="eastAsia"/>
                <w:color w:val="000000" w:themeColor="text1"/>
                <w:sz w:val="24"/>
                <w:highlight w:val="none"/>
                <w14:textFill>
                  <w14:solidFill>
                    <w14:schemeClr w14:val="tx1"/>
                  </w14:solidFill>
                </w14:textFill>
              </w:rPr>
            </w:pPr>
          </w:p>
        </w:tc>
        <w:tc>
          <w:tcPr>
            <w:tcW w:w="904" w:type="dxa"/>
            <w:noWrap w:val="0"/>
            <w:vAlign w:val="top"/>
          </w:tcPr>
          <w:p>
            <w:pPr>
              <w:rPr>
                <w:rFonts w:hint="eastAsia"/>
                <w:color w:val="000000" w:themeColor="text1"/>
                <w:sz w:val="24"/>
                <w:highlight w:val="none"/>
                <w14:textFill>
                  <w14:solidFill>
                    <w14:schemeClr w14:val="tx1"/>
                  </w14:solidFill>
                </w14:textFill>
              </w:rPr>
            </w:pPr>
          </w:p>
        </w:tc>
        <w:tc>
          <w:tcPr>
            <w:tcW w:w="704" w:type="dxa"/>
            <w:noWrap w:val="0"/>
            <w:vAlign w:val="top"/>
          </w:tcPr>
          <w:p>
            <w:pPr>
              <w:rPr>
                <w:rFonts w:hint="eastAsia"/>
                <w:color w:val="000000" w:themeColor="text1"/>
                <w:sz w:val="24"/>
                <w:highlight w:val="none"/>
                <w14:textFill>
                  <w14:solidFill>
                    <w14:schemeClr w14:val="tx1"/>
                  </w14:solidFill>
                </w14:textFill>
              </w:rPr>
            </w:pPr>
          </w:p>
        </w:tc>
        <w:tc>
          <w:tcPr>
            <w:tcW w:w="920" w:type="dxa"/>
            <w:noWrap w:val="0"/>
            <w:vAlign w:val="top"/>
          </w:tcPr>
          <w:p>
            <w:pPr>
              <w:rPr>
                <w:rFonts w:hint="eastAsia"/>
                <w:color w:val="000000" w:themeColor="text1"/>
                <w:sz w:val="24"/>
                <w:highlight w:val="none"/>
                <w14:textFill>
                  <w14:solidFill>
                    <w14:schemeClr w14:val="tx1"/>
                  </w14:solidFill>
                </w14:textFill>
              </w:rPr>
            </w:pPr>
          </w:p>
        </w:tc>
        <w:tc>
          <w:tcPr>
            <w:tcW w:w="951" w:type="dxa"/>
            <w:noWrap w:val="0"/>
            <w:vAlign w:val="top"/>
          </w:tcPr>
          <w:p>
            <w:pPr>
              <w:rPr>
                <w:rFonts w:hint="eastAsia"/>
                <w:color w:val="000000" w:themeColor="text1"/>
                <w:sz w:val="24"/>
                <w:highlight w:val="none"/>
                <w14:textFill>
                  <w14:solidFill>
                    <w14:schemeClr w14:val="tx1"/>
                  </w14:solidFill>
                </w14:textFill>
              </w:rPr>
            </w:pPr>
          </w:p>
        </w:tc>
        <w:tc>
          <w:tcPr>
            <w:tcW w:w="1277" w:type="dxa"/>
            <w:noWrap w:val="0"/>
            <w:vAlign w:val="top"/>
          </w:tcPr>
          <w:p>
            <w:pPr>
              <w:rPr>
                <w:rFonts w:hint="eastAsia"/>
                <w:color w:val="000000" w:themeColor="text1"/>
                <w:sz w:val="24"/>
                <w:highlight w:val="none"/>
                <w14:textFill>
                  <w14:solidFill>
                    <w14:schemeClr w14:val="tx1"/>
                  </w14:solidFill>
                </w14:textFill>
              </w:rPr>
            </w:pPr>
          </w:p>
        </w:tc>
        <w:tc>
          <w:tcPr>
            <w:tcW w:w="885" w:type="dxa"/>
            <w:noWrap w:val="0"/>
            <w:vAlign w:val="top"/>
          </w:tcPr>
          <w:p>
            <w:pPr>
              <w:rPr>
                <w:rFonts w:hint="eastAsia"/>
                <w:color w:val="000000" w:themeColor="text1"/>
                <w:sz w:val="24"/>
                <w:highlight w:val="none"/>
                <w14:textFill>
                  <w14:solidFill>
                    <w14:schemeClr w14:val="tx1"/>
                  </w14:solidFill>
                </w14:textFill>
              </w:rPr>
            </w:pPr>
          </w:p>
        </w:tc>
        <w:tc>
          <w:tcPr>
            <w:tcW w:w="1050" w:type="dxa"/>
            <w:noWrap w:val="0"/>
            <w:vAlign w:val="top"/>
          </w:tcPr>
          <w:p>
            <w:pPr>
              <w:rPr>
                <w:rFonts w:hint="eastAsia"/>
                <w:color w:val="000000" w:themeColor="text1"/>
                <w:sz w:val="24"/>
                <w:highlight w:val="none"/>
                <w14:textFill>
                  <w14:solidFill>
                    <w14:schemeClr w14:val="tx1"/>
                  </w14:solidFill>
                </w14:textFill>
              </w:rPr>
            </w:pPr>
          </w:p>
        </w:tc>
        <w:tc>
          <w:tcPr>
            <w:tcW w:w="801" w:type="dxa"/>
            <w:noWrap w:val="0"/>
            <w:vAlign w:val="top"/>
          </w:tcPr>
          <w:p>
            <w:pPr>
              <w:rPr>
                <w:rFonts w:hint="eastAsia"/>
                <w:color w:val="000000" w:themeColor="text1"/>
                <w:sz w:val="24"/>
                <w:highlight w:val="none"/>
                <w14:textFill>
                  <w14:solidFill>
                    <w14:schemeClr w14:val="tx1"/>
                  </w14:solidFill>
                </w14:textFill>
              </w:rPr>
            </w:pPr>
          </w:p>
        </w:tc>
        <w:tc>
          <w:tcPr>
            <w:tcW w:w="655"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59" w:type="dxa"/>
            <w:noWrap w:val="0"/>
            <w:vAlign w:val="top"/>
          </w:tcPr>
          <w:p>
            <w:pPr>
              <w:rPr>
                <w:rFonts w:hint="eastAsia"/>
                <w:color w:val="000000" w:themeColor="text1"/>
                <w:sz w:val="24"/>
                <w:highlight w:val="none"/>
                <w14:textFill>
                  <w14:solidFill>
                    <w14:schemeClr w14:val="tx1"/>
                  </w14:solidFill>
                </w14:textFill>
              </w:rPr>
            </w:pPr>
          </w:p>
        </w:tc>
        <w:tc>
          <w:tcPr>
            <w:tcW w:w="889" w:type="dxa"/>
            <w:noWrap w:val="0"/>
            <w:vAlign w:val="top"/>
          </w:tcPr>
          <w:p>
            <w:pPr>
              <w:rPr>
                <w:rFonts w:hint="eastAsia"/>
                <w:color w:val="000000" w:themeColor="text1"/>
                <w:sz w:val="24"/>
                <w:highlight w:val="none"/>
                <w14:textFill>
                  <w14:solidFill>
                    <w14:schemeClr w14:val="tx1"/>
                  </w14:solidFill>
                </w14:textFill>
              </w:rPr>
            </w:pPr>
          </w:p>
        </w:tc>
        <w:tc>
          <w:tcPr>
            <w:tcW w:w="904" w:type="dxa"/>
            <w:noWrap w:val="0"/>
            <w:vAlign w:val="top"/>
          </w:tcPr>
          <w:p>
            <w:pPr>
              <w:rPr>
                <w:rFonts w:hint="eastAsia"/>
                <w:color w:val="000000" w:themeColor="text1"/>
                <w:sz w:val="24"/>
                <w:highlight w:val="none"/>
                <w14:textFill>
                  <w14:solidFill>
                    <w14:schemeClr w14:val="tx1"/>
                  </w14:solidFill>
                </w14:textFill>
              </w:rPr>
            </w:pPr>
          </w:p>
        </w:tc>
        <w:tc>
          <w:tcPr>
            <w:tcW w:w="704" w:type="dxa"/>
            <w:noWrap w:val="0"/>
            <w:vAlign w:val="top"/>
          </w:tcPr>
          <w:p>
            <w:pPr>
              <w:rPr>
                <w:rFonts w:hint="eastAsia"/>
                <w:color w:val="000000" w:themeColor="text1"/>
                <w:sz w:val="24"/>
                <w:highlight w:val="none"/>
                <w14:textFill>
                  <w14:solidFill>
                    <w14:schemeClr w14:val="tx1"/>
                  </w14:solidFill>
                </w14:textFill>
              </w:rPr>
            </w:pPr>
          </w:p>
        </w:tc>
        <w:tc>
          <w:tcPr>
            <w:tcW w:w="920" w:type="dxa"/>
            <w:noWrap w:val="0"/>
            <w:vAlign w:val="top"/>
          </w:tcPr>
          <w:p>
            <w:pPr>
              <w:rPr>
                <w:rFonts w:hint="eastAsia"/>
                <w:color w:val="000000" w:themeColor="text1"/>
                <w:sz w:val="24"/>
                <w:highlight w:val="none"/>
                <w14:textFill>
                  <w14:solidFill>
                    <w14:schemeClr w14:val="tx1"/>
                  </w14:solidFill>
                </w14:textFill>
              </w:rPr>
            </w:pPr>
          </w:p>
        </w:tc>
        <w:tc>
          <w:tcPr>
            <w:tcW w:w="951" w:type="dxa"/>
            <w:noWrap w:val="0"/>
            <w:vAlign w:val="top"/>
          </w:tcPr>
          <w:p>
            <w:pPr>
              <w:rPr>
                <w:rFonts w:hint="eastAsia"/>
                <w:color w:val="000000" w:themeColor="text1"/>
                <w:sz w:val="24"/>
                <w:highlight w:val="none"/>
                <w14:textFill>
                  <w14:solidFill>
                    <w14:schemeClr w14:val="tx1"/>
                  </w14:solidFill>
                </w14:textFill>
              </w:rPr>
            </w:pPr>
          </w:p>
        </w:tc>
        <w:tc>
          <w:tcPr>
            <w:tcW w:w="1277" w:type="dxa"/>
            <w:noWrap w:val="0"/>
            <w:vAlign w:val="top"/>
          </w:tcPr>
          <w:p>
            <w:pPr>
              <w:rPr>
                <w:rFonts w:hint="eastAsia"/>
                <w:color w:val="000000" w:themeColor="text1"/>
                <w:sz w:val="24"/>
                <w:highlight w:val="none"/>
                <w14:textFill>
                  <w14:solidFill>
                    <w14:schemeClr w14:val="tx1"/>
                  </w14:solidFill>
                </w14:textFill>
              </w:rPr>
            </w:pPr>
          </w:p>
        </w:tc>
        <w:tc>
          <w:tcPr>
            <w:tcW w:w="885" w:type="dxa"/>
            <w:noWrap w:val="0"/>
            <w:vAlign w:val="top"/>
          </w:tcPr>
          <w:p>
            <w:pPr>
              <w:rPr>
                <w:rFonts w:hint="eastAsia"/>
                <w:color w:val="000000" w:themeColor="text1"/>
                <w:sz w:val="24"/>
                <w:highlight w:val="none"/>
                <w14:textFill>
                  <w14:solidFill>
                    <w14:schemeClr w14:val="tx1"/>
                  </w14:solidFill>
                </w14:textFill>
              </w:rPr>
            </w:pPr>
          </w:p>
        </w:tc>
        <w:tc>
          <w:tcPr>
            <w:tcW w:w="1050" w:type="dxa"/>
            <w:noWrap w:val="0"/>
            <w:vAlign w:val="top"/>
          </w:tcPr>
          <w:p>
            <w:pPr>
              <w:rPr>
                <w:rFonts w:hint="eastAsia"/>
                <w:color w:val="000000" w:themeColor="text1"/>
                <w:sz w:val="24"/>
                <w:highlight w:val="none"/>
                <w14:textFill>
                  <w14:solidFill>
                    <w14:schemeClr w14:val="tx1"/>
                  </w14:solidFill>
                </w14:textFill>
              </w:rPr>
            </w:pPr>
          </w:p>
        </w:tc>
        <w:tc>
          <w:tcPr>
            <w:tcW w:w="801" w:type="dxa"/>
            <w:noWrap w:val="0"/>
            <w:vAlign w:val="top"/>
          </w:tcPr>
          <w:p>
            <w:pPr>
              <w:rPr>
                <w:rFonts w:hint="eastAsia"/>
                <w:color w:val="000000" w:themeColor="text1"/>
                <w:sz w:val="24"/>
                <w:highlight w:val="none"/>
                <w14:textFill>
                  <w14:solidFill>
                    <w14:schemeClr w14:val="tx1"/>
                  </w14:solidFill>
                </w14:textFill>
              </w:rPr>
            </w:pPr>
          </w:p>
        </w:tc>
        <w:tc>
          <w:tcPr>
            <w:tcW w:w="655"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jc w:val="center"/>
        </w:trPr>
        <w:tc>
          <w:tcPr>
            <w:tcW w:w="559" w:type="dxa"/>
            <w:noWrap w:val="0"/>
            <w:vAlign w:val="top"/>
          </w:tcPr>
          <w:p>
            <w:pPr>
              <w:rPr>
                <w:rFonts w:hint="eastAsia"/>
                <w:color w:val="000000" w:themeColor="text1"/>
                <w:sz w:val="24"/>
                <w:highlight w:val="none"/>
                <w14:textFill>
                  <w14:solidFill>
                    <w14:schemeClr w14:val="tx1"/>
                  </w14:solidFill>
                </w14:textFill>
              </w:rPr>
            </w:pPr>
          </w:p>
        </w:tc>
        <w:tc>
          <w:tcPr>
            <w:tcW w:w="889" w:type="dxa"/>
            <w:noWrap w:val="0"/>
            <w:vAlign w:val="top"/>
          </w:tcPr>
          <w:p>
            <w:pPr>
              <w:rPr>
                <w:rFonts w:hint="eastAsia"/>
                <w:color w:val="000000" w:themeColor="text1"/>
                <w:sz w:val="24"/>
                <w:highlight w:val="none"/>
                <w14:textFill>
                  <w14:solidFill>
                    <w14:schemeClr w14:val="tx1"/>
                  </w14:solidFill>
                </w14:textFill>
              </w:rPr>
            </w:pPr>
          </w:p>
        </w:tc>
        <w:tc>
          <w:tcPr>
            <w:tcW w:w="904" w:type="dxa"/>
            <w:noWrap w:val="0"/>
            <w:vAlign w:val="top"/>
          </w:tcPr>
          <w:p>
            <w:pPr>
              <w:rPr>
                <w:rFonts w:hint="eastAsia"/>
                <w:color w:val="000000" w:themeColor="text1"/>
                <w:sz w:val="24"/>
                <w:highlight w:val="none"/>
                <w14:textFill>
                  <w14:solidFill>
                    <w14:schemeClr w14:val="tx1"/>
                  </w14:solidFill>
                </w14:textFill>
              </w:rPr>
            </w:pPr>
          </w:p>
        </w:tc>
        <w:tc>
          <w:tcPr>
            <w:tcW w:w="704" w:type="dxa"/>
            <w:noWrap w:val="0"/>
            <w:vAlign w:val="top"/>
          </w:tcPr>
          <w:p>
            <w:pPr>
              <w:rPr>
                <w:rFonts w:hint="eastAsia"/>
                <w:color w:val="000000" w:themeColor="text1"/>
                <w:sz w:val="24"/>
                <w:highlight w:val="none"/>
                <w14:textFill>
                  <w14:solidFill>
                    <w14:schemeClr w14:val="tx1"/>
                  </w14:solidFill>
                </w14:textFill>
              </w:rPr>
            </w:pPr>
          </w:p>
        </w:tc>
        <w:tc>
          <w:tcPr>
            <w:tcW w:w="920" w:type="dxa"/>
            <w:noWrap w:val="0"/>
            <w:vAlign w:val="top"/>
          </w:tcPr>
          <w:p>
            <w:pPr>
              <w:rPr>
                <w:rFonts w:hint="eastAsia"/>
                <w:color w:val="000000" w:themeColor="text1"/>
                <w:sz w:val="24"/>
                <w:highlight w:val="none"/>
                <w14:textFill>
                  <w14:solidFill>
                    <w14:schemeClr w14:val="tx1"/>
                  </w14:solidFill>
                </w14:textFill>
              </w:rPr>
            </w:pPr>
          </w:p>
        </w:tc>
        <w:tc>
          <w:tcPr>
            <w:tcW w:w="951" w:type="dxa"/>
            <w:noWrap w:val="0"/>
            <w:vAlign w:val="top"/>
          </w:tcPr>
          <w:p>
            <w:pPr>
              <w:rPr>
                <w:rFonts w:hint="eastAsia"/>
                <w:color w:val="000000" w:themeColor="text1"/>
                <w:sz w:val="24"/>
                <w:highlight w:val="none"/>
                <w14:textFill>
                  <w14:solidFill>
                    <w14:schemeClr w14:val="tx1"/>
                  </w14:solidFill>
                </w14:textFill>
              </w:rPr>
            </w:pPr>
          </w:p>
        </w:tc>
        <w:tc>
          <w:tcPr>
            <w:tcW w:w="1277" w:type="dxa"/>
            <w:noWrap w:val="0"/>
            <w:vAlign w:val="top"/>
          </w:tcPr>
          <w:p>
            <w:pPr>
              <w:rPr>
                <w:rFonts w:hint="eastAsia"/>
                <w:color w:val="000000" w:themeColor="text1"/>
                <w:sz w:val="24"/>
                <w:highlight w:val="none"/>
                <w14:textFill>
                  <w14:solidFill>
                    <w14:schemeClr w14:val="tx1"/>
                  </w14:solidFill>
                </w14:textFill>
              </w:rPr>
            </w:pPr>
          </w:p>
        </w:tc>
        <w:tc>
          <w:tcPr>
            <w:tcW w:w="885" w:type="dxa"/>
            <w:noWrap w:val="0"/>
            <w:vAlign w:val="top"/>
          </w:tcPr>
          <w:p>
            <w:pPr>
              <w:rPr>
                <w:rFonts w:hint="eastAsia"/>
                <w:color w:val="000000" w:themeColor="text1"/>
                <w:sz w:val="24"/>
                <w:highlight w:val="none"/>
                <w14:textFill>
                  <w14:solidFill>
                    <w14:schemeClr w14:val="tx1"/>
                  </w14:solidFill>
                </w14:textFill>
              </w:rPr>
            </w:pPr>
          </w:p>
        </w:tc>
        <w:tc>
          <w:tcPr>
            <w:tcW w:w="1050" w:type="dxa"/>
            <w:noWrap w:val="0"/>
            <w:vAlign w:val="top"/>
          </w:tcPr>
          <w:p>
            <w:pPr>
              <w:rPr>
                <w:rFonts w:hint="eastAsia"/>
                <w:color w:val="000000" w:themeColor="text1"/>
                <w:sz w:val="24"/>
                <w:highlight w:val="none"/>
                <w14:textFill>
                  <w14:solidFill>
                    <w14:schemeClr w14:val="tx1"/>
                  </w14:solidFill>
                </w14:textFill>
              </w:rPr>
            </w:pPr>
          </w:p>
        </w:tc>
        <w:tc>
          <w:tcPr>
            <w:tcW w:w="801" w:type="dxa"/>
            <w:noWrap w:val="0"/>
            <w:vAlign w:val="top"/>
          </w:tcPr>
          <w:p>
            <w:pPr>
              <w:rPr>
                <w:rFonts w:hint="eastAsia"/>
                <w:color w:val="000000" w:themeColor="text1"/>
                <w:sz w:val="24"/>
                <w:highlight w:val="none"/>
                <w14:textFill>
                  <w14:solidFill>
                    <w14:schemeClr w14:val="tx1"/>
                  </w14:solidFill>
                </w14:textFill>
              </w:rPr>
            </w:pPr>
          </w:p>
        </w:tc>
        <w:tc>
          <w:tcPr>
            <w:tcW w:w="655" w:type="dxa"/>
            <w:noWrap w:val="0"/>
            <w:vAlign w:val="top"/>
          </w:tcPr>
          <w:p>
            <w:pPr>
              <w:rPr>
                <w:rFonts w:hint="eastAsia"/>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595" w:type="dxa"/>
            <w:gridSpan w:val="11"/>
            <w:noWrap w:val="0"/>
            <w:vAlign w:val="center"/>
          </w:tcPr>
          <w:p>
            <w:pPr>
              <w:rPr>
                <w:rFonts w:hint="default"/>
                <w:color w:val="000000" w:themeColor="text1"/>
                <w:sz w:val="24"/>
                <w:highlight w:val="none"/>
                <w:lang w:val="en-US"/>
                <w14:textFill>
                  <w14:solidFill>
                    <w14:schemeClr w14:val="tx1"/>
                  </w14:solidFill>
                </w14:textFill>
              </w:rPr>
            </w:pPr>
            <w:r>
              <w:rPr>
                <w:rFonts w:hint="eastAsia"/>
                <w:color w:val="000000" w:themeColor="text1"/>
                <w:sz w:val="24"/>
                <w:highlight w:val="none"/>
                <w14:textFill>
                  <w14:solidFill>
                    <w14:schemeClr w14:val="tx1"/>
                  </w14:solidFill>
                </w14:textFill>
              </w:rPr>
              <w:t>合计金额</w:t>
            </w:r>
            <w:r>
              <w:rPr>
                <w:rFonts w:hint="eastAsia"/>
                <w:color w:val="000000" w:themeColor="text1"/>
                <w:sz w:val="24"/>
                <w:highlight w:val="none"/>
                <w:lang w:eastAsia="zh-CN"/>
                <w14:textFill>
                  <w14:solidFill>
                    <w14:schemeClr w14:val="tx1"/>
                  </w14:solidFill>
                </w14:textFill>
              </w:rPr>
              <w:t>：</w:t>
            </w:r>
            <w:r>
              <w:rPr>
                <w:rFonts w:hint="eastAsia"/>
                <w:color w:val="000000" w:themeColor="text1"/>
                <w:sz w:val="24"/>
                <w:highlight w:val="none"/>
                <w:lang w:val="en-US" w:eastAsia="zh-CN"/>
                <w14:textFill>
                  <w14:solidFill>
                    <w14:schemeClr w14:val="tx1"/>
                  </w14:solidFill>
                </w14:textFill>
              </w:rPr>
              <w:t xml:space="preserve">       元；</w:t>
            </w:r>
            <w:r>
              <w:rPr>
                <w:rFonts w:hint="eastAsia"/>
                <w:color w:val="000000" w:themeColor="text1"/>
                <w:sz w:val="24"/>
                <w:highlight w:val="none"/>
                <w14:textFill>
                  <w14:solidFill>
                    <w14:schemeClr w14:val="tx1"/>
                  </w14:solidFill>
                </w14:textFill>
              </w:rPr>
              <w:t>大写</w:t>
            </w:r>
            <w:r>
              <w:rPr>
                <w:rFonts w:hint="eastAsia"/>
                <w:color w:val="000000" w:themeColor="text1"/>
                <w:sz w:val="24"/>
                <w:highlight w:val="none"/>
                <w:lang w:eastAsia="zh-CN"/>
                <w14:textFill>
                  <w14:solidFill>
                    <w14:schemeClr w14:val="tx1"/>
                  </w14:solidFill>
                </w14:textFill>
              </w:rPr>
              <w:t>：人民币</w:t>
            </w:r>
            <w:r>
              <w:rPr>
                <w:rFonts w:hint="eastAsia"/>
                <w:color w:val="000000" w:themeColor="text1"/>
                <w:sz w:val="24"/>
                <w:highlight w:val="none"/>
                <w:lang w:val="en-US" w:eastAsia="zh-CN"/>
                <w14:textFill>
                  <w14:solidFill>
                    <w14:schemeClr w14:val="tx1"/>
                  </w14:solidFill>
                </w14:textFill>
              </w:rPr>
              <w:t xml:space="preserve">                     。</w:t>
            </w:r>
          </w:p>
        </w:tc>
      </w:tr>
    </w:tbl>
    <w:p>
      <w:pPr>
        <w:pStyle w:val="5"/>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二、合同总价</w:t>
      </w:r>
      <w:bookmarkEnd w:id="240"/>
      <w:bookmarkEnd w:id="241"/>
      <w:bookmarkEnd w:id="242"/>
    </w:p>
    <w:p>
      <w:pPr>
        <w:pStyle w:val="12"/>
        <w:spacing w:line="440" w:lineRule="exact"/>
        <w:ind w:firstLineChars="175"/>
        <w:jc w:val="left"/>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合同总价为人民币大写：</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元，即RMB￥</w:t>
      </w:r>
      <w:r>
        <w:rPr>
          <w:rFonts w:hint="eastAsia" w:ascii="宋体" w:hAnsi="宋体" w:eastAsia="宋体" w:cs="宋体"/>
          <w:color w:val="000000" w:themeColor="text1"/>
          <w:sz w:val="24"/>
          <w:highlight w:val="none"/>
          <w:u w:val="single"/>
          <w14:textFill>
            <w14:solidFill>
              <w14:schemeClr w14:val="tx1"/>
            </w14:solidFill>
          </w14:textFill>
        </w:rPr>
        <w:t xml:space="preserve">        </w:t>
      </w:r>
      <w:r>
        <w:rPr>
          <w:rFonts w:hint="eastAsia" w:ascii="宋体" w:hAnsi="宋体" w:eastAsia="宋体" w:cs="宋体"/>
          <w:color w:val="000000" w:themeColor="text1"/>
          <w:sz w:val="24"/>
          <w:highlight w:val="none"/>
          <w14:textFill>
            <w14:solidFill>
              <w14:schemeClr w14:val="tx1"/>
            </w14:solidFill>
          </w14:textFill>
        </w:rPr>
        <w:t>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pPr>
        <w:pStyle w:val="5"/>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43" w:name="_Toc217446109"/>
      <w:bookmarkStart w:id="244" w:name="_Toc19859"/>
      <w:bookmarkStart w:id="245" w:name="_Toc22064"/>
      <w:r>
        <w:rPr>
          <w:rFonts w:hint="eastAsia" w:ascii="宋体" w:hAnsi="宋体" w:eastAsia="宋体" w:cs="宋体"/>
          <w:color w:val="000000" w:themeColor="text1"/>
          <w:sz w:val="24"/>
          <w:szCs w:val="24"/>
          <w:highlight w:val="none"/>
          <w14:textFill>
            <w14:solidFill>
              <w14:schemeClr w14:val="tx1"/>
            </w14:solidFill>
          </w14:textFill>
        </w:rPr>
        <w:t>三、质量要求</w:t>
      </w:r>
      <w:bookmarkEnd w:id="243"/>
      <w:bookmarkEnd w:id="244"/>
      <w:bookmarkEnd w:id="245"/>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1、乙方须提供全新的货物（含零部件、配件等），表面无划伤、无碰撞痕迹，且权属清楚，不得侵害他人的知识产权。</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2、货物必须符合或优于国家（行业）</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标准，以及本项目招标文件的质量要求和技术指标与出厂标准。</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3、乙方须在本合同签订之日起</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日内送交货物成品样品给甲方确认，在甲方出具样品确认书并封存成品样品外观尺寸后，乙方才能按样生产，并以此样品作为验收样品；每台货物上均应有产品质量检验合格标志。</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4、货物制造质量出现问题，乙方应负责三包（包修、包换、包退），费用由乙方负担，甲方有权到乙方生产场地检查货物质量和生产进度。</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5、货到现场后由于甲方保管不当造成的质量问题，乙方亦应负责修理，但费用由甲方负担。</w:t>
      </w:r>
    </w:p>
    <w:p>
      <w:pPr>
        <w:pStyle w:val="5"/>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46" w:name="_Toc31432"/>
      <w:bookmarkStart w:id="247" w:name="_Toc32024"/>
      <w:bookmarkStart w:id="248" w:name="_Toc217446110"/>
      <w:r>
        <w:rPr>
          <w:rFonts w:hint="eastAsia" w:ascii="宋体" w:hAnsi="宋体" w:eastAsia="宋体" w:cs="宋体"/>
          <w:color w:val="000000" w:themeColor="text1"/>
          <w:sz w:val="24"/>
          <w:szCs w:val="24"/>
          <w:highlight w:val="none"/>
          <w14:textFill>
            <w14:solidFill>
              <w14:schemeClr w14:val="tx1"/>
            </w14:solidFill>
          </w14:textFill>
        </w:rPr>
        <w:t>四、交货及验收</w:t>
      </w:r>
      <w:bookmarkEnd w:id="246"/>
      <w:bookmarkEnd w:id="247"/>
      <w:bookmarkEnd w:id="248"/>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乙方交货期限为合同签订生效后的XX日内，在合同签订生效之日起XX天内交货到甲方指定地点，随即完成安装调试验收合格交付使用(如由于采购人的原因造成合同延迟签订或验收的，时间顺延)。交货验收时须提供产品质检部门从同类产品中抽样检查合格的检测报告。</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2、验收由甲方组织，乙方配合进行：</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 货物在乙方通知安装调试完毕后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日内初步验收。初步验收合格后，进入</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试用期；试用期间发生重大质量问题，修复后试用相应顺延；试用期结束后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日内完成最终验收；</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 如质量验收合格，双方签署质量验收报告。</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3、货物安装完成后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日内，甲方无故不进行验收工作并已使用货物的，视同已安装调试完成并验收合格。</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4、乙方应将所提供货物的装箱清单、配件、随机工具、用户使用手册、原厂保修卡等资料交付给甲方；乙方不能完整交付货物及本款规定的单证和工具的，必须负责补齐，否则视为未按合同约定交货。</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5、如货物经乙方</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次维修仍不能达到合同约定的质量标准，甲方有权退货，并视作乙方不能交付货物而须支付违约赔偿金给甲方，甲方还可依法追究乙方的违约责任。 </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6、其他未尽事宜应严格按照《财政部关于进一步加强政府采购需求和履约验收管理的指导意见》(财库〔2016〕205 号)的要求进行。</w:t>
      </w:r>
    </w:p>
    <w:p>
      <w:pPr>
        <w:pStyle w:val="5"/>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49" w:name="_Toc12337"/>
      <w:bookmarkStart w:id="250" w:name="_Toc1158"/>
      <w:bookmarkStart w:id="251" w:name="_Toc217446111"/>
      <w:r>
        <w:rPr>
          <w:rFonts w:hint="eastAsia" w:ascii="宋体" w:hAnsi="宋体" w:eastAsia="宋体" w:cs="宋体"/>
          <w:color w:val="000000" w:themeColor="text1"/>
          <w:sz w:val="24"/>
          <w:szCs w:val="24"/>
          <w:highlight w:val="none"/>
          <w14:textFill>
            <w14:solidFill>
              <w14:schemeClr w14:val="tx1"/>
            </w14:solidFill>
          </w14:textFill>
        </w:rPr>
        <w:t>五、付款方式</w:t>
      </w:r>
      <w:bookmarkEnd w:id="249"/>
      <w:bookmarkEnd w:id="250"/>
      <w:bookmarkEnd w:id="251"/>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（一）适用于无预付款采购项目</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1、全部货物安装调试完毕并验收合格之日起，甲方接到乙方通知与票据凭证资料以后的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日内，按照财政性资金支付有关规定，向乙方支付合同价款￥</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元，人民币大写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元整；</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2、履约保证金退还：在货物验收合格满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后，甲方接到乙方通知和支付凭证资料文件，以及由甲方确认本合同货物质量与服务等约定事项已经履行完毕的正式书面文件后的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日内，递交结算凭证资料给银行并由其向乙方支付价款￥</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 人民币大写：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元整；乙方履约不合格的，履约保证金不予退还。</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3、乙方须向甲方出具合法有效完整的完税发票及凭证资料进行支付结算。</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（二）适用于有预付款采购项目（预付款建议不超过政府采购合同金额的30%）</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1、甲方在本合同签订生效之日起接到乙方通知和票据凭证资料以及乙方交给甲方的合同履约保证金（按合同总价的百分之  计算款额￥</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元，人民币大写：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元整）后的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日内支付合同金额百分之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的价款；</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2、全部货物安装调试完毕并验收合格之日起，甲方接到乙方通知与票据凭证资料以后的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日内，提交支付凭证资料给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财政国库支付执行机构办理财政国库支付手续，并由其向乙方核拨合同总价的百分之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款项：￥</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元，人民币大写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元整；</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3、履约保证金退还：在货物验收合格满</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后，甲方接到乙方通知和支付凭证资料文件，以及由甲方确认本合同货物质量与服务等约定事项已经履行完毕的正式书面文件后的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日内，递交结算凭证资料给银行并由其向乙方支付价款￥</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 人民币大写：</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元整；乙方履约不合格的，履约保证金不予退还。</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4、乙方须向甲方出具合法有效完整的完税发票及凭证资料进行支付结算。</w:t>
      </w:r>
    </w:p>
    <w:p>
      <w:pPr>
        <w:pStyle w:val="5"/>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52" w:name="_Toc217446112"/>
      <w:bookmarkStart w:id="253" w:name="_Toc29950"/>
      <w:bookmarkStart w:id="254" w:name="_Toc4875"/>
      <w:r>
        <w:rPr>
          <w:rFonts w:hint="eastAsia" w:ascii="宋体" w:hAnsi="宋体" w:eastAsia="宋体" w:cs="宋体"/>
          <w:color w:val="000000" w:themeColor="text1"/>
          <w:sz w:val="24"/>
          <w:szCs w:val="24"/>
          <w:highlight w:val="none"/>
          <w14:textFill>
            <w14:solidFill>
              <w14:schemeClr w14:val="tx1"/>
            </w14:solidFill>
          </w14:textFill>
        </w:rPr>
        <w:t>六、售后服务</w:t>
      </w:r>
      <w:bookmarkEnd w:id="252"/>
      <w:bookmarkEnd w:id="253"/>
      <w:bookmarkEnd w:id="254"/>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1、质保期为验收合格后XX年，质保期内出现质量问题，乙方在接到通知后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小时内响应到场，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小时内完成维修或更换，并承担修理调换的费用；如货物经乙方</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次维修仍不能达到本合同约定的质量标准，视作乙方未能按时交货，甲方有权退货并追究乙方的违约责任。货到现场后由于甲方保管不当造成的问题，乙方亦应负责修复，但费用由甲方负担。</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2、乙方须指派专人负责与甲方联系售后服务事宜。 </w:t>
      </w:r>
    </w:p>
    <w:p>
      <w:pPr>
        <w:pStyle w:val="5"/>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55" w:name="_Toc217446113"/>
      <w:bookmarkStart w:id="256" w:name="_Toc29356"/>
      <w:bookmarkStart w:id="257" w:name="_Toc24003"/>
      <w:r>
        <w:rPr>
          <w:rFonts w:hint="eastAsia" w:ascii="宋体" w:hAnsi="宋体" w:eastAsia="宋体" w:cs="宋体"/>
          <w:color w:val="000000" w:themeColor="text1"/>
          <w:sz w:val="24"/>
          <w:szCs w:val="24"/>
          <w:highlight w:val="none"/>
          <w14:textFill>
            <w14:solidFill>
              <w14:schemeClr w14:val="tx1"/>
            </w14:solidFill>
          </w14:textFill>
        </w:rPr>
        <w:t>七、违约责任</w:t>
      </w:r>
      <w:bookmarkEnd w:id="255"/>
      <w:bookmarkEnd w:id="256"/>
      <w:bookmarkEnd w:id="257"/>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1、甲方违约责任</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 甲方无正当理由拒收货物的，甲方应偿付合同总价百分之  的违约金；</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 甲方逾期支付货款的，除应及时付足货款外，应向乙方偿付欠款总额万分之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/天的违约金；逾期付款超过</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天的，乙方有权终止合同；</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 甲方偿付的违约金不足以弥补乙方损失的，还应按乙方损失尚未弥补的部分，支付赔偿金给乙方。</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2、乙方违约责任</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（1）乙方交付的货物质量不符合合同规定的，乙方应向甲方支付合同总价的百分之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的违约金，并须在合同规定的交货时间内更换合格的货物给甲方，否则，视作乙方不能交付货物而违约，按本条本款下述第“（2）”项规定由乙方偿付违约赔偿金给甲方。</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（2）乙方不能交付货物或逾期交付货物而违约的，除应及时交足货物外，应向甲方偿付逾期交货部分货款总额的万分之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/天的违约金；逾期交货超过XX天，甲方有权终止合同，乙方则应按合同总价的百分之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的款额向甲方偿付赔偿金，并须全额退还甲方已经付给乙方的货款及其利息。</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（3）乙方货物经甲方送交具有法定资格条件的质量技术监督机构检测后，如检测结果认定货物质量不符合本合同规定标准的，则视为乙方没有按时交货而违约，乙方须在</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天内无条件更换合格的货物，如逾期不能更换合格的货物，甲方有权终止本合同，乙方应另付合同总价的百分之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的赔偿金给甲方。</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向甲方支付违约金并赔偿因此给甲方造成的一切损失。</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（5）乙方偿付的违约金不足以弥补甲方损失的，还应按甲方损失尚未弥补的部分，支付赔偿金给甲方。</w:t>
      </w:r>
    </w:p>
    <w:p>
      <w:pPr>
        <w:pStyle w:val="5"/>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58" w:name="_Toc18155"/>
      <w:bookmarkStart w:id="259" w:name="_Toc217446114"/>
      <w:bookmarkStart w:id="260" w:name="_Toc18842"/>
      <w:r>
        <w:rPr>
          <w:rFonts w:hint="eastAsia" w:ascii="宋体" w:hAnsi="宋体" w:eastAsia="宋体" w:cs="宋体"/>
          <w:color w:val="000000" w:themeColor="text1"/>
          <w:sz w:val="24"/>
          <w:szCs w:val="24"/>
          <w:highlight w:val="none"/>
          <w14:textFill>
            <w14:solidFill>
              <w14:schemeClr w14:val="tx1"/>
            </w14:solidFill>
          </w14:textFill>
        </w:rPr>
        <w:t>八、争议解决办法</w:t>
      </w:r>
      <w:bookmarkEnd w:id="258"/>
      <w:bookmarkEnd w:id="259"/>
      <w:bookmarkEnd w:id="260"/>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1、因货物的质量问题发生争议，由质量技术监督部门或其指定的质量鉴定机构进行质量鉴定。货物符合标准的，鉴定费由甲方承担；货物不符合质量标准的，鉴定费由乙方承担。</w:t>
      </w:r>
    </w:p>
    <w:p>
      <w:pPr>
        <w:pStyle w:val="62"/>
        <w:spacing w:line="440" w:lineRule="exact"/>
        <w:ind w:firstLine="480"/>
        <w:jc w:val="left"/>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2、合同履行期间,若双方发生争议，可协商或由有关部门调解解决，协商或调解不成的，由当事人依法维护其合法权益。</w:t>
      </w:r>
    </w:p>
    <w:p>
      <w:pPr>
        <w:pStyle w:val="5"/>
        <w:numPr>
          <w:ilvl w:val="0"/>
          <w:numId w:val="0"/>
        </w:numPr>
        <w:tabs>
          <w:tab w:val="left" w:pos="720"/>
        </w:tabs>
        <w:spacing w:before="0" w:after="0" w:line="440" w:lineRule="exact"/>
        <w:ind w:leftChars="200"/>
        <w:jc w:val="left"/>
        <w:outlineLvl w:val="0"/>
        <w:rPr>
          <w:rFonts w:hint="eastAsia" w:ascii="宋体" w:hAnsi="宋体" w:eastAsia="宋体" w:cs="宋体"/>
          <w:color w:val="000000" w:themeColor="text1"/>
          <w:sz w:val="24"/>
          <w:szCs w:val="24"/>
          <w:highlight w:val="none"/>
          <w14:textFill>
            <w14:solidFill>
              <w14:schemeClr w14:val="tx1"/>
            </w14:solidFill>
          </w14:textFill>
        </w:rPr>
      </w:pPr>
      <w:bookmarkStart w:id="261" w:name="_Toc3510"/>
      <w:bookmarkStart w:id="262" w:name="_Toc21902"/>
      <w:bookmarkStart w:id="263" w:name="_Toc217446115"/>
      <w:r>
        <w:rPr>
          <w:rFonts w:hint="eastAsia" w:ascii="宋体" w:hAnsi="宋体" w:eastAsia="宋体" w:cs="宋体"/>
          <w:color w:val="000000" w:themeColor="text1"/>
          <w:sz w:val="24"/>
          <w:szCs w:val="24"/>
          <w:highlight w:val="none"/>
          <w14:textFill>
            <w14:solidFill>
              <w14:schemeClr w14:val="tx1"/>
            </w14:solidFill>
          </w14:textFill>
        </w:rPr>
        <w:t>九、其他</w:t>
      </w:r>
      <w:bookmarkEnd w:id="261"/>
      <w:bookmarkEnd w:id="262"/>
      <w:bookmarkEnd w:id="263"/>
    </w:p>
    <w:p>
      <w:pPr>
        <w:pStyle w:val="62"/>
        <w:spacing w:line="440" w:lineRule="exact"/>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1、如有未尽事宜，由双方依法订立补充合同。</w:t>
      </w:r>
    </w:p>
    <w:p>
      <w:pPr>
        <w:pStyle w:val="62"/>
        <w:spacing w:line="440" w:lineRule="exact"/>
        <w:ind w:firstLine="48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2、本合同一式六份，自双方签章之日起生效。甲方三份，乙方、管理部门、采购代理机构各一份。</w:t>
      </w:r>
    </w:p>
    <w:p>
      <w:pPr>
        <w:spacing w:line="440" w:lineRule="exact"/>
        <w:rPr>
          <w:rFonts w:hint="eastAsia" w:ascii="宋体" w:hAnsi="宋体" w:eastAsia="宋体" w:cs="宋体"/>
          <w:color w:val="000000" w:themeColor="text1"/>
          <w:sz w:val="24"/>
          <w:szCs w:val="24"/>
          <w:highlight w:val="none"/>
          <w14:textFill>
            <w14:solidFill>
              <w14:schemeClr w14:val="tx1"/>
            </w14:solidFill>
          </w14:textFill>
        </w:rPr>
      </w:pP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甲方：   （盖章）   </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 xml:space="preserve">       乙方：   （盖章）</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法定代表人（授权代表）：           法定代表人（授权代表）：</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地    址：                         地    址：</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开户银行：                         开户银行：</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账号：                             账号：</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电    话：                         电    话：</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传    真：                         传    真：</w:t>
      </w:r>
    </w:p>
    <w:p>
      <w:pPr>
        <w:spacing w:line="440" w:lineRule="exact"/>
        <w:ind w:firstLine="49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签约日期：XX年XX月XX日 </w:t>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ab/>
      </w:r>
      <w:r>
        <w:rPr>
          <w:rFonts w:hint="eastAsia" w:ascii="宋体" w:hAnsi="宋体" w:eastAsia="宋体" w:cs="宋体"/>
          <w:color w:val="000000" w:themeColor="text1"/>
          <w:sz w:val="24"/>
          <w:szCs w:val="24"/>
          <w:highlight w:val="none"/>
          <w14:textFill>
            <w14:solidFill>
              <w14:schemeClr w14:val="tx1"/>
            </w14:solidFill>
          </w14:textFill>
        </w:rPr>
        <w:t xml:space="preserve">   签约日期：XX年XX月XX日</w:t>
      </w:r>
    </w:p>
    <w:p>
      <w:pPr>
        <w:spacing w:line="400" w:lineRule="exact"/>
        <w:ind w:firstLine="490" w:firstLineChars="200"/>
        <w:rPr>
          <w:rFonts w:hint="eastAsia" w:ascii="宋体" w:hAnsi="宋体" w:eastAsia="宋体" w:cs="宋体"/>
          <w:b/>
          <w:bCs/>
          <w:color w:val="000000" w:themeColor="text1"/>
          <w:sz w:val="24"/>
          <w:szCs w:val="24"/>
          <w:highlight w:val="none"/>
          <w14:textFill>
            <w14:solidFill>
              <w14:schemeClr w14:val="tx1"/>
            </w14:solidFill>
          </w14:textFill>
        </w:rPr>
      </w:pPr>
    </w:p>
    <w:p>
      <w:pPr>
        <w:spacing w:line="400" w:lineRule="exact"/>
        <w:ind w:firstLine="490" w:firstLineChars="200"/>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注：合同条款可根据采购人及</w:t>
      </w:r>
      <w:r>
        <w:rPr>
          <w:rFonts w:hint="eastAsia" w:ascii="宋体" w:hAnsi="宋体" w:eastAsia="宋体" w:cs="宋体"/>
          <w:b/>
          <w:bCs/>
          <w:color w:val="000000" w:themeColor="text1"/>
          <w:sz w:val="24"/>
          <w:szCs w:val="24"/>
          <w:highlight w:val="none"/>
          <w:lang w:eastAsia="zh-CN"/>
          <w14:textFill>
            <w14:solidFill>
              <w14:schemeClr w14:val="tx1"/>
            </w14:solidFill>
          </w14:textFill>
        </w:rPr>
        <w:t>成交供应商</w:t>
      </w:r>
      <w:r>
        <w:rPr>
          <w:rFonts w:hint="eastAsia" w:ascii="宋体" w:hAnsi="宋体" w:eastAsia="宋体" w:cs="宋体"/>
          <w:b/>
          <w:bCs/>
          <w:color w:val="000000" w:themeColor="text1"/>
          <w:sz w:val="24"/>
          <w:szCs w:val="24"/>
          <w:highlight w:val="none"/>
          <w14:textFill>
            <w14:solidFill>
              <w14:schemeClr w14:val="tx1"/>
            </w14:solidFill>
          </w14:textFill>
        </w:rPr>
        <w:t>签订合同时的实际情况进行修改调整。</w:t>
      </w:r>
    </w:p>
    <w:p>
      <w:pPr>
        <w:spacing w:line="0" w:lineRule="atLeast"/>
        <w:ind w:firstLine="245" w:firstLineChars="100"/>
        <w:outlineLvl w:val="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br w:type="page"/>
      </w:r>
      <w:bookmarkStart w:id="264" w:name="_Toc21341"/>
      <w:bookmarkStart w:id="265" w:name="_Toc353"/>
      <w:bookmarkStart w:id="266" w:name="_Toc579"/>
      <w:r>
        <w:rPr>
          <w:rFonts w:hint="eastAsia" w:ascii="宋体" w:hAnsi="宋体" w:eastAsia="宋体" w:cs="宋体"/>
          <w:color w:val="000000" w:themeColor="text1"/>
          <w:sz w:val="24"/>
          <w:highlight w:val="none"/>
          <w14:textFill>
            <w14:solidFill>
              <w14:schemeClr w14:val="tx1"/>
            </w14:solidFill>
          </w14:textFill>
        </w:rPr>
        <w:t>附件</w:t>
      </w:r>
      <w:bookmarkEnd w:id="264"/>
      <w:bookmarkEnd w:id="265"/>
      <w:bookmarkEnd w:id="266"/>
    </w:p>
    <w:p>
      <w:pPr>
        <w:spacing w:line="200" w:lineRule="exact"/>
        <w:rPr>
          <w:rFonts w:hint="eastAsia" w:ascii="宋体" w:hAnsi="宋体" w:eastAsia="宋体" w:cs="宋体"/>
          <w:color w:val="000000" w:themeColor="text1"/>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成都市中小企业政府采购信用融资暂行办法</w:t>
      </w:r>
    </w:p>
    <w:p>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第一章 总 则</w:t>
      </w:r>
    </w:p>
    <w:p>
      <w:pPr>
        <w:spacing w:line="0" w:lineRule="atLeast"/>
        <w:ind w:left="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第一条（政策依据）</w:t>
      </w:r>
    </w:p>
    <w:p>
      <w:pPr>
        <w:spacing w:line="376"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川财采〔2016〕35 号）和《四川省财政厅关于推进四川省政府采购供应商信用融资工作的通知》（川财采〔2018〕123 号）有关精神，结合我市实际，制定本办法。</w:t>
      </w:r>
    </w:p>
    <w:p>
      <w:pPr>
        <w:spacing w:line="0" w:lineRule="atLeast"/>
        <w:ind w:left="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第二条（适用范围）</w:t>
      </w:r>
    </w:p>
    <w:p>
      <w:pPr>
        <w:spacing w:line="352"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成都市行政区域内政府采购信用融资适用本办法。</w:t>
      </w:r>
    </w:p>
    <w:p>
      <w:pPr>
        <w:spacing w:line="352"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第三条（术语定义）</w:t>
      </w:r>
    </w:p>
    <w:p>
      <w:pPr>
        <w:spacing w:line="352" w:lineRule="auto"/>
        <w:ind w:right="12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本办法所称政府采购信用融资，是指融资机构以信用审查为基础，依据政府采购合同，按相应的优惠政策向申请融资的中小企业（以下简称供应商）提供资金支持的融资模式。</w:t>
      </w:r>
    </w:p>
    <w:p>
      <w:pPr>
        <w:spacing w:line="352" w:lineRule="auto"/>
        <w:ind w:right="12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本办法所称融资机构，是指在成都市属地注册或设立分支机构，有意向按照本办法开展政府采购信用融资业务，经同级财政部门确定的银行机构。</w:t>
      </w:r>
    </w:p>
    <w:p>
      <w:pPr>
        <w:spacing w:line="355" w:lineRule="auto"/>
        <w:ind w:left="480" w:right="2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本办法所称中小企业，包括中型、小型及微型企业，其划型标准按照国家相关规定执行。第四条（基本原则）</w:t>
      </w:r>
    </w:p>
    <w:p>
      <w:pPr>
        <w:spacing w:line="352" w:lineRule="auto"/>
        <w:ind w:right="12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政府采购信用融资工作坚持政府引导、市场主导，自愿选择、自担风险，诚实信用、互惠共赢的原则，切实发挥市场在资源配置中的决定性作用。</w:t>
      </w:r>
    </w:p>
    <w:p>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第二章</w:t>
      </w:r>
      <w:r>
        <w:rPr>
          <w:rFonts w:hint="eastAsia" w:ascii="宋体" w:hAnsi="宋体" w:eastAsia="宋体" w:cs="宋体"/>
          <w:b/>
          <w:color w:val="000000" w:themeColor="text1"/>
          <w:sz w:val="24"/>
          <w:highlight w:val="none"/>
          <w14:textFill>
            <w14:solidFill>
              <w14:schemeClr w14:val="tx1"/>
            </w14:solidFill>
          </w14:textFill>
        </w:rPr>
        <w:tab/>
      </w:r>
      <w:r>
        <w:rPr>
          <w:rFonts w:hint="eastAsia" w:ascii="宋体" w:hAnsi="宋体" w:eastAsia="宋体" w:cs="宋体"/>
          <w:b/>
          <w:color w:val="000000" w:themeColor="text1"/>
          <w:sz w:val="24"/>
          <w:highlight w:val="none"/>
          <w14:textFill>
            <w14:solidFill>
              <w14:schemeClr w14:val="tx1"/>
            </w14:solidFill>
          </w14:textFill>
        </w:rPr>
        <w:t>融资优惠</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第五条（融资方式）</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供应商无需提供财产抵押或第三方担保，凭借政府采购合同向融资机构申请融资，融资机构根据其授信政策为供应商提供信用贷款。</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第六条（融资额度）</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融资额度原则上不超过政府采购合同金额。第七条（融资利率）</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融资机构向供应商提供融资的利率应低于同期一般中小企业的贷款利率。融资利率上浮比例原则上不超过中国人民银行公布的同期贷款基准利率的 30%。</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第八条（融资期限）</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融资期限原则上与政府采购合同履行期限一致。</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第九条（融资效率）</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融资机构应当建立政府采购信用融资绿色通道，配备专业人员定向服务，简化融资审批程序。对申报材料齐全完备的供应商，原则上应在 5 个工作日内完成审批，对审批通过且具备放款条件的供应商，原则上应在 5 个工作日内完成放款。</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第十条（融资业务升级）</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对履约记录良好、诚信资质高的供应商，融资机构应当在授信额度、融资审查、融资利率等方面给予更大支持，促进供应商依法诚信经营。</w:t>
      </w:r>
    </w:p>
    <w:p>
      <w:pPr>
        <w:spacing w:line="355" w:lineRule="auto"/>
        <w:ind w:right="120"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第十一条（贷款风险补贴）</w:t>
      </w:r>
    </w:p>
    <w:p>
      <w:pPr>
        <w:spacing w:line="355" w:lineRule="auto"/>
        <w:ind w:right="120"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对银行业金融机构向小微企业发放的贷款（无需抵押、质押或担保的贷款）损失，财政部门按最高不超过年度新增损失类贷款额的 60%予以风险补贴，具体分担比例由各地根据金融机构小微企业贷款发放总量、损失情况、财力状况等因素综合确定。</w:t>
      </w:r>
    </w:p>
    <w:p>
      <w:pPr>
        <w:spacing w:line="360" w:lineRule="auto"/>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第三章</w:t>
      </w:r>
      <w:r>
        <w:rPr>
          <w:rFonts w:hint="eastAsia" w:ascii="宋体" w:hAnsi="宋体" w:eastAsia="宋体" w:cs="宋体"/>
          <w:b/>
          <w:color w:val="000000" w:themeColor="text1"/>
          <w:sz w:val="24"/>
          <w:highlight w:val="none"/>
          <w14:textFill>
            <w14:solidFill>
              <w14:schemeClr w14:val="tx1"/>
            </w14:solidFill>
          </w14:textFill>
        </w:rPr>
        <w:tab/>
      </w:r>
      <w:r>
        <w:rPr>
          <w:rFonts w:hint="eastAsia" w:ascii="宋体" w:hAnsi="宋体" w:eastAsia="宋体" w:cs="宋体"/>
          <w:b/>
          <w:color w:val="000000" w:themeColor="text1"/>
          <w:sz w:val="24"/>
          <w:highlight w:val="none"/>
          <w14:textFill>
            <w14:solidFill>
              <w14:schemeClr w14:val="tx1"/>
            </w14:solidFill>
          </w14:textFill>
        </w:rPr>
        <w:t>融资流程</w:t>
      </w:r>
    </w:p>
    <w:p>
      <w:pPr>
        <w:spacing w:line="0" w:lineRule="atLeast"/>
        <w:ind w:left="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第十二条（融资流程）</w:t>
      </w:r>
    </w:p>
    <w:p>
      <w:pPr>
        <w:spacing w:line="355"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（一）信息发布。采购人应当在发布的采购公告和采购文件中载明采购项目可提供信用融资的信息。</w:t>
      </w:r>
    </w:p>
    <w:p>
      <w:pPr>
        <w:spacing w:line="352"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（二）融资申请。有融资需求的供应商自主选择提供政府采购信用融资服务的融资机构及产品，并按要求提供申请资料。</w:t>
      </w:r>
    </w:p>
    <w:p>
      <w:pPr>
        <w:spacing w:line="352"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（三）融资审查。融资机构对供应商的融资申请进行审查，并向供应商反馈审查及融资额度等情况。</w:t>
      </w:r>
    </w:p>
    <w:p>
      <w:pPr>
        <w:spacing w:line="355"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（四）账户确认。供应商须在合作融资机构开立结算账户，并与采购人在政府采购合同中或通过签订补充协议的方式约定唯一收款账户，融资机构对唯一收款账户进行确认和锁定。</w:t>
      </w:r>
    </w:p>
    <w:p>
      <w:pPr>
        <w:spacing w:line="352"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（五）放款。融资机构对政府采购合同及融资相关信息进行确认，并向供应商提供相应的融资产品。</w:t>
      </w:r>
    </w:p>
    <w:p>
      <w:pPr>
        <w:spacing w:line="352" w:lineRule="auto"/>
        <w:ind w:left="4160" w:right="140" w:hanging="367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（六）贷款归还。采购人按相关规定和合同约定将合同资金支付至约定的唯一收款账户。</w:t>
      </w:r>
      <w:r>
        <w:rPr>
          <w:rFonts w:hint="eastAsia" w:ascii="宋体" w:hAnsi="宋体" w:eastAsia="宋体" w:cs="宋体"/>
          <w:b/>
          <w:color w:val="000000" w:themeColor="text1"/>
          <w:sz w:val="24"/>
          <w:highlight w:val="none"/>
          <w14:textFill>
            <w14:solidFill>
              <w14:schemeClr w14:val="tx1"/>
            </w14:solidFill>
          </w14:textFill>
        </w:rPr>
        <w:t>第四章 职责分工</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第十三条（财政部门职责）</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牵头政府采购信用融资工作，做好政策引导和支持协调，为开展政府采购信用融资提供便利。向融资机构提供相关必要信息，推进政府采购成交（成交）信息、合同信息、融资信息和信用信息等信息资源共享。适时调整开展政府采购信用融资业务的融资机构名单。但在政府采购信用融资工作中，财政部门不得提供任何形式的担保和承诺。</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第十四条（融资机构主管部门职责）</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引导融资机构依法依规开展政府采购信用融资。推动成都市政府采购监督管理系统与中征应收账款融资服务平台直联，实现政府采购信用融资线上办理，加强与财政部门的信息共享。</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第十五条（采购人职责）</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第十六条（融资机构职责）</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第十七条（供应商职责）</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依法诚信参与政府采购活动，严格遵守国家法律、法规和政府采购合同约定，对投标（响应）文件的真实性和相关承诺承担法律责任。真实、完整、准确地向融资机构提供信用融资审查所需相关资料。遵照融资约定及时还本付息。</w:t>
      </w:r>
    </w:p>
    <w:p>
      <w:pPr>
        <w:spacing w:line="33" w:lineRule="exact"/>
        <w:rPr>
          <w:rFonts w:hint="eastAsia" w:ascii="宋体" w:hAnsi="宋体" w:eastAsia="宋体" w:cs="宋体"/>
          <w:color w:val="000000" w:themeColor="text1"/>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第五章 监督管理</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第十八条（采购人监管）</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采购人不执行政府采购信用融资政策，或不正当干预供应商选择合作融资机构，或无故拖延和拒付采购资金的，财政部门视情节进行约谈、通报直至暂停拨付财政资金。</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第十九条（融资机构监管）</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融资机构违反规定开展政府采购信用融资业务，对政府采购造成负面影响的，财政部门视情节取消其参与政府采购信用融资的业务权限。</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第二十条（供应商监管）</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供应商弄虚作假或以伪造政府采购合同等方式违规获取政府采购信用融资，或不按约定按时还款付息的，融资机构依法追究相关责任。财政部门将其纳入“不具备《政府采购法》第二十二条第一款第（二）项规定的具有良好的商业信誉条件”名单并予以公示。</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第二十一条（相关单位及工作人员监管）</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各相关单位及其工作人员在履行职责中存在滥用职权、玩忽职守、徇私舞弊等违法违纪行为的，依照有关规定处理，涉嫌犯罪的，移送司法机关处理。</w:t>
      </w:r>
    </w:p>
    <w:p>
      <w:pPr>
        <w:spacing w:line="37" w:lineRule="exact"/>
        <w:rPr>
          <w:rFonts w:hint="eastAsia" w:ascii="宋体" w:hAnsi="宋体" w:eastAsia="宋体" w:cs="宋体"/>
          <w:color w:val="000000" w:themeColor="text1"/>
          <w:highlight w:val="none"/>
          <w14:textFill>
            <w14:solidFill>
              <w14:schemeClr w14:val="tx1"/>
            </w14:solidFill>
          </w14:textFill>
        </w:rPr>
      </w:pPr>
    </w:p>
    <w:p>
      <w:pPr>
        <w:spacing w:line="360" w:lineRule="auto"/>
        <w:jc w:val="center"/>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第六章</w:t>
      </w:r>
      <w:r>
        <w:rPr>
          <w:rFonts w:hint="eastAsia" w:ascii="宋体" w:hAnsi="宋体" w:eastAsia="宋体" w:cs="宋体"/>
          <w:b/>
          <w:color w:val="000000" w:themeColor="text1"/>
          <w:sz w:val="24"/>
          <w:highlight w:val="none"/>
          <w14:textFill>
            <w14:solidFill>
              <w14:schemeClr w14:val="tx1"/>
            </w14:solidFill>
          </w14:textFill>
        </w:rPr>
        <w:tab/>
      </w:r>
      <w:r>
        <w:rPr>
          <w:rFonts w:hint="eastAsia" w:ascii="宋体" w:hAnsi="宋体" w:eastAsia="宋体" w:cs="宋体"/>
          <w:b/>
          <w:color w:val="000000" w:themeColor="text1"/>
          <w:sz w:val="24"/>
          <w:highlight w:val="none"/>
          <w14:textFill>
            <w14:solidFill>
              <w14:schemeClr w14:val="tx1"/>
            </w14:solidFill>
          </w14:textFill>
        </w:rPr>
        <w:t>附</w:t>
      </w:r>
      <w:r>
        <w:rPr>
          <w:rFonts w:hint="eastAsia" w:ascii="宋体" w:hAnsi="宋体" w:eastAsia="宋体" w:cs="宋体"/>
          <w:b/>
          <w:color w:val="000000" w:themeColor="text1"/>
          <w:sz w:val="24"/>
          <w:highlight w:val="none"/>
          <w14:textFill>
            <w14:solidFill>
              <w14:schemeClr w14:val="tx1"/>
            </w14:solidFill>
          </w14:textFill>
        </w:rPr>
        <w:tab/>
      </w:r>
      <w:r>
        <w:rPr>
          <w:rFonts w:hint="eastAsia" w:ascii="宋体" w:hAnsi="宋体" w:eastAsia="宋体" w:cs="宋体"/>
          <w:b/>
          <w:color w:val="000000" w:themeColor="text1"/>
          <w:sz w:val="24"/>
          <w:highlight w:val="none"/>
          <w14:textFill>
            <w14:solidFill>
              <w14:schemeClr w14:val="tx1"/>
            </w14:solidFill>
          </w14:textFill>
        </w:rPr>
        <w:t>则</w:t>
      </w:r>
    </w:p>
    <w:p>
      <w:pPr>
        <w:spacing w:line="200" w:lineRule="exact"/>
        <w:rPr>
          <w:rFonts w:hint="eastAsia" w:ascii="宋体" w:hAnsi="宋体" w:eastAsia="宋体" w:cs="宋体"/>
          <w:color w:val="000000" w:themeColor="text1"/>
          <w:highlight w:val="none"/>
          <w14:textFill>
            <w14:solidFill>
              <w14:schemeClr w14:val="tx1"/>
            </w14:solidFill>
          </w14:textFill>
        </w:rPr>
      </w:pPr>
    </w:p>
    <w:p>
      <w:pPr>
        <w:spacing w:line="114" w:lineRule="exact"/>
        <w:rPr>
          <w:rFonts w:hint="eastAsia" w:ascii="宋体" w:hAnsi="宋体" w:eastAsia="宋体" w:cs="宋体"/>
          <w:color w:val="000000" w:themeColor="text1"/>
          <w:highlight w:val="none"/>
          <w14:textFill>
            <w14:solidFill>
              <w14:schemeClr w14:val="tx1"/>
            </w14:solidFill>
          </w14:textFill>
        </w:rPr>
      </w:pP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第二十二条（解释相关）</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本办法由市财政局会同中国人民银行成都分行营业管理部负责解释。</w:t>
      </w:r>
    </w:p>
    <w:p>
      <w:pPr>
        <w:spacing w:line="352" w:lineRule="auto"/>
        <w:ind w:firstLine="480"/>
        <w:rPr>
          <w:rFonts w:hint="eastAsia" w:ascii="宋体" w:hAnsi="宋体" w:eastAsia="宋体" w:cs="宋体"/>
          <w:color w:val="000000" w:themeColor="text1"/>
          <w:sz w:val="24"/>
          <w:highlight w:val="none"/>
          <w14:textFill>
            <w14:solidFill>
              <w14:schemeClr w14:val="tx1"/>
            </w14:solidFill>
          </w14:textFill>
        </w:rPr>
      </w:pPr>
      <w:r>
        <w:rPr>
          <w:rFonts w:hint="eastAsia" w:ascii="宋体" w:hAnsi="宋体" w:eastAsia="宋体" w:cs="宋体"/>
          <w:color w:val="000000" w:themeColor="text1"/>
          <w:sz w:val="24"/>
          <w:highlight w:val="none"/>
          <w14:textFill>
            <w14:solidFill>
              <w14:schemeClr w14:val="tx1"/>
            </w14:solidFill>
          </w14:textFill>
        </w:rPr>
        <w:t>第二十三条（施行相关）本办法自印发之日起施行。市财政局、市金融办2013年12月9日印发的《关于开展中小企业政府采购信用担保及融资试点工作的通知》（成财采〔2013〕200 号）同时废止。</w:t>
      </w:r>
    </w:p>
    <w:p>
      <w:pPr>
        <w:numPr>
          <w:ilvl w:val="255"/>
          <w:numId w:val="0"/>
        </w:numPr>
        <w:spacing w:line="400" w:lineRule="exact"/>
        <w:rPr>
          <w:rFonts w:hint="eastAsia" w:ascii="宋体" w:hAnsi="宋体" w:eastAsia="宋体" w:cs="宋体"/>
          <w:color w:val="000000" w:themeColor="text1"/>
          <w:sz w:val="24"/>
          <w:highlight w:val="none"/>
          <w14:textFill>
            <w14:solidFill>
              <w14:schemeClr w14:val="tx1"/>
            </w14:solidFill>
          </w14:textFill>
        </w:rPr>
      </w:pPr>
    </w:p>
    <w:p>
      <w:pPr>
        <w:spacing w:line="400" w:lineRule="exact"/>
        <w:rPr>
          <w:rFonts w:hint="eastAsia" w:ascii="宋体" w:hAnsi="宋体" w:eastAsia="宋体" w:cs="宋体"/>
          <w:color w:val="000000" w:themeColor="text1"/>
          <w:highlight w:val="none"/>
          <w14:textFill>
            <w14:solidFill>
              <w14:schemeClr w14:val="tx1"/>
            </w14:solidFill>
          </w14:textFill>
        </w:rPr>
      </w:pPr>
    </w:p>
    <w:p>
      <w:pPr>
        <w:pStyle w:val="5"/>
        <w:keepNext w:val="0"/>
        <w:keepLines w:val="0"/>
        <w:spacing w:before="0" w:after="0" w:line="400" w:lineRule="exact"/>
        <w:rPr>
          <w:rFonts w:hint="eastAsia" w:ascii="宋体" w:hAnsi="宋体" w:eastAsia="宋体" w:cs="宋体"/>
          <w:color w:val="000000" w:themeColor="text1"/>
          <w:highlight w:val="none"/>
          <w14:textFill>
            <w14:solidFill>
              <w14:schemeClr w14:val="tx1"/>
            </w14:solidFill>
          </w14:textFill>
        </w:rPr>
        <w:sectPr>
          <w:footerReference r:id="rId19" w:type="default"/>
          <w:pgSz w:w="11849" w:h="16781"/>
          <w:pgMar w:top="1440" w:right="1440" w:bottom="1440" w:left="1440" w:header="851" w:footer="992" w:gutter="0"/>
          <w:pgNumType w:fmt="numberInDash"/>
          <w:cols w:space="720" w:num="1"/>
          <w:titlePg/>
          <w:docGrid w:type="linesAndChars" w:linePitch="312" w:charSpace="1060"/>
        </w:sectPr>
      </w:pPr>
    </w:p>
    <w:p>
      <w:pPr>
        <w:spacing w:before="32"/>
        <w:ind w:left="0" w:leftChars="0" w:right="10" w:rightChars="0" w:firstLine="0" w:firstLineChars="0"/>
        <w:jc w:val="center"/>
        <w:rPr>
          <w:rFonts w:hint="eastAsia" w:eastAsia="宋体"/>
          <w:b/>
          <w:color w:val="000000" w:themeColor="text1"/>
          <w:sz w:val="44"/>
          <w:highlight w:val="none"/>
          <w:lang w:eastAsia="zh-CN"/>
          <w14:textFill>
            <w14:solidFill>
              <w14:schemeClr w14:val="tx1"/>
            </w14:solidFill>
          </w14:textFill>
        </w:rPr>
        <w:sectPr>
          <w:pgSz w:w="11910" w:h="16840"/>
          <w:pgMar w:top="1440" w:right="1440" w:bottom="1440" w:left="1440" w:header="720" w:footer="720" w:gutter="0"/>
          <w:pgNumType w:fmt="numberInDash"/>
          <w:cols w:space="720" w:num="1"/>
        </w:sectPr>
      </w:pP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751195" cy="8478520"/>
            <wp:effectExtent l="0" t="0" r="1905" b="17780"/>
            <wp:docPr id="17" name="图片 17" descr="节能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节能产品政府采购品目清单_00"/>
                    <pic:cNvPicPr>
                      <a:picLocks noChangeAspect="1"/>
                    </pic:cNvPicPr>
                  </pic:nvPicPr>
                  <pic:blipFill>
                    <a:blip r:embed="rId21"/>
                    <a:srcRect l="10967" t="7713" r="11632" b="11629"/>
                    <a:stretch>
                      <a:fillRect/>
                    </a:stretch>
                  </pic:blipFill>
                  <pic:spPr>
                    <a:xfrm>
                      <a:off x="0" y="0"/>
                      <a:ext cx="5751195" cy="847852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600700" cy="8755380"/>
            <wp:effectExtent l="0" t="0" r="0" b="7620"/>
            <wp:docPr id="18" name="图片 18" descr="节能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节能产品政府采购品目清单_01"/>
                    <pic:cNvPicPr>
                      <a:picLocks noChangeAspect="1"/>
                    </pic:cNvPicPr>
                  </pic:nvPicPr>
                  <pic:blipFill>
                    <a:blip r:embed="rId22"/>
                    <a:srcRect l="13127" t="7283" r="12629" b="10689"/>
                    <a:stretch>
                      <a:fillRect/>
                    </a:stretch>
                  </pic:blipFill>
                  <pic:spPr>
                    <a:xfrm>
                      <a:off x="0" y="0"/>
                      <a:ext cx="5600700" cy="875538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699125" cy="8660765"/>
            <wp:effectExtent l="0" t="0" r="15875" b="6985"/>
            <wp:docPr id="19" name="图片 19" descr="节能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节能产品政府采购品目清单_02"/>
                    <pic:cNvPicPr>
                      <a:picLocks noChangeAspect="1"/>
                    </pic:cNvPicPr>
                  </pic:nvPicPr>
                  <pic:blipFill>
                    <a:blip r:embed="rId23"/>
                    <a:srcRect l="12961" t="7400" r="12961" b="13038"/>
                    <a:stretch>
                      <a:fillRect/>
                    </a:stretch>
                  </pic:blipFill>
                  <pic:spPr>
                    <a:xfrm>
                      <a:off x="0" y="0"/>
                      <a:ext cx="5699125" cy="8660765"/>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546725" cy="3377565"/>
            <wp:effectExtent l="0" t="0" r="15875" b="13335"/>
            <wp:docPr id="20" name="图片 20" descr="节能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节能产品政府采购品目清单_03"/>
                    <pic:cNvPicPr>
                      <a:picLocks noChangeAspect="1"/>
                    </pic:cNvPicPr>
                  </pic:nvPicPr>
                  <pic:blipFill>
                    <a:blip r:embed="rId24"/>
                    <a:srcRect l="12795" t="7244" r="12795" b="60728"/>
                    <a:stretch>
                      <a:fillRect/>
                    </a:stretch>
                  </pic:blipFill>
                  <pic:spPr>
                    <a:xfrm>
                      <a:off x="0" y="0"/>
                      <a:ext cx="5546725" cy="3377565"/>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674360" cy="7774940"/>
            <wp:effectExtent l="0" t="0" r="2540" b="16510"/>
            <wp:docPr id="21" name="图片 21" descr="环境标志产品政府采购品目清单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环境标志产品政府采购品目清单_00"/>
                    <pic:cNvPicPr>
                      <a:picLocks noChangeAspect="1"/>
                    </pic:cNvPicPr>
                  </pic:nvPicPr>
                  <pic:blipFill>
                    <a:blip r:embed="rId25"/>
                    <a:srcRect l="3822" t="6421" r="4154" b="4464"/>
                    <a:stretch>
                      <a:fillRect/>
                    </a:stretch>
                  </pic:blipFill>
                  <pic:spPr>
                    <a:xfrm>
                      <a:off x="0" y="0"/>
                      <a:ext cx="5674360" cy="777494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717540" cy="7061200"/>
            <wp:effectExtent l="0" t="0" r="16510" b="6350"/>
            <wp:docPr id="22" name="图片 22" descr="环境标志产品政府采购品目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环境标志产品政府采购品目清单_01"/>
                    <pic:cNvPicPr>
                      <a:picLocks noChangeAspect="1"/>
                    </pic:cNvPicPr>
                  </pic:nvPicPr>
                  <pic:blipFill>
                    <a:blip r:embed="rId26"/>
                    <a:srcRect l="3490" t="7753" r="3490" b="11042"/>
                    <a:stretch>
                      <a:fillRect/>
                    </a:stretch>
                  </pic:blipFill>
                  <pic:spPr>
                    <a:xfrm>
                      <a:off x="0" y="0"/>
                      <a:ext cx="5717540" cy="706120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702935" cy="7463790"/>
            <wp:effectExtent l="0" t="0" r="12065" b="3810"/>
            <wp:docPr id="23" name="图片 23" descr="环境标志产品政府采购品目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环境标志产品政府采购品目清单_02"/>
                    <pic:cNvPicPr>
                      <a:picLocks noChangeAspect="1"/>
                    </pic:cNvPicPr>
                  </pic:nvPicPr>
                  <pic:blipFill>
                    <a:blip r:embed="rId27"/>
                    <a:srcRect l="4897" t="7796" r="4447" b="8340"/>
                    <a:stretch>
                      <a:fillRect/>
                    </a:stretch>
                  </pic:blipFill>
                  <pic:spPr>
                    <a:xfrm>
                      <a:off x="0" y="0"/>
                      <a:ext cx="5702935" cy="7463790"/>
                    </a:xfrm>
                    <a:prstGeom prst="rect">
                      <a:avLst/>
                    </a:prstGeom>
                  </pic:spPr>
                </pic:pic>
              </a:graphicData>
            </a:graphic>
          </wp:inline>
        </w:drawing>
      </w:r>
      <w:r>
        <w:rPr>
          <w:rFonts w:hint="eastAsia" w:eastAsia="宋体"/>
          <w:b/>
          <w:color w:val="000000" w:themeColor="text1"/>
          <w:sz w:val="44"/>
          <w:highlight w:val="none"/>
          <w:lang w:eastAsia="zh-CN"/>
          <w14:textFill>
            <w14:solidFill>
              <w14:schemeClr w14:val="tx1"/>
            </w14:solidFill>
          </w14:textFill>
        </w:rPr>
        <w:drawing>
          <wp:inline distT="0" distB="0" distL="114300" distR="114300">
            <wp:extent cx="5782310" cy="3530600"/>
            <wp:effectExtent l="0" t="0" r="8890" b="12700"/>
            <wp:docPr id="24" name="图片 24" descr="环境标志产品政府采购品目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环境标志产品政府采购品目清单_03"/>
                    <pic:cNvPicPr>
                      <a:picLocks noChangeAspect="1"/>
                    </pic:cNvPicPr>
                  </pic:nvPicPr>
                  <pic:blipFill>
                    <a:blip r:embed="rId28"/>
                    <a:srcRect l="4601" t="7478" r="4320" b="53211"/>
                    <a:stretch>
                      <a:fillRect/>
                    </a:stretch>
                  </pic:blipFill>
                  <pic:spPr>
                    <a:xfrm>
                      <a:off x="0" y="0"/>
                      <a:ext cx="5782310" cy="3530600"/>
                    </a:xfrm>
                    <a:prstGeom prst="rect">
                      <a:avLst/>
                    </a:prstGeom>
                  </pic:spPr>
                </pic:pic>
              </a:graphicData>
            </a:graphic>
          </wp:inline>
        </w:drawing>
      </w:r>
    </w:p>
    <w:p>
      <w:pPr>
        <w:pStyle w:val="17"/>
        <w:rPr>
          <w:rFonts w:hint="eastAsia" w:ascii="仿宋_GB2312" w:eastAsia="仿宋_GB2312"/>
          <w:bCs/>
          <w:color w:val="000000" w:themeColor="text1"/>
          <w:sz w:val="32"/>
          <w:szCs w:val="32"/>
          <w:highlight w:val="none"/>
          <w14:textFill>
            <w14:solidFill>
              <w14:schemeClr w14:val="tx1"/>
            </w14:solidFill>
          </w14:textFill>
        </w:rPr>
      </w:pPr>
      <w:r>
        <w:rPr>
          <w:rFonts w:hint="eastAsia" w:ascii="仿宋_GB2312" w:eastAsia="仿宋_GB2312"/>
          <w:bCs/>
          <w:color w:val="000000" w:themeColor="text1"/>
          <w:sz w:val="32"/>
          <w:szCs w:val="32"/>
          <w:highlight w:val="none"/>
          <w14:textFill>
            <w14:solidFill>
              <w14:schemeClr w14:val="tx1"/>
            </w14:solidFill>
          </w14:textFill>
        </w:rPr>
        <w:t>附件：</w:t>
      </w:r>
    </w:p>
    <w:p>
      <w:pPr>
        <w:pStyle w:val="17"/>
        <w:jc w:val="center"/>
        <w:rPr>
          <w:rFonts w:hint="eastAsia" w:ascii="仿宋_GB2312" w:eastAsia="仿宋_GB2312"/>
          <w:b/>
          <w:color w:val="000000" w:themeColor="text1"/>
          <w:sz w:val="36"/>
          <w:szCs w:val="36"/>
          <w:highlight w:val="none"/>
          <w14:textFill>
            <w14:solidFill>
              <w14:schemeClr w14:val="tx1"/>
            </w14:solidFill>
          </w14:textFill>
        </w:rPr>
      </w:pPr>
      <w:r>
        <w:rPr>
          <w:rFonts w:hint="eastAsia" w:ascii="仿宋_GB2312" w:eastAsia="仿宋_GB2312"/>
          <w:b/>
          <w:color w:val="000000" w:themeColor="text1"/>
          <w:sz w:val="36"/>
          <w:szCs w:val="36"/>
          <w:highlight w:val="none"/>
          <w14:textFill>
            <w14:solidFill>
              <w14:schemeClr w14:val="tx1"/>
            </w14:solidFill>
          </w14:textFill>
        </w:rPr>
        <w:t>无线局域网产品政府采购实施意见</w:t>
      </w:r>
    </w:p>
    <w:p>
      <w:pPr>
        <w:pStyle w:val="17"/>
        <w:jc w:val="center"/>
        <w:rPr>
          <w:rFonts w:hint="eastAsia" w:ascii="仿宋_GB2312" w:eastAsia="仿宋_GB2312"/>
          <w:b/>
          <w:bCs/>
          <w:color w:val="000000" w:themeColor="text1"/>
          <w:sz w:val="32"/>
          <w:highlight w:val="none"/>
          <w14:textFill>
            <w14:solidFill>
              <w14:schemeClr w14:val="tx1"/>
            </w14:solidFill>
          </w14:textFill>
        </w:rPr>
      </w:pPr>
    </w:p>
    <w:p>
      <w:pPr>
        <w:pStyle w:val="17"/>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为了保障国家信息安全，维护国家利益和社会公共利益，推进国民经济和社会信息化建设，根据《中华人民共和国政府采购法》，现就推行无线局域网产品政府采购提出如下意见：</w:t>
      </w:r>
    </w:p>
    <w:p>
      <w:pPr>
        <w:pStyle w:val="17"/>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 xml:space="preserve">一、各地区、各部门要高度重视，加强组织管理和监督，确保无线局域网产品政府采购工作落到实处。   </w:t>
      </w:r>
    </w:p>
    <w:p>
      <w:pPr>
        <w:pStyle w:val="17"/>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二、各级国家机关、事业单位和团体组织（以下统称采购人）用财政性资金采购无线局域网产品和含有无线局域网功能的计算机、通信设备、打印机、复印机、投影仪等产品的，应当优先采购符合国家无线局域网安全标准（GB 15629.11/1102）并通过国家产品认证的产品（以下简称认证产品）。其中，国家有特殊信息安全要求的项目必须采购认证产品。</w:t>
      </w:r>
    </w:p>
    <w:p>
      <w:pPr>
        <w:pStyle w:val="17"/>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三、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w:t>
      </w:r>
    </w:p>
    <w:p>
      <w:pPr>
        <w:pStyle w:val="17"/>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清单中新增认证产品厂商和型号，由财政部、国家发展改革委、信息产业部以文件形式确定、公布并适时调整。</w:t>
      </w:r>
    </w:p>
    <w:p>
      <w:pPr>
        <w:pStyle w:val="17"/>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四、中国政府采购网（http://www.ccgp.gov.cn/）、国家发展改革委网（http://www.ndrc.gov.cn）、信息产业部网（http://www.mii.gov.cn）为认证产品清单公告媒体。为确保上述信息的准确性，未经财政部、国家发展改革委、信息产业部允许，不得转载。</w:t>
      </w:r>
    </w:p>
    <w:p>
      <w:pPr>
        <w:pStyle w:val="17"/>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 xml:space="preserve">五、采购人采购无线局域网产品和含有无线局域网功能的计算机、通信设备、打印机、复印机、投影仪等产品时，在政府采购评审方法中，应当考虑信息安全认证因素，优先采购清单中的产品。采用最低评标价法的采购项目，清单中的产品不是最低报价但不高于排序第一的一般产品报价一定比例的，应当将采购合同授予提供认证产品的投标人。采用综合评标法的采购项目，应当在评审总分基础上对清单中的产品合理加分。 </w:t>
      </w:r>
    </w:p>
    <w:p>
      <w:pPr>
        <w:pStyle w:val="17"/>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 xml:space="preserve">六、在政府采购活动中，采购人应当在政府采购招标文件（含谈判文件、询价文件）中载明对产品的认证要求、合格产品的条件和认证产品优先采购的评审标准。  </w:t>
      </w:r>
    </w:p>
    <w:p>
      <w:pPr>
        <w:pStyle w:val="17"/>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 xml:space="preserve">七、采购人或其委托的采购代理机构未按上述要求采购的，有关部门要按照有关法律、法规和规章予以处理，财政部门视情况可以拒付采购资金。  </w:t>
      </w:r>
    </w:p>
    <w:p>
      <w:pPr>
        <w:pStyle w:val="17"/>
        <w:ind w:firstLine="640" w:firstLineChars="200"/>
        <w:rPr>
          <w:rFonts w:hint="eastAsia" w:ascii="仿宋_GB2312" w:hAnsi="宋体"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八、本意见由财政部负责解释。</w:t>
      </w:r>
    </w:p>
    <w:p>
      <w:pPr>
        <w:pStyle w:val="17"/>
        <w:ind w:firstLine="640" w:firstLineChars="200"/>
        <w:rPr>
          <w:rFonts w:ascii="Times New Roman" w:hAnsi="Times New Roman" w:eastAsia="仿宋_GB2312"/>
          <w:color w:val="000000" w:themeColor="text1"/>
          <w:sz w:val="32"/>
          <w:szCs w:val="32"/>
          <w:highlight w:val="none"/>
          <w14:textFill>
            <w14:solidFill>
              <w14:schemeClr w14:val="tx1"/>
            </w14:solidFill>
          </w14:textFill>
        </w:rPr>
      </w:pPr>
      <w:r>
        <w:rPr>
          <w:rFonts w:hint="eastAsia" w:ascii="仿宋_GB2312" w:hAnsi="宋体" w:eastAsia="仿宋_GB2312"/>
          <w:color w:val="000000" w:themeColor="text1"/>
          <w:sz w:val="32"/>
          <w:szCs w:val="32"/>
          <w:highlight w:val="none"/>
          <w14:textFill>
            <w14:solidFill>
              <w14:schemeClr w14:val="tx1"/>
            </w14:solidFill>
          </w14:textFill>
        </w:rPr>
        <w:t>九、本意见自2006年2月1日起施行。</w:t>
      </w:r>
    </w:p>
    <w:p>
      <w:pPr>
        <w:spacing w:line="540" w:lineRule="exact"/>
        <w:rPr>
          <w:rFonts w:hint="eastAsia" w:ascii="仿宋_GB2312" w:hAnsi="华文宋体"/>
          <w:b/>
          <w:color w:val="000000" w:themeColor="text1"/>
          <w:sz w:val="28"/>
          <w:highlight w:val="none"/>
          <w14:textFill>
            <w14:solidFill>
              <w14:schemeClr w14:val="tx1"/>
            </w14:solidFill>
          </w14:textFill>
        </w:rPr>
      </w:pPr>
      <w:r>
        <w:rPr>
          <w:rFonts w:hint="eastAsia" w:ascii="仿宋_GB2312" w:hAnsi="华文宋体"/>
          <w:b/>
          <w:color w:val="000000" w:themeColor="text1"/>
          <w:sz w:val="28"/>
          <w:highlight w:val="none"/>
          <w14:textFill>
            <w14:solidFill>
              <w14:schemeClr w14:val="tx1"/>
            </w14:solidFill>
          </w14:textFill>
        </w:rPr>
        <w:t>附：</w:t>
      </w:r>
    </w:p>
    <w:p>
      <w:pPr>
        <w:pStyle w:val="17"/>
        <w:jc w:val="center"/>
        <w:rPr>
          <w:rFonts w:ascii="Times New Roman" w:hAnsi="Times New Roman" w:eastAsia="仿宋_GB2312"/>
          <w:color w:val="000000" w:themeColor="text1"/>
          <w:sz w:val="32"/>
          <w:szCs w:val="32"/>
          <w:highlight w:val="none"/>
          <w14:textFill>
            <w14:solidFill>
              <w14:schemeClr w14:val="tx1"/>
            </w14:solidFill>
          </w14:textFill>
        </w:rPr>
      </w:pPr>
      <w:r>
        <w:rPr>
          <w:rFonts w:hint="eastAsia" w:ascii="仿宋_GB2312" w:hAnsi="华文宋体"/>
          <w:b/>
          <w:color w:val="000000" w:themeColor="text1"/>
          <w:sz w:val="36"/>
          <w:highlight w:val="none"/>
          <w14:textFill>
            <w14:solidFill>
              <w14:schemeClr w14:val="tx1"/>
            </w14:solidFill>
          </w14:textFill>
        </w:rPr>
        <w:t>无线局域网认证产品政府采购清单</w:t>
      </w:r>
    </w:p>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一、无线网络适配器</w:t>
      </w:r>
    </w:p>
    <w:tbl>
      <w:tblPr>
        <w:tblStyle w:val="30"/>
        <w:tblpPr w:leftFromText="180" w:rightFromText="180" w:vertAnchor="page" w:horzAnchor="page" w:tblpX="1808" w:tblpY="3835"/>
        <w:tblW w:w="81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340"/>
        <w:gridCol w:w="18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900" w:type="dxa"/>
            <w:noWrap w:val="0"/>
            <w:vAlign w:val="center"/>
          </w:tcPr>
          <w:p>
            <w:pPr>
              <w:widowControl/>
              <w:spacing w:line="380" w:lineRule="exact"/>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厂家</w:t>
            </w:r>
          </w:p>
        </w:tc>
        <w:tc>
          <w:tcPr>
            <w:tcW w:w="1620" w:type="dxa"/>
            <w:noWrap w:val="0"/>
            <w:vAlign w:val="center"/>
          </w:tcPr>
          <w:p>
            <w:pPr>
              <w:widowControl/>
              <w:spacing w:line="380" w:lineRule="exact"/>
              <w:jc w:val="center"/>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规格型号</w:t>
            </w:r>
          </w:p>
        </w:tc>
        <w:tc>
          <w:tcPr>
            <w:tcW w:w="2340" w:type="dxa"/>
            <w:noWrap w:val="0"/>
            <w:vAlign w:val="center"/>
          </w:tcPr>
          <w:p>
            <w:pPr>
              <w:widowControl/>
              <w:spacing w:line="380" w:lineRule="exact"/>
              <w:jc w:val="center"/>
              <w:rPr>
                <w:rFonts w:hint="eastAsia"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依据标准</w:t>
            </w:r>
          </w:p>
        </w:tc>
        <w:tc>
          <w:tcPr>
            <w:tcW w:w="1800" w:type="dxa"/>
            <w:noWrap w:val="0"/>
            <w:vAlign w:val="center"/>
          </w:tcPr>
          <w:p>
            <w:pPr>
              <w:widowControl/>
              <w:spacing w:line="38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证书编号</w:t>
            </w:r>
          </w:p>
        </w:tc>
        <w:tc>
          <w:tcPr>
            <w:tcW w:w="720" w:type="dxa"/>
            <w:noWrap w:val="0"/>
            <w:vAlign w:val="center"/>
          </w:tcPr>
          <w:p>
            <w:pPr>
              <w:widowControl/>
              <w:spacing w:line="38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颁证日期</w:t>
            </w:r>
          </w:p>
        </w:tc>
        <w:tc>
          <w:tcPr>
            <w:tcW w:w="720" w:type="dxa"/>
            <w:noWrap w:val="0"/>
            <w:vAlign w:val="center"/>
          </w:tcPr>
          <w:p>
            <w:pPr>
              <w:widowControl/>
              <w:spacing w:line="380" w:lineRule="exact"/>
              <w:jc w:val="center"/>
              <w:rPr>
                <w:rFonts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换证日期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6" w:hRule="atLeast"/>
        </w:trPr>
        <w:tc>
          <w:tcPr>
            <w:tcW w:w="900" w:type="dxa"/>
            <w:vMerge w:val="restart"/>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西安西电捷通无线网络通信有限公司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C2400ICA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CESI01104P10004R0M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6" w:hRule="atLeast"/>
        </w:trPr>
        <w:tc>
          <w:tcPr>
            <w:tcW w:w="900" w:type="dxa"/>
            <w:vMerge w:val="continue"/>
            <w:noWrap w:val="0"/>
            <w:vAlign w:val="center"/>
          </w:tcPr>
          <w:p>
            <w:pPr>
              <w:jc w:val="center"/>
              <w:rPr>
                <w:rFonts w:hint="eastAsia" w:ascii="宋体" w:hAnsi="宋体"/>
                <w:color w:val="000000" w:themeColor="text1"/>
                <w:kern w:val="0"/>
                <w:sz w:val="22"/>
                <w:highlight w:val="none"/>
                <w14:textFill>
                  <w14:solidFill>
                    <w14:schemeClr w14:val="tx1"/>
                  </w14:solidFill>
                </w14:textFill>
              </w:rPr>
            </w:pP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C2430ICA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CESI01104P10005R0M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6" w:hRule="atLeast"/>
        </w:trPr>
        <w:tc>
          <w:tcPr>
            <w:tcW w:w="900" w:type="dxa"/>
            <w:vMerge w:val="continue"/>
            <w:noWrap w:val="0"/>
            <w:vAlign w:val="center"/>
          </w:tcPr>
          <w:p>
            <w:pPr>
              <w:jc w:val="center"/>
              <w:rPr>
                <w:rFonts w:hint="eastAsia" w:ascii="宋体" w:hAnsi="宋体"/>
                <w:color w:val="000000" w:themeColor="text1"/>
                <w:kern w:val="0"/>
                <w:sz w:val="22"/>
                <w:highlight w:val="none"/>
                <w14:textFill>
                  <w14:solidFill>
                    <w14:schemeClr w14:val="tx1"/>
                  </w14:solidFill>
                </w14:textFill>
              </w:rPr>
            </w:pP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C2430IUA</w:t>
            </w:r>
          </w:p>
        </w:tc>
        <w:tc>
          <w:tcPr>
            <w:tcW w:w="2340" w:type="dxa"/>
            <w:noWrap w:val="0"/>
            <w:vAlign w:val="center"/>
          </w:tcPr>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GB4943-2001</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GB9254-1998</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GB17625.1-2003</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GB15629.11-2003</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CESI01104P10006R0M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6" w:hRule="atLeast"/>
        </w:trPr>
        <w:tc>
          <w:tcPr>
            <w:tcW w:w="9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深圳市明华澳汉科技股份有限公司</w:t>
            </w:r>
          </w:p>
        </w:tc>
        <w:tc>
          <w:tcPr>
            <w:tcW w:w="1620" w:type="dxa"/>
            <w:noWrap w:val="0"/>
            <w:vAlign w:val="center"/>
          </w:tcPr>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WL-STA1</w:t>
            </w:r>
          </w:p>
        </w:tc>
        <w:tc>
          <w:tcPr>
            <w:tcW w:w="2340" w:type="dxa"/>
            <w:noWrap w:val="0"/>
            <w:vAlign w:val="center"/>
          </w:tcPr>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GB4943-2001</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GB9254-1998</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GB17625.1-2003</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GB15629.11-2003</w:t>
            </w:r>
          </w:p>
          <w:p>
            <w:pPr>
              <w:jc w:val="center"/>
              <w:rPr>
                <w:rFonts w:hint="eastAsia" w:ascii="宋体" w:hAnsi="宋体"/>
                <w:color w:val="000000" w:themeColor="text1"/>
                <w:kern w:val="0"/>
                <w:sz w:val="22"/>
                <w:szCs w:val="22"/>
                <w:highlight w:val="none"/>
                <w14:textFill>
                  <w14:solidFill>
                    <w14:schemeClr w14:val="tx1"/>
                  </w14:solidFill>
                </w14:textFill>
              </w:rPr>
            </w:pPr>
            <w:r>
              <w:rPr>
                <w:rFonts w:hint="eastAsia" w:ascii="宋体" w:hAnsi="宋体"/>
                <w:color w:val="000000" w:themeColor="text1"/>
                <w:kern w:val="0"/>
                <w:sz w:val="22"/>
                <w:szCs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CESI01104P10008R0M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bl>
    <w:p>
      <w:pPr>
        <w:rPr>
          <w:rFonts w:hint="eastAsia"/>
          <w:color w:val="000000" w:themeColor="text1"/>
          <w:highlight w:val="none"/>
          <w14:textFill>
            <w14:solidFill>
              <w14:schemeClr w14:val="tx1"/>
            </w14:solidFill>
          </w14:textFill>
        </w:rPr>
      </w:pPr>
    </w:p>
    <w:p>
      <w:pPr>
        <w:rPr>
          <w:rFonts w:hint="eastAsia"/>
          <w:color w:val="000000" w:themeColor="text1"/>
          <w:highlight w:val="none"/>
          <w14:textFill>
            <w14:solidFill>
              <w14:schemeClr w14:val="tx1"/>
            </w14:solidFill>
          </w14:textFill>
        </w:rPr>
      </w:pPr>
    </w:p>
    <w:p>
      <w:pPr>
        <w:pStyle w:val="14"/>
        <w:rPr>
          <w:rFonts w:hint="eastAsia"/>
          <w:color w:val="000000" w:themeColor="text1"/>
          <w:highlight w:val="none"/>
          <w14:textFill>
            <w14:solidFill>
              <w14:schemeClr w14:val="tx1"/>
            </w14:solidFill>
          </w14:textFill>
        </w:rPr>
      </w:pPr>
    </w:p>
    <w:p>
      <w:pPr>
        <w:spacing w:line="300" w:lineRule="exact"/>
        <w:rPr>
          <w:rFonts w:hint="eastAsia" w:ascii="宋体" w:hAnsi="宋体"/>
          <w:color w:val="000000" w:themeColor="text1"/>
          <w:kern w:val="0"/>
          <w:sz w:val="30"/>
          <w:szCs w:val="30"/>
          <w:highlight w:val="none"/>
          <w14:textFill>
            <w14:solidFill>
              <w14:schemeClr w14:val="tx1"/>
            </w14:solidFill>
          </w14:textFill>
        </w:rPr>
      </w:pPr>
      <w:r>
        <w:rPr>
          <w:rFonts w:hint="eastAsia" w:ascii="仿宋_GB2312" w:hAnsi="华文宋体"/>
          <w:b/>
          <w:color w:val="000000" w:themeColor="text1"/>
          <w:sz w:val="30"/>
          <w:szCs w:val="30"/>
          <w:highlight w:val="none"/>
          <w14:textFill>
            <w14:solidFill>
              <w14:schemeClr w14:val="tx1"/>
            </w14:solidFill>
          </w14:textFill>
        </w:rPr>
        <w:t>二、</w:t>
      </w:r>
      <w:r>
        <w:rPr>
          <w:rFonts w:hint="eastAsia" w:ascii="宋体" w:hAnsi="宋体"/>
          <w:color w:val="000000" w:themeColor="text1"/>
          <w:kern w:val="0"/>
          <w:sz w:val="30"/>
          <w:szCs w:val="30"/>
          <w:highlight w:val="none"/>
          <w14:textFill>
            <w14:solidFill>
              <w14:schemeClr w14:val="tx1"/>
            </w14:solidFill>
          </w14:textFill>
        </w:rPr>
        <w:t>接入认证服务器（无线鉴别服务器）</w:t>
      </w:r>
    </w:p>
    <w:p>
      <w:pPr>
        <w:spacing w:line="300" w:lineRule="exact"/>
        <w:rPr>
          <w:rFonts w:hint="eastAsia" w:ascii="仿宋_GB2312" w:hAnsi="华文宋体"/>
          <w:b/>
          <w:color w:val="000000" w:themeColor="text1"/>
          <w:szCs w:val="21"/>
          <w:highlight w:val="none"/>
          <w14:textFill>
            <w14:solidFill>
              <w14:schemeClr w14:val="tx1"/>
            </w14:solidFill>
          </w14:textFill>
        </w:rPr>
      </w:pPr>
    </w:p>
    <w:tbl>
      <w:tblPr>
        <w:tblStyle w:val="30"/>
        <w:tblW w:w="8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340"/>
        <w:gridCol w:w="18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900" w:type="dxa"/>
            <w:noWrap w:val="0"/>
            <w:vAlign w:val="center"/>
          </w:tcPr>
          <w:p>
            <w:pPr>
              <w:widowControl/>
              <w:spacing w:line="300" w:lineRule="exact"/>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厂家</w:t>
            </w:r>
          </w:p>
        </w:tc>
        <w:tc>
          <w:tcPr>
            <w:tcW w:w="1620" w:type="dxa"/>
            <w:noWrap w:val="0"/>
            <w:vAlign w:val="center"/>
          </w:tcPr>
          <w:p>
            <w:pPr>
              <w:widowControl/>
              <w:spacing w:line="300" w:lineRule="exact"/>
              <w:jc w:val="center"/>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规格型号</w:t>
            </w:r>
          </w:p>
        </w:tc>
        <w:tc>
          <w:tcPr>
            <w:tcW w:w="2340" w:type="dxa"/>
            <w:noWrap w:val="0"/>
            <w:vAlign w:val="center"/>
          </w:tcPr>
          <w:p>
            <w:pPr>
              <w:widowControl/>
              <w:spacing w:line="300" w:lineRule="exact"/>
              <w:jc w:val="center"/>
              <w:rPr>
                <w:rFonts w:hint="eastAsia"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依据标准</w:t>
            </w:r>
          </w:p>
        </w:tc>
        <w:tc>
          <w:tcPr>
            <w:tcW w:w="1800" w:type="dxa"/>
            <w:noWrap w:val="0"/>
            <w:vAlign w:val="center"/>
          </w:tcPr>
          <w:p>
            <w:pPr>
              <w:widowControl/>
              <w:spacing w:line="30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证书编号</w:t>
            </w:r>
          </w:p>
        </w:tc>
        <w:tc>
          <w:tcPr>
            <w:tcW w:w="720" w:type="dxa"/>
            <w:noWrap w:val="0"/>
            <w:vAlign w:val="center"/>
          </w:tcPr>
          <w:p>
            <w:pPr>
              <w:widowControl/>
              <w:spacing w:line="30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颁证日期</w:t>
            </w:r>
          </w:p>
        </w:tc>
        <w:tc>
          <w:tcPr>
            <w:tcW w:w="720" w:type="dxa"/>
            <w:noWrap w:val="0"/>
            <w:vAlign w:val="center"/>
          </w:tcPr>
          <w:p>
            <w:pPr>
              <w:widowControl/>
              <w:spacing w:line="300" w:lineRule="exact"/>
              <w:jc w:val="center"/>
              <w:rPr>
                <w:rFonts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换证日期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1" w:hRule="atLeast"/>
        </w:trPr>
        <w:tc>
          <w:tcPr>
            <w:tcW w:w="900" w:type="dxa"/>
            <w:noWrap w:val="0"/>
            <w:vAlign w:val="center"/>
          </w:tcPr>
          <w:p>
            <w:pPr>
              <w:widowControl/>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西安西电捷通无线网络通信有限公司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AS-5000</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DC5V</w:t>
            </w:r>
          </w:p>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CESI01104P10002R0M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bl>
    <w:p>
      <w:pPr>
        <w:rPr>
          <w:rFonts w:hint="eastAsia"/>
          <w:color w:val="000000" w:themeColor="text1"/>
          <w:highlight w:val="none"/>
          <w14:textFill>
            <w14:solidFill>
              <w14:schemeClr w14:val="tx1"/>
            </w14:solidFill>
          </w14:textFill>
        </w:rPr>
      </w:pPr>
    </w:p>
    <w:p>
      <w:pPr>
        <w:spacing w:line="300" w:lineRule="exact"/>
        <w:rPr>
          <w:rFonts w:hint="eastAsia"/>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三、无线接入点</w:t>
      </w:r>
    </w:p>
    <w:p>
      <w:pPr>
        <w:spacing w:line="300" w:lineRule="exact"/>
        <w:rPr>
          <w:rFonts w:hint="eastAsia"/>
          <w:color w:val="000000" w:themeColor="text1"/>
          <w:szCs w:val="21"/>
          <w:highlight w:val="none"/>
          <w14:textFill>
            <w14:solidFill>
              <w14:schemeClr w14:val="tx1"/>
            </w14:solidFill>
          </w14:textFill>
        </w:rPr>
      </w:pPr>
    </w:p>
    <w:tbl>
      <w:tblPr>
        <w:tblStyle w:val="30"/>
        <w:tblW w:w="8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340"/>
        <w:gridCol w:w="18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900" w:type="dxa"/>
            <w:noWrap w:val="0"/>
            <w:vAlign w:val="center"/>
          </w:tcPr>
          <w:p>
            <w:pPr>
              <w:widowControl/>
              <w:spacing w:line="300" w:lineRule="exact"/>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厂家</w:t>
            </w:r>
          </w:p>
        </w:tc>
        <w:tc>
          <w:tcPr>
            <w:tcW w:w="1620" w:type="dxa"/>
            <w:noWrap w:val="0"/>
            <w:vAlign w:val="center"/>
          </w:tcPr>
          <w:p>
            <w:pPr>
              <w:widowControl/>
              <w:spacing w:line="300" w:lineRule="exact"/>
              <w:jc w:val="center"/>
              <w:rPr>
                <w:rFonts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规格型号</w:t>
            </w:r>
          </w:p>
        </w:tc>
        <w:tc>
          <w:tcPr>
            <w:tcW w:w="2340" w:type="dxa"/>
            <w:noWrap w:val="0"/>
            <w:vAlign w:val="center"/>
          </w:tcPr>
          <w:p>
            <w:pPr>
              <w:widowControl/>
              <w:spacing w:line="300" w:lineRule="exact"/>
              <w:jc w:val="center"/>
              <w:rPr>
                <w:rFonts w:hint="eastAsia" w:ascii="宋体" w:hAnsi="宋体"/>
                <w:b/>
                <w:color w:val="000000" w:themeColor="text1"/>
                <w:kern w:val="0"/>
                <w:sz w:val="22"/>
                <w:highlight w:val="none"/>
                <w14:textFill>
                  <w14:solidFill>
                    <w14:schemeClr w14:val="tx1"/>
                  </w14:solidFill>
                </w14:textFill>
              </w:rPr>
            </w:pPr>
            <w:r>
              <w:rPr>
                <w:rFonts w:hint="eastAsia" w:ascii="宋体" w:hAnsi="宋体"/>
                <w:b/>
                <w:color w:val="000000" w:themeColor="text1"/>
                <w:kern w:val="0"/>
                <w:sz w:val="22"/>
                <w:highlight w:val="none"/>
                <w14:textFill>
                  <w14:solidFill>
                    <w14:schemeClr w14:val="tx1"/>
                  </w14:solidFill>
                </w14:textFill>
              </w:rPr>
              <w:t>依据标准</w:t>
            </w:r>
          </w:p>
        </w:tc>
        <w:tc>
          <w:tcPr>
            <w:tcW w:w="1800" w:type="dxa"/>
            <w:noWrap w:val="0"/>
            <w:vAlign w:val="center"/>
          </w:tcPr>
          <w:p>
            <w:pPr>
              <w:widowControl/>
              <w:spacing w:line="30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证书编号</w:t>
            </w:r>
          </w:p>
        </w:tc>
        <w:tc>
          <w:tcPr>
            <w:tcW w:w="720" w:type="dxa"/>
            <w:noWrap w:val="0"/>
            <w:vAlign w:val="center"/>
          </w:tcPr>
          <w:p>
            <w:pPr>
              <w:widowControl/>
              <w:spacing w:line="300" w:lineRule="exact"/>
              <w:jc w:val="center"/>
              <w:rPr>
                <w:rFonts w:hint="eastAsia"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颁证日期</w:t>
            </w:r>
          </w:p>
        </w:tc>
        <w:tc>
          <w:tcPr>
            <w:tcW w:w="720" w:type="dxa"/>
            <w:noWrap w:val="0"/>
            <w:vAlign w:val="center"/>
          </w:tcPr>
          <w:p>
            <w:pPr>
              <w:widowControl/>
              <w:spacing w:line="300" w:lineRule="exact"/>
              <w:jc w:val="center"/>
              <w:rPr>
                <w:rFonts w:ascii="宋体" w:hAnsi="宋体"/>
                <w:b/>
                <w:color w:val="000000" w:themeColor="text1"/>
                <w:kern w:val="0"/>
                <w:sz w:val="20"/>
                <w:highlight w:val="none"/>
                <w14:textFill>
                  <w14:solidFill>
                    <w14:schemeClr w14:val="tx1"/>
                  </w14:solidFill>
                </w14:textFill>
              </w:rPr>
            </w:pPr>
            <w:r>
              <w:rPr>
                <w:rFonts w:hint="eastAsia" w:ascii="宋体" w:hAnsi="宋体"/>
                <w:b/>
                <w:color w:val="000000" w:themeColor="text1"/>
                <w:kern w:val="0"/>
                <w:sz w:val="20"/>
                <w:highlight w:val="none"/>
                <w14:textFill>
                  <w14:solidFill>
                    <w14:schemeClr w14:val="tx1"/>
                  </w14:solidFill>
                </w14:textFill>
              </w:rPr>
              <w:t>换证日期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atLeast"/>
        </w:trPr>
        <w:tc>
          <w:tcPr>
            <w:tcW w:w="9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深圳市明华澳汉科技股份有限公司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WL-AP1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DC5V</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CESI01104P10007R0M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68" w:hRule="atLeast"/>
        </w:trPr>
        <w:tc>
          <w:tcPr>
            <w:tcW w:w="9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西安西电捷通无线网络通信有限公司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IWN A2410</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DC5V</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2.0A</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CESI01104P10003R0M</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2004-04-07</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2005-10-31</w:t>
            </w:r>
          </w:p>
        </w:tc>
      </w:tr>
    </w:tbl>
    <w:p>
      <w:pPr>
        <w:rPr>
          <w:rFonts w:hint="eastAsia"/>
          <w:color w:val="000000" w:themeColor="text1"/>
          <w:highlight w:val="none"/>
          <w14:textFill>
            <w14:solidFill>
              <w14:schemeClr w14:val="tx1"/>
            </w14:solidFill>
          </w14:textFill>
        </w:rPr>
      </w:pPr>
    </w:p>
    <w:p>
      <w:pPr>
        <w:rPr>
          <w:rFonts w:hint="eastAsia"/>
          <w:color w:val="000000" w:themeColor="text1"/>
          <w:sz w:val="30"/>
          <w:szCs w:val="30"/>
          <w:highlight w:val="none"/>
          <w14:textFill>
            <w14:solidFill>
              <w14:schemeClr w14:val="tx1"/>
            </w14:solidFill>
          </w14:textFill>
        </w:rPr>
      </w:pPr>
      <w:r>
        <w:rPr>
          <w:rFonts w:hint="eastAsia"/>
          <w:color w:val="000000" w:themeColor="text1"/>
          <w:sz w:val="30"/>
          <w:szCs w:val="30"/>
          <w:highlight w:val="none"/>
          <w14:textFill>
            <w14:solidFill>
              <w14:schemeClr w14:val="tx1"/>
            </w14:solidFill>
          </w14:textFill>
        </w:rPr>
        <w:t>四、计算机</w:t>
      </w:r>
    </w:p>
    <w:p>
      <w:pPr>
        <w:rPr>
          <w:rFonts w:hint="eastAsia"/>
          <w:color w:val="000000" w:themeColor="text1"/>
          <w:sz w:val="18"/>
          <w:szCs w:val="18"/>
          <w:highlight w:val="none"/>
          <w14:textFill>
            <w14:solidFill>
              <w14:schemeClr w14:val="tx1"/>
            </w14:solidFill>
          </w14:textFill>
        </w:rPr>
      </w:pPr>
    </w:p>
    <w:tbl>
      <w:tblPr>
        <w:tblStyle w:val="30"/>
        <w:tblW w:w="81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1620"/>
        <w:gridCol w:w="2340"/>
        <w:gridCol w:w="1800"/>
        <w:gridCol w:w="720"/>
        <w:gridCol w:w="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841" w:hRule="atLeast"/>
        </w:trPr>
        <w:tc>
          <w:tcPr>
            <w:tcW w:w="9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北大方正集团有限公司</w:t>
            </w:r>
          </w:p>
        </w:tc>
        <w:tc>
          <w:tcPr>
            <w:tcW w:w="16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NB700</w:t>
            </w:r>
          </w:p>
        </w:tc>
        <w:tc>
          <w:tcPr>
            <w:tcW w:w="234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GB4943-2001</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GB9254-1998</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GB17625.1-2003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GB15629.11-2003</w:t>
            </w:r>
          </w:p>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GB15629.1102-2003</w:t>
            </w:r>
          </w:p>
        </w:tc>
        <w:tc>
          <w:tcPr>
            <w:tcW w:w="180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2004012000001</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r>
              <w:rPr>
                <w:rFonts w:hint="eastAsia" w:ascii="宋体" w:hAnsi="宋体"/>
                <w:color w:val="000000" w:themeColor="text1"/>
                <w:kern w:val="0"/>
                <w:sz w:val="22"/>
                <w:highlight w:val="none"/>
                <w14:textFill>
                  <w14:solidFill>
                    <w14:schemeClr w14:val="tx1"/>
                  </w14:solidFill>
                </w14:textFill>
              </w:rPr>
              <w:t>2004-04-02</w:t>
            </w:r>
          </w:p>
        </w:tc>
        <w:tc>
          <w:tcPr>
            <w:tcW w:w="720" w:type="dxa"/>
            <w:noWrap w:val="0"/>
            <w:vAlign w:val="center"/>
          </w:tcPr>
          <w:p>
            <w:pPr>
              <w:jc w:val="center"/>
              <w:rPr>
                <w:rFonts w:hint="eastAsia" w:ascii="宋体" w:hAnsi="宋体"/>
                <w:color w:val="000000" w:themeColor="text1"/>
                <w:kern w:val="0"/>
                <w:sz w:val="22"/>
                <w:highlight w:val="none"/>
                <w14:textFill>
                  <w14:solidFill>
                    <w14:schemeClr w14:val="tx1"/>
                  </w14:solidFill>
                </w14:textFill>
              </w:rPr>
            </w:pPr>
          </w:p>
        </w:tc>
      </w:tr>
    </w:tbl>
    <w:p>
      <w:pPr>
        <w:pStyle w:val="14"/>
        <w:rPr>
          <w:rFonts w:hint="default"/>
          <w:color w:val="000000" w:themeColor="text1"/>
          <w:highlight w:val="none"/>
          <w:lang w:val="en-US" w:eastAsia="zh-CN"/>
          <w14:textFill>
            <w14:solidFill>
              <w14:schemeClr w14:val="tx1"/>
            </w14:solidFill>
          </w14:textFill>
        </w:rPr>
      </w:pPr>
    </w:p>
    <w:p>
      <w:pPr>
        <w:rPr>
          <w:rFonts w:hint="eastAsia"/>
          <w:color w:val="000000" w:themeColor="text1"/>
          <w:highlight w:val="none"/>
          <w14:textFill>
            <w14:solidFill>
              <w14:schemeClr w14:val="tx1"/>
            </w14:solidFill>
          </w14:textFill>
        </w:rPr>
      </w:pPr>
    </w:p>
    <w:sectPr>
      <w:pgSz w:w="11906" w:h="16838"/>
      <w:pgMar w:top="1246" w:right="1800" w:bottom="1246"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A0204"/>
    <w:charset w:val="00"/>
    <w:family w:val="roman"/>
    <w:pitch w:val="default"/>
    <w:sig w:usb0="E00002FF" w:usb1="4000045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Tms Rmn">
    <w:altName w:val="Segoe Print"/>
    <w:panose1 w:val="02020603040505020304"/>
    <w:charset w:val="00"/>
    <w:family w:val="roman"/>
    <w:pitch w:val="default"/>
    <w:sig w:usb0="00000000" w:usb1="00000000" w:usb2="00000000" w:usb3="00000000" w:csb0="00000001" w:csb1="00000000"/>
  </w:font>
  <w:font w:name="helvetica">
    <w:altName w:val="Segoe Print"/>
    <w:panose1 w:val="00000000000000000000"/>
    <w:charset w:val="00"/>
    <w:family w:val="auto"/>
    <w:pitch w:val="default"/>
    <w:sig w:usb0="00000000" w:usb1="00000000" w:usb2="00000000" w:usb3="00000000" w:csb0="2000019F" w:csb1="4F010000"/>
  </w:font>
  <w:font w:name="隶书">
    <w:altName w:val="微软雅黑"/>
    <w:panose1 w:val="02010509060101010101"/>
    <w:charset w:val="86"/>
    <w:family w:val="modern"/>
    <w:pitch w:val="default"/>
    <w:sig w:usb0="00000000" w:usb1="00000000" w:usb2="00000000" w:usb3="00000000" w:csb0="00040000" w:csb1="00000000"/>
  </w:font>
  <w:font w:name="华文宋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42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lang w:val="zh-CN"/>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W+3o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dTSgzTqPj5x/fz&#10;z9/nX98IziBQ7cIccQ8OkbF5Zxu0zXAecJh4N6XX6QtGBH7Ie7rIK5pIeLo0m85mY7g4fMMG+NnT&#10;dedDfC+sJsnIqUf9WlnZcRtiFzqEpGzGbqRSbQ2VIXVOr6/ejt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WW+3ozAgAAYwQAAA4AAAAAAAAAAQAgAAAAHwEAAGRycy9lMm9Eb2MueG1sUEsF&#10;BgAAAAAGAAYAWQEAAMQFA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61</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pStyle w:val="20"/>
                    </w:pPr>
                  </w:p>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420"/>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xyswEzAgAAYwQAAA4AAABkcnMvZTJvRG9jLnhtbK1US44TMRDdI3EH&#10;y3vSSdC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xyswEzAgAAYwQAAA4AAAAAAAAAAQAgAAAAHwEAAGRycy9lMm9Eb2MueG1sUEsF&#10;BgAAAAAGAAYAWQEAAMQFA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firstLine="420"/>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lang w:val="zh-CN"/>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39</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pStyle w:val="20"/>
                    </w:pPr>
                  </w:p>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lang w:val="zh-CN"/>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38</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As4fcy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Czh9zICAABjBAAADgAAAAAAAAABACAAAAAfAQAAZHJzL2Uyb0RvYy54bWxQSwUG&#10;AAAAAAYABgBZAQAAwwU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38</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l4K5A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l4K5AtAgAAVwQAAA4AAAAAAAAAAQAgAAAAHwEAAGRycy9lMm9Eb2MueG1sUEsFBgAAAAAG&#10;AAYAWQEAAL4FAAAAAA==&#10;">
              <v:fill on="f" focussize="0,0"/>
              <v:stroke on="f" weight="0.5pt"/>
              <v:imagedata o:title=""/>
              <o:lock v:ext="edit" aspectratio="f"/>
              <v:textbox inset="0mm,0mm,0mm,0mm" style="mso-fit-shape-to-text:t;">
                <w:txbxContent>
                  <w:p>
                    <w:pPr>
                      <w:pStyle w:val="20"/>
                      <w:jc w:val="center"/>
                    </w:pPr>
                  </w:p>
                  <w:p/>
                </w:txbxContent>
              </v:textbox>
            </v:shape>
          </w:pict>
        </mc:Fallback>
      </mc:AlternateContent>
    </w:r>
  </w:p>
  <w:p>
    <w:pPr>
      <w:pStyle w:val="2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rPr>
        <w:lang w:val="zh-CN"/>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55</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ApX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wMClfjICAABjBAAADgAAAAAAAAABACAAAAAfAQAAZHJzL2Uyb0RvYy54bWxQSwUG&#10;AAAAAAYABgBZAQAAwwU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55</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20"/>
                    </w:pPr>
                  </w:p>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lang w:val="zh-CN"/>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JoMpEzAgAAYwQAAA4AAAAAAAAAAQAgAAAAHwEAAGRycy9lMm9Eb2MueG1sUEsF&#10;BgAAAAAGAAYAWQEAAMQFAAAAAA==&#10;">
              <v:fill on="f" focussize="0,0"/>
              <v:stroke on="f" weight="0.5pt"/>
              <v:imagedata o:title=""/>
              <o:lock v:ext="edit" aspectratio="f"/>
              <v:textbox inset="0mm,0mm,0mm,0mm" style="mso-fit-shape-to-text:t;">
                <w:txbxContent>
                  <w:p>
                    <w:pPr>
                      <w:pStyle w:val="20"/>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53</w:t>
                    </w:r>
                    <w:r>
                      <w:rPr>
                        <w:rFonts w:hint="eastAsia"/>
                        <w:lang w:eastAsia="zh-CN"/>
                      </w:rPr>
                      <w:fldChar w:fldCharType="end"/>
                    </w: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jc w:val="center"/>
                          </w:pPr>
                        </w:p>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20"/>
                      <w:jc w:val="center"/>
                    </w:pPr>
                  </w:p>
                  <w:p/>
                </w:txbxContent>
              </v:textbox>
            </v:shape>
          </w:pict>
        </mc:Fallback>
      </mc:AlternateContent>
    </w:r>
  </w:p>
  <w:p>
    <w:pPr>
      <w:pStyle w:val="2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rPr>
        <w:rFonts w:hint="eastAsia" w:eastAsia="隶书"/>
        <w:lang w:eastAsia="zh-CN"/>
      </w:rPr>
    </w:pPr>
    <w:r>
      <w:drawing>
        <wp:inline distT="0" distB="0" distL="114300" distR="114300">
          <wp:extent cx="3181985" cy="329565"/>
          <wp:effectExtent l="0" t="0" r="18415" b="13335"/>
          <wp:docPr id="14"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left"/>
    </w:pPr>
    <w:r>
      <w:drawing>
        <wp:inline distT="0" distB="0" distL="114300" distR="114300">
          <wp:extent cx="3181985" cy="329565"/>
          <wp:effectExtent l="0" t="0" r="18415" b="13335"/>
          <wp:docPr id="12"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left"/>
    </w:pPr>
    <w:r>
      <w:drawing>
        <wp:inline distT="0" distB="0" distL="114300" distR="114300">
          <wp:extent cx="3181985" cy="329565"/>
          <wp:effectExtent l="0" t="0" r="18415" b="13335"/>
          <wp:docPr id="1"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0"/>
      </w:pBdr>
      <w:jc w:val="left"/>
    </w:pPr>
    <w:r>
      <w:drawing>
        <wp:inline distT="0" distB="0" distL="114300" distR="114300">
          <wp:extent cx="3181985" cy="329565"/>
          <wp:effectExtent l="0" t="0" r="18415" b="13335"/>
          <wp:docPr id="1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rPr>
        <w:rFonts w:hint="eastAsia" w:eastAsia="隶书"/>
        <w:lang w:eastAsia="zh-CN"/>
      </w:rPr>
    </w:pPr>
    <w:r>
      <w:drawing>
        <wp:inline distT="0" distB="0" distL="114300" distR="114300">
          <wp:extent cx="3181985" cy="329565"/>
          <wp:effectExtent l="0" t="0" r="18415" b="13335"/>
          <wp:docPr id="15"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jc w:val="both"/>
      <w:rPr>
        <w:rFonts w:hint="eastAsia" w:eastAsia="隶书"/>
        <w:lang w:eastAsia="zh-CN"/>
      </w:rPr>
    </w:pPr>
    <w:r>
      <w:drawing>
        <wp:inline distT="0" distB="0" distL="114300" distR="114300">
          <wp:extent cx="3181985" cy="329565"/>
          <wp:effectExtent l="0" t="0" r="18415" b="13335"/>
          <wp:docPr id="16"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descr="1"/>
                  <pic:cNvPicPr>
                    <a:picLocks noChangeAspect="1"/>
                  </pic:cNvPicPr>
                </pic:nvPicPr>
                <pic:blipFill>
                  <a:blip r:embed="rId1"/>
                  <a:stretch>
                    <a:fillRect/>
                  </a:stretch>
                </pic:blipFill>
                <pic:spPr>
                  <a:xfrm>
                    <a:off x="0" y="0"/>
                    <a:ext cx="3181985" cy="3295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C78FBF"/>
    <w:multiLevelType w:val="singleLevel"/>
    <w:tmpl w:val="A5C78FBF"/>
    <w:lvl w:ilvl="0" w:tentative="0">
      <w:start w:val="1"/>
      <w:numFmt w:val="decimal"/>
      <w:lvlText w:val="%1."/>
      <w:lvlJc w:val="left"/>
      <w:pPr>
        <w:ind w:left="425" w:hanging="425"/>
      </w:pPr>
      <w:rPr>
        <w:rFonts w:hint="default"/>
      </w:rPr>
    </w:lvl>
  </w:abstractNum>
  <w:abstractNum w:abstractNumId="1">
    <w:nsid w:val="C4DF8C7D"/>
    <w:multiLevelType w:val="singleLevel"/>
    <w:tmpl w:val="C4DF8C7D"/>
    <w:lvl w:ilvl="0" w:tentative="0">
      <w:start w:val="1"/>
      <w:numFmt w:val="decimal"/>
      <w:suff w:val="space"/>
      <w:lvlText w:val="%1."/>
      <w:lvlJc w:val="left"/>
    </w:lvl>
  </w:abstractNum>
  <w:abstractNum w:abstractNumId="2">
    <w:nsid w:val="0689671E"/>
    <w:multiLevelType w:val="multilevel"/>
    <w:tmpl w:val="0689671E"/>
    <w:lvl w:ilvl="0" w:tentative="0">
      <w:start w:val="1"/>
      <w:numFmt w:val="chineseCountingThousand"/>
      <w:lvlText w:val="%1."/>
      <w:lvlJc w:val="left"/>
      <w:pPr>
        <w:tabs>
          <w:tab w:val="left" w:pos="567"/>
        </w:tabs>
        <w:ind w:left="567" w:hanging="425"/>
      </w:pPr>
      <w:rPr>
        <w:rFonts w:hint="eastAsia" w:ascii="黑体" w:eastAsia="黑体"/>
        <w:sz w:val="32"/>
        <w:szCs w:val="32"/>
      </w:rPr>
    </w:lvl>
    <w:lvl w:ilvl="1" w:tentative="0">
      <w:start w:val="1"/>
      <w:numFmt w:val="decimal"/>
      <w:pStyle w:val="66"/>
      <w:isLgl/>
      <w:lvlText w:val="%1.%2."/>
      <w:lvlJc w:val="left"/>
      <w:pPr>
        <w:tabs>
          <w:tab w:val="left" w:pos="709"/>
        </w:tabs>
        <w:ind w:left="709" w:hanging="567"/>
      </w:pPr>
      <w:rPr>
        <w:rFonts w:hint="eastAsia"/>
      </w:rPr>
    </w:lvl>
    <w:lvl w:ilvl="2" w:tentative="0">
      <w:start w:val="1"/>
      <w:numFmt w:val="decimal"/>
      <w:isLgl/>
      <w:lvlText w:val="%1.%2.%3."/>
      <w:lvlJc w:val="left"/>
      <w:pPr>
        <w:tabs>
          <w:tab w:val="left" w:pos="1419"/>
        </w:tabs>
        <w:ind w:left="1419" w:hanging="709"/>
      </w:pPr>
      <w:rPr>
        <w:rFonts w:hint="eastAsia"/>
      </w:rPr>
    </w:lvl>
    <w:lvl w:ilvl="3" w:tentative="0">
      <w:start w:val="1"/>
      <w:numFmt w:val="decimal"/>
      <w:isLgl/>
      <w:lvlText w:val="%1.%2.%3.%4."/>
      <w:lvlJc w:val="left"/>
      <w:pPr>
        <w:tabs>
          <w:tab w:val="left" w:pos="753"/>
        </w:tabs>
        <w:ind w:left="753" w:hanging="851"/>
      </w:pPr>
      <w:rPr>
        <w:rFonts w:hint="eastAsia"/>
      </w:rPr>
    </w:lvl>
    <w:lvl w:ilvl="4" w:tentative="0">
      <w:start w:val="1"/>
      <w:numFmt w:val="decimal"/>
      <w:lvlText w:val="%1.%2.%3.%4.%5."/>
      <w:lvlJc w:val="left"/>
      <w:pPr>
        <w:tabs>
          <w:tab w:val="left" w:pos="894"/>
        </w:tabs>
        <w:ind w:left="894" w:hanging="992"/>
      </w:pPr>
      <w:rPr>
        <w:rFonts w:hint="eastAsia"/>
      </w:rPr>
    </w:lvl>
    <w:lvl w:ilvl="5" w:tentative="0">
      <w:start w:val="1"/>
      <w:numFmt w:val="decimal"/>
      <w:lvlText w:val="%1.%2.%3.%4.%5.%6."/>
      <w:lvlJc w:val="left"/>
      <w:pPr>
        <w:tabs>
          <w:tab w:val="left" w:pos="1036"/>
        </w:tabs>
        <w:ind w:left="1036" w:hanging="1134"/>
      </w:pPr>
      <w:rPr>
        <w:rFonts w:hint="eastAsia"/>
      </w:rPr>
    </w:lvl>
    <w:lvl w:ilvl="6" w:tentative="0">
      <w:start w:val="1"/>
      <w:numFmt w:val="decimal"/>
      <w:lvlText w:val="%1.%2.%3.%4.%5.%6.%7."/>
      <w:lvlJc w:val="left"/>
      <w:pPr>
        <w:tabs>
          <w:tab w:val="left" w:pos="1178"/>
        </w:tabs>
        <w:ind w:left="1178" w:hanging="1276"/>
      </w:pPr>
      <w:rPr>
        <w:rFonts w:hint="eastAsia"/>
      </w:rPr>
    </w:lvl>
    <w:lvl w:ilvl="7" w:tentative="0">
      <w:start w:val="1"/>
      <w:numFmt w:val="decimal"/>
      <w:lvlText w:val="%1.%2.%3.%4.%5.%6.%7.%8."/>
      <w:lvlJc w:val="left"/>
      <w:pPr>
        <w:tabs>
          <w:tab w:val="left" w:pos="1320"/>
        </w:tabs>
        <w:ind w:left="1320" w:hanging="1418"/>
      </w:pPr>
      <w:rPr>
        <w:rFonts w:hint="eastAsia"/>
      </w:rPr>
    </w:lvl>
    <w:lvl w:ilvl="8" w:tentative="0">
      <w:start w:val="1"/>
      <w:numFmt w:val="decimal"/>
      <w:lvlText w:val="%1.%2.%3.%4.%5.%6.%7.%8.%9."/>
      <w:lvlJc w:val="left"/>
      <w:pPr>
        <w:tabs>
          <w:tab w:val="left" w:pos="1461"/>
        </w:tabs>
        <w:ind w:left="1461" w:hanging="1559"/>
      </w:pPr>
      <w:rPr>
        <w:rFonts w:hint="eastAsia"/>
      </w:rPr>
    </w:lvl>
  </w:abstractNum>
  <w:abstractNum w:abstractNumId="3">
    <w:nsid w:val="20B6906E"/>
    <w:multiLevelType w:val="singleLevel"/>
    <w:tmpl w:val="20B6906E"/>
    <w:lvl w:ilvl="0" w:tentative="0">
      <w:start w:val="1"/>
      <w:numFmt w:val="decimal"/>
      <w:lvlText w:val="%1."/>
      <w:lvlJc w:val="left"/>
      <w:pPr>
        <w:ind w:left="425" w:hanging="425"/>
      </w:pPr>
      <w:rPr>
        <w:rFonts w:hint="default"/>
      </w:rPr>
    </w:lvl>
  </w:abstractNum>
  <w:abstractNum w:abstractNumId="4">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2"/>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5">
    <w:nsid w:val="588C3EF9"/>
    <w:multiLevelType w:val="singleLevel"/>
    <w:tmpl w:val="588C3EF9"/>
    <w:lvl w:ilvl="0" w:tentative="0">
      <w:start w:val="5"/>
      <w:numFmt w:val="chineseCounting"/>
      <w:suff w:val="nothing"/>
      <w:lvlText w:val="%1、"/>
      <w:lvlJc w:val="left"/>
    </w:lvl>
  </w:abstractNum>
  <w:abstractNum w:abstractNumId="6">
    <w:nsid w:val="5AE420E6"/>
    <w:multiLevelType w:val="singleLevel"/>
    <w:tmpl w:val="5AE420E6"/>
    <w:lvl w:ilvl="0" w:tentative="0">
      <w:start w:val="1"/>
      <w:numFmt w:val="decimal"/>
      <w:suff w:val="nothing"/>
      <w:lvlText w:val="%1、"/>
      <w:lvlJc w:val="left"/>
    </w:lvl>
  </w:abstractNum>
  <w:num w:numId="1">
    <w:abstractNumId w:val="4"/>
  </w:num>
  <w:num w:numId="2">
    <w:abstractNumId w:val="2"/>
  </w:num>
  <w:num w:numId="3">
    <w:abstractNumId w:val="0"/>
  </w:num>
  <w:num w:numId="4">
    <w:abstractNumId w:val="3"/>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evenAndOddHeaders w:val="1"/>
  <w:drawingGridHorizontalSpacing w:val="215"/>
  <w:drawingGridVerticalSpacing w:val="156"/>
  <w:displayVerticalDrawingGridEvery w:val="2"/>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12CC"/>
    <w:rsid w:val="00001660"/>
    <w:rsid w:val="00004B89"/>
    <w:rsid w:val="0000753B"/>
    <w:rsid w:val="00013385"/>
    <w:rsid w:val="000137E6"/>
    <w:rsid w:val="0001438F"/>
    <w:rsid w:val="00014483"/>
    <w:rsid w:val="00015AD4"/>
    <w:rsid w:val="0001627A"/>
    <w:rsid w:val="000176E8"/>
    <w:rsid w:val="00020D8E"/>
    <w:rsid w:val="00021F2A"/>
    <w:rsid w:val="00022084"/>
    <w:rsid w:val="000222FA"/>
    <w:rsid w:val="0002293A"/>
    <w:rsid w:val="00023113"/>
    <w:rsid w:val="00023E17"/>
    <w:rsid w:val="000246A1"/>
    <w:rsid w:val="00024A16"/>
    <w:rsid w:val="00026E80"/>
    <w:rsid w:val="00030DE6"/>
    <w:rsid w:val="00031286"/>
    <w:rsid w:val="00031558"/>
    <w:rsid w:val="00032335"/>
    <w:rsid w:val="00032783"/>
    <w:rsid w:val="00035948"/>
    <w:rsid w:val="000408C4"/>
    <w:rsid w:val="00041FE4"/>
    <w:rsid w:val="000451F8"/>
    <w:rsid w:val="000462B4"/>
    <w:rsid w:val="00046697"/>
    <w:rsid w:val="0004677D"/>
    <w:rsid w:val="00047873"/>
    <w:rsid w:val="00050590"/>
    <w:rsid w:val="00051366"/>
    <w:rsid w:val="000523DF"/>
    <w:rsid w:val="000526C6"/>
    <w:rsid w:val="00052B12"/>
    <w:rsid w:val="00053337"/>
    <w:rsid w:val="00054BA4"/>
    <w:rsid w:val="00055034"/>
    <w:rsid w:val="00055C21"/>
    <w:rsid w:val="000567A9"/>
    <w:rsid w:val="00056979"/>
    <w:rsid w:val="00057397"/>
    <w:rsid w:val="00061464"/>
    <w:rsid w:val="0006243C"/>
    <w:rsid w:val="0006264C"/>
    <w:rsid w:val="000657E0"/>
    <w:rsid w:val="0006634F"/>
    <w:rsid w:val="0006738D"/>
    <w:rsid w:val="000727F2"/>
    <w:rsid w:val="000731F0"/>
    <w:rsid w:val="000739F4"/>
    <w:rsid w:val="00073AE5"/>
    <w:rsid w:val="00073B7E"/>
    <w:rsid w:val="00074138"/>
    <w:rsid w:val="000743DD"/>
    <w:rsid w:val="0007588A"/>
    <w:rsid w:val="00075C4C"/>
    <w:rsid w:val="00081A37"/>
    <w:rsid w:val="00082B75"/>
    <w:rsid w:val="000834B0"/>
    <w:rsid w:val="000839BF"/>
    <w:rsid w:val="00084183"/>
    <w:rsid w:val="0008602F"/>
    <w:rsid w:val="000867B4"/>
    <w:rsid w:val="00086A4E"/>
    <w:rsid w:val="00090600"/>
    <w:rsid w:val="00090A00"/>
    <w:rsid w:val="00092B4C"/>
    <w:rsid w:val="000932AA"/>
    <w:rsid w:val="00093ABA"/>
    <w:rsid w:val="000958DC"/>
    <w:rsid w:val="000962DA"/>
    <w:rsid w:val="000A1518"/>
    <w:rsid w:val="000A1D01"/>
    <w:rsid w:val="000A2A84"/>
    <w:rsid w:val="000A32C6"/>
    <w:rsid w:val="000A3D02"/>
    <w:rsid w:val="000A3D83"/>
    <w:rsid w:val="000A4196"/>
    <w:rsid w:val="000A42C7"/>
    <w:rsid w:val="000A4B2E"/>
    <w:rsid w:val="000A4EA5"/>
    <w:rsid w:val="000A5821"/>
    <w:rsid w:val="000A7857"/>
    <w:rsid w:val="000B07DD"/>
    <w:rsid w:val="000B0E0C"/>
    <w:rsid w:val="000B0F4B"/>
    <w:rsid w:val="000B1C2C"/>
    <w:rsid w:val="000B58C4"/>
    <w:rsid w:val="000B7FD8"/>
    <w:rsid w:val="000C00DD"/>
    <w:rsid w:val="000C0146"/>
    <w:rsid w:val="000C22DB"/>
    <w:rsid w:val="000C2EFC"/>
    <w:rsid w:val="000C3B13"/>
    <w:rsid w:val="000C405E"/>
    <w:rsid w:val="000C4129"/>
    <w:rsid w:val="000C4762"/>
    <w:rsid w:val="000C562F"/>
    <w:rsid w:val="000C5D2D"/>
    <w:rsid w:val="000C5FC0"/>
    <w:rsid w:val="000D03B4"/>
    <w:rsid w:val="000D0F0A"/>
    <w:rsid w:val="000D1724"/>
    <w:rsid w:val="000D319D"/>
    <w:rsid w:val="000D4073"/>
    <w:rsid w:val="000D4EFB"/>
    <w:rsid w:val="000D705A"/>
    <w:rsid w:val="000D710C"/>
    <w:rsid w:val="000E06DD"/>
    <w:rsid w:val="000E0A69"/>
    <w:rsid w:val="000E583C"/>
    <w:rsid w:val="000E6476"/>
    <w:rsid w:val="000E6CD7"/>
    <w:rsid w:val="000F1A9B"/>
    <w:rsid w:val="000F422B"/>
    <w:rsid w:val="000F45A9"/>
    <w:rsid w:val="000F6854"/>
    <w:rsid w:val="000F782D"/>
    <w:rsid w:val="00100B7D"/>
    <w:rsid w:val="00100C85"/>
    <w:rsid w:val="00100D0A"/>
    <w:rsid w:val="00100FCD"/>
    <w:rsid w:val="0010167E"/>
    <w:rsid w:val="00101CB5"/>
    <w:rsid w:val="001033D2"/>
    <w:rsid w:val="00105014"/>
    <w:rsid w:val="0010666F"/>
    <w:rsid w:val="001114EB"/>
    <w:rsid w:val="001116C7"/>
    <w:rsid w:val="00111F41"/>
    <w:rsid w:val="00114DE5"/>
    <w:rsid w:val="00114EBA"/>
    <w:rsid w:val="001150A5"/>
    <w:rsid w:val="001212C2"/>
    <w:rsid w:val="0012276E"/>
    <w:rsid w:val="001239E7"/>
    <w:rsid w:val="00123E53"/>
    <w:rsid w:val="00123FC0"/>
    <w:rsid w:val="00126265"/>
    <w:rsid w:val="00126D87"/>
    <w:rsid w:val="00131F14"/>
    <w:rsid w:val="001329EB"/>
    <w:rsid w:val="001345C8"/>
    <w:rsid w:val="0013590F"/>
    <w:rsid w:val="00136485"/>
    <w:rsid w:val="00136D53"/>
    <w:rsid w:val="00137013"/>
    <w:rsid w:val="00141A54"/>
    <w:rsid w:val="00142470"/>
    <w:rsid w:val="0014425B"/>
    <w:rsid w:val="001451F2"/>
    <w:rsid w:val="001464DD"/>
    <w:rsid w:val="001500D3"/>
    <w:rsid w:val="00150BFF"/>
    <w:rsid w:val="00151441"/>
    <w:rsid w:val="00152074"/>
    <w:rsid w:val="00153D4C"/>
    <w:rsid w:val="0015550E"/>
    <w:rsid w:val="00156466"/>
    <w:rsid w:val="00156D44"/>
    <w:rsid w:val="001575FD"/>
    <w:rsid w:val="00161AEF"/>
    <w:rsid w:val="00162078"/>
    <w:rsid w:val="0016341A"/>
    <w:rsid w:val="001648CD"/>
    <w:rsid w:val="00165034"/>
    <w:rsid w:val="001652F8"/>
    <w:rsid w:val="00165833"/>
    <w:rsid w:val="00167ED2"/>
    <w:rsid w:val="00170C8C"/>
    <w:rsid w:val="001746B3"/>
    <w:rsid w:val="001748A0"/>
    <w:rsid w:val="00175AEB"/>
    <w:rsid w:val="001763A5"/>
    <w:rsid w:val="001808FB"/>
    <w:rsid w:val="001836F5"/>
    <w:rsid w:val="0018382C"/>
    <w:rsid w:val="0018390E"/>
    <w:rsid w:val="00183F9B"/>
    <w:rsid w:val="00185A39"/>
    <w:rsid w:val="00185F2C"/>
    <w:rsid w:val="00186A43"/>
    <w:rsid w:val="00186AEA"/>
    <w:rsid w:val="00186E6A"/>
    <w:rsid w:val="001876EA"/>
    <w:rsid w:val="00187C36"/>
    <w:rsid w:val="00187D88"/>
    <w:rsid w:val="0019037D"/>
    <w:rsid w:val="00193802"/>
    <w:rsid w:val="00193E56"/>
    <w:rsid w:val="00195612"/>
    <w:rsid w:val="0019594C"/>
    <w:rsid w:val="001961BF"/>
    <w:rsid w:val="00196A94"/>
    <w:rsid w:val="00196B7A"/>
    <w:rsid w:val="001974BF"/>
    <w:rsid w:val="0019756E"/>
    <w:rsid w:val="001A0BE4"/>
    <w:rsid w:val="001A4D34"/>
    <w:rsid w:val="001A67F1"/>
    <w:rsid w:val="001A761A"/>
    <w:rsid w:val="001B053F"/>
    <w:rsid w:val="001B1F0F"/>
    <w:rsid w:val="001B22E9"/>
    <w:rsid w:val="001B334A"/>
    <w:rsid w:val="001B3E78"/>
    <w:rsid w:val="001B4B2D"/>
    <w:rsid w:val="001B6C5B"/>
    <w:rsid w:val="001C269B"/>
    <w:rsid w:val="001C2CAE"/>
    <w:rsid w:val="001C4A5B"/>
    <w:rsid w:val="001C5AF6"/>
    <w:rsid w:val="001D0F62"/>
    <w:rsid w:val="001D2331"/>
    <w:rsid w:val="001D3913"/>
    <w:rsid w:val="001D5103"/>
    <w:rsid w:val="001E0521"/>
    <w:rsid w:val="001E0CB9"/>
    <w:rsid w:val="001E148C"/>
    <w:rsid w:val="001E3B05"/>
    <w:rsid w:val="001E5BB0"/>
    <w:rsid w:val="001E6EBF"/>
    <w:rsid w:val="001E6EC9"/>
    <w:rsid w:val="001E6EF9"/>
    <w:rsid w:val="001F035E"/>
    <w:rsid w:val="001F1E7D"/>
    <w:rsid w:val="001F2E29"/>
    <w:rsid w:val="001F492D"/>
    <w:rsid w:val="001F4AF0"/>
    <w:rsid w:val="001F64F5"/>
    <w:rsid w:val="001F79FC"/>
    <w:rsid w:val="001F7DBD"/>
    <w:rsid w:val="0020030E"/>
    <w:rsid w:val="00203068"/>
    <w:rsid w:val="00205336"/>
    <w:rsid w:val="00206D18"/>
    <w:rsid w:val="0021013C"/>
    <w:rsid w:val="0021025F"/>
    <w:rsid w:val="00210F41"/>
    <w:rsid w:val="002120D0"/>
    <w:rsid w:val="002125E6"/>
    <w:rsid w:val="00215638"/>
    <w:rsid w:val="0021668E"/>
    <w:rsid w:val="002200EF"/>
    <w:rsid w:val="00220283"/>
    <w:rsid w:val="00224333"/>
    <w:rsid w:val="00224CDC"/>
    <w:rsid w:val="002270B2"/>
    <w:rsid w:val="00230304"/>
    <w:rsid w:val="00230D10"/>
    <w:rsid w:val="002320BC"/>
    <w:rsid w:val="002332EA"/>
    <w:rsid w:val="00233846"/>
    <w:rsid w:val="002342C9"/>
    <w:rsid w:val="00241AF6"/>
    <w:rsid w:val="00242277"/>
    <w:rsid w:val="00244015"/>
    <w:rsid w:val="0024529B"/>
    <w:rsid w:val="00245E6C"/>
    <w:rsid w:val="002470DA"/>
    <w:rsid w:val="0025006F"/>
    <w:rsid w:val="00250692"/>
    <w:rsid w:val="002509D0"/>
    <w:rsid w:val="002510B3"/>
    <w:rsid w:val="00252DDB"/>
    <w:rsid w:val="0025359C"/>
    <w:rsid w:val="00254F39"/>
    <w:rsid w:val="002554B2"/>
    <w:rsid w:val="00255D4B"/>
    <w:rsid w:val="00262A61"/>
    <w:rsid w:val="00263B9A"/>
    <w:rsid w:val="00265F18"/>
    <w:rsid w:val="002665C5"/>
    <w:rsid w:val="002703E3"/>
    <w:rsid w:val="00272326"/>
    <w:rsid w:val="0027252A"/>
    <w:rsid w:val="00275DAB"/>
    <w:rsid w:val="002765B2"/>
    <w:rsid w:val="00277B58"/>
    <w:rsid w:val="00280D8F"/>
    <w:rsid w:val="00281347"/>
    <w:rsid w:val="002857AA"/>
    <w:rsid w:val="0029048E"/>
    <w:rsid w:val="00290AEB"/>
    <w:rsid w:val="00291539"/>
    <w:rsid w:val="00292632"/>
    <w:rsid w:val="00294EBC"/>
    <w:rsid w:val="0029626C"/>
    <w:rsid w:val="00297B8B"/>
    <w:rsid w:val="00297D0C"/>
    <w:rsid w:val="002A0B7A"/>
    <w:rsid w:val="002A0C3D"/>
    <w:rsid w:val="002A0C82"/>
    <w:rsid w:val="002A1E56"/>
    <w:rsid w:val="002A4317"/>
    <w:rsid w:val="002A7785"/>
    <w:rsid w:val="002A7D03"/>
    <w:rsid w:val="002B067F"/>
    <w:rsid w:val="002B06DF"/>
    <w:rsid w:val="002B3263"/>
    <w:rsid w:val="002B3FE9"/>
    <w:rsid w:val="002B4920"/>
    <w:rsid w:val="002B5EB0"/>
    <w:rsid w:val="002B6D25"/>
    <w:rsid w:val="002B7D1D"/>
    <w:rsid w:val="002C0169"/>
    <w:rsid w:val="002C0185"/>
    <w:rsid w:val="002C05BF"/>
    <w:rsid w:val="002C0964"/>
    <w:rsid w:val="002C2154"/>
    <w:rsid w:val="002C3905"/>
    <w:rsid w:val="002C3D68"/>
    <w:rsid w:val="002C67ED"/>
    <w:rsid w:val="002C7DDE"/>
    <w:rsid w:val="002D2A3C"/>
    <w:rsid w:val="002D44CE"/>
    <w:rsid w:val="002D5D7E"/>
    <w:rsid w:val="002D6435"/>
    <w:rsid w:val="002D73AE"/>
    <w:rsid w:val="002D761E"/>
    <w:rsid w:val="002E1456"/>
    <w:rsid w:val="002E14BC"/>
    <w:rsid w:val="002E2016"/>
    <w:rsid w:val="002E372F"/>
    <w:rsid w:val="002E38A1"/>
    <w:rsid w:val="002E53EC"/>
    <w:rsid w:val="002E7B45"/>
    <w:rsid w:val="002F0D48"/>
    <w:rsid w:val="002F2816"/>
    <w:rsid w:val="002F3919"/>
    <w:rsid w:val="002F5A38"/>
    <w:rsid w:val="002F7453"/>
    <w:rsid w:val="002F797B"/>
    <w:rsid w:val="00302602"/>
    <w:rsid w:val="0030262F"/>
    <w:rsid w:val="00303C8B"/>
    <w:rsid w:val="00306772"/>
    <w:rsid w:val="00306A59"/>
    <w:rsid w:val="00306EED"/>
    <w:rsid w:val="00306F89"/>
    <w:rsid w:val="00311669"/>
    <w:rsid w:val="0031253B"/>
    <w:rsid w:val="00314009"/>
    <w:rsid w:val="00315A72"/>
    <w:rsid w:val="0031795E"/>
    <w:rsid w:val="00321BCE"/>
    <w:rsid w:val="003230A0"/>
    <w:rsid w:val="00323546"/>
    <w:rsid w:val="0032451F"/>
    <w:rsid w:val="003245A1"/>
    <w:rsid w:val="00327B03"/>
    <w:rsid w:val="00331FC6"/>
    <w:rsid w:val="0033261E"/>
    <w:rsid w:val="003331D2"/>
    <w:rsid w:val="00333BEC"/>
    <w:rsid w:val="00334A11"/>
    <w:rsid w:val="00335BD1"/>
    <w:rsid w:val="00336D9A"/>
    <w:rsid w:val="003419CA"/>
    <w:rsid w:val="00342078"/>
    <w:rsid w:val="00343E79"/>
    <w:rsid w:val="00346A47"/>
    <w:rsid w:val="0035067D"/>
    <w:rsid w:val="00351E9C"/>
    <w:rsid w:val="00352BE5"/>
    <w:rsid w:val="003534C0"/>
    <w:rsid w:val="00354318"/>
    <w:rsid w:val="00354A64"/>
    <w:rsid w:val="00354A79"/>
    <w:rsid w:val="00355FC0"/>
    <w:rsid w:val="00356142"/>
    <w:rsid w:val="00356AD1"/>
    <w:rsid w:val="00361262"/>
    <w:rsid w:val="00361C9E"/>
    <w:rsid w:val="00364647"/>
    <w:rsid w:val="0037029D"/>
    <w:rsid w:val="00370C8A"/>
    <w:rsid w:val="0037288F"/>
    <w:rsid w:val="00372E53"/>
    <w:rsid w:val="00373951"/>
    <w:rsid w:val="0037405F"/>
    <w:rsid w:val="00374782"/>
    <w:rsid w:val="00375F76"/>
    <w:rsid w:val="0037714C"/>
    <w:rsid w:val="00381E2B"/>
    <w:rsid w:val="00382A01"/>
    <w:rsid w:val="00383BFA"/>
    <w:rsid w:val="00384FE6"/>
    <w:rsid w:val="003851CE"/>
    <w:rsid w:val="00385AB6"/>
    <w:rsid w:val="00386948"/>
    <w:rsid w:val="00386C0A"/>
    <w:rsid w:val="00390404"/>
    <w:rsid w:val="003924E0"/>
    <w:rsid w:val="00394101"/>
    <w:rsid w:val="00395323"/>
    <w:rsid w:val="00395A66"/>
    <w:rsid w:val="0039654A"/>
    <w:rsid w:val="0039658A"/>
    <w:rsid w:val="00396685"/>
    <w:rsid w:val="003A44B1"/>
    <w:rsid w:val="003B035C"/>
    <w:rsid w:val="003B07A2"/>
    <w:rsid w:val="003B0FE8"/>
    <w:rsid w:val="003B16C0"/>
    <w:rsid w:val="003B18B7"/>
    <w:rsid w:val="003B1AB5"/>
    <w:rsid w:val="003B1E98"/>
    <w:rsid w:val="003B22D9"/>
    <w:rsid w:val="003B2875"/>
    <w:rsid w:val="003B3290"/>
    <w:rsid w:val="003B3755"/>
    <w:rsid w:val="003B4511"/>
    <w:rsid w:val="003B4C27"/>
    <w:rsid w:val="003B6F87"/>
    <w:rsid w:val="003C0054"/>
    <w:rsid w:val="003C0851"/>
    <w:rsid w:val="003C14AB"/>
    <w:rsid w:val="003C1E7C"/>
    <w:rsid w:val="003C668B"/>
    <w:rsid w:val="003D1437"/>
    <w:rsid w:val="003D2EDB"/>
    <w:rsid w:val="003D3B7C"/>
    <w:rsid w:val="003D629B"/>
    <w:rsid w:val="003D6FFA"/>
    <w:rsid w:val="003D72B6"/>
    <w:rsid w:val="003E35F5"/>
    <w:rsid w:val="003E44CB"/>
    <w:rsid w:val="003E5C6E"/>
    <w:rsid w:val="003F2938"/>
    <w:rsid w:val="003F3163"/>
    <w:rsid w:val="003F3CC4"/>
    <w:rsid w:val="003F4247"/>
    <w:rsid w:val="003F4F88"/>
    <w:rsid w:val="003F5463"/>
    <w:rsid w:val="003F6822"/>
    <w:rsid w:val="003F7462"/>
    <w:rsid w:val="00400273"/>
    <w:rsid w:val="00400415"/>
    <w:rsid w:val="00400F8F"/>
    <w:rsid w:val="00401075"/>
    <w:rsid w:val="00403397"/>
    <w:rsid w:val="00404202"/>
    <w:rsid w:val="00405597"/>
    <w:rsid w:val="004056A0"/>
    <w:rsid w:val="004065C5"/>
    <w:rsid w:val="00406C2F"/>
    <w:rsid w:val="004071DA"/>
    <w:rsid w:val="0041210C"/>
    <w:rsid w:val="004142F8"/>
    <w:rsid w:val="00420862"/>
    <w:rsid w:val="00420880"/>
    <w:rsid w:val="00421009"/>
    <w:rsid w:val="004233F9"/>
    <w:rsid w:val="0042372A"/>
    <w:rsid w:val="004259A8"/>
    <w:rsid w:val="00425ACB"/>
    <w:rsid w:val="00425E38"/>
    <w:rsid w:val="00427793"/>
    <w:rsid w:val="004277FA"/>
    <w:rsid w:val="00430020"/>
    <w:rsid w:val="00431D7B"/>
    <w:rsid w:val="004347BF"/>
    <w:rsid w:val="00434EDB"/>
    <w:rsid w:val="00436108"/>
    <w:rsid w:val="004368E1"/>
    <w:rsid w:val="00436A1E"/>
    <w:rsid w:val="00437349"/>
    <w:rsid w:val="00437F68"/>
    <w:rsid w:val="00440010"/>
    <w:rsid w:val="00441691"/>
    <w:rsid w:val="00442203"/>
    <w:rsid w:val="00442832"/>
    <w:rsid w:val="004440D6"/>
    <w:rsid w:val="0044451B"/>
    <w:rsid w:val="00446C23"/>
    <w:rsid w:val="00447598"/>
    <w:rsid w:val="00447BD4"/>
    <w:rsid w:val="00447F5D"/>
    <w:rsid w:val="00450C35"/>
    <w:rsid w:val="00451934"/>
    <w:rsid w:val="004522CD"/>
    <w:rsid w:val="00453DA2"/>
    <w:rsid w:val="00454103"/>
    <w:rsid w:val="004569C9"/>
    <w:rsid w:val="00457905"/>
    <w:rsid w:val="00457964"/>
    <w:rsid w:val="004643AF"/>
    <w:rsid w:val="00464C62"/>
    <w:rsid w:val="00465A54"/>
    <w:rsid w:val="004677D8"/>
    <w:rsid w:val="00470E65"/>
    <w:rsid w:val="00472927"/>
    <w:rsid w:val="00474121"/>
    <w:rsid w:val="004746B7"/>
    <w:rsid w:val="00474A2F"/>
    <w:rsid w:val="004753B1"/>
    <w:rsid w:val="00476556"/>
    <w:rsid w:val="00481A4F"/>
    <w:rsid w:val="004837E8"/>
    <w:rsid w:val="00484A3D"/>
    <w:rsid w:val="0048581D"/>
    <w:rsid w:val="004859C3"/>
    <w:rsid w:val="00485EDF"/>
    <w:rsid w:val="00490A1F"/>
    <w:rsid w:val="004924E2"/>
    <w:rsid w:val="0049282E"/>
    <w:rsid w:val="0049425B"/>
    <w:rsid w:val="00494369"/>
    <w:rsid w:val="00495D47"/>
    <w:rsid w:val="004967DA"/>
    <w:rsid w:val="004A0510"/>
    <w:rsid w:val="004A11B8"/>
    <w:rsid w:val="004A228D"/>
    <w:rsid w:val="004A2B4F"/>
    <w:rsid w:val="004A6596"/>
    <w:rsid w:val="004A7A3A"/>
    <w:rsid w:val="004A7ED0"/>
    <w:rsid w:val="004B1CB6"/>
    <w:rsid w:val="004B2E17"/>
    <w:rsid w:val="004B31F5"/>
    <w:rsid w:val="004B42C6"/>
    <w:rsid w:val="004B46E7"/>
    <w:rsid w:val="004B4E67"/>
    <w:rsid w:val="004B56B6"/>
    <w:rsid w:val="004B58B4"/>
    <w:rsid w:val="004B7913"/>
    <w:rsid w:val="004B7CD4"/>
    <w:rsid w:val="004C1A76"/>
    <w:rsid w:val="004C2D18"/>
    <w:rsid w:val="004C3CC5"/>
    <w:rsid w:val="004D17B5"/>
    <w:rsid w:val="004D1CAF"/>
    <w:rsid w:val="004D1D4C"/>
    <w:rsid w:val="004D2D2B"/>
    <w:rsid w:val="004D438D"/>
    <w:rsid w:val="004D6AA0"/>
    <w:rsid w:val="004D6EA3"/>
    <w:rsid w:val="004D7C5A"/>
    <w:rsid w:val="004E095F"/>
    <w:rsid w:val="004E0DC1"/>
    <w:rsid w:val="004E2BA2"/>
    <w:rsid w:val="004E3AD2"/>
    <w:rsid w:val="004E4ECE"/>
    <w:rsid w:val="004E77BC"/>
    <w:rsid w:val="004E7C5E"/>
    <w:rsid w:val="004F053A"/>
    <w:rsid w:val="004F2BA1"/>
    <w:rsid w:val="004F4A10"/>
    <w:rsid w:val="004F6640"/>
    <w:rsid w:val="004F6D0A"/>
    <w:rsid w:val="004F761A"/>
    <w:rsid w:val="00500450"/>
    <w:rsid w:val="005023EE"/>
    <w:rsid w:val="00503CA8"/>
    <w:rsid w:val="0051137A"/>
    <w:rsid w:val="00511759"/>
    <w:rsid w:val="00512F35"/>
    <w:rsid w:val="00515F84"/>
    <w:rsid w:val="00516884"/>
    <w:rsid w:val="00516E92"/>
    <w:rsid w:val="0051796C"/>
    <w:rsid w:val="0052149F"/>
    <w:rsid w:val="005234C2"/>
    <w:rsid w:val="00523933"/>
    <w:rsid w:val="00524715"/>
    <w:rsid w:val="00526ED9"/>
    <w:rsid w:val="005275DB"/>
    <w:rsid w:val="0053406C"/>
    <w:rsid w:val="00534655"/>
    <w:rsid w:val="0053654A"/>
    <w:rsid w:val="005379D8"/>
    <w:rsid w:val="00537DFF"/>
    <w:rsid w:val="005437F7"/>
    <w:rsid w:val="0054439D"/>
    <w:rsid w:val="005455D7"/>
    <w:rsid w:val="0054613F"/>
    <w:rsid w:val="00546F02"/>
    <w:rsid w:val="0054726C"/>
    <w:rsid w:val="00547477"/>
    <w:rsid w:val="00550637"/>
    <w:rsid w:val="00550C15"/>
    <w:rsid w:val="00551E54"/>
    <w:rsid w:val="00552A5B"/>
    <w:rsid w:val="00553A9F"/>
    <w:rsid w:val="00555666"/>
    <w:rsid w:val="005557AE"/>
    <w:rsid w:val="005563F8"/>
    <w:rsid w:val="0055769A"/>
    <w:rsid w:val="005603D7"/>
    <w:rsid w:val="00560776"/>
    <w:rsid w:val="005651F2"/>
    <w:rsid w:val="00566BF2"/>
    <w:rsid w:val="00566C37"/>
    <w:rsid w:val="00567FBF"/>
    <w:rsid w:val="0057020D"/>
    <w:rsid w:val="005710B2"/>
    <w:rsid w:val="005715A3"/>
    <w:rsid w:val="00573BBC"/>
    <w:rsid w:val="005758DC"/>
    <w:rsid w:val="00575EC8"/>
    <w:rsid w:val="005770E1"/>
    <w:rsid w:val="00577D3B"/>
    <w:rsid w:val="00583ED8"/>
    <w:rsid w:val="00585C10"/>
    <w:rsid w:val="00585D18"/>
    <w:rsid w:val="00586DE8"/>
    <w:rsid w:val="005873E6"/>
    <w:rsid w:val="005876D8"/>
    <w:rsid w:val="00590091"/>
    <w:rsid w:val="00591013"/>
    <w:rsid w:val="0059168E"/>
    <w:rsid w:val="00591E80"/>
    <w:rsid w:val="0059553F"/>
    <w:rsid w:val="00595B7E"/>
    <w:rsid w:val="00596787"/>
    <w:rsid w:val="005A6B6C"/>
    <w:rsid w:val="005B0EA2"/>
    <w:rsid w:val="005B3818"/>
    <w:rsid w:val="005B3A59"/>
    <w:rsid w:val="005B479D"/>
    <w:rsid w:val="005B4B72"/>
    <w:rsid w:val="005B52B1"/>
    <w:rsid w:val="005B5AEB"/>
    <w:rsid w:val="005C08FA"/>
    <w:rsid w:val="005C0B06"/>
    <w:rsid w:val="005C10F2"/>
    <w:rsid w:val="005C3E17"/>
    <w:rsid w:val="005D1258"/>
    <w:rsid w:val="005D3DE5"/>
    <w:rsid w:val="005D691C"/>
    <w:rsid w:val="005D72BC"/>
    <w:rsid w:val="005D7BAC"/>
    <w:rsid w:val="005E0927"/>
    <w:rsid w:val="005E0EB8"/>
    <w:rsid w:val="005E1042"/>
    <w:rsid w:val="005E290B"/>
    <w:rsid w:val="005E38D1"/>
    <w:rsid w:val="005E61DB"/>
    <w:rsid w:val="005F038E"/>
    <w:rsid w:val="005F28F4"/>
    <w:rsid w:val="005F39AC"/>
    <w:rsid w:val="005F4D96"/>
    <w:rsid w:val="005F6B77"/>
    <w:rsid w:val="006003EE"/>
    <w:rsid w:val="00605067"/>
    <w:rsid w:val="00605136"/>
    <w:rsid w:val="0060560B"/>
    <w:rsid w:val="00606299"/>
    <w:rsid w:val="006063A3"/>
    <w:rsid w:val="00606464"/>
    <w:rsid w:val="00606E5C"/>
    <w:rsid w:val="0060753A"/>
    <w:rsid w:val="00610DCC"/>
    <w:rsid w:val="006120A9"/>
    <w:rsid w:val="00612C9E"/>
    <w:rsid w:val="0061315B"/>
    <w:rsid w:val="00614B06"/>
    <w:rsid w:val="00614DE1"/>
    <w:rsid w:val="006169D0"/>
    <w:rsid w:val="00616C8F"/>
    <w:rsid w:val="00616EAA"/>
    <w:rsid w:val="006173CA"/>
    <w:rsid w:val="0062060B"/>
    <w:rsid w:val="00621870"/>
    <w:rsid w:val="00626234"/>
    <w:rsid w:val="00627813"/>
    <w:rsid w:val="00630CE7"/>
    <w:rsid w:val="00633FA7"/>
    <w:rsid w:val="006345DE"/>
    <w:rsid w:val="00635F76"/>
    <w:rsid w:val="0064178E"/>
    <w:rsid w:val="00642162"/>
    <w:rsid w:val="00643045"/>
    <w:rsid w:val="00644F81"/>
    <w:rsid w:val="0064574D"/>
    <w:rsid w:val="00645C78"/>
    <w:rsid w:val="00646470"/>
    <w:rsid w:val="00646570"/>
    <w:rsid w:val="00650EC4"/>
    <w:rsid w:val="00652426"/>
    <w:rsid w:val="0065519A"/>
    <w:rsid w:val="0065793E"/>
    <w:rsid w:val="006622F0"/>
    <w:rsid w:val="00662776"/>
    <w:rsid w:val="00665609"/>
    <w:rsid w:val="006666FB"/>
    <w:rsid w:val="00666D76"/>
    <w:rsid w:val="0066748C"/>
    <w:rsid w:val="0066780A"/>
    <w:rsid w:val="00667F67"/>
    <w:rsid w:val="00670139"/>
    <w:rsid w:val="006708E4"/>
    <w:rsid w:val="00670BD0"/>
    <w:rsid w:val="006733AC"/>
    <w:rsid w:val="006738C0"/>
    <w:rsid w:val="006747D0"/>
    <w:rsid w:val="00676BDE"/>
    <w:rsid w:val="00677EB4"/>
    <w:rsid w:val="00680E92"/>
    <w:rsid w:val="00680F34"/>
    <w:rsid w:val="006815B2"/>
    <w:rsid w:val="00682060"/>
    <w:rsid w:val="006820AD"/>
    <w:rsid w:val="006825D3"/>
    <w:rsid w:val="006826F0"/>
    <w:rsid w:val="00682A5F"/>
    <w:rsid w:val="00682AC8"/>
    <w:rsid w:val="00682BF1"/>
    <w:rsid w:val="00683B04"/>
    <w:rsid w:val="0068510B"/>
    <w:rsid w:val="00687E71"/>
    <w:rsid w:val="00690343"/>
    <w:rsid w:val="00693EA5"/>
    <w:rsid w:val="006959B9"/>
    <w:rsid w:val="00695A3E"/>
    <w:rsid w:val="006A0565"/>
    <w:rsid w:val="006A0C8E"/>
    <w:rsid w:val="006A357E"/>
    <w:rsid w:val="006A45A1"/>
    <w:rsid w:val="006A4E33"/>
    <w:rsid w:val="006A5CDB"/>
    <w:rsid w:val="006A66F3"/>
    <w:rsid w:val="006A6791"/>
    <w:rsid w:val="006A7FB3"/>
    <w:rsid w:val="006A7FB6"/>
    <w:rsid w:val="006B3179"/>
    <w:rsid w:val="006B3693"/>
    <w:rsid w:val="006B43B6"/>
    <w:rsid w:val="006B6634"/>
    <w:rsid w:val="006B728F"/>
    <w:rsid w:val="006B7390"/>
    <w:rsid w:val="006B73C5"/>
    <w:rsid w:val="006B791C"/>
    <w:rsid w:val="006C2713"/>
    <w:rsid w:val="006C28C6"/>
    <w:rsid w:val="006C34E1"/>
    <w:rsid w:val="006C434D"/>
    <w:rsid w:val="006C4C0E"/>
    <w:rsid w:val="006C5CD3"/>
    <w:rsid w:val="006C5DBB"/>
    <w:rsid w:val="006D1852"/>
    <w:rsid w:val="006D2D0E"/>
    <w:rsid w:val="006D4E10"/>
    <w:rsid w:val="006D539E"/>
    <w:rsid w:val="006D634E"/>
    <w:rsid w:val="006D73C5"/>
    <w:rsid w:val="006D7AEE"/>
    <w:rsid w:val="006E0F4A"/>
    <w:rsid w:val="006E1B6F"/>
    <w:rsid w:val="006E280B"/>
    <w:rsid w:val="006E3610"/>
    <w:rsid w:val="006E3819"/>
    <w:rsid w:val="006E3977"/>
    <w:rsid w:val="006E3EA3"/>
    <w:rsid w:val="006E57C3"/>
    <w:rsid w:val="006E5B7C"/>
    <w:rsid w:val="006E6C7E"/>
    <w:rsid w:val="006E7325"/>
    <w:rsid w:val="006E7778"/>
    <w:rsid w:val="006F19FC"/>
    <w:rsid w:val="006F6F4D"/>
    <w:rsid w:val="006F72D9"/>
    <w:rsid w:val="006F74F3"/>
    <w:rsid w:val="00703E8A"/>
    <w:rsid w:val="00704355"/>
    <w:rsid w:val="00706597"/>
    <w:rsid w:val="007068BA"/>
    <w:rsid w:val="00707430"/>
    <w:rsid w:val="00707A0B"/>
    <w:rsid w:val="00707B59"/>
    <w:rsid w:val="00710A76"/>
    <w:rsid w:val="0071161C"/>
    <w:rsid w:val="0071197C"/>
    <w:rsid w:val="00716115"/>
    <w:rsid w:val="00716B69"/>
    <w:rsid w:val="00721582"/>
    <w:rsid w:val="00721914"/>
    <w:rsid w:val="007236E6"/>
    <w:rsid w:val="00724271"/>
    <w:rsid w:val="0072427E"/>
    <w:rsid w:val="0073057D"/>
    <w:rsid w:val="00730609"/>
    <w:rsid w:val="00731DA2"/>
    <w:rsid w:val="0073276D"/>
    <w:rsid w:val="00734122"/>
    <w:rsid w:val="007352A4"/>
    <w:rsid w:val="00736FE3"/>
    <w:rsid w:val="00737F15"/>
    <w:rsid w:val="0074082A"/>
    <w:rsid w:val="007423F5"/>
    <w:rsid w:val="00742877"/>
    <w:rsid w:val="0074393D"/>
    <w:rsid w:val="00743991"/>
    <w:rsid w:val="00746AD4"/>
    <w:rsid w:val="00750B7E"/>
    <w:rsid w:val="007515C4"/>
    <w:rsid w:val="007522B7"/>
    <w:rsid w:val="0075277D"/>
    <w:rsid w:val="00753D14"/>
    <w:rsid w:val="007540CC"/>
    <w:rsid w:val="00755A08"/>
    <w:rsid w:val="00756231"/>
    <w:rsid w:val="00757287"/>
    <w:rsid w:val="00757D3C"/>
    <w:rsid w:val="007604E9"/>
    <w:rsid w:val="00762466"/>
    <w:rsid w:val="00763F24"/>
    <w:rsid w:val="00764146"/>
    <w:rsid w:val="007646F7"/>
    <w:rsid w:val="00764BF3"/>
    <w:rsid w:val="0076635D"/>
    <w:rsid w:val="007663CC"/>
    <w:rsid w:val="00766C89"/>
    <w:rsid w:val="00766D98"/>
    <w:rsid w:val="007673B6"/>
    <w:rsid w:val="007707AA"/>
    <w:rsid w:val="007743FD"/>
    <w:rsid w:val="00774962"/>
    <w:rsid w:val="007759C4"/>
    <w:rsid w:val="00775F64"/>
    <w:rsid w:val="00776970"/>
    <w:rsid w:val="00777FC5"/>
    <w:rsid w:val="00780DCA"/>
    <w:rsid w:val="00781660"/>
    <w:rsid w:val="00781787"/>
    <w:rsid w:val="007818C9"/>
    <w:rsid w:val="00782920"/>
    <w:rsid w:val="00783992"/>
    <w:rsid w:val="007865E1"/>
    <w:rsid w:val="007866F2"/>
    <w:rsid w:val="00790706"/>
    <w:rsid w:val="007A009E"/>
    <w:rsid w:val="007A01F7"/>
    <w:rsid w:val="007A0F8C"/>
    <w:rsid w:val="007A13C0"/>
    <w:rsid w:val="007A4490"/>
    <w:rsid w:val="007A4EE5"/>
    <w:rsid w:val="007A4F56"/>
    <w:rsid w:val="007A7069"/>
    <w:rsid w:val="007A70D1"/>
    <w:rsid w:val="007A7526"/>
    <w:rsid w:val="007A7C36"/>
    <w:rsid w:val="007B100D"/>
    <w:rsid w:val="007B1854"/>
    <w:rsid w:val="007B283B"/>
    <w:rsid w:val="007B2F12"/>
    <w:rsid w:val="007B4385"/>
    <w:rsid w:val="007B5FA8"/>
    <w:rsid w:val="007B6900"/>
    <w:rsid w:val="007B7884"/>
    <w:rsid w:val="007C0294"/>
    <w:rsid w:val="007C12CC"/>
    <w:rsid w:val="007C307B"/>
    <w:rsid w:val="007C3B0F"/>
    <w:rsid w:val="007C563E"/>
    <w:rsid w:val="007C6221"/>
    <w:rsid w:val="007D1C04"/>
    <w:rsid w:val="007D2B50"/>
    <w:rsid w:val="007D39E5"/>
    <w:rsid w:val="007D3ECA"/>
    <w:rsid w:val="007D425A"/>
    <w:rsid w:val="007D54E9"/>
    <w:rsid w:val="007D5A19"/>
    <w:rsid w:val="007D6CCB"/>
    <w:rsid w:val="007E193D"/>
    <w:rsid w:val="007E31A6"/>
    <w:rsid w:val="007E37B8"/>
    <w:rsid w:val="007E4D85"/>
    <w:rsid w:val="007E4F90"/>
    <w:rsid w:val="007F00ED"/>
    <w:rsid w:val="007F2474"/>
    <w:rsid w:val="007F5FAD"/>
    <w:rsid w:val="007F620C"/>
    <w:rsid w:val="008004E8"/>
    <w:rsid w:val="00801B05"/>
    <w:rsid w:val="008025D3"/>
    <w:rsid w:val="00807A32"/>
    <w:rsid w:val="00807BB1"/>
    <w:rsid w:val="008102C8"/>
    <w:rsid w:val="00810C97"/>
    <w:rsid w:val="008127C3"/>
    <w:rsid w:val="008134EF"/>
    <w:rsid w:val="008139F7"/>
    <w:rsid w:val="00813B77"/>
    <w:rsid w:val="008159D7"/>
    <w:rsid w:val="00816AC0"/>
    <w:rsid w:val="0081715B"/>
    <w:rsid w:val="00817C5D"/>
    <w:rsid w:val="00817D26"/>
    <w:rsid w:val="00817F70"/>
    <w:rsid w:val="00821A14"/>
    <w:rsid w:val="00821BCD"/>
    <w:rsid w:val="00821FBB"/>
    <w:rsid w:val="008265AD"/>
    <w:rsid w:val="008266FA"/>
    <w:rsid w:val="00830484"/>
    <w:rsid w:val="00830A98"/>
    <w:rsid w:val="00831330"/>
    <w:rsid w:val="00831AF4"/>
    <w:rsid w:val="00835E74"/>
    <w:rsid w:val="008373DB"/>
    <w:rsid w:val="00840B26"/>
    <w:rsid w:val="00840D1C"/>
    <w:rsid w:val="00841CA6"/>
    <w:rsid w:val="00843A50"/>
    <w:rsid w:val="00843C8D"/>
    <w:rsid w:val="00844361"/>
    <w:rsid w:val="00845524"/>
    <w:rsid w:val="00847236"/>
    <w:rsid w:val="008510BC"/>
    <w:rsid w:val="00851335"/>
    <w:rsid w:val="00851D92"/>
    <w:rsid w:val="00852BC0"/>
    <w:rsid w:val="00852E08"/>
    <w:rsid w:val="00855B24"/>
    <w:rsid w:val="00857EA5"/>
    <w:rsid w:val="00863B9D"/>
    <w:rsid w:val="00865464"/>
    <w:rsid w:val="0087069A"/>
    <w:rsid w:val="008708ED"/>
    <w:rsid w:val="0087135D"/>
    <w:rsid w:val="00874451"/>
    <w:rsid w:val="00875714"/>
    <w:rsid w:val="00877038"/>
    <w:rsid w:val="00882E0C"/>
    <w:rsid w:val="008834FA"/>
    <w:rsid w:val="00885488"/>
    <w:rsid w:val="00887A37"/>
    <w:rsid w:val="008944AF"/>
    <w:rsid w:val="0089587E"/>
    <w:rsid w:val="008970D5"/>
    <w:rsid w:val="00897B8F"/>
    <w:rsid w:val="008A0B92"/>
    <w:rsid w:val="008A1079"/>
    <w:rsid w:val="008A1875"/>
    <w:rsid w:val="008A18B8"/>
    <w:rsid w:val="008A3B23"/>
    <w:rsid w:val="008A3E63"/>
    <w:rsid w:val="008A4078"/>
    <w:rsid w:val="008A51A9"/>
    <w:rsid w:val="008A65D1"/>
    <w:rsid w:val="008B0085"/>
    <w:rsid w:val="008B11D6"/>
    <w:rsid w:val="008B2B51"/>
    <w:rsid w:val="008B3453"/>
    <w:rsid w:val="008B346E"/>
    <w:rsid w:val="008B4E2A"/>
    <w:rsid w:val="008B5136"/>
    <w:rsid w:val="008B68FD"/>
    <w:rsid w:val="008C2E09"/>
    <w:rsid w:val="008C32D0"/>
    <w:rsid w:val="008C3677"/>
    <w:rsid w:val="008C3970"/>
    <w:rsid w:val="008C48F8"/>
    <w:rsid w:val="008C764C"/>
    <w:rsid w:val="008D03F0"/>
    <w:rsid w:val="008D3C61"/>
    <w:rsid w:val="008D4DE9"/>
    <w:rsid w:val="008D6485"/>
    <w:rsid w:val="008D706D"/>
    <w:rsid w:val="008E1ADA"/>
    <w:rsid w:val="008E1C35"/>
    <w:rsid w:val="008E2427"/>
    <w:rsid w:val="008E46ED"/>
    <w:rsid w:val="008E4D9D"/>
    <w:rsid w:val="008E5112"/>
    <w:rsid w:val="008E512D"/>
    <w:rsid w:val="008E5891"/>
    <w:rsid w:val="008E5F09"/>
    <w:rsid w:val="008F1A08"/>
    <w:rsid w:val="008F1DDA"/>
    <w:rsid w:val="008F2108"/>
    <w:rsid w:val="008F39B8"/>
    <w:rsid w:val="008F6B8B"/>
    <w:rsid w:val="00901748"/>
    <w:rsid w:val="009018E5"/>
    <w:rsid w:val="009019CF"/>
    <w:rsid w:val="00901C1E"/>
    <w:rsid w:val="00902CF4"/>
    <w:rsid w:val="0090478A"/>
    <w:rsid w:val="009056D3"/>
    <w:rsid w:val="00905841"/>
    <w:rsid w:val="00907D77"/>
    <w:rsid w:val="00910F99"/>
    <w:rsid w:val="00913ABE"/>
    <w:rsid w:val="00914BDD"/>
    <w:rsid w:val="00916557"/>
    <w:rsid w:val="0091761E"/>
    <w:rsid w:val="00920FF1"/>
    <w:rsid w:val="00921695"/>
    <w:rsid w:val="009221E3"/>
    <w:rsid w:val="0092358B"/>
    <w:rsid w:val="009235E0"/>
    <w:rsid w:val="00924A8B"/>
    <w:rsid w:val="0092521F"/>
    <w:rsid w:val="0092555F"/>
    <w:rsid w:val="00926E97"/>
    <w:rsid w:val="0092700A"/>
    <w:rsid w:val="00927144"/>
    <w:rsid w:val="00927B59"/>
    <w:rsid w:val="009306D2"/>
    <w:rsid w:val="00931F6A"/>
    <w:rsid w:val="00932A46"/>
    <w:rsid w:val="00933D99"/>
    <w:rsid w:val="009346ED"/>
    <w:rsid w:val="00934EE5"/>
    <w:rsid w:val="00935053"/>
    <w:rsid w:val="0093520D"/>
    <w:rsid w:val="00935392"/>
    <w:rsid w:val="0093790A"/>
    <w:rsid w:val="009417EE"/>
    <w:rsid w:val="00945A9B"/>
    <w:rsid w:val="00951C0F"/>
    <w:rsid w:val="00953320"/>
    <w:rsid w:val="00954A78"/>
    <w:rsid w:val="0095527F"/>
    <w:rsid w:val="009618EC"/>
    <w:rsid w:val="00961BBD"/>
    <w:rsid w:val="0096295D"/>
    <w:rsid w:val="00964479"/>
    <w:rsid w:val="00966E0E"/>
    <w:rsid w:val="0097195D"/>
    <w:rsid w:val="009721A4"/>
    <w:rsid w:val="009727F4"/>
    <w:rsid w:val="00972975"/>
    <w:rsid w:val="00973FEF"/>
    <w:rsid w:val="009752EE"/>
    <w:rsid w:val="00977F1D"/>
    <w:rsid w:val="00980F49"/>
    <w:rsid w:val="0098255F"/>
    <w:rsid w:val="0098261E"/>
    <w:rsid w:val="00982994"/>
    <w:rsid w:val="009844F8"/>
    <w:rsid w:val="0098675D"/>
    <w:rsid w:val="00987223"/>
    <w:rsid w:val="00987F3D"/>
    <w:rsid w:val="00990E2B"/>
    <w:rsid w:val="0099514C"/>
    <w:rsid w:val="00996CE3"/>
    <w:rsid w:val="00996F0B"/>
    <w:rsid w:val="009A07C7"/>
    <w:rsid w:val="009A0958"/>
    <w:rsid w:val="009A1FE1"/>
    <w:rsid w:val="009A4BD5"/>
    <w:rsid w:val="009A4DCC"/>
    <w:rsid w:val="009A4F79"/>
    <w:rsid w:val="009A5259"/>
    <w:rsid w:val="009A636B"/>
    <w:rsid w:val="009A6CC8"/>
    <w:rsid w:val="009A7416"/>
    <w:rsid w:val="009B2A40"/>
    <w:rsid w:val="009B520F"/>
    <w:rsid w:val="009B6998"/>
    <w:rsid w:val="009C17E0"/>
    <w:rsid w:val="009C1F4D"/>
    <w:rsid w:val="009C21A8"/>
    <w:rsid w:val="009C2ADE"/>
    <w:rsid w:val="009C585D"/>
    <w:rsid w:val="009C58FC"/>
    <w:rsid w:val="009D004A"/>
    <w:rsid w:val="009D0197"/>
    <w:rsid w:val="009D19AE"/>
    <w:rsid w:val="009D1FA3"/>
    <w:rsid w:val="009D2805"/>
    <w:rsid w:val="009D3609"/>
    <w:rsid w:val="009D7994"/>
    <w:rsid w:val="009E1712"/>
    <w:rsid w:val="009E3963"/>
    <w:rsid w:val="009E46B1"/>
    <w:rsid w:val="009E7AD9"/>
    <w:rsid w:val="009F1FFE"/>
    <w:rsid w:val="009F31B2"/>
    <w:rsid w:val="009F60DF"/>
    <w:rsid w:val="00A030EA"/>
    <w:rsid w:val="00A04C2D"/>
    <w:rsid w:val="00A04DCF"/>
    <w:rsid w:val="00A066BF"/>
    <w:rsid w:val="00A068EB"/>
    <w:rsid w:val="00A075EF"/>
    <w:rsid w:val="00A0776C"/>
    <w:rsid w:val="00A100BF"/>
    <w:rsid w:val="00A1253B"/>
    <w:rsid w:val="00A130E7"/>
    <w:rsid w:val="00A17860"/>
    <w:rsid w:val="00A21609"/>
    <w:rsid w:val="00A22389"/>
    <w:rsid w:val="00A24090"/>
    <w:rsid w:val="00A24C7F"/>
    <w:rsid w:val="00A25B97"/>
    <w:rsid w:val="00A25BBF"/>
    <w:rsid w:val="00A310D6"/>
    <w:rsid w:val="00A3179E"/>
    <w:rsid w:val="00A33051"/>
    <w:rsid w:val="00A331CA"/>
    <w:rsid w:val="00A33805"/>
    <w:rsid w:val="00A34DB9"/>
    <w:rsid w:val="00A3546D"/>
    <w:rsid w:val="00A35DEB"/>
    <w:rsid w:val="00A365D7"/>
    <w:rsid w:val="00A36E24"/>
    <w:rsid w:val="00A3709F"/>
    <w:rsid w:val="00A3731C"/>
    <w:rsid w:val="00A3757E"/>
    <w:rsid w:val="00A40262"/>
    <w:rsid w:val="00A40333"/>
    <w:rsid w:val="00A40BCF"/>
    <w:rsid w:val="00A40FA5"/>
    <w:rsid w:val="00A42BBA"/>
    <w:rsid w:val="00A450A0"/>
    <w:rsid w:val="00A4520A"/>
    <w:rsid w:val="00A46D08"/>
    <w:rsid w:val="00A47CB3"/>
    <w:rsid w:val="00A51A79"/>
    <w:rsid w:val="00A53021"/>
    <w:rsid w:val="00A53A2C"/>
    <w:rsid w:val="00A55909"/>
    <w:rsid w:val="00A56417"/>
    <w:rsid w:val="00A57448"/>
    <w:rsid w:val="00A602B5"/>
    <w:rsid w:val="00A63D93"/>
    <w:rsid w:val="00A65E47"/>
    <w:rsid w:val="00A66011"/>
    <w:rsid w:val="00A67908"/>
    <w:rsid w:val="00A708C8"/>
    <w:rsid w:val="00A70FA9"/>
    <w:rsid w:val="00A71F21"/>
    <w:rsid w:val="00A71F44"/>
    <w:rsid w:val="00A737B7"/>
    <w:rsid w:val="00A77774"/>
    <w:rsid w:val="00A80B2E"/>
    <w:rsid w:val="00A83136"/>
    <w:rsid w:val="00A83804"/>
    <w:rsid w:val="00A8489E"/>
    <w:rsid w:val="00A85309"/>
    <w:rsid w:val="00A858C3"/>
    <w:rsid w:val="00A85B90"/>
    <w:rsid w:val="00A87F68"/>
    <w:rsid w:val="00A93D75"/>
    <w:rsid w:val="00A93F81"/>
    <w:rsid w:val="00A94B75"/>
    <w:rsid w:val="00A94EC9"/>
    <w:rsid w:val="00A94F5D"/>
    <w:rsid w:val="00A97321"/>
    <w:rsid w:val="00A978E5"/>
    <w:rsid w:val="00A978EA"/>
    <w:rsid w:val="00A97EBF"/>
    <w:rsid w:val="00AA04F9"/>
    <w:rsid w:val="00AA0889"/>
    <w:rsid w:val="00AA13B3"/>
    <w:rsid w:val="00AA23BA"/>
    <w:rsid w:val="00AA2E6B"/>
    <w:rsid w:val="00AA4870"/>
    <w:rsid w:val="00AA4A6D"/>
    <w:rsid w:val="00AA5186"/>
    <w:rsid w:val="00AA7784"/>
    <w:rsid w:val="00AB11E7"/>
    <w:rsid w:val="00AB455F"/>
    <w:rsid w:val="00AB55D0"/>
    <w:rsid w:val="00AB56FB"/>
    <w:rsid w:val="00AB60F8"/>
    <w:rsid w:val="00AB6EB6"/>
    <w:rsid w:val="00AC2D2E"/>
    <w:rsid w:val="00AC301A"/>
    <w:rsid w:val="00AC3246"/>
    <w:rsid w:val="00AC3317"/>
    <w:rsid w:val="00AC35D7"/>
    <w:rsid w:val="00AC5799"/>
    <w:rsid w:val="00AC611F"/>
    <w:rsid w:val="00AC6B73"/>
    <w:rsid w:val="00AC6F1A"/>
    <w:rsid w:val="00AC74AE"/>
    <w:rsid w:val="00AD192B"/>
    <w:rsid w:val="00AD438F"/>
    <w:rsid w:val="00AD4766"/>
    <w:rsid w:val="00AD50EB"/>
    <w:rsid w:val="00AD7006"/>
    <w:rsid w:val="00AD7780"/>
    <w:rsid w:val="00AD7820"/>
    <w:rsid w:val="00AE02D5"/>
    <w:rsid w:val="00AE0937"/>
    <w:rsid w:val="00AE0A4F"/>
    <w:rsid w:val="00AE2347"/>
    <w:rsid w:val="00AE3109"/>
    <w:rsid w:val="00AE32A1"/>
    <w:rsid w:val="00AE3DAA"/>
    <w:rsid w:val="00AE4129"/>
    <w:rsid w:val="00AE529B"/>
    <w:rsid w:val="00AE649F"/>
    <w:rsid w:val="00AE6E76"/>
    <w:rsid w:val="00AF02AD"/>
    <w:rsid w:val="00AF0EF9"/>
    <w:rsid w:val="00AF291D"/>
    <w:rsid w:val="00AF30DD"/>
    <w:rsid w:val="00AF581C"/>
    <w:rsid w:val="00AF5C27"/>
    <w:rsid w:val="00AF613D"/>
    <w:rsid w:val="00AF6A7E"/>
    <w:rsid w:val="00AF7313"/>
    <w:rsid w:val="00B01D46"/>
    <w:rsid w:val="00B03F3C"/>
    <w:rsid w:val="00B04E09"/>
    <w:rsid w:val="00B05431"/>
    <w:rsid w:val="00B06E7A"/>
    <w:rsid w:val="00B11E8E"/>
    <w:rsid w:val="00B1216D"/>
    <w:rsid w:val="00B154C8"/>
    <w:rsid w:val="00B1738C"/>
    <w:rsid w:val="00B21AC2"/>
    <w:rsid w:val="00B21BC8"/>
    <w:rsid w:val="00B21BE0"/>
    <w:rsid w:val="00B21D57"/>
    <w:rsid w:val="00B26138"/>
    <w:rsid w:val="00B26143"/>
    <w:rsid w:val="00B26B85"/>
    <w:rsid w:val="00B26C5E"/>
    <w:rsid w:val="00B3084C"/>
    <w:rsid w:val="00B329DF"/>
    <w:rsid w:val="00B34A5D"/>
    <w:rsid w:val="00B361A5"/>
    <w:rsid w:val="00B36583"/>
    <w:rsid w:val="00B372DE"/>
    <w:rsid w:val="00B37394"/>
    <w:rsid w:val="00B37E23"/>
    <w:rsid w:val="00B4292D"/>
    <w:rsid w:val="00B42D14"/>
    <w:rsid w:val="00B46951"/>
    <w:rsid w:val="00B52E35"/>
    <w:rsid w:val="00B5320A"/>
    <w:rsid w:val="00B53E3D"/>
    <w:rsid w:val="00B5583D"/>
    <w:rsid w:val="00B57119"/>
    <w:rsid w:val="00B60727"/>
    <w:rsid w:val="00B61244"/>
    <w:rsid w:val="00B63F94"/>
    <w:rsid w:val="00B64DE9"/>
    <w:rsid w:val="00B65206"/>
    <w:rsid w:val="00B66D3D"/>
    <w:rsid w:val="00B67759"/>
    <w:rsid w:val="00B70F40"/>
    <w:rsid w:val="00B71560"/>
    <w:rsid w:val="00B71E95"/>
    <w:rsid w:val="00B73120"/>
    <w:rsid w:val="00B7599E"/>
    <w:rsid w:val="00B761BB"/>
    <w:rsid w:val="00B80DFC"/>
    <w:rsid w:val="00B80EDE"/>
    <w:rsid w:val="00B82206"/>
    <w:rsid w:val="00B84254"/>
    <w:rsid w:val="00B859B8"/>
    <w:rsid w:val="00B87988"/>
    <w:rsid w:val="00B87B37"/>
    <w:rsid w:val="00B90574"/>
    <w:rsid w:val="00B90ABB"/>
    <w:rsid w:val="00B90CBD"/>
    <w:rsid w:val="00B92E98"/>
    <w:rsid w:val="00B9528F"/>
    <w:rsid w:val="00B9529C"/>
    <w:rsid w:val="00B9543F"/>
    <w:rsid w:val="00B9553B"/>
    <w:rsid w:val="00BA13B5"/>
    <w:rsid w:val="00BA3397"/>
    <w:rsid w:val="00BA606B"/>
    <w:rsid w:val="00BA78B0"/>
    <w:rsid w:val="00BA7DC3"/>
    <w:rsid w:val="00BB3ECA"/>
    <w:rsid w:val="00BB40B8"/>
    <w:rsid w:val="00BB471C"/>
    <w:rsid w:val="00BB5F5E"/>
    <w:rsid w:val="00BB61E6"/>
    <w:rsid w:val="00BB62E8"/>
    <w:rsid w:val="00BB6415"/>
    <w:rsid w:val="00BB767C"/>
    <w:rsid w:val="00BC045F"/>
    <w:rsid w:val="00BC12CD"/>
    <w:rsid w:val="00BC144C"/>
    <w:rsid w:val="00BC1890"/>
    <w:rsid w:val="00BC229A"/>
    <w:rsid w:val="00BC5C4C"/>
    <w:rsid w:val="00BC6B83"/>
    <w:rsid w:val="00BC6DAD"/>
    <w:rsid w:val="00BD1145"/>
    <w:rsid w:val="00BD2189"/>
    <w:rsid w:val="00BD2936"/>
    <w:rsid w:val="00BD40F4"/>
    <w:rsid w:val="00BD5772"/>
    <w:rsid w:val="00BD7565"/>
    <w:rsid w:val="00BE174B"/>
    <w:rsid w:val="00BE2A3D"/>
    <w:rsid w:val="00BE2FED"/>
    <w:rsid w:val="00BE3611"/>
    <w:rsid w:val="00BE5099"/>
    <w:rsid w:val="00BE53FC"/>
    <w:rsid w:val="00BE573A"/>
    <w:rsid w:val="00BE63C9"/>
    <w:rsid w:val="00BE79E6"/>
    <w:rsid w:val="00BF26EE"/>
    <w:rsid w:val="00BF2A99"/>
    <w:rsid w:val="00BF2B76"/>
    <w:rsid w:val="00BF303D"/>
    <w:rsid w:val="00BF3D62"/>
    <w:rsid w:val="00BF3FF4"/>
    <w:rsid w:val="00BF5678"/>
    <w:rsid w:val="00BF6518"/>
    <w:rsid w:val="00BF7FC6"/>
    <w:rsid w:val="00C01DA2"/>
    <w:rsid w:val="00C020F9"/>
    <w:rsid w:val="00C0383A"/>
    <w:rsid w:val="00C03FE1"/>
    <w:rsid w:val="00C048B1"/>
    <w:rsid w:val="00C0539B"/>
    <w:rsid w:val="00C056EE"/>
    <w:rsid w:val="00C05C8D"/>
    <w:rsid w:val="00C07B14"/>
    <w:rsid w:val="00C1063E"/>
    <w:rsid w:val="00C10713"/>
    <w:rsid w:val="00C117A2"/>
    <w:rsid w:val="00C131FB"/>
    <w:rsid w:val="00C134E6"/>
    <w:rsid w:val="00C15341"/>
    <w:rsid w:val="00C20E1F"/>
    <w:rsid w:val="00C21258"/>
    <w:rsid w:val="00C215E3"/>
    <w:rsid w:val="00C22E94"/>
    <w:rsid w:val="00C234E3"/>
    <w:rsid w:val="00C37429"/>
    <w:rsid w:val="00C411E5"/>
    <w:rsid w:val="00C417AD"/>
    <w:rsid w:val="00C452B7"/>
    <w:rsid w:val="00C45A12"/>
    <w:rsid w:val="00C46DC8"/>
    <w:rsid w:val="00C500B1"/>
    <w:rsid w:val="00C500DE"/>
    <w:rsid w:val="00C51B02"/>
    <w:rsid w:val="00C51F56"/>
    <w:rsid w:val="00C53BA5"/>
    <w:rsid w:val="00C53E7F"/>
    <w:rsid w:val="00C53F5E"/>
    <w:rsid w:val="00C543EA"/>
    <w:rsid w:val="00C56C4B"/>
    <w:rsid w:val="00C577CE"/>
    <w:rsid w:val="00C60BB5"/>
    <w:rsid w:val="00C62FBC"/>
    <w:rsid w:val="00C630C0"/>
    <w:rsid w:val="00C65FAA"/>
    <w:rsid w:val="00C6749A"/>
    <w:rsid w:val="00C708E8"/>
    <w:rsid w:val="00C7141C"/>
    <w:rsid w:val="00C7317A"/>
    <w:rsid w:val="00C74746"/>
    <w:rsid w:val="00C74A60"/>
    <w:rsid w:val="00C76857"/>
    <w:rsid w:val="00C77741"/>
    <w:rsid w:val="00C77B4B"/>
    <w:rsid w:val="00C77FD7"/>
    <w:rsid w:val="00C81ECD"/>
    <w:rsid w:val="00C827FF"/>
    <w:rsid w:val="00C84EF2"/>
    <w:rsid w:val="00C8530A"/>
    <w:rsid w:val="00C8595C"/>
    <w:rsid w:val="00C87CFF"/>
    <w:rsid w:val="00C91EEF"/>
    <w:rsid w:val="00C92B04"/>
    <w:rsid w:val="00C93302"/>
    <w:rsid w:val="00C937F2"/>
    <w:rsid w:val="00C96476"/>
    <w:rsid w:val="00C966E5"/>
    <w:rsid w:val="00C9746E"/>
    <w:rsid w:val="00C97D01"/>
    <w:rsid w:val="00CA07E5"/>
    <w:rsid w:val="00CA102A"/>
    <w:rsid w:val="00CA124D"/>
    <w:rsid w:val="00CA2F94"/>
    <w:rsid w:val="00CA342B"/>
    <w:rsid w:val="00CA5643"/>
    <w:rsid w:val="00CA5CD4"/>
    <w:rsid w:val="00CB0602"/>
    <w:rsid w:val="00CB2706"/>
    <w:rsid w:val="00CB32BB"/>
    <w:rsid w:val="00CB53CC"/>
    <w:rsid w:val="00CB6271"/>
    <w:rsid w:val="00CB77AC"/>
    <w:rsid w:val="00CC0168"/>
    <w:rsid w:val="00CC02B6"/>
    <w:rsid w:val="00CC038A"/>
    <w:rsid w:val="00CC0515"/>
    <w:rsid w:val="00CC0BA0"/>
    <w:rsid w:val="00CC1EDA"/>
    <w:rsid w:val="00CC218A"/>
    <w:rsid w:val="00CC3230"/>
    <w:rsid w:val="00CC4394"/>
    <w:rsid w:val="00CC44AE"/>
    <w:rsid w:val="00CC5671"/>
    <w:rsid w:val="00CC5A37"/>
    <w:rsid w:val="00CC68F4"/>
    <w:rsid w:val="00CC76FE"/>
    <w:rsid w:val="00CC770D"/>
    <w:rsid w:val="00CD1E58"/>
    <w:rsid w:val="00CD27D3"/>
    <w:rsid w:val="00CD3365"/>
    <w:rsid w:val="00CD471E"/>
    <w:rsid w:val="00CD482D"/>
    <w:rsid w:val="00CD48A2"/>
    <w:rsid w:val="00CD4FD0"/>
    <w:rsid w:val="00CD7A14"/>
    <w:rsid w:val="00CE0E5F"/>
    <w:rsid w:val="00CE2FCF"/>
    <w:rsid w:val="00CE318F"/>
    <w:rsid w:val="00CE5461"/>
    <w:rsid w:val="00CE6B10"/>
    <w:rsid w:val="00CE6C4B"/>
    <w:rsid w:val="00CE71F9"/>
    <w:rsid w:val="00CF2A3C"/>
    <w:rsid w:val="00CF36D8"/>
    <w:rsid w:val="00CF43C8"/>
    <w:rsid w:val="00CF46D5"/>
    <w:rsid w:val="00CF4736"/>
    <w:rsid w:val="00CF7ADB"/>
    <w:rsid w:val="00D0033D"/>
    <w:rsid w:val="00D006B0"/>
    <w:rsid w:val="00D00BE4"/>
    <w:rsid w:val="00D02560"/>
    <w:rsid w:val="00D04121"/>
    <w:rsid w:val="00D051E7"/>
    <w:rsid w:val="00D05DD3"/>
    <w:rsid w:val="00D0793C"/>
    <w:rsid w:val="00D07B26"/>
    <w:rsid w:val="00D111BB"/>
    <w:rsid w:val="00D1246C"/>
    <w:rsid w:val="00D12661"/>
    <w:rsid w:val="00D13E2C"/>
    <w:rsid w:val="00D14FF6"/>
    <w:rsid w:val="00D155CF"/>
    <w:rsid w:val="00D1702F"/>
    <w:rsid w:val="00D170E0"/>
    <w:rsid w:val="00D20EEA"/>
    <w:rsid w:val="00D229F0"/>
    <w:rsid w:val="00D23291"/>
    <w:rsid w:val="00D23533"/>
    <w:rsid w:val="00D24B67"/>
    <w:rsid w:val="00D25C54"/>
    <w:rsid w:val="00D3330B"/>
    <w:rsid w:val="00D338D3"/>
    <w:rsid w:val="00D33F03"/>
    <w:rsid w:val="00D34494"/>
    <w:rsid w:val="00D360C6"/>
    <w:rsid w:val="00D365C0"/>
    <w:rsid w:val="00D367F1"/>
    <w:rsid w:val="00D40609"/>
    <w:rsid w:val="00D40B48"/>
    <w:rsid w:val="00D42D0E"/>
    <w:rsid w:val="00D445DC"/>
    <w:rsid w:val="00D45287"/>
    <w:rsid w:val="00D4573D"/>
    <w:rsid w:val="00D46EEB"/>
    <w:rsid w:val="00D475F2"/>
    <w:rsid w:val="00D4768A"/>
    <w:rsid w:val="00D50683"/>
    <w:rsid w:val="00D5094C"/>
    <w:rsid w:val="00D519FF"/>
    <w:rsid w:val="00D5274E"/>
    <w:rsid w:val="00D53693"/>
    <w:rsid w:val="00D537A9"/>
    <w:rsid w:val="00D547AC"/>
    <w:rsid w:val="00D5490A"/>
    <w:rsid w:val="00D55357"/>
    <w:rsid w:val="00D557A0"/>
    <w:rsid w:val="00D562FA"/>
    <w:rsid w:val="00D567DE"/>
    <w:rsid w:val="00D60A82"/>
    <w:rsid w:val="00D61169"/>
    <w:rsid w:val="00D6122C"/>
    <w:rsid w:val="00D61F43"/>
    <w:rsid w:val="00D63F07"/>
    <w:rsid w:val="00D654F0"/>
    <w:rsid w:val="00D664D5"/>
    <w:rsid w:val="00D66C0A"/>
    <w:rsid w:val="00D72319"/>
    <w:rsid w:val="00D72E5B"/>
    <w:rsid w:val="00D745C3"/>
    <w:rsid w:val="00D75D8E"/>
    <w:rsid w:val="00D763DE"/>
    <w:rsid w:val="00D76FB8"/>
    <w:rsid w:val="00D8053D"/>
    <w:rsid w:val="00D80B1A"/>
    <w:rsid w:val="00D828CE"/>
    <w:rsid w:val="00D82F67"/>
    <w:rsid w:val="00D83F62"/>
    <w:rsid w:val="00D85C6B"/>
    <w:rsid w:val="00D86DAC"/>
    <w:rsid w:val="00D90AE9"/>
    <w:rsid w:val="00D90CAD"/>
    <w:rsid w:val="00D92A5C"/>
    <w:rsid w:val="00D93747"/>
    <w:rsid w:val="00D93C60"/>
    <w:rsid w:val="00D93FCC"/>
    <w:rsid w:val="00D94365"/>
    <w:rsid w:val="00D94388"/>
    <w:rsid w:val="00D94393"/>
    <w:rsid w:val="00D944F3"/>
    <w:rsid w:val="00D9534E"/>
    <w:rsid w:val="00D955F1"/>
    <w:rsid w:val="00DA2236"/>
    <w:rsid w:val="00DA2485"/>
    <w:rsid w:val="00DA3338"/>
    <w:rsid w:val="00DA4B47"/>
    <w:rsid w:val="00DA4D00"/>
    <w:rsid w:val="00DA5FB5"/>
    <w:rsid w:val="00DA7E50"/>
    <w:rsid w:val="00DB307A"/>
    <w:rsid w:val="00DB430C"/>
    <w:rsid w:val="00DB441E"/>
    <w:rsid w:val="00DB4DA3"/>
    <w:rsid w:val="00DC1D5F"/>
    <w:rsid w:val="00DC1FAD"/>
    <w:rsid w:val="00DC20F9"/>
    <w:rsid w:val="00DC2D37"/>
    <w:rsid w:val="00DC46F4"/>
    <w:rsid w:val="00DC56ED"/>
    <w:rsid w:val="00DC7F24"/>
    <w:rsid w:val="00DD08E7"/>
    <w:rsid w:val="00DD52DE"/>
    <w:rsid w:val="00DD7107"/>
    <w:rsid w:val="00DE28C4"/>
    <w:rsid w:val="00DE29A8"/>
    <w:rsid w:val="00DE4225"/>
    <w:rsid w:val="00DE6006"/>
    <w:rsid w:val="00DE7A57"/>
    <w:rsid w:val="00DE7C1A"/>
    <w:rsid w:val="00DF1747"/>
    <w:rsid w:val="00DF43EA"/>
    <w:rsid w:val="00DF52BC"/>
    <w:rsid w:val="00DF5FB1"/>
    <w:rsid w:val="00DF7393"/>
    <w:rsid w:val="00DF781B"/>
    <w:rsid w:val="00DF7AF6"/>
    <w:rsid w:val="00E009F3"/>
    <w:rsid w:val="00E00DDC"/>
    <w:rsid w:val="00E011DA"/>
    <w:rsid w:val="00E01FA7"/>
    <w:rsid w:val="00E0274F"/>
    <w:rsid w:val="00E0432C"/>
    <w:rsid w:val="00E048E5"/>
    <w:rsid w:val="00E061F3"/>
    <w:rsid w:val="00E07B26"/>
    <w:rsid w:val="00E07F21"/>
    <w:rsid w:val="00E13FB6"/>
    <w:rsid w:val="00E1487A"/>
    <w:rsid w:val="00E16DAB"/>
    <w:rsid w:val="00E2006D"/>
    <w:rsid w:val="00E22756"/>
    <w:rsid w:val="00E25815"/>
    <w:rsid w:val="00E25A3E"/>
    <w:rsid w:val="00E26F1D"/>
    <w:rsid w:val="00E3140F"/>
    <w:rsid w:val="00E31A51"/>
    <w:rsid w:val="00E31F6C"/>
    <w:rsid w:val="00E3275C"/>
    <w:rsid w:val="00E33021"/>
    <w:rsid w:val="00E33342"/>
    <w:rsid w:val="00E3344C"/>
    <w:rsid w:val="00E339BB"/>
    <w:rsid w:val="00E35CC1"/>
    <w:rsid w:val="00E40738"/>
    <w:rsid w:val="00E42B06"/>
    <w:rsid w:val="00E43C88"/>
    <w:rsid w:val="00E45060"/>
    <w:rsid w:val="00E45B11"/>
    <w:rsid w:val="00E4695B"/>
    <w:rsid w:val="00E47625"/>
    <w:rsid w:val="00E47655"/>
    <w:rsid w:val="00E535E4"/>
    <w:rsid w:val="00E543F8"/>
    <w:rsid w:val="00E55DD8"/>
    <w:rsid w:val="00E56F4D"/>
    <w:rsid w:val="00E57F4D"/>
    <w:rsid w:val="00E57FDC"/>
    <w:rsid w:val="00E600D2"/>
    <w:rsid w:val="00E60ED6"/>
    <w:rsid w:val="00E611C6"/>
    <w:rsid w:val="00E62037"/>
    <w:rsid w:val="00E64DD1"/>
    <w:rsid w:val="00E65773"/>
    <w:rsid w:val="00E65A5A"/>
    <w:rsid w:val="00E65DE3"/>
    <w:rsid w:val="00E6719F"/>
    <w:rsid w:val="00E726D8"/>
    <w:rsid w:val="00E72946"/>
    <w:rsid w:val="00E757E9"/>
    <w:rsid w:val="00E7593F"/>
    <w:rsid w:val="00E75F78"/>
    <w:rsid w:val="00E768F9"/>
    <w:rsid w:val="00E771B0"/>
    <w:rsid w:val="00E77F8A"/>
    <w:rsid w:val="00E8033D"/>
    <w:rsid w:val="00E8219A"/>
    <w:rsid w:val="00E829CB"/>
    <w:rsid w:val="00E8554D"/>
    <w:rsid w:val="00E859F8"/>
    <w:rsid w:val="00E875DE"/>
    <w:rsid w:val="00E87C9B"/>
    <w:rsid w:val="00E9018A"/>
    <w:rsid w:val="00E93090"/>
    <w:rsid w:val="00E93812"/>
    <w:rsid w:val="00E93C34"/>
    <w:rsid w:val="00E94DF8"/>
    <w:rsid w:val="00EA2BCA"/>
    <w:rsid w:val="00EA2C71"/>
    <w:rsid w:val="00EA502E"/>
    <w:rsid w:val="00EA5232"/>
    <w:rsid w:val="00EA7E56"/>
    <w:rsid w:val="00EB021E"/>
    <w:rsid w:val="00EB05ED"/>
    <w:rsid w:val="00EB0C4B"/>
    <w:rsid w:val="00EB0DC4"/>
    <w:rsid w:val="00EB0E52"/>
    <w:rsid w:val="00EB1F77"/>
    <w:rsid w:val="00EB36BD"/>
    <w:rsid w:val="00EB506E"/>
    <w:rsid w:val="00EC0997"/>
    <w:rsid w:val="00EC1EE3"/>
    <w:rsid w:val="00EC63A7"/>
    <w:rsid w:val="00ED038E"/>
    <w:rsid w:val="00ED0D35"/>
    <w:rsid w:val="00ED1E20"/>
    <w:rsid w:val="00ED2FB9"/>
    <w:rsid w:val="00ED4C47"/>
    <w:rsid w:val="00ED4D48"/>
    <w:rsid w:val="00ED70B4"/>
    <w:rsid w:val="00EE11CC"/>
    <w:rsid w:val="00EE2A0A"/>
    <w:rsid w:val="00EE2DA4"/>
    <w:rsid w:val="00EE4005"/>
    <w:rsid w:val="00EE4C19"/>
    <w:rsid w:val="00EE774B"/>
    <w:rsid w:val="00EF170D"/>
    <w:rsid w:val="00EF19BF"/>
    <w:rsid w:val="00EF23AC"/>
    <w:rsid w:val="00EF33E9"/>
    <w:rsid w:val="00EF36DF"/>
    <w:rsid w:val="00EF65C0"/>
    <w:rsid w:val="00EF7534"/>
    <w:rsid w:val="00EF7B68"/>
    <w:rsid w:val="00EF7BA0"/>
    <w:rsid w:val="00EF7C43"/>
    <w:rsid w:val="00F00972"/>
    <w:rsid w:val="00F01B20"/>
    <w:rsid w:val="00F02047"/>
    <w:rsid w:val="00F02E41"/>
    <w:rsid w:val="00F032DB"/>
    <w:rsid w:val="00F0346D"/>
    <w:rsid w:val="00F03CD9"/>
    <w:rsid w:val="00F03F58"/>
    <w:rsid w:val="00F05511"/>
    <w:rsid w:val="00F06C75"/>
    <w:rsid w:val="00F0711F"/>
    <w:rsid w:val="00F0715F"/>
    <w:rsid w:val="00F071CD"/>
    <w:rsid w:val="00F10C7F"/>
    <w:rsid w:val="00F11612"/>
    <w:rsid w:val="00F124CD"/>
    <w:rsid w:val="00F124FC"/>
    <w:rsid w:val="00F127FE"/>
    <w:rsid w:val="00F1285B"/>
    <w:rsid w:val="00F14DB7"/>
    <w:rsid w:val="00F14F6E"/>
    <w:rsid w:val="00F20994"/>
    <w:rsid w:val="00F22C96"/>
    <w:rsid w:val="00F22ED1"/>
    <w:rsid w:val="00F24866"/>
    <w:rsid w:val="00F27225"/>
    <w:rsid w:val="00F30258"/>
    <w:rsid w:val="00F313E2"/>
    <w:rsid w:val="00F32B6C"/>
    <w:rsid w:val="00F361E3"/>
    <w:rsid w:val="00F401C9"/>
    <w:rsid w:val="00F407D9"/>
    <w:rsid w:val="00F41844"/>
    <w:rsid w:val="00F41E24"/>
    <w:rsid w:val="00F45A66"/>
    <w:rsid w:val="00F47A5A"/>
    <w:rsid w:val="00F504AD"/>
    <w:rsid w:val="00F51460"/>
    <w:rsid w:val="00F54EDC"/>
    <w:rsid w:val="00F60526"/>
    <w:rsid w:val="00F6130E"/>
    <w:rsid w:val="00F61EE2"/>
    <w:rsid w:val="00F625E4"/>
    <w:rsid w:val="00F65C61"/>
    <w:rsid w:val="00F66421"/>
    <w:rsid w:val="00F67759"/>
    <w:rsid w:val="00F72551"/>
    <w:rsid w:val="00F73484"/>
    <w:rsid w:val="00F748B8"/>
    <w:rsid w:val="00F75069"/>
    <w:rsid w:val="00F75123"/>
    <w:rsid w:val="00F75639"/>
    <w:rsid w:val="00F76090"/>
    <w:rsid w:val="00F77A80"/>
    <w:rsid w:val="00F77C8E"/>
    <w:rsid w:val="00F80464"/>
    <w:rsid w:val="00F8342E"/>
    <w:rsid w:val="00F83D75"/>
    <w:rsid w:val="00F8456D"/>
    <w:rsid w:val="00F847C6"/>
    <w:rsid w:val="00F87CC2"/>
    <w:rsid w:val="00F9063F"/>
    <w:rsid w:val="00F90B81"/>
    <w:rsid w:val="00F912E2"/>
    <w:rsid w:val="00F91DD6"/>
    <w:rsid w:val="00F9528D"/>
    <w:rsid w:val="00F96261"/>
    <w:rsid w:val="00F96F2A"/>
    <w:rsid w:val="00F97818"/>
    <w:rsid w:val="00FA1933"/>
    <w:rsid w:val="00FA271F"/>
    <w:rsid w:val="00FA5C81"/>
    <w:rsid w:val="00FA7E7A"/>
    <w:rsid w:val="00FB0E0E"/>
    <w:rsid w:val="00FB0EBD"/>
    <w:rsid w:val="00FB151D"/>
    <w:rsid w:val="00FB27E2"/>
    <w:rsid w:val="00FB2D03"/>
    <w:rsid w:val="00FB44B4"/>
    <w:rsid w:val="00FB44BC"/>
    <w:rsid w:val="00FB4F69"/>
    <w:rsid w:val="00FB5BC6"/>
    <w:rsid w:val="00FB73F4"/>
    <w:rsid w:val="00FB784C"/>
    <w:rsid w:val="00FC271A"/>
    <w:rsid w:val="00FC3252"/>
    <w:rsid w:val="00FC4899"/>
    <w:rsid w:val="00FC4A60"/>
    <w:rsid w:val="00FC532D"/>
    <w:rsid w:val="00FC6B43"/>
    <w:rsid w:val="00FC7074"/>
    <w:rsid w:val="00FD08F0"/>
    <w:rsid w:val="00FD0FA7"/>
    <w:rsid w:val="00FD3C9B"/>
    <w:rsid w:val="00FD3D7B"/>
    <w:rsid w:val="00FD4076"/>
    <w:rsid w:val="00FE0B80"/>
    <w:rsid w:val="00FE21DA"/>
    <w:rsid w:val="00FE2D09"/>
    <w:rsid w:val="00FE2E38"/>
    <w:rsid w:val="00FE37C0"/>
    <w:rsid w:val="00FE3E44"/>
    <w:rsid w:val="00FE4E97"/>
    <w:rsid w:val="00FE51E3"/>
    <w:rsid w:val="00FE5708"/>
    <w:rsid w:val="00FE5D7D"/>
    <w:rsid w:val="00FE7EBA"/>
    <w:rsid w:val="00FF1AE9"/>
    <w:rsid w:val="00FF1DE6"/>
    <w:rsid w:val="00FF44B7"/>
    <w:rsid w:val="00FF4EFD"/>
    <w:rsid w:val="00FF5CD6"/>
    <w:rsid w:val="00FF5E86"/>
    <w:rsid w:val="00FF795B"/>
    <w:rsid w:val="010E6D34"/>
    <w:rsid w:val="014903F9"/>
    <w:rsid w:val="01B943ED"/>
    <w:rsid w:val="01C67325"/>
    <w:rsid w:val="01E053F1"/>
    <w:rsid w:val="01E11812"/>
    <w:rsid w:val="01FD3EB8"/>
    <w:rsid w:val="020177B4"/>
    <w:rsid w:val="020C0328"/>
    <w:rsid w:val="020D5957"/>
    <w:rsid w:val="02124566"/>
    <w:rsid w:val="02237557"/>
    <w:rsid w:val="026435F6"/>
    <w:rsid w:val="026776A4"/>
    <w:rsid w:val="026805D1"/>
    <w:rsid w:val="026A46B5"/>
    <w:rsid w:val="02711B7D"/>
    <w:rsid w:val="028E67B6"/>
    <w:rsid w:val="02A24DD0"/>
    <w:rsid w:val="02B26905"/>
    <w:rsid w:val="02DC372B"/>
    <w:rsid w:val="02F04AEB"/>
    <w:rsid w:val="02FE6E47"/>
    <w:rsid w:val="03201B75"/>
    <w:rsid w:val="0326079A"/>
    <w:rsid w:val="032F6F2C"/>
    <w:rsid w:val="034A31D4"/>
    <w:rsid w:val="03542C0B"/>
    <w:rsid w:val="03880AFC"/>
    <w:rsid w:val="039C4A75"/>
    <w:rsid w:val="03A7050F"/>
    <w:rsid w:val="03BB024E"/>
    <w:rsid w:val="03BF187E"/>
    <w:rsid w:val="03CB2589"/>
    <w:rsid w:val="03ED38CB"/>
    <w:rsid w:val="04001AA6"/>
    <w:rsid w:val="04006717"/>
    <w:rsid w:val="04506235"/>
    <w:rsid w:val="045752D5"/>
    <w:rsid w:val="046625B4"/>
    <w:rsid w:val="04841B7B"/>
    <w:rsid w:val="05274886"/>
    <w:rsid w:val="052C3DC2"/>
    <w:rsid w:val="05330099"/>
    <w:rsid w:val="053522AC"/>
    <w:rsid w:val="05356F9B"/>
    <w:rsid w:val="0552727C"/>
    <w:rsid w:val="055E7AD0"/>
    <w:rsid w:val="056105E9"/>
    <w:rsid w:val="056173FF"/>
    <w:rsid w:val="0591166C"/>
    <w:rsid w:val="05984056"/>
    <w:rsid w:val="05A31CCA"/>
    <w:rsid w:val="05A756C2"/>
    <w:rsid w:val="05DA1620"/>
    <w:rsid w:val="05F04A85"/>
    <w:rsid w:val="05F24D0F"/>
    <w:rsid w:val="06143900"/>
    <w:rsid w:val="06166C59"/>
    <w:rsid w:val="061F79BA"/>
    <w:rsid w:val="0627615B"/>
    <w:rsid w:val="062A6E9E"/>
    <w:rsid w:val="062E2DB5"/>
    <w:rsid w:val="063D06F0"/>
    <w:rsid w:val="063D4CF5"/>
    <w:rsid w:val="064A5BF1"/>
    <w:rsid w:val="065B5641"/>
    <w:rsid w:val="066D5CF7"/>
    <w:rsid w:val="068C7F68"/>
    <w:rsid w:val="06A1517A"/>
    <w:rsid w:val="06B13ADD"/>
    <w:rsid w:val="06C91A4C"/>
    <w:rsid w:val="06CE6615"/>
    <w:rsid w:val="06DB6A44"/>
    <w:rsid w:val="074441A6"/>
    <w:rsid w:val="07614072"/>
    <w:rsid w:val="077836E6"/>
    <w:rsid w:val="07AB2899"/>
    <w:rsid w:val="07D621A2"/>
    <w:rsid w:val="07FA01F1"/>
    <w:rsid w:val="081C0276"/>
    <w:rsid w:val="08336FB0"/>
    <w:rsid w:val="08440AF0"/>
    <w:rsid w:val="0847245C"/>
    <w:rsid w:val="08490712"/>
    <w:rsid w:val="08562D23"/>
    <w:rsid w:val="08654F0F"/>
    <w:rsid w:val="086873EA"/>
    <w:rsid w:val="089B2637"/>
    <w:rsid w:val="08C25186"/>
    <w:rsid w:val="08D64D25"/>
    <w:rsid w:val="09035CD5"/>
    <w:rsid w:val="09045BDB"/>
    <w:rsid w:val="09067CF9"/>
    <w:rsid w:val="0911612D"/>
    <w:rsid w:val="09185AD6"/>
    <w:rsid w:val="092A2FCE"/>
    <w:rsid w:val="092B2642"/>
    <w:rsid w:val="09342B19"/>
    <w:rsid w:val="095A2140"/>
    <w:rsid w:val="0960477C"/>
    <w:rsid w:val="09742D76"/>
    <w:rsid w:val="09930134"/>
    <w:rsid w:val="099311C7"/>
    <w:rsid w:val="09EF30DB"/>
    <w:rsid w:val="09F40A58"/>
    <w:rsid w:val="09F871A7"/>
    <w:rsid w:val="09FC0872"/>
    <w:rsid w:val="0A0715F9"/>
    <w:rsid w:val="0A32152D"/>
    <w:rsid w:val="0A361032"/>
    <w:rsid w:val="0A3A2531"/>
    <w:rsid w:val="0A481597"/>
    <w:rsid w:val="0A4F0371"/>
    <w:rsid w:val="0A87084F"/>
    <w:rsid w:val="0A8F39EE"/>
    <w:rsid w:val="0AD46E82"/>
    <w:rsid w:val="0B204F7C"/>
    <w:rsid w:val="0B3502E7"/>
    <w:rsid w:val="0B3A12C6"/>
    <w:rsid w:val="0B4637BE"/>
    <w:rsid w:val="0B587788"/>
    <w:rsid w:val="0B5E59FB"/>
    <w:rsid w:val="0B5F2982"/>
    <w:rsid w:val="0B5F5DBF"/>
    <w:rsid w:val="0B863BB0"/>
    <w:rsid w:val="0B90631E"/>
    <w:rsid w:val="0B90723E"/>
    <w:rsid w:val="0BEC41BC"/>
    <w:rsid w:val="0BFC145C"/>
    <w:rsid w:val="0C2B4001"/>
    <w:rsid w:val="0C2F7140"/>
    <w:rsid w:val="0C4D2604"/>
    <w:rsid w:val="0C527AF3"/>
    <w:rsid w:val="0C623750"/>
    <w:rsid w:val="0C9E37E6"/>
    <w:rsid w:val="0CBE2AC7"/>
    <w:rsid w:val="0CC779B0"/>
    <w:rsid w:val="0CCE5410"/>
    <w:rsid w:val="0CDC2FDC"/>
    <w:rsid w:val="0CE12F34"/>
    <w:rsid w:val="0CE86C02"/>
    <w:rsid w:val="0D060D5E"/>
    <w:rsid w:val="0D2939A8"/>
    <w:rsid w:val="0D3006E3"/>
    <w:rsid w:val="0D662A27"/>
    <w:rsid w:val="0D7627D1"/>
    <w:rsid w:val="0D924B40"/>
    <w:rsid w:val="0DB52069"/>
    <w:rsid w:val="0DB64438"/>
    <w:rsid w:val="0DC02858"/>
    <w:rsid w:val="0DC524F0"/>
    <w:rsid w:val="0DEB29A3"/>
    <w:rsid w:val="0DFC1D83"/>
    <w:rsid w:val="0E120F3A"/>
    <w:rsid w:val="0E1E386C"/>
    <w:rsid w:val="0E5F5409"/>
    <w:rsid w:val="0E6A6959"/>
    <w:rsid w:val="0E867004"/>
    <w:rsid w:val="0EAE588E"/>
    <w:rsid w:val="0EAF7A9C"/>
    <w:rsid w:val="0EB22052"/>
    <w:rsid w:val="0ECE29F6"/>
    <w:rsid w:val="0F094B7B"/>
    <w:rsid w:val="0F0C4E7B"/>
    <w:rsid w:val="0F287427"/>
    <w:rsid w:val="0F3A4AC8"/>
    <w:rsid w:val="0F3A5892"/>
    <w:rsid w:val="0F400D0D"/>
    <w:rsid w:val="0F4D5A89"/>
    <w:rsid w:val="0F5E4541"/>
    <w:rsid w:val="0F681C5F"/>
    <w:rsid w:val="0F6F1A71"/>
    <w:rsid w:val="0F986B08"/>
    <w:rsid w:val="0FA17C81"/>
    <w:rsid w:val="0FA47D8D"/>
    <w:rsid w:val="0FDA15FE"/>
    <w:rsid w:val="0FF87F7E"/>
    <w:rsid w:val="100145F8"/>
    <w:rsid w:val="101E2A39"/>
    <w:rsid w:val="10207C03"/>
    <w:rsid w:val="102237AF"/>
    <w:rsid w:val="10235424"/>
    <w:rsid w:val="103463F5"/>
    <w:rsid w:val="103E1B95"/>
    <w:rsid w:val="107E17B7"/>
    <w:rsid w:val="10824646"/>
    <w:rsid w:val="10973A9C"/>
    <w:rsid w:val="10AE4FCD"/>
    <w:rsid w:val="10F31547"/>
    <w:rsid w:val="111F65A2"/>
    <w:rsid w:val="11376513"/>
    <w:rsid w:val="118A391A"/>
    <w:rsid w:val="118C0436"/>
    <w:rsid w:val="118C0A82"/>
    <w:rsid w:val="1198570A"/>
    <w:rsid w:val="119C2FAD"/>
    <w:rsid w:val="11C11FFB"/>
    <w:rsid w:val="11CC04D1"/>
    <w:rsid w:val="11F87B65"/>
    <w:rsid w:val="12050D55"/>
    <w:rsid w:val="12447FFF"/>
    <w:rsid w:val="125016B7"/>
    <w:rsid w:val="12533CCA"/>
    <w:rsid w:val="1267479B"/>
    <w:rsid w:val="12AE5AC3"/>
    <w:rsid w:val="12B52700"/>
    <w:rsid w:val="130F2F12"/>
    <w:rsid w:val="13287D5B"/>
    <w:rsid w:val="13341918"/>
    <w:rsid w:val="13375AC8"/>
    <w:rsid w:val="13445F5C"/>
    <w:rsid w:val="137876F0"/>
    <w:rsid w:val="138C3BA9"/>
    <w:rsid w:val="13A0433F"/>
    <w:rsid w:val="13AF3D65"/>
    <w:rsid w:val="13B97FA2"/>
    <w:rsid w:val="13DF7B4F"/>
    <w:rsid w:val="13F15301"/>
    <w:rsid w:val="140B0167"/>
    <w:rsid w:val="14BC044C"/>
    <w:rsid w:val="14C31775"/>
    <w:rsid w:val="14C42E33"/>
    <w:rsid w:val="14FF5971"/>
    <w:rsid w:val="1502023F"/>
    <w:rsid w:val="150729F7"/>
    <w:rsid w:val="15287B05"/>
    <w:rsid w:val="15386086"/>
    <w:rsid w:val="15530C6A"/>
    <w:rsid w:val="15704EF6"/>
    <w:rsid w:val="15AC22B0"/>
    <w:rsid w:val="15CF0A9A"/>
    <w:rsid w:val="15DA2536"/>
    <w:rsid w:val="15FF1D55"/>
    <w:rsid w:val="161910B6"/>
    <w:rsid w:val="1621145D"/>
    <w:rsid w:val="162B0014"/>
    <w:rsid w:val="164546CF"/>
    <w:rsid w:val="166E4ABD"/>
    <w:rsid w:val="167830FB"/>
    <w:rsid w:val="167F5CEF"/>
    <w:rsid w:val="169C0AAB"/>
    <w:rsid w:val="16BB3D1A"/>
    <w:rsid w:val="16BE5118"/>
    <w:rsid w:val="16C267DE"/>
    <w:rsid w:val="16FD33EB"/>
    <w:rsid w:val="1701398E"/>
    <w:rsid w:val="170D612B"/>
    <w:rsid w:val="1711341D"/>
    <w:rsid w:val="173B57F8"/>
    <w:rsid w:val="17977688"/>
    <w:rsid w:val="17A52FE0"/>
    <w:rsid w:val="17BC17EA"/>
    <w:rsid w:val="17E21151"/>
    <w:rsid w:val="180151FD"/>
    <w:rsid w:val="181C1455"/>
    <w:rsid w:val="1848672A"/>
    <w:rsid w:val="184F003A"/>
    <w:rsid w:val="1852538E"/>
    <w:rsid w:val="185642A3"/>
    <w:rsid w:val="18720671"/>
    <w:rsid w:val="18812D7C"/>
    <w:rsid w:val="18885C38"/>
    <w:rsid w:val="18905BFE"/>
    <w:rsid w:val="18A13D45"/>
    <w:rsid w:val="18F460B2"/>
    <w:rsid w:val="191D78D8"/>
    <w:rsid w:val="19660F78"/>
    <w:rsid w:val="196E503F"/>
    <w:rsid w:val="19A154BA"/>
    <w:rsid w:val="19CC068C"/>
    <w:rsid w:val="19FE64C6"/>
    <w:rsid w:val="1A06092B"/>
    <w:rsid w:val="1A162B3E"/>
    <w:rsid w:val="1A1C60D6"/>
    <w:rsid w:val="1A207BB8"/>
    <w:rsid w:val="1A452A3C"/>
    <w:rsid w:val="1A4A476F"/>
    <w:rsid w:val="1A5474FF"/>
    <w:rsid w:val="1A5576F2"/>
    <w:rsid w:val="1A6505DF"/>
    <w:rsid w:val="1A784BC1"/>
    <w:rsid w:val="1AA94532"/>
    <w:rsid w:val="1AD0669D"/>
    <w:rsid w:val="1AF50F33"/>
    <w:rsid w:val="1AF515B3"/>
    <w:rsid w:val="1B2741C2"/>
    <w:rsid w:val="1B391768"/>
    <w:rsid w:val="1B777563"/>
    <w:rsid w:val="1B7E6441"/>
    <w:rsid w:val="1B822906"/>
    <w:rsid w:val="1B9F42CA"/>
    <w:rsid w:val="1BA40DA4"/>
    <w:rsid w:val="1BAE74E7"/>
    <w:rsid w:val="1BB33A7D"/>
    <w:rsid w:val="1BBA725E"/>
    <w:rsid w:val="1BDA7ABD"/>
    <w:rsid w:val="1BE45425"/>
    <w:rsid w:val="1BE71BCE"/>
    <w:rsid w:val="1C0616D1"/>
    <w:rsid w:val="1C0717F9"/>
    <w:rsid w:val="1C313074"/>
    <w:rsid w:val="1C322833"/>
    <w:rsid w:val="1C3826E2"/>
    <w:rsid w:val="1C3C7C2A"/>
    <w:rsid w:val="1C3E7085"/>
    <w:rsid w:val="1C6634D1"/>
    <w:rsid w:val="1C6D53E6"/>
    <w:rsid w:val="1C84256B"/>
    <w:rsid w:val="1CA34FA4"/>
    <w:rsid w:val="1CBE644C"/>
    <w:rsid w:val="1CC55646"/>
    <w:rsid w:val="1CD20CA2"/>
    <w:rsid w:val="1D045795"/>
    <w:rsid w:val="1D0755F4"/>
    <w:rsid w:val="1D0A61B0"/>
    <w:rsid w:val="1D1120F1"/>
    <w:rsid w:val="1D156A9F"/>
    <w:rsid w:val="1D232721"/>
    <w:rsid w:val="1D34511C"/>
    <w:rsid w:val="1D394389"/>
    <w:rsid w:val="1D4E5D23"/>
    <w:rsid w:val="1D655790"/>
    <w:rsid w:val="1D6D625D"/>
    <w:rsid w:val="1D7D0D28"/>
    <w:rsid w:val="1D9808A1"/>
    <w:rsid w:val="1DAB268B"/>
    <w:rsid w:val="1DC12E8E"/>
    <w:rsid w:val="1DDB484B"/>
    <w:rsid w:val="1DF761AC"/>
    <w:rsid w:val="1DFE7BD5"/>
    <w:rsid w:val="1DFF7D6A"/>
    <w:rsid w:val="1E0B6F30"/>
    <w:rsid w:val="1E0B72AA"/>
    <w:rsid w:val="1E5374B5"/>
    <w:rsid w:val="1E7A662A"/>
    <w:rsid w:val="1EAB72FF"/>
    <w:rsid w:val="1EC86370"/>
    <w:rsid w:val="1F0526DE"/>
    <w:rsid w:val="1F092265"/>
    <w:rsid w:val="1F187A67"/>
    <w:rsid w:val="1F5F118E"/>
    <w:rsid w:val="1F9F33DF"/>
    <w:rsid w:val="1FD71BBB"/>
    <w:rsid w:val="20051D65"/>
    <w:rsid w:val="2011136A"/>
    <w:rsid w:val="202F49F2"/>
    <w:rsid w:val="20376A17"/>
    <w:rsid w:val="203B5DD9"/>
    <w:rsid w:val="20435328"/>
    <w:rsid w:val="20505046"/>
    <w:rsid w:val="207009DA"/>
    <w:rsid w:val="20935E83"/>
    <w:rsid w:val="20A52965"/>
    <w:rsid w:val="20AE73F4"/>
    <w:rsid w:val="20B42BD9"/>
    <w:rsid w:val="20BC2E50"/>
    <w:rsid w:val="20DF446B"/>
    <w:rsid w:val="20F31062"/>
    <w:rsid w:val="21035140"/>
    <w:rsid w:val="21090409"/>
    <w:rsid w:val="21175510"/>
    <w:rsid w:val="21226569"/>
    <w:rsid w:val="21542300"/>
    <w:rsid w:val="2158167F"/>
    <w:rsid w:val="215F43C0"/>
    <w:rsid w:val="218B1A8C"/>
    <w:rsid w:val="21AB17E9"/>
    <w:rsid w:val="21BA1F4F"/>
    <w:rsid w:val="21C34F1A"/>
    <w:rsid w:val="21CE41D0"/>
    <w:rsid w:val="21CF1583"/>
    <w:rsid w:val="22147335"/>
    <w:rsid w:val="22182F0A"/>
    <w:rsid w:val="221A72AA"/>
    <w:rsid w:val="223B58B1"/>
    <w:rsid w:val="225A28D5"/>
    <w:rsid w:val="22640B41"/>
    <w:rsid w:val="227E7FD9"/>
    <w:rsid w:val="22821606"/>
    <w:rsid w:val="22AF47E8"/>
    <w:rsid w:val="22C85DE6"/>
    <w:rsid w:val="22C95FBF"/>
    <w:rsid w:val="22EB2C9D"/>
    <w:rsid w:val="22EE5385"/>
    <w:rsid w:val="22F93624"/>
    <w:rsid w:val="23183694"/>
    <w:rsid w:val="23194F56"/>
    <w:rsid w:val="23411FF9"/>
    <w:rsid w:val="234E2ADB"/>
    <w:rsid w:val="235A5828"/>
    <w:rsid w:val="23733AE8"/>
    <w:rsid w:val="237B7BF0"/>
    <w:rsid w:val="23A17E60"/>
    <w:rsid w:val="23BC1286"/>
    <w:rsid w:val="23BD3A7B"/>
    <w:rsid w:val="23C018BF"/>
    <w:rsid w:val="23CE316E"/>
    <w:rsid w:val="23D2268D"/>
    <w:rsid w:val="23FA33C6"/>
    <w:rsid w:val="24091565"/>
    <w:rsid w:val="244C76BC"/>
    <w:rsid w:val="246607A8"/>
    <w:rsid w:val="24664989"/>
    <w:rsid w:val="248B3896"/>
    <w:rsid w:val="24D87B8E"/>
    <w:rsid w:val="250E43C5"/>
    <w:rsid w:val="25174CA8"/>
    <w:rsid w:val="251F76DB"/>
    <w:rsid w:val="253474DB"/>
    <w:rsid w:val="25572C0C"/>
    <w:rsid w:val="25770400"/>
    <w:rsid w:val="25861B07"/>
    <w:rsid w:val="25C703A5"/>
    <w:rsid w:val="25F005C6"/>
    <w:rsid w:val="26050A77"/>
    <w:rsid w:val="261C7CD8"/>
    <w:rsid w:val="2625345C"/>
    <w:rsid w:val="2634599B"/>
    <w:rsid w:val="263B06DB"/>
    <w:rsid w:val="26476E9C"/>
    <w:rsid w:val="268D1B70"/>
    <w:rsid w:val="26B95199"/>
    <w:rsid w:val="26C563A2"/>
    <w:rsid w:val="26D96E41"/>
    <w:rsid w:val="26F222D8"/>
    <w:rsid w:val="27027DFD"/>
    <w:rsid w:val="27213DC0"/>
    <w:rsid w:val="27280AF8"/>
    <w:rsid w:val="27295718"/>
    <w:rsid w:val="272D4CF5"/>
    <w:rsid w:val="27831B69"/>
    <w:rsid w:val="27846750"/>
    <w:rsid w:val="278C76EA"/>
    <w:rsid w:val="27B170EB"/>
    <w:rsid w:val="27B34C0D"/>
    <w:rsid w:val="27C93B2E"/>
    <w:rsid w:val="27D369CB"/>
    <w:rsid w:val="27E05223"/>
    <w:rsid w:val="28650952"/>
    <w:rsid w:val="28847104"/>
    <w:rsid w:val="2888202C"/>
    <w:rsid w:val="289E0137"/>
    <w:rsid w:val="28A67BAC"/>
    <w:rsid w:val="28B23C74"/>
    <w:rsid w:val="28DC39F3"/>
    <w:rsid w:val="28F36ADC"/>
    <w:rsid w:val="294649D5"/>
    <w:rsid w:val="295B40E1"/>
    <w:rsid w:val="29640927"/>
    <w:rsid w:val="298207CE"/>
    <w:rsid w:val="29920884"/>
    <w:rsid w:val="29A633E9"/>
    <w:rsid w:val="29B308FA"/>
    <w:rsid w:val="29C93ADC"/>
    <w:rsid w:val="29CC6CDD"/>
    <w:rsid w:val="29D6323A"/>
    <w:rsid w:val="29FB4F1F"/>
    <w:rsid w:val="2A0024E0"/>
    <w:rsid w:val="2A003682"/>
    <w:rsid w:val="2A012BB2"/>
    <w:rsid w:val="2A0C014D"/>
    <w:rsid w:val="2A1E125D"/>
    <w:rsid w:val="2A26533D"/>
    <w:rsid w:val="2A3A584B"/>
    <w:rsid w:val="2A3D6977"/>
    <w:rsid w:val="2A4B7B51"/>
    <w:rsid w:val="2A5261D0"/>
    <w:rsid w:val="2A7D3CA5"/>
    <w:rsid w:val="2A8D0D94"/>
    <w:rsid w:val="2A9A60E1"/>
    <w:rsid w:val="2AA21687"/>
    <w:rsid w:val="2AC34862"/>
    <w:rsid w:val="2ADC4CDB"/>
    <w:rsid w:val="2AF94C07"/>
    <w:rsid w:val="2B05533A"/>
    <w:rsid w:val="2B0B7B30"/>
    <w:rsid w:val="2B1B6103"/>
    <w:rsid w:val="2B1D2AD9"/>
    <w:rsid w:val="2B1E14EA"/>
    <w:rsid w:val="2B22564C"/>
    <w:rsid w:val="2B2F7853"/>
    <w:rsid w:val="2B590214"/>
    <w:rsid w:val="2BBC63FF"/>
    <w:rsid w:val="2BCF38CD"/>
    <w:rsid w:val="2BD05D30"/>
    <w:rsid w:val="2BE20962"/>
    <w:rsid w:val="2BF214A0"/>
    <w:rsid w:val="2BFD341A"/>
    <w:rsid w:val="2C6F073C"/>
    <w:rsid w:val="2C7C39AF"/>
    <w:rsid w:val="2C9C4581"/>
    <w:rsid w:val="2CA84471"/>
    <w:rsid w:val="2CAB4F86"/>
    <w:rsid w:val="2CBF28BA"/>
    <w:rsid w:val="2CC2015A"/>
    <w:rsid w:val="2CCB05B9"/>
    <w:rsid w:val="2CDD4C69"/>
    <w:rsid w:val="2CE84CDE"/>
    <w:rsid w:val="2CEC20FD"/>
    <w:rsid w:val="2D2323E1"/>
    <w:rsid w:val="2D28158B"/>
    <w:rsid w:val="2D2F6370"/>
    <w:rsid w:val="2D930085"/>
    <w:rsid w:val="2D9C481B"/>
    <w:rsid w:val="2DA01E52"/>
    <w:rsid w:val="2DAE6137"/>
    <w:rsid w:val="2DB21009"/>
    <w:rsid w:val="2DD9585E"/>
    <w:rsid w:val="2DEA4C28"/>
    <w:rsid w:val="2DF91024"/>
    <w:rsid w:val="2DFE5F26"/>
    <w:rsid w:val="2E163172"/>
    <w:rsid w:val="2E232707"/>
    <w:rsid w:val="2E2B2AAB"/>
    <w:rsid w:val="2E3C521E"/>
    <w:rsid w:val="2E404720"/>
    <w:rsid w:val="2E5D3C80"/>
    <w:rsid w:val="2E7E1F4C"/>
    <w:rsid w:val="2E8E37B6"/>
    <w:rsid w:val="2E8E7D03"/>
    <w:rsid w:val="2E9B5862"/>
    <w:rsid w:val="2EA06B29"/>
    <w:rsid w:val="2EAA6906"/>
    <w:rsid w:val="2EB037A5"/>
    <w:rsid w:val="2EBD6B35"/>
    <w:rsid w:val="2EDC7688"/>
    <w:rsid w:val="2F023D7F"/>
    <w:rsid w:val="2F063D43"/>
    <w:rsid w:val="2F076322"/>
    <w:rsid w:val="2F1838DF"/>
    <w:rsid w:val="2F1E525A"/>
    <w:rsid w:val="2F370AB1"/>
    <w:rsid w:val="2F3A309E"/>
    <w:rsid w:val="2F5C3738"/>
    <w:rsid w:val="2F7A0E5A"/>
    <w:rsid w:val="2F8B3C2B"/>
    <w:rsid w:val="2FC52139"/>
    <w:rsid w:val="2FC82209"/>
    <w:rsid w:val="2FF1660F"/>
    <w:rsid w:val="2FFC3B50"/>
    <w:rsid w:val="300E3936"/>
    <w:rsid w:val="30236861"/>
    <w:rsid w:val="30397D19"/>
    <w:rsid w:val="303C2889"/>
    <w:rsid w:val="30416DC3"/>
    <w:rsid w:val="304C05FF"/>
    <w:rsid w:val="30535634"/>
    <w:rsid w:val="30541B2F"/>
    <w:rsid w:val="305957A5"/>
    <w:rsid w:val="30737A75"/>
    <w:rsid w:val="30B4489B"/>
    <w:rsid w:val="30B518F6"/>
    <w:rsid w:val="30C12367"/>
    <w:rsid w:val="30EB64C3"/>
    <w:rsid w:val="30EF57E0"/>
    <w:rsid w:val="30F96665"/>
    <w:rsid w:val="30FE1815"/>
    <w:rsid w:val="31102393"/>
    <w:rsid w:val="311508BF"/>
    <w:rsid w:val="31254604"/>
    <w:rsid w:val="31515F68"/>
    <w:rsid w:val="31914C8E"/>
    <w:rsid w:val="31935367"/>
    <w:rsid w:val="31994A6D"/>
    <w:rsid w:val="31CC713F"/>
    <w:rsid w:val="31D77000"/>
    <w:rsid w:val="32057A41"/>
    <w:rsid w:val="322B22F1"/>
    <w:rsid w:val="32340F83"/>
    <w:rsid w:val="32363BBA"/>
    <w:rsid w:val="3237077C"/>
    <w:rsid w:val="32484A73"/>
    <w:rsid w:val="324D2EB8"/>
    <w:rsid w:val="325449AF"/>
    <w:rsid w:val="325877BC"/>
    <w:rsid w:val="325D0E9B"/>
    <w:rsid w:val="325E2D50"/>
    <w:rsid w:val="329945B6"/>
    <w:rsid w:val="32BD71B4"/>
    <w:rsid w:val="32C04011"/>
    <w:rsid w:val="32C31D61"/>
    <w:rsid w:val="32CC369B"/>
    <w:rsid w:val="32E66B88"/>
    <w:rsid w:val="32EC4D69"/>
    <w:rsid w:val="330077F5"/>
    <w:rsid w:val="33083699"/>
    <w:rsid w:val="330A1F4A"/>
    <w:rsid w:val="331849E6"/>
    <w:rsid w:val="331C3542"/>
    <w:rsid w:val="331F1125"/>
    <w:rsid w:val="336A2764"/>
    <w:rsid w:val="33754D83"/>
    <w:rsid w:val="33791520"/>
    <w:rsid w:val="337A7B82"/>
    <w:rsid w:val="33941D42"/>
    <w:rsid w:val="33976ABE"/>
    <w:rsid w:val="33A72E89"/>
    <w:rsid w:val="33B60818"/>
    <w:rsid w:val="33C5278B"/>
    <w:rsid w:val="33DE0CE7"/>
    <w:rsid w:val="33E46392"/>
    <w:rsid w:val="33F5462B"/>
    <w:rsid w:val="341F4EF7"/>
    <w:rsid w:val="34211056"/>
    <w:rsid w:val="342353DC"/>
    <w:rsid w:val="342A06AA"/>
    <w:rsid w:val="342A1040"/>
    <w:rsid w:val="34330EAF"/>
    <w:rsid w:val="343B3AE1"/>
    <w:rsid w:val="344A7A05"/>
    <w:rsid w:val="34587F6B"/>
    <w:rsid w:val="345E2D42"/>
    <w:rsid w:val="34722339"/>
    <w:rsid w:val="34733466"/>
    <w:rsid w:val="347D4F43"/>
    <w:rsid w:val="34834D44"/>
    <w:rsid w:val="349B1C67"/>
    <w:rsid w:val="34A56AB2"/>
    <w:rsid w:val="34BA1559"/>
    <w:rsid w:val="34C32704"/>
    <w:rsid w:val="34C6389F"/>
    <w:rsid w:val="3505772D"/>
    <w:rsid w:val="35151DB2"/>
    <w:rsid w:val="354536F9"/>
    <w:rsid w:val="35481869"/>
    <w:rsid w:val="35547FCD"/>
    <w:rsid w:val="355E18A5"/>
    <w:rsid w:val="35741F18"/>
    <w:rsid w:val="359555CA"/>
    <w:rsid w:val="35BC6866"/>
    <w:rsid w:val="35E46128"/>
    <w:rsid w:val="35FD5539"/>
    <w:rsid w:val="36190CB8"/>
    <w:rsid w:val="36193860"/>
    <w:rsid w:val="3622557C"/>
    <w:rsid w:val="362B6782"/>
    <w:rsid w:val="363609A9"/>
    <w:rsid w:val="36675654"/>
    <w:rsid w:val="366A3695"/>
    <w:rsid w:val="366B366E"/>
    <w:rsid w:val="36753828"/>
    <w:rsid w:val="36A931EC"/>
    <w:rsid w:val="36B34940"/>
    <w:rsid w:val="36BA61F9"/>
    <w:rsid w:val="36C142B1"/>
    <w:rsid w:val="36C22B71"/>
    <w:rsid w:val="36E7306B"/>
    <w:rsid w:val="36F507A9"/>
    <w:rsid w:val="36F74059"/>
    <w:rsid w:val="36F80D83"/>
    <w:rsid w:val="370450E7"/>
    <w:rsid w:val="37333BEF"/>
    <w:rsid w:val="373B66D6"/>
    <w:rsid w:val="374656E2"/>
    <w:rsid w:val="37AA5C1D"/>
    <w:rsid w:val="37BB4DC0"/>
    <w:rsid w:val="37C757BE"/>
    <w:rsid w:val="37E04BA5"/>
    <w:rsid w:val="37E22DB7"/>
    <w:rsid w:val="37FA62B6"/>
    <w:rsid w:val="382A4EDB"/>
    <w:rsid w:val="382F473F"/>
    <w:rsid w:val="383A34DB"/>
    <w:rsid w:val="389637BA"/>
    <w:rsid w:val="389915EA"/>
    <w:rsid w:val="38B554DF"/>
    <w:rsid w:val="38FF585D"/>
    <w:rsid w:val="39051698"/>
    <w:rsid w:val="391F0D04"/>
    <w:rsid w:val="392033B1"/>
    <w:rsid w:val="39380466"/>
    <w:rsid w:val="39435B49"/>
    <w:rsid w:val="39541E27"/>
    <w:rsid w:val="397468FD"/>
    <w:rsid w:val="397B001E"/>
    <w:rsid w:val="397C445D"/>
    <w:rsid w:val="399C2BA6"/>
    <w:rsid w:val="39C03363"/>
    <w:rsid w:val="39DE1C38"/>
    <w:rsid w:val="39EB784A"/>
    <w:rsid w:val="39EC69BD"/>
    <w:rsid w:val="3A074A97"/>
    <w:rsid w:val="3A201DCB"/>
    <w:rsid w:val="3A321B22"/>
    <w:rsid w:val="3A3C3FAC"/>
    <w:rsid w:val="3A4778C8"/>
    <w:rsid w:val="3A6A3483"/>
    <w:rsid w:val="3A736507"/>
    <w:rsid w:val="3A756CCA"/>
    <w:rsid w:val="3A890307"/>
    <w:rsid w:val="3AF46441"/>
    <w:rsid w:val="3AF573FE"/>
    <w:rsid w:val="3AFC7F3A"/>
    <w:rsid w:val="3B0069FA"/>
    <w:rsid w:val="3B411C20"/>
    <w:rsid w:val="3B49673B"/>
    <w:rsid w:val="3B54230F"/>
    <w:rsid w:val="3B597B9E"/>
    <w:rsid w:val="3B8F5BEB"/>
    <w:rsid w:val="3B9D0A78"/>
    <w:rsid w:val="3BA06371"/>
    <w:rsid w:val="3BA432FC"/>
    <w:rsid w:val="3BBA40AC"/>
    <w:rsid w:val="3C014AE3"/>
    <w:rsid w:val="3C193885"/>
    <w:rsid w:val="3C214DF0"/>
    <w:rsid w:val="3C3914C7"/>
    <w:rsid w:val="3C410F4A"/>
    <w:rsid w:val="3C703778"/>
    <w:rsid w:val="3C842EEF"/>
    <w:rsid w:val="3CD4717E"/>
    <w:rsid w:val="3CD56D64"/>
    <w:rsid w:val="3CE0503F"/>
    <w:rsid w:val="3CF77CBB"/>
    <w:rsid w:val="3D01188D"/>
    <w:rsid w:val="3D0955C6"/>
    <w:rsid w:val="3D0A4DC0"/>
    <w:rsid w:val="3D1115F8"/>
    <w:rsid w:val="3D120C23"/>
    <w:rsid w:val="3D3B3DAB"/>
    <w:rsid w:val="3D3F1A66"/>
    <w:rsid w:val="3D421FCB"/>
    <w:rsid w:val="3D531924"/>
    <w:rsid w:val="3D71385B"/>
    <w:rsid w:val="3D8B524A"/>
    <w:rsid w:val="3DA86568"/>
    <w:rsid w:val="3DBB67A5"/>
    <w:rsid w:val="3E101A43"/>
    <w:rsid w:val="3E2A64E1"/>
    <w:rsid w:val="3E2F62CC"/>
    <w:rsid w:val="3E48680B"/>
    <w:rsid w:val="3E54585D"/>
    <w:rsid w:val="3E5B1AD8"/>
    <w:rsid w:val="3E82190B"/>
    <w:rsid w:val="3E906397"/>
    <w:rsid w:val="3EB11BDC"/>
    <w:rsid w:val="3EC00F3B"/>
    <w:rsid w:val="3EC07437"/>
    <w:rsid w:val="3EF36FB7"/>
    <w:rsid w:val="3EFD1F55"/>
    <w:rsid w:val="3F0B1C79"/>
    <w:rsid w:val="3F176754"/>
    <w:rsid w:val="3F1A5F26"/>
    <w:rsid w:val="3F323857"/>
    <w:rsid w:val="3F5300C5"/>
    <w:rsid w:val="3F6F7973"/>
    <w:rsid w:val="3F7228ED"/>
    <w:rsid w:val="3FA51634"/>
    <w:rsid w:val="3FA9357B"/>
    <w:rsid w:val="3FD12631"/>
    <w:rsid w:val="3FF57550"/>
    <w:rsid w:val="4002577E"/>
    <w:rsid w:val="40160FBA"/>
    <w:rsid w:val="40227BEF"/>
    <w:rsid w:val="40266A53"/>
    <w:rsid w:val="4044068B"/>
    <w:rsid w:val="404D6CFC"/>
    <w:rsid w:val="40571D08"/>
    <w:rsid w:val="407B0764"/>
    <w:rsid w:val="40AA60A0"/>
    <w:rsid w:val="40D47BA5"/>
    <w:rsid w:val="40E157AA"/>
    <w:rsid w:val="40E82E60"/>
    <w:rsid w:val="4125259C"/>
    <w:rsid w:val="413B5305"/>
    <w:rsid w:val="41526990"/>
    <w:rsid w:val="415B4149"/>
    <w:rsid w:val="41646619"/>
    <w:rsid w:val="41BB7DC2"/>
    <w:rsid w:val="41DE14EE"/>
    <w:rsid w:val="42067B5D"/>
    <w:rsid w:val="42447EE6"/>
    <w:rsid w:val="424C48A7"/>
    <w:rsid w:val="42753C75"/>
    <w:rsid w:val="427E6758"/>
    <w:rsid w:val="42906919"/>
    <w:rsid w:val="42B66367"/>
    <w:rsid w:val="42C46EBE"/>
    <w:rsid w:val="42C75A1D"/>
    <w:rsid w:val="42E249E6"/>
    <w:rsid w:val="42E24F9E"/>
    <w:rsid w:val="43435656"/>
    <w:rsid w:val="434476AF"/>
    <w:rsid w:val="435834CE"/>
    <w:rsid w:val="43675B85"/>
    <w:rsid w:val="43763C56"/>
    <w:rsid w:val="438A77ED"/>
    <w:rsid w:val="439366D7"/>
    <w:rsid w:val="439D4EF8"/>
    <w:rsid w:val="44006EEA"/>
    <w:rsid w:val="441E20A9"/>
    <w:rsid w:val="441F51D6"/>
    <w:rsid w:val="441F7EFA"/>
    <w:rsid w:val="44545260"/>
    <w:rsid w:val="44670D9B"/>
    <w:rsid w:val="446B28C6"/>
    <w:rsid w:val="446F0B47"/>
    <w:rsid w:val="448A4E06"/>
    <w:rsid w:val="44C82A7D"/>
    <w:rsid w:val="44FB5D36"/>
    <w:rsid w:val="45046E04"/>
    <w:rsid w:val="45090E12"/>
    <w:rsid w:val="450E79F0"/>
    <w:rsid w:val="45807DDB"/>
    <w:rsid w:val="459820BA"/>
    <w:rsid w:val="459A32E8"/>
    <w:rsid w:val="45A06B98"/>
    <w:rsid w:val="45AB50A5"/>
    <w:rsid w:val="45D373A9"/>
    <w:rsid w:val="45D63403"/>
    <w:rsid w:val="45EE53DA"/>
    <w:rsid w:val="45FE10A4"/>
    <w:rsid w:val="46021087"/>
    <w:rsid w:val="461362BE"/>
    <w:rsid w:val="46342C04"/>
    <w:rsid w:val="46495486"/>
    <w:rsid w:val="464E7A4D"/>
    <w:rsid w:val="464F0F77"/>
    <w:rsid w:val="46542BA0"/>
    <w:rsid w:val="4668606F"/>
    <w:rsid w:val="466E2248"/>
    <w:rsid w:val="466E52DA"/>
    <w:rsid w:val="46A37C6B"/>
    <w:rsid w:val="46A83896"/>
    <w:rsid w:val="46C27B2A"/>
    <w:rsid w:val="46DC15DF"/>
    <w:rsid w:val="46E20826"/>
    <w:rsid w:val="46FF4353"/>
    <w:rsid w:val="471A1A6F"/>
    <w:rsid w:val="47230CBC"/>
    <w:rsid w:val="47266CA8"/>
    <w:rsid w:val="472B5ED1"/>
    <w:rsid w:val="47434813"/>
    <w:rsid w:val="474A2163"/>
    <w:rsid w:val="475F2BB7"/>
    <w:rsid w:val="47960FBC"/>
    <w:rsid w:val="479723B6"/>
    <w:rsid w:val="47BC59FE"/>
    <w:rsid w:val="47C725C6"/>
    <w:rsid w:val="47D84D73"/>
    <w:rsid w:val="47FC1E98"/>
    <w:rsid w:val="480B554C"/>
    <w:rsid w:val="48144B3D"/>
    <w:rsid w:val="482D0102"/>
    <w:rsid w:val="48351F56"/>
    <w:rsid w:val="483B43D7"/>
    <w:rsid w:val="485266A8"/>
    <w:rsid w:val="485603D8"/>
    <w:rsid w:val="48632766"/>
    <w:rsid w:val="486A52FD"/>
    <w:rsid w:val="48920788"/>
    <w:rsid w:val="489B784A"/>
    <w:rsid w:val="48A5769D"/>
    <w:rsid w:val="48AC66F8"/>
    <w:rsid w:val="48B0446D"/>
    <w:rsid w:val="48BC5D62"/>
    <w:rsid w:val="48CA05FD"/>
    <w:rsid w:val="48CD5234"/>
    <w:rsid w:val="48F027BA"/>
    <w:rsid w:val="49026D89"/>
    <w:rsid w:val="493632BB"/>
    <w:rsid w:val="4988746F"/>
    <w:rsid w:val="49B6655D"/>
    <w:rsid w:val="49C4751E"/>
    <w:rsid w:val="49CB6709"/>
    <w:rsid w:val="49D202AC"/>
    <w:rsid w:val="49D22587"/>
    <w:rsid w:val="49E866B5"/>
    <w:rsid w:val="4A221FA7"/>
    <w:rsid w:val="4A26123E"/>
    <w:rsid w:val="4A575F8B"/>
    <w:rsid w:val="4A6304F1"/>
    <w:rsid w:val="4A935C9C"/>
    <w:rsid w:val="4A9E25AC"/>
    <w:rsid w:val="4ACF0887"/>
    <w:rsid w:val="4AD17B63"/>
    <w:rsid w:val="4AFC69F8"/>
    <w:rsid w:val="4B1F2F97"/>
    <w:rsid w:val="4B202F34"/>
    <w:rsid w:val="4B2C3E25"/>
    <w:rsid w:val="4B367E70"/>
    <w:rsid w:val="4B426D36"/>
    <w:rsid w:val="4B497796"/>
    <w:rsid w:val="4B5733A9"/>
    <w:rsid w:val="4B9F5457"/>
    <w:rsid w:val="4BA741A7"/>
    <w:rsid w:val="4BF0496E"/>
    <w:rsid w:val="4C1F0728"/>
    <w:rsid w:val="4C1F38D9"/>
    <w:rsid w:val="4C20238F"/>
    <w:rsid w:val="4C4975D2"/>
    <w:rsid w:val="4C566549"/>
    <w:rsid w:val="4C621723"/>
    <w:rsid w:val="4C632709"/>
    <w:rsid w:val="4C7C1CC3"/>
    <w:rsid w:val="4CC90C2F"/>
    <w:rsid w:val="4CD568F4"/>
    <w:rsid w:val="4D0A548B"/>
    <w:rsid w:val="4D353E83"/>
    <w:rsid w:val="4D3C1BFB"/>
    <w:rsid w:val="4D514C98"/>
    <w:rsid w:val="4D6936C2"/>
    <w:rsid w:val="4D7352D2"/>
    <w:rsid w:val="4D916644"/>
    <w:rsid w:val="4D96121E"/>
    <w:rsid w:val="4DAF1D4E"/>
    <w:rsid w:val="4DB27D16"/>
    <w:rsid w:val="4DDD2D52"/>
    <w:rsid w:val="4E1817BB"/>
    <w:rsid w:val="4E216BDF"/>
    <w:rsid w:val="4E5E6689"/>
    <w:rsid w:val="4E753642"/>
    <w:rsid w:val="4E845B37"/>
    <w:rsid w:val="4EC24DA5"/>
    <w:rsid w:val="4EC40703"/>
    <w:rsid w:val="4ED82BAC"/>
    <w:rsid w:val="4EDC74C9"/>
    <w:rsid w:val="4EDE1B3C"/>
    <w:rsid w:val="4EFC0BF0"/>
    <w:rsid w:val="4F345119"/>
    <w:rsid w:val="4F3E2F21"/>
    <w:rsid w:val="4F4F4C29"/>
    <w:rsid w:val="4F522F8D"/>
    <w:rsid w:val="4F6203F9"/>
    <w:rsid w:val="4F6931CD"/>
    <w:rsid w:val="4F81295B"/>
    <w:rsid w:val="4F920F61"/>
    <w:rsid w:val="4F9850C6"/>
    <w:rsid w:val="4F993F00"/>
    <w:rsid w:val="4F9B3399"/>
    <w:rsid w:val="4FBD7C77"/>
    <w:rsid w:val="4FD43F87"/>
    <w:rsid w:val="4FDA1FEB"/>
    <w:rsid w:val="4FFB7B42"/>
    <w:rsid w:val="500C66F8"/>
    <w:rsid w:val="502E4B4A"/>
    <w:rsid w:val="50547330"/>
    <w:rsid w:val="505C19DD"/>
    <w:rsid w:val="506E1575"/>
    <w:rsid w:val="50971561"/>
    <w:rsid w:val="50A72A40"/>
    <w:rsid w:val="50B36711"/>
    <w:rsid w:val="50C91F90"/>
    <w:rsid w:val="5100370B"/>
    <w:rsid w:val="51302C2F"/>
    <w:rsid w:val="51354015"/>
    <w:rsid w:val="51406172"/>
    <w:rsid w:val="51522B9C"/>
    <w:rsid w:val="516B1143"/>
    <w:rsid w:val="517A5A4C"/>
    <w:rsid w:val="518B0541"/>
    <w:rsid w:val="519A2269"/>
    <w:rsid w:val="51B7003C"/>
    <w:rsid w:val="51BC5C5E"/>
    <w:rsid w:val="51C562E4"/>
    <w:rsid w:val="51D44AB7"/>
    <w:rsid w:val="51F50C90"/>
    <w:rsid w:val="5212281D"/>
    <w:rsid w:val="5229101D"/>
    <w:rsid w:val="52293430"/>
    <w:rsid w:val="52315816"/>
    <w:rsid w:val="52511202"/>
    <w:rsid w:val="525316EB"/>
    <w:rsid w:val="52535FD9"/>
    <w:rsid w:val="529E3E74"/>
    <w:rsid w:val="52C22485"/>
    <w:rsid w:val="52D54673"/>
    <w:rsid w:val="52D95543"/>
    <w:rsid w:val="530B2B8A"/>
    <w:rsid w:val="531D3E0E"/>
    <w:rsid w:val="531E4E78"/>
    <w:rsid w:val="53704A9A"/>
    <w:rsid w:val="53827915"/>
    <w:rsid w:val="53866219"/>
    <w:rsid w:val="53B36F3A"/>
    <w:rsid w:val="53DC1EC1"/>
    <w:rsid w:val="53E63C5C"/>
    <w:rsid w:val="54306D23"/>
    <w:rsid w:val="543F01ED"/>
    <w:rsid w:val="545A3D6C"/>
    <w:rsid w:val="546B76AA"/>
    <w:rsid w:val="54A048FB"/>
    <w:rsid w:val="54C14E78"/>
    <w:rsid w:val="54C41C5F"/>
    <w:rsid w:val="54EA3BE9"/>
    <w:rsid w:val="54F54166"/>
    <w:rsid w:val="550521EF"/>
    <w:rsid w:val="550725BC"/>
    <w:rsid w:val="550A1FB0"/>
    <w:rsid w:val="5517528D"/>
    <w:rsid w:val="551E2BFC"/>
    <w:rsid w:val="55472970"/>
    <w:rsid w:val="554B76E1"/>
    <w:rsid w:val="554D0141"/>
    <w:rsid w:val="555936AB"/>
    <w:rsid w:val="555A6EDA"/>
    <w:rsid w:val="555D41E7"/>
    <w:rsid w:val="55612EB6"/>
    <w:rsid w:val="55661FFA"/>
    <w:rsid w:val="559210F4"/>
    <w:rsid w:val="55A02D59"/>
    <w:rsid w:val="55BA5661"/>
    <w:rsid w:val="55C01AA5"/>
    <w:rsid w:val="55CA28D1"/>
    <w:rsid w:val="55DB4574"/>
    <w:rsid w:val="55F0796C"/>
    <w:rsid w:val="56054FCD"/>
    <w:rsid w:val="56142485"/>
    <w:rsid w:val="561F39DE"/>
    <w:rsid w:val="56427734"/>
    <w:rsid w:val="56663B90"/>
    <w:rsid w:val="566A372F"/>
    <w:rsid w:val="56950611"/>
    <w:rsid w:val="56AC30BB"/>
    <w:rsid w:val="56CC37C1"/>
    <w:rsid w:val="56E76ADA"/>
    <w:rsid w:val="56F81B69"/>
    <w:rsid w:val="56FE6742"/>
    <w:rsid w:val="571D4215"/>
    <w:rsid w:val="57356303"/>
    <w:rsid w:val="574B2A7F"/>
    <w:rsid w:val="574C5C26"/>
    <w:rsid w:val="57533409"/>
    <w:rsid w:val="575F16CC"/>
    <w:rsid w:val="57606737"/>
    <w:rsid w:val="5761243B"/>
    <w:rsid w:val="57764746"/>
    <w:rsid w:val="577F45DA"/>
    <w:rsid w:val="57934B68"/>
    <w:rsid w:val="579E0130"/>
    <w:rsid w:val="57A400BD"/>
    <w:rsid w:val="57AE0F5A"/>
    <w:rsid w:val="57B64C4E"/>
    <w:rsid w:val="57C95196"/>
    <w:rsid w:val="57CC7B26"/>
    <w:rsid w:val="580E4707"/>
    <w:rsid w:val="582B4167"/>
    <w:rsid w:val="582D09E6"/>
    <w:rsid w:val="585D5DE6"/>
    <w:rsid w:val="585E1C7F"/>
    <w:rsid w:val="58624DC2"/>
    <w:rsid w:val="587420E9"/>
    <w:rsid w:val="58A47D5D"/>
    <w:rsid w:val="58D22E95"/>
    <w:rsid w:val="58E609EF"/>
    <w:rsid w:val="58ED1BEE"/>
    <w:rsid w:val="590E6527"/>
    <w:rsid w:val="591A4CBA"/>
    <w:rsid w:val="5936338E"/>
    <w:rsid w:val="593D0F80"/>
    <w:rsid w:val="59476D17"/>
    <w:rsid w:val="594E083F"/>
    <w:rsid w:val="5960395E"/>
    <w:rsid w:val="59613428"/>
    <w:rsid w:val="59730C7E"/>
    <w:rsid w:val="597B1EE4"/>
    <w:rsid w:val="5983090C"/>
    <w:rsid w:val="59965CDC"/>
    <w:rsid w:val="599B0382"/>
    <w:rsid w:val="59D17A02"/>
    <w:rsid w:val="59D6073E"/>
    <w:rsid w:val="59F5279B"/>
    <w:rsid w:val="5A1674EA"/>
    <w:rsid w:val="5A3E7AC8"/>
    <w:rsid w:val="5A7E79C3"/>
    <w:rsid w:val="5A895053"/>
    <w:rsid w:val="5A930C57"/>
    <w:rsid w:val="5AAD1F78"/>
    <w:rsid w:val="5AAF53B8"/>
    <w:rsid w:val="5ABC4E86"/>
    <w:rsid w:val="5AD85F72"/>
    <w:rsid w:val="5AEE1556"/>
    <w:rsid w:val="5AF75875"/>
    <w:rsid w:val="5B1E7D62"/>
    <w:rsid w:val="5B1F41A1"/>
    <w:rsid w:val="5B200DC1"/>
    <w:rsid w:val="5B2218C1"/>
    <w:rsid w:val="5B33202B"/>
    <w:rsid w:val="5B34597D"/>
    <w:rsid w:val="5B4918CF"/>
    <w:rsid w:val="5B4B31A4"/>
    <w:rsid w:val="5B5832C9"/>
    <w:rsid w:val="5B6353CB"/>
    <w:rsid w:val="5B7B6B21"/>
    <w:rsid w:val="5B801241"/>
    <w:rsid w:val="5B8018F6"/>
    <w:rsid w:val="5B932B40"/>
    <w:rsid w:val="5BA62A1F"/>
    <w:rsid w:val="5BA82BDB"/>
    <w:rsid w:val="5BBD03CF"/>
    <w:rsid w:val="5BC6348D"/>
    <w:rsid w:val="5BDA0763"/>
    <w:rsid w:val="5BE30FFA"/>
    <w:rsid w:val="5BEC5075"/>
    <w:rsid w:val="5BF4563C"/>
    <w:rsid w:val="5C2E4120"/>
    <w:rsid w:val="5C525FFC"/>
    <w:rsid w:val="5C570275"/>
    <w:rsid w:val="5C7F3F1B"/>
    <w:rsid w:val="5C9D7384"/>
    <w:rsid w:val="5CA2500E"/>
    <w:rsid w:val="5CCB1182"/>
    <w:rsid w:val="5CDF0070"/>
    <w:rsid w:val="5CEB767E"/>
    <w:rsid w:val="5CF71202"/>
    <w:rsid w:val="5D0964D7"/>
    <w:rsid w:val="5D2E0BF8"/>
    <w:rsid w:val="5D3F14BF"/>
    <w:rsid w:val="5D4034D2"/>
    <w:rsid w:val="5D5A11C2"/>
    <w:rsid w:val="5D5D2EDF"/>
    <w:rsid w:val="5D6002B5"/>
    <w:rsid w:val="5D661808"/>
    <w:rsid w:val="5D793384"/>
    <w:rsid w:val="5D891AC2"/>
    <w:rsid w:val="5DC36399"/>
    <w:rsid w:val="5DCF54EC"/>
    <w:rsid w:val="5DDC6A66"/>
    <w:rsid w:val="5DE4298A"/>
    <w:rsid w:val="5E0F2B56"/>
    <w:rsid w:val="5E43241E"/>
    <w:rsid w:val="5E4E1178"/>
    <w:rsid w:val="5E66523B"/>
    <w:rsid w:val="5E923AC8"/>
    <w:rsid w:val="5EC77690"/>
    <w:rsid w:val="5EF43BE5"/>
    <w:rsid w:val="5F1A42AA"/>
    <w:rsid w:val="5F1E3246"/>
    <w:rsid w:val="5F3D656A"/>
    <w:rsid w:val="5F456B68"/>
    <w:rsid w:val="5F625898"/>
    <w:rsid w:val="5F661745"/>
    <w:rsid w:val="5F951CFA"/>
    <w:rsid w:val="5FBE6807"/>
    <w:rsid w:val="5FC074F4"/>
    <w:rsid w:val="5FDE6BB8"/>
    <w:rsid w:val="5FF6387D"/>
    <w:rsid w:val="601D60B7"/>
    <w:rsid w:val="602949F4"/>
    <w:rsid w:val="607C62A2"/>
    <w:rsid w:val="607D48E4"/>
    <w:rsid w:val="60974488"/>
    <w:rsid w:val="60AC15B7"/>
    <w:rsid w:val="60AD3913"/>
    <w:rsid w:val="60C73E66"/>
    <w:rsid w:val="60CF1EED"/>
    <w:rsid w:val="60DD0B2B"/>
    <w:rsid w:val="612E45E5"/>
    <w:rsid w:val="61303A73"/>
    <w:rsid w:val="6132748F"/>
    <w:rsid w:val="61393F2B"/>
    <w:rsid w:val="61510A02"/>
    <w:rsid w:val="61514877"/>
    <w:rsid w:val="61532DB6"/>
    <w:rsid w:val="61535D48"/>
    <w:rsid w:val="615B6DF2"/>
    <w:rsid w:val="615E766F"/>
    <w:rsid w:val="61747165"/>
    <w:rsid w:val="618A56C6"/>
    <w:rsid w:val="61B343C9"/>
    <w:rsid w:val="61E83CC0"/>
    <w:rsid w:val="61F7580C"/>
    <w:rsid w:val="61FE7B71"/>
    <w:rsid w:val="62034C40"/>
    <w:rsid w:val="62117E71"/>
    <w:rsid w:val="621A1760"/>
    <w:rsid w:val="6226258E"/>
    <w:rsid w:val="623062A0"/>
    <w:rsid w:val="625F0891"/>
    <w:rsid w:val="627D303B"/>
    <w:rsid w:val="62AD25EE"/>
    <w:rsid w:val="62C91A52"/>
    <w:rsid w:val="62D473A6"/>
    <w:rsid w:val="62FE75A9"/>
    <w:rsid w:val="631A65C7"/>
    <w:rsid w:val="632E64AB"/>
    <w:rsid w:val="633A7AE6"/>
    <w:rsid w:val="635A40AF"/>
    <w:rsid w:val="638866D0"/>
    <w:rsid w:val="63A0413C"/>
    <w:rsid w:val="63C11092"/>
    <w:rsid w:val="63E026DD"/>
    <w:rsid w:val="63FF749B"/>
    <w:rsid w:val="64001EFF"/>
    <w:rsid w:val="642809CB"/>
    <w:rsid w:val="6430790B"/>
    <w:rsid w:val="6438525F"/>
    <w:rsid w:val="643C3D35"/>
    <w:rsid w:val="64573C41"/>
    <w:rsid w:val="64581506"/>
    <w:rsid w:val="646A6B41"/>
    <w:rsid w:val="64A41AEB"/>
    <w:rsid w:val="64AA7F0A"/>
    <w:rsid w:val="64B04103"/>
    <w:rsid w:val="64BA77B9"/>
    <w:rsid w:val="64DF54C0"/>
    <w:rsid w:val="64F27ABC"/>
    <w:rsid w:val="650B0B5E"/>
    <w:rsid w:val="651D6B1A"/>
    <w:rsid w:val="65876665"/>
    <w:rsid w:val="659C237C"/>
    <w:rsid w:val="65A04234"/>
    <w:rsid w:val="65AA6FA4"/>
    <w:rsid w:val="65B315F9"/>
    <w:rsid w:val="65B9668D"/>
    <w:rsid w:val="65BB2A47"/>
    <w:rsid w:val="65BE4CF4"/>
    <w:rsid w:val="65C32EDF"/>
    <w:rsid w:val="65E25329"/>
    <w:rsid w:val="65E45564"/>
    <w:rsid w:val="65FA5E96"/>
    <w:rsid w:val="660A4334"/>
    <w:rsid w:val="662616A6"/>
    <w:rsid w:val="663B101B"/>
    <w:rsid w:val="664B2A31"/>
    <w:rsid w:val="66C67037"/>
    <w:rsid w:val="66CA2D58"/>
    <w:rsid w:val="67000CC4"/>
    <w:rsid w:val="671E62D1"/>
    <w:rsid w:val="67236732"/>
    <w:rsid w:val="67271ECA"/>
    <w:rsid w:val="67346192"/>
    <w:rsid w:val="674D4272"/>
    <w:rsid w:val="67603B4E"/>
    <w:rsid w:val="67805538"/>
    <w:rsid w:val="678E3890"/>
    <w:rsid w:val="679154A7"/>
    <w:rsid w:val="679529FF"/>
    <w:rsid w:val="67A32F1D"/>
    <w:rsid w:val="67CA62CC"/>
    <w:rsid w:val="67D05188"/>
    <w:rsid w:val="67E0573D"/>
    <w:rsid w:val="67ED1C8B"/>
    <w:rsid w:val="68257ABE"/>
    <w:rsid w:val="683806E1"/>
    <w:rsid w:val="683A0845"/>
    <w:rsid w:val="684C6D82"/>
    <w:rsid w:val="687A7558"/>
    <w:rsid w:val="68910273"/>
    <w:rsid w:val="689543AB"/>
    <w:rsid w:val="689768B0"/>
    <w:rsid w:val="689A51D3"/>
    <w:rsid w:val="689E4351"/>
    <w:rsid w:val="689E675B"/>
    <w:rsid w:val="68E36490"/>
    <w:rsid w:val="68EC631A"/>
    <w:rsid w:val="68F07AD8"/>
    <w:rsid w:val="68F759D7"/>
    <w:rsid w:val="69064E1F"/>
    <w:rsid w:val="693A4844"/>
    <w:rsid w:val="6963464C"/>
    <w:rsid w:val="69636C5C"/>
    <w:rsid w:val="6979600B"/>
    <w:rsid w:val="69C73A5E"/>
    <w:rsid w:val="69EE748C"/>
    <w:rsid w:val="69F43D6B"/>
    <w:rsid w:val="6A0D1E19"/>
    <w:rsid w:val="6A3A26DD"/>
    <w:rsid w:val="6A431624"/>
    <w:rsid w:val="6A54447F"/>
    <w:rsid w:val="6A6C04DE"/>
    <w:rsid w:val="6A7A2EB7"/>
    <w:rsid w:val="6A8144CA"/>
    <w:rsid w:val="6A8428CF"/>
    <w:rsid w:val="6AAE4EA1"/>
    <w:rsid w:val="6AB3342D"/>
    <w:rsid w:val="6AB57680"/>
    <w:rsid w:val="6ABC61BC"/>
    <w:rsid w:val="6ABE7D91"/>
    <w:rsid w:val="6AC236B8"/>
    <w:rsid w:val="6ADA5513"/>
    <w:rsid w:val="6AF57F99"/>
    <w:rsid w:val="6B0735B9"/>
    <w:rsid w:val="6B1A7D38"/>
    <w:rsid w:val="6B464A26"/>
    <w:rsid w:val="6B587B00"/>
    <w:rsid w:val="6B933251"/>
    <w:rsid w:val="6BB979F3"/>
    <w:rsid w:val="6BC3076A"/>
    <w:rsid w:val="6BE433C5"/>
    <w:rsid w:val="6BF03BA1"/>
    <w:rsid w:val="6BF65C3A"/>
    <w:rsid w:val="6BF900F6"/>
    <w:rsid w:val="6BFC570F"/>
    <w:rsid w:val="6C0E30E3"/>
    <w:rsid w:val="6C1A0485"/>
    <w:rsid w:val="6C4003DC"/>
    <w:rsid w:val="6C496A7C"/>
    <w:rsid w:val="6C4B2C8B"/>
    <w:rsid w:val="6C5E780A"/>
    <w:rsid w:val="6C685F56"/>
    <w:rsid w:val="6C747623"/>
    <w:rsid w:val="6C772B2A"/>
    <w:rsid w:val="6CD60470"/>
    <w:rsid w:val="6CD607A0"/>
    <w:rsid w:val="6CDE49BA"/>
    <w:rsid w:val="6CE30CF7"/>
    <w:rsid w:val="6CF81051"/>
    <w:rsid w:val="6D2E0420"/>
    <w:rsid w:val="6D301FF3"/>
    <w:rsid w:val="6D3314B0"/>
    <w:rsid w:val="6D446631"/>
    <w:rsid w:val="6D5C193C"/>
    <w:rsid w:val="6D5C2DD9"/>
    <w:rsid w:val="6D632B5D"/>
    <w:rsid w:val="6D7906DB"/>
    <w:rsid w:val="6D797688"/>
    <w:rsid w:val="6DB34768"/>
    <w:rsid w:val="6DBF0137"/>
    <w:rsid w:val="6DBF37F2"/>
    <w:rsid w:val="6DC55F99"/>
    <w:rsid w:val="6DD741CC"/>
    <w:rsid w:val="6E012EA8"/>
    <w:rsid w:val="6E1E695E"/>
    <w:rsid w:val="6E1F179E"/>
    <w:rsid w:val="6E4758DE"/>
    <w:rsid w:val="6E6803C8"/>
    <w:rsid w:val="6E6F0818"/>
    <w:rsid w:val="6E820E47"/>
    <w:rsid w:val="6E890F27"/>
    <w:rsid w:val="6E8E56EE"/>
    <w:rsid w:val="6E9045F7"/>
    <w:rsid w:val="6E9B205C"/>
    <w:rsid w:val="6ED348BA"/>
    <w:rsid w:val="6EE929B2"/>
    <w:rsid w:val="6EF132E8"/>
    <w:rsid w:val="6F2063F9"/>
    <w:rsid w:val="6F2E3CA5"/>
    <w:rsid w:val="6F5337CF"/>
    <w:rsid w:val="6F6A1FC0"/>
    <w:rsid w:val="6F840CB0"/>
    <w:rsid w:val="6F95403E"/>
    <w:rsid w:val="6F984E98"/>
    <w:rsid w:val="70160D55"/>
    <w:rsid w:val="702150CD"/>
    <w:rsid w:val="70216187"/>
    <w:rsid w:val="702216B1"/>
    <w:rsid w:val="702F0604"/>
    <w:rsid w:val="70596096"/>
    <w:rsid w:val="707715A4"/>
    <w:rsid w:val="70A379C7"/>
    <w:rsid w:val="70B43CE5"/>
    <w:rsid w:val="70CD2302"/>
    <w:rsid w:val="70EA3FD1"/>
    <w:rsid w:val="70FD75B6"/>
    <w:rsid w:val="712D661A"/>
    <w:rsid w:val="714614A2"/>
    <w:rsid w:val="714878C3"/>
    <w:rsid w:val="71523A84"/>
    <w:rsid w:val="7157608A"/>
    <w:rsid w:val="715B640F"/>
    <w:rsid w:val="715D24C8"/>
    <w:rsid w:val="71791721"/>
    <w:rsid w:val="717D0F18"/>
    <w:rsid w:val="71994E08"/>
    <w:rsid w:val="71AA7DEB"/>
    <w:rsid w:val="71AD14DD"/>
    <w:rsid w:val="71B25CB1"/>
    <w:rsid w:val="71B37596"/>
    <w:rsid w:val="71B53FB1"/>
    <w:rsid w:val="71B67F65"/>
    <w:rsid w:val="71C728B3"/>
    <w:rsid w:val="71E81E42"/>
    <w:rsid w:val="71F07A75"/>
    <w:rsid w:val="720023CD"/>
    <w:rsid w:val="723C12FF"/>
    <w:rsid w:val="724572FC"/>
    <w:rsid w:val="72597141"/>
    <w:rsid w:val="726614A3"/>
    <w:rsid w:val="726D740B"/>
    <w:rsid w:val="728B0C2E"/>
    <w:rsid w:val="729B18FB"/>
    <w:rsid w:val="729F5B99"/>
    <w:rsid w:val="72A80AB7"/>
    <w:rsid w:val="72E5177E"/>
    <w:rsid w:val="7303436D"/>
    <w:rsid w:val="730F7BB5"/>
    <w:rsid w:val="7358703C"/>
    <w:rsid w:val="73697122"/>
    <w:rsid w:val="737811BD"/>
    <w:rsid w:val="739422EE"/>
    <w:rsid w:val="73970DFA"/>
    <w:rsid w:val="73AA7677"/>
    <w:rsid w:val="73C100BD"/>
    <w:rsid w:val="73E63558"/>
    <w:rsid w:val="73ED33F4"/>
    <w:rsid w:val="742A0C93"/>
    <w:rsid w:val="743B0AAD"/>
    <w:rsid w:val="74461D2F"/>
    <w:rsid w:val="74572085"/>
    <w:rsid w:val="74A96776"/>
    <w:rsid w:val="74B86DAB"/>
    <w:rsid w:val="74BD35C5"/>
    <w:rsid w:val="74C71835"/>
    <w:rsid w:val="74D859A3"/>
    <w:rsid w:val="74FA3609"/>
    <w:rsid w:val="7500467D"/>
    <w:rsid w:val="7500516A"/>
    <w:rsid w:val="7527661C"/>
    <w:rsid w:val="75350117"/>
    <w:rsid w:val="753D52E9"/>
    <w:rsid w:val="754D0CBA"/>
    <w:rsid w:val="75501933"/>
    <w:rsid w:val="757D3311"/>
    <w:rsid w:val="759F5470"/>
    <w:rsid w:val="75B90659"/>
    <w:rsid w:val="75CB2063"/>
    <w:rsid w:val="75D03CF0"/>
    <w:rsid w:val="75D94553"/>
    <w:rsid w:val="75DB5760"/>
    <w:rsid w:val="75F425D8"/>
    <w:rsid w:val="763A0064"/>
    <w:rsid w:val="76421C71"/>
    <w:rsid w:val="767D6227"/>
    <w:rsid w:val="76A72C41"/>
    <w:rsid w:val="76AC12C4"/>
    <w:rsid w:val="76B1630F"/>
    <w:rsid w:val="76BC722B"/>
    <w:rsid w:val="76C86434"/>
    <w:rsid w:val="76DB7D84"/>
    <w:rsid w:val="76DB7F89"/>
    <w:rsid w:val="76FF014D"/>
    <w:rsid w:val="770A794D"/>
    <w:rsid w:val="7713161A"/>
    <w:rsid w:val="771B0251"/>
    <w:rsid w:val="77222B55"/>
    <w:rsid w:val="77243942"/>
    <w:rsid w:val="77313E3E"/>
    <w:rsid w:val="77514571"/>
    <w:rsid w:val="77553DE9"/>
    <w:rsid w:val="776F3CFE"/>
    <w:rsid w:val="7770775E"/>
    <w:rsid w:val="77A10B49"/>
    <w:rsid w:val="77C61F9E"/>
    <w:rsid w:val="77C76122"/>
    <w:rsid w:val="77EA5DDF"/>
    <w:rsid w:val="78045885"/>
    <w:rsid w:val="78280366"/>
    <w:rsid w:val="783B48F5"/>
    <w:rsid w:val="783F5CD1"/>
    <w:rsid w:val="78402489"/>
    <w:rsid w:val="78501FDB"/>
    <w:rsid w:val="78754045"/>
    <w:rsid w:val="78754F85"/>
    <w:rsid w:val="78961CEB"/>
    <w:rsid w:val="789E77F1"/>
    <w:rsid w:val="78B506DD"/>
    <w:rsid w:val="79062E84"/>
    <w:rsid w:val="790665C8"/>
    <w:rsid w:val="791F2373"/>
    <w:rsid w:val="792D04A8"/>
    <w:rsid w:val="793D2E43"/>
    <w:rsid w:val="79511979"/>
    <w:rsid w:val="7959313F"/>
    <w:rsid w:val="798E4403"/>
    <w:rsid w:val="799D2CEE"/>
    <w:rsid w:val="79A80189"/>
    <w:rsid w:val="79B73AA8"/>
    <w:rsid w:val="79D05036"/>
    <w:rsid w:val="79EF1AB7"/>
    <w:rsid w:val="79FB59FC"/>
    <w:rsid w:val="7A3E51A6"/>
    <w:rsid w:val="7A6F1F7F"/>
    <w:rsid w:val="7A8B01DE"/>
    <w:rsid w:val="7A91427D"/>
    <w:rsid w:val="7A9E5E70"/>
    <w:rsid w:val="7A9F67D9"/>
    <w:rsid w:val="7AC753DF"/>
    <w:rsid w:val="7AC95E2E"/>
    <w:rsid w:val="7AD769F5"/>
    <w:rsid w:val="7ADA67DE"/>
    <w:rsid w:val="7ADA7144"/>
    <w:rsid w:val="7B476449"/>
    <w:rsid w:val="7B582E26"/>
    <w:rsid w:val="7B887D78"/>
    <w:rsid w:val="7BAB67ED"/>
    <w:rsid w:val="7BBF33C3"/>
    <w:rsid w:val="7BC960F1"/>
    <w:rsid w:val="7BEC1660"/>
    <w:rsid w:val="7BF3724C"/>
    <w:rsid w:val="7C085B00"/>
    <w:rsid w:val="7C29430B"/>
    <w:rsid w:val="7C355E66"/>
    <w:rsid w:val="7C39692D"/>
    <w:rsid w:val="7C3B566E"/>
    <w:rsid w:val="7C68297C"/>
    <w:rsid w:val="7C7A4689"/>
    <w:rsid w:val="7C9C3A70"/>
    <w:rsid w:val="7CCF5F38"/>
    <w:rsid w:val="7CDF7B3A"/>
    <w:rsid w:val="7D0D0451"/>
    <w:rsid w:val="7D1D5AAF"/>
    <w:rsid w:val="7D1F3286"/>
    <w:rsid w:val="7D3E403A"/>
    <w:rsid w:val="7D490576"/>
    <w:rsid w:val="7D581090"/>
    <w:rsid w:val="7D5F2AFE"/>
    <w:rsid w:val="7D6137EC"/>
    <w:rsid w:val="7D614111"/>
    <w:rsid w:val="7D7E67D3"/>
    <w:rsid w:val="7D891B09"/>
    <w:rsid w:val="7D962824"/>
    <w:rsid w:val="7DB04EF5"/>
    <w:rsid w:val="7DCE3853"/>
    <w:rsid w:val="7DD450F7"/>
    <w:rsid w:val="7DE35D8D"/>
    <w:rsid w:val="7DFB50F0"/>
    <w:rsid w:val="7DFC3F20"/>
    <w:rsid w:val="7E05625F"/>
    <w:rsid w:val="7E1B7DFC"/>
    <w:rsid w:val="7E1D049F"/>
    <w:rsid w:val="7E326797"/>
    <w:rsid w:val="7E41202B"/>
    <w:rsid w:val="7E547C3D"/>
    <w:rsid w:val="7E644CB7"/>
    <w:rsid w:val="7E8D60A6"/>
    <w:rsid w:val="7E9474B4"/>
    <w:rsid w:val="7ED607AA"/>
    <w:rsid w:val="7EDB0200"/>
    <w:rsid w:val="7EF20A91"/>
    <w:rsid w:val="7F141D4F"/>
    <w:rsid w:val="7F1B250F"/>
    <w:rsid w:val="7F4A28F8"/>
    <w:rsid w:val="7F86490D"/>
    <w:rsid w:val="7F9E10EB"/>
    <w:rsid w:val="7FA21C37"/>
    <w:rsid w:val="7FA75B9A"/>
    <w:rsid w:val="7FA77126"/>
    <w:rsid w:val="7FC81ACD"/>
    <w:rsid w:val="7FD47996"/>
    <w:rsid w:val="7FF87789"/>
    <w:rsid w:val="7FFE42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nhideWhenUsed="0" w:uiPriority="0" w:semiHidden="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99"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74"/>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80"/>
    <w:qFormat/>
    <w:uiPriority w:val="0"/>
    <w:pPr>
      <w:keepNext/>
      <w:keepLines/>
      <w:spacing w:before="260" w:after="260" w:line="416" w:lineRule="auto"/>
      <w:outlineLvl w:val="1"/>
    </w:pPr>
    <w:rPr>
      <w:rFonts w:ascii="Arial" w:hAnsi="Arial" w:eastAsia="黑体"/>
      <w:b/>
      <w:bCs/>
      <w:sz w:val="32"/>
      <w:szCs w:val="32"/>
    </w:rPr>
  </w:style>
  <w:style w:type="paragraph" w:styleId="6">
    <w:name w:val="heading 3"/>
    <w:basedOn w:val="1"/>
    <w:next w:val="1"/>
    <w:qFormat/>
    <w:uiPriority w:val="0"/>
    <w:pPr>
      <w:keepNext/>
      <w:keepLines/>
      <w:spacing w:before="260" w:after="260" w:line="416" w:lineRule="auto"/>
      <w:outlineLvl w:val="2"/>
    </w:pPr>
    <w:rPr>
      <w:b/>
      <w:bCs/>
      <w:sz w:val="32"/>
      <w:szCs w:val="32"/>
    </w:rPr>
  </w:style>
  <w:style w:type="paragraph" w:styleId="7">
    <w:name w:val="heading 4"/>
    <w:basedOn w:val="1"/>
    <w:next w:val="1"/>
    <w:qFormat/>
    <w:uiPriority w:val="0"/>
    <w:pPr>
      <w:keepNext/>
      <w:keepLines/>
      <w:spacing w:before="280" w:after="290" w:line="376" w:lineRule="auto"/>
      <w:outlineLvl w:val="3"/>
    </w:pPr>
    <w:rPr>
      <w:rFonts w:ascii="Cambria" w:hAnsi="Cambria"/>
      <w:b/>
      <w:bCs/>
      <w:szCs w:val="28"/>
    </w:rPr>
  </w:style>
  <w:style w:type="paragraph" w:styleId="8">
    <w:name w:val="heading 5"/>
    <w:basedOn w:val="1"/>
    <w:next w:val="1"/>
    <w:qFormat/>
    <w:uiPriority w:val="0"/>
    <w:pPr>
      <w:ind w:left="138"/>
      <w:outlineLvl w:val="4"/>
    </w:pPr>
    <w:rPr>
      <w:rFonts w:ascii="宋体" w:hAnsi="宋体"/>
      <w:b/>
      <w:bCs/>
      <w:sz w:val="28"/>
      <w:szCs w:val="28"/>
    </w:rPr>
  </w:style>
  <w:style w:type="paragraph" w:styleId="9">
    <w:name w:val="heading 6"/>
    <w:basedOn w:val="1"/>
    <w:next w:val="1"/>
    <w:semiHidden/>
    <w:unhideWhenUsed/>
    <w:qFormat/>
    <w:uiPriority w:val="0"/>
    <w:pPr>
      <w:keepNext/>
      <w:keepLines/>
      <w:spacing w:before="240" w:after="64" w:line="320" w:lineRule="auto"/>
      <w:outlineLvl w:val="5"/>
    </w:pPr>
    <w:rPr>
      <w:rFonts w:asciiTheme="majorHAnsi" w:hAnsiTheme="majorHAnsi" w:eastAsiaTheme="majorEastAsia" w:cstheme="majorBidi"/>
      <w:b/>
      <w:bCs/>
      <w:sz w:val="24"/>
    </w:rPr>
  </w:style>
  <w:style w:type="paragraph" w:styleId="10">
    <w:name w:val="heading 7"/>
    <w:basedOn w:val="1"/>
    <w:next w:val="1"/>
    <w:link w:val="76"/>
    <w:qFormat/>
    <w:uiPriority w:val="0"/>
    <w:pPr>
      <w:ind w:left="138"/>
      <w:outlineLvl w:val="6"/>
    </w:pPr>
    <w:rPr>
      <w:rFonts w:ascii="宋体" w:hAnsi="宋体"/>
      <w:b/>
      <w:bCs/>
      <w:sz w:val="24"/>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customStyle="1" w:styleId="2">
    <w:name w:val="标题 5（有编号）（绿盟科技）"/>
    <w:basedOn w:val="1"/>
    <w:next w:val="3"/>
    <w:qFormat/>
    <w:uiPriority w:val="0"/>
    <w:pPr>
      <w:keepNext/>
      <w:keepLines/>
      <w:numPr>
        <w:ilvl w:val="4"/>
        <w:numId w:val="1"/>
      </w:numPr>
      <w:tabs>
        <w:tab w:val="left" w:pos="0"/>
      </w:tabs>
      <w:spacing w:before="280" w:after="156" w:line="377" w:lineRule="auto"/>
      <w:jc w:val="left"/>
      <w:outlineLvl w:val="4"/>
    </w:pPr>
    <w:rPr>
      <w:rFonts w:ascii="Arial" w:hAnsi="Arial" w:eastAsia="黑体"/>
      <w:b/>
      <w:kern w:val="0"/>
      <w:sz w:val="24"/>
      <w:szCs w:val="28"/>
    </w:rPr>
  </w:style>
  <w:style w:type="paragraph" w:customStyle="1" w:styleId="3">
    <w:name w:val="正文（绿盟科技）"/>
    <w:qFormat/>
    <w:uiPriority w:val="0"/>
    <w:pPr>
      <w:spacing w:line="300" w:lineRule="auto"/>
    </w:pPr>
    <w:rPr>
      <w:rFonts w:ascii="Arial" w:hAnsi="Arial" w:eastAsia="宋体" w:cs="黑体"/>
      <w:sz w:val="21"/>
      <w:szCs w:val="21"/>
      <w:lang w:val="en-US" w:eastAsia="zh-CN" w:bidi="ar-SA"/>
    </w:rPr>
  </w:style>
  <w:style w:type="paragraph" w:styleId="11">
    <w:name w:val="index 8"/>
    <w:basedOn w:val="1"/>
    <w:next w:val="1"/>
    <w:qFormat/>
    <w:uiPriority w:val="0"/>
    <w:pPr>
      <w:spacing w:line="276" w:lineRule="auto"/>
      <w:jc w:val="left"/>
    </w:pPr>
    <w:rPr>
      <w:rFonts w:ascii="宋体" w:hAnsi="宋体"/>
      <w:color w:val="FF0000"/>
      <w:szCs w:val="21"/>
    </w:rPr>
  </w:style>
  <w:style w:type="paragraph" w:styleId="12">
    <w:name w:val="Normal Indent"/>
    <w:basedOn w:val="1"/>
    <w:link w:val="49"/>
    <w:qFormat/>
    <w:uiPriority w:val="0"/>
    <w:pPr>
      <w:ind w:firstLine="420" w:firstLineChars="200"/>
    </w:pPr>
  </w:style>
  <w:style w:type="paragraph" w:styleId="13">
    <w:name w:val="annotation text"/>
    <w:basedOn w:val="1"/>
    <w:link w:val="41"/>
    <w:qFormat/>
    <w:uiPriority w:val="0"/>
    <w:pPr>
      <w:jc w:val="left"/>
    </w:pPr>
    <w:rPr>
      <w:sz w:val="18"/>
      <w:szCs w:val="20"/>
    </w:rPr>
  </w:style>
  <w:style w:type="paragraph" w:styleId="14">
    <w:name w:val="Body Text"/>
    <w:basedOn w:val="1"/>
    <w:next w:val="1"/>
    <w:qFormat/>
    <w:uiPriority w:val="0"/>
    <w:pPr>
      <w:spacing w:before="60" w:after="60" w:line="360" w:lineRule="auto"/>
      <w:ind w:firstLine="200"/>
    </w:pPr>
    <w:rPr>
      <w:rFonts w:eastAsia="仿宋_GB2312"/>
      <w:sz w:val="32"/>
    </w:rPr>
  </w:style>
  <w:style w:type="paragraph" w:styleId="15">
    <w:name w:val="Body Text Indent"/>
    <w:basedOn w:val="1"/>
    <w:link w:val="55"/>
    <w:qFormat/>
    <w:uiPriority w:val="0"/>
    <w:pPr>
      <w:ind w:firstLine="630"/>
    </w:pPr>
    <w:rPr>
      <w:sz w:val="32"/>
      <w:szCs w:val="20"/>
    </w:rPr>
  </w:style>
  <w:style w:type="paragraph" w:styleId="16">
    <w:name w:val="toc 3"/>
    <w:basedOn w:val="1"/>
    <w:next w:val="1"/>
    <w:qFormat/>
    <w:uiPriority w:val="0"/>
    <w:pPr>
      <w:ind w:left="840" w:leftChars="400"/>
    </w:pPr>
  </w:style>
  <w:style w:type="paragraph" w:styleId="17">
    <w:name w:val="Plain Text"/>
    <w:basedOn w:val="1"/>
    <w:link w:val="56"/>
    <w:qFormat/>
    <w:uiPriority w:val="0"/>
    <w:pPr>
      <w:autoSpaceDE w:val="0"/>
      <w:autoSpaceDN w:val="0"/>
      <w:adjustRightInd w:val="0"/>
    </w:pPr>
    <w:rPr>
      <w:rFonts w:ascii="宋体" w:hAnsi="Tms Rmn"/>
      <w:kern w:val="0"/>
      <w:szCs w:val="20"/>
    </w:rPr>
  </w:style>
  <w:style w:type="paragraph" w:styleId="18">
    <w:name w:val="Body Text Indent 2"/>
    <w:basedOn w:val="1"/>
    <w:qFormat/>
    <w:uiPriority w:val="0"/>
    <w:pPr>
      <w:spacing w:after="120" w:line="480" w:lineRule="auto"/>
      <w:ind w:left="420" w:leftChars="200"/>
    </w:pPr>
  </w:style>
  <w:style w:type="paragraph" w:styleId="19">
    <w:name w:val="Balloon Text"/>
    <w:basedOn w:val="1"/>
    <w:semiHidden/>
    <w:qFormat/>
    <w:uiPriority w:val="0"/>
    <w:rPr>
      <w:sz w:val="18"/>
      <w:szCs w:val="18"/>
    </w:rPr>
  </w:style>
  <w:style w:type="paragraph" w:styleId="20">
    <w:name w:val="footer"/>
    <w:basedOn w:val="1"/>
    <w:link w:val="53"/>
    <w:qFormat/>
    <w:uiPriority w:val="99"/>
    <w:pPr>
      <w:tabs>
        <w:tab w:val="center" w:pos="4153"/>
        <w:tab w:val="right" w:pos="8306"/>
      </w:tabs>
      <w:snapToGrid w:val="0"/>
      <w:jc w:val="left"/>
    </w:pPr>
    <w:rPr>
      <w:sz w:val="18"/>
      <w:szCs w:val="20"/>
    </w:rPr>
  </w:style>
  <w:style w:type="paragraph" w:styleId="21">
    <w:name w:val="header"/>
    <w:basedOn w:val="1"/>
    <w:link w:val="47"/>
    <w:qFormat/>
    <w:uiPriority w:val="0"/>
    <w:pPr>
      <w:pBdr>
        <w:bottom w:val="single" w:color="auto" w:sz="6" w:space="1"/>
      </w:pBdr>
      <w:tabs>
        <w:tab w:val="center" w:pos="4153"/>
        <w:tab w:val="right" w:pos="8306"/>
      </w:tabs>
      <w:snapToGrid w:val="0"/>
      <w:jc w:val="center"/>
    </w:pPr>
    <w:rPr>
      <w:sz w:val="18"/>
      <w:szCs w:val="20"/>
    </w:rPr>
  </w:style>
  <w:style w:type="paragraph" w:styleId="22">
    <w:name w:val="toc 1"/>
    <w:basedOn w:val="1"/>
    <w:next w:val="1"/>
    <w:qFormat/>
    <w:uiPriority w:val="39"/>
  </w:style>
  <w:style w:type="paragraph" w:styleId="23">
    <w:name w:val="Subtitle"/>
    <w:basedOn w:val="1"/>
    <w:next w:val="1"/>
    <w:qFormat/>
    <w:uiPriority w:val="0"/>
    <w:pPr>
      <w:widowControl w:val="0"/>
      <w:jc w:val="both"/>
    </w:pPr>
    <w:rPr>
      <w:kern w:val="2"/>
      <w:sz w:val="28"/>
      <w:szCs w:val="20"/>
    </w:rPr>
  </w:style>
  <w:style w:type="paragraph" w:styleId="24">
    <w:name w:val="Body Text Indent 3"/>
    <w:basedOn w:val="1"/>
    <w:link w:val="48"/>
    <w:qFormat/>
    <w:uiPriority w:val="0"/>
    <w:pPr>
      <w:spacing w:after="120"/>
      <w:ind w:left="420" w:leftChars="200"/>
    </w:pPr>
    <w:rPr>
      <w:sz w:val="16"/>
      <w:szCs w:val="16"/>
    </w:rPr>
  </w:style>
  <w:style w:type="paragraph" w:styleId="25">
    <w:name w:val="toc 2"/>
    <w:basedOn w:val="1"/>
    <w:next w:val="1"/>
    <w:qFormat/>
    <w:uiPriority w:val="0"/>
    <w:pPr>
      <w:ind w:left="420" w:leftChars="200"/>
    </w:pPr>
  </w:style>
  <w:style w:type="paragraph" w:styleId="26">
    <w:name w:val="Normal (Web)"/>
    <w:basedOn w:val="1"/>
    <w:qFormat/>
    <w:uiPriority w:val="0"/>
    <w:pPr>
      <w:widowControl/>
      <w:spacing w:before="100" w:beforeAutospacing="1" w:after="100" w:afterAutospacing="1"/>
      <w:jc w:val="left"/>
    </w:pPr>
    <w:rPr>
      <w:rFonts w:ascii="宋体" w:hAnsi="宋体"/>
      <w:kern w:val="0"/>
      <w:sz w:val="18"/>
      <w:szCs w:val="18"/>
    </w:rPr>
  </w:style>
  <w:style w:type="paragraph" w:styleId="27">
    <w:name w:val="annotation subject"/>
    <w:basedOn w:val="13"/>
    <w:next w:val="13"/>
    <w:link w:val="46"/>
    <w:qFormat/>
    <w:uiPriority w:val="0"/>
    <w:rPr>
      <w:b/>
      <w:bCs/>
      <w:sz w:val="21"/>
      <w:szCs w:val="24"/>
    </w:rPr>
  </w:style>
  <w:style w:type="paragraph" w:styleId="28">
    <w:name w:val="Body Text First Indent"/>
    <w:basedOn w:val="14"/>
    <w:qFormat/>
    <w:uiPriority w:val="0"/>
    <w:pPr>
      <w:ind w:firstLine="420" w:firstLineChars="100"/>
    </w:pPr>
    <w:rPr>
      <w:rFonts w:ascii="Times New Roman" w:hAnsi="Times New Roman"/>
      <w:sz w:val="18"/>
      <w:szCs w:val="18"/>
    </w:rPr>
  </w:style>
  <w:style w:type="paragraph" w:styleId="29">
    <w:name w:val="Body Text First Indent 2"/>
    <w:basedOn w:val="15"/>
    <w:unhideWhenUsed/>
    <w:qFormat/>
    <w:uiPriority w:val="0"/>
    <w:pPr>
      <w:spacing w:after="120"/>
      <w:ind w:left="420" w:leftChars="200" w:firstLine="420"/>
    </w:pPr>
    <w:rPr>
      <w:rFonts w:asciiTheme="minorHAnsi" w:hAnsiTheme="minorHAnsi" w:eastAsiaTheme="minorEastAsia" w:cstheme="minorBidi"/>
      <w:sz w:val="21"/>
      <w:szCs w:val="24"/>
    </w:rPr>
  </w:style>
  <w:style w:type="table" w:styleId="31">
    <w:name w:val="Table Grid"/>
    <w:basedOn w:val="30"/>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page number"/>
    <w:basedOn w:val="32"/>
    <w:qFormat/>
    <w:uiPriority w:val="0"/>
  </w:style>
  <w:style w:type="character" w:styleId="34">
    <w:name w:val="FollowedHyperlink"/>
    <w:qFormat/>
    <w:uiPriority w:val="0"/>
    <w:rPr>
      <w:color w:val="303030"/>
      <w:u w:val="none"/>
    </w:rPr>
  </w:style>
  <w:style w:type="character" w:styleId="35">
    <w:name w:val="Emphasis"/>
    <w:qFormat/>
    <w:uiPriority w:val="0"/>
    <w:rPr>
      <w:color w:val="CC0000"/>
    </w:rPr>
  </w:style>
  <w:style w:type="character" w:styleId="36">
    <w:name w:val="HTML Acronym"/>
    <w:basedOn w:val="32"/>
    <w:qFormat/>
    <w:uiPriority w:val="0"/>
  </w:style>
  <w:style w:type="character" w:styleId="37">
    <w:name w:val="Hyperlink"/>
    <w:qFormat/>
    <w:uiPriority w:val="99"/>
    <w:rPr>
      <w:color w:val="303030"/>
      <w:u w:val="none"/>
    </w:rPr>
  </w:style>
  <w:style w:type="character" w:styleId="38">
    <w:name w:val="annotation reference"/>
    <w:qFormat/>
    <w:uiPriority w:val="0"/>
    <w:rPr>
      <w:sz w:val="21"/>
      <w:szCs w:val="21"/>
    </w:rPr>
  </w:style>
  <w:style w:type="character" w:styleId="39">
    <w:name w:val="HTML Cite"/>
    <w:qFormat/>
    <w:uiPriority w:val="0"/>
    <w:rPr>
      <w:color w:val="008000"/>
    </w:rPr>
  </w:style>
  <w:style w:type="paragraph" w:customStyle="1" w:styleId="40">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1">
    <w:name w:val="批注文字 字符"/>
    <w:link w:val="13"/>
    <w:qFormat/>
    <w:uiPriority w:val="0"/>
    <w:rPr>
      <w:kern w:val="2"/>
      <w:sz w:val="18"/>
      <w:lang w:bidi="ar-SA"/>
    </w:rPr>
  </w:style>
  <w:style w:type="character" w:customStyle="1" w:styleId="42">
    <w:name w:val="（符号）邀请函中一、"/>
    <w:qFormat/>
    <w:uiPriority w:val="0"/>
    <w:rPr>
      <w:rFonts w:ascii="黑体" w:hAnsi="黑体" w:eastAsia="黑体"/>
      <w:b/>
      <w:bCs/>
      <w:sz w:val="24"/>
    </w:rPr>
  </w:style>
  <w:style w:type="character" w:customStyle="1" w:styleId="43">
    <w:name w:val="blue"/>
    <w:basedOn w:val="32"/>
    <w:qFormat/>
    <w:uiPriority w:val="0"/>
  </w:style>
  <w:style w:type="character" w:customStyle="1" w:styleId="44">
    <w:name w:val="列表段落 字符"/>
    <w:link w:val="45"/>
    <w:qFormat/>
    <w:uiPriority w:val="0"/>
    <w:rPr>
      <w:rFonts w:eastAsia="宋体"/>
      <w:kern w:val="2"/>
      <w:sz w:val="21"/>
      <w:szCs w:val="24"/>
      <w:lang w:val="en-US" w:eastAsia="zh-CN" w:bidi="ar-SA"/>
    </w:rPr>
  </w:style>
  <w:style w:type="paragraph" w:styleId="45">
    <w:name w:val="List Paragraph"/>
    <w:basedOn w:val="1"/>
    <w:link w:val="44"/>
    <w:qFormat/>
    <w:uiPriority w:val="0"/>
    <w:pPr>
      <w:ind w:firstLine="420" w:firstLineChars="200"/>
    </w:pPr>
  </w:style>
  <w:style w:type="character" w:customStyle="1" w:styleId="46">
    <w:name w:val="批注主题 字符"/>
    <w:link w:val="27"/>
    <w:qFormat/>
    <w:uiPriority w:val="0"/>
    <w:rPr>
      <w:b/>
      <w:bCs/>
      <w:kern w:val="2"/>
      <w:sz w:val="21"/>
      <w:szCs w:val="24"/>
      <w:lang w:bidi="ar-SA"/>
    </w:rPr>
  </w:style>
  <w:style w:type="character" w:customStyle="1" w:styleId="47">
    <w:name w:val="页眉 字符"/>
    <w:link w:val="21"/>
    <w:qFormat/>
    <w:uiPriority w:val="0"/>
    <w:rPr>
      <w:rFonts w:eastAsia="宋体"/>
      <w:kern w:val="2"/>
      <w:sz w:val="18"/>
      <w:lang w:val="en-US" w:eastAsia="zh-CN" w:bidi="ar-SA"/>
    </w:rPr>
  </w:style>
  <w:style w:type="character" w:customStyle="1" w:styleId="48">
    <w:name w:val="正文文本缩进 3 字符"/>
    <w:link w:val="24"/>
    <w:qFormat/>
    <w:uiPriority w:val="0"/>
    <w:rPr>
      <w:kern w:val="2"/>
      <w:sz w:val="16"/>
      <w:szCs w:val="16"/>
    </w:rPr>
  </w:style>
  <w:style w:type="character" w:customStyle="1" w:styleId="49">
    <w:name w:val="正文缩进 字符"/>
    <w:link w:val="12"/>
    <w:qFormat/>
    <w:uiPriority w:val="0"/>
    <w:rPr>
      <w:rFonts w:eastAsia="宋体"/>
      <w:kern w:val="2"/>
      <w:sz w:val="21"/>
      <w:szCs w:val="24"/>
      <w:lang w:val="en-US" w:eastAsia="zh-CN" w:bidi="ar-SA"/>
    </w:rPr>
  </w:style>
  <w:style w:type="character" w:customStyle="1" w:styleId="50">
    <w:name w:val="GW-正文 Char"/>
    <w:link w:val="51"/>
    <w:qFormat/>
    <w:uiPriority w:val="0"/>
    <w:rPr>
      <w:rFonts w:eastAsia="仿宋_GB2312"/>
      <w:kern w:val="2"/>
      <w:sz w:val="24"/>
      <w:szCs w:val="24"/>
      <w:lang w:val="en-US" w:eastAsia="zh-CN" w:bidi="ar-SA"/>
    </w:rPr>
  </w:style>
  <w:style w:type="paragraph" w:customStyle="1" w:styleId="51">
    <w:name w:val="GW-正文"/>
    <w:basedOn w:val="1"/>
    <w:link w:val="50"/>
    <w:qFormat/>
    <w:uiPriority w:val="0"/>
    <w:pPr>
      <w:spacing w:line="360" w:lineRule="auto"/>
      <w:ind w:firstLine="200" w:firstLineChars="200"/>
    </w:pPr>
    <w:rPr>
      <w:rFonts w:eastAsia="仿宋_GB2312"/>
      <w:sz w:val="24"/>
    </w:rPr>
  </w:style>
  <w:style w:type="character" w:customStyle="1" w:styleId="52">
    <w:name w:val="批注文字 Char1"/>
    <w:qFormat/>
    <w:uiPriority w:val="0"/>
    <w:rPr>
      <w:kern w:val="2"/>
      <w:sz w:val="18"/>
      <w:lang w:bidi="ar-SA"/>
    </w:rPr>
  </w:style>
  <w:style w:type="character" w:customStyle="1" w:styleId="53">
    <w:name w:val="页脚 字符"/>
    <w:link w:val="20"/>
    <w:qFormat/>
    <w:uiPriority w:val="99"/>
    <w:rPr>
      <w:rFonts w:eastAsia="宋体"/>
      <w:kern w:val="2"/>
      <w:sz w:val="18"/>
      <w:lang w:val="en-US" w:eastAsia="zh-CN" w:bidi="ar-SA"/>
    </w:rPr>
  </w:style>
  <w:style w:type="character" w:customStyle="1" w:styleId="54">
    <w:name w:val="Char Char9"/>
    <w:qFormat/>
    <w:uiPriority w:val="0"/>
    <w:rPr>
      <w:kern w:val="2"/>
      <w:sz w:val="21"/>
    </w:rPr>
  </w:style>
  <w:style w:type="character" w:customStyle="1" w:styleId="55">
    <w:name w:val="正文文本缩进 字符"/>
    <w:link w:val="15"/>
    <w:qFormat/>
    <w:uiPriority w:val="0"/>
    <w:rPr>
      <w:rFonts w:eastAsia="宋体"/>
      <w:kern w:val="2"/>
      <w:sz w:val="32"/>
      <w:lang w:val="en-US" w:eastAsia="zh-CN" w:bidi="ar-SA"/>
    </w:rPr>
  </w:style>
  <w:style w:type="character" w:customStyle="1" w:styleId="56">
    <w:name w:val="纯文本 字符"/>
    <w:link w:val="17"/>
    <w:unhideWhenUsed/>
    <w:qFormat/>
    <w:uiPriority w:val="0"/>
    <w:rPr>
      <w:rFonts w:ascii="宋体" w:hAnsi="Tms Rmn" w:eastAsia="宋体"/>
      <w:sz w:val="21"/>
      <w:lang w:val="en-US" w:eastAsia="zh-CN" w:bidi="ar-SA"/>
    </w:rPr>
  </w:style>
  <w:style w:type="paragraph" w:customStyle="1" w:styleId="57">
    <w:name w:val="_Style 1"/>
    <w:qFormat/>
    <w:uiPriority w:val="1"/>
    <w:pPr>
      <w:widowControl w:val="0"/>
      <w:jc w:val="both"/>
    </w:pPr>
    <w:rPr>
      <w:rFonts w:ascii="Calibri" w:hAnsi="Calibri" w:eastAsia="宋体" w:cs="Times New Roman"/>
      <w:kern w:val="2"/>
      <w:sz w:val="21"/>
      <w:szCs w:val="22"/>
      <w:lang w:val="en-US" w:eastAsia="zh-CN" w:bidi="ar-SA"/>
    </w:rPr>
  </w:style>
  <w:style w:type="paragraph" w:customStyle="1" w:styleId="58">
    <w:name w:val="表格"/>
    <w:basedOn w:val="1"/>
    <w:qFormat/>
    <w:uiPriority w:val="0"/>
    <w:pPr>
      <w:spacing w:line="400" w:lineRule="exact"/>
    </w:pPr>
    <w:rPr>
      <w:sz w:val="24"/>
    </w:rPr>
  </w:style>
  <w:style w:type="paragraph" w:customStyle="1" w:styleId="59">
    <w:name w:val="列出段落1"/>
    <w:basedOn w:val="1"/>
    <w:qFormat/>
    <w:uiPriority w:val="99"/>
    <w:pPr>
      <w:ind w:firstLine="420" w:firstLineChars="200"/>
    </w:pPr>
  </w:style>
  <w:style w:type="paragraph" w:customStyle="1" w:styleId="60">
    <w:name w:val="样式"/>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61">
    <w:name w:val="msonormalcxspmiddle"/>
    <w:basedOn w:val="1"/>
    <w:qFormat/>
    <w:uiPriority w:val="99"/>
    <w:pPr>
      <w:spacing w:before="100" w:beforeAutospacing="1" w:after="100" w:afterAutospacing="1"/>
      <w:jc w:val="left"/>
    </w:pPr>
    <w:rPr>
      <w:kern w:val="0"/>
      <w:sz w:val="24"/>
    </w:rPr>
  </w:style>
  <w:style w:type="paragraph" w:customStyle="1" w:styleId="62">
    <w:name w:val="样式 首行缩进:  2 字符"/>
    <w:basedOn w:val="1"/>
    <w:qFormat/>
    <w:uiPriority w:val="0"/>
    <w:pPr>
      <w:spacing w:line="400" w:lineRule="exact"/>
      <w:ind w:firstLine="200" w:firstLineChars="200"/>
    </w:pPr>
    <w:rPr>
      <w:rFonts w:cs="宋体"/>
      <w:sz w:val="24"/>
    </w:rPr>
  </w:style>
  <w:style w:type="paragraph" w:customStyle="1" w:styleId="63">
    <w:name w:val="正文1"/>
    <w:qFormat/>
    <w:uiPriority w:val="0"/>
    <w:pPr>
      <w:widowControl w:val="0"/>
      <w:adjustRightInd w:val="0"/>
      <w:spacing w:line="312" w:lineRule="atLeast"/>
      <w:jc w:val="both"/>
      <w:textAlignment w:val="baseline"/>
    </w:pPr>
    <w:rPr>
      <w:rFonts w:ascii="宋体" w:hAnsi="Calibri" w:eastAsia="宋体" w:cs="Times New Roman"/>
      <w:sz w:val="34"/>
      <w:szCs w:val="22"/>
      <w:lang w:val="en-US" w:eastAsia="zh-CN" w:bidi="ar-SA"/>
    </w:rPr>
  </w:style>
  <w:style w:type="paragraph" w:customStyle="1" w:styleId="64">
    <w:name w:val="Char1"/>
    <w:basedOn w:val="1"/>
    <w:next w:val="1"/>
    <w:qFormat/>
    <w:uiPriority w:val="99"/>
    <w:pPr>
      <w:spacing w:line="240" w:lineRule="atLeast"/>
      <w:ind w:left="420" w:firstLine="420"/>
      <w:jc w:val="left"/>
    </w:pPr>
    <w:rPr>
      <w:kern w:val="0"/>
      <w:szCs w:val="21"/>
    </w:rPr>
  </w:style>
  <w:style w:type="paragraph" w:customStyle="1" w:styleId="65">
    <w:name w:val="正文文本 21"/>
    <w:basedOn w:val="1"/>
    <w:qFormat/>
    <w:uiPriority w:val="0"/>
    <w:pPr>
      <w:adjustRightInd w:val="0"/>
      <w:spacing w:line="300" w:lineRule="auto"/>
      <w:ind w:firstLine="640" w:firstLineChars="200"/>
      <w:jc w:val="center"/>
      <w:textAlignment w:val="baseline"/>
    </w:pPr>
    <w:rPr>
      <w:rFonts w:hint="eastAsia" w:ascii="宋体" w:hAnsi="宋体"/>
      <w:kern w:val="0"/>
      <w:sz w:val="24"/>
    </w:rPr>
  </w:style>
  <w:style w:type="paragraph" w:customStyle="1" w:styleId="66">
    <w:name w:val="样式 节标题1 + 段前: 0.5 行 段后: 0.5 行"/>
    <w:basedOn w:val="1"/>
    <w:qFormat/>
    <w:uiPriority w:val="0"/>
    <w:pPr>
      <w:numPr>
        <w:ilvl w:val="1"/>
        <w:numId w:val="2"/>
      </w:numPr>
      <w:spacing w:before="163" w:beforeLines="50" w:after="163" w:afterLines="50"/>
    </w:pPr>
    <w:rPr>
      <w:rFonts w:cs="宋体"/>
      <w:b/>
      <w:bCs/>
      <w:sz w:val="30"/>
      <w:szCs w:val="20"/>
    </w:rPr>
  </w:style>
  <w:style w:type="paragraph" w:customStyle="1" w:styleId="67">
    <w:name w:val="正文首行缩进两字符"/>
    <w:basedOn w:val="1"/>
    <w:qFormat/>
    <w:uiPriority w:val="99"/>
    <w:pPr>
      <w:spacing w:line="360" w:lineRule="auto"/>
      <w:ind w:firstLine="200" w:firstLineChars="200"/>
    </w:pPr>
  </w:style>
  <w:style w:type="paragraph" w:customStyle="1" w:styleId="68">
    <w:name w:val="Table Paragraph"/>
    <w:basedOn w:val="1"/>
    <w:qFormat/>
    <w:uiPriority w:val="1"/>
  </w:style>
  <w:style w:type="paragraph" w:customStyle="1" w:styleId="69">
    <w:name w:val="Char Char Char Char Char Char Char Char Char Char Char Char Char Char1 Char Char Char Char"/>
    <w:basedOn w:val="1"/>
    <w:qFormat/>
    <w:uiPriority w:val="0"/>
    <w:rPr>
      <w:szCs w:val="21"/>
    </w:rPr>
  </w:style>
  <w:style w:type="paragraph" w:customStyle="1" w:styleId="70">
    <w:name w:val="正文2"/>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1">
    <w:name w:val="列出段落2"/>
    <w:basedOn w:val="1"/>
    <w:qFormat/>
    <w:uiPriority w:val="0"/>
    <w:pPr>
      <w:ind w:firstLine="420" w:firstLineChars="200"/>
    </w:pPr>
    <w:rPr>
      <w:rFonts w:ascii="Calibri" w:hAnsi="Calibri"/>
      <w:szCs w:val="21"/>
    </w:rPr>
  </w:style>
  <w:style w:type="paragraph" w:customStyle="1" w:styleId="72">
    <w:name w:val="正文3"/>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73">
    <w:name w:val="修订1"/>
    <w:hidden/>
    <w:unhideWhenUsed/>
    <w:qFormat/>
    <w:uiPriority w:val="99"/>
    <w:rPr>
      <w:rFonts w:ascii="Times New Roman" w:hAnsi="Times New Roman" w:eastAsia="宋体" w:cs="Times New Roman"/>
      <w:kern w:val="2"/>
      <w:sz w:val="21"/>
      <w:szCs w:val="24"/>
      <w:lang w:val="en-US" w:eastAsia="zh-CN" w:bidi="ar-SA"/>
    </w:rPr>
  </w:style>
  <w:style w:type="character" w:customStyle="1" w:styleId="74">
    <w:name w:val="标题 1 字符"/>
    <w:basedOn w:val="32"/>
    <w:link w:val="4"/>
    <w:qFormat/>
    <w:locked/>
    <w:uiPriority w:val="99"/>
    <w:rPr>
      <w:b/>
      <w:bCs/>
      <w:kern w:val="44"/>
      <w:sz w:val="44"/>
      <w:szCs w:val="44"/>
    </w:rPr>
  </w:style>
  <w:style w:type="paragraph" w:customStyle="1" w:styleId="75">
    <w:name w:val="正文4"/>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character" w:customStyle="1" w:styleId="76">
    <w:name w:val="标题 7 字符"/>
    <w:link w:val="10"/>
    <w:qFormat/>
    <w:uiPriority w:val="0"/>
    <w:rPr>
      <w:rFonts w:ascii="宋体" w:hAnsi="宋体"/>
      <w:b/>
      <w:bCs/>
      <w:kern w:val="2"/>
      <w:sz w:val="24"/>
      <w:szCs w:val="24"/>
    </w:rPr>
  </w:style>
  <w:style w:type="paragraph" w:customStyle="1" w:styleId="77">
    <w:name w:val="09正文_wh"/>
    <w:qFormat/>
    <w:uiPriority w:val="0"/>
    <w:pPr>
      <w:spacing w:line="300" w:lineRule="auto"/>
      <w:ind w:firstLine="200" w:firstLineChars="200"/>
      <w:jc w:val="both"/>
    </w:pPr>
    <w:rPr>
      <w:rFonts w:ascii="Calibri" w:hAnsi="Calibri" w:eastAsia="宋体" w:cs="Times New Roman"/>
      <w:kern w:val="2"/>
      <w:sz w:val="28"/>
      <w:szCs w:val="24"/>
      <w:lang w:val="en-US" w:eastAsia="zh-CN" w:bidi="ar-SA"/>
    </w:rPr>
  </w:style>
  <w:style w:type="character" w:customStyle="1" w:styleId="78">
    <w:name w:val="ca-31"/>
    <w:qFormat/>
    <w:uiPriority w:val="0"/>
    <w:rPr>
      <w:rFonts w:hint="eastAsia" w:ascii="宋体" w:hAnsi="宋体" w:eastAsia="宋体"/>
      <w:color w:val="000000"/>
      <w:sz w:val="24"/>
      <w:szCs w:val="24"/>
    </w:rPr>
  </w:style>
  <w:style w:type="character" w:customStyle="1" w:styleId="79">
    <w:name w:val="font01"/>
    <w:qFormat/>
    <w:uiPriority w:val="0"/>
    <w:rPr>
      <w:rFonts w:hint="eastAsia" w:ascii="宋体" w:hAnsi="宋体" w:eastAsia="宋体" w:cs="宋体"/>
      <w:color w:val="FF0000"/>
      <w:sz w:val="21"/>
      <w:szCs w:val="21"/>
      <w:u w:val="none"/>
    </w:rPr>
  </w:style>
  <w:style w:type="character" w:customStyle="1" w:styleId="80">
    <w:name w:val="标题 2 Char"/>
    <w:link w:val="5"/>
    <w:qFormat/>
    <w:uiPriority w:val="0"/>
    <w:rPr>
      <w:rFonts w:ascii="Arial" w:hAnsi="Arial" w:eastAsia="黑体"/>
      <w:b/>
      <w:bCs/>
      <w:sz w:val="32"/>
      <w:szCs w:val="32"/>
    </w:rPr>
  </w:style>
  <w:style w:type="paragraph" w:styleId="81">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82">
    <w:name w:val="p1"/>
    <w:basedOn w:val="1"/>
    <w:qFormat/>
    <w:uiPriority w:val="0"/>
    <w:pPr>
      <w:spacing w:before="0" w:beforeAutospacing="0" w:after="0" w:afterAutospacing="0"/>
      <w:ind w:left="0" w:right="0"/>
      <w:jc w:val="left"/>
    </w:pPr>
    <w:rPr>
      <w:rFonts w:ascii="helvetica" w:hAnsi="helvetica" w:eastAsia="helvetica" w:cs="helvetica"/>
      <w:kern w:val="0"/>
      <w:sz w:val="18"/>
      <w:szCs w:val="18"/>
      <w:lang w:val="en-US" w:eastAsia="zh-CN" w:bidi="ar"/>
    </w:rPr>
  </w:style>
  <w:style w:type="paragraph" w:customStyle="1" w:styleId="83">
    <w:name w:val="_Style 53"/>
    <w:basedOn w:val="1"/>
    <w:next w:val="45"/>
    <w:qFormat/>
    <w:uiPriority w:val="34"/>
    <w:pPr>
      <w:spacing w:after="0" w:line="240" w:lineRule="auto"/>
      <w:ind w:firstLine="420" w:firstLineChars="200"/>
    </w:pPr>
    <w:rPr>
      <w:rFonts w:ascii="Times New Roman" w:hAnsi="Times New Roman"/>
      <w:szCs w:val="22"/>
    </w:rPr>
  </w:style>
  <w:style w:type="paragraph" w:customStyle="1" w:styleId="84">
    <w:name w:val="12、表格内左对齐正文"/>
    <w:basedOn w:val="1"/>
    <w:qFormat/>
    <w:uiPriority w:val="0"/>
    <w:pPr>
      <w:tabs>
        <w:tab w:val="left" w:pos="0"/>
      </w:tabs>
      <w:wordWrap w:val="0"/>
      <w:topLinePunct/>
      <w:spacing w:line="360" w:lineRule="exact"/>
      <w:ind w:left="48" w:leftChars="20"/>
    </w:pPr>
    <w:rPr>
      <w:snapToGrid w:val="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9.jpeg"/><Relationship Id="rId27" Type="http://schemas.openxmlformats.org/officeDocument/2006/relationships/image" Target="media/image8.jpeg"/><Relationship Id="rId26" Type="http://schemas.openxmlformats.org/officeDocument/2006/relationships/image" Target="media/image7.jpeg"/><Relationship Id="rId25" Type="http://schemas.openxmlformats.org/officeDocument/2006/relationships/image" Target="media/image6.jpeg"/><Relationship Id="rId24" Type="http://schemas.openxmlformats.org/officeDocument/2006/relationships/image" Target="media/image5.jpeg"/><Relationship Id="rId23" Type="http://schemas.openxmlformats.org/officeDocument/2006/relationships/image" Target="media/image4.jpeg"/><Relationship Id="rId22" Type="http://schemas.openxmlformats.org/officeDocument/2006/relationships/image" Target="media/image3.jpeg"/><Relationship Id="rId21" Type="http://schemas.openxmlformats.org/officeDocument/2006/relationships/image" Target="media/image2.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footer" Target="footer8.xml"/><Relationship Id="rId16" Type="http://schemas.openxmlformats.org/officeDocument/2006/relationships/header" Target="header7.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46A4A1-0DD4-448C-AF6B-F44F050F482C}">
  <ds:schemaRefs/>
</ds:datastoreItem>
</file>

<file path=docProps/app.xml><?xml version="1.0" encoding="utf-8"?>
<Properties xmlns="http://schemas.openxmlformats.org/officeDocument/2006/extended-properties" xmlns:vt="http://schemas.openxmlformats.org/officeDocument/2006/docPropsVTypes">
  <Template>Normal</Template>
  <Company>www.levovo.com</Company>
  <Pages>90</Pages>
  <Words>44371</Words>
  <Characters>47433</Characters>
  <Lines>357</Lines>
  <Paragraphs>100</Paragraphs>
  <TotalTime>7</TotalTime>
  <ScaleCrop>false</ScaleCrop>
  <LinksUpToDate>false</LinksUpToDate>
  <CharactersWithSpaces>50342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2021-03-05T06:26:00Z</dcterms:created>
  <dc:creator>jia xie</dc:creator>
  <cp:lastModifiedBy> 美丽人生</cp:lastModifiedBy>
  <cp:lastPrinted>2021-03-05T06:27:00Z</cp:lastPrinted>
  <dcterms:modified xsi:type="dcterms:W3CDTF">2021-09-30T01:33:10Z</dcterms:modified>
  <dc:title>招标编号：xx政采招[xxxx] xxx号</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ICV">
    <vt:lpwstr>DC359F1D2CBF4B1BABC7D806A42B3FA6</vt:lpwstr>
  </property>
</Properties>
</file>