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1"/>
        <w:spacing w:before="120" w:beforeLines="50" w:line="360" w:lineRule="auto"/>
        <w:rPr>
          <w:rFonts w:hint="default" w:eastAsia="宋体"/>
          <w:b/>
          <w:bCs/>
          <w:sz w:val="40"/>
          <w:szCs w:val="40"/>
          <w:lang w:val="en-US" w:eastAsia="zh-CN"/>
        </w:rPr>
      </w:pPr>
      <w:bookmarkStart w:id="0" w:name="_Toc578"/>
      <w:bookmarkStart w:id="1" w:name="_Toc5725"/>
      <w:bookmarkStart w:id="2" w:name="_Toc6478"/>
      <w:r>
        <w:rPr>
          <w:rFonts w:hint="eastAsia"/>
          <w:b/>
          <w:bCs/>
          <w:sz w:val="40"/>
          <w:szCs w:val="40"/>
        </w:rPr>
        <w:t>项目编号：</w:t>
      </w:r>
      <w:r>
        <w:rPr>
          <w:rFonts w:hint="eastAsia"/>
          <w:b/>
          <w:bCs/>
          <w:sz w:val="40"/>
          <w:szCs w:val="40"/>
          <w:lang w:val="en-US" w:eastAsia="zh-CN"/>
        </w:rPr>
        <w:t>以挂网编号为准</w:t>
      </w:r>
    </w:p>
    <w:p>
      <w:pPr>
        <w:pStyle w:val="31"/>
        <w:spacing w:line="360" w:lineRule="auto"/>
        <w:rPr>
          <w:rFonts w:hint="eastAsia" w:eastAsia="宋体"/>
          <w:b/>
          <w:bCs/>
          <w:sz w:val="40"/>
          <w:szCs w:val="40"/>
          <w:lang w:val="en-US" w:eastAsia="zh-CN"/>
        </w:rPr>
      </w:pPr>
      <w:r>
        <w:rPr>
          <w:rFonts w:hint="eastAsia"/>
          <w:b/>
          <w:bCs/>
          <w:sz w:val="40"/>
          <w:szCs w:val="40"/>
        </w:rPr>
        <w:t>内部编号：SCGHX-CS-2021016</w:t>
      </w:r>
      <w:r>
        <w:rPr>
          <w:rFonts w:hint="eastAsia"/>
          <w:b/>
          <w:bCs/>
          <w:sz w:val="40"/>
          <w:szCs w:val="40"/>
          <w:lang w:val="en-US" w:eastAsia="zh-CN"/>
        </w:rPr>
        <w:t>4</w:t>
      </w:r>
    </w:p>
    <w:p>
      <w:pPr>
        <w:pStyle w:val="31"/>
        <w:spacing w:line="360" w:lineRule="auto"/>
        <w:rPr>
          <w:b/>
          <w:bCs/>
          <w:sz w:val="40"/>
          <w:szCs w:val="40"/>
        </w:rPr>
      </w:pPr>
      <w:r>
        <w:rPr>
          <w:rFonts w:hint="eastAsia"/>
          <w:b/>
          <w:bCs/>
          <w:sz w:val="40"/>
          <w:szCs w:val="40"/>
        </w:rPr>
        <w:t>项目名称：</w:t>
      </w:r>
      <w:r>
        <w:rPr>
          <w:rFonts w:hint="eastAsia"/>
          <w:b/>
          <w:bCs/>
          <w:sz w:val="40"/>
          <w:szCs w:val="40"/>
          <w:lang w:eastAsia="zh-CN"/>
        </w:rPr>
        <w:t>成都市武侯区公园城市建设和城市更新局武侯区老旧小区专项改造规划项目(第二次)</w:t>
      </w:r>
    </w:p>
    <w:p>
      <w:pPr>
        <w:pStyle w:val="31"/>
        <w:wordWrap w:val="0"/>
        <w:topLinePunct/>
        <w:spacing w:before="3360" w:beforeLines="1400" w:after="3360" w:afterLines="1400" w:line="240" w:lineRule="auto"/>
        <w:jc w:val="center"/>
        <w:rPr>
          <w:b/>
          <w:bCs/>
          <w:sz w:val="96"/>
          <w:szCs w:val="96"/>
        </w:rPr>
      </w:pPr>
      <w:r>
        <w:rPr>
          <w:rFonts w:hint="eastAsia" w:asciiTheme="minorEastAsia" w:hAnsiTheme="minorEastAsia" w:eastAsiaTheme="minorEastAsia" w:cstheme="minorEastAsia"/>
          <w:b/>
          <w:color w:val="000000"/>
          <w:sz w:val="96"/>
          <w:szCs w:val="96"/>
        </w:rPr>
        <w:t>竞争性磋商文件</w:t>
      </w:r>
    </w:p>
    <w:p>
      <w:pPr>
        <w:pStyle w:val="31"/>
        <w:spacing w:line="360" w:lineRule="auto"/>
        <w:jc w:val="center"/>
        <w:rPr>
          <w:b/>
          <w:bCs/>
          <w:sz w:val="28"/>
          <w:szCs w:val="28"/>
        </w:rPr>
      </w:pPr>
      <w:r>
        <w:rPr>
          <w:rFonts w:hint="eastAsia"/>
          <w:b/>
          <w:bCs/>
          <w:sz w:val="28"/>
          <w:szCs w:val="28"/>
        </w:rPr>
        <w:t>中国·四川</w:t>
      </w:r>
    </w:p>
    <w:p>
      <w:pPr>
        <w:pStyle w:val="31"/>
        <w:spacing w:line="360" w:lineRule="auto"/>
        <w:ind w:left="2400" w:leftChars="1000"/>
        <w:rPr>
          <w:b/>
          <w:bCs/>
          <w:sz w:val="28"/>
          <w:szCs w:val="28"/>
        </w:rPr>
      </w:pPr>
      <w:r>
        <w:rPr>
          <w:rFonts w:hint="eastAsia"/>
          <w:b/>
          <w:bCs/>
          <w:sz w:val="28"/>
          <w:szCs w:val="28"/>
        </w:rPr>
        <w:t xml:space="preserve">采   购   人：成都市武侯区公园城市建设和城市更新局         </w:t>
      </w:r>
    </w:p>
    <w:p>
      <w:pPr>
        <w:pStyle w:val="31"/>
        <w:spacing w:line="360" w:lineRule="auto"/>
        <w:ind w:left="2400" w:leftChars="1000"/>
        <w:rPr>
          <w:b/>
          <w:bCs/>
          <w:sz w:val="28"/>
          <w:szCs w:val="28"/>
        </w:rPr>
      </w:pPr>
      <w:r>
        <w:rPr>
          <w:rFonts w:hint="eastAsia"/>
          <w:b/>
          <w:bCs/>
          <w:sz w:val="28"/>
          <w:szCs w:val="28"/>
        </w:rPr>
        <w:t>采购代理机构：成都公恒信工程项目管理有限公司</w:t>
      </w:r>
    </w:p>
    <w:p>
      <w:pPr>
        <w:pStyle w:val="31"/>
        <w:spacing w:line="360" w:lineRule="auto"/>
        <w:ind w:left="2400" w:leftChars="1000"/>
        <w:rPr>
          <w:b/>
          <w:bCs/>
          <w:sz w:val="28"/>
          <w:szCs w:val="28"/>
        </w:rPr>
      </w:pPr>
      <w:r>
        <w:rPr>
          <w:rFonts w:hint="eastAsia"/>
          <w:b/>
          <w:bCs/>
          <w:sz w:val="28"/>
          <w:szCs w:val="28"/>
        </w:rPr>
        <w:t>文  件 编 制：由采购人和采购代理机构共同编制</w:t>
      </w:r>
    </w:p>
    <w:p>
      <w:pPr>
        <w:pStyle w:val="31"/>
        <w:spacing w:line="360" w:lineRule="auto"/>
        <w:jc w:val="center"/>
        <w:rPr>
          <w:b/>
          <w:bCs/>
          <w:sz w:val="28"/>
          <w:szCs w:val="28"/>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sz w:val="28"/>
          <w:szCs w:val="28"/>
        </w:rPr>
        <w:t>二○二一年</w:t>
      </w:r>
      <w:r>
        <w:rPr>
          <w:rFonts w:hint="eastAsia"/>
          <w:b/>
          <w:bCs/>
          <w:sz w:val="28"/>
          <w:szCs w:val="28"/>
          <w:lang w:val="en-US" w:eastAsia="zh-CN"/>
        </w:rPr>
        <w:t>七</w:t>
      </w:r>
      <w:r>
        <w:rPr>
          <w:rFonts w:hint="eastAsia"/>
          <w:b/>
          <w:bCs/>
          <w:sz w:val="28"/>
          <w:szCs w:val="28"/>
        </w:rPr>
        <w:t>月</w:t>
      </w:r>
    </w:p>
    <w:p>
      <w:pPr>
        <w:pStyle w:val="31"/>
        <w:jc w:val="center"/>
      </w:pPr>
      <w:r>
        <w:rPr>
          <w:rFonts w:hint="eastAsia"/>
        </w:rPr>
        <w:t>目  录</w:t>
      </w:r>
      <w:bookmarkEnd w:id="0"/>
      <w:bookmarkEnd w:id="1"/>
    </w:p>
    <w:p>
      <w:pPr>
        <w:pStyle w:val="2"/>
        <w:tabs>
          <w:tab w:val="clear" w:pos="0"/>
        </w:tabs>
      </w:pPr>
      <w:bookmarkStart w:id="3" w:name="_Toc15794"/>
      <w:bookmarkStart w:id="4" w:name="_Toc26242"/>
      <w:bookmarkStart w:id="5" w:name="_Toc28748"/>
      <w:r>
        <w:fldChar w:fldCharType="begin"/>
      </w:r>
      <w:r>
        <w:instrText xml:space="preserve">TOC \o "1-3" \h \u </w:instrText>
      </w:r>
      <w:r>
        <w:fldChar w:fldCharType="separate"/>
      </w:r>
      <w:r>
        <w:fldChar w:fldCharType="begin"/>
      </w:r>
      <w:r>
        <w:instrText xml:space="preserve"> HYPERLINK \l _Toc12726 </w:instrText>
      </w:r>
      <w:r>
        <w:fldChar w:fldCharType="separate"/>
      </w:r>
      <w:r>
        <w:rPr>
          <w:rFonts w:hint="eastAsia" w:ascii="宋体" w:hAnsi="宋体" w:eastAsia="宋体" w:cs="宋体"/>
        </w:rPr>
        <w:t xml:space="preserve">第一章 </w:t>
      </w:r>
      <w:r>
        <w:rPr>
          <w:rFonts w:hint="eastAsia"/>
        </w:rPr>
        <w:t>竞争性磋商邀请公告</w:t>
      </w:r>
      <w:r>
        <w:tab/>
      </w:r>
      <w:r>
        <w:fldChar w:fldCharType="begin"/>
      </w:r>
      <w:r>
        <w:instrText xml:space="preserve"> PAGEREF _Toc12726 \h </w:instrText>
      </w:r>
      <w:r>
        <w:fldChar w:fldCharType="separate"/>
      </w:r>
      <w:r>
        <w:t>5</w:t>
      </w:r>
      <w:r>
        <w:fldChar w:fldCharType="end"/>
      </w:r>
      <w:r>
        <w:fldChar w:fldCharType="end"/>
      </w:r>
    </w:p>
    <w:p>
      <w:pPr>
        <w:pStyle w:val="2"/>
        <w:tabs>
          <w:tab w:val="clear" w:pos="0"/>
        </w:tabs>
      </w:pPr>
      <w:r>
        <w:fldChar w:fldCharType="begin"/>
      </w:r>
      <w:r>
        <w:instrText xml:space="preserve"> HYPERLINK \l _Toc28508 </w:instrText>
      </w:r>
      <w:r>
        <w:fldChar w:fldCharType="separate"/>
      </w:r>
      <w:r>
        <w:rPr>
          <w:rFonts w:hint="eastAsia" w:ascii="宋体" w:hAnsi="宋体" w:eastAsia="宋体" w:cs="宋体"/>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_Toc28508 \h </w:instrText>
      </w:r>
      <w:r>
        <w:fldChar w:fldCharType="separate"/>
      </w:r>
      <w:r>
        <w:t>8</w:t>
      </w:r>
      <w:r>
        <w:fldChar w:fldCharType="end"/>
      </w:r>
      <w:r>
        <w:fldChar w:fldCharType="end"/>
      </w:r>
    </w:p>
    <w:p>
      <w:pPr>
        <w:pStyle w:val="17"/>
        <w:tabs>
          <w:tab w:val="right" w:leader="dot" w:pos="9746"/>
          <w:tab w:val="clear" w:pos="0"/>
        </w:tabs>
      </w:pPr>
      <w:r>
        <w:fldChar w:fldCharType="begin"/>
      </w:r>
      <w:r>
        <w:instrText xml:space="preserve"> HYPERLINK \l _Toc31863 </w:instrText>
      </w:r>
      <w:r>
        <w:fldChar w:fldCharType="separate"/>
      </w:r>
      <w:r>
        <w:rPr>
          <w:rFonts w:hint="eastAsia" w:ascii="宋体" w:hAnsi="宋体" w:eastAsia="宋体" w:cs="宋体"/>
          <w:szCs w:val="36"/>
        </w:rPr>
        <w:t xml:space="preserve">一、 </w:t>
      </w:r>
      <w:r>
        <w:rPr>
          <w:rFonts w:hint="eastAsia"/>
          <w:szCs w:val="36"/>
        </w:rPr>
        <w:t>磋商须知前附表</w:t>
      </w:r>
      <w:r>
        <w:tab/>
      </w:r>
      <w:r>
        <w:fldChar w:fldCharType="begin"/>
      </w:r>
      <w:r>
        <w:instrText xml:space="preserve"> PAGEREF _Toc31863 \h </w:instrText>
      </w:r>
      <w:r>
        <w:fldChar w:fldCharType="separate"/>
      </w:r>
      <w:r>
        <w:t>8</w:t>
      </w:r>
      <w:r>
        <w:fldChar w:fldCharType="end"/>
      </w:r>
      <w:r>
        <w:fldChar w:fldCharType="end"/>
      </w:r>
    </w:p>
    <w:p>
      <w:pPr>
        <w:pStyle w:val="17"/>
        <w:tabs>
          <w:tab w:val="right" w:leader="dot" w:pos="9746"/>
          <w:tab w:val="clear" w:pos="0"/>
        </w:tabs>
      </w:pPr>
      <w:r>
        <w:fldChar w:fldCharType="begin"/>
      </w:r>
      <w:r>
        <w:instrText xml:space="preserve"> HYPERLINK \l _Toc2355 </w:instrText>
      </w:r>
      <w:r>
        <w:fldChar w:fldCharType="separate"/>
      </w:r>
      <w:r>
        <w:rPr>
          <w:rFonts w:hint="eastAsia" w:ascii="宋体" w:hAnsi="宋体" w:eastAsia="宋体" w:cs="宋体"/>
          <w:szCs w:val="36"/>
        </w:rPr>
        <w:t xml:space="preserve">二、 </w:t>
      </w:r>
      <w:r>
        <w:rPr>
          <w:rFonts w:hint="eastAsia"/>
          <w:szCs w:val="36"/>
        </w:rPr>
        <w:t>总则</w:t>
      </w:r>
      <w:r>
        <w:tab/>
      </w:r>
      <w:r>
        <w:fldChar w:fldCharType="begin"/>
      </w:r>
      <w:r>
        <w:instrText xml:space="preserve"> PAGEREF _Toc2355 \h </w:instrText>
      </w:r>
      <w:r>
        <w:fldChar w:fldCharType="separate"/>
      </w:r>
      <w:r>
        <w:t>14</w:t>
      </w:r>
      <w:r>
        <w:fldChar w:fldCharType="end"/>
      </w:r>
      <w:r>
        <w:fldChar w:fldCharType="end"/>
      </w:r>
    </w:p>
    <w:p>
      <w:pPr>
        <w:pStyle w:val="17"/>
        <w:tabs>
          <w:tab w:val="right" w:leader="dot" w:pos="9746"/>
          <w:tab w:val="clear" w:pos="0"/>
        </w:tabs>
      </w:pPr>
      <w:r>
        <w:fldChar w:fldCharType="begin"/>
      </w:r>
      <w:r>
        <w:instrText xml:space="preserve"> HYPERLINK \l _Toc29770 </w:instrText>
      </w:r>
      <w:r>
        <w:fldChar w:fldCharType="separate"/>
      </w:r>
      <w:r>
        <w:rPr>
          <w:rFonts w:hint="eastAsia" w:ascii="宋体" w:hAnsi="宋体" w:eastAsia="宋体" w:cs="宋体"/>
          <w:szCs w:val="36"/>
        </w:rPr>
        <w:t xml:space="preserve">三、 </w:t>
      </w:r>
      <w:r>
        <w:rPr>
          <w:rFonts w:hint="eastAsia"/>
          <w:szCs w:val="36"/>
        </w:rPr>
        <w:t>竞争性磋商文件</w:t>
      </w:r>
      <w:r>
        <w:tab/>
      </w:r>
      <w:r>
        <w:fldChar w:fldCharType="begin"/>
      </w:r>
      <w:r>
        <w:instrText xml:space="preserve"> PAGEREF _Toc29770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_Toc14037 </w:instrText>
      </w:r>
      <w:r>
        <w:fldChar w:fldCharType="separate"/>
      </w:r>
      <w:r>
        <w:rPr>
          <w:rFonts w:hint="eastAsia" w:ascii="宋体" w:hAnsi="宋体" w:eastAsia="宋体" w:cs="宋体"/>
        </w:rPr>
        <w:t xml:space="preserve">(一) </w:t>
      </w:r>
      <w:r>
        <w:rPr>
          <w:rFonts w:hint="eastAsia"/>
        </w:rPr>
        <w:t>竞争性磋商文件的构成(实质性要求)</w:t>
      </w:r>
      <w:r>
        <w:tab/>
      </w:r>
      <w:r>
        <w:fldChar w:fldCharType="begin"/>
      </w:r>
      <w:r>
        <w:instrText xml:space="preserve"> PAGEREF _Toc14037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_Toc31919 </w:instrText>
      </w:r>
      <w:r>
        <w:fldChar w:fldCharType="separate"/>
      </w:r>
      <w:r>
        <w:rPr>
          <w:rFonts w:hint="eastAsia" w:ascii="宋体" w:hAnsi="宋体" w:eastAsia="宋体" w:cs="宋体"/>
        </w:rPr>
        <w:t xml:space="preserve">(二) </w:t>
      </w:r>
      <w:r>
        <w:rPr>
          <w:rFonts w:hint="eastAsia"/>
        </w:rPr>
        <w:t>竞争性磋商文件包含内容</w:t>
      </w:r>
      <w:r>
        <w:tab/>
      </w:r>
      <w:r>
        <w:fldChar w:fldCharType="begin"/>
      </w:r>
      <w:r>
        <w:instrText xml:space="preserve"> PAGEREF _Toc31919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_Toc30687 </w:instrText>
      </w:r>
      <w:r>
        <w:fldChar w:fldCharType="separate"/>
      </w:r>
      <w:r>
        <w:rPr>
          <w:rFonts w:hint="eastAsia" w:ascii="宋体" w:hAnsi="宋体" w:eastAsia="宋体" w:cs="宋体"/>
        </w:rPr>
        <w:t xml:space="preserve">(三) </w:t>
      </w:r>
      <w:r>
        <w:rPr>
          <w:rFonts w:hint="eastAsia"/>
        </w:rPr>
        <w:t>竞争性磋商文件的澄清和修改</w:t>
      </w:r>
      <w:r>
        <w:tab/>
      </w:r>
      <w:r>
        <w:fldChar w:fldCharType="begin"/>
      </w:r>
      <w:r>
        <w:instrText xml:space="preserve"> PAGEREF _Toc30687 \h </w:instrText>
      </w:r>
      <w:r>
        <w:fldChar w:fldCharType="separate"/>
      </w:r>
      <w:r>
        <w:t>16</w:t>
      </w:r>
      <w:r>
        <w:fldChar w:fldCharType="end"/>
      </w:r>
      <w:r>
        <w:fldChar w:fldCharType="end"/>
      </w:r>
    </w:p>
    <w:p>
      <w:pPr>
        <w:pStyle w:val="13"/>
        <w:tabs>
          <w:tab w:val="right" w:leader="dot" w:pos="9746"/>
          <w:tab w:val="clear" w:pos="0"/>
        </w:tabs>
      </w:pPr>
      <w:r>
        <w:fldChar w:fldCharType="begin"/>
      </w:r>
      <w:r>
        <w:instrText xml:space="preserve"> HYPERLINK \l _Toc136 </w:instrText>
      </w:r>
      <w:r>
        <w:fldChar w:fldCharType="separate"/>
      </w:r>
      <w:r>
        <w:rPr>
          <w:rFonts w:hint="eastAsia" w:ascii="宋体" w:hAnsi="宋体" w:eastAsia="宋体" w:cs="宋体"/>
        </w:rPr>
        <w:t xml:space="preserve">(四) </w:t>
      </w:r>
      <w:r>
        <w:rPr>
          <w:rFonts w:hint="eastAsia"/>
        </w:rPr>
        <w:t>实质性变动</w:t>
      </w:r>
      <w:r>
        <w:tab/>
      </w:r>
      <w:r>
        <w:fldChar w:fldCharType="begin"/>
      </w:r>
      <w:r>
        <w:instrText xml:space="preserve"> PAGEREF _Toc136 \h </w:instrText>
      </w:r>
      <w:r>
        <w:fldChar w:fldCharType="separate"/>
      </w:r>
      <w:r>
        <w:t>17</w:t>
      </w:r>
      <w:r>
        <w:fldChar w:fldCharType="end"/>
      </w:r>
      <w:r>
        <w:fldChar w:fldCharType="end"/>
      </w:r>
    </w:p>
    <w:p>
      <w:pPr>
        <w:pStyle w:val="13"/>
        <w:tabs>
          <w:tab w:val="right" w:leader="dot" w:pos="9746"/>
          <w:tab w:val="clear" w:pos="0"/>
        </w:tabs>
      </w:pPr>
      <w:r>
        <w:fldChar w:fldCharType="begin"/>
      </w:r>
      <w:r>
        <w:instrText xml:space="preserve"> HYPERLINK \l _Toc5780 </w:instrText>
      </w:r>
      <w:r>
        <w:fldChar w:fldCharType="separate"/>
      </w:r>
      <w:r>
        <w:rPr>
          <w:rFonts w:hint="eastAsia" w:ascii="宋体" w:hAnsi="宋体" w:eastAsia="宋体" w:cs="宋体"/>
        </w:rPr>
        <w:t xml:space="preserve">(五) </w:t>
      </w:r>
      <w:r>
        <w:rPr>
          <w:rFonts w:hint="eastAsia"/>
        </w:rPr>
        <w:t>答疑会和现场考察</w:t>
      </w:r>
      <w:r>
        <w:tab/>
      </w:r>
      <w:r>
        <w:fldChar w:fldCharType="begin"/>
      </w:r>
      <w:r>
        <w:instrText xml:space="preserve"> PAGEREF _Toc5780 \h </w:instrText>
      </w:r>
      <w:r>
        <w:fldChar w:fldCharType="separate"/>
      </w:r>
      <w:r>
        <w:t>17</w:t>
      </w:r>
      <w:r>
        <w:fldChar w:fldCharType="end"/>
      </w:r>
      <w:r>
        <w:fldChar w:fldCharType="end"/>
      </w:r>
    </w:p>
    <w:p>
      <w:pPr>
        <w:pStyle w:val="17"/>
        <w:tabs>
          <w:tab w:val="right" w:leader="dot" w:pos="9746"/>
          <w:tab w:val="clear" w:pos="0"/>
        </w:tabs>
      </w:pPr>
      <w:r>
        <w:fldChar w:fldCharType="begin"/>
      </w:r>
      <w:r>
        <w:instrText xml:space="preserve"> HYPERLINK \l _Toc10312 </w:instrText>
      </w:r>
      <w:r>
        <w:fldChar w:fldCharType="separate"/>
      </w:r>
      <w:r>
        <w:rPr>
          <w:rFonts w:hint="eastAsia" w:ascii="宋体" w:hAnsi="宋体" w:eastAsia="宋体" w:cs="宋体"/>
          <w:szCs w:val="36"/>
        </w:rPr>
        <w:t xml:space="preserve">四、 </w:t>
      </w:r>
      <w:r>
        <w:rPr>
          <w:rFonts w:hint="eastAsia"/>
          <w:szCs w:val="36"/>
        </w:rPr>
        <w:t>响应文件</w:t>
      </w:r>
      <w:r>
        <w:tab/>
      </w:r>
      <w:r>
        <w:fldChar w:fldCharType="begin"/>
      </w:r>
      <w:r>
        <w:instrText xml:space="preserve"> PAGEREF _Toc10312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_Toc3029 </w:instrText>
      </w:r>
      <w:r>
        <w:fldChar w:fldCharType="separate"/>
      </w:r>
      <w:r>
        <w:rPr>
          <w:rFonts w:hint="eastAsia" w:ascii="宋体" w:hAnsi="宋体" w:eastAsia="宋体" w:cs="宋体"/>
        </w:rPr>
        <w:t xml:space="preserve">(一) </w:t>
      </w:r>
      <w:r>
        <w:rPr>
          <w:rFonts w:hint="eastAsia"/>
        </w:rPr>
        <w:t>响应文件的语言(实质性要求)</w:t>
      </w:r>
      <w:r>
        <w:tab/>
      </w:r>
      <w:r>
        <w:fldChar w:fldCharType="begin"/>
      </w:r>
      <w:r>
        <w:instrText xml:space="preserve"> PAGEREF _Toc3029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_Toc6817 </w:instrText>
      </w:r>
      <w:r>
        <w:fldChar w:fldCharType="separate"/>
      </w:r>
      <w:r>
        <w:rPr>
          <w:rFonts w:hint="eastAsia" w:ascii="宋体" w:hAnsi="宋体" w:eastAsia="宋体" w:cs="宋体"/>
        </w:rPr>
        <w:t xml:space="preserve">(二) </w:t>
      </w:r>
      <w:r>
        <w:rPr>
          <w:rFonts w:hint="eastAsia"/>
        </w:rPr>
        <w:t>计量单位(实质性要求)</w:t>
      </w:r>
      <w:r>
        <w:tab/>
      </w:r>
      <w:r>
        <w:fldChar w:fldCharType="begin"/>
      </w:r>
      <w:r>
        <w:instrText xml:space="preserve"> PAGEREF _Toc6817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_Toc30615 </w:instrText>
      </w:r>
      <w:r>
        <w:fldChar w:fldCharType="separate"/>
      </w:r>
      <w:r>
        <w:rPr>
          <w:rFonts w:hint="eastAsia" w:ascii="宋体" w:hAnsi="宋体" w:eastAsia="宋体" w:cs="宋体"/>
        </w:rPr>
        <w:t xml:space="preserve">(三) </w:t>
      </w:r>
      <w:r>
        <w:rPr>
          <w:rFonts w:hint="eastAsia"/>
        </w:rPr>
        <w:t>知识产权(实质性要求)</w:t>
      </w:r>
      <w:r>
        <w:tab/>
      </w:r>
      <w:r>
        <w:fldChar w:fldCharType="begin"/>
      </w:r>
      <w:r>
        <w:instrText xml:space="preserve"> PAGEREF _Toc30615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_Toc25492 </w:instrText>
      </w:r>
      <w:r>
        <w:fldChar w:fldCharType="separate"/>
      </w:r>
      <w:r>
        <w:rPr>
          <w:rFonts w:hint="eastAsia" w:ascii="宋体" w:hAnsi="宋体" w:eastAsia="宋体" w:cs="宋体"/>
        </w:rPr>
        <w:t xml:space="preserve">(四) </w:t>
      </w:r>
      <w:r>
        <w:rPr>
          <w:rFonts w:hint="eastAsia"/>
        </w:rPr>
        <w:t>响应文件格式要求</w:t>
      </w:r>
      <w:r>
        <w:tab/>
      </w:r>
      <w:r>
        <w:fldChar w:fldCharType="begin"/>
      </w:r>
      <w:r>
        <w:instrText xml:space="preserve"> PAGEREF _Toc25492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_Toc31281 </w:instrText>
      </w:r>
      <w:r>
        <w:fldChar w:fldCharType="separate"/>
      </w:r>
      <w:r>
        <w:rPr>
          <w:rFonts w:hint="eastAsia" w:ascii="宋体" w:hAnsi="宋体" w:eastAsia="宋体" w:cs="宋体"/>
        </w:rPr>
        <w:t xml:space="preserve">(五) </w:t>
      </w:r>
      <w:r>
        <w:rPr>
          <w:rFonts w:hint="eastAsia"/>
        </w:rPr>
        <w:t>磋商有效期(实质性要求)</w:t>
      </w:r>
      <w:r>
        <w:tab/>
      </w:r>
      <w:r>
        <w:fldChar w:fldCharType="begin"/>
      </w:r>
      <w:r>
        <w:instrText xml:space="preserve"> PAGEREF _Toc31281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_Toc15632 </w:instrText>
      </w:r>
      <w:r>
        <w:fldChar w:fldCharType="separate"/>
      </w:r>
      <w:r>
        <w:rPr>
          <w:rFonts w:hint="eastAsia" w:ascii="宋体" w:hAnsi="宋体" w:eastAsia="宋体" w:cs="宋体"/>
        </w:rPr>
        <w:t xml:space="preserve">(六) </w:t>
      </w:r>
      <w:r>
        <w:rPr>
          <w:rFonts w:hint="eastAsia"/>
        </w:rPr>
        <w:t>联合体磋商</w:t>
      </w:r>
      <w:r>
        <w:rPr>
          <w:rFonts w:hint="eastAsia"/>
          <w:lang w:val="zh-CN"/>
        </w:rPr>
        <w:t>(实质性要求)</w:t>
      </w:r>
      <w:r>
        <w:tab/>
      </w:r>
      <w:r>
        <w:fldChar w:fldCharType="begin"/>
      </w:r>
      <w:r>
        <w:instrText xml:space="preserve"> PAGEREF _Toc15632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_Toc23805 </w:instrText>
      </w:r>
      <w:r>
        <w:fldChar w:fldCharType="separate"/>
      </w:r>
      <w:r>
        <w:rPr>
          <w:rFonts w:hint="eastAsia" w:ascii="宋体" w:hAnsi="宋体" w:eastAsia="宋体" w:cs="宋体"/>
        </w:rPr>
        <w:t xml:space="preserve">(七) </w:t>
      </w:r>
      <w:r>
        <w:rPr>
          <w:rFonts w:hint="eastAsia"/>
        </w:rPr>
        <w:t>响应文件组成(实质性要求)</w:t>
      </w:r>
      <w:r>
        <w:tab/>
      </w:r>
      <w:r>
        <w:fldChar w:fldCharType="begin"/>
      </w:r>
      <w:r>
        <w:instrText xml:space="preserve"> PAGEREF _Toc23805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_Toc3464 </w:instrText>
      </w:r>
      <w:r>
        <w:fldChar w:fldCharType="separate"/>
      </w:r>
      <w:r>
        <w:rPr>
          <w:rFonts w:hint="eastAsia" w:ascii="宋体" w:hAnsi="宋体" w:eastAsia="宋体" w:cs="宋体"/>
        </w:rPr>
        <w:t xml:space="preserve">(八) </w:t>
      </w:r>
      <w:r>
        <w:rPr>
          <w:rFonts w:hint="eastAsia"/>
        </w:rPr>
        <w:t>报价要求(实质性要求)</w:t>
      </w:r>
      <w:r>
        <w:tab/>
      </w:r>
      <w:r>
        <w:fldChar w:fldCharType="begin"/>
      </w:r>
      <w:r>
        <w:instrText xml:space="preserve"> PAGEREF _Toc3464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_Toc11552 </w:instrText>
      </w:r>
      <w:r>
        <w:fldChar w:fldCharType="separate"/>
      </w:r>
      <w:r>
        <w:rPr>
          <w:rFonts w:hint="eastAsia" w:ascii="宋体" w:hAnsi="宋体" w:eastAsia="宋体" w:cs="宋体"/>
        </w:rPr>
        <w:t xml:space="preserve">(九) </w:t>
      </w:r>
      <w:r>
        <w:rPr>
          <w:rFonts w:hint="eastAsia"/>
        </w:rPr>
        <w:t>响应文件编制要求</w:t>
      </w:r>
      <w:r>
        <w:tab/>
      </w:r>
      <w:r>
        <w:fldChar w:fldCharType="begin"/>
      </w:r>
      <w:r>
        <w:instrText xml:space="preserve"> PAGEREF _Toc11552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_Toc21536 </w:instrText>
      </w:r>
      <w:r>
        <w:fldChar w:fldCharType="separate"/>
      </w:r>
      <w:r>
        <w:rPr>
          <w:rFonts w:hint="eastAsia" w:ascii="宋体" w:hAnsi="宋体" w:eastAsia="宋体" w:cs="宋体"/>
        </w:rPr>
        <w:t xml:space="preserve">(十) </w:t>
      </w:r>
      <w:r>
        <w:rPr>
          <w:rFonts w:hint="eastAsia"/>
        </w:rPr>
        <w:t>响应文件的密封和标注</w:t>
      </w:r>
      <w:r>
        <w:tab/>
      </w:r>
      <w:r>
        <w:fldChar w:fldCharType="begin"/>
      </w:r>
      <w:r>
        <w:instrText xml:space="preserve"> PAGEREF _Toc21536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_Toc16758 </w:instrText>
      </w:r>
      <w:r>
        <w:fldChar w:fldCharType="separate"/>
      </w:r>
      <w:r>
        <w:rPr>
          <w:rFonts w:hint="eastAsia" w:ascii="宋体" w:hAnsi="宋体" w:eastAsia="宋体" w:cs="宋体"/>
        </w:rPr>
        <w:t xml:space="preserve">(十一) </w:t>
      </w:r>
      <w:r>
        <w:rPr>
          <w:rFonts w:hint="eastAsia"/>
        </w:rPr>
        <w:t>响应文件的递交</w:t>
      </w:r>
      <w:r>
        <w:tab/>
      </w:r>
      <w:r>
        <w:fldChar w:fldCharType="begin"/>
      </w:r>
      <w:r>
        <w:instrText xml:space="preserve"> PAGEREF _Toc16758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_Toc14180 </w:instrText>
      </w:r>
      <w:r>
        <w:fldChar w:fldCharType="separate"/>
      </w:r>
      <w:r>
        <w:rPr>
          <w:rFonts w:hint="eastAsia" w:ascii="宋体" w:hAnsi="宋体" w:eastAsia="宋体" w:cs="宋体"/>
        </w:rPr>
        <w:t xml:space="preserve">(十二) </w:t>
      </w:r>
      <w:r>
        <w:rPr>
          <w:rFonts w:hint="eastAsia"/>
        </w:rPr>
        <w:t>响应文件的修改和撤回</w:t>
      </w:r>
      <w:r>
        <w:tab/>
      </w:r>
      <w:r>
        <w:fldChar w:fldCharType="begin"/>
      </w:r>
      <w:r>
        <w:instrText xml:space="preserve"> PAGEREF _Toc14180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_Toc11507 </w:instrText>
      </w:r>
      <w:r>
        <w:fldChar w:fldCharType="separate"/>
      </w:r>
      <w:r>
        <w:rPr>
          <w:rFonts w:hint="eastAsia" w:ascii="宋体" w:hAnsi="宋体" w:eastAsia="宋体" w:cs="宋体"/>
        </w:rPr>
        <w:t xml:space="preserve">(十三) </w:t>
      </w:r>
      <w:r>
        <w:rPr>
          <w:rFonts w:hint="eastAsia"/>
        </w:rPr>
        <w:t>磋商保证金</w:t>
      </w:r>
      <w:r>
        <w:tab/>
      </w:r>
      <w:r>
        <w:fldChar w:fldCharType="begin"/>
      </w:r>
      <w:r>
        <w:instrText xml:space="preserve"> PAGEREF _Toc11507 \h </w:instrText>
      </w:r>
      <w:r>
        <w:fldChar w:fldCharType="separate"/>
      </w:r>
      <w:r>
        <w:t>21</w:t>
      </w:r>
      <w:r>
        <w:fldChar w:fldCharType="end"/>
      </w:r>
      <w:r>
        <w:fldChar w:fldCharType="end"/>
      </w:r>
    </w:p>
    <w:p>
      <w:pPr>
        <w:pStyle w:val="17"/>
        <w:tabs>
          <w:tab w:val="right" w:leader="dot" w:pos="9746"/>
          <w:tab w:val="clear" w:pos="0"/>
        </w:tabs>
      </w:pPr>
      <w:r>
        <w:fldChar w:fldCharType="begin"/>
      </w:r>
      <w:r>
        <w:instrText xml:space="preserve"> HYPERLINK \l _Toc21166 </w:instrText>
      </w:r>
      <w:r>
        <w:fldChar w:fldCharType="separate"/>
      </w:r>
      <w:r>
        <w:rPr>
          <w:rFonts w:hint="eastAsia" w:ascii="宋体" w:hAnsi="宋体" w:eastAsia="宋体" w:cs="宋体"/>
          <w:szCs w:val="36"/>
        </w:rPr>
        <w:t xml:space="preserve">五、 </w:t>
      </w:r>
      <w:r>
        <w:rPr>
          <w:rFonts w:hint="eastAsia"/>
          <w:szCs w:val="36"/>
        </w:rPr>
        <w:t>磋商会</w:t>
      </w:r>
      <w:r>
        <w:tab/>
      </w:r>
      <w:r>
        <w:fldChar w:fldCharType="begin"/>
      </w:r>
      <w:r>
        <w:instrText xml:space="preserve"> PAGEREF _Toc21166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_Toc26873 </w:instrText>
      </w:r>
      <w:r>
        <w:fldChar w:fldCharType="separate"/>
      </w:r>
      <w:r>
        <w:rPr>
          <w:rFonts w:hint="eastAsia" w:ascii="宋体" w:hAnsi="宋体" w:eastAsia="宋体" w:cs="宋体"/>
          <w:bCs/>
        </w:rPr>
        <w:t xml:space="preserve">(一) </w:t>
      </w:r>
      <w:r>
        <w:rPr>
          <w:rFonts w:hint="eastAsia"/>
          <w:bCs/>
        </w:rPr>
        <w:t>磋商会人员</w:t>
      </w:r>
      <w:r>
        <w:tab/>
      </w:r>
      <w:r>
        <w:fldChar w:fldCharType="begin"/>
      </w:r>
      <w:r>
        <w:instrText xml:space="preserve"> PAGEREF _Toc26873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_Toc32663 </w:instrText>
      </w:r>
      <w:r>
        <w:fldChar w:fldCharType="separate"/>
      </w:r>
      <w:r>
        <w:rPr>
          <w:rFonts w:hint="eastAsia" w:ascii="宋体" w:hAnsi="宋体" w:eastAsia="宋体" w:cs="宋体"/>
          <w:bCs/>
        </w:rPr>
        <w:t xml:space="preserve">(二) </w:t>
      </w:r>
      <w:r>
        <w:rPr>
          <w:rFonts w:hint="eastAsia"/>
          <w:bCs/>
        </w:rPr>
        <w:t>磋商会内容</w:t>
      </w:r>
      <w:r>
        <w:tab/>
      </w:r>
      <w:r>
        <w:fldChar w:fldCharType="begin"/>
      </w:r>
      <w:r>
        <w:instrText xml:space="preserve"> PAGEREF _Toc32663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_Toc8050 </w:instrText>
      </w:r>
      <w:r>
        <w:fldChar w:fldCharType="separate"/>
      </w:r>
      <w:r>
        <w:rPr>
          <w:rFonts w:hint="eastAsia" w:ascii="宋体" w:hAnsi="宋体" w:eastAsia="宋体" w:cs="宋体"/>
          <w:bCs/>
        </w:rPr>
        <w:t xml:space="preserve">(三) </w:t>
      </w:r>
      <w:r>
        <w:rPr>
          <w:rFonts w:hint="eastAsia"/>
          <w:bCs/>
        </w:rPr>
        <w:t>电子监控档案</w:t>
      </w:r>
      <w:r>
        <w:tab/>
      </w:r>
      <w:r>
        <w:fldChar w:fldCharType="begin"/>
      </w:r>
      <w:r>
        <w:instrText xml:space="preserve"> PAGEREF _Toc8050 \h </w:instrText>
      </w:r>
      <w:r>
        <w:fldChar w:fldCharType="separate"/>
      </w:r>
      <w:r>
        <w:t>22</w:t>
      </w:r>
      <w:r>
        <w:fldChar w:fldCharType="end"/>
      </w:r>
      <w:r>
        <w:fldChar w:fldCharType="end"/>
      </w:r>
    </w:p>
    <w:p>
      <w:pPr>
        <w:pStyle w:val="17"/>
        <w:tabs>
          <w:tab w:val="right" w:leader="dot" w:pos="9746"/>
          <w:tab w:val="clear" w:pos="0"/>
        </w:tabs>
      </w:pPr>
      <w:r>
        <w:fldChar w:fldCharType="begin"/>
      </w:r>
      <w:r>
        <w:instrText xml:space="preserve"> HYPERLINK \l _Toc1072 </w:instrText>
      </w:r>
      <w:r>
        <w:fldChar w:fldCharType="separate"/>
      </w:r>
      <w:r>
        <w:rPr>
          <w:rFonts w:hint="eastAsia" w:ascii="宋体" w:hAnsi="宋体" w:eastAsia="宋体" w:cs="宋体"/>
          <w:szCs w:val="36"/>
        </w:rPr>
        <w:t xml:space="preserve">六、 </w:t>
      </w:r>
      <w:r>
        <w:rPr>
          <w:rFonts w:hint="eastAsia"/>
          <w:szCs w:val="36"/>
        </w:rPr>
        <w:t>成交事项</w:t>
      </w:r>
      <w:r>
        <w:tab/>
      </w:r>
      <w:r>
        <w:fldChar w:fldCharType="begin"/>
      </w:r>
      <w:r>
        <w:instrText xml:space="preserve"> PAGEREF _Toc1072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_Toc31413 </w:instrText>
      </w:r>
      <w:r>
        <w:fldChar w:fldCharType="separate"/>
      </w:r>
      <w:r>
        <w:rPr>
          <w:rFonts w:hint="eastAsia" w:ascii="宋体" w:hAnsi="宋体" w:eastAsia="宋体" w:cs="宋体"/>
        </w:rPr>
        <w:t xml:space="preserve">(一) </w:t>
      </w:r>
      <w:r>
        <w:rPr>
          <w:rFonts w:hint="eastAsia"/>
        </w:rPr>
        <w:t>确定成交候选人</w:t>
      </w:r>
      <w:r>
        <w:tab/>
      </w:r>
      <w:r>
        <w:fldChar w:fldCharType="begin"/>
      </w:r>
      <w:r>
        <w:instrText xml:space="preserve"> PAGEREF _Toc31413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_Toc5084 </w:instrText>
      </w:r>
      <w:r>
        <w:fldChar w:fldCharType="separate"/>
      </w:r>
      <w:r>
        <w:rPr>
          <w:rFonts w:hint="eastAsia" w:ascii="宋体" w:hAnsi="宋体" w:eastAsia="宋体" w:cs="宋体"/>
        </w:rPr>
        <w:t xml:space="preserve">(二) </w:t>
      </w:r>
      <w:r>
        <w:rPr>
          <w:rFonts w:hint="eastAsia"/>
        </w:rPr>
        <w:t>成交结果</w:t>
      </w:r>
      <w:r>
        <w:tab/>
      </w:r>
      <w:r>
        <w:fldChar w:fldCharType="begin"/>
      </w:r>
      <w:r>
        <w:instrText xml:space="preserve"> PAGEREF _Toc5084 \h </w:instrText>
      </w:r>
      <w:r>
        <w:fldChar w:fldCharType="separate"/>
      </w:r>
      <w:r>
        <w:t>22</w:t>
      </w:r>
      <w:r>
        <w:fldChar w:fldCharType="end"/>
      </w:r>
      <w:r>
        <w:fldChar w:fldCharType="end"/>
      </w:r>
    </w:p>
    <w:p>
      <w:pPr>
        <w:pStyle w:val="13"/>
        <w:tabs>
          <w:tab w:val="right" w:leader="dot" w:pos="9746"/>
          <w:tab w:val="clear" w:pos="0"/>
        </w:tabs>
      </w:pPr>
      <w:r>
        <w:fldChar w:fldCharType="begin"/>
      </w:r>
      <w:r>
        <w:instrText xml:space="preserve"> HYPERLINK \l _Toc20851 </w:instrText>
      </w:r>
      <w:r>
        <w:fldChar w:fldCharType="separate"/>
      </w:r>
      <w:r>
        <w:rPr>
          <w:rFonts w:hint="eastAsia" w:ascii="宋体" w:hAnsi="宋体" w:eastAsia="宋体" w:cs="宋体"/>
        </w:rPr>
        <w:t xml:space="preserve">(三) </w:t>
      </w:r>
      <w:r>
        <w:rPr>
          <w:rFonts w:hint="eastAsia"/>
        </w:rPr>
        <w:t>成交通知书</w:t>
      </w:r>
      <w:r>
        <w:tab/>
      </w:r>
      <w:r>
        <w:fldChar w:fldCharType="begin"/>
      </w:r>
      <w:r>
        <w:instrText xml:space="preserve"> PAGEREF _Toc20851 \h </w:instrText>
      </w:r>
      <w:r>
        <w:fldChar w:fldCharType="separate"/>
      </w:r>
      <w:r>
        <w:t>23</w:t>
      </w:r>
      <w:r>
        <w:fldChar w:fldCharType="end"/>
      </w:r>
      <w:r>
        <w:fldChar w:fldCharType="end"/>
      </w:r>
    </w:p>
    <w:p>
      <w:pPr>
        <w:pStyle w:val="17"/>
        <w:tabs>
          <w:tab w:val="right" w:leader="dot" w:pos="9746"/>
          <w:tab w:val="clear" w:pos="0"/>
        </w:tabs>
      </w:pPr>
      <w:r>
        <w:fldChar w:fldCharType="begin"/>
      </w:r>
      <w:r>
        <w:instrText xml:space="preserve"> HYPERLINK \l _Toc16374 </w:instrText>
      </w:r>
      <w:r>
        <w:fldChar w:fldCharType="separate"/>
      </w:r>
      <w:r>
        <w:rPr>
          <w:rFonts w:hint="eastAsia" w:ascii="宋体" w:hAnsi="宋体" w:eastAsia="宋体" w:cs="宋体"/>
          <w:szCs w:val="36"/>
        </w:rPr>
        <w:t xml:space="preserve">七、 </w:t>
      </w:r>
      <w:r>
        <w:rPr>
          <w:rFonts w:hint="eastAsia"/>
          <w:szCs w:val="36"/>
        </w:rPr>
        <w:t>合同事项</w:t>
      </w:r>
      <w:r>
        <w:tab/>
      </w:r>
      <w:r>
        <w:fldChar w:fldCharType="begin"/>
      </w:r>
      <w:r>
        <w:instrText xml:space="preserve"> PAGEREF _Toc16374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_Toc30537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_Toc30537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_Toc7850 </w:instrText>
      </w:r>
      <w:r>
        <w:fldChar w:fldCharType="separate"/>
      </w:r>
      <w:r>
        <w:rPr>
          <w:rFonts w:hint="eastAsia" w:ascii="宋体" w:hAnsi="宋体" w:eastAsia="宋体" w:cs="宋体"/>
        </w:rPr>
        <w:t xml:space="preserve">(二) </w:t>
      </w:r>
      <w:r>
        <w:rPr>
          <w:rFonts w:hint="eastAsia"/>
        </w:rPr>
        <w:t>合同分包(实质性要求)</w:t>
      </w:r>
      <w:r>
        <w:tab/>
      </w:r>
      <w:r>
        <w:fldChar w:fldCharType="begin"/>
      </w:r>
      <w:r>
        <w:instrText xml:space="preserve"> PAGEREF _Toc7850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_Toc32427 </w:instrText>
      </w:r>
      <w:r>
        <w:fldChar w:fldCharType="separate"/>
      </w:r>
      <w:r>
        <w:rPr>
          <w:rFonts w:hint="eastAsia" w:ascii="宋体" w:hAnsi="宋体" w:eastAsia="宋体" w:cs="宋体"/>
        </w:rPr>
        <w:t xml:space="preserve">(三) </w:t>
      </w:r>
      <w:r>
        <w:rPr>
          <w:rFonts w:hint="eastAsia"/>
        </w:rPr>
        <w:t>合同转包(实质性要求)</w:t>
      </w:r>
      <w:r>
        <w:tab/>
      </w:r>
      <w:r>
        <w:fldChar w:fldCharType="begin"/>
      </w:r>
      <w:r>
        <w:instrText xml:space="preserve"> PAGEREF _Toc32427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_Toc25008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_Toc25008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_Toc24375 </w:instrText>
      </w:r>
      <w:r>
        <w:fldChar w:fldCharType="separate"/>
      </w:r>
      <w:r>
        <w:rPr>
          <w:rFonts w:hint="eastAsia" w:ascii="宋体" w:hAnsi="宋体" w:eastAsia="宋体" w:cs="宋体"/>
        </w:rPr>
        <w:t xml:space="preserve">(五) </w:t>
      </w:r>
      <w:r>
        <w:rPr>
          <w:rFonts w:hint="eastAsia"/>
        </w:rPr>
        <w:t>合同公告</w:t>
      </w:r>
      <w:r>
        <w:tab/>
      </w:r>
      <w:r>
        <w:fldChar w:fldCharType="begin"/>
      </w:r>
      <w:r>
        <w:instrText xml:space="preserve"> PAGEREF _Toc24375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_Toc9163 </w:instrText>
      </w:r>
      <w:r>
        <w:fldChar w:fldCharType="separate"/>
      </w:r>
      <w:r>
        <w:rPr>
          <w:rFonts w:hint="eastAsia" w:ascii="宋体" w:hAnsi="宋体" w:eastAsia="宋体" w:cs="宋体"/>
        </w:rPr>
        <w:t xml:space="preserve">(六) </w:t>
      </w:r>
      <w:r>
        <w:rPr>
          <w:rFonts w:hint="eastAsia"/>
        </w:rPr>
        <w:t>履行合同</w:t>
      </w:r>
      <w:r>
        <w:tab/>
      </w:r>
      <w:r>
        <w:fldChar w:fldCharType="begin"/>
      </w:r>
      <w:r>
        <w:instrText xml:space="preserve"> PAGEREF _Toc9163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_Toc19395 </w:instrText>
      </w:r>
      <w:r>
        <w:fldChar w:fldCharType="separate"/>
      </w:r>
      <w:r>
        <w:rPr>
          <w:rFonts w:hint="eastAsia" w:ascii="宋体" w:hAnsi="宋体" w:eastAsia="宋体" w:cs="宋体"/>
        </w:rPr>
        <w:t xml:space="preserve">(七) </w:t>
      </w:r>
      <w:r>
        <w:rPr>
          <w:rFonts w:hint="eastAsia"/>
        </w:rPr>
        <w:t>付款方式及履约验收</w:t>
      </w:r>
      <w:r>
        <w:tab/>
      </w:r>
      <w:r>
        <w:fldChar w:fldCharType="begin"/>
      </w:r>
      <w:r>
        <w:instrText xml:space="preserve"> PAGEREF _Toc19395 \h </w:instrText>
      </w:r>
      <w:r>
        <w:fldChar w:fldCharType="separate"/>
      </w:r>
      <w:r>
        <w:t>24</w:t>
      </w:r>
      <w:r>
        <w:fldChar w:fldCharType="end"/>
      </w:r>
      <w:r>
        <w:fldChar w:fldCharType="end"/>
      </w:r>
    </w:p>
    <w:p>
      <w:pPr>
        <w:pStyle w:val="17"/>
        <w:tabs>
          <w:tab w:val="right" w:leader="dot" w:pos="9746"/>
          <w:tab w:val="clear" w:pos="0"/>
        </w:tabs>
      </w:pPr>
      <w:r>
        <w:fldChar w:fldCharType="begin"/>
      </w:r>
      <w:r>
        <w:instrText xml:space="preserve"> HYPERLINK \l _Toc11057 </w:instrText>
      </w:r>
      <w:r>
        <w:fldChar w:fldCharType="separate"/>
      </w:r>
      <w:r>
        <w:rPr>
          <w:rFonts w:hint="eastAsia" w:ascii="宋体" w:hAnsi="宋体" w:eastAsia="宋体" w:cs="宋体"/>
          <w:szCs w:val="36"/>
        </w:rPr>
        <w:t xml:space="preserve">八、 </w:t>
      </w:r>
      <w:r>
        <w:rPr>
          <w:rFonts w:hint="eastAsia"/>
          <w:szCs w:val="36"/>
        </w:rPr>
        <w:t>磋商纪律要求</w:t>
      </w:r>
      <w:r>
        <w:tab/>
      </w:r>
      <w:r>
        <w:fldChar w:fldCharType="begin"/>
      </w:r>
      <w:r>
        <w:instrText xml:space="preserve"> PAGEREF _Toc11057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_Toc7574 </w:instrText>
      </w:r>
      <w:r>
        <w:fldChar w:fldCharType="separate"/>
      </w:r>
      <w:r>
        <w:rPr>
          <w:rFonts w:hint="eastAsia" w:ascii="宋体" w:hAnsi="宋体" w:eastAsia="宋体" w:cs="宋体"/>
        </w:rPr>
        <w:t xml:space="preserve">(一) </w:t>
      </w:r>
      <w:r>
        <w:rPr>
          <w:rFonts w:hint="eastAsia"/>
        </w:rPr>
        <w:t>供应商参加本项目采购活动不得具有的情形</w:t>
      </w:r>
      <w:r>
        <w:tab/>
      </w:r>
      <w:r>
        <w:fldChar w:fldCharType="begin"/>
      </w:r>
      <w:r>
        <w:instrText xml:space="preserve"> PAGEREF _Toc7574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_Toc4170 </w:instrText>
      </w:r>
      <w:r>
        <w:fldChar w:fldCharType="separate"/>
      </w:r>
      <w:r>
        <w:rPr>
          <w:rFonts w:hint="eastAsia" w:ascii="宋体" w:hAnsi="宋体" w:eastAsia="宋体" w:cs="宋体"/>
        </w:rPr>
        <w:t xml:space="preserve">(二) </w:t>
      </w:r>
      <w:r>
        <w:rPr>
          <w:rFonts w:hint="eastAsia"/>
        </w:rPr>
        <w:t>磋商现场纪律要求</w:t>
      </w:r>
      <w:r>
        <w:tab/>
      </w:r>
      <w:r>
        <w:fldChar w:fldCharType="begin"/>
      </w:r>
      <w:r>
        <w:instrText xml:space="preserve"> PAGEREF _Toc4170 \h </w:instrText>
      </w:r>
      <w:r>
        <w:fldChar w:fldCharType="separate"/>
      </w:r>
      <w:r>
        <w:t>25</w:t>
      </w:r>
      <w:r>
        <w:fldChar w:fldCharType="end"/>
      </w:r>
      <w:r>
        <w:fldChar w:fldCharType="end"/>
      </w:r>
    </w:p>
    <w:p>
      <w:pPr>
        <w:pStyle w:val="17"/>
        <w:tabs>
          <w:tab w:val="right" w:leader="dot" w:pos="9746"/>
          <w:tab w:val="clear" w:pos="0"/>
        </w:tabs>
      </w:pPr>
      <w:r>
        <w:fldChar w:fldCharType="begin"/>
      </w:r>
      <w:r>
        <w:instrText xml:space="preserve"> HYPERLINK \l _Toc9902 </w:instrText>
      </w:r>
      <w:r>
        <w:fldChar w:fldCharType="separate"/>
      </w:r>
      <w:r>
        <w:rPr>
          <w:rFonts w:hint="eastAsia" w:ascii="宋体" w:hAnsi="宋体" w:eastAsia="宋体" w:cs="宋体"/>
          <w:szCs w:val="36"/>
        </w:rPr>
        <w:t xml:space="preserve">九、 </w:t>
      </w:r>
      <w:r>
        <w:rPr>
          <w:rFonts w:hint="eastAsia"/>
          <w:szCs w:val="36"/>
        </w:rPr>
        <w:t>其他</w:t>
      </w:r>
      <w:r>
        <w:tab/>
      </w:r>
      <w:r>
        <w:fldChar w:fldCharType="begin"/>
      </w:r>
      <w:r>
        <w:instrText xml:space="preserve"> PAGEREF _Toc9902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_Toc29554 </w:instrText>
      </w:r>
      <w:r>
        <w:fldChar w:fldCharType="separate"/>
      </w:r>
      <w:r>
        <w:rPr>
          <w:rFonts w:hint="eastAsia" w:ascii="宋体" w:hAnsi="宋体" w:eastAsia="宋体" w:cs="宋体"/>
        </w:rPr>
        <w:t xml:space="preserve">(一) </w:t>
      </w:r>
      <w:r>
        <w:rPr>
          <w:rFonts w:hint="eastAsia"/>
        </w:rPr>
        <w:t>询问、质疑和投诉</w:t>
      </w:r>
      <w:r>
        <w:tab/>
      </w:r>
      <w:r>
        <w:fldChar w:fldCharType="begin"/>
      </w:r>
      <w:r>
        <w:instrText xml:space="preserve"> PAGEREF _Toc29554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_Toc2824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_Toc2824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_Toc403 </w:instrText>
      </w:r>
      <w:r>
        <w:fldChar w:fldCharType="separate"/>
      </w:r>
      <w:r>
        <w:rPr>
          <w:rFonts w:hint="eastAsia" w:ascii="宋体" w:hAnsi="宋体" w:eastAsia="宋体" w:cs="宋体"/>
        </w:rPr>
        <w:t xml:space="preserve">(三) </w:t>
      </w:r>
      <w:r>
        <w:rPr>
          <w:rFonts w:hint="eastAsia"/>
        </w:rPr>
        <w:t>供应商信用信息查询</w:t>
      </w:r>
      <w:r>
        <w:tab/>
      </w:r>
      <w:r>
        <w:fldChar w:fldCharType="begin"/>
      </w:r>
      <w:r>
        <w:instrText xml:space="preserve"> PAGEREF _Toc403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_Toc315 </w:instrText>
      </w:r>
      <w:r>
        <w:fldChar w:fldCharType="separate"/>
      </w:r>
      <w:r>
        <w:rPr>
          <w:rFonts w:hint="eastAsia" w:ascii="宋体" w:hAnsi="宋体" w:eastAsia="宋体" w:cs="宋体"/>
        </w:rPr>
        <w:t xml:space="preserve">(四) </w:t>
      </w:r>
      <w:r>
        <w:rPr>
          <w:rFonts w:hint="eastAsia"/>
        </w:rPr>
        <w:t>解释说明</w:t>
      </w:r>
      <w:r>
        <w:tab/>
      </w:r>
      <w:r>
        <w:fldChar w:fldCharType="begin"/>
      </w:r>
      <w:r>
        <w:instrText xml:space="preserve"> PAGEREF _Toc315 \h </w:instrText>
      </w:r>
      <w:r>
        <w:fldChar w:fldCharType="separate"/>
      </w:r>
      <w:r>
        <w:t>26</w:t>
      </w:r>
      <w:r>
        <w:fldChar w:fldCharType="end"/>
      </w:r>
      <w:r>
        <w:fldChar w:fldCharType="end"/>
      </w:r>
    </w:p>
    <w:p>
      <w:pPr>
        <w:pStyle w:val="2"/>
        <w:tabs>
          <w:tab w:val="clear" w:pos="0"/>
        </w:tabs>
      </w:pPr>
      <w:r>
        <w:fldChar w:fldCharType="begin"/>
      </w:r>
      <w:r>
        <w:instrText xml:space="preserve"> HYPERLINK \l _Toc18138 </w:instrText>
      </w:r>
      <w:r>
        <w:fldChar w:fldCharType="separate"/>
      </w:r>
      <w:r>
        <w:rPr>
          <w:rFonts w:hint="eastAsia" w:ascii="宋体" w:hAnsi="宋体" w:eastAsia="宋体" w:cs="宋体"/>
        </w:rPr>
        <w:t xml:space="preserve">第三章 </w:t>
      </w:r>
      <w:r>
        <w:rPr>
          <w:rFonts w:hint="eastAsia"/>
        </w:rPr>
        <w:t>响应文件格式</w:t>
      </w:r>
      <w:r>
        <w:tab/>
      </w:r>
      <w:r>
        <w:fldChar w:fldCharType="begin"/>
      </w:r>
      <w:r>
        <w:instrText xml:space="preserve"> PAGEREF _Toc18138 \h </w:instrText>
      </w:r>
      <w:r>
        <w:fldChar w:fldCharType="separate"/>
      </w:r>
      <w:r>
        <w:t>27</w:t>
      </w:r>
      <w:r>
        <w:fldChar w:fldCharType="end"/>
      </w:r>
      <w:r>
        <w:fldChar w:fldCharType="end"/>
      </w:r>
    </w:p>
    <w:p>
      <w:pPr>
        <w:pStyle w:val="17"/>
        <w:tabs>
          <w:tab w:val="right" w:leader="dot" w:pos="9746"/>
          <w:tab w:val="clear" w:pos="0"/>
        </w:tabs>
      </w:pPr>
      <w:r>
        <w:fldChar w:fldCharType="begin"/>
      </w:r>
      <w:r>
        <w:instrText xml:space="preserve"> HYPERLINK \l _Toc7404 </w:instrText>
      </w:r>
      <w:r>
        <w:fldChar w:fldCharType="separate"/>
      </w:r>
      <w:r>
        <w:rPr>
          <w:rFonts w:hint="eastAsia"/>
          <w:szCs w:val="32"/>
        </w:rPr>
        <w:t>第一部分 资格、资质性及其他类似效力响应文件(格式)</w:t>
      </w:r>
      <w:r>
        <w:tab/>
      </w:r>
      <w:r>
        <w:fldChar w:fldCharType="begin"/>
      </w:r>
      <w:r>
        <w:instrText xml:space="preserve"> PAGEREF _Toc7404 \h </w:instrText>
      </w:r>
      <w:r>
        <w:fldChar w:fldCharType="separate"/>
      </w:r>
      <w:r>
        <w:t>30</w:t>
      </w:r>
      <w:r>
        <w:fldChar w:fldCharType="end"/>
      </w:r>
      <w:r>
        <w:fldChar w:fldCharType="end"/>
      </w:r>
    </w:p>
    <w:p>
      <w:pPr>
        <w:pStyle w:val="13"/>
        <w:tabs>
          <w:tab w:val="right" w:leader="dot" w:pos="9746"/>
          <w:tab w:val="clear" w:pos="0"/>
        </w:tabs>
      </w:pPr>
      <w:r>
        <w:fldChar w:fldCharType="begin"/>
      </w:r>
      <w:r>
        <w:instrText xml:space="preserve"> HYPERLINK \l _Toc2006 </w:instrText>
      </w:r>
      <w:r>
        <w:fldChar w:fldCharType="separate"/>
      </w:r>
      <w:r>
        <w:rPr>
          <w:rFonts w:hint="eastAsia"/>
        </w:rPr>
        <w:t>一、 法定代表人/单位负责人授权书</w:t>
      </w:r>
      <w:r>
        <w:tab/>
      </w:r>
      <w:r>
        <w:fldChar w:fldCharType="begin"/>
      </w:r>
      <w:r>
        <w:instrText xml:space="preserve"> PAGEREF _Toc2006 \h </w:instrText>
      </w:r>
      <w:r>
        <w:fldChar w:fldCharType="separate"/>
      </w:r>
      <w:r>
        <w:t>31</w:t>
      </w:r>
      <w:r>
        <w:fldChar w:fldCharType="end"/>
      </w:r>
      <w:r>
        <w:fldChar w:fldCharType="end"/>
      </w:r>
    </w:p>
    <w:p>
      <w:pPr>
        <w:pStyle w:val="13"/>
        <w:tabs>
          <w:tab w:val="right" w:leader="dot" w:pos="9746"/>
          <w:tab w:val="clear" w:pos="0"/>
        </w:tabs>
      </w:pPr>
      <w:r>
        <w:fldChar w:fldCharType="begin"/>
      </w:r>
      <w:r>
        <w:instrText xml:space="preserve"> HYPERLINK \l _Toc6630 </w:instrText>
      </w:r>
      <w:r>
        <w:fldChar w:fldCharType="separate"/>
      </w:r>
      <w:r>
        <w:rPr>
          <w:rFonts w:hint="eastAsia"/>
        </w:rPr>
        <w:t>一、 法定代表人/单位负责人证明书</w:t>
      </w:r>
      <w:r>
        <w:tab/>
      </w:r>
      <w:r>
        <w:fldChar w:fldCharType="begin"/>
      </w:r>
      <w:r>
        <w:instrText xml:space="preserve"> PAGEREF _Toc6630 \h </w:instrText>
      </w:r>
      <w:r>
        <w:fldChar w:fldCharType="separate"/>
      </w:r>
      <w:r>
        <w:t>32</w:t>
      </w:r>
      <w:r>
        <w:fldChar w:fldCharType="end"/>
      </w:r>
      <w:r>
        <w:fldChar w:fldCharType="end"/>
      </w:r>
    </w:p>
    <w:p>
      <w:pPr>
        <w:pStyle w:val="13"/>
        <w:tabs>
          <w:tab w:val="right" w:leader="dot" w:pos="9746"/>
          <w:tab w:val="clear" w:pos="0"/>
        </w:tabs>
      </w:pPr>
      <w:r>
        <w:fldChar w:fldCharType="begin"/>
      </w:r>
      <w:r>
        <w:instrText xml:space="preserve"> HYPERLINK \l _Toc23740 </w:instrText>
      </w:r>
      <w:r>
        <w:fldChar w:fldCharType="separate"/>
      </w:r>
      <w:r>
        <w:rPr>
          <w:rFonts w:hint="eastAsia"/>
        </w:rPr>
        <w:t>二、 供应商具有独立承担民事责任的能力的证明材料</w:t>
      </w:r>
      <w:r>
        <w:tab/>
      </w:r>
      <w:r>
        <w:fldChar w:fldCharType="begin"/>
      </w:r>
      <w:r>
        <w:instrText xml:space="preserve"> PAGEREF _Toc23740 \h </w:instrText>
      </w:r>
      <w:r>
        <w:fldChar w:fldCharType="separate"/>
      </w:r>
      <w:r>
        <w:t>33</w:t>
      </w:r>
      <w:r>
        <w:fldChar w:fldCharType="end"/>
      </w:r>
      <w:r>
        <w:fldChar w:fldCharType="end"/>
      </w:r>
    </w:p>
    <w:p>
      <w:pPr>
        <w:pStyle w:val="13"/>
        <w:tabs>
          <w:tab w:val="right" w:leader="dot" w:pos="9746"/>
          <w:tab w:val="clear" w:pos="0"/>
        </w:tabs>
      </w:pPr>
      <w:r>
        <w:fldChar w:fldCharType="begin"/>
      </w:r>
      <w:r>
        <w:instrText xml:space="preserve"> HYPERLINK \l _Toc5333 </w:instrText>
      </w:r>
      <w:r>
        <w:fldChar w:fldCharType="separate"/>
      </w:r>
      <w:r>
        <w:rPr>
          <w:rFonts w:hint="eastAsia"/>
        </w:rPr>
        <w:t>三、 供应商具有良好的商业信誉和健全的财务会计制度的证明材料</w:t>
      </w:r>
      <w:r>
        <w:tab/>
      </w:r>
      <w:r>
        <w:fldChar w:fldCharType="begin"/>
      </w:r>
      <w:r>
        <w:instrText xml:space="preserve"> PAGEREF _Toc5333 \h </w:instrText>
      </w:r>
      <w:r>
        <w:fldChar w:fldCharType="separate"/>
      </w:r>
      <w:r>
        <w:t>34</w:t>
      </w:r>
      <w:r>
        <w:fldChar w:fldCharType="end"/>
      </w:r>
      <w:r>
        <w:fldChar w:fldCharType="end"/>
      </w:r>
    </w:p>
    <w:p>
      <w:pPr>
        <w:pStyle w:val="13"/>
        <w:tabs>
          <w:tab w:val="right" w:leader="dot" w:pos="9746"/>
          <w:tab w:val="clear" w:pos="0"/>
        </w:tabs>
      </w:pPr>
      <w:r>
        <w:fldChar w:fldCharType="begin"/>
      </w:r>
      <w:r>
        <w:instrText xml:space="preserve"> HYPERLINK \l _Toc26540 </w:instrText>
      </w:r>
      <w:r>
        <w:fldChar w:fldCharType="separate"/>
      </w:r>
      <w:r>
        <w:rPr>
          <w:rFonts w:hint="eastAsia"/>
        </w:rPr>
        <w:t>四、 供应商具有依法缴纳税收和社会保障资金的良好记录的证明材料</w:t>
      </w:r>
      <w:r>
        <w:tab/>
      </w:r>
      <w:r>
        <w:fldChar w:fldCharType="begin"/>
      </w:r>
      <w:r>
        <w:instrText xml:space="preserve"> PAGEREF _Toc26540 \h </w:instrText>
      </w:r>
      <w:r>
        <w:fldChar w:fldCharType="separate"/>
      </w:r>
      <w:r>
        <w:t>35</w:t>
      </w:r>
      <w:r>
        <w:fldChar w:fldCharType="end"/>
      </w:r>
      <w:r>
        <w:fldChar w:fldCharType="end"/>
      </w:r>
    </w:p>
    <w:p>
      <w:pPr>
        <w:pStyle w:val="13"/>
        <w:tabs>
          <w:tab w:val="right" w:leader="dot" w:pos="9746"/>
          <w:tab w:val="clear" w:pos="0"/>
        </w:tabs>
      </w:pPr>
      <w:r>
        <w:fldChar w:fldCharType="begin"/>
      </w:r>
      <w:r>
        <w:instrText xml:space="preserve"> HYPERLINK \l _Toc18164 </w:instrText>
      </w:r>
      <w:r>
        <w:fldChar w:fldCharType="separate"/>
      </w:r>
      <w:r>
        <w:rPr>
          <w:rFonts w:hint="eastAsia"/>
        </w:rPr>
        <w:t>五、 供应商具有履行合同所必需的设备和专业技术能力证明材料</w:t>
      </w:r>
      <w:r>
        <w:tab/>
      </w:r>
      <w:r>
        <w:fldChar w:fldCharType="begin"/>
      </w:r>
      <w:r>
        <w:instrText xml:space="preserve"> PAGEREF _Toc18164 \h </w:instrText>
      </w:r>
      <w:r>
        <w:fldChar w:fldCharType="separate"/>
      </w:r>
      <w:r>
        <w:t>36</w:t>
      </w:r>
      <w:r>
        <w:fldChar w:fldCharType="end"/>
      </w:r>
      <w:r>
        <w:fldChar w:fldCharType="end"/>
      </w:r>
    </w:p>
    <w:p>
      <w:pPr>
        <w:pStyle w:val="13"/>
        <w:tabs>
          <w:tab w:val="right" w:leader="dot" w:pos="9746"/>
          <w:tab w:val="clear" w:pos="0"/>
        </w:tabs>
      </w:pPr>
      <w:r>
        <w:fldChar w:fldCharType="begin"/>
      </w:r>
      <w:r>
        <w:instrText xml:space="preserve"> HYPERLINK \l _Toc1570 </w:instrText>
      </w:r>
      <w:r>
        <w:fldChar w:fldCharType="separate"/>
      </w:r>
      <w:r>
        <w:rPr>
          <w:rFonts w:hint="eastAsia"/>
        </w:rPr>
        <w:t>六、 供应商参加政府采购活动前三年内，在经营活动中没有重大违法记录的证明材料</w:t>
      </w:r>
      <w:r>
        <w:tab/>
      </w:r>
      <w:r>
        <w:fldChar w:fldCharType="begin"/>
      </w:r>
      <w:r>
        <w:instrText xml:space="preserve"> PAGEREF _Toc1570 \h </w:instrText>
      </w:r>
      <w:r>
        <w:fldChar w:fldCharType="separate"/>
      </w:r>
      <w:r>
        <w:t>37</w:t>
      </w:r>
      <w:r>
        <w:fldChar w:fldCharType="end"/>
      </w:r>
      <w:r>
        <w:fldChar w:fldCharType="end"/>
      </w:r>
    </w:p>
    <w:p>
      <w:pPr>
        <w:pStyle w:val="13"/>
        <w:tabs>
          <w:tab w:val="right" w:leader="dot" w:pos="9746"/>
          <w:tab w:val="clear" w:pos="0"/>
        </w:tabs>
      </w:pPr>
      <w:r>
        <w:fldChar w:fldCharType="begin"/>
      </w:r>
      <w:r>
        <w:instrText xml:space="preserve"> HYPERLINK \l _Toc17466 </w:instrText>
      </w:r>
      <w:r>
        <w:fldChar w:fldCharType="separate"/>
      </w:r>
      <w:r>
        <w:rPr>
          <w:rFonts w:hint="eastAsia"/>
          <w:lang w:val="zh-CN"/>
        </w:rPr>
        <w:t xml:space="preserve">七、 </w:t>
      </w:r>
      <w:r>
        <w:rPr>
          <w:rFonts w:hint="eastAsia"/>
          <w:w w:val="95"/>
        </w:rPr>
        <w:t>供应商单位</w:t>
      </w:r>
      <w:r>
        <w:rPr>
          <w:rFonts w:hint="eastAsia"/>
          <w:w w:val="95"/>
          <w:lang w:val="zh-CN"/>
        </w:rPr>
        <w:t>及其现任法定代表人、主要负责人不得具有行贿犯罪记录</w:t>
      </w:r>
      <w:r>
        <w:rPr>
          <w:rFonts w:hint="eastAsia"/>
          <w:w w:val="95"/>
        </w:rPr>
        <w:t>的承诺函</w:t>
      </w:r>
      <w:r>
        <w:tab/>
      </w:r>
      <w:r>
        <w:fldChar w:fldCharType="begin"/>
      </w:r>
      <w:r>
        <w:instrText xml:space="preserve"> PAGEREF _Toc17466 \h </w:instrText>
      </w:r>
      <w:r>
        <w:fldChar w:fldCharType="separate"/>
      </w:r>
      <w:r>
        <w:t>38</w:t>
      </w:r>
      <w:r>
        <w:fldChar w:fldCharType="end"/>
      </w:r>
      <w:r>
        <w:fldChar w:fldCharType="end"/>
      </w:r>
    </w:p>
    <w:p>
      <w:pPr>
        <w:pStyle w:val="13"/>
        <w:tabs>
          <w:tab w:val="right" w:leader="dot" w:pos="9746"/>
          <w:tab w:val="clear" w:pos="0"/>
        </w:tabs>
      </w:pPr>
      <w:r>
        <w:fldChar w:fldCharType="begin"/>
      </w:r>
      <w:r>
        <w:instrText xml:space="preserve"> HYPERLINK \l _Toc7933 </w:instrText>
      </w:r>
      <w:r>
        <w:fldChar w:fldCharType="separate"/>
      </w:r>
      <w:r>
        <w:rPr>
          <w:rFonts w:hint="eastAsia"/>
          <w:lang w:val="en-US" w:eastAsia="zh-CN"/>
        </w:rPr>
        <w:t>八</w:t>
      </w:r>
      <w:r>
        <w:rPr>
          <w:rFonts w:hint="eastAsia"/>
        </w:rPr>
        <w:t>、根据采购项目的特殊要求，规定供应商提供的特定条件的证明材料</w:t>
      </w:r>
      <w:r>
        <w:tab/>
      </w:r>
      <w:r>
        <w:fldChar w:fldCharType="begin"/>
      </w:r>
      <w:r>
        <w:instrText xml:space="preserve"> PAGEREF _Toc7933 \h </w:instrText>
      </w:r>
      <w:r>
        <w:fldChar w:fldCharType="separate"/>
      </w:r>
      <w:r>
        <w:t>39</w:t>
      </w:r>
      <w:r>
        <w:fldChar w:fldCharType="end"/>
      </w:r>
      <w:r>
        <w:fldChar w:fldCharType="end"/>
      </w:r>
    </w:p>
    <w:p>
      <w:pPr>
        <w:pStyle w:val="13"/>
        <w:tabs>
          <w:tab w:val="right" w:leader="dot" w:pos="9746"/>
          <w:tab w:val="clear" w:pos="0"/>
        </w:tabs>
      </w:pPr>
      <w:r>
        <w:fldChar w:fldCharType="begin"/>
      </w:r>
      <w:r>
        <w:instrText xml:space="preserve"> HYPERLINK \l _Toc30655 </w:instrText>
      </w:r>
      <w:r>
        <w:fldChar w:fldCharType="separate"/>
      </w:r>
      <w:r>
        <w:rPr>
          <w:rFonts w:hint="eastAsia"/>
          <w:lang w:val="en-US" w:eastAsia="zh-CN"/>
        </w:rPr>
        <w:t>九</w:t>
      </w:r>
      <w:r>
        <w:rPr>
          <w:rFonts w:hint="eastAsia"/>
        </w:rPr>
        <w:t>、信用信息查询</w:t>
      </w:r>
      <w:r>
        <w:tab/>
      </w:r>
      <w:r>
        <w:fldChar w:fldCharType="begin"/>
      </w:r>
      <w:r>
        <w:instrText xml:space="preserve"> PAGEREF _Toc30655 \h </w:instrText>
      </w:r>
      <w:r>
        <w:fldChar w:fldCharType="separate"/>
      </w:r>
      <w:r>
        <w:t>40</w:t>
      </w:r>
      <w:r>
        <w:fldChar w:fldCharType="end"/>
      </w:r>
      <w:r>
        <w:fldChar w:fldCharType="end"/>
      </w:r>
    </w:p>
    <w:p>
      <w:pPr>
        <w:pStyle w:val="13"/>
        <w:tabs>
          <w:tab w:val="right" w:leader="dot" w:pos="9746"/>
          <w:tab w:val="clear" w:pos="0"/>
        </w:tabs>
      </w:pPr>
      <w:r>
        <w:fldChar w:fldCharType="begin"/>
      </w:r>
      <w:r>
        <w:instrText xml:space="preserve"> HYPERLINK \l _Toc31177 </w:instrText>
      </w:r>
      <w:r>
        <w:fldChar w:fldCharType="separate"/>
      </w:r>
      <w:r>
        <w:rPr>
          <w:rFonts w:hint="eastAsia"/>
          <w:w w:val="95"/>
        </w:rPr>
        <w:t>十、符合《中华人民共和国政府采购法》第二十二条规定的条件的承诺及声明函</w:t>
      </w:r>
      <w:r>
        <w:tab/>
      </w:r>
      <w:r>
        <w:fldChar w:fldCharType="begin"/>
      </w:r>
      <w:r>
        <w:instrText xml:space="preserve"> PAGEREF _Toc31177 \h </w:instrText>
      </w:r>
      <w:r>
        <w:fldChar w:fldCharType="separate"/>
      </w:r>
      <w:r>
        <w:t>41</w:t>
      </w:r>
      <w:r>
        <w:fldChar w:fldCharType="end"/>
      </w:r>
      <w:r>
        <w:fldChar w:fldCharType="end"/>
      </w:r>
    </w:p>
    <w:p>
      <w:pPr>
        <w:pStyle w:val="17"/>
        <w:tabs>
          <w:tab w:val="right" w:leader="dot" w:pos="9746"/>
          <w:tab w:val="clear" w:pos="0"/>
        </w:tabs>
      </w:pPr>
      <w:r>
        <w:fldChar w:fldCharType="begin"/>
      </w:r>
      <w:r>
        <w:instrText xml:space="preserve"> HYPERLINK \l _Toc14447 </w:instrText>
      </w:r>
      <w:r>
        <w:fldChar w:fldCharType="separate"/>
      </w:r>
      <w:r>
        <w:rPr>
          <w:rFonts w:hint="eastAsia"/>
          <w:szCs w:val="32"/>
        </w:rPr>
        <w:t>第二部分 其他响应文件(格式)</w:t>
      </w:r>
      <w:r>
        <w:tab/>
      </w:r>
      <w:r>
        <w:fldChar w:fldCharType="begin"/>
      </w:r>
      <w:r>
        <w:instrText xml:space="preserve"> PAGEREF _Toc14447 \h </w:instrText>
      </w:r>
      <w:r>
        <w:fldChar w:fldCharType="separate"/>
      </w:r>
      <w:r>
        <w:t>42</w:t>
      </w:r>
      <w:r>
        <w:fldChar w:fldCharType="end"/>
      </w:r>
      <w:r>
        <w:fldChar w:fldCharType="end"/>
      </w:r>
    </w:p>
    <w:p>
      <w:pPr>
        <w:pStyle w:val="13"/>
        <w:tabs>
          <w:tab w:val="right" w:leader="dot" w:pos="9746"/>
          <w:tab w:val="clear" w:pos="0"/>
        </w:tabs>
      </w:pPr>
      <w:r>
        <w:fldChar w:fldCharType="begin"/>
      </w:r>
      <w:r>
        <w:instrText xml:space="preserve"> HYPERLINK \l _Toc24654 </w:instrText>
      </w:r>
      <w:r>
        <w:fldChar w:fldCharType="separate"/>
      </w:r>
      <w:r>
        <w:rPr>
          <w:rFonts w:hint="eastAsia"/>
        </w:rPr>
        <w:t>一、 磋商函</w:t>
      </w:r>
      <w:r>
        <w:tab/>
      </w:r>
      <w:r>
        <w:fldChar w:fldCharType="begin"/>
      </w:r>
      <w:r>
        <w:instrText xml:space="preserve"> PAGEREF _Toc24654 \h </w:instrText>
      </w:r>
      <w:r>
        <w:fldChar w:fldCharType="separate"/>
      </w:r>
      <w:r>
        <w:t>43</w:t>
      </w:r>
      <w:r>
        <w:fldChar w:fldCharType="end"/>
      </w:r>
      <w:r>
        <w:fldChar w:fldCharType="end"/>
      </w:r>
    </w:p>
    <w:p>
      <w:pPr>
        <w:pStyle w:val="13"/>
        <w:tabs>
          <w:tab w:val="right" w:leader="dot" w:pos="9746"/>
          <w:tab w:val="clear" w:pos="0"/>
        </w:tabs>
      </w:pPr>
      <w:r>
        <w:fldChar w:fldCharType="begin"/>
      </w:r>
      <w:r>
        <w:instrText xml:space="preserve"> HYPERLINK \l _Toc8556 </w:instrText>
      </w:r>
      <w:r>
        <w:fldChar w:fldCharType="separate"/>
      </w:r>
      <w:r>
        <w:rPr>
          <w:rFonts w:hint="eastAsia"/>
        </w:rPr>
        <w:t>二、 承诺函(实质性要求)</w:t>
      </w:r>
      <w:r>
        <w:tab/>
      </w:r>
      <w:r>
        <w:fldChar w:fldCharType="begin"/>
      </w:r>
      <w:r>
        <w:instrText xml:space="preserve"> PAGEREF _Toc8556 \h </w:instrText>
      </w:r>
      <w:r>
        <w:fldChar w:fldCharType="separate"/>
      </w:r>
      <w:r>
        <w:t>44</w:t>
      </w:r>
      <w:r>
        <w:fldChar w:fldCharType="end"/>
      </w:r>
      <w:r>
        <w:fldChar w:fldCharType="end"/>
      </w:r>
    </w:p>
    <w:p>
      <w:pPr>
        <w:pStyle w:val="13"/>
        <w:tabs>
          <w:tab w:val="right" w:leader="dot" w:pos="9746"/>
          <w:tab w:val="clear" w:pos="0"/>
        </w:tabs>
      </w:pPr>
      <w:r>
        <w:fldChar w:fldCharType="begin"/>
      </w:r>
      <w:r>
        <w:instrText xml:space="preserve"> HYPERLINK \l _Toc25299 </w:instrText>
      </w:r>
      <w:r>
        <w:fldChar w:fldCharType="separate"/>
      </w:r>
      <w:r>
        <w:rPr>
          <w:rFonts w:hint="eastAsia"/>
        </w:rPr>
        <w:t>三、 供应商基本情况表</w:t>
      </w:r>
      <w:r>
        <w:tab/>
      </w:r>
      <w:r>
        <w:fldChar w:fldCharType="begin"/>
      </w:r>
      <w:r>
        <w:instrText xml:space="preserve"> PAGEREF _Toc25299 \h </w:instrText>
      </w:r>
      <w:r>
        <w:fldChar w:fldCharType="separate"/>
      </w:r>
      <w:r>
        <w:t>46</w:t>
      </w:r>
      <w:r>
        <w:fldChar w:fldCharType="end"/>
      </w:r>
      <w:r>
        <w:fldChar w:fldCharType="end"/>
      </w:r>
    </w:p>
    <w:p>
      <w:pPr>
        <w:pStyle w:val="13"/>
        <w:tabs>
          <w:tab w:val="right" w:leader="dot" w:pos="9746"/>
          <w:tab w:val="clear" w:pos="0"/>
        </w:tabs>
      </w:pPr>
      <w:r>
        <w:fldChar w:fldCharType="begin"/>
      </w:r>
      <w:r>
        <w:instrText xml:space="preserve"> HYPERLINK \l _Toc32325 </w:instrText>
      </w:r>
      <w:r>
        <w:fldChar w:fldCharType="separate"/>
      </w:r>
      <w:r>
        <w:rPr>
          <w:rFonts w:hint="eastAsia"/>
        </w:rPr>
        <w:t>四、 商务应答表</w:t>
      </w:r>
      <w:r>
        <w:tab/>
      </w:r>
      <w:r>
        <w:fldChar w:fldCharType="begin"/>
      </w:r>
      <w:r>
        <w:instrText xml:space="preserve"> PAGEREF _Toc32325 \h </w:instrText>
      </w:r>
      <w:r>
        <w:fldChar w:fldCharType="separate"/>
      </w:r>
      <w:r>
        <w:t>47</w:t>
      </w:r>
      <w:r>
        <w:fldChar w:fldCharType="end"/>
      </w:r>
      <w:r>
        <w:fldChar w:fldCharType="end"/>
      </w:r>
    </w:p>
    <w:p>
      <w:pPr>
        <w:pStyle w:val="13"/>
        <w:tabs>
          <w:tab w:val="right" w:leader="dot" w:pos="9746"/>
          <w:tab w:val="clear" w:pos="0"/>
        </w:tabs>
      </w:pPr>
      <w:r>
        <w:fldChar w:fldCharType="begin"/>
      </w:r>
      <w:r>
        <w:instrText xml:space="preserve"> HYPERLINK \l _Toc808 </w:instrText>
      </w:r>
      <w:r>
        <w:fldChar w:fldCharType="separate"/>
      </w:r>
      <w:r>
        <w:rPr>
          <w:rFonts w:hint="eastAsia"/>
        </w:rPr>
        <w:t>五、 服务应答表</w:t>
      </w:r>
      <w:r>
        <w:tab/>
      </w:r>
      <w:r>
        <w:fldChar w:fldCharType="begin"/>
      </w:r>
      <w:r>
        <w:instrText xml:space="preserve"> PAGEREF _Toc808 \h </w:instrText>
      </w:r>
      <w:r>
        <w:fldChar w:fldCharType="separate"/>
      </w:r>
      <w:r>
        <w:t>48</w:t>
      </w:r>
      <w:r>
        <w:fldChar w:fldCharType="end"/>
      </w:r>
      <w:r>
        <w:fldChar w:fldCharType="end"/>
      </w:r>
    </w:p>
    <w:p>
      <w:pPr>
        <w:pStyle w:val="13"/>
        <w:tabs>
          <w:tab w:val="right" w:leader="dot" w:pos="9746"/>
          <w:tab w:val="clear" w:pos="0"/>
        </w:tabs>
      </w:pPr>
      <w:r>
        <w:fldChar w:fldCharType="begin"/>
      </w:r>
      <w:r>
        <w:instrText xml:space="preserve"> HYPERLINK \l _Toc19525 </w:instrText>
      </w:r>
      <w:r>
        <w:fldChar w:fldCharType="separate"/>
      </w:r>
      <w:r>
        <w:rPr>
          <w:rFonts w:hint="eastAsia"/>
        </w:rPr>
        <w:t>六、 供应商针对本项目人员配置情况表</w:t>
      </w:r>
      <w:r>
        <w:tab/>
      </w:r>
      <w:r>
        <w:fldChar w:fldCharType="begin"/>
      </w:r>
      <w:r>
        <w:instrText xml:space="preserve"> PAGEREF _Toc19525 \h </w:instrText>
      </w:r>
      <w:r>
        <w:fldChar w:fldCharType="separate"/>
      </w:r>
      <w:r>
        <w:t>49</w:t>
      </w:r>
      <w:r>
        <w:fldChar w:fldCharType="end"/>
      </w:r>
      <w:r>
        <w:fldChar w:fldCharType="end"/>
      </w:r>
    </w:p>
    <w:p>
      <w:pPr>
        <w:pStyle w:val="13"/>
        <w:tabs>
          <w:tab w:val="right" w:leader="dot" w:pos="9746"/>
          <w:tab w:val="clear" w:pos="0"/>
        </w:tabs>
      </w:pPr>
      <w:r>
        <w:fldChar w:fldCharType="begin"/>
      </w:r>
      <w:r>
        <w:instrText xml:space="preserve"> HYPERLINK \l _Toc4428 </w:instrText>
      </w:r>
      <w:r>
        <w:fldChar w:fldCharType="separate"/>
      </w:r>
      <w:r>
        <w:rPr>
          <w:rFonts w:hint="eastAsia"/>
        </w:rPr>
        <w:t>七、 履约能力及相关证明</w:t>
      </w:r>
      <w:r>
        <w:tab/>
      </w:r>
      <w:r>
        <w:fldChar w:fldCharType="begin"/>
      </w:r>
      <w:r>
        <w:instrText xml:space="preserve"> PAGEREF _Toc4428 \h </w:instrText>
      </w:r>
      <w:r>
        <w:fldChar w:fldCharType="separate"/>
      </w:r>
      <w:r>
        <w:t>50</w:t>
      </w:r>
      <w:r>
        <w:fldChar w:fldCharType="end"/>
      </w:r>
      <w:r>
        <w:fldChar w:fldCharType="end"/>
      </w:r>
    </w:p>
    <w:p>
      <w:pPr>
        <w:pStyle w:val="13"/>
        <w:tabs>
          <w:tab w:val="right" w:leader="dot" w:pos="9746"/>
          <w:tab w:val="clear" w:pos="0"/>
        </w:tabs>
      </w:pPr>
      <w:r>
        <w:fldChar w:fldCharType="begin"/>
      </w:r>
      <w:r>
        <w:instrText xml:space="preserve"> HYPERLINK \l _Toc10769 </w:instrText>
      </w:r>
      <w:r>
        <w:fldChar w:fldCharType="separate"/>
      </w:r>
      <w:r>
        <w:rPr>
          <w:rFonts w:hint="eastAsia"/>
          <w:lang w:val="en-US" w:eastAsia="zh-CN"/>
        </w:rPr>
        <w:t>八、 中小企业声明函(如涉及)</w:t>
      </w:r>
      <w:r>
        <w:tab/>
      </w:r>
      <w:r>
        <w:fldChar w:fldCharType="begin"/>
      </w:r>
      <w:r>
        <w:instrText xml:space="preserve"> PAGEREF _Toc10769 \h </w:instrText>
      </w:r>
      <w:r>
        <w:fldChar w:fldCharType="separate"/>
      </w:r>
      <w:r>
        <w:t>51</w:t>
      </w:r>
      <w:r>
        <w:fldChar w:fldCharType="end"/>
      </w:r>
      <w:r>
        <w:fldChar w:fldCharType="end"/>
      </w:r>
    </w:p>
    <w:p>
      <w:pPr>
        <w:pStyle w:val="13"/>
        <w:tabs>
          <w:tab w:val="right" w:leader="dot" w:pos="9746"/>
          <w:tab w:val="clear" w:pos="0"/>
        </w:tabs>
      </w:pPr>
      <w:r>
        <w:fldChar w:fldCharType="begin"/>
      </w:r>
      <w:r>
        <w:instrText xml:space="preserve"> HYPERLINK \l _Toc3434 </w:instrText>
      </w:r>
      <w:r>
        <w:fldChar w:fldCharType="separate"/>
      </w:r>
      <w:r>
        <w:rPr>
          <w:rFonts w:hint="eastAsia"/>
          <w:lang w:val="en-US" w:eastAsia="zh-CN"/>
        </w:rPr>
        <w:t>九、 监狱企业相关证明材料(如涉及)</w:t>
      </w:r>
      <w:r>
        <w:tab/>
      </w:r>
      <w:r>
        <w:fldChar w:fldCharType="begin"/>
      </w:r>
      <w:r>
        <w:instrText xml:space="preserve"> PAGEREF _Toc3434 \h </w:instrText>
      </w:r>
      <w:r>
        <w:fldChar w:fldCharType="separate"/>
      </w:r>
      <w:r>
        <w:t>52</w:t>
      </w:r>
      <w:r>
        <w:fldChar w:fldCharType="end"/>
      </w:r>
      <w:r>
        <w:fldChar w:fldCharType="end"/>
      </w:r>
    </w:p>
    <w:p>
      <w:pPr>
        <w:pStyle w:val="13"/>
        <w:tabs>
          <w:tab w:val="right" w:leader="dot" w:pos="9746"/>
          <w:tab w:val="clear" w:pos="0"/>
        </w:tabs>
      </w:pPr>
      <w:r>
        <w:fldChar w:fldCharType="begin"/>
      </w:r>
      <w:r>
        <w:instrText xml:space="preserve"> HYPERLINK \l _Toc27346 </w:instrText>
      </w:r>
      <w:r>
        <w:fldChar w:fldCharType="separate"/>
      </w:r>
      <w:r>
        <w:rPr>
          <w:rFonts w:hint="eastAsia"/>
          <w:lang w:val="en-US" w:eastAsia="zh-CN"/>
        </w:rPr>
        <w:t>十、 残疾人福利性单位声明函(如涉及)</w:t>
      </w:r>
      <w:r>
        <w:tab/>
      </w:r>
      <w:r>
        <w:fldChar w:fldCharType="begin"/>
      </w:r>
      <w:r>
        <w:instrText xml:space="preserve"> PAGEREF _Toc27346 \h </w:instrText>
      </w:r>
      <w:r>
        <w:fldChar w:fldCharType="separate"/>
      </w:r>
      <w:r>
        <w:t>53</w:t>
      </w:r>
      <w:r>
        <w:fldChar w:fldCharType="end"/>
      </w:r>
      <w:r>
        <w:fldChar w:fldCharType="end"/>
      </w:r>
    </w:p>
    <w:p>
      <w:pPr>
        <w:pStyle w:val="13"/>
        <w:tabs>
          <w:tab w:val="right" w:leader="dot" w:pos="9746"/>
          <w:tab w:val="clear" w:pos="0"/>
        </w:tabs>
      </w:pPr>
      <w:r>
        <w:fldChar w:fldCharType="begin"/>
      </w:r>
      <w:r>
        <w:instrText xml:space="preserve"> HYPERLINK \l _Toc19184 </w:instrText>
      </w:r>
      <w:r>
        <w:fldChar w:fldCharType="separate"/>
      </w:r>
      <w:r>
        <w:rPr>
          <w:rFonts w:hint="eastAsia"/>
        </w:rPr>
        <w:t>十一、 服务方案</w:t>
      </w:r>
      <w:r>
        <w:tab/>
      </w:r>
      <w:r>
        <w:fldChar w:fldCharType="begin"/>
      </w:r>
      <w:r>
        <w:instrText xml:space="preserve"> PAGEREF _Toc19184 \h </w:instrText>
      </w:r>
      <w:r>
        <w:fldChar w:fldCharType="separate"/>
      </w:r>
      <w:r>
        <w:t>54</w:t>
      </w:r>
      <w:r>
        <w:fldChar w:fldCharType="end"/>
      </w:r>
      <w:r>
        <w:fldChar w:fldCharType="end"/>
      </w:r>
    </w:p>
    <w:p>
      <w:pPr>
        <w:pStyle w:val="13"/>
        <w:tabs>
          <w:tab w:val="right" w:leader="dot" w:pos="9746"/>
          <w:tab w:val="clear" w:pos="0"/>
        </w:tabs>
      </w:pPr>
      <w:r>
        <w:fldChar w:fldCharType="begin"/>
      </w:r>
      <w:r>
        <w:instrText xml:space="preserve"> HYPERLINK \l _Toc21896 </w:instrText>
      </w:r>
      <w:r>
        <w:fldChar w:fldCharType="separate"/>
      </w:r>
      <w:r>
        <w:rPr>
          <w:rFonts w:hint="eastAsia"/>
        </w:rPr>
        <w:t>十二、 招标代理服务费承诺函</w:t>
      </w:r>
      <w:r>
        <w:tab/>
      </w:r>
      <w:r>
        <w:fldChar w:fldCharType="begin"/>
      </w:r>
      <w:r>
        <w:instrText xml:space="preserve"> PAGEREF _Toc21896 \h </w:instrText>
      </w:r>
      <w:r>
        <w:fldChar w:fldCharType="separate"/>
      </w:r>
      <w:r>
        <w:t>55</w:t>
      </w:r>
      <w:r>
        <w:fldChar w:fldCharType="end"/>
      </w:r>
      <w:r>
        <w:fldChar w:fldCharType="end"/>
      </w:r>
    </w:p>
    <w:p>
      <w:pPr>
        <w:pStyle w:val="13"/>
        <w:tabs>
          <w:tab w:val="right" w:leader="dot" w:pos="9746"/>
          <w:tab w:val="clear" w:pos="0"/>
        </w:tabs>
      </w:pPr>
      <w:r>
        <w:fldChar w:fldCharType="begin"/>
      </w:r>
      <w:r>
        <w:instrText xml:space="preserve"> HYPERLINK \l _Toc14616 </w:instrText>
      </w:r>
      <w:r>
        <w:fldChar w:fldCharType="separate"/>
      </w:r>
      <w:r>
        <w:rPr>
          <w:rFonts w:hint="eastAsia"/>
        </w:rPr>
        <w:t>十三、 报价表</w:t>
      </w:r>
      <w:r>
        <w:tab/>
      </w:r>
      <w:r>
        <w:fldChar w:fldCharType="begin"/>
      </w:r>
      <w:r>
        <w:instrText xml:space="preserve"> PAGEREF _Toc14616 \h </w:instrText>
      </w:r>
      <w:r>
        <w:fldChar w:fldCharType="separate"/>
      </w:r>
      <w:r>
        <w:t>56</w:t>
      </w:r>
      <w:r>
        <w:fldChar w:fldCharType="end"/>
      </w:r>
      <w:r>
        <w:fldChar w:fldCharType="end"/>
      </w:r>
    </w:p>
    <w:p>
      <w:pPr>
        <w:pStyle w:val="2"/>
        <w:tabs>
          <w:tab w:val="clear" w:pos="0"/>
        </w:tabs>
      </w:pPr>
      <w:r>
        <w:fldChar w:fldCharType="begin"/>
      </w:r>
      <w:r>
        <w:instrText xml:space="preserve"> HYPERLINK \l _Toc14293 </w:instrText>
      </w:r>
      <w:r>
        <w:fldChar w:fldCharType="separate"/>
      </w:r>
      <w:r>
        <w:rPr>
          <w:rFonts w:hint="eastAsia" w:ascii="宋体" w:hAnsi="宋体" w:eastAsia="宋体" w:cs="宋体"/>
        </w:rPr>
        <w:t xml:space="preserve">第四章 </w:t>
      </w:r>
      <w:r>
        <w:rPr>
          <w:rFonts w:hint="eastAsia"/>
        </w:rPr>
        <w:t>资格性审查内容</w:t>
      </w:r>
      <w:r>
        <w:tab/>
      </w:r>
      <w:r>
        <w:fldChar w:fldCharType="begin"/>
      </w:r>
      <w:r>
        <w:instrText xml:space="preserve"> PAGEREF _Toc14293 \h </w:instrText>
      </w:r>
      <w:r>
        <w:fldChar w:fldCharType="separate"/>
      </w:r>
      <w:r>
        <w:t>57</w:t>
      </w:r>
      <w:r>
        <w:fldChar w:fldCharType="end"/>
      </w:r>
      <w:r>
        <w:fldChar w:fldCharType="end"/>
      </w:r>
    </w:p>
    <w:p>
      <w:pPr>
        <w:pStyle w:val="2"/>
        <w:tabs>
          <w:tab w:val="clear" w:pos="0"/>
        </w:tabs>
      </w:pPr>
      <w:r>
        <w:fldChar w:fldCharType="begin"/>
      </w:r>
      <w:r>
        <w:instrText xml:space="preserve"> HYPERLINK \l _Toc25861 </w:instrText>
      </w:r>
      <w: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rPr>
        <w:t>采购项目技术、服务、合同内容条款及商务要求</w:t>
      </w:r>
      <w:r>
        <w:tab/>
      </w:r>
      <w:r>
        <w:fldChar w:fldCharType="begin"/>
      </w:r>
      <w:r>
        <w:instrText xml:space="preserve"> PAGEREF _Toc25861 \h </w:instrText>
      </w:r>
      <w:r>
        <w:fldChar w:fldCharType="separate"/>
      </w:r>
      <w:r>
        <w:t>60</w:t>
      </w:r>
      <w:r>
        <w:fldChar w:fldCharType="end"/>
      </w:r>
      <w:r>
        <w:fldChar w:fldCharType="end"/>
      </w:r>
    </w:p>
    <w:p>
      <w:pPr>
        <w:pStyle w:val="17"/>
        <w:tabs>
          <w:tab w:val="right" w:leader="dot" w:pos="9746"/>
          <w:tab w:val="clear" w:pos="0"/>
        </w:tabs>
      </w:pPr>
      <w:r>
        <w:fldChar w:fldCharType="begin"/>
      </w:r>
      <w:r>
        <w:instrText xml:space="preserve"> HYPERLINK \l _Toc12335 </w:instrText>
      </w:r>
      <w:r>
        <w:fldChar w:fldCharType="separate"/>
      </w:r>
      <w:r>
        <w:rPr>
          <w:rFonts w:hint="eastAsia" w:ascii="宋体" w:hAnsi="宋体" w:eastAsia="宋体" w:cs="宋体"/>
        </w:rPr>
        <w:t xml:space="preserve">一、 </w:t>
      </w:r>
      <w:r>
        <w:rPr>
          <w:rFonts w:hint="eastAsia"/>
        </w:rPr>
        <w:t>项目概述</w:t>
      </w:r>
      <w:r>
        <w:tab/>
      </w:r>
      <w:r>
        <w:fldChar w:fldCharType="begin"/>
      </w:r>
      <w:r>
        <w:instrText xml:space="preserve"> PAGEREF _Toc12335 \h </w:instrText>
      </w:r>
      <w:r>
        <w:fldChar w:fldCharType="separate"/>
      </w:r>
      <w:r>
        <w:t>60</w:t>
      </w:r>
      <w:r>
        <w:fldChar w:fldCharType="end"/>
      </w:r>
      <w:r>
        <w:fldChar w:fldCharType="end"/>
      </w:r>
    </w:p>
    <w:p>
      <w:pPr>
        <w:pStyle w:val="17"/>
        <w:tabs>
          <w:tab w:val="right" w:leader="dot" w:pos="9746"/>
          <w:tab w:val="clear" w:pos="0"/>
        </w:tabs>
      </w:pPr>
      <w:r>
        <w:fldChar w:fldCharType="begin"/>
      </w:r>
      <w:r>
        <w:instrText xml:space="preserve"> HYPERLINK \l _Toc10673 </w:instrText>
      </w:r>
      <w:r>
        <w:fldChar w:fldCharType="separate"/>
      </w:r>
      <w:r>
        <w:rPr>
          <w:rFonts w:hint="eastAsia" w:ascii="宋体" w:hAnsi="宋体" w:eastAsia="宋体" w:cs="宋体"/>
        </w:rPr>
        <w:t xml:space="preserve">二、 </w:t>
      </w:r>
      <w:r>
        <w:rPr>
          <w:rFonts w:hint="eastAsia"/>
        </w:rPr>
        <w:t>项目服务内容及要求</w:t>
      </w:r>
      <w:r>
        <w:tab/>
      </w:r>
      <w:r>
        <w:fldChar w:fldCharType="begin"/>
      </w:r>
      <w:r>
        <w:instrText xml:space="preserve"> PAGEREF _Toc10673 \h </w:instrText>
      </w:r>
      <w:r>
        <w:fldChar w:fldCharType="separate"/>
      </w:r>
      <w:r>
        <w:t>60</w:t>
      </w:r>
      <w:r>
        <w:fldChar w:fldCharType="end"/>
      </w:r>
      <w:r>
        <w:fldChar w:fldCharType="end"/>
      </w:r>
    </w:p>
    <w:p>
      <w:pPr>
        <w:pStyle w:val="17"/>
        <w:tabs>
          <w:tab w:val="right" w:leader="dot" w:pos="9746"/>
          <w:tab w:val="clear" w:pos="0"/>
        </w:tabs>
      </w:pPr>
      <w:r>
        <w:fldChar w:fldCharType="begin"/>
      </w:r>
      <w:r>
        <w:instrText xml:space="preserve"> HYPERLINK \l _Toc29342 </w:instrText>
      </w:r>
      <w:r>
        <w:fldChar w:fldCharType="separate"/>
      </w:r>
      <w:r>
        <w:rPr>
          <w:rFonts w:hint="eastAsia" w:ascii="宋体" w:hAnsi="宋体" w:eastAsia="宋体" w:cs="宋体"/>
        </w:rPr>
        <w:t xml:space="preserve">三、 </w:t>
      </w:r>
      <w:r>
        <w:rPr>
          <w:rFonts w:hint="eastAsia"/>
        </w:rPr>
        <w:t>商务要求</w:t>
      </w:r>
      <w:r>
        <w:tab/>
      </w:r>
      <w:r>
        <w:fldChar w:fldCharType="begin"/>
      </w:r>
      <w:r>
        <w:instrText xml:space="preserve"> PAGEREF _Toc29342 \h </w:instrText>
      </w:r>
      <w:r>
        <w:fldChar w:fldCharType="separate"/>
      </w:r>
      <w:r>
        <w:t>61</w:t>
      </w:r>
      <w:r>
        <w:fldChar w:fldCharType="end"/>
      </w:r>
      <w:r>
        <w:fldChar w:fldCharType="end"/>
      </w:r>
    </w:p>
    <w:p>
      <w:pPr>
        <w:pStyle w:val="17"/>
        <w:tabs>
          <w:tab w:val="right" w:leader="dot" w:pos="9746"/>
          <w:tab w:val="clear" w:pos="0"/>
        </w:tabs>
      </w:pPr>
      <w:r>
        <w:fldChar w:fldCharType="begin"/>
      </w:r>
      <w:r>
        <w:instrText xml:space="preserve"> HYPERLINK \l _Toc25644 </w:instrText>
      </w:r>
      <w:r>
        <w:fldChar w:fldCharType="separate"/>
      </w:r>
      <w:r>
        <w:rPr>
          <w:rFonts w:hint="eastAsia" w:ascii="宋体" w:hAnsi="宋体" w:eastAsia="宋体" w:cs="宋体"/>
        </w:rPr>
        <w:t xml:space="preserve">四、 </w:t>
      </w:r>
      <w:r>
        <w:rPr>
          <w:rFonts w:hint="eastAsia"/>
        </w:rPr>
        <w:t>其他要求</w:t>
      </w:r>
      <w:r>
        <w:tab/>
      </w:r>
      <w:r>
        <w:fldChar w:fldCharType="begin"/>
      </w:r>
      <w:r>
        <w:instrText xml:space="preserve"> PAGEREF _Toc25644 \h </w:instrText>
      </w:r>
      <w:r>
        <w:fldChar w:fldCharType="separate"/>
      </w:r>
      <w:r>
        <w:t>62</w:t>
      </w:r>
      <w:r>
        <w:fldChar w:fldCharType="end"/>
      </w:r>
      <w:r>
        <w:fldChar w:fldCharType="end"/>
      </w:r>
    </w:p>
    <w:p>
      <w:pPr>
        <w:pStyle w:val="17"/>
        <w:tabs>
          <w:tab w:val="right" w:leader="dot" w:pos="9746"/>
          <w:tab w:val="clear" w:pos="0"/>
        </w:tabs>
      </w:pPr>
      <w:r>
        <w:fldChar w:fldCharType="begin"/>
      </w:r>
      <w:r>
        <w:instrText xml:space="preserve"> HYPERLINK \l _Toc9329 </w:instrText>
      </w:r>
      <w:r>
        <w:fldChar w:fldCharType="separate"/>
      </w:r>
      <w:r>
        <w:rPr>
          <w:rFonts w:hint="eastAsia" w:ascii="宋体" w:hAnsi="宋体" w:eastAsia="宋体" w:cs="宋体"/>
        </w:rPr>
        <w:t xml:space="preserve">五、 </w:t>
      </w:r>
      <w:r>
        <w:rPr>
          <w:rFonts w:hint="eastAsia" w:asciiTheme="minorEastAsia" w:hAnsiTheme="minorEastAsia" w:eastAsiaTheme="minorEastAsia" w:cstheme="minorEastAsia"/>
          <w:bCs/>
          <w:szCs w:val="22"/>
        </w:rPr>
        <w:t>※</w:t>
      </w:r>
      <w:r>
        <w:rPr>
          <w:rFonts w:hint="eastAsia"/>
        </w:rPr>
        <w:t>履约验收</w:t>
      </w:r>
      <w:r>
        <w:tab/>
      </w:r>
      <w:r>
        <w:fldChar w:fldCharType="begin"/>
      </w:r>
      <w:r>
        <w:instrText xml:space="preserve"> PAGEREF _Toc9329 \h </w:instrText>
      </w:r>
      <w:r>
        <w:fldChar w:fldCharType="separate"/>
      </w:r>
      <w:r>
        <w:t>62</w:t>
      </w:r>
      <w:r>
        <w:fldChar w:fldCharType="end"/>
      </w:r>
      <w:r>
        <w:fldChar w:fldCharType="end"/>
      </w:r>
    </w:p>
    <w:p>
      <w:pPr>
        <w:pStyle w:val="2"/>
        <w:tabs>
          <w:tab w:val="clear" w:pos="0"/>
        </w:tabs>
      </w:pPr>
      <w:r>
        <w:fldChar w:fldCharType="begin"/>
      </w:r>
      <w:r>
        <w:instrText xml:space="preserve"> HYPERLINK \l _Toc30470 </w:instrText>
      </w:r>
      <w:r>
        <w:fldChar w:fldCharType="separate"/>
      </w:r>
      <w:r>
        <w:rPr>
          <w:rFonts w:hint="eastAsia" w:ascii="宋体" w:hAnsi="宋体" w:eastAsia="宋体" w:cs="宋体"/>
        </w:rPr>
        <w:t xml:space="preserve">第六章 </w:t>
      </w:r>
      <w:r>
        <w:rPr>
          <w:rFonts w:hint="eastAsia"/>
        </w:rPr>
        <w:t>磋商内容、磋商过程中可实质性变动的内容</w:t>
      </w:r>
      <w:r>
        <w:tab/>
      </w:r>
      <w:r>
        <w:fldChar w:fldCharType="begin"/>
      </w:r>
      <w:r>
        <w:instrText xml:space="preserve"> PAGEREF _Toc30470 \h </w:instrText>
      </w:r>
      <w:r>
        <w:fldChar w:fldCharType="separate"/>
      </w:r>
      <w:r>
        <w:t>64</w:t>
      </w:r>
      <w:r>
        <w:fldChar w:fldCharType="end"/>
      </w:r>
      <w:r>
        <w:fldChar w:fldCharType="end"/>
      </w:r>
    </w:p>
    <w:p>
      <w:pPr>
        <w:pStyle w:val="2"/>
        <w:tabs>
          <w:tab w:val="clear" w:pos="0"/>
        </w:tabs>
      </w:pPr>
      <w:r>
        <w:fldChar w:fldCharType="begin"/>
      </w:r>
      <w:r>
        <w:instrText xml:space="preserve"> HYPERLINK \l _Toc3724 </w:instrText>
      </w:r>
      <w:r>
        <w:fldChar w:fldCharType="separate"/>
      </w:r>
      <w:r>
        <w:rPr>
          <w:rFonts w:hint="eastAsia" w:ascii="宋体" w:hAnsi="宋体" w:eastAsia="宋体" w:cs="宋体"/>
        </w:rPr>
        <w:t xml:space="preserve">第七章 </w:t>
      </w:r>
      <w:r>
        <w:rPr>
          <w:rFonts w:hint="eastAsia"/>
        </w:rPr>
        <w:t>磋商程序</w:t>
      </w:r>
      <w:r>
        <w:tab/>
      </w:r>
      <w:r>
        <w:fldChar w:fldCharType="begin"/>
      </w:r>
      <w:r>
        <w:instrText xml:space="preserve"> PAGEREF _Toc3724 \h </w:instrText>
      </w:r>
      <w:r>
        <w:fldChar w:fldCharType="separate"/>
      </w:r>
      <w:r>
        <w:t>65</w:t>
      </w:r>
      <w:r>
        <w:fldChar w:fldCharType="end"/>
      </w:r>
      <w:r>
        <w:fldChar w:fldCharType="end"/>
      </w:r>
    </w:p>
    <w:p>
      <w:pPr>
        <w:pStyle w:val="17"/>
        <w:tabs>
          <w:tab w:val="right" w:leader="dot" w:pos="9746"/>
          <w:tab w:val="clear" w:pos="0"/>
        </w:tabs>
      </w:pPr>
      <w:r>
        <w:fldChar w:fldCharType="begin"/>
      </w:r>
      <w:r>
        <w:instrText xml:space="preserve"> HYPERLINK \l _Toc32217 </w:instrText>
      </w:r>
      <w:r>
        <w:fldChar w:fldCharType="separate"/>
      </w:r>
      <w:r>
        <w:rPr>
          <w:rFonts w:hint="eastAsia" w:ascii="宋体" w:hAnsi="宋体" w:eastAsia="宋体" w:cs="宋体"/>
        </w:rPr>
        <w:t xml:space="preserve">一、 </w:t>
      </w:r>
      <w:r>
        <w:rPr>
          <w:rFonts w:hint="eastAsia"/>
        </w:rPr>
        <w:t>磋商小组及专家组成</w:t>
      </w:r>
      <w:r>
        <w:tab/>
      </w:r>
      <w:r>
        <w:fldChar w:fldCharType="begin"/>
      </w:r>
      <w:r>
        <w:instrText xml:space="preserve"> PAGEREF _Toc32217 \h </w:instrText>
      </w:r>
      <w:r>
        <w:fldChar w:fldCharType="separate"/>
      </w:r>
      <w:r>
        <w:t>65</w:t>
      </w:r>
      <w:r>
        <w:fldChar w:fldCharType="end"/>
      </w:r>
      <w:r>
        <w:fldChar w:fldCharType="end"/>
      </w:r>
    </w:p>
    <w:p>
      <w:pPr>
        <w:pStyle w:val="17"/>
        <w:tabs>
          <w:tab w:val="right" w:leader="dot" w:pos="9746"/>
          <w:tab w:val="clear" w:pos="0"/>
        </w:tabs>
      </w:pPr>
      <w:r>
        <w:fldChar w:fldCharType="begin"/>
      </w:r>
      <w:r>
        <w:instrText xml:space="preserve"> HYPERLINK \l _Toc9026 </w:instrText>
      </w:r>
      <w:r>
        <w:fldChar w:fldCharType="separate"/>
      </w:r>
      <w:r>
        <w:rPr>
          <w:rFonts w:hint="eastAsia" w:ascii="宋体" w:hAnsi="宋体" w:eastAsia="宋体" w:cs="宋体"/>
        </w:rPr>
        <w:t xml:space="preserve">二、 </w:t>
      </w:r>
      <w:r>
        <w:rPr>
          <w:rFonts w:hint="eastAsia"/>
        </w:rPr>
        <w:t>磋商组织</w:t>
      </w:r>
      <w:r>
        <w:tab/>
      </w:r>
      <w:r>
        <w:fldChar w:fldCharType="begin"/>
      </w:r>
      <w:r>
        <w:instrText xml:space="preserve"> PAGEREF _Toc9026 \h </w:instrText>
      </w:r>
      <w:r>
        <w:fldChar w:fldCharType="separate"/>
      </w:r>
      <w:r>
        <w:t>65</w:t>
      </w:r>
      <w:r>
        <w:fldChar w:fldCharType="end"/>
      </w:r>
      <w:r>
        <w:fldChar w:fldCharType="end"/>
      </w:r>
    </w:p>
    <w:p>
      <w:pPr>
        <w:pStyle w:val="17"/>
        <w:tabs>
          <w:tab w:val="right" w:leader="dot" w:pos="9746"/>
          <w:tab w:val="clear" w:pos="0"/>
        </w:tabs>
      </w:pPr>
      <w:r>
        <w:fldChar w:fldCharType="begin"/>
      </w:r>
      <w:r>
        <w:instrText xml:space="preserve"> HYPERLINK \l _Toc23115 </w:instrText>
      </w:r>
      <w:r>
        <w:fldChar w:fldCharType="separate"/>
      </w:r>
      <w:r>
        <w:rPr>
          <w:rFonts w:hint="eastAsia" w:ascii="宋体" w:hAnsi="宋体" w:eastAsia="宋体" w:cs="宋体"/>
        </w:rPr>
        <w:t xml:space="preserve">三、 </w:t>
      </w:r>
      <w:r>
        <w:rPr>
          <w:rFonts w:hint="eastAsia"/>
        </w:rPr>
        <w:t>评审程序</w:t>
      </w:r>
      <w:r>
        <w:tab/>
      </w:r>
      <w:r>
        <w:fldChar w:fldCharType="begin"/>
      </w:r>
      <w:r>
        <w:instrText xml:space="preserve"> PAGEREF _Toc23115 \h </w:instrText>
      </w:r>
      <w:r>
        <w:fldChar w:fldCharType="separate"/>
      </w:r>
      <w:r>
        <w:t>65</w:t>
      </w:r>
      <w:r>
        <w:fldChar w:fldCharType="end"/>
      </w:r>
      <w:r>
        <w:fldChar w:fldCharType="end"/>
      </w:r>
    </w:p>
    <w:p>
      <w:pPr>
        <w:pStyle w:val="13"/>
        <w:tabs>
          <w:tab w:val="right" w:leader="dot" w:pos="9746"/>
          <w:tab w:val="clear" w:pos="0"/>
        </w:tabs>
      </w:pPr>
      <w:r>
        <w:fldChar w:fldCharType="begin"/>
      </w:r>
      <w:r>
        <w:instrText xml:space="preserve"> HYPERLINK \l _Toc31698 </w:instrText>
      </w:r>
      <w:r>
        <w:fldChar w:fldCharType="separate"/>
      </w:r>
      <w:r>
        <w:rPr>
          <w:rFonts w:hint="eastAsia" w:ascii="宋体" w:hAnsi="宋体" w:eastAsia="宋体" w:cs="宋体"/>
        </w:rPr>
        <w:t xml:space="preserve">(一) </w:t>
      </w:r>
      <w:r>
        <w:rPr>
          <w:rFonts w:hint="eastAsia"/>
        </w:rPr>
        <w:t>供应商资格审查</w:t>
      </w:r>
      <w:r>
        <w:tab/>
      </w:r>
      <w:r>
        <w:fldChar w:fldCharType="begin"/>
      </w:r>
      <w:r>
        <w:instrText xml:space="preserve"> PAGEREF _Toc31698 \h </w:instrText>
      </w:r>
      <w:r>
        <w:fldChar w:fldCharType="separate"/>
      </w:r>
      <w:r>
        <w:t>65</w:t>
      </w:r>
      <w:r>
        <w:fldChar w:fldCharType="end"/>
      </w:r>
      <w:r>
        <w:fldChar w:fldCharType="end"/>
      </w:r>
    </w:p>
    <w:p>
      <w:pPr>
        <w:pStyle w:val="13"/>
        <w:tabs>
          <w:tab w:val="right" w:leader="dot" w:pos="9746"/>
          <w:tab w:val="clear" w:pos="0"/>
        </w:tabs>
      </w:pPr>
      <w:r>
        <w:fldChar w:fldCharType="begin"/>
      </w:r>
      <w:r>
        <w:instrText xml:space="preserve"> HYPERLINK \l _Toc19974 </w:instrText>
      </w:r>
      <w:r>
        <w:fldChar w:fldCharType="separate"/>
      </w:r>
      <w:r>
        <w:rPr>
          <w:rFonts w:hint="eastAsia" w:ascii="宋体" w:hAnsi="宋体" w:eastAsia="宋体" w:cs="宋体"/>
        </w:rPr>
        <w:t xml:space="preserve">(二) </w:t>
      </w:r>
      <w:r>
        <w:rPr>
          <w:rFonts w:hint="eastAsia"/>
        </w:rPr>
        <w:t>磋商</w:t>
      </w:r>
      <w:r>
        <w:tab/>
      </w:r>
      <w:r>
        <w:fldChar w:fldCharType="begin"/>
      </w:r>
      <w:r>
        <w:instrText xml:space="preserve"> PAGEREF _Toc19974 \h </w:instrText>
      </w:r>
      <w:r>
        <w:fldChar w:fldCharType="separate"/>
      </w:r>
      <w:r>
        <w:t>66</w:t>
      </w:r>
      <w:r>
        <w:fldChar w:fldCharType="end"/>
      </w:r>
      <w:r>
        <w:fldChar w:fldCharType="end"/>
      </w:r>
    </w:p>
    <w:p>
      <w:pPr>
        <w:pStyle w:val="13"/>
        <w:tabs>
          <w:tab w:val="right" w:leader="dot" w:pos="9746"/>
          <w:tab w:val="clear" w:pos="0"/>
        </w:tabs>
      </w:pPr>
      <w:r>
        <w:fldChar w:fldCharType="begin"/>
      </w:r>
      <w:r>
        <w:instrText xml:space="preserve"> HYPERLINK \l _Toc12655 </w:instrText>
      </w:r>
      <w:r>
        <w:fldChar w:fldCharType="separate"/>
      </w:r>
      <w:r>
        <w:rPr>
          <w:rFonts w:hint="eastAsia" w:ascii="宋体" w:hAnsi="宋体" w:eastAsia="宋体" w:cs="宋体"/>
        </w:rPr>
        <w:t xml:space="preserve">(三) </w:t>
      </w:r>
      <w:r>
        <w:rPr>
          <w:rFonts w:hint="eastAsia"/>
        </w:rPr>
        <w:t>采购活动终止</w:t>
      </w:r>
      <w:r>
        <w:tab/>
      </w:r>
      <w:r>
        <w:fldChar w:fldCharType="begin"/>
      </w:r>
      <w:r>
        <w:instrText xml:space="preserve"> PAGEREF _Toc12655 \h </w:instrText>
      </w:r>
      <w:r>
        <w:fldChar w:fldCharType="separate"/>
      </w:r>
      <w:r>
        <w:t>67</w:t>
      </w:r>
      <w:r>
        <w:fldChar w:fldCharType="end"/>
      </w:r>
      <w:r>
        <w:fldChar w:fldCharType="end"/>
      </w:r>
    </w:p>
    <w:p>
      <w:pPr>
        <w:pStyle w:val="13"/>
        <w:tabs>
          <w:tab w:val="right" w:leader="dot" w:pos="9746"/>
          <w:tab w:val="clear" w:pos="0"/>
        </w:tabs>
      </w:pPr>
      <w:r>
        <w:fldChar w:fldCharType="begin"/>
      </w:r>
      <w:r>
        <w:instrText xml:space="preserve"> HYPERLINK \l _Toc28023 </w:instrText>
      </w:r>
      <w:r>
        <w:fldChar w:fldCharType="separate"/>
      </w:r>
      <w:r>
        <w:rPr>
          <w:rFonts w:hint="eastAsia" w:ascii="宋体" w:hAnsi="宋体" w:eastAsia="宋体" w:cs="宋体"/>
        </w:rPr>
        <w:t xml:space="preserve">(四) </w:t>
      </w:r>
      <w:r>
        <w:rPr>
          <w:rFonts w:hint="eastAsia"/>
        </w:rPr>
        <w:t>报价</w:t>
      </w:r>
      <w:r>
        <w:tab/>
      </w:r>
      <w:r>
        <w:fldChar w:fldCharType="begin"/>
      </w:r>
      <w:r>
        <w:instrText xml:space="preserve"> PAGEREF _Toc28023 \h </w:instrText>
      </w:r>
      <w:r>
        <w:fldChar w:fldCharType="separate"/>
      </w:r>
      <w:r>
        <w:t>67</w:t>
      </w:r>
      <w:r>
        <w:fldChar w:fldCharType="end"/>
      </w:r>
      <w:r>
        <w:fldChar w:fldCharType="end"/>
      </w:r>
    </w:p>
    <w:p>
      <w:pPr>
        <w:pStyle w:val="13"/>
        <w:tabs>
          <w:tab w:val="right" w:leader="dot" w:pos="9746"/>
          <w:tab w:val="clear" w:pos="0"/>
        </w:tabs>
      </w:pPr>
      <w:r>
        <w:fldChar w:fldCharType="begin"/>
      </w:r>
      <w:r>
        <w:instrText xml:space="preserve"> HYPERLINK \l _Toc5417 </w:instrText>
      </w:r>
      <w:r>
        <w:fldChar w:fldCharType="separate"/>
      </w:r>
      <w:r>
        <w:rPr>
          <w:rFonts w:hint="eastAsia" w:ascii="宋体" w:hAnsi="宋体" w:eastAsia="宋体" w:cs="宋体"/>
        </w:rPr>
        <w:t xml:space="preserve">(五) </w:t>
      </w:r>
      <w:r>
        <w:rPr>
          <w:rFonts w:hint="eastAsia"/>
        </w:rPr>
        <w:t>评审方法</w:t>
      </w:r>
      <w:r>
        <w:tab/>
      </w:r>
      <w:r>
        <w:fldChar w:fldCharType="begin"/>
      </w:r>
      <w:r>
        <w:instrText xml:space="preserve"> PAGEREF _Toc5417 \h </w:instrText>
      </w:r>
      <w:r>
        <w:fldChar w:fldCharType="separate"/>
      </w:r>
      <w:r>
        <w:t>68</w:t>
      </w:r>
      <w:r>
        <w:fldChar w:fldCharType="end"/>
      </w:r>
      <w:r>
        <w:fldChar w:fldCharType="end"/>
      </w:r>
    </w:p>
    <w:p>
      <w:pPr>
        <w:pStyle w:val="13"/>
        <w:tabs>
          <w:tab w:val="right" w:leader="dot" w:pos="9746"/>
          <w:tab w:val="clear" w:pos="0"/>
        </w:tabs>
      </w:pPr>
      <w:r>
        <w:fldChar w:fldCharType="begin"/>
      </w:r>
      <w:r>
        <w:instrText xml:space="preserve"> HYPERLINK \l _Toc9637 </w:instrText>
      </w:r>
      <w:r>
        <w:fldChar w:fldCharType="separate"/>
      </w:r>
      <w:r>
        <w:rPr>
          <w:rFonts w:hint="eastAsia" w:ascii="宋体" w:hAnsi="宋体" w:eastAsia="宋体" w:cs="宋体"/>
        </w:rPr>
        <w:t xml:space="preserve">(六) </w:t>
      </w:r>
      <w:r>
        <w:rPr>
          <w:rFonts w:hint="eastAsia"/>
        </w:rPr>
        <w:t>评审标准</w:t>
      </w:r>
      <w:r>
        <w:tab/>
      </w:r>
      <w:r>
        <w:fldChar w:fldCharType="begin"/>
      </w:r>
      <w:r>
        <w:instrText xml:space="preserve"> PAGEREF _Toc9637 \h </w:instrText>
      </w:r>
      <w:r>
        <w:fldChar w:fldCharType="separate"/>
      </w:r>
      <w:r>
        <w:t>69</w:t>
      </w:r>
      <w:r>
        <w:fldChar w:fldCharType="end"/>
      </w:r>
      <w:r>
        <w:fldChar w:fldCharType="end"/>
      </w:r>
    </w:p>
    <w:p>
      <w:pPr>
        <w:pStyle w:val="13"/>
        <w:tabs>
          <w:tab w:val="right" w:leader="dot" w:pos="9746"/>
          <w:tab w:val="clear" w:pos="0"/>
        </w:tabs>
      </w:pPr>
      <w:r>
        <w:fldChar w:fldCharType="begin"/>
      </w:r>
      <w:r>
        <w:instrText xml:space="preserve"> HYPERLINK \l _Toc19625 </w:instrText>
      </w:r>
      <w:r>
        <w:fldChar w:fldCharType="separate"/>
      </w:r>
      <w:r>
        <w:rPr>
          <w:rFonts w:hint="eastAsia" w:ascii="宋体" w:hAnsi="宋体" w:eastAsia="宋体" w:cs="宋体"/>
        </w:rPr>
        <w:t xml:space="preserve">(七) </w:t>
      </w:r>
      <w:r>
        <w:rPr>
          <w:rFonts w:hint="eastAsia"/>
        </w:rPr>
        <w:t>复核</w:t>
      </w:r>
      <w:r>
        <w:tab/>
      </w:r>
      <w:r>
        <w:fldChar w:fldCharType="begin"/>
      </w:r>
      <w:r>
        <w:instrText xml:space="preserve"> PAGEREF _Toc19625 \h </w:instrText>
      </w:r>
      <w:r>
        <w:fldChar w:fldCharType="separate"/>
      </w:r>
      <w:r>
        <w:t>70</w:t>
      </w:r>
      <w:r>
        <w:fldChar w:fldCharType="end"/>
      </w:r>
      <w:r>
        <w:fldChar w:fldCharType="end"/>
      </w:r>
    </w:p>
    <w:p>
      <w:pPr>
        <w:pStyle w:val="13"/>
        <w:tabs>
          <w:tab w:val="right" w:leader="dot" w:pos="9746"/>
          <w:tab w:val="clear" w:pos="0"/>
        </w:tabs>
      </w:pPr>
      <w:r>
        <w:fldChar w:fldCharType="begin"/>
      </w:r>
      <w:r>
        <w:instrText xml:space="preserve"> HYPERLINK \l _Toc16545 </w:instrText>
      </w:r>
      <w:r>
        <w:fldChar w:fldCharType="separate"/>
      </w:r>
      <w:r>
        <w:rPr>
          <w:rFonts w:hint="eastAsia" w:ascii="宋体" w:hAnsi="宋体" w:eastAsia="宋体" w:cs="宋体"/>
        </w:rPr>
        <w:t xml:space="preserve">(八) </w:t>
      </w:r>
      <w:r>
        <w:rPr>
          <w:rFonts w:hint="eastAsia"/>
        </w:rPr>
        <w:t>评审报告</w:t>
      </w:r>
      <w:r>
        <w:tab/>
      </w:r>
      <w:r>
        <w:fldChar w:fldCharType="begin"/>
      </w:r>
      <w:r>
        <w:instrText xml:space="preserve"> PAGEREF _Toc16545 \h </w:instrText>
      </w:r>
      <w:r>
        <w:fldChar w:fldCharType="separate"/>
      </w:r>
      <w:r>
        <w:t>71</w:t>
      </w:r>
      <w:r>
        <w:fldChar w:fldCharType="end"/>
      </w:r>
      <w:r>
        <w:fldChar w:fldCharType="end"/>
      </w:r>
    </w:p>
    <w:p>
      <w:pPr>
        <w:pStyle w:val="13"/>
        <w:tabs>
          <w:tab w:val="right" w:leader="dot" w:pos="9746"/>
          <w:tab w:val="clear" w:pos="0"/>
        </w:tabs>
      </w:pPr>
      <w:r>
        <w:fldChar w:fldCharType="begin"/>
      </w:r>
      <w:r>
        <w:instrText xml:space="preserve"> HYPERLINK \l _Toc4707 </w:instrText>
      </w:r>
      <w:r>
        <w:fldChar w:fldCharType="separate"/>
      </w:r>
      <w:r>
        <w:rPr>
          <w:rFonts w:hint="eastAsia" w:ascii="宋体" w:hAnsi="宋体" w:eastAsia="宋体" w:cs="宋体"/>
        </w:rPr>
        <w:t xml:space="preserve">(九) </w:t>
      </w:r>
      <w:r>
        <w:rPr>
          <w:rFonts w:hint="eastAsia"/>
        </w:rPr>
        <w:t>确定成交候选人</w:t>
      </w:r>
      <w:r>
        <w:tab/>
      </w:r>
      <w:r>
        <w:fldChar w:fldCharType="begin"/>
      </w:r>
      <w:r>
        <w:instrText xml:space="preserve"> PAGEREF _Toc4707 \h </w:instrText>
      </w:r>
      <w:r>
        <w:fldChar w:fldCharType="separate"/>
      </w:r>
      <w:r>
        <w:t>72</w:t>
      </w:r>
      <w:r>
        <w:fldChar w:fldCharType="end"/>
      </w:r>
      <w:r>
        <w:fldChar w:fldCharType="end"/>
      </w:r>
    </w:p>
    <w:p>
      <w:pPr>
        <w:pStyle w:val="13"/>
        <w:tabs>
          <w:tab w:val="right" w:leader="dot" w:pos="9746"/>
          <w:tab w:val="clear" w:pos="0"/>
        </w:tabs>
      </w:pPr>
      <w:r>
        <w:fldChar w:fldCharType="begin"/>
      </w:r>
      <w:r>
        <w:instrText xml:space="preserve"> HYPERLINK \l _Toc6674 </w:instrText>
      </w:r>
      <w:r>
        <w:fldChar w:fldCharType="separate"/>
      </w:r>
      <w:r>
        <w:rPr>
          <w:rFonts w:hint="eastAsia" w:ascii="宋体" w:hAnsi="宋体" w:eastAsia="宋体" w:cs="宋体"/>
        </w:rPr>
        <w:t xml:space="preserve">(十) </w:t>
      </w:r>
      <w:r>
        <w:rPr>
          <w:rFonts w:hint="eastAsia"/>
        </w:rPr>
        <w:t>成交通知书</w:t>
      </w:r>
      <w:r>
        <w:tab/>
      </w:r>
      <w:r>
        <w:fldChar w:fldCharType="begin"/>
      </w:r>
      <w:r>
        <w:instrText xml:space="preserve"> PAGEREF _Toc6674 \h </w:instrText>
      </w:r>
      <w:r>
        <w:fldChar w:fldCharType="separate"/>
      </w:r>
      <w:r>
        <w:t>72</w:t>
      </w:r>
      <w:r>
        <w:fldChar w:fldCharType="end"/>
      </w:r>
      <w:r>
        <w:fldChar w:fldCharType="end"/>
      </w:r>
    </w:p>
    <w:p>
      <w:pPr>
        <w:pStyle w:val="13"/>
        <w:tabs>
          <w:tab w:val="right" w:leader="dot" w:pos="9746"/>
          <w:tab w:val="clear" w:pos="0"/>
        </w:tabs>
      </w:pPr>
      <w:r>
        <w:fldChar w:fldCharType="begin"/>
      </w:r>
      <w:r>
        <w:instrText xml:space="preserve"> HYPERLINK \l _Toc14932 </w:instrText>
      </w:r>
      <w:r>
        <w:fldChar w:fldCharType="separate"/>
      </w:r>
      <w:r>
        <w:rPr>
          <w:rFonts w:hint="eastAsia" w:ascii="宋体" w:hAnsi="宋体" w:eastAsia="宋体" w:cs="宋体"/>
        </w:rPr>
        <w:t xml:space="preserve">(十一) </w:t>
      </w:r>
      <w:r>
        <w:rPr>
          <w:rFonts w:hint="eastAsia"/>
        </w:rPr>
        <w:t>评审专家在政府采购活动中承担以下义务</w:t>
      </w:r>
      <w:r>
        <w:tab/>
      </w:r>
      <w:r>
        <w:fldChar w:fldCharType="begin"/>
      </w:r>
      <w:r>
        <w:instrText xml:space="preserve"> PAGEREF _Toc14932 \h </w:instrText>
      </w:r>
      <w:r>
        <w:fldChar w:fldCharType="separate"/>
      </w:r>
      <w:r>
        <w:t>73</w:t>
      </w:r>
      <w:r>
        <w:fldChar w:fldCharType="end"/>
      </w:r>
      <w:r>
        <w:fldChar w:fldCharType="end"/>
      </w:r>
    </w:p>
    <w:p>
      <w:pPr>
        <w:pStyle w:val="13"/>
        <w:tabs>
          <w:tab w:val="right" w:leader="dot" w:pos="9746"/>
          <w:tab w:val="clear" w:pos="0"/>
        </w:tabs>
      </w:pPr>
      <w:r>
        <w:fldChar w:fldCharType="begin"/>
      </w:r>
      <w:r>
        <w:instrText xml:space="preserve"> HYPERLINK \l _Toc26898 </w:instrText>
      </w:r>
      <w:r>
        <w:fldChar w:fldCharType="separate"/>
      </w:r>
      <w:r>
        <w:rPr>
          <w:rFonts w:hint="eastAsia" w:ascii="宋体" w:hAnsi="宋体" w:eastAsia="宋体" w:cs="宋体"/>
        </w:rPr>
        <w:t xml:space="preserve">(十二) </w:t>
      </w:r>
      <w:r>
        <w:rPr>
          <w:rFonts w:hint="eastAsia"/>
        </w:rPr>
        <w:t>评审专家在政府采购活动中应当遵守以下工作纪律</w:t>
      </w:r>
      <w:r>
        <w:tab/>
      </w:r>
      <w:r>
        <w:fldChar w:fldCharType="begin"/>
      </w:r>
      <w:r>
        <w:instrText xml:space="preserve"> PAGEREF _Toc26898 \h </w:instrText>
      </w:r>
      <w:r>
        <w:fldChar w:fldCharType="separate"/>
      </w:r>
      <w:r>
        <w:t>73</w:t>
      </w:r>
      <w:r>
        <w:fldChar w:fldCharType="end"/>
      </w:r>
      <w:r>
        <w:fldChar w:fldCharType="end"/>
      </w:r>
    </w:p>
    <w:p>
      <w:pPr>
        <w:pStyle w:val="13"/>
        <w:tabs>
          <w:tab w:val="right" w:leader="dot" w:pos="9746"/>
          <w:tab w:val="clear" w:pos="0"/>
        </w:tabs>
      </w:pPr>
      <w:r>
        <w:fldChar w:fldCharType="begin"/>
      </w:r>
      <w:r>
        <w:instrText xml:space="preserve"> HYPERLINK \l _Toc19962 </w:instrText>
      </w:r>
      <w:r>
        <w:fldChar w:fldCharType="separate"/>
      </w:r>
      <w:r>
        <w:rPr>
          <w:rFonts w:hint="eastAsia" w:ascii="宋体" w:hAnsi="宋体" w:eastAsia="宋体" w:cs="宋体"/>
        </w:rPr>
        <w:t xml:space="preserve">(十三) </w:t>
      </w:r>
      <w:r>
        <w:rPr>
          <w:rFonts w:hint="eastAsia"/>
        </w:rPr>
        <w:t>评审委员会及其成员不得有下列违约情形</w:t>
      </w:r>
      <w:r>
        <w:tab/>
      </w:r>
      <w:r>
        <w:fldChar w:fldCharType="begin"/>
      </w:r>
      <w:r>
        <w:instrText xml:space="preserve"> PAGEREF _Toc19962 \h </w:instrText>
      </w:r>
      <w:r>
        <w:fldChar w:fldCharType="separate"/>
      </w:r>
      <w:r>
        <w:t>74</w:t>
      </w:r>
      <w:r>
        <w:fldChar w:fldCharType="end"/>
      </w:r>
      <w:r>
        <w:fldChar w:fldCharType="end"/>
      </w:r>
    </w:p>
    <w:p>
      <w:pPr>
        <w:pStyle w:val="2"/>
        <w:tabs>
          <w:tab w:val="clear" w:pos="0"/>
        </w:tabs>
      </w:pPr>
      <w:r>
        <w:fldChar w:fldCharType="begin"/>
      </w:r>
      <w:r>
        <w:instrText xml:space="preserve"> HYPERLINK \l _Toc11464 </w:instrText>
      </w:r>
      <w:r>
        <w:fldChar w:fldCharType="separate"/>
      </w:r>
      <w:r>
        <w:rPr>
          <w:rFonts w:hint="eastAsia" w:ascii="宋体" w:hAnsi="宋体" w:eastAsia="宋体" w:cs="宋体"/>
        </w:rPr>
        <w:t xml:space="preserve">第八章 </w:t>
      </w:r>
      <w:r>
        <w:rPr>
          <w:rFonts w:hint="eastAsia"/>
        </w:rPr>
        <w:t>合同草案条款(参考文本)</w:t>
      </w:r>
      <w:r>
        <w:tab/>
      </w:r>
      <w:r>
        <w:fldChar w:fldCharType="begin"/>
      </w:r>
      <w:r>
        <w:instrText xml:space="preserve"> PAGEREF _Toc11464 \h </w:instrText>
      </w:r>
      <w:r>
        <w:fldChar w:fldCharType="separate"/>
      </w:r>
      <w:r>
        <w:t>75</w:t>
      </w:r>
      <w:r>
        <w:fldChar w:fldCharType="end"/>
      </w:r>
      <w:r>
        <w:fldChar w:fldCharType="end"/>
      </w:r>
    </w:p>
    <w:p>
      <w:pPr>
        <w:pStyle w:val="2"/>
        <w:tabs>
          <w:tab w:val="clear" w:pos="0"/>
        </w:tabs>
      </w:pPr>
      <w:r>
        <w:fldChar w:fldCharType="begin"/>
      </w:r>
      <w:r>
        <w:instrText xml:space="preserve"> HYPERLINK \l _Toc1276 </w:instrText>
      </w:r>
      <w:r>
        <w:fldChar w:fldCharType="separate"/>
      </w:r>
      <w:r>
        <w:rPr>
          <w:rFonts w:hint="eastAsia"/>
        </w:rPr>
        <w:t>第一条  本合同签订依据：</w:t>
      </w:r>
      <w:r>
        <w:tab/>
      </w:r>
      <w:r>
        <w:fldChar w:fldCharType="begin"/>
      </w:r>
      <w:r>
        <w:instrText xml:space="preserve"> PAGEREF _Toc1276 \h </w:instrText>
      </w:r>
      <w:r>
        <w:fldChar w:fldCharType="separate"/>
      </w:r>
      <w:r>
        <w:t>76</w:t>
      </w:r>
      <w:r>
        <w:fldChar w:fldCharType="end"/>
      </w:r>
      <w:r>
        <w:fldChar w:fldCharType="end"/>
      </w:r>
    </w:p>
    <w:p>
      <w:pPr>
        <w:pStyle w:val="2"/>
        <w:tabs>
          <w:tab w:val="clear" w:pos="0"/>
        </w:tabs>
      </w:pPr>
      <w:r>
        <w:fldChar w:fldCharType="begin"/>
      </w:r>
      <w:r>
        <w:instrText xml:space="preserve"> HYPERLINK \l _Toc1779 </w:instrText>
      </w:r>
      <w:r>
        <w:fldChar w:fldCharType="separate"/>
      </w:r>
      <w:r>
        <w:rPr>
          <w:rFonts w:hint="eastAsia"/>
        </w:rPr>
        <w:t>第二条</w:t>
      </w:r>
      <w:r>
        <w:t xml:space="preserve">  </w:t>
      </w:r>
      <w:r>
        <w:rPr>
          <w:rFonts w:hint="eastAsia"/>
        </w:rPr>
        <w:t>甲方向乙方提供的技术资料和工作条件</w:t>
      </w:r>
      <w:r>
        <w:tab/>
      </w:r>
      <w:r>
        <w:fldChar w:fldCharType="begin"/>
      </w:r>
      <w:r>
        <w:instrText xml:space="preserve"> PAGEREF _Toc1779 \h </w:instrText>
      </w:r>
      <w:r>
        <w:fldChar w:fldCharType="separate"/>
      </w:r>
      <w:r>
        <w:t>76</w:t>
      </w:r>
      <w:r>
        <w:fldChar w:fldCharType="end"/>
      </w:r>
      <w:r>
        <w:fldChar w:fldCharType="end"/>
      </w:r>
    </w:p>
    <w:p>
      <w:pPr>
        <w:pStyle w:val="2"/>
        <w:tabs>
          <w:tab w:val="clear" w:pos="0"/>
        </w:tabs>
      </w:pPr>
      <w:r>
        <w:fldChar w:fldCharType="begin"/>
      </w:r>
      <w:r>
        <w:instrText xml:space="preserve"> HYPERLINK \l _Toc26633 </w:instrText>
      </w:r>
      <w:r>
        <w:fldChar w:fldCharType="separate"/>
      </w:r>
      <w:r>
        <w:rPr>
          <w:rFonts w:hint="eastAsia"/>
          <w:kern w:val="0"/>
        </w:rPr>
        <w:t>第四条  报酬及支付方式</w:t>
      </w:r>
      <w:r>
        <w:tab/>
      </w:r>
      <w:r>
        <w:fldChar w:fldCharType="begin"/>
      </w:r>
      <w:r>
        <w:instrText xml:space="preserve"> PAGEREF _Toc26633 \h </w:instrText>
      </w:r>
      <w:r>
        <w:fldChar w:fldCharType="separate"/>
      </w:r>
      <w:r>
        <w:t>77</w:t>
      </w:r>
      <w:r>
        <w:fldChar w:fldCharType="end"/>
      </w:r>
      <w:r>
        <w:fldChar w:fldCharType="end"/>
      </w:r>
    </w:p>
    <w:p>
      <w:pPr>
        <w:pStyle w:val="2"/>
        <w:tabs>
          <w:tab w:val="clear" w:pos="0"/>
        </w:tabs>
      </w:pPr>
      <w:r>
        <w:fldChar w:fldCharType="begin"/>
      </w:r>
      <w:r>
        <w:instrText xml:space="preserve"> HYPERLINK \l _Toc15303 </w:instrText>
      </w:r>
      <w:r>
        <w:fldChar w:fldCharType="separate"/>
      </w:r>
      <w:r>
        <w:rPr>
          <w:rFonts w:hint="eastAsia"/>
        </w:rPr>
        <w:t>第五条  双方责任</w:t>
      </w:r>
      <w:r>
        <w:tab/>
      </w:r>
      <w:r>
        <w:fldChar w:fldCharType="begin"/>
      </w:r>
      <w:r>
        <w:instrText xml:space="preserve"> PAGEREF _Toc15303 \h </w:instrText>
      </w:r>
      <w:r>
        <w:fldChar w:fldCharType="separate"/>
      </w:r>
      <w:r>
        <w:t>77</w:t>
      </w:r>
      <w:r>
        <w:fldChar w:fldCharType="end"/>
      </w:r>
      <w:r>
        <w:fldChar w:fldCharType="end"/>
      </w:r>
    </w:p>
    <w:p>
      <w:pPr>
        <w:pStyle w:val="2"/>
        <w:tabs>
          <w:tab w:val="clear" w:pos="0"/>
        </w:tabs>
      </w:pPr>
      <w:r>
        <w:fldChar w:fldCharType="begin"/>
      </w:r>
      <w:r>
        <w:instrText xml:space="preserve"> HYPERLINK \l _Toc25006 </w:instrText>
      </w:r>
      <w:r>
        <w:fldChar w:fldCharType="separate"/>
      </w:r>
      <w:r>
        <w:rPr>
          <w:rFonts w:hint="eastAsia"/>
        </w:rPr>
        <w:t>第六条  违约责任</w:t>
      </w:r>
      <w:r>
        <w:tab/>
      </w:r>
      <w:r>
        <w:fldChar w:fldCharType="begin"/>
      </w:r>
      <w:r>
        <w:instrText xml:space="preserve"> PAGEREF _Toc25006 \h </w:instrText>
      </w:r>
      <w:r>
        <w:fldChar w:fldCharType="separate"/>
      </w:r>
      <w:r>
        <w:t>79</w:t>
      </w:r>
      <w:r>
        <w:fldChar w:fldCharType="end"/>
      </w:r>
      <w:r>
        <w:fldChar w:fldCharType="end"/>
      </w:r>
    </w:p>
    <w:p>
      <w:pPr>
        <w:pStyle w:val="2"/>
        <w:tabs>
          <w:tab w:val="clear" w:pos="0"/>
        </w:tabs>
      </w:pPr>
      <w:r>
        <w:fldChar w:fldCharType="begin"/>
      </w:r>
      <w:r>
        <w:instrText xml:space="preserve"> HYPERLINK \l _Toc15547 </w:instrText>
      </w:r>
      <w:r>
        <w:fldChar w:fldCharType="separate"/>
      </w:r>
      <w:r>
        <w:rPr>
          <w:rFonts w:hint="eastAsia"/>
        </w:rPr>
        <w:t>第七条  知识产权</w:t>
      </w:r>
      <w:r>
        <w:tab/>
      </w:r>
      <w:r>
        <w:fldChar w:fldCharType="begin"/>
      </w:r>
      <w:r>
        <w:instrText xml:space="preserve"> PAGEREF _Toc15547 \h </w:instrText>
      </w:r>
      <w:r>
        <w:fldChar w:fldCharType="separate"/>
      </w:r>
      <w:r>
        <w:t>79</w:t>
      </w:r>
      <w:r>
        <w:fldChar w:fldCharType="end"/>
      </w:r>
      <w:r>
        <w:fldChar w:fldCharType="end"/>
      </w:r>
    </w:p>
    <w:p>
      <w:pPr>
        <w:pStyle w:val="2"/>
        <w:tabs>
          <w:tab w:val="clear" w:pos="0"/>
        </w:tabs>
      </w:pPr>
      <w:r>
        <w:fldChar w:fldCharType="begin"/>
      </w:r>
      <w:r>
        <w:instrText xml:space="preserve"> HYPERLINK \l _Toc1253 </w:instrText>
      </w:r>
      <w:r>
        <w:fldChar w:fldCharType="separate"/>
      </w:r>
      <w:r>
        <w:rPr>
          <w:rFonts w:hint="eastAsia"/>
        </w:rPr>
        <w:t>第八条  其它</w:t>
      </w:r>
      <w:r>
        <w:tab/>
      </w:r>
      <w:r>
        <w:fldChar w:fldCharType="begin"/>
      </w:r>
      <w:r>
        <w:instrText xml:space="preserve"> PAGEREF _Toc1253 \h </w:instrText>
      </w:r>
      <w:r>
        <w:fldChar w:fldCharType="separate"/>
      </w:r>
      <w:r>
        <w:t>79</w:t>
      </w:r>
      <w:r>
        <w:fldChar w:fldCharType="end"/>
      </w:r>
      <w:r>
        <w:fldChar w:fldCharType="end"/>
      </w:r>
    </w:p>
    <w:p>
      <w:pPr>
        <w:pStyle w:val="2"/>
        <w:tabs>
          <w:tab w:val="clear" w:pos="0"/>
        </w:tabs>
      </w:pPr>
      <w:r>
        <w:fldChar w:fldCharType="begin"/>
      </w:r>
      <w:r>
        <w:instrText xml:space="preserve"> HYPERLINK \l _Toc1317 </w:instrText>
      </w:r>
      <w:r>
        <w:fldChar w:fldCharType="separate"/>
      </w:r>
      <w:r>
        <w:rPr>
          <w:rFonts w:hint="eastAsia" w:ascii="宋体" w:hAnsi="宋体" w:eastAsia="宋体" w:cs="宋体"/>
        </w:rPr>
        <w:t xml:space="preserve">第九章 </w:t>
      </w:r>
      <w:r>
        <w:rPr>
          <w:rFonts w:hint="eastAsia"/>
        </w:rPr>
        <w:t>附件</w:t>
      </w:r>
      <w:r>
        <w:tab/>
      </w:r>
      <w:r>
        <w:fldChar w:fldCharType="begin"/>
      </w:r>
      <w:r>
        <w:instrText xml:space="preserve"> PAGEREF _Toc1317 \h </w:instrText>
      </w:r>
      <w:r>
        <w:fldChar w:fldCharType="separate"/>
      </w:r>
      <w:r>
        <w:t>82</w:t>
      </w:r>
      <w:r>
        <w:fldChar w:fldCharType="end"/>
      </w:r>
      <w:r>
        <w:fldChar w:fldCharType="end"/>
      </w:r>
    </w:p>
    <w:p>
      <w:pPr>
        <w:pStyle w:val="17"/>
        <w:tabs>
          <w:tab w:val="right" w:leader="dot" w:pos="9746"/>
          <w:tab w:val="clear" w:pos="0"/>
        </w:tabs>
      </w:pPr>
      <w:r>
        <w:fldChar w:fldCharType="begin"/>
      </w:r>
      <w:r>
        <w:instrText xml:space="preserve"> HYPERLINK \l _Toc3105 </w:instrText>
      </w:r>
      <w:r>
        <w:fldChar w:fldCharType="separate"/>
      </w:r>
      <w:r>
        <w:rPr>
          <w:rFonts w:hint="eastAsia"/>
        </w:rPr>
        <w:t>附件一：问题的澄清、说明、更正通知</w:t>
      </w:r>
      <w:r>
        <w:tab/>
      </w:r>
      <w:r>
        <w:fldChar w:fldCharType="begin"/>
      </w:r>
      <w:r>
        <w:instrText xml:space="preserve"> PAGEREF _Toc3105 \h </w:instrText>
      </w:r>
      <w:r>
        <w:fldChar w:fldCharType="separate"/>
      </w:r>
      <w:r>
        <w:t>82</w:t>
      </w:r>
      <w:r>
        <w:fldChar w:fldCharType="end"/>
      </w:r>
      <w:r>
        <w:fldChar w:fldCharType="end"/>
      </w:r>
    </w:p>
    <w:p>
      <w:pPr>
        <w:pStyle w:val="17"/>
        <w:tabs>
          <w:tab w:val="right" w:leader="dot" w:pos="9746"/>
          <w:tab w:val="clear" w:pos="0"/>
        </w:tabs>
      </w:pPr>
      <w:r>
        <w:fldChar w:fldCharType="begin"/>
      </w:r>
      <w:r>
        <w:instrText xml:space="preserve"> HYPERLINK \l _Toc27175 </w:instrText>
      </w:r>
      <w:r>
        <w:fldChar w:fldCharType="separate"/>
      </w:r>
      <w:r>
        <w:rPr>
          <w:rFonts w:hint="eastAsia" w:asciiTheme="minorEastAsia" w:hAnsiTheme="minorEastAsia" w:eastAsiaTheme="minorEastAsia" w:cstheme="minorEastAsia"/>
        </w:rPr>
        <w:t>附件二：问题的澄清、说明、更正</w:t>
      </w:r>
      <w:r>
        <w:tab/>
      </w:r>
      <w:r>
        <w:fldChar w:fldCharType="begin"/>
      </w:r>
      <w:r>
        <w:instrText xml:space="preserve"> PAGEREF _Toc27175 \h </w:instrText>
      </w:r>
      <w:r>
        <w:fldChar w:fldCharType="separate"/>
      </w:r>
      <w:r>
        <w:t>83</w:t>
      </w:r>
      <w:r>
        <w:fldChar w:fldCharType="end"/>
      </w:r>
      <w:r>
        <w:fldChar w:fldCharType="end"/>
      </w:r>
    </w:p>
    <w:p>
      <w:pPr>
        <w:pStyle w:val="17"/>
        <w:tabs>
          <w:tab w:val="right" w:leader="dot" w:pos="9746"/>
          <w:tab w:val="clear" w:pos="0"/>
        </w:tabs>
      </w:pPr>
      <w:r>
        <w:fldChar w:fldCharType="begin"/>
      </w:r>
      <w:r>
        <w:instrText xml:space="preserve"> HYPERLINK \l _Toc6296 </w:instrText>
      </w:r>
      <w:r>
        <w:fldChar w:fldCharType="separate"/>
      </w:r>
      <w:r>
        <w:rPr>
          <w:rFonts w:hint="eastAsia"/>
        </w:rPr>
        <w:t>附件三：2021年度信用评价服务效果调查表</w:t>
      </w:r>
      <w:r>
        <w:tab/>
      </w:r>
      <w:r>
        <w:fldChar w:fldCharType="begin"/>
      </w:r>
      <w:r>
        <w:instrText xml:space="preserve"> PAGEREF _Toc6296 \h </w:instrText>
      </w:r>
      <w:r>
        <w:fldChar w:fldCharType="separate"/>
      </w:r>
      <w:r>
        <w:t>84</w:t>
      </w:r>
      <w:r>
        <w:fldChar w:fldCharType="end"/>
      </w:r>
      <w:r>
        <w:fldChar w:fldCharType="end"/>
      </w:r>
    </w:p>
    <w:p>
      <w:pPr>
        <w:pStyle w:val="17"/>
        <w:tabs>
          <w:tab w:val="right" w:leader="dot" w:pos="9746"/>
          <w:tab w:val="clear" w:pos="0"/>
        </w:tabs>
      </w:pPr>
      <w:r>
        <w:fldChar w:fldCharType="begin"/>
      </w:r>
      <w:r>
        <w:instrText xml:space="preserve"> HYPERLINK \l _Toc3947 </w:instrText>
      </w:r>
      <w:r>
        <w:fldChar w:fldCharType="separate"/>
      </w:r>
      <w:r>
        <w:rPr>
          <w:rFonts w:hint="eastAsia" w:asciiTheme="minorEastAsia" w:hAnsiTheme="minorEastAsia" w:eastAsiaTheme="minorEastAsia" w:cstheme="minorEastAsia"/>
        </w:rPr>
        <w:t>附件四：统计上大中小微型企业划分标准</w:t>
      </w:r>
      <w:r>
        <w:tab/>
      </w:r>
      <w:r>
        <w:fldChar w:fldCharType="begin"/>
      </w:r>
      <w:r>
        <w:instrText xml:space="preserve"> PAGEREF _Toc3947 \h </w:instrText>
      </w:r>
      <w:r>
        <w:fldChar w:fldCharType="separate"/>
      </w:r>
      <w:r>
        <w:t>85</w:t>
      </w:r>
      <w:r>
        <w:fldChar w:fldCharType="end"/>
      </w:r>
      <w:r>
        <w:fldChar w:fldCharType="end"/>
      </w:r>
    </w:p>
    <w:p>
      <w:pPr>
        <w:pStyle w:val="17"/>
        <w:tabs>
          <w:tab w:val="right" w:leader="dot" w:pos="9746"/>
          <w:tab w:val="clear" w:pos="0"/>
        </w:tabs>
      </w:pPr>
      <w:r>
        <w:fldChar w:fldCharType="begin"/>
      </w:r>
      <w:r>
        <w:instrText xml:space="preserve"> HYPERLINK \l _Toc20845 </w:instrText>
      </w:r>
      <w:r>
        <w:fldChar w:fldCharType="separate"/>
      </w:r>
      <w:r>
        <w:rPr>
          <w:rFonts w:hint="eastAsia" w:asciiTheme="minorEastAsia" w:hAnsiTheme="minorEastAsia" w:eastAsiaTheme="minorEastAsia" w:cstheme="minorEastAsia"/>
        </w:rPr>
        <w:t>附件五：《四川省财政厅关于推进四川省政府采购供应商信用融资工作的通知》(川财采〔2018〕123号文)</w:t>
      </w:r>
      <w:r>
        <w:tab/>
      </w:r>
      <w:r>
        <w:fldChar w:fldCharType="begin"/>
      </w:r>
      <w:r>
        <w:instrText xml:space="preserve"> PAGEREF _Toc20845 \h </w:instrText>
      </w:r>
      <w:r>
        <w:fldChar w:fldCharType="separate"/>
      </w:r>
      <w:r>
        <w:t>87</w:t>
      </w:r>
      <w:r>
        <w:fldChar w:fldCharType="end"/>
      </w:r>
      <w:r>
        <w:fldChar w:fldCharType="end"/>
      </w:r>
    </w:p>
    <w:p>
      <w:pPr>
        <w:pStyle w:val="17"/>
        <w:tabs>
          <w:tab w:val="right" w:leader="dot" w:pos="9746"/>
          <w:tab w:val="clear" w:pos="0"/>
        </w:tabs>
      </w:pPr>
      <w:r>
        <w:fldChar w:fldCharType="begin"/>
      </w:r>
      <w:r>
        <w:instrText xml:space="preserve"> HYPERLINK \l _Toc20770 </w:instrText>
      </w:r>
      <w:r>
        <w:fldChar w:fldCharType="separate"/>
      </w:r>
      <w:r>
        <w:rPr>
          <w:rFonts w:hint="eastAsia" w:asciiTheme="minorEastAsia" w:hAnsiTheme="minorEastAsia" w:eastAsiaTheme="minorEastAsia" w:cstheme="minorEastAsia"/>
        </w:rPr>
        <w:t>附件六：成都市财政局  中国人民银行成都分行营业管理部关于印发《成都市中小企业政府采购信用融资暂行办法》和《成都市级支持中小企业政府采购信用融资实施方案》的通</w:t>
      </w:r>
      <w:r>
        <w:rPr>
          <w:rFonts w:hint="eastAsia"/>
        </w:rPr>
        <w:t>知(成财采〔2019〕17号)</w:t>
      </w:r>
      <w:r>
        <w:tab/>
      </w:r>
      <w:r>
        <w:fldChar w:fldCharType="begin"/>
      </w:r>
      <w:r>
        <w:instrText xml:space="preserve"> PAGEREF _Toc20770 \h </w:instrText>
      </w:r>
      <w:r>
        <w:fldChar w:fldCharType="separate"/>
      </w:r>
      <w:r>
        <w:t>92</w:t>
      </w:r>
      <w:r>
        <w:fldChar w:fldCharType="end"/>
      </w:r>
      <w:r>
        <w:fldChar w:fldCharType="end"/>
      </w:r>
    </w:p>
    <w:p>
      <w:r>
        <w:fldChar w:fldCharType="end"/>
      </w:r>
    </w:p>
    <w:p>
      <w:pPr>
        <w:pStyle w:val="45"/>
        <w:spacing w:before="120" w:after="120"/>
      </w:pPr>
      <w:r>
        <w:rPr>
          <w:rFonts w:hint="eastAsia"/>
        </w:rPr>
        <w:br w:type="page"/>
      </w:r>
      <w:bookmarkEnd w:id="2"/>
      <w:bookmarkEnd w:id="3"/>
      <w:bookmarkEnd w:id="4"/>
      <w:bookmarkEnd w:id="5"/>
      <w:bookmarkStart w:id="6" w:name="_Toc12726"/>
      <w:bookmarkStart w:id="7" w:name="_Toc8507"/>
      <w:bookmarkStart w:id="8" w:name="_Toc213396945"/>
      <w:bookmarkStart w:id="9" w:name="_Toc217446031"/>
      <w:bookmarkStart w:id="10" w:name="_Toc213496267"/>
      <w:bookmarkStart w:id="11" w:name="_Toc213397009"/>
      <w:bookmarkStart w:id="12" w:name="_Toc213396759"/>
      <w:r>
        <w:rPr>
          <w:rFonts w:hint="eastAsia"/>
        </w:rPr>
        <w:t>竞争性磋商邀请公告</w:t>
      </w:r>
      <w:bookmarkEnd w:id="6"/>
      <w:bookmarkEnd w:id="7"/>
    </w:p>
    <w:p>
      <w:pPr>
        <w:pStyle w:val="43"/>
        <w:spacing w:line="410" w:lineRule="exact"/>
      </w:pPr>
      <w:r>
        <w:rPr>
          <w:rFonts w:hint="eastAsia"/>
          <w:lang w:val="zh-CN"/>
        </w:rPr>
        <w:t>成都公恒信工程项目管理有限公司</w:t>
      </w:r>
      <w:r>
        <w:rPr>
          <w:rFonts w:hint="eastAsia"/>
        </w:rPr>
        <w:t>受成都市武侯区公园城市建设和城市更新局的委托，拟对</w:t>
      </w:r>
      <w:r>
        <w:rPr>
          <w:rFonts w:hint="eastAsia"/>
          <w:lang w:eastAsia="zh-CN"/>
        </w:rPr>
        <w:t>成都市武侯区公园城市建设和城市更新局武侯区老旧小区专项改造规划项目(第二次)</w:t>
      </w:r>
      <w:r>
        <w:rPr>
          <w:rFonts w:hint="eastAsia"/>
        </w:rPr>
        <w:t>采用竞争性磋商方式进行采购，特邀请合格的供应商参加该项目的竞争性磋商。</w:t>
      </w:r>
    </w:p>
    <w:p>
      <w:pPr>
        <w:pStyle w:val="40"/>
        <w:numPr>
          <w:ilvl w:val="0"/>
          <w:numId w:val="7"/>
        </w:numPr>
        <w:spacing w:line="410" w:lineRule="exact"/>
        <w:ind w:firstLine="482" w:firstLineChars="200"/>
      </w:pPr>
      <w:r>
        <w:rPr>
          <w:rFonts w:hint="eastAsia"/>
          <w:b/>
          <w:bCs/>
        </w:rPr>
        <w:t>项目名称：</w:t>
      </w:r>
      <w:r>
        <w:rPr>
          <w:rFonts w:hint="eastAsia"/>
          <w:lang w:eastAsia="zh-CN"/>
        </w:rPr>
        <w:t>成都市武侯区公园城市建设和城市更新局武侯区老旧小区专项改造规划项目(第二次)</w:t>
      </w:r>
    </w:p>
    <w:p>
      <w:pPr>
        <w:pStyle w:val="40"/>
        <w:numPr>
          <w:ilvl w:val="0"/>
          <w:numId w:val="7"/>
        </w:numPr>
        <w:spacing w:line="410" w:lineRule="exact"/>
        <w:ind w:firstLine="482" w:firstLineChars="200"/>
      </w:pPr>
      <w:r>
        <w:rPr>
          <w:rFonts w:hint="eastAsia"/>
          <w:b/>
          <w:bCs/>
        </w:rPr>
        <w:t>项目编号：</w:t>
      </w:r>
      <w:r>
        <w:rPr>
          <w:rFonts w:hint="eastAsia"/>
          <w:b/>
          <w:bCs/>
          <w:lang w:val="en-US" w:eastAsia="zh-CN"/>
        </w:rPr>
        <w:t>以挂网编号为准</w:t>
      </w:r>
    </w:p>
    <w:p>
      <w:pPr>
        <w:pStyle w:val="40"/>
        <w:numPr>
          <w:ilvl w:val="0"/>
          <w:numId w:val="7"/>
        </w:numPr>
        <w:spacing w:line="410" w:lineRule="exact"/>
        <w:ind w:firstLine="482" w:firstLineChars="200"/>
        <w:rPr>
          <w:b/>
          <w:bCs/>
        </w:rPr>
      </w:pPr>
      <w:r>
        <w:rPr>
          <w:rFonts w:hint="eastAsia"/>
          <w:b/>
          <w:bCs/>
        </w:rPr>
        <w:t>采购项目简介：</w:t>
      </w:r>
    </w:p>
    <w:p>
      <w:pPr>
        <w:pStyle w:val="31"/>
        <w:numPr>
          <w:ilvl w:val="1"/>
          <w:numId w:val="8"/>
        </w:numPr>
        <w:spacing w:line="410" w:lineRule="exact"/>
        <w:ind w:firstLine="480" w:firstLineChars="200"/>
      </w:pPr>
      <w:r>
        <w:rPr>
          <w:rFonts w:hint="eastAsia"/>
        </w:rPr>
        <w:t>本项目资金情况：财政资金已落实；采购预算：人民币1600000元，计划号：(2021)0270号。</w:t>
      </w:r>
    </w:p>
    <w:p>
      <w:pPr>
        <w:pStyle w:val="31"/>
        <w:numPr>
          <w:ilvl w:val="1"/>
          <w:numId w:val="8"/>
        </w:numPr>
        <w:spacing w:line="410" w:lineRule="exact"/>
        <w:ind w:firstLine="480" w:firstLineChars="200"/>
      </w:pPr>
      <w:r>
        <w:rPr>
          <w:rFonts w:hint="eastAsia"/>
        </w:rPr>
        <w:t>本项目共1个包，采购项目简介及采购内容详见第五章，本项目设置1名成交供应商。</w:t>
      </w:r>
    </w:p>
    <w:p>
      <w:pPr>
        <w:pStyle w:val="31"/>
        <w:numPr>
          <w:ilvl w:val="1"/>
          <w:numId w:val="8"/>
        </w:numPr>
        <w:spacing w:line="410" w:lineRule="exact"/>
        <w:ind w:firstLine="480" w:firstLineChars="200"/>
      </w:pPr>
      <w:r>
        <w:rPr>
          <w:rFonts w:hint="eastAsia"/>
        </w:rPr>
        <w:t>供应商邀请方式及数量：本次竞争性磋商邀请在“四川政府采购网”以公告形式发布。</w:t>
      </w:r>
    </w:p>
    <w:p>
      <w:pPr>
        <w:pStyle w:val="40"/>
        <w:numPr>
          <w:ilvl w:val="0"/>
          <w:numId w:val="7"/>
        </w:numPr>
        <w:spacing w:line="410" w:lineRule="exact"/>
        <w:ind w:firstLine="482" w:firstLineChars="200"/>
        <w:rPr>
          <w:b/>
          <w:bCs/>
        </w:rPr>
      </w:pPr>
      <w:r>
        <w:rPr>
          <w:rFonts w:hint="eastAsia"/>
          <w:b/>
          <w:bCs/>
        </w:rPr>
        <w:t>项目性质：政府采购。</w:t>
      </w:r>
    </w:p>
    <w:p>
      <w:pPr>
        <w:pStyle w:val="40"/>
        <w:numPr>
          <w:ilvl w:val="0"/>
          <w:numId w:val="7"/>
        </w:numPr>
        <w:spacing w:line="410" w:lineRule="exact"/>
        <w:ind w:firstLine="482" w:firstLineChars="200"/>
        <w:rPr>
          <w:b/>
          <w:bCs/>
        </w:rPr>
      </w:pPr>
      <w:r>
        <w:rPr>
          <w:rFonts w:hint="eastAsia"/>
          <w:b/>
          <w:bCs/>
        </w:rPr>
        <w:t>采购用途：为完成武侯区老旧小区专项改造规划编制。</w:t>
      </w:r>
    </w:p>
    <w:p>
      <w:pPr>
        <w:pStyle w:val="40"/>
        <w:numPr>
          <w:ilvl w:val="0"/>
          <w:numId w:val="7"/>
        </w:numPr>
        <w:spacing w:line="410" w:lineRule="exact"/>
        <w:ind w:firstLine="482" w:firstLineChars="200"/>
        <w:rPr>
          <w:b/>
          <w:bCs/>
        </w:rPr>
      </w:pPr>
      <w:r>
        <w:rPr>
          <w:rFonts w:hint="eastAsia"/>
          <w:b/>
          <w:bCs/>
        </w:rPr>
        <w:t>合格供应商应具备的资格条件：</w:t>
      </w:r>
    </w:p>
    <w:p>
      <w:pPr>
        <w:pStyle w:val="31"/>
        <w:spacing w:line="410" w:lineRule="exact"/>
        <w:ind w:firstLine="480" w:firstLineChars="200"/>
        <w:rPr>
          <w:lang w:val="zh-CN"/>
        </w:rPr>
      </w:pPr>
      <w:r>
        <w:rPr>
          <w:rFonts w:hint="eastAsia"/>
        </w:rPr>
        <w:t>(一)</w:t>
      </w:r>
      <w:r>
        <w:rPr>
          <w:rFonts w:hint="eastAsia"/>
          <w:lang w:val="zh-CN"/>
        </w:rPr>
        <w:t>符合《中华人民共和国政府采购法》第二十二条规定的条件：</w:t>
      </w:r>
    </w:p>
    <w:p>
      <w:pPr>
        <w:pStyle w:val="31"/>
        <w:spacing w:line="410" w:lineRule="exact"/>
        <w:ind w:firstLine="480" w:firstLineChars="200"/>
      </w:pPr>
      <w:r>
        <w:rPr>
          <w:rFonts w:hint="eastAsia"/>
        </w:rPr>
        <w:t>1.具有独立承担</w:t>
      </w:r>
      <w:r>
        <w:fldChar w:fldCharType="begin"/>
      </w:r>
      <w:r>
        <w:instrText xml:space="preserve"> HYPERLINK "http://www.lawtime.cn/info/minfa/mszeren/" \t "_blank" </w:instrText>
      </w:r>
      <w:r>
        <w:fldChar w:fldCharType="separate"/>
      </w:r>
      <w:r>
        <w:rPr>
          <w:rFonts w:hint="eastAsia"/>
        </w:rPr>
        <w:t>民事责任</w:t>
      </w:r>
      <w:r>
        <w:rPr>
          <w:rFonts w:hint="eastAsia"/>
        </w:rPr>
        <w:fldChar w:fldCharType="end"/>
      </w:r>
      <w:r>
        <w:rPr>
          <w:rFonts w:hint="eastAsia"/>
        </w:rPr>
        <w:t>的能力；</w:t>
      </w:r>
    </w:p>
    <w:p>
      <w:pPr>
        <w:pStyle w:val="31"/>
        <w:spacing w:line="410" w:lineRule="exact"/>
        <w:ind w:firstLine="480" w:firstLineChars="200"/>
      </w:pPr>
      <w:r>
        <w:rPr>
          <w:rFonts w:hint="eastAsia"/>
        </w:rPr>
        <w:t>2.具有良好的商业信誉和健全的财务会计制度；</w:t>
      </w:r>
    </w:p>
    <w:p>
      <w:pPr>
        <w:pStyle w:val="31"/>
        <w:spacing w:line="410" w:lineRule="exact"/>
        <w:ind w:firstLine="480" w:firstLineChars="200"/>
      </w:pPr>
      <w:r>
        <w:rPr>
          <w:rFonts w:hint="eastAsia"/>
        </w:rPr>
        <w:t>3.具有履行合同所必需的设备和专业技术能力；</w:t>
      </w:r>
    </w:p>
    <w:p>
      <w:pPr>
        <w:pStyle w:val="31"/>
        <w:spacing w:line="410" w:lineRule="exact"/>
        <w:ind w:firstLine="480" w:firstLineChars="200"/>
      </w:pPr>
      <w:r>
        <w:rPr>
          <w:rFonts w:hint="eastAsia"/>
        </w:rPr>
        <w:t>4.有依法缴纳税收和</w:t>
      </w:r>
      <w:r>
        <w:fldChar w:fldCharType="begin"/>
      </w:r>
      <w:r>
        <w:instrText xml:space="preserve"> HYPERLINK "http://www.lawtime.cn/info/laodong/shehuibaozhang/" \t "_blank" </w:instrText>
      </w:r>
      <w:r>
        <w:fldChar w:fldCharType="separate"/>
      </w:r>
      <w:r>
        <w:rPr>
          <w:rFonts w:hint="eastAsia"/>
        </w:rPr>
        <w:t>社会保障</w:t>
      </w:r>
      <w:r>
        <w:rPr>
          <w:rFonts w:hint="eastAsia"/>
        </w:rPr>
        <w:fldChar w:fldCharType="end"/>
      </w:r>
      <w:r>
        <w:rPr>
          <w:rFonts w:hint="eastAsia"/>
        </w:rPr>
        <w:t>资金的良好记录；</w:t>
      </w:r>
    </w:p>
    <w:p>
      <w:pPr>
        <w:pStyle w:val="31"/>
        <w:spacing w:line="410" w:lineRule="exact"/>
        <w:ind w:firstLine="480" w:firstLineChars="200"/>
      </w:pPr>
      <w:r>
        <w:rPr>
          <w:rFonts w:hint="eastAsia"/>
        </w:rPr>
        <w:t>5.参加政府采购活动前三年内，在经营活动中没有重大违法记录；</w:t>
      </w:r>
    </w:p>
    <w:p>
      <w:pPr>
        <w:pStyle w:val="31"/>
        <w:spacing w:line="410" w:lineRule="exact"/>
        <w:ind w:firstLine="480" w:firstLineChars="200"/>
        <w:rPr>
          <w:lang w:val="zh-CN"/>
        </w:rPr>
      </w:pPr>
      <w:r>
        <w:rPr>
          <w:rFonts w:hint="eastAsia"/>
        </w:rPr>
        <w:t>6.法律、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w:t>
      </w:r>
    </w:p>
    <w:p>
      <w:pPr>
        <w:pStyle w:val="40"/>
        <w:spacing w:line="460" w:lineRule="exact"/>
        <w:ind w:firstLine="480" w:firstLineChars="200"/>
        <w:rPr>
          <w:lang w:val="zh-CN"/>
        </w:rPr>
      </w:pPr>
      <w:r>
        <w:rPr>
          <w:rFonts w:hint="eastAsia"/>
        </w:rPr>
        <w:t>(二)</w:t>
      </w:r>
      <w:r>
        <w:rPr>
          <w:rFonts w:hint="eastAsia"/>
          <w:lang w:val="zh-CN"/>
        </w:rPr>
        <w:t>本项目的特定资格要求：</w:t>
      </w:r>
    </w:p>
    <w:p>
      <w:pPr>
        <w:pStyle w:val="40"/>
        <w:spacing w:line="460" w:lineRule="exact"/>
        <w:ind w:firstLine="480" w:firstLineChars="200"/>
        <w:rPr>
          <w:lang w:val="zh-CN"/>
        </w:rPr>
      </w:pPr>
      <w:r>
        <w:rPr>
          <w:rFonts w:hint="eastAsia"/>
        </w:rPr>
        <w:t>1.具有国家行政主管部门颁发</w:t>
      </w:r>
      <w:r>
        <w:rPr>
          <w:rFonts w:hint="eastAsia"/>
          <w:lang w:val="en-US" w:eastAsia="zh-CN"/>
        </w:rPr>
        <w:t>有效</w:t>
      </w:r>
      <w:r>
        <w:rPr>
          <w:rFonts w:hint="eastAsia"/>
        </w:rPr>
        <w:t>的城乡规划编制乙级或以上资质</w:t>
      </w:r>
      <w:r>
        <w:rPr>
          <w:rFonts w:hint="eastAsia"/>
          <w:lang w:val="zh-CN"/>
        </w:rPr>
        <w:t>。</w:t>
      </w:r>
    </w:p>
    <w:p>
      <w:pPr>
        <w:pStyle w:val="40"/>
        <w:spacing w:line="460" w:lineRule="exact"/>
        <w:ind w:firstLine="480" w:firstLineChars="200"/>
        <w:rPr>
          <w:lang w:val="zh-CN"/>
        </w:rPr>
      </w:pPr>
      <w:r>
        <w:rPr>
          <w:rFonts w:hint="eastAsia"/>
        </w:rPr>
        <w:t>2.本项目不接受联合体参加磋商。</w:t>
      </w:r>
    </w:p>
    <w:p>
      <w:pPr>
        <w:pStyle w:val="40"/>
        <w:numPr>
          <w:ilvl w:val="0"/>
          <w:numId w:val="7"/>
        </w:numPr>
        <w:spacing w:line="410" w:lineRule="exact"/>
        <w:ind w:firstLine="482" w:firstLineChars="200"/>
        <w:rPr>
          <w:b/>
          <w:bCs/>
        </w:rPr>
      </w:pPr>
      <w:r>
        <w:rPr>
          <w:rFonts w:hint="eastAsia"/>
          <w:b/>
          <w:bCs/>
        </w:rPr>
        <w:t>禁止参加本次采购活动的供应商</w:t>
      </w:r>
    </w:p>
    <w:p>
      <w:pPr>
        <w:pStyle w:val="31"/>
        <w:spacing w:line="420" w:lineRule="exact"/>
        <w:ind w:firstLine="480" w:firstLineChars="200"/>
      </w:pPr>
      <w:bookmarkStart w:id="13" w:name="PO_默认文件内容_4"/>
      <w:r>
        <w:rPr>
          <w:rFonts w:hint="eastAsia"/>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报名参加本项目的采购活动。</w:t>
      </w:r>
    </w:p>
    <w:bookmarkEnd w:id="13"/>
    <w:p>
      <w:pPr>
        <w:pStyle w:val="40"/>
        <w:numPr>
          <w:ilvl w:val="0"/>
          <w:numId w:val="7"/>
        </w:numPr>
        <w:spacing w:line="410" w:lineRule="exact"/>
        <w:ind w:firstLine="482" w:firstLineChars="200"/>
        <w:rPr>
          <w:b/>
          <w:bCs/>
        </w:rPr>
      </w:pPr>
      <w:r>
        <w:rPr>
          <w:rFonts w:hint="eastAsia"/>
          <w:b/>
          <w:bCs/>
        </w:rPr>
        <w:t>获取磋商文件的时间期限、地点、方式及磋商文件售价</w:t>
      </w:r>
    </w:p>
    <w:p>
      <w:pPr>
        <w:pStyle w:val="40"/>
        <w:ind w:firstLine="482" w:firstLineChars="200"/>
        <w:rPr>
          <w:rFonts w:hint="eastAsia" w:eastAsia="宋体"/>
          <w:highlight w:val="none"/>
          <w:lang w:val="zh-CN" w:eastAsia="zh-CN"/>
        </w:rPr>
      </w:pPr>
      <w:r>
        <w:rPr>
          <w:rFonts w:hint="eastAsia"/>
          <w:b/>
          <w:bCs/>
        </w:rPr>
        <w:t>(一)获取磋商文件的时间期限(即报名时间)</w:t>
      </w:r>
      <w:r>
        <w:rPr>
          <w:rFonts w:hint="eastAsia"/>
        </w:rPr>
        <w:t>：</w:t>
      </w:r>
      <w:r>
        <w:rPr>
          <w:rFonts w:hint="eastAsia"/>
          <w:highlight w:val="none"/>
          <w:u w:val="single"/>
        </w:rPr>
        <w:t>2021</w:t>
      </w:r>
      <w:r>
        <w:rPr>
          <w:rFonts w:hint="eastAsia"/>
          <w:highlight w:val="yellow"/>
          <w:u w:val="single"/>
        </w:rPr>
        <w:t>年</w:t>
      </w:r>
      <w:r>
        <w:rPr>
          <w:rFonts w:hint="eastAsia"/>
          <w:highlight w:val="yellow"/>
          <w:u w:val="single"/>
          <w:lang w:val="en-US" w:eastAsia="zh-CN"/>
        </w:rPr>
        <w:t>7</w:t>
      </w:r>
      <w:r>
        <w:rPr>
          <w:rFonts w:hint="eastAsia"/>
          <w:highlight w:val="yellow"/>
          <w:u w:val="single"/>
        </w:rPr>
        <w:t>月</w:t>
      </w:r>
      <w:r>
        <w:rPr>
          <w:rFonts w:hint="eastAsia"/>
          <w:highlight w:val="yellow"/>
          <w:u w:val="single"/>
          <w:lang w:val="en-US" w:eastAsia="zh-CN"/>
        </w:rPr>
        <w:t>12</w:t>
      </w:r>
      <w:r>
        <w:rPr>
          <w:rFonts w:hint="eastAsia"/>
          <w:highlight w:val="yellow"/>
          <w:u w:val="single"/>
        </w:rPr>
        <w:t>日至2021年</w:t>
      </w:r>
      <w:r>
        <w:rPr>
          <w:rFonts w:hint="eastAsia"/>
          <w:highlight w:val="yellow"/>
          <w:u w:val="single"/>
          <w:lang w:val="en-US" w:eastAsia="zh-CN"/>
        </w:rPr>
        <w:t>7</w:t>
      </w:r>
      <w:r>
        <w:rPr>
          <w:rFonts w:hint="eastAsia"/>
          <w:highlight w:val="yellow"/>
          <w:u w:val="single"/>
        </w:rPr>
        <w:t>月</w:t>
      </w:r>
      <w:r>
        <w:rPr>
          <w:rFonts w:hint="eastAsia"/>
          <w:highlight w:val="yellow"/>
          <w:u w:val="single"/>
          <w:lang w:val="en-US" w:eastAsia="zh-CN"/>
        </w:rPr>
        <w:t>16</w:t>
      </w:r>
      <w:r>
        <w:rPr>
          <w:rFonts w:hint="eastAsia"/>
          <w:highlight w:val="yellow"/>
          <w:u w:val="single"/>
        </w:rPr>
        <w:t>日</w:t>
      </w:r>
      <w:r>
        <w:rPr>
          <w:rFonts w:hint="eastAsia"/>
          <w:highlight w:val="none"/>
          <w:u w:val="single"/>
        </w:rPr>
        <w:t>，每天上午9时00分至12时00分，下午14时00分至17时00分(北京时间，法定节假日除外)。</w:t>
      </w:r>
    </w:p>
    <w:p>
      <w:pPr>
        <w:pStyle w:val="40"/>
        <w:ind w:firstLine="482" w:firstLineChars="200"/>
        <w:rPr>
          <w:lang w:val="zh-CN"/>
        </w:rPr>
      </w:pPr>
      <w:r>
        <w:rPr>
          <w:rFonts w:hint="eastAsia"/>
          <w:b/>
          <w:bCs/>
        </w:rPr>
        <w:t>(二)获取磋商文件的地点：</w:t>
      </w:r>
      <w:r>
        <w:rPr>
          <w:rFonts w:hint="eastAsia"/>
        </w:rPr>
        <w:t>成都公恒信工程项目管理有限公司</w:t>
      </w:r>
      <w:r>
        <w:rPr>
          <w:rFonts w:hint="eastAsia"/>
          <w:lang w:val="zh-CN"/>
        </w:rPr>
        <w:t>。</w:t>
      </w:r>
    </w:p>
    <w:p>
      <w:pPr>
        <w:pStyle w:val="40"/>
        <w:spacing w:line="460" w:lineRule="exact"/>
        <w:ind w:firstLine="482" w:firstLineChars="200"/>
        <w:rPr>
          <w:b/>
          <w:bCs/>
        </w:rPr>
      </w:pPr>
      <w:r>
        <w:rPr>
          <w:rFonts w:hint="eastAsia"/>
          <w:b/>
          <w:bCs/>
        </w:rPr>
        <w:t>(三)获取磋商文件的方式：</w:t>
      </w:r>
    </w:p>
    <w:p>
      <w:pPr>
        <w:pStyle w:val="40"/>
        <w:numPr>
          <w:ilvl w:val="0"/>
          <w:numId w:val="9"/>
        </w:numPr>
        <w:tabs>
          <w:tab w:val="clear" w:pos="312"/>
        </w:tabs>
        <w:spacing w:line="460" w:lineRule="exact"/>
        <w:ind w:firstLine="480" w:firstLineChars="200"/>
      </w:pPr>
      <w:r>
        <w:rPr>
          <w:rFonts w:hint="eastAsia"/>
        </w:rPr>
        <w:t>现场办理获取磋商文件：供应商现场获取磋商文件时应出示针对本项目的单位介绍信原件(须注明项目名称、项目编号、联系人及联系电话、电子邮箱)、加盖供应商单位公章的经办人身份证复印件并出示身份证原件。</w:t>
      </w:r>
    </w:p>
    <w:p>
      <w:pPr>
        <w:pStyle w:val="40"/>
        <w:numPr>
          <w:ilvl w:val="0"/>
          <w:numId w:val="9"/>
        </w:numPr>
        <w:tabs>
          <w:tab w:val="clear" w:pos="312"/>
        </w:tabs>
        <w:spacing w:line="460" w:lineRule="exact"/>
        <w:ind w:firstLine="480" w:firstLineChars="200"/>
      </w:pPr>
      <w:r>
        <w:rPr>
          <w:rFonts w:hint="eastAsia"/>
        </w:rPr>
        <w:t>网上(远程)办理获取磋商文件，具体办理流程如下：</w:t>
      </w:r>
    </w:p>
    <w:p>
      <w:pPr>
        <w:pStyle w:val="40"/>
        <w:spacing w:line="460" w:lineRule="exact"/>
        <w:ind w:firstLine="480" w:firstLineChars="200"/>
      </w:pPr>
      <w:r>
        <w:rPr>
          <w:rFonts w:hint="eastAsia"/>
        </w:rPr>
        <w:t>(1)供应商网上(远程)办理获取磋商文件时，请先自行下载公告附件中的《报名信息登记表》、《介绍信(格式)》，并按相关要求填写信息(单位名称、经办人姓名、经办人手机号、单位座机及传真号、电子邮箱等)；若公告链接中无附件下载，请联系报名咨询电话。</w:t>
      </w:r>
    </w:p>
    <w:p>
      <w:pPr>
        <w:pStyle w:val="40"/>
        <w:spacing w:line="460" w:lineRule="exact"/>
        <w:ind w:firstLine="480" w:firstLineChars="200"/>
      </w:pPr>
      <w:r>
        <w:fldChar w:fldCharType="begin"/>
      </w:r>
      <w:r>
        <w:instrText xml:space="preserve"> HYPERLINK "mailto:（2）将已填写的《报名信息登记表》、《介绍信》（附经办人身份证）加盖供应商单位公章后发送至scqxzb_bm@163.com。" </w:instrText>
      </w:r>
      <w:r>
        <w:fldChar w:fldCharType="separate"/>
      </w:r>
      <w:r>
        <w:rPr>
          <w:rFonts w:hint="eastAsia"/>
        </w:rPr>
        <w:t>(2)将已填写的《报名信息登记表》、《介绍信》(附经办人身份证复印件)加盖供应商单位公章后扫描成图片发送至scghxzb@163.com。</w:t>
      </w:r>
      <w:r>
        <w:rPr>
          <w:rFonts w:hint="eastAsia"/>
        </w:rPr>
        <w:fldChar w:fldCharType="end"/>
      </w:r>
    </w:p>
    <w:p>
      <w:pPr>
        <w:pStyle w:val="40"/>
        <w:spacing w:line="460" w:lineRule="exact"/>
        <w:ind w:firstLine="482" w:firstLineChars="200"/>
        <w:rPr>
          <w:b/>
          <w:bCs/>
        </w:rPr>
      </w:pPr>
      <w:r>
        <w:rPr>
          <w:rFonts w:hint="eastAsia"/>
          <w:b/>
          <w:bCs/>
        </w:rPr>
        <w:t>注：《报名信息登记表》、《介绍信》(附经办人身份证复印件)加盖单位公章的原件请于磋商当日交至成都公恒信工程项目管理有限公司采购文件发售办理处。</w:t>
      </w:r>
    </w:p>
    <w:p>
      <w:pPr>
        <w:pStyle w:val="40"/>
        <w:spacing w:line="460" w:lineRule="exact"/>
        <w:ind w:firstLine="482" w:firstLineChars="200"/>
        <w:rPr>
          <w:b/>
          <w:bCs/>
          <w:lang w:val="zh-CN"/>
        </w:rPr>
      </w:pPr>
      <w:r>
        <w:rPr>
          <w:rFonts w:hint="eastAsia"/>
          <w:b/>
          <w:bCs/>
        </w:rPr>
        <w:t>2.报名咨询电话：</w:t>
      </w:r>
      <w:r>
        <w:rPr>
          <w:rFonts w:hint="eastAsia"/>
          <w:b/>
          <w:bCs/>
          <w:lang w:val="zh-CN"/>
        </w:rPr>
        <w:t>028-85032683/13808171894。</w:t>
      </w:r>
    </w:p>
    <w:p>
      <w:pPr>
        <w:pStyle w:val="40"/>
        <w:ind w:firstLine="482" w:firstLineChars="200"/>
      </w:pPr>
      <w:r>
        <w:rPr>
          <w:rFonts w:hint="eastAsia"/>
          <w:b/>
          <w:bCs/>
        </w:rPr>
        <w:t>(四)</w:t>
      </w:r>
      <w:r>
        <w:rPr>
          <w:rFonts w:hint="eastAsia"/>
          <w:b/>
          <w:bCs/>
          <w:lang w:val="zh-CN"/>
        </w:rPr>
        <w:t>磋商文件售价：</w:t>
      </w:r>
      <w:r>
        <w:rPr>
          <w:rFonts w:hint="eastAsia"/>
        </w:rPr>
        <w:t>免费获取</w:t>
      </w:r>
      <w:r>
        <w:rPr>
          <w:rFonts w:hint="eastAsia"/>
          <w:lang w:val="zh-CN"/>
        </w:rPr>
        <w:t>(</w:t>
      </w:r>
      <w:r>
        <w:rPr>
          <w:rFonts w:hint="eastAsia"/>
        </w:rPr>
        <w:t>含邮寄，</w:t>
      </w:r>
      <w:r>
        <w:rPr>
          <w:rFonts w:hint="eastAsia"/>
          <w:lang w:val="zh-CN"/>
        </w:rPr>
        <w:t xml:space="preserve">磋商文件售后不退, </w:t>
      </w:r>
      <w:r>
        <w:rPr>
          <w:rFonts w:hint="eastAsia"/>
        </w:rPr>
        <w:t>磋商资格不得转让)。</w:t>
      </w:r>
    </w:p>
    <w:p>
      <w:pPr>
        <w:pStyle w:val="40"/>
        <w:ind w:firstLine="482" w:firstLineChars="200"/>
        <w:rPr>
          <w:highlight w:val="none"/>
        </w:rPr>
      </w:pPr>
      <w:r>
        <w:rPr>
          <w:rFonts w:hint="eastAsia"/>
          <w:b/>
          <w:bCs/>
        </w:rPr>
        <w:t>(五)</w:t>
      </w:r>
      <w:r>
        <w:rPr>
          <w:rFonts w:hint="eastAsia"/>
        </w:rPr>
        <w:t>供应商应在规定的时间内按上述要求获取本磋商文件并登记，否则均无资格参加该项目。</w:t>
      </w:r>
    </w:p>
    <w:p>
      <w:pPr>
        <w:pStyle w:val="40"/>
        <w:numPr>
          <w:ilvl w:val="0"/>
          <w:numId w:val="7"/>
        </w:numPr>
        <w:spacing w:line="410" w:lineRule="exact"/>
        <w:ind w:firstLine="482" w:firstLineChars="200"/>
        <w:rPr>
          <w:b/>
          <w:bCs/>
          <w:highlight w:val="none"/>
        </w:rPr>
      </w:pPr>
      <w:r>
        <w:rPr>
          <w:rFonts w:hint="eastAsia"/>
          <w:b/>
          <w:bCs/>
          <w:highlight w:val="none"/>
        </w:rPr>
        <w:t>竞争性磋商响应文件递交的截止时间：2021年</w:t>
      </w:r>
      <w:r>
        <w:rPr>
          <w:rFonts w:hint="eastAsia"/>
          <w:b/>
          <w:bCs/>
          <w:highlight w:val="none"/>
          <w:lang w:val="en-US" w:eastAsia="zh-CN"/>
        </w:rPr>
        <w:t>7</w:t>
      </w:r>
      <w:r>
        <w:rPr>
          <w:rFonts w:hint="eastAsia"/>
          <w:b/>
          <w:bCs/>
          <w:highlight w:val="yellow"/>
        </w:rPr>
        <w:t>月</w:t>
      </w:r>
      <w:r>
        <w:rPr>
          <w:rFonts w:hint="eastAsia"/>
          <w:b/>
          <w:bCs/>
          <w:highlight w:val="yellow"/>
          <w:lang w:val="en-US" w:eastAsia="zh-CN"/>
        </w:rPr>
        <w:t>22</w:t>
      </w:r>
      <w:r>
        <w:rPr>
          <w:rFonts w:hint="eastAsia"/>
          <w:b/>
          <w:bCs/>
          <w:highlight w:val="yellow"/>
        </w:rPr>
        <w:t>日</w:t>
      </w:r>
      <w:r>
        <w:rPr>
          <w:rFonts w:hint="eastAsia"/>
          <w:b/>
          <w:bCs/>
          <w:highlight w:val="none"/>
        </w:rPr>
        <w:t>10时</w:t>
      </w:r>
      <w:r>
        <w:rPr>
          <w:rFonts w:hint="eastAsia"/>
          <w:b/>
          <w:bCs/>
          <w:highlight w:val="none"/>
          <w:lang w:val="en-US" w:eastAsia="zh-CN"/>
        </w:rPr>
        <w:t>3</w:t>
      </w:r>
      <w:r>
        <w:rPr>
          <w:rFonts w:hint="eastAsia"/>
          <w:b/>
          <w:bCs/>
          <w:highlight w:val="none"/>
        </w:rPr>
        <w:t>0分(北京时间)</w:t>
      </w:r>
    </w:p>
    <w:p>
      <w:pPr>
        <w:pStyle w:val="43"/>
        <w:spacing w:line="410" w:lineRule="exact"/>
        <w:ind w:firstLine="482"/>
        <w:rPr>
          <w:b/>
          <w:bCs/>
          <w:highlight w:val="none"/>
        </w:rPr>
      </w:pPr>
      <w:r>
        <w:rPr>
          <w:rFonts w:hint="eastAsia"/>
          <w:b/>
          <w:bCs/>
          <w:highlight w:val="none"/>
        </w:rPr>
        <w:t>响应文件递交的起止时间：磋商当日</w:t>
      </w:r>
      <w:r>
        <w:rPr>
          <w:rFonts w:hint="eastAsia"/>
          <w:b/>
          <w:bCs/>
          <w:highlight w:val="none"/>
          <w:lang w:val="en-US" w:eastAsia="zh-CN"/>
        </w:rPr>
        <w:t>10</w:t>
      </w:r>
      <w:r>
        <w:rPr>
          <w:rFonts w:hint="eastAsia"/>
          <w:b/>
          <w:bCs/>
          <w:highlight w:val="none"/>
        </w:rPr>
        <w:t>时</w:t>
      </w:r>
      <w:r>
        <w:rPr>
          <w:rFonts w:hint="eastAsia"/>
          <w:b/>
          <w:bCs/>
          <w:highlight w:val="none"/>
          <w:lang w:val="en-US" w:eastAsia="zh-CN"/>
        </w:rPr>
        <w:t>0</w:t>
      </w:r>
      <w:r>
        <w:rPr>
          <w:rFonts w:hint="eastAsia"/>
          <w:b/>
          <w:bCs/>
          <w:highlight w:val="none"/>
        </w:rPr>
        <w:t>0分-10时</w:t>
      </w:r>
      <w:r>
        <w:rPr>
          <w:rFonts w:hint="eastAsia"/>
          <w:b/>
          <w:bCs/>
          <w:highlight w:val="none"/>
          <w:lang w:val="en-US" w:eastAsia="zh-CN"/>
        </w:rPr>
        <w:t>3</w:t>
      </w:r>
      <w:r>
        <w:rPr>
          <w:rFonts w:hint="eastAsia"/>
          <w:b/>
          <w:bCs/>
          <w:highlight w:val="none"/>
        </w:rPr>
        <w:t>0分(北京时间)；</w:t>
      </w:r>
    </w:p>
    <w:p>
      <w:pPr>
        <w:pStyle w:val="43"/>
        <w:spacing w:line="410" w:lineRule="exact"/>
        <w:ind w:firstLine="482"/>
        <w:rPr>
          <w:b/>
          <w:bCs/>
          <w:highlight w:val="none"/>
        </w:rPr>
      </w:pPr>
      <w:r>
        <w:rPr>
          <w:rFonts w:hint="eastAsia"/>
          <w:b/>
          <w:bCs/>
          <w:highlight w:val="none"/>
        </w:rPr>
        <w:t>开启时间：磋商小组组建后立即开启；</w:t>
      </w:r>
    </w:p>
    <w:p>
      <w:pPr>
        <w:pStyle w:val="43"/>
        <w:spacing w:line="410" w:lineRule="exact"/>
        <w:ind w:firstLine="482"/>
        <w:rPr>
          <w:highlight w:val="none"/>
        </w:rPr>
      </w:pPr>
      <w:r>
        <w:rPr>
          <w:rFonts w:hint="eastAsia"/>
          <w:b/>
          <w:bCs/>
          <w:highlight w:val="none"/>
        </w:rPr>
        <w:t>响应文件递交的地点：</w:t>
      </w:r>
      <w:r>
        <w:rPr>
          <w:rFonts w:hint="eastAsia"/>
          <w:highlight w:val="none"/>
        </w:rPr>
        <w:t>成都市武侯区金履一路218号优博广场1栋405室本项目会议室；</w:t>
      </w:r>
    </w:p>
    <w:p>
      <w:pPr>
        <w:pStyle w:val="43"/>
        <w:spacing w:line="410" w:lineRule="exact"/>
        <w:rPr>
          <w:highlight w:val="none"/>
        </w:rPr>
      </w:pPr>
      <w:r>
        <w:rPr>
          <w:rFonts w:hint="eastAsia"/>
          <w:highlight w:val="none"/>
        </w:rPr>
        <w:t>供应商应当在磋商文件要求的截止时间前，将响应文件密封送达指定地点。在截止时间后送达的响应文件为无效文件，将被采购代理机构拒收。</w:t>
      </w:r>
    </w:p>
    <w:p>
      <w:pPr>
        <w:pStyle w:val="40"/>
        <w:numPr>
          <w:ilvl w:val="0"/>
          <w:numId w:val="7"/>
        </w:numPr>
        <w:spacing w:line="410" w:lineRule="exact"/>
        <w:ind w:firstLine="482" w:firstLineChars="200"/>
        <w:rPr>
          <w:b/>
          <w:bCs/>
        </w:rPr>
      </w:pPr>
      <w:r>
        <w:rPr>
          <w:rFonts w:hint="eastAsia"/>
          <w:b/>
          <w:bCs/>
          <w:highlight w:val="none"/>
        </w:rPr>
        <w:t>磋商时间：2021年</w:t>
      </w:r>
      <w:r>
        <w:rPr>
          <w:rFonts w:hint="eastAsia"/>
          <w:b/>
          <w:bCs/>
          <w:highlight w:val="none"/>
          <w:lang w:val="en-US" w:eastAsia="zh-CN"/>
        </w:rPr>
        <w:t>7</w:t>
      </w:r>
      <w:r>
        <w:rPr>
          <w:rFonts w:hint="eastAsia"/>
          <w:b/>
          <w:bCs/>
          <w:highlight w:val="yellow"/>
        </w:rPr>
        <w:t>月</w:t>
      </w:r>
      <w:r>
        <w:rPr>
          <w:rFonts w:hint="eastAsia"/>
          <w:b/>
          <w:bCs/>
          <w:highlight w:val="yellow"/>
          <w:lang w:val="en-US" w:eastAsia="zh-CN"/>
        </w:rPr>
        <w:t>22</w:t>
      </w:r>
      <w:r>
        <w:rPr>
          <w:rFonts w:hint="eastAsia"/>
          <w:b/>
          <w:bCs/>
          <w:highlight w:val="yellow"/>
        </w:rPr>
        <w:t>日</w:t>
      </w:r>
      <w:r>
        <w:rPr>
          <w:rFonts w:hint="eastAsia"/>
          <w:b/>
          <w:bCs/>
          <w:highlight w:val="none"/>
        </w:rPr>
        <w:t>10时</w:t>
      </w:r>
      <w:r>
        <w:rPr>
          <w:rFonts w:hint="eastAsia"/>
          <w:b/>
          <w:bCs/>
          <w:highlight w:val="none"/>
          <w:lang w:val="en-US" w:eastAsia="zh-CN"/>
        </w:rPr>
        <w:t>3</w:t>
      </w:r>
      <w:r>
        <w:rPr>
          <w:rFonts w:hint="eastAsia"/>
          <w:b/>
          <w:bCs/>
          <w:highlight w:val="none"/>
        </w:rPr>
        <w:t>0分(北京</w:t>
      </w:r>
      <w:r>
        <w:rPr>
          <w:rFonts w:hint="eastAsia"/>
          <w:b/>
          <w:bCs/>
        </w:rPr>
        <w:t>时间)。</w:t>
      </w:r>
    </w:p>
    <w:p>
      <w:pPr>
        <w:pStyle w:val="40"/>
        <w:numPr>
          <w:ilvl w:val="0"/>
          <w:numId w:val="7"/>
        </w:numPr>
        <w:spacing w:line="410" w:lineRule="exact"/>
        <w:ind w:firstLine="482" w:firstLineChars="200"/>
        <w:rPr>
          <w:b/>
          <w:bCs/>
        </w:rPr>
      </w:pPr>
      <w:r>
        <w:rPr>
          <w:rFonts w:hint="eastAsia"/>
          <w:b/>
          <w:bCs/>
        </w:rPr>
        <w:t>磋商地点：</w:t>
      </w:r>
      <w:r>
        <w:rPr>
          <w:rFonts w:hint="eastAsia"/>
        </w:rPr>
        <w:t>成都市武侯区金履一路218号优博广场1栋405室本项目会议室。</w:t>
      </w:r>
    </w:p>
    <w:p>
      <w:pPr>
        <w:pStyle w:val="40"/>
        <w:numPr>
          <w:ilvl w:val="0"/>
          <w:numId w:val="7"/>
        </w:numPr>
        <w:spacing w:line="410" w:lineRule="exact"/>
        <w:ind w:firstLine="482" w:firstLineChars="200"/>
      </w:pPr>
      <w:r>
        <w:rPr>
          <w:rFonts w:hint="eastAsia"/>
          <w:b/>
          <w:bCs/>
        </w:rPr>
        <w:t>采购信息发布媒体：</w:t>
      </w:r>
      <w:r>
        <w:rPr>
          <w:rFonts w:hint="eastAsia"/>
        </w:rPr>
        <w:t>“四川政府采购网”。</w:t>
      </w:r>
    </w:p>
    <w:p>
      <w:pPr>
        <w:pStyle w:val="40"/>
        <w:numPr>
          <w:ilvl w:val="0"/>
          <w:numId w:val="7"/>
        </w:numPr>
        <w:spacing w:line="410" w:lineRule="exact"/>
        <w:ind w:firstLine="482" w:firstLineChars="200"/>
        <w:rPr>
          <w:b/>
          <w:bCs/>
        </w:rPr>
      </w:pPr>
      <w:r>
        <w:rPr>
          <w:rFonts w:hint="eastAsia"/>
          <w:b/>
          <w:bCs/>
        </w:rPr>
        <w:t>供应商信用融资：</w:t>
      </w:r>
    </w:p>
    <w:p>
      <w:pPr>
        <w:pStyle w:val="43"/>
        <w:spacing w:line="420" w:lineRule="exact"/>
        <w:jc w:val="both"/>
      </w:pPr>
      <w:r>
        <w:rPr>
          <w:rFonts w:hint="eastAsia"/>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pPr>
        <w:pStyle w:val="40"/>
        <w:numPr>
          <w:ilvl w:val="0"/>
          <w:numId w:val="7"/>
        </w:numPr>
        <w:spacing w:line="410" w:lineRule="exact"/>
        <w:ind w:firstLine="482" w:firstLineChars="200"/>
        <w:rPr>
          <w:b/>
          <w:bCs/>
        </w:rPr>
      </w:pPr>
      <w:r>
        <w:rPr>
          <w:rFonts w:hint="eastAsia"/>
          <w:b/>
          <w:bCs/>
        </w:rPr>
        <w:t>凡对本次采购提出询问，请按以下方式联系。</w:t>
      </w:r>
    </w:p>
    <w:p>
      <w:pPr>
        <w:pStyle w:val="40"/>
        <w:spacing w:line="460" w:lineRule="exact"/>
        <w:ind w:firstLine="480" w:firstLineChars="200"/>
      </w:pPr>
      <w:r>
        <w:rPr>
          <w:rFonts w:hint="eastAsia"/>
        </w:rPr>
        <w:t>(一)采购人信息</w:t>
      </w:r>
    </w:p>
    <w:p>
      <w:pPr>
        <w:pStyle w:val="40"/>
        <w:spacing w:line="460" w:lineRule="exact"/>
        <w:ind w:firstLine="480" w:firstLineChars="200"/>
        <w:rPr>
          <w:highlight w:val="none"/>
        </w:rPr>
      </w:pPr>
      <w:r>
        <w:rPr>
          <w:rFonts w:hint="eastAsia"/>
          <w:highlight w:val="none"/>
        </w:rPr>
        <w:t>名    称：成都市武侯区公园城市建设和城市更新局</w:t>
      </w:r>
    </w:p>
    <w:p>
      <w:pPr>
        <w:pStyle w:val="40"/>
        <w:spacing w:line="460" w:lineRule="exact"/>
        <w:ind w:firstLine="480" w:firstLineChars="200"/>
        <w:rPr>
          <w:highlight w:val="none"/>
        </w:rPr>
      </w:pPr>
      <w:r>
        <w:rPr>
          <w:rFonts w:hint="eastAsia"/>
          <w:highlight w:val="none"/>
        </w:rPr>
        <w:t xml:space="preserve">地    址：成都市武侯区龙江路11号 </w:t>
      </w:r>
    </w:p>
    <w:p>
      <w:pPr>
        <w:pStyle w:val="40"/>
        <w:spacing w:line="460" w:lineRule="exact"/>
        <w:ind w:firstLine="480" w:firstLineChars="200"/>
        <w:rPr>
          <w:highlight w:val="none"/>
        </w:rPr>
      </w:pPr>
      <w:r>
        <w:rPr>
          <w:rFonts w:hint="eastAsia"/>
          <w:highlight w:val="none"/>
        </w:rPr>
        <w:t>联 系 人：</w:t>
      </w:r>
      <w:r>
        <w:rPr>
          <w:rFonts w:hint="eastAsia"/>
          <w:highlight w:val="none"/>
          <w:lang w:val="en-US" w:eastAsia="zh-CN"/>
        </w:rPr>
        <w:t>王先生</w:t>
      </w:r>
      <w:r>
        <w:rPr>
          <w:rFonts w:hint="eastAsia"/>
          <w:highlight w:val="none"/>
        </w:rPr>
        <w:t xml:space="preserve"> </w:t>
      </w:r>
    </w:p>
    <w:p>
      <w:pPr>
        <w:pStyle w:val="40"/>
        <w:spacing w:line="460" w:lineRule="exact"/>
        <w:ind w:firstLine="480" w:firstLineChars="200"/>
        <w:rPr>
          <w:highlight w:val="none"/>
        </w:rPr>
      </w:pPr>
      <w:r>
        <w:rPr>
          <w:rFonts w:hint="eastAsia"/>
          <w:highlight w:val="none"/>
        </w:rPr>
        <w:t>联系方式：</w:t>
      </w:r>
      <w:r>
        <w:rPr>
          <w:rFonts w:hint="eastAsia"/>
          <w:highlight w:val="none"/>
          <w:lang w:val="en-US" w:eastAsia="zh-CN"/>
        </w:rPr>
        <w:t>028-85446218</w:t>
      </w:r>
    </w:p>
    <w:p>
      <w:pPr>
        <w:pStyle w:val="40"/>
        <w:spacing w:line="460" w:lineRule="exact"/>
        <w:ind w:firstLine="480" w:firstLineChars="200"/>
      </w:pPr>
      <w:r>
        <w:rPr>
          <w:rFonts w:hint="eastAsia"/>
        </w:rPr>
        <w:t>(二)采购代理机构信息</w:t>
      </w:r>
    </w:p>
    <w:p>
      <w:pPr>
        <w:pStyle w:val="40"/>
        <w:spacing w:line="460" w:lineRule="exact"/>
        <w:ind w:firstLine="480" w:firstLineChars="200"/>
      </w:pPr>
      <w:r>
        <w:rPr>
          <w:rFonts w:hint="eastAsia"/>
        </w:rPr>
        <w:t>名    称：成都公恒信工程项目管理有限公司</w:t>
      </w:r>
    </w:p>
    <w:p>
      <w:pPr>
        <w:pStyle w:val="40"/>
        <w:spacing w:line="460" w:lineRule="exact"/>
        <w:ind w:firstLine="480" w:firstLineChars="200"/>
      </w:pPr>
      <w:r>
        <w:rPr>
          <w:rFonts w:hint="eastAsia"/>
        </w:rPr>
        <w:t>地    址：</w:t>
      </w:r>
      <w:r>
        <w:rPr>
          <w:rFonts w:hint="eastAsia"/>
          <w:lang w:val="zh-CN"/>
        </w:rPr>
        <w:t>成都市武侯区金履一路218号优博广场1栋405室</w:t>
      </w:r>
    </w:p>
    <w:p>
      <w:pPr>
        <w:pStyle w:val="40"/>
        <w:spacing w:line="460" w:lineRule="exact"/>
        <w:ind w:firstLine="480" w:firstLineChars="200"/>
      </w:pPr>
      <w:r>
        <w:rPr>
          <w:rFonts w:hint="eastAsia"/>
        </w:rPr>
        <w:t>联 系 人：欧女士</w:t>
      </w:r>
    </w:p>
    <w:p>
      <w:pPr>
        <w:pStyle w:val="40"/>
        <w:spacing w:line="460" w:lineRule="exact"/>
        <w:ind w:firstLine="480" w:firstLineChars="200"/>
      </w:pPr>
      <w:r>
        <w:rPr>
          <w:rFonts w:hint="eastAsia"/>
          <w:lang w:val="zh-CN"/>
        </w:rPr>
        <w:t>联系电话：028-85032683/13808171894</w:t>
      </w:r>
    </w:p>
    <w:p>
      <w:pPr>
        <w:pStyle w:val="40"/>
        <w:spacing w:line="460" w:lineRule="exact"/>
        <w:ind w:firstLine="480" w:firstLineChars="200"/>
      </w:pPr>
      <w:r>
        <w:rPr>
          <w:rFonts w:hint="eastAsia"/>
          <w:lang w:val="zh-CN"/>
        </w:rPr>
        <w:t>电子邮件</w:t>
      </w:r>
      <w:r>
        <w:rPr>
          <w:rFonts w:hint="eastAsia"/>
        </w:rPr>
        <w:t>：</w:t>
      </w:r>
      <w:r>
        <w:fldChar w:fldCharType="begin"/>
      </w:r>
      <w:r>
        <w:instrText xml:space="preserve"> HYPERLINK "mailto:scqxzb@163.com" </w:instrText>
      </w:r>
      <w:r>
        <w:fldChar w:fldCharType="separate"/>
      </w:r>
      <w:r>
        <w:rPr>
          <w:rFonts w:hint="eastAsia"/>
        </w:rPr>
        <w:t>scghxzb@163.com</w:t>
      </w:r>
      <w:r>
        <w:rPr>
          <w:rFonts w:hint="eastAsia"/>
        </w:rPr>
        <w:fldChar w:fldCharType="end"/>
      </w:r>
    </w:p>
    <w:p>
      <w:pPr>
        <w:pStyle w:val="45"/>
        <w:spacing w:before="120" w:after="120"/>
      </w:pPr>
      <w:r>
        <w:rPr>
          <w:rFonts w:hint="eastAsia"/>
        </w:rPr>
        <w:br w:type="page"/>
      </w:r>
      <w:bookmarkEnd w:id="8"/>
      <w:bookmarkEnd w:id="9"/>
      <w:bookmarkEnd w:id="10"/>
      <w:bookmarkEnd w:id="11"/>
      <w:bookmarkEnd w:id="12"/>
      <w:bookmarkStart w:id="14" w:name="_Toc28508"/>
      <w:bookmarkStart w:id="15" w:name="_Toc8252"/>
      <w:bookmarkStart w:id="16" w:name="_Toc7066"/>
      <w:r>
        <w:rPr>
          <w:rFonts w:hint="eastAsia" w:asciiTheme="minorEastAsia" w:hAnsiTheme="minorEastAsia" w:eastAsiaTheme="minorEastAsia" w:cstheme="minorEastAsia"/>
          <w:color w:val="000000"/>
          <w:szCs w:val="36"/>
        </w:rPr>
        <w:t>磋商须知</w:t>
      </w:r>
      <w:bookmarkEnd w:id="14"/>
      <w:bookmarkEnd w:id="15"/>
      <w:bookmarkEnd w:id="16"/>
    </w:p>
    <w:p>
      <w:pPr>
        <w:pStyle w:val="32"/>
        <w:spacing w:before="120" w:beforeLines="50" w:after="120" w:afterLines="50"/>
        <w:ind w:firstLine="0" w:firstLineChars="0"/>
        <w:jc w:val="center"/>
        <w:rPr>
          <w:sz w:val="36"/>
          <w:szCs w:val="36"/>
        </w:rPr>
      </w:pPr>
      <w:bookmarkStart w:id="17" w:name="_Toc14542"/>
      <w:bookmarkStart w:id="18" w:name="_Toc31863"/>
      <w:bookmarkStart w:id="19" w:name="_Toc24872"/>
      <w:r>
        <w:rPr>
          <w:rFonts w:hint="eastAsia"/>
          <w:sz w:val="36"/>
          <w:szCs w:val="36"/>
        </w:rPr>
        <w:t>磋商须知前附表</w:t>
      </w:r>
      <w:bookmarkEnd w:id="17"/>
      <w:bookmarkEnd w:id="18"/>
      <w:bookmarkEnd w:id="19"/>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2"/>
              <w:rPr>
                <w:b/>
                <w:bCs/>
                <w:lang w:val="zh-CN"/>
              </w:rPr>
            </w:pPr>
            <w:bookmarkStart w:id="20" w:name="_Toc327196262"/>
            <w:r>
              <w:rPr>
                <w:rFonts w:hint="eastAsia"/>
                <w:b/>
                <w:bCs/>
                <w:lang w:val="zh-CN"/>
              </w:rPr>
              <w:t>序号</w:t>
            </w:r>
          </w:p>
        </w:tc>
        <w:tc>
          <w:tcPr>
            <w:tcW w:w="2020" w:type="dxa"/>
            <w:vAlign w:val="center"/>
          </w:tcPr>
          <w:p>
            <w:pPr>
              <w:pStyle w:val="42"/>
              <w:rPr>
                <w:b/>
                <w:bCs/>
                <w:lang w:val="zh-CN"/>
              </w:rPr>
            </w:pPr>
            <w:r>
              <w:rPr>
                <w:rFonts w:hint="eastAsia"/>
                <w:b/>
                <w:bCs/>
                <w:lang w:val="zh-CN"/>
              </w:rPr>
              <w:t>须知事项</w:t>
            </w:r>
          </w:p>
        </w:tc>
        <w:tc>
          <w:tcPr>
            <w:tcW w:w="7061" w:type="dxa"/>
            <w:vAlign w:val="center"/>
          </w:tcPr>
          <w:p>
            <w:pPr>
              <w:pStyle w:val="42"/>
              <w:ind w:left="60" w:leftChars="25" w:right="60" w:rightChars="25"/>
              <w:rPr>
                <w:b/>
                <w:bCs/>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lang w:val="zh-CN"/>
              </w:rPr>
              <w:t>采购</w:t>
            </w:r>
            <w:r>
              <w:rPr>
                <w:rFonts w:hint="eastAsia"/>
              </w:rPr>
              <w:t>预算及报价要求</w:t>
            </w:r>
          </w:p>
          <w:p>
            <w:pPr>
              <w:pStyle w:val="42"/>
              <w:rPr>
                <w:lang w:val="zh-CN"/>
              </w:rPr>
            </w:pPr>
            <w:r>
              <w:rPr>
                <w:rFonts w:hint="eastAsia"/>
                <w:lang w:val="zh-CN"/>
              </w:rPr>
              <w:t>(实质性要求)</w:t>
            </w:r>
          </w:p>
        </w:tc>
        <w:tc>
          <w:tcPr>
            <w:tcW w:w="7061" w:type="dxa"/>
            <w:vAlign w:val="center"/>
          </w:tcPr>
          <w:p>
            <w:pPr>
              <w:pStyle w:val="39"/>
              <w:ind w:left="60" w:leftChars="25" w:right="60" w:rightChars="25"/>
              <w:rPr>
                <w:lang w:val="zh-CN"/>
              </w:rPr>
            </w:pPr>
            <w:r>
              <w:rPr>
                <w:rFonts w:hint="eastAsia"/>
              </w:rPr>
              <w:t>1.</w:t>
            </w:r>
            <w:r>
              <w:rPr>
                <w:rFonts w:hint="eastAsia"/>
                <w:lang w:val="zh-CN"/>
              </w:rPr>
              <w:t>本项目采购</w:t>
            </w:r>
            <w:r>
              <w:rPr>
                <w:rFonts w:hint="eastAsia"/>
              </w:rPr>
              <w:t>预算</w:t>
            </w:r>
            <w:r>
              <w:rPr>
                <w:rFonts w:hint="eastAsia"/>
                <w:lang w:val="zh-CN"/>
              </w:rPr>
              <w:t>为人民币</w:t>
            </w:r>
            <w:r>
              <w:rPr>
                <w:rFonts w:hint="eastAsia"/>
              </w:rPr>
              <w:t>160万</w:t>
            </w:r>
            <w:r>
              <w:rPr>
                <w:rFonts w:hint="eastAsia"/>
                <w:lang w:val="zh-CN"/>
              </w:rPr>
              <w:t>元。</w:t>
            </w:r>
          </w:p>
          <w:p>
            <w:pPr>
              <w:pStyle w:val="39"/>
              <w:ind w:left="60" w:leftChars="25" w:right="60" w:rightChars="25"/>
              <w:rPr>
                <w:lang w:val="zh-CN"/>
              </w:rPr>
            </w:pPr>
            <w:r>
              <w:rPr>
                <w:rFonts w:hint="eastAsia"/>
              </w:rPr>
              <w:t>2.</w:t>
            </w:r>
            <w:r>
              <w:rPr>
                <w:rFonts w:hint="eastAsia"/>
                <w:lang w:val="zh-CN"/>
              </w:rPr>
              <w:t>供应商提交的报价不得超过本项目采购预算，否则将被作为无效响应处理。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rPr>
                <w:lang w:val="zh-CN"/>
              </w:rPr>
            </w:pPr>
            <w:r>
              <w:rPr>
                <w:rFonts w:hint="eastAsia"/>
                <w:lang w:val="zh-CN"/>
              </w:rPr>
              <w:t>采购方式</w:t>
            </w:r>
          </w:p>
        </w:tc>
        <w:tc>
          <w:tcPr>
            <w:tcW w:w="7061" w:type="dxa"/>
            <w:vAlign w:val="center"/>
          </w:tcPr>
          <w:p>
            <w:pPr>
              <w:pStyle w:val="39"/>
              <w:ind w:left="60" w:leftChars="25" w:right="60" w:rightChars="25"/>
              <w:rPr>
                <w:lang w:val="zh-CN"/>
              </w:rPr>
            </w:pPr>
            <w:r>
              <w:rPr>
                <w:rFonts w:hint="eastAsia"/>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rPr>
                <w:lang w:val="zh-CN"/>
              </w:rPr>
            </w:pPr>
            <w:r>
              <w:rPr>
                <w:rFonts w:hint="eastAsia"/>
                <w:lang w:val="zh-CN"/>
              </w:rPr>
              <w:t>评审办法</w:t>
            </w:r>
          </w:p>
        </w:tc>
        <w:tc>
          <w:tcPr>
            <w:tcW w:w="7061" w:type="dxa"/>
            <w:vAlign w:val="center"/>
          </w:tcPr>
          <w:p>
            <w:pPr>
              <w:pStyle w:val="39"/>
              <w:ind w:left="60" w:leftChars="25" w:right="60" w:rightChars="25"/>
              <w:rPr>
                <w:lang w:val="zh-CN"/>
              </w:rPr>
            </w:pPr>
            <w:r>
              <w:rPr>
                <w:rFonts w:hint="eastAsia"/>
                <w:lang w:val="zh-CN"/>
              </w:rPr>
              <w:t>综合评分法(</w:t>
            </w:r>
            <w:r>
              <w:rPr>
                <w:rFonts w:hint="eastAsia"/>
              </w:rPr>
              <w:t>评审标准</w:t>
            </w:r>
            <w:r>
              <w:rPr>
                <w:rFonts w:hint="eastAsia"/>
                <w:lang w:val="zh-CN"/>
              </w:rPr>
              <w:t>详见第</w:t>
            </w:r>
            <w:r>
              <w:rPr>
                <w:rFonts w:hint="eastAsia"/>
              </w:rPr>
              <w:t>七</w:t>
            </w:r>
            <w:r>
              <w:rPr>
                <w:rFonts w:hint="eastAsia"/>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ind w:left="24" w:leftChars="10" w:right="24" w:rightChars="10"/>
              <w:rPr>
                <w:lang w:val="zh-CN"/>
              </w:rPr>
            </w:pPr>
            <w:r>
              <w:rPr>
                <w:rFonts w:hint="eastAsia"/>
              </w:rPr>
              <w:t>本项目所属行业</w:t>
            </w:r>
          </w:p>
        </w:tc>
        <w:tc>
          <w:tcPr>
            <w:tcW w:w="7061" w:type="dxa"/>
            <w:vAlign w:val="center"/>
          </w:tcPr>
          <w:p>
            <w:pPr>
              <w:pStyle w:val="39"/>
              <w:ind w:left="60" w:leftChars="25" w:right="60" w:rightChars="25"/>
              <w:rPr>
                <w:lang w:val="zh-CN"/>
              </w:rPr>
            </w:pPr>
            <w:r>
              <w:rPr>
                <w:rFonts w:hint="eastAsia"/>
              </w:rPr>
              <w:t>本项目所属行业为其他未列明服务业。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rPr>
                <w:lang w:val="zh-CN"/>
              </w:rPr>
            </w:pPr>
            <w:r>
              <w:rPr>
                <w:rFonts w:hint="eastAsia"/>
                <w:lang w:val="zh-CN"/>
              </w:rPr>
              <w:t>定向采购</w:t>
            </w:r>
          </w:p>
        </w:tc>
        <w:tc>
          <w:tcPr>
            <w:tcW w:w="7061" w:type="dxa"/>
          </w:tcPr>
          <w:p>
            <w:pPr>
              <w:pStyle w:val="39"/>
              <w:ind w:left="60" w:leftChars="25" w:right="60" w:rightChars="25"/>
              <w:rPr>
                <w:lang w:val="zh-CN"/>
              </w:rPr>
            </w:pPr>
            <w:r>
              <w:rPr>
                <w:rFonts w:hint="eastAsia"/>
              </w:rPr>
              <w:t>本</w:t>
            </w:r>
            <w:r>
              <w:rPr>
                <w:rFonts w:hint="eastAsia"/>
                <w:lang w:val="zh-CN"/>
              </w:rPr>
              <w:t>项目</w:t>
            </w:r>
            <w:r>
              <w:rPr>
                <w:rFonts w:hint="eastAsia"/>
                <w:lang w:val="en-US" w:eastAsia="zh-CN"/>
              </w:rPr>
              <w:t>不</w:t>
            </w:r>
            <w:r>
              <w:rPr>
                <w:rFonts w:hint="eastAsia"/>
              </w:rPr>
              <w:t>为</w:t>
            </w:r>
            <w:r>
              <w:rPr>
                <w:rFonts w:hint="eastAsia"/>
                <w:lang w:val="zh-CN"/>
              </w:rPr>
              <w:t>专门面向中小</w:t>
            </w:r>
            <w:r>
              <w:rPr>
                <w:rFonts w:hint="eastAsia"/>
              </w:rPr>
              <w:t>微</w:t>
            </w:r>
            <w:r>
              <w:rPr>
                <w:rFonts w:hint="eastAsia"/>
                <w:lang w:val="zh-CN"/>
              </w:rPr>
              <w:t>企业</w:t>
            </w:r>
            <w:r>
              <w:rPr>
                <w:rFonts w:hint="eastAsia"/>
              </w:rPr>
              <w:t>采购</w:t>
            </w:r>
            <w:r>
              <w:rPr>
                <w:rFonts w:hint="eastAsia"/>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lang w:val="zh-CN"/>
              </w:rPr>
              <w:t>本国</w:t>
            </w:r>
            <w:r>
              <w:rPr>
                <w:rFonts w:hint="eastAsia"/>
              </w:rPr>
              <w:t>服务</w:t>
            </w:r>
          </w:p>
          <w:p>
            <w:pPr>
              <w:pStyle w:val="42"/>
              <w:rPr>
                <w:lang w:val="zh-CN"/>
              </w:rPr>
            </w:pPr>
            <w:r>
              <w:rPr>
                <w:rFonts w:hint="eastAsia"/>
                <w:lang w:val="zh-CN"/>
              </w:rPr>
              <w:t>(实质性要求)</w:t>
            </w:r>
          </w:p>
        </w:tc>
        <w:tc>
          <w:tcPr>
            <w:tcW w:w="7061" w:type="dxa"/>
            <w:vAlign w:val="center"/>
          </w:tcPr>
          <w:p>
            <w:pPr>
              <w:pStyle w:val="42"/>
              <w:ind w:left="60" w:leftChars="25" w:right="60" w:rightChars="25"/>
              <w:rPr>
                <w:lang w:val="zh-CN"/>
              </w:rPr>
            </w:pPr>
            <w:r>
              <w:rPr>
                <w:rFonts w:hint="eastAsia"/>
                <w:lang w:val="zh-CN"/>
              </w:rPr>
              <w:t>根据《中华人民共和国政府采购法》第十条的规定，本项目采购本国</w:t>
            </w:r>
            <w:r>
              <w:rPr>
                <w:rFonts w:hint="eastAsia"/>
              </w:rPr>
              <w:t>服务</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rPr>
              <w:t>是否接受联合体参与本次磋商</w:t>
            </w:r>
          </w:p>
          <w:p>
            <w:pPr>
              <w:pStyle w:val="42"/>
              <w:rPr>
                <w:lang w:val="zh-CN"/>
              </w:rPr>
            </w:pPr>
            <w:r>
              <w:rPr>
                <w:rFonts w:hint="eastAsia"/>
                <w:lang w:val="zh-CN"/>
              </w:rPr>
              <w:t>(实质性要求)</w:t>
            </w:r>
          </w:p>
        </w:tc>
        <w:tc>
          <w:tcPr>
            <w:tcW w:w="7061" w:type="dxa"/>
            <w:vAlign w:val="center"/>
          </w:tcPr>
          <w:p>
            <w:pPr>
              <w:pStyle w:val="39"/>
              <w:ind w:left="60" w:leftChars="25" w:right="60" w:rightChars="25"/>
              <w:rPr>
                <w:lang w:val="zh-CN"/>
              </w:rPr>
            </w:pPr>
            <w:r>
              <w:rPr>
                <w:rFonts w:hint="eastAsia"/>
              </w:rPr>
              <w:t>本项目不</w:t>
            </w:r>
            <w:r>
              <w:rPr>
                <w:rFonts w:hint="eastAsia"/>
                <w:lang w:val="zh-CN"/>
              </w:rPr>
              <w:t>接受</w:t>
            </w:r>
            <w:r>
              <w:rPr>
                <w:rFonts w:hint="eastAsia"/>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pPr>
          </w:p>
        </w:tc>
        <w:tc>
          <w:tcPr>
            <w:tcW w:w="2020" w:type="dxa"/>
            <w:vAlign w:val="center"/>
          </w:tcPr>
          <w:p>
            <w:pPr>
              <w:pStyle w:val="42"/>
            </w:pPr>
            <w:r>
              <w:rPr>
                <w:rFonts w:hint="eastAsia"/>
                <w:lang w:val="zh-CN"/>
              </w:rPr>
              <w:t>磋商保证金</w:t>
            </w:r>
          </w:p>
        </w:tc>
        <w:tc>
          <w:tcPr>
            <w:tcW w:w="7061" w:type="dxa"/>
            <w:vAlign w:val="center"/>
          </w:tcPr>
          <w:p>
            <w:pPr>
              <w:pStyle w:val="39"/>
              <w:ind w:left="60" w:leftChars="25" w:right="60" w:rightChars="25"/>
            </w:pPr>
            <w:r>
              <w:rPr>
                <w:rFonts w:hint="eastAsia"/>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rPr>
              <w:t>质量要求、验收标准(实质性要求)</w:t>
            </w:r>
          </w:p>
        </w:tc>
        <w:tc>
          <w:tcPr>
            <w:tcW w:w="7061" w:type="dxa"/>
            <w:vAlign w:val="center"/>
          </w:tcPr>
          <w:p>
            <w:pPr>
              <w:pStyle w:val="39"/>
              <w:ind w:left="60" w:leftChars="25" w:right="60" w:rightChars="25"/>
            </w:pPr>
            <w:r>
              <w:rPr>
                <w:rFonts w:hint="eastAsia"/>
              </w:rPr>
              <w:t>1.质量要求：符合国家相关标准、行业标准、地方标准或者其他标准、规范要求。</w:t>
            </w:r>
          </w:p>
          <w:p>
            <w:pPr>
              <w:pStyle w:val="39"/>
              <w:ind w:left="60" w:leftChars="25" w:right="60" w:rightChars="25"/>
            </w:pPr>
            <w:r>
              <w:rPr>
                <w:rFonts w:hint="eastAsia"/>
              </w:rPr>
              <w:t>2.验收标准：严格按照《财政部关于进一步加强政府采购需求和履约验收管理的指导意见》(财库〔2016〕205号)的要求进行验收。符合国家有关规定、磋商文件的质量要求和技术指标、供应商的响应文件及承诺以及合同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rPr>
              <w:t>答疑会和现场考察</w:t>
            </w:r>
          </w:p>
        </w:tc>
        <w:tc>
          <w:tcPr>
            <w:tcW w:w="7061" w:type="dxa"/>
            <w:vAlign w:val="center"/>
          </w:tcPr>
          <w:p>
            <w:pPr>
              <w:pStyle w:val="39"/>
              <w:ind w:left="60" w:leftChars="25" w:right="60" w:rightChars="25"/>
            </w:pPr>
            <w:r>
              <w:rPr>
                <w:rFonts w:hint="eastAsia"/>
              </w:rPr>
              <w:t>1.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9"/>
              <w:ind w:left="60" w:leftChars="25" w:right="60" w:rightChars="25"/>
            </w:pPr>
            <w:r>
              <w:rPr>
                <w:rFonts w:hint="eastAsia"/>
              </w:rPr>
              <w:t>2.供应商考察现场所发生的一切费用由供应商自行承担。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rPr>
                <w:lang w:val="zh-CN"/>
              </w:rPr>
            </w:pPr>
            <w:r>
              <w:rPr>
                <w:rFonts w:hint="eastAsia"/>
                <w:lang w:val="zh-CN"/>
              </w:rPr>
              <w:t>低于成本价不正当竞争预防措施</w:t>
            </w:r>
          </w:p>
          <w:p>
            <w:pPr>
              <w:pStyle w:val="42"/>
            </w:pPr>
            <w:r>
              <w:rPr>
                <w:rFonts w:hint="eastAsia"/>
              </w:rPr>
              <w:t>(实质性要求)</w:t>
            </w:r>
          </w:p>
        </w:tc>
        <w:tc>
          <w:tcPr>
            <w:tcW w:w="7061" w:type="dxa"/>
            <w:vAlign w:val="center"/>
          </w:tcPr>
          <w:p>
            <w:pPr>
              <w:pStyle w:val="39"/>
              <w:ind w:left="60" w:leftChars="25" w:right="60" w:rightChars="25"/>
            </w:pPr>
            <w:r>
              <w:rPr>
                <w:rFonts w:hint="eastAsia"/>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9"/>
              <w:ind w:left="60" w:leftChars="25" w:right="60" w:rightChars="25"/>
            </w:pPr>
            <w:r>
              <w:rPr>
                <w:rFonts w:hint="eastAsia"/>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9"/>
              <w:ind w:left="60" w:leftChars="25" w:right="60" w:rightChars="25"/>
            </w:pPr>
            <w:r>
              <w:rPr>
                <w:rFonts w:hint="eastAsia"/>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rPr>
              <w:t>小微企业、监狱企业、残疾人福利性单位价格扣除</w:t>
            </w:r>
          </w:p>
          <w:p>
            <w:pPr>
              <w:pStyle w:val="42"/>
              <w:rPr>
                <w:lang w:val="zh-CN"/>
              </w:rPr>
            </w:pPr>
            <w:r>
              <w:rPr>
                <w:rFonts w:hint="eastAsia"/>
              </w:rPr>
              <w:t>(实质性要求)</w:t>
            </w:r>
          </w:p>
        </w:tc>
        <w:tc>
          <w:tcPr>
            <w:tcW w:w="7061" w:type="dxa"/>
            <w:vAlign w:val="center"/>
          </w:tcPr>
          <w:p>
            <w:pPr>
              <w:pStyle w:val="39"/>
              <w:keepNext w:val="0"/>
              <w:keepLines w:val="0"/>
              <w:pageBreakBefore w:val="0"/>
              <w:widowControl w:val="0"/>
              <w:numPr>
                <w:ilvl w:val="0"/>
                <w:numId w:val="11"/>
              </w:numPr>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rPr>
              <w:t>政府采购促进中小企业发展</w:t>
            </w:r>
            <w:r>
              <w:rPr>
                <w:rFonts w:hint="eastAsia"/>
                <w:lang w:val="en-US" w:eastAsia="zh-CN"/>
              </w:rPr>
              <w:t>政策</w:t>
            </w:r>
          </w:p>
          <w:p>
            <w:pPr>
              <w:pStyle w:val="39"/>
              <w:keepNext w:val="0"/>
              <w:keepLines w:val="0"/>
              <w:pageBreakBefore w:val="0"/>
              <w:widowControl w:val="0"/>
              <w:numPr>
                <w:ilvl w:val="0"/>
                <w:numId w:val="12"/>
              </w:numPr>
              <w:tabs>
                <w:tab w:val="clear" w:pos="312"/>
              </w:tabs>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b/>
                <w:bCs/>
                <w:lang w:val="en-US" w:eastAsia="zh-CN"/>
              </w:rPr>
              <w:t>定义：</w:t>
            </w:r>
            <w:r>
              <w:rPr>
                <w:rFonts w:hint="eastAsia"/>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9"/>
              <w:keepNext w:val="0"/>
              <w:keepLines w:val="0"/>
              <w:pageBreakBefore w:val="0"/>
              <w:widowControl w:val="0"/>
              <w:numPr>
                <w:ilvl w:val="0"/>
                <w:numId w:val="12"/>
              </w:numPr>
              <w:tabs>
                <w:tab w:val="clear" w:pos="312"/>
              </w:tabs>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b/>
                <w:bCs/>
                <w:lang w:val="en-US" w:eastAsia="zh-CN"/>
              </w:rPr>
              <w:t>适用情形：</w:t>
            </w:r>
            <w:r>
              <w:rPr>
                <w:rFonts w:hint="eastAsia"/>
                <w:lang w:val="en-US" w:eastAsia="zh-CN"/>
              </w:rPr>
              <w:t>(1)在服务采购项目中，服务由中小企业承接，即提供服务的人员为中小企业依照《中华人民共和国劳动合同法》订立劳动合同的从业人员；</w:t>
            </w:r>
          </w:p>
          <w:p>
            <w:pPr>
              <w:pStyle w:val="39"/>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lang w:val="en-US" w:eastAsia="zh-CN"/>
              </w:rPr>
            </w:pPr>
            <w:r>
              <w:rPr>
                <w:rFonts w:hint="eastAsia"/>
                <w:lang w:val="en-US" w:eastAsia="zh-CN"/>
              </w:rPr>
              <w:t>(2)以联合体形式参加政府采购活动，联合体各方均为中小企业的，联合体视同中小企业。其中，联合体各方均为小微企业的，联合体视同小微企业。</w:t>
            </w:r>
          </w:p>
          <w:p>
            <w:pPr>
              <w:pStyle w:val="39"/>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default"/>
                <w:lang w:val="en-US" w:eastAsia="zh-CN"/>
              </w:rPr>
            </w:pPr>
            <w:r>
              <w:rPr>
                <w:rFonts w:hint="eastAsia"/>
                <w:lang w:val="en-US" w:eastAsia="zh-CN"/>
              </w:rPr>
              <w:t>注：关于中小微型企业划分标准详见附件四。</w:t>
            </w:r>
          </w:p>
          <w:p>
            <w:pPr>
              <w:pStyle w:val="39"/>
              <w:keepNext w:val="0"/>
              <w:keepLines w:val="0"/>
              <w:pageBreakBefore w:val="0"/>
              <w:widowControl w:val="0"/>
              <w:numPr>
                <w:ilvl w:val="0"/>
                <w:numId w:val="12"/>
              </w:numPr>
              <w:tabs>
                <w:tab w:val="clear" w:pos="312"/>
              </w:tabs>
              <w:kinsoku/>
              <w:wordWrap w:val="0"/>
              <w:overflowPunct/>
              <w:topLinePunct/>
              <w:autoSpaceDE/>
              <w:autoSpaceDN/>
              <w:bidi w:val="0"/>
              <w:adjustRightInd w:val="0"/>
              <w:snapToGrid w:val="0"/>
              <w:ind w:leftChars="25" w:right="60" w:rightChars="25"/>
              <w:textAlignment w:val="auto"/>
              <w:rPr>
                <w:rFonts w:hint="default"/>
                <w:lang w:val="en-US" w:eastAsia="zh-CN"/>
              </w:rPr>
            </w:pPr>
            <w:r>
              <w:rPr>
                <w:rFonts w:hint="eastAsia"/>
                <w:lang w:val="en-US" w:eastAsia="zh-CN"/>
              </w:rPr>
              <w:t>执行方式：</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eastAsia="zh-CN"/>
              </w:rPr>
              <w:t>(</w:t>
            </w:r>
            <w:r>
              <w:rPr>
                <w:rFonts w:hint="eastAsia"/>
                <w:lang w:val="en-US" w:eastAsia="zh-CN"/>
              </w:rPr>
              <w:t>1</w:t>
            </w:r>
            <w:r>
              <w:rPr>
                <w:rFonts w:hint="eastAsia"/>
                <w:lang w:eastAsia="zh-CN"/>
              </w:rPr>
              <w:t>)</w:t>
            </w:r>
            <w:r>
              <w:rPr>
                <w:rFonts w:hint="eastAsia"/>
              </w:rPr>
              <w:t>根据关于印发《政府采购促进中小企业发展管理办法》的通知</w:t>
            </w:r>
            <w:r>
              <w:rPr>
                <w:rFonts w:hint="eastAsia"/>
                <w:lang w:eastAsia="zh-CN"/>
              </w:rPr>
              <w:t>(财库〔2020〕46号)、四川省财政厅 四川省经济和信息化委员会中国人民银行成都分行关于印发《四川省政府采购促进中小企业发展的若干规定》(</w:t>
            </w:r>
            <w:r>
              <w:rPr>
                <w:rFonts w:hint="eastAsia"/>
                <w:lang w:val="en-US" w:eastAsia="zh-CN"/>
              </w:rPr>
              <w:t>川财采〔</w:t>
            </w:r>
            <w:r>
              <w:rPr>
                <w:rFonts w:hint="eastAsia"/>
                <w:lang w:eastAsia="zh-CN"/>
              </w:rPr>
              <w:t>201</w:t>
            </w:r>
            <w:r>
              <w:rPr>
                <w:rFonts w:hint="eastAsia"/>
                <w:lang w:val="en-US" w:eastAsia="zh-CN"/>
              </w:rPr>
              <w:t>6〕35</w:t>
            </w:r>
            <w:r>
              <w:rPr>
                <w:rFonts w:hint="eastAsia"/>
                <w:lang w:eastAsia="zh-CN"/>
              </w:rPr>
              <w:t>号)</w:t>
            </w:r>
            <w:r>
              <w:rPr>
                <w:rFonts w:hint="eastAsia"/>
              </w:rPr>
              <w:t>的规定，对小型和微型企业的价格给予</w:t>
            </w:r>
            <w:r>
              <w:rPr>
                <w:rFonts w:hint="eastAsia"/>
                <w:lang w:val="en-US" w:eastAsia="zh-CN"/>
              </w:rPr>
              <w:t>10</w:t>
            </w:r>
            <w:r>
              <w:rPr>
                <w:rFonts w:hint="eastAsia"/>
              </w:rPr>
              <w:t>%的价格扣除，用扣除后的价格参与评审</w:t>
            </w:r>
            <w:r>
              <w:rPr>
                <w:rFonts w:hint="eastAsia"/>
                <w:lang w:eastAsia="zh-CN"/>
              </w:rPr>
              <w:t>(</w:t>
            </w:r>
            <w:r>
              <w:rPr>
                <w:rFonts w:hint="eastAsia"/>
              </w:rPr>
              <w:t>如涉及</w:t>
            </w:r>
            <w:r>
              <w:rPr>
                <w:spacing w:val="8"/>
              </w:rPr>
              <w:t>对于经主管预算单位统筹后未预留份额专门</w:t>
            </w:r>
            <w:r>
              <w:t>面向中小企业采购的采购项目，以及预留份额项目中的非预</w:t>
            </w:r>
            <w:r>
              <w:rPr>
                <w:spacing w:val="-2"/>
              </w:rPr>
              <w:t>留部分采购包</w:t>
            </w:r>
            <w:r>
              <w:rPr>
                <w:rFonts w:hint="eastAsia"/>
                <w:lang w:eastAsia="zh-CN"/>
              </w:rPr>
              <w:t>)</w:t>
            </w:r>
            <w:r>
              <w:rPr>
                <w:rFonts w:hint="eastAsia"/>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eastAsia="zh-CN"/>
              </w:rPr>
              <w:t>(</w:t>
            </w:r>
            <w:r>
              <w:rPr>
                <w:rFonts w:hint="eastAsia"/>
                <w:lang w:val="en-US" w:eastAsia="zh-CN"/>
              </w:rPr>
              <w:t>2</w:t>
            </w:r>
            <w:r>
              <w:rPr>
                <w:rFonts w:hint="eastAsia"/>
                <w:lang w:eastAsia="zh-CN"/>
              </w:rPr>
              <w:t>)</w:t>
            </w:r>
            <w:r>
              <w:rPr>
                <w:rFonts w:hint="eastAsia"/>
              </w:rPr>
              <w:t>参加政府采购活动的中小企业应当提供《中小企业声明函》原件。</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(3)</w:t>
            </w:r>
            <w:r>
              <w:rPr>
                <w:spacing w:val="8"/>
              </w:rPr>
              <w:t>供应商按照本办法规定提供声明函内容不</w:t>
            </w:r>
            <w:r>
              <w:rPr>
                <w:rFonts w:ascii="宋体" w:hAnsi="宋体" w:eastAsia="宋体"/>
              </w:rPr>
              <w:t>实的，属于提供虚假材料谋取中标、成交，依照《中华人民共和国</w:t>
            </w:r>
            <w:r>
              <w:rPr>
                <w:spacing w:val="-2"/>
              </w:rPr>
              <w:t>政府采购法》等国家有关规定追究相应责任</w:t>
            </w:r>
            <w:r>
              <w:rPr>
                <w:rFonts w:hint="eastAsia"/>
                <w:lang w:val="en-US" w:eastAsia="zh-CN"/>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b/>
                <w:bCs/>
                <w:highlight w:val="none"/>
                <w:lang w:val="en-US" w:eastAsia="zh-CN"/>
              </w:rPr>
            </w:pPr>
            <w:r>
              <w:rPr>
                <w:rFonts w:hint="eastAsia"/>
                <w:b/>
                <w:bCs/>
                <w:highlight w:val="none"/>
                <w:lang w:val="en-US" w:eastAsia="zh-CN"/>
              </w:rPr>
              <w:t>注：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二、监狱企业价格扣除</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1.根据</w:t>
            </w:r>
            <w:r>
              <w:rPr>
                <w:rFonts w:hint="eastAsia"/>
                <w:lang w:eastAsia="zh-CN"/>
              </w:rPr>
              <w:t>《</w:t>
            </w:r>
            <w:r>
              <w:rPr>
                <w:rFonts w:hint="eastAsia"/>
              </w:rPr>
              <w:t>财政部司法部关于政府采购支持监狱企业发展有关问题的通知</w:t>
            </w:r>
            <w:r>
              <w:rPr>
                <w:rFonts w:hint="eastAsia"/>
                <w:lang w:eastAsia="zh-CN"/>
              </w:rPr>
              <w:t>》</w:t>
            </w:r>
            <w:r>
              <w:rPr>
                <w:rFonts w:hint="eastAsia"/>
                <w:lang w:val="en-US" w:eastAsia="zh-CN"/>
              </w:rPr>
              <w:t>(</w:t>
            </w:r>
            <w:r>
              <w:rPr>
                <w:rFonts w:hint="eastAsia"/>
              </w:rPr>
              <w:t>财库〔2014〕68号</w:t>
            </w:r>
            <w:r>
              <w:rPr>
                <w:rFonts w:hint="eastAsia"/>
                <w:lang w:val="en-US" w:eastAsia="zh-CN"/>
              </w:rPr>
              <w:t>)</w:t>
            </w:r>
            <w:r>
              <w:rPr>
                <w:rFonts w:hint="eastAsia"/>
              </w:rPr>
              <w:t>的规定，在政府采购活动中，监狱企业视同小型、微型企业，享受预留份额、评审中价格扣除等政府采购促进中小企业发展的政府采购政策。</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2.本项目对监狱企业</w:t>
            </w:r>
            <w:r>
              <w:rPr>
                <w:rFonts w:hint="eastAsia"/>
                <w:lang w:eastAsia="zh-CN"/>
              </w:rPr>
              <w:t>参与</w:t>
            </w:r>
            <w:r>
              <w:rPr>
                <w:rFonts w:hint="eastAsia"/>
                <w:lang w:val="en-US" w:eastAsia="zh-CN"/>
              </w:rPr>
              <w:t>磋商</w:t>
            </w:r>
            <w:r>
              <w:rPr>
                <w:rFonts w:hint="eastAsia"/>
              </w:rPr>
              <w:t>的价格给予</w:t>
            </w:r>
            <w:r>
              <w:rPr>
                <w:rFonts w:hint="eastAsia"/>
                <w:lang w:val="en-US" w:eastAsia="zh-CN"/>
              </w:rPr>
              <w:t>10</w:t>
            </w:r>
            <w:r>
              <w:rPr>
                <w:rFonts w:hint="eastAsia"/>
              </w:rPr>
              <w:t>%的扣除，用扣除后的价格参与评审。</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rPr>
              <w:t>3.监狱企业参加政府采购活动时，应当提供由省级以上监狱管理局、戒毒管理局</w:t>
            </w:r>
            <w:r>
              <w:rPr>
                <w:rFonts w:hint="eastAsia"/>
                <w:lang w:eastAsia="zh-CN"/>
              </w:rPr>
              <w:t>(</w:t>
            </w:r>
            <w:r>
              <w:rPr>
                <w:rFonts w:hint="eastAsia"/>
              </w:rPr>
              <w:t>含新疆生产建设兵团</w:t>
            </w:r>
            <w:r>
              <w:rPr>
                <w:rFonts w:hint="eastAsia"/>
                <w:lang w:eastAsia="zh-CN"/>
              </w:rPr>
              <w:t>)</w:t>
            </w:r>
            <w:r>
              <w:rPr>
                <w:rFonts w:hint="eastAsia"/>
              </w:rPr>
              <w:t>出具的属于监狱企业的证明文件。</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rPr>
            </w:pPr>
            <w:r>
              <w:rPr>
                <w:rFonts w:hint="eastAsia"/>
                <w:lang w:val="en-US" w:eastAsia="zh-CN"/>
              </w:rPr>
              <w:t>4.</w:t>
            </w:r>
            <w:r>
              <w:rPr>
                <w:rFonts w:hint="eastAsia"/>
              </w:rPr>
              <w:t>监狱企业</w:t>
            </w:r>
            <w:r>
              <w:rPr>
                <w:rFonts w:hint="eastAsia"/>
                <w:lang w:val="en-US" w:eastAsia="zh-CN"/>
              </w:rPr>
              <w:t>属于小型、微型企业的，不重复享受政策。</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三、残疾人福利性单位</w:t>
            </w:r>
            <w:r>
              <w:rPr>
                <w:rFonts w:hint="eastAsia"/>
              </w:rPr>
              <w:t>价格扣除</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2.本项目对残疾人福利性单位参与磋商的价格给予10%的扣除，用扣除后的价格参与评审。</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3.残疾人福利性单位参加政府采购活动时，应当提供本通知规定的《残疾人福利性单位声明函》。</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en-US" w:eastAsia="zh-CN"/>
              </w:rPr>
            </w:pPr>
            <w:r>
              <w:rPr>
                <w:rFonts w:hint="eastAsia"/>
                <w:lang w:val="en-US" w:eastAsia="zh-CN"/>
              </w:rPr>
              <w:t>4.供应商提供的《残疾人福利性单位声明函》与事实不符的，依照《政府采购法》第七十七条第一款的规定追究法律责任。</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pPr>
            <w:r>
              <w:rPr>
                <w:rFonts w:hint="eastAsia"/>
                <w:lang w:val="en-US" w:eastAsia="zh-CN"/>
              </w:rPr>
              <w:t>5.残疾人福利性单位属于小型、微型企业的，不重复享受政策。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pPr>
          </w:p>
        </w:tc>
        <w:tc>
          <w:tcPr>
            <w:tcW w:w="2020" w:type="dxa"/>
            <w:vAlign w:val="center"/>
          </w:tcPr>
          <w:p>
            <w:pPr>
              <w:pStyle w:val="42"/>
            </w:pPr>
            <w:r>
              <w:rPr>
                <w:rFonts w:hint="eastAsia"/>
              </w:rPr>
              <w:t>节能产品、环境标志产品、无线局域网产品采购政策</w:t>
            </w:r>
          </w:p>
        </w:tc>
        <w:tc>
          <w:tcPr>
            <w:tcW w:w="7061" w:type="dxa"/>
            <w:vAlign w:val="center"/>
          </w:tcPr>
          <w:p>
            <w:pPr>
              <w:pStyle w:val="39"/>
              <w:ind w:left="60" w:leftChars="25" w:right="60" w:rightChars="25"/>
            </w:pPr>
            <w:r>
              <w:rPr>
                <w:rFonts w:hint="eastAsia"/>
              </w:rPr>
              <w:t>本项目不涉及节能产品、环境标志产品、无线局域网产品，故不在采购文件中体现相关政策。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rPr>
              <w:t>建议品牌或者供应商(如涉及)</w:t>
            </w:r>
          </w:p>
        </w:tc>
        <w:tc>
          <w:tcPr>
            <w:tcW w:w="7061" w:type="dxa"/>
            <w:vAlign w:val="center"/>
          </w:tcPr>
          <w:p>
            <w:pPr>
              <w:pStyle w:val="39"/>
              <w:ind w:left="60" w:leftChars="25" w:right="60" w:rightChars="25"/>
            </w:pPr>
            <w:r>
              <w:rPr>
                <w:rFonts w:hint="eastAsia"/>
              </w:rPr>
              <w:t>若磋商文件涉及建议品牌或者供应商，其目的是为了准确清楚说明采购项目的技术标准和要求，其意思表示为“参照或相当于”建议品牌或者供应商，其品牌或供应商具有可替代性。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rPr>
              <w:t>其他强制性规定</w:t>
            </w:r>
          </w:p>
          <w:p>
            <w:pPr>
              <w:pStyle w:val="42"/>
            </w:pPr>
            <w:r>
              <w:rPr>
                <w:rFonts w:hint="eastAsia"/>
              </w:rPr>
              <w:t>(如涉及时作为实质性要求)</w:t>
            </w:r>
          </w:p>
        </w:tc>
        <w:tc>
          <w:tcPr>
            <w:tcW w:w="7061" w:type="dxa"/>
            <w:vAlign w:val="center"/>
          </w:tcPr>
          <w:p>
            <w:pPr>
              <w:pStyle w:val="39"/>
              <w:ind w:left="60" w:leftChars="25" w:right="60" w:rightChars="25"/>
            </w:pPr>
            <w:r>
              <w:rPr>
                <w:rFonts w:hint="eastAsia"/>
              </w:rPr>
              <w:t>国家或行业主管部门对采购产品的技术标准、质量标准和资格资质条件等有强制性规定的，必须符合其要求。如涉及3C认证产品的3C认证证书在响应文件中可不提供(磋商文件有要求在磋商时提供证明材料的除外)，供应商成交后应在签订采购合同时向采购人提供加盖供应商公章的3C证书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lang w:val="zh-CN"/>
              </w:rPr>
              <w:t>评</w:t>
            </w:r>
            <w:r>
              <w:rPr>
                <w:rFonts w:hint="eastAsia"/>
              </w:rPr>
              <w:t>审</w:t>
            </w:r>
            <w:r>
              <w:rPr>
                <w:rFonts w:hint="eastAsia"/>
                <w:lang w:val="zh-CN"/>
              </w:rPr>
              <w:t>情况的公告</w:t>
            </w:r>
          </w:p>
        </w:tc>
        <w:tc>
          <w:tcPr>
            <w:tcW w:w="7061" w:type="dxa"/>
            <w:vAlign w:val="center"/>
          </w:tcPr>
          <w:p>
            <w:pPr>
              <w:pStyle w:val="39"/>
              <w:ind w:left="60" w:leftChars="25" w:right="60" w:rightChars="25"/>
            </w:pPr>
            <w:r>
              <w:rPr>
                <w:rFonts w:hint="eastAsia"/>
              </w:rPr>
              <w:t>1.所有递交了响应文件的供应商资格性审查情况、总得分和分项汇总得分情况、评审结果等将在“四川政府采购网”采购结果公告栏中予以公告。</w:t>
            </w:r>
          </w:p>
          <w:p>
            <w:pPr>
              <w:pStyle w:val="39"/>
              <w:ind w:left="60" w:leftChars="25" w:right="60" w:rightChars="25"/>
            </w:pPr>
            <w:r>
              <w:rPr>
                <w:rFonts w:hint="eastAsia"/>
              </w:rPr>
              <w:t>2.</w:t>
            </w:r>
            <w:r>
              <w:rPr>
                <w:rFonts w:hint="eastAsia"/>
                <w:lang w:val="zh-CN"/>
              </w:rPr>
              <w:t>根据《中华人民共和国政府采购法实施条例》第四十三条的规定，公告内容应当包括主要成交标的的名称、规格型号、数量、单价、服务要求以及评审专家名单。</w:t>
            </w:r>
            <w:r>
              <w:rPr>
                <w:rFonts w:hint="eastAsia"/>
                <w:b/>
                <w:bCs/>
              </w:rPr>
              <w:t>供应商须</w:t>
            </w:r>
            <w:r>
              <w:rPr>
                <w:rFonts w:hint="eastAsia"/>
                <w:b/>
                <w:bCs/>
                <w:lang w:val="zh-CN"/>
              </w:rPr>
              <w:t>将</w:t>
            </w:r>
            <w:r>
              <w:rPr>
                <w:rFonts w:hint="eastAsia"/>
                <w:b/>
                <w:bCs/>
              </w:rPr>
              <w:t>响应</w:t>
            </w:r>
            <w:r>
              <w:rPr>
                <w:rFonts w:hint="eastAsia"/>
                <w:b/>
                <w:bCs/>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rPr>
                <w:lang w:val="zh-CN"/>
              </w:rPr>
            </w:pPr>
            <w:r>
              <w:rPr>
                <w:rFonts w:hint="eastAsia"/>
                <w:lang w:val="zh-CN"/>
              </w:rPr>
              <w:t>成交通知书领取</w:t>
            </w:r>
          </w:p>
        </w:tc>
        <w:tc>
          <w:tcPr>
            <w:tcW w:w="7061" w:type="dxa"/>
            <w:vAlign w:val="center"/>
          </w:tcPr>
          <w:p>
            <w:pPr>
              <w:pStyle w:val="39"/>
              <w:ind w:left="60" w:leftChars="25" w:right="60" w:rightChars="25"/>
              <w:rPr>
                <w:lang w:val="zh-CN"/>
              </w:rPr>
            </w:pPr>
            <w:r>
              <w:rPr>
                <w:rFonts w:hint="eastAsia"/>
                <w:lang w:val="zh-CN"/>
              </w:rPr>
              <w:t>采购代理机构在</w:t>
            </w:r>
            <w:r>
              <w:rPr>
                <w:rFonts w:hint="eastAsia"/>
              </w:rPr>
              <w:t>成交</w:t>
            </w:r>
            <w:r>
              <w:rPr>
                <w:rFonts w:hint="eastAsia"/>
                <w:lang w:val="zh-CN"/>
              </w:rPr>
              <w:t>供应商确定后2个工作日内，在“四川政府采购网”发布成交公告，同时采购代理机构将</w:t>
            </w:r>
            <w:r>
              <w:rPr>
                <w:rFonts w:hint="eastAsia"/>
              </w:rPr>
              <w:t>成交</w:t>
            </w:r>
            <w:r>
              <w:rPr>
                <w:rFonts w:hint="eastAsia"/>
                <w:lang w:val="zh-CN"/>
              </w:rPr>
              <w:t>通知书快递至</w:t>
            </w:r>
            <w:r>
              <w:rPr>
                <w:rFonts w:hint="eastAsia"/>
              </w:rPr>
              <w:t>成交供应商</w:t>
            </w:r>
            <w:r>
              <w:rPr>
                <w:rFonts w:hint="eastAsia"/>
                <w:lang w:val="zh-CN"/>
              </w:rPr>
              <w:t>。</w:t>
            </w:r>
          </w:p>
          <w:p>
            <w:pPr>
              <w:pStyle w:val="39"/>
              <w:ind w:left="60" w:leftChars="25" w:right="60" w:rightChars="25"/>
            </w:pPr>
            <w:r>
              <w:rPr>
                <w:rFonts w:hint="eastAsia"/>
              </w:rPr>
              <w:t>联系人：欧女士</w:t>
            </w:r>
          </w:p>
          <w:p>
            <w:pPr>
              <w:pStyle w:val="39"/>
              <w:ind w:left="60" w:leftChars="25" w:right="60" w:rightChars="25"/>
            </w:pPr>
            <w:r>
              <w:rPr>
                <w:rFonts w:hint="eastAsia"/>
                <w:lang w:val="zh-CN"/>
              </w:rPr>
              <w:t>联系电话：</w:t>
            </w:r>
            <w:r>
              <w:rPr>
                <w:rFonts w:hint="eastAsia"/>
              </w:rPr>
              <w:t>028-85032683/13808171894</w:t>
            </w:r>
          </w:p>
          <w:p>
            <w:pPr>
              <w:pStyle w:val="39"/>
              <w:ind w:left="60" w:leftChars="25" w:right="60" w:rightChars="25"/>
            </w:pPr>
            <w:r>
              <w:rPr>
                <w:rFonts w:hint="eastAsia"/>
                <w:lang w:val="zh-CN"/>
              </w:rPr>
              <w:t>地址：成都市武侯区金履一路218号优博广场1栋405室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rPr>
                <w:lang w:val="zh-CN"/>
              </w:rPr>
            </w:pPr>
            <w:r>
              <w:rPr>
                <w:rFonts w:hint="eastAsia"/>
              </w:rPr>
              <w:t>招标代理</w:t>
            </w:r>
            <w:r>
              <w:rPr>
                <w:rFonts w:hint="eastAsia"/>
                <w:lang w:val="zh-CN"/>
              </w:rPr>
              <w:t>服务费</w:t>
            </w:r>
          </w:p>
        </w:tc>
        <w:tc>
          <w:tcPr>
            <w:tcW w:w="7061" w:type="dxa"/>
            <w:vAlign w:val="center"/>
          </w:tcPr>
          <w:p>
            <w:pPr>
              <w:pStyle w:val="39"/>
              <w:ind w:left="60" w:leftChars="25" w:right="60" w:rightChars="25"/>
            </w:pPr>
            <w:r>
              <w:rPr>
                <w:rFonts w:hint="eastAsia"/>
              </w:rPr>
              <w:t>1.收取标准：按照《国家发展改革委关于进一步放开建设项目专业服务价格的通知》(发改价格〔2015〕299号)规定，</w:t>
            </w:r>
            <w:r>
              <w:rPr>
                <w:rFonts w:hint="eastAsia"/>
                <w:lang w:val="zh-CN"/>
              </w:rPr>
              <w:t>该费用参照</w:t>
            </w:r>
            <w:r>
              <w:rPr>
                <w:rFonts w:hint="eastAsia"/>
              </w:rPr>
              <w:t>原</w:t>
            </w:r>
            <w:r>
              <w:rPr>
                <w:rFonts w:hint="eastAsia"/>
                <w:lang w:val="zh-CN"/>
              </w:rPr>
              <w:t>《招标代理服务收费管理暂行办法》(计价格</w:t>
            </w:r>
            <w:r>
              <w:rPr>
                <w:rFonts w:hint="eastAsia"/>
              </w:rPr>
              <w:t>〔</w:t>
            </w:r>
            <w:r>
              <w:rPr>
                <w:rFonts w:hint="eastAsia"/>
                <w:lang w:val="zh-CN"/>
              </w:rPr>
              <w:t>2002</w:t>
            </w:r>
            <w:r>
              <w:rPr>
                <w:rFonts w:hint="eastAsia"/>
              </w:rPr>
              <w:t>〕</w:t>
            </w:r>
            <w:r>
              <w:rPr>
                <w:rFonts w:hint="eastAsia"/>
                <w:lang w:val="zh-CN"/>
              </w:rPr>
              <w:t>1980号)及《国家发展改革委办公厅关于招标代理服务收费有关问题的通知》(发改办价格</w:t>
            </w:r>
            <w:r>
              <w:rPr>
                <w:rFonts w:hint="eastAsia"/>
              </w:rPr>
              <w:t>〔</w:t>
            </w:r>
            <w:r>
              <w:rPr>
                <w:rFonts w:hint="eastAsia"/>
                <w:lang w:val="zh-CN"/>
              </w:rPr>
              <w:t>2003</w:t>
            </w:r>
            <w:r>
              <w:rPr>
                <w:rFonts w:hint="eastAsia"/>
              </w:rPr>
              <w:t>〕</w:t>
            </w:r>
            <w:r>
              <w:rPr>
                <w:rFonts w:hint="eastAsia"/>
                <w:lang w:val="zh-CN"/>
              </w:rPr>
              <w:t>857号)</w:t>
            </w:r>
            <w:r>
              <w:rPr>
                <w:rFonts w:hint="eastAsia"/>
              </w:rPr>
              <w:t>的标准</w:t>
            </w:r>
            <w:r>
              <w:rPr>
                <w:rFonts w:hint="eastAsia"/>
                <w:lang w:val="zh-CN"/>
              </w:rPr>
              <w:t>规定</w:t>
            </w:r>
            <w:r>
              <w:rPr>
                <w:rFonts w:hint="eastAsia"/>
              </w:rPr>
              <w:t>收取(计费基数以</w:t>
            </w:r>
            <w:r>
              <w:rPr>
                <w:rFonts w:hint="eastAsia"/>
                <w:lang w:val="en-US" w:eastAsia="zh-CN"/>
              </w:rPr>
              <w:t>采购预算</w:t>
            </w:r>
            <w:r>
              <w:rPr>
                <w:rFonts w:hint="eastAsia"/>
              </w:rPr>
              <w:t>为准)。</w:t>
            </w:r>
          </w:p>
          <w:p>
            <w:pPr>
              <w:pStyle w:val="39"/>
              <w:ind w:left="60" w:leftChars="25" w:right="60" w:rightChars="25"/>
            </w:pPr>
            <w:r>
              <w:rPr>
                <w:rFonts w:hint="eastAsia"/>
              </w:rPr>
              <w:t>2.收取方式：成交</w:t>
            </w:r>
            <w:r>
              <w:rPr>
                <w:rFonts w:hint="eastAsia"/>
                <w:lang w:val="zh-CN"/>
              </w:rPr>
              <w:t>通知发出后二个工作日内由</w:t>
            </w:r>
            <w:r>
              <w:rPr>
                <w:rFonts w:hint="eastAsia"/>
              </w:rPr>
              <w:t>成交供应商</w:t>
            </w:r>
            <w:r>
              <w:rPr>
                <w:rFonts w:hint="eastAsia"/>
                <w:lang w:val="zh-CN"/>
              </w:rPr>
              <w:t>一次性支付</w:t>
            </w:r>
            <w:r>
              <w:rPr>
                <w:rFonts w:hint="eastAsia"/>
              </w:rPr>
              <w:t>至采购代理机构。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rPr>
                <w:lang w:val="zh-CN"/>
              </w:rPr>
            </w:pPr>
            <w:r>
              <w:rPr>
                <w:rFonts w:hint="eastAsia"/>
                <w:lang w:val="zh-CN"/>
              </w:rPr>
              <w:t>履约保证金</w:t>
            </w:r>
          </w:p>
        </w:tc>
        <w:tc>
          <w:tcPr>
            <w:tcW w:w="7061" w:type="dxa"/>
            <w:vAlign w:val="center"/>
          </w:tcPr>
          <w:p>
            <w:pPr>
              <w:pStyle w:val="39"/>
              <w:ind w:left="60" w:leftChars="25" w:right="60" w:rightChars="25"/>
              <w:rPr>
                <w:lang w:val="zh-CN"/>
              </w:rPr>
            </w:pPr>
            <w:r>
              <w:rPr>
                <w:rFonts w:hint="eastAsia"/>
              </w:rPr>
              <w:t>本项目不收取履约保证金</w:t>
            </w:r>
            <w:r>
              <w:rPr>
                <w:rFonts w:hint="eastAsia"/>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rPr>
                <w:lang w:val="zh-CN"/>
              </w:rPr>
            </w:pPr>
            <w:r>
              <w:rPr>
                <w:rFonts w:hint="eastAsia"/>
              </w:rPr>
              <w:t>政府采购供应商信用融资</w:t>
            </w:r>
          </w:p>
        </w:tc>
        <w:tc>
          <w:tcPr>
            <w:tcW w:w="7061" w:type="dxa"/>
            <w:vAlign w:val="center"/>
          </w:tcPr>
          <w:p>
            <w:pPr>
              <w:pStyle w:val="39"/>
              <w:ind w:left="60" w:leftChars="25" w:right="60" w:rightChars="25"/>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9"/>
              <w:ind w:left="60" w:leftChars="25" w:right="60" w:rightChars="25"/>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lang w:val="zh-CN"/>
              </w:rPr>
              <w:t>并按照相关规定要求和贷款流程</w:t>
            </w:r>
            <w:r>
              <w:rPr>
                <w:rFonts w:hint="eastAsia"/>
              </w:rPr>
              <w:t>办理。</w:t>
            </w:r>
          </w:p>
          <w:p>
            <w:pPr>
              <w:pStyle w:val="39"/>
              <w:ind w:left="60" w:leftChars="25" w:right="60" w:rightChars="25"/>
            </w:pPr>
            <w:r>
              <w:rPr>
                <w:rFonts w:hint="eastAsia"/>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lang w:val="zh-CN"/>
              </w:rPr>
              <w:t>合同分包</w:t>
            </w:r>
          </w:p>
        </w:tc>
        <w:tc>
          <w:tcPr>
            <w:tcW w:w="7061" w:type="dxa"/>
            <w:vAlign w:val="center"/>
          </w:tcPr>
          <w:p>
            <w:pPr>
              <w:pStyle w:val="39"/>
              <w:ind w:left="60" w:leftChars="25" w:right="60" w:rightChars="25"/>
            </w:pPr>
            <w:r>
              <w:rPr>
                <w:rFonts w:hint="eastAsia"/>
                <w:lang w:val="zh-CN"/>
              </w:rPr>
              <w:t>本项目不接受合同分包。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rPr>
                <w:lang w:val="zh-CN"/>
              </w:rPr>
            </w:pPr>
            <w:r>
              <w:rPr>
                <w:rFonts w:hint="eastAsia"/>
                <w:lang w:val="zh-CN"/>
              </w:rPr>
              <w:t>政府采购合同</w:t>
            </w:r>
          </w:p>
          <w:p>
            <w:pPr>
              <w:pStyle w:val="42"/>
            </w:pPr>
            <w:r>
              <w:rPr>
                <w:rFonts w:hint="eastAsia"/>
                <w:lang w:val="zh-CN"/>
              </w:rPr>
              <w:t>公告备案</w:t>
            </w:r>
          </w:p>
        </w:tc>
        <w:tc>
          <w:tcPr>
            <w:tcW w:w="7061" w:type="dxa"/>
            <w:vAlign w:val="center"/>
          </w:tcPr>
          <w:p>
            <w:pPr>
              <w:pStyle w:val="39"/>
              <w:ind w:left="60" w:leftChars="25" w:right="60" w:rightChars="25"/>
              <w:rPr>
                <w:lang w:val="zh-CN"/>
              </w:rPr>
            </w:pPr>
            <w:r>
              <w:rPr>
                <w:rFonts w:hint="eastAsia"/>
              </w:rPr>
              <w:t>1.</w:t>
            </w:r>
            <w:r>
              <w:rPr>
                <w:rFonts w:hint="eastAsia"/>
                <w:lang w:val="zh-CN"/>
              </w:rPr>
              <w:t>政府采购合同签订之日起2个工作日内，</w:t>
            </w:r>
            <w:r>
              <w:rPr>
                <w:rFonts w:hint="eastAsia"/>
              </w:rPr>
              <w:t>采购人将</w:t>
            </w:r>
            <w:r>
              <w:rPr>
                <w:rFonts w:hint="eastAsia"/>
                <w:lang w:val="zh-CN"/>
              </w:rPr>
              <w:t>政府采购合同在“四川政府采购网”公告；政府采购合同签订之日起七个工作日内，</w:t>
            </w:r>
            <w:r>
              <w:rPr>
                <w:rFonts w:hint="eastAsia"/>
              </w:rPr>
              <w:t>采购人</w:t>
            </w:r>
            <w:r>
              <w:rPr>
                <w:rFonts w:hint="eastAsia"/>
                <w:lang w:val="zh-CN"/>
              </w:rPr>
              <w:t>将政府采购合同向采购项目同级财政部门备案。</w:t>
            </w:r>
          </w:p>
          <w:p>
            <w:pPr>
              <w:pStyle w:val="39"/>
              <w:ind w:left="60" w:leftChars="25" w:right="60" w:rightChars="25"/>
            </w:pPr>
            <w:r>
              <w:rPr>
                <w:rFonts w:hint="eastAsia"/>
              </w:rPr>
              <w:t>2.</w:t>
            </w:r>
            <w:r>
              <w:rPr>
                <w:rFonts w:hint="eastAsia"/>
                <w:lang w:val="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rPr>
              <w:t>供应商询问</w:t>
            </w:r>
          </w:p>
        </w:tc>
        <w:tc>
          <w:tcPr>
            <w:tcW w:w="7061" w:type="dxa"/>
          </w:tcPr>
          <w:p>
            <w:pPr>
              <w:pStyle w:val="39"/>
              <w:ind w:left="60" w:leftChars="25" w:right="60" w:rightChars="25"/>
              <w:rPr>
                <w:lang w:val="zh-CN"/>
              </w:rPr>
            </w:pPr>
            <w:r>
              <w:rPr>
                <w:rFonts w:hint="eastAsia"/>
              </w:rPr>
              <w:t>1.根据委托代理协议约定，采购人负责对磋商文件技术参数部分的询问答复，成都公恒信工程项目管理有限公司负责磋商文件技术参数部分以外的询问答复。</w:t>
            </w:r>
          </w:p>
          <w:p>
            <w:pPr>
              <w:pStyle w:val="39"/>
              <w:ind w:left="60" w:leftChars="25" w:right="60" w:rightChars="25"/>
            </w:pPr>
            <w:r>
              <w:rPr>
                <w:rFonts w:hint="eastAsia"/>
              </w:rPr>
              <w:t>2.询问内容不得涉及评审秘密、国家机密和商业秘密等保密内容。</w:t>
            </w:r>
          </w:p>
          <w:p>
            <w:pPr>
              <w:pStyle w:val="39"/>
              <w:ind w:left="60" w:leftChars="25" w:right="60" w:rightChars="25"/>
            </w:pPr>
            <w:r>
              <w:rPr>
                <w:rFonts w:hint="eastAsia"/>
              </w:rPr>
              <w:t>3.询问方式：询问人可以采用书面或口头或电子邮件等方式向成都公恒信工程项目管理有限公司提出；询问必须提供询问人基本信息(包含具体询问内容、询问人名称或姓名、联系人及联系电话、电子邮件)。</w:t>
            </w:r>
          </w:p>
          <w:p>
            <w:pPr>
              <w:pStyle w:val="39"/>
              <w:ind w:left="60" w:leftChars="25" w:right="60" w:rightChars="25"/>
            </w:pPr>
            <w:r>
              <w:rPr>
                <w:rFonts w:hint="eastAsia"/>
                <w:lang w:val="zh-CN"/>
              </w:rPr>
              <w:t>联系人：</w:t>
            </w:r>
            <w:r>
              <w:rPr>
                <w:rFonts w:hint="eastAsia"/>
              </w:rPr>
              <w:t>欧女士</w:t>
            </w:r>
          </w:p>
          <w:p>
            <w:pPr>
              <w:pStyle w:val="39"/>
              <w:ind w:left="60" w:leftChars="25" w:right="60" w:rightChars="25"/>
              <w:rPr>
                <w:lang w:val="zh-CN"/>
              </w:rPr>
            </w:pPr>
            <w:r>
              <w:rPr>
                <w:rFonts w:hint="eastAsia"/>
                <w:lang w:val="zh-CN"/>
              </w:rPr>
              <w:t>联系电话：</w:t>
            </w:r>
            <w:r>
              <w:rPr>
                <w:rFonts w:hint="eastAsia"/>
              </w:rPr>
              <w:t>028-85032683/13808171894</w:t>
            </w:r>
          </w:p>
          <w:p>
            <w:pPr>
              <w:pStyle w:val="39"/>
              <w:ind w:left="60" w:leftChars="25" w:right="60" w:rightChars="25"/>
              <w:rPr>
                <w:lang w:val="zh-CN"/>
              </w:rPr>
            </w:pPr>
            <w:r>
              <w:rPr>
                <w:rFonts w:hint="eastAsia"/>
                <w:lang w:val="zh-CN"/>
              </w:rPr>
              <w:t>地址：成都市武侯区金履一路218号优博广场1栋405室</w:t>
            </w:r>
          </w:p>
          <w:p>
            <w:pPr>
              <w:pStyle w:val="39"/>
              <w:ind w:left="60" w:leftChars="25" w:right="60" w:rightChars="25"/>
            </w:pPr>
            <w:r>
              <w:rPr>
                <w:rFonts w:hint="eastAsia"/>
                <w:lang w:val="zh-CN"/>
              </w:rPr>
              <w:t>邮编</w:t>
            </w:r>
            <w:r>
              <w:rPr>
                <w:rFonts w:hint="eastAsia"/>
              </w:rPr>
              <w:t>：610041</w:t>
            </w:r>
          </w:p>
          <w:p>
            <w:pPr>
              <w:pStyle w:val="39"/>
              <w:ind w:left="60" w:leftChars="25" w:right="60" w:rightChars="25"/>
            </w:pPr>
            <w:r>
              <w:rPr>
                <w:rFonts w:hint="eastAsia"/>
              </w:rPr>
              <w:t>4.询问提出的范围及主体：①磋商文件及采购信息公告环节：依法获取磋商文件的潜在供应商可以对磋商文件及采购信息公告的内容向成都公恒信工程项目管理有限公司或采购人提出询问，仅对采购信息公告内容提出询问的，不限制询问主体。</w:t>
            </w:r>
            <w:r>
              <w:t>②</w:t>
            </w:r>
            <w:r>
              <w:rPr>
                <w:rFonts w:hint="eastAsia"/>
              </w:rPr>
              <w:t>采购过程、采购结果环节：参与采购活动的供应商可以对采购过程、采购结果相关问题向成都公恒信工程项目管理有限公司提出询问，未参与采购活动的供应商不得对此环节提出询问。</w:t>
            </w:r>
            <w:r>
              <w:t>③</w:t>
            </w:r>
            <w:r>
              <w:rPr>
                <w:rFonts w:hint="eastAsia"/>
              </w:rPr>
              <w:t>询问提出的时间原则上以政府采购活动中有效质疑的时间计算为准。</w:t>
            </w:r>
          </w:p>
          <w:p>
            <w:pPr>
              <w:pStyle w:val="39"/>
              <w:ind w:left="60" w:leftChars="25" w:right="60" w:rightChars="25"/>
            </w:pPr>
            <w:r>
              <w:rPr>
                <w:rFonts w:hint="eastAsia"/>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9"/>
              <w:ind w:left="60" w:leftChars="25" w:right="60" w:rightChars="25"/>
              <w:rPr>
                <w:lang w:val="zh-CN"/>
              </w:rPr>
            </w:pPr>
            <w:r>
              <w:rPr>
                <w:rFonts w:hint="eastAsia"/>
              </w:rPr>
              <w:t>6.为降低时间成本，减少不必要的干扰，成都公恒信工程项目管理有限公司或采购人可以不接受未按照约定时间提出的询问。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rPr>
                <w:lang w:val="zh-CN"/>
              </w:rPr>
            </w:pPr>
          </w:p>
        </w:tc>
        <w:tc>
          <w:tcPr>
            <w:tcW w:w="2020" w:type="dxa"/>
            <w:vAlign w:val="center"/>
          </w:tcPr>
          <w:p>
            <w:pPr>
              <w:pStyle w:val="42"/>
            </w:pPr>
            <w:r>
              <w:rPr>
                <w:rFonts w:hint="eastAsia"/>
              </w:rPr>
              <w:t>供应商质疑</w:t>
            </w:r>
          </w:p>
        </w:tc>
        <w:tc>
          <w:tcPr>
            <w:tcW w:w="7061" w:type="dxa"/>
            <w:vAlign w:val="center"/>
          </w:tcPr>
          <w:p>
            <w:pPr>
              <w:pStyle w:val="39"/>
              <w:ind w:left="60" w:leftChars="25" w:right="60" w:rightChars="25"/>
            </w:pPr>
            <w:r>
              <w:rPr>
                <w:rFonts w:hint="eastAsia"/>
              </w:rPr>
              <w:t>1.根据委托代理协议约定，对于磋商文件(磋商文件技术条款和除政府采购法第二十二条之外的其他资格条件、专业商务要求)的质疑由采购人负责答复；对于采购过程或采购结果由成都公恒信工程项目管理有限公司负责答复。</w:t>
            </w:r>
            <w:r>
              <w:rPr>
                <w:rFonts w:hint="eastAsia"/>
              </w:rPr>
              <w:br w:type="textWrapping"/>
            </w:r>
            <w:r>
              <w:rPr>
                <w:rFonts w:hint="eastAsia"/>
              </w:rPr>
              <w:t>2.供应商提出质疑应当坚持依法依规、诚实信用原则；不得超出磋商文件、采购过程、采购结果的范围，不得进行虚假、恶意质疑，不得以质疑为手段获取不当得利、实现非法目的。</w:t>
            </w:r>
            <w:r>
              <w:rPr>
                <w:rFonts w:hint="eastAsia"/>
              </w:rPr>
              <w:br w:type="textWrapping"/>
            </w:r>
            <w:r>
              <w:rPr>
                <w:rFonts w:hint="eastAsia"/>
              </w:rPr>
              <w:t>3.提出质疑函的时限要求：供应商认为磋商文件、采购过程、中标或者成交结果使其权益受到损害的，可以在知道或者应知其权益受到损害之日起7个工作日内，以书面形式向采购人、采购代理机构提出质疑。</w:t>
            </w:r>
            <w:r>
              <w:rPr>
                <w:rFonts w:hint="eastAsia"/>
              </w:rPr>
              <w:br w:type="textWrapping"/>
            </w:r>
            <w:r>
              <w:rPr>
                <w:rFonts w:hint="eastAsia"/>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9"/>
              <w:ind w:left="60" w:leftChars="25" w:right="60" w:rightChars="25"/>
            </w:pPr>
            <w:r>
              <w:rPr>
                <w:rFonts w:hint="eastAsia"/>
              </w:rPr>
              <w:t>联系人：欧女士</w:t>
            </w:r>
          </w:p>
          <w:p>
            <w:pPr>
              <w:pStyle w:val="39"/>
              <w:ind w:left="60" w:leftChars="25" w:right="60" w:rightChars="25"/>
            </w:pPr>
            <w:r>
              <w:rPr>
                <w:rFonts w:hint="eastAsia"/>
              </w:rPr>
              <w:t>联系电话：028-85032683/13808171894</w:t>
            </w:r>
          </w:p>
          <w:p>
            <w:pPr>
              <w:pStyle w:val="39"/>
              <w:ind w:left="60" w:leftChars="25" w:right="60" w:rightChars="25"/>
            </w:pPr>
            <w:r>
              <w:rPr>
                <w:rFonts w:hint="eastAsia"/>
              </w:rPr>
              <w:t>通讯地址：</w:t>
            </w:r>
            <w:r>
              <w:rPr>
                <w:rFonts w:hint="eastAsia"/>
                <w:lang w:val="zh-CN"/>
              </w:rPr>
              <w:t>成都市武侯区金履一路218号优博广场1栋405室</w:t>
            </w:r>
          </w:p>
          <w:p>
            <w:pPr>
              <w:pStyle w:val="39"/>
              <w:ind w:left="60" w:leftChars="25" w:right="60" w:rightChars="25"/>
            </w:pPr>
            <w:r>
              <w:rPr>
                <w:rFonts w:hint="eastAsia"/>
              </w:rPr>
              <w:t>邮编：610041</w:t>
            </w:r>
          </w:p>
          <w:p>
            <w:pPr>
              <w:pStyle w:val="39"/>
              <w:ind w:left="60" w:leftChars="25" w:right="60" w:rightChars="25"/>
            </w:pPr>
            <w:r>
              <w:rPr>
                <w:rFonts w:hint="eastAsia"/>
              </w:rPr>
              <w:t>注：①根据《中华人民共和国政府采购法》等法律法规规定，供应商质疑应当有明确的请求和必要的证明材料，须符合《政府采购质疑和投诉办法》(财政部第94号令)规定，并使用财政部下发《质疑函》范本。</w:t>
            </w:r>
          </w:p>
          <w:p>
            <w:pPr>
              <w:pStyle w:val="39"/>
              <w:ind w:left="60" w:leftChars="25" w:right="60" w:rightChars="25"/>
            </w:pPr>
            <w:r>
              <w:rPr>
                <w:rFonts w:hint="eastAsia"/>
              </w:rPr>
              <w:t>明确的请求是指：供应商对磋商文件还是对采购过程还是对中标、成交结果提出质疑；想要达到的结果，如中标成交无效、废标、重新组织采购、赔偿、追究法律责任等；</w:t>
            </w:r>
          </w:p>
          <w:p>
            <w:pPr>
              <w:pStyle w:val="39"/>
              <w:ind w:left="60" w:leftChars="25" w:right="60" w:rightChars="25"/>
            </w:pPr>
            <w:r>
              <w:rPr>
                <w:rFonts w:hint="eastAsia"/>
              </w:rPr>
              <w:t>必要的证明材料是指：包含供应商的营业执照、授权委托书(法定代表人质疑时无需提供)、委托代理人身份证明、参加采购项目的证明、权益受到损害的证明材料、证明提出质疑的事实存在的材料等。</w:t>
            </w:r>
          </w:p>
          <w:p>
            <w:pPr>
              <w:pStyle w:val="39"/>
              <w:ind w:left="60" w:leftChars="25" w:right="60" w:rightChars="25"/>
            </w:pPr>
            <w:r>
              <w:rPr>
                <w:rFonts w:hint="eastAsia"/>
              </w:rPr>
              <w:t>如因供应商提出的质疑函不符合《政府采购质疑和投诉办法》(财政部令第94号)第十二条的要求，成都公恒信工程项目管理有限公司或采购人将要求供应商在法定质疑期内进行质疑函补正，未进行补正或在法定质疑期内未进行补正的，其所有不利后果由供应商自行承担。</w:t>
            </w:r>
          </w:p>
          <w:p>
            <w:pPr>
              <w:pStyle w:val="39"/>
              <w:ind w:left="60" w:leftChars="25" w:right="60" w:rightChars="25"/>
            </w:pPr>
            <w:r>
              <w:rPr>
                <w:rFonts w:hint="eastAsia"/>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42"/>
              <w:numPr>
                <w:ilvl w:val="0"/>
                <w:numId w:val="10"/>
              </w:numPr>
            </w:pPr>
          </w:p>
        </w:tc>
        <w:tc>
          <w:tcPr>
            <w:tcW w:w="2020" w:type="dxa"/>
            <w:vAlign w:val="center"/>
          </w:tcPr>
          <w:p>
            <w:pPr>
              <w:pStyle w:val="42"/>
              <w:rPr>
                <w:lang w:val="zh-CN"/>
              </w:rPr>
            </w:pPr>
            <w:r>
              <w:rPr>
                <w:rFonts w:hint="eastAsia"/>
              </w:rPr>
              <w:t>供应商投诉</w:t>
            </w:r>
          </w:p>
        </w:tc>
        <w:tc>
          <w:tcPr>
            <w:tcW w:w="7061" w:type="dxa"/>
          </w:tcPr>
          <w:p>
            <w:pPr>
              <w:pStyle w:val="39"/>
              <w:ind w:left="60" w:leftChars="25" w:right="60" w:rightChars="25"/>
              <w:rPr>
                <w:lang w:val="zh-CN"/>
              </w:rPr>
            </w:pPr>
            <w:r>
              <w:rPr>
                <w:rFonts w:hint="eastAsia"/>
              </w:rPr>
              <w:t xml:space="preserve">投诉受理单位：成都市武侯区财政局 </w:t>
            </w:r>
          </w:p>
          <w:p>
            <w:pPr>
              <w:pStyle w:val="39"/>
              <w:ind w:left="60" w:leftChars="25" w:right="60" w:rightChars="25"/>
              <w:rPr>
                <w:lang w:val="zh-CN"/>
              </w:rPr>
            </w:pPr>
            <w:r>
              <w:rPr>
                <w:rFonts w:hint="eastAsia"/>
                <w:lang w:val="zh-CN"/>
              </w:rPr>
              <w:t>联系电话：</w:t>
            </w:r>
            <w:bookmarkStart w:id="21" w:name="PO_监督管理联系电话_1"/>
            <w:r>
              <w:rPr>
                <w:rFonts w:hint="eastAsia"/>
                <w:lang w:val="zh-CN"/>
              </w:rPr>
              <w:t>028-85558345</w:t>
            </w:r>
            <w:bookmarkEnd w:id="21"/>
          </w:p>
          <w:p>
            <w:pPr>
              <w:pStyle w:val="39"/>
              <w:ind w:left="60" w:leftChars="25" w:right="60" w:rightChars="25"/>
            </w:pPr>
            <w:r>
              <w:rPr>
                <w:rFonts w:hint="eastAsia"/>
                <w:lang w:val="zh-CN"/>
              </w:rPr>
              <w:t>地址：</w:t>
            </w:r>
            <w:bookmarkStart w:id="22" w:name="PO_监督管理办公室地址_1"/>
            <w:r>
              <w:rPr>
                <w:rFonts w:hint="eastAsia"/>
                <w:lang w:val="zh-CN"/>
              </w:rPr>
              <w:t>成都市武侯区武科西五路360号二栋五单元8、9楼</w:t>
            </w:r>
            <w:bookmarkEnd w:id="22"/>
          </w:p>
          <w:p>
            <w:pPr>
              <w:pStyle w:val="39"/>
              <w:ind w:left="60" w:leftChars="25" w:right="60" w:rightChars="25"/>
            </w:pPr>
            <w:r>
              <w:rPr>
                <w:rFonts w:hint="eastAsia"/>
              </w:rPr>
              <w:t>邮编：610046</w:t>
            </w:r>
          </w:p>
          <w:p>
            <w:pPr>
              <w:pStyle w:val="39"/>
              <w:ind w:left="60" w:leftChars="25" w:right="60" w:rightChars="25"/>
              <w:rPr>
                <w:lang w:val="zh-CN"/>
              </w:rPr>
            </w:pPr>
            <w:r>
              <w:rPr>
                <w:rFonts w:hint="eastAsia"/>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pPr>
          </w:p>
        </w:tc>
        <w:tc>
          <w:tcPr>
            <w:tcW w:w="2020" w:type="dxa"/>
            <w:vAlign w:val="center"/>
          </w:tcPr>
          <w:p>
            <w:pPr>
              <w:pStyle w:val="42"/>
            </w:pPr>
            <w:r>
              <w:rPr>
                <w:rFonts w:hint="eastAsia"/>
              </w:rPr>
              <w:t>竞争性磋商费用</w:t>
            </w:r>
          </w:p>
        </w:tc>
        <w:tc>
          <w:tcPr>
            <w:tcW w:w="7061" w:type="dxa"/>
            <w:vAlign w:val="center"/>
          </w:tcPr>
          <w:p>
            <w:pPr>
              <w:pStyle w:val="39"/>
              <w:ind w:left="60" w:leftChars="25" w:right="60" w:rightChars="25"/>
            </w:pPr>
            <w:r>
              <w:rPr>
                <w:rFonts w:hint="eastAsia"/>
              </w:rPr>
              <w:t>无论竞争性磋商的结果如何，供应商自行承担所有与参加竞争性磋商有关的全部费用。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pPr>
          </w:p>
        </w:tc>
        <w:tc>
          <w:tcPr>
            <w:tcW w:w="2020" w:type="dxa"/>
            <w:vAlign w:val="center"/>
          </w:tcPr>
          <w:p>
            <w:pPr>
              <w:pStyle w:val="42"/>
            </w:pPr>
            <w:r>
              <w:rPr>
                <w:rFonts w:hint="eastAsia"/>
              </w:rPr>
              <w:t>磋商</w:t>
            </w:r>
            <w:r>
              <w:rPr>
                <w:rFonts w:hint="eastAsia"/>
                <w:lang w:val="zh-CN"/>
              </w:rPr>
              <w:t>文件咨询</w:t>
            </w:r>
          </w:p>
        </w:tc>
        <w:tc>
          <w:tcPr>
            <w:tcW w:w="7061" w:type="dxa"/>
            <w:vAlign w:val="center"/>
          </w:tcPr>
          <w:p>
            <w:pPr>
              <w:pStyle w:val="39"/>
              <w:ind w:left="60" w:leftChars="25" w:right="60" w:rightChars="25"/>
              <w:rPr>
                <w:lang w:val="zh-CN"/>
              </w:rPr>
            </w:pPr>
            <w:r>
              <w:rPr>
                <w:rFonts w:hint="eastAsia"/>
                <w:lang w:val="zh-CN"/>
              </w:rPr>
              <w:t>联系人：</w:t>
            </w:r>
            <w:r>
              <w:rPr>
                <w:rFonts w:hint="eastAsia"/>
              </w:rPr>
              <w:t>欧女士</w:t>
            </w:r>
          </w:p>
          <w:p>
            <w:pPr>
              <w:pStyle w:val="39"/>
              <w:ind w:left="60" w:leftChars="25" w:right="60" w:rightChars="25"/>
            </w:pPr>
            <w:r>
              <w:rPr>
                <w:rFonts w:hint="eastAsia"/>
                <w:lang w:val="zh-CN"/>
              </w:rPr>
              <w:t>联系电话：028-85032683/13808171894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pPr>
          </w:p>
        </w:tc>
        <w:tc>
          <w:tcPr>
            <w:tcW w:w="2020" w:type="dxa"/>
            <w:vAlign w:val="center"/>
          </w:tcPr>
          <w:p>
            <w:pPr>
              <w:pStyle w:val="42"/>
            </w:pPr>
            <w:r>
              <w:rPr>
                <w:rFonts w:hint="eastAsia"/>
                <w:lang w:val="zh-CN"/>
              </w:rPr>
              <w:t>磋商过程、结果咨询</w:t>
            </w:r>
          </w:p>
        </w:tc>
        <w:tc>
          <w:tcPr>
            <w:tcW w:w="7061" w:type="dxa"/>
            <w:vAlign w:val="center"/>
          </w:tcPr>
          <w:p>
            <w:pPr>
              <w:pStyle w:val="39"/>
              <w:ind w:left="60" w:leftChars="25" w:right="60" w:rightChars="25"/>
              <w:rPr>
                <w:lang w:val="zh-CN"/>
              </w:rPr>
            </w:pPr>
            <w:r>
              <w:rPr>
                <w:rFonts w:hint="eastAsia"/>
                <w:lang w:val="zh-CN"/>
              </w:rPr>
              <w:t>联系人：</w:t>
            </w:r>
            <w:r>
              <w:rPr>
                <w:rFonts w:hint="eastAsia"/>
              </w:rPr>
              <w:t>欧女士</w:t>
            </w:r>
          </w:p>
          <w:p>
            <w:pPr>
              <w:pStyle w:val="39"/>
              <w:ind w:left="60" w:leftChars="25" w:right="60" w:rightChars="25"/>
            </w:pPr>
            <w:r>
              <w:rPr>
                <w:rFonts w:hint="eastAsia"/>
                <w:lang w:val="zh-CN"/>
              </w:rPr>
              <w:t>联系电话：028-85032683/13808171894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pPr>
          </w:p>
        </w:tc>
        <w:tc>
          <w:tcPr>
            <w:tcW w:w="2020" w:type="dxa"/>
            <w:vAlign w:val="center"/>
          </w:tcPr>
          <w:p>
            <w:pPr>
              <w:pStyle w:val="42"/>
              <w:rPr>
                <w:lang w:val="zh-CN"/>
              </w:rPr>
            </w:pPr>
            <w:r>
              <w:rPr>
                <w:rFonts w:hint="eastAsia"/>
                <w:lang w:val="zh-CN"/>
              </w:rPr>
              <w:t>声明承诺提醒</w:t>
            </w:r>
          </w:p>
        </w:tc>
        <w:tc>
          <w:tcPr>
            <w:tcW w:w="7061" w:type="dxa"/>
            <w:vAlign w:val="center"/>
          </w:tcPr>
          <w:p>
            <w:pPr>
              <w:pStyle w:val="39"/>
              <w:ind w:left="60" w:leftChars="25" w:right="60" w:rightChars="25"/>
              <w:rPr>
                <w:lang w:val="zh-CN"/>
              </w:rPr>
            </w:pPr>
            <w:r>
              <w:rPr>
                <w:rFonts w:hint="eastAsia"/>
                <w:lang w:val="zh-CN"/>
              </w:rPr>
              <w:t>供应商响应文件中提供的各种声明和承诺应当真实有效，无效声明和承诺、虚假声明和承诺将由供应商</w:t>
            </w:r>
            <w:r>
              <w:rPr>
                <w:rFonts w:hint="eastAsia"/>
              </w:rPr>
              <w:t>自行</w:t>
            </w:r>
            <w:r>
              <w:rPr>
                <w:rFonts w:hint="eastAsia"/>
                <w:lang w:val="zh-CN"/>
              </w:rPr>
              <w:t>承担由此带来的</w:t>
            </w:r>
            <w:r>
              <w:rPr>
                <w:rFonts w:hint="eastAsia"/>
              </w:rPr>
              <w:t>一切</w:t>
            </w:r>
            <w:r>
              <w:rPr>
                <w:rFonts w:hint="eastAsia"/>
                <w:lang w:val="zh-CN"/>
              </w:rPr>
              <w:t>不利后果，</w:t>
            </w:r>
            <w:r>
              <w:rPr>
                <w:rFonts w:hint="eastAsia"/>
              </w:rPr>
              <w:t>采购代理机构</w:t>
            </w:r>
            <w:r>
              <w:rPr>
                <w:rFonts w:hint="eastAsia"/>
                <w:lang w:val="zh-CN"/>
              </w:rPr>
              <w:t>还将报告监管部门追究</w:t>
            </w:r>
            <w:r>
              <w:rPr>
                <w:rFonts w:hint="eastAsia"/>
              </w:rPr>
              <w:t>其</w:t>
            </w:r>
            <w:r>
              <w:rPr>
                <w:rFonts w:hint="eastAsia"/>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10"/>
              </w:numPr>
            </w:pPr>
          </w:p>
        </w:tc>
        <w:tc>
          <w:tcPr>
            <w:tcW w:w="2020" w:type="dxa"/>
            <w:vAlign w:val="center"/>
          </w:tcPr>
          <w:p>
            <w:pPr>
              <w:pStyle w:val="42"/>
              <w:rPr>
                <w:lang w:val="zh-CN"/>
              </w:rPr>
            </w:pPr>
            <w:r>
              <w:rPr>
                <w:rFonts w:hint="eastAsia"/>
              </w:rPr>
              <w:t>备注</w:t>
            </w:r>
          </w:p>
        </w:tc>
        <w:tc>
          <w:tcPr>
            <w:tcW w:w="7061" w:type="dxa"/>
            <w:vAlign w:val="center"/>
          </w:tcPr>
          <w:p>
            <w:pPr>
              <w:pStyle w:val="39"/>
              <w:ind w:left="60" w:leftChars="25" w:right="60" w:rightChars="25"/>
              <w:rPr>
                <w:lang w:val="zh-CN"/>
              </w:rPr>
            </w:pPr>
            <w:r>
              <w:rPr>
                <w:rFonts w:hint="eastAsia"/>
                <w:lang w:val="zh-CN"/>
              </w:rPr>
              <w:t>若竞争性磋商文件中其他内容与磋商须知前附表内容不一致的，以磋商须知前附表为准。</w:t>
            </w:r>
          </w:p>
        </w:tc>
      </w:tr>
    </w:tbl>
    <w:p>
      <w:pPr>
        <w:pStyle w:val="32"/>
        <w:spacing w:before="120" w:beforeLines="50" w:after="120" w:afterLines="50"/>
        <w:ind w:firstLine="0" w:firstLineChars="0"/>
        <w:jc w:val="center"/>
        <w:rPr>
          <w:sz w:val="36"/>
          <w:szCs w:val="36"/>
        </w:rPr>
      </w:pPr>
      <w:r>
        <w:rPr>
          <w:rFonts w:hint="eastAsia"/>
        </w:rPr>
        <w:br w:type="page"/>
      </w:r>
      <w:bookmarkStart w:id="23" w:name="_Toc20844"/>
      <w:bookmarkStart w:id="24" w:name="_Toc2355"/>
      <w:r>
        <w:rPr>
          <w:rFonts w:hint="eastAsia"/>
          <w:sz w:val="36"/>
          <w:szCs w:val="36"/>
        </w:rPr>
        <w:t>总则</w:t>
      </w:r>
      <w:bookmarkEnd w:id="23"/>
      <w:bookmarkEnd w:id="24"/>
    </w:p>
    <w:tbl>
      <w:tblPr>
        <w:tblStyle w:val="20"/>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42"/>
            </w:pPr>
            <w:r>
              <w:rPr>
                <w:rFonts w:hint="eastAsia"/>
                <w:b/>
                <w:bCs/>
                <w:lang w:val="zh-CN"/>
              </w:rPr>
              <w:t>序号</w:t>
            </w:r>
          </w:p>
        </w:tc>
        <w:tc>
          <w:tcPr>
            <w:tcW w:w="1753" w:type="dxa"/>
            <w:vAlign w:val="center"/>
          </w:tcPr>
          <w:p>
            <w:pPr>
              <w:pStyle w:val="42"/>
              <w:rPr>
                <w:lang w:val="zh-CN"/>
              </w:rPr>
            </w:pPr>
            <w:r>
              <w:rPr>
                <w:rFonts w:hint="eastAsia"/>
                <w:b/>
                <w:bCs/>
                <w:lang w:val="zh-CN"/>
              </w:rPr>
              <w:t>事项</w:t>
            </w:r>
          </w:p>
        </w:tc>
        <w:tc>
          <w:tcPr>
            <w:tcW w:w="7328" w:type="dxa"/>
            <w:vAlign w:val="center"/>
          </w:tcPr>
          <w:p>
            <w:pPr>
              <w:pStyle w:val="42"/>
              <w:ind w:left="60" w:leftChars="25" w:right="60" w:rightChars="25"/>
              <w:rPr>
                <w:lang w:val="zh-CN"/>
              </w:rPr>
            </w:pPr>
            <w:r>
              <w:rPr>
                <w:rFonts w:hint="eastAsia"/>
                <w:b/>
                <w:bCs/>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2"/>
            </w:pPr>
            <w:r>
              <w:rPr>
                <w:rFonts w:hint="eastAsia"/>
              </w:rPr>
              <w:t>1</w:t>
            </w:r>
          </w:p>
        </w:tc>
        <w:tc>
          <w:tcPr>
            <w:tcW w:w="1753" w:type="dxa"/>
            <w:vAlign w:val="center"/>
          </w:tcPr>
          <w:p>
            <w:pPr>
              <w:pStyle w:val="42"/>
              <w:rPr>
                <w:lang w:val="zh-CN"/>
              </w:rPr>
            </w:pPr>
            <w:r>
              <w:rPr>
                <w:rFonts w:hint="eastAsia"/>
                <w:lang w:val="zh-CN"/>
              </w:rPr>
              <w:t>适用范围</w:t>
            </w:r>
          </w:p>
        </w:tc>
        <w:tc>
          <w:tcPr>
            <w:tcW w:w="7328" w:type="dxa"/>
            <w:vAlign w:val="center"/>
          </w:tcPr>
          <w:p>
            <w:pPr>
              <w:pStyle w:val="39"/>
              <w:ind w:left="60" w:leftChars="25" w:right="60" w:rightChars="25"/>
            </w:pPr>
            <w:r>
              <w:rPr>
                <w:rFonts w:hint="eastAsia"/>
              </w:rPr>
              <w:t>1.</w:t>
            </w:r>
            <w:r>
              <w:rPr>
                <w:rFonts w:hint="eastAsia"/>
                <w:lang w:val="zh-CN"/>
              </w:rPr>
              <w:t>本竞争性磋商文件(亦</w:t>
            </w:r>
            <w:r>
              <w:rPr>
                <w:rFonts w:hint="eastAsia"/>
              </w:rPr>
              <w:t>简称“磋商文件”或“采购文件”</w:t>
            </w:r>
            <w:r>
              <w:rPr>
                <w:rFonts w:hint="eastAsia"/>
                <w:lang w:val="zh-CN"/>
              </w:rPr>
              <w:t>)仅适用于</w:t>
            </w:r>
            <w:r>
              <w:rPr>
                <w:rFonts w:hint="eastAsia"/>
              </w:rPr>
              <w:t>本次磋商</w:t>
            </w:r>
            <w:r>
              <w:rPr>
                <w:rFonts w:hint="eastAsia"/>
                <w:lang w:val="zh-CN"/>
              </w:rPr>
              <w:t>采购</w:t>
            </w:r>
            <w:r>
              <w:rPr>
                <w:rFonts w:hint="eastAsia"/>
              </w:rPr>
              <w:t>项目。</w:t>
            </w:r>
          </w:p>
          <w:p>
            <w:pPr>
              <w:pStyle w:val="39"/>
              <w:ind w:left="60" w:leftChars="25" w:right="60" w:rightChars="25"/>
              <w:rPr>
                <w:lang w:val="zh-CN"/>
              </w:rPr>
            </w:pPr>
            <w:r>
              <w:rPr>
                <w:rFonts w:hint="eastAsia"/>
                <w:lang w:val="zh-CN"/>
              </w:rPr>
              <w:t>2.本竞争性</w:t>
            </w:r>
            <w:r>
              <w:rPr>
                <w:rFonts w:hint="eastAsia"/>
              </w:rPr>
              <w:t>磋商</w:t>
            </w:r>
            <w:r>
              <w:rPr>
                <w:rFonts w:hint="eastAsia"/>
                <w:lang w:val="zh-CN"/>
              </w:rPr>
              <w:t>文件中的</w:t>
            </w:r>
            <w:r>
              <w:rPr>
                <w:rFonts w:hint="eastAsia"/>
              </w:rPr>
              <w:t>响应文件</w:t>
            </w:r>
            <w:r>
              <w:rPr>
                <w:rFonts w:hint="eastAsia"/>
                <w:lang w:val="zh-CN"/>
              </w:rPr>
              <w:t>，仅适用于本采购项目。</w:t>
            </w:r>
          </w:p>
          <w:p>
            <w:pPr>
              <w:pStyle w:val="39"/>
              <w:ind w:left="60" w:leftChars="25" w:right="60" w:rightChars="25"/>
              <w:rPr>
                <w:lang w:val="zh-CN"/>
              </w:rPr>
            </w:pPr>
            <w:r>
              <w:rPr>
                <w:rFonts w:hint="eastAsia"/>
              </w:rPr>
              <w:t>3.</w:t>
            </w:r>
            <w:r>
              <w:rPr>
                <w:rFonts w:hint="eastAsia"/>
                <w:lang w:val="zh-CN"/>
              </w:rPr>
              <w:t>本竞争性</w:t>
            </w:r>
            <w:r>
              <w:rPr>
                <w:rFonts w:hint="eastAsia"/>
              </w:rPr>
              <w:t>磋商</w:t>
            </w:r>
            <w:r>
              <w:rPr>
                <w:rFonts w:hint="eastAsia"/>
                <w:lang w:val="zh-CN"/>
              </w:rPr>
              <w:t>文件中的</w:t>
            </w:r>
            <w:r>
              <w:rPr>
                <w:rFonts w:hint="eastAsia"/>
              </w:rPr>
              <w:t>磋商</w:t>
            </w:r>
            <w:r>
              <w:rPr>
                <w:rFonts w:hint="eastAsia"/>
                <w:lang w:val="zh-CN"/>
              </w:rPr>
              <w:t>小组(亦可称为“评审委员会”)，仅适用于本采购项目。</w:t>
            </w:r>
          </w:p>
          <w:p>
            <w:pPr>
              <w:pStyle w:val="39"/>
              <w:ind w:left="60" w:leftChars="25" w:right="60" w:rightChars="25"/>
            </w:pPr>
            <w:r>
              <w:rPr>
                <w:rFonts w:hint="eastAsia"/>
              </w:rPr>
              <w:t>4</w:t>
            </w:r>
            <w:r>
              <w:rPr>
                <w:rFonts w:hint="eastAsia"/>
                <w:lang w:val="zh-CN"/>
              </w:rPr>
              <w:t>.本</w:t>
            </w:r>
            <w:r>
              <w:rPr>
                <w:rFonts w:hint="eastAsia"/>
              </w:rPr>
              <w:t>磋商</w:t>
            </w:r>
            <w:r>
              <w:rPr>
                <w:rFonts w:hint="eastAsia"/>
                <w:lang w:val="zh-CN"/>
              </w:rPr>
              <w:t>文件的解释权归采购人和采购代理机构所有。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2"/>
            </w:pPr>
            <w:r>
              <w:rPr>
                <w:rFonts w:hint="eastAsia"/>
              </w:rPr>
              <w:t>2</w:t>
            </w:r>
          </w:p>
        </w:tc>
        <w:tc>
          <w:tcPr>
            <w:tcW w:w="1753" w:type="dxa"/>
            <w:vAlign w:val="center"/>
          </w:tcPr>
          <w:p>
            <w:pPr>
              <w:pStyle w:val="42"/>
            </w:pPr>
            <w:r>
              <w:rPr>
                <w:rFonts w:hint="eastAsia"/>
              </w:rPr>
              <w:t>采购主体</w:t>
            </w:r>
          </w:p>
        </w:tc>
        <w:tc>
          <w:tcPr>
            <w:tcW w:w="7328" w:type="dxa"/>
            <w:vAlign w:val="center"/>
          </w:tcPr>
          <w:p>
            <w:pPr>
              <w:pStyle w:val="39"/>
              <w:ind w:left="60" w:leftChars="25" w:right="60" w:rightChars="25"/>
            </w:pPr>
            <w:r>
              <w:rPr>
                <w:rFonts w:hint="eastAsia"/>
              </w:rPr>
              <w:t>1.“采购人”系依法进行政府采购的国家机关、事业单位、团体组织。本次采购的采购人是成都市武侯区公园城市建设和城市更新局。</w:t>
            </w:r>
          </w:p>
          <w:p>
            <w:pPr>
              <w:pStyle w:val="39"/>
              <w:ind w:left="60" w:leftChars="25" w:right="60" w:rightChars="25"/>
            </w:pPr>
            <w:r>
              <w:rPr>
                <w:rFonts w:hint="eastAsia"/>
              </w:rPr>
              <w:t>2.“供应商”系指购买了竞争性磋商文件拟参加磋商和向采购人提供相应服务的法人、其他组织或者自然人。</w:t>
            </w:r>
          </w:p>
          <w:p>
            <w:pPr>
              <w:pStyle w:val="39"/>
              <w:ind w:left="60" w:leftChars="25" w:right="60" w:rightChars="25"/>
            </w:pPr>
            <w:r>
              <w:rPr>
                <w:rFonts w:hint="eastAsia"/>
              </w:rPr>
              <w:t>3.“采购代理机构”系指根据采购人的委托依法办理采购事宜的采购机构。本次竞争性磋商的采购代理机构是成都公恒信工程项目管理有限公司。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2"/>
            </w:pPr>
            <w:r>
              <w:rPr>
                <w:rFonts w:hint="eastAsia"/>
              </w:rPr>
              <w:t>3</w:t>
            </w:r>
          </w:p>
        </w:tc>
        <w:tc>
          <w:tcPr>
            <w:tcW w:w="1753" w:type="dxa"/>
            <w:vAlign w:val="center"/>
          </w:tcPr>
          <w:p>
            <w:pPr>
              <w:pStyle w:val="42"/>
            </w:pPr>
            <w:r>
              <w:rPr>
                <w:rFonts w:hint="eastAsia"/>
              </w:rPr>
              <w:t>合格供应商条件</w:t>
            </w:r>
          </w:p>
          <w:p>
            <w:pPr>
              <w:pStyle w:val="42"/>
            </w:pPr>
            <w:r>
              <w:rPr>
                <w:rFonts w:hint="eastAsia"/>
              </w:rPr>
              <w:t>(实质性要求)</w:t>
            </w:r>
          </w:p>
        </w:tc>
        <w:tc>
          <w:tcPr>
            <w:tcW w:w="7328" w:type="dxa"/>
            <w:vAlign w:val="center"/>
          </w:tcPr>
          <w:p>
            <w:pPr>
              <w:pStyle w:val="39"/>
              <w:ind w:left="60" w:leftChars="25" w:right="60" w:rightChars="25"/>
            </w:pPr>
            <w:r>
              <w:rPr>
                <w:rFonts w:hint="eastAsia"/>
              </w:rPr>
              <w:t>1.不属于禁止参加本项目采购活动的供应商。</w:t>
            </w:r>
          </w:p>
          <w:p>
            <w:pPr>
              <w:pStyle w:val="39"/>
              <w:ind w:left="60" w:leftChars="25" w:right="60" w:rightChars="25"/>
            </w:pPr>
            <w:r>
              <w:rPr>
                <w:rFonts w:hint="eastAsia"/>
              </w:rPr>
              <w:t>2.遵守国家有关的法律、法规、规章和其他政策制度。</w:t>
            </w:r>
          </w:p>
          <w:p>
            <w:pPr>
              <w:pStyle w:val="39"/>
              <w:ind w:left="60" w:leftChars="25" w:right="60" w:rightChars="25"/>
            </w:pPr>
            <w:r>
              <w:rPr>
                <w:rFonts w:hint="eastAsia"/>
              </w:rPr>
              <w:t>3.向采购代理机构获取了竞争性磋商文件并登记。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2"/>
            </w:pPr>
            <w:r>
              <w:rPr>
                <w:rFonts w:hint="eastAsia"/>
              </w:rPr>
              <w:t>4</w:t>
            </w:r>
          </w:p>
        </w:tc>
        <w:tc>
          <w:tcPr>
            <w:tcW w:w="1753" w:type="dxa"/>
            <w:vAlign w:val="center"/>
          </w:tcPr>
          <w:p>
            <w:pPr>
              <w:pStyle w:val="42"/>
            </w:pPr>
            <w:r>
              <w:rPr>
                <w:rFonts w:hint="eastAsia"/>
              </w:rPr>
              <w:t>充分、公平竞争保障措施</w:t>
            </w:r>
          </w:p>
          <w:p>
            <w:pPr>
              <w:pStyle w:val="42"/>
            </w:pPr>
            <w:r>
              <w:rPr>
                <w:rFonts w:hint="eastAsia"/>
              </w:rPr>
              <w:t>(实质性要求)</w:t>
            </w:r>
          </w:p>
        </w:tc>
        <w:tc>
          <w:tcPr>
            <w:tcW w:w="7328" w:type="dxa"/>
            <w:vAlign w:val="center"/>
          </w:tcPr>
          <w:p>
            <w:pPr>
              <w:pStyle w:val="39"/>
              <w:ind w:left="60" w:leftChars="25" w:right="60" w:rightChars="25"/>
            </w:pPr>
            <w:r>
              <w:rPr>
                <w:rFonts w:hint="eastAsia"/>
              </w:rPr>
              <w:t>1.根据《关于在政府采购活动中查询及使用信用记录有关问题的通知》(财库〔2016〕125号)等文件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39"/>
              <w:ind w:left="60" w:leftChars="25" w:right="60" w:rightChars="25"/>
            </w:pPr>
            <w:r>
              <w:rPr>
                <w:rFonts w:hint="eastAsia"/>
              </w:rPr>
              <w:t>2.利害关系供应商处理。单位负责人为同一人或者存在直接控股、管理关系的不同供应商不得参加同一合同项下的政府采购活动。</w:t>
            </w:r>
          </w:p>
          <w:p>
            <w:pPr>
              <w:pStyle w:val="39"/>
              <w:ind w:left="60" w:leftChars="25" w:right="60" w:rightChars="25"/>
            </w:pPr>
            <w:r>
              <w:rPr>
                <w:rFonts w:hint="eastAsia"/>
              </w:rPr>
              <w:t>3.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39"/>
              <w:ind w:left="60" w:leftChars="25" w:right="60" w:rightChars="25"/>
              <w:rPr>
                <w:b/>
                <w:bCs/>
              </w:rPr>
            </w:pPr>
            <w:r>
              <w:rPr>
                <w:rFonts w:hint="eastAsia"/>
                <w:b/>
                <w:bCs/>
              </w:rPr>
              <w:t>注：本项目无符合本条规定的供应商。</w:t>
            </w:r>
          </w:p>
          <w:p>
            <w:pPr>
              <w:pStyle w:val="39"/>
              <w:ind w:left="60" w:leftChars="25" w:right="60" w:rightChars="25"/>
            </w:pPr>
            <w:r>
              <w:rPr>
                <w:rFonts w:hint="eastAsia"/>
              </w:rPr>
              <w:t>4.利害关系代理人处理。2家以上的供应商不得在同一合同项下的采购项目中，同时委托同一个自然人、同一家庭的人员、同一单位的人员作为其代理人，否则，其响应文件作为无效处理。</w:t>
            </w:r>
          </w:p>
          <w:p>
            <w:pPr>
              <w:pStyle w:val="39"/>
              <w:ind w:left="60" w:leftChars="25" w:right="60" w:rightChars="25"/>
            </w:pPr>
            <w:r>
              <w:rPr>
                <w:rFonts w:hint="eastAsia"/>
              </w:rPr>
              <w:t>5.供应商实际控制人或者中高级管理人员，同时是采购代理机构工作人员，不得参与本项目政府采购活动。</w:t>
            </w:r>
          </w:p>
          <w:p>
            <w:pPr>
              <w:pStyle w:val="39"/>
              <w:ind w:left="60" w:leftChars="25" w:right="60" w:rightChars="25"/>
            </w:pPr>
            <w:r>
              <w:rPr>
                <w:rFonts w:hint="eastAsia"/>
              </w:rPr>
              <w:t>6.同一母公司的两家以上的子公司只能组成联合体参加本项目同一合同项下的采购活动，不得以不同供应商身份同时参加本项目同一合同项下的采购活动。</w:t>
            </w:r>
          </w:p>
          <w:p>
            <w:pPr>
              <w:pStyle w:val="39"/>
              <w:ind w:left="60" w:leftChars="25" w:right="60" w:rightChars="25"/>
            </w:pPr>
            <w:r>
              <w:rPr>
                <w:rFonts w:hint="eastAsia"/>
              </w:rPr>
              <w:t>7.供应商与采购代理机构存在关联关系，或者是采购代理机构的母公司或子公司，不得参加本项目政府采购活动。</w:t>
            </w:r>
          </w:p>
          <w:p>
            <w:pPr>
              <w:pStyle w:val="39"/>
              <w:ind w:left="60" w:leftChars="25" w:right="60" w:rightChars="25"/>
            </w:pPr>
            <w:r>
              <w:rPr>
                <w:rFonts w:hint="eastAsia"/>
              </w:rPr>
              <w:t>8.回避。政府采购活动中，采购人员及相关人员与供应商有下列利害关系之一的，应当回避：</w:t>
            </w:r>
          </w:p>
          <w:p>
            <w:pPr>
              <w:pStyle w:val="39"/>
              <w:ind w:left="60" w:leftChars="25" w:right="60" w:rightChars="25"/>
            </w:pPr>
            <w:r>
              <w:rPr>
                <w:rFonts w:hint="eastAsia"/>
              </w:rPr>
              <w:t>(1)参加采购活动前3年内与供应商存在劳动关系；</w:t>
            </w:r>
          </w:p>
          <w:p>
            <w:pPr>
              <w:pStyle w:val="39"/>
              <w:ind w:left="60" w:leftChars="25" w:right="60" w:rightChars="25"/>
            </w:pPr>
            <w:r>
              <w:rPr>
                <w:rFonts w:hint="eastAsia"/>
              </w:rPr>
              <w:t>(2)参加采购活动前3年内担任供应商的董事、监事；</w:t>
            </w:r>
          </w:p>
          <w:p>
            <w:pPr>
              <w:pStyle w:val="39"/>
              <w:ind w:left="60" w:leftChars="25" w:right="60" w:rightChars="25"/>
            </w:pPr>
            <w:r>
              <w:rPr>
                <w:rFonts w:hint="eastAsia"/>
              </w:rPr>
              <w:t>(3)参加采购活动前3年内是供应商的控股股东或者实际控制人；</w:t>
            </w:r>
          </w:p>
          <w:p>
            <w:pPr>
              <w:pStyle w:val="39"/>
              <w:ind w:left="60" w:leftChars="25" w:right="60" w:rightChars="25"/>
            </w:pPr>
            <w:r>
              <w:rPr>
                <w:rFonts w:hint="eastAsia"/>
              </w:rPr>
              <w:t>(4)与供应商的法定代表人或者负责人有夫妻、直系血亲、三代以内旁系血亲或者近姻亲关系；</w:t>
            </w:r>
          </w:p>
          <w:p>
            <w:pPr>
              <w:pStyle w:val="39"/>
              <w:ind w:left="60" w:leftChars="25" w:right="60" w:rightChars="25"/>
            </w:pPr>
            <w:r>
              <w:rPr>
                <w:rFonts w:hint="eastAsia"/>
              </w:rPr>
              <w:t>(5)与供应商有其他可能影响政府采购活动公平、公正进行的关系。</w:t>
            </w:r>
          </w:p>
          <w:p>
            <w:pPr>
              <w:pStyle w:val="39"/>
              <w:ind w:left="60" w:leftChars="25" w:right="60" w:rightChars="25"/>
            </w:pPr>
            <w:r>
              <w:rPr>
                <w:rFonts w:hint="eastAsi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9"/>
              <w:ind w:left="60" w:leftChars="25" w:right="60" w:rightChars="25"/>
            </w:pPr>
            <w:r>
              <w:rPr>
                <w:rFonts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2"/>
            </w:pPr>
            <w:r>
              <w:rPr>
                <w:rFonts w:hint="eastAsia"/>
              </w:rPr>
              <w:t>5</w:t>
            </w:r>
          </w:p>
        </w:tc>
        <w:tc>
          <w:tcPr>
            <w:tcW w:w="1753" w:type="dxa"/>
            <w:vAlign w:val="center"/>
          </w:tcPr>
          <w:p>
            <w:pPr>
              <w:pStyle w:val="42"/>
            </w:pPr>
            <w:r>
              <w:rPr>
                <w:rFonts w:hint="eastAsia"/>
              </w:rPr>
              <w:t>磋商有效期</w:t>
            </w:r>
          </w:p>
          <w:p>
            <w:pPr>
              <w:pStyle w:val="42"/>
            </w:pPr>
            <w:r>
              <w:rPr>
                <w:rFonts w:hint="eastAsia"/>
              </w:rPr>
              <w:t>(实质性要求)</w:t>
            </w:r>
          </w:p>
        </w:tc>
        <w:tc>
          <w:tcPr>
            <w:tcW w:w="7328" w:type="dxa"/>
            <w:vAlign w:val="center"/>
          </w:tcPr>
          <w:p>
            <w:pPr>
              <w:pStyle w:val="39"/>
              <w:ind w:left="60" w:leftChars="25" w:right="60" w:rightChars="25"/>
            </w:pPr>
            <w:r>
              <w:rPr>
                <w:rFonts w:hint="eastAsia"/>
              </w:rPr>
              <w:t>1.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9"/>
              <w:ind w:left="60" w:leftChars="25" w:right="60" w:rightChars="25"/>
            </w:pPr>
            <w:r>
              <w:rPr>
                <w:rFonts w:hint="eastAsia"/>
              </w:rPr>
              <w:t>2.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9"/>
              <w:ind w:left="60" w:leftChars="25" w:right="60" w:rightChars="25"/>
            </w:pPr>
            <w:r>
              <w:rPr>
                <w:rFonts w:hint="eastAsia"/>
              </w:rPr>
              <w:t>3.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2"/>
            </w:pPr>
            <w:r>
              <w:rPr>
                <w:rFonts w:hint="eastAsia"/>
              </w:rPr>
              <w:t>6</w:t>
            </w:r>
          </w:p>
        </w:tc>
        <w:tc>
          <w:tcPr>
            <w:tcW w:w="1753" w:type="dxa"/>
            <w:vAlign w:val="center"/>
          </w:tcPr>
          <w:p>
            <w:pPr>
              <w:pStyle w:val="42"/>
            </w:pPr>
            <w:r>
              <w:rPr>
                <w:rFonts w:hint="eastAsia"/>
              </w:rPr>
              <w:t>其他</w:t>
            </w:r>
          </w:p>
        </w:tc>
        <w:tc>
          <w:tcPr>
            <w:tcW w:w="7328" w:type="dxa"/>
            <w:vAlign w:val="center"/>
          </w:tcPr>
          <w:p>
            <w:pPr>
              <w:pStyle w:val="39"/>
              <w:ind w:left="60" w:leftChars="25" w:right="60" w:rightChars="25"/>
            </w:pPr>
            <w:r>
              <w:rPr>
                <w:rFonts w:hint="eastAsia"/>
              </w:rPr>
              <w:t>1.本竞争性磋商文件各部分规定的期间以时、日、月、年计算。期间开始的时和日，不计算在期间内，而从次日开始计算。期间届满的最后一天是节假日的，以节假日后的第一日为期间届满的日期。</w:t>
            </w:r>
          </w:p>
          <w:p>
            <w:pPr>
              <w:pStyle w:val="39"/>
              <w:ind w:left="60" w:leftChars="25" w:right="60" w:rightChars="25"/>
            </w:pPr>
            <w:r>
              <w:rPr>
                <w:rFonts w:hint="eastAsia"/>
              </w:rPr>
              <w:t>2.本竞争性磋商文件各部分规定的时间均以北京时间为准。</w:t>
            </w:r>
          </w:p>
        </w:tc>
      </w:tr>
    </w:tbl>
    <w:p>
      <w:pPr>
        <w:rPr>
          <w:rFonts w:asciiTheme="minorEastAsia" w:hAnsiTheme="minorEastAsia" w:eastAsiaTheme="minorEastAsia" w:cstheme="minorEastAsia"/>
          <w:color w:val="000000"/>
          <w:sz w:val="36"/>
          <w:szCs w:val="36"/>
        </w:rPr>
      </w:pPr>
      <w:bookmarkStart w:id="25" w:name="_Toc2042"/>
      <w:bookmarkStart w:id="26" w:name="_Toc4011"/>
      <w:bookmarkStart w:id="27" w:name="_Toc26593"/>
      <w:bookmarkStart w:id="28" w:name="_Toc23295"/>
      <w:r>
        <w:rPr>
          <w:rFonts w:hint="eastAsia"/>
        </w:rPr>
        <w:br w:type="page"/>
      </w:r>
    </w:p>
    <w:p>
      <w:pPr>
        <w:pStyle w:val="32"/>
        <w:spacing w:before="120" w:beforeLines="50" w:after="120" w:afterLines="50"/>
        <w:ind w:firstLine="0" w:firstLineChars="0"/>
        <w:jc w:val="center"/>
        <w:rPr>
          <w:sz w:val="36"/>
          <w:szCs w:val="36"/>
        </w:rPr>
      </w:pPr>
      <w:bookmarkStart w:id="29" w:name="_Toc24836"/>
      <w:bookmarkStart w:id="30" w:name="_Toc29770"/>
      <w:r>
        <w:rPr>
          <w:rFonts w:hint="eastAsia"/>
          <w:sz w:val="36"/>
          <w:szCs w:val="36"/>
        </w:rPr>
        <w:t>竞争性磋商文件</w:t>
      </w:r>
      <w:bookmarkEnd w:id="20"/>
      <w:bookmarkEnd w:id="25"/>
      <w:bookmarkEnd w:id="26"/>
      <w:bookmarkEnd w:id="27"/>
      <w:bookmarkEnd w:id="28"/>
      <w:bookmarkEnd w:id="29"/>
      <w:bookmarkEnd w:id="30"/>
    </w:p>
    <w:p>
      <w:pPr>
        <w:pStyle w:val="46"/>
        <w:ind w:firstLine="482"/>
      </w:pPr>
      <w:bookmarkStart w:id="31" w:name="_Toc22302"/>
      <w:bookmarkStart w:id="32" w:name="_Toc14037"/>
      <w:bookmarkStart w:id="33" w:name="_Toc26500"/>
      <w:bookmarkStart w:id="34" w:name="_Toc308084574"/>
      <w:bookmarkStart w:id="35" w:name="_Toc32483"/>
      <w:bookmarkStart w:id="36" w:name="_Toc3601"/>
      <w:bookmarkStart w:id="37" w:name="_Toc307564829"/>
      <w:bookmarkStart w:id="38" w:name="_Toc319439877"/>
      <w:bookmarkStart w:id="39" w:name="_Toc319440119"/>
      <w:bookmarkStart w:id="40" w:name="_Toc5790"/>
      <w:bookmarkStart w:id="41" w:name="_Toc217446034"/>
      <w:bookmarkStart w:id="42" w:name="_Toc29532"/>
      <w:bookmarkStart w:id="43" w:name="_Toc32648"/>
      <w:bookmarkStart w:id="44" w:name="_Toc327196263"/>
      <w:bookmarkStart w:id="45" w:name="_Toc31870"/>
      <w:bookmarkStart w:id="46" w:name="_Toc28450"/>
      <w:bookmarkStart w:id="47" w:name="_Toc23796"/>
      <w:bookmarkStart w:id="48" w:name="_Toc309897492"/>
      <w:bookmarkStart w:id="49" w:name="_Toc12046"/>
      <w:bookmarkStart w:id="50" w:name="_Toc20769"/>
      <w:bookmarkStart w:id="51" w:name="_Toc307501086"/>
      <w:bookmarkStart w:id="52" w:name="_Toc308188129"/>
      <w:bookmarkStart w:id="53" w:name="_Toc10311"/>
      <w:r>
        <w:rPr>
          <w:rFonts w:hint="eastAsia"/>
        </w:rPr>
        <w:t>竞争性磋商文件的构成</w:t>
      </w:r>
      <w:bookmarkEnd w:id="31"/>
      <w:r>
        <w:rPr>
          <w:rFonts w:hint="eastAsia"/>
        </w:rPr>
        <w:t>(实质性要求)</w:t>
      </w:r>
      <w:bookmarkEnd w:id="32"/>
      <w:bookmarkEnd w:id="33"/>
    </w:p>
    <w:p>
      <w:pPr>
        <w:pStyle w:val="43"/>
      </w:pPr>
      <w:r>
        <w:rPr>
          <w:rFonts w:hint="eastAsia"/>
        </w:rPr>
        <w:t>竞争性磋商文件是供应商准备响应文件和参加竞争性磋商的依据，同时也是评审的重要依据，具有准法律文件性质。竞争性磋商文件用以阐明磋商项目所需的资质、技术、服务及报价等要求、磋商程序、有关规定和注意事项以及合同草案条款等。</w:t>
      </w:r>
    </w:p>
    <w:p>
      <w:pPr>
        <w:pStyle w:val="43"/>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6"/>
        <w:ind w:firstLine="482"/>
      </w:pPr>
      <w:bookmarkStart w:id="54" w:name="_Toc28895"/>
      <w:bookmarkStart w:id="55" w:name="_Toc2367"/>
      <w:bookmarkStart w:id="56" w:name="_Toc31919"/>
      <w:r>
        <w:rPr>
          <w:rFonts w:hint="eastAsia"/>
        </w:rPr>
        <w:t>竞争性磋商文件包含内容</w:t>
      </w:r>
      <w:bookmarkEnd w:id="54"/>
      <w:bookmarkEnd w:id="55"/>
      <w:bookmarkEnd w:id="56"/>
    </w:p>
    <w:p>
      <w:pPr>
        <w:pStyle w:val="60"/>
        <w:ind w:firstLine="480"/>
      </w:pPr>
      <w:r>
        <w:rPr>
          <w:rFonts w:hint="eastAsia"/>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本竞争性磋商文件包括以下内容：</w:t>
      </w:r>
    </w:p>
    <w:p>
      <w:pPr>
        <w:pStyle w:val="33"/>
        <w:numPr>
          <w:ilvl w:val="0"/>
          <w:numId w:val="13"/>
        </w:numPr>
        <w:ind w:left="0" w:firstLine="480"/>
      </w:pPr>
      <w:r>
        <w:rPr>
          <w:rFonts w:hint="eastAsia"/>
        </w:rPr>
        <w:t>竞争性磋商邀请；</w:t>
      </w:r>
    </w:p>
    <w:p>
      <w:pPr>
        <w:pStyle w:val="33"/>
        <w:numPr>
          <w:ilvl w:val="0"/>
          <w:numId w:val="13"/>
        </w:numPr>
        <w:ind w:left="0" w:firstLine="480"/>
      </w:pPr>
      <w:r>
        <w:rPr>
          <w:rFonts w:hint="eastAsia"/>
        </w:rPr>
        <w:t>磋商须知；</w:t>
      </w:r>
    </w:p>
    <w:p>
      <w:pPr>
        <w:pStyle w:val="33"/>
        <w:numPr>
          <w:ilvl w:val="0"/>
          <w:numId w:val="13"/>
        </w:numPr>
        <w:ind w:left="0" w:firstLine="480"/>
      </w:pPr>
      <w:r>
        <w:rPr>
          <w:rFonts w:hint="eastAsia"/>
        </w:rPr>
        <w:t>供应商资格条件；</w:t>
      </w:r>
    </w:p>
    <w:p>
      <w:pPr>
        <w:pStyle w:val="33"/>
        <w:numPr>
          <w:ilvl w:val="0"/>
          <w:numId w:val="13"/>
        </w:numPr>
        <w:ind w:left="0" w:firstLine="480"/>
      </w:pPr>
      <w:r>
        <w:rPr>
          <w:rFonts w:hint="eastAsia"/>
        </w:rPr>
        <w:t>采购需求；</w:t>
      </w:r>
    </w:p>
    <w:p>
      <w:pPr>
        <w:pStyle w:val="33"/>
        <w:numPr>
          <w:ilvl w:val="0"/>
          <w:numId w:val="13"/>
        </w:numPr>
        <w:ind w:left="0" w:firstLine="480"/>
      </w:pPr>
      <w:r>
        <w:rPr>
          <w:rFonts w:hint="eastAsia"/>
        </w:rPr>
        <w:t>政府采购政策要求；</w:t>
      </w:r>
    </w:p>
    <w:p>
      <w:pPr>
        <w:pStyle w:val="33"/>
        <w:numPr>
          <w:ilvl w:val="0"/>
          <w:numId w:val="13"/>
        </w:numPr>
        <w:ind w:left="0" w:firstLine="480"/>
      </w:pPr>
      <w:r>
        <w:rPr>
          <w:rFonts w:hint="eastAsia"/>
        </w:rPr>
        <w:t>评审程序、评审方法、评审标准；</w:t>
      </w:r>
    </w:p>
    <w:p>
      <w:pPr>
        <w:pStyle w:val="33"/>
        <w:numPr>
          <w:ilvl w:val="0"/>
          <w:numId w:val="13"/>
        </w:numPr>
        <w:ind w:left="0" w:firstLine="480"/>
      </w:pPr>
      <w:r>
        <w:rPr>
          <w:rFonts w:hint="eastAsia"/>
        </w:rPr>
        <w:t>报价要求；</w:t>
      </w:r>
    </w:p>
    <w:p>
      <w:pPr>
        <w:pStyle w:val="33"/>
        <w:numPr>
          <w:ilvl w:val="0"/>
          <w:numId w:val="13"/>
        </w:numPr>
        <w:ind w:left="0" w:firstLine="480"/>
      </w:pPr>
      <w:r>
        <w:rPr>
          <w:rFonts w:hint="eastAsia"/>
        </w:rPr>
        <w:t>响应文件编制要求；</w:t>
      </w:r>
    </w:p>
    <w:p>
      <w:pPr>
        <w:pStyle w:val="33"/>
        <w:numPr>
          <w:ilvl w:val="0"/>
          <w:numId w:val="13"/>
        </w:numPr>
        <w:ind w:left="0" w:firstLine="480"/>
      </w:pPr>
      <w:r>
        <w:rPr>
          <w:rFonts w:hint="eastAsia"/>
        </w:rPr>
        <w:t>磋商过程中可能实质性变动的内容；</w:t>
      </w:r>
    </w:p>
    <w:p>
      <w:pPr>
        <w:pStyle w:val="33"/>
        <w:numPr>
          <w:ilvl w:val="0"/>
          <w:numId w:val="13"/>
        </w:numPr>
        <w:ind w:left="0" w:firstLine="480"/>
      </w:pPr>
      <w:r>
        <w:rPr>
          <w:rFonts w:hint="eastAsia"/>
        </w:rPr>
        <w:t>合同草案条款(参考文本)；</w:t>
      </w:r>
    </w:p>
    <w:p>
      <w:pPr>
        <w:pStyle w:val="33"/>
        <w:numPr>
          <w:ilvl w:val="0"/>
          <w:numId w:val="13"/>
        </w:numPr>
        <w:ind w:left="0" w:firstLine="480"/>
      </w:pPr>
      <w:r>
        <w:rPr>
          <w:rFonts w:hint="eastAsia"/>
        </w:rPr>
        <w:t>磋商过程中形成的书面澄清、说明、更正。</w:t>
      </w:r>
    </w:p>
    <w:p>
      <w:pPr>
        <w:pStyle w:val="60"/>
        <w:ind w:firstLine="480"/>
      </w:pPr>
      <w:r>
        <w:rPr>
          <w:rFonts w:hint="eastAsia"/>
        </w:rPr>
        <w:t>供应商应详细阅读竞争性磋商文件的全部内容，并实质性响应竞争性磋商文件的要求，供应商未对竞争性磋商文件全面做出实质性响应是供应商的风险。</w:t>
      </w:r>
    </w:p>
    <w:p>
      <w:pPr>
        <w:pStyle w:val="46"/>
        <w:ind w:firstLine="482"/>
      </w:pPr>
      <w:bookmarkStart w:id="57" w:name="_Toc30687"/>
      <w:bookmarkStart w:id="58" w:name="_Toc2096"/>
      <w:bookmarkStart w:id="59" w:name="_Toc17499"/>
      <w:r>
        <w:rPr>
          <w:rFonts w:hint="eastAsia"/>
        </w:rPr>
        <w:t>竞争性磋商文件的澄清和修改</w:t>
      </w:r>
      <w:bookmarkEnd w:id="57"/>
      <w:bookmarkEnd w:id="58"/>
      <w:bookmarkEnd w:id="59"/>
    </w:p>
    <w:p>
      <w:pPr>
        <w:pStyle w:val="30"/>
        <w:numPr>
          <w:ilvl w:val="1"/>
          <w:numId w:val="0"/>
        </w:numPr>
        <w:ind w:firstLine="480" w:firstLineChars="200"/>
      </w:pPr>
      <w:bookmarkStart w:id="60" w:name="_Toc21821"/>
      <w:r>
        <w:rPr>
          <w:rFonts w:hint="eastAsia"/>
        </w:rPr>
        <w:t>1.提交首次响应文件截止之日前，采购人、采购代理机构或者磋商小组可以对已发出的磋商文件进行必要的澄清或者修改，澄清或者修改的内容作为磋商文件的组成部分。</w:t>
      </w:r>
    </w:p>
    <w:p>
      <w:pPr>
        <w:pStyle w:val="30"/>
        <w:numPr>
          <w:ilvl w:val="1"/>
          <w:numId w:val="0"/>
        </w:numPr>
        <w:ind w:firstLine="480" w:firstLineChars="200"/>
      </w:pPr>
      <w:r>
        <w:rPr>
          <w:rFonts w:hint="eastAsia"/>
        </w:rPr>
        <w:t>2.采购代理机构以书面形式将澄清或者修改的内容通知所有按照规定获得了磋商文件的供应商，同时在“四川政府采购网”发布更正公告。</w:t>
      </w:r>
    </w:p>
    <w:p>
      <w:pPr>
        <w:pStyle w:val="30"/>
        <w:numPr>
          <w:ilvl w:val="1"/>
          <w:numId w:val="0"/>
        </w:numPr>
        <w:ind w:firstLine="480" w:firstLineChars="200"/>
        <w:jc w:val="both"/>
      </w:pPr>
      <w:r>
        <w:rPr>
          <w:rFonts w:hint="eastAsia"/>
        </w:rPr>
        <w:t>3.澄清或者修改的内容可能影响响应文件编制的，采购人、采购代理机构应当在提交首次响应文件截止时间至少5日前，发布公告并以书面通知所有获取磋商文件的供应商；不足5日的，采购人、采购代理机构应当顺延提交首次响应文件截止时间。</w:t>
      </w:r>
    </w:p>
    <w:p>
      <w:pPr>
        <w:pStyle w:val="30"/>
        <w:numPr>
          <w:ilvl w:val="1"/>
          <w:numId w:val="0"/>
        </w:numPr>
        <w:ind w:firstLine="480" w:firstLineChars="200"/>
        <w:jc w:val="both"/>
      </w:pPr>
      <w:r>
        <w:rPr>
          <w:rFonts w:hint="eastAsia"/>
        </w:rPr>
        <w:t>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30"/>
        <w:numPr>
          <w:ilvl w:val="1"/>
          <w:numId w:val="0"/>
        </w:numPr>
        <w:ind w:firstLine="480" w:firstLineChars="200"/>
        <w:jc w:val="both"/>
      </w:pPr>
      <w:r>
        <w:rPr>
          <w:rFonts w:hint="eastAsia"/>
        </w:rPr>
        <w:t>采购代理机构将通过邮箱的方式将更正通知发送至所有购买采购文件的供应商，供应商在收到相应更正通知后，将更正公告打印后加盖单位公章扫描并通过报名系统提交至采购代理机构。如供应商未给予书面回复，则视为收到并认可该更正通知的内容。</w:t>
      </w:r>
    </w:p>
    <w:p>
      <w:pPr>
        <w:pStyle w:val="30"/>
        <w:numPr>
          <w:ilvl w:val="1"/>
          <w:numId w:val="0"/>
        </w:numPr>
        <w:ind w:firstLine="480" w:firstLineChars="200"/>
      </w:pPr>
      <w:r>
        <w:rPr>
          <w:rFonts w:hint="eastAsia"/>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30"/>
        <w:numPr>
          <w:ilvl w:val="1"/>
          <w:numId w:val="0"/>
        </w:numPr>
        <w:ind w:firstLine="480" w:firstLineChars="200"/>
      </w:pPr>
      <w:r>
        <w:rPr>
          <w:rFonts w:hint="eastAsia"/>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30"/>
        <w:numPr>
          <w:ilvl w:val="1"/>
          <w:numId w:val="0"/>
        </w:numPr>
        <w:ind w:firstLine="480" w:firstLineChars="200"/>
      </w:pPr>
      <w:r>
        <w:rPr>
          <w:rFonts w:hint="eastAsia"/>
        </w:rPr>
        <w:t>7.供应商认为采购代理机构需要对磋商文件进行澄清或者修改的，可以在响应文件递交的截止时间前以书面形式向采购代理机构提出申请，由采购代理机构决定是否采纳供应商的申请事项。</w:t>
      </w:r>
    </w:p>
    <w:p>
      <w:pPr>
        <w:pStyle w:val="46"/>
        <w:ind w:firstLine="482"/>
      </w:pPr>
      <w:bookmarkStart w:id="61" w:name="_Toc19011"/>
      <w:bookmarkStart w:id="62" w:name="_Toc136"/>
      <w:r>
        <w:rPr>
          <w:rFonts w:hint="eastAsia"/>
        </w:rPr>
        <w:t>实质性变动</w:t>
      </w:r>
      <w:bookmarkEnd w:id="60"/>
      <w:bookmarkEnd w:id="61"/>
      <w:bookmarkEnd w:id="62"/>
    </w:p>
    <w:p>
      <w:pPr>
        <w:pStyle w:val="43"/>
      </w:pPr>
      <w:r>
        <w:rPr>
          <w:rFonts w:hint="eastAsia"/>
        </w:rPr>
        <w:t>磋商小组对磋商文件作出的实质性变动是磋商文件的有效组成部分，磋商小组应当及时以书面形式同时通知所有参加磋商的供应商。</w:t>
      </w:r>
    </w:p>
    <w:p>
      <w:pPr>
        <w:pStyle w:val="46"/>
        <w:ind w:firstLine="482"/>
      </w:pPr>
      <w:bookmarkStart w:id="63" w:name="_Toc17765"/>
      <w:bookmarkStart w:id="64" w:name="_Toc30694"/>
      <w:bookmarkStart w:id="65" w:name="_Toc5780"/>
      <w:r>
        <w:rPr>
          <w:rFonts w:hint="eastAsia"/>
        </w:rPr>
        <w:t>答疑会和现场考察</w:t>
      </w:r>
      <w:bookmarkEnd w:id="63"/>
      <w:bookmarkEnd w:id="64"/>
      <w:bookmarkEnd w:id="65"/>
    </w:p>
    <w:p>
      <w:pPr>
        <w:pStyle w:val="60"/>
        <w:ind w:firstLine="480"/>
      </w:pPr>
      <w:r>
        <w:rPr>
          <w:rFonts w:hint="eastAsia"/>
        </w:rPr>
        <w:t>根据采购项目和具体情况，采购人、采购代理机构认为有必要，可以在磋商文件提供期限截止后响应文件提交截止前，组织已获取磋商文件的潜在供应商现场考察或者召开答疑会。</w:t>
      </w:r>
    </w:p>
    <w:p>
      <w:pPr>
        <w:pStyle w:val="60"/>
        <w:ind w:firstLine="480"/>
      </w:pPr>
      <w:r>
        <w:rPr>
          <w:rFonts w:hint="eastAsia"/>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60"/>
        <w:ind w:firstLine="480"/>
      </w:pPr>
      <w:r>
        <w:rPr>
          <w:rFonts w:hint="eastAsia"/>
        </w:rPr>
        <w:t>供应商考察现场或者参加答疑会所发生的一切费用由供应商自行承担。</w:t>
      </w:r>
    </w:p>
    <w:p>
      <w:pPr>
        <w:pStyle w:val="32"/>
        <w:spacing w:before="120" w:beforeLines="50" w:after="120" w:afterLines="50"/>
        <w:ind w:firstLine="0" w:firstLineChars="0"/>
        <w:jc w:val="center"/>
        <w:rPr>
          <w:sz w:val="36"/>
          <w:szCs w:val="36"/>
        </w:rPr>
      </w:pPr>
      <w:bookmarkStart w:id="66" w:name="_Toc17315"/>
      <w:bookmarkStart w:id="67" w:name="_Toc10312"/>
      <w:r>
        <w:rPr>
          <w:rFonts w:hint="eastAsia"/>
          <w:sz w:val="36"/>
          <w:szCs w:val="36"/>
        </w:rPr>
        <w:t>响应文件</w:t>
      </w:r>
      <w:bookmarkEnd w:id="66"/>
      <w:bookmarkEnd w:id="67"/>
    </w:p>
    <w:p>
      <w:pPr>
        <w:pStyle w:val="46"/>
        <w:ind w:firstLine="482"/>
      </w:pPr>
      <w:bookmarkStart w:id="68" w:name="_Toc7916"/>
      <w:bookmarkStart w:id="69" w:name="_Toc3029"/>
      <w:bookmarkStart w:id="70" w:name="_Toc9698"/>
      <w:bookmarkStart w:id="71" w:name="_Toc32601"/>
      <w:bookmarkStart w:id="72" w:name="_Toc1594"/>
      <w:bookmarkStart w:id="73" w:name="_Toc7367"/>
      <w:r>
        <w:rPr>
          <w:rFonts w:hint="eastAsia"/>
        </w:rPr>
        <w:t>响应文件的语言(实质性要求)</w:t>
      </w:r>
      <w:bookmarkEnd w:id="68"/>
      <w:bookmarkEnd w:id="69"/>
      <w:bookmarkEnd w:id="70"/>
    </w:p>
    <w:p>
      <w:pPr>
        <w:pStyle w:val="30"/>
        <w:numPr>
          <w:ilvl w:val="1"/>
          <w:numId w:val="0"/>
        </w:numPr>
        <w:ind w:firstLine="480" w:firstLineChars="200"/>
      </w:pPr>
      <w:bookmarkStart w:id="74" w:name="_Toc21182"/>
      <w:r>
        <w:rPr>
          <w:rFonts w:hint="eastAsia"/>
        </w:rPr>
        <w:t>1.供应商提交的响应文件以及供应商与招标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30"/>
        <w:numPr>
          <w:ilvl w:val="1"/>
          <w:numId w:val="0"/>
        </w:numPr>
        <w:ind w:firstLine="480" w:firstLineChars="200"/>
      </w:pPr>
      <w:r>
        <w:rPr>
          <w:rFonts w:hint="eastAsia"/>
        </w:rPr>
        <w:t>2.翻译的中文资料与外文资料如果出现差异和矛盾时，以中文为准。涉嫌提供虚假材料的按照相关法律法规处理。</w:t>
      </w:r>
    </w:p>
    <w:p>
      <w:pPr>
        <w:pStyle w:val="30"/>
        <w:numPr>
          <w:ilvl w:val="1"/>
          <w:numId w:val="0"/>
        </w:numPr>
        <w:ind w:firstLine="480" w:firstLineChars="200"/>
      </w:pPr>
      <w:r>
        <w:rPr>
          <w:rFonts w:hint="eastAsia"/>
        </w:rPr>
        <w:t>3.如因未翻译而造成对供应商的不利后果，由供应商承担。</w:t>
      </w:r>
    </w:p>
    <w:p>
      <w:pPr>
        <w:pStyle w:val="46"/>
        <w:ind w:firstLine="482"/>
      </w:pPr>
      <w:bookmarkStart w:id="75" w:name="_Toc23608"/>
      <w:bookmarkStart w:id="76" w:name="_Toc6817"/>
      <w:r>
        <w:rPr>
          <w:rFonts w:hint="eastAsia"/>
        </w:rPr>
        <w:t>计量单位(实质性要求)</w:t>
      </w:r>
      <w:bookmarkEnd w:id="74"/>
      <w:bookmarkEnd w:id="75"/>
      <w:bookmarkEnd w:id="76"/>
    </w:p>
    <w:p>
      <w:pPr>
        <w:pStyle w:val="43"/>
      </w:pPr>
      <w:r>
        <w:rPr>
          <w:rFonts w:hint="eastAsia"/>
        </w:rPr>
        <w:t>除采购需求中另有规定外，本采购项下的磋商均采用国家法定的计量单位。</w:t>
      </w:r>
    </w:p>
    <w:p>
      <w:pPr>
        <w:pStyle w:val="46"/>
        <w:ind w:firstLine="482"/>
      </w:pPr>
      <w:bookmarkStart w:id="77" w:name="_Toc844"/>
      <w:bookmarkStart w:id="78" w:name="_Toc9568"/>
      <w:bookmarkStart w:id="79" w:name="_Toc30615"/>
      <w:r>
        <w:rPr>
          <w:rFonts w:hint="eastAsia"/>
        </w:rPr>
        <w:t>知识产权(实质性要求)</w:t>
      </w:r>
      <w:bookmarkEnd w:id="77"/>
      <w:bookmarkEnd w:id="78"/>
      <w:bookmarkEnd w:id="79"/>
    </w:p>
    <w:p>
      <w:pPr>
        <w:pStyle w:val="30"/>
        <w:numPr>
          <w:ilvl w:val="1"/>
          <w:numId w:val="0"/>
        </w:numPr>
        <w:ind w:firstLine="480" w:firstLineChars="200"/>
      </w:pPr>
      <w:bookmarkStart w:id="80" w:name="_Toc23820"/>
      <w:r>
        <w:rPr>
          <w:rFonts w:hint="eastAsia"/>
        </w:rPr>
        <w:t>1.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30"/>
        <w:numPr>
          <w:ilvl w:val="1"/>
          <w:numId w:val="0"/>
        </w:numPr>
        <w:ind w:firstLine="480" w:firstLineChars="200"/>
      </w:pPr>
      <w:r>
        <w:rPr>
          <w:rFonts w:hint="eastAsia"/>
        </w:rPr>
        <w:t>2.采购人享有本项目实施过程中产生的知识成果及知识产权。</w:t>
      </w:r>
    </w:p>
    <w:p>
      <w:pPr>
        <w:pStyle w:val="30"/>
        <w:numPr>
          <w:ilvl w:val="1"/>
          <w:numId w:val="0"/>
        </w:numPr>
        <w:ind w:firstLine="480" w:firstLineChars="200"/>
      </w:pPr>
      <w:r>
        <w:rPr>
          <w:rFonts w:hint="eastAsia"/>
        </w:rPr>
        <w:t>3.供应商如在项目实施过程中采用自有知识成果，需在响应文件中声明，并提供相关知识产权证明文件。使用该知识成果后，供应商需提供相关技术文档，并提供无限期技术支持，采购人享有永久使用权(含采购人委托第三方在该项目后续开发的使用权)。</w:t>
      </w:r>
    </w:p>
    <w:p>
      <w:pPr>
        <w:pStyle w:val="30"/>
        <w:numPr>
          <w:ilvl w:val="1"/>
          <w:numId w:val="0"/>
        </w:numPr>
        <w:ind w:firstLine="480" w:firstLineChars="200"/>
      </w:pPr>
      <w:r>
        <w:rPr>
          <w:rFonts w:hint="eastAsia"/>
        </w:rPr>
        <w:t>4.如采用供应商所不拥有的知识产权，则在报价中必须包括合法获取该知识产权的相关费用。</w:t>
      </w:r>
    </w:p>
    <w:p>
      <w:pPr>
        <w:pStyle w:val="30"/>
        <w:numPr>
          <w:ilvl w:val="1"/>
          <w:numId w:val="0"/>
        </w:numPr>
        <w:ind w:left="480" w:leftChars="200"/>
      </w:pPr>
      <w:r>
        <w:rPr>
          <w:rFonts w:hint="eastAsia"/>
        </w:rPr>
        <w:t>5.如采购项目涉及知识产权时按照此条要求执行，并在评审时作实质性审查。</w:t>
      </w:r>
    </w:p>
    <w:p>
      <w:pPr>
        <w:pStyle w:val="46"/>
        <w:ind w:firstLine="482"/>
      </w:pPr>
      <w:bookmarkStart w:id="81" w:name="_Toc19419"/>
      <w:bookmarkStart w:id="82" w:name="_Toc25492"/>
      <w:r>
        <w:rPr>
          <w:rFonts w:hint="eastAsia"/>
        </w:rPr>
        <w:t>响应文件格式要求</w:t>
      </w:r>
      <w:bookmarkEnd w:id="80"/>
      <w:bookmarkEnd w:id="81"/>
      <w:bookmarkEnd w:id="82"/>
    </w:p>
    <w:p>
      <w:pPr>
        <w:pStyle w:val="30"/>
        <w:numPr>
          <w:ilvl w:val="1"/>
          <w:numId w:val="0"/>
        </w:numPr>
        <w:ind w:left="480" w:leftChars="200"/>
      </w:pPr>
      <w:bookmarkStart w:id="83" w:name="_Toc13765"/>
      <w:r>
        <w:rPr>
          <w:rFonts w:hint="eastAsia"/>
        </w:rPr>
        <w:t>1.供应商应按照磋商文件第三章中提供的“响应文件格式”编制相关内容。</w:t>
      </w:r>
    </w:p>
    <w:p>
      <w:pPr>
        <w:pStyle w:val="30"/>
        <w:numPr>
          <w:ilvl w:val="1"/>
          <w:numId w:val="0"/>
        </w:numPr>
        <w:ind w:left="480" w:leftChars="200"/>
      </w:pPr>
      <w:r>
        <w:rPr>
          <w:rFonts w:hint="eastAsia"/>
        </w:rPr>
        <w:t>2.对于磋商文件没有格式要求的由供应商自行编写。</w:t>
      </w:r>
    </w:p>
    <w:p>
      <w:pPr>
        <w:pStyle w:val="46"/>
        <w:ind w:firstLine="482"/>
      </w:pPr>
      <w:bookmarkStart w:id="84" w:name="_Toc26812"/>
      <w:bookmarkStart w:id="85" w:name="_Toc31281"/>
      <w:r>
        <w:rPr>
          <w:rFonts w:hint="eastAsia"/>
        </w:rPr>
        <w:t>磋商有效期(实质性要求)</w:t>
      </w:r>
      <w:bookmarkEnd w:id="83"/>
      <w:bookmarkEnd w:id="84"/>
      <w:bookmarkEnd w:id="85"/>
    </w:p>
    <w:p>
      <w:pPr>
        <w:pStyle w:val="60"/>
        <w:ind w:firstLine="480"/>
      </w:pP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60"/>
        <w:ind w:firstLine="480"/>
      </w:pP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60"/>
        <w:ind w:firstLine="480"/>
      </w:pP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6"/>
        <w:ind w:firstLine="482"/>
      </w:pPr>
      <w:bookmarkStart w:id="86" w:name="_Toc16657"/>
      <w:bookmarkStart w:id="87" w:name="_Toc15632"/>
      <w:bookmarkStart w:id="88" w:name="_Toc24220"/>
      <w:r>
        <w:rPr>
          <w:rFonts w:hint="eastAsia"/>
        </w:rPr>
        <w:t>联合体磋商</w:t>
      </w:r>
      <w:bookmarkEnd w:id="86"/>
      <w:r>
        <w:rPr>
          <w:rFonts w:hint="eastAsia"/>
          <w:lang w:val="zh-CN"/>
        </w:rPr>
        <w:t>(实质性要求)</w:t>
      </w:r>
      <w:bookmarkEnd w:id="87"/>
      <w:bookmarkEnd w:id="88"/>
    </w:p>
    <w:p>
      <w:pPr>
        <w:pStyle w:val="43"/>
      </w:pPr>
      <w:r>
        <w:rPr>
          <w:rFonts w:hint="eastAsia"/>
        </w:rPr>
        <w:t>本项目不接受联合体参加磋商。</w:t>
      </w:r>
    </w:p>
    <w:p>
      <w:pPr>
        <w:pStyle w:val="46"/>
        <w:ind w:firstLine="482"/>
      </w:pPr>
      <w:bookmarkStart w:id="89" w:name="_Toc23805"/>
      <w:bookmarkStart w:id="90" w:name="_Toc24757"/>
      <w:bookmarkStart w:id="91" w:name="_Toc18142"/>
      <w:r>
        <w:rPr>
          <w:rFonts w:hint="eastAsia"/>
        </w:rPr>
        <w:t>响应文件</w:t>
      </w:r>
      <w:bookmarkEnd w:id="71"/>
      <w:bookmarkEnd w:id="72"/>
      <w:bookmarkEnd w:id="73"/>
      <w:r>
        <w:rPr>
          <w:rFonts w:hint="eastAsia"/>
        </w:rPr>
        <w:t>组成(实质性要求)</w:t>
      </w:r>
      <w:bookmarkEnd w:id="89"/>
      <w:bookmarkEnd w:id="90"/>
      <w:bookmarkEnd w:id="91"/>
    </w:p>
    <w:p>
      <w:pPr>
        <w:pStyle w:val="60"/>
        <w:ind w:firstLine="480"/>
        <w:rPr>
          <w:rStyle w:val="64"/>
        </w:rPr>
      </w:pPr>
      <w:r>
        <w:rPr>
          <w:rStyle w:val="64"/>
          <w:rFonts w:hint="eastAsia"/>
        </w:rPr>
        <w:t>供应商须按竞争性磋商文件的要求编写响应文件，对竞争性磋商文件提出的要求和条件做出实质性响应。响应文件应包括但不限于下列内容：</w:t>
      </w:r>
    </w:p>
    <w:p>
      <w:pPr>
        <w:pStyle w:val="33"/>
        <w:numPr>
          <w:ilvl w:val="0"/>
          <w:numId w:val="14"/>
        </w:numPr>
        <w:adjustRightInd/>
        <w:ind w:left="0" w:firstLine="480"/>
      </w:pPr>
      <w:r>
        <w:rPr>
          <w:rFonts w:hint="eastAsia"/>
        </w:rPr>
        <w:t>文件一：资格、资质性及其他类似效力响应文件</w:t>
      </w:r>
    </w:p>
    <w:p>
      <w:pPr>
        <w:pStyle w:val="43"/>
        <w:adjustRightInd/>
      </w:pPr>
      <w:r>
        <w:rPr>
          <w:rFonts w:hint="eastAsia"/>
        </w:rPr>
        <w:t>包括但不限于竞争性磋商文件第四章规定的资格证明材料。</w:t>
      </w:r>
    </w:p>
    <w:p>
      <w:pPr>
        <w:pStyle w:val="33"/>
        <w:numPr>
          <w:ilvl w:val="0"/>
          <w:numId w:val="14"/>
        </w:numPr>
        <w:adjustRightInd/>
        <w:ind w:left="0" w:firstLine="480"/>
      </w:pPr>
      <w:r>
        <w:rPr>
          <w:rFonts w:hint="eastAsia"/>
        </w:rPr>
        <w:t>文件二：其他响应文件</w:t>
      </w:r>
    </w:p>
    <w:p>
      <w:pPr>
        <w:pStyle w:val="43"/>
        <w:adjustRightInd/>
      </w:pPr>
      <w:r>
        <w:rPr>
          <w:rFonts w:hint="eastAsia"/>
        </w:rPr>
        <w:t>包括但不限于竞争性磋商文件第三章格式要求的内容。</w:t>
      </w:r>
    </w:p>
    <w:p>
      <w:pPr>
        <w:pStyle w:val="60"/>
        <w:ind w:firstLine="480"/>
      </w:pPr>
      <w:r>
        <w:rPr>
          <w:rFonts w:hint="eastAsia"/>
        </w:rPr>
        <w:t>补充、修改的内容作为响应文件的组成部分。</w:t>
      </w:r>
    </w:p>
    <w:p>
      <w:pPr>
        <w:pStyle w:val="60"/>
        <w:ind w:firstLine="480"/>
      </w:pPr>
      <w:r>
        <w:rPr>
          <w:rFonts w:hint="eastAsia"/>
        </w:rPr>
        <w:t>最后报价是供应商响应文件的有效组成部分。</w:t>
      </w:r>
    </w:p>
    <w:p>
      <w:pPr>
        <w:pStyle w:val="46"/>
        <w:ind w:firstLine="482"/>
      </w:pPr>
      <w:bookmarkStart w:id="92" w:name="_Toc2322"/>
      <w:bookmarkStart w:id="93" w:name="_Toc4939"/>
      <w:bookmarkStart w:id="94" w:name="_Toc8102"/>
      <w:bookmarkStart w:id="95" w:name="_Toc25128"/>
      <w:bookmarkStart w:id="96" w:name="_Toc3464"/>
      <w:bookmarkStart w:id="97" w:name="_Toc30559"/>
      <w:r>
        <w:rPr>
          <w:rFonts w:hint="eastAsia"/>
        </w:rPr>
        <w:t>报价</w:t>
      </w:r>
      <w:bookmarkEnd w:id="92"/>
      <w:bookmarkEnd w:id="93"/>
      <w:bookmarkEnd w:id="94"/>
      <w:r>
        <w:rPr>
          <w:rFonts w:hint="eastAsia"/>
        </w:rPr>
        <w:t>要求(实质性要求)</w:t>
      </w:r>
      <w:bookmarkEnd w:id="95"/>
      <w:bookmarkEnd w:id="96"/>
      <w:bookmarkEnd w:id="97"/>
    </w:p>
    <w:p>
      <w:pPr>
        <w:pStyle w:val="60"/>
        <w:ind w:firstLine="480"/>
      </w:pPr>
      <w:r>
        <w:rPr>
          <w:rFonts w:hint="eastAsia"/>
        </w:rPr>
        <w:t>所有报价货币一律以人民币报价。采购人不接受任何非人民币币种的报价。</w:t>
      </w:r>
    </w:p>
    <w:p>
      <w:pPr>
        <w:pStyle w:val="60"/>
        <w:ind w:firstLine="482"/>
        <w:rPr>
          <w:b/>
          <w:bCs/>
        </w:rPr>
      </w:pPr>
      <w:r>
        <w:rPr>
          <w:rFonts w:hint="eastAsia"/>
          <w:b/>
          <w:bCs/>
        </w:rPr>
        <w:t>供应商在响应文件中可不提供报价，在磋商现场由评审委员会通知现场报价(报价表格式由采购代理机构现场提供，格式详见第三章)。</w:t>
      </w:r>
    </w:p>
    <w:p>
      <w:pPr>
        <w:pStyle w:val="60"/>
        <w:ind w:firstLine="480"/>
      </w:pPr>
      <w:r>
        <w:rPr>
          <w:rFonts w:hint="eastAsia"/>
        </w:rPr>
        <w:t>本次磋商采购最后报价采用现场报价，通过资格审查及实质性审查的供应商按磋商小组要求进行报价。</w:t>
      </w:r>
    </w:p>
    <w:p>
      <w:pPr>
        <w:pStyle w:val="60"/>
        <w:ind w:firstLine="480"/>
      </w:pPr>
      <w:r>
        <w:rPr>
          <w:rFonts w:hint="eastAsia"/>
          <w:lang w:val="zh-CN"/>
        </w:rPr>
        <w:t>供应商报价(包括最后报价)应为完成本竞争性磋商文件中所要求的</w:t>
      </w:r>
      <w:r>
        <w:rPr>
          <w:rFonts w:hint="eastAsia"/>
        </w:rPr>
        <w:t>服务</w:t>
      </w:r>
      <w:r>
        <w:rPr>
          <w:rFonts w:hint="eastAsia"/>
          <w:lang w:val="zh-CN"/>
        </w:rPr>
        <w:t>所应包括内容的所有价格。</w:t>
      </w:r>
    </w:p>
    <w:p>
      <w:pPr>
        <w:pStyle w:val="60"/>
        <w:ind w:firstLine="480"/>
      </w:pPr>
      <w:r>
        <w:rPr>
          <w:rFonts w:hint="eastAsia"/>
        </w:rPr>
        <w:t>成交供应商的成交价是以最后报价表的报价为准，并以此作为结算的依据。</w:t>
      </w:r>
    </w:p>
    <w:p>
      <w:pPr>
        <w:pStyle w:val="60"/>
        <w:ind w:firstLine="480"/>
      </w:pPr>
      <w:r>
        <w:rPr>
          <w:rFonts w:hint="eastAsia"/>
        </w:rPr>
        <w:t>供应商提交的</w:t>
      </w:r>
      <w:r>
        <w:rPr>
          <w:rFonts w:hint="eastAsia"/>
          <w:lang w:val="zh-CN"/>
        </w:rPr>
        <w:t>报价(包括最后报价)</w:t>
      </w:r>
      <w:r>
        <w:rPr>
          <w:rFonts w:hint="eastAsia"/>
        </w:rPr>
        <w:t>不得超过本项目采购预算或采购最高限价，否则将被作为无效响应处理。</w:t>
      </w:r>
    </w:p>
    <w:p>
      <w:pPr>
        <w:pStyle w:val="46"/>
        <w:ind w:firstLine="482"/>
      </w:pPr>
      <w:bookmarkStart w:id="98" w:name="_Toc16144"/>
      <w:bookmarkStart w:id="99" w:name="_Toc25616"/>
      <w:bookmarkStart w:id="100" w:name="_Toc11552"/>
      <w:r>
        <w:rPr>
          <w:rFonts w:hint="eastAsia"/>
        </w:rPr>
        <w:t>响应文件编制要求</w:t>
      </w:r>
      <w:bookmarkEnd w:id="98"/>
      <w:bookmarkEnd w:id="99"/>
      <w:bookmarkEnd w:id="100"/>
    </w:p>
    <w:p>
      <w:pPr>
        <w:pStyle w:val="60"/>
        <w:ind w:firstLine="480"/>
      </w:pPr>
      <w:r>
        <w:rPr>
          <w:rFonts w:hint="eastAsia"/>
        </w:rPr>
        <w:t>响应文件分</w:t>
      </w:r>
      <w:r>
        <w:rPr>
          <w:rFonts w:hint="eastAsia"/>
          <w:b/>
          <w:bCs/>
        </w:rPr>
        <w:t>《</w:t>
      </w:r>
      <w:r>
        <w:rPr>
          <w:rFonts w:hint="eastAsia"/>
          <w:b/>
          <w:bCs/>
          <w:u w:val="single"/>
        </w:rPr>
        <w:t>资格、资质性及其他类似效力响应文件</w:t>
      </w:r>
      <w:r>
        <w:rPr>
          <w:rFonts w:hint="eastAsia"/>
          <w:b/>
          <w:bCs/>
        </w:rPr>
        <w:t>》、《</w:t>
      </w:r>
      <w:r>
        <w:rPr>
          <w:rFonts w:hint="eastAsia"/>
          <w:b/>
          <w:bCs/>
          <w:u w:val="single"/>
        </w:rPr>
        <w:t>其他响应文件</w:t>
      </w:r>
      <w:r>
        <w:rPr>
          <w:rFonts w:hint="eastAsia"/>
          <w:b/>
          <w:bCs/>
        </w:rPr>
        <w:t>》</w:t>
      </w:r>
      <w:r>
        <w:rPr>
          <w:rFonts w:hint="eastAsia"/>
        </w:rPr>
        <w:t>两部分，分册装订，内容不得相互混装。</w:t>
      </w:r>
    </w:p>
    <w:p>
      <w:pPr>
        <w:pStyle w:val="60"/>
        <w:ind w:firstLine="480"/>
      </w:pPr>
      <w:r>
        <w:rPr>
          <w:rFonts w:hint="eastAsia"/>
        </w:rPr>
        <w:t>供应商递交的响应文件为一式叁份，其中</w:t>
      </w:r>
      <w:r>
        <w:rPr>
          <w:rFonts w:hint="eastAsia"/>
          <w:b/>
          <w:bCs/>
        </w:rPr>
        <w:t>正本壹份、副本贰份；单独递交存有电子文档壹份</w:t>
      </w:r>
      <w:r>
        <w:rPr>
          <w:rFonts w:hint="eastAsia"/>
        </w:rPr>
        <w:t>的U盘。</w:t>
      </w:r>
    </w:p>
    <w:p>
      <w:pPr>
        <w:pStyle w:val="60"/>
        <w:ind w:firstLine="480"/>
      </w:pPr>
      <w:r>
        <w:rPr>
          <w:rFonts w:hint="eastAsia"/>
        </w:rPr>
        <w:t>响应文件正副本应用不褪色、不变质的墨水书写或打印，并装订成册。并在响应文件封面标明项目名称、项目编号、磋商日期、供应商名称以及“正本”、“副本”、“电子文档”字样。</w:t>
      </w:r>
    </w:p>
    <w:p>
      <w:pPr>
        <w:pStyle w:val="60"/>
        <w:ind w:firstLine="480"/>
      </w:pPr>
      <w:r>
        <w:rPr>
          <w:rFonts w:hint="eastAsia"/>
        </w:rPr>
        <w:t>响应文件正本和副本统一用A4幅面纸印制(图、表及证件可以除外)，逐页编目编码。响应文件副本可采用正本的复印件，若正本和副本有不一致的内容，以正本书面响应文件为准。</w:t>
      </w:r>
    </w:p>
    <w:p>
      <w:pPr>
        <w:pStyle w:val="60"/>
        <w:ind w:firstLine="480"/>
      </w:pPr>
      <w:r>
        <w:rPr>
          <w:rFonts w:hint="eastAsia"/>
        </w:rPr>
        <w:t>响应文件的正本和副本应采用左侧胶装，不得散装或不得采用活页夹等可随时拆换的方式装订，不得有零散页。</w:t>
      </w:r>
    </w:p>
    <w:p>
      <w:pPr>
        <w:pStyle w:val="60"/>
        <w:ind w:firstLine="480"/>
      </w:pPr>
      <w:r>
        <w:rPr>
          <w:rFonts w:hint="eastAsia"/>
        </w:rPr>
        <w:t>若同一册的内容较多，可装订成若干分册，并在封面标明次序及册数。</w:t>
      </w:r>
    </w:p>
    <w:p>
      <w:pPr>
        <w:pStyle w:val="60"/>
        <w:ind w:firstLine="480"/>
      </w:pPr>
      <w:r>
        <w:rPr>
          <w:rFonts w:hint="eastAsia"/>
        </w:rPr>
        <w:t>响应文件中的证明、证件及附件等复印件应集中紧附在相应正文内容后面，并尽量与前面正文部分的顺序相对应。</w:t>
      </w:r>
    </w:p>
    <w:p>
      <w:pPr>
        <w:pStyle w:val="60"/>
        <w:ind w:firstLine="480"/>
      </w:pPr>
      <w:r>
        <w:rPr>
          <w:rFonts w:hint="eastAsia"/>
        </w:rPr>
        <w:t>竞争性磋商文件要求响应文件签字的应按竞争性磋商文件的规定和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60"/>
        <w:ind w:firstLine="480"/>
      </w:pPr>
      <w:r>
        <w:rPr>
          <w:rFonts w:hint="eastAsia"/>
        </w:rPr>
        <w:t>补充、修改的响应文件的装订也应按以上要求办理。</w:t>
      </w:r>
    </w:p>
    <w:p>
      <w:pPr>
        <w:pStyle w:val="46"/>
        <w:ind w:firstLine="482"/>
      </w:pPr>
      <w:bookmarkStart w:id="101" w:name="_Toc21536"/>
      <w:bookmarkStart w:id="102" w:name="_Toc23349"/>
      <w:bookmarkStart w:id="103" w:name="_Toc26009"/>
      <w:bookmarkStart w:id="104" w:name="_Toc27272"/>
      <w:bookmarkStart w:id="105" w:name="_Toc6048"/>
      <w:bookmarkStart w:id="106" w:name="_Toc32589"/>
      <w:bookmarkStart w:id="107" w:name="_Toc27391"/>
      <w:r>
        <w:rPr>
          <w:rFonts w:hint="eastAsia"/>
        </w:rPr>
        <w:t>响应文件的密封和标注</w:t>
      </w:r>
      <w:bookmarkEnd w:id="101"/>
      <w:bookmarkEnd w:id="102"/>
      <w:bookmarkEnd w:id="103"/>
    </w:p>
    <w:p>
      <w:pPr>
        <w:pStyle w:val="33"/>
        <w:numPr>
          <w:ilvl w:val="2"/>
          <w:numId w:val="0"/>
        </w:numPr>
        <w:ind w:firstLine="480" w:firstLineChars="200"/>
      </w:pPr>
      <w:r>
        <w:rPr>
          <w:rFonts w:hint="eastAsia"/>
        </w:rPr>
        <w:t>1.本项不属于本项目磋商小组评审范畴，由采购人、采购代理机构在接收响应文件时及时处理。</w:t>
      </w:r>
    </w:p>
    <w:p>
      <w:pPr>
        <w:pStyle w:val="33"/>
        <w:numPr>
          <w:ilvl w:val="2"/>
          <w:numId w:val="0"/>
        </w:numPr>
        <w:ind w:firstLine="480" w:firstLineChars="200"/>
      </w:pPr>
      <w:r>
        <w:rPr>
          <w:rFonts w:hint="eastAsia"/>
        </w:rPr>
        <w:t>2.响应文件可以单独密封包装，也可以将所有响应文件密封包装在一个密封袋内。</w:t>
      </w:r>
    </w:p>
    <w:p>
      <w:pPr>
        <w:pStyle w:val="33"/>
        <w:numPr>
          <w:ilvl w:val="2"/>
          <w:numId w:val="0"/>
        </w:numPr>
        <w:ind w:firstLine="480" w:firstLineChars="200"/>
      </w:pPr>
      <w:r>
        <w:rPr>
          <w:rFonts w:hint="eastAsia"/>
        </w:rPr>
        <w:t>3.响应文件密封袋的最外层应清楚地标明采购项目名称、项目编号、供应商名称、磋商日期。</w:t>
      </w:r>
    </w:p>
    <w:p>
      <w:pPr>
        <w:pStyle w:val="33"/>
        <w:numPr>
          <w:ilvl w:val="2"/>
          <w:numId w:val="0"/>
        </w:numPr>
        <w:ind w:firstLine="480" w:firstLineChars="200"/>
      </w:pPr>
      <w:r>
        <w:rPr>
          <w:rFonts w:hint="eastAsia"/>
        </w:rPr>
        <w:t>4.所有外层密封袋的封口处应粘贴牢固。</w:t>
      </w:r>
    </w:p>
    <w:p>
      <w:pPr>
        <w:pStyle w:val="33"/>
        <w:numPr>
          <w:ilvl w:val="2"/>
          <w:numId w:val="0"/>
        </w:numPr>
        <w:ind w:firstLine="480" w:firstLineChars="200"/>
      </w:pPr>
      <w:r>
        <w:rPr>
          <w:rFonts w:hint="eastAsia"/>
        </w:rPr>
        <w:t>5.未按以上要求进行密封和标注的响应文件，采购人、采购代理机构将拒收或者在响应文件递交截止时间前按照磋商文件要求修改完善后接收。</w:t>
      </w:r>
    </w:p>
    <w:p>
      <w:pPr>
        <w:pStyle w:val="46"/>
        <w:ind w:firstLine="482"/>
      </w:pPr>
      <w:bookmarkStart w:id="108" w:name="_Toc16758"/>
      <w:bookmarkStart w:id="109" w:name="_Toc28826"/>
      <w:r>
        <w:rPr>
          <w:rFonts w:hint="eastAsia"/>
        </w:rPr>
        <w:t>响应文件的递交</w:t>
      </w:r>
      <w:bookmarkEnd w:id="104"/>
      <w:bookmarkEnd w:id="105"/>
      <w:bookmarkEnd w:id="106"/>
      <w:bookmarkEnd w:id="107"/>
      <w:bookmarkEnd w:id="108"/>
      <w:bookmarkEnd w:id="109"/>
    </w:p>
    <w:p>
      <w:pPr>
        <w:pStyle w:val="60"/>
        <w:ind w:firstLine="480"/>
      </w:pPr>
      <w:r>
        <w:rPr>
          <w:rFonts w:hint="eastAsia"/>
        </w:rPr>
        <w:t>供应商应在竞争性磋商文件规定的响应文件递交截止时间前，将响应文件按磋商文件规定密封、签署、盖章后送达磋商地点。</w:t>
      </w:r>
      <w:r>
        <w:rPr>
          <w:rFonts w:hint="eastAsia"/>
          <w:b/>
          <w:bCs/>
        </w:rPr>
        <w:t>逾期送达的响应文件为无效文件</w:t>
      </w:r>
      <w:r>
        <w:rPr>
          <w:rFonts w:hint="eastAsia"/>
        </w:rPr>
        <w:t>，将被采购代理机构拒收。</w:t>
      </w:r>
    </w:p>
    <w:p>
      <w:pPr>
        <w:pStyle w:val="60"/>
        <w:ind w:firstLine="480"/>
      </w:pPr>
      <w:r>
        <w:rPr>
          <w:rFonts w:hint="eastAsia"/>
        </w:rPr>
        <w:t>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60"/>
        <w:ind w:firstLine="480"/>
      </w:pPr>
      <w:r>
        <w:rPr>
          <w:rFonts w:hint="eastAsia"/>
        </w:rPr>
        <w:t>本次竞争性磋商不接收邮寄的响应文件。</w:t>
      </w:r>
    </w:p>
    <w:p>
      <w:pPr>
        <w:pStyle w:val="46"/>
        <w:ind w:firstLine="482"/>
      </w:pPr>
      <w:bookmarkStart w:id="110" w:name="_Toc11511"/>
      <w:bookmarkStart w:id="111" w:name="_Toc11160"/>
      <w:bookmarkStart w:id="112" w:name="_Toc14180"/>
      <w:r>
        <w:rPr>
          <w:rFonts w:hint="eastAsia"/>
        </w:rPr>
        <w:t>响应文件的修改和撤回</w:t>
      </w:r>
      <w:bookmarkEnd w:id="110"/>
      <w:bookmarkEnd w:id="111"/>
      <w:bookmarkEnd w:id="112"/>
    </w:p>
    <w:p>
      <w:pPr>
        <w:pStyle w:val="60"/>
        <w:ind w:firstLine="480"/>
      </w:pPr>
      <w:r>
        <w:rPr>
          <w:rFonts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补充、修改的内容应当按照磋商文件要求签署、盖章、密封后，作为响应文件的组成部分。</w:t>
      </w:r>
    </w:p>
    <w:p>
      <w:pPr>
        <w:pStyle w:val="60"/>
        <w:ind w:firstLine="480"/>
      </w:pPr>
      <w:r>
        <w:rPr>
          <w:rFonts w:hint="eastAsia"/>
        </w:rPr>
        <w:t>供应商的补充、修改或撤回申请书，应由其法定代表人/单位负责人或授权代表签署并盖单位公章。补充、修改应按磋商文件规定进行密封和标注，并在密封袋上标注“补充”、“修改”字样。</w:t>
      </w:r>
    </w:p>
    <w:p>
      <w:pPr>
        <w:pStyle w:val="60"/>
        <w:ind w:firstLine="480"/>
      </w:pPr>
      <w:r>
        <w:rPr>
          <w:rFonts w:hint="eastAsia"/>
        </w:rPr>
        <w:t>在响应文件递交截止时间之后，供应商不得对其递交的响应文件进行撤回。</w:t>
      </w:r>
    </w:p>
    <w:p>
      <w:pPr>
        <w:pStyle w:val="60"/>
        <w:ind w:firstLine="480"/>
      </w:pPr>
      <w:r>
        <w:rPr>
          <w:rFonts w:hint="eastAsia"/>
        </w:rPr>
        <w:t>供应商不得在递交截止时间起至响应文件有效期期满前撤销其响应文件，否则将认定其响应文件有效期的承诺为虚假承诺，并依法追究其法律责任。</w:t>
      </w:r>
    </w:p>
    <w:p>
      <w:pPr>
        <w:pStyle w:val="46"/>
        <w:ind w:firstLine="482"/>
      </w:pPr>
      <w:bookmarkStart w:id="113" w:name="_Toc9598"/>
      <w:bookmarkStart w:id="114" w:name="_Toc31639"/>
      <w:bookmarkStart w:id="115" w:name="_Toc7945"/>
      <w:bookmarkStart w:id="116" w:name="_Toc11507"/>
      <w:bookmarkStart w:id="117" w:name="_Toc17928"/>
      <w:r>
        <w:rPr>
          <w:rFonts w:hint="eastAsia"/>
        </w:rPr>
        <w:t>磋商保证金</w:t>
      </w:r>
      <w:bookmarkEnd w:id="113"/>
      <w:bookmarkEnd w:id="114"/>
      <w:bookmarkEnd w:id="115"/>
      <w:bookmarkEnd w:id="116"/>
      <w:bookmarkEnd w:id="117"/>
    </w:p>
    <w:p>
      <w:pPr>
        <w:pStyle w:val="44"/>
        <w:rPr>
          <w:b w:val="0"/>
          <w:bCs/>
        </w:rPr>
      </w:pPr>
      <w:r>
        <w:rPr>
          <w:rFonts w:hint="eastAsia"/>
          <w:b w:val="0"/>
          <w:bCs/>
        </w:rPr>
        <w:t>本项目不收取磋商保证金。</w:t>
      </w:r>
    </w:p>
    <w:p>
      <w:pPr>
        <w:pStyle w:val="32"/>
        <w:spacing w:before="120" w:beforeLines="50" w:after="120" w:afterLines="50"/>
        <w:ind w:firstLine="0" w:firstLineChars="0"/>
        <w:jc w:val="center"/>
        <w:rPr>
          <w:sz w:val="36"/>
          <w:szCs w:val="36"/>
        </w:rPr>
      </w:pPr>
      <w:bookmarkStart w:id="118" w:name="_Toc29699"/>
      <w:bookmarkStart w:id="119" w:name="_Toc21166"/>
      <w:bookmarkStart w:id="120" w:name="_Toc21929"/>
      <w:bookmarkStart w:id="121" w:name="_Toc5914"/>
      <w:bookmarkStart w:id="122" w:name="_Toc6947"/>
      <w:bookmarkStart w:id="123" w:name="_Toc6138"/>
      <w:r>
        <w:rPr>
          <w:rFonts w:hint="eastAsia"/>
          <w:sz w:val="36"/>
          <w:szCs w:val="36"/>
        </w:rPr>
        <w:t>磋商会</w:t>
      </w:r>
      <w:bookmarkEnd w:id="118"/>
      <w:bookmarkEnd w:id="119"/>
      <w:bookmarkEnd w:id="120"/>
    </w:p>
    <w:p>
      <w:pPr>
        <w:pStyle w:val="30"/>
        <w:numPr>
          <w:ilvl w:val="1"/>
          <w:numId w:val="15"/>
        </w:numPr>
        <w:ind w:firstLine="482"/>
        <w:outlineLvl w:val="2"/>
        <w:rPr>
          <w:b/>
          <w:bCs/>
        </w:rPr>
      </w:pPr>
      <w:bookmarkStart w:id="124" w:name="_Toc17506"/>
      <w:bookmarkStart w:id="125" w:name="_Toc26873"/>
      <w:r>
        <w:rPr>
          <w:rFonts w:hint="eastAsia"/>
          <w:b/>
          <w:bCs/>
        </w:rPr>
        <w:t>磋商会人员</w:t>
      </w:r>
      <w:bookmarkEnd w:id="124"/>
      <w:bookmarkEnd w:id="125"/>
    </w:p>
    <w:p>
      <w:pPr>
        <w:pStyle w:val="43"/>
      </w:pPr>
      <w:r>
        <w:rPr>
          <w:rFonts w:hint="eastAsia"/>
        </w:rPr>
        <w:t>采购代理机构在竞争性磋商文件规定的时间和地点组织磋商，采购人、供应商须派授权代表参加并签到以证明其出席，磋商会由采购代理机构主持。</w:t>
      </w:r>
    </w:p>
    <w:p>
      <w:pPr>
        <w:pStyle w:val="30"/>
        <w:numPr>
          <w:ilvl w:val="1"/>
          <w:numId w:val="15"/>
        </w:numPr>
        <w:ind w:firstLine="482"/>
        <w:outlineLvl w:val="2"/>
        <w:rPr>
          <w:b/>
          <w:bCs/>
        </w:rPr>
      </w:pPr>
      <w:bookmarkStart w:id="126" w:name="_Toc12317"/>
      <w:bookmarkStart w:id="127" w:name="_Toc32663"/>
      <w:r>
        <w:rPr>
          <w:rFonts w:hint="eastAsia"/>
          <w:b/>
          <w:bCs/>
        </w:rPr>
        <w:t>磋商会内容</w:t>
      </w:r>
      <w:bookmarkEnd w:id="126"/>
      <w:bookmarkEnd w:id="127"/>
    </w:p>
    <w:p>
      <w:pPr>
        <w:pStyle w:val="43"/>
      </w:pPr>
      <w:r>
        <w:rPr>
          <w:rFonts w:hint="eastAsia"/>
        </w:rPr>
        <w:t>磋商会主持人按照磋商文件规定宣布响应文件递交截止时间，按照规定主持磋商会。将按以下程序进行：</w:t>
      </w:r>
    </w:p>
    <w:p>
      <w:pPr>
        <w:pStyle w:val="33"/>
        <w:ind w:firstLine="480"/>
      </w:pPr>
      <w:r>
        <w:rPr>
          <w:rFonts w:hint="eastAsia"/>
        </w:rPr>
        <w:t>宣布磋商会开始。响应文件递交截止时间已到，主持人宣布磋商会开始并致辞；</w:t>
      </w:r>
    </w:p>
    <w:p>
      <w:pPr>
        <w:pStyle w:val="33"/>
        <w:ind w:firstLine="480"/>
      </w:pPr>
      <w:r>
        <w:rPr>
          <w:rFonts w:hint="eastAsia"/>
        </w:rPr>
        <w:t>宣布会场纪律和有关注意事项；</w:t>
      </w:r>
    </w:p>
    <w:p>
      <w:pPr>
        <w:pStyle w:val="33"/>
        <w:ind w:firstLine="480"/>
      </w:pPr>
      <w:r>
        <w:rPr>
          <w:rFonts w:hint="eastAsia"/>
        </w:rPr>
        <w:t>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33"/>
        <w:ind w:firstLine="480"/>
      </w:pPr>
      <w:r>
        <w:rPr>
          <w:rFonts w:hint="eastAsia"/>
        </w:rPr>
        <w:t>供应商或者其推选的代表需现场对磋商会议记录进行签字确认经确认无误后，由采购代理机构工作人员宣布磋商纪律，并由供应商签字确认；</w:t>
      </w:r>
    </w:p>
    <w:p>
      <w:pPr>
        <w:pStyle w:val="33"/>
        <w:ind w:firstLine="480"/>
      </w:pPr>
      <w:r>
        <w:rPr>
          <w:rFonts w:hint="eastAsia"/>
        </w:rPr>
        <w:t>供应商不足3家的，终止采购活动，并退回响应文件；</w:t>
      </w:r>
    </w:p>
    <w:p>
      <w:pPr>
        <w:pStyle w:val="33"/>
        <w:ind w:firstLine="480"/>
      </w:pPr>
      <w:r>
        <w:rPr>
          <w:rFonts w:hint="eastAsia"/>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121"/>
    <w:bookmarkEnd w:id="122"/>
    <w:bookmarkEnd w:id="123"/>
    <w:p>
      <w:pPr>
        <w:pStyle w:val="30"/>
        <w:numPr>
          <w:ilvl w:val="1"/>
          <w:numId w:val="15"/>
        </w:numPr>
        <w:ind w:firstLine="482"/>
        <w:outlineLvl w:val="2"/>
        <w:rPr>
          <w:b/>
          <w:bCs/>
        </w:rPr>
      </w:pPr>
      <w:bookmarkStart w:id="128" w:name="_Toc10036"/>
      <w:bookmarkStart w:id="129" w:name="_Toc8050"/>
      <w:bookmarkStart w:id="130" w:name="_Toc13862"/>
      <w:r>
        <w:rPr>
          <w:rFonts w:hint="eastAsia"/>
          <w:b/>
          <w:bCs/>
        </w:rPr>
        <w:t>电子监控档案</w:t>
      </w:r>
      <w:bookmarkEnd w:id="128"/>
      <w:bookmarkEnd w:id="129"/>
      <w:bookmarkEnd w:id="130"/>
    </w:p>
    <w:p>
      <w:pPr>
        <w:pStyle w:val="30"/>
        <w:numPr>
          <w:ilvl w:val="1"/>
          <w:numId w:val="0"/>
        </w:numPr>
        <w:ind w:left="480" w:leftChars="200"/>
      </w:pPr>
      <w:r>
        <w:rPr>
          <w:rFonts w:hint="eastAsia"/>
        </w:rPr>
        <w:t>本项目磋商会和评审过程进行全过程电子监控，并将电子监控资料存储介质留存归档。</w:t>
      </w:r>
    </w:p>
    <w:p>
      <w:pPr>
        <w:pStyle w:val="32"/>
        <w:spacing w:before="120" w:beforeLines="50" w:after="120" w:afterLines="50"/>
        <w:ind w:firstLine="0" w:firstLineChars="0"/>
        <w:jc w:val="center"/>
        <w:rPr>
          <w:sz w:val="36"/>
          <w:szCs w:val="36"/>
        </w:rPr>
      </w:pPr>
      <w:bookmarkStart w:id="131" w:name="_Toc13712"/>
      <w:bookmarkStart w:id="132" w:name="_Toc1072"/>
      <w:bookmarkStart w:id="133" w:name="_Toc31404"/>
      <w:bookmarkStart w:id="134" w:name="_Toc11904"/>
      <w:bookmarkStart w:id="135" w:name="_Toc8117"/>
      <w:bookmarkStart w:id="136" w:name="_Toc14786"/>
      <w:bookmarkStart w:id="137" w:name="_Toc12604"/>
      <w:r>
        <w:rPr>
          <w:rFonts w:hint="eastAsia"/>
          <w:sz w:val="36"/>
          <w:szCs w:val="36"/>
        </w:rPr>
        <w:t>成交事项</w:t>
      </w:r>
      <w:bookmarkEnd w:id="131"/>
      <w:bookmarkEnd w:id="132"/>
      <w:bookmarkEnd w:id="133"/>
    </w:p>
    <w:bookmarkEnd w:id="134"/>
    <w:bookmarkEnd w:id="135"/>
    <w:bookmarkEnd w:id="136"/>
    <w:bookmarkEnd w:id="137"/>
    <w:p>
      <w:pPr>
        <w:pStyle w:val="46"/>
        <w:ind w:firstLine="482"/>
      </w:pPr>
      <w:bookmarkStart w:id="138" w:name="_Toc16799"/>
      <w:bookmarkStart w:id="139" w:name="_Toc31543"/>
      <w:bookmarkStart w:id="140" w:name="_Toc31413"/>
      <w:r>
        <w:rPr>
          <w:rFonts w:hint="eastAsia"/>
        </w:rPr>
        <w:t>确定成交候选人</w:t>
      </w:r>
      <w:bookmarkEnd w:id="138"/>
      <w:bookmarkEnd w:id="139"/>
      <w:bookmarkEnd w:id="140"/>
    </w:p>
    <w:p>
      <w:pPr>
        <w:pStyle w:val="60"/>
        <w:ind w:firstLine="480"/>
      </w:pPr>
      <w:r>
        <w:rPr>
          <w:rFonts w:hint="eastAsia"/>
        </w:rPr>
        <w:t>采购代理机构应当在评审结束后2个工作日内将评审报告送采购人确认。</w:t>
      </w:r>
    </w:p>
    <w:p>
      <w:pPr>
        <w:pStyle w:val="60"/>
        <w:ind w:firstLine="480"/>
      </w:pPr>
      <w:r>
        <w:rPr>
          <w:rFonts w:hint="eastAsia"/>
        </w:rPr>
        <w:t>本项目采购人根据磋商小组推荐的成交候选人名单，按顺序确定成交供应商。</w:t>
      </w:r>
    </w:p>
    <w:p>
      <w:pPr>
        <w:pStyle w:val="60"/>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0"/>
        <w:ind w:firstLine="480"/>
      </w:pPr>
      <w:r>
        <w:rPr>
          <w:rFonts w:hint="eastAsia"/>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0"/>
        <w:ind w:firstLine="480"/>
      </w:pPr>
      <w:r>
        <w:rPr>
          <w:rFonts w:hint="eastAsia"/>
        </w:rPr>
        <w:t>采购人确定成交供应商过程中，发现成交候选供应商有下列情形之一的，不予确定其为成交供应商：</w:t>
      </w:r>
    </w:p>
    <w:p>
      <w:pPr>
        <w:pStyle w:val="60"/>
        <w:numPr>
          <w:ilvl w:val="3"/>
          <w:numId w:val="0"/>
        </w:numPr>
        <w:ind w:left="480" w:leftChars="200"/>
      </w:pPr>
      <w:r>
        <w:rPr>
          <w:rFonts w:hint="eastAsia"/>
        </w:rPr>
        <w:t>5.1成交候选供应商属于禁止参加本项目采购活动的；</w:t>
      </w:r>
    </w:p>
    <w:p>
      <w:pPr>
        <w:pStyle w:val="60"/>
        <w:numPr>
          <w:ilvl w:val="3"/>
          <w:numId w:val="0"/>
        </w:numPr>
        <w:ind w:left="480" w:leftChars="200"/>
      </w:pPr>
      <w:r>
        <w:rPr>
          <w:rFonts w:hint="eastAsia"/>
        </w:rPr>
        <w:t>5.2成交候选供应商因不可抗力，不能继续参加政府采购活动；</w:t>
      </w:r>
    </w:p>
    <w:p>
      <w:pPr>
        <w:pStyle w:val="60"/>
        <w:numPr>
          <w:ilvl w:val="3"/>
          <w:numId w:val="0"/>
        </w:numPr>
        <w:ind w:left="480" w:leftChars="200"/>
      </w:pPr>
      <w:r>
        <w:rPr>
          <w:rFonts w:hint="eastAsia"/>
        </w:rPr>
        <w:t>5.3成交候选供应商无偿赠与或者低于成本价竞争；</w:t>
      </w:r>
    </w:p>
    <w:p>
      <w:pPr>
        <w:pStyle w:val="60"/>
        <w:numPr>
          <w:ilvl w:val="3"/>
          <w:numId w:val="0"/>
        </w:numPr>
        <w:ind w:left="480" w:leftChars="200"/>
      </w:pPr>
      <w:r>
        <w:rPr>
          <w:rFonts w:hint="eastAsia"/>
        </w:rPr>
        <w:t>5.4成交候选供应商提供虚假材料；</w:t>
      </w:r>
    </w:p>
    <w:p>
      <w:pPr>
        <w:pStyle w:val="60"/>
        <w:numPr>
          <w:ilvl w:val="3"/>
          <w:numId w:val="0"/>
        </w:numPr>
        <w:ind w:left="480" w:leftChars="200"/>
      </w:pPr>
      <w:r>
        <w:rPr>
          <w:rFonts w:hint="eastAsia"/>
        </w:rPr>
        <w:t>5.5成交候选供应商恶意串通。</w:t>
      </w:r>
    </w:p>
    <w:p>
      <w:pPr>
        <w:pStyle w:val="46"/>
        <w:ind w:firstLine="482"/>
      </w:pPr>
      <w:bookmarkStart w:id="141" w:name="_Toc17698"/>
      <w:bookmarkStart w:id="142" w:name="_Toc5084"/>
      <w:bookmarkStart w:id="143" w:name="_Toc13630"/>
      <w:r>
        <w:rPr>
          <w:rFonts w:hint="eastAsia"/>
        </w:rPr>
        <w:t>成交结果</w:t>
      </w:r>
      <w:bookmarkEnd w:id="141"/>
      <w:bookmarkEnd w:id="142"/>
      <w:bookmarkEnd w:id="143"/>
    </w:p>
    <w:p>
      <w:pPr>
        <w:pStyle w:val="60"/>
        <w:numPr>
          <w:ilvl w:val="3"/>
          <w:numId w:val="0"/>
        </w:numPr>
        <w:ind w:firstLine="480" w:firstLineChars="200"/>
      </w:pPr>
      <w:bookmarkStart w:id="144" w:name="_Toc7224"/>
      <w:r>
        <w:rPr>
          <w:rFonts w:hint="eastAsia"/>
        </w:rPr>
        <w:t>1.采购人确定成交供应商后，将及时书面通知采购代理机构，采购代理机构在成交供应商确定后2个工作日内，在“四川政府采购网”公告成交结果，</w:t>
      </w:r>
      <w:r>
        <w:rPr>
          <w:rFonts w:hint="eastAsia"/>
          <w:lang w:val="zh-CN"/>
        </w:rPr>
        <w:t>同时采购代理机构将</w:t>
      </w:r>
      <w:r>
        <w:rPr>
          <w:rFonts w:hint="eastAsia"/>
        </w:rPr>
        <w:t>成交</w:t>
      </w:r>
      <w:r>
        <w:rPr>
          <w:rFonts w:hint="eastAsia"/>
          <w:lang w:val="zh-CN"/>
        </w:rPr>
        <w:t>通知书快递至</w:t>
      </w:r>
      <w:r>
        <w:rPr>
          <w:rFonts w:hint="eastAsia"/>
        </w:rPr>
        <w:t>成交供应商。</w:t>
      </w:r>
    </w:p>
    <w:p>
      <w:pPr>
        <w:pStyle w:val="60"/>
        <w:numPr>
          <w:ilvl w:val="3"/>
          <w:numId w:val="0"/>
        </w:numPr>
        <w:ind w:firstLine="480" w:firstLineChars="200"/>
      </w:pPr>
      <w:r>
        <w:rPr>
          <w:rFonts w:hint="eastAsia"/>
        </w:rPr>
        <w:t>2.采购项目需要交纳履约保证金的，成交供应商应当按照规定和要求及时向采购人交纳。</w:t>
      </w:r>
    </w:p>
    <w:p>
      <w:pPr>
        <w:pStyle w:val="46"/>
        <w:ind w:firstLine="482"/>
      </w:pPr>
      <w:bookmarkStart w:id="145" w:name="_Toc8735"/>
      <w:bookmarkStart w:id="146" w:name="_Toc20851"/>
      <w:r>
        <w:rPr>
          <w:rFonts w:hint="eastAsia"/>
        </w:rPr>
        <w:t>成交通知书</w:t>
      </w:r>
      <w:bookmarkEnd w:id="144"/>
      <w:bookmarkEnd w:id="145"/>
      <w:bookmarkEnd w:id="146"/>
    </w:p>
    <w:p>
      <w:pPr>
        <w:pStyle w:val="60"/>
        <w:ind w:firstLine="480"/>
      </w:pPr>
      <w:r>
        <w:rPr>
          <w:rFonts w:hint="eastAsia"/>
        </w:rPr>
        <w:t>成交通知书为签订政府采购合同的依据之一，是合同的有效组成部分。</w:t>
      </w:r>
    </w:p>
    <w:p>
      <w:pPr>
        <w:pStyle w:val="60"/>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60"/>
        <w:ind w:firstLine="480"/>
      </w:pPr>
      <w:r>
        <w:rPr>
          <w:rFonts w:hint="eastAsia"/>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32"/>
        <w:spacing w:before="120" w:beforeLines="50" w:after="120" w:afterLines="50"/>
        <w:ind w:firstLine="0" w:firstLineChars="0"/>
        <w:jc w:val="center"/>
        <w:rPr>
          <w:sz w:val="36"/>
          <w:szCs w:val="36"/>
        </w:rPr>
      </w:pPr>
      <w:bookmarkStart w:id="147" w:name="_Toc29192"/>
      <w:bookmarkStart w:id="148" w:name="_Toc5836"/>
      <w:bookmarkStart w:id="149" w:name="_Toc16374"/>
      <w:r>
        <w:rPr>
          <w:rFonts w:hint="eastAsia"/>
          <w:sz w:val="36"/>
          <w:szCs w:val="36"/>
        </w:rPr>
        <w:t>合同事项</w:t>
      </w:r>
      <w:bookmarkEnd w:id="147"/>
      <w:bookmarkEnd w:id="148"/>
      <w:bookmarkEnd w:id="149"/>
    </w:p>
    <w:p>
      <w:pPr>
        <w:pStyle w:val="46"/>
        <w:ind w:firstLine="482"/>
      </w:pPr>
      <w:bookmarkStart w:id="150" w:name="_Toc8773"/>
      <w:bookmarkStart w:id="151" w:name="_Toc8081"/>
      <w:bookmarkStart w:id="152" w:name="_Toc30537"/>
      <w:bookmarkStart w:id="153" w:name="_Toc19462"/>
      <w:r>
        <w:rPr>
          <w:rFonts w:hint="eastAsia"/>
        </w:rPr>
        <w:t>签订合同</w:t>
      </w:r>
      <w:bookmarkEnd w:id="150"/>
      <w:bookmarkEnd w:id="151"/>
      <w:bookmarkEnd w:id="152"/>
    </w:p>
    <w:p>
      <w:pPr>
        <w:pStyle w:val="33"/>
        <w:ind w:firstLine="480"/>
      </w:pPr>
      <w:r>
        <w:rPr>
          <w:rFonts w:hint="eastAsia"/>
        </w:rPr>
        <w:t>成交供应商应在成交通知书发出之日起三十日内与采购人签订采购合同。由于成交供应商的原因逾期未与采购人签订采购合同的，将视为放弃成交，取消其成交资格并将按相关规定进行处理。</w:t>
      </w:r>
    </w:p>
    <w:p>
      <w:pPr>
        <w:pStyle w:val="33"/>
        <w:ind w:firstLine="480"/>
      </w:pPr>
      <w:r>
        <w:rPr>
          <w:rFonts w:hint="eastAsia"/>
        </w:rPr>
        <w:t>政府采购合同应当包括采购人与成交供应商的名称和住所、标的、数量、质量、价款或者报酬、履行期限及地点和方式、验收要求、违约责任、解决争议的方法等内容。</w:t>
      </w:r>
    </w:p>
    <w:p>
      <w:pPr>
        <w:pStyle w:val="33"/>
        <w:ind w:firstLine="480"/>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3"/>
        <w:ind w:firstLine="480"/>
      </w:pPr>
      <w:r>
        <w:rPr>
          <w:rFonts w:hint="eastAsia"/>
        </w:rPr>
        <w:t>成交供应商因不可抗力原因不能履行采购合同或放弃成交的，采购人可以按照评审报告推荐的成交候选人名单排序，确定下一候选人为成交供应商。</w:t>
      </w:r>
    </w:p>
    <w:p>
      <w:pPr>
        <w:pStyle w:val="33"/>
        <w:ind w:firstLine="480"/>
      </w:pPr>
      <w:r>
        <w:rPr>
          <w:rFonts w:hint="eastAsia"/>
        </w:rPr>
        <w:t>本项目的竞争性磋商文件、成交供应商提交的响应文件、磋商中的最后报价、成交供应商承诺书、成交通知书等文件均具有法律约束力，属于合同组成部分。</w:t>
      </w:r>
    </w:p>
    <w:p>
      <w:pPr>
        <w:pStyle w:val="33"/>
        <w:ind w:firstLine="480"/>
      </w:pPr>
      <w:r>
        <w:rPr>
          <w:rFonts w:hint="eastAsia"/>
        </w:rPr>
        <w:t>成交供应商在采购合同签订之后2个工作日内，将签订的采购合同送采购代理机构进行合同编号。</w:t>
      </w:r>
    </w:p>
    <w:p>
      <w:pPr>
        <w:pStyle w:val="46"/>
        <w:ind w:firstLine="482"/>
      </w:pPr>
      <w:bookmarkStart w:id="154" w:name="_Toc7850"/>
      <w:bookmarkStart w:id="155" w:name="_Toc2425"/>
      <w:bookmarkStart w:id="156" w:name="_Toc12557"/>
      <w:r>
        <w:rPr>
          <w:rFonts w:hint="eastAsia"/>
        </w:rPr>
        <w:t>合同分包(实质性要求)</w:t>
      </w:r>
      <w:bookmarkEnd w:id="154"/>
      <w:bookmarkEnd w:id="155"/>
      <w:bookmarkEnd w:id="156"/>
    </w:p>
    <w:p>
      <w:pPr>
        <w:pStyle w:val="43"/>
      </w:pPr>
      <w:r>
        <w:rPr>
          <w:rFonts w:hint="eastAsia"/>
        </w:rPr>
        <w:t>本项目不允许合同分包。</w:t>
      </w:r>
    </w:p>
    <w:p>
      <w:pPr>
        <w:pStyle w:val="46"/>
        <w:ind w:firstLine="482"/>
      </w:pPr>
      <w:bookmarkStart w:id="157" w:name="_Toc26641"/>
      <w:bookmarkStart w:id="158" w:name="_Toc13796"/>
      <w:bookmarkStart w:id="159" w:name="_Toc32427"/>
      <w:r>
        <w:rPr>
          <w:rFonts w:hint="eastAsia"/>
        </w:rPr>
        <w:t>合同转包(实质性要求)</w:t>
      </w:r>
      <w:bookmarkEnd w:id="157"/>
      <w:bookmarkEnd w:id="158"/>
      <w:bookmarkEnd w:id="159"/>
    </w:p>
    <w:p>
      <w:pPr>
        <w:pStyle w:val="60"/>
        <w:ind w:firstLine="480"/>
      </w:pPr>
      <w:r>
        <w:rPr>
          <w:rFonts w:hint="eastAsia"/>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60"/>
        <w:ind w:firstLine="480"/>
      </w:pPr>
      <w:r>
        <w:rPr>
          <w:rFonts w:hint="eastAsia"/>
        </w:rPr>
        <w:t>成交供应商转包的，视同拒绝履行政府采购合同义务，将依法追究法律责任。</w:t>
      </w:r>
    </w:p>
    <w:p>
      <w:pPr>
        <w:pStyle w:val="46"/>
        <w:ind w:firstLine="482"/>
      </w:pPr>
      <w:bookmarkStart w:id="160" w:name="_Toc29725"/>
      <w:bookmarkStart w:id="161" w:name="_Toc25008"/>
      <w:bookmarkStart w:id="162" w:name="_Toc27950"/>
      <w:r>
        <w:rPr>
          <w:rFonts w:hint="eastAsia"/>
        </w:rPr>
        <w:t>补充合同</w:t>
      </w:r>
      <w:bookmarkEnd w:id="160"/>
      <w:bookmarkEnd w:id="161"/>
      <w:bookmarkEnd w:id="162"/>
    </w:p>
    <w:p>
      <w:pPr>
        <w:pStyle w:val="43"/>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6"/>
        <w:ind w:firstLine="482"/>
      </w:pPr>
      <w:bookmarkStart w:id="163" w:name="_Toc24375"/>
      <w:bookmarkStart w:id="164" w:name="_Toc27423"/>
      <w:bookmarkStart w:id="165" w:name="_Toc24801"/>
      <w:r>
        <w:rPr>
          <w:rFonts w:hint="eastAsia"/>
        </w:rPr>
        <w:t>合同公告</w:t>
      </w:r>
      <w:bookmarkEnd w:id="163"/>
      <w:bookmarkEnd w:id="164"/>
      <w:bookmarkEnd w:id="165"/>
    </w:p>
    <w:p>
      <w:pPr>
        <w:pStyle w:val="60"/>
        <w:ind w:firstLine="480"/>
      </w:pPr>
      <w:r>
        <w:rPr>
          <w:rFonts w:hint="eastAsia"/>
        </w:rPr>
        <w:t>采购人应当自政府采购合同签订(双方当事人均已签字盖章)之日起2个工作日内，将政府采购合同在省级以上人民政府财政部门指定的媒体“四川政府采购网”公告，但政府采购合同中涉及国家秘密、商业秘密的内容除外。</w:t>
      </w:r>
    </w:p>
    <w:p>
      <w:pPr>
        <w:pStyle w:val="60"/>
        <w:ind w:firstLine="480"/>
      </w:pPr>
      <w:r>
        <w:rPr>
          <w:rFonts w:hint="eastAsia"/>
        </w:rPr>
        <w:t>采购人应当将政府采购合同副本自签订(双方当事人均已签字盖章)之日起七个工作日内通过“四川政府采购网”报同级财政部门备案。</w:t>
      </w:r>
    </w:p>
    <w:p>
      <w:pPr>
        <w:pStyle w:val="46"/>
        <w:ind w:firstLine="482"/>
      </w:pPr>
      <w:bookmarkStart w:id="166" w:name="_Toc26969"/>
      <w:bookmarkStart w:id="167" w:name="_Toc2945"/>
      <w:bookmarkStart w:id="168" w:name="_Toc9163"/>
      <w:r>
        <w:rPr>
          <w:rFonts w:hint="eastAsia"/>
        </w:rPr>
        <w:t>履行合同</w:t>
      </w:r>
      <w:bookmarkEnd w:id="166"/>
      <w:bookmarkEnd w:id="167"/>
      <w:bookmarkEnd w:id="168"/>
    </w:p>
    <w:p>
      <w:pPr>
        <w:pStyle w:val="60"/>
        <w:ind w:firstLine="480"/>
      </w:pPr>
      <w:r>
        <w:rPr>
          <w:rFonts w:hint="eastAsia"/>
        </w:rPr>
        <w:t>采购人与成交供应商应当根据合同的约定依法履行合同义务，保证合同顺利完成。</w:t>
      </w:r>
    </w:p>
    <w:p>
      <w:pPr>
        <w:pStyle w:val="60"/>
        <w:ind w:firstLine="480"/>
      </w:pPr>
      <w:r>
        <w:rPr>
          <w:rFonts w:hint="eastAsia"/>
        </w:rPr>
        <w:t>政府采购合同的履行、违约责任和解决争议的方法等适用《中华人民共和国民法典》。</w:t>
      </w:r>
    </w:p>
    <w:p>
      <w:pPr>
        <w:pStyle w:val="46"/>
        <w:ind w:firstLine="482"/>
      </w:pPr>
      <w:bookmarkStart w:id="169" w:name="_Toc26311"/>
      <w:bookmarkStart w:id="170" w:name="_Toc26332"/>
      <w:bookmarkStart w:id="171" w:name="_Toc17186"/>
      <w:bookmarkStart w:id="172" w:name="_Toc8615"/>
      <w:bookmarkStart w:id="173" w:name="_Toc19475"/>
      <w:bookmarkStart w:id="174" w:name="_Toc19395"/>
      <w:r>
        <w:rPr>
          <w:rFonts w:hint="eastAsia"/>
        </w:rPr>
        <w:t>付款方式及履约验收</w:t>
      </w:r>
      <w:bookmarkEnd w:id="169"/>
      <w:bookmarkEnd w:id="170"/>
      <w:bookmarkEnd w:id="171"/>
      <w:bookmarkEnd w:id="172"/>
      <w:bookmarkEnd w:id="173"/>
      <w:bookmarkEnd w:id="174"/>
    </w:p>
    <w:p>
      <w:pPr>
        <w:pStyle w:val="60"/>
        <w:ind w:firstLine="480"/>
      </w:pPr>
      <w:r>
        <w:rPr>
          <w:rFonts w:hint="eastAsia"/>
        </w:rPr>
        <w:t>付款方式</w:t>
      </w:r>
    </w:p>
    <w:p>
      <w:pPr>
        <w:pStyle w:val="61"/>
        <w:ind w:firstLine="480"/>
      </w:pPr>
      <w:r>
        <w:rPr>
          <w:rFonts w:hint="eastAsia"/>
        </w:rPr>
        <w:t>本项目付款方式详见磋商文件第五章要求；</w:t>
      </w:r>
    </w:p>
    <w:p>
      <w:pPr>
        <w:pStyle w:val="61"/>
        <w:ind w:firstLine="480"/>
      </w:pPr>
      <w:r>
        <w:rPr>
          <w:rFonts w:hint="eastAsia"/>
        </w:rPr>
        <w:t>采购人将按照政府采购合同规定，及时向成交供应商支付采购资金。对于满足合同约定支付条件的，采购人应当自收到发票后按照合同约定内将资金支付到合同约定的供应商账户，不得以机构变动、人员更替、政策调整等为由延迟付款，不得将磋商文件和合同中未规定的义务作为向供应商付款的条件。</w:t>
      </w:r>
    </w:p>
    <w:p>
      <w:pPr>
        <w:pStyle w:val="60"/>
        <w:ind w:firstLine="480"/>
      </w:pPr>
      <w:r>
        <w:rPr>
          <w:rFonts w:hint="eastAsia"/>
        </w:rPr>
        <w:t>履约验收</w:t>
      </w:r>
      <w:r>
        <w:rPr>
          <w:rFonts w:hint="eastAsia"/>
          <w:b/>
          <w:bCs/>
        </w:rPr>
        <w:t>(实质性要求)</w:t>
      </w:r>
    </w:p>
    <w:p>
      <w:pPr>
        <w:pStyle w:val="61"/>
        <w:ind w:firstLine="480"/>
      </w:pPr>
      <w:r>
        <w:rPr>
          <w:rFonts w:hint="eastAsia"/>
        </w:rPr>
        <w:t>严格按照《财政部关于进一步加强政府采购需求和履约验收管理的指导意见》(财库〔2016〕205号)以及主管部门的相关要求进行验收。</w:t>
      </w:r>
    </w:p>
    <w:p>
      <w:pPr>
        <w:pStyle w:val="61"/>
        <w:ind w:firstLine="480"/>
      </w:pPr>
      <w:r>
        <w:rPr>
          <w:rFonts w:hint="eastAsia"/>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1"/>
        <w:ind w:firstLine="480"/>
      </w:pPr>
      <w:r>
        <w:rPr>
          <w:rFonts w:hint="eastAsia"/>
        </w:rPr>
        <w:t>验收结果合格的，成交供应商凭验收报告办理相关手续；验收结果不合格的，将不予支付采购资金，还可能会报本项目同级财政部门按照政府采购法律法规给予行政处罚或者以失信行为记入诚信档案。</w:t>
      </w:r>
    </w:p>
    <w:p>
      <w:pPr>
        <w:pStyle w:val="32"/>
        <w:spacing w:before="120" w:beforeLines="50" w:after="120" w:afterLines="50"/>
        <w:ind w:firstLine="0" w:firstLineChars="0"/>
        <w:jc w:val="center"/>
        <w:rPr>
          <w:sz w:val="36"/>
          <w:szCs w:val="36"/>
        </w:rPr>
      </w:pPr>
      <w:bookmarkStart w:id="175" w:name="_Toc23470"/>
      <w:bookmarkStart w:id="176" w:name="_Toc11057"/>
      <w:bookmarkStart w:id="177" w:name="_Toc24560"/>
      <w:r>
        <w:rPr>
          <w:rFonts w:hint="eastAsia"/>
          <w:sz w:val="36"/>
          <w:szCs w:val="36"/>
        </w:rPr>
        <w:t>磋商纪律要求</w:t>
      </w:r>
      <w:bookmarkEnd w:id="175"/>
      <w:bookmarkEnd w:id="176"/>
      <w:bookmarkEnd w:id="177"/>
    </w:p>
    <w:p>
      <w:pPr>
        <w:pStyle w:val="46"/>
        <w:ind w:firstLine="482"/>
      </w:pPr>
      <w:bookmarkStart w:id="178" w:name="_Toc25072"/>
      <w:bookmarkStart w:id="179" w:name="_Toc20811"/>
      <w:bookmarkStart w:id="180" w:name="_Toc7574"/>
      <w:r>
        <w:rPr>
          <w:rFonts w:hint="eastAsia"/>
        </w:rPr>
        <w:t>供应商参加本项目采购活动不得具有的情形</w:t>
      </w:r>
      <w:bookmarkEnd w:id="153"/>
      <w:bookmarkEnd w:id="178"/>
      <w:bookmarkEnd w:id="179"/>
      <w:bookmarkEnd w:id="180"/>
    </w:p>
    <w:p>
      <w:pPr>
        <w:pStyle w:val="30"/>
        <w:numPr>
          <w:ilvl w:val="1"/>
          <w:numId w:val="0"/>
        </w:numPr>
        <w:ind w:left="480" w:leftChars="200"/>
      </w:pPr>
      <w:r>
        <w:rPr>
          <w:rFonts w:hint="eastAsia"/>
        </w:rPr>
        <w:t>1.提供虚假材料谋取成交；</w:t>
      </w:r>
    </w:p>
    <w:p>
      <w:pPr>
        <w:pStyle w:val="30"/>
        <w:numPr>
          <w:ilvl w:val="1"/>
          <w:numId w:val="0"/>
        </w:numPr>
        <w:ind w:left="480" w:leftChars="200"/>
      </w:pPr>
      <w:r>
        <w:rPr>
          <w:rFonts w:hint="eastAsia"/>
        </w:rPr>
        <w:t>2.采取不正当手段诋毁、排挤其他供应商；</w:t>
      </w:r>
    </w:p>
    <w:p>
      <w:pPr>
        <w:pStyle w:val="30"/>
        <w:numPr>
          <w:ilvl w:val="1"/>
          <w:numId w:val="0"/>
        </w:numPr>
        <w:ind w:left="480" w:leftChars="200"/>
      </w:pPr>
      <w:r>
        <w:rPr>
          <w:rFonts w:hint="eastAsia"/>
        </w:rPr>
        <w:t>3.与采购人、采购代理机构或其他供应商恶意串通；</w:t>
      </w:r>
    </w:p>
    <w:p>
      <w:pPr>
        <w:pStyle w:val="30"/>
        <w:numPr>
          <w:ilvl w:val="1"/>
          <w:numId w:val="0"/>
        </w:numPr>
        <w:ind w:left="480" w:leftChars="200"/>
      </w:pPr>
      <w:r>
        <w:rPr>
          <w:rFonts w:hint="eastAsia"/>
        </w:rPr>
        <w:t>4.向采购人、采购代理机构、磋商小组成员行贿或者提供其他不正当利益；</w:t>
      </w:r>
    </w:p>
    <w:p>
      <w:pPr>
        <w:pStyle w:val="30"/>
        <w:numPr>
          <w:ilvl w:val="1"/>
          <w:numId w:val="0"/>
        </w:numPr>
        <w:ind w:left="480" w:leftChars="200"/>
      </w:pPr>
      <w:r>
        <w:rPr>
          <w:rFonts w:hint="eastAsia"/>
        </w:rPr>
        <w:t>5.在磋商过程中与采购人、采购代理机构进行协商；</w:t>
      </w:r>
    </w:p>
    <w:p>
      <w:pPr>
        <w:pStyle w:val="30"/>
        <w:numPr>
          <w:ilvl w:val="1"/>
          <w:numId w:val="0"/>
        </w:numPr>
        <w:ind w:left="480" w:leftChars="200"/>
      </w:pPr>
      <w:r>
        <w:rPr>
          <w:rFonts w:hint="eastAsia"/>
        </w:rPr>
        <w:t>6.成交后无正当理由拒不与采购人签订政府采购合同；</w:t>
      </w:r>
    </w:p>
    <w:p>
      <w:pPr>
        <w:pStyle w:val="30"/>
        <w:numPr>
          <w:ilvl w:val="1"/>
          <w:numId w:val="0"/>
        </w:numPr>
        <w:ind w:left="480" w:leftChars="200"/>
      </w:pPr>
      <w:r>
        <w:rPr>
          <w:rFonts w:hint="eastAsia"/>
        </w:rPr>
        <w:t>7.未按照磋商文件确定的事项签订政府采购合同；</w:t>
      </w:r>
    </w:p>
    <w:p>
      <w:pPr>
        <w:pStyle w:val="30"/>
        <w:numPr>
          <w:ilvl w:val="1"/>
          <w:numId w:val="0"/>
        </w:numPr>
        <w:ind w:left="480" w:leftChars="200"/>
      </w:pPr>
      <w:r>
        <w:rPr>
          <w:rFonts w:hint="eastAsia"/>
        </w:rPr>
        <w:t>8.将政府采购合同转包或者违规分包；</w:t>
      </w:r>
    </w:p>
    <w:p>
      <w:pPr>
        <w:pStyle w:val="30"/>
        <w:numPr>
          <w:ilvl w:val="1"/>
          <w:numId w:val="0"/>
        </w:numPr>
        <w:ind w:left="480" w:leftChars="200"/>
      </w:pPr>
      <w:r>
        <w:rPr>
          <w:rFonts w:hint="eastAsia"/>
        </w:rPr>
        <w:t>9.提供假冒伪劣产品；</w:t>
      </w:r>
    </w:p>
    <w:p>
      <w:pPr>
        <w:pStyle w:val="30"/>
        <w:numPr>
          <w:ilvl w:val="1"/>
          <w:numId w:val="0"/>
        </w:numPr>
        <w:ind w:left="480" w:leftChars="200"/>
      </w:pPr>
      <w:r>
        <w:rPr>
          <w:rFonts w:hint="eastAsia"/>
        </w:rPr>
        <w:t>10.擅自变更、中止或者终止政府采购合同；</w:t>
      </w:r>
    </w:p>
    <w:p>
      <w:pPr>
        <w:pStyle w:val="30"/>
        <w:numPr>
          <w:ilvl w:val="1"/>
          <w:numId w:val="0"/>
        </w:numPr>
        <w:ind w:left="480" w:leftChars="200"/>
      </w:pPr>
      <w:r>
        <w:rPr>
          <w:rFonts w:hint="eastAsia"/>
        </w:rPr>
        <w:t>11.拒绝有关部门的监督检查或者向监督检查部门提供虚假情况；</w:t>
      </w:r>
    </w:p>
    <w:p>
      <w:pPr>
        <w:pStyle w:val="30"/>
        <w:numPr>
          <w:ilvl w:val="1"/>
          <w:numId w:val="0"/>
        </w:numPr>
        <w:ind w:left="480" w:leftChars="200"/>
      </w:pPr>
      <w:r>
        <w:rPr>
          <w:rFonts w:hint="eastAsia"/>
        </w:rPr>
        <w:t>12.法律法规规定的其他情形。</w:t>
      </w:r>
    </w:p>
    <w:p>
      <w:pPr>
        <w:pStyle w:val="43"/>
      </w:pPr>
      <w:bookmarkStart w:id="181" w:name="_Toc12708"/>
      <w:bookmarkStart w:id="182" w:name="_Toc1683"/>
      <w:bookmarkStart w:id="183" w:name="_Toc11007"/>
      <w:bookmarkStart w:id="184" w:name="_Toc28656"/>
      <w:bookmarkStart w:id="185" w:name="_Toc29848"/>
      <w:bookmarkStart w:id="186" w:name="_Toc19578"/>
      <w:bookmarkStart w:id="187" w:name="_Toc31594"/>
      <w:bookmarkStart w:id="188" w:name="_Toc17041"/>
      <w:r>
        <w:rPr>
          <w:rFonts w:hint="eastAsia"/>
        </w:rPr>
        <w:t>供应商有上述情形的，按照规定追究法律责任，具备1～10条情形之一的，同时将取消成交资格或者认定成交无效。</w:t>
      </w:r>
    </w:p>
    <w:p>
      <w:pPr>
        <w:pStyle w:val="46"/>
        <w:ind w:firstLine="482"/>
      </w:pPr>
      <w:bookmarkStart w:id="189" w:name="_Toc4900"/>
      <w:bookmarkStart w:id="190" w:name="_Toc4170"/>
      <w:bookmarkStart w:id="191" w:name="_Toc29926"/>
      <w:r>
        <w:rPr>
          <w:rFonts w:hint="eastAsia"/>
        </w:rPr>
        <w:t>磋商现场纪律要求</w:t>
      </w:r>
      <w:bookmarkEnd w:id="189"/>
      <w:bookmarkEnd w:id="190"/>
      <w:bookmarkEnd w:id="191"/>
    </w:p>
    <w:p>
      <w:pPr>
        <w:pStyle w:val="43"/>
      </w:pPr>
      <w:r>
        <w:rPr>
          <w:rFonts w:hint="eastAsia"/>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81"/>
    <w:bookmarkEnd w:id="182"/>
    <w:bookmarkEnd w:id="183"/>
    <w:bookmarkEnd w:id="184"/>
    <w:bookmarkEnd w:id="185"/>
    <w:bookmarkEnd w:id="186"/>
    <w:bookmarkEnd w:id="187"/>
    <w:p>
      <w:pPr>
        <w:pStyle w:val="32"/>
        <w:spacing w:before="120" w:beforeLines="50" w:after="120" w:afterLines="50"/>
        <w:ind w:firstLine="0" w:firstLineChars="0"/>
        <w:jc w:val="center"/>
        <w:rPr>
          <w:sz w:val="36"/>
          <w:szCs w:val="36"/>
        </w:rPr>
      </w:pPr>
      <w:bookmarkStart w:id="192" w:name="_Toc9902"/>
      <w:bookmarkStart w:id="193" w:name="_Toc19072"/>
      <w:bookmarkStart w:id="194" w:name="_Toc18633"/>
      <w:r>
        <w:rPr>
          <w:rFonts w:hint="eastAsia"/>
          <w:sz w:val="36"/>
          <w:szCs w:val="36"/>
        </w:rPr>
        <w:t>其他</w:t>
      </w:r>
      <w:bookmarkEnd w:id="192"/>
      <w:bookmarkEnd w:id="193"/>
      <w:bookmarkEnd w:id="194"/>
    </w:p>
    <w:p>
      <w:pPr>
        <w:pStyle w:val="46"/>
        <w:ind w:firstLine="482"/>
      </w:pPr>
      <w:bookmarkStart w:id="195" w:name="_Toc29554"/>
      <w:bookmarkStart w:id="196" w:name="_Toc16248"/>
      <w:bookmarkStart w:id="197" w:name="_Toc24369"/>
      <w:r>
        <w:rPr>
          <w:rFonts w:hint="eastAsia"/>
        </w:rPr>
        <w:t>询问、质疑和投诉</w:t>
      </w:r>
      <w:bookmarkEnd w:id="195"/>
      <w:bookmarkEnd w:id="196"/>
      <w:bookmarkEnd w:id="197"/>
    </w:p>
    <w:p>
      <w:pPr>
        <w:pStyle w:val="30"/>
        <w:numPr>
          <w:ilvl w:val="1"/>
          <w:numId w:val="0"/>
        </w:numPr>
        <w:ind w:left="480" w:leftChars="200"/>
      </w:pPr>
      <w:r>
        <w:rPr>
          <w:rFonts w:hint="eastAsia"/>
        </w:rPr>
        <w:t>具体详见磋商须知前附表</w:t>
      </w:r>
      <w:bookmarkEnd w:id="188"/>
      <w:r>
        <w:rPr>
          <w:rFonts w:hint="eastAsia"/>
        </w:rPr>
        <w:t>。</w:t>
      </w:r>
    </w:p>
    <w:p>
      <w:pPr>
        <w:pStyle w:val="46"/>
        <w:ind w:firstLine="482"/>
      </w:pPr>
      <w:bookmarkStart w:id="198" w:name="_Toc2824"/>
      <w:bookmarkStart w:id="199" w:name="_Toc14593"/>
      <w:bookmarkStart w:id="200" w:name="_Toc26947"/>
      <w:bookmarkStart w:id="201" w:name="_Toc16406"/>
      <w:bookmarkStart w:id="202" w:name="_Toc2794"/>
      <w:bookmarkStart w:id="203" w:name="_Toc31084"/>
      <w:bookmarkStart w:id="204" w:name="_Toc18625"/>
      <w:bookmarkStart w:id="205" w:name="_Toc1748"/>
      <w:bookmarkStart w:id="206" w:name="_Toc24020"/>
      <w:r>
        <w:rPr>
          <w:rFonts w:hint="eastAsia"/>
        </w:rPr>
        <w:t>关于行贿犯罪档案查询工作的规定</w:t>
      </w:r>
      <w:bookmarkEnd w:id="198"/>
      <w:bookmarkEnd w:id="199"/>
      <w:bookmarkEnd w:id="200"/>
      <w:bookmarkEnd w:id="201"/>
      <w:bookmarkEnd w:id="202"/>
      <w:bookmarkEnd w:id="203"/>
      <w:bookmarkEnd w:id="204"/>
      <w:bookmarkEnd w:id="205"/>
      <w:bookmarkEnd w:id="206"/>
    </w:p>
    <w:p>
      <w:pPr>
        <w:pStyle w:val="43"/>
      </w:pPr>
      <w:bookmarkStart w:id="207" w:name="_Toc14412"/>
      <w:bookmarkStart w:id="208" w:name="_Toc29751"/>
      <w:bookmarkStart w:id="209" w:name="_Toc4110"/>
      <w:r>
        <w:rPr>
          <w:rFonts w:hint="eastAsia"/>
        </w:rPr>
        <w:t>因国家检察机关职务犯罪侦查部门转隶工作已经完成，供应商参与采购活动时须按照磋商文件要求提供承诺函或由采购代理机构通过“中国裁判文书网”查询，并将查询记录存档。</w:t>
      </w:r>
      <w:bookmarkEnd w:id="207"/>
      <w:bookmarkEnd w:id="208"/>
    </w:p>
    <w:p>
      <w:pPr>
        <w:pStyle w:val="46"/>
        <w:ind w:firstLine="482"/>
      </w:pPr>
      <w:bookmarkStart w:id="210" w:name="_Toc403"/>
      <w:bookmarkStart w:id="211" w:name="_Toc1623"/>
      <w:bookmarkStart w:id="212" w:name="_Toc24800"/>
      <w:r>
        <w:rPr>
          <w:rFonts w:hint="eastAsia"/>
        </w:rPr>
        <w:t>供应商信用信息查询</w:t>
      </w:r>
      <w:bookmarkEnd w:id="209"/>
      <w:bookmarkEnd w:id="210"/>
      <w:bookmarkEnd w:id="211"/>
      <w:bookmarkEnd w:id="212"/>
    </w:p>
    <w:p>
      <w:pPr>
        <w:pStyle w:val="30"/>
        <w:numPr>
          <w:ilvl w:val="1"/>
          <w:numId w:val="0"/>
        </w:numPr>
        <w:ind w:firstLine="480" w:firstLineChars="200"/>
      </w:pPr>
      <w:r>
        <w:rPr>
          <w:rFonts w:hint="eastAsia"/>
        </w:rPr>
        <w:t>1.供应商信用信息查询渠道</w:t>
      </w:r>
    </w:p>
    <w:p>
      <w:pPr>
        <w:pStyle w:val="43"/>
      </w:pPr>
      <w:r>
        <w:rPr>
          <w:rFonts w:hint="eastAsia"/>
        </w:rPr>
        <w:t>“信用中国”网站(www.creditchina.gov.cn)、“中国政府采购网”(www.ccgp.gov.cn)等。</w:t>
      </w:r>
    </w:p>
    <w:p>
      <w:pPr>
        <w:pStyle w:val="30"/>
        <w:numPr>
          <w:ilvl w:val="1"/>
          <w:numId w:val="0"/>
        </w:numPr>
        <w:ind w:firstLine="480" w:firstLineChars="200"/>
      </w:pPr>
      <w:r>
        <w:rPr>
          <w:rFonts w:hint="eastAsia"/>
        </w:rPr>
        <w:t>2.供应商信用信息查询截止时点</w:t>
      </w:r>
    </w:p>
    <w:p>
      <w:pPr>
        <w:pStyle w:val="43"/>
      </w:pPr>
      <w:r>
        <w:rPr>
          <w:rFonts w:hint="eastAsia"/>
        </w:rPr>
        <w:t>信用信息查询在资格审查阶段进行。</w:t>
      </w:r>
    </w:p>
    <w:p>
      <w:pPr>
        <w:pStyle w:val="30"/>
        <w:numPr>
          <w:ilvl w:val="1"/>
          <w:numId w:val="0"/>
        </w:numPr>
        <w:ind w:firstLine="480" w:firstLineChars="200"/>
      </w:pPr>
      <w:r>
        <w:rPr>
          <w:rFonts w:hint="eastAsia"/>
        </w:rPr>
        <w:t>3.供应商信用信息查询记录和证据留存的具体方式</w:t>
      </w:r>
    </w:p>
    <w:p>
      <w:pPr>
        <w:pStyle w:val="43"/>
      </w:pPr>
      <w:r>
        <w:rPr>
          <w:rFonts w:hint="eastAsia"/>
        </w:rPr>
        <w:t>采购代理机构通过“信用中国”网站、“中国政府采购网”等渠道对供应商进行信用记录查询，并将查询记录存档。</w:t>
      </w:r>
    </w:p>
    <w:p>
      <w:pPr>
        <w:pStyle w:val="30"/>
        <w:numPr>
          <w:ilvl w:val="1"/>
          <w:numId w:val="0"/>
        </w:numPr>
        <w:ind w:firstLine="480" w:firstLineChars="200"/>
      </w:pPr>
      <w:r>
        <w:rPr>
          <w:rFonts w:hint="eastAsia"/>
        </w:rPr>
        <w:t>4.供应商信用信息的使用：凡被列入失信被执行人、重大税收违法案件当事人名单、政府采购严重违法失信行为记录名单的，视为存在不良信用记录，参与本项目的将被拒绝。</w:t>
      </w:r>
    </w:p>
    <w:p>
      <w:pPr>
        <w:pStyle w:val="46"/>
        <w:ind w:firstLine="482"/>
      </w:pPr>
      <w:bookmarkStart w:id="213" w:name="_Toc14449"/>
      <w:bookmarkStart w:id="214" w:name="_Toc315"/>
      <w:r>
        <w:rPr>
          <w:rFonts w:hint="eastAsia"/>
        </w:rPr>
        <w:t>解释说明</w:t>
      </w:r>
      <w:bookmarkEnd w:id="213"/>
      <w:bookmarkEnd w:id="214"/>
    </w:p>
    <w:p>
      <w:pPr>
        <w:pStyle w:val="30"/>
        <w:numPr>
          <w:ilvl w:val="1"/>
          <w:numId w:val="0"/>
        </w:numPr>
        <w:ind w:firstLine="480" w:firstLineChars="200"/>
      </w:pPr>
      <w:r>
        <w:rPr>
          <w:rFonts w:hint="eastAsia"/>
        </w:rPr>
        <w:t>1.本磋商文件中作为实质性要求的内容，除明确要求需在响应文件中提供承诺函等证明材料的外，评审委员会在评审时，仅对响应文件是否违背实质性要求进行审查。</w:t>
      </w:r>
    </w:p>
    <w:p>
      <w:pPr>
        <w:pStyle w:val="30"/>
        <w:numPr>
          <w:ilvl w:val="1"/>
          <w:numId w:val="0"/>
        </w:numPr>
        <w:ind w:firstLine="480" w:firstLineChars="200"/>
      </w:pPr>
      <w:r>
        <w:rPr>
          <w:rFonts w:hint="eastAsia"/>
        </w:rPr>
        <w:t>2.本磋商文件中所引用的相关法律制度规定，在政府采购中有变化的，按照变化后的相关法律制度规定执行。在本项目响应文件递交截止时间届满后，因相关法律制度规定的变化导致不符合相关法律制度规定的，按照变化后的相关法律制度规定执行，本磋商文件不再做调整。</w:t>
      </w:r>
    </w:p>
    <w:p>
      <w:pPr>
        <w:pStyle w:val="30"/>
        <w:numPr>
          <w:ilvl w:val="1"/>
          <w:numId w:val="0"/>
        </w:numPr>
        <w:ind w:firstLine="480" w:firstLineChars="200"/>
      </w:pPr>
      <w:r>
        <w:rPr>
          <w:rFonts w:hint="eastAsia"/>
        </w:rPr>
        <w:t>3.国家或行业主管部门对供应商和采购产品的技术标准、质量标准和资格资质条件等有强制性规定的，必须符合其要求</w:t>
      </w:r>
      <w:r>
        <w:rPr>
          <w:rFonts w:hint="eastAsia"/>
          <w:b/>
          <w:bCs/>
        </w:rPr>
        <w:t>(实质性要求)</w:t>
      </w:r>
      <w:r>
        <w:rPr>
          <w:rFonts w:hint="eastAsia"/>
        </w:rPr>
        <w:t>。</w:t>
      </w:r>
    </w:p>
    <w:p>
      <w:pPr>
        <w:pStyle w:val="30"/>
        <w:numPr>
          <w:ilvl w:val="1"/>
          <w:numId w:val="0"/>
        </w:numPr>
        <w:ind w:firstLine="480" w:firstLineChars="200"/>
      </w:pPr>
      <w:r>
        <w:rPr>
          <w:rFonts w:hint="eastAsia"/>
        </w:rPr>
        <w:t>4.</w:t>
      </w:r>
      <w:r>
        <w:rPr>
          <w:rFonts w:hint="eastAsia" w:cs="宋体"/>
        </w:rPr>
        <w:t>本项目涉及企业资质、产品认证、人员执业资格等描述与国家最新要求不一致时以最新要求为准。</w:t>
      </w:r>
    </w:p>
    <w:p>
      <w:pPr>
        <w:pStyle w:val="40"/>
      </w:pPr>
    </w:p>
    <w:p>
      <w:pPr>
        <w:pStyle w:val="40"/>
      </w:pP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Pr>
        <w:pStyle w:val="45"/>
        <w:spacing w:before="120" w:after="120"/>
      </w:pPr>
      <w:bookmarkStart w:id="215" w:name="_Toc5589"/>
      <w:r>
        <w:rPr>
          <w:rFonts w:hint="eastAsia"/>
        </w:rPr>
        <w:br w:type="page"/>
      </w:r>
      <w:bookmarkEnd w:id="215"/>
      <w:bookmarkStart w:id="216" w:name="_Toc29575"/>
      <w:bookmarkStart w:id="217" w:name="_Toc4206"/>
      <w:bookmarkStart w:id="218" w:name="_Toc15360"/>
      <w:bookmarkStart w:id="219" w:name="_Toc25961"/>
      <w:bookmarkStart w:id="220" w:name="_Toc31402"/>
      <w:bookmarkStart w:id="221" w:name="_Toc18138"/>
      <w:r>
        <w:rPr>
          <w:rFonts w:hint="eastAsia"/>
        </w:rPr>
        <w:t>响应文件格式</w:t>
      </w:r>
      <w:bookmarkEnd w:id="216"/>
      <w:bookmarkEnd w:id="217"/>
      <w:bookmarkEnd w:id="218"/>
      <w:bookmarkEnd w:id="219"/>
      <w:bookmarkEnd w:id="220"/>
      <w:bookmarkEnd w:id="221"/>
    </w:p>
    <w:p>
      <w:pPr>
        <w:pStyle w:val="43"/>
      </w:pPr>
      <w:bookmarkStart w:id="222" w:name="_Toc16460"/>
      <w:bookmarkStart w:id="223" w:name="_Toc287367101"/>
      <w:bookmarkStart w:id="224" w:name="_Toc182629023"/>
      <w:bookmarkStart w:id="225" w:name="_Toc316462354"/>
      <w:bookmarkStart w:id="226" w:name="_Toc211218954"/>
      <w:bookmarkStart w:id="227" w:name="_Toc294701519"/>
      <w:bookmarkStart w:id="228" w:name="_Toc295978802"/>
      <w:bookmarkStart w:id="229" w:name="_Toc294688711"/>
      <w:bookmarkStart w:id="230" w:name="_Toc182759327"/>
      <w:bookmarkStart w:id="231" w:name="_Toc439161746"/>
      <w:r>
        <w:rPr>
          <w:rFonts w:hint="eastAsia"/>
        </w:rPr>
        <w:t>一、本章所制响应文件格式，除格式中明确将该格式作为实质性要求的，一律不具有强制性，供应商不涉及的格式可以不提供。</w:t>
      </w:r>
    </w:p>
    <w:p>
      <w:pPr>
        <w:pStyle w:val="43"/>
      </w:pPr>
      <w:r>
        <w:rPr>
          <w:rFonts w:hint="eastAsia"/>
        </w:rPr>
        <w:t>二、本章所制响应文件格式有关表格中的备注栏，由供应商根据自身响应情况作解释性说明，不作为必填项。</w:t>
      </w:r>
    </w:p>
    <w:p>
      <w:pPr>
        <w:pStyle w:val="43"/>
      </w:pPr>
      <w:r>
        <w:rPr>
          <w:rFonts w:hint="eastAsia"/>
        </w:rPr>
        <w:t>三、本章格式中“注”的内容，供应商可自行决定是否保留在响应文件中，未保留的视为供应商默认接受“注”的内容。</w:t>
      </w:r>
    </w:p>
    <w:p>
      <w:pPr>
        <w:pStyle w:val="43"/>
      </w:pPr>
      <w:r>
        <w:rPr>
          <w:rFonts w:hint="eastAsia"/>
        </w:rPr>
        <w:t>四、本章所制响应文件格式中需要填写的相关内容事项，可能会与本采购项目无关，在不改变响应文件原义、不影响本项目采购需求的情况下，供应商可以不予填写，但应当注明。</w:t>
      </w:r>
    </w:p>
    <w:p>
      <w:pPr>
        <w:pStyle w:val="40"/>
      </w:pPr>
      <w:r>
        <w:rPr>
          <w:rFonts w:hint="eastAsia"/>
        </w:rPr>
        <w:br w:type="page"/>
      </w:r>
    </w:p>
    <w:p>
      <w:pPr>
        <w:pStyle w:val="31"/>
      </w:pPr>
      <w:r>
        <w:rPr>
          <w:rFonts w:hint="eastAsia"/>
        </w:rPr>
        <w:t>附件：密封袋的格式</w:t>
      </w:r>
    </w:p>
    <w:p>
      <w:pPr>
        <w:pStyle w:val="31"/>
      </w:pPr>
    </w:p>
    <w:p>
      <w:pPr>
        <w:pStyle w:val="31"/>
      </w:pPr>
    </w:p>
    <w:p>
      <w:pPr>
        <w:pStyle w:val="31"/>
      </w:pPr>
    </w:p>
    <w:tbl>
      <w:tblPr>
        <w:tblStyle w:val="20"/>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31"/>
            </w:pP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项目编号：</w:t>
            </w:r>
            <w:r>
              <w:rPr>
                <w:rFonts w:hint="eastAsia" w:asciiTheme="minorEastAsia" w:hAnsiTheme="minorEastAsia" w:eastAsiaTheme="minorEastAsia" w:cstheme="minorEastAsia"/>
                <w:color w:val="000000"/>
                <w:u w:val="single"/>
              </w:rPr>
              <w:t xml:space="preserve">                   </w:t>
            </w: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项目名称：</w:t>
            </w:r>
            <w:r>
              <w:rPr>
                <w:rFonts w:hint="eastAsia" w:asciiTheme="minorEastAsia" w:hAnsiTheme="minorEastAsia" w:eastAsiaTheme="minorEastAsia" w:cstheme="minorEastAsia"/>
                <w:color w:val="000000"/>
                <w:u w:val="single"/>
              </w:rPr>
              <w:t xml:space="preserve">                   </w:t>
            </w:r>
          </w:p>
          <w:p>
            <w:pPr>
              <w:tabs>
                <w:tab w:val="left" w:pos="7665"/>
                <w:tab w:val="clear" w:pos="0"/>
              </w:tabs>
              <w:spacing w:line="400" w:lineRule="exact"/>
              <w:jc w:val="center"/>
              <w:rPr>
                <w:rFonts w:asciiTheme="minorEastAsia" w:hAnsiTheme="minorEastAsia" w:eastAsiaTheme="minorEastAsia" w:cstheme="minorEastAsia"/>
                <w:b/>
                <w:color w:val="000000"/>
                <w:sz w:val="32"/>
                <w:szCs w:val="32"/>
              </w:rPr>
            </w:pPr>
          </w:p>
          <w:p>
            <w:pPr>
              <w:pStyle w:val="31"/>
              <w:jc w:val="center"/>
              <w:rPr>
                <w:b/>
                <w:bCs/>
                <w:sz w:val="32"/>
                <w:szCs w:val="32"/>
              </w:rPr>
            </w:pPr>
            <w:r>
              <w:rPr>
                <w:rFonts w:hint="eastAsia"/>
                <w:b/>
                <w:bCs/>
                <w:sz w:val="32"/>
                <w:szCs w:val="32"/>
              </w:rPr>
              <w:t>资格、资质性及其他类似效力响应文件</w:t>
            </w:r>
          </w:p>
          <w:p>
            <w:pPr>
              <w:pStyle w:val="31"/>
              <w:jc w:val="center"/>
              <w:rPr>
                <w:b/>
                <w:bCs/>
                <w:sz w:val="32"/>
                <w:szCs w:val="32"/>
              </w:rPr>
            </w:pPr>
            <w:r>
              <w:rPr>
                <w:rFonts w:hint="eastAsia"/>
                <w:b/>
                <w:bCs/>
                <w:sz w:val="32"/>
                <w:szCs w:val="32"/>
              </w:rPr>
              <w:t>/其他响应文件/电子文档</w:t>
            </w:r>
          </w:p>
          <w:p>
            <w:pPr>
              <w:tabs>
                <w:tab w:val="left" w:pos="7665"/>
                <w:tab w:val="clear" w:pos="0"/>
              </w:tabs>
              <w:spacing w:line="400" w:lineRule="exact"/>
              <w:ind w:firstLine="2280" w:firstLineChars="950"/>
              <w:rPr>
                <w:rFonts w:asciiTheme="minorEastAsia" w:hAnsiTheme="minorEastAsia" w:eastAsiaTheme="minorEastAsia" w:cstheme="minorEastAsia"/>
                <w:color w:val="000000"/>
              </w:rPr>
            </w:pPr>
          </w:p>
          <w:p>
            <w:pPr>
              <w:tabs>
                <w:tab w:val="left" w:pos="7665"/>
                <w:tab w:val="clear" w:pos="0"/>
              </w:tabs>
              <w:spacing w:line="400" w:lineRule="exact"/>
              <w:ind w:firstLine="2280" w:firstLineChars="950"/>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供应商名称：</w:t>
            </w:r>
            <w:r>
              <w:rPr>
                <w:rFonts w:hint="eastAsia" w:asciiTheme="minorEastAsia" w:hAnsiTheme="minorEastAsia" w:eastAsiaTheme="minorEastAsia" w:cstheme="minorEastAsia"/>
                <w:color w:val="000000"/>
                <w:u w:val="single"/>
              </w:rPr>
              <w:t xml:space="preserve">                 </w:t>
            </w:r>
          </w:p>
          <w:p>
            <w:pPr>
              <w:pStyle w:val="31"/>
              <w:ind w:firstLine="2280" w:firstLineChars="950"/>
            </w:pPr>
            <w:r>
              <w:rPr>
                <w:rFonts w:hint="eastAsia" w:asciiTheme="minorEastAsia" w:hAnsiTheme="minorEastAsia" w:eastAsiaTheme="minorEastAsia" w:cstheme="minorEastAsia"/>
                <w:color w:val="000000"/>
              </w:rPr>
              <w:t>磋商时间：</w:t>
            </w:r>
            <w:r>
              <w:rPr>
                <w:rFonts w:hint="eastAsia" w:asciiTheme="minorEastAsia" w:hAnsiTheme="minorEastAsia" w:eastAsiaTheme="minorEastAsia" w:cstheme="minorEastAsia"/>
                <w:color w:val="000000"/>
                <w:u w:val="single"/>
              </w:rPr>
              <w:t xml:space="preserve">                   </w:t>
            </w:r>
            <w:r>
              <w:rPr>
                <w:rFonts w:hint="eastAsia"/>
              </w:rPr>
              <w:t xml:space="preserve">                   </w:t>
            </w:r>
          </w:p>
          <w:p>
            <w:pPr>
              <w:pStyle w:val="31"/>
            </w:pPr>
          </w:p>
        </w:tc>
      </w:tr>
    </w:tbl>
    <w:p>
      <w:pPr>
        <w:pStyle w:val="31"/>
      </w:pPr>
      <w:bookmarkStart w:id="232" w:name="_Toc11581"/>
      <w:bookmarkStart w:id="233" w:name="_Toc6994"/>
      <w:r>
        <w:rPr>
          <w:rFonts w:hint="eastAsia"/>
        </w:rPr>
        <w:br w:type="page"/>
      </w:r>
    </w:p>
    <w:p>
      <w:pPr>
        <w:pStyle w:val="31"/>
      </w:pPr>
      <w:r>
        <w:rPr>
          <w:rFonts w:hint="eastAsia"/>
        </w:rPr>
        <w:t>响应文件封面格式</w:t>
      </w:r>
      <w:bookmarkEnd w:id="222"/>
      <w:bookmarkEnd w:id="223"/>
      <w:bookmarkEnd w:id="224"/>
      <w:bookmarkEnd w:id="225"/>
      <w:bookmarkEnd w:id="226"/>
      <w:bookmarkEnd w:id="227"/>
      <w:bookmarkEnd w:id="228"/>
      <w:bookmarkEnd w:id="229"/>
      <w:bookmarkEnd w:id="230"/>
      <w:bookmarkEnd w:id="231"/>
      <w:bookmarkEnd w:id="232"/>
      <w:bookmarkEnd w:id="233"/>
    </w:p>
    <w:p>
      <w:pPr>
        <w:pStyle w:val="31"/>
      </w:pPr>
      <w:r>
        <w:rPr>
          <w:rFonts w:hint="eastAsia"/>
        </w:rPr>
        <mc:AlternateContent>
          <mc:Choice Requires="wps">
            <w:drawing>
              <wp:anchor distT="0" distB="0" distL="114300" distR="114300" simplePos="0" relativeHeight="251659264"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59264;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31"/>
      </w:pPr>
    </w:p>
    <w:p>
      <w:pPr>
        <w:pStyle w:val="31"/>
      </w:pPr>
    </w:p>
    <w:p>
      <w:pPr>
        <w:pStyle w:val="31"/>
      </w:pPr>
    </w:p>
    <w:p>
      <w:pPr>
        <w:pStyle w:val="31"/>
        <w:spacing w:line="360" w:lineRule="auto"/>
        <w:jc w:val="center"/>
        <w:rPr>
          <w:b/>
          <w:bCs/>
          <w:sz w:val="48"/>
          <w:szCs w:val="48"/>
        </w:rPr>
      </w:pPr>
    </w:p>
    <w:p>
      <w:pPr>
        <w:pStyle w:val="31"/>
        <w:spacing w:line="360" w:lineRule="auto"/>
        <w:jc w:val="center"/>
        <w:rPr>
          <w:b/>
          <w:bCs/>
          <w:sz w:val="48"/>
          <w:szCs w:val="48"/>
        </w:rPr>
      </w:pPr>
      <w:r>
        <w:rPr>
          <w:rFonts w:hint="eastAsia"/>
          <w:b/>
          <w:bCs/>
          <w:sz w:val="48"/>
          <w:szCs w:val="48"/>
        </w:rPr>
        <w:t>资格、资质性及其他类似效力响应文件</w:t>
      </w:r>
    </w:p>
    <w:p>
      <w:pPr>
        <w:pStyle w:val="31"/>
        <w:spacing w:line="360" w:lineRule="auto"/>
        <w:jc w:val="center"/>
        <w:rPr>
          <w:b/>
          <w:bCs/>
          <w:sz w:val="48"/>
          <w:szCs w:val="48"/>
        </w:rPr>
      </w:pPr>
      <w:r>
        <w:rPr>
          <w:rFonts w:hint="eastAsia"/>
          <w:b/>
          <w:bCs/>
          <w:sz w:val="48"/>
          <w:szCs w:val="48"/>
        </w:rPr>
        <w:t>/其他响应文件/电子文档</w:t>
      </w:r>
    </w:p>
    <w:p>
      <w:pPr>
        <w:pStyle w:val="31"/>
      </w:pPr>
    </w:p>
    <w:p>
      <w:pPr>
        <w:pStyle w:val="31"/>
        <w:spacing w:line="480" w:lineRule="auto"/>
        <w:ind w:left="2400" w:leftChars="1000"/>
        <w:rPr>
          <w:b/>
          <w:bCs/>
          <w:sz w:val="32"/>
          <w:szCs w:val="32"/>
        </w:rPr>
      </w:pPr>
    </w:p>
    <w:p>
      <w:pPr>
        <w:pStyle w:val="31"/>
        <w:spacing w:line="480" w:lineRule="auto"/>
        <w:ind w:left="2400" w:leftChars="1000"/>
        <w:rPr>
          <w:b/>
          <w:bCs/>
          <w:sz w:val="32"/>
          <w:szCs w:val="32"/>
        </w:rPr>
      </w:pPr>
    </w:p>
    <w:p>
      <w:pPr>
        <w:pStyle w:val="31"/>
        <w:spacing w:line="480" w:lineRule="auto"/>
        <w:ind w:left="2400" w:leftChars="1000"/>
        <w:rPr>
          <w:b/>
          <w:bCs/>
          <w:sz w:val="32"/>
          <w:szCs w:val="32"/>
        </w:rPr>
      </w:pPr>
    </w:p>
    <w:p>
      <w:pPr>
        <w:pStyle w:val="31"/>
        <w:spacing w:line="480" w:lineRule="auto"/>
        <w:ind w:left="2400" w:leftChars="1000"/>
        <w:rPr>
          <w:b/>
          <w:bCs/>
          <w:sz w:val="32"/>
          <w:szCs w:val="32"/>
        </w:rPr>
      </w:pPr>
    </w:p>
    <w:p>
      <w:pPr>
        <w:pStyle w:val="31"/>
        <w:spacing w:line="480" w:lineRule="auto"/>
        <w:ind w:left="2400" w:leftChars="1000"/>
        <w:rPr>
          <w:b/>
          <w:bCs/>
          <w:sz w:val="32"/>
          <w:szCs w:val="32"/>
        </w:rPr>
      </w:pPr>
      <w:r>
        <w:rPr>
          <w:rFonts w:hint="eastAsia"/>
          <w:b/>
          <w:bCs/>
          <w:sz w:val="32"/>
          <w:szCs w:val="32"/>
        </w:rPr>
        <w:t>项目名称：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1"/>
        <w:spacing w:line="480" w:lineRule="auto"/>
        <w:ind w:left="2400" w:leftChars="1000"/>
        <w:rPr>
          <w:b/>
          <w:bCs/>
          <w:sz w:val="32"/>
          <w:szCs w:val="32"/>
        </w:rPr>
      </w:pPr>
      <w:r>
        <w:rPr>
          <w:rFonts w:hint="eastAsia"/>
          <w:b/>
          <w:bCs/>
          <w:sz w:val="32"/>
          <w:szCs w:val="32"/>
        </w:rPr>
        <w:t>项目编号：</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1"/>
        <w:spacing w:line="480" w:lineRule="auto"/>
        <w:ind w:left="2400" w:leftChars="1000"/>
        <w:rPr>
          <w:b/>
          <w:bCs/>
          <w:sz w:val="32"/>
          <w:szCs w:val="32"/>
        </w:rPr>
      </w:pPr>
      <w:r>
        <w:rPr>
          <w:rFonts w:hint="eastAsia"/>
          <w:b/>
          <w:bCs/>
          <w:sz w:val="32"/>
          <w:szCs w:val="32"/>
        </w:rPr>
        <w:t>供应商名称：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1"/>
        <w:spacing w:line="480" w:lineRule="auto"/>
        <w:ind w:left="2400" w:leftChars="1000"/>
        <w:rPr>
          <w:b/>
          <w:bCs/>
          <w:sz w:val="32"/>
          <w:szCs w:val="32"/>
        </w:rPr>
      </w:pPr>
      <w:r>
        <w:rPr>
          <w:rFonts w:hint="eastAsia"/>
          <w:b/>
          <w:bCs/>
          <w:sz w:val="32"/>
          <w:szCs w:val="32"/>
        </w:rPr>
        <w:t>磋商日期：</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40"/>
      </w:pPr>
      <w:bookmarkStart w:id="234" w:name="_Toc5565"/>
      <w:bookmarkStart w:id="235" w:name="_Toc31011"/>
      <w:bookmarkStart w:id="236" w:name="_Toc5306"/>
      <w:bookmarkStart w:id="237" w:name="_Toc11556"/>
      <w:r>
        <w:rPr>
          <w:rFonts w:hint="eastAsia"/>
        </w:rPr>
        <w:br w:type="page"/>
      </w:r>
    </w:p>
    <w:bookmarkEnd w:id="234"/>
    <w:bookmarkEnd w:id="235"/>
    <w:bookmarkEnd w:id="236"/>
    <w:bookmarkEnd w:id="237"/>
    <w:p>
      <w:pPr>
        <w:pStyle w:val="40"/>
      </w:pPr>
      <w:bookmarkStart w:id="238" w:name="_Toc15611"/>
    </w:p>
    <w:p>
      <w:pPr>
        <w:pStyle w:val="40"/>
      </w:pPr>
    </w:p>
    <w:p>
      <w:pPr>
        <w:pStyle w:val="40"/>
      </w:pPr>
    </w:p>
    <w:p>
      <w:pPr>
        <w:pStyle w:val="40"/>
      </w:pPr>
    </w:p>
    <w:p>
      <w:pPr>
        <w:pStyle w:val="40"/>
      </w:pPr>
    </w:p>
    <w:p>
      <w:pPr>
        <w:pStyle w:val="40"/>
      </w:pPr>
    </w:p>
    <w:p>
      <w:pPr>
        <w:pStyle w:val="40"/>
      </w:pPr>
    </w:p>
    <w:p>
      <w:pPr>
        <w:pStyle w:val="40"/>
      </w:pPr>
      <w:bookmarkStart w:id="239" w:name="_Toc24630"/>
    </w:p>
    <w:p>
      <w:pPr>
        <w:pStyle w:val="40"/>
      </w:pPr>
    </w:p>
    <w:p>
      <w:pPr>
        <w:pStyle w:val="40"/>
      </w:pPr>
    </w:p>
    <w:p>
      <w:pPr>
        <w:pStyle w:val="40"/>
      </w:pPr>
    </w:p>
    <w:p>
      <w:pPr>
        <w:pStyle w:val="40"/>
      </w:pPr>
    </w:p>
    <w:p>
      <w:pPr>
        <w:pStyle w:val="32"/>
        <w:numPr>
          <w:ilvl w:val="1"/>
          <w:numId w:val="0"/>
        </w:numPr>
        <w:spacing w:before="480" w:beforeLines="200"/>
        <w:jc w:val="center"/>
        <w:rPr>
          <w:sz w:val="32"/>
          <w:szCs w:val="32"/>
        </w:rPr>
      </w:pPr>
      <w:bookmarkStart w:id="240" w:name="_Toc27440"/>
      <w:bookmarkStart w:id="241" w:name="_Toc7404"/>
      <w:r>
        <w:rPr>
          <w:rFonts w:hint="eastAsia"/>
          <w:sz w:val="32"/>
          <w:szCs w:val="32"/>
        </w:rPr>
        <w:t>第一部分 资格、资质性及其他类似效力响应文件(格式)</w:t>
      </w:r>
      <w:bookmarkEnd w:id="238"/>
      <w:bookmarkEnd w:id="239"/>
      <w:bookmarkEnd w:id="240"/>
      <w:bookmarkEnd w:id="241"/>
      <w:bookmarkStart w:id="242" w:name="_Toc23537"/>
      <w:bookmarkStart w:id="243" w:name="_Toc16168"/>
    </w:p>
    <w:p>
      <w:pPr>
        <w:pStyle w:val="40"/>
      </w:pPr>
      <w:r>
        <w:rPr>
          <w:rFonts w:hint="eastAsia"/>
        </w:rPr>
        <w:br w:type="page"/>
      </w:r>
      <w:bookmarkEnd w:id="242"/>
      <w:bookmarkEnd w:id="243"/>
      <w:bookmarkStart w:id="244" w:name="_Toc4996"/>
      <w:bookmarkStart w:id="245" w:name="_Toc26837"/>
    </w:p>
    <w:p>
      <w:pPr>
        <w:pStyle w:val="41"/>
        <w:numPr>
          <w:ilvl w:val="0"/>
          <w:numId w:val="16"/>
        </w:numPr>
        <w:spacing w:before="120" w:after="120"/>
        <w:ind w:firstLine="0"/>
      </w:pPr>
      <w:bookmarkStart w:id="246" w:name="_Toc22965"/>
      <w:bookmarkStart w:id="247" w:name="_Toc2006"/>
      <w:r>
        <w:rPr>
          <w:rFonts w:hint="eastAsia"/>
        </w:rPr>
        <w:t>法定代表人/单位负责人授权书</w:t>
      </w:r>
      <w:bookmarkEnd w:id="244"/>
      <w:bookmarkEnd w:id="245"/>
      <w:bookmarkEnd w:id="246"/>
      <w:bookmarkEnd w:id="247"/>
    </w:p>
    <w:p>
      <w:pPr>
        <w:pStyle w:val="40"/>
      </w:pPr>
      <w:r>
        <w:rPr>
          <w:rFonts w:hint="eastAsia" w:asciiTheme="minorEastAsia" w:hAnsiTheme="minorEastAsia" w:eastAsiaTheme="minorEastAsia" w:cstheme="minorEastAsia"/>
          <w:u w:val="single"/>
        </w:rPr>
        <w:t xml:space="preserve">                     </w:t>
      </w:r>
      <w:r>
        <w:rPr>
          <w:rFonts w:hint="eastAsia"/>
        </w:rPr>
        <w:t>(采购代理机构名称)：</w:t>
      </w:r>
    </w:p>
    <w:p>
      <w:pPr>
        <w:pStyle w:val="43"/>
      </w:pPr>
      <w:r>
        <w:rPr>
          <w:rFonts w:hint="eastAsia"/>
        </w:rPr>
        <w:t>本授权声明：</w:t>
      </w:r>
      <w:r>
        <w:rPr>
          <w:rFonts w:hint="eastAsia" w:asciiTheme="minorEastAsia" w:hAnsiTheme="minorEastAsia" w:eastAsiaTheme="minorEastAsia" w:cstheme="minorEastAsia"/>
          <w:u w:val="single"/>
        </w:rPr>
        <w:t xml:space="preserve">                     </w:t>
      </w:r>
      <w:r>
        <w:rPr>
          <w:rFonts w:hint="eastAsia"/>
        </w:rPr>
        <w:t>(供应商名称)</w:t>
      </w:r>
      <w:r>
        <w:rPr>
          <w:rFonts w:hint="eastAsia" w:asciiTheme="minorEastAsia" w:hAnsiTheme="minorEastAsia" w:eastAsiaTheme="minorEastAsia" w:cstheme="minorEastAsia"/>
          <w:u w:val="single"/>
        </w:rPr>
        <w:t xml:space="preserve">          </w:t>
      </w:r>
      <w:r>
        <w:rPr>
          <w:rFonts w:hint="eastAsia"/>
        </w:rPr>
        <w:t>(法定代表人/单位负责人姓名、职务)授权</w:t>
      </w:r>
      <w:r>
        <w:rPr>
          <w:rFonts w:hint="eastAsia" w:asciiTheme="minorEastAsia" w:hAnsiTheme="minorEastAsia" w:eastAsiaTheme="minorEastAsia" w:cstheme="minorEastAsia"/>
          <w:u w:val="single"/>
        </w:rPr>
        <w:t xml:space="preserve">                        </w:t>
      </w:r>
      <w:r>
        <w:rPr>
          <w:rFonts w:hint="eastAsia"/>
        </w:rPr>
        <w:t>(被授权人姓名、职务、身份证号码)为我方参加“</w:t>
      </w:r>
      <w:r>
        <w:rPr>
          <w:rFonts w:hint="eastAsia" w:asciiTheme="minorEastAsia" w:hAnsiTheme="minorEastAsia" w:eastAsiaTheme="minorEastAsia" w:cstheme="minorEastAsia"/>
          <w:u w:val="single"/>
        </w:rPr>
        <w:t xml:space="preserve">                     </w:t>
      </w:r>
      <w:r>
        <w:rPr>
          <w:rFonts w:hint="eastAsia"/>
        </w:rPr>
        <w:t>(项目名称)(项目编号：</w:t>
      </w:r>
      <w:r>
        <w:rPr>
          <w:rFonts w:hint="eastAsia" w:asciiTheme="minorEastAsia" w:hAnsiTheme="minorEastAsia" w:eastAsiaTheme="minorEastAsia" w:cstheme="minorEastAsia"/>
          <w:u w:val="single"/>
        </w:rPr>
        <w:t xml:space="preserve">           </w:t>
      </w:r>
      <w:r>
        <w:rPr>
          <w:rFonts w:hint="eastAsia"/>
        </w:rPr>
        <w:t>)”政府采购活动的合法代表，以我方名义全权处理参与该项目政府采购活动、合同签订以及合同履约中的一切事宜，我单位均予承认，所产生的法律后果均由我单位承担。</w:t>
      </w:r>
    </w:p>
    <w:p>
      <w:pPr>
        <w:pStyle w:val="43"/>
      </w:pPr>
      <w:r>
        <w:rPr>
          <w:rFonts w:hint="eastAsia"/>
        </w:rPr>
        <w:t>特此声明。</w:t>
      </w:r>
    </w:p>
    <w:p>
      <w:pPr>
        <w:pStyle w:val="40"/>
      </w:pPr>
    </w:p>
    <w:p>
      <w:pPr>
        <w:pStyle w:val="40"/>
      </w:pPr>
    </w:p>
    <w:p>
      <w:pPr>
        <w:pStyle w:val="40"/>
      </w:pPr>
    </w:p>
    <w:p>
      <w:pPr>
        <w:pStyle w:val="40"/>
      </w:pPr>
    </w:p>
    <w:p>
      <w:pPr>
        <w:pStyle w:val="40"/>
      </w:pPr>
    </w:p>
    <w:p>
      <w:pPr>
        <w:pStyle w:val="40"/>
      </w:pPr>
    </w:p>
    <w:p>
      <w:pPr>
        <w:pStyle w:val="40"/>
      </w:pPr>
    </w:p>
    <w:p>
      <w:pPr>
        <w:pStyle w:val="43"/>
      </w:pPr>
      <w:r>
        <w:rPr>
          <w:rFonts w:hint="eastAsia"/>
        </w:rPr>
        <w:t>法定代表人/单位负责人：</w:t>
      </w:r>
      <w:r>
        <w:rPr>
          <w:rFonts w:hint="eastAsia" w:asciiTheme="minorEastAsia" w:hAnsiTheme="minorEastAsia" w:eastAsiaTheme="minorEastAsia" w:cstheme="minorEastAsia"/>
          <w:u w:val="single"/>
        </w:rPr>
        <w:t xml:space="preserve">             </w:t>
      </w:r>
      <w:r>
        <w:rPr>
          <w:rFonts w:hint="eastAsia"/>
        </w:rPr>
        <w:t>(签字或盖章)</w:t>
      </w:r>
    </w:p>
    <w:p>
      <w:pPr>
        <w:pStyle w:val="43"/>
      </w:pPr>
      <w:r>
        <w:rPr>
          <w:rFonts w:hint="eastAsia"/>
        </w:rPr>
        <w:t>授权代表：</w:t>
      </w:r>
      <w:r>
        <w:rPr>
          <w:rFonts w:hint="eastAsia" w:asciiTheme="minorEastAsia" w:hAnsiTheme="minorEastAsia" w:eastAsiaTheme="minorEastAsia" w:cstheme="minorEastAsia"/>
          <w:u w:val="single"/>
        </w:rPr>
        <w:t xml:space="preserve">             </w:t>
      </w:r>
      <w:r>
        <w:rPr>
          <w:rFonts w:hint="eastAsia"/>
        </w:rPr>
        <w:t>(签字或盖章)</w:t>
      </w:r>
    </w:p>
    <w:p>
      <w:pPr>
        <w:pStyle w:val="43"/>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3"/>
      </w:pPr>
      <w:r>
        <w:rPr>
          <w:rFonts w:hint="eastAsia"/>
        </w:rPr>
        <w:t>磋商日期：</w:t>
      </w:r>
      <w:r>
        <w:rPr>
          <w:rFonts w:hint="eastAsia" w:asciiTheme="minorEastAsia" w:hAnsiTheme="minorEastAsia" w:eastAsiaTheme="minorEastAsia" w:cstheme="minorEastAsia"/>
          <w:u w:val="single"/>
        </w:rPr>
        <w:t xml:space="preserve">             </w:t>
      </w:r>
      <w:r>
        <w:rPr>
          <w:rFonts w:hint="eastAsia"/>
        </w:rPr>
        <w:t xml:space="preserve">     </w:t>
      </w:r>
    </w:p>
    <w:p>
      <w:pPr>
        <w:pStyle w:val="40"/>
      </w:pPr>
    </w:p>
    <w:p>
      <w:pPr>
        <w:pStyle w:val="44"/>
        <w:ind w:firstLine="482"/>
      </w:pPr>
      <w:r>
        <w:rPr>
          <w:rFonts w:hint="eastAsia"/>
        </w:rPr>
        <w:t>注：1.法定代表人/单位负责人不亲自参加磋商，而授权代表参加磋商的适用。</w:t>
      </w:r>
    </w:p>
    <w:p>
      <w:pPr>
        <w:pStyle w:val="44"/>
        <w:ind w:firstLine="482"/>
      </w:pPr>
      <w:r>
        <w:rPr>
          <w:rFonts w:hint="eastAsia"/>
        </w:rPr>
        <w:t>2.</w:t>
      </w:r>
      <w:r>
        <w:t>供应商为法人单位时提供“法定代表人授权书”，供应商为其他组织时提供“单位负责人授权书”，供应商为自然人时提供“自然人身份证明材料”。</w:t>
      </w:r>
    </w:p>
    <w:p>
      <w:pPr>
        <w:pStyle w:val="44"/>
        <w:ind w:firstLine="482"/>
      </w:pPr>
      <w:r>
        <w:rPr>
          <w:rFonts w:hint="eastAsia"/>
        </w:rPr>
        <w:t>3.</w:t>
      </w:r>
      <w:r>
        <w:t>应附法定代表人/单位负责人身份证明材料复印件和授权代表身份证明材料复印件。</w:t>
      </w:r>
    </w:p>
    <w:p>
      <w:pPr>
        <w:pStyle w:val="44"/>
        <w:ind w:firstLine="482"/>
      </w:pPr>
      <w:r>
        <w:rPr>
          <w:rFonts w:hint="eastAsia"/>
        </w:rPr>
        <w:t>4.</w:t>
      </w:r>
      <w:r>
        <w:t>身份证明材料包括居民身份证或户口本或军官证或护照等。</w:t>
      </w:r>
    </w:p>
    <w:p>
      <w:pPr>
        <w:pStyle w:val="44"/>
        <w:ind w:firstLine="482"/>
      </w:pPr>
      <w:r>
        <w:rPr>
          <w:rFonts w:hint="eastAsia"/>
        </w:rPr>
        <w:t>5.</w:t>
      </w:r>
      <w:r>
        <w:t>身份证明材料应同时提供其在有效期的材料，如居民身份证正、反面复印件</w:t>
      </w:r>
      <w:r>
        <w:rPr>
          <w:rFonts w:hint="eastAsia"/>
        </w:rPr>
        <w:t>。</w:t>
      </w:r>
    </w:p>
    <w:p>
      <w:pPr>
        <w:pStyle w:val="40"/>
      </w:pPr>
      <w:r>
        <w:rPr>
          <w:rFonts w:hint="eastAsia"/>
        </w:rPr>
        <w:br w:type="page"/>
      </w:r>
    </w:p>
    <w:p>
      <w:pPr>
        <w:pStyle w:val="41"/>
        <w:numPr>
          <w:ilvl w:val="0"/>
          <w:numId w:val="17"/>
        </w:numPr>
        <w:spacing w:before="120" w:after="120"/>
        <w:ind w:firstLine="0"/>
      </w:pPr>
      <w:bookmarkStart w:id="248" w:name="_Toc23770"/>
      <w:bookmarkStart w:id="249" w:name="_Toc9243"/>
      <w:bookmarkStart w:id="250" w:name="_Toc9688"/>
      <w:bookmarkStart w:id="251" w:name="_Toc5501"/>
      <w:bookmarkStart w:id="252" w:name="_Toc22140"/>
      <w:bookmarkStart w:id="253" w:name="_Toc6630"/>
      <w:r>
        <w:rPr>
          <w:rFonts w:hint="eastAsia"/>
        </w:rPr>
        <w:t>法定代表人/单位负责人证明书</w:t>
      </w:r>
      <w:bookmarkEnd w:id="248"/>
      <w:bookmarkEnd w:id="249"/>
      <w:bookmarkEnd w:id="250"/>
      <w:bookmarkEnd w:id="251"/>
      <w:bookmarkEnd w:id="252"/>
      <w:bookmarkEnd w:id="253"/>
    </w:p>
    <w:p>
      <w:pPr>
        <w:pStyle w:val="43"/>
      </w:pPr>
      <w:r>
        <w:rPr>
          <w:rFonts w:hint="eastAsia"/>
        </w:rPr>
        <w:t>单位名称：</w:t>
      </w:r>
      <w:r>
        <w:rPr>
          <w:rFonts w:hint="eastAsia" w:asciiTheme="minorEastAsia" w:hAnsiTheme="minorEastAsia" w:eastAsiaTheme="minorEastAsia" w:cstheme="minorEastAsia"/>
          <w:u w:val="single"/>
        </w:rPr>
        <w:t xml:space="preserve">                            </w:t>
      </w:r>
      <w:r>
        <w:rPr>
          <w:rFonts w:hint="eastAsia"/>
        </w:rPr>
        <w:t xml:space="preserve">                            </w:t>
      </w:r>
    </w:p>
    <w:p>
      <w:pPr>
        <w:pStyle w:val="43"/>
      </w:pPr>
      <w:r>
        <w:rPr>
          <w:rFonts w:hint="eastAsia"/>
        </w:rPr>
        <w:t>地    址：</w:t>
      </w:r>
      <w:r>
        <w:rPr>
          <w:rFonts w:hint="eastAsia" w:asciiTheme="minorEastAsia" w:hAnsiTheme="minorEastAsia" w:eastAsiaTheme="minorEastAsia" w:cstheme="minorEastAsia"/>
          <w:u w:val="single"/>
        </w:rPr>
        <w:t xml:space="preserve">                            </w:t>
      </w:r>
      <w:r>
        <w:rPr>
          <w:rFonts w:hint="eastAsia"/>
        </w:rPr>
        <w:t xml:space="preserve">                            </w:t>
      </w:r>
    </w:p>
    <w:p>
      <w:pPr>
        <w:pStyle w:val="43"/>
      </w:pPr>
      <w:r>
        <w:rPr>
          <w:rFonts w:hint="eastAsia"/>
        </w:rPr>
        <w:t>姓    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性别：</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rPr>
        <w:t xml:space="preserve">            </w:t>
      </w:r>
    </w:p>
    <w:p>
      <w:pPr>
        <w:pStyle w:val="43"/>
      </w:pPr>
      <w:r>
        <w:rPr>
          <w:rFonts w:hint="eastAsia"/>
        </w:rPr>
        <w:t>本人系</w:t>
      </w:r>
      <w:r>
        <w:rPr>
          <w:rFonts w:hint="eastAsia"/>
          <w:u w:val="single"/>
        </w:rPr>
        <w:t xml:space="preserve">                           </w:t>
      </w:r>
      <w:r>
        <w:rPr>
          <w:rFonts w:hint="eastAsia"/>
        </w:rPr>
        <w:t>(供应商名称)的法定代表人/单位负责人。就参加你单位组织的“</w:t>
      </w:r>
      <w:r>
        <w:rPr>
          <w:rFonts w:hint="eastAsia"/>
          <w:u w:val="single"/>
        </w:rPr>
        <w:t xml:space="preserve">             </w:t>
      </w:r>
      <w:r>
        <w:rPr>
          <w:rFonts w:hint="eastAsia"/>
        </w:rPr>
        <w:t>(项目名称)(项目编号：</w:t>
      </w:r>
      <w:r>
        <w:rPr>
          <w:rFonts w:hint="eastAsia"/>
          <w:u w:val="single"/>
        </w:rPr>
        <w:t xml:space="preserve">         </w:t>
      </w:r>
      <w:r>
        <w:rPr>
          <w:rFonts w:hint="eastAsia"/>
        </w:rPr>
        <w:t>)”的政府采购活动、合同签订以及合同履约等一切事宜，我单位均予承认，所产生的法律后果均由我单位承担。</w:t>
      </w:r>
    </w:p>
    <w:p>
      <w:pPr>
        <w:pStyle w:val="43"/>
      </w:pPr>
      <w:r>
        <w:rPr>
          <w:rFonts w:hint="eastAsia"/>
        </w:rPr>
        <w:t>特此证明。</w:t>
      </w:r>
    </w:p>
    <w:p>
      <w:pPr>
        <w:pStyle w:val="40"/>
      </w:pPr>
    </w:p>
    <w:p>
      <w:pPr>
        <w:pStyle w:val="40"/>
      </w:pPr>
    </w:p>
    <w:p>
      <w:pPr>
        <w:pStyle w:val="40"/>
      </w:pPr>
    </w:p>
    <w:p>
      <w:pPr>
        <w:pStyle w:val="40"/>
      </w:pPr>
    </w:p>
    <w:p>
      <w:pPr>
        <w:pStyle w:val="40"/>
      </w:pPr>
    </w:p>
    <w:p>
      <w:pPr>
        <w:pStyle w:val="43"/>
      </w:pPr>
      <w:r>
        <w:rPr>
          <w:rFonts w:hint="eastAsia"/>
        </w:rPr>
        <w:t>供应商名称：</w:t>
      </w:r>
      <w:r>
        <w:rPr>
          <w:rFonts w:hint="eastAsia"/>
          <w:u w:val="single"/>
        </w:rPr>
        <w:t xml:space="preserve">             </w:t>
      </w:r>
      <w:r>
        <w:rPr>
          <w:rFonts w:hint="eastAsia"/>
        </w:rPr>
        <w:t xml:space="preserve">(盖章) </w:t>
      </w:r>
    </w:p>
    <w:p>
      <w:pPr>
        <w:pStyle w:val="43"/>
      </w:pPr>
      <w:r>
        <w:rPr>
          <w:rFonts w:hint="eastAsia"/>
        </w:rPr>
        <w:t>法定代表人/单位负责人：</w:t>
      </w:r>
      <w:r>
        <w:rPr>
          <w:rFonts w:hint="eastAsia"/>
          <w:u w:val="single"/>
        </w:rPr>
        <w:t xml:space="preserve">               </w:t>
      </w:r>
      <w:r>
        <w:rPr>
          <w:rFonts w:hint="eastAsia"/>
        </w:rPr>
        <w:t>(签字或盖章)</w:t>
      </w:r>
    </w:p>
    <w:p>
      <w:pPr>
        <w:pStyle w:val="43"/>
        <w:rPr>
          <w:u w:val="single"/>
        </w:rPr>
      </w:pPr>
      <w:r>
        <w:rPr>
          <w:rFonts w:hint="eastAsia"/>
        </w:rPr>
        <w:t>磋商日期：</w:t>
      </w:r>
      <w:r>
        <w:rPr>
          <w:rFonts w:hint="eastAsia"/>
          <w:u w:val="single"/>
        </w:rPr>
        <w:t xml:space="preserve">             </w:t>
      </w:r>
    </w:p>
    <w:p>
      <w:pPr>
        <w:pStyle w:val="43"/>
      </w:pPr>
    </w:p>
    <w:p>
      <w:pPr>
        <w:pStyle w:val="44"/>
        <w:ind w:firstLine="482"/>
      </w:pPr>
      <w:r>
        <w:rPr>
          <w:rFonts w:hint="eastAsia"/>
        </w:rPr>
        <w:t>注：1.法定代表人</w:t>
      </w:r>
      <w:r>
        <w:t>/单位负责人</w:t>
      </w:r>
      <w:r>
        <w:rPr>
          <w:rFonts w:hint="eastAsia"/>
        </w:rPr>
        <w:t>亲自参加磋商时适用本证明书。</w:t>
      </w:r>
    </w:p>
    <w:p>
      <w:pPr>
        <w:pStyle w:val="44"/>
        <w:ind w:firstLine="482"/>
      </w:pPr>
      <w:r>
        <w:rPr>
          <w:rFonts w:hint="eastAsia"/>
        </w:rPr>
        <w:t>2.</w:t>
      </w:r>
      <w:r>
        <w:t>应附法定代表人/单位负责人身份证明材料复印件。</w:t>
      </w:r>
    </w:p>
    <w:p>
      <w:pPr>
        <w:pStyle w:val="44"/>
        <w:ind w:firstLine="482"/>
      </w:pPr>
      <w:r>
        <w:rPr>
          <w:rFonts w:hint="eastAsia"/>
        </w:rPr>
        <w:t>3.</w:t>
      </w:r>
      <w:r>
        <w:t>身份证明材料包括居民身份证或户口本或军官证或护照等。</w:t>
      </w:r>
    </w:p>
    <w:p>
      <w:pPr>
        <w:pStyle w:val="44"/>
        <w:ind w:firstLine="482"/>
      </w:pPr>
      <w:r>
        <w:rPr>
          <w:rFonts w:hint="eastAsia"/>
        </w:rPr>
        <w:t>4.</w:t>
      </w:r>
      <w:r>
        <w:t>身份证明材料应同时提供其在有效期的材料，如居民身份证正、反面复印件</w:t>
      </w:r>
      <w:r>
        <w:rPr>
          <w:rFonts w:hint="eastAsia"/>
        </w:rPr>
        <w:t>。</w:t>
      </w:r>
    </w:p>
    <w:p>
      <w:pPr>
        <w:pStyle w:val="41"/>
        <w:numPr>
          <w:ilvl w:val="0"/>
          <w:numId w:val="17"/>
        </w:numPr>
        <w:spacing w:before="120" w:after="120"/>
        <w:ind w:firstLine="0"/>
      </w:pPr>
      <w:bookmarkStart w:id="254" w:name="_Toc24192"/>
      <w:bookmarkStart w:id="255" w:name="_Toc22152"/>
      <w:bookmarkStart w:id="256" w:name="_Toc23740"/>
      <w:bookmarkStart w:id="257" w:name="_Toc28837"/>
      <w:bookmarkStart w:id="258" w:name="_Toc28397"/>
      <w:bookmarkStart w:id="259" w:name="_Toc3822"/>
      <w:r>
        <w:rPr>
          <w:rFonts w:hint="eastAsia"/>
        </w:rPr>
        <w:t>供应商具有独立承担民事责任的能力的证明材料</w:t>
      </w:r>
      <w:bookmarkEnd w:id="254"/>
      <w:bookmarkEnd w:id="255"/>
      <w:bookmarkEnd w:id="256"/>
      <w:bookmarkEnd w:id="257"/>
    </w:p>
    <w:p>
      <w:pPr>
        <w:pStyle w:val="43"/>
      </w:pPr>
      <w:r>
        <w:rPr>
          <w:rFonts w:hint="eastAsia"/>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58"/>
    </w:p>
    <w:p>
      <w:pPr>
        <w:pStyle w:val="44"/>
        <w:ind w:firstLine="482"/>
      </w:pPr>
      <w:r>
        <w:rPr>
          <w:rFonts w:hint="eastAsia"/>
        </w:rPr>
        <w:t>注：1.以上证明材料应满足此条要求①发证机关有年检要求的，应按规定通过年检；②在有效期内；③复印件加盖供应商公章；</w:t>
      </w:r>
    </w:p>
    <w:p>
      <w:pPr>
        <w:pStyle w:val="44"/>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4"/>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bookmarkEnd w:id="259"/>
    </w:p>
    <w:p>
      <w:pPr>
        <w:pStyle w:val="40"/>
      </w:pPr>
    </w:p>
    <w:p>
      <w:pPr>
        <w:pStyle w:val="41"/>
        <w:numPr>
          <w:ilvl w:val="0"/>
          <w:numId w:val="17"/>
        </w:numPr>
        <w:spacing w:before="120" w:after="120"/>
        <w:ind w:firstLine="0"/>
        <w:rPr>
          <w:color w:val="auto"/>
        </w:rPr>
      </w:pPr>
      <w:bookmarkStart w:id="260" w:name="_Toc5333"/>
      <w:bookmarkStart w:id="261" w:name="_Toc29937"/>
      <w:bookmarkStart w:id="262" w:name="_Toc28024"/>
      <w:bookmarkStart w:id="263" w:name="_Toc4802"/>
      <w:bookmarkStart w:id="264" w:name="_Toc14566"/>
      <w:r>
        <w:rPr>
          <w:rFonts w:hint="eastAsia"/>
        </w:rPr>
        <w:t>供</w:t>
      </w:r>
      <w:r>
        <w:rPr>
          <w:rFonts w:hint="eastAsia"/>
          <w:color w:val="auto"/>
        </w:rPr>
        <w:t>应商具有良好的商业信誉和健全的财务会计制度的证明材料</w:t>
      </w:r>
      <w:bookmarkEnd w:id="260"/>
      <w:bookmarkEnd w:id="261"/>
      <w:bookmarkEnd w:id="262"/>
      <w:bookmarkEnd w:id="263"/>
    </w:p>
    <w:bookmarkEnd w:id="264"/>
    <w:p>
      <w:pPr>
        <w:pStyle w:val="43"/>
        <w:rPr>
          <w:color w:val="auto"/>
        </w:rPr>
      </w:pPr>
      <w:r>
        <w:rPr>
          <w:rFonts w:hint="eastAsia"/>
          <w:color w:val="auto"/>
        </w:rPr>
        <w:t>1.供应商具有良好商业信誉的证明材料；</w:t>
      </w:r>
    </w:p>
    <w:p>
      <w:pPr>
        <w:pStyle w:val="43"/>
        <w:rPr>
          <w:color w:val="auto"/>
        </w:rPr>
      </w:pPr>
      <w:r>
        <w:rPr>
          <w:rFonts w:hint="eastAsia"/>
          <w:color w:val="auto"/>
        </w:rPr>
        <w:t>提供具有良好的商业信誉的承诺函。</w:t>
      </w:r>
    </w:p>
    <w:p>
      <w:pPr>
        <w:pStyle w:val="43"/>
        <w:ind w:firstLine="482"/>
        <w:rPr>
          <w:b/>
          <w:bCs/>
          <w:color w:val="auto"/>
        </w:rPr>
      </w:pPr>
      <w:r>
        <w:rPr>
          <w:rFonts w:hint="eastAsia"/>
          <w:b/>
          <w:bCs/>
          <w:color w:val="auto"/>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3"/>
        <w:rPr>
          <w:color w:val="auto"/>
        </w:rPr>
      </w:pPr>
      <w:r>
        <w:rPr>
          <w:rFonts w:hint="eastAsia"/>
          <w:color w:val="auto"/>
        </w:rPr>
        <w:t>2.供应商具有健全的财务会计制度的证明材料；</w:t>
      </w:r>
    </w:p>
    <w:p>
      <w:pPr>
        <w:pStyle w:val="43"/>
        <w:rPr>
          <w:color w:val="auto"/>
        </w:rPr>
      </w:pPr>
      <w:r>
        <w:rPr>
          <w:rFonts w:hint="eastAsia"/>
          <w:color w:val="auto"/>
        </w:rPr>
        <w:t>(</w:t>
      </w:r>
      <w:r>
        <w:rPr>
          <w:color w:val="auto"/>
        </w:rPr>
        <w:t>1)供应商提供</w:t>
      </w:r>
      <w:r>
        <w:rPr>
          <w:rFonts w:hint="eastAsia"/>
          <w:color w:val="auto"/>
          <w:lang w:val="en-US" w:eastAsia="zh-CN"/>
        </w:rPr>
        <w:t>2020年度</w:t>
      </w:r>
      <w:r>
        <w:rPr>
          <w:color w:val="auto"/>
        </w:rPr>
        <w:t>经过会计师事务所审计的财务报告复印件(经审计的有效财务报告应包括报告及报告中所附的完整内容，并由注册会计师签名、盖章以及会计师事务所盖章)；</w:t>
      </w:r>
    </w:p>
    <w:p>
      <w:pPr>
        <w:pStyle w:val="43"/>
        <w:rPr>
          <w:color w:val="auto"/>
        </w:rPr>
      </w:pPr>
      <w:r>
        <w:rPr>
          <w:color w:val="auto"/>
        </w:rPr>
        <w:t>(2)供应商提供</w:t>
      </w:r>
      <w:r>
        <w:rPr>
          <w:rFonts w:hint="eastAsia"/>
          <w:color w:val="auto"/>
          <w:lang w:val="en-US" w:eastAsia="zh-CN"/>
        </w:rPr>
        <w:t>2020年度</w:t>
      </w:r>
      <w:r>
        <w:rPr>
          <w:color w:val="auto"/>
        </w:rPr>
        <w:t>供应商内部的财务报表复印件(至少包含资产负债表)；</w:t>
      </w:r>
    </w:p>
    <w:p>
      <w:pPr>
        <w:pStyle w:val="43"/>
        <w:rPr>
          <w:color w:val="auto"/>
        </w:rPr>
      </w:pPr>
      <w:r>
        <w:rPr>
          <w:color w:val="auto"/>
        </w:rPr>
        <w:t>(3)供应商提供响应文件递交截止日前一年内银行为其出具的资信证明复印件；</w:t>
      </w:r>
    </w:p>
    <w:p>
      <w:pPr>
        <w:pStyle w:val="43"/>
        <w:rPr>
          <w:color w:val="auto"/>
        </w:rPr>
      </w:pPr>
      <w:r>
        <w:rPr>
          <w:rFonts w:hint="eastAsia"/>
          <w:color w:val="auto"/>
        </w:rPr>
        <w:t>(4)供应商注册时间截至响应文件递交截止日不足一年的，可提供公司章程复印件；</w:t>
      </w:r>
    </w:p>
    <w:p>
      <w:pPr>
        <w:pStyle w:val="43"/>
        <w:rPr>
          <w:color w:val="auto"/>
        </w:rPr>
      </w:pPr>
      <w:r>
        <w:rPr>
          <w:rFonts w:hint="eastAsia"/>
          <w:color w:val="auto"/>
        </w:rPr>
        <w:t>(5)供应商为事业单位、大型国有企业或其他组织(不具备法人条件的组织，如合伙组织、个体工商户、农村承包经营户等)或自然人时，可提供承诺函。</w:t>
      </w:r>
    </w:p>
    <w:p>
      <w:pPr>
        <w:pStyle w:val="44"/>
        <w:ind w:firstLine="482"/>
        <w:rPr>
          <w:color w:val="auto"/>
        </w:rPr>
      </w:pPr>
      <w:r>
        <w:rPr>
          <w:rFonts w:hint="eastAsia"/>
          <w:bCs/>
          <w:color w:val="auto"/>
        </w:rPr>
        <w:t>注：具有健全的财务会计制度的证明材料中第(1)-(5)项具有同等的效力，供应商可根据自身实际情况选择提供其中任意一项。</w:t>
      </w:r>
    </w:p>
    <w:p>
      <w:pPr>
        <w:pStyle w:val="44"/>
        <w:ind w:firstLine="482"/>
        <w:rPr>
          <w:color w:val="auto"/>
        </w:rPr>
      </w:pPr>
    </w:p>
    <w:p>
      <w:pPr>
        <w:pStyle w:val="41"/>
        <w:numPr>
          <w:ilvl w:val="0"/>
          <w:numId w:val="17"/>
        </w:numPr>
        <w:spacing w:before="120" w:after="120"/>
        <w:ind w:firstLine="0"/>
        <w:rPr>
          <w:color w:val="auto"/>
        </w:rPr>
      </w:pPr>
      <w:bookmarkStart w:id="265" w:name="_Toc26540"/>
      <w:bookmarkStart w:id="266" w:name="_Toc17744"/>
      <w:bookmarkStart w:id="267" w:name="_Toc31502"/>
      <w:bookmarkStart w:id="268" w:name="_Toc19866"/>
      <w:bookmarkStart w:id="269" w:name="_Toc5443"/>
      <w:r>
        <w:rPr>
          <w:rFonts w:hint="eastAsia"/>
          <w:color w:val="auto"/>
        </w:rPr>
        <w:t>供应商具有依法缴纳税收和社会保障资金的良好记录的证明材料</w:t>
      </w:r>
      <w:bookmarkEnd w:id="265"/>
      <w:bookmarkEnd w:id="266"/>
      <w:bookmarkEnd w:id="267"/>
      <w:bookmarkEnd w:id="268"/>
    </w:p>
    <w:bookmarkEnd w:id="269"/>
    <w:p>
      <w:pPr>
        <w:pStyle w:val="43"/>
        <w:rPr>
          <w:color w:val="auto"/>
        </w:rPr>
      </w:pPr>
      <w:r>
        <w:rPr>
          <w:rFonts w:hint="eastAsia"/>
          <w:color w:val="auto"/>
        </w:rPr>
        <w:t>提供</w:t>
      </w:r>
      <w:r>
        <w:rPr>
          <w:rFonts w:hint="eastAsia"/>
          <w:color w:val="auto"/>
          <w:lang w:val="zh-CN"/>
        </w:rPr>
        <w:t>依法缴纳税收和社会保障资金的良好记录</w:t>
      </w:r>
      <w:r>
        <w:rPr>
          <w:rFonts w:hint="eastAsia"/>
          <w:color w:val="auto"/>
        </w:rPr>
        <w:t>的承诺函。</w:t>
      </w:r>
    </w:p>
    <w:p>
      <w:pPr>
        <w:pStyle w:val="44"/>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40"/>
      </w:pPr>
      <w:r>
        <w:rPr>
          <w:rFonts w:hint="eastAsia"/>
        </w:rPr>
        <w:br w:type="page"/>
      </w:r>
    </w:p>
    <w:p>
      <w:pPr>
        <w:pStyle w:val="41"/>
        <w:numPr>
          <w:ilvl w:val="0"/>
          <w:numId w:val="17"/>
        </w:numPr>
        <w:spacing w:before="120" w:after="120"/>
        <w:ind w:firstLine="0"/>
        <w:rPr>
          <w:color w:val="auto"/>
        </w:rPr>
      </w:pPr>
      <w:bookmarkStart w:id="270" w:name="_Toc16336"/>
      <w:bookmarkStart w:id="271" w:name="_Toc18164"/>
      <w:bookmarkStart w:id="272" w:name="_Toc24802"/>
      <w:bookmarkStart w:id="273" w:name="_Toc15870"/>
      <w:r>
        <w:rPr>
          <w:rFonts w:hint="eastAsia"/>
        </w:rPr>
        <w:t>供应商具有履行合同所必需的设备</w:t>
      </w:r>
      <w:r>
        <w:rPr>
          <w:rFonts w:hint="eastAsia"/>
          <w:color w:val="auto"/>
        </w:rPr>
        <w:t>和专业技术能力证明材料</w:t>
      </w:r>
      <w:bookmarkEnd w:id="270"/>
      <w:bookmarkEnd w:id="271"/>
      <w:bookmarkEnd w:id="272"/>
      <w:bookmarkEnd w:id="273"/>
    </w:p>
    <w:p>
      <w:pPr>
        <w:pStyle w:val="43"/>
        <w:rPr>
          <w:color w:val="auto"/>
        </w:rPr>
      </w:pPr>
      <w:r>
        <w:rPr>
          <w:rFonts w:hint="eastAsia"/>
          <w:color w:val="auto"/>
        </w:rPr>
        <w:t>提供具有履行合同所必需的设备和专业技术能力的承诺函。</w:t>
      </w:r>
    </w:p>
    <w:p>
      <w:pPr>
        <w:pStyle w:val="44"/>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40"/>
      </w:pPr>
      <w:r>
        <w:rPr>
          <w:rFonts w:hint="eastAsia"/>
        </w:rPr>
        <w:br w:type="page"/>
      </w:r>
    </w:p>
    <w:p>
      <w:pPr>
        <w:pStyle w:val="41"/>
        <w:numPr>
          <w:ilvl w:val="0"/>
          <w:numId w:val="17"/>
        </w:numPr>
        <w:spacing w:before="120" w:after="120"/>
        <w:ind w:firstLine="0"/>
      </w:pPr>
      <w:bookmarkStart w:id="274" w:name="_Toc2414"/>
      <w:bookmarkStart w:id="275" w:name="_Toc1570"/>
      <w:bookmarkStart w:id="276" w:name="_Toc21379"/>
      <w:r>
        <w:rPr>
          <w:rFonts w:hint="eastAsia"/>
        </w:rPr>
        <w:t>供应商参加政府采购活动前三年内，在经营活动中没有重大违法记录的证明材料</w:t>
      </w:r>
      <w:bookmarkEnd w:id="274"/>
      <w:bookmarkEnd w:id="275"/>
      <w:bookmarkEnd w:id="276"/>
    </w:p>
    <w:p>
      <w:pPr>
        <w:pStyle w:val="43"/>
      </w:pPr>
      <w:bookmarkStart w:id="277" w:name="_Toc9591"/>
      <w:bookmarkStart w:id="278" w:name="_Toc14299"/>
      <w:r>
        <w:rPr>
          <w:rFonts w:hint="eastAsia"/>
        </w:rPr>
        <w:t>提供参加本次政府采购活动前三年内，在经营活动中没有重大违法记录的书面声明(成立不足三年的，从成立之日起计算)。</w:t>
      </w:r>
    </w:p>
    <w:p>
      <w:pPr>
        <w:pStyle w:val="44"/>
        <w:ind w:firstLine="482"/>
      </w:pPr>
      <w:r>
        <w:rPr>
          <w:rFonts w:hint="eastAsia"/>
        </w:rPr>
        <w:t>注：格式自拟，或参照《符合&lt;中华人民共和国政府采购法&gt;第二十二条规定的条件的承诺及声明函》提供声明函。</w:t>
      </w:r>
    </w:p>
    <w:p>
      <w:pPr>
        <w:pStyle w:val="41"/>
        <w:numPr>
          <w:ilvl w:val="0"/>
          <w:numId w:val="17"/>
        </w:numPr>
        <w:spacing w:before="120" w:after="120"/>
        <w:ind w:firstLine="0"/>
        <w:rPr>
          <w:color w:val="auto"/>
          <w:lang w:val="zh-CN"/>
        </w:rPr>
      </w:pPr>
      <w:bookmarkStart w:id="279" w:name="_Toc3840"/>
      <w:bookmarkStart w:id="280" w:name="_Toc17558"/>
      <w:bookmarkStart w:id="281" w:name="_Toc7969"/>
      <w:bookmarkStart w:id="282" w:name="_Toc17466"/>
      <w:r>
        <w:rPr>
          <w:rFonts w:hint="eastAsia"/>
          <w:color w:val="auto"/>
          <w:w w:val="95"/>
        </w:rPr>
        <w:t>供应商单位</w:t>
      </w:r>
      <w:r>
        <w:rPr>
          <w:rFonts w:hint="eastAsia"/>
          <w:color w:val="auto"/>
          <w:w w:val="95"/>
          <w:lang w:val="zh-CN"/>
        </w:rPr>
        <w:t>及其现任法定代表人、主要负责人不得具有行贿犯罪记录</w:t>
      </w:r>
      <w:r>
        <w:rPr>
          <w:rFonts w:hint="eastAsia"/>
          <w:color w:val="auto"/>
          <w:w w:val="95"/>
        </w:rPr>
        <w:t>的</w:t>
      </w:r>
      <w:bookmarkEnd w:id="279"/>
      <w:bookmarkEnd w:id="280"/>
      <w:r>
        <w:rPr>
          <w:rFonts w:hint="eastAsia"/>
          <w:color w:val="auto"/>
          <w:w w:val="95"/>
        </w:rPr>
        <w:t>承诺函</w:t>
      </w:r>
      <w:bookmarkEnd w:id="281"/>
      <w:bookmarkEnd w:id="282"/>
    </w:p>
    <w:bookmarkEnd w:id="277"/>
    <w:bookmarkEnd w:id="278"/>
    <w:p>
      <w:pPr>
        <w:pStyle w:val="40"/>
        <w:rPr>
          <w:rFonts w:cs="宋体"/>
        </w:rPr>
      </w:pPr>
      <w:bookmarkStart w:id="283" w:name="_Toc8455"/>
      <w:r>
        <w:rPr>
          <w:rFonts w:hint="eastAsia" w:cs="宋体"/>
          <w:u w:val="single"/>
        </w:rPr>
        <w:t xml:space="preserve">                   </w:t>
      </w:r>
      <w:r>
        <w:rPr>
          <w:rFonts w:hint="eastAsia" w:cs="宋体"/>
        </w:rPr>
        <w:t>(采购代理机构名称)：</w:t>
      </w:r>
    </w:p>
    <w:p>
      <w:pPr>
        <w:pStyle w:val="40"/>
        <w:ind w:firstLine="480" w:firstLineChars="200"/>
        <w:rPr>
          <w:rFonts w:cs="宋体"/>
        </w:rPr>
      </w:pPr>
      <w:r>
        <w:rPr>
          <w:rFonts w:hint="eastAsia" w:cs="宋体"/>
        </w:rPr>
        <w:t>我单位作为本次采购项目的供应商，根据磋商文件要求，现郑重承诺如下：</w:t>
      </w:r>
    </w:p>
    <w:p>
      <w:pPr>
        <w:pStyle w:val="43"/>
        <w:rPr>
          <w:rFonts w:cs="宋体"/>
        </w:rPr>
      </w:pPr>
      <w:r>
        <w:rPr>
          <w:rFonts w:hint="eastAsia" w:cs="宋体"/>
          <w:u w:val="single"/>
        </w:rPr>
        <w:t xml:space="preserve">        </w:t>
      </w:r>
      <w:r>
        <w:rPr>
          <w:rFonts w:hint="eastAsia" w:cs="宋体"/>
        </w:rPr>
        <w:t>(供应商名称)及其现任法定代表人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(身份证号码)，主要负责人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w:t>
      </w:r>
      <w:r>
        <w:rPr>
          <w:rFonts w:hint="eastAsia" w:cs="宋体"/>
          <w:u w:val="single"/>
        </w:rPr>
        <w:t xml:space="preserve">    </w:t>
      </w:r>
      <w:r>
        <w:rPr>
          <w:rFonts w:hint="eastAsia" w:cs="宋体"/>
        </w:rPr>
        <w:t>(无行贿犯罪记录的期限)均无行贿犯罪记录。     本单位对上述承诺的内容事项真实性、合法性负责。如经查实上述承诺的内容事项存在虚假，我单位自愿接受以提供虚假材料谋取成交所带来的所有法律责任。</w:t>
      </w:r>
    </w:p>
    <w:p>
      <w:pPr>
        <w:pStyle w:val="40"/>
        <w:rPr>
          <w:rFonts w:cs="宋体"/>
        </w:rPr>
      </w:pPr>
    </w:p>
    <w:p>
      <w:pPr>
        <w:pStyle w:val="40"/>
        <w:rPr>
          <w:rFonts w:cs="宋体"/>
        </w:rPr>
      </w:pPr>
    </w:p>
    <w:p>
      <w:pPr>
        <w:pStyle w:val="43"/>
        <w:rPr>
          <w:rFonts w:cs="宋体"/>
        </w:rPr>
      </w:pPr>
      <w:r>
        <w:rPr>
          <w:rFonts w:hint="eastAsia" w:cs="宋体"/>
        </w:rPr>
        <w:t>供应商名称：</w:t>
      </w:r>
      <w:r>
        <w:rPr>
          <w:rFonts w:hint="eastAsia" w:cs="宋体"/>
          <w:u w:val="single"/>
        </w:rPr>
        <w:t xml:space="preserve">             </w:t>
      </w:r>
      <w:r>
        <w:rPr>
          <w:rFonts w:hint="eastAsia" w:cs="宋体"/>
        </w:rPr>
        <w:t>(盖章)</w:t>
      </w:r>
    </w:p>
    <w:p>
      <w:pPr>
        <w:pStyle w:val="43"/>
        <w:rPr>
          <w:rFonts w:cs="宋体"/>
        </w:rPr>
      </w:pPr>
      <w:r>
        <w:rPr>
          <w:rFonts w:hint="eastAsia" w:cs="宋体"/>
        </w:rPr>
        <w:t>法定代表人/单位负责人或授权代表：</w:t>
      </w:r>
      <w:r>
        <w:rPr>
          <w:rFonts w:hint="eastAsia" w:cs="宋体"/>
          <w:u w:val="single"/>
        </w:rPr>
        <w:t xml:space="preserve">            </w:t>
      </w:r>
      <w:r>
        <w:rPr>
          <w:rFonts w:hint="eastAsia" w:cs="宋体"/>
        </w:rPr>
        <w:t>(签字或盖章)</w:t>
      </w:r>
    </w:p>
    <w:p>
      <w:pPr>
        <w:pStyle w:val="43"/>
        <w:rPr>
          <w:rFonts w:cs="宋体"/>
        </w:rPr>
      </w:pPr>
      <w:r>
        <w:rPr>
          <w:rFonts w:hint="eastAsia" w:cs="宋体"/>
        </w:rPr>
        <w:t>磋商日期：</w:t>
      </w:r>
      <w:r>
        <w:rPr>
          <w:rFonts w:hint="eastAsia" w:cs="宋体"/>
          <w:u w:val="single"/>
        </w:rPr>
        <w:t xml:space="preserve">                </w:t>
      </w:r>
      <w:r>
        <w:rPr>
          <w:rFonts w:hint="eastAsia" w:cs="宋体"/>
        </w:rPr>
        <w:t xml:space="preserve">  </w:t>
      </w:r>
    </w:p>
    <w:p>
      <w:pPr>
        <w:pStyle w:val="60"/>
        <w:numPr>
          <w:ilvl w:val="3"/>
          <w:numId w:val="0"/>
        </w:numPr>
        <w:ind w:firstLine="482" w:firstLineChars="200"/>
        <w:jc w:val="both"/>
        <w:rPr>
          <w:b/>
          <w:bCs/>
        </w:rPr>
      </w:pPr>
    </w:p>
    <w:p>
      <w:r>
        <w:rPr>
          <w:rFonts w:hint="eastAsia"/>
          <w:b/>
          <w:bCs/>
        </w:rPr>
        <w:t>注：供应商成立时间超过十年的，在“</w:t>
      </w:r>
      <w:r>
        <w:rPr>
          <w:rFonts w:hint="eastAsia" w:cs="宋体"/>
          <w:b/>
          <w:bCs/>
        </w:rPr>
        <w:t>无行贿犯罪记录的期限</w:t>
      </w:r>
      <w:r>
        <w:rPr>
          <w:rFonts w:hint="eastAsia"/>
          <w:b/>
          <w:bCs/>
        </w:rPr>
        <w:t>”</w:t>
      </w:r>
      <w:r>
        <w:rPr>
          <w:rFonts w:hint="eastAsia" w:cs="宋体"/>
          <w:b/>
          <w:bCs/>
        </w:rPr>
        <w:t>处填写“十年内”；</w:t>
      </w:r>
      <w:r>
        <w:rPr>
          <w:rFonts w:hint="eastAsia"/>
          <w:b/>
          <w:bCs/>
        </w:rPr>
        <w:t>供应商</w:t>
      </w:r>
      <w:r>
        <w:rPr>
          <w:rFonts w:hint="eastAsia" w:cs="宋体"/>
          <w:b/>
          <w:bCs/>
        </w:rPr>
        <w:t>成立时间不足十年的，</w:t>
      </w:r>
      <w:r>
        <w:rPr>
          <w:rFonts w:hint="eastAsia"/>
          <w:b/>
          <w:bCs/>
        </w:rPr>
        <w:t>在“</w:t>
      </w:r>
      <w:r>
        <w:rPr>
          <w:rFonts w:hint="eastAsia" w:cs="宋体"/>
          <w:b/>
          <w:bCs/>
        </w:rPr>
        <w:t>无行贿犯罪记录的期限</w:t>
      </w:r>
      <w:r>
        <w:rPr>
          <w:rFonts w:hint="eastAsia"/>
          <w:b/>
          <w:bCs/>
        </w:rPr>
        <w:t>”</w:t>
      </w:r>
      <w:r>
        <w:rPr>
          <w:rFonts w:hint="eastAsia" w:cs="宋体"/>
          <w:b/>
          <w:bCs/>
        </w:rPr>
        <w:t>处填写“自我单位成立之日起至今”</w:t>
      </w:r>
      <w:r>
        <w:rPr>
          <w:rFonts w:hint="eastAsia"/>
          <w:b/>
          <w:bCs/>
        </w:rPr>
        <w:t>。</w:t>
      </w:r>
    </w:p>
    <w:p>
      <w:pPr>
        <w:pStyle w:val="60"/>
        <w:numPr>
          <w:ilvl w:val="3"/>
          <w:numId w:val="0"/>
        </w:numPr>
        <w:ind w:firstLine="482" w:firstLineChars="200"/>
        <w:rPr>
          <w:b/>
          <w:bCs/>
        </w:rPr>
      </w:pPr>
    </w:p>
    <w:p>
      <w:pPr>
        <w:pStyle w:val="40"/>
        <w:rPr>
          <w:lang w:val="zh-CN"/>
        </w:rPr>
      </w:pPr>
    </w:p>
    <w:p>
      <w:pPr>
        <w:pStyle w:val="40"/>
      </w:pPr>
      <w:r>
        <w:rPr>
          <w:rFonts w:hint="eastAsia"/>
        </w:rPr>
        <w:br w:type="page"/>
      </w:r>
      <w:bookmarkEnd w:id="283"/>
      <w:bookmarkStart w:id="284" w:name="_Toc2151"/>
    </w:p>
    <w:bookmarkEnd w:id="284"/>
    <w:p>
      <w:pPr>
        <w:pStyle w:val="41"/>
        <w:numPr>
          <w:ilvl w:val="0"/>
          <w:numId w:val="0"/>
        </w:numPr>
        <w:spacing w:before="120" w:after="120"/>
      </w:pPr>
      <w:bookmarkStart w:id="285" w:name="_Toc15054"/>
      <w:bookmarkStart w:id="286" w:name="_Toc7933"/>
      <w:bookmarkStart w:id="287" w:name="_Toc19166"/>
      <w:bookmarkStart w:id="288" w:name="_Toc6069"/>
      <w:bookmarkStart w:id="289" w:name="_Toc4865"/>
      <w:r>
        <w:rPr>
          <w:rFonts w:hint="eastAsia"/>
          <w:lang w:val="en-US" w:eastAsia="zh-CN"/>
        </w:rPr>
        <w:t>八</w:t>
      </w:r>
      <w:r>
        <w:rPr>
          <w:rFonts w:hint="eastAsia"/>
        </w:rPr>
        <w:t>、根据采购项目的特殊要求，规定供应商提供的特定条件</w:t>
      </w:r>
      <w:bookmarkEnd w:id="285"/>
      <w:r>
        <w:rPr>
          <w:rFonts w:hint="eastAsia"/>
        </w:rPr>
        <w:t>的证明材料</w:t>
      </w:r>
      <w:bookmarkEnd w:id="286"/>
      <w:bookmarkEnd w:id="287"/>
      <w:bookmarkEnd w:id="288"/>
      <w:bookmarkEnd w:id="289"/>
    </w:p>
    <w:p>
      <w:pPr>
        <w:pStyle w:val="43"/>
      </w:pPr>
      <w:r>
        <w:rPr>
          <w:rFonts w:hint="eastAsia"/>
        </w:rPr>
        <w:t>提供国家行政主管部门颁发</w:t>
      </w:r>
      <w:r>
        <w:rPr>
          <w:rFonts w:hint="eastAsia"/>
          <w:lang w:val="en-US" w:eastAsia="zh-CN"/>
        </w:rPr>
        <w:t>有效</w:t>
      </w:r>
      <w:r>
        <w:rPr>
          <w:rFonts w:hint="eastAsia"/>
        </w:rPr>
        <w:t>的城乡规划编制乙级或以上资质证书复印件。</w:t>
      </w:r>
    </w:p>
    <w:p>
      <w:pPr>
        <w:pStyle w:val="41"/>
        <w:numPr>
          <w:ilvl w:val="0"/>
          <w:numId w:val="0"/>
        </w:numPr>
        <w:spacing w:before="120" w:after="120"/>
      </w:pPr>
      <w:bookmarkStart w:id="290" w:name="_Toc30655"/>
      <w:bookmarkStart w:id="291" w:name="_Toc25417"/>
      <w:bookmarkStart w:id="292" w:name="_Toc30023"/>
      <w:bookmarkStart w:id="293" w:name="_Toc2529"/>
      <w:r>
        <w:rPr>
          <w:rFonts w:hint="eastAsia"/>
          <w:lang w:val="en-US" w:eastAsia="zh-CN"/>
        </w:rPr>
        <w:t>九</w:t>
      </w:r>
      <w:r>
        <w:rPr>
          <w:rFonts w:hint="eastAsia"/>
        </w:rPr>
        <w:t>、信用信息查询</w:t>
      </w:r>
      <w:bookmarkEnd w:id="290"/>
      <w:bookmarkEnd w:id="291"/>
      <w:bookmarkEnd w:id="292"/>
      <w:bookmarkEnd w:id="293"/>
    </w:p>
    <w:p>
      <w:pPr>
        <w:pStyle w:val="43"/>
      </w:pPr>
      <w:r>
        <w:rPr>
          <w:rFonts w:hint="eastAsia"/>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pStyle w:val="44"/>
        <w:ind w:firstLine="482"/>
      </w:pPr>
      <w:r>
        <w:rPr>
          <w:rFonts w:hint="eastAsia"/>
        </w:rPr>
        <w:t>注：</w:t>
      </w:r>
      <w:r>
        <w:rPr>
          <w:rFonts w:hint="eastAsia"/>
          <w:b w:val="0"/>
          <w:bCs/>
        </w:rPr>
        <w:t>①采购代理机构通过“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rPr>
        <w:t>②供应商参与磋商时无需对此条进行响应。</w:t>
      </w:r>
    </w:p>
    <w:p>
      <w:pPr>
        <w:pStyle w:val="41"/>
        <w:numPr>
          <w:ilvl w:val="0"/>
          <w:numId w:val="0"/>
        </w:numPr>
        <w:spacing w:before="120" w:after="120"/>
        <w:rPr>
          <w:w w:val="95"/>
        </w:rPr>
      </w:pPr>
      <w:bookmarkStart w:id="294" w:name="_Toc17622"/>
      <w:bookmarkStart w:id="295" w:name="_Toc15708"/>
      <w:bookmarkStart w:id="296" w:name="_Toc31177"/>
      <w:bookmarkStart w:id="297" w:name="_Toc21855"/>
      <w:r>
        <w:rPr>
          <w:rFonts w:hint="eastAsia"/>
          <w:w w:val="95"/>
        </w:rPr>
        <w:t>十、符合《中华人民共和国政府采购法》第二十二条规定的条件的承诺及声明函</w:t>
      </w:r>
      <w:bookmarkEnd w:id="294"/>
      <w:bookmarkEnd w:id="295"/>
      <w:bookmarkEnd w:id="296"/>
      <w:bookmarkEnd w:id="297"/>
    </w:p>
    <w:p>
      <w:pPr>
        <w:pStyle w:val="40"/>
      </w:pPr>
      <w:r>
        <w:rPr>
          <w:rFonts w:hint="eastAsia"/>
          <w:u w:val="single"/>
        </w:rPr>
        <w:t xml:space="preserve">                   </w:t>
      </w:r>
      <w:r>
        <w:rPr>
          <w:rFonts w:hint="eastAsia"/>
        </w:rPr>
        <w:t>(采购代理机构名称)：</w:t>
      </w:r>
    </w:p>
    <w:p>
      <w:pPr>
        <w:pStyle w:val="40"/>
        <w:ind w:firstLine="480" w:firstLineChars="200"/>
      </w:pPr>
      <w:r>
        <w:rPr>
          <w:rFonts w:hint="eastAsia"/>
        </w:rPr>
        <w:t>我公司作为本次采购项目的供应商，根据磋商文件要求，现郑重承诺及声明如下：</w:t>
      </w:r>
    </w:p>
    <w:p>
      <w:pPr>
        <w:pStyle w:val="33"/>
        <w:numPr>
          <w:ilvl w:val="2"/>
          <w:numId w:val="18"/>
        </w:numPr>
        <w:ind w:firstLine="480"/>
      </w:pPr>
      <w:r>
        <w:rPr>
          <w:rFonts w:hint="eastAsia"/>
        </w:rPr>
        <w:t xml:space="preserve">具有良好的商业信誉和健全的财务会计制度； </w:t>
      </w:r>
    </w:p>
    <w:p>
      <w:pPr>
        <w:pStyle w:val="33"/>
        <w:numPr>
          <w:ilvl w:val="2"/>
          <w:numId w:val="18"/>
        </w:numPr>
        <w:ind w:firstLine="480"/>
      </w:pPr>
      <w:r>
        <w:rPr>
          <w:rFonts w:hint="eastAsia"/>
        </w:rPr>
        <w:t xml:space="preserve">具有履行合同所必需的设备和专业技术能力； </w:t>
      </w:r>
    </w:p>
    <w:p>
      <w:pPr>
        <w:pStyle w:val="33"/>
        <w:numPr>
          <w:ilvl w:val="2"/>
          <w:numId w:val="18"/>
        </w:numPr>
        <w:ind w:firstLine="480"/>
      </w:pPr>
      <w:r>
        <w:rPr>
          <w:rFonts w:hint="eastAsia"/>
        </w:rPr>
        <w:t xml:space="preserve">具有依法缴纳税收和社会保障资金的良好记录； </w:t>
      </w:r>
    </w:p>
    <w:p>
      <w:pPr>
        <w:pStyle w:val="33"/>
        <w:numPr>
          <w:ilvl w:val="2"/>
          <w:numId w:val="18"/>
        </w:numPr>
        <w:ind w:firstLine="480"/>
      </w:pPr>
      <w:r>
        <w:rPr>
          <w:rFonts w:hint="eastAsia"/>
        </w:rPr>
        <w:t>参加本次政府采购活动前三年内，在经营活动中没有重大违法记录(供应商成立不足三年的，从成立之日起计算)；</w:t>
      </w:r>
    </w:p>
    <w:p>
      <w:pPr>
        <w:pStyle w:val="33"/>
        <w:numPr>
          <w:ilvl w:val="2"/>
          <w:numId w:val="18"/>
        </w:numPr>
        <w:ind w:firstLine="480"/>
      </w:pPr>
      <w:r>
        <w:rPr>
          <w:rFonts w:hint="eastAsia"/>
        </w:rPr>
        <w:t>符合法律、行政法规规定的其他条件；</w:t>
      </w:r>
    </w:p>
    <w:p>
      <w:pPr>
        <w:pStyle w:val="43"/>
      </w:pPr>
      <w:r>
        <w:rPr>
          <w:rFonts w:hint="eastAsia"/>
        </w:rPr>
        <w:t>本公司对上述承诺的内容事项真实性、合法性负责。如经查实上述承诺的内容事项存在虚假，我公司自愿接受以提供虚假材料谋取成交所带来的所有法律责任。</w:t>
      </w:r>
    </w:p>
    <w:p>
      <w:pPr>
        <w:pStyle w:val="40"/>
      </w:pPr>
    </w:p>
    <w:p>
      <w:pPr>
        <w:pStyle w:val="40"/>
      </w:pPr>
    </w:p>
    <w:p>
      <w:pPr>
        <w:pStyle w:val="43"/>
      </w:pPr>
      <w:r>
        <w:rPr>
          <w:rFonts w:hint="eastAsia"/>
        </w:rPr>
        <w:t>供应商名称：</w:t>
      </w:r>
      <w:r>
        <w:rPr>
          <w:rFonts w:hint="eastAsia"/>
          <w:u w:val="single"/>
        </w:rPr>
        <w:t xml:space="preserve">             </w:t>
      </w:r>
      <w:r>
        <w:rPr>
          <w:rFonts w:hint="eastAsia"/>
        </w:rPr>
        <w:t>(盖章)</w:t>
      </w:r>
    </w:p>
    <w:p>
      <w:pPr>
        <w:pStyle w:val="43"/>
      </w:pPr>
      <w:r>
        <w:rPr>
          <w:rFonts w:hint="eastAsia"/>
        </w:rPr>
        <w:t>法定代表人/单位负责人或授权代表：</w:t>
      </w:r>
      <w:r>
        <w:rPr>
          <w:rFonts w:hint="eastAsia"/>
          <w:u w:val="single"/>
        </w:rPr>
        <w:t xml:space="preserve">            </w:t>
      </w:r>
      <w:r>
        <w:rPr>
          <w:rFonts w:hint="eastAsia"/>
        </w:rPr>
        <w:t>(签字或盖章)</w:t>
      </w:r>
    </w:p>
    <w:p>
      <w:pPr>
        <w:pStyle w:val="43"/>
      </w:pPr>
      <w:r>
        <w:rPr>
          <w:rFonts w:hint="eastAsia"/>
        </w:rPr>
        <w:t>磋商日期：</w:t>
      </w:r>
      <w:r>
        <w:rPr>
          <w:rFonts w:hint="eastAsia"/>
          <w:u w:val="single"/>
        </w:rPr>
        <w:t xml:space="preserve">                </w:t>
      </w:r>
      <w:r>
        <w:rPr>
          <w:rFonts w:hint="eastAsia"/>
        </w:rPr>
        <w:t xml:space="preserve">  </w:t>
      </w:r>
    </w:p>
    <w:p>
      <w:pPr>
        <w:pStyle w:val="44"/>
        <w:ind w:firstLine="482"/>
      </w:pPr>
      <w:r>
        <w:rPr>
          <w:rFonts w:hint="eastAsia"/>
        </w:rPr>
        <w:t>注：本部分所要求的承诺函可参照本格式或自拟格式填写均有效。</w:t>
      </w:r>
    </w:p>
    <w:p>
      <w:pPr>
        <w:pStyle w:val="40"/>
      </w:pPr>
    </w:p>
    <w:p>
      <w:pPr>
        <w:pStyle w:val="40"/>
      </w:pPr>
      <w:r>
        <w:rPr>
          <w:rFonts w:hint="eastAsia"/>
        </w:rPr>
        <w:br w:type="page"/>
      </w:r>
      <w:bookmarkStart w:id="298" w:name="_Toc18702"/>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bookmarkStart w:id="299" w:name="_Toc14607"/>
    </w:p>
    <w:p>
      <w:pPr>
        <w:pStyle w:val="40"/>
      </w:pPr>
    </w:p>
    <w:p>
      <w:pPr>
        <w:pStyle w:val="40"/>
      </w:pPr>
    </w:p>
    <w:p>
      <w:pPr>
        <w:pStyle w:val="40"/>
      </w:pPr>
    </w:p>
    <w:p>
      <w:pPr>
        <w:pStyle w:val="32"/>
        <w:numPr>
          <w:ilvl w:val="1"/>
          <w:numId w:val="0"/>
        </w:numPr>
        <w:jc w:val="center"/>
        <w:rPr>
          <w:sz w:val="32"/>
          <w:szCs w:val="32"/>
        </w:rPr>
      </w:pPr>
      <w:bookmarkStart w:id="300" w:name="_Toc12282"/>
      <w:bookmarkStart w:id="301" w:name="_Toc14447"/>
      <w:r>
        <w:rPr>
          <w:rFonts w:hint="eastAsia"/>
          <w:sz w:val="32"/>
          <w:szCs w:val="32"/>
        </w:rPr>
        <w:t>第二部分 其他响应文件(格式)</w:t>
      </w:r>
      <w:bookmarkEnd w:id="299"/>
      <w:bookmarkEnd w:id="300"/>
      <w:bookmarkEnd w:id="301"/>
    </w:p>
    <w:p>
      <w:pPr>
        <w:pStyle w:val="40"/>
      </w:pPr>
      <w:bookmarkStart w:id="302" w:name="_Toc26038"/>
      <w:r>
        <w:rPr>
          <w:rFonts w:hint="eastAsia"/>
        </w:rPr>
        <w:br w:type="page"/>
      </w:r>
    </w:p>
    <w:p>
      <w:pPr>
        <w:pStyle w:val="41"/>
        <w:numPr>
          <w:ilvl w:val="0"/>
          <w:numId w:val="19"/>
        </w:numPr>
        <w:spacing w:before="120" w:after="120"/>
        <w:ind w:firstLine="0"/>
      </w:pPr>
      <w:bookmarkStart w:id="303" w:name="_Toc2311"/>
      <w:bookmarkStart w:id="304" w:name="_Toc24654"/>
      <w:bookmarkStart w:id="305" w:name="_Toc26932"/>
      <w:r>
        <w:rPr>
          <w:rFonts w:hint="eastAsia"/>
        </w:rPr>
        <w:t>磋商函</w:t>
      </w:r>
      <w:bookmarkEnd w:id="298"/>
      <w:bookmarkEnd w:id="302"/>
      <w:bookmarkEnd w:id="303"/>
      <w:bookmarkEnd w:id="304"/>
      <w:bookmarkEnd w:id="305"/>
    </w:p>
    <w:p>
      <w:pPr>
        <w:pStyle w:val="40"/>
        <w:rPr>
          <w:lang w:val="zh-CN"/>
        </w:rPr>
      </w:pPr>
      <w:r>
        <w:rPr>
          <w:rFonts w:hint="eastAsia"/>
          <w:lang w:val="zh-CN"/>
        </w:rPr>
        <w:t>致：成都公恒信工程项目管理有限公司　</w:t>
      </w:r>
    </w:p>
    <w:p>
      <w:pPr>
        <w:pStyle w:val="43"/>
      </w:pPr>
      <w:r>
        <w:rPr>
          <w:rFonts w:hint="eastAsia"/>
        </w:rPr>
        <w:t>我方全面研究了“</w:t>
      </w:r>
      <w:r>
        <w:rPr>
          <w:rFonts w:hint="eastAsia"/>
          <w:u w:val="single"/>
        </w:rPr>
        <w:t xml:space="preserve">               </w:t>
      </w:r>
      <w:r>
        <w:rPr>
          <w:rFonts w:hint="eastAsia"/>
        </w:rPr>
        <w:t>(项目名称)(项目编号：</w:t>
      </w:r>
      <w:r>
        <w:rPr>
          <w:rFonts w:hint="eastAsia"/>
          <w:u w:val="single"/>
        </w:rPr>
        <w:t xml:space="preserve">               </w:t>
      </w:r>
      <w:r>
        <w:rPr>
          <w:rFonts w:hint="eastAsia"/>
        </w:rPr>
        <w:t>)”的磋商文件，决定参加贵单位组织的本项目政府采购活动。我方授权</w:t>
      </w:r>
      <w:r>
        <w:rPr>
          <w:rFonts w:hint="eastAsia"/>
          <w:u w:val="single"/>
        </w:rPr>
        <w:t xml:space="preserve">               </w:t>
      </w:r>
      <w:r>
        <w:rPr>
          <w:rFonts w:hint="eastAsia"/>
        </w:rPr>
        <w:t>(姓名、职务)代表我方</w:t>
      </w:r>
      <w:r>
        <w:rPr>
          <w:rFonts w:hint="eastAsia"/>
          <w:u w:val="single"/>
        </w:rPr>
        <w:t xml:space="preserve">               </w:t>
      </w:r>
      <w:r>
        <w:rPr>
          <w:rFonts w:hint="eastAsia"/>
        </w:rPr>
        <w:t>(供应商名称)全权处理本项目磋商的有关事宜。</w:t>
      </w:r>
    </w:p>
    <w:p>
      <w:pPr>
        <w:pStyle w:val="33"/>
        <w:numPr>
          <w:ilvl w:val="2"/>
          <w:numId w:val="20"/>
        </w:numPr>
        <w:ind w:firstLine="480"/>
      </w:pPr>
      <w:r>
        <w:rPr>
          <w:rFonts w:hint="eastAsia"/>
        </w:rPr>
        <w:t>我方自愿按照磋商文件规定的各项要求向采购人提供所需相应服务，履约时间为</w:t>
      </w:r>
      <w:r>
        <w:rPr>
          <w:rFonts w:hint="eastAsia"/>
          <w:u w:val="single"/>
        </w:rPr>
        <w:t xml:space="preserve">            </w:t>
      </w:r>
      <w:r>
        <w:rPr>
          <w:rFonts w:hint="eastAsia"/>
        </w:rPr>
        <w:t>。</w:t>
      </w:r>
    </w:p>
    <w:p>
      <w:pPr>
        <w:pStyle w:val="33"/>
        <w:numPr>
          <w:ilvl w:val="2"/>
          <w:numId w:val="20"/>
        </w:numPr>
        <w:ind w:firstLine="480"/>
      </w:pPr>
      <w:r>
        <w:rPr>
          <w:rFonts w:hint="eastAsia"/>
        </w:rPr>
        <w:t>我方承诺：磋商有效期为</w:t>
      </w:r>
      <w:r>
        <w:rPr>
          <w:rFonts w:hint="eastAsia"/>
          <w:u w:val="single"/>
        </w:rPr>
        <w:t xml:space="preserve">                    </w:t>
      </w:r>
      <w:r>
        <w:rPr>
          <w:rFonts w:hint="eastAsia"/>
        </w:rPr>
        <w:t>，在此期间内不修改、撤销响应文件。</w:t>
      </w:r>
    </w:p>
    <w:p>
      <w:pPr>
        <w:pStyle w:val="33"/>
        <w:numPr>
          <w:ilvl w:val="2"/>
          <w:numId w:val="20"/>
        </w:numPr>
        <w:ind w:firstLine="480"/>
      </w:pPr>
      <w:r>
        <w:rPr>
          <w:rFonts w:hint="eastAsia"/>
        </w:rPr>
        <w:t>如我方成交：</w:t>
      </w:r>
    </w:p>
    <w:p>
      <w:pPr>
        <w:pStyle w:val="34"/>
        <w:ind w:firstLine="480"/>
      </w:pPr>
      <w:r>
        <w:rPr>
          <w:rFonts w:hint="eastAsia"/>
        </w:rPr>
        <w:t>我方承诺在收到成交通知书后，在规定的期限内与采购人签订合同。</w:t>
      </w:r>
    </w:p>
    <w:p>
      <w:pPr>
        <w:pStyle w:val="34"/>
        <w:ind w:firstLine="480"/>
      </w:pPr>
      <w:r>
        <w:rPr>
          <w:rFonts w:hint="eastAsia"/>
        </w:rPr>
        <w:t>我方将严格履行政府采购合同规定的责任和义务。</w:t>
      </w:r>
    </w:p>
    <w:p>
      <w:pPr>
        <w:pStyle w:val="34"/>
        <w:ind w:firstLine="480"/>
      </w:pPr>
      <w:r>
        <w:rPr>
          <w:rFonts w:hint="eastAsia"/>
        </w:rPr>
        <w:t>我方愿意提供贵单位可能另外要求的，与磋商报价有关的文件资料，并保证我方已提供和将要提供的文件资料是真实、准确的。</w:t>
      </w:r>
    </w:p>
    <w:p>
      <w:pPr>
        <w:pStyle w:val="34"/>
        <w:ind w:firstLine="480"/>
      </w:pPr>
      <w:r>
        <w:rPr>
          <w:rFonts w:hint="eastAsia"/>
        </w:rPr>
        <w:t>我方自愿按照磋商文件规定的各项要求完成采购项目，最后报价以《最后报价表》为准，接受采购人按照政府采购合同约定金额支付采购资金。</w:t>
      </w:r>
    </w:p>
    <w:p>
      <w:pPr>
        <w:pStyle w:val="34"/>
        <w:ind w:firstLine="480"/>
      </w:pPr>
      <w:r>
        <w:rPr>
          <w:rFonts w:hint="eastAsia"/>
          <w:u w:val="single"/>
        </w:rPr>
        <w:t xml:space="preserve">                        </w:t>
      </w:r>
      <w:r>
        <w:rPr>
          <w:rFonts w:hint="eastAsia"/>
        </w:rPr>
        <w:t>(其他补充说明)。</w:t>
      </w:r>
    </w:p>
    <w:p>
      <w:pPr>
        <w:pStyle w:val="33"/>
        <w:numPr>
          <w:ilvl w:val="2"/>
          <w:numId w:val="20"/>
        </w:numPr>
        <w:ind w:firstLine="480"/>
      </w:pPr>
      <w:r>
        <w:rPr>
          <w:rFonts w:hint="eastAsia"/>
        </w:rPr>
        <w:t>完全接受磋商文件中规定的实质性要求，如对磋商文件有异议，已经在响应文件递交截止时间届满前依法进行维权救济，不存在对磋商文件有异议的同时又参加磋商以求侥幸成交或者为实现其他非法目的的行为。</w:t>
      </w:r>
    </w:p>
    <w:p>
      <w:pPr>
        <w:pStyle w:val="40"/>
        <w:ind w:firstLine="480" w:firstLineChars="200"/>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0"/>
        <w:ind w:firstLine="480" w:firstLineChars="200"/>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0"/>
        <w:ind w:firstLine="480" w:firstLineChars="200"/>
      </w:pPr>
      <w:r>
        <w:rPr>
          <w:rFonts w:hint="eastAsia"/>
        </w:rPr>
        <w:t>通讯地址：</w:t>
      </w:r>
      <w:r>
        <w:rPr>
          <w:rFonts w:hint="eastAsia" w:asciiTheme="minorEastAsia" w:hAnsiTheme="minorEastAsia" w:eastAsiaTheme="minorEastAsia" w:cstheme="minorEastAsia"/>
          <w:bCs/>
          <w:u w:val="single"/>
        </w:rPr>
        <w:t xml:space="preserve">               </w:t>
      </w:r>
      <w:r>
        <w:rPr>
          <w:rFonts w:hint="eastAsia"/>
        </w:rPr>
        <w:t xml:space="preserve">               </w:t>
      </w:r>
    </w:p>
    <w:p>
      <w:pPr>
        <w:pStyle w:val="40"/>
        <w:ind w:firstLine="480" w:firstLineChars="200"/>
      </w:pPr>
      <w:r>
        <w:rPr>
          <w:rFonts w:hint="eastAsia"/>
        </w:rPr>
        <w:t>邮政编码：</w:t>
      </w:r>
      <w:r>
        <w:rPr>
          <w:rFonts w:hint="eastAsia" w:asciiTheme="minorEastAsia" w:hAnsiTheme="minorEastAsia" w:eastAsiaTheme="minorEastAsia" w:cstheme="minorEastAsia"/>
          <w:bCs/>
          <w:u w:val="single"/>
        </w:rPr>
        <w:t xml:space="preserve">               </w:t>
      </w:r>
      <w:r>
        <w:rPr>
          <w:rFonts w:hint="eastAsia"/>
        </w:rPr>
        <w:t xml:space="preserve">               </w:t>
      </w:r>
    </w:p>
    <w:p>
      <w:pPr>
        <w:pStyle w:val="40"/>
        <w:ind w:firstLine="480" w:firstLineChars="200"/>
      </w:pPr>
      <w:r>
        <w:rPr>
          <w:rFonts w:hint="eastAsia"/>
        </w:rPr>
        <w:t>联系电话：</w:t>
      </w:r>
      <w:r>
        <w:rPr>
          <w:rFonts w:hint="eastAsia" w:asciiTheme="minorEastAsia" w:hAnsiTheme="minorEastAsia" w:eastAsiaTheme="minorEastAsia" w:cstheme="minorEastAsia"/>
          <w:bCs/>
          <w:u w:val="single"/>
        </w:rPr>
        <w:t xml:space="preserve">               </w:t>
      </w:r>
      <w:r>
        <w:rPr>
          <w:rFonts w:hint="eastAsia"/>
        </w:rPr>
        <w:t xml:space="preserve">               </w:t>
      </w:r>
    </w:p>
    <w:p>
      <w:pPr>
        <w:pStyle w:val="40"/>
        <w:ind w:firstLine="480" w:firstLineChars="200"/>
      </w:pPr>
      <w:r>
        <w:rPr>
          <w:rFonts w:hint="eastAsia"/>
        </w:rPr>
        <w:t>传    真：</w:t>
      </w:r>
      <w:r>
        <w:rPr>
          <w:rFonts w:hint="eastAsia" w:asciiTheme="minorEastAsia" w:hAnsiTheme="minorEastAsia" w:eastAsiaTheme="minorEastAsia" w:cstheme="minorEastAsia"/>
          <w:bCs/>
          <w:u w:val="single"/>
        </w:rPr>
        <w:t xml:space="preserve">               </w:t>
      </w:r>
      <w:r>
        <w:rPr>
          <w:rFonts w:hint="eastAsia"/>
        </w:rPr>
        <w:t xml:space="preserve">               </w:t>
      </w:r>
    </w:p>
    <w:p>
      <w:pPr>
        <w:pStyle w:val="40"/>
        <w:ind w:firstLine="480" w:firstLineChars="200"/>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bookmarkStart w:id="306" w:name="_Toc3690"/>
      <w:bookmarkStart w:id="307" w:name="_Toc302997926"/>
      <w:bookmarkStart w:id="308" w:name="_Toc5912"/>
      <w:bookmarkStart w:id="309" w:name="_Toc6982"/>
      <w:bookmarkStart w:id="310" w:name="_Toc10493"/>
      <w:bookmarkStart w:id="311" w:name="_Toc439161752"/>
      <w:r>
        <w:rPr>
          <w:rFonts w:hint="eastAsia"/>
        </w:rPr>
        <w:br w:type="page"/>
      </w:r>
    </w:p>
    <w:p>
      <w:pPr>
        <w:pStyle w:val="41"/>
        <w:numPr>
          <w:ilvl w:val="0"/>
          <w:numId w:val="19"/>
        </w:numPr>
        <w:spacing w:before="120" w:after="120"/>
        <w:ind w:firstLine="0"/>
      </w:pPr>
      <w:bookmarkStart w:id="312" w:name="_Toc22640"/>
      <w:bookmarkStart w:id="313" w:name="_Toc8556"/>
      <w:bookmarkStart w:id="314" w:name="_Toc8586"/>
      <w:r>
        <w:rPr>
          <w:rFonts w:hint="eastAsia"/>
        </w:rPr>
        <w:t>承诺函(实质性要求</w:t>
      </w:r>
      <w:bookmarkEnd w:id="312"/>
      <w:r>
        <w:rPr>
          <w:rFonts w:hint="eastAsia"/>
        </w:rPr>
        <w:t>)</w:t>
      </w:r>
      <w:bookmarkEnd w:id="313"/>
      <w:bookmarkEnd w:id="314"/>
    </w:p>
    <w:p>
      <w:pPr>
        <w:pStyle w:val="40"/>
      </w:pPr>
      <w:r>
        <w:rPr>
          <w:rFonts w:hint="eastAsia"/>
          <w:u w:val="single"/>
        </w:rPr>
        <w:t xml:space="preserve">                   </w:t>
      </w:r>
      <w:r>
        <w:rPr>
          <w:rFonts w:hint="eastAsia"/>
        </w:rPr>
        <w:t>(采购代理机构名称)：</w:t>
      </w:r>
    </w:p>
    <w:p>
      <w:pPr>
        <w:pStyle w:val="43"/>
      </w:pPr>
      <w:r>
        <w:rPr>
          <w:rFonts w:hint="eastAsia"/>
        </w:rPr>
        <w:t>我方作为本次采购项目的供应商，根据磋商文件要求，现郑重承诺及声明如下：</w:t>
      </w:r>
    </w:p>
    <w:p>
      <w:pPr>
        <w:pStyle w:val="33"/>
        <w:numPr>
          <w:ilvl w:val="2"/>
          <w:numId w:val="21"/>
        </w:numPr>
        <w:ind w:firstLine="480"/>
      </w:pPr>
      <w:r>
        <w:rPr>
          <w:rFonts w:hint="eastAsia"/>
        </w:rPr>
        <w:t>我方已认真阅读并接受本项目磋商文件的全部实质性要求。</w:t>
      </w:r>
    </w:p>
    <w:p>
      <w:pPr>
        <w:pStyle w:val="33"/>
        <w:numPr>
          <w:ilvl w:val="2"/>
          <w:numId w:val="21"/>
        </w:numPr>
        <w:ind w:firstLine="480"/>
      </w:pPr>
      <w:r>
        <w:rPr>
          <w:rFonts w:hint="eastAsia"/>
        </w:rPr>
        <w:t>我方参加本次采购活动，不存在与单位负责人为同一人或者存在直接控股、管理关系的其他供应商参与同一合同项下的政府采购活动的行为。与我方存在直接控股关系的单位为：</w:t>
      </w:r>
      <w:r>
        <w:rPr>
          <w:rFonts w:hint="eastAsia"/>
          <w:u w:val="single"/>
        </w:rPr>
        <w:t xml:space="preserve">                  </w:t>
      </w:r>
      <w:r>
        <w:rPr>
          <w:rFonts w:hint="eastAsia"/>
        </w:rPr>
        <w:t>；存在管理关系的单位为：</w:t>
      </w:r>
      <w:r>
        <w:rPr>
          <w:rFonts w:hint="eastAsia"/>
          <w:u w:val="single"/>
        </w:rPr>
        <w:t xml:space="preserve">                      </w:t>
      </w:r>
      <w:r>
        <w:rPr>
          <w:rFonts w:hint="eastAsia"/>
        </w:rPr>
        <w:t>(如不存在直接控股、管理关系的相关供应商填“无”)。</w:t>
      </w:r>
    </w:p>
    <w:p>
      <w:pPr>
        <w:pStyle w:val="33"/>
        <w:numPr>
          <w:ilvl w:val="2"/>
          <w:numId w:val="21"/>
        </w:numPr>
        <w:ind w:firstLine="480"/>
      </w:pPr>
      <w:r>
        <w:rPr>
          <w:rFonts w:hint="eastAsia"/>
        </w:rPr>
        <w:t>我方参加本次采购活动前本单位未对本次采购项目提供过整体设计、规范编制或者项目管理、监理、检测等服务。</w:t>
      </w:r>
    </w:p>
    <w:p>
      <w:pPr>
        <w:pStyle w:val="33"/>
        <w:numPr>
          <w:ilvl w:val="2"/>
          <w:numId w:val="21"/>
        </w:numPr>
        <w:ind w:firstLine="480"/>
      </w:pPr>
      <w:r>
        <w:rPr>
          <w:rFonts w:hint="eastAsia"/>
        </w:rPr>
        <w:t>我方参加本次采购活动，不存在我单位实际控制人或者中高级管理人员是本项目采购代理机构的工作人员的情形。</w:t>
      </w:r>
    </w:p>
    <w:p>
      <w:pPr>
        <w:pStyle w:val="33"/>
        <w:numPr>
          <w:ilvl w:val="2"/>
          <w:numId w:val="21"/>
        </w:numPr>
        <w:ind w:firstLine="480"/>
      </w:pPr>
      <w:r>
        <w:rPr>
          <w:rFonts w:hint="eastAsia"/>
        </w:rPr>
        <w:t>我方参加本次采购活动，不存在同一母公司的两家以上的子公司以不同供应商身份同时参加本项目同一合同项下的采购活动的情形。</w:t>
      </w:r>
    </w:p>
    <w:p>
      <w:pPr>
        <w:pStyle w:val="33"/>
        <w:numPr>
          <w:ilvl w:val="2"/>
          <w:numId w:val="21"/>
        </w:numPr>
        <w:ind w:firstLine="480"/>
      </w:pPr>
      <w:r>
        <w:rPr>
          <w:rFonts w:hint="eastAsia"/>
        </w:rPr>
        <w:t>我方参加本次采购活动，与采购代理机构不存在关联关系，不为采购代理机构的母公司或子公司。</w:t>
      </w:r>
    </w:p>
    <w:p>
      <w:pPr>
        <w:pStyle w:val="33"/>
        <w:numPr>
          <w:ilvl w:val="2"/>
          <w:numId w:val="21"/>
        </w:numPr>
        <w:ind w:firstLine="480"/>
      </w:pPr>
      <w:r>
        <w:rPr>
          <w:rFonts w:hint="eastAsia"/>
        </w:rPr>
        <w:t>我方参加本次采购活动，不存在和其他供应商在同一合同项下的采购项目中，同时委托同一个自然人、同一家庭的人员、同一单位的人员作为代理人的行为。</w:t>
      </w:r>
    </w:p>
    <w:p>
      <w:pPr>
        <w:pStyle w:val="33"/>
        <w:numPr>
          <w:ilvl w:val="2"/>
          <w:numId w:val="21"/>
        </w:numPr>
        <w:ind w:firstLine="480"/>
      </w:pPr>
      <w:r>
        <w:rPr>
          <w:rFonts w:hint="eastAsia"/>
        </w:rPr>
        <w:t>我方响应文件中提供的任何资料和技术、服务、商务等响应承诺情况都是真实的、有效的、合法的。</w:t>
      </w:r>
    </w:p>
    <w:p>
      <w:pPr>
        <w:pStyle w:val="33"/>
        <w:numPr>
          <w:ilvl w:val="2"/>
          <w:numId w:val="21"/>
        </w:numPr>
        <w:ind w:firstLine="480"/>
      </w:pPr>
      <w:r>
        <w:rPr>
          <w:rFonts w:hint="eastAsia"/>
        </w:rPr>
        <w:t>我方参加本次采购活动，我方完全同意磋商文件中关于“磋商费用”、“合同分包”、“合同转包”等实质性要求，并承诺严格按照磋商文件要求履行。</w:t>
      </w:r>
    </w:p>
    <w:p>
      <w:pPr>
        <w:pStyle w:val="33"/>
        <w:numPr>
          <w:ilvl w:val="2"/>
          <w:numId w:val="21"/>
        </w:numPr>
        <w:ind w:firstLine="480"/>
      </w:pPr>
      <w:r>
        <w:rPr>
          <w:rFonts w:hint="eastAsia"/>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t>承诺</w:t>
      </w:r>
      <w:r>
        <w:rPr>
          <w:rFonts w:hint="eastAsia"/>
        </w:rPr>
        <w:t>提供相关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33"/>
        <w:numPr>
          <w:ilvl w:val="2"/>
          <w:numId w:val="21"/>
        </w:numPr>
        <w:ind w:firstLine="480"/>
      </w:pPr>
      <w:r>
        <w:rPr>
          <w:rFonts w:hint="eastAsia"/>
        </w:rPr>
        <w:t>本项目如涉及3C认证产品的，我方参加磋商所提供的产品均满足相关要求，承诺在成交后签订采购合同时向采购人提供加盖供应商公章的3C证书复印件。</w:t>
      </w:r>
    </w:p>
    <w:p>
      <w:pPr>
        <w:pStyle w:val="43"/>
      </w:pPr>
      <w:r>
        <w:rPr>
          <w:rFonts w:hint="eastAsia"/>
        </w:rPr>
        <w:t>本公司对上述承诺的内容事项真实性、合法性负责。如经查实上述承诺的内容事项存在虚假，我公司自愿接受以提供虚假材料谋取成交所带来的所有法律责任。</w:t>
      </w:r>
    </w:p>
    <w:p>
      <w:pPr>
        <w:pStyle w:val="40"/>
      </w:pPr>
    </w:p>
    <w:p>
      <w:pPr>
        <w:pStyle w:val="43"/>
      </w:pPr>
      <w:r>
        <w:rPr>
          <w:rFonts w:hint="eastAsia"/>
        </w:rPr>
        <w:t>供应商名称：</w:t>
      </w:r>
      <w:r>
        <w:rPr>
          <w:rFonts w:hint="eastAsia"/>
          <w:u w:val="single"/>
        </w:rPr>
        <w:t xml:space="preserve">               </w:t>
      </w:r>
      <w:r>
        <w:rPr>
          <w:rFonts w:hint="eastAsia"/>
        </w:rPr>
        <w:t>(盖章)</w:t>
      </w:r>
    </w:p>
    <w:p>
      <w:pPr>
        <w:pStyle w:val="43"/>
      </w:pPr>
      <w:r>
        <w:rPr>
          <w:rFonts w:hint="eastAsia"/>
        </w:rPr>
        <w:t>法定代表人/单位负责人或授权代表：</w:t>
      </w:r>
      <w:r>
        <w:rPr>
          <w:rFonts w:hint="eastAsia"/>
          <w:u w:val="single"/>
        </w:rPr>
        <w:t xml:space="preserve">            </w:t>
      </w:r>
      <w:r>
        <w:rPr>
          <w:rFonts w:hint="eastAsia"/>
        </w:rPr>
        <w:t>(签字或盖章)</w:t>
      </w:r>
    </w:p>
    <w:p>
      <w:pPr>
        <w:pStyle w:val="43"/>
      </w:pPr>
      <w:r>
        <w:rPr>
          <w:rFonts w:hint="eastAsia"/>
        </w:rPr>
        <w:t>磋商日期：</w:t>
      </w:r>
      <w:r>
        <w:rPr>
          <w:rFonts w:hint="eastAsia"/>
          <w:u w:val="single"/>
        </w:rPr>
        <w:t xml:space="preserve">                  </w:t>
      </w:r>
    </w:p>
    <w:p>
      <w:r>
        <w:rPr>
          <w:rFonts w:hint="eastAsia"/>
        </w:rPr>
        <w:br w:type="page"/>
      </w:r>
    </w:p>
    <w:p>
      <w:pPr>
        <w:pStyle w:val="41"/>
        <w:numPr>
          <w:ilvl w:val="0"/>
          <w:numId w:val="19"/>
        </w:numPr>
        <w:spacing w:before="120" w:after="120"/>
        <w:ind w:firstLine="0"/>
      </w:pPr>
      <w:bookmarkStart w:id="315" w:name="_Toc25299"/>
      <w:bookmarkStart w:id="316" w:name="_Toc4269"/>
      <w:r>
        <w:rPr>
          <w:rFonts w:hint="eastAsia"/>
        </w:rPr>
        <w:t>供应商基本情况表</w:t>
      </w:r>
      <w:bookmarkEnd w:id="306"/>
      <w:bookmarkEnd w:id="307"/>
      <w:bookmarkEnd w:id="308"/>
      <w:bookmarkEnd w:id="309"/>
      <w:bookmarkEnd w:id="310"/>
      <w:bookmarkEnd w:id="311"/>
      <w:bookmarkEnd w:id="315"/>
      <w:bookmarkEnd w:id="316"/>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2"/>
              <w:spacing w:line="480" w:lineRule="exact"/>
            </w:pPr>
            <w:r>
              <w:rPr>
                <w:rFonts w:hint="eastAsia"/>
              </w:rPr>
              <w:t>供应商名称</w:t>
            </w:r>
          </w:p>
        </w:tc>
        <w:tc>
          <w:tcPr>
            <w:tcW w:w="8186" w:type="dxa"/>
            <w:gridSpan w:val="7"/>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2"/>
              <w:spacing w:line="480" w:lineRule="exact"/>
            </w:pPr>
            <w:r>
              <w:rPr>
                <w:rFonts w:hint="eastAsia"/>
              </w:rPr>
              <w:t>注册地址</w:t>
            </w:r>
          </w:p>
        </w:tc>
        <w:tc>
          <w:tcPr>
            <w:tcW w:w="4012" w:type="dxa"/>
            <w:gridSpan w:val="3"/>
            <w:vAlign w:val="center"/>
          </w:tcPr>
          <w:p>
            <w:pPr>
              <w:pStyle w:val="42"/>
              <w:spacing w:line="480" w:lineRule="exact"/>
            </w:pPr>
          </w:p>
        </w:tc>
        <w:tc>
          <w:tcPr>
            <w:tcW w:w="1548" w:type="dxa"/>
            <w:vAlign w:val="center"/>
          </w:tcPr>
          <w:p>
            <w:pPr>
              <w:pStyle w:val="42"/>
              <w:spacing w:line="480" w:lineRule="exact"/>
            </w:pPr>
            <w:r>
              <w:rPr>
                <w:rFonts w:hint="eastAsia"/>
              </w:rPr>
              <w:t>邮政编码</w:t>
            </w:r>
          </w:p>
        </w:tc>
        <w:tc>
          <w:tcPr>
            <w:tcW w:w="2626" w:type="dxa"/>
            <w:gridSpan w:val="3"/>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2"/>
              <w:spacing w:line="480" w:lineRule="exact"/>
            </w:pPr>
            <w:r>
              <w:rPr>
                <w:rFonts w:hint="eastAsia"/>
              </w:rPr>
              <w:t>联系方式</w:t>
            </w:r>
          </w:p>
        </w:tc>
        <w:tc>
          <w:tcPr>
            <w:tcW w:w="1125" w:type="dxa"/>
            <w:vAlign w:val="center"/>
          </w:tcPr>
          <w:p>
            <w:pPr>
              <w:pStyle w:val="42"/>
              <w:spacing w:line="480" w:lineRule="exact"/>
            </w:pPr>
            <w:r>
              <w:rPr>
                <w:rFonts w:hint="eastAsia"/>
              </w:rPr>
              <w:t>联系人</w:t>
            </w:r>
          </w:p>
        </w:tc>
        <w:tc>
          <w:tcPr>
            <w:tcW w:w="2887" w:type="dxa"/>
            <w:gridSpan w:val="2"/>
            <w:vAlign w:val="center"/>
          </w:tcPr>
          <w:p>
            <w:pPr>
              <w:pStyle w:val="42"/>
              <w:spacing w:line="480" w:lineRule="exact"/>
            </w:pPr>
          </w:p>
        </w:tc>
        <w:tc>
          <w:tcPr>
            <w:tcW w:w="1548" w:type="dxa"/>
            <w:vAlign w:val="center"/>
          </w:tcPr>
          <w:p>
            <w:pPr>
              <w:pStyle w:val="42"/>
              <w:spacing w:line="480" w:lineRule="exact"/>
            </w:pPr>
            <w:r>
              <w:rPr>
                <w:rFonts w:hint="eastAsia"/>
              </w:rPr>
              <w:t>电话</w:t>
            </w:r>
          </w:p>
        </w:tc>
        <w:tc>
          <w:tcPr>
            <w:tcW w:w="2626" w:type="dxa"/>
            <w:gridSpan w:val="3"/>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2"/>
              <w:spacing w:line="480" w:lineRule="exact"/>
            </w:pPr>
          </w:p>
        </w:tc>
        <w:tc>
          <w:tcPr>
            <w:tcW w:w="1125" w:type="dxa"/>
            <w:vAlign w:val="center"/>
          </w:tcPr>
          <w:p>
            <w:pPr>
              <w:pStyle w:val="42"/>
              <w:spacing w:line="480" w:lineRule="exact"/>
            </w:pPr>
            <w:r>
              <w:rPr>
                <w:rFonts w:hint="eastAsia"/>
              </w:rPr>
              <w:t>传真</w:t>
            </w:r>
          </w:p>
        </w:tc>
        <w:tc>
          <w:tcPr>
            <w:tcW w:w="2887" w:type="dxa"/>
            <w:gridSpan w:val="2"/>
            <w:vAlign w:val="center"/>
          </w:tcPr>
          <w:p>
            <w:pPr>
              <w:pStyle w:val="42"/>
              <w:spacing w:line="480" w:lineRule="exact"/>
            </w:pPr>
          </w:p>
        </w:tc>
        <w:tc>
          <w:tcPr>
            <w:tcW w:w="1548" w:type="dxa"/>
            <w:vAlign w:val="center"/>
          </w:tcPr>
          <w:p>
            <w:pPr>
              <w:pStyle w:val="42"/>
              <w:spacing w:line="480" w:lineRule="exact"/>
            </w:pPr>
            <w:r>
              <w:rPr>
                <w:rFonts w:hint="eastAsia"/>
              </w:rPr>
              <w:t>网址</w:t>
            </w:r>
          </w:p>
        </w:tc>
        <w:tc>
          <w:tcPr>
            <w:tcW w:w="2626" w:type="dxa"/>
            <w:gridSpan w:val="3"/>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2"/>
              <w:spacing w:line="480" w:lineRule="exact"/>
            </w:pPr>
            <w:r>
              <w:rPr>
                <w:rFonts w:hint="eastAsia"/>
              </w:rPr>
              <w:t>法定代表人</w:t>
            </w:r>
          </w:p>
        </w:tc>
        <w:tc>
          <w:tcPr>
            <w:tcW w:w="1125" w:type="dxa"/>
            <w:vAlign w:val="center"/>
          </w:tcPr>
          <w:p>
            <w:pPr>
              <w:pStyle w:val="42"/>
              <w:spacing w:line="480" w:lineRule="exact"/>
            </w:pPr>
            <w:r>
              <w:rPr>
                <w:rFonts w:hint="eastAsia"/>
              </w:rPr>
              <w:t>姓名</w:t>
            </w:r>
          </w:p>
        </w:tc>
        <w:tc>
          <w:tcPr>
            <w:tcW w:w="1432" w:type="dxa"/>
            <w:vAlign w:val="center"/>
          </w:tcPr>
          <w:p>
            <w:pPr>
              <w:pStyle w:val="42"/>
              <w:spacing w:line="480" w:lineRule="exact"/>
            </w:pPr>
          </w:p>
        </w:tc>
        <w:tc>
          <w:tcPr>
            <w:tcW w:w="1455" w:type="dxa"/>
            <w:vAlign w:val="center"/>
          </w:tcPr>
          <w:p>
            <w:pPr>
              <w:pStyle w:val="42"/>
              <w:spacing w:line="480" w:lineRule="exact"/>
            </w:pPr>
            <w:r>
              <w:rPr>
                <w:rFonts w:hint="eastAsia"/>
              </w:rPr>
              <w:t>技术职称</w:t>
            </w:r>
          </w:p>
        </w:tc>
        <w:tc>
          <w:tcPr>
            <w:tcW w:w="1548" w:type="dxa"/>
            <w:vAlign w:val="center"/>
          </w:tcPr>
          <w:p>
            <w:pPr>
              <w:pStyle w:val="42"/>
              <w:spacing w:line="480" w:lineRule="exact"/>
            </w:pPr>
          </w:p>
        </w:tc>
        <w:tc>
          <w:tcPr>
            <w:tcW w:w="1364" w:type="dxa"/>
            <w:gridSpan w:val="2"/>
            <w:vAlign w:val="center"/>
          </w:tcPr>
          <w:p>
            <w:pPr>
              <w:pStyle w:val="42"/>
              <w:spacing w:line="480" w:lineRule="exact"/>
            </w:pPr>
            <w:r>
              <w:rPr>
                <w:rFonts w:hint="eastAsia"/>
              </w:rPr>
              <w:t>电话</w:t>
            </w:r>
          </w:p>
        </w:tc>
        <w:tc>
          <w:tcPr>
            <w:tcW w:w="1262" w:type="dxa"/>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2"/>
              <w:spacing w:line="480" w:lineRule="exact"/>
            </w:pPr>
            <w:r>
              <w:rPr>
                <w:rFonts w:hint="eastAsia"/>
              </w:rPr>
              <w:t>技术负责人</w:t>
            </w:r>
          </w:p>
        </w:tc>
        <w:tc>
          <w:tcPr>
            <w:tcW w:w="1125" w:type="dxa"/>
            <w:vAlign w:val="center"/>
          </w:tcPr>
          <w:p>
            <w:pPr>
              <w:pStyle w:val="42"/>
              <w:spacing w:line="480" w:lineRule="exact"/>
            </w:pPr>
            <w:r>
              <w:rPr>
                <w:rFonts w:hint="eastAsia"/>
              </w:rPr>
              <w:t>姓名</w:t>
            </w:r>
          </w:p>
        </w:tc>
        <w:tc>
          <w:tcPr>
            <w:tcW w:w="1432" w:type="dxa"/>
            <w:vAlign w:val="center"/>
          </w:tcPr>
          <w:p>
            <w:pPr>
              <w:pStyle w:val="42"/>
              <w:spacing w:line="480" w:lineRule="exact"/>
            </w:pPr>
          </w:p>
        </w:tc>
        <w:tc>
          <w:tcPr>
            <w:tcW w:w="1455" w:type="dxa"/>
            <w:vAlign w:val="center"/>
          </w:tcPr>
          <w:p>
            <w:pPr>
              <w:pStyle w:val="42"/>
              <w:spacing w:line="480" w:lineRule="exact"/>
            </w:pPr>
            <w:r>
              <w:rPr>
                <w:rFonts w:hint="eastAsia"/>
              </w:rPr>
              <w:t>技术职称</w:t>
            </w:r>
          </w:p>
        </w:tc>
        <w:tc>
          <w:tcPr>
            <w:tcW w:w="1548" w:type="dxa"/>
            <w:vAlign w:val="center"/>
          </w:tcPr>
          <w:p>
            <w:pPr>
              <w:pStyle w:val="42"/>
              <w:spacing w:line="480" w:lineRule="exact"/>
            </w:pPr>
          </w:p>
        </w:tc>
        <w:tc>
          <w:tcPr>
            <w:tcW w:w="1364" w:type="dxa"/>
            <w:gridSpan w:val="2"/>
            <w:vAlign w:val="center"/>
          </w:tcPr>
          <w:p>
            <w:pPr>
              <w:pStyle w:val="42"/>
              <w:spacing w:line="480" w:lineRule="exact"/>
            </w:pPr>
            <w:r>
              <w:rPr>
                <w:rFonts w:hint="eastAsia"/>
              </w:rPr>
              <w:t>电话</w:t>
            </w:r>
          </w:p>
        </w:tc>
        <w:tc>
          <w:tcPr>
            <w:tcW w:w="1262" w:type="dxa"/>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2"/>
              <w:spacing w:line="480" w:lineRule="exact"/>
            </w:pPr>
            <w:r>
              <w:rPr>
                <w:rFonts w:hint="eastAsia"/>
              </w:rPr>
              <w:t>成立时间</w:t>
            </w:r>
          </w:p>
        </w:tc>
        <w:tc>
          <w:tcPr>
            <w:tcW w:w="2557" w:type="dxa"/>
            <w:gridSpan w:val="2"/>
            <w:vAlign w:val="center"/>
          </w:tcPr>
          <w:p>
            <w:pPr>
              <w:pStyle w:val="42"/>
              <w:spacing w:line="480" w:lineRule="exact"/>
            </w:pPr>
          </w:p>
        </w:tc>
        <w:tc>
          <w:tcPr>
            <w:tcW w:w="5629" w:type="dxa"/>
            <w:gridSpan w:val="5"/>
            <w:vAlign w:val="center"/>
          </w:tcPr>
          <w:p>
            <w:pPr>
              <w:pStyle w:val="42"/>
              <w:spacing w:line="480" w:lineRule="exact"/>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2"/>
              <w:spacing w:line="480" w:lineRule="exact"/>
            </w:pPr>
            <w:r>
              <w:rPr>
                <w:rFonts w:hint="eastAsia"/>
              </w:rPr>
              <w:t>企业资质等级</w:t>
            </w:r>
          </w:p>
        </w:tc>
        <w:tc>
          <w:tcPr>
            <w:tcW w:w="2557" w:type="dxa"/>
            <w:gridSpan w:val="2"/>
            <w:vAlign w:val="center"/>
          </w:tcPr>
          <w:p>
            <w:pPr>
              <w:pStyle w:val="42"/>
              <w:spacing w:line="480" w:lineRule="exact"/>
            </w:pPr>
          </w:p>
        </w:tc>
        <w:tc>
          <w:tcPr>
            <w:tcW w:w="1455" w:type="dxa"/>
            <w:vMerge w:val="restart"/>
            <w:vAlign w:val="center"/>
          </w:tcPr>
          <w:p>
            <w:pPr>
              <w:pStyle w:val="42"/>
              <w:spacing w:line="480" w:lineRule="exact"/>
            </w:pPr>
            <w:r>
              <w:rPr>
                <w:rFonts w:hint="eastAsia"/>
              </w:rPr>
              <w:t>其中</w:t>
            </w:r>
          </w:p>
        </w:tc>
        <w:tc>
          <w:tcPr>
            <w:tcW w:w="1734" w:type="dxa"/>
            <w:gridSpan w:val="2"/>
            <w:vAlign w:val="center"/>
          </w:tcPr>
          <w:p>
            <w:pPr>
              <w:pStyle w:val="42"/>
              <w:spacing w:line="480" w:lineRule="exact"/>
            </w:pPr>
            <w:r>
              <w:rPr>
                <w:rFonts w:hint="eastAsia"/>
              </w:rPr>
              <w:t>项目经理</w:t>
            </w:r>
          </w:p>
        </w:tc>
        <w:tc>
          <w:tcPr>
            <w:tcW w:w="2440" w:type="dxa"/>
            <w:gridSpan w:val="2"/>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2"/>
              <w:spacing w:line="480" w:lineRule="exact"/>
            </w:pPr>
            <w:r>
              <w:rPr>
                <w:rFonts w:hint="eastAsia"/>
              </w:rPr>
              <w:t>营业执照号/统一社会信用代码</w:t>
            </w:r>
          </w:p>
        </w:tc>
        <w:tc>
          <w:tcPr>
            <w:tcW w:w="2557" w:type="dxa"/>
            <w:gridSpan w:val="2"/>
            <w:vAlign w:val="center"/>
          </w:tcPr>
          <w:p>
            <w:pPr>
              <w:pStyle w:val="42"/>
              <w:spacing w:line="480" w:lineRule="exact"/>
            </w:pPr>
          </w:p>
        </w:tc>
        <w:tc>
          <w:tcPr>
            <w:tcW w:w="1455" w:type="dxa"/>
            <w:vMerge w:val="continue"/>
            <w:vAlign w:val="center"/>
          </w:tcPr>
          <w:p>
            <w:pPr>
              <w:pStyle w:val="42"/>
              <w:spacing w:line="480" w:lineRule="exact"/>
            </w:pPr>
          </w:p>
        </w:tc>
        <w:tc>
          <w:tcPr>
            <w:tcW w:w="1734" w:type="dxa"/>
            <w:gridSpan w:val="2"/>
            <w:vAlign w:val="center"/>
          </w:tcPr>
          <w:p>
            <w:pPr>
              <w:pStyle w:val="42"/>
              <w:spacing w:line="480" w:lineRule="exact"/>
            </w:pPr>
            <w:r>
              <w:rPr>
                <w:rFonts w:hint="eastAsia"/>
              </w:rPr>
              <w:t>高级职称人员</w:t>
            </w:r>
          </w:p>
        </w:tc>
        <w:tc>
          <w:tcPr>
            <w:tcW w:w="2440" w:type="dxa"/>
            <w:gridSpan w:val="2"/>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2"/>
              <w:spacing w:line="480" w:lineRule="exact"/>
            </w:pPr>
            <w:r>
              <w:rPr>
                <w:rFonts w:hint="eastAsia"/>
              </w:rPr>
              <w:t>注册资金</w:t>
            </w:r>
          </w:p>
        </w:tc>
        <w:tc>
          <w:tcPr>
            <w:tcW w:w="2557" w:type="dxa"/>
            <w:gridSpan w:val="2"/>
            <w:vAlign w:val="center"/>
          </w:tcPr>
          <w:p>
            <w:pPr>
              <w:pStyle w:val="42"/>
              <w:spacing w:line="480" w:lineRule="exact"/>
            </w:pPr>
          </w:p>
        </w:tc>
        <w:tc>
          <w:tcPr>
            <w:tcW w:w="1455" w:type="dxa"/>
            <w:vMerge w:val="continue"/>
            <w:vAlign w:val="center"/>
          </w:tcPr>
          <w:p>
            <w:pPr>
              <w:pStyle w:val="42"/>
              <w:spacing w:line="480" w:lineRule="exact"/>
            </w:pPr>
          </w:p>
        </w:tc>
        <w:tc>
          <w:tcPr>
            <w:tcW w:w="1734" w:type="dxa"/>
            <w:gridSpan w:val="2"/>
            <w:vAlign w:val="center"/>
          </w:tcPr>
          <w:p>
            <w:pPr>
              <w:pStyle w:val="42"/>
              <w:spacing w:line="480" w:lineRule="exact"/>
            </w:pPr>
            <w:r>
              <w:rPr>
                <w:rFonts w:hint="eastAsia"/>
              </w:rPr>
              <w:t>中级职称人员</w:t>
            </w:r>
          </w:p>
        </w:tc>
        <w:tc>
          <w:tcPr>
            <w:tcW w:w="2440" w:type="dxa"/>
            <w:gridSpan w:val="2"/>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2"/>
              <w:spacing w:line="480" w:lineRule="exact"/>
            </w:pPr>
            <w:r>
              <w:rPr>
                <w:rFonts w:hint="eastAsia"/>
              </w:rPr>
              <w:t>开户银行</w:t>
            </w:r>
          </w:p>
        </w:tc>
        <w:tc>
          <w:tcPr>
            <w:tcW w:w="2557" w:type="dxa"/>
            <w:gridSpan w:val="2"/>
            <w:vAlign w:val="center"/>
          </w:tcPr>
          <w:p>
            <w:pPr>
              <w:pStyle w:val="42"/>
              <w:spacing w:line="480" w:lineRule="exact"/>
            </w:pPr>
          </w:p>
        </w:tc>
        <w:tc>
          <w:tcPr>
            <w:tcW w:w="1455" w:type="dxa"/>
            <w:vMerge w:val="continue"/>
            <w:vAlign w:val="center"/>
          </w:tcPr>
          <w:p>
            <w:pPr>
              <w:pStyle w:val="42"/>
              <w:spacing w:line="480" w:lineRule="exact"/>
            </w:pPr>
          </w:p>
        </w:tc>
        <w:tc>
          <w:tcPr>
            <w:tcW w:w="1734" w:type="dxa"/>
            <w:gridSpan w:val="2"/>
            <w:vAlign w:val="center"/>
          </w:tcPr>
          <w:p>
            <w:pPr>
              <w:pStyle w:val="42"/>
              <w:spacing w:line="480" w:lineRule="exact"/>
            </w:pPr>
            <w:r>
              <w:rPr>
                <w:rFonts w:hint="eastAsia"/>
              </w:rPr>
              <w:t>初级职称人员</w:t>
            </w:r>
          </w:p>
        </w:tc>
        <w:tc>
          <w:tcPr>
            <w:tcW w:w="2440" w:type="dxa"/>
            <w:gridSpan w:val="2"/>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2"/>
              <w:spacing w:line="480" w:lineRule="exact"/>
            </w:pPr>
            <w:r>
              <w:rPr>
                <w:rFonts w:hint="eastAsia"/>
              </w:rPr>
              <w:t>账号</w:t>
            </w:r>
          </w:p>
        </w:tc>
        <w:tc>
          <w:tcPr>
            <w:tcW w:w="2557" w:type="dxa"/>
            <w:gridSpan w:val="2"/>
            <w:vAlign w:val="center"/>
          </w:tcPr>
          <w:p>
            <w:pPr>
              <w:pStyle w:val="42"/>
              <w:spacing w:line="480" w:lineRule="exact"/>
            </w:pPr>
          </w:p>
        </w:tc>
        <w:tc>
          <w:tcPr>
            <w:tcW w:w="1455" w:type="dxa"/>
            <w:vMerge w:val="continue"/>
            <w:vAlign w:val="center"/>
          </w:tcPr>
          <w:p>
            <w:pPr>
              <w:pStyle w:val="42"/>
              <w:spacing w:line="480" w:lineRule="exact"/>
            </w:pPr>
          </w:p>
        </w:tc>
        <w:tc>
          <w:tcPr>
            <w:tcW w:w="1734" w:type="dxa"/>
            <w:gridSpan w:val="2"/>
            <w:vAlign w:val="center"/>
          </w:tcPr>
          <w:p>
            <w:pPr>
              <w:pStyle w:val="42"/>
              <w:spacing w:line="480" w:lineRule="exact"/>
            </w:pPr>
            <w:r>
              <w:rPr>
                <w:rFonts w:hint="eastAsia"/>
              </w:rPr>
              <w:t>技工</w:t>
            </w:r>
          </w:p>
        </w:tc>
        <w:tc>
          <w:tcPr>
            <w:tcW w:w="2440" w:type="dxa"/>
            <w:gridSpan w:val="2"/>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2"/>
              <w:spacing w:line="480" w:lineRule="exact"/>
            </w:pPr>
            <w:r>
              <w:rPr>
                <w:rFonts w:hint="eastAsia"/>
              </w:rPr>
              <w:t>经营范围</w:t>
            </w:r>
          </w:p>
        </w:tc>
        <w:tc>
          <w:tcPr>
            <w:tcW w:w="8186" w:type="dxa"/>
            <w:gridSpan w:val="7"/>
            <w:vAlign w:val="center"/>
          </w:tcPr>
          <w:p>
            <w:pPr>
              <w:pStyle w:val="42"/>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2"/>
              <w:spacing w:line="480" w:lineRule="exact"/>
            </w:pPr>
            <w:r>
              <w:rPr>
                <w:rFonts w:hint="eastAsia"/>
              </w:rPr>
              <w:t>备注</w:t>
            </w:r>
          </w:p>
        </w:tc>
        <w:tc>
          <w:tcPr>
            <w:tcW w:w="8186" w:type="dxa"/>
            <w:gridSpan w:val="7"/>
          </w:tcPr>
          <w:p>
            <w:pPr>
              <w:pStyle w:val="42"/>
              <w:spacing w:line="480" w:lineRule="exact"/>
            </w:pPr>
          </w:p>
        </w:tc>
      </w:tr>
    </w:tbl>
    <w:p>
      <w:pPr>
        <w:pStyle w:val="44"/>
        <w:ind w:firstLine="482"/>
      </w:pPr>
      <w:r>
        <w:rPr>
          <w:rFonts w:hint="eastAsia"/>
        </w:rPr>
        <w:t>注：①</w:t>
      </w:r>
      <w:r>
        <w:rPr>
          <w:rFonts w:hint="eastAsia" w:asciiTheme="minorEastAsia" w:hAnsiTheme="minorEastAsia" w:eastAsiaTheme="minorEastAsia" w:cstheme="minorEastAsia"/>
          <w:bCs/>
          <w:color w:val="000000"/>
        </w:rPr>
        <w:t>事业单位、其他组织及自然人磋商根据实际情况据实填写此表，若未填报完善不影响磋商资质及效力；②空白项用“/”填写</w:t>
      </w:r>
      <w:r>
        <w:rPr>
          <w:rFonts w:hint="eastAsia"/>
        </w:rPr>
        <w:t>。</w:t>
      </w:r>
    </w:p>
    <w:p>
      <w:pPr>
        <w:pStyle w:val="40"/>
      </w:pPr>
    </w:p>
    <w:p>
      <w:pPr>
        <w:pStyle w:val="43"/>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3"/>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3"/>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40"/>
      </w:pPr>
    </w:p>
    <w:p>
      <w:pPr>
        <w:pStyle w:val="40"/>
      </w:pPr>
    </w:p>
    <w:p>
      <w:bookmarkStart w:id="317" w:name="_Toc217446087"/>
      <w:bookmarkStart w:id="318" w:name="_Toc25577"/>
      <w:bookmarkStart w:id="319" w:name="_Toc307564875"/>
      <w:bookmarkStart w:id="320" w:name="_Toc7835"/>
      <w:bookmarkStart w:id="321" w:name="_Toc319440166"/>
      <w:bookmarkStart w:id="322" w:name="_Toc327196310"/>
      <w:bookmarkStart w:id="323" w:name="_Toc21006"/>
      <w:bookmarkStart w:id="324" w:name="_Toc307501130"/>
      <w:bookmarkStart w:id="325" w:name="_Toc11461"/>
      <w:bookmarkStart w:id="326" w:name="_Toc327196312"/>
      <w:bookmarkStart w:id="327" w:name="_Toc319440168"/>
      <w:bookmarkStart w:id="328" w:name="_Toc26124"/>
      <w:bookmarkStart w:id="329" w:name="_Toc24507"/>
      <w:r>
        <w:rPr>
          <w:rFonts w:hint="eastAsia"/>
        </w:rPr>
        <w:br w:type="page"/>
      </w:r>
    </w:p>
    <w:p>
      <w:pPr>
        <w:pStyle w:val="41"/>
        <w:numPr>
          <w:ilvl w:val="0"/>
          <w:numId w:val="19"/>
        </w:numPr>
        <w:spacing w:before="120" w:after="120"/>
        <w:ind w:firstLine="0"/>
      </w:pPr>
      <w:bookmarkStart w:id="330" w:name="_Toc14909"/>
      <w:bookmarkStart w:id="331" w:name="_Toc32325"/>
      <w:r>
        <w:rPr>
          <w:rFonts w:hint="eastAsia"/>
        </w:rPr>
        <w:t>商务应答表</w:t>
      </w:r>
      <w:bookmarkEnd w:id="317"/>
      <w:bookmarkEnd w:id="318"/>
      <w:bookmarkEnd w:id="319"/>
      <w:bookmarkEnd w:id="320"/>
      <w:bookmarkEnd w:id="321"/>
      <w:bookmarkEnd w:id="322"/>
      <w:bookmarkEnd w:id="323"/>
      <w:bookmarkEnd w:id="324"/>
      <w:bookmarkEnd w:id="325"/>
      <w:bookmarkEnd w:id="330"/>
      <w:bookmarkEnd w:id="331"/>
    </w:p>
    <w:p>
      <w:pPr>
        <w:pStyle w:val="40"/>
        <w:rPr>
          <w:u w:val="single"/>
        </w:rPr>
      </w:pPr>
      <w:r>
        <w:rPr>
          <w:rFonts w:hint="eastAsia"/>
        </w:rPr>
        <w:t>项目名称：</w:t>
      </w:r>
      <w:r>
        <w:rPr>
          <w:rFonts w:hint="eastAsia"/>
          <w:u w:val="single"/>
        </w:rPr>
        <w:t xml:space="preserve">                             </w:t>
      </w:r>
      <w:r>
        <w:rPr>
          <w:rFonts w:hint="eastAsia"/>
        </w:rPr>
        <w:t xml:space="preserve"> </w:t>
      </w:r>
    </w:p>
    <w:p>
      <w:pPr>
        <w:pStyle w:val="40"/>
      </w:pPr>
      <w:r>
        <w:rPr>
          <w:rFonts w:hint="eastAsia"/>
        </w:rPr>
        <w:t>项目编号：</w:t>
      </w:r>
      <w:r>
        <w:rPr>
          <w:rFonts w:hint="eastAsia"/>
          <w:u w:val="single"/>
        </w:rPr>
        <w:t xml:space="preserve">                             </w:t>
      </w:r>
      <w:r>
        <w:rPr>
          <w:rFonts w:hint="eastAsia"/>
        </w:rPr>
        <w:t xml:space="preserve">                            </w:t>
      </w:r>
    </w:p>
    <w:tbl>
      <w:tblPr>
        <w:tblStyle w:val="20"/>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2"/>
              <w:rPr>
                <w:b/>
                <w:bCs/>
              </w:rPr>
            </w:pPr>
            <w:r>
              <w:rPr>
                <w:rFonts w:hint="eastAsia"/>
                <w:b/>
                <w:bCs/>
              </w:rPr>
              <w:t>序号</w:t>
            </w:r>
          </w:p>
        </w:tc>
        <w:tc>
          <w:tcPr>
            <w:tcW w:w="3880" w:type="dxa"/>
            <w:vAlign w:val="center"/>
          </w:tcPr>
          <w:p>
            <w:pPr>
              <w:ind w:firstLine="86" w:firstLineChars="41"/>
              <w:jc w:val="center"/>
              <w:rPr>
                <w:b/>
                <w:bCs/>
              </w:rPr>
            </w:pPr>
            <w:r>
              <w:rPr>
                <w:rFonts w:hint="eastAsia" w:asciiTheme="minorEastAsia" w:hAnsiTheme="minorEastAsia" w:eastAsiaTheme="minorEastAsia" w:cstheme="minorEastAsia"/>
                <w:b/>
                <w:bCs/>
                <w:color w:val="000000"/>
                <w:sz w:val="21"/>
                <w:szCs w:val="21"/>
              </w:rPr>
              <w:t>竞争性磋商文件商务条款</w:t>
            </w:r>
          </w:p>
        </w:tc>
        <w:tc>
          <w:tcPr>
            <w:tcW w:w="3673" w:type="dxa"/>
            <w:vAlign w:val="center"/>
          </w:tcPr>
          <w:p>
            <w:pPr>
              <w:jc w:val="center"/>
              <w:rPr>
                <w:rFonts w:eastAsiaTheme="minorEastAsia"/>
                <w:b/>
                <w:bCs/>
              </w:rPr>
            </w:pPr>
            <w:r>
              <w:rPr>
                <w:rFonts w:hint="eastAsia" w:asciiTheme="minorEastAsia" w:hAnsiTheme="minorEastAsia" w:eastAsiaTheme="minorEastAsia" w:cstheme="minorEastAsia"/>
                <w:b/>
                <w:bCs/>
                <w:color w:val="000000"/>
                <w:sz w:val="21"/>
                <w:szCs w:val="21"/>
              </w:rPr>
              <w:t>响应文件响应情况</w:t>
            </w:r>
          </w:p>
        </w:tc>
        <w:tc>
          <w:tcPr>
            <w:tcW w:w="1631" w:type="dxa"/>
            <w:vAlign w:val="center"/>
          </w:tcPr>
          <w:p>
            <w:pPr>
              <w:pStyle w:val="42"/>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2"/>
              <w:rPr>
                <w:b/>
                <w:bCs/>
              </w:rPr>
            </w:pPr>
          </w:p>
        </w:tc>
        <w:tc>
          <w:tcPr>
            <w:tcW w:w="3880" w:type="dxa"/>
          </w:tcPr>
          <w:p>
            <w:pPr>
              <w:pStyle w:val="42"/>
              <w:rPr>
                <w:b/>
                <w:bCs/>
              </w:rPr>
            </w:pPr>
          </w:p>
        </w:tc>
        <w:tc>
          <w:tcPr>
            <w:tcW w:w="3673" w:type="dxa"/>
          </w:tcPr>
          <w:p>
            <w:pPr>
              <w:pStyle w:val="42"/>
              <w:rPr>
                <w:b/>
                <w:bCs/>
              </w:rPr>
            </w:pPr>
          </w:p>
        </w:tc>
        <w:tc>
          <w:tcPr>
            <w:tcW w:w="1631" w:type="dxa"/>
          </w:tcPr>
          <w:p>
            <w:pPr>
              <w:pStyle w:val="4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2"/>
              <w:rPr>
                <w:b/>
                <w:bCs/>
              </w:rPr>
            </w:pPr>
          </w:p>
        </w:tc>
        <w:tc>
          <w:tcPr>
            <w:tcW w:w="3880" w:type="dxa"/>
          </w:tcPr>
          <w:p>
            <w:pPr>
              <w:pStyle w:val="42"/>
              <w:rPr>
                <w:b/>
                <w:bCs/>
              </w:rPr>
            </w:pPr>
          </w:p>
        </w:tc>
        <w:tc>
          <w:tcPr>
            <w:tcW w:w="3673" w:type="dxa"/>
          </w:tcPr>
          <w:p>
            <w:pPr>
              <w:pStyle w:val="42"/>
              <w:rPr>
                <w:b/>
                <w:bCs/>
              </w:rPr>
            </w:pPr>
          </w:p>
        </w:tc>
        <w:tc>
          <w:tcPr>
            <w:tcW w:w="1631" w:type="dxa"/>
          </w:tcPr>
          <w:p>
            <w:pPr>
              <w:pStyle w:val="4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2"/>
              <w:rPr>
                <w:b/>
                <w:bCs/>
              </w:rPr>
            </w:pPr>
          </w:p>
        </w:tc>
        <w:tc>
          <w:tcPr>
            <w:tcW w:w="3880" w:type="dxa"/>
          </w:tcPr>
          <w:p>
            <w:pPr>
              <w:pStyle w:val="42"/>
              <w:rPr>
                <w:b/>
                <w:bCs/>
              </w:rPr>
            </w:pPr>
          </w:p>
        </w:tc>
        <w:tc>
          <w:tcPr>
            <w:tcW w:w="3673" w:type="dxa"/>
          </w:tcPr>
          <w:p>
            <w:pPr>
              <w:pStyle w:val="42"/>
              <w:rPr>
                <w:b/>
                <w:bCs/>
              </w:rPr>
            </w:pPr>
          </w:p>
        </w:tc>
        <w:tc>
          <w:tcPr>
            <w:tcW w:w="1631" w:type="dxa"/>
          </w:tcPr>
          <w:p>
            <w:pPr>
              <w:pStyle w:val="4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tcPr>
          <w:p>
            <w:pPr>
              <w:pStyle w:val="42"/>
              <w:rPr>
                <w:b/>
                <w:bCs/>
              </w:rPr>
            </w:pPr>
          </w:p>
        </w:tc>
        <w:tc>
          <w:tcPr>
            <w:tcW w:w="3880" w:type="dxa"/>
          </w:tcPr>
          <w:p>
            <w:pPr>
              <w:pStyle w:val="42"/>
              <w:rPr>
                <w:b/>
                <w:bCs/>
              </w:rPr>
            </w:pPr>
          </w:p>
        </w:tc>
        <w:tc>
          <w:tcPr>
            <w:tcW w:w="3673" w:type="dxa"/>
          </w:tcPr>
          <w:p>
            <w:pPr>
              <w:pStyle w:val="42"/>
              <w:rPr>
                <w:b/>
                <w:bCs/>
              </w:rPr>
            </w:pPr>
          </w:p>
        </w:tc>
        <w:tc>
          <w:tcPr>
            <w:tcW w:w="1631" w:type="dxa"/>
          </w:tcPr>
          <w:p>
            <w:pPr>
              <w:pStyle w:val="42"/>
              <w:rPr>
                <w:b/>
                <w:bCs/>
              </w:rPr>
            </w:pPr>
          </w:p>
        </w:tc>
      </w:tr>
    </w:tbl>
    <w:p>
      <w:pPr>
        <w:pStyle w:val="44"/>
        <w:ind w:firstLine="482"/>
      </w:pPr>
      <w:r>
        <w:rPr>
          <w:rFonts w:hint="eastAsia"/>
        </w:rPr>
        <w:t>注：</w:t>
      </w:r>
      <w:r>
        <w:rPr>
          <w:rFonts w:hint="eastAsia"/>
          <w:color w:val="000000" w:themeColor="text1"/>
          <w14:textFill>
            <w14:solidFill>
              <w14:schemeClr w14:val="tx1"/>
            </w14:solidFill>
          </w14:textFill>
        </w:rPr>
        <w:t>如与竞争性磋商文件的商务要求有偏离(包括正偏离和负偏离)，请将偏离条款逐条应答。如与竞争性磋商文件商务要求的所有条款无偏离，则无须在此表中应答，视为默认完全响应和接受竞争性磋商文件所有商务要求，供应商不得以未作应答而拒不接受</w:t>
      </w:r>
      <w:r>
        <w:rPr>
          <w:rFonts w:hint="eastAsia"/>
        </w:rPr>
        <w:t>。</w:t>
      </w:r>
      <w:r>
        <w:rPr>
          <w:rFonts w:hint="eastAsia"/>
          <w:color w:val="000000" w:themeColor="text1"/>
          <w14:textFill>
            <w14:solidFill>
              <w14:schemeClr w14:val="tx1"/>
            </w14:solidFill>
          </w14:textFill>
        </w:rPr>
        <w:t>供应商必须据实填写，不得虚假应答，否则将取消其成交资格。</w:t>
      </w:r>
    </w:p>
    <w:p>
      <w:pPr>
        <w:pStyle w:val="40"/>
      </w:pPr>
    </w:p>
    <w:p>
      <w:pPr>
        <w:pStyle w:val="40"/>
      </w:pPr>
    </w:p>
    <w:p>
      <w:pPr>
        <w:pStyle w:val="43"/>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3"/>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3"/>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40"/>
      </w:pPr>
      <w:r>
        <w:rPr>
          <w:rFonts w:hint="eastAsia"/>
        </w:rPr>
        <w:br w:type="page"/>
      </w:r>
    </w:p>
    <w:p>
      <w:pPr>
        <w:pStyle w:val="41"/>
        <w:numPr>
          <w:ilvl w:val="0"/>
          <w:numId w:val="19"/>
        </w:numPr>
        <w:spacing w:before="120" w:after="120"/>
        <w:ind w:firstLine="0"/>
      </w:pPr>
      <w:bookmarkStart w:id="332" w:name="_Toc808"/>
      <w:bookmarkStart w:id="333" w:name="_Toc25122"/>
      <w:bookmarkStart w:id="334" w:name="_Toc14098"/>
      <w:bookmarkStart w:id="335" w:name="_Toc3995"/>
      <w:bookmarkStart w:id="336" w:name="_Toc23376"/>
      <w:r>
        <w:rPr>
          <w:rFonts w:hint="eastAsia"/>
        </w:rPr>
        <w:t>服务应答表</w:t>
      </w:r>
      <w:bookmarkEnd w:id="332"/>
      <w:bookmarkEnd w:id="333"/>
      <w:bookmarkEnd w:id="334"/>
      <w:bookmarkEnd w:id="335"/>
      <w:bookmarkEnd w:id="336"/>
    </w:p>
    <w:p>
      <w:pPr>
        <w:pStyle w:val="40"/>
      </w:pPr>
      <w:r>
        <w:rPr>
          <w:rFonts w:hint="eastAsia"/>
        </w:rPr>
        <w:t>项目名称：</w:t>
      </w:r>
      <w:r>
        <w:rPr>
          <w:rFonts w:hint="eastAsia"/>
          <w:u w:val="single"/>
        </w:rPr>
        <w:t xml:space="preserve">                        </w:t>
      </w:r>
      <w:r>
        <w:rPr>
          <w:rFonts w:hint="eastAsia"/>
        </w:rPr>
        <w:t xml:space="preserve">      </w:t>
      </w:r>
    </w:p>
    <w:p>
      <w:pPr>
        <w:pStyle w:val="40"/>
        <w:rPr>
          <w:highlight w:val="yellow"/>
          <w:u w:val="single"/>
        </w:rPr>
      </w:pPr>
      <w:r>
        <w:rPr>
          <w:rFonts w:hint="eastAsia"/>
        </w:rPr>
        <w:t>项目编号：</w:t>
      </w:r>
      <w:r>
        <w:rPr>
          <w:rFonts w:hint="eastAsia"/>
          <w:u w:val="single"/>
        </w:rPr>
        <w:t xml:space="preserve">                        </w:t>
      </w:r>
      <w:r>
        <w:rPr>
          <w:rFonts w:hint="eastAsia"/>
        </w:rPr>
        <w:t xml:space="preserve">                                  </w:t>
      </w:r>
    </w:p>
    <w:tbl>
      <w:tblPr>
        <w:tblStyle w:val="20"/>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2"/>
              <w:rPr>
                <w:b/>
                <w:bCs/>
              </w:rPr>
            </w:pPr>
            <w:r>
              <w:rPr>
                <w:rFonts w:hint="eastAsia"/>
                <w:b/>
                <w:bCs/>
              </w:rPr>
              <w:t>序号</w:t>
            </w:r>
          </w:p>
        </w:tc>
        <w:tc>
          <w:tcPr>
            <w:tcW w:w="4128" w:type="dxa"/>
            <w:vAlign w:val="center"/>
          </w:tcPr>
          <w:p>
            <w:pPr>
              <w:pStyle w:val="42"/>
              <w:rPr>
                <w:b/>
                <w:bCs/>
              </w:rPr>
            </w:pPr>
            <w:r>
              <w:rPr>
                <w:rFonts w:hint="eastAsia"/>
                <w:b/>
                <w:bCs/>
              </w:rPr>
              <w:t>竞争性磋商文件服务要求</w:t>
            </w:r>
          </w:p>
        </w:tc>
        <w:tc>
          <w:tcPr>
            <w:tcW w:w="3690" w:type="dxa"/>
            <w:vAlign w:val="center"/>
          </w:tcPr>
          <w:p>
            <w:pPr>
              <w:pStyle w:val="42"/>
              <w:rPr>
                <w:b/>
                <w:bCs/>
              </w:rPr>
            </w:pPr>
            <w:r>
              <w:rPr>
                <w:rFonts w:hint="eastAsia"/>
                <w:b/>
                <w:bCs/>
              </w:rPr>
              <w:t>响应文件响应情况</w:t>
            </w:r>
          </w:p>
        </w:tc>
        <w:tc>
          <w:tcPr>
            <w:tcW w:w="1277" w:type="dxa"/>
            <w:vAlign w:val="center"/>
          </w:tcPr>
          <w:p>
            <w:pPr>
              <w:pStyle w:val="42"/>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771" w:type="dxa"/>
          </w:tcPr>
          <w:p>
            <w:pPr>
              <w:pStyle w:val="42"/>
              <w:rPr>
                <w:b/>
                <w:bCs/>
              </w:rPr>
            </w:pPr>
          </w:p>
        </w:tc>
        <w:tc>
          <w:tcPr>
            <w:tcW w:w="4128" w:type="dxa"/>
          </w:tcPr>
          <w:p>
            <w:pPr>
              <w:pStyle w:val="42"/>
              <w:rPr>
                <w:b/>
                <w:bCs/>
              </w:rPr>
            </w:pPr>
          </w:p>
        </w:tc>
        <w:tc>
          <w:tcPr>
            <w:tcW w:w="3690" w:type="dxa"/>
          </w:tcPr>
          <w:p>
            <w:pPr>
              <w:pStyle w:val="42"/>
              <w:rPr>
                <w:b/>
                <w:bCs/>
              </w:rPr>
            </w:pPr>
          </w:p>
        </w:tc>
        <w:tc>
          <w:tcPr>
            <w:tcW w:w="1277" w:type="dxa"/>
          </w:tcPr>
          <w:p>
            <w:pPr>
              <w:pStyle w:val="4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2"/>
              <w:rPr>
                <w:b/>
                <w:bCs/>
              </w:rPr>
            </w:pPr>
          </w:p>
        </w:tc>
        <w:tc>
          <w:tcPr>
            <w:tcW w:w="4128" w:type="dxa"/>
          </w:tcPr>
          <w:p>
            <w:pPr>
              <w:pStyle w:val="42"/>
              <w:rPr>
                <w:b/>
                <w:bCs/>
              </w:rPr>
            </w:pPr>
          </w:p>
        </w:tc>
        <w:tc>
          <w:tcPr>
            <w:tcW w:w="3690" w:type="dxa"/>
          </w:tcPr>
          <w:p>
            <w:pPr>
              <w:pStyle w:val="42"/>
              <w:rPr>
                <w:b/>
                <w:bCs/>
              </w:rPr>
            </w:pPr>
          </w:p>
        </w:tc>
        <w:tc>
          <w:tcPr>
            <w:tcW w:w="1277" w:type="dxa"/>
          </w:tcPr>
          <w:p>
            <w:pPr>
              <w:pStyle w:val="4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2"/>
              <w:rPr>
                <w:b/>
                <w:bCs/>
              </w:rPr>
            </w:pPr>
          </w:p>
        </w:tc>
        <w:tc>
          <w:tcPr>
            <w:tcW w:w="4128" w:type="dxa"/>
          </w:tcPr>
          <w:p>
            <w:pPr>
              <w:pStyle w:val="42"/>
              <w:rPr>
                <w:b/>
                <w:bCs/>
              </w:rPr>
            </w:pPr>
          </w:p>
        </w:tc>
        <w:tc>
          <w:tcPr>
            <w:tcW w:w="3690" w:type="dxa"/>
          </w:tcPr>
          <w:p>
            <w:pPr>
              <w:pStyle w:val="42"/>
              <w:rPr>
                <w:b/>
                <w:bCs/>
              </w:rPr>
            </w:pPr>
          </w:p>
        </w:tc>
        <w:tc>
          <w:tcPr>
            <w:tcW w:w="1277" w:type="dxa"/>
          </w:tcPr>
          <w:p>
            <w:pPr>
              <w:pStyle w:val="4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tcPr>
          <w:p>
            <w:pPr>
              <w:pStyle w:val="42"/>
              <w:rPr>
                <w:b/>
                <w:bCs/>
              </w:rPr>
            </w:pPr>
          </w:p>
        </w:tc>
        <w:tc>
          <w:tcPr>
            <w:tcW w:w="4128" w:type="dxa"/>
          </w:tcPr>
          <w:p>
            <w:pPr>
              <w:pStyle w:val="42"/>
              <w:rPr>
                <w:b/>
                <w:bCs/>
              </w:rPr>
            </w:pPr>
          </w:p>
        </w:tc>
        <w:tc>
          <w:tcPr>
            <w:tcW w:w="3690" w:type="dxa"/>
          </w:tcPr>
          <w:p>
            <w:pPr>
              <w:pStyle w:val="42"/>
              <w:rPr>
                <w:b/>
                <w:bCs/>
              </w:rPr>
            </w:pPr>
          </w:p>
        </w:tc>
        <w:tc>
          <w:tcPr>
            <w:tcW w:w="1277" w:type="dxa"/>
          </w:tcPr>
          <w:p>
            <w:pPr>
              <w:pStyle w:val="42"/>
              <w:rPr>
                <w:b/>
                <w:bCs/>
              </w:rPr>
            </w:pPr>
          </w:p>
        </w:tc>
      </w:tr>
    </w:tbl>
    <w:p>
      <w:pPr>
        <w:pStyle w:val="44"/>
        <w:ind w:firstLine="482"/>
      </w:pPr>
      <w:r>
        <w:rPr>
          <w:rFonts w:hint="eastAsia"/>
        </w:rPr>
        <w:t>注：如与</w:t>
      </w:r>
      <w:r>
        <w:rPr>
          <w:rFonts w:hint="eastAsia" w:asciiTheme="minorEastAsia" w:hAnsiTheme="minorEastAsia" w:eastAsiaTheme="minorEastAsia" w:cstheme="minorEastAsia"/>
        </w:rPr>
        <w:t>竞争性磋商文件</w:t>
      </w:r>
      <w:r>
        <w:rPr>
          <w:rFonts w:hint="eastAsia"/>
        </w:rPr>
        <w:t>第五章</w:t>
      </w:r>
      <w:r>
        <w:rPr>
          <w:rFonts w:hint="eastAsia"/>
          <w:bCs/>
        </w:rPr>
        <w:t>服务要求</w:t>
      </w:r>
      <w:r>
        <w:rPr>
          <w:rFonts w:hint="eastAsia"/>
        </w:rPr>
        <w:t>的内容有偏离(包括正偏离和负偏离)，请将偏离条款逐条应答。如与</w:t>
      </w:r>
      <w:r>
        <w:rPr>
          <w:rFonts w:hint="eastAsia" w:asciiTheme="minorEastAsia" w:hAnsiTheme="minorEastAsia" w:eastAsiaTheme="minorEastAsia" w:cstheme="minorEastAsia"/>
        </w:rPr>
        <w:t>竞争性磋商文件</w:t>
      </w:r>
      <w:r>
        <w:rPr>
          <w:rFonts w:hint="eastAsia"/>
        </w:rPr>
        <w:t>第五章</w:t>
      </w:r>
      <w:r>
        <w:rPr>
          <w:rFonts w:hint="eastAsia"/>
          <w:bCs/>
        </w:rPr>
        <w:t>服务要求</w:t>
      </w:r>
      <w:r>
        <w:rPr>
          <w:rFonts w:hint="eastAsia"/>
        </w:rPr>
        <w:t>的所有条款无偏离，则无须在此表中应答，视为默认完全响应和接受</w:t>
      </w:r>
      <w:r>
        <w:rPr>
          <w:rFonts w:hint="eastAsia" w:asciiTheme="minorEastAsia" w:hAnsiTheme="minorEastAsia" w:eastAsiaTheme="minorEastAsia" w:cstheme="minorEastAsia"/>
        </w:rPr>
        <w:t>竞争性磋商文件</w:t>
      </w:r>
      <w:r>
        <w:rPr>
          <w:rFonts w:hint="eastAsia"/>
        </w:rPr>
        <w:t>第五章</w:t>
      </w:r>
      <w:r>
        <w:rPr>
          <w:rFonts w:hint="eastAsia"/>
          <w:bCs/>
        </w:rPr>
        <w:t>服务要求</w:t>
      </w:r>
      <w:r>
        <w:rPr>
          <w:rFonts w:hint="eastAsia"/>
        </w:rPr>
        <w:t>所有的内容，供应商不得以未作应答而拒不接受。供应商必须据实填写，不得虚假应答，否则将取消其</w:t>
      </w:r>
      <w:r>
        <w:rPr>
          <w:rFonts w:hint="eastAsia" w:asciiTheme="minorEastAsia" w:hAnsiTheme="minorEastAsia" w:eastAsiaTheme="minorEastAsia" w:cstheme="minorEastAsia"/>
        </w:rPr>
        <w:t>成交</w:t>
      </w:r>
      <w:r>
        <w:rPr>
          <w:rFonts w:hint="eastAsia"/>
        </w:rPr>
        <w:t>资格。</w:t>
      </w:r>
    </w:p>
    <w:p>
      <w:pPr>
        <w:pStyle w:val="40"/>
      </w:pPr>
    </w:p>
    <w:p>
      <w:pPr>
        <w:pStyle w:val="40"/>
      </w:pPr>
    </w:p>
    <w:p>
      <w:pPr>
        <w:pStyle w:val="40"/>
      </w:pPr>
    </w:p>
    <w:p>
      <w:pPr>
        <w:pStyle w:val="43"/>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3"/>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3"/>
      </w:pPr>
      <w:r>
        <w:rPr>
          <w:rFonts w:hint="eastAsia"/>
        </w:rPr>
        <w:t>磋商日期：</w:t>
      </w:r>
      <w:r>
        <w:rPr>
          <w:rFonts w:hint="eastAsia" w:asciiTheme="minorEastAsia" w:hAnsiTheme="minorEastAsia" w:eastAsiaTheme="minorEastAsia" w:cstheme="minorEastAsia"/>
          <w:bCs/>
          <w:u w:val="single"/>
        </w:rPr>
        <w:t xml:space="preserve">                 </w:t>
      </w:r>
    </w:p>
    <w:p>
      <w:pPr>
        <w:pStyle w:val="40"/>
      </w:pPr>
      <w:r>
        <w:rPr>
          <w:rFonts w:hint="eastAsia"/>
        </w:rPr>
        <w:br w:type="page"/>
      </w:r>
    </w:p>
    <w:bookmarkEnd w:id="326"/>
    <w:bookmarkEnd w:id="327"/>
    <w:bookmarkEnd w:id="328"/>
    <w:p>
      <w:pPr>
        <w:pStyle w:val="41"/>
        <w:numPr>
          <w:ilvl w:val="0"/>
          <w:numId w:val="19"/>
        </w:numPr>
        <w:spacing w:before="120" w:after="120"/>
        <w:ind w:firstLine="0"/>
      </w:pPr>
      <w:bookmarkStart w:id="337" w:name="_Toc19525"/>
      <w:bookmarkStart w:id="338" w:name="_Toc12643"/>
      <w:bookmarkStart w:id="339" w:name="_Toc26522"/>
      <w:bookmarkStart w:id="340" w:name="_Toc23430"/>
      <w:r>
        <w:rPr>
          <w:rFonts w:hint="eastAsia"/>
        </w:rPr>
        <w:t>供应商针对本项目人员配置情况表</w:t>
      </w:r>
      <w:bookmarkEnd w:id="337"/>
      <w:bookmarkEnd w:id="338"/>
    </w:p>
    <w:p>
      <w:pPr>
        <w:pStyle w:val="40"/>
      </w:pPr>
      <w:r>
        <w:rPr>
          <w:rFonts w:hint="eastAsia"/>
        </w:rPr>
        <w:t>项目名称：</w:t>
      </w:r>
      <w:r>
        <w:rPr>
          <w:rFonts w:hint="eastAsia"/>
          <w:u w:val="single"/>
        </w:rPr>
        <w:t xml:space="preserve">                              </w:t>
      </w:r>
    </w:p>
    <w:p>
      <w:pPr>
        <w:pStyle w:val="40"/>
        <w:rPr>
          <w:highlight w:val="yellow"/>
          <w:u w:val="single"/>
        </w:rPr>
      </w:pPr>
      <w:r>
        <w:rPr>
          <w:rFonts w:hint="eastAsia"/>
        </w:rPr>
        <w:t>项目编号：</w:t>
      </w:r>
      <w:r>
        <w:rPr>
          <w:rFonts w:hint="eastAsia"/>
          <w:u w:val="single"/>
        </w:rPr>
        <w:t xml:space="preserve">                              </w:t>
      </w:r>
      <w:r>
        <w:rPr>
          <w:rFonts w:hint="eastAsia"/>
        </w:rPr>
        <w:t xml:space="preserve">                         </w:t>
      </w:r>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2"/>
              <w:rPr>
                <w:b/>
                <w:bCs/>
              </w:rPr>
            </w:pPr>
            <w:r>
              <w:rPr>
                <w:rFonts w:hint="eastAsia"/>
                <w:b/>
                <w:bCs/>
              </w:rPr>
              <w:t>类别</w:t>
            </w:r>
          </w:p>
        </w:tc>
        <w:tc>
          <w:tcPr>
            <w:tcW w:w="1018" w:type="dxa"/>
            <w:vMerge w:val="restart"/>
            <w:vAlign w:val="center"/>
          </w:tcPr>
          <w:p>
            <w:pPr>
              <w:pStyle w:val="42"/>
              <w:rPr>
                <w:b/>
                <w:bCs/>
              </w:rPr>
            </w:pPr>
            <w:r>
              <w:rPr>
                <w:rFonts w:hint="eastAsia"/>
                <w:b/>
                <w:bCs/>
              </w:rPr>
              <w:t>职务</w:t>
            </w:r>
          </w:p>
          <w:p>
            <w:pPr>
              <w:pStyle w:val="42"/>
              <w:rPr>
                <w:b/>
                <w:bCs/>
              </w:rPr>
            </w:pPr>
            <w:r>
              <w:rPr>
                <w:rFonts w:hint="eastAsia"/>
                <w:b/>
                <w:bCs/>
              </w:rPr>
              <w:t>(岗位)</w:t>
            </w:r>
          </w:p>
        </w:tc>
        <w:tc>
          <w:tcPr>
            <w:tcW w:w="921" w:type="dxa"/>
            <w:vMerge w:val="restart"/>
            <w:vAlign w:val="center"/>
          </w:tcPr>
          <w:p>
            <w:pPr>
              <w:pStyle w:val="42"/>
              <w:rPr>
                <w:b/>
                <w:bCs/>
              </w:rPr>
            </w:pPr>
            <w:r>
              <w:rPr>
                <w:rFonts w:hint="eastAsia"/>
                <w:b/>
                <w:bCs/>
              </w:rPr>
              <w:t>姓名</w:t>
            </w:r>
          </w:p>
        </w:tc>
        <w:tc>
          <w:tcPr>
            <w:tcW w:w="923" w:type="dxa"/>
            <w:vMerge w:val="restart"/>
            <w:vAlign w:val="center"/>
          </w:tcPr>
          <w:p>
            <w:pPr>
              <w:pStyle w:val="42"/>
              <w:rPr>
                <w:b/>
                <w:bCs/>
              </w:rPr>
            </w:pPr>
            <w:r>
              <w:rPr>
                <w:rFonts w:hint="eastAsia"/>
                <w:b/>
                <w:bCs/>
              </w:rPr>
              <w:t>职称</w:t>
            </w:r>
          </w:p>
        </w:tc>
        <w:tc>
          <w:tcPr>
            <w:tcW w:w="922" w:type="dxa"/>
            <w:vMerge w:val="restart"/>
            <w:vAlign w:val="center"/>
          </w:tcPr>
          <w:p>
            <w:pPr>
              <w:pStyle w:val="42"/>
              <w:rPr>
                <w:b/>
                <w:bCs/>
              </w:rPr>
            </w:pPr>
            <w:r>
              <w:rPr>
                <w:rFonts w:hint="eastAsia"/>
                <w:b/>
                <w:bCs/>
              </w:rPr>
              <w:t>常住地</w:t>
            </w:r>
          </w:p>
        </w:tc>
        <w:tc>
          <w:tcPr>
            <w:tcW w:w="4919" w:type="dxa"/>
            <w:gridSpan w:val="4"/>
            <w:vAlign w:val="center"/>
          </w:tcPr>
          <w:p>
            <w:pPr>
              <w:pStyle w:val="42"/>
              <w:rPr>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2"/>
              <w:rPr>
                <w:b/>
                <w:bCs/>
              </w:rPr>
            </w:pPr>
          </w:p>
        </w:tc>
        <w:tc>
          <w:tcPr>
            <w:tcW w:w="1018" w:type="dxa"/>
            <w:vMerge w:val="continue"/>
            <w:vAlign w:val="center"/>
          </w:tcPr>
          <w:p>
            <w:pPr>
              <w:pStyle w:val="42"/>
              <w:rPr>
                <w:b/>
                <w:bCs/>
              </w:rPr>
            </w:pPr>
          </w:p>
        </w:tc>
        <w:tc>
          <w:tcPr>
            <w:tcW w:w="921" w:type="dxa"/>
            <w:vMerge w:val="continue"/>
            <w:vAlign w:val="center"/>
          </w:tcPr>
          <w:p>
            <w:pPr>
              <w:pStyle w:val="42"/>
              <w:rPr>
                <w:b/>
                <w:bCs/>
              </w:rPr>
            </w:pPr>
          </w:p>
        </w:tc>
        <w:tc>
          <w:tcPr>
            <w:tcW w:w="923" w:type="dxa"/>
            <w:vMerge w:val="continue"/>
            <w:vAlign w:val="center"/>
          </w:tcPr>
          <w:p>
            <w:pPr>
              <w:pStyle w:val="42"/>
              <w:rPr>
                <w:b/>
                <w:bCs/>
              </w:rPr>
            </w:pPr>
          </w:p>
        </w:tc>
        <w:tc>
          <w:tcPr>
            <w:tcW w:w="922" w:type="dxa"/>
            <w:vMerge w:val="continue"/>
            <w:vAlign w:val="center"/>
          </w:tcPr>
          <w:p>
            <w:pPr>
              <w:pStyle w:val="42"/>
              <w:rPr>
                <w:b/>
                <w:bCs/>
              </w:rPr>
            </w:pPr>
          </w:p>
        </w:tc>
        <w:tc>
          <w:tcPr>
            <w:tcW w:w="1436" w:type="dxa"/>
            <w:vAlign w:val="center"/>
          </w:tcPr>
          <w:p>
            <w:pPr>
              <w:pStyle w:val="42"/>
              <w:rPr>
                <w:b/>
                <w:bCs/>
              </w:rPr>
            </w:pPr>
            <w:r>
              <w:rPr>
                <w:rFonts w:hint="eastAsia"/>
                <w:b/>
                <w:bCs/>
              </w:rPr>
              <w:t>证书名称</w:t>
            </w:r>
          </w:p>
        </w:tc>
        <w:tc>
          <w:tcPr>
            <w:tcW w:w="1022" w:type="dxa"/>
            <w:vAlign w:val="center"/>
          </w:tcPr>
          <w:p>
            <w:pPr>
              <w:pStyle w:val="42"/>
              <w:rPr>
                <w:b/>
                <w:bCs/>
              </w:rPr>
            </w:pPr>
            <w:r>
              <w:rPr>
                <w:rFonts w:hint="eastAsia"/>
                <w:b/>
                <w:bCs/>
              </w:rPr>
              <w:t>级别</w:t>
            </w:r>
          </w:p>
        </w:tc>
        <w:tc>
          <w:tcPr>
            <w:tcW w:w="1232" w:type="dxa"/>
            <w:vAlign w:val="center"/>
          </w:tcPr>
          <w:p>
            <w:pPr>
              <w:pStyle w:val="42"/>
              <w:rPr>
                <w:b/>
                <w:bCs/>
              </w:rPr>
            </w:pPr>
            <w:r>
              <w:rPr>
                <w:rFonts w:hint="eastAsia"/>
                <w:b/>
                <w:bCs/>
              </w:rPr>
              <w:t>证号</w:t>
            </w:r>
          </w:p>
        </w:tc>
        <w:tc>
          <w:tcPr>
            <w:tcW w:w="1229" w:type="dxa"/>
            <w:vAlign w:val="center"/>
          </w:tcPr>
          <w:p>
            <w:pPr>
              <w:pStyle w:val="42"/>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jc w:val="center"/>
        </w:trPr>
        <w:tc>
          <w:tcPr>
            <w:tcW w:w="1253" w:type="dxa"/>
            <w:vMerge w:val="restart"/>
            <w:vAlign w:val="center"/>
          </w:tcPr>
          <w:p>
            <w:pPr>
              <w:pStyle w:val="42"/>
              <w:rPr>
                <w:highlight w:val="yellow"/>
              </w:rPr>
            </w:pPr>
          </w:p>
        </w:tc>
        <w:tc>
          <w:tcPr>
            <w:tcW w:w="1018" w:type="dxa"/>
          </w:tcPr>
          <w:p>
            <w:pPr>
              <w:pStyle w:val="42"/>
            </w:pPr>
          </w:p>
        </w:tc>
        <w:tc>
          <w:tcPr>
            <w:tcW w:w="921" w:type="dxa"/>
          </w:tcPr>
          <w:p>
            <w:pPr>
              <w:pStyle w:val="42"/>
            </w:pPr>
          </w:p>
        </w:tc>
        <w:tc>
          <w:tcPr>
            <w:tcW w:w="923" w:type="dxa"/>
          </w:tcPr>
          <w:p>
            <w:pPr>
              <w:pStyle w:val="42"/>
            </w:pPr>
          </w:p>
        </w:tc>
        <w:tc>
          <w:tcPr>
            <w:tcW w:w="922" w:type="dxa"/>
          </w:tcPr>
          <w:p>
            <w:pPr>
              <w:pStyle w:val="42"/>
            </w:pPr>
          </w:p>
        </w:tc>
        <w:tc>
          <w:tcPr>
            <w:tcW w:w="1436" w:type="dxa"/>
          </w:tcPr>
          <w:p>
            <w:pPr>
              <w:pStyle w:val="42"/>
            </w:pPr>
          </w:p>
        </w:tc>
        <w:tc>
          <w:tcPr>
            <w:tcW w:w="1022" w:type="dxa"/>
          </w:tcPr>
          <w:p>
            <w:pPr>
              <w:pStyle w:val="42"/>
            </w:pPr>
          </w:p>
        </w:tc>
        <w:tc>
          <w:tcPr>
            <w:tcW w:w="1232" w:type="dxa"/>
          </w:tcPr>
          <w:p>
            <w:pPr>
              <w:pStyle w:val="42"/>
            </w:pPr>
          </w:p>
        </w:tc>
        <w:tc>
          <w:tcPr>
            <w:tcW w:w="1229" w:type="dxa"/>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2"/>
              <w:rPr>
                <w:highlight w:val="yellow"/>
              </w:rPr>
            </w:pPr>
          </w:p>
        </w:tc>
        <w:tc>
          <w:tcPr>
            <w:tcW w:w="1018" w:type="dxa"/>
          </w:tcPr>
          <w:p>
            <w:pPr>
              <w:pStyle w:val="42"/>
            </w:pPr>
          </w:p>
        </w:tc>
        <w:tc>
          <w:tcPr>
            <w:tcW w:w="921" w:type="dxa"/>
          </w:tcPr>
          <w:p>
            <w:pPr>
              <w:pStyle w:val="42"/>
            </w:pPr>
          </w:p>
        </w:tc>
        <w:tc>
          <w:tcPr>
            <w:tcW w:w="923" w:type="dxa"/>
          </w:tcPr>
          <w:p>
            <w:pPr>
              <w:pStyle w:val="42"/>
            </w:pPr>
          </w:p>
        </w:tc>
        <w:tc>
          <w:tcPr>
            <w:tcW w:w="922" w:type="dxa"/>
          </w:tcPr>
          <w:p>
            <w:pPr>
              <w:pStyle w:val="42"/>
            </w:pPr>
          </w:p>
        </w:tc>
        <w:tc>
          <w:tcPr>
            <w:tcW w:w="1436" w:type="dxa"/>
          </w:tcPr>
          <w:p>
            <w:pPr>
              <w:pStyle w:val="42"/>
            </w:pPr>
          </w:p>
        </w:tc>
        <w:tc>
          <w:tcPr>
            <w:tcW w:w="1022" w:type="dxa"/>
          </w:tcPr>
          <w:p>
            <w:pPr>
              <w:pStyle w:val="42"/>
            </w:pPr>
          </w:p>
        </w:tc>
        <w:tc>
          <w:tcPr>
            <w:tcW w:w="1232" w:type="dxa"/>
          </w:tcPr>
          <w:p>
            <w:pPr>
              <w:pStyle w:val="42"/>
            </w:pPr>
          </w:p>
        </w:tc>
        <w:tc>
          <w:tcPr>
            <w:tcW w:w="1229" w:type="dxa"/>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jc w:val="center"/>
        </w:trPr>
        <w:tc>
          <w:tcPr>
            <w:tcW w:w="1253" w:type="dxa"/>
            <w:vMerge w:val="continue"/>
            <w:vAlign w:val="center"/>
          </w:tcPr>
          <w:p>
            <w:pPr>
              <w:pStyle w:val="42"/>
              <w:rPr>
                <w:highlight w:val="yellow"/>
              </w:rPr>
            </w:pPr>
          </w:p>
        </w:tc>
        <w:tc>
          <w:tcPr>
            <w:tcW w:w="1018" w:type="dxa"/>
          </w:tcPr>
          <w:p>
            <w:pPr>
              <w:pStyle w:val="42"/>
            </w:pPr>
          </w:p>
        </w:tc>
        <w:tc>
          <w:tcPr>
            <w:tcW w:w="921" w:type="dxa"/>
          </w:tcPr>
          <w:p>
            <w:pPr>
              <w:pStyle w:val="42"/>
            </w:pPr>
          </w:p>
        </w:tc>
        <w:tc>
          <w:tcPr>
            <w:tcW w:w="923" w:type="dxa"/>
          </w:tcPr>
          <w:p>
            <w:pPr>
              <w:pStyle w:val="42"/>
            </w:pPr>
          </w:p>
        </w:tc>
        <w:tc>
          <w:tcPr>
            <w:tcW w:w="922" w:type="dxa"/>
          </w:tcPr>
          <w:p>
            <w:pPr>
              <w:pStyle w:val="42"/>
            </w:pPr>
          </w:p>
        </w:tc>
        <w:tc>
          <w:tcPr>
            <w:tcW w:w="1436" w:type="dxa"/>
          </w:tcPr>
          <w:p>
            <w:pPr>
              <w:pStyle w:val="42"/>
            </w:pPr>
          </w:p>
        </w:tc>
        <w:tc>
          <w:tcPr>
            <w:tcW w:w="1022" w:type="dxa"/>
          </w:tcPr>
          <w:p>
            <w:pPr>
              <w:pStyle w:val="42"/>
            </w:pPr>
          </w:p>
        </w:tc>
        <w:tc>
          <w:tcPr>
            <w:tcW w:w="1232" w:type="dxa"/>
          </w:tcPr>
          <w:p>
            <w:pPr>
              <w:pStyle w:val="42"/>
            </w:pPr>
          </w:p>
        </w:tc>
        <w:tc>
          <w:tcPr>
            <w:tcW w:w="1229" w:type="dxa"/>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2"/>
              <w:rPr>
                <w:highlight w:val="yellow"/>
              </w:rPr>
            </w:pPr>
          </w:p>
        </w:tc>
        <w:tc>
          <w:tcPr>
            <w:tcW w:w="1018" w:type="dxa"/>
          </w:tcPr>
          <w:p>
            <w:pPr>
              <w:pStyle w:val="42"/>
            </w:pPr>
          </w:p>
        </w:tc>
        <w:tc>
          <w:tcPr>
            <w:tcW w:w="921" w:type="dxa"/>
          </w:tcPr>
          <w:p>
            <w:pPr>
              <w:pStyle w:val="42"/>
            </w:pPr>
          </w:p>
        </w:tc>
        <w:tc>
          <w:tcPr>
            <w:tcW w:w="923" w:type="dxa"/>
          </w:tcPr>
          <w:p>
            <w:pPr>
              <w:pStyle w:val="42"/>
            </w:pPr>
          </w:p>
        </w:tc>
        <w:tc>
          <w:tcPr>
            <w:tcW w:w="922" w:type="dxa"/>
          </w:tcPr>
          <w:p>
            <w:pPr>
              <w:pStyle w:val="42"/>
            </w:pPr>
          </w:p>
        </w:tc>
        <w:tc>
          <w:tcPr>
            <w:tcW w:w="1436" w:type="dxa"/>
          </w:tcPr>
          <w:p>
            <w:pPr>
              <w:pStyle w:val="42"/>
            </w:pPr>
          </w:p>
        </w:tc>
        <w:tc>
          <w:tcPr>
            <w:tcW w:w="1022" w:type="dxa"/>
          </w:tcPr>
          <w:p>
            <w:pPr>
              <w:pStyle w:val="42"/>
            </w:pPr>
          </w:p>
        </w:tc>
        <w:tc>
          <w:tcPr>
            <w:tcW w:w="1232" w:type="dxa"/>
          </w:tcPr>
          <w:p>
            <w:pPr>
              <w:pStyle w:val="42"/>
            </w:pPr>
          </w:p>
        </w:tc>
        <w:tc>
          <w:tcPr>
            <w:tcW w:w="1229" w:type="dxa"/>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2"/>
              <w:rPr>
                <w:highlight w:val="yellow"/>
              </w:rPr>
            </w:pPr>
          </w:p>
        </w:tc>
        <w:tc>
          <w:tcPr>
            <w:tcW w:w="1018" w:type="dxa"/>
          </w:tcPr>
          <w:p>
            <w:pPr>
              <w:pStyle w:val="42"/>
            </w:pPr>
          </w:p>
        </w:tc>
        <w:tc>
          <w:tcPr>
            <w:tcW w:w="921" w:type="dxa"/>
          </w:tcPr>
          <w:p>
            <w:pPr>
              <w:pStyle w:val="42"/>
            </w:pPr>
          </w:p>
        </w:tc>
        <w:tc>
          <w:tcPr>
            <w:tcW w:w="923" w:type="dxa"/>
          </w:tcPr>
          <w:p>
            <w:pPr>
              <w:pStyle w:val="42"/>
            </w:pPr>
          </w:p>
        </w:tc>
        <w:tc>
          <w:tcPr>
            <w:tcW w:w="922" w:type="dxa"/>
          </w:tcPr>
          <w:p>
            <w:pPr>
              <w:pStyle w:val="42"/>
            </w:pPr>
          </w:p>
        </w:tc>
        <w:tc>
          <w:tcPr>
            <w:tcW w:w="1436" w:type="dxa"/>
          </w:tcPr>
          <w:p>
            <w:pPr>
              <w:pStyle w:val="42"/>
            </w:pPr>
          </w:p>
        </w:tc>
        <w:tc>
          <w:tcPr>
            <w:tcW w:w="1022" w:type="dxa"/>
          </w:tcPr>
          <w:p>
            <w:pPr>
              <w:pStyle w:val="42"/>
            </w:pPr>
          </w:p>
        </w:tc>
        <w:tc>
          <w:tcPr>
            <w:tcW w:w="1232" w:type="dxa"/>
          </w:tcPr>
          <w:p>
            <w:pPr>
              <w:pStyle w:val="42"/>
            </w:pPr>
          </w:p>
        </w:tc>
        <w:tc>
          <w:tcPr>
            <w:tcW w:w="1229" w:type="dxa"/>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2"/>
              <w:rPr>
                <w:highlight w:val="yellow"/>
              </w:rPr>
            </w:pPr>
          </w:p>
        </w:tc>
        <w:tc>
          <w:tcPr>
            <w:tcW w:w="1018" w:type="dxa"/>
          </w:tcPr>
          <w:p>
            <w:pPr>
              <w:pStyle w:val="42"/>
            </w:pPr>
          </w:p>
        </w:tc>
        <w:tc>
          <w:tcPr>
            <w:tcW w:w="921" w:type="dxa"/>
          </w:tcPr>
          <w:p>
            <w:pPr>
              <w:pStyle w:val="42"/>
            </w:pPr>
          </w:p>
        </w:tc>
        <w:tc>
          <w:tcPr>
            <w:tcW w:w="923" w:type="dxa"/>
          </w:tcPr>
          <w:p>
            <w:pPr>
              <w:pStyle w:val="42"/>
            </w:pPr>
          </w:p>
        </w:tc>
        <w:tc>
          <w:tcPr>
            <w:tcW w:w="922" w:type="dxa"/>
          </w:tcPr>
          <w:p>
            <w:pPr>
              <w:pStyle w:val="42"/>
            </w:pPr>
          </w:p>
        </w:tc>
        <w:tc>
          <w:tcPr>
            <w:tcW w:w="1436" w:type="dxa"/>
          </w:tcPr>
          <w:p>
            <w:pPr>
              <w:pStyle w:val="42"/>
            </w:pPr>
          </w:p>
        </w:tc>
        <w:tc>
          <w:tcPr>
            <w:tcW w:w="1022" w:type="dxa"/>
          </w:tcPr>
          <w:p>
            <w:pPr>
              <w:pStyle w:val="42"/>
            </w:pPr>
          </w:p>
        </w:tc>
        <w:tc>
          <w:tcPr>
            <w:tcW w:w="1232" w:type="dxa"/>
          </w:tcPr>
          <w:p>
            <w:pPr>
              <w:pStyle w:val="42"/>
            </w:pPr>
          </w:p>
        </w:tc>
        <w:tc>
          <w:tcPr>
            <w:tcW w:w="1229" w:type="dxa"/>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2"/>
              <w:rPr>
                <w:highlight w:val="yellow"/>
              </w:rPr>
            </w:pPr>
          </w:p>
        </w:tc>
        <w:tc>
          <w:tcPr>
            <w:tcW w:w="1018" w:type="dxa"/>
          </w:tcPr>
          <w:p>
            <w:pPr>
              <w:pStyle w:val="42"/>
            </w:pPr>
          </w:p>
        </w:tc>
        <w:tc>
          <w:tcPr>
            <w:tcW w:w="921" w:type="dxa"/>
          </w:tcPr>
          <w:p>
            <w:pPr>
              <w:pStyle w:val="42"/>
            </w:pPr>
          </w:p>
        </w:tc>
        <w:tc>
          <w:tcPr>
            <w:tcW w:w="923" w:type="dxa"/>
          </w:tcPr>
          <w:p>
            <w:pPr>
              <w:pStyle w:val="42"/>
            </w:pPr>
          </w:p>
        </w:tc>
        <w:tc>
          <w:tcPr>
            <w:tcW w:w="922" w:type="dxa"/>
          </w:tcPr>
          <w:p>
            <w:pPr>
              <w:pStyle w:val="42"/>
            </w:pPr>
          </w:p>
        </w:tc>
        <w:tc>
          <w:tcPr>
            <w:tcW w:w="1436" w:type="dxa"/>
          </w:tcPr>
          <w:p>
            <w:pPr>
              <w:pStyle w:val="42"/>
            </w:pPr>
          </w:p>
        </w:tc>
        <w:tc>
          <w:tcPr>
            <w:tcW w:w="1022" w:type="dxa"/>
          </w:tcPr>
          <w:p>
            <w:pPr>
              <w:pStyle w:val="42"/>
            </w:pPr>
          </w:p>
        </w:tc>
        <w:tc>
          <w:tcPr>
            <w:tcW w:w="1232" w:type="dxa"/>
          </w:tcPr>
          <w:p>
            <w:pPr>
              <w:pStyle w:val="42"/>
            </w:pPr>
          </w:p>
        </w:tc>
        <w:tc>
          <w:tcPr>
            <w:tcW w:w="1229" w:type="dxa"/>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2"/>
            </w:pPr>
          </w:p>
        </w:tc>
        <w:tc>
          <w:tcPr>
            <w:tcW w:w="1018" w:type="dxa"/>
          </w:tcPr>
          <w:p>
            <w:pPr>
              <w:pStyle w:val="42"/>
            </w:pPr>
          </w:p>
        </w:tc>
        <w:tc>
          <w:tcPr>
            <w:tcW w:w="921" w:type="dxa"/>
          </w:tcPr>
          <w:p>
            <w:pPr>
              <w:pStyle w:val="42"/>
            </w:pPr>
          </w:p>
        </w:tc>
        <w:tc>
          <w:tcPr>
            <w:tcW w:w="923" w:type="dxa"/>
          </w:tcPr>
          <w:p>
            <w:pPr>
              <w:pStyle w:val="42"/>
            </w:pPr>
          </w:p>
        </w:tc>
        <w:tc>
          <w:tcPr>
            <w:tcW w:w="922" w:type="dxa"/>
          </w:tcPr>
          <w:p>
            <w:pPr>
              <w:pStyle w:val="42"/>
            </w:pPr>
          </w:p>
        </w:tc>
        <w:tc>
          <w:tcPr>
            <w:tcW w:w="1436" w:type="dxa"/>
          </w:tcPr>
          <w:p>
            <w:pPr>
              <w:pStyle w:val="42"/>
            </w:pPr>
          </w:p>
        </w:tc>
        <w:tc>
          <w:tcPr>
            <w:tcW w:w="1022" w:type="dxa"/>
          </w:tcPr>
          <w:p>
            <w:pPr>
              <w:pStyle w:val="42"/>
            </w:pPr>
          </w:p>
        </w:tc>
        <w:tc>
          <w:tcPr>
            <w:tcW w:w="1232" w:type="dxa"/>
          </w:tcPr>
          <w:p>
            <w:pPr>
              <w:pStyle w:val="42"/>
            </w:pPr>
          </w:p>
        </w:tc>
        <w:tc>
          <w:tcPr>
            <w:tcW w:w="1229" w:type="dxa"/>
          </w:tcPr>
          <w:p>
            <w:pPr>
              <w:pStyle w:val="4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2"/>
            </w:pPr>
          </w:p>
        </w:tc>
        <w:tc>
          <w:tcPr>
            <w:tcW w:w="1018" w:type="dxa"/>
          </w:tcPr>
          <w:p>
            <w:pPr>
              <w:pStyle w:val="42"/>
            </w:pPr>
          </w:p>
        </w:tc>
        <w:tc>
          <w:tcPr>
            <w:tcW w:w="921" w:type="dxa"/>
          </w:tcPr>
          <w:p>
            <w:pPr>
              <w:pStyle w:val="42"/>
            </w:pPr>
          </w:p>
        </w:tc>
        <w:tc>
          <w:tcPr>
            <w:tcW w:w="923" w:type="dxa"/>
          </w:tcPr>
          <w:p>
            <w:pPr>
              <w:pStyle w:val="42"/>
            </w:pPr>
          </w:p>
        </w:tc>
        <w:tc>
          <w:tcPr>
            <w:tcW w:w="922" w:type="dxa"/>
          </w:tcPr>
          <w:p>
            <w:pPr>
              <w:pStyle w:val="42"/>
            </w:pPr>
          </w:p>
        </w:tc>
        <w:tc>
          <w:tcPr>
            <w:tcW w:w="1436" w:type="dxa"/>
          </w:tcPr>
          <w:p>
            <w:pPr>
              <w:pStyle w:val="42"/>
            </w:pPr>
          </w:p>
        </w:tc>
        <w:tc>
          <w:tcPr>
            <w:tcW w:w="1022" w:type="dxa"/>
          </w:tcPr>
          <w:p>
            <w:pPr>
              <w:pStyle w:val="42"/>
            </w:pPr>
          </w:p>
        </w:tc>
        <w:tc>
          <w:tcPr>
            <w:tcW w:w="1232" w:type="dxa"/>
          </w:tcPr>
          <w:p>
            <w:pPr>
              <w:pStyle w:val="42"/>
            </w:pPr>
          </w:p>
        </w:tc>
        <w:tc>
          <w:tcPr>
            <w:tcW w:w="1229" w:type="dxa"/>
          </w:tcPr>
          <w:p>
            <w:pPr>
              <w:pStyle w:val="42"/>
            </w:pPr>
          </w:p>
        </w:tc>
      </w:tr>
    </w:tbl>
    <w:p>
      <w:pPr>
        <w:pStyle w:val="44"/>
        <w:ind w:firstLine="482"/>
      </w:pPr>
      <w:r>
        <w:rPr>
          <w:rFonts w:hint="eastAsia"/>
        </w:rPr>
        <w:t>注：供应商根据自身实际情况填写，对不涉及的内容可填写“/”。</w:t>
      </w:r>
    </w:p>
    <w:p>
      <w:pPr>
        <w:pStyle w:val="40"/>
      </w:pPr>
    </w:p>
    <w:p>
      <w:pPr>
        <w:pStyle w:val="40"/>
      </w:pPr>
    </w:p>
    <w:p>
      <w:pPr>
        <w:pStyle w:val="43"/>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3"/>
      </w:pPr>
      <w:r>
        <w:rPr>
          <w:rFonts w:hint="eastAsia"/>
        </w:rPr>
        <w:t>法定代表人/单位负责人或授权代表：</w:t>
      </w:r>
      <w:r>
        <w:rPr>
          <w:rFonts w:hint="eastAsia" w:asciiTheme="minorEastAsia" w:hAnsiTheme="minorEastAsia" w:eastAsiaTheme="minorEastAsia" w:cstheme="minorEastAsia"/>
          <w:u w:val="single"/>
        </w:rPr>
        <w:t xml:space="preserve">            </w:t>
      </w:r>
      <w:r>
        <w:rPr>
          <w:rFonts w:hint="eastAsia"/>
        </w:rPr>
        <w:t>(签字或盖章)</w:t>
      </w:r>
    </w:p>
    <w:p>
      <w:pPr>
        <w:pStyle w:val="43"/>
      </w:pPr>
      <w:r>
        <w:rPr>
          <w:rFonts w:hint="eastAsia"/>
        </w:rPr>
        <w:t>磋商日期：</w:t>
      </w:r>
      <w:r>
        <w:rPr>
          <w:rFonts w:hint="eastAsia" w:asciiTheme="minorEastAsia" w:hAnsiTheme="minorEastAsia" w:eastAsiaTheme="minorEastAsia" w:cstheme="minorEastAsia"/>
          <w:u w:val="single"/>
        </w:rPr>
        <w:t xml:space="preserve">            </w:t>
      </w:r>
    </w:p>
    <w:bookmarkEnd w:id="339"/>
    <w:bookmarkEnd w:id="340"/>
    <w:p>
      <w:pPr>
        <w:pStyle w:val="41"/>
        <w:numPr>
          <w:ilvl w:val="0"/>
          <w:numId w:val="19"/>
        </w:numPr>
        <w:spacing w:before="120" w:after="120"/>
        <w:ind w:firstLine="0"/>
      </w:pPr>
      <w:bookmarkStart w:id="341" w:name="_Toc10935"/>
      <w:bookmarkStart w:id="342" w:name="_Toc28539"/>
      <w:bookmarkStart w:id="343" w:name="_Toc4428"/>
      <w:r>
        <w:rPr>
          <w:rFonts w:hint="eastAsia"/>
        </w:rPr>
        <w:t>履约能力及相关证明</w:t>
      </w:r>
      <w:bookmarkEnd w:id="341"/>
      <w:bookmarkEnd w:id="342"/>
      <w:bookmarkEnd w:id="343"/>
    </w:p>
    <w:p>
      <w:pPr>
        <w:pStyle w:val="44"/>
        <w:ind w:firstLine="482"/>
      </w:pPr>
      <w:r>
        <w:rPr>
          <w:rFonts w:hint="eastAsia"/>
        </w:rPr>
        <w:t>注：格式自拟。</w:t>
      </w:r>
    </w:p>
    <w:p>
      <w:pPr>
        <w:pStyle w:val="40"/>
      </w:pPr>
    </w:p>
    <w:p>
      <w:pPr>
        <w:pStyle w:val="40"/>
      </w:pPr>
    </w:p>
    <w:p>
      <w:pPr>
        <w:pStyle w:val="40"/>
      </w:pPr>
    </w:p>
    <w:p>
      <w:pPr>
        <w:pStyle w:val="40"/>
      </w:pPr>
    </w:p>
    <w:p>
      <w:pPr>
        <w:pStyle w:val="40"/>
      </w:pPr>
    </w:p>
    <w:bookmarkEnd w:id="329"/>
    <w:p>
      <w:pPr>
        <w:pStyle w:val="40"/>
      </w:pPr>
      <w:bookmarkStart w:id="344" w:name="_Toc19240"/>
      <w:r>
        <w:rPr>
          <w:rFonts w:hint="eastAsia"/>
        </w:rPr>
        <w:br w:type="page"/>
      </w:r>
      <w:bookmarkEnd w:id="344"/>
    </w:p>
    <w:p>
      <w:pPr>
        <w:pStyle w:val="41"/>
        <w:numPr>
          <w:ilvl w:val="0"/>
          <w:numId w:val="19"/>
        </w:numPr>
        <w:bidi w:val="0"/>
        <w:ind w:left="0" w:leftChars="0" w:firstLine="0" w:firstLineChars="0"/>
        <w:rPr>
          <w:rFonts w:hint="eastAsia"/>
          <w:lang w:val="en-US" w:eastAsia="zh-CN"/>
        </w:rPr>
      </w:pPr>
      <w:bookmarkStart w:id="345" w:name="_Toc10769"/>
      <w:bookmarkStart w:id="346" w:name="_Toc27809"/>
      <w:bookmarkStart w:id="347" w:name="_Toc16092"/>
      <w:bookmarkStart w:id="348" w:name="_Toc14373"/>
      <w:bookmarkStart w:id="349" w:name="_Toc20002"/>
      <w:bookmarkStart w:id="350" w:name="_Toc881"/>
      <w:bookmarkStart w:id="351" w:name="_Toc18724"/>
      <w:r>
        <w:rPr>
          <w:rFonts w:hint="eastAsia"/>
          <w:lang w:val="en-US" w:eastAsia="zh-CN"/>
        </w:rPr>
        <w:t>中小企业声明函(如涉及)</w:t>
      </w:r>
      <w:bookmarkEnd w:id="345"/>
      <w:bookmarkEnd w:id="346"/>
    </w:p>
    <w:p>
      <w:pPr>
        <w:pStyle w:val="44"/>
        <w:spacing w:line="440" w:lineRule="exact"/>
        <w:rPr>
          <w:rFonts w:hint="eastAsia"/>
          <w:b w:val="0"/>
          <w:bCs/>
        </w:rPr>
      </w:pPr>
      <w:r>
        <w:rPr>
          <w:rFonts w:hint="eastAsia"/>
          <w:b w:val="0"/>
          <w:bCs/>
          <w:spacing w:val="0"/>
        </w:rPr>
        <w:t>本公司郑重声明，根据《政府采购促进中小企业发展管理办法》</w:t>
      </w:r>
      <w:r>
        <w:rPr>
          <w:rFonts w:hint="eastAsia"/>
          <w:b w:val="0"/>
          <w:bCs/>
          <w:lang w:eastAsia="zh-CN"/>
        </w:rPr>
        <w:t>(</w:t>
      </w:r>
      <w:r>
        <w:rPr>
          <w:rFonts w:hint="eastAsia"/>
          <w:b w:val="0"/>
          <w:bCs/>
          <w:spacing w:val="0"/>
        </w:rPr>
        <w:t>财库</w:t>
      </w:r>
      <w:r>
        <w:rPr>
          <w:rFonts w:hint="eastAsia" w:ascii="宋体" w:eastAsia="宋体"/>
          <w:b w:val="0"/>
          <w:bCs/>
        </w:rPr>
        <w:t>﹝</w:t>
      </w:r>
      <w:r>
        <w:rPr>
          <w:rFonts w:hint="eastAsia"/>
          <w:b w:val="0"/>
          <w:bCs/>
        </w:rPr>
        <w:t>2020</w:t>
      </w:r>
      <w:r>
        <w:rPr>
          <w:rFonts w:hint="eastAsia" w:ascii="宋体" w:eastAsia="宋体"/>
          <w:b w:val="0"/>
          <w:bCs/>
        </w:rPr>
        <w:t>﹞</w:t>
      </w:r>
      <w:r>
        <w:rPr>
          <w:rFonts w:hint="eastAsia"/>
          <w:b w:val="0"/>
          <w:bCs/>
        </w:rPr>
        <w:t>46</w:t>
      </w:r>
      <w:r>
        <w:rPr>
          <w:rFonts w:hint="eastAsia"/>
          <w:b w:val="0"/>
          <w:bCs/>
          <w:spacing w:val="0"/>
        </w:rPr>
        <w:t>号</w:t>
      </w:r>
      <w:r>
        <w:rPr>
          <w:rFonts w:hint="eastAsia"/>
          <w:b w:val="0"/>
          <w:bCs/>
          <w:spacing w:val="0"/>
          <w:lang w:eastAsia="zh-CN"/>
        </w:rPr>
        <w:t>)</w:t>
      </w:r>
      <w:r>
        <w:rPr>
          <w:rFonts w:hint="eastAsia"/>
          <w:b w:val="0"/>
          <w:bCs/>
        </w:rPr>
        <w:t>的规定，本公司</w:t>
      </w:r>
      <w:r>
        <w:rPr>
          <w:rFonts w:hint="eastAsia"/>
          <w:b w:val="0"/>
          <w:bCs/>
          <w:spacing w:val="0"/>
        </w:rPr>
        <w:t>参加</w:t>
      </w:r>
      <w:r>
        <w:rPr>
          <w:rFonts w:hint="eastAsia"/>
          <w:b w:val="0"/>
          <w:bCs/>
          <w:i w:val="0"/>
          <w:spacing w:val="0"/>
          <w:sz w:val="24"/>
          <w:u w:val="single"/>
          <w:lang w:eastAsia="zh-CN"/>
        </w:rPr>
        <w:t>(</w:t>
      </w:r>
      <w:r>
        <w:rPr>
          <w:rFonts w:hint="eastAsia"/>
          <w:b w:val="0"/>
          <w:bCs/>
          <w:i w:val="0"/>
          <w:spacing w:val="0"/>
          <w:sz w:val="24"/>
          <w:u w:val="single"/>
        </w:rPr>
        <w:t>单位名称</w:t>
      </w:r>
      <w:r>
        <w:rPr>
          <w:rFonts w:hint="eastAsia"/>
          <w:b w:val="0"/>
          <w:bCs/>
          <w:i w:val="0"/>
          <w:spacing w:val="0"/>
          <w:sz w:val="24"/>
          <w:u w:val="single"/>
          <w:lang w:eastAsia="zh-CN"/>
        </w:rPr>
        <w:t>)</w:t>
      </w:r>
      <w:r>
        <w:rPr>
          <w:rFonts w:hint="eastAsia"/>
          <w:b w:val="0"/>
          <w:bCs/>
          <w:spacing w:val="0"/>
        </w:rPr>
        <w:t>的</w:t>
      </w:r>
      <w:r>
        <w:rPr>
          <w:rFonts w:hint="eastAsia"/>
          <w:b w:val="0"/>
          <w:bCs/>
          <w:i w:val="0"/>
          <w:spacing w:val="0"/>
          <w:sz w:val="24"/>
          <w:u w:val="single"/>
          <w:lang w:eastAsia="zh-CN"/>
        </w:rPr>
        <w:t>(</w:t>
      </w:r>
      <w:r>
        <w:rPr>
          <w:rFonts w:hint="eastAsia"/>
          <w:b w:val="0"/>
          <w:bCs/>
          <w:i w:val="0"/>
          <w:spacing w:val="0"/>
          <w:sz w:val="24"/>
          <w:u w:val="single"/>
        </w:rPr>
        <w:t>项目名称</w:t>
      </w:r>
      <w:r>
        <w:rPr>
          <w:rFonts w:hint="eastAsia"/>
          <w:b w:val="0"/>
          <w:bCs/>
          <w:i w:val="0"/>
          <w:spacing w:val="0"/>
          <w:sz w:val="24"/>
          <w:u w:val="single"/>
          <w:lang w:eastAsia="zh-CN"/>
        </w:rPr>
        <w:t>)</w:t>
      </w:r>
      <w:r>
        <w:rPr>
          <w:rFonts w:hint="eastAsia"/>
          <w:b w:val="0"/>
          <w:bCs/>
          <w:spacing w:val="0"/>
        </w:rPr>
        <w:t>采购活动，服务</w:t>
      </w:r>
      <w:r>
        <w:rPr>
          <w:rFonts w:hint="eastAsia"/>
          <w:b w:val="0"/>
          <w:bCs/>
          <w:spacing w:val="0"/>
          <w:w w:val="100"/>
        </w:rPr>
        <w:t>全部由符合政策要求的中小企业承接。相关企业</w:t>
      </w:r>
      <w:r>
        <w:rPr>
          <w:rFonts w:hint="eastAsia"/>
          <w:b w:val="0"/>
          <w:bCs/>
          <w:spacing w:val="0"/>
          <w:w w:val="100"/>
          <w:lang w:eastAsia="zh-CN"/>
        </w:rPr>
        <w:t>(</w:t>
      </w:r>
      <w:r>
        <w:rPr>
          <w:rFonts w:hint="eastAsia"/>
          <w:b w:val="0"/>
          <w:bCs/>
          <w:spacing w:val="0"/>
          <w:w w:val="100"/>
        </w:rPr>
        <w:t>含联合</w:t>
      </w:r>
      <w:r>
        <w:rPr>
          <w:rFonts w:hint="eastAsia"/>
          <w:b w:val="0"/>
          <w:bCs/>
        </w:rPr>
        <w:t>体中的中小企业、签订分包意向协议的中小企业</w:t>
      </w:r>
      <w:r>
        <w:rPr>
          <w:rFonts w:hint="eastAsia"/>
          <w:b w:val="0"/>
          <w:bCs/>
          <w:spacing w:val="0"/>
          <w:lang w:eastAsia="zh-CN"/>
        </w:rPr>
        <w:t>)</w:t>
      </w:r>
      <w:r>
        <w:rPr>
          <w:rFonts w:hint="eastAsia"/>
          <w:b w:val="0"/>
          <w:bCs/>
        </w:rPr>
        <w:t>的具体情况如下：</w:t>
      </w:r>
    </w:p>
    <w:p>
      <w:pPr>
        <w:pStyle w:val="44"/>
        <w:spacing w:line="440" w:lineRule="exact"/>
        <w:rPr>
          <w:rFonts w:hint="eastAsia"/>
          <w:b w:val="0"/>
          <w:bCs/>
          <w:sz w:val="24"/>
        </w:rPr>
      </w:pPr>
      <w:r>
        <w:rPr>
          <w:rFonts w:hint="eastAsia"/>
          <w:b w:val="0"/>
          <w:bCs/>
          <w:i w:val="0"/>
          <w:spacing w:val="0"/>
          <w:w w:val="100"/>
          <w:sz w:val="24"/>
          <w:u w:val="single"/>
          <w:lang w:eastAsia="zh-CN"/>
        </w:rPr>
        <w:t>(</w:t>
      </w:r>
      <w:r>
        <w:rPr>
          <w:rFonts w:hint="eastAsia"/>
          <w:b w:val="0"/>
          <w:bCs/>
          <w:i w:val="0"/>
          <w:spacing w:val="0"/>
          <w:w w:val="100"/>
          <w:sz w:val="24"/>
          <w:u w:val="single"/>
        </w:rPr>
        <w:t>标的名称</w:t>
      </w:r>
      <w:r>
        <w:rPr>
          <w:rFonts w:hint="eastAsia"/>
          <w:b w:val="0"/>
          <w:bCs/>
          <w:i w:val="0"/>
          <w:spacing w:val="0"/>
          <w:w w:val="100"/>
          <w:sz w:val="24"/>
          <w:u w:val="single"/>
          <w:lang w:eastAsia="zh-CN"/>
        </w:rPr>
        <w:t>)</w:t>
      </w:r>
      <w:r>
        <w:rPr>
          <w:rFonts w:hint="eastAsia"/>
          <w:b w:val="0"/>
          <w:bCs/>
          <w:spacing w:val="0"/>
          <w:w w:val="100"/>
          <w:sz w:val="24"/>
          <w:u w:val="none"/>
        </w:rPr>
        <w:t>，属于</w:t>
      </w:r>
      <w:r>
        <w:rPr>
          <w:rFonts w:hint="eastAsia"/>
          <w:b w:val="0"/>
          <w:bCs/>
          <w:i w:val="0"/>
          <w:spacing w:val="0"/>
          <w:w w:val="100"/>
          <w:sz w:val="24"/>
          <w:u w:val="single"/>
          <w:lang w:eastAsia="zh-CN"/>
        </w:rPr>
        <w:t>(</w:t>
      </w:r>
      <w:r>
        <w:rPr>
          <w:rFonts w:hint="eastAsia"/>
          <w:b w:val="0"/>
          <w:bCs/>
          <w:i w:val="0"/>
          <w:spacing w:val="0"/>
          <w:w w:val="100"/>
          <w:sz w:val="24"/>
          <w:u w:val="single"/>
        </w:rPr>
        <w:t>采购文件中明确的所属行业</w:t>
      </w:r>
      <w:r>
        <w:rPr>
          <w:rFonts w:hint="eastAsia"/>
          <w:b w:val="0"/>
          <w:bCs/>
          <w:i w:val="0"/>
          <w:spacing w:val="0"/>
          <w:w w:val="100"/>
          <w:sz w:val="24"/>
          <w:u w:val="single"/>
          <w:lang w:eastAsia="zh-CN"/>
        </w:rPr>
        <w:t>)</w:t>
      </w:r>
      <w:r>
        <w:rPr>
          <w:rFonts w:hint="eastAsia"/>
          <w:b w:val="0"/>
          <w:bCs/>
          <w:w w:val="100"/>
          <w:sz w:val="24"/>
          <w:u w:val="none"/>
        </w:rPr>
        <w:t>；</w:t>
      </w:r>
      <w:r>
        <w:rPr>
          <w:rFonts w:hint="eastAsia"/>
          <w:b w:val="0"/>
          <w:bCs/>
          <w:spacing w:val="0"/>
          <w:w w:val="100"/>
          <w:sz w:val="24"/>
        </w:rPr>
        <w:t>承接企业为</w:t>
      </w:r>
      <w:r>
        <w:rPr>
          <w:rFonts w:hint="eastAsia"/>
          <w:b w:val="0"/>
          <w:bCs/>
          <w:i w:val="0"/>
          <w:spacing w:val="0"/>
          <w:w w:val="100"/>
          <w:sz w:val="24"/>
          <w:u w:val="single"/>
          <w:lang w:eastAsia="zh-CN"/>
        </w:rPr>
        <w:t>(</w:t>
      </w:r>
      <w:r>
        <w:rPr>
          <w:rFonts w:hint="eastAsia"/>
          <w:b w:val="0"/>
          <w:bCs/>
          <w:i w:val="0"/>
          <w:spacing w:val="0"/>
          <w:w w:val="100"/>
          <w:sz w:val="24"/>
          <w:u w:val="single"/>
        </w:rPr>
        <w:t>企业名称</w:t>
      </w:r>
      <w:r>
        <w:rPr>
          <w:rFonts w:hint="eastAsia"/>
          <w:b w:val="0"/>
          <w:bCs/>
          <w:i w:val="0"/>
          <w:spacing w:val="0"/>
          <w:w w:val="100"/>
          <w:sz w:val="24"/>
          <w:u w:val="single"/>
          <w:lang w:eastAsia="zh-CN"/>
        </w:rPr>
        <w:t>)</w:t>
      </w:r>
      <w:r>
        <w:rPr>
          <w:rFonts w:hint="eastAsia"/>
          <w:b w:val="0"/>
          <w:bCs/>
          <w:spacing w:val="0"/>
          <w:w w:val="100"/>
          <w:sz w:val="24"/>
        </w:rPr>
        <w:t>，从业人员</w:t>
      </w:r>
      <w:r>
        <w:rPr>
          <w:rFonts w:hint="eastAsia"/>
          <w:b w:val="0"/>
          <w:bCs/>
          <w:w w:val="100"/>
          <w:sz w:val="24"/>
          <w:u w:val="single"/>
          <w:lang w:val="en-US" w:eastAsia="zh-CN"/>
        </w:rPr>
        <w:t xml:space="preserve">    </w:t>
      </w:r>
      <w:r>
        <w:rPr>
          <w:rFonts w:hint="eastAsia"/>
          <w:b w:val="0"/>
          <w:bCs/>
          <w:spacing w:val="0"/>
          <w:w w:val="100"/>
          <w:sz w:val="24"/>
        </w:rPr>
        <w:t>人，营</w:t>
      </w:r>
      <w:r>
        <w:rPr>
          <w:rFonts w:hint="eastAsia"/>
          <w:b w:val="0"/>
          <w:bCs/>
          <w:w w:val="100"/>
          <w:sz w:val="24"/>
        </w:rPr>
        <w:t>业</w:t>
      </w:r>
      <w:r>
        <w:rPr>
          <w:rFonts w:hint="eastAsia"/>
          <w:b w:val="0"/>
          <w:bCs/>
          <w:sz w:val="24"/>
        </w:rPr>
        <w:t>收入为</w:t>
      </w:r>
      <w:r>
        <w:rPr>
          <w:rFonts w:hint="eastAsia"/>
          <w:b w:val="0"/>
          <w:bCs/>
          <w:sz w:val="24"/>
          <w:u w:val="single"/>
          <w:lang w:val="en-US" w:eastAsia="zh-CN"/>
        </w:rPr>
        <w:t xml:space="preserve">    </w:t>
      </w:r>
      <w:r>
        <w:rPr>
          <w:rFonts w:hint="eastAsia"/>
          <w:b w:val="0"/>
          <w:bCs/>
          <w:sz w:val="24"/>
          <w:u w:val="none"/>
        </w:rPr>
        <w:tab/>
      </w:r>
      <w:r>
        <w:rPr>
          <w:rFonts w:hint="eastAsia"/>
          <w:b w:val="0"/>
          <w:bCs/>
          <w:sz w:val="24"/>
        </w:rPr>
        <w:t>万元，资产总额为</w:t>
      </w:r>
      <w:r>
        <w:rPr>
          <w:rFonts w:hint="eastAsia"/>
          <w:b w:val="0"/>
          <w:bCs/>
          <w:sz w:val="24"/>
          <w:u w:val="single"/>
          <w:lang w:val="en-US" w:eastAsia="zh-CN"/>
        </w:rPr>
        <w:t xml:space="preserve">    </w:t>
      </w:r>
      <w:r>
        <w:rPr>
          <w:rFonts w:hint="eastAsia"/>
          <w:b w:val="0"/>
          <w:bCs/>
          <w:w w:val="100"/>
          <w:sz w:val="24"/>
        </w:rPr>
        <w:t>万元，属</w:t>
      </w:r>
      <w:r>
        <w:rPr>
          <w:rFonts w:hint="eastAsia"/>
          <w:b w:val="0"/>
          <w:bCs/>
          <w:spacing w:val="0"/>
          <w:w w:val="100"/>
          <w:sz w:val="24"/>
        </w:rPr>
        <w:t>于</w:t>
      </w:r>
      <w:r>
        <w:rPr>
          <w:rFonts w:hint="eastAsia"/>
          <w:b w:val="0"/>
          <w:bCs/>
          <w:i w:val="0"/>
          <w:spacing w:val="0"/>
          <w:w w:val="100"/>
          <w:sz w:val="24"/>
          <w:u w:val="single"/>
          <w:lang w:eastAsia="zh-CN"/>
        </w:rPr>
        <w:t>(</w:t>
      </w:r>
      <w:r>
        <w:rPr>
          <w:rFonts w:hint="eastAsia"/>
          <w:b w:val="0"/>
          <w:bCs/>
          <w:i w:val="0"/>
          <w:spacing w:val="0"/>
          <w:w w:val="100"/>
          <w:sz w:val="24"/>
          <w:u w:val="single"/>
        </w:rPr>
        <w:t>中型企业</w:t>
      </w:r>
      <w:r>
        <w:rPr>
          <w:rFonts w:hint="eastAsia"/>
          <w:b w:val="0"/>
          <w:bCs/>
          <w:i w:val="0"/>
          <w:w w:val="100"/>
          <w:sz w:val="24"/>
          <w:u w:val="single"/>
        </w:rPr>
        <w:t>、</w:t>
      </w:r>
      <w:r>
        <w:rPr>
          <w:rFonts w:hint="eastAsia"/>
          <w:b w:val="0"/>
          <w:bCs/>
          <w:i w:val="0"/>
          <w:spacing w:val="0"/>
          <w:w w:val="100"/>
          <w:sz w:val="24"/>
          <w:u w:val="single"/>
        </w:rPr>
        <w:t>小型企业、微型企业</w:t>
      </w:r>
      <w:r>
        <w:rPr>
          <w:rFonts w:hint="eastAsia"/>
          <w:b w:val="0"/>
          <w:bCs/>
          <w:i w:val="0"/>
          <w:spacing w:val="0"/>
          <w:w w:val="100"/>
          <w:sz w:val="24"/>
          <w:u w:val="single"/>
          <w:lang w:eastAsia="zh-CN"/>
        </w:rPr>
        <w:t>)</w:t>
      </w:r>
      <w:r>
        <w:rPr>
          <w:rFonts w:hint="eastAsia"/>
          <w:b w:val="0"/>
          <w:bCs/>
          <w:w w:val="100"/>
          <w:sz w:val="24"/>
        </w:rPr>
        <w:t>；</w:t>
      </w:r>
    </w:p>
    <w:p>
      <w:pPr>
        <w:pStyle w:val="44"/>
        <w:spacing w:line="440" w:lineRule="exact"/>
        <w:rPr>
          <w:rFonts w:hint="eastAsia"/>
          <w:b w:val="0"/>
          <w:bCs/>
        </w:rPr>
      </w:pPr>
      <w:r>
        <w:rPr>
          <w:rFonts w:hint="eastAsia"/>
          <w:b w:val="0"/>
          <w:bCs/>
          <w:spacing w:val="0"/>
        </w:rPr>
        <w:t>以上企业，不属于大企业的分支机构，不存在控股股东为大企业的情形，也不存在与大企业的负责人为同一人的情形。</w:t>
      </w:r>
    </w:p>
    <w:p>
      <w:pPr>
        <w:pStyle w:val="44"/>
        <w:spacing w:line="440" w:lineRule="exact"/>
        <w:rPr>
          <w:rFonts w:hint="eastAsia"/>
          <w:b w:val="0"/>
          <w:bCs/>
        </w:rPr>
      </w:pPr>
      <w:r>
        <w:rPr>
          <w:rFonts w:hint="eastAsia"/>
          <w:b w:val="0"/>
          <w:bCs/>
        </w:rPr>
        <w:t>本企业对上述声明内容的真实性负责。如有虚假，将依法承担相应责任。</w:t>
      </w:r>
    </w:p>
    <w:p>
      <w:pPr>
        <w:pStyle w:val="40"/>
        <w:bidi w:val="0"/>
        <w:rPr>
          <w:rFonts w:hint="eastAsia"/>
        </w:rPr>
      </w:pPr>
    </w:p>
    <w:p>
      <w:pPr>
        <w:pStyle w:val="40"/>
        <w:bidi w:val="0"/>
        <w:rPr>
          <w:rFonts w:hint="eastAsia"/>
        </w:rPr>
      </w:pP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rPr>
      </w:pPr>
      <w:r>
        <w:rPr>
          <w:rFonts w:hint="eastAsia"/>
        </w:rPr>
        <w:t>企业名称(盖章)：</w:t>
      </w:r>
      <w:r>
        <w:rPr>
          <w:rFonts w:hint="eastAsia"/>
          <w:u w:val="single"/>
          <w:lang w:val="en-US" w:eastAsia="zh-CN"/>
        </w:rPr>
        <w:t xml:space="preserve">        </w:t>
      </w: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rPr>
        <w:t>日期：</w:t>
      </w:r>
      <w:r>
        <w:rPr>
          <w:rFonts w:hint="eastAsia"/>
          <w:u w:val="single"/>
          <w:lang w:val="en-US" w:eastAsia="zh-CN"/>
        </w:rPr>
        <w:t xml:space="preserve">        </w:t>
      </w:r>
      <w:r>
        <w:rPr>
          <w:rFonts w:hint="eastAsia"/>
          <w:lang w:val="en-US" w:eastAsia="zh-CN"/>
        </w:rPr>
        <w:t xml:space="preserve">           </w:t>
      </w:r>
      <w:r>
        <w:rPr>
          <w:rFonts w:hint="eastAsia"/>
        </w:rPr>
        <w:t>　</w:t>
      </w:r>
    </w:p>
    <w:p>
      <w:pPr>
        <w:pStyle w:val="44"/>
        <w:keepNext w:val="0"/>
        <w:keepLines w:val="0"/>
        <w:pageBreakBefore w:val="0"/>
        <w:kinsoku/>
        <w:overflowPunct/>
        <w:autoSpaceDE/>
        <w:autoSpaceDN/>
        <w:bidi w:val="0"/>
        <w:adjustRightInd w:val="0"/>
        <w:snapToGrid w:val="0"/>
        <w:spacing w:line="440" w:lineRule="exact"/>
        <w:textAlignment w:val="auto"/>
        <w:rPr>
          <w:rFonts w:hint="eastAsia"/>
        </w:rPr>
      </w:pPr>
    </w:p>
    <w:p>
      <w:pPr>
        <w:pStyle w:val="44"/>
        <w:keepNext w:val="0"/>
        <w:keepLines w:val="0"/>
        <w:pageBreakBefore w:val="0"/>
        <w:kinsoku/>
        <w:overflowPunct/>
        <w:autoSpaceDE/>
        <w:autoSpaceDN/>
        <w:bidi w:val="0"/>
        <w:adjustRightInd w:val="0"/>
        <w:snapToGrid w:val="0"/>
        <w:spacing w:line="440" w:lineRule="exact"/>
        <w:textAlignment w:val="auto"/>
        <w:rPr>
          <w:rFonts w:hint="eastAsia"/>
        </w:rPr>
      </w:pPr>
      <w:r>
        <w:rPr>
          <w:rFonts w:hint="eastAsia"/>
        </w:rPr>
        <w:t>说明：①从业人员、营业收入、资产总额填报上一年度数据，无上一年度数据的新成立企业可不填报。</w:t>
      </w:r>
    </w:p>
    <w:p>
      <w:pPr>
        <w:pStyle w:val="44"/>
        <w:keepNext w:val="0"/>
        <w:keepLines w:val="0"/>
        <w:pageBreakBefore w:val="0"/>
        <w:kinsoku/>
        <w:overflowPunct/>
        <w:autoSpaceDE/>
        <w:autoSpaceDN/>
        <w:bidi w:val="0"/>
        <w:adjustRightInd w:val="0"/>
        <w:snapToGrid w:val="0"/>
        <w:spacing w:line="440" w:lineRule="exact"/>
        <w:textAlignment w:val="auto"/>
      </w:pPr>
      <w:r>
        <w:rPr>
          <w:rFonts w:hint="eastAsia"/>
          <w:lang w:val="en-US" w:eastAsia="zh-CN"/>
        </w:rPr>
        <w:t>②</w:t>
      </w:r>
      <w:r>
        <w:rPr>
          <w:rFonts w:hint="eastAsia"/>
        </w:rPr>
        <w:t>如未提供中小企业声明函的，则其评审中的小型、微型企业不能享受招标文件规定的价格扣除，但不影响供应商投标文件的有效性。</w:t>
      </w:r>
    </w:p>
    <w:p>
      <w:pPr>
        <w:pStyle w:val="44"/>
        <w:keepNext w:val="0"/>
        <w:keepLines w:val="0"/>
        <w:pageBreakBefore w:val="0"/>
        <w:kinsoku/>
        <w:overflowPunct/>
        <w:autoSpaceDE/>
        <w:autoSpaceDN/>
        <w:bidi w:val="0"/>
        <w:adjustRightInd w:val="0"/>
        <w:snapToGrid w:val="0"/>
        <w:spacing w:line="440" w:lineRule="exact"/>
        <w:textAlignment w:val="auto"/>
        <w:rPr>
          <w:rFonts w:hint="eastAsia"/>
        </w:rPr>
      </w:pPr>
      <w:r>
        <w:rPr>
          <w:rFonts w:hint="default"/>
          <w:lang w:val="en-US" w:eastAsia="zh-CN"/>
        </w:rPr>
        <w:t>③</w:t>
      </w:r>
      <w:r>
        <w:rPr>
          <w:rFonts w:hint="eastAsia"/>
          <w:lang w:eastAsia="zh-CN"/>
        </w:rPr>
        <w:t>供应商</w:t>
      </w:r>
      <w:r>
        <w:rPr>
          <w:rFonts w:hint="eastAsia"/>
        </w:rPr>
        <w:t>参加政府采购活动时，提供虚假中小企业声明函的，以提供虚假材料谋取</w:t>
      </w:r>
      <w:r>
        <w:rPr>
          <w:rFonts w:hint="eastAsia"/>
          <w:lang w:val="en-US" w:eastAsia="zh-CN"/>
        </w:rPr>
        <w:t>成交</w:t>
      </w:r>
      <w:r>
        <w:rPr>
          <w:rFonts w:hint="eastAsia"/>
        </w:rPr>
        <w:t>处理。</w:t>
      </w:r>
    </w:p>
    <w:p>
      <w:pPr>
        <w:pStyle w:val="44"/>
        <w:keepNext w:val="0"/>
        <w:keepLines w:val="0"/>
        <w:pageBreakBefore w:val="0"/>
        <w:kinsoku/>
        <w:overflowPunct/>
        <w:autoSpaceDE/>
        <w:autoSpaceDN/>
        <w:bidi w:val="0"/>
        <w:adjustRightInd w:val="0"/>
        <w:snapToGrid w:val="0"/>
        <w:spacing w:line="440" w:lineRule="exact"/>
        <w:textAlignment w:val="auto"/>
        <w:rPr>
          <w:rFonts w:hint="eastAsia"/>
          <w:lang w:val="en-US" w:eastAsia="zh-CN"/>
        </w:rPr>
      </w:pPr>
      <w:r>
        <w:rPr>
          <w:rFonts w:hint="default"/>
          <w:lang w:val="en-US" w:eastAsia="zh-CN"/>
        </w:rPr>
        <w:fldChar w:fldCharType="begin"/>
      </w:r>
      <w:r>
        <w:rPr>
          <w:rFonts w:hint="default"/>
          <w:lang w:val="en-US" w:eastAsia="zh-CN"/>
        </w:rPr>
        <w:instrText xml:space="preserve"> = 4 \* GB3 \* MERGEFORMAT </w:instrText>
      </w:r>
      <w:r>
        <w:rPr>
          <w:rFonts w:hint="default"/>
          <w:lang w:val="en-US" w:eastAsia="zh-CN"/>
        </w:rPr>
        <w:fldChar w:fldCharType="separate"/>
      </w:r>
      <w:r>
        <w:rPr>
          <w:rFonts w:hint="eastAsia"/>
          <w:lang w:val="en-US" w:eastAsia="zh-CN"/>
        </w:rPr>
        <w:t>④</w:t>
      </w:r>
      <w:r>
        <w:rPr>
          <w:rFonts w:hint="default"/>
          <w:lang w:val="en-US" w:eastAsia="zh-CN"/>
        </w:rPr>
        <w:fldChar w:fldCharType="end"/>
      </w:r>
      <w:r>
        <w:rPr>
          <w:rFonts w:hint="eastAsia"/>
          <w:lang w:val="en-US" w:eastAsia="zh-CN"/>
        </w:rPr>
        <w:t>供应商为非企业单位的，如</w:t>
      </w:r>
      <w:r>
        <w:rPr>
          <w:rFonts w:hint="default"/>
          <w:lang w:val="en-US" w:eastAsia="zh-CN"/>
        </w:rPr>
        <w:fldChar w:fldCharType="begin"/>
      </w:r>
      <w:r>
        <w:rPr>
          <w:rFonts w:hint="default"/>
          <w:lang w:val="en-US" w:eastAsia="zh-CN"/>
        </w:rPr>
        <w:instrText xml:space="preserve"> HYPERLINK "http://www.baidu.com/link?url=iBElULo-d5ZLg5hWr9fKyE9J-RxccwLI-m1Agt9ljL77ObTW5LQjhadjNT2MqWnbLezvMqwfSInjbbIsQiOB-i51ng1O-k9urRWB9JMMNXa_i_MLA720oUeu4HvXUaUSG40sshnLZLbEhVc0Xthfwq" \t "https://www.baidu.com/_blank" </w:instrText>
      </w:r>
      <w:r>
        <w:rPr>
          <w:rFonts w:hint="default"/>
          <w:lang w:val="en-US" w:eastAsia="zh-CN"/>
        </w:rPr>
        <w:fldChar w:fldCharType="separate"/>
      </w:r>
      <w:r>
        <w:rPr>
          <w:rFonts w:hint="default"/>
          <w:lang w:val="en-US" w:eastAsia="zh-CN"/>
        </w:rPr>
        <w:t>民办非企业</w:t>
      </w:r>
      <w:r>
        <w:rPr>
          <w:rFonts w:hint="default"/>
          <w:lang w:val="en-US" w:eastAsia="zh-CN"/>
        </w:rPr>
        <w:fldChar w:fldCharType="end"/>
      </w:r>
      <w:r>
        <w:rPr>
          <w:rFonts w:hint="eastAsia"/>
          <w:lang w:val="en-US" w:eastAsia="zh-CN"/>
        </w:rPr>
        <w:t>、基金会、协会、服务中心、农村承包经营户、学会等非工商(市场监管)登记注册的组织均不适用此声明函，不得提供中小企业声明函，提供此声明的在评审过程中按声明无效处理。</w:t>
      </w:r>
    </w:p>
    <w:p>
      <w:pPr>
        <w:pStyle w:val="44"/>
        <w:keepNext w:val="0"/>
        <w:keepLines w:val="0"/>
        <w:pageBreakBefore w:val="0"/>
        <w:kinsoku/>
        <w:overflowPunct/>
        <w:autoSpaceDE/>
        <w:autoSpaceDN/>
        <w:bidi w:val="0"/>
        <w:adjustRightInd w:val="0"/>
        <w:snapToGrid w:val="0"/>
        <w:spacing w:line="440" w:lineRule="exact"/>
        <w:textAlignment w:val="auto"/>
      </w:pPr>
      <w:r>
        <w:rPr>
          <w:rFonts w:hint="eastAsia"/>
          <w:lang w:val="en-US" w:eastAsia="zh-CN"/>
        </w:rPr>
        <w:t>⑤</w:t>
      </w:r>
      <w:r>
        <w:t>符合中小企业划分标准的个体工商户</w:t>
      </w:r>
      <w:r>
        <w:rPr>
          <w:rFonts w:hint="eastAsia"/>
          <w:lang w:eastAsia="zh-CN"/>
        </w:rPr>
        <w:t>，</w:t>
      </w:r>
      <w:r>
        <w:rPr>
          <w:rFonts w:hint="eastAsia"/>
          <w:lang w:val="en-US" w:eastAsia="zh-CN"/>
        </w:rPr>
        <w:t>在政府采购活动中视同中小企业。</w:t>
      </w: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val="en-US" w:eastAsia="zh-CN"/>
        </w:rPr>
      </w:pPr>
      <w:r>
        <w:rPr>
          <w:rFonts w:hint="eastAsia"/>
          <w:lang w:val="en-US" w:eastAsia="zh-CN"/>
        </w:rPr>
        <w:br w:type="page"/>
      </w:r>
    </w:p>
    <w:p>
      <w:pPr>
        <w:pStyle w:val="41"/>
        <w:numPr>
          <w:ilvl w:val="0"/>
          <w:numId w:val="19"/>
        </w:numPr>
        <w:bidi w:val="0"/>
        <w:ind w:left="0" w:leftChars="0" w:firstLine="0" w:firstLineChars="0"/>
        <w:rPr>
          <w:rFonts w:hint="eastAsia"/>
          <w:lang w:val="en-US" w:eastAsia="zh-CN"/>
        </w:rPr>
      </w:pPr>
      <w:bookmarkStart w:id="352" w:name="_Toc3434"/>
      <w:bookmarkStart w:id="353" w:name="_Toc10438"/>
      <w:r>
        <w:rPr>
          <w:rFonts w:hint="eastAsia"/>
          <w:lang w:val="en-US" w:eastAsia="zh-CN"/>
        </w:rPr>
        <w:t>监狱企业相关证明材料(如涉及)</w:t>
      </w:r>
      <w:bookmarkEnd w:id="352"/>
      <w:bookmarkEnd w:id="353"/>
    </w:p>
    <w:p>
      <w:pPr>
        <w:pStyle w:val="44"/>
        <w:bidi w:val="0"/>
        <w:rPr>
          <w:rFonts w:hint="eastAsia"/>
        </w:rPr>
      </w:pPr>
      <w:r>
        <w:rPr>
          <w:rFonts w:hint="eastAsia"/>
        </w:rPr>
        <w:t>说明：</w:t>
      </w:r>
    </w:p>
    <w:p>
      <w:pPr>
        <w:pStyle w:val="44"/>
        <w:bidi w:val="0"/>
        <w:rPr>
          <w:rFonts w:hint="eastAsia"/>
        </w:rPr>
      </w:pPr>
      <w:r>
        <w:rPr>
          <w:rFonts w:hint="eastAsia"/>
          <w:lang w:val="en-US" w:eastAsia="zh-CN"/>
        </w:rPr>
        <w:t>①监狱企业参加政府采购活动时，应当提供由省级以上监狱管理局、戒毒管理局(含新疆生产建设兵团)出具的属于监狱企业的证明文件。</w:t>
      </w:r>
    </w:p>
    <w:p>
      <w:pPr>
        <w:pStyle w:val="44"/>
        <w:bidi w:val="0"/>
        <w:rPr>
          <w:rFonts w:hint="eastAsia"/>
        </w:rPr>
      </w:pPr>
      <w:r>
        <w:rPr>
          <w:rFonts w:hint="eastAsia"/>
          <w:color w:val="auto"/>
          <w:lang w:val="en-US" w:eastAsia="zh-CN"/>
        </w:rPr>
        <w:t>②</w:t>
      </w:r>
      <w:r>
        <w:rPr>
          <w:rFonts w:hint="eastAsia"/>
          <w:color w:val="auto"/>
        </w:rPr>
        <w:t>监狱企业</w:t>
      </w:r>
      <w:r>
        <w:rPr>
          <w:rFonts w:hint="eastAsia"/>
          <w:color w:val="auto"/>
          <w:lang w:val="en-US" w:eastAsia="zh-CN"/>
        </w:rPr>
        <w:t>参加本次采购活动</w:t>
      </w:r>
      <w:r>
        <w:rPr>
          <w:rFonts w:hint="eastAsia"/>
          <w:color w:val="auto"/>
        </w:rPr>
        <w:t>未提供监</w:t>
      </w:r>
      <w:r>
        <w:rPr>
          <w:rFonts w:hint="eastAsia"/>
        </w:rPr>
        <w:t>狱企业相关证明材料的，</w:t>
      </w:r>
      <w:r>
        <w:rPr>
          <w:rFonts w:hint="eastAsia"/>
          <w:lang w:val="en-US" w:eastAsia="zh-CN"/>
        </w:rPr>
        <w:t>则</w:t>
      </w:r>
      <w:r>
        <w:rPr>
          <w:rFonts w:hint="eastAsia"/>
        </w:rPr>
        <w:t>不能享受</w:t>
      </w:r>
      <w:r>
        <w:rPr>
          <w:rFonts w:hint="eastAsia"/>
          <w:lang w:val="en-US" w:eastAsia="zh-CN"/>
        </w:rPr>
        <w:t>磋商</w:t>
      </w:r>
      <w:r>
        <w:rPr>
          <w:rFonts w:hint="eastAsia"/>
        </w:rPr>
        <w:t>文件规定的价格扣除，但不影响供应</w:t>
      </w:r>
      <w:r>
        <w:rPr>
          <w:rFonts w:hint="eastAsia"/>
          <w:lang w:val="en-US" w:eastAsia="zh-CN"/>
        </w:rPr>
        <w:t>商响应</w:t>
      </w:r>
      <w:r>
        <w:rPr>
          <w:rFonts w:hint="eastAsia"/>
        </w:rPr>
        <w:t>文件的有效性。</w:t>
      </w:r>
    </w:p>
    <w:p>
      <w:pPr>
        <w:pStyle w:val="44"/>
        <w:bidi w:val="0"/>
        <w:rPr>
          <w:rFonts w:hint="eastAsia"/>
        </w:rPr>
      </w:pPr>
      <w:r>
        <w:rPr>
          <w:rFonts w:hint="eastAsia"/>
          <w:lang w:val="en-US" w:eastAsia="zh-CN"/>
        </w:rPr>
        <w:t>③</w:t>
      </w:r>
      <w:r>
        <w:rPr>
          <w:rFonts w:hint="eastAsia"/>
        </w:rPr>
        <w:t>非监狱企业</w:t>
      </w:r>
      <w:r>
        <w:rPr>
          <w:rFonts w:hint="eastAsia"/>
          <w:lang w:val="en-US" w:eastAsia="zh-CN"/>
        </w:rPr>
        <w:t>无需提供证明材料</w:t>
      </w:r>
      <w:r>
        <w:rPr>
          <w:rFonts w:hint="eastAsia"/>
        </w:rPr>
        <w:t>。</w:t>
      </w:r>
    </w:p>
    <w:p>
      <w:pPr>
        <w:pStyle w:val="40"/>
        <w:bidi w:val="0"/>
        <w:rPr>
          <w:rFonts w:hint="eastAsia"/>
          <w:lang w:val="en-US" w:eastAsia="zh-CN"/>
        </w:rPr>
      </w:pPr>
      <w:r>
        <w:rPr>
          <w:rFonts w:hint="eastAsia"/>
          <w:lang w:val="en-US" w:eastAsia="zh-CN"/>
        </w:rPr>
        <w:br w:type="page"/>
      </w:r>
    </w:p>
    <w:p>
      <w:pPr>
        <w:pStyle w:val="41"/>
        <w:numPr>
          <w:ilvl w:val="0"/>
          <w:numId w:val="19"/>
        </w:numPr>
        <w:bidi w:val="0"/>
        <w:ind w:left="0" w:leftChars="0" w:firstLine="0" w:firstLineChars="0"/>
        <w:rPr>
          <w:rFonts w:hint="eastAsia"/>
          <w:lang w:val="en-US" w:eastAsia="zh-CN"/>
        </w:rPr>
      </w:pPr>
      <w:bookmarkStart w:id="354" w:name="_Toc27346"/>
      <w:bookmarkStart w:id="355" w:name="_Toc8748"/>
      <w:r>
        <w:rPr>
          <w:rFonts w:hint="eastAsia"/>
          <w:lang w:val="en-US" w:eastAsia="zh-CN"/>
        </w:rPr>
        <w:t>残疾人福利性单位声明函(如涉及)</w:t>
      </w:r>
      <w:bookmarkEnd w:id="354"/>
      <w:bookmarkEnd w:id="355"/>
    </w:p>
    <w:p>
      <w:pPr>
        <w:pStyle w:val="43"/>
        <w:bidi w:val="0"/>
        <w:rPr>
          <w:rFonts w:hint="eastAsia"/>
        </w:rPr>
      </w:pPr>
      <w:r>
        <w:rPr>
          <w:rFonts w:hint="eastAsia"/>
        </w:rPr>
        <w:t>本单位郑重声明，根据《财政部 民政部 中国残疾人联合会关于促进残疾人就业政府采购政策的通知》</w:t>
      </w:r>
      <w:r>
        <w:rPr>
          <w:rFonts w:hint="eastAsia"/>
          <w:lang w:eastAsia="zh-CN"/>
        </w:rPr>
        <w:t>(</w:t>
      </w:r>
      <w:r>
        <w:rPr>
          <w:rFonts w:hint="eastAsia"/>
        </w:rPr>
        <w:t>财库〔2017〕141号</w:t>
      </w:r>
      <w:r>
        <w:rPr>
          <w:rFonts w:hint="eastAsia"/>
          <w:lang w:eastAsia="zh-CN"/>
        </w:rPr>
        <w:t>)</w:t>
      </w:r>
      <w:r>
        <w:rPr>
          <w:rFonts w:hint="eastAsia"/>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rPr>
        <w:t>项目采购活动提供本单位</w:t>
      </w:r>
      <w:r>
        <w:rPr>
          <w:rFonts w:hint="eastAsia"/>
          <w:lang w:val="en-US" w:eastAsia="zh-CN"/>
        </w:rPr>
        <w:t>提供</w:t>
      </w:r>
      <w:r>
        <w:rPr>
          <w:rFonts w:hint="eastAsia"/>
        </w:rPr>
        <w:t>的</w:t>
      </w:r>
      <w:r>
        <w:rPr>
          <w:rFonts w:hint="eastAsia"/>
          <w:lang w:val="en-US" w:eastAsia="zh-CN"/>
        </w:rPr>
        <w:t>服务</w:t>
      </w:r>
      <w:r>
        <w:rPr>
          <w:rFonts w:hint="eastAsia"/>
        </w:rPr>
        <w:t>。</w:t>
      </w:r>
    </w:p>
    <w:p>
      <w:pPr>
        <w:pStyle w:val="43"/>
        <w:bidi w:val="0"/>
        <w:rPr>
          <w:rFonts w:hint="eastAsia"/>
        </w:rPr>
      </w:pPr>
      <w:r>
        <w:rPr>
          <w:rFonts w:hint="eastAsia"/>
        </w:rPr>
        <w:t>本单位对上述声明的真实性负责。如有虚假，将依法承担相应责任。</w:t>
      </w:r>
    </w:p>
    <w:p>
      <w:pPr>
        <w:pStyle w:val="40"/>
        <w:bidi w:val="0"/>
        <w:rPr>
          <w:rFonts w:hint="eastAsia"/>
          <w:lang w:val="en-US" w:eastAsia="zh-CN"/>
        </w:rPr>
      </w:pPr>
    </w:p>
    <w:p>
      <w:pPr>
        <w:pStyle w:val="40"/>
        <w:bidi w:val="0"/>
        <w:rPr>
          <w:rFonts w:hint="eastAsia"/>
        </w:rPr>
      </w:pPr>
    </w:p>
    <w:p>
      <w:pPr>
        <w:pStyle w:val="40"/>
        <w:bidi w:val="0"/>
        <w:rPr>
          <w:rFonts w:hint="eastAsia"/>
        </w:rPr>
      </w:pP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lang w:eastAsia="zh-CN"/>
        </w:rPr>
      </w:pPr>
      <w:r>
        <w:rPr>
          <w:rFonts w:hint="eastAsia"/>
        </w:rPr>
        <w:t>单位名称</w:t>
      </w:r>
      <w:r>
        <w:rPr>
          <w:rFonts w:hint="eastAsia"/>
          <w:lang w:eastAsia="zh-CN"/>
        </w:rPr>
        <w:t>：</w:t>
      </w:r>
      <w:r>
        <w:rPr>
          <w:rFonts w:hint="eastAsia"/>
          <w:u w:val="single"/>
          <w:lang w:val="en-US" w:eastAsia="zh-CN"/>
        </w:rPr>
        <w:t xml:space="preserve">             </w:t>
      </w:r>
      <w:r>
        <w:rPr>
          <w:rFonts w:hint="eastAsia"/>
          <w:lang w:val="en-US" w:eastAsia="zh-CN"/>
        </w:rPr>
        <w:t xml:space="preserve"> </w:t>
      </w:r>
      <w:r>
        <w:rPr>
          <w:rFonts w:hint="eastAsia"/>
          <w:lang w:eastAsia="zh-CN"/>
        </w:rPr>
        <w:t>(</w:t>
      </w:r>
      <w:r>
        <w:rPr>
          <w:rFonts w:hint="eastAsia"/>
        </w:rPr>
        <w:t>盖章</w:t>
      </w:r>
      <w:r>
        <w:rPr>
          <w:rFonts w:hint="eastAsia"/>
          <w:lang w:eastAsia="zh-CN"/>
        </w:rPr>
        <w:t>)</w:t>
      </w: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u w:val="single"/>
          <w:lang w:val="en-US" w:eastAsia="zh-CN"/>
        </w:rPr>
      </w:pPr>
      <w:r>
        <w:rPr>
          <w:rFonts w:hint="eastAsia"/>
          <w:lang w:val="en-US" w:eastAsia="zh-CN"/>
        </w:rPr>
        <w:t>日    期：</w:t>
      </w:r>
      <w:r>
        <w:rPr>
          <w:rFonts w:hint="eastAsia"/>
          <w:u w:val="single"/>
          <w:lang w:val="en-US" w:eastAsia="zh-CN"/>
        </w:rPr>
        <w:t xml:space="preserve">             </w:t>
      </w:r>
    </w:p>
    <w:p>
      <w:pPr>
        <w:pStyle w:val="44"/>
        <w:bidi w:val="0"/>
        <w:rPr>
          <w:rFonts w:hint="eastAsia"/>
          <w:lang w:val="en-US" w:eastAsia="zh-CN"/>
        </w:rPr>
      </w:pPr>
    </w:p>
    <w:p>
      <w:pPr>
        <w:pStyle w:val="44"/>
        <w:bidi w:val="0"/>
        <w:rPr>
          <w:rFonts w:hint="eastAsia"/>
        </w:rPr>
      </w:pPr>
      <w:r>
        <w:rPr>
          <w:rFonts w:hint="eastAsia"/>
          <w:lang w:val="en-US" w:eastAsia="zh-CN"/>
        </w:rPr>
        <w:t>说明：</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rPr>
        <w:t>①</w:t>
      </w:r>
      <w:r>
        <w:rPr>
          <w:rFonts w:hint="eastAsia"/>
          <w:lang w:val="en-US" w:eastAsia="zh-CN"/>
        </w:rPr>
        <w:fldChar w:fldCharType="end"/>
      </w:r>
      <w:r>
        <w:rPr>
          <w:rFonts w:hint="eastAsia"/>
        </w:rPr>
        <w:t>如未提供残疾人福利性单位声明函的，则其评审中的残疾人福利性单位不能享受</w:t>
      </w:r>
      <w:r>
        <w:rPr>
          <w:rFonts w:hint="eastAsia"/>
          <w:lang w:val="en-US" w:eastAsia="zh-CN"/>
        </w:rPr>
        <w:t>磋商文件</w:t>
      </w:r>
      <w:r>
        <w:rPr>
          <w:rFonts w:hint="eastAsia"/>
        </w:rPr>
        <w:t>规定的价格扣除</w:t>
      </w:r>
      <w:r>
        <w:rPr>
          <w:rFonts w:hint="eastAsia"/>
          <w:lang w:eastAsia="zh-CN"/>
        </w:rPr>
        <w:t>。</w:t>
      </w:r>
      <w:r>
        <w:rPr>
          <w:rFonts w:hint="eastAsia"/>
          <w:lang w:val="en-US" w:eastAsia="zh-CN"/>
        </w:rPr>
        <w:t>非残疾人福利性单位，不需提供此声明函，</w:t>
      </w:r>
      <w:r>
        <w:rPr>
          <w:rFonts w:hint="eastAsia"/>
        </w:rPr>
        <w:t>不影响</w:t>
      </w:r>
      <w:r>
        <w:rPr>
          <w:rFonts w:hint="eastAsia"/>
          <w:lang w:val="en-US" w:eastAsia="zh-CN"/>
        </w:rPr>
        <w:t>响应</w:t>
      </w:r>
      <w:r>
        <w:rPr>
          <w:rFonts w:hint="eastAsia"/>
        </w:rPr>
        <w:t>文件的有效性。</w:t>
      </w:r>
    </w:p>
    <w:p>
      <w:pPr>
        <w:pStyle w:val="44"/>
        <w:bidi w:val="0"/>
        <w:rPr>
          <w:rFonts w:hint="eastAsia"/>
          <w:lang w:val="en-US" w:eastAsia="zh-CN"/>
        </w:rPr>
      </w:pP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rPr>
        <w:t>②</w:t>
      </w:r>
      <w:r>
        <w:rPr>
          <w:rFonts w:hint="eastAsia"/>
          <w:lang w:val="en-US" w:eastAsia="zh-CN"/>
        </w:rPr>
        <w:fldChar w:fldCharType="end"/>
      </w:r>
      <w:r>
        <w:rPr>
          <w:rFonts w:hint="eastAsia"/>
          <w:lang w:val="en-US" w:eastAsia="zh-CN"/>
        </w:rPr>
        <w:t>供应商参加政府采购活动时，提供虚假残疾人福利性单位声明函的，以提供虚假材料谋取成交处理。</w:t>
      </w:r>
    </w:p>
    <w:p>
      <w:pPr>
        <w:pStyle w:val="41"/>
        <w:numPr>
          <w:ilvl w:val="0"/>
          <w:numId w:val="19"/>
        </w:numPr>
        <w:spacing w:before="120" w:after="120"/>
        <w:ind w:firstLine="0"/>
      </w:pPr>
      <w:bookmarkStart w:id="356" w:name="_Toc19184"/>
      <w:r>
        <w:rPr>
          <w:rFonts w:hint="eastAsia"/>
        </w:rPr>
        <w:t>服务方案</w:t>
      </w:r>
      <w:bookmarkEnd w:id="347"/>
      <w:bookmarkEnd w:id="348"/>
      <w:bookmarkEnd w:id="349"/>
      <w:bookmarkEnd w:id="356"/>
    </w:p>
    <w:p>
      <w:pPr>
        <w:pStyle w:val="44"/>
        <w:ind w:firstLine="482"/>
      </w:pPr>
      <w:r>
        <w:rPr>
          <w:rFonts w:hint="eastAsia"/>
        </w:rPr>
        <w:t>注：格式自拟。</w:t>
      </w:r>
    </w:p>
    <w:p>
      <w:pPr>
        <w:pStyle w:val="40"/>
      </w:pPr>
      <w:r>
        <w:rPr>
          <w:rFonts w:hint="eastAsia"/>
        </w:rPr>
        <w:br w:type="page"/>
      </w:r>
    </w:p>
    <w:p>
      <w:pPr>
        <w:pStyle w:val="41"/>
        <w:numPr>
          <w:ilvl w:val="0"/>
          <w:numId w:val="19"/>
        </w:numPr>
        <w:spacing w:before="120" w:after="120"/>
        <w:ind w:firstLine="0"/>
      </w:pPr>
      <w:bookmarkStart w:id="357" w:name="_Toc25356"/>
      <w:bookmarkStart w:id="358" w:name="_Toc32188"/>
      <w:bookmarkStart w:id="359" w:name="_Toc21896"/>
      <w:r>
        <w:rPr>
          <w:rFonts w:hint="eastAsia"/>
        </w:rPr>
        <w:t>招标代理服务费承诺函</w:t>
      </w:r>
      <w:bookmarkEnd w:id="357"/>
      <w:bookmarkEnd w:id="358"/>
      <w:bookmarkEnd w:id="359"/>
    </w:p>
    <w:p>
      <w:pPr>
        <w:pStyle w:val="40"/>
      </w:pPr>
      <w:r>
        <w:rPr>
          <w:rFonts w:hint="eastAsia"/>
        </w:rPr>
        <w:t>成都公恒信工程项目管理有限公司：</w:t>
      </w:r>
    </w:p>
    <w:p>
      <w:pPr>
        <w:pStyle w:val="43"/>
        <w:rPr>
          <w:b/>
          <w:bCs/>
        </w:rPr>
      </w:pPr>
      <w:r>
        <w:rPr>
          <w:rFonts w:hint="eastAsia"/>
        </w:rPr>
        <w:t>我公司在贵公司代理的</w:t>
      </w:r>
      <w:r>
        <w:rPr>
          <w:rFonts w:hint="eastAsia"/>
          <w:u w:val="single"/>
        </w:rPr>
        <w:t xml:space="preserve">                        </w:t>
      </w:r>
      <w:r>
        <w:rPr>
          <w:rFonts w:hint="eastAsia"/>
        </w:rPr>
        <w:t>项目(项目编号：</w:t>
      </w:r>
      <w:r>
        <w:rPr>
          <w:rFonts w:hint="eastAsia"/>
          <w:u w:val="single"/>
        </w:rPr>
        <w:t xml:space="preserve">           </w:t>
      </w:r>
      <w:r>
        <w:rPr>
          <w:rFonts w:hint="eastAsia"/>
        </w:rPr>
        <w:t>)竞争性磋商中若获成交，我们保证在收到成交通知后2个工作日内按要求，以支票、银行汇票、电汇、现金或经贵公司认可的一种方式，向贵公司即成都公恒信工程项目管理有限公司指定的银行帐号，按照磋商</w:t>
      </w:r>
      <w:r>
        <w:rPr>
          <w:rFonts w:hint="eastAsia"/>
          <w:lang w:val="zh-CN"/>
        </w:rPr>
        <w:t>文件中招标代理</w:t>
      </w:r>
      <w:r>
        <w:rPr>
          <w:rFonts w:hint="eastAsia"/>
        </w:rPr>
        <w:t>服务费收取标准一次性支付招标代理服务费。</w:t>
      </w:r>
      <w:r>
        <w:rPr>
          <w:rFonts w:hint="eastAsia"/>
          <w:b/>
          <w:bCs/>
        </w:rPr>
        <w:t>如因我公司自身原因造成取消成交资格或自愿放弃成交资格的，我司支付的招标代理服务费不予退还，由此造成的损失由我方自行承担。</w:t>
      </w:r>
    </w:p>
    <w:p>
      <w:pPr>
        <w:pStyle w:val="43"/>
      </w:pPr>
    </w:p>
    <w:p>
      <w:pPr>
        <w:pStyle w:val="43"/>
      </w:pPr>
    </w:p>
    <w:p>
      <w:pPr>
        <w:pStyle w:val="43"/>
      </w:pPr>
      <w:r>
        <w:rPr>
          <w:rFonts w:hint="eastAsia"/>
        </w:rPr>
        <w:t>特此承诺。</w:t>
      </w:r>
    </w:p>
    <w:p>
      <w:pPr>
        <w:pStyle w:val="40"/>
      </w:pPr>
    </w:p>
    <w:p>
      <w:pPr>
        <w:pStyle w:val="40"/>
      </w:pP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供应商名称：</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rPr>
        <w:t>(盖章)</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传  真：</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邮  编：</w:t>
      </w:r>
      <w:r>
        <w:rPr>
          <w:rFonts w:hint="eastAsia" w:asciiTheme="minorEastAsia" w:hAnsiTheme="minorEastAsia" w:eastAsiaTheme="minorEastAsia" w:cstheme="minorEastAsia"/>
          <w:bCs/>
          <w:u w:val="single"/>
        </w:rPr>
        <w:t xml:space="preserve">                </w:t>
      </w:r>
    </w:p>
    <w:p>
      <w:pPr>
        <w:ind w:firstLine="480" w:firstLineChars="200"/>
      </w:pPr>
      <w:r>
        <w:rPr>
          <w:rFonts w:hint="eastAsia"/>
        </w:rPr>
        <w:t>法定</w:t>
      </w:r>
      <w:r>
        <w:rPr>
          <w:rFonts w:hint="eastAsia" w:asciiTheme="minorEastAsia" w:hAnsiTheme="minorEastAsia" w:eastAsiaTheme="minorEastAsia" w:cstheme="minorEastAsia"/>
        </w:rPr>
        <w:t>代表人</w:t>
      </w:r>
      <w:r>
        <w:rPr>
          <w:rFonts w:hint="eastAsia"/>
        </w:rPr>
        <w:t>/单位负责人或授权代表：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ind w:firstLine="48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承诺日期：</w:t>
      </w:r>
      <w:r>
        <w:rPr>
          <w:rFonts w:hint="eastAsia" w:asciiTheme="minorEastAsia" w:hAnsiTheme="minorEastAsia" w:eastAsiaTheme="minorEastAsia" w:cstheme="minorEastAsia"/>
          <w:bCs/>
          <w:u w:val="single"/>
        </w:rPr>
        <w:t xml:space="preserve">                </w:t>
      </w:r>
    </w:p>
    <w:p>
      <w:pPr>
        <w:rPr>
          <w:rFonts w:asciiTheme="minorEastAsia" w:hAnsiTheme="minorEastAsia" w:eastAsiaTheme="minorEastAsia" w:cstheme="minorEastAsia"/>
          <w:bCs/>
          <w:u w:val="single"/>
        </w:rPr>
      </w:pPr>
      <w:r>
        <w:rPr>
          <w:rFonts w:hint="eastAsia" w:asciiTheme="minorEastAsia" w:hAnsiTheme="minorEastAsia" w:eastAsiaTheme="minorEastAsia" w:cstheme="minorEastAsia"/>
          <w:bCs/>
          <w:u w:val="single"/>
        </w:rPr>
        <w:br w:type="page"/>
      </w:r>
    </w:p>
    <w:p>
      <w:pPr>
        <w:pStyle w:val="41"/>
        <w:numPr>
          <w:ilvl w:val="0"/>
          <w:numId w:val="19"/>
        </w:numPr>
        <w:spacing w:before="120" w:after="120"/>
        <w:ind w:firstLine="0"/>
      </w:pPr>
      <w:bookmarkStart w:id="360" w:name="_Toc15797"/>
      <w:bookmarkStart w:id="361" w:name="_Toc10668"/>
      <w:bookmarkStart w:id="362" w:name="_Toc14616"/>
      <w:r>
        <w:rPr>
          <w:rFonts w:hint="eastAsia"/>
        </w:rPr>
        <w:t>报价表</w:t>
      </w:r>
      <w:bookmarkEnd w:id="360"/>
      <w:bookmarkEnd w:id="361"/>
      <w:bookmarkEnd w:id="362"/>
    </w:p>
    <w:p>
      <w:pPr>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28"/>
        </w:rPr>
        <w:t>第</w:t>
      </w:r>
      <w:r>
        <w:rPr>
          <w:rFonts w:hint="eastAsia" w:asciiTheme="minorEastAsia" w:hAnsiTheme="minorEastAsia" w:eastAsiaTheme="minorEastAsia" w:cstheme="minorEastAsia"/>
          <w:color w:val="000000"/>
          <w:sz w:val="32"/>
          <w:szCs w:val="28"/>
          <w:u w:val="single"/>
        </w:rPr>
        <w:t xml:space="preserve"> N </w:t>
      </w:r>
      <w:r>
        <w:rPr>
          <w:rFonts w:hint="eastAsia" w:asciiTheme="minorEastAsia" w:hAnsiTheme="minorEastAsia" w:eastAsiaTheme="minorEastAsia" w:cstheme="minorEastAsia"/>
          <w:color w:val="000000"/>
          <w:sz w:val="32"/>
          <w:szCs w:val="28"/>
        </w:rPr>
        <w:t>轮报价/最后报价(</w:t>
      </w:r>
      <w:r>
        <w:rPr>
          <w:rFonts w:hint="eastAsia" w:asciiTheme="minorEastAsia" w:hAnsiTheme="minorEastAsia" w:eastAsiaTheme="minorEastAsia" w:cstheme="minorEastAsia"/>
          <w:b/>
          <w:color w:val="000000"/>
          <w:sz w:val="32"/>
          <w:szCs w:val="28"/>
        </w:rPr>
        <w:t>根据磋商实际情况选择</w:t>
      </w:r>
      <w:r>
        <w:rPr>
          <w:rFonts w:hint="eastAsia" w:asciiTheme="minorEastAsia" w:hAnsiTheme="minorEastAsia" w:eastAsiaTheme="minorEastAsia" w:cstheme="minorEastAsia"/>
          <w:color w:val="000000"/>
          <w:sz w:val="32"/>
          <w:szCs w:val="28"/>
        </w:rPr>
        <w:t>)</w:t>
      </w:r>
    </w:p>
    <w:p>
      <w:pPr>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项目名称：</w:t>
      </w:r>
      <w:r>
        <w:rPr>
          <w:rFonts w:hint="eastAsia" w:asciiTheme="minorEastAsia" w:hAnsiTheme="minorEastAsia" w:eastAsiaTheme="minorEastAsia" w:cstheme="minorEastAsia"/>
          <w:color w:val="000000"/>
          <w:u w:val="single"/>
        </w:rPr>
        <w:t xml:space="preserve">                        </w:t>
      </w:r>
    </w:p>
    <w:p>
      <w:pPr>
        <w:jc w:val="both"/>
        <w:rPr>
          <w:rFonts w:asciiTheme="minorEastAsia" w:hAnsiTheme="minorEastAsia" w:eastAsiaTheme="minorEastAsia" w:cstheme="minorEastAsia"/>
          <w:color w:val="000000"/>
          <w:highlight w:val="yellow"/>
        </w:rPr>
      </w:pPr>
      <w:r>
        <w:rPr>
          <w:rFonts w:hint="eastAsia" w:asciiTheme="minorEastAsia" w:hAnsiTheme="minorEastAsia" w:eastAsiaTheme="minorEastAsia" w:cstheme="minorEastAsia"/>
          <w:color w:val="000000"/>
        </w:rPr>
        <w:t>项目编号：</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w:t>
      </w:r>
    </w:p>
    <w:tbl>
      <w:tblPr>
        <w:tblStyle w:val="2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序号</w:t>
            </w:r>
          </w:p>
        </w:tc>
        <w:tc>
          <w:tcPr>
            <w:tcW w:w="4287"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服务内容</w:t>
            </w:r>
          </w:p>
        </w:tc>
        <w:tc>
          <w:tcPr>
            <w:tcW w:w="4481" w:type="dxa"/>
            <w:vAlign w:val="center"/>
          </w:tcPr>
          <w:p>
            <w:pPr>
              <w:wordWrap w:val="0"/>
              <w:topLinePunct/>
              <w:spacing w:line="360" w:lineRule="exact"/>
              <w:jc w:val="center"/>
              <w:rPr>
                <w:rFonts w:cs="宋体"/>
                <w:b/>
                <w:color w:val="000000"/>
                <w:sz w:val="21"/>
                <w:szCs w:val="21"/>
              </w:rPr>
            </w:pPr>
            <w:r>
              <w:rPr>
                <w:rFonts w:hint="eastAsia" w:cs="宋体"/>
                <w:b/>
                <w:color w:val="000000"/>
                <w:sz w:val="21"/>
                <w:szCs w:val="21"/>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ordWrap w:val="0"/>
              <w:topLinePunct/>
              <w:spacing w:line="360" w:lineRule="auto"/>
              <w:jc w:val="center"/>
              <w:rPr>
                <w:rFonts w:cs="宋体"/>
                <w:bCs/>
                <w:color w:val="000000"/>
                <w:sz w:val="21"/>
                <w:szCs w:val="21"/>
              </w:rPr>
            </w:pPr>
            <w:r>
              <w:rPr>
                <w:rFonts w:hint="eastAsia" w:cs="宋体"/>
                <w:bCs/>
                <w:color w:val="000000"/>
                <w:sz w:val="21"/>
                <w:szCs w:val="21"/>
              </w:rPr>
              <w:t>1</w:t>
            </w:r>
          </w:p>
        </w:tc>
        <w:tc>
          <w:tcPr>
            <w:tcW w:w="4287" w:type="dxa"/>
            <w:vAlign w:val="center"/>
          </w:tcPr>
          <w:p>
            <w:pPr>
              <w:wordWrap w:val="0"/>
              <w:topLinePunct/>
              <w:spacing w:line="360" w:lineRule="auto"/>
              <w:jc w:val="center"/>
              <w:rPr>
                <w:rFonts w:cs="宋体"/>
                <w:bCs/>
                <w:color w:val="000000"/>
                <w:sz w:val="21"/>
                <w:szCs w:val="21"/>
              </w:rPr>
            </w:pPr>
          </w:p>
        </w:tc>
        <w:tc>
          <w:tcPr>
            <w:tcW w:w="4481" w:type="dxa"/>
            <w:vAlign w:val="center"/>
          </w:tcPr>
          <w:p>
            <w:pPr>
              <w:wordWrap w:val="0"/>
              <w:topLinePunct/>
              <w:spacing w:line="360" w:lineRule="auto"/>
              <w:jc w:val="center"/>
              <w:rPr>
                <w:rFonts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ordWrap w:val="0"/>
              <w:topLinePunct/>
              <w:spacing w:line="360" w:lineRule="exact"/>
              <w:jc w:val="center"/>
              <w:rPr>
                <w:rFonts w:cs="宋体"/>
                <w:color w:val="000000"/>
                <w:sz w:val="21"/>
                <w:szCs w:val="21"/>
              </w:rPr>
            </w:pPr>
            <w:r>
              <w:rPr>
                <w:rFonts w:hint="eastAsia" w:cs="宋体"/>
                <w:bCs/>
                <w:color w:val="000000"/>
                <w:sz w:val="21"/>
                <w:szCs w:val="21"/>
              </w:rPr>
              <w:t>报价(元)</w:t>
            </w:r>
          </w:p>
        </w:tc>
        <w:tc>
          <w:tcPr>
            <w:tcW w:w="8768" w:type="dxa"/>
            <w:gridSpan w:val="2"/>
            <w:vAlign w:val="center"/>
          </w:tcPr>
          <w:p>
            <w:pPr>
              <w:wordWrap w:val="0"/>
              <w:topLinePunct/>
              <w:spacing w:line="360" w:lineRule="exact"/>
              <w:rPr>
                <w:rFonts w:cs="宋体"/>
                <w:color w:val="000000"/>
                <w:sz w:val="21"/>
                <w:szCs w:val="21"/>
              </w:rPr>
            </w:pPr>
            <w:r>
              <w:rPr>
                <w:rFonts w:hint="eastAsia" w:cs="宋体"/>
                <w:color w:val="000000"/>
                <w:sz w:val="21"/>
                <w:szCs w:val="21"/>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1188" w:type="dxa"/>
            <w:vMerge w:val="continue"/>
            <w:vAlign w:val="center"/>
          </w:tcPr>
          <w:p>
            <w:pPr>
              <w:wordWrap w:val="0"/>
              <w:topLinePunct/>
              <w:spacing w:line="360" w:lineRule="auto"/>
            </w:pPr>
          </w:p>
        </w:tc>
        <w:tc>
          <w:tcPr>
            <w:tcW w:w="8768" w:type="dxa"/>
            <w:gridSpan w:val="2"/>
            <w:vAlign w:val="center"/>
          </w:tcPr>
          <w:p>
            <w:pPr>
              <w:wordWrap w:val="0"/>
              <w:topLinePunct/>
              <w:spacing w:line="360" w:lineRule="exact"/>
              <w:rPr>
                <w:rFonts w:cs="宋体"/>
                <w:color w:val="000000"/>
                <w:sz w:val="21"/>
                <w:szCs w:val="21"/>
              </w:rPr>
            </w:pPr>
            <w:r>
              <w:rPr>
                <w:rFonts w:hint="eastAsia" w:cs="宋体"/>
                <w:color w:val="000000"/>
                <w:sz w:val="21"/>
                <w:szCs w:val="21"/>
              </w:rPr>
              <w:t>人民币大写：</w:t>
            </w:r>
          </w:p>
        </w:tc>
      </w:tr>
    </w:tbl>
    <w:p>
      <w:pPr>
        <w:pStyle w:val="44"/>
        <w:ind w:firstLine="482"/>
      </w:pPr>
      <w:r>
        <w:rPr>
          <w:rFonts w:hint="eastAsia"/>
        </w:rPr>
        <w:t>注：</w:t>
      </w:r>
      <w:r>
        <w:rPr>
          <w:rFonts w:hint="eastAsia"/>
          <w:lang w:val="zh-CN"/>
        </w:rPr>
        <w:t>报价应为完成本竞争性磋商文件中所要求的</w:t>
      </w:r>
      <w:r>
        <w:rPr>
          <w:rFonts w:hint="eastAsia"/>
        </w:rPr>
        <w:t>服务</w:t>
      </w:r>
      <w:r>
        <w:rPr>
          <w:rFonts w:hint="eastAsia"/>
          <w:lang w:val="zh-CN"/>
        </w:rPr>
        <w:t>所应包括内容的所有价格，</w:t>
      </w:r>
      <w:r>
        <w:rPr>
          <w:rFonts w:hint="eastAsia"/>
        </w:rPr>
        <w:t>包含人工劳务、设备投入、成果、保险、税费、利润、招标代理服务费等完成本项目所需的一切费用</w:t>
      </w:r>
      <w:r>
        <w:rPr>
          <w:rFonts w:hint="eastAsia"/>
          <w:lang w:val="zh-CN"/>
        </w:rPr>
        <w:t>。</w:t>
      </w:r>
    </w:p>
    <w:p>
      <w:pPr>
        <w:tabs>
          <w:tab w:val="left" w:pos="540"/>
          <w:tab w:val="left" w:pos="900"/>
          <w:tab w:val="clear" w:pos="0"/>
        </w:tabs>
        <w:rPr>
          <w:rFonts w:asciiTheme="minorEastAsia" w:hAnsiTheme="minorEastAsia" w:eastAsiaTheme="minorEastAsia" w:cstheme="minorEastAsia"/>
          <w:color w:val="000000"/>
        </w:rPr>
      </w:pPr>
    </w:p>
    <w:p>
      <w:pPr>
        <w:tabs>
          <w:tab w:val="left" w:pos="540"/>
          <w:tab w:val="left" w:pos="900"/>
          <w:tab w:val="clear" w:pos="0"/>
        </w:tabs>
        <w:rPr>
          <w:rFonts w:asciiTheme="minorEastAsia" w:hAnsiTheme="minorEastAsia" w:eastAsiaTheme="minorEastAsia" w:cstheme="minorEastAsia"/>
          <w:color w:val="000000"/>
        </w:rPr>
      </w:pPr>
    </w:p>
    <w:p>
      <w:pPr>
        <w:pStyle w:val="43"/>
        <w:rPr>
          <w:u w:val="single"/>
        </w:rPr>
      </w:pPr>
      <w:r>
        <w:rPr>
          <w:rFonts w:hint="eastAsia"/>
        </w:rPr>
        <w:t>供应商名称：</w:t>
      </w:r>
      <w:r>
        <w:rPr>
          <w:rFonts w:hint="eastAsia"/>
          <w:u w:val="single"/>
        </w:rPr>
        <w:t xml:space="preserve">                      </w:t>
      </w:r>
    </w:p>
    <w:p>
      <w:pPr>
        <w:pStyle w:val="43"/>
      </w:pPr>
      <w:r>
        <w:rPr>
          <w:rFonts w:hint="eastAsia"/>
        </w:rPr>
        <w:t>法定代表人/单位负责人或授权代表：</w:t>
      </w:r>
      <w:r>
        <w:rPr>
          <w:rFonts w:hint="eastAsia"/>
          <w:u w:val="single"/>
        </w:rPr>
        <w:t xml:space="preserve">                  </w:t>
      </w:r>
      <w:r>
        <w:rPr>
          <w:rFonts w:hint="eastAsia"/>
        </w:rPr>
        <w:t>(签名并捺印)</w:t>
      </w:r>
    </w:p>
    <w:p>
      <w:pPr>
        <w:pStyle w:val="43"/>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0"/>
      </w:pPr>
      <w:r>
        <w:rPr>
          <w:rFonts w:hint="eastAsia"/>
        </w:rPr>
        <w:t xml:space="preserve">                </w:t>
      </w:r>
    </w:p>
    <w:p>
      <w:pPr>
        <w:pStyle w:val="40"/>
      </w:pPr>
    </w:p>
    <w:bookmarkEnd w:id="350"/>
    <w:bookmarkEnd w:id="351"/>
    <w:p>
      <w:pPr>
        <w:pStyle w:val="45"/>
        <w:spacing w:before="120" w:after="120"/>
      </w:pPr>
      <w:bookmarkStart w:id="363" w:name="_Toc24888"/>
      <w:r>
        <w:rPr>
          <w:rFonts w:hint="eastAsia"/>
        </w:rPr>
        <w:br w:type="page"/>
      </w:r>
      <w:bookmarkEnd w:id="363"/>
      <w:bookmarkStart w:id="364" w:name="_Toc18196"/>
      <w:bookmarkStart w:id="365" w:name="_Toc23759"/>
      <w:bookmarkStart w:id="366" w:name="_Toc22998"/>
      <w:bookmarkStart w:id="367" w:name="_Toc14293"/>
      <w:r>
        <w:rPr>
          <w:rFonts w:hint="eastAsia"/>
        </w:rPr>
        <w:t>资格性审查</w:t>
      </w:r>
      <w:bookmarkEnd w:id="364"/>
      <w:r>
        <w:rPr>
          <w:rFonts w:hint="eastAsia"/>
        </w:rPr>
        <w:t>内容</w:t>
      </w:r>
      <w:bookmarkEnd w:id="365"/>
      <w:bookmarkEnd w:id="366"/>
      <w:bookmarkEnd w:id="367"/>
    </w:p>
    <w:p>
      <w:pPr>
        <w:pStyle w:val="47"/>
        <w:numPr>
          <w:ilvl w:val="1"/>
          <w:numId w:val="22"/>
        </w:numPr>
        <w:ind w:firstLine="482"/>
        <w:rPr>
          <w:b/>
          <w:bCs/>
        </w:rPr>
      </w:pPr>
      <w:bookmarkStart w:id="368" w:name="_Toc141"/>
      <w:bookmarkStart w:id="369" w:name="_Toc10631"/>
      <w:bookmarkStart w:id="370" w:name="_Toc20678"/>
      <w:bookmarkStart w:id="371" w:name="_Toc32482"/>
      <w:r>
        <w:rPr>
          <w:rFonts w:hint="eastAsia"/>
          <w:b/>
          <w:bCs/>
        </w:rPr>
        <w:t>供应商应当提供的资格证明材料及其他类似效力要求的相关证明材料</w:t>
      </w:r>
    </w:p>
    <w:bookmarkEnd w:id="368"/>
    <w:bookmarkEnd w:id="369"/>
    <w:bookmarkEnd w:id="370"/>
    <w:p>
      <w:pPr>
        <w:pStyle w:val="30"/>
        <w:numPr>
          <w:ilvl w:val="1"/>
          <w:numId w:val="23"/>
        </w:numPr>
        <w:ind w:firstLine="482"/>
        <w:rPr>
          <w:b/>
          <w:bCs/>
        </w:rPr>
      </w:pPr>
      <w:r>
        <w:rPr>
          <w:rFonts w:hint="eastAsia"/>
          <w:b/>
          <w:bCs/>
        </w:rPr>
        <w:t>供应商具有独立承担民事责任的能力的证明材料；</w:t>
      </w:r>
    </w:p>
    <w:p>
      <w:pPr>
        <w:pStyle w:val="43"/>
      </w:pPr>
      <w:r>
        <w:rPr>
          <w:rFonts w:hint="eastAsia"/>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4"/>
        <w:ind w:firstLine="482"/>
      </w:pPr>
      <w:r>
        <w:rPr>
          <w:rFonts w:hint="eastAsia"/>
        </w:rPr>
        <w:t>注：1.以上证明材料应满足此条要求①发证机关有年检要求的，应按规定通过年检；②在有效期内；③复印件加盖供应商公章；</w:t>
      </w:r>
    </w:p>
    <w:p>
      <w:pPr>
        <w:pStyle w:val="44"/>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4"/>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p>
    <w:p>
      <w:pPr>
        <w:pStyle w:val="30"/>
        <w:numPr>
          <w:ilvl w:val="1"/>
          <w:numId w:val="23"/>
        </w:numPr>
        <w:ind w:firstLine="482"/>
        <w:rPr>
          <w:b/>
          <w:bCs/>
        </w:rPr>
      </w:pPr>
      <w:r>
        <w:rPr>
          <w:rFonts w:hint="eastAsia"/>
          <w:b/>
          <w:bCs/>
        </w:rPr>
        <w:t>供应商具有良好的商业信誉和健全的财务会计制度的证明材料；</w:t>
      </w:r>
    </w:p>
    <w:p>
      <w:pPr>
        <w:pStyle w:val="33"/>
        <w:numPr>
          <w:ilvl w:val="2"/>
          <w:numId w:val="23"/>
        </w:numPr>
        <w:ind w:firstLine="480"/>
      </w:pPr>
      <w:r>
        <w:rPr>
          <w:rFonts w:hint="eastAsia"/>
        </w:rPr>
        <w:t>供应商具有良好商业信誉的证明材料；</w:t>
      </w:r>
    </w:p>
    <w:p>
      <w:pPr>
        <w:pStyle w:val="43"/>
      </w:pPr>
      <w:r>
        <w:rPr>
          <w:rFonts w:hint="eastAsia"/>
        </w:rPr>
        <w:t>提供具有良好的商业信誉的承诺函。</w:t>
      </w:r>
    </w:p>
    <w:p>
      <w:pPr>
        <w:pStyle w:val="43"/>
        <w:ind w:firstLine="482"/>
        <w:rPr>
          <w:b/>
          <w:bCs/>
        </w:rPr>
      </w:pPr>
      <w:r>
        <w:rPr>
          <w:rFonts w:hint="eastAsia"/>
          <w:b/>
          <w:bCs/>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3"/>
        <w:numPr>
          <w:ilvl w:val="2"/>
          <w:numId w:val="23"/>
        </w:numPr>
        <w:ind w:firstLine="480"/>
      </w:pPr>
      <w:r>
        <w:rPr>
          <w:rFonts w:hint="eastAsia"/>
        </w:rPr>
        <w:t>供应商具有健全的财务会计制度的证明材料；</w:t>
      </w:r>
    </w:p>
    <w:p>
      <w:pPr>
        <w:pStyle w:val="43"/>
      </w:pPr>
      <w:r>
        <w:rPr>
          <w:rFonts w:hint="eastAsia"/>
        </w:rPr>
        <w:t>(1)供应商提供</w:t>
      </w:r>
      <w:r>
        <w:rPr>
          <w:rFonts w:hint="eastAsia"/>
          <w:lang w:val="en-US" w:eastAsia="zh-CN"/>
        </w:rPr>
        <w:t>2020年度</w:t>
      </w:r>
      <w:r>
        <w:rPr>
          <w:rFonts w:hint="eastAsia"/>
        </w:rPr>
        <w:t>经过会计师事务所审计的财务报告复印件(经审计的有效财务报告应包括报告及报告中所附的完整内容，并由注册会计师签名、盖章以及会计师事务所盖章)；</w:t>
      </w:r>
    </w:p>
    <w:p>
      <w:pPr>
        <w:pStyle w:val="43"/>
      </w:pPr>
      <w:r>
        <w:rPr>
          <w:rFonts w:hint="eastAsia"/>
        </w:rPr>
        <w:t>(2)供应商提供</w:t>
      </w:r>
      <w:r>
        <w:rPr>
          <w:rFonts w:hint="eastAsia"/>
          <w:lang w:val="en-US" w:eastAsia="zh-CN"/>
        </w:rPr>
        <w:t>2020年度</w:t>
      </w:r>
      <w:r>
        <w:rPr>
          <w:rFonts w:hint="eastAsia"/>
        </w:rPr>
        <w:t>供应商内部的财务报表复印件(至少包含资产负债表)；</w:t>
      </w:r>
    </w:p>
    <w:p>
      <w:pPr>
        <w:pStyle w:val="43"/>
      </w:pPr>
      <w:r>
        <w:rPr>
          <w:rFonts w:hint="eastAsia"/>
        </w:rPr>
        <w:t>(3)供应商提供响应文件递交截止日前一年内银行为其出具的资信证明复印件；</w:t>
      </w:r>
    </w:p>
    <w:p>
      <w:pPr>
        <w:pStyle w:val="43"/>
      </w:pPr>
      <w:r>
        <w:rPr>
          <w:rFonts w:hint="eastAsia"/>
        </w:rPr>
        <w:t>(4)供应商注册时间截至响应文件递交截止日不足一年的，可提供公司章程复印件；</w:t>
      </w:r>
    </w:p>
    <w:p>
      <w:pPr>
        <w:pStyle w:val="43"/>
      </w:pPr>
      <w:r>
        <w:rPr>
          <w:rFonts w:hint="eastAsia"/>
        </w:rPr>
        <w:t>(5)供应商为事业单位、大型国有企业或其他组织(不具备法人条件的组织，如合伙组织、个体工商户、农村承包经营户等)或自然人时，可提供承诺函。</w:t>
      </w:r>
    </w:p>
    <w:p>
      <w:pPr>
        <w:pStyle w:val="44"/>
        <w:ind w:firstLine="482"/>
      </w:pPr>
      <w:r>
        <w:rPr>
          <w:rFonts w:hint="eastAsia"/>
          <w:bCs/>
        </w:rPr>
        <w:t>注：具有健全的财务会计制度的证明材料中第(1)-(5)项具有同等的效力，供应商可根据自身实际情况选择提供其中任意一项。</w:t>
      </w:r>
    </w:p>
    <w:p>
      <w:pPr>
        <w:pStyle w:val="30"/>
        <w:numPr>
          <w:ilvl w:val="1"/>
          <w:numId w:val="23"/>
        </w:numPr>
        <w:ind w:firstLine="482"/>
        <w:rPr>
          <w:b/>
          <w:bCs/>
        </w:rPr>
      </w:pPr>
      <w:r>
        <w:rPr>
          <w:rFonts w:hint="eastAsia"/>
          <w:b/>
          <w:bCs/>
        </w:rPr>
        <w:t>供应商具有履行合同所必需的设备和专业技术能力证明材料；</w:t>
      </w:r>
    </w:p>
    <w:p>
      <w:pPr>
        <w:pStyle w:val="33"/>
        <w:numPr>
          <w:ilvl w:val="2"/>
          <w:numId w:val="0"/>
        </w:numPr>
        <w:ind w:left="480" w:leftChars="200"/>
      </w:pPr>
      <w:r>
        <w:rPr>
          <w:rFonts w:hint="eastAsia"/>
        </w:rPr>
        <w:t>提供具有履行合同所必需的设备和专业技术能力的承诺函。</w:t>
      </w:r>
    </w:p>
    <w:p>
      <w:pPr>
        <w:pStyle w:val="44"/>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30"/>
        <w:numPr>
          <w:ilvl w:val="1"/>
          <w:numId w:val="23"/>
        </w:numPr>
        <w:ind w:firstLine="482"/>
        <w:rPr>
          <w:b/>
          <w:bCs/>
        </w:rPr>
      </w:pPr>
      <w:r>
        <w:rPr>
          <w:rFonts w:hint="eastAsia"/>
          <w:b/>
          <w:bCs/>
        </w:rPr>
        <w:t>供应商具有依法缴纳税收和社会保障资金的良好记录的证明材料；</w:t>
      </w:r>
    </w:p>
    <w:p>
      <w:pPr>
        <w:pStyle w:val="33"/>
        <w:numPr>
          <w:ilvl w:val="2"/>
          <w:numId w:val="0"/>
        </w:numPr>
        <w:ind w:left="480" w:leftChars="200"/>
      </w:pPr>
      <w:r>
        <w:rPr>
          <w:rFonts w:hint="eastAsia"/>
        </w:rPr>
        <w:t>提供</w:t>
      </w:r>
      <w:r>
        <w:rPr>
          <w:rFonts w:hint="eastAsia"/>
          <w:lang w:val="zh-CN"/>
        </w:rPr>
        <w:t>依法缴纳税收和社会保障资金的良好记录</w:t>
      </w:r>
      <w:r>
        <w:rPr>
          <w:rFonts w:hint="eastAsia"/>
        </w:rPr>
        <w:t>的承诺函。</w:t>
      </w:r>
    </w:p>
    <w:p>
      <w:pPr>
        <w:pStyle w:val="44"/>
        <w:ind w:firstLine="482"/>
      </w:pPr>
      <w:r>
        <w:rPr>
          <w:rFonts w:hint="eastAsia"/>
        </w:rPr>
        <w:t>注：</w:t>
      </w:r>
      <w:r>
        <w:rPr>
          <w:rFonts w:hint="eastAsia" w:asciiTheme="minorEastAsia" w:hAnsiTheme="minorEastAsia" w:eastAsiaTheme="minorEastAsia" w:cstheme="minorEastAsia"/>
          <w:bCs/>
        </w:rPr>
        <w:t>格式自拟，或参照《符合&lt;中华人民共和国政府采购法&gt;第二十二条规定的条件的承诺及声明函》提供承诺函</w:t>
      </w:r>
      <w:r>
        <w:rPr>
          <w:rFonts w:hint="eastAsia"/>
        </w:rPr>
        <w:t>。</w:t>
      </w:r>
    </w:p>
    <w:p>
      <w:pPr>
        <w:pStyle w:val="30"/>
        <w:numPr>
          <w:ilvl w:val="1"/>
          <w:numId w:val="23"/>
        </w:numPr>
        <w:ind w:firstLine="482"/>
        <w:rPr>
          <w:b/>
          <w:bCs/>
        </w:rPr>
      </w:pPr>
      <w:r>
        <w:rPr>
          <w:rFonts w:hint="eastAsia"/>
          <w:b/>
          <w:bCs/>
        </w:rPr>
        <w:t>供应商参加政府采购活动前三年内，在经营活动中没有重大违法记录的证明材料；</w:t>
      </w:r>
    </w:p>
    <w:p>
      <w:pPr>
        <w:pStyle w:val="43"/>
      </w:pPr>
      <w:r>
        <w:rPr>
          <w:rFonts w:hint="eastAsia"/>
        </w:rPr>
        <w:t>提供参加本次政府采购活动前三年内，在经营活动中没有重大违法记录的书面声明(成立不足三年的，从成立之日起计算)。</w:t>
      </w:r>
    </w:p>
    <w:p>
      <w:pPr>
        <w:pStyle w:val="30"/>
        <w:adjustRightInd/>
        <w:snapToGrid/>
        <w:ind w:firstLine="482"/>
        <w:rPr>
          <w:b/>
          <w:bCs/>
        </w:rPr>
      </w:pPr>
      <w:r>
        <w:rPr>
          <w:rFonts w:hint="eastAsia"/>
          <w:b/>
          <w:bCs/>
        </w:rPr>
        <w:t>供应商</w:t>
      </w:r>
      <w:r>
        <w:rPr>
          <w:rFonts w:hint="eastAsia"/>
          <w:b/>
          <w:bCs/>
          <w:lang w:val="zh-CN"/>
        </w:rPr>
        <w:t>及其现任法定代表人、主要负责人不得具有行贿犯罪记录</w:t>
      </w:r>
      <w:r>
        <w:rPr>
          <w:rFonts w:hint="eastAsia"/>
          <w:b/>
          <w:bCs/>
        </w:rPr>
        <w:t>的证明材料</w:t>
      </w:r>
      <w:r>
        <w:rPr>
          <w:rFonts w:hint="eastAsia"/>
          <w:b/>
          <w:bCs/>
          <w:lang w:val="zh-CN"/>
        </w:rPr>
        <w:t>；</w:t>
      </w:r>
    </w:p>
    <w:p>
      <w:pPr>
        <w:pStyle w:val="44"/>
        <w:jc w:val="both"/>
        <w:rPr>
          <w:b w:val="0"/>
          <w:bCs/>
        </w:rPr>
      </w:pPr>
      <w:r>
        <w:rPr>
          <w:rFonts w:hint="eastAsia"/>
          <w:b w:val="0"/>
          <w:bCs/>
        </w:rPr>
        <w:t>1.在响应文件中作出供应商及其现任法定代表人(姓名和身份证号码)、主要负责人(姓名和身份证号码)10年内(</w:t>
      </w:r>
      <w:r>
        <w:rPr>
          <w:rFonts w:hint="eastAsia"/>
          <w:b w:val="0"/>
          <w:bCs/>
          <w:lang w:val="zh-CN"/>
        </w:rPr>
        <w:t>若</w:t>
      </w:r>
      <w:r>
        <w:rPr>
          <w:rFonts w:hint="eastAsia"/>
          <w:b w:val="0"/>
          <w:bCs/>
        </w:rPr>
        <w:t>供应商</w:t>
      </w:r>
      <w:r>
        <w:rPr>
          <w:rFonts w:hint="eastAsia"/>
          <w:b w:val="0"/>
          <w:bCs/>
          <w:lang w:val="zh-CN"/>
        </w:rPr>
        <w:t>成立不足10年的，</w:t>
      </w:r>
      <w:r>
        <w:rPr>
          <w:rFonts w:hint="eastAsia"/>
          <w:b w:val="0"/>
          <w:bCs/>
        </w:rPr>
        <w:t>承诺期限为</w:t>
      </w:r>
      <w:r>
        <w:rPr>
          <w:rFonts w:hint="eastAsia"/>
          <w:b w:val="0"/>
          <w:bCs/>
          <w:lang w:val="zh-CN"/>
        </w:rPr>
        <w:t>成立之日起</w:t>
      </w:r>
      <w:r>
        <w:rPr>
          <w:rFonts w:hint="eastAsia"/>
          <w:b w:val="0"/>
          <w:bCs/>
        </w:rPr>
        <w:t>至今)无行贿犯罪记录的承诺；</w:t>
      </w:r>
    </w:p>
    <w:p>
      <w:pPr>
        <w:pStyle w:val="44"/>
        <w:jc w:val="both"/>
        <w:rPr>
          <w:b w:val="0"/>
          <w:bCs/>
          <w:lang w:val="zh-CN"/>
        </w:rPr>
      </w:pPr>
      <w:r>
        <w:rPr>
          <w:rFonts w:hint="eastAsia"/>
          <w:b w:val="0"/>
          <w:bCs/>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lang w:val="zh-CN"/>
        </w:rPr>
        <w:t>。</w:t>
      </w:r>
    </w:p>
    <w:p>
      <w:pPr>
        <w:pStyle w:val="60"/>
        <w:numPr>
          <w:ilvl w:val="3"/>
          <w:numId w:val="0"/>
        </w:numPr>
        <w:ind w:firstLine="482" w:firstLineChars="200"/>
      </w:pPr>
      <w:r>
        <w:rPr>
          <w:rFonts w:hint="eastAsia"/>
          <w:b/>
          <w:bCs/>
        </w:rPr>
        <w:t>注：①供应商采用提供承诺函方式响应的，其内容必须符合上述第1款的要求，否则将视为无效承诺；②如供应商未提供有效承诺函，且未</w:t>
      </w:r>
      <w:r>
        <w:rPr>
          <w:rFonts w:hint="eastAsia"/>
          <w:b/>
        </w:rPr>
        <w:t>在响应文件中书面载明</w:t>
      </w:r>
      <w:r>
        <w:rPr>
          <w:rFonts w:hint="eastAsia"/>
          <w:b/>
          <w:bCs/>
        </w:rPr>
        <w:t>其“现任法定代表人”(姓名和身份证号码)、“主要负责人”(姓名和身份证号码)信息的，将被视为无效响应。</w:t>
      </w:r>
    </w:p>
    <w:p>
      <w:pPr>
        <w:pStyle w:val="30"/>
        <w:ind w:firstLine="482"/>
        <w:rPr>
          <w:b/>
          <w:bCs/>
        </w:rPr>
      </w:pPr>
      <w:r>
        <w:rPr>
          <w:rFonts w:hint="eastAsia"/>
          <w:b/>
          <w:bCs/>
        </w:rPr>
        <w:t xml:space="preserve">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 </w:t>
      </w:r>
    </w:p>
    <w:p>
      <w:pPr>
        <w:pStyle w:val="43"/>
      </w:pPr>
      <w:r>
        <w:rPr>
          <w:rFonts w:hint="eastAsia"/>
        </w:rPr>
        <w:t>采购代理机构通过“信用中国”网站、“中国政府采购网”等渠道对供应商进行信用记录查询，并将查询记录存档。凡被列入失信被执行人、重大税收违法案件当事人名单、政府采购严重违法失信行为记录名单的，视为存在不良信用记录，参与本项目的将被拒绝；</w:t>
      </w:r>
    </w:p>
    <w:p>
      <w:pPr>
        <w:pStyle w:val="44"/>
        <w:ind w:firstLine="482"/>
      </w:pPr>
      <w:r>
        <w:rPr>
          <w:rFonts w:hint="eastAsia"/>
        </w:rPr>
        <w:t>注：供应商参与磋商时无需对此条进行响应。</w:t>
      </w:r>
    </w:p>
    <w:p>
      <w:pPr>
        <w:pStyle w:val="30"/>
        <w:ind w:firstLine="482"/>
        <w:rPr>
          <w:b/>
          <w:bCs/>
        </w:rPr>
      </w:pPr>
      <w:r>
        <w:rPr>
          <w:rFonts w:hint="eastAsia"/>
          <w:b/>
          <w:bCs/>
        </w:rPr>
        <w:t>法定代表人/单位负责人授权书原件；</w:t>
      </w:r>
    </w:p>
    <w:p>
      <w:pPr>
        <w:pStyle w:val="44"/>
        <w:ind w:firstLine="482"/>
      </w:pPr>
      <w:r>
        <w:rPr>
          <w:rFonts w:hint="eastAsia"/>
        </w:rPr>
        <w:t>注：①附法定代表人/单位负责人和被授权人身份证正反面复印件；②法定代表人/单位负责人亲自参与磋商时不需要提供。</w:t>
      </w:r>
    </w:p>
    <w:p>
      <w:pPr>
        <w:pStyle w:val="30"/>
        <w:ind w:firstLine="482"/>
        <w:rPr>
          <w:b/>
          <w:bCs/>
        </w:rPr>
      </w:pPr>
      <w:r>
        <w:rPr>
          <w:rFonts w:hint="eastAsia"/>
          <w:b/>
          <w:bCs/>
        </w:rPr>
        <w:t>法定代表人/单位负责人证明书；</w:t>
      </w:r>
    </w:p>
    <w:p>
      <w:pPr>
        <w:pStyle w:val="44"/>
        <w:ind w:firstLine="482"/>
      </w:pPr>
      <w:r>
        <w:rPr>
          <w:rFonts w:hint="eastAsia"/>
        </w:rPr>
        <w:t>注：①附法定代表人/单位负责人身份证正反面复印件；②法定代表人/单位负责人亲自参加磋商时提供本证明书。</w:t>
      </w:r>
    </w:p>
    <w:p>
      <w:pPr>
        <w:pStyle w:val="30"/>
        <w:ind w:firstLine="482"/>
        <w:rPr>
          <w:b/>
          <w:bCs/>
        </w:rPr>
      </w:pPr>
      <w:r>
        <w:rPr>
          <w:rFonts w:hint="eastAsia"/>
          <w:b/>
          <w:bCs/>
        </w:rPr>
        <w:t>法律、</w:t>
      </w:r>
      <w:r>
        <w:fldChar w:fldCharType="begin"/>
      </w:r>
      <w:r>
        <w:instrText xml:space="preserve"> HYPERLINK "http://www.lawtime.cn/info/sifakaoshi/xingzhengfa/" \t "_blank" </w:instrText>
      </w:r>
      <w:r>
        <w:fldChar w:fldCharType="separate"/>
      </w:r>
      <w:r>
        <w:rPr>
          <w:rFonts w:hint="eastAsia"/>
          <w:b/>
          <w:bCs/>
        </w:rPr>
        <w:t>行政法</w:t>
      </w:r>
      <w:r>
        <w:rPr>
          <w:rFonts w:hint="eastAsia"/>
          <w:b/>
          <w:bCs/>
        </w:rPr>
        <w:fldChar w:fldCharType="end"/>
      </w:r>
      <w:r>
        <w:rPr>
          <w:rFonts w:hint="eastAsia"/>
          <w:b/>
          <w:bCs/>
        </w:rPr>
        <w:t>规规定的其他条件的证明材料；</w:t>
      </w:r>
    </w:p>
    <w:p>
      <w:pPr>
        <w:pStyle w:val="43"/>
        <w:rPr>
          <w:highlight w:val="red"/>
        </w:rPr>
      </w:pPr>
      <w:r>
        <w:rPr>
          <w:rFonts w:hint="eastAsia"/>
        </w:rPr>
        <w:t>提供符合法律、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规规定的其他条件的承诺函。</w:t>
      </w:r>
    </w:p>
    <w:p>
      <w:pPr>
        <w:pStyle w:val="30"/>
        <w:ind w:firstLine="482"/>
        <w:rPr>
          <w:b/>
          <w:bCs/>
        </w:rPr>
      </w:pPr>
      <w:r>
        <w:rPr>
          <w:rFonts w:hint="eastAsia"/>
          <w:b/>
          <w:bCs/>
        </w:rPr>
        <w:t>根据采购项目的特殊要求，规定供应商的特定条件的证明材料；</w:t>
      </w:r>
    </w:p>
    <w:p>
      <w:pPr>
        <w:pStyle w:val="33"/>
        <w:numPr>
          <w:ilvl w:val="2"/>
          <w:numId w:val="0"/>
        </w:numPr>
        <w:ind w:left="480" w:leftChars="200"/>
      </w:pPr>
      <w:r>
        <w:rPr>
          <w:rFonts w:hint="eastAsia"/>
        </w:rPr>
        <w:t>提供国家行政主管部门颁发</w:t>
      </w:r>
      <w:r>
        <w:rPr>
          <w:rFonts w:hint="eastAsia"/>
          <w:lang w:val="en-US" w:eastAsia="zh-CN"/>
        </w:rPr>
        <w:t>有效</w:t>
      </w:r>
      <w:r>
        <w:rPr>
          <w:rFonts w:hint="eastAsia"/>
        </w:rPr>
        <w:t>的城乡规划编制乙级或以上资质证书复印件；</w:t>
      </w:r>
    </w:p>
    <w:p>
      <w:pPr>
        <w:pStyle w:val="44"/>
        <w:ind w:firstLine="482"/>
      </w:pPr>
      <w:r>
        <w:rPr>
          <w:rFonts w:hint="eastAsia"/>
        </w:rPr>
        <w:t>说明：①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w:t>
      </w:r>
    </w:p>
    <w:p>
      <w:pPr>
        <w:pStyle w:val="44"/>
        <w:ind w:firstLine="482"/>
      </w:pPr>
      <w:r>
        <w:rPr>
          <w:rFonts w:hint="eastAsia"/>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44"/>
        <w:ind w:firstLine="482"/>
      </w:pPr>
      <w:r>
        <w:rPr>
          <w:rFonts w:hint="eastAsia"/>
        </w:rPr>
        <w:t>③供应商在前三年政府采购合同履约过程中及其他经营活动履约过程中未依法履约被有关部门处理的，不能认定为具有良好的商业信誉。若提供虚假承诺将被视为虚假响应，取消成交资格。</w:t>
      </w:r>
    </w:p>
    <w:p>
      <w:pPr>
        <w:pStyle w:val="44"/>
        <w:ind w:firstLine="482"/>
      </w:pPr>
      <w:r>
        <w:rPr>
          <w:rFonts w:hint="eastAsia"/>
        </w:rPr>
        <w:t>④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w:t>
      </w:r>
    </w:p>
    <w:p>
      <w:pPr>
        <w:pStyle w:val="44"/>
        <w:ind w:firstLine="482"/>
      </w:pPr>
      <w:r>
        <w:rPr>
          <w:rFonts w:hint="eastAsia"/>
        </w:rPr>
        <w:fldChar w:fldCharType="begin"/>
      </w:r>
      <w:r>
        <w:rPr>
          <w:rFonts w:hint="eastAsia"/>
        </w:rPr>
        <w:instrText xml:space="preserve"> = 5 \* GB3 \* MERGEFORMAT </w:instrText>
      </w:r>
      <w:r>
        <w:rPr>
          <w:rFonts w:hint="eastAsia"/>
        </w:rPr>
        <w:fldChar w:fldCharType="separate"/>
      </w:r>
      <w:r>
        <w:rPr>
          <w:rFonts w:hint="eastAsia"/>
        </w:rPr>
        <w:t>⑤</w:t>
      </w:r>
      <w:r>
        <w:rPr>
          <w:rFonts w:hint="eastAsia"/>
        </w:rPr>
        <w:fldChar w:fldCharType="end"/>
      </w:r>
      <w:r>
        <w:rPr>
          <w:rFonts w:hint="eastAsia"/>
        </w:rPr>
        <w:t>供应商应对其所提供的资格证明材料来源的合法性、真实性承担法律责任。</w:t>
      </w:r>
    </w:p>
    <w:p>
      <w:pPr>
        <w:pStyle w:val="44"/>
        <w:ind w:firstLine="482"/>
      </w:pPr>
      <w:r>
        <w:rPr>
          <w:rFonts w:hint="eastAsia"/>
        </w:rPr>
        <w:fldChar w:fldCharType="begin"/>
      </w:r>
      <w:r>
        <w:rPr>
          <w:rFonts w:hint="eastAsia"/>
        </w:rPr>
        <w:instrText xml:space="preserve"> = 6 \* GB3 \* MERGEFORMAT </w:instrText>
      </w:r>
      <w:r>
        <w:rPr>
          <w:rFonts w:hint="eastAsia"/>
        </w:rPr>
        <w:fldChar w:fldCharType="separate"/>
      </w:r>
      <w:r>
        <w:rPr>
          <w:rFonts w:hint="eastAsia"/>
        </w:rPr>
        <w:t>⑥</w:t>
      </w:r>
      <w:r>
        <w:rPr>
          <w:rFonts w:hint="eastAsia"/>
        </w:rPr>
        <w:fldChar w:fldCharType="end"/>
      </w:r>
      <w:r>
        <w:rPr>
          <w:rFonts w:hint="eastAsia"/>
        </w:rPr>
        <w:t>以上承诺及声明函可参照第三章响应文件格式“承诺及声明函”格式或自拟格式填写均有效。</w:t>
      </w:r>
    </w:p>
    <w:p>
      <w:pPr>
        <w:pStyle w:val="44"/>
        <w:ind w:firstLine="482"/>
      </w:pPr>
      <w:r>
        <w:rPr>
          <w:rFonts w:hint="eastAsia"/>
        </w:rPr>
        <w:fldChar w:fldCharType="begin"/>
      </w:r>
      <w:r>
        <w:rPr>
          <w:rFonts w:hint="eastAsia"/>
        </w:rPr>
        <w:instrText xml:space="preserve"> = 7 \* GB3 \* MERGEFORMAT </w:instrText>
      </w:r>
      <w:r>
        <w:rPr>
          <w:rFonts w:hint="eastAsia"/>
        </w:rPr>
        <w:fldChar w:fldCharType="separate"/>
      </w:r>
      <w:r>
        <w:rPr>
          <w:rFonts w:hint="eastAsia"/>
        </w:rPr>
        <w:t>⑦</w:t>
      </w:r>
      <w:r>
        <w:rPr>
          <w:rFonts w:hint="eastAsia"/>
        </w:rPr>
        <w:fldChar w:fldCharType="end"/>
      </w:r>
      <w:r>
        <w:rPr>
          <w:rFonts w:hint="eastAsia"/>
        </w:rPr>
        <w:t>本章要求提供的相关证明材料应当结合采购项目具体情况和供应商的组织机构性质确定，不得一概而论。</w:t>
      </w:r>
    </w:p>
    <w:bookmarkEnd w:id="371"/>
    <w:p>
      <w:pPr>
        <w:rPr>
          <w:highlight w:val="yellow"/>
        </w:rPr>
      </w:pPr>
      <w:r>
        <w:rPr>
          <w:rFonts w:hint="eastAsia" w:asciiTheme="minorEastAsia" w:hAnsiTheme="minorEastAsia" w:eastAsiaTheme="minorEastAsia" w:cstheme="minorEastAsia"/>
          <w:color w:val="000000"/>
          <w:sz w:val="36"/>
          <w:szCs w:val="36"/>
        </w:rPr>
        <w:br w:type="page"/>
      </w:r>
    </w:p>
    <w:p>
      <w:pPr>
        <w:pStyle w:val="45"/>
        <w:numPr>
          <w:ilvl w:val="0"/>
          <w:numId w:val="22"/>
        </w:numPr>
        <w:spacing w:before="120" w:after="120"/>
      </w:pPr>
      <w:bookmarkStart w:id="372" w:name="_Toc28339"/>
      <w:bookmarkStart w:id="373" w:name="_Toc25861"/>
      <w:r>
        <w:rPr>
          <w:rFonts w:hint="eastAsia" w:asciiTheme="minorEastAsia" w:hAnsiTheme="minorEastAsia" w:eastAsiaTheme="minorEastAsia" w:cstheme="minorEastAsia"/>
          <w:color w:val="000000"/>
          <w:szCs w:val="36"/>
        </w:rPr>
        <w:t>采购项目技术、服务、合同内容条款及商务要求</w:t>
      </w:r>
      <w:bookmarkEnd w:id="372"/>
      <w:bookmarkEnd w:id="373"/>
    </w:p>
    <w:p>
      <w:pPr>
        <w:pStyle w:val="32"/>
        <w:ind w:firstLine="482"/>
      </w:pPr>
      <w:bookmarkStart w:id="537" w:name="_GoBack"/>
      <w:bookmarkStart w:id="374" w:name="_Toc12335"/>
      <w:bookmarkStart w:id="375" w:name="_Toc13855"/>
      <w:bookmarkStart w:id="376" w:name="_Toc27469"/>
      <w:bookmarkStart w:id="377" w:name="_Toc28932"/>
      <w:bookmarkStart w:id="378" w:name="_Toc1684"/>
      <w:bookmarkStart w:id="379" w:name="_Toc217446060"/>
      <w:bookmarkStart w:id="380" w:name="_Toc308084648"/>
      <w:bookmarkStart w:id="381" w:name="_Toc307564899"/>
      <w:bookmarkStart w:id="382" w:name="_Toc32159"/>
      <w:bookmarkStart w:id="383" w:name="_Toc1839"/>
      <w:bookmarkStart w:id="384" w:name="_Toc217446099"/>
      <w:bookmarkStart w:id="385" w:name="_Toc327196343"/>
      <w:bookmarkStart w:id="386" w:name="_Toc1541"/>
      <w:bookmarkStart w:id="387" w:name="_Toc23360"/>
      <w:bookmarkStart w:id="388" w:name="_Toc319440192"/>
      <w:bookmarkStart w:id="389" w:name="_Toc309897566"/>
      <w:bookmarkStart w:id="390" w:name="_Toc29864"/>
      <w:bookmarkStart w:id="391" w:name="_Toc12025"/>
      <w:bookmarkStart w:id="392" w:name="_Toc308188201"/>
      <w:bookmarkStart w:id="393" w:name="_Toc307501157"/>
      <w:bookmarkStart w:id="394" w:name="_Toc319439948"/>
      <w:r>
        <w:rPr>
          <w:rFonts w:hint="eastAsia"/>
        </w:rPr>
        <w:t>项目概述</w:t>
      </w:r>
      <w:bookmarkEnd w:id="374"/>
      <w:bookmarkEnd w:id="375"/>
    </w:p>
    <w:p>
      <w:pPr>
        <w:pStyle w:val="43"/>
        <w:ind w:firstLine="482"/>
      </w:pPr>
      <w:r>
        <w:rPr>
          <w:rFonts w:hint="eastAsia"/>
          <w:b/>
          <w:bCs/>
        </w:rPr>
        <w:t>1.项目背景：</w:t>
      </w:r>
      <w:r>
        <w:rPr>
          <w:rFonts w:hint="eastAsia"/>
          <w:bCs/>
          <w:caps/>
        </w:rPr>
        <w:t>为贯彻落实国务院办公厅《关于全面推进城镇老旧小区改造工作的指导意见》、</w:t>
      </w:r>
      <w:r>
        <w:rPr>
          <w:bCs/>
          <w:caps/>
        </w:rPr>
        <w:t>四川省</w:t>
      </w:r>
      <w:r>
        <w:rPr>
          <w:rFonts w:hint="eastAsia"/>
          <w:bCs/>
          <w:caps/>
        </w:rPr>
        <w:t>住房</w:t>
      </w:r>
      <w:r>
        <w:rPr>
          <w:bCs/>
          <w:caps/>
        </w:rPr>
        <w:t>和城乡建设厅</w:t>
      </w:r>
      <w:r>
        <w:rPr>
          <w:rFonts w:hint="eastAsia"/>
          <w:bCs/>
          <w:caps/>
        </w:rPr>
        <w:t>《</w:t>
      </w:r>
      <w:r>
        <w:rPr>
          <w:bCs/>
          <w:caps/>
        </w:rPr>
        <w:t>关于</w:t>
      </w:r>
      <w:r>
        <w:rPr>
          <w:rFonts w:hint="eastAsia"/>
          <w:bCs/>
          <w:caps/>
        </w:rPr>
        <w:t>做好</w:t>
      </w:r>
      <w:r>
        <w:rPr>
          <w:bCs/>
          <w:caps/>
        </w:rPr>
        <w:t>城镇老旧小区专项改造规划编制工作的通知</w:t>
      </w:r>
      <w:r>
        <w:rPr>
          <w:rFonts w:hint="eastAsia"/>
          <w:bCs/>
          <w:caps/>
        </w:rPr>
        <w:t>》的</w:t>
      </w:r>
      <w:r>
        <w:rPr>
          <w:bCs/>
          <w:caps/>
        </w:rPr>
        <w:t>相关要求</w:t>
      </w:r>
      <w:r>
        <w:rPr>
          <w:rFonts w:hint="eastAsia"/>
          <w:bCs/>
          <w:caps/>
        </w:rPr>
        <w:t>，</w:t>
      </w:r>
      <w:r>
        <w:rPr>
          <w:bCs/>
          <w:caps/>
        </w:rPr>
        <w:t>落实</w:t>
      </w:r>
      <w:r>
        <w:rPr>
          <w:rFonts w:hint="eastAsia"/>
          <w:bCs/>
          <w:caps/>
        </w:rPr>
        <w:t>中共成都市委十三届八次全会暨市委经济工作会议精神，深入推进“幸福美好生活十大工程”，全面完成老旧小区改造，加快推动社区商业重整布局，不断提升城市治理水平，改善人居环境，</w:t>
      </w:r>
      <w:r>
        <w:rPr>
          <w:bCs/>
          <w:caps/>
        </w:rPr>
        <w:t>结合</w:t>
      </w:r>
      <w:r>
        <w:rPr>
          <w:rFonts w:hint="eastAsia"/>
          <w:bCs/>
          <w:caps/>
        </w:rPr>
        <w:t>武侯</w:t>
      </w:r>
      <w:r>
        <w:rPr>
          <w:bCs/>
          <w:caps/>
        </w:rPr>
        <w:t>区的实际情况</w:t>
      </w:r>
      <w:r>
        <w:rPr>
          <w:rFonts w:hint="eastAsia"/>
          <w:bCs/>
          <w:caps/>
        </w:rPr>
        <w:t>，开展《</w:t>
      </w:r>
      <w:r>
        <w:rPr>
          <w:rFonts w:hint="eastAsia"/>
        </w:rPr>
        <w:t>武侯区老旧小区</w:t>
      </w:r>
      <w:r>
        <w:t>专项改造规划</w:t>
      </w:r>
      <w:r>
        <w:rPr>
          <w:rFonts w:hint="eastAsia"/>
          <w:bCs/>
          <w:caps/>
        </w:rPr>
        <w:t>》项目的编制。</w:t>
      </w:r>
    </w:p>
    <w:p>
      <w:pPr>
        <w:pStyle w:val="43"/>
        <w:ind w:firstLine="482"/>
      </w:pPr>
      <w:r>
        <w:rPr>
          <w:rFonts w:hint="eastAsia"/>
          <w:b/>
          <w:bCs/>
        </w:rPr>
        <w:t>2.规划范围：</w:t>
      </w:r>
      <w:r>
        <w:rPr>
          <w:rFonts w:hint="eastAsia"/>
        </w:rPr>
        <w:t>本项目规划范围为武侯区全域，总面积约75.36平方公里。</w:t>
      </w:r>
    </w:p>
    <w:p>
      <w:pPr>
        <w:pStyle w:val="32"/>
        <w:ind w:firstLine="482"/>
      </w:pPr>
      <w:bookmarkStart w:id="395" w:name="_Toc10673"/>
      <w:bookmarkStart w:id="396" w:name="_Toc18564"/>
      <w:r>
        <w:rPr>
          <w:rFonts w:hint="eastAsia"/>
        </w:rPr>
        <w:t>项目服务内容及要求</w:t>
      </w:r>
      <w:bookmarkEnd w:id="395"/>
      <w:bookmarkEnd w:id="396"/>
    </w:p>
    <w:p>
      <w:pPr>
        <w:pStyle w:val="43"/>
        <w:numPr>
          <w:ilvl w:val="0"/>
          <w:numId w:val="24"/>
        </w:numPr>
        <w:ind w:firstLine="482"/>
        <w:rPr>
          <w:b/>
          <w:bCs/>
        </w:rPr>
      </w:pPr>
      <w:r>
        <w:rPr>
          <w:rFonts w:hint="eastAsia"/>
          <w:b/>
          <w:bCs/>
        </w:rPr>
        <w:t>服务内容</w:t>
      </w:r>
    </w:p>
    <w:p>
      <w:pPr>
        <w:tabs>
          <w:tab w:val="left" w:pos="1440"/>
          <w:tab w:val="clear" w:pos="0"/>
        </w:tabs>
        <w:ind w:firstLine="480" w:firstLineChars="200"/>
      </w:pPr>
      <w:r>
        <w:rPr>
          <w:rFonts w:hint="eastAsia"/>
          <w:lang w:eastAsia="zh-CN"/>
        </w:rPr>
        <w:t>(</w:t>
      </w:r>
      <w:r>
        <w:t>1</w:t>
      </w:r>
      <w:r>
        <w:rPr>
          <w:rFonts w:hint="eastAsia"/>
          <w:lang w:eastAsia="zh-CN"/>
        </w:rPr>
        <w:t>)</w:t>
      </w:r>
      <w:r>
        <w:t>项目背景。对国家、省、市关于老旧小区改造工作、意见等政策进行分析，总结对武侯区老旧小区改造的要求。</w:t>
      </w:r>
    </w:p>
    <w:p>
      <w:pPr>
        <w:tabs>
          <w:tab w:val="left" w:pos="1440"/>
          <w:tab w:val="clear" w:pos="0"/>
        </w:tabs>
        <w:ind w:firstLine="480" w:firstLineChars="200"/>
      </w:pPr>
      <w:r>
        <w:rPr>
          <w:rFonts w:hint="eastAsia"/>
          <w:lang w:eastAsia="zh-CN"/>
        </w:rPr>
        <w:t>(</w:t>
      </w:r>
      <w:r>
        <w:t>2</w:t>
      </w:r>
      <w:r>
        <w:rPr>
          <w:rFonts w:hint="eastAsia"/>
          <w:lang w:eastAsia="zh-CN"/>
        </w:rPr>
        <w:t>)</w:t>
      </w:r>
      <w:r>
        <w:t>对象识别及现状分析。首先，结合老旧小区概念识别武侯区老旧小区，明确规划对象及其空间分布。其次，在全面摸底调查的基础上，开展老旧小区现状分析，评估其空间布局、建筑质量、风貌、权属以及改造意愿等方面情况。</w:t>
      </w:r>
    </w:p>
    <w:p>
      <w:pPr>
        <w:tabs>
          <w:tab w:val="left" w:pos="1440"/>
          <w:tab w:val="clear" w:pos="0"/>
        </w:tabs>
        <w:ind w:firstLine="480" w:firstLineChars="200"/>
      </w:pPr>
      <w:r>
        <w:rPr>
          <w:rFonts w:hint="eastAsia"/>
          <w:lang w:eastAsia="zh-CN"/>
        </w:rPr>
        <w:t>(</w:t>
      </w:r>
      <w:r>
        <w:t>3</w:t>
      </w:r>
      <w:r>
        <w:rPr>
          <w:rFonts w:hint="eastAsia"/>
          <w:lang w:eastAsia="zh-CN"/>
        </w:rPr>
        <w:t>)</w:t>
      </w:r>
      <w:r>
        <w:t>案例借鉴。选取先进地区老旧小区改造案例，总结趋势与先进经验。</w:t>
      </w:r>
    </w:p>
    <w:p>
      <w:pPr>
        <w:tabs>
          <w:tab w:val="left" w:pos="1440"/>
          <w:tab w:val="clear" w:pos="0"/>
        </w:tabs>
        <w:ind w:firstLine="480" w:firstLineChars="200"/>
      </w:pPr>
      <w:r>
        <w:rPr>
          <w:rFonts w:hint="eastAsia"/>
          <w:lang w:eastAsia="zh-CN"/>
        </w:rPr>
        <w:t>(</w:t>
      </w:r>
      <w:r>
        <w:t>4</w:t>
      </w:r>
      <w:r>
        <w:rPr>
          <w:rFonts w:hint="eastAsia"/>
          <w:lang w:eastAsia="zh-CN"/>
        </w:rPr>
        <w:t>)</w:t>
      </w:r>
      <w:r>
        <w:t>目标思路。提出武侯区老旧小区改造的目标和总体思路。</w:t>
      </w:r>
    </w:p>
    <w:p>
      <w:pPr>
        <w:tabs>
          <w:tab w:val="left" w:pos="1440"/>
          <w:tab w:val="clear" w:pos="0"/>
        </w:tabs>
        <w:ind w:firstLine="480" w:firstLineChars="200"/>
      </w:pPr>
      <w:r>
        <w:rPr>
          <w:rFonts w:hint="eastAsia"/>
          <w:lang w:eastAsia="zh-CN"/>
        </w:rPr>
        <w:t>(</w:t>
      </w:r>
      <w:r>
        <w:t>5</w:t>
      </w:r>
      <w:r>
        <w:rPr>
          <w:rFonts w:hint="eastAsia"/>
          <w:lang w:eastAsia="zh-CN"/>
        </w:rPr>
        <w:t>)</w:t>
      </w:r>
      <w:r>
        <w:t>规划布局。在现状评估基础上，按照社区统筹管理、周边区域联动改造等原则划定改造单位，形成改造单元、老旧小区两个层级的空间布局。</w:t>
      </w:r>
    </w:p>
    <w:p>
      <w:pPr>
        <w:tabs>
          <w:tab w:val="left" w:pos="1440"/>
          <w:tab w:val="clear" w:pos="0"/>
        </w:tabs>
        <w:ind w:firstLine="480" w:firstLineChars="200"/>
        <w:rPr>
          <w:sz w:val="24"/>
          <w:szCs w:val="24"/>
        </w:rPr>
      </w:pPr>
      <w:r>
        <w:rPr>
          <w:rFonts w:hint="eastAsia"/>
          <w:lang w:eastAsia="zh-CN"/>
        </w:rPr>
        <w:t>(</w:t>
      </w:r>
      <w:r>
        <w:t>6</w:t>
      </w:r>
      <w:r>
        <w:rPr>
          <w:rFonts w:hint="eastAsia"/>
          <w:lang w:eastAsia="zh-CN"/>
        </w:rPr>
        <w:t>)</w:t>
      </w:r>
      <w:r>
        <w:t>改造单元规划。分别从基础设施、道路交通、景观绿化、服务设施、商业服务、历史文</w:t>
      </w:r>
      <w:r>
        <w:rPr>
          <w:sz w:val="24"/>
          <w:szCs w:val="24"/>
        </w:rPr>
        <w:t>化保护等方面对现有资源及服务设施分析评估，依据老旧小区布局、人口、规模及居民需求情况，合理配置相关公共服务设施，活化利用各类资源。同时，结合改造单元特征，提出社区商业运作思路，完善商业服务设施空间分布，营造多样化的社区商业场景。</w:t>
      </w:r>
    </w:p>
    <w:p>
      <w:pPr>
        <w:tabs>
          <w:tab w:val="left" w:pos="1440"/>
          <w:tab w:val="clear" w:pos="0"/>
        </w:tabs>
        <w:ind w:firstLine="480" w:firstLineChars="200"/>
        <w:rPr>
          <w:sz w:val="24"/>
          <w:szCs w:val="24"/>
        </w:rPr>
      </w:pPr>
      <w:r>
        <w:rPr>
          <w:rFonts w:hint="eastAsia"/>
          <w:sz w:val="24"/>
          <w:szCs w:val="24"/>
          <w:lang w:eastAsia="zh-CN"/>
        </w:rPr>
        <w:t>(</w:t>
      </w:r>
      <w:r>
        <w:rPr>
          <w:sz w:val="24"/>
          <w:szCs w:val="24"/>
        </w:rPr>
        <w:t>7</w:t>
      </w:r>
      <w:r>
        <w:rPr>
          <w:rFonts w:hint="eastAsia"/>
          <w:sz w:val="24"/>
          <w:szCs w:val="24"/>
          <w:lang w:eastAsia="zh-CN"/>
        </w:rPr>
        <w:t>)</w:t>
      </w:r>
      <w:r>
        <w:rPr>
          <w:sz w:val="24"/>
          <w:szCs w:val="24"/>
        </w:rPr>
        <w:t>老旧小区规划。分别从基础设施、小区建筑、小区环境、服务设施等方面提出改造设计指引。</w:t>
      </w:r>
    </w:p>
    <w:p>
      <w:pPr>
        <w:pStyle w:val="2"/>
        <w:spacing w:line="440" w:lineRule="exact"/>
        <w:ind w:firstLine="480" w:firstLineChars="200"/>
        <w:rPr>
          <w:sz w:val="24"/>
          <w:szCs w:val="24"/>
        </w:rPr>
      </w:pPr>
      <w:r>
        <w:rPr>
          <w:rFonts w:hint="eastAsia"/>
          <w:sz w:val="24"/>
          <w:szCs w:val="24"/>
          <w:lang w:eastAsia="zh-CN"/>
        </w:rPr>
        <w:t>(</w:t>
      </w:r>
      <w:r>
        <w:rPr>
          <w:sz w:val="24"/>
          <w:szCs w:val="24"/>
        </w:rPr>
        <w:t>8</w:t>
      </w:r>
      <w:r>
        <w:rPr>
          <w:rFonts w:hint="eastAsia"/>
          <w:sz w:val="24"/>
          <w:szCs w:val="24"/>
          <w:lang w:eastAsia="zh-CN"/>
        </w:rPr>
        <w:t>)</w:t>
      </w:r>
      <w:r>
        <w:rPr>
          <w:sz w:val="24"/>
          <w:szCs w:val="24"/>
        </w:rPr>
        <w:t>实施保障。结合武侯区实际，提出老旧小区改造的政策保障及建议。</w:t>
      </w:r>
    </w:p>
    <w:p>
      <w:pPr>
        <w:pStyle w:val="43"/>
        <w:ind w:firstLine="482"/>
        <w:rPr>
          <w:b/>
          <w:bCs/>
        </w:rPr>
      </w:pPr>
      <w:r>
        <w:rPr>
          <w:rFonts w:hint="eastAsia"/>
          <w:b/>
          <w:bCs/>
          <w:lang w:eastAsia="zh-CN"/>
        </w:rPr>
        <w:t>(</w:t>
      </w:r>
      <w:r>
        <w:rPr>
          <w:rFonts w:hint="eastAsia"/>
          <w:b/>
          <w:bCs/>
        </w:rPr>
        <w:t>二</w:t>
      </w:r>
      <w:r>
        <w:rPr>
          <w:rFonts w:hint="eastAsia"/>
          <w:b/>
          <w:bCs/>
          <w:lang w:eastAsia="zh-CN"/>
        </w:rPr>
        <w:t>)</w:t>
      </w:r>
      <w:r>
        <w:rPr>
          <w:rFonts w:hint="eastAsia" w:asciiTheme="minorEastAsia" w:hAnsiTheme="minorEastAsia" w:eastAsiaTheme="minorEastAsia" w:cstheme="minorEastAsia"/>
          <w:b/>
          <w:bCs/>
          <w:szCs w:val="22"/>
        </w:rPr>
        <w:t>※</w:t>
      </w:r>
      <w:r>
        <w:rPr>
          <w:rFonts w:hint="eastAsia"/>
          <w:b/>
          <w:bCs/>
        </w:rPr>
        <w:t>成果要求</w:t>
      </w:r>
    </w:p>
    <w:p>
      <w:pPr>
        <w:pStyle w:val="2"/>
        <w:spacing w:line="440" w:lineRule="exact"/>
        <w:ind w:firstLine="480" w:firstLineChars="200"/>
      </w:pPr>
      <w:r>
        <w:rPr>
          <w:rFonts w:hint="eastAsia"/>
          <w:sz w:val="24"/>
        </w:rPr>
        <w:t>提供满足四川省住房和城乡建设厅、成都市住房和城乡建设局、成都市武侯区要求的成果文件。具体</w:t>
      </w:r>
      <w:r>
        <w:rPr>
          <w:sz w:val="24"/>
        </w:rPr>
        <w:t>要求如下</w:t>
      </w:r>
      <w:r>
        <w:rPr>
          <w:rFonts w:hint="eastAsia"/>
          <w:sz w:val="24"/>
        </w:rPr>
        <w:t>：</w:t>
      </w:r>
    </w:p>
    <w:p>
      <w:pPr>
        <w:pStyle w:val="43"/>
      </w:pPr>
      <w:r>
        <w:rPr>
          <w:rFonts w:hint="eastAsia"/>
        </w:rPr>
        <w:t>1.</w:t>
      </w:r>
      <w:r>
        <w:t>设计成果内容：图文合订本，</w:t>
      </w:r>
      <w:r>
        <w:rPr>
          <w:rFonts w:hint="eastAsia"/>
        </w:rPr>
        <w:t>包括但不限于规划总则和服务内容</w:t>
      </w:r>
      <w:r>
        <w:t>中所要求的内容。</w:t>
      </w:r>
    </w:p>
    <w:p>
      <w:pPr>
        <w:pStyle w:val="43"/>
      </w:pPr>
      <w:r>
        <w:rPr>
          <w:rFonts w:hint="eastAsia"/>
        </w:rPr>
        <w:t>2.</w:t>
      </w:r>
      <w:r>
        <w:t>成果形式：汇报演示文件及图文合订本采用Power Point编制。</w:t>
      </w:r>
    </w:p>
    <w:p>
      <w:pPr>
        <w:pStyle w:val="43"/>
      </w:pPr>
      <w:r>
        <w:rPr>
          <w:rFonts w:hint="eastAsia"/>
        </w:rPr>
        <w:t>3.成果</w:t>
      </w:r>
      <w:r>
        <w:t>文件：送审成果</w:t>
      </w:r>
      <w:r>
        <w:rPr>
          <w:rFonts w:hint="eastAsia"/>
        </w:rPr>
        <w:t>文件</w:t>
      </w:r>
      <w:r>
        <w:t>为图文合订本一式四份；正式成果</w:t>
      </w:r>
      <w:r>
        <w:rPr>
          <w:rFonts w:hint="eastAsia"/>
        </w:rPr>
        <w:t>文件须包含</w:t>
      </w:r>
      <w:r>
        <w:t>图文合订本一式六份</w:t>
      </w:r>
      <w:r>
        <w:rPr>
          <w:rFonts w:hint="eastAsia"/>
        </w:rPr>
        <w:t>和</w:t>
      </w:r>
      <w:r>
        <w:t>刻录光盘两张。</w:t>
      </w:r>
    </w:p>
    <w:p>
      <w:pPr>
        <w:pStyle w:val="32"/>
        <w:ind w:firstLine="482"/>
      </w:pPr>
      <w:bookmarkStart w:id="397" w:name="_Toc30600"/>
      <w:bookmarkStart w:id="398" w:name="_Toc29342"/>
      <w:r>
        <w:rPr>
          <w:rFonts w:hint="eastAsia"/>
        </w:rPr>
        <w:t>商务要求</w:t>
      </w:r>
      <w:bookmarkEnd w:id="397"/>
      <w:bookmarkEnd w:id="398"/>
    </w:p>
    <w:p>
      <w:pPr>
        <w:numPr>
          <w:ilvl w:val="0"/>
          <w:numId w:val="25"/>
        </w:numPr>
        <w:ind w:firstLine="482" w:firstLineChars="200"/>
        <w:rPr>
          <w:rFonts w:asciiTheme="minorEastAsia" w:hAnsiTheme="minorEastAsia" w:eastAsiaTheme="minorEastAsia" w:cstheme="minorEastAsia"/>
          <w:b/>
          <w:bCs/>
        </w:rPr>
      </w:pPr>
      <w:r>
        <w:rPr>
          <w:rFonts w:hint="eastAsia" w:asciiTheme="minorEastAsia" w:hAnsiTheme="minorEastAsia" w:cstheme="minorEastAsia"/>
          <w:b/>
          <w:bCs/>
          <w:szCs w:val="22"/>
        </w:rPr>
        <w:t>※</w:t>
      </w:r>
      <w:r>
        <w:rPr>
          <w:rFonts w:hint="eastAsia" w:asciiTheme="minorEastAsia" w:hAnsiTheme="minorEastAsia" w:eastAsiaTheme="minorEastAsia" w:cstheme="minorEastAsia"/>
          <w:b/>
          <w:bCs/>
        </w:rPr>
        <w:t>履约时间和地点</w:t>
      </w:r>
    </w:p>
    <w:p>
      <w:pPr>
        <w:numPr>
          <w:ilvl w:val="0"/>
          <w:numId w:val="26"/>
        </w:numPr>
        <w:ind w:firstLine="480" w:firstLineChars="200"/>
      </w:pPr>
      <w:r>
        <w:rPr>
          <w:rFonts w:hint="eastAsia"/>
        </w:rPr>
        <w:t>履约时间：合同签订首付款到账且资料齐备后</w:t>
      </w:r>
      <w:r>
        <w:t>3</w:t>
      </w:r>
      <w:r>
        <w:rPr>
          <w:rFonts w:hint="eastAsia"/>
        </w:rPr>
        <w:t>个月内完成</w:t>
      </w:r>
      <w:r>
        <w:t>送审成果；</w:t>
      </w:r>
      <w:r>
        <w:rPr>
          <w:rFonts w:hint="eastAsia"/>
        </w:rPr>
        <w:t>通过最终正式审查且收到</w:t>
      </w:r>
      <w:r>
        <w:t>纪要</w:t>
      </w:r>
      <w:r>
        <w:rPr>
          <w:rFonts w:hint="eastAsia"/>
        </w:rPr>
        <w:t>后</w:t>
      </w:r>
      <w:r>
        <w:t>1</w:t>
      </w:r>
      <w:r>
        <w:rPr>
          <w:rFonts w:hint="eastAsia"/>
        </w:rPr>
        <w:t>个月内完成并提交正式成果。签订合同后，因采购人原因推迟或延误验收时间，由采购人与供应商协商确定，项目进度顺延。如遇不可抗力原因造成工作延误，合同约定时间自然顺延，或重新约定。</w:t>
      </w:r>
    </w:p>
    <w:p>
      <w:pPr>
        <w:pStyle w:val="11"/>
        <w:numPr>
          <w:ilvl w:val="0"/>
          <w:numId w:val="26"/>
        </w:numPr>
        <w:spacing w:after="0"/>
        <w:ind w:firstLine="482" w:firstLineChars="200"/>
      </w:pPr>
      <w:r>
        <w:rPr>
          <w:rFonts w:hint="eastAsia" w:asciiTheme="minorEastAsia" w:hAnsiTheme="minorEastAsia" w:eastAsiaTheme="minorEastAsia" w:cstheme="minorEastAsia"/>
          <w:b/>
          <w:bCs/>
          <w:szCs w:val="22"/>
        </w:rPr>
        <w:t>履约地点</w:t>
      </w:r>
      <w:r>
        <w:rPr>
          <w:rFonts w:hint="eastAsia" w:asciiTheme="minorEastAsia" w:hAnsiTheme="minorEastAsia" w:eastAsiaTheme="minorEastAsia" w:cstheme="minorEastAsia"/>
        </w:rPr>
        <w:t>：采购人指定地点</w:t>
      </w:r>
      <w:r>
        <w:rPr>
          <w:rFonts w:hint="eastAsia" w:asciiTheme="minorEastAsia" w:hAnsiTheme="minorEastAsia" w:cstheme="minorEastAsia"/>
        </w:rPr>
        <w:t>。</w:t>
      </w:r>
    </w:p>
    <w:p>
      <w:pPr>
        <w:pStyle w:val="65"/>
        <w:numPr>
          <w:ilvl w:val="0"/>
          <w:numId w:val="25"/>
        </w:numPr>
        <w:tabs>
          <w:tab w:val="clear" w:pos="312"/>
        </w:tabs>
        <w:wordWrap w:val="0"/>
        <w:spacing w:line="440" w:lineRule="exact"/>
        <w:ind w:firstLine="482"/>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2"/>
        </w:rPr>
        <w:t>※</w:t>
      </w:r>
      <w:r>
        <w:rPr>
          <w:rFonts w:hint="eastAsia" w:asciiTheme="minorEastAsia" w:hAnsiTheme="minorEastAsia" w:eastAsiaTheme="minorEastAsia" w:cstheme="minorEastAsia"/>
          <w:b/>
          <w:bCs/>
          <w:sz w:val="24"/>
          <w:szCs w:val="24"/>
        </w:rPr>
        <w:t>合同价款</w:t>
      </w:r>
    </w:p>
    <w:p>
      <w:pPr>
        <w:pStyle w:val="65"/>
        <w:wordWrap w:val="0"/>
        <w:spacing w:line="440" w:lineRule="exact"/>
        <w:ind w:firstLine="48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szCs w:val="22"/>
        </w:rPr>
        <w:t>合同价是供应商响应采购项目要求的全部工作内容的价格体现，包括完成本项目所涉及人工劳务、</w:t>
      </w:r>
      <w:r>
        <w:rPr>
          <w:rFonts w:hint="eastAsia" w:asciiTheme="minorEastAsia" w:hAnsiTheme="minorEastAsia" w:cstheme="minorEastAsia"/>
          <w:sz w:val="24"/>
          <w:szCs w:val="22"/>
        </w:rPr>
        <w:t>材料、</w:t>
      </w:r>
      <w:r>
        <w:rPr>
          <w:rFonts w:hint="eastAsia" w:asciiTheme="minorEastAsia" w:hAnsiTheme="minorEastAsia" w:eastAsiaTheme="minorEastAsia" w:cstheme="minorEastAsia"/>
          <w:sz w:val="24"/>
          <w:szCs w:val="22"/>
        </w:rPr>
        <w:t>设备投入、</w:t>
      </w:r>
      <w:r>
        <w:rPr>
          <w:rFonts w:hint="eastAsia" w:asciiTheme="minorEastAsia" w:hAnsiTheme="minorEastAsia" w:cstheme="minorEastAsia"/>
          <w:sz w:val="24"/>
          <w:szCs w:val="22"/>
        </w:rPr>
        <w:t>保险、</w:t>
      </w:r>
      <w:r>
        <w:rPr>
          <w:rFonts w:hint="eastAsia" w:asciiTheme="minorEastAsia" w:hAnsiTheme="minorEastAsia" w:eastAsiaTheme="minorEastAsia" w:cstheme="minorEastAsia"/>
          <w:sz w:val="24"/>
          <w:szCs w:val="22"/>
        </w:rPr>
        <w:t>验收、利润、风险、税金、招标代理服务费等的一切费用</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pStyle w:val="65"/>
        <w:wordWrap w:val="0"/>
        <w:snapToGrid/>
        <w:spacing w:line="440" w:lineRule="exact"/>
        <w:ind w:firstLine="482"/>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(三)付款方式</w:t>
      </w:r>
    </w:p>
    <w:p>
      <w:pPr>
        <w:pStyle w:val="65"/>
        <w:wordWrap w:val="0"/>
        <w:snapToGrid/>
        <w:spacing w:line="440" w:lineRule="exact"/>
        <w:ind w:firstLine="480"/>
        <w:jc w:val="left"/>
        <w:rPr>
          <w:sz w:val="24"/>
        </w:rPr>
      </w:pPr>
      <w:r>
        <w:rPr>
          <w:rFonts w:hint="eastAsia" w:asciiTheme="minorEastAsia" w:hAnsiTheme="minorEastAsia" w:eastAsiaTheme="minorEastAsia" w:cstheme="minorEastAsia"/>
          <w:sz w:val="24"/>
          <w:szCs w:val="24"/>
        </w:rPr>
        <w:t>1.</w:t>
      </w:r>
      <w:r>
        <w:rPr>
          <w:rFonts w:hint="eastAsia"/>
          <w:sz w:val="24"/>
        </w:rPr>
        <w:t>合同签订之日起7个工作日内</w:t>
      </w:r>
      <w:r>
        <w:rPr>
          <w:rFonts w:hint="eastAsia" w:asciiTheme="minorEastAsia" w:hAnsiTheme="minorEastAsia" w:eastAsiaTheme="minorEastAsia" w:cstheme="minorEastAsia"/>
          <w:sz w:val="24"/>
          <w:szCs w:val="24"/>
        </w:rPr>
        <w:t>支付成交金额的50%；</w:t>
      </w:r>
      <w:r>
        <w:rPr>
          <w:rFonts w:hint="eastAsia"/>
          <w:sz w:val="24"/>
        </w:rPr>
        <w:t>项目经相关审查通过后7个工作日内</w:t>
      </w:r>
      <w:r>
        <w:rPr>
          <w:rFonts w:hint="eastAsia" w:asciiTheme="minorEastAsia" w:hAnsiTheme="minorEastAsia" w:eastAsiaTheme="minorEastAsia" w:cstheme="minorEastAsia"/>
          <w:sz w:val="24"/>
          <w:szCs w:val="24"/>
        </w:rPr>
        <w:t>支付成交金额的40%</w:t>
      </w:r>
      <w:r>
        <w:rPr>
          <w:rFonts w:hint="eastAsia"/>
          <w:sz w:val="24"/>
        </w:rPr>
        <w:t>；提交正式规划设计纸质成果后7个工作日内</w:t>
      </w:r>
      <w:r>
        <w:rPr>
          <w:rFonts w:hint="eastAsia" w:asciiTheme="minorEastAsia" w:hAnsiTheme="minorEastAsia" w:eastAsiaTheme="minorEastAsia" w:cstheme="minorEastAsia"/>
          <w:sz w:val="24"/>
          <w:szCs w:val="24"/>
        </w:rPr>
        <w:t>支付成交金额的10%(成交供应商</w:t>
      </w:r>
      <w:r>
        <w:rPr>
          <w:rFonts w:hint="eastAsia"/>
          <w:sz w:val="24"/>
        </w:rPr>
        <w:t>收到采购人尾款后，7个工作日内向采购人提交电子成果</w:t>
      </w:r>
      <w:r>
        <w:rPr>
          <w:rFonts w:hint="eastAsia" w:asciiTheme="minorEastAsia" w:hAnsiTheme="minorEastAsia" w:eastAsiaTheme="minorEastAsia" w:cstheme="minorEastAsia"/>
          <w:sz w:val="24"/>
          <w:szCs w:val="24"/>
        </w:rPr>
        <w:t>)</w:t>
      </w:r>
      <w:r>
        <w:rPr>
          <w:rFonts w:hint="eastAsia"/>
          <w:sz w:val="24"/>
        </w:rPr>
        <w:t>。</w:t>
      </w:r>
    </w:p>
    <w:p>
      <w:pPr>
        <w:pStyle w:val="65"/>
        <w:wordWrap w:val="0"/>
        <w:snapToGrid/>
        <w:spacing w:line="440" w:lineRule="exact"/>
        <w:ind w:firstLine="48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2.成交供应商须向采购人出具合法有效完整的完税发票</w:t>
      </w:r>
      <w:r>
        <w:rPr>
          <w:rFonts w:hint="eastAsia" w:asciiTheme="minorEastAsia" w:hAnsiTheme="minorEastAsia" w:eastAsiaTheme="minorEastAsia" w:cstheme="minorEastAsia"/>
          <w:sz w:val="24"/>
          <w:szCs w:val="24"/>
        </w:rPr>
        <w:t>及凭证资料后进行支付结算，付款方式均采用公对公的银行转账，供应商接受转账的开户信息以采购</w:t>
      </w:r>
      <w:r>
        <w:rPr>
          <w:rFonts w:hint="eastAsia" w:asciiTheme="minorEastAsia" w:hAnsiTheme="minorEastAsia" w:eastAsiaTheme="minorEastAsia" w:cstheme="minorEastAsia"/>
          <w:color w:val="000000" w:themeColor="text1"/>
          <w:sz w:val="24"/>
          <w:szCs w:val="24"/>
          <w14:textFill>
            <w14:solidFill>
              <w14:schemeClr w14:val="tx1"/>
            </w14:solidFill>
          </w14:textFill>
        </w:rPr>
        <w:t>合同载明的为准。</w:t>
      </w:r>
    </w:p>
    <w:p>
      <w:pPr>
        <w:snapToGrid/>
        <w:ind w:firstLine="482" w:firstLineChars="200"/>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rPr>
        <w:t>(四)违约责任</w:t>
      </w:r>
    </w:p>
    <w:p>
      <w:pPr>
        <w:adjustRightInd/>
        <w:snapToGrid/>
        <w:ind w:firstLine="480" w:firstLineChars="200"/>
        <w:jc w:val="both"/>
        <w:rPr>
          <w:rFonts w:asciiTheme="minorEastAsia" w:hAnsiTheme="minorEastAsia" w:eastAsiaTheme="minorEastAsia" w:cstheme="minorEastAsia"/>
        </w:rPr>
      </w:pPr>
      <w:r>
        <w:rPr>
          <w:rFonts w:asciiTheme="minorEastAsia" w:hAnsiTheme="minorEastAsia" w:eastAsiaTheme="minorEastAsia" w:cstheme="minorEastAsia"/>
        </w:rPr>
        <w:t>1.供应商必须遵守采购合同并执行合同中的各项规定，保证采购合同的正常履行。</w:t>
      </w:r>
    </w:p>
    <w:p>
      <w:pPr>
        <w:adjustRightInd/>
        <w:snapToGrid/>
        <w:ind w:firstLine="480" w:firstLineChars="200"/>
        <w:jc w:val="both"/>
        <w:rPr>
          <w:rFonts w:asciiTheme="minorEastAsia" w:hAnsiTheme="minorEastAsia" w:eastAsiaTheme="minorEastAsia" w:cstheme="minorEastAsia"/>
        </w:rPr>
      </w:pPr>
      <w:r>
        <w:rPr>
          <w:rFonts w:asciiTheme="minorEastAsia" w:hAnsiTheme="minorEastAsia" w:eastAsiaTheme="minorEastAsia" w:cstheme="minorEastAsia"/>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pPr>
        <w:adjustRightInd/>
        <w:snapToGrid/>
        <w:ind w:firstLine="480" w:firstLineChars="200"/>
        <w:jc w:val="both"/>
        <w:rPr>
          <w:rFonts w:asciiTheme="minorEastAsia" w:hAnsiTheme="minorEastAsia" w:eastAsiaTheme="minorEastAsia" w:cstheme="minorEastAsia"/>
          <w:color w:val="000000" w:themeColor="text1"/>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3</w:t>
      </w:r>
      <w:r>
        <w:rPr>
          <w:rFonts w:asciiTheme="minorEastAsia" w:hAnsiTheme="minorEastAsia" w:eastAsiaTheme="minorEastAsia" w:cstheme="minorEastAsia"/>
          <w:bCs/>
          <w:color w:val="000000" w:themeColor="text1"/>
          <w:szCs w:val="22"/>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供应商必须遵守采购合同按时完成合同相关工作，若由于供应商原因导致合同迟延履</w:t>
      </w:r>
      <w:r>
        <w:rPr>
          <w:rFonts w:hint="eastAsia" w:asciiTheme="minorEastAsia" w:hAnsiTheme="minorEastAsia" w:eastAsiaTheme="minorEastAsia" w:cstheme="minorEastAsia"/>
          <w:color w:val="000000" w:themeColor="text1"/>
          <w:spacing w:val="-6"/>
          <w14:textFill>
            <w14:solidFill>
              <w14:schemeClr w14:val="tx1"/>
            </w14:solidFill>
          </w14:textFill>
        </w:rPr>
        <w:t>行，供应商应承担采购合同中约定的履约保证金</w:t>
      </w:r>
      <w:r>
        <w:rPr>
          <w:rFonts w:asciiTheme="minorEastAsia" w:hAnsiTheme="minorEastAsia" w:eastAsiaTheme="minorEastAsia" w:cstheme="minorEastAsia"/>
          <w:color w:val="000000" w:themeColor="text1"/>
          <w:spacing w:val="-6"/>
          <w14:textFill>
            <w14:solidFill>
              <w14:schemeClr w14:val="tx1"/>
            </w14:solidFill>
          </w14:textFill>
        </w:rPr>
        <w:t>(例如：每迟延一天扣除每日1%的履约保证金)。</w:t>
      </w:r>
    </w:p>
    <w:p>
      <w:pPr>
        <w:adjustRightInd/>
        <w:snapToGrid/>
        <w:ind w:firstLine="480" w:firstLineChars="200"/>
        <w:jc w:val="both"/>
        <w:rPr>
          <w:rFonts w:asciiTheme="minorEastAsia" w:hAnsiTheme="minorEastAsia" w:eastAsiaTheme="minorEastAsia" w:cstheme="minorEastAsia"/>
          <w:color w:val="000000" w:themeColor="text1"/>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4</w:t>
      </w:r>
      <w:r>
        <w:rPr>
          <w:rFonts w:asciiTheme="minorEastAsia" w:hAnsiTheme="minorEastAsia" w:eastAsiaTheme="minorEastAsia" w:cstheme="minorEastAsia"/>
          <w:bCs/>
          <w:color w:val="000000" w:themeColor="text1"/>
          <w:szCs w:val="22"/>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w:t>
      </w:r>
      <w:r>
        <w:rPr>
          <w:rFonts w:asciiTheme="minorEastAsia" w:hAnsiTheme="minorEastAsia" w:eastAsiaTheme="minorEastAsia" w:cstheme="minorEastAsia"/>
          <w:color w:val="000000" w:themeColor="text1"/>
          <w14:textFill>
            <w14:solidFill>
              <w14:schemeClr w14:val="tx1"/>
            </w14:solidFill>
          </w14:textFill>
        </w:rPr>
        <w:t>20%的违约金，若造成相关损失的，采购人有权要求供应商承担所有赔偿责任。</w:t>
      </w:r>
    </w:p>
    <w:p>
      <w:pPr>
        <w:pStyle w:val="26"/>
        <w:spacing w:line="440" w:lineRule="exact"/>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5.有下列情形之一的，当事人可以解除合同：</w:t>
      </w:r>
      <w:r>
        <w:rPr>
          <w:rFonts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asciiTheme="minorEastAsia" w:hAnsiTheme="minorEastAsia" w:eastAsiaTheme="minorEastAsia" w:cstheme="minorEastAsia"/>
          <w:sz w:val="24"/>
          <w:szCs w:val="24"/>
        </w:rPr>
        <w:t>5.1因不可抗力致使不能实现合同目的(由于非供应商或采购人原因，致使合同实质性条款无法实现的)；</w:t>
      </w:r>
      <w:r>
        <w:rPr>
          <w:rFonts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asciiTheme="minorEastAsia" w:hAnsiTheme="minorEastAsia" w:eastAsiaTheme="minorEastAsia" w:cstheme="minorEastAsia"/>
          <w:sz w:val="24"/>
          <w:szCs w:val="24"/>
        </w:rPr>
        <w:t xml:space="preserve">  5.2当事人一方迟延履行主要债务，经催告后在合理期限内仍未履行；</w:t>
      </w:r>
      <w:r>
        <w:rPr>
          <w:rFonts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asciiTheme="minorEastAsia" w:hAnsiTheme="minorEastAsia" w:eastAsiaTheme="minorEastAsia" w:cstheme="minorEastAsia"/>
          <w:sz w:val="24"/>
          <w:szCs w:val="24"/>
        </w:rPr>
        <w:t>5.3当事人一方迟延履行债务或者有其他违约行为致使不能实现合同目的；</w:t>
      </w:r>
      <w:r>
        <w:rPr>
          <w:rFonts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asciiTheme="minorEastAsia" w:hAnsiTheme="minorEastAsia" w:eastAsiaTheme="minorEastAsia" w:cstheme="minorEastAsia"/>
          <w:sz w:val="24"/>
          <w:szCs w:val="24"/>
        </w:rPr>
        <w:t xml:space="preserve">  5.4法律规定的其他情形。</w:t>
      </w:r>
    </w:p>
    <w:p>
      <w:pPr>
        <w:snapToGrid/>
        <w:ind w:firstLine="482" w:firstLineChars="200"/>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rPr>
        <w:t>(五)解决争议的方法</w:t>
      </w:r>
    </w:p>
    <w:p>
      <w:pPr>
        <w:pStyle w:val="66"/>
        <w:wordWrap w:val="0"/>
        <w:topLinePunct/>
        <w:snapToGrid/>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1.因服务的质量问题发生争议，由采购人或其指定的第三方机构进行质量鉴定。服务符合标准的，鉴定费由采购人承担；服务不符合质量标准的，鉴定费由供应商承担。</w:t>
      </w:r>
    </w:p>
    <w:p>
      <w:pPr>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2.合同履行期间，若双方发生争议，可协商或由有关部门调解解决，协商或调解不成的，向采购人所在地仲裁委员会申请仲裁。</w:t>
      </w:r>
    </w:p>
    <w:p>
      <w:pPr>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3.仲裁裁决应为最终决定，并对双方具有约束力。</w:t>
      </w:r>
    </w:p>
    <w:p>
      <w:pPr>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4.除另有裁决外，仲裁费应由败诉方负担。 </w:t>
      </w:r>
    </w:p>
    <w:p>
      <w:pPr>
        <w:pStyle w:val="43"/>
        <w:rPr>
          <w:rFonts w:asciiTheme="minorEastAsia" w:hAnsiTheme="minorEastAsia" w:eastAsiaTheme="minorEastAsia" w:cstheme="minorEastAsia"/>
        </w:rPr>
      </w:pPr>
      <w:r>
        <w:rPr>
          <w:rFonts w:hint="eastAsia" w:asciiTheme="minorEastAsia" w:hAnsiTheme="minorEastAsia" w:eastAsiaTheme="minorEastAsia" w:cstheme="minorEastAsia"/>
        </w:rPr>
        <w:t>5.在仲裁期间，除正在进行仲裁部分外，合同其他部分继续执行。</w:t>
      </w:r>
    </w:p>
    <w:p>
      <w:pPr>
        <w:pStyle w:val="32"/>
        <w:ind w:firstLine="482"/>
      </w:pPr>
      <w:bookmarkStart w:id="399" w:name="_Toc5976"/>
      <w:bookmarkStart w:id="400" w:name="_Toc25644"/>
      <w:r>
        <w:rPr>
          <w:rFonts w:hint="eastAsia"/>
        </w:rPr>
        <w:t>其他要求</w:t>
      </w:r>
      <w:bookmarkEnd w:id="399"/>
      <w:bookmarkEnd w:id="400"/>
    </w:p>
    <w:p>
      <w:pPr>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(一)政府采购合同签订时间：供应商成交后，自成交通知书发出之日起30日内与采购单位签定政府采购合同。</w:t>
      </w:r>
    </w:p>
    <w:p>
      <w:pPr>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(二)</w:t>
      </w:r>
      <w:r>
        <w:rPr>
          <w:rFonts w:hint="eastAsia" w:asciiTheme="minorEastAsia" w:hAnsiTheme="minorEastAsia" w:eastAsiaTheme="minorEastAsia" w:cstheme="minorEastAsia"/>
          <w:b/>
          <w:bCs/>
          <w:szCs w:val="22"/>
        </w:rPr>
        <w:t>※</w:t>
      </w:r>
      <w:r>
        <w:rPr>
          <w:rFonts w:hint="eastAsia" w:asciiTheme="minorEastAsia" w:hAnsiTheme="minorEastAsia" w:eastAsiaTheme="minorEastAsia" w:cstheme="minorEastAsia"/>
        </w:rPr>
        <w:t>供应商应保证所提供的服务或其任何一部分均不会侵犯任何第三方的专利权、商标权或著作权</w:t>
      </w:r>
      <w:r>
        <w:rPr>
          <w:rFonts w:hint="eastAsia" w:asciiTheme="minorEastAsia" w:hAnsiTheme="minorEastAsia" w:eastAsiaTheme="minorEastAsia" w:cstheme="minorEastAsia"/>
          <w:b/>
          <w:bCs/>
        </w:rPr>
        <w:t>(供应商须在响应文件中提供承诺函，格式自拟)</w:t>
      </w:r>
      <w:r>
        <w:rPr>
          <w:rFonts w:hint="eastAsia" w:asciiTheme="minorEastAsia" w:hAnsiTheme="minorEastAsia" w:eastAsiaTheme="minorEastAsia" w:cstheme="minorEastAsia"/>
        </w:rPr>
        <w:t>。</w:t>
      </w:r>
    </w:p>
    <w:p>
      <w:pPr>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(三)采购人定期核对供应商提供服务所配备的人员数量及相关信息，对于未按照采购文件及响应要求执行或存在不合理的部分有权下达整改通知书，并要求供应商限期整改。</w:t>
      </w:r>
    </w:p>
    <w:p>
      <w:pPr>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四</w:t>
      </w:r>
      <w:r>
        <w:rPr>
          <w:rFonts w:hint="eastAsia" w:asciiTheme="minorEastAsia" w:hAnsiTheme="minorEastAsia" w:eastAsiaTheme="minorEastAsia" w:cstheme="minorEastAsia"/>
        </w:rPr>
        <w:t>)供应商定期及时向采购人通告本项目服务范围内有关服务的重大事项及其进度。</w:t>
      </w:r>
    </w:p>
    <w:p>
      <w:pPr>
        <w:snapToGrid/>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(五)接受项目行业管理部门及政府有关部门的指导，接受采购人的监督。</w:t>
      </w:r>
    </w:p>
    <w:p>
      <w:pPr>
        <w:pStyle w:val="32"/>
        <w:ind w:firstLine="482"/>
      </w:pPr>
      <w:bookmarkStart w:id="401" w:name="_Toc9329"/>
      <w:bookmarkStart w:id="402" w:name="_Toc21251"/>
      <w:r>
        <w:rPr>
          <w:rFonts w:hint="eastAsia" w:asciiTheme="minorEastAsia" w:hAnsiTheme="minorEastAsia" w:eastAsiaTheme="minorEastAsia" w:cstheme="minorEastAsia"/>
          <w:bCs/>
          <w:szCs w:val="22"/>
        </w:rPr>
        <w:t>※</w:t>
      </w:r>
      <w:r>
        <w:rPr>
          <w:rFonts w:hint="eastAsia"/>
        </w:rPr>
        <w:t>履约验收</w:t>
      </w:r>
      <w:bookmarkEnd w:id="401"/>
      <w:bookmarkEnd w:id="402"/>
    </w:p>
    <w:p>
      <w:pPr>
        <w:adjustRightInd/>
        <w:snapToGrid/>
        <w:ind w:firstLine="480" w:firstLineChars="200"/>
        <w:rPr>
          <w:rFonts w:asciiTheme="minorEastAsia" w:hAnsiTheme="minorEastAsia" w:eastAsiaTheme="minorEastAsia" w:cstheme="minorEastAsia"/>
          <w:color w:val="000000"/>
          <w:highlight w:val="red"/>
        </w:rPr>
      </w:pPr>
      <w:r>
        <w:rPr>
          <w:rFonts w:hint="eastAsia" w:asciiTheme="minorEastAsia" w:hAnsiTheme="minorEastAsia" w:eastAsiaTheme="minorEastAsia" w:cstheme="minorEastAsia"/>
          <w:color w:val="000000" w:themeColor="text1"/>
          <w14:textFill>
            <w14:solidFill>
              <w14:schemeClr w14:val="tx1"/>
            </w14:solidFill>
          </w14:textFill>
        </w:rPr>
        <w:t>(一)</w:t>
      </w:r>
      <w:r>
        <w:rPr>
          <w:rFonts w:hint="eastAsia" w:asciiTheme="minorEastAsia" w:hAnsiTheme="minorEastAsia" w:eastAsiaTheme="minorEastAsia" w:cstheme="minorEastAsia"/>
          <w:color w:val="000000"/>
        </w:rPr>
        <w:t>服务在供应商通知履约完毕后5个工作日内进行验收，验收合格，双方签署《验收报告》。</w:t>
      </w:r>
    </w:p>
    <w:p>
      <w:pPr>
        <w:adjustRightInd/>
        <w:snapToGrid/>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themeColor="text1"/>
          <w14:textFill>
            <w14:solidFill>
              <w14:schemeClr w14:val="tx1"/>
            </w14:solidFill>
          </w14:textFill>
        </w:rPr>
        <w:t>(二)</w:t>
      </w:r>
      <w:r>
        <w:rPr>
          <w:rFonts w:hint="eastAsia" w:asciiTheme="minorEastAsia" w:hAnsiTheme="minorEastAsia" w:eastAsiaTheme="minorEastAsia" w:cstheme="minorEastAsia"/>
          <w:color w:val="000000"/>
        </w:rPr>
        <w:t>验收标准：按国家有关规定以及采购文件的质量要求和技术指标、供应商的响应文件及承诺与本合同约定标准进行验收；采购人与供应商双方如对质量要求和技术指标的约定标准有相互抵触或异议的事项，由采购人在</w:t>
      </w:r>
      <w:r>
        <w:rPr>
          <w:rFonts w:hint="eastAsia" w:asciiTheme="minorEastAsia" w:hAnsiTheme="minorEastAsia" w:eastAsiaTheme="minorEastAsia" w:cstheme="minorEastAsia"/>
        </w:rPr>
        <w:t>采购文件及</w:t>
      </w:r>
      <w:r>
        <w:rPr>
          <w:rFonts w:hint="eastAsia" w:asciiTheme="minorEastAsia" w:hAnsiTheme="minorEastAsia" w:eastAsiaTheme="minorEastAsia" w:cstheme="minorEastAsia"/>
          <w:color w:val="000000"/>
        </w:rPr>
        <w:t>响应</w:t>
      </w:r>
      <w:r>
        <w:rPr>
          <w:rFonts w:hint="eastAsia" w:asciiTheme="minorEastAsia" w:hAnsiTheme="minorEastAsia" w:eastAsiaTheme="minorEastAsia" w:cstheme="minorEastAsia"/>
        </w:rPr>
        <w:t>文件</w:t>
      </w:r>
      <w:r>
        <w:rPr>
          <w:rFonts w:hint="eastAsia" w:asciiTheme="minorEastAsia" w:hAnsiTheme="minorEastAsia" w:eastAsiaTheme="minorEastAsia" w:cstheme="minorEastAsia"/>
          <w:color w:val="000000"/>
        </w:rPr>
        <w:t>中按质量要求和技术指标比较优胜的原则确定该项的约定标准进行验收。</w:t>
      </w:r>
    </w:p>
    <w:p>
      <w:pPr>
        <w:pStyle w:val="43"/>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rPr>
        <w:t>(三)其他未尽事宜应</w:t>
      </w:r>
      <w:r>
        <w:rPr>
          <w:rFonts w:hint="eastAsia" w:asciiTheme="minorEastAsia" w:hAnsiTheme="minorEastAsia" w:eastAsiaTheme="minorEastAsia" w:cstheme="minorEastAsia"/>
          <w:color w:val="000000" w:themeColor="text1"/>
          <w14:textFill>
            <w14:solidFill>
              <w14:schemeClr w14:val="tx1"/>
            </w14:solidFill>
          </w14:textFill>
        </w:rPr>
        <w:t>严格按照《财政部关于进一步加强政府采购需求和履约验收管理的指导意见》(财库〔2016〕205号)的要求进行验收。</w:t>
      </w:r>
    </w:p>
    <w:p>
      <w:pPr>
        <w:pStyle w:val="44"/>
        <w:ind w:firstLine="482"/>
      </w:pPr>
      <w:r>
        <w:rPr>
          <w:rFonts w:hint="eastAsia"/>
        </w:rPr>
        <w:t>注意：1.本章带带“</w:t>
      </w:r>
      <w:r>
        <w:rPr>
          <w:rFonts w:hint="eastAsia" w:asciiTheme="minorEastAsia" w:hAnsiTheme="minorEastAsia" w:cstheme="minorEastAsia"/>
          <w:bCs/>
          <w:szCs w:val="22"/>
        </w:rPr>
        <w:t>※</w:t>
      </w:r>
      <w:r>
        <w:rPr>
          <w:rFonts w:hint="eastAsia"/>
        </w:rPr>
        <w:t>”号条款为实质性要求，供应商若未满足的，将被视为无效响应。</w:t>
      </w:r>
    </w:p>
    <w:p>
      <w:pPr>
        <w:pStyle w:val="44"/>
        <w:ind w:firstLine="482"/>
      </w:pPr>
      <w:r>
        <w:rPr>
          <w:rFonts w:hint="eastAsia"/>
        </w:rPr>
        <w:t>2.本章的要求不能作为资格性条件要求评审，如存在资格性条件要求，应当认定磋商文件编制存在重大缺陷，磋商小组应当停止评审。</w:t>
      </w:r>
    </w:p>
    <w:bookmarkEnd w:id="537"/>
    <w:p>
      <w:pPr>
        <w:pStyle w:val="40"/>
      </w:pPr>
      <w:r>
        <w:rPr>
          <w:rFonts w:hint="eastAsia"/>
        </w:rPr>
        <w:br w:type="page"/>
      </w:r>
    </w:p>
    <w:bookmarkEnd w:id="376"/>
    <w:bookmarkEnd w:id="377"/>
    <w:bookmarkEnd w:id="378"/>
    <w:p>
      <w:pPr>
        <w:pStyle w:val="45"/>
        <w:spacing w:before="120" w:after="120"/>
      </w:pPr>
      <w:bookmarkStart w:id="403" w:name="_Hlt101846155"/>
      <w:bookmarkEnd w:id="403"/>
      <w:bookmarkStart w:id="404" w:name="_Toc30470"/>
      <w:bookmarkStart w:id="405" w:name="_Toc41037907"/>
      <w:bookmarkStart w:id="406" w:name="_Toc10660"/>
      <w:bookmarkStart w:id="407" w:name="_Toc509579145"/>
      <w:bookmarkStart w:id="408" w:name="_Toc12577"/>
      <w:bookmarkStart w:id="409" w:name="_Toc183682415"/>
      <w:bookmarkStart w:id="410" w:name="_Toc183582280"/>
      <w:bookmarkStart w:id="411" w:name="_Toc4553"/>
      <w:bookmarkStart w:id="412" w:name="_Toc483"/>
      <w:bookmarkStart w:id="413" w:name="_Toc26923"/>
      <w:bookmarkStart w:id="414" w:name="_Toc1543"/>
      <w:bookmarkStart w:id="415" w:name="_Toc3881"/>
      <w:bookmarkStart w:id="416" w:name="_Toc21302"/>
      <w:bookmarkStart w:id="417" w:name="_Toc25435"/>
      <w:bookmarkStart w:id="418" w:name="_Toc319439946"/>
      <w:bookmarkStart w:id="419" w:name="_Toc307501154"/>
      <w:bookmarkStart w:id="420" w:name="_Toc2232"/>
      <w:bookmarkStart w:id="421" w:name="_Toc11039"/>
      <w:bookmarkStart w:id="422" w:name="_Toc208849007"/>
      <w:bookmarkStart w:id="423" w:name="_Toc309897563"/>
      <w:bookmarkStart w:id="424" w:name="_Toc307564896"/>
      <w:bookmarkStart w:id="425" w:name="_Toc327196339"/>
      <w:bookmarkStart w:id="426" w:name="_Toc319440188"/>
      <w:bookmarkStart w:id="427" w:name="_Toc308084645"/>
      <w:bookmarkStart w:id="428" w:name="_Toc308188198"/>
      <w:bookmarkStart w:id="429" w:name="_Toc25959"/>
      <w:bookmarkStart w:id="430" w:name="_Toc217446097"/>
      <w:r>
        <w:rPr>
          <w:rFonts w:hint="eastAsia"/>
        </w:rPr>
        <w:t>磋商内容、磋商过程中可实质性变动的内容</w:t>
      </w:r>
      <w:bookmarkEnd w:id="404"/>
      <w:bookmarkEnd w:id="405"/>
      <w:bookmarkEnd w:id="406"/>
      <w:bookmarkEnd w:id="407"/>
      <w:bookmarkEnd w:id="408"/>
    </w:p>
    <w:p>
      <w:pPr>
        <w:pStyle w:val="43"/>
      </w:pPr>
      <w:r>
        <w:rPr>
          <w:rFonts w:hint="eastAsia"/>
        </w:rPr>
        <w:t>针对本项目采购文件第五章、第八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
        <w:rPr>
          <w:rFonts w:hint="eastAsia"/>
        </w:rPr>
        <w:br w:type="page"/>
      </w:r>
    </w:p>
    <w:p>
      <w:pPr>
        <w:pStyle w:val="45"/>
        <w:numPr>
          <w:ilvl w:val="0"/>
          <w:numId w:val="22"/>
        </w:numPr>
        <w:spacing w:before="120" w:after="120"/>
      </w:pPr>
      <w:bookmarkStart w:id="431" w:name="_Toc14347"/>
      <w:bookmarkStart w:id="432" w:name="_Toc3724"/>
      <w:r>
        <w:rPr>
          <w:rFonts w:hint="eastAsia"/>
        </w:rPr>
        <w:t>磋商程序</w:t>
      </w:r>
      <w:bookmarkEnd w:id="431"/>
      <w:bookmarkEnd w:id="432"/>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Pr>
        <w:pStyle w:val="43"/>
      </w:pPr>
      <w:bookmarkStart w:id="433" w:name="_Toc28956"/>
      <w:r>
        <w:rPr>
          <w:rFonts w:hint="eastAsia"/>
        </w:rPr>
        <w:t>根据《中华人民共和国政府采购法》、《中华人民共和国政府采购法实施条例》、《政府采购竞争性磋商采购方式管理暂行办法》及《四川省政府采购非招标采购方式实施办法》等法律法规并结合本次采购项目的特点制定本评审程序、评审方法、评审标准。</w:t>
      </w:r>
    </w:p>
    <w:p>
      <w:pPr>
        <w:pStyle w:val="32"/>
        <w:ind w:firstLine="482"/>
      </w:pPr>
      <w:bookmarkStart w:id="434" w:name="_Toc2152"/>
      <w:bookmarkStart w:id="435" w:name="_Toc32217"/>
      <w:bookmarkStart w:id="436" w:name="_Toc7941"/>
      <w:r>
        <w:rPr>
          <w:rFonts w:hint="eastAsia"/>
        </w:rPr>
        <w:t>磋商小组及专家组成</w:t>
      </w:r>
      <w:bookmarkEnd w:id="434"/>
      <w:bookmarkEnd w:id="435"/>
      <w:bookmarkEnd w:id="436"/>
    </w:p>
    <w:p>
      <w:pPr>
        <w:pStyle w:val="43"/>
      </w:pPr>
      <w:r>
        <w:rPr>
          <w:rFonts w:hint="eastAsia"/>
        </w:rPr>
        <w:t>根据《政府采购竞争性磋商采购方式管理暂行办法》、《四川省政府采购非招标采购方式实施办法》等规定，结合本次采购项目的实际情况依法组建磋商小组，负责本次采购项目的竞争性磋商和评审工作。磋商小组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43"/>
      </w:pPr>
      <w:r>
        <w:rPr>
          <w:rFonts w:hint="eastAsia"/>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3"/>
      </w:pPr>
      <w:r>
        <w:rPr>
          <w:rFonts w:hint="eastAsia"/>
        </w:rPr>
        <w:t>磋商文件内容违反国家有关强制性规定的，磋商小组应当停止评审并向采购人或者采购代理机构说明情况(注明法律法规依据)。</w:t>
      </w:r>
    </w:p>
    <w:p>
      <w:pPr>
        <w:pStyle w:val="32"/>
        <w:ind w:firstLine="482"/>
      </w:pPr>
      <w:bookmarkStart w:id="437" w:name="_Toc9026"/>
      <w:bookmarkStart w:id="438" w:name="_Toc15700"/>
      <w:bookmarkStart w:id="439" w:name="_Toc2442"/>
      <w:bookmarkStart w:id="440" w:name="_Toc15935"/>
      <w:bookmarkStart w:id="441" w:name="_Toc19785"/>
      <w:bookmarkStart w:id="442" w:name="_Toc10809"/>
      <w:r>
        <w:rPr>
          <w:rFonts w:hint="eastAsia"/>
        </w:rPr>
        <w:t>磋商组织</w:t>
      </w:r>
      <w:bookmarkEnd w:id="437"/>
      <w:bookmarkEnd w:id="438"/>
      <w:bookmarkEnd w:id="439"/>
      <w:bookmarkEnd w:id="440"/>
      <w:bookmarkEnd w:id="441"/>
      <w:bookmarkEnd w:id="442"/>
    </w:p>
    <w:p>
      <w:pPr>
        <w:pStyle w:val="43"/>
      </w:pPr>
      <w:r>
        <w:rPr>
          <w:rFonts w:hint="eastAsia"/>
          <w:lang w:val="zh-CN"/>
        </w:rPr>
        <w:t>磋商工作由采购代理机构组织，具体磋商事务由依法组建的磋商小组负责。</w:t>
      </w:r>
    </w:p>
    <w:p>
      <w:pPr>
        <w:pStyle w:val="32"/>
        <w:ind w:firstLine="482"/>
      </w:pPr>
      <w:bookmarkStart w:id="443" w:name="_Toc23115"/>
      <w:bookmarkStart w:id="444" w:name="_Toc25873"/>
      <w:bookmarkStart w:id="445" w:name="_Toc10940"/>
      <w:bookmarkStart w:id="446" w:name="_Toc19418"/>
      <w:bookmarkStart w:id="447" w:name="_Toc8876"/>
      <w:bookmarkStart w:id="448" w:name="_Toc30112"/>
      <w:r>
        <w:rPr>
          <w:rFonts w:hint="eastAsia"/>
        </w:rPr>
        <w:t>评审程序</w:t>
      </w:r>
      <w:bookmarkEnd w:id="443"/>
      <w:bookmarkEnd w:id="444"/>
      <w:bookmarkEnd w:id="445"/>
      <w:bookmarkEnd w:id="446"/>
      <w:bookmarkEnd w:id="447"/>
      <w:bookmarkEnd w:id="448"/>
    </w:p>
    <w:p>
      <w:pPr>
        <w:pStyle w:val="46"/>
        <w:ind w:firstLine="482"/>
      </w:pPr>
      <w:bookmarkStart w:id="449" w:name="_Toc9377"/>
      <w:bookmarkStart w:id="450" w:name="_Toc31698"/>
      <w:bookmarkStart w:id="451" w:name="_Toc3958"/>
      <w:r>
        <w:rPr>
          <w:rFonts w:hint="eastAsia"/>
        </w:rPr>
        <w:t>供应商资格审查</w:t>
      </w:r>
      <w:bookmarkEnd w:id="449"/>
      <w:bookmarkEnd w:id="450"/>
      <w:bookmarkEnd w:id="451"/>
    </w:p>
    <w:p>
      <w:pPr>
        <w:pStyle w:val="60"/>
        <w:ind w:firstLine="480"/>
        <w:rPr>
          <w:lang w:val="zh-CN"/>
        </w:rPr>
      </w:pPr>
      <w:r>
        <w:rPr>
          <w:rFonts w:hint="eastAsia"/>
          <w:lang w:val="zh-CN"/>
        </w:rPr>
        <w:t>在</w:t>
      </w:r>
      <w:r>
        <w:rPr>
          <w:rFonts w:hint="eastAsia"/>
        </w:rPr>
        <w:t>开启时间</w:t>
      </w:r>
      <w:r>
        <w:rPr>
          <w:rFonts w:hint="eastAsia"/>
          <w:lang w:val="zh-CN"/>
        </w:rPr>
        <w:t>后，采购代理机构组织磋商小组对递交响应文件的供应商进行资格审查，确定参加磋商的供应商名单。</w:t>
      </w:r>
    </w:p>
    <w:p>
      <w:pPr>
        <w:pStyle w:val="60"/>
        <w:ind w:firstLine="480"/>
        <w:rPr>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60"/>
        <w:ind w:firstLine="480"/>
        <w:rPr>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60"/>
        <w:ind w:firstLine="480"/>
        <w:rPr>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60"/>
        <w:ind w:firstLine="480"/>
        <w:rPr>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rPr>
        <w:t>同时在磋商结果公示中向社会公开。</w:t>
      </w:r>
    </w:p>
    <w:p>
      <w:pPr>
        <w:pStyle w:val="46"/>
        <w:ind w:firstLine="482"/>
      </w:pPr>
      <w:bookmarkStart w:id="452" w:name="_Toc2214"/>
      <w:bookmarkStart w:id="453" w:name="_Toc3543"/>
      <w:bookmarkStart w:id="454" w:name="_Toc19974"/>
      <w:r>
        <w:rPr>
          <w:rFonts w:hint="eastAsia"/>
        </w:rPr>
        <w:t>磋商</w:t>
      </w:r>
      <w:bookmarkEnd w:id="452"/>
      <w:bookmarkEnd w:id="453"/>
      <w:bookmarkEnd w:id="454"/>
    </w:p>
    <w:p>
      <w:pPr>
        <w:pStyle w:val="60"/>
        <w:ind w:firstLine="480"/>
      </w:pPr>
      <w:r>
        <w:rPr>
          <w:rFonts w:hint="eastAsia"/>
        </w:rPr>
        <w:t>供应商资格审查结束后，采购人、采购代理机构应当组织评审委员会按照磋商文件的规定与通过资格审查的供应商分别进行磋商。磋商顺序以现场抽签的方式确定。磋商过程中，磋商小组可以根据磋商情况调整磋商轮次。每轮磋商开始前，磋商小组应根据磋商文件的规定，并结合各供应商的响应文件拟定磋商内容。</w:t>
      </w:r>
    </w:p>
    <w:p>
      <w:pPr>
        <w:pStyle w:val="60"/>
        <w:ind w:firstLine="48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61"/>
        <w:ind w:firstLine="480"/>
        <w:rPr>
          <w:lang w:val="zh-CN"/>
        </w:rPr>
      </w:pPr>
      <w:r>
        <w:rPr>
          <w:lang w:val="zh-CN"/>
        </w:rPr>
        <w:t>响应文件正副本数量不足的；</w:t>
      </w:r>
    </w:p>
    <w:p>
      <w:pPr>
        <w:pStyle w:val="61"/>
        <w:ind w:firstLine="48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60"/>
        <w:ind w:firstLine="48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61"/>
        <w:ind w:firstLine="480"/>
        <w:rPr>
          <w:lang w:val="zh-CN"/>
        </w:rPr>
      </w:pPr>
      <w:r>
        <w:rPr>
          <w:lang w:val="zh-CN"/>
        </w:rPr>
        <w:t>响应文件正副本数量齐全，只是未按照</w:t>
      </w:r>
      <w:r>
        <w:rPr>
          <w:rFonts w:hint="eastAsia"/>
          <w:lang w:val="zh-CN"/>
        </w:rPr>
        <w:t>磋商文件</w:t>
      </w:r>
      <w:r>
        <w:rPr>
          <w:lang w:val="zh-CN"/>
        </w:rPr>
        <w:t>要求进行分装或者统装的；</w:t>
      </w:r>
    </w:p>
    <w:p>
      <w:pPr>
        <w:pStyle w:val="61"/>
        <w:ind w:firstLine="48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61"/>
        <w:ind w:firstLine="48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61"/>
        <w:ind w:firstLine="48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43"/>
      </w:pPr>
      <w:r>
        <w:rPr>
          <w:lang w:val="zh-CN"/>
        </w:rPr>
        <w:t>磋商小组对所有响应文件的有效性、完整性和响应程度进行审查后，向采购代理机构出具有效性、完整性和响应程度审查</w:t>
      </w:r>
      <w:r>
        <w:rPr>
          <w:rFonts w:hint="eastAsia"/>
        </w:rPr>
        <w:t>意见</w:t>
      </w:r>
      <w:r>
        <w:rPr>
          <w:lang w:val="zh-CN"/>
        </w:rPr>
        <w:t>，确定继续磋商的供应商名单。没有通过有效性、完整性和响应程度审查的供应商，磋商小组应在有效性、完整性和响应程度审查</w:t>
      </w:r>
      <w:r>
        <w:rPr>
          <w:rFonts w:hint="eastAsia"/>
        </w:rPr>
        <w:t>意见</w:t>
      </w:r>
      <w:r>
        <w:rPr>
          <w:lang w:val="zh-CN"/>
        </w:rPr>
        <w:t>中说明原因。</w:t>
      </w:r>
    </w:p>
    <w:p>
      <w:pPr>
        <w:pStyle w:val="60"/>
        <w:ind w:firstLine="480"/>
      </w:pPr>
      <w:r>
        <w:rPr>
          <w:rFonts w:hint="eastAsia"/>
        </w:rPr>
        <w:t>本项目可能实质性变动的内容：采购需求中的技术、服务要求以及合同草案条款。</w:t>
      </w:r>
    </w:p>
    <w:p>
      <w:pPr>
        <w:pStyle w:val="60"/>
        <w:ind w:firstLine="480"/>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60"/>
        <w:ind w:firstLine="480"/>
      </w:pPr>
      <w:r>
        <w:rPr>
          <w:rFonts w:hint="eastAsia"/>
        </w:rPr>
        <w:t>对磋商文件作出的实质性变动是磋商文件的有效组成部分，评审委员会应当将变动的内容书面通知所有参加磋商的供应商，做好书面记录。</w:t>
      </w:r>
    </w:p>
    <w:p>
      <w:pPr>
        <w:pStyle w:val="60"/>
        <w:ind w:firstLine="480"/>
      </w:pPr>
      <w:r>
        <w:rPr>
          <w:rFonts w:hint="eastAsia"/>
        </w:rPr>
        <w:t>评审委员会变动磋商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p>
    <w:p>
      <w:pPr>
        <w:pStyle w:val="60"/>
        <w:ind w:firstLine="480"/>
      </w:pPr>
      <w:r>
        <w:rPr>
          <w:rFonts w:hint="eastAsia"/>
        </w:rPr>
        <w:t>磋商过程中，磋商的任何一方不得透露与磋商有关的其他供应商的技术资料、价格和其他信息。</w:t>
      </w:r>
    </w:p>
    <w:p>
      <w:pPr>
        <w:pStyle w:val="60"/>
        <w:ind w:firstLine="480"/>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60"/>
        <w:ind w:firstLine="480"/>
      </w:pPr>
      <w:r>
        <w:rPr>
          <w:rFonts w:hint="eastAsia"/>
        </w:rPr>
        <w:t>供应商重新提交响应文件的，响应文件应当按照前款规定签字确认或者加盖公章，否则无效。</w:t>
      </w:r>
    </w:p>
    <w:p>
      <w:pPr>
        <w:pStyle w:val="60"/>
        <w:ind w:firstLine="480"/>
      </w:pPr>
      <w:r>
        <w:rPr>
          <w:rFonts w:hint="eastAsia"/>
        </w:rPr>
        <w:t>评审委员会经与供应商磋商和对供应商响应文件审查后，供应商响应文件未实质性响应磋商文件的，评审委员会应当对其响应文件按无效处理，并书面告知供应商，说明理由。</w:t>
      </w:r>
    </w:p>
    <w:p>
      <w:pPr>
        <w:pStyle w:val="60"/>
        <w:ind w:firstLine="480"/>
      </w:pPr>
      <w:r>
        <w:rPr>
          <w:rFonts w:hint="eastAsia"/>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6"/>
        <w:ind w:firstLine="482"/>
      </w:pPr>
      <w:bookmarkStart w:id="455" w:name="_Toc25767"/>
      <w:bookmarkStart w:id="456" w:name="_Toc12655"/>
      <w:bookmarkStart w:id="457" w:name="_Toc29996"/>
      <w:r>
        <w:rPr>
          <w:rFonts w:hint="eastAsia"/>
        </w:rPr>
        <w:t>采购活动终止</w:t>
      </w:r>
      <w:bookmarkEnd w:id="455"/>
      <w:bookmarkEnd w:id="456"/>
      <w:bookmarkEnd w:id="457"/>
    </w:p>
    <w:p>
      <w:pPr>
        <w:pStyle w:val="43"/>
      </w:pPr>
      <w:r>
        <w:rPr>
          <w:rFonts w:hint="eastAsia"/>
        </w:rPr>
        <w:t>出现下列情形之一的，采购人或者采购代理机构应当终止竞争性磋商采购活动，发布项目终止公告并说明原因，重新开展采购活动：</w:t>
      </w:r>
    </w:p>
    <w:p>
      <w:pPr>
        <w:pStyle w:val="60"/>
        <w:ind w:firstLine="480"/>
      </w:pPr>
      <w:r>
        <w:rPr>
          <w:rFonts w:hint="eastAsia"/>
        </w:rPr>
        <w:t>因情况变化，不再符合规定的竞争性磋商采购方式适用情形的；</w:t>
      </w:r>
    </w:p>
    <w:p>
      <w:pPr>
        <w:pStyle w:val="60"/>
        <w:ind w:firstLine="480"/>
      </w:pPr>
      <w:r>
        <w:rPr>
          <w:rFonts w:hint="eastAsia"/>
        </w:rPr>
        <w:t>在采购过程中符合要求的供应商或者最后报价未超过采购预算或采购最高限价的供应商不足三家的(</w:t>
      </w:r>
      <w:r>
        <w:rPr>
          <w:rFonts w:hint="eastAsia"/>
          <w:lang w:val="zh-CN"/>
        </w:rPr>
        <w:t>市场竞争不充分的科研项目、需要扶持的科技成果转化项目</w:t>
      </w:r>
      <w:r>
        <w:rPr>
          <w:rFonts w:hint="eastAsia"/>
        </w:rPr>
        <w:t>以及政府购买服务项目可以为2家)；</w:t>
      </w:r>
    </w:p>
    <w:p>
      <w:pPr>
        <w:pStyle w:val="60"/>
        <w:ind w:firstLine="480"/>
      </w:pPr>
      <w:r>
        <w:rPr>
          <w:rFonts w:hint="eastAsia"/>
        </w:rPr>
        <w:t>出现影响采购公正的违法、违规行为的；</w:t>
      </w:r>
    </w:p>
    <w:p>
      <w:pPr>
        <w:pStyle w:val="60"/>
        <w:ind w:firstLine="480"/>
      </w:pPr>
      <w:r>
        <w:rPr>
          <w:rFonts w:hint="eastAsia"/>
        </w:rPr>
        <w:t>其他无法继续开展磋商或者无法成交的情形。</w:t>
      </w:r>
    </w:p>
    <w:p>
      <w:pPr>
        <w:pStyle w:val="44"/>
        <w:ind w:firstLine="482"/>
      </w:pPr>
      <w:r>
        <w:rPr>
          <w:rFonts w:hint="eastAsia"/>
        </w:rPr>
        <w:t>注：终止后，采购代理机构应在“四川政府采购网”公告，并公告终止的情形。对于评审过程中终止的采购项目，评审委员会应当对磋商文件是否存在倾向性和歧视性、是否存在不合理条款进行论证，并出具书面论证意见。</w:t>
      </w:r>
    </w:p>
    <w:p>
      <w:pPr>
        <w:pStyle w:val="46"/>
        <w:ind w:firstLine="482"/>
      </w:pPr>
      <w:bookmarkStart w:id="458" w:name="_Toc31944"/>
      <w:bookmarkStart w:id="459" w:name="_Toc18894"/>
      <w:bookmarkStart w:id="460" w:name="_Toc28023"/>
      <w:r>
        <w:rPr>
          <w:rFonts w:hint="eastAsia"/>
        </w:rPr>
        <w:t>报价</w:t>
      </w:r>
      <w:bookmarkEnd w:id="458"/>
      <w:bookmarkEnd w:id="459"/>
      <w:bookmarkEnd w:id="460"/>
    </w:p>
    <w:p>
      <w:pPr>
        <w:pStyle w:val="60"/>
        <w:ind w:firstLine="480"/>
      </w:pPr>
      <w:r>
        <w:rPr>
          <w:rFonts w:hint="eastAsia"/>
        </w:rPr>
        <w:t>磋商结束后，磋商小组应当要求所有实质性响应的供应商在规定时间内提交最后报价，提交最后报价的供应商不得少于3家。已提交响应文件的供应商，在提交最后报价之前，可以根据磋商情况退出磋商。</w:t>
      </w:r>
    </w:p>
    <w:p>
      <w:pPr>
        <w:pStyle w:val="60"/>
        <w:ind w:firstLine="480"/>
      </w:pPr>
      <w:r>
        <w:rPr>
          <w:rFonts w:hint="eastAsia"/>
        </w:rPr>
        <w:t>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60"/>
        <w:ind w:firstLine="480"/>
      </w:pPr>
      <w:r>
        <w:rPr>
          <w:rFonts w:hint="eastAsia"/>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60"/>
        <w:ind w:firstLine="480"/>
      </w:pPr>
      <w:r>
        <w:rPr>
          <w:rFonts w:hint="eastAsia"/>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60"/>
        <w:ind w:firstLine="480"/>
      </w:pPr>
      <w:r>
        <w:rPr>
          <w:rFonts w:hint="eastAsia"/>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60"/>
        <w:ind w:firstLine="480"/>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p>
    <w:p>
      <w:pPr>
        <w:pStyle w:val="43"/>
      </w:pPr>
      <w:r>
        <w:rPr>
          <w:rFonts w:hint="eastAsia"/>
        </w:rPr>
        <w:t>总价金额与按单价汇总金额不一致的，以单价金额计算结果为准，但单价或者单价汇总金额存在数字或者文字错误的，应当先对数字或者文字错误进行澄清、说明或者更正，再行修正；</w:t>
      </w:r>
    </w:p>
    <w:p>
      <w:pPr>
        <w:pStyle w:val="43"/>
      </w:pPr>
      <w:r>
        <w:rPr>
          <w:rFonts w:hint="eastAsia"/>
        </w:rPr>
        <w:t>单价金额小数点或者百分比有明显错位的，以总价为准，修正单价。</w:t>
      </w:r>
    </w:p>
    <w:p>
      <w:pPr>
        <w:pStyle w:val="43"/>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6"/>
        <w:ind w:firstLine="482"/>
      </w:pPr>
      <w:bookmarkStart w:id="461" w:name="_Toc15048"/>
      <w:bookmarkStart w:id="462" w:name="_Toc5417"/>
      <w:bookmarkStart w:id="463" w:name="_Toc15902"/>
      <w:r>
        <w:rPr>
          <w:rFonts w:hint="eastAsia"/>
        </w:rPr>
        <w:t>评审方法</w:t>
      </w:r>
      <w:bookmarkEnd w:id="461"/>
      <w:bookmarkEnd w:id="462"/>
      <w:bookmarkEnd w:id="463"/>
    </w:p>
    <w:p>
      <w:pPr>
        <w:pStyle w:val="43"/>
      </w:pPr>
      <w:r>
        <w:rPr>
          <w:rFonts w:hint="eastAsia"/>
        </w:rPr>
        <w:t>本项目采用综合评分法</w:t>
      </w:r>
    </w:p>
    <w:p>
      <w:pPr>
        <w:pStyle w:val="60"/>
        <w:ind w:firstLine="480"/>
      </w:pPr>
      <w:r>
        <w:rPr>
          <w:rFonts w:hint="eastAsia"/>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60"/>
        <w:ind w:firstLine="480"/>
      </w:pPr>
      <w:r>
        <w:rPr>
          <w:rFonts w:hint="eastAsia"/>
        </w:rPr>
        <w:t>在评审过程中，响应文件有下列情况之一，评审委员会成员应当按照磋商文件规定的非实质性偏离进行扣分：</w:t>
      </w:r>
    </w:p>
    <w:p>
      <w:pPr>
        <w:pStyle w:val="61"/>
        <w:ind w:firstLine="480"/>
      </w:pPr>
      <w:r>
        <w:rPr>
          <w:rFonts w:hint="eastAsia"/>
        </w:rPr>
        <w:t>文字表述的内容含义不明确，或者同类问题表述不一致，或者有明显文字和计算错误，或者提供的技术信息和数据资料不完整，供应商拒绝澄清或在规定的时间内没有进行澄清、说明或补正或澄清、说明、补正的内容也不能说明问题的；</w:t>
      </w:r>
    </w:p>
    <w:p>
      <w:pPr>
        <w:pStyle w:val="61"/>
        <w:ind w:firstLine="480"/>
      </w:pPr>
      <w:r>
        <w:rPr>
          <w:rFonts w:hint="eastAsia"/>
        </w:rPr>
        <w:t>响应文件制作不规范，响应不全面，格式不规范，内容不整齐；</w:t>
      </w:r>
    </w:p>
    <w:p>
      <w:pPr>
        <w:pStyle w:val="61"/>
        <w:ind w:firstLine="480"/>
      </w:pPr>
      <w:r>
        <w:rPr>
          <w:rFonts w:hint="eastAsia"/>
        </w:rPr>
        <w:t>认定的其他非实质性偏离；</w:t>
      </w:r>
    </w:p>
    <w:p>
      <w:pPr>
        <w:pStyle w:val="46"/>
        <w:ind w:firstLine="482"/>
      </w:pPr>
      <w:bookmarkStart w:id="464" w:name="_Toc12029"/>
      <w:bookmarkStart w:id="465" w:name="_Toc9637"/>
      <w:bookmarkStart w:id="466" w:name="_Toc29323"/>
      <w:r>
        <w:rPr>
          <w:rFonts w:hint="eastAsia"/>
        </w:rPr>
        <w:t>评审标准</w:t>
      </w:r>
      <w:bookmarkEnd w:id="464"/>
      <w:bookmarkEnd w:id="465"/>
      <w:bookmarkEnd w:id="466"/>
    </w:p>
    <w:tbl>
      <w:tblPr>
        <w:tblStyle w:val="20"/>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120"/>
        <w:gridCol w:w="760"/>
        <w:gridCol w:w="6399"/>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605" w:type="dxa"/>
            <w:vAlign w:val="center"/>
          </w:tcPr>
          <w:p>
            <w:pPr>
              <w:pStyle w:val="42"/>
              <w:rPr>
                <w:rFonts w:hint="eastAsia" w:ascii="宋体" w:hAnsi="宋体" w:eastAsia="宋体" w:cs="宋体"/>
                <w:sz w:val="21"/>
                <w:szCs w:val="21"/>
              </w:rPr>
            </w:pPr>
            <w:bookmarkStart w:id="467" w:name="_Toc10537"/>
            <w:r>
              <w:rPr>
                <w:rFonts w:hint="eastAsia" w:ascii="宋体" w:hAnsi="宋体" w:eastAsia="宋体" w:cs="宋体"/>
                <w:sz w:val="21"/>
                <w:szCs w:val="21"/>
              </w:rPr>
              <w:t>序号</w:t>
            </w:r>
          </w:p>
        </w:tc>
        <w:tc>
          <w:tcPr>
            <w:tcW w:w="1120"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评分因素</w:t>
            </w:r>
          </w:p>
          <w:p>
            <w:pPr>
              <w:pStyle w:val="42"/>
              <w:rPr>
                <w:rFonts w:hint="eastAsia" w:ascii="宋体" w:hAnsi="宋体" w:eastAsia="宋体" w:cs="宋体"/>
                <w:sz w:val="21"/>
                <w:szCs w:val="21"/>
              </w:rPr>
            </w:pPr>
            <w:r>
              <w:rPr>
                <w:rFonts w:hint="eastAsia" w:ascii="宋体" w:hAnsi="宋体" w:eastAsia="宋体" w:cs="宋体"/>
                <w:sz w:val="21"/>
                <w:szCs w:val="21"/>
              </w:rPr>
              <w:t>及权重</w:t>
            </w:r>
          </w:p>
        </w:tc>
        <w:tc>
          <w:tcPr>
            <w:tcW w:w="760"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分值</w:t>
            </w:r>
          </w:p>
        </w:tc>
        <w:tc>
          <w:tcPr>
            <w:tcW w:w="6399"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评分标准</w:t>
            </w:r>
          </w:p>
        </w:tc>
        <w:tc>
          <w:tcPr>
            <w:tcW w:w="1072"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5"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一</w:t>
            </w:r>
          </w:p>
        </w:tc>
        <w:tc>
          <w:tcPr>
            <w:tcW w:w="1120"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报价10%</w:t>
            </w:r>
          </w:p>
        </w:tc>
        <w:tc>
          <w:tcPr>
            <w:tcW w:w="760"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10分</w:t>
            </w:r>
          </w:p>
        </w:tc>
        <w:tc>
          <w:tcPr>
            <w:tcW w:w="6399" w:type="dxa"/>
            <w:vAlign w:val="center"/>
          </w:tcPr>
          <w:p>
            <w:pPr>
              <w:pStyle w:val="39"/>
              <w:ind w:left="0" w:leftChars="0"/>
              <w:jc w:val="both"/>
              <w:rPr>
                <w:rFonts w:hint="eastAsia" w:ascii="宋体" w:hAnsi="宋体" w:eastAsia="宋体" w:cs="宋体"/>
                <w:sz w:val="21"/>
                <w:szCs w:val="21"/>
              </w:rPr>
            </w:pPr>
            <w:r>
              <w:rPr>
                <w:rFonts w:hint="eastAsia" w:ascii="宋体" w:hAnsi="宋体" w:eastAsia="宋体" w:cs="宋体"/>
                <w:sz w:val="21"/>
                <w:szCs w:val="21"/>
              </w:rPr>
              <w:t>满足磋商文件要求且最后报价最低的供应商的价格为磋商基准价，其价格分为满分。其他供应商的价格分统一按照下列公式计算：</w:t>
            </w:r>
          </w:p>
          <w:p>
            <w:pPr>
              <w:pStyle w:val="39"/>
              <w:ind w:left="0" w:leftChars="0"/>
              <w:jc w:val="both"/>
              <w:rPr>
                <w:rFonts w:hint="eastAsia" w:ascii="宋体" w:hAnsi="宋体" w:eastAsia="宋体" w:cs="宋体"/>
                <w:sz w:val="21"/>
                <w:szCs w:val="21"/>
              </w:rPr>
            </w:pPr>
            <w:r>
              <w:rPr>
                <w:rFonts w:hint="eastAsia" w:ascii="宋体" w:hAnsi="宋体" w:eastAsia="宋体" w:cs="宋体"/>
                <w:sz w:val="21"/>
                <w:szCs w:val="21"/>
              </w:rPr>
              <w:t>磋商报价得分=(磋商基准价/最后磋商报价)×10%×100；</w:t>
            </w:r>
          </w:p>
          <w:p>
            <w:pPr>
              <w:pStyle w:val="39"/>
              <w:ind w:left="0" w:left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注：1.项目评审过程中，不得去掉最后报价中的最高报价和最低报价。</w:t>
            </w:r>
          </w:p>
          <w:p>
            <w:pPr>
              <w:pStyle w:val="39"/>
              <w:ind w:left="0" w:left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2.因落实政府采购政策进行价格调整的，以调整后的价格计算磋商基准价和最后报价。</w:t>
            </w:r>
          </w:p>
          <w:p>
            <w:pPr>
              <w:pStyle w:val="39"/>
              <w:ind w:left="0" w:leftChars="0"/>
              <w:jc w:val="both"/>
              <w:rPr>
                <w:rFonts w:hint="eastAsia" w:ascii="宋体" w:hAnsi="宋体" w:eastAsia="宋体" w:cs="宋体"/>
                <w:b/>
                <w:bCs/>
                <w:sz w:val="21"/>
                <w:szCs w:val="21"/>
              </w:rPr>
            </w:pPr>
            <w:r>
              <w:rPr>
                <w:rFonts w:hint="eastAsia" w:ascii="宋体" w:hAnsi="宋体" w:eastAsia="宋体" w:cs="宋体"/>
                <w:b/>
                <w:bCs/>
                <w:sz w:val="21"/>
                <w:szCs w:val="21"/>
                <w:lang w:val="en-US" w:eastAsia="zh-CN"/>
              </w:rPr>
              <w:t>3.小微企业(残疾人福利性单位、监狱企业视同小微企业)价格扣除政策按照磋商须知表的相关要求执行。</w:t>
            </w:r>
          </w:p>
        </w:tc>
        <w:tc>
          <w:tcPr>
            <w:tcW w:w="1072"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5"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二</w:t>
            </w:r>
          </w:p>
        </w:tc>
        <w:tc>
          <w:tcPr>
            <w:tcW w:w="1120"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服务方案</w:t>
            </w:r>
            <w:r>
              <w:rPr>
                <w:rFonts w:hint="eastAsia" w:cs="宋体"/>
                <w:sz w:val="21"/>
                <w:szCs w:val="21"/>
                <w:lang w:val="en-US" w:eastAsia="zh-CN"/>
              </w:rPr>
              <w:t>46</w:t>
            </w:r>
            <w:r>
              <w:rPr>
                <w:rFonts w:hint="eastAsia" w:ascii="宋体" w:hAnsi="宋体" w:eastAsia="宋体" w:cs="宋体"/>
                <w:sz w:val="21"/>
                <w:szCs w:val="21"/>
              </w:rPr>
              <w:t>%</w:t>
            </w:r>
          </w:p>
        </w:tc>
        <w:tc>
          <w:tcPr>
            <w:tcW w:w="760" w:type="dxa"/>
            <w:vAlign w:val="center"/>
          </w:tcPr>
          <w:p>
            <w:pPr>
              <w:pStyle w:val="42"/>
              <w:rPr>
                <w:rFonts w:hint="eastAsia" w:ascii="宋体" w:hAnsi="宋体" w:eastAsia="宋体" w:cs="宋体"/>
                <w:sz w:val="21"/>
                <w:szCs w:val="21"/>
              </w:rPr>
            </w:pPr>
            <w:r>
              <w:rPr>
                <w:rFonts w:hint="eastAsia" w:cs="宋体"/>
                <w:sz w:val="21"/>
                <w:szCs w:val="21"/>
                <w:lang w:val="en-US" w:eastAsia="zh-CN"/>
              </w:rPr>
              <w:t>46</w:t>
            </w:r>
            <w:r>
              <w:rPr>
                <w:rFonts w:hint="eastAsia" w:ascii="宋体" w:hAnsi="宋体" w:eastAsia="宋体" w:cs="宋体"/>
                <w:sz w:val="21"/>
                <w:szCs w:val="21"/>
              </w:rPr>
              <w:t>分</w:t>
            </w:r>
          </w:p>
        </w:tc>
        <w:tc>
          <w:tcPr>
            <w:tcW w:w="6399" w:type="dxa"/>
            <w:vAlign w:val="center"/>
          </w:tcPr>
          <w:p>
            <w:pPr>
              <w:keepLines/>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1.针对供应商提供的针对本项目背景认识进行综合评审，包含但不限于①项目背景②对象识别、③现状分析④先进地区老旧小区改造案例解读等，以上四项每有一项内容齐全，条理结构清晰，准确响应项目要求得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分；每有一项缺项的该项不得分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每有一处内容错误或不足的得1分(内容错误是指项目情况、政策规范、标准与本项目要求不一致；成功案例、改造方向与不适用于本项目)，满分</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分。</w:t>
            </w:r>
          </w:p>
          <w:p>
            <w:pPr>
              <w:pStyle w:val="39"/>
              <w:ind w:left="0" w:leftChars="0"/>
              <w:jc w:val="both"/>
              <w:rPr>
                <w:rFonts w:hint="eastAsia" w:ascii="宋体" w:hAnsi="宋体" w:eastAsia="宋体" w:cs="宋体"/>
                <w:color w:val="auto"/>
                <w:sz w:val="21"/>
                <w:szCs w:val="21"/>
                <w:lang w:bidi="ar"/>
              </w:rPr>
            </w:pPr>
            <w:r>
              <w:rPr>
                <w:rFonts w:hint="eastAsia" w:ascii="宋体" w:hAnsi="宋体" w:eastAsia="宋体" w:cs="宋体"/>
                <w:color w:val="auto"/>
                <w:sz w:val="21"/>
                <w:szCs w:val="21"/>
              </w:rPr>
              <w:t>2.针对供应商提供的针对本项目初步方案的规划思路进行综合评审，</w:t>
            </w:r>
            <w:r>
              <w:rPr>
                <w:rFonts w:hint="eastAsia" w:ascii="宋体" w:hAnsi="宋体" w:eastAsia="宋体" w:cs="宋体"/>
                <w:color w:val="auto"/>
                <w:sz w:val="21"/>
                <w:szCs w:val="21"/>
                <w:lang w:bidi="ar"/>
              </w:rPr>
              <w:t>包含但不限于①目标和总体思路②规划布局③改造单元规划④老旧小区规划以上四项每有一项规划思路内容齐全，条理结构清晰，准确响应项目要求得</w:t>
            </w:r>
            <w:r>
              <w:rPr>
                <w:rFonts w:hint="eastAsia" w:cs="宋体"/>
                <w:color w:val="auto"/>
                <w:sz w:val="21"/>
                <w:szCs w:val="21"/>
                <w:lang w:val="en-US" w:eastAsia="zh-CN" w:bidi="ar"/>
              </w:rPr>
              <w:t>4</w:t>
            </w:r>
            <w:r>
              <w:rPr>
                <w:rFonts w:hint="eastAsia" w:ascii="宋体" w:hAnsi="宋体" w:eastAsia="宋体" w:cs="宋体"/>
                <w:color w:val="auto"/>
                <w:sz w:val="21"/>
                <w:szCs w:val="21"/>
                <w:lang w:bidi="ar"/>
              </w:rPr>
              <w:t>分；每有一项缺项的该项不得分，每有一处内容错误或不足的得</w:t>
            </w:r>
            <w:r>
              <w:rPr>
                <w:rFonts w:hint="eastAsia" w:cs="宋体"/>
                <w:color w:val="auto"/>
                <w:sz w:val="21"/>
                <w:szCs w:val="21"/>
                <w:lang w:val="en-US" w:eastAsia="zh-CN" w:bidi="ar"/>
              </w:rPr>
              <w:t>2</w:t>
            </w:r>
            <w:r>
              <w:rPr>
                <w:rFonts w:hint="eastAsia" w:ascii="宋体" w:hAnsi="宋体" w:eastAsia="宋体" w:cs="宋体"/>
                <w:color w:val="auto"/>
                <w:sz w:val="21"/>
                <w:szCs w:val="21"/>
                <w:lang w:bidi="ar"/>
              </w:rPr>
              <w:t>分(内容错误是指规划方案不全面、内容不详实、政策有误；建议不适用于本项目)，满分</w:t>
            </w:r>
            <w:r>
              <w:rPr>
                <w:rFonts w:hint="eastAsia" w:cs="宋体"/>
                <w:color w:val="auto"/>
                <w:sz w:val="21"/>
                <w:szCs w:val="21"/>
                <w:lang w:val="en-US" w:eastAsia="zh-CN" w:bidi="ar"/>
              </w:rPr>
              <w:t>16</w:t>
            </w:r>
            <w:r>
              <w:rPr>
                <w:rFonts w:hint="eastAsia" w:ascii="宋体" w:hAnsi="宋体" w:eastAsia="宋体" w:cs="宋体"/>
                <w:color w:val="auto"/>
                <w:sz w:val="21"/>
                <w:szCs w:val="21"/>
                <w:lang w:bidi="ar"/>
              </w:rPr>
              <w:t>分。</w:t>
            </w:r>
          </w:p>
          <w:p>
            <w:pPr>
              <w:pStyle w:val="39"/>
              <w:ind w:left="0" w:leftChar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bidi="ar"/>
              </w:rPr>
              <w:t>3.</w:t>
            </w:r>
            <w:r>
              <w:rPr>
                <w:rFonts w:hint="eastAsia" w:ascii="宋体" w:hAnsi="宋体" w:eastAsia="宋体" w:cs="宋体"/>
                <w:color w:val="auto"/>
                <w:sz w:val="21"/>
                <w:szCs w:val="21"/>
              </w:rPr>
              <w:t>针对供应商提供的针对本项目的进度保障措施进行综合评审，包含但不限于①组织实施方案、②实施机制、③资金保障</w:t>
            </w:r>
            <w:r>
              <w:rPr>
                <w:rFonts w:hint="eastAsia" w:ascii="宋体" w:hAnsi="宋体" w:eastAsia="宋体" w:cs="宋体"/>
                <w:color w:val="auto"/>
                <w:sz w:val="21"/>
                <w:szCs w:val="21"/>
                <w:lang w:val="zh-CN"/>
              </w:rPr>
              <w:t>等内容，以上</w:t>
            </w:r>
            <w:r>
              <w:rPr>
                <w:rFonts w:hint="eastAsia" w:ascii="宋体" w:hAnsi="宋体" w:eastAsia="宋体" w:cs="宋体"/>
                <w:color w:val="auto"/>
                <w:sz w:val="21"/>
                <w:szCs w:val="21"/>
              </w:rPr>
              <w:t>三</w:t>
            </w:r>
            <w:r>
              <w:rPr>
                <w:rFonts w:hint="eastAsia" w:ascii="宋体" w:hAnsi="宋体" w:eastAsia="宋体" w:cs="宋体"/>
                <w:color w:val="auto"/>
                <w:sz w:val="21"/>
                <w:szCs w:val="21"/>
                <w:lang w:val="zh-CN"/>
              </w:rPr>
              <w:t>项每有一项内容齐全，条理结构清晰，准确响应项目要求得</w:t>
            </w:r>
            <w:r>
              <w:rPr>
                <w:rFonts w:hint="eastAsia" w:cs="宋体"/>
                <w:color w:val="auto"/>
                <w:sz w:val="21"/>
                <w:szCs w:val="21"/>
                <w:lang w:val="en-US" w:eastAsia="zh-CN"/>
              </w:rPr>
              <w:t>4</w:t>
            </w:r>
            <w:r>
              <w:rPr>
                <w:rFonts w:hint="eastAsia" w:ascii="宋体" w:hAnsi="宋体" w:eastAsia="宋体" w:cs="宋体"/>
                <w:color w:val="auto"/>
                <w:sz w:val="21"/>
                <w:szCs w:val="21"/>
                <w:lang w:val="zh-CN"/>
              </w:rPr>
              <w:t>分；每有一项缺项的该项不得分，每有一处内容错误或不足的得</w:t>
            </w:r>
            <w:r>
              <w:rPr>
                <w:rFonts w:hint="eastAsia" w:cs="宋体"/>
                <w:color w:val="auto"/>
                <w:sz w:val="21"/>
                <w:szCs w:val="21"/>
                <w:lang w:val="en-US" w:eastAsia="zh-CN"/>
              </w:rPr>
              <w:t>2</w:t>
            </w:r>
            <w:r>
              <w:rPr>
                <w:rFonts w:hint="eastAsia" w:ascii="宋体" w:hAnsi="宋体" w:eastAsia="宋体" w:cs="宋体"/>
                <w:color w:val="auto"/>
                <w:sz w:val="21"/>
                <w:szCs w:val="21"/>
                <w:lang w:val="zh-CN"/>
              </w:rPr>
              <w:t>分(内容错误是指方案</w:t>
            </w:r>
            <w:r>
              <w:rPr>
                <w:rFonts w:hint="eastAsia" w:ascii="宋体" w:hAnsi="宋体" w:eastAsia="宋体" w:cs="宋体"/>
                <w:color w:val="auto"/>
                <w:sz w:val="21"/>
                <w:szCs w:val="21"/>
              </w:rPr>
              <w:t>理念、实施方式、服务内容</w:t>
            </w:r>
            <w:r>
              <w:rPr>
                <w:rFonts w:hint="eastAsia" w:ascii="宋体" w:hAnsi="宋体" w:eastAsia="宋体" w:cs="宋体"/>
                <w:color w:val="auto"/>
                <w:sz w:val="21"/>
                <w:szCs w:val="21"/>
                <w:lang w:val="zh-CN"/>
              </w:rPr>
              <w:t>不适用于本项目)，满分</w:t>
            </w:r>
            <w:r>
              <w:rPr>
                <w:rFonts w:hint="eastAsia" w:cs="宋体"/>
                <w:color w:val="auto"/>
                <w:sz w:val="21"/>
                <w:szCs w:val="21"/>
                <w:lang w:val="en-US" w:eastAsia="zh-CN"/>
              </w:rPr>
              <w:t>12</w:t>
            </w:r>
            <w:r>
              <w:rPr>
                <w:rFonts w:hint="eastAsia" w:ascii="宋体" w:hAnsi="宋体" w:eastAsia="宋体" w:cs="宋体"/>
                <w:color w:val="auto"/>
                <w:sz w:val="21"/>
                <w:szCs w:val="21"/>
                <w:lang w:val="zh-CN"/>
              </w:rPr>
              <w:t>分。</w:t>
            </w:r>
          </w:p>
          <w:p>
            <w:pPr>
              <w:pStyle w:val="2"/>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4.供应商每提供一个有利于本项目实施的建议或措施或承诺且经评审小组认可的得</w:t>
            </w:r>
            <w:r>
              <w:rPr>
                <w:rFonts w:hint="eastAsia" w:cs="宋体"/>
                <w:color w:val="auto"/>
                <w:sz w:val="21"/>
                <w:szCs w:val="21"/>
                <w:lang w:val="en-US" w:eastAsia="zh-CN"/>
              </w:rPr>
              <w:t>2</w:t>
            </w:r>
            <w:r>
              <w:rPr>
                <w:rFonts w:hint="eastAsia" w:ascii="宋体" w:hAnsi="宋体" w:eastAsia="宋体" w:cs="宋体"/>
                <w:color w:val="auto"/>
                <w:sz w:val="21"/>
                <w:szCs w:val="21"/>
              </w:rPr>
              <w:t>分；本项最多得</w:t>
            </w:r>
            <w:r>
              <w:rPr>
                <w:rFonts w:hint="eastAsia" w:cs="宋体"/>
                <w:color w:val="auto"/>
                <w:sz w:val="21"/>
                <w:szCs w:val="21"/>
                <w:lang w:val="en-US" w:eastAsia="zh-CN"/>
              </w:rPr>
              <w:t>6</w:t>
            </w:r>
            <w:r>
              <w:rPr>
                <w:rFonts w:hint="eastAsia" w:ascii="宋体" w:hAnsi="宋体" w:eastAsia="宋体" w:cs="宋体"/>
                <w:color w:val="auto"/>
                <w:sz w:val="21"/>
                <w:szCs w:val="21"/>
              </w:rPr>
              <w:t>分。</w:t>
            </w:r>
          </w:p>
          <w:p>
            <w:pPr>
              <w:pStyle w:val="39"/>
              <w:ind w:left="0" w:leftChars="0"/>
              <w:jc w:val="both"/>
              <w:rPr>
                <w:rFonts w:hint="eastAsia" w:ascii="宋体" w:hAnsi="宋体" w:eastAsia="宋体" w:cs="宋体"/>
                <w:color w:val="auto"/>
                <w:sz w:val="21"/>
                <w:szCs w:val="21"/>
              </w:rPr>
            </w:pPr>
            <w:r>
              <w:rPr>
                <w:rFonts w:hint="eastAsia" w:ascii="宋体" w:hAnsi="宋体" w:eastAsia="宋体" w:cs="宋体"/>
                <w:b/>
                <w:bCs/>
                <w:color w:val="auto"/>
                <w:sz w:val="21"/>
                <w:szCs w:val="21"/>
              </w:rPr>
              <w:t>注：提供承诺函原件加盖供应商公章，不提供的不得分；以评审专家结合项目实际情况和响应文件独立评审为准。</w:t>
            </w:r>
          </w:p>
        </w:tc>
        <w:tc>
          <w:tcPr>
            <w:tcW w:w="1072" w:type="dxa"/>
            <w:vAlign w:val="center"/>
          </w:tcPr>
          <w:p>
            <w:pPr>
              <w:pStyle w:val="42"/>
              <w:rPr>
                <w:rFonts w:hint="eastAsia" w:ascii="宋体" w:hAnsi="宋体" w:eastAsia="宋体" w:cs="宋体"/>
                <w:sz w:val="21"/>
                <w:szCs w:val="21"/>
              </w:rPr>
            </w:pPr>
            <w:r>
              <w:rPr>
                <w:rFonts w:hint="eastAsia" w:ascii="宋体" w:hAnsi="宋体" w:eastAsia="宋体"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42"/>
              <w:rPr>
                <w:rFonts w:hint="eastAsia" w:ascii="宋体" w:hAnsi="宋体" w:eastAsia="宋体" w:cs="宋体"/>
                <w:sz w:val="21"/>
                <w:szCs w:val="21"/>
              </w:rPr>
            </w:pPr>
            <w:r>
              <w:rPr>
                <w:rFonts w:hint="eastAsia" w:ascii="宋体" w:hAnsi="宋体" w:eastAsia="宋体" w:cs="宋体"/>
                <w:sz w:val="21"/>
                <w:szCs w:val="21"/>
              </w:rPr>
              <w:t>三</w:t>
            </w:r>
          </w:p>
        </w:tc>
        <w:tc>
          <w:tcPr>
            <w:tcW w:w="1120" w:type="dxa"/>
            <w:tcBorders>
              <w:top w:val="single" w:color="auto" w:sz="4" w:space="0"/>
              <w:left w:val="single" w:color="auto" w:sz="4" w:space="0"/>
              <w:bottom w:val="single" w:color="auto" w:sz="4" w:space="0"/>
              <w:right w:val="single" w:color="auto" w:sz="4" w:space="0"/>
            </w:tcBorders>
            <w:vAlign w:val="center"/>
          </w:tcPr>
          <w:p>
            <w:pPr>
              <w:pStyle w:val="42"/>
              <w:rPr>
                <w:rFonts w:hint="eastAsia" w:ascii="宋体" w:hAnsi="宋体" w:eastAsia="宋体" w:cs="宋体"/>
                <w:sz w:val="21"/>
                <w:szCs w:val="21"/>
              </w:rPr>
            </w:pPr>
            <w:r>
              <w:rPr>
                <w:rFonts w:hint="eastAsia" w:ascii="宋体" w:hAnsi="宋体" w:eastAsia="宋体" w:cs="宋体"/>
                <w:sz w:val="21"/>
                <w:szCs w:val="21"/>
              </w:rPr>
              <w:t>项目团队</w:t>
            </w:r>
          </w:p>
          <w:p>
            <w:pPr>
              <w:pStyle w:val="42"/>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6</w:t>
            </w:r>
            <w:r>
              <w:rPr>
                <w:rFonts w:hint="eastAsia" w:ascii="宋体" w:hAnsi="宋体" w:eastAsia="宋体" w:cs="宋体"/>
                <w:sz w:val="21"/>
                <w:szCs w:val="21"/>
              </w:rPr>
              <w:t>%</w:t>
            </w:r>
          </w:p>
        </w:tc>
        <w:tc>
          <w:tcPr>
            <w:tcW w:w="760" w:type="dxa"/>
            <w:tcBorders>
              <w:top w:val="single" w:color="auto" w:sz="4" w:space="0"/>
              <w:left w:val="single" w:color="auto" w:sz="4" w:space="0"/>
              <w:bottom w:val="single" w:color="auto" w:sz="4" w:space="0"/>
              <w:right w:val="single" w:color="auto" w:sz="4" w:space="0"/>
            </w:tcBorders>
            <w:vAlign w:val="center"/>
          </w:tcPr>
          <w:p>
            <w:pPr>
              <w:pStyle w:val="42"/>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6</w:t>
            </w:r>
            <w:r>
              <w:rPr>
                <w:rFonts w:hint="eastAsia" w:ascii="宋体" w:hAnsi="宋体" w:eastAsia="宋体" w:cs="宋体"/>
                <w:sz w:val="21"/>
                <w:szCs w:val="21"/>
              </w:rPr>
              <w:t>分</w:t>
            </w:r>
          </w:p>
        </w:tc>
        <w:tc>
          <w:tcPr>
            <w:tcW w:w="639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1.项目负责人：</w:t>
            </w:r>
            <w:r>
              <w:rPr>
                <w:rFonts w:hint="eastAsia" w:cs="宋体"/>
                <w:sz w:val="21"/>
                <w:szCs w:val="21"/>
              </w:rPr>
              <w:t>具有</w:t>
            </w:r>
            <w:r>
              <w:rPr>
                <w:rFonts w:cs="宋体"/>
                <w:sz w:val="21"/>
                <w:szCs w:val="21"/>
              </w:rPr>
              <w:t>注册城市</w:t>
            </w:r>
            <w:r>
              <w:rPr>
                <w:rFonts w:hint="eastAsia" w:ascii="宋体" w:hAnsi="宋体" w:eastAsia="宋体" w:cs="宋体"/>
                <w:sz w:val="21"/>
                <w:szCs w:val="21"/>
                <w:lang w:eastAsia="zh-CN"/>
              </w:rPr>
              <w:t>(</w:t>
            </w:r>
            <w:r>
              <w:rPr>
                <w:rFonts w:hint="eastAsia" w:ascii="宋体" w:hAnsi="宋体" w:eastAsia="宋体" w:cs="宋体"/>
                <w:sz w:val="21"/>
                <w:szCs w:val="21"/>
              </w:rPr>
              <w:t>或城乡</w:t>
            </w:r>
            <w:r>
              <w:rPr>
                <w:rFonts w:hint="eastAsia" w:ascii="宋体" w:hAnsi="宋体" w:eastAsia="宋体" w:cs="宋体"/>
                <w:sz w:val="21"/>
                <w:szCs w:val="21"/>
                <w:lang w:eastAsia="zh-CN"/>
              </w:rPr>
              <w:t>)</w:t>
            </w:r>
            <w:r>
              <w:rPr>
                <w:rFonts w:cs="宋体"/>
                <w:sz w:val="21"/>
                <w:szCs w:val="21"/>
              </w:rPr>
              <w:t>规划师证书</w:t>
            </w:r>
            <w:r>
              <w:rPr>
                <w:rFonts w:hint="eastAsia" w:cs="宋体"/>
                <w:sz w:val="21"/>
                <w:szCs w:val="21"/>
                <w:lang w:val="en-US" w:eastAsia="zh-CN"/>
              </w:rPr>
              <w:t>的得2分；同时</w:t>
            </w:r>
            <w:r>
              <w:rPr>
                <w:rFonts w:hint="eastAsia" w:ascii="宋体" w:hAnsi="宋体" w:eastAsia="宋体" w:cs="宋体"/>
                <w:sz w:val="21"/>
                <w:szCs w:val="21"/>
              </w:rPr>
              <w:t>具有规划</w:t>
            </w:r>
            <w:r>
              <w:rPr>
                <w:rFonts w:hint="eastAsia" w:ascii="宋体" w:hAnsi="宋体" w:eastAsia="宋体" w:cs="宋体"/>
                <w:sz w:val="21"/>
                <w:szCs w:val="21"/>
                <w:lang w:val="en-US" w:eastAsia="zh-CN"/>
              </w:rPr>
              <w:t>类专业</w:t>
            </w:r>
            <w:r>
              <w:rPr>
                <w:rFonts w:hint="eastAsia" w:ascii="宋体" w:hAnsi="宋体" w:eastAsia="宋体" w:cs="宋体"/>
                <w:sz w:val="21"/>
                <w:szCs w:val="21"/>
              </w:rPr>
              <w:t>高级工程师</w:t>
            </w:r>
            <w:r>
              <w:rPr>
                <w:rFonts w:hint="eastAsia" w:cs="宋体"/>
                <w:sz w:val="21"/>
                <w:szCs w:val="21"/>
                <w:lang w:val="en-US" w:eastAsia="zh-CN"/>
              </w:rPr>
              <w:t>技术</w:t>
            </w:r>
            <w:r>
              <w:rPr>
                <w:rFonts w:hint="eastAsia" w:ascii="宋体" w:hAnsi="宋体" w:eastAsia="宋体" w:cs="宋体"/>
                <w:sz w:val="21"/>
                <w:szCs w:val="21"/>
              </w:rPr>
              <w:t>职称</w:t>
            </w:r>
            <w:r>
              <w:rPr>
                <w:rFonts w:hint="eastAsia" w:cs="宋体"/>
                <w:sz w:val="21"/>
                <w:szCs w:val="21"/>
                <w:lang w:val="en-US" w:eastAsia="zh-CN"/>
              </w:rPr>
              <w:t>的加2分；同时具有</w:t>
            </w:r>
            <w:r>
              <w:rPr>
                <w:rFonts w:hint="eastAsia" w:cs="宋体"/>
                <w:sz w:val="21"/>
                <w:szCs w:val="21"/>
              </w:rPr>
              <w:t>规划</w:t>
            </w:r>
            <w:r>
              <w:rPr>
                <w:rFonts w:hint="eastAsia" w:cs="宋体"/>
                <w:sz w:val="21"/>
                <w:szCs w:val="21"/>
                <w:lang w:val="en-US" w:eastAsia="zh-CN"/>
              </w:rPr>
              <w:t>类专业</w:t>
            </w:r>
            <w:r>
              <w:rPr>
                <w:rFonts w:hint="eastAsia" w:cs="宋体"/>
                <w:sz w:val="21"/>
                <w:szCs w:val="21"/>
              </w:rPr>
              <w:t>教授级高级工程师</w:t>
            </w:r>
            <w:r>
              <w:rPr>
                <w:rFonts w:hint="eastAsia" w:cs="宋体"/>
                <w:sz w:val="21"/>
                <w:szCs w:val="21"/>
                <w:lang w:val="en-US" w:eastAsia="zh-CN"/>
              </w:rPr>
              <w:t>技术</w:t>
            </w:r>
            <w:r>
              <w:rPr>
                <w:rFonts w:hint="eastAsia" w:ascii="宋体" w:hAnsi="宋体" w:eastAsia="宋体" w:cs="宋体"/>
                <w:sz w:val="21"/>
                <w:szCs w:val="21"/>
              </w:rPr>
              <w:t>职称</w:t>
            </w:r>
            <w:r>
              <w:rPr>
                <w:rFonts w:hint="eastAsia" w:cs="宋体"/>
                <w:sz w:val="21"/>
                <w:szCs w:val="21"/>
                <w:lang w:val="en-US" w:eastAsia="zh-CN"/>
              </w:rPr>
              <w:t>的加4分；本项满分6分</w:t>
            </w:r>
            <w:r>
              <w:rPr>
                <w:rFonts w:hint="eastAsia" w:ascii="宋体" w:hAnsi="宋体" w:eastAsia="宋体" w:cs="宋体"/>
                <w:sz w:val="21"/>
                <w:szCs w:val="21"/>
              </w:rPr>
              <w:t>。</w:t>
            </w:r>
          </w:p>
          <w:p>
            <w:pPr>
              <w:spacing w:line="360" w:lineRule="exact"/>
              <w:rPr>
                <w:rFonts w:hint="eastAsia" w:ascii="宋体" w:hAnsi="宋体" w:eastAsia="宋体" w:cs="宋体"/>
                <w:sz w:val="21"/>
                <w:szCs w:val="21"/>
              </w:rPr>
            </w:pPr>
            <w:r>
              <w:rPr>
                <w:rFonts w:hint="eastAsia" w:ascii="宋体" w:hAnsi="宋体" w:eastAsia="宋体" w:cs="宋体"/>
                <w:sz w:val="21"/>
                <w:szCs w:val="21"/>
              </w:rPr>
              <w:t>2.项目团队：项目组(不含项目负责人)每有一名成员具有规划类专业高级</w:t>
            </w:r>
            <w:r>
              <w:rPr>
                <w:rFonts w:hint="eastAsia" w:cs="宋体"/>
                <w:sz w:val="21"/>
                <w:szCs w:val="21"/>
                <w:lang w:val="en-US" w:eastAsia="zh-CN"/>
              </w:rPr>
              <w:t>工程师或以上技术</w:t>
            </w:r>
            <w:r>
              <w:rPr>
                <w:rFonts w:hint="eastAsia" w:ascii="宋体" w:hAnsi="宋体" w:eastAsia="宋体" w:cs="宋体"/>
                <w:sz w:val="21"/>
                <w:szCs w:val="21"/>
              </w:rPr>
              <w:t>职称或具有注册城市(或城乡)规划师证书的得2分</w:t>
            </w:r>
            <w:r>
              <w:rPr>
                <w:rFonts w:hint="eastAsia" w:cs="宋体"/>
                <w:sz w:val="21"/>
                <w:szCs w:val="21"/>
                <w:lang w:eastAsia="zh-CN"/>
              </w:rPr>
              <w:t>；</w:t>
            </w:r>
            <w:r>
              <w:rPr>
                <w:rFonts w:hint="eastAsia" w:ascii="宋体" w:hAnsi="宋体" w:eastAsia="宋体" w:cs="宋体"/>
                <w:sz w:val="21"/>
                <w:szCs w:val="21"/>
              </w:rPr>
              <w:t>具备规划类专业</w:t>
            </w:r>
            <w:r>
              <w:rPr>
                <w:rFonts w:hint="eastAsia" w:cs="宋体"/>
                <w:sz w:val="21"/>
                <w:szCs w:val="21"/>
                <w:lang w:val="en-US" w:eastAsia="zh-CN"/>
              </w:rPr>
              <w:t>工程师技术</w:t>
            </w:r>
            <w:r>
              <w:rPr>
                <w:rFonts w:hint="eastAsia" w:ascii="宋体" w:hAnsi="宋体" w:eastAsia="宋体" w:cs="宋体"/>
                <w:sz w:val="21"/>
                <w:szCs w:val="21"/>
              </w:rPr>
              <w:t>职称的得1分</w:t>
            </w:r>
            <w:r>
              <w:rPr>
                <w:rFonts w:hint="eastAsia" w:cs="宋体"/>
                <w:sz w:val="21"/>
                <w:szCs w:val="21"/>
                <w:lang w:eastAsia="zh-CN"/>
              </w:rPr>
              <w:t>；</w:t>
            </w:r>
            <w:r>
              <w:rPr>
                <w:rFonts w:hint="eastAsia" w:cs="宋体"/>
                <w:sz w:val="21"/>
                <w:szCs w:val="21"/>
                <w:lang w:val="en-US" w:eastAsia="zh-CN"/>
              </w:rPr>
              <w:t>本项</w:t>
            </w:r>
            <w:r>
              <w:rPr>
                <w:rFonts w:hint="eastAsia" w:ascii="宋体" w:hAnsi="宋体" w:eastAsia="宋体" w:cs="宋体"/>
                <w:sz w:val="21"/>
                <w:szCs w:val="21"/>
              </w:rPr>
              <w:t>满分10分。</w:t>
            </w:r>
          </w:p>
          <w:p>
            <w:pPr>
              <w:pStyle w:val="39"/>
              <w:ind w:left="0" w:leftChars="0"/>
              <w:rPr>
                <w:rFonts w:hint="eastAsia" w:ascii="宋体" w:hAnsi="宋体" w:eastAsia="宋体" w:cs="宋体"/>
                <w:sz w:val="21"/>
                <w:szCs w:val="21"/>
              </w:rPr>
            </w:pPr>
            <w:r>
              <w:rPr>
                <w:rFonts w:hint="eastAsia" w:ascii="宋体" w:hAnsi="宋体" w:eastAsia="宋体" w:cs="宋体"/>
                <w:b/>
                <w:sz w:val="21"/>
                <w:szCs w:val="21"/>
              </w:rPr>
              <w:t>注：提供相关人员证书复印件、有效的在职证明材料并加盖供应商单位公章；同一人员不重复计分，同一人员证书以得分最高的为准，否则相应得分项不得分。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rPr>
                <w:rFonts w:hint="eastAsia" w:ascii="宋体" w:hAnsi="宋体" w:eastAsia="宋体" w:cs="宋体"/>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5" w:type="dxa"/>
            <w:tcBorders>
              <w:top w:val="single" w:color="auto" w:sz="4" w:space="0"/>
              <w:left w:val="single" w:color="auto" w:sz="4" w:space="0"/>
              <w:bottom w:val="single" w:color="auto" w:sz="4" w:space="0"/>
              <w:right w:val="single" w:color="auto" w:sz="4" w:space="0"/>
            </w:tcBorders>
            <w:vAlign w:val="center"/>
          </w:tcPr>
          <w:p>
            <w:pPr>
              <w:pStyle w:val="42"/>
              <w:rPr>
                <w:rFonts w:hint="eastAsia" w:ascii="宋体" w:hAnsi="宋体" w:eastAsia="宋体" w:cs="宋体"/>
                <w:sz w:val="21"/>
                <w:szCs w:val="21"/>
              </w:rPr>
            </w:pPr>
            <w:r>
              <w:rPr>
                <w:rFonts w:hint="eastAsia" w:ascii="宋体" w:hAnsi="宋体" w:eastAsia="宋体" w:cs="宋体"/>
                <w:sz w:val="21"/>
                <w:szCs w:val="21"/>
              </w:rPr>
              <w:t>四</w:t>
            </w:r>
          </w:p>
        </w:tc>
        <w:tc>
          <w:tcPr>
            <w:tcW w:w="1120" w:type="dxa"/>
            <w:tcBorders>
              <w:top w:val="single" w:color="auto" w:sz="4" w:space="0"/>
              <w:left w:val="single" w:color="auto" w:sz="4" w:space="0"/>
              <w:bottom w:val="single" w:color="auto" w:sz="4" w:space="0"/>
              <w:right w:val="single" w:color="auto" w:sz="4" w:space="0"/>
            </w:tcBorders>
            <w:vAlign w:val="center"/>
          </w:tcPr>
          <w:p>
            <w:pPr>
              <w:pStyle w:val="42"/>
              <w:rPr>
                <w:rFonts w:hint="eastAsia" w:ascii="宋体" w:hAnsi="宋体" w:eastAsia="宋体" w:cs="宋体"/>
                <w:sz w:val="21"/>
                <w:szCs w:val="21"/>
              </w:rPr>
            </w:pPr>
            <w:r>
              <w:rPr>
                <w:rFonts w:hint="eastAsia" w:ascii="宋体" w:hAnsi="宋体" w:eastAsia="宋体" w:cs="宋体"/>
                <w:sz w:val="21"/>
                <w:szCs w:val="21"/>
              </w:rPr>
              <w:t>履约能力</w:t>
            </w:r>
          </w:p>
          <w:p>
            <w:pPr>
              <w:pStyle w:val="42"/>
              <w:rPr>
                <w:rFonts w:hint="eastAsia" w:ascii="宋体" w:hAnsi="宋体" w:eastAsia="宋体" w:cs="宋体"/>
                <w:sz w:val="21"/>
                <w:szCs w:val="21"/>
              </w:rPr>
            </w:pPr>
            <w:r>
              <w:rPr>
                <w:rFonts w:hint="eastAsia" w:cs="宋体"/>
                <w:sz w:val="21"/>
                <w:szCs w:val="21"/>
                <w:lang w:val="en-US" w:eastAsia="zh-CN"/>
              </w:rPr>
              <w:t>28</w:t>
            </w:r>
            <w:r>
              <w:rPr>
                <w:rFonts w:hint="eastAsia" w:ascii="宋体" w:hAnsi="宋体" w:eastAsia="宋体" w:cs="宋体"/>
                <w:sz w:val="21"/>
                <w:szCs w:val="21"/>
              </w:rPr>
              <w:t>%</w:t>
            </w:r>
          </w:p>
        </w:tc>
        <w:tc>
          <w:tcPr>
            <w:tcW w:w="760" w:type="dxa"/>
            <w:tcBorders>
              <w:top w:val="single" w:color="auto" w:sz="4" w:space="0"/>
              <w:left w:val="single" w:color="auto" w:sz="4" w:space="0"/>
              <w:bottom w:val="single" w:color="auto" w:sz="4" w:space="0"/>
              <w:right w:val="single" w:color="auto" w:sz="4" w:space="0"/>
            </w:tcBorders>
            <w:vAlign w:val="center"/>
          </w:tcPr>
          <w:p>
            <w:pPr>
              <w:pStyle w:val="42"/>
              <w:rPr>
                <w:rFonts w:hint="eastAsia" w:ascii="宋体" w:hAnsi="宋体" w:eastAsia="宋体" w:cs="宋体"/>
                <w:color w:val="FF0000"/>
                <w:sz w:val="21"/>
                <w:szCs w:val="21"/>
              </w:rPr>
            </w:pPr>
            <w:r>
              <w:rPr>
                <w:rFonts w:hint="eastAsia" w:cs="宋体"/>
                <w:sz w:val="21"/>
                <w:szCs w:val="21"/>
                <w:lang w:val="en-US" w:eastAsia="zh-CN"/>
              </w:rPr>
              <w:t>28</w:t>
            </w:r>
            <w:r>
              <w:rPr>
                <w:rFonts w:hint="eastAsia" w:ascii="宋体" w:hAnsi="宋体" w:eastAsia="宋体" w:cs="宋体"/>
                <w:sz w:val="21"/>
                <w:szCs w:val="21"/>
              </w:rPr>
              <w:t>分</w:t>
            </w:r>
          </w:p>
        </w:tc>
        <w:tc>
          <w:tcPr>
            <w:tcW w:w="6399" w:type="dxa"/>
            <w:tcBorders>
              <w:top w:val="single" w:color="auto" w:sz="4" w:space="0"/>
              <w:left w:val="single" w:color="auto" w:sz="4" w:space="0"/>
              <w:bottom w:val="single" w:color="auto" w:sz="4" w:space="0"/>
              <w:right w:val="single" w:color="auto" w:sz="4" w:space="0"/>
            </w:tcBorders>
            <w:vAlign w:val="center"/>
          </w:tcPr>
          <w:p>
            <w:pPr>
              <w:keepLines w:val="0"/>
              <w:numPr>
                <w:ilvl w:val="0"/>
                <w:numId w:val="27"/>
              </w:numPr>
              <w:spacing w:after="0" w:line="360" w:lineRule="exact"/>
              <w:rPr>
                <w:rFonts w:hint="eastAsia" w:ascii="宋体" w:hAnsi="宋体" w:eastAsia="宋体" w:cs="宋体"/>
                <w:sz w:val="21"/>
                <w:szCs w:val="21"/>
                <w:lang w:val="en-US"/>
              </w:rPr>
            </w:pPr>
            <w:r>
              <w:rPr>
                <w:rFonts w:hint="eastAsia" w:ascii="宋体" w:hAnsi="宋体" w:eastAsia="宋体" w:cs="宋体"/>
                <w:sz w:val="21"/>
                <w:szCs w:val="21"/>
              </w:rPr>
              <w:t>提供</w:t>
            </w:r>
            <w:r>
              <w:rPr>
                <w:rFonts w:hint="eastAsia" w:ascii="宋体" w:hAnsi="宋体" w:eastAsia="宋体" w:cs="宋体"/>
                <w:sz w:val="21"/>
                <w:szCs w:val="21"/>
                <w:lang w:val="en-US"/>
              </w:rPr>
              <w:t>201</w:t>
            </w:r>
            <w:r>
              <w:rPr>
                <w:rFonts w:hint="eastAsia" w:ascii="宋体" w:hAnsi="宋体" w:eastAsia="宋体" w:cs="宋体"/>
                <w:sz w:val="21"/>
                <w:szCs w:val="21"/>
              </w:rPr>
              <w:t>8</w:t>
            </w:r>
            <w:r>
              <w:rPr>
                <w:rFonts w:hint="eastAsia" w:ascii="宋体" w:hAnsi="宋体" w:eastAsia="宋体" w:cs="宋体"/>
                <w:sz w:val="21"/>
                <w:szCs w:val="21"/>
                <w:lang w:val="en-US"/>
              </w:rPr>
              <w:t>年</w:t>
            </w:r>
            <w:r>
              <w:rPr>
                <w:rFonts w:hint="eastAsia" w:ascii="宋体" w:hAnsi="宋体" w:eastAsia="宋体" w:cs="宋体"/>
                <w:sz w:val="21"/>
                <w:szCs w:val="21"/>
              </w:rPr>
              <w:t>1月1日(含1日)</w:t>
            </w:r>
            <w:r>
              <w:rPr>
                <w:rFonts w:hint="eastAsia" w:ascii="宋体" w:hAnsi="宋体" w:eastAsia="宋体" w:cs="宋体"/>
                <w:sz w:val="21"/>
                <w:szCs w:val="21"/>
                <w:lang w:val="en-US"/>
              </w:rPr>
              <w:t>至今</w:t>
            </w:r>
            <w:r>
              <w:rPr>
                <w:rFonts w:hint="eastAsia" w:ascii="宋体" w:hAnsi="宋体" w:eastAsia="宋体" w:cs="宋体"/>
                <w:sz w:val="21"/>
                <w:szCs w:val="21"/>
              </w:rPr>
              <w:t>类似项目</w:t>
            </w:r>
            <w:r>
              <w:rPr>
                <w:rFonts w:hint="eastAsia" w:ascii="宋体" w:hAnsi="宋体" w:eastAsia="宋体" w:cs="宋体"/>
                <w:sz w:val="21"/>
                <w:szCs w:val="21"/>
                <w:lang w:val="en-US"/>
              </w:rPr>
              <w:t>业绩；每</w:t>
            </w:r>
            <w:r>
              <w:rPr>
                <w:rFonts w:hint="eastAsia" w:ascii="宋体" w:hAnsi="宋体" w:eastAsia="宋体" w:cs="宋体"/>
                <w:sz w:val="21"/>
                <w:szCs w:val="21"/>
              </w:rPr>
              <w:t>提供一个得</w:t>
            </w:r>
            <w:r>
              <w:rPr>
                <w:rFonts w:hint="eastAsia" w:ascii="宋体" w:hAnsi="宋体" w:eastAsia="宋体" w:cs="宋体"/>
                <w:sz w:val="21"/>
                <w:szCs w:val="21"/>
                <w:lang w:eastAsia="zh-CN"/>
              </w:rPr>
              <w:t>3</w:t>
            </w:r>
            <w:r>
              <w:rPr>
                <w:rFonts w:hint="eastAsia" w:ascii="宋体" w:hAnsi="宋体" w:eastAsia="宋体" w:cs="宋体"/>
                <w:sz w:val="21"/>
                <w:szCs w:val="21"/>
                <w:lang w:val="en-US"/>
              </w:rPr>
              <w:t>分，最</w:t>
            </w:r>
            <w:r>
              <w:rPr>
                <w:rFonts w:hint="eastAsia" w:ascii="宋体" w:hAnsi="宋体" w:eastAsia="宋体" w:cs="宋体"/>
                <w:sz w:val="21"/>
                <w:szCs w:val="21"/>
              </w:rPr>
              <w:t>高得1</w:t>
            </w:r>
            <w:r>
              <w:rPr>
                <w:rFonts w:hint="eastAsia" w:ascii="宋体" w:hAnsi="宋体" w:eastAsia="宋体" w:cs="宋体"/>
                <w:sz w:val="21"/>
                <w:szCs w:val="21"/>
                <w:lang w:eastAsia="zh-CN"/>
              </w:rPr>
              <w:t>5</w:t>
            </w:r>
            <w:r>
              <w:rPr>
                <w:rFonts w:hint="eastAsia" w:ascii="宋体" w:hAnsi="宋体" w:eastAsia="宋体" w:cs="宋体"/>
                <w:sz w:val="21"/>
                <w:szCs w:val="21"/>
                <w:lang w:val="en-US"/>
              </w:rPr>
              <w:t>分。</w:t>
            </w:r>
          </w:p>
          <w:p>
            <w:pPr>
              <w:spacing w:line="360" w:lineRule="exact"/>
              <w:rPr>
                <w:rFonts w:hint="eastAsia" w:ascii="宋体" w:hAnsi="宋体" w:eastAsia="宋体" w:cs="宋体"/>
                <w:b/>
                <w:bCs/>
                <w:sz w:val="21"/>
                <w:szCs w:val="21"/>
                <w:lang w:val="zh-CN"/>
              </w:rPr>
            </w:pPr>
            <w:r>
              <w:rPr>
                <w:rFonts w:hint="eastAsia" w:ascii="宋体" w:hAnsi="宋体" w:eastAsia="宋体" w:cs="宋体"/>
                <w:b/>
                <w:bCs/>
                <w:sz w:val="21"/>
                <w:szCs w:val="21"/>
              </w:rPr>
              <w:t>注：</w:t>
            </w:r>
            <w:r>
              <w:rPr>
                <w:rFonts w:hint="eastAsia" w:ascii="宋体" w:hAnsi="宋体" w:eastAsia="宋体" w:cs="宋体"/>
                <w:b/>
                <w:bCs/>
                <w:sz w:val="21"/>
                <w:szCs w:val="21"/>
                <w:lang w:val="zh-CN"/>
              </w:rPr>
              <w:t>提供合同(或协议书)复印加盖公章，</w:t>
            </w:r>
            <w:r>
              <w:rPr>
                <w:rFonts w:hint="eastAsia" w:ascii="宋体" w:hAnsi="宋体" w:eastAsia="宋体" w:cs="宋体"/>
                <w:b/>
                <w:bCs/>
                <w:sz w:val="21"/>
                <w:szCs w:val="21"/>
              </w:rPr>
              <w:t>以合同签订日期为准；</w:t>
            </w:r>
          </w:p>
          <w:p>
            <w:pPr>
              <w:numPr>
                <w:ilvl w:val="0"/>
                <w:numId w:val="27"/>
              </w:numPr>
              <w:tabs>
                <w:tab w:val="clear" w:pos="312"/>
              </w:tabs>
              <w:spacing w:line="360" w:lineRule="exact"/>
              <w:rPr>
                <w:rFonts w:hint="eastAsia" w:ascii="宋体" w:hAnsi="宋体" w:eastAsia="宋体" w:cs="宋体"/>
                <w:sz w:val="21"/>
                <w:szCs w:val="21"/>
                <w:lang w:val="zh-CN"/>
              </w:rPr>
            </w:pPr>
            <w:r>
              <w:rPr>
                <w:rFonts w:hint="eastAsia" w:ascii="宋体" w:hAnsi="宋体" w:eastAsia="宋体" w:cs="宋体"/>
                <w:sz w:val="21"/>
                <w:szCs w:val="21"/>
                <w:lang w:val="zh-CN"/>
              </w:rPr>
              <w:t>供应商具有有效期内的质量管理体系认证证书得3分。</w:t>
            </w:r>
          </w:p>
          <w:p>
            <w:pPr>
              <w:pStyle w:val="11"/>
              <w:spacing w:after="0" w:line="360" w:lineRule="exact"/>
              <w:rPr>
                <w:rFonts w:hint="eastAsia" w:ascii="宋体" w:hAnsi="宋体" w:eastAsia="宋体" w:cs="宋体"/>
                <w:b/>
                <w:bCs/>
                <w:sz w:val="21"/>
                <w:szCs w:val="21"/>
              </w:rPr>
            </w:pPr>
            <w:r>
              <w:rPr>
                <w:rFonts w:hint="eastAsia" w:ascii="宋体" w:hAnsi="宋体" w:eastAsia="宋体" w:cs="宋体"/>
                <w:b/>
                <w:bCs/>
                <w:sz w:val="21"/>
                <w:szCs w:val="21"/>
              </w:rPr>
              <w:t>注：提供证书复印件加盖供应商公章；</w:t>
            </w:r>
          </w:p>
          <w:p>
            <w:pPr>
              <w:pStyle w:val="11"/>
              <w:spacing w:after="0" w:line="360" w:lineRule="exact"/>
              <w:jc w:val="both"/>
              <w:rPr>
                <w:rFonts w:hint="eastAsia" w:ascii="宋体" w:cs="宋体"/>
                <w:b w:val="0"/>
                <w:bCs w:val="0"/>
                <w:sz w:val="21"/>
                <w:szCs w:val="21"/>
                <w:lang w:val="en-US" w:eastAsia="zh-CN"/>
              </w:rPr>
            </w:pPr>
            <w:r>
              <w:rPr>
                <w:rFonts w:hint="eastAsia" w:ascii="宋体" w:cs="宋体"/>
                <w:b w:val="0"/>
                <w:bCs w:val="0"/>
                <w:sz w:val="21"/>
                <w:szCs w:val="21"/>
                <w:lang w:val="en-US" w:eastAsia="zh-CN"/>
              </w:rPr>
              <w:t>3.供应商2019年至今获得：</w:t>
            </w:r>
          </w:p>
          <w:p>
            <w:pPr>
              <w:pStyle w:val="11"/>
              <w:spacing w:after="0" w:line="360" w:lineRule="exact"/>
              <w:jc w:val="both"/>
              <w:rPr>
                <w:rFonts w:hint="eastAsia" w:ascii="宋体" w:cs="宋体"/>
                <w:b w:val="0"/>
                <w:bCs w:val="0"/>
                <w:sz w:val="21"/>
                <w:szCs w:val="21"/>
                <w:lang w:val="en-US" w:eastAsia="zh-CN"/>
              </w:rPr>
            </w:pPr>
            <w:r>
              <w:rPr>
                <w:rFonts w:hint="eastAsia" w:ascii="宋体" w:cs="宋体"/>
                <w:b w:val="0"/>
                <w:bCs w:val="0"/>
                <w:sz w:val="21"/>
                <w:szCs w:val="21"/>
                <w:lang w:val="en-US" w:eastAsia="zh-CN"/>
              </w:rPr>
              <w:t>①省级优秀城乡规划设计项目的, 每有一个项目获得三等奖的得0.5分，每有一个项目获得二等奖的得1分，每有一个项目获得一等奖的得2分，本项最多得4分；</w:t>
            </w:r>
          </w:p>
          <w:p>
            <w:pPr>
              <w:pStyle w:val="11"/>
              <w:spacing w:after="0" w:line="360" w:lineRule="exact"/>
              <w:jc w:val="both"/>
              <w:rPr>
                <w:rFonts w:hint="default" w:ascii="宋体" w:cs="宋体"/>
                <w:b w:val="0"/>
                <w:bCs w:val="0"/>
                <w:sz w:val="21"/>
                <w:szCs w:val="21"/>
                <w:lang w:val="en-US" w:eastAsia="zh-CN"/>
              </w:rPr>
            </w:pPr>
            <w:r>
              <w:rPr>
                <w:rFonts w:hint="eastAsia" w:ascii="宋体" w:cs="宋体"/>
                <w:b w:val="0"/>
                <w:bCs w:val="0"/>
                <w:sz w:val="21"/>
                <w:szCs w:val="21"/>
                <w:lang w:val="en-US" w:eastAsia="zh-CN"/>
              </w:rPr>
              <w:t>②国家级优秀城乡规划设计项目的, 每有一个项目获得三等奖的得1分，每有一个项目获得二等奖的得1.5分，每有一个项目获得一等奖的得2分，本项最多得6分。</w:t>
            </w:r>
          </w:p>
          <w:p>
            <w:pPr>
              <w:pStyle w:val="11"/>
              <w:spacing w:after="0" w:line="360" w:lineRule="exact"/>
              <w:rPr>
                <w:rFonts w:hint="default" w:ascii="宋体" w:hAnsi="宋体" w:eastAsia="宋体" w:cs="宋体"/>
                <w:b/>
                <w:sz w:val="21"/>
                <w:szCs w:val="21"/>
                <w:highlight w:val="yellow"/>
                <w:lang w:val="en-US" w:eastAsia="zh-CN"/>
              </w:rPr>
            </w:pPr>
            <w:r>
              <w:rPr>
                <w:rFonts w:hint="eastAsia" w:ascii="宋体" w:cs="宋体"/>
                <w:b/>
                <w:bCs/>
                <w:sz w:val="21"/>
                <w:szCs w:val="21"/>
                <w:lang w:val="en-US" w:eastAsia="zh-CN"/>
              </w:rPr>
              <w:t>注：提供有效的证书复印件并加盖供应商单位鲜章，同一项目不能重复计分。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rPr>
                <w:rFonts w:hint="eastAsia" w:ascii="宋体" w:hAnsi="宋体" w:eastAsia="宋体" w:cs="宋体"/>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42"/>
              <w:jc w:val="both"/>
              <w:rPr>
                <w:rFonts w:hint="eastAsia" w:ascii="宋体" w:hAnsi="宋体" w:eastAsia="宋体" w:cs="宋体"/>
                <w:sz w:val="21"/>
                <w:szCs w:val="21"/>
              </w:rPr>
            </w:pPr>
            <w:r>
              <w:rPr>
                <w:rFonts w:hint="eastAsia" w:ascii="宋体" w:hAnsi="宋体" w:eastAsia="宋体" w:cs="宋体"/>
                <w:sz w:val="21"/>
                <w:szCs w:val="21"/>
              </w:rPr>
              <w:t>注：评分的取值按四舍五入法，保留小数点后保留两位。</w:t>
            </w:r>
          </w:p>
        </w:tc>
      </w:tr>
    </w:tbl>
    <w:p>
      <w:pPr>
        <w:pStyle w:val="46"/>
        <w:ind w:firstLine="482"/>
      </w:pPr>
      <w:bookmarkStart w:id="468" w:name="_Toc17320"/>
      <w:bookmarkStart w:id="469" w:name="_Toc19625"/>
      <w:r>
        <w:rPr>
          <w:rFonts w:hint="eastAsia"/>
        </w:rPr>
        <w:t>复核</w:t>
      </w:r>
      <w:bookmarkEnd w:id="467"/>
      <w:bookmarkEnd w:id="468"/>
      <w:bookmarkEnd w:id="469"/>
    </w:p>
    <w:p>
      <w:pPr>
        <w:pStyle w:val="60"/>
        <w:ind w:firstLine="480"/>
      </w:pPr>
      <w:r>
        <w:rPr>
          <w:rFonts w:hint="eastAsia"/>
        </w:rPr>
        <w:t>评审结果汇总完成后，评审委员会拟出具评审报告前，采购组织单位应当组织2名以上的本单位工作人员，在采购现场监督人员的监督之下，依据有关的法律制度和磋商文件对评审结果进行复核，出具复核报告。存在下列情形之一的，应当根据情况要求磋商小组现场修改磋商结果或者重新评审：</w:t>
      </w:r>
    </w:p>
    <w:p>
      <w:pPr>
        <w:pStyle w:val="61"/>
        <w:ind w:firstLine="480"/>
      </w:pPr>
      <w:r>
        <w:rPr>
          <w:rFonts w:hint="eastAsia"/>
        </w:rPr>
        <w:t>资格性审查认定错误的；</w:t>
      </w:r>
    </w:p>
    <w:p>
      <w:pPr>
        <w:pStyle w:val="61"/>
        <w:ind w:firstLine="480"/>
      </w:pPr>
      <w:r>
        <w:rPr>
          <w:rFonts w:hint="eastAsia"/>
        </w:rPr>
        <w:t>分值汇总计算错误的；</w:t>
      </w:r>
    </w:p>
    <w:p>
      <w:pPr>
        <w:pStyle w:val="61"/>
        <w:ind w:firstLine="480"/>
      </w:pPr>
      <w:r>
        <w:rPr>
          <w:rFonts w:hint="eastAsia"/>
        </w:rPr>
        <w:t>分项评分超出评分标准范围的；</w:t>
      </w:r>
    </w:p>
    <w:p>
      <w:pPr>
        <w:pStyle w:val="61"/>
        <w:ind w:firstLine="480"/>
      </w:pPr>
      <w:r>
        <w:rPr>
          <w:rFonts w:hint="eastAsia"/>
        </w:rPr>
        <w:t>客观评分不一致的；</w:t>
      </w:r>
    </w:p>
    <w:p>
      <w:pPr>
        <w:pStyle w:val="61"/>
        <w:ind w:firstLine="480"/>
      </w:pPr>
      <w:r>
        <w:rPr>
          <w:rFonts w:hint="eastAsia"/>
        </w:rPr>
        <w:t>经磋商小组一致认定评分畸高、畸低的。</w:t>
      </w:r>
    </w:p>
    <w:p>
      <w:pPr>
        <w:pStyle w:val="60"/>
        <w:ind w:firstLine="480"/>
      </w:pPr>
      <w:r>
        <w:rPr>
          <w:rFonts w:hint="eastAsia"/>
        </w:rPr>
        <w:t>采购代理机构复核过程中，磋商小组不得离开评审现场。</w:t>
      </w:r>
    </w:p>
    <w:p>
      <w:pPr>
        <w:pStyle w:val="60"/>
        <w:ind w:firstLine="480"/>
      </w:pPr>
      <w:r>
        <w:rPr>
          <w:rFonts w:hint="eastAsia"/>
        </w:rPr>
        <w:t>存在本条上述规定情形的，由磋商小组自主决定是否采纳采购代理机构的书面建议，并承担独立评审责任。磋商小组采纳采购代理机构书面建议的，应当按照规定现场修改磋商结果或者重新评审，并在评审报告中详细记载有关事宜；不采纳采购代理机构书面建议的，应当书面说明理由。采购代理机构书面建议未被磋商小组采纳的，应当按照规定程序要求继续组织实施采购活动，不得擅自中止采购活动。采购代理机构发现磋商小组未按照磋商文件规定的评审标准进行评审的，应当书面报告采购项目同级财政部门。</w:t>
      </w:r>
    </w:p>
    <w:p>
      <w:pPr>
        <w:pStyle w:val="60"/>
        <w:ind w:firstLine="480"/>
      </w:pPr>
      <w:r>
        <w:rPr>
          <w:rFonts w:hint="eastAsia"/>
        </w:rPr>
        <w:t>有下列情形之一的，不得修改磋商结果或者重新评审：</w:t>
      </w:r>
    </w:p>
    <w:p>
      <w:pPr>
        <w:pStyle w:val="61"/>
        <w:ind w:firstLine="480"/>
      </w:pPr>
      <w:r>
        <w:rPr>
          <w:rFonts w:hint="eastAsia"/>
        </w:rPr>
        <w:t>磋商小组已经出具评审报告并且离开评审现场的；</w:t>
      </w:r>
    </w:p>
    <w:p>
      <w:pPr>
        <w:pStyle w:val="61"/>
        <w:ind w:firstLine="480"/>
      </w:pPr>
      <w:r>
        <w:rPr>
          <w:rFonts w:hint="eastAsia"/>
        </w:rPr>
        <w:t>采购代理机构现场复核时，复核工作人员数量不足的；</w:t>
      </w:r>
    </w:p>
    <w:p>
      <w:pPr>
        <w:pStyle w:val="61"/>
        <w:ind w:firstLine="480"/>
      </w:pPr>
      <w:r>
        <w:rPr>
          <w:rFonts w:hint="eastAsia"/>
        </w:rPr>
        <w:t>采购代理机构现场复核时，没有采购监督人员现场监督的；</w:t>
      </w:r>
    </w:p>
    <w:p>
      <w:pPr>
        <w:pStyle w:val="61"/>
        <w:ind w:firstLine="480"/>
      </w:pPr>
      <w:r>
        <w:rPr>
          <w:rFonts w:hint="eastAsia"/>
        </w:rPr>
        <w:t>采购代理机构现场复核内容超出规定范围的；</w:t>
      </w:r>
    </w:p>
    <w:p>
      <w:pPr>
        <w:pStyle w:val="61"/>
        <w:ind w:firstLine="480"/>
      </w:pPr>
      <w:r>
        <w:rPr>
          <w:rFonts w:hint="eastAsia"/>
        </w:rPr>
        <w:t>采购代理机构未提供书面建议的。</w:t>
      </w:r>
    </w:p>
    <w:p>
      <w:pPr>
        <w:pStyle w:val="46"/>
        <w:ind w:firstLine="482"/>
      </w:pPr>
      <w:bookmarkStart w:id="470" w:name="_Toc16545"/>
      <w:bookmarkStart w:id="471" w:name="_Toc7607"/>
      <w:bookmarkStart w:id="472" w:name="_Toc4617"/>
      <w:r>
        <w:rPr>
          <w:rFonts w:hint="eastAsia"/>
        </w:rPr>
        <w:t>评审报告</w:t>
      </w:r>
      <w:bookmarkEnd w:id="470"/>
      <w:bookmarkEnd w:id="471"/>
      <w:bookmarkEnd w:id="472"/>
    </w:p>
    <w:p>
      <w:pPr>
        <w:pStyle w:val="60"/>
        <w:ind w:firstLine="480"/>
      </w:pPr>
      <w:r>
        <w:rPr>
          <w:rFonts w:hint="eastAsia"/>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评审得分且最后报价且技术指标分项得分均相同的，</w:t>
      </w:r>
      <w:r>
        <w:rPr>
          <w:rFonts w:hint="eastAsia" w:cs="宋体"/>
          <w:color w:val="000000"/>
          <w:kern w:val="0"/>
          <w:lang w:bidi="ar"/>
        </w:rPr>
        <w:t>优先选择不发达地区或少数民族地区的供应商</w:t>
      </w:r>
      <w:r>
        <w:rPr>
          <w:rFonts w:hint="eastAsia"/>
        </w:rPr>
        <w:t>。评审得分且最后报价且技术指标分项得分均相同，</w:t>
      </w:r>
      <w:r>
        <w:rPr>
          <w:rFonts w:hint="eastAsia" w:cs="宋体"/>
          <w:color w:val="000000"/>
          <w:kern w:val="0"/>
          <w:lang w:bidi="ar"/>
        </w:rPr>
        <w:t>无供应商属于不发达地区或少数民族地区的或供应商均属于不发达地区或少数民族地区的并列(不发达地区或少数民族地区的供应商需提供属于不发达地区或少数民族地区企业的相关证明材料，或供应商注册地为少数民族地区)</w:t>
      </w:r>
      <w:r>
        <w:rPr>
          <w:rFonts w:hint="eastAsia"/>
        </w:rPr>
        <w:t>。</w:t>
      </w:r>
    </w:p>
    <w:p>
      <w:pPr>
        <w:pStyle w:val="60"/>
        <w:ind w:firstLine="480"/>
      </w:pPr>
      <w:r>
        <w:rPr>
          <w:rFonts w:hint="eastAsia"/>
        </w:rPr>
        <w:t>出具评审报告。评审委员会推荐成交候选供应商后，应当向采购组织单位出具评审报告。评审报告应当包括下列内容：</w:t>
      </w:r>
    </w:p>
    <w:p>
      <w:pPr>
        <w:pStyle w:val="61"/>
        <w:ind w:firstLine="480"/>
      </w:pPr>
      <w:r>
        <w:rPr>
          <w:rFonts w:hint="eastAsia"/>
        </w:rPr>
        <w:t>邀请供应商参加采购活动的具体方式和相关情况、以及参加采购活动的供应商名单；</w:t>
      </w:r>
    </w:p>
    <w:p>
      <w:pPr>
        <w:pStyle w:val="61"/>
        <w:ind w:firstLine="480"/>
      </w:pPr>
      <w:r>
        <w:rPr>
          <w:rFonts w:hint="eastAsia"/>
        </w:rPr>
        <w:t>响应文件开启日期和地点；</w:t>
      </w:r>
    </w:p>
    <w:p>
      <w:pPr>
        <w:pStyle w:val="61"/>
        <w:ind w:firstLine="480"/>
      </w:pPr>
      <w:r>
        <w:rPr>
          <w:rFonts w:hint="eastAsia"/>
        </w:rPr>
        <w:t>获取磋商文件的供应商名单和磋商小组成员名单；</w:t>
      </w:r>
    </w:p>
    <w:p>
      <w:pPr>
        <w:pStyle w:val="61"/>
        <w:ind w:firstLine="480"/>
      </w:pPr>
      <w:r>
        <w:rPr>
          <w:rFonts w:hint="eastAsia"/>
        </w:rPr>
        <w:t>参加报价的供应商名单及报价情况和未参加报价的供应商名单及原因；</w:t>
      </w:r>
    </w:p>
    <w:p>
      <w:pPr>
        <w:pStyle w:val="61"/>
        <w:ind w:firstLine="480"/>
      </w:pPr>
      <w:r>
        <w:rPr>
          <w:rFonts w:hint="eastAsia"/>
        </w:rPr>
        <w:t>磋商文件规定的采购项目实质性要求及变动磋商文件实质性内容的有关资料及记录；</w:t>
      </w:r>
    </w:p>
    <w:p>
      <w:pPr>
        <w:pStyle w:val="61"/>
        <w:ind w:firstLine="480"/>
      </w:pPr>
      <w:r>
        <w:rPr>
          <w:rFonts w:hint="eastAsia"/>
        </w:rPr>
        <w:t>供应商响应文件响应磋商文件实质性要求情况及供应商变动响应文件有关资料及记录；</w:t>
      </w:r>
    </w:p>
    <w:p>
      <w:pPr>
        <w:pStyle w:val="61"/>
        <w:ind w:firstLine="480"/>
      </w:pPr>
      <w:r>
        <w:rPr>
          <w:rFonts w:hint="eastAsia"/>
        </w:rPr>
        <w:t>评审情况记录和说明，包括对供应商的资格审查情况、供应商响应文件评审情况、磋商情况、报价情况等；</w:t>
      </w:r>
    </w:p>
    <w:p>
      <w:pPr>
        <w:pStyle w:val="61"/>
        <w:ind w:firstLine="480"/>
      </w:pPr>
      <w:r>
        <w:rPr>
          <w:rFonts w:hint="eastAsia"/>
        </w:rPr>
        <w:t>提出的成交候选供应商的排序名单及理由。</w:t>
      </w:r>
    </w:p>
    <w:p>
      <w:pPr>
        <w:pStyle w:val="60"/>
        <w:ind w:firstLine="480"/>
      </w:pPr>
      <w:r>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0"/>
        <w:ind w:firstLine="480"/>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6"/>
        <w:ind w:firstLine="482"/>
      </w:pPr>
      <w:bookmarkStart w:id="473" w:name="_Toc22509"/>
      <w:bookmarkStart w:id="474" w:name="_Toc4707"/>
      <w:bookmarkStart w:id="475" w:name="_Toc17286"/>
      <w:r>
        <w:rPr>
          <w:rFonts w:hint="eastAsia"/>
        </w:rPr>
        <w:t>确定成交候选人</w:t>
      </w:r>
      <w:bookmarkEnd w:id="473"/>
      <w:bookmarkEnd w:id="474"/>
      <w:bookmarkEnd w:id="475"/>
    </w:p>
    <w:p>
      <w:pPr>
        <w:pStyle w:val="60"/>
        <w:ind w:firstLine="480"/>
      </w:pPr>
      <w:r>
        <w:rPr>
          <w:rFonts w:hint="eastAsia"/>
        </w:rPr>
        <w:t>采购代理机构应当在评审结束后2个工作日内将评审报告送采购人确认。</w:t>
      </w:r>
    </w:p>
    <w:p>
      <w:pPr>
        <w:pStyle w:val="60"/>
        <w:ind w:firstLine="480"/>
      </w:pPr>
      <w:r>
        <w:rPr>
          <w:rFonts w:hint="eastAsia"/>
        </w:rPr>
        <w:t>本项目根据磋商小组推荐的成交候选人名单，按顺序确定成交供应商。</w:t>
      </w:r>
    </w:p>
    <w:p>
      <w:pPr>
        <w:pStyle w:val="60"/>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0"/>
        <w:ind w:firstLine="480"/>
      </w:pPr>
      <w:r>
        <w:rPr>
          <w:rFonts w:hint="eastAsia"/>
        </w:rPr>
        <w:t>采购人不确定排序前一位成交候选供应商为成交供应商的，应当将不确定的理由书面告知该成交候选供应商，并在“四川政府采购网”公告。</w:t>
      </w:r>
    </w:p>
    <w:p>
      <w:pPr>
        <w:pStyle w:val="60"/>
        <w:ind w:firstLine="480"/>
      </w:pPr>
      <w:r>
        <w:rPr>
          <w:rFonts w:hint="eastAsia"/>
        </w:rPr>
        <w:t>采购人依法确定不出成交供应商的，应当重新组织采购，书面告知成交候选供应商，说明理由，并在“四川政府采购网”公告。</w:t>
      </w:r>
    </w:p>
    <w:p>
      <w:pPr>
        <w:pStyle w:val="60"/>
        <w:ind w:firstLine="480"/>
      </w:pPr>
      <w:r>
        <w:rPr>
          <w:rFonts w:hint="eastAsia"/>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6"/>
        <w:ind w:firstLine="482"/>
      </w:pPr>
      <w:bookmarkStart w:id="476" w:name="_Toc20650"/>
      <w:bookmarkStart w:id="477" w:name="_Toc6674"/>
      <w:bookmarkStart w:id="478" w:name="_Toc406"/>
      <w:r>
        <w:rPr>
          <w:rFonts w:hint="eastAsia"/>
        </w:rPr>
        <w:t>成交通知书</w:t>
      </w:r>
      <w:bookmarkEnd w:id="476"/>
      <w:bookmarkEnd w:id="477"/>
      <w:bookmarkEnd w:id="478"/>
    </w:p>
    <w:p>
      <w:pPr>
        <w:pStyle w:val="60"/>
        <w:ind w:firstLine="480"/>
      </w:pPr>
      <w:r>
        <w:rPr>
          <w:rFonts w:hint="eastAsia"/>
        </w:rPr>
        <w:t>采购代理机构在成交供应商确定后2个工作日内，在“四川政府采购网”公告成交结果，同时向成交供应商发出成交通知书。</w:t>
      </w:r>
    </w:p>
    <w:p>
      <w:pPr>
        <w:pStyle w:val="60"/>
        <w:ind w:firstLine="480"/>
      </w:pPr>
      <w:r>
        <w:rPr>
          <w:rFonts w:hint="eastAsia"/>
        </w:rPr>
        <w:t>成交通知书为签订政府采购合同的依据之一，是合同的有效组成部分。</w:t>
      </w:r>
    </w:p>
    <w:p>
      <w:pPr>
        <w:pStyle w:val="60"/>
        <w:ind w:firstLine="480"/>
      </w:pPr>
      <w:r>
        <w:rPr>
          <w:rFonts w:hint="eastAsia"/>
        </w:rPr>
        <w:t>供应商成交后，拒绝领取成交通知书的，采购代理机构将于成交供应商确定之日起两个工作日内采取邮寄、快递方式按照供应商响应文件中的地址发出成交通知书。</w:t>
      </w:r>
    </w:p>
    <w:p>
      <w:pPr>
        <w:pStyle w:val="60"/>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60"/>
        <w:ind w:firstLine="480"/>
      </w:pPr>
      <w:r>
        <w:rPr>
          <w:rFonts w:hint="eastAsia"/>
        </w:rPr>
        <w:t>成交供应商的响应文件本应作为无效响应处理或者有政府采购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60"/>
        <w:ind w:firstLine="480"/>
      </w:pPr>
      <w:r>
        <w:rPr>
          <w:rFonts w:hint="eastAsia"/>
        </w:rPr>
        <w:t>成交公告发出后，成交供应商自行领取成交通知书的，可凭有效身份证明证件到成都公恒信工程项目管理有限公司领取成交通知书。</w:t>
      </w:r>
    </w:p>
    <w:p>
      <w:pPr>
        <w:pStyle w:val="46"/>
        <w:ind w:firstLine="482"/>
      </w:pPr>
      <w:bookmarkStart w:id="479" w:name="_Toc18115"/>
      <w:bookmarkStart w:id="480" w:name="_Toc29842"/>
      <w:bookmarkStart w:id="481" w:name="_Toc25447"/>
      <w:bookmarkStart w:id="482" w:name="_Toc27829"/>
      <w:bookmarkStart w:id="483" w:name="_Toc5794"/>
      <w:bookmarkStart w:id="484" w:name="_Toc19477"/>
      <w:bookmarkStart w:id="485" w:name="_Toc5227"/>
      <w:bookmarkStart w:id="486" w:name="_Toc14932"/>
      <w:r>
        <w:rPr>
          <w:rFonts w:hint="eastAsia"/>
        </w:rPr>
        <w:t>评审专家在政府采购活动中承担以下义务</w:t>
      </w:r>
      <w:bookmarkEnd w:id="479"/>
      <w:bookmarkEnd w:id="480"/>
      <w:bookmarkEnd w:id="481"/>
      <w:bookmarkEnd w:id="482"/>
      <w:bookmarkEnd w:id="483"/>
      <w:bookmarkEnd w:id="484"/>
      <w:bookmarkEnd w:id="485"/>
      <w:bookmarkEnd w:id="486"/>
    </w:p>
    <w:p>
      <w:pPr>
        <w:pStyle w:val="60"/>
        <w:ind w:firstLine="480"/>
      </w:pPr>
      <w:r>
        <w:rPr>
          <w:rFonts w:hint="eastAsia"/>
        </w:rPr>
        <w:t>遵纪守法，客观、公正、廉洁地履行职责。</w:t>
      </w:r>
    </w:p>
    <w:p>
      <w:pPr>
        <w:pStyle w:val="60"/>
        <w:ind w:firstLine="480"/>
      </w:pPr>
      <w:r>
        <w:rPr>
          <w:rFonts w:hint="eastAsia"/>
        </w:rPr>
        <w:t>按照政府采购法律法规和磋商文件的规定要求对供应商的资格条件和供应商提供的产品价格、技术、服务等方面严格进行评判，提供科学合理、公平公正的评审意见，参与起草评审报告，并予签字确认。</w:t>
      </w:r>
    </w:p>
    <w:p>
      <w:pPr>
        <w:pStyle w:val="60"/>
        <w:ind w:firstLine="480"/>
      </w:pPr>
      <w:r>
        <w:rPr>
          <w:rFonts w:hint="eastAsia"/>
        </w:rPr>
        <w:t>评审专家应当遵守评审工作纪律，不得泄露评审情况和评审中获悉的商业秘密。</w:t>
      </w:r>
    </w:p>
    <w:p>
      <w:pPr>
        <w:pStyle w:val="60"/>
        <w:ind w:firstLine="480"/>
      </w:pPr>
      <w:r>
        <w:rPr>
          <w:rFonts w:hint="eastAsia"/>
        </w:rPr>
        <w:t>发现供应商在政府采购活动中有不正当竞争或恶意串通等违规行为，及时向政府采购评审工作的组织者或财政部门报告并加以制止。</w:t>
      </w:r>
    </w:p>
    <w:p>
      <w:pPr>
        <w:pStyle w:val="60"/>
        <w:ind w:firstLine="480"/>
      </w:pPr>
      <w:r>
        <w:rPr>
          <w:rFonts w:hint="eastAsia"/>
        </w:rPr>
        <w:t>在评审过程中发现供应商有行贿、提供虚假材料或者串通等违法行为的，应当及时向财政部门报告。</w:t>
      </w:r>
    </w:p>
    <w:p>
      <w:pPr>
        <w:pStyle w:val="60"/>
        <w:ind w:firstLine="480"/>
      </w:pPr>
      <w:r>
        <w:rPr>
          <w:rFonts w:hint="eastAsia"/>
        </w:rPr>
        <w:t>评审专家在评审过程中受到非法干涉的，应当及时向财政、监察等部门汇报。</w:t>
      </w:r>
    </w:p>
    <w:p>
      <w:pPr>
        <w:pStyle w:val="60"/>
        <w:ind w:firstLine="480"/>
      </w:pPr>
      <w:r>
        <w:rPr>
          <w:rFonts w:hint="eastAsia"/>
        </w:rPr>
        <w:t>解答有关方面对政府采购评审工作中有关问题的询问，配合采购人或者政府采购代理机构答复供应商询问、质疑，配合财政部门的投诉处理工作等事宜。</w:t>
      </w:r>
    </w:p>
    <w:p>
      <w:pPr>
        <w:pStyle w:val="60"/>
        <w:ind w:firstLine="480"/>
      </w:pPr>
      <w:r>
        <w:rPr>
          <w:rFonts w:hint="eastAsia"/>
        </w:rPr>
        <w:t>法律、法规和规章规定的其他义务。</w:t>
      </w:r>
    </w:p>
    <w:p>
      <w:pPr>
        <w:pStyle w:val="46"/>
        <w:ind w:firstLine="482"/>
      </w:pPr>
      <w:bookmarkStart w:id="487" w:name="_Toc24516"/>
      <w:bookmarkStart w:id="488" w:name="_Toc22731"/>
      <w:bookmarkStart w:id="489" w:name="_Toc32588"/>
      <w:bookmarkStart w:id="490" w:name="_Toc15363"/>
      <w:bookmarkStart w:id="491" w:name="_Toc2641"/>
      <w:bookmarkStart w:id="492" w:name="_Toc327196346"/>
      <w:bookmarkStart w:id="493" w:name="_Toc22719"/>
      <w:bookmarkStart w:id="494" w:name="_Toc4279"/>
      <w:bookmarkStart w:id="495" w:name="_Toc319440195"/>
      <w:bookmarkStart w:id="496" w:name="_Toc1306"/>
      <w:bookmarkStart w:id="497" w:name="_Toc7984"/>
      <w:bookmarkStart w:id="498" w:name="_Toc26898"/>
      <w:bookmarkStart w:id="499" w:name="_Toc8073"/>
      <w:r>
        <w:rPr>
          <w:rFonts w:hint="eastAsia"/>
        </w:rPr>
        <w:t>评审专家在政府采购活动中应当遵守以下工作纪律</w:t>
      </w:r>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60"/>
        <w:ind w:firstLine="480"/>
      </w:pPr>
      <w:r>
        <w:rPr>
          <w:rFonts w:hint="eastAsia"/>
        </w:rPr>
        <w:t>遵行《中华人民共和国政府采购法》第十二条和《中华人民共和国政府采购法实施条例》第九条及财政部关于回避的规定。</w:t>
      </w:r>
    </w:p>
    <w:p>
      <w:pPr>
        <w:pStyle w:val="60"/>
        <w:ind w:firstLine="480"/>
      </w:pPr>
      <w:r>
        <w:rPr>
          <w:rFonts w:hint="eastAsia"/>
        </w:rPr>
        <w:t>评审前，应当将通讯工具或者相关电子设备交由采购代理机构统一保管。</w:t>
      </w:r>
    </w:p>
    <w:p>
      <w:pPr>
        <w:pStyle w:val="60"/>
        <w:ind w:firstLine="480"/>
      </w:pPr>
      <w:r>
        <w:rPr>
          <w:rFonts w:hint="eastAsia"/>
        </w:rPr>
        <w:t>评审过程中，不得与外界联系，因发生不可预见情况，确实需要与外界联系的，应当在监督人员监督之下办理。</w:t>
      </w:r>
    </w:p>
    <w:p>
      <w:pPr>
        <w:pStyle w:val="60"/>
        <w:ind w:firstLine="480"/>
      </w:pPr>
      <w:r>
        <w:rPr>
          <w:rFonts w:hint="eastAsia"/>
        </w:rPr>
        <w:t>评审过程中，不得干预或者影响正常评审工作，不得发表倾向性、引导性意见，不得修改或细化磋商文件确定的评审程序、评审方法、评审标准，不得接受供应商主动提出的澄清和解释，不得征询采购人代表的意见，不得协商评分，不得违反规定的评审格式评分和撰写评审意见，不得拒绝对自己的评审意见签字确认。</w:t>
      </w:r>
    </w:p>
    <w:p>
      <w:pPr>
        <w:pStyle w:val="60"/>
        <w:ind w:firstLine="480"/>
      </w:pPr>
      <w:r>
        <w:rPr>
          <w:rFonts w:hint="eastAsia"/>
        </w:rPr>
        <w:t>在评审过程中和评审结束后，不得记录、复制或带走任何评审资料，除因规定的义务外，不得向外界透露评审内容。</w:t>
      </w:r>
    </w:p>
    <w:p>
      <w:pPr>
        <w:pStyle w:val="60"/>
        <w:ind w:firstLine="480"/>
      </w:pPr>
      <w:r>
        <w:rPr>
          <w:rFonts w:hint="eastAsia"/>
        </w:rPr>
        <w:t>服从评审现场采购代理机构的现场秩序管理，接受评审现场监督人员的合法监督。</w:t>
      </w:r>
    </w:p>
    <w:p>
      <w:pPr>
        <w:pStyle w:val="60"/>
        <w:ind w:firstLine="480"/>
      </w:pPr>
      <w:r>
        <w:rPr>
          <w:rFonts w:hint="eastAsia"/>
        </w:rPr>
        <w:t>遵守有关廉洁自律规定，不得私下接触供应商，不得收受供应商及有关业务单位和个人的财物或好处，不得接受采购组织单位的请托。</w:t>
      </w:r>
    </w:p>
    <w:p>
      <w:pPr>
        <w:pStyle w:val="60"/>
        <w:ind w:firstLine="480"/>
      </w:pPr>
      <w:r>
        <w:rPr>
          <w:rFonts w:hint="eastAsia"/>
        </w:rPr>
        <w:t>有关部门(机构)制定的其他评审工作纪律。</w:t>
      </w:r>
    </w:p>
    <w:p>
      <w:pPr>
        <w:pStyle w:val="46"/>
        <w:ind w:firstLine="482"/>
      </w:pPr>
      <w:bookmarkStart w:id="500" w:name="_Toc16893"/>
      <w:bookmarkStart w:id="501" w:name="_Toc19962"/>
      <w:bookmarkStart w:id="502" w:name="_Toc2722"/>
      <w:r>
        <w:rPr>
          <w:rFonts w:hint="eastAsia"/>
        </w:rPr>
        <w:t>评审委员会及其成员不得有下列违约情形</w:t>
      </w:r>
      <w:bookmarkEnd w:id="500"/>
      <w:bookmarkEnd w:id="501"/>
      <w:bookmarkEnd w:id="502"/>
    </w:p>
    <w:p>
      <w:pPr>
        <w:pStyle w:val="60"/>
        <w:ind w:firstLine="480"/>
      </w:pPr>
      <w:r>
        <w:rPr>
          <w:rFonts w:hint="eastAsia"/>
        </w:rPr>
        <w:t>答应参加评审活动后，无正当理由不参加或者迟到，且不及时告知抽取终端工作人员，导致评审活动无法正常进行的；</w:t>
      </w:r>
    </w:p>
    <w:p>
      <w:pPr>
        <w:pStyle w:val="60"/>
        <w:ind w:firstLine="480"/>
      </w:pPr>
      <w:r>
        <w:rPr>
          <w:rFonts w:hint="eastAsia"/>
        </w:rPr>
        <w:t>不遵守评审现场工作纪律的；</w:t>
      </w:r>
    </w:p>
    <w:p>
      <w:pPr>
        <w:pStyle w:val="60"/>
        <w:ind w:firstLine="480"/>
      </w:pPr>
      <w:r>
        <w:rPr>
          <w:rFonts w:hint="eastAsia"/>
        </w:rPr>
        <w:t>明显故意拖延评审时间的；</w:t>
      </w:r>
    </w:p>
    <w:p>
      <w:pPr>
        <w:pStyle w:val="60"/>
        <w:ind w:firstLine="480"/>
      </w:pPr>
      <w:r>
        <w:rPr>
          <w:rFonts w:hint="eastAsia"/>
        </w:rPr>
        <w:t>抄袭其他评审委员会成员的评审意见的；</w:t>
      </w:r>
    </w:p>
    <w:p>
      <w:pPr>
        <w:pStyle w:val="60"/>
        <w:ind w:firstLine="480"/>
      </w:pPr>
      <w:r>
        <w:rPr>
          <w:rFonts w:hint="eastAsia"/>
        </w:rPr>
        <w:t>不按照政府采购法律制度和磋商文件的规定进行评审，导致评审过程、评审结果违法违规，情节轻微不构成行政处罚的；</w:t>
      </w:r>
    </w:p>
    <w:p>
      <w:pPr>
        <w:pStyle w:val="60"/>
        <w:ind w:firstLine="480"/>
      </w:pPr>
      <w:r>
        <w:rPr>
          <w:rFonts w:hint="eastAsia"/>
        </w:rPr>
        <w:t>索取高于规定的劳务报酬，或者要求先给付报酬再进行评审，或者因劳务报酬低而拒绝评审、拒绝签署评审报告的；</w:t>
      </w:r>
    </w:p>
    <w:p>
      <w:pPr>
        <w:pStyle w:val="60"/>
        <w:ind w:firstLine="480"/>
      </w:pPr>
      <w:r>
        <w:rPr>
          <w:rFonts w:hint="eastAsia"/>
        </w:rPr>
        <w:t>不按照《四川省政府采购评审专家管理实施办法》的规定记录或者反馈采购人或者采购代理机构的职责履行情况的；</w:t>
      </w:r>
    </w:p>
    <w:p>
      <w:pPr>
        <w:pStyle w:val="60"/>
        <w:ind w:firstLine="480"/>
      </w:pPr>
      <w:r>
        <w:rPr>
          <w:rFonts w:hint="eastAsia"/>
        </w:rPr>
        <w:t>存在其他违反政府采购法规制度，但不构成行政处罚行为的。</w:t>
      </w:r>
    </w:p>
    <w:p>
      <w:pPr>
        <w:pStyle w:val="40"/>
      </w:pPr>
    </w:p>
    <w:p>
      <w:pPr>
        <w:pStyle w:val="45"/>
        <w:numPr>
          <w:ilvl w:val="0"/>
          <w:numId w:val="22"/>
        </w:numPr>
        <w:spacing w:before="120" w:after="120"/>
      </w:pPr>
      <w:r>
        <w:rPr>
          <w:rFonts w:hint="eastAsia"/>
        </w:rPr>
        <w:br w:type="page"/>
      </w:r>
      <w:bookmarkEnd w:id="433"/>
      <w:bookmarkStart w:id="503" w:name="_Toc11464"/>
      <w:bookmarkStart w:id="504" w:name="_Toc11789"/>
      <w:r>
        <w:rPr>
          <w:rFonts w:hint="eastAsia"/>
        </w:rPr>
        <w:t>合同草案条款(参考文本)</w:t>
      </w:r>
      <w:bookmarkEnd w:id="503"/>
      <w:bookmarkEnd w:id="504"/>
    </w:p>
    <w:p>
      <w:pPr>
        <w:pStyle w:val="40"/>
      </w:pPr>
    </w:p>
    <w:p>
      <w:pPr>
        <w:pStyle w:val="40"/>
      </w:pPr>
    </w:p>
    <w:p>
      <w:pPr>
        <w:pStyle w:val="40"/>
      </w:pPr>
    </w:p>
    <w:p>
      <w:pPr>
        <w:spacing w:line="360" w:lineRule="auto"/>
      </w:pPr>
      <w:r>
        <w:rPr>
          <w:rFonts w:hint="eastAsia"/>
        </w:rPr>
        <w:t>项目名称：武侯区老旧小区专项改造规划采购项目</w:t>
      </w:r>
    </w:p>
    <w:p>
      <w:pPr>
        <w:spacing w:line="360" w:lineRule="auto"/>
        <w:ind w:firstLine="1320" w:firstLineChars="550"/>
      </w:pPr>
    </w:p>
    <w:p>
      <w:pPr>
        <w:spacing w:line="360" w:lineRule="auto"/>
        <w:jc w:val="center"/>
      </w:pPr>
    </w:p>
    <w:p>
      <w:pPr>
        <w:autoSpaceDE w:val="0"/>
        <w:autoSpaceDN w:val="0"/>
        <w:spacing w:line="360" w:lineRule="auto"/>
        <w:ind w:right="150"/>
      </w:pPr>
      <w:r>
        <w:rPr>
          <w:rFonts w:hint="eastAsia"/>
        </w:rPr>
        <w:t>项目地点：成都市</w:t>
      </w:r>
    </w:p>
    <w:p>
      <w:pPr>
        <w:spacing w:line="360" w:lineRule="auto"/>
      </w:pPr>
    </w:p>
    <w:p>
      <w:pPr>
        <w:spacing w:line="360" w:lineRule="auto"/>
      </w:pPr>
    </w:p>
    <w:p>
      <w:pPr>
        <w:spacing w:line="360" w:lineRule="auto"/>
      </w:pPr>
      <w:r>
        <w:rPr>
          <w:rFonts w:hint="eastAsia"/>
        </w:rPr>
        <w:t>委</w:t>
      </w:r>
      <w:r>
        <w:t xml:space="preserve"> 托 方： </w:t>
      </w:r>
    </w:p>
    <w:p>
      <w:pPr>
        <w:spacing w:line="360" w:lineRule="auto"/>
      </w:pPr>
      <w:r>
        <w:rPr>
          <w:rFonts w:hint="eastAsia"/>
          <w:lang w:eastAsia="zh-CN"/>
        </w:rPr>
        <w:t>(</w:t>
      </w:r>
      <w:r>
        <w:rPr>
          <w:rFonts w:hint="eastAsia"/>
        </w:rPr>
        <w:t>甲方</w:t>
      </w:r>
      <w:r>
        <w:rPr>
          <w:rFonts w:hint="eastAsia"/>
          <w:lang w:eastAsia="zh-CN"/>
        </w:rPr>
        <w:t>)</w:t>
      </w:r>
      <w:r>
        <w:t xml:space="preserve">  </w:t>
      </w:r>
    </w:p>
    <w:p>
      <w:pPr>
        <w:spacing w:line="360" w:lineRule="auto"/>
      </w:pPr>
    </w:p>
    <w:p>
      <w:pPr>
        <w:spacing w:line="360" w:lineRule="auto"/>
      </w:pPr>
    </w:p>
    <w:p>
      <w:pPr>
        <w:spacing w:line="360" w:lineRule="auto"/>
      </w:pPr>
      <w:r>
        <w:rPr>
          <w:rFonts w:hint="eastAsia"/>
        </w:rPr>
        <w:t>规划设计方：</w:t>
      </w:r>
      <w:r>
        <w:t xml:space="preserve"> </w:t>
      </w:r>
    </w:p>
    <w:p>
      <w:pPr>
        <w:spacing w:line="360" w:lineRule="auto"/>
        <w:rPr>
          <w:rFonts w:hint="eastAsia" w:eastAsia="宋体"/>
          <w:lang w:eastAsia="zh-CN"/>
        </w:rPr>
      </w:pPr>
      <w:r>
        <w:rPr>
          <w:rFonts w:hint="eastAsia"/>
          <w:lang w:eastAsia="zh-CN"/>
        </w:rPr>
        <w:t>(</w:t>
      </w:r>
      <w:r>
        <w:rPr>
          <w:rFonts w:hint="eastAsia"/>
        </w:rPr>
        <w:t>乙方</w:t>
      </w:r>
      <w:r>
        <w:rPr>
          <w:rFonts w:hint="eastAsia"/>
          <w:lang w:eastAsia="zh-CN"/>
        </w:rPr>
        <w:t>)</w:t>
      </w:r>
    </w:p>
    <w:p>
      <w:pPr>
        <w:spacing w:line="360" w:lineRule="auto"/>
      </w:pPr>
    </w:p>
    <w:p>
      <w:pPr>
        <w:tabs>
          <w:tab w:val="left" w:pos="5565"/>
        </w:tabs>
        <w:spacing w:line="360" w:lineRule="auto"/>
      </w:pPr>
    </w:p>
    <w:p>
      <w:pPr>
        <w:tabs>
          <w:tab w:val="left" w:pos="5565"/>
        </w:tabs>
        <w:spacing w:line="360" w:lineRule="auto"/>
        <w:ind w:firstLine="480" w:firstLineChars="200"/>
      </w:pPr>
      <w:r>
        <w:rPr>
          <w:rFonts w:hint="eastAsia"/>
        </w:rPr>
        <w:t>签定地点：成都市</w:t>
      </w:r>
    </w:p>
    <w:p>
      <w:pPr>
        <w:spacing w:line="360" w:lineRule="auto"/>
        <w:ind w:firstLine="480" w:firstLineChars="200"/>
      </w:pPr>
      <w:r>
        <w:rPr>
          <w:rFonts w:hint="eastAsia"/>
        </w:rPr>
        <w:t>项目名称</w:t>
      </w:r>
      <w:r>
        <w:rPr>
          <w:rFonts w:hint="eastAsia"/>
          <w:lang w:eastAsia="zh-CN"/>
        </w:rPr>
        <w:t>(</w:t>
      </w:r>
      <w:r>
        <w:rPr>
          <w:rFonts w:hint="eastAsia"/>
        </w:rPr>
        <w:t>以下简称项目</w:t>
      </w:r>
      <w:r>
        <w:rPr>
          <w:rFonts w:hint="eastAsia"/>
          <w:lang w:eastAsia="zh-CN"/>
        </w:rPr>
        <w:t>)</w:t>
      </w:r>
      <w:r>
        <w:rPr>
          <w:rFonts w:hint="eastAsia"/>
        </w:rPr>
        <w:t>：武侯区老旧小区专项改造规划采购项目</w:t>
      </w:r>
    </w:p>
    <w:p>
      <w:pPr>
        <w:spacing w:line="360" w:lineRule="auto"/>
        <w:ind w:firstLine="480" w:firstLineChars="200"/>
      </w:pPr>
      <w:r>
        <w:rPr>
          <w:rFonts w:hint="eastAsia"/>
        </w:rPr>
        <w:t>委托单位</w:t>
      </w:r>
      <w:r>
        <w:rPr>
          <w:rFonts w:hint="eastAsia"/>
          <w:lang w:eastAsia="zh-CN"/>
        </w:rPr>
        <w:t>(</w:t>
      </w:r>
      <w:r>
        <w:rPr>
          <w:rFonts w:hint="eastAsia"/>
        </w:rPr>
        <w:t>以下简称甲方</w:t>
      </w:r>
      <w:r>
        <w:rPr>
          <w:rFonts w:hint="eastAsia"/>
          <w:lang w:eastAsia="zh-CN"/>
        </w:rPr>
        <w:t>)</w:t>
      </w:r>
      <w:r>
        <w:rPr>
          <w:rFonts w:hint="eastAsia"/>
        </w:rPr>
        <w:t xml:space="preserve">： </w:t>
      </w:r>
    </w:p>
    <w:p>
      <w:pPr>
        <w:spacing w:line="360" w:lineRule="auto"/>
        <w:ind w:firstLine="480" w:firstLineChars="200"/>
      </w:pPr>
      <w:r>
        <w:rPr>
          <w:rFonts w:hint="eastAsia"/>
        </w:rPr>
        <w:t>设计单位</w:t>
      </w:r>
      <w:r>
        <w:rPr>
          <w:rFonts w:hint="eastAsia"/>
          <w:lang w:eastAsia="zh-CN"/>
        </w:rPr>
        <w:t>(</w:t>
      </w:r>
      <w:r>
        <w:rPr>
          <w:rFonts w:hint="eastAsia"/>
        </w:rPr>
        <w:t>以下简称乙方</w:t>
      </w:r>
      <w:r>
        <w:rPr>
          <w:rFonts w:hint="eastAsia"/>
          <w:lang w:eastAsia="zh-CN"/>
        </w:rPr>
        <w:t>)</w:t>
      </w:r>
      <w:r>
        <w:rPr>
          <w:rFonts w:hint="eastAsia"/>
        </w:rPr>
        <w:t xml:space="preserve">： </w:t>
      </w:r>
    </w:p>
    <w:p>
      <w:pPr>
        <w:spacing w:line="360" w:lineRule="auto"/>
        <w:ind w:firstLine="480" w:firstLineChars="200"/>
        <w:sectPr>
          <w:headerReference r:id="rId11" w:type="first"/>
          <w:footerReference r:id="rId13" w:type="first"/>
          <w:headerReference r:id="rId10" w:type="default"/>
          <w:footerReference r:id="rId12" w:type="default"/>
          <w:pgSz w:w="11906" w:h="16838"/>
          <w:pgMar w:top="1440" w:right="1080" w:bottom="1440" w:left="1080" w:header="851" w:footer="992" w:gutter="0"/>
          <w:cols w:space="0" w:num="1"/>
          <w:titlePg/>
          <w:docGrid w:linePitch="312" w:charSpace="0"/>
        </w:sectPr>
      </w:pPr>
    </w:p>
    <w:p>
      <w:pPr>
        <w:spacing w:line="360" w:lineRule="auto"/>
        <w:ind w:firstLine="0" w:firstLineChars="0"/>
      </w:pPr>
    </w:p>
    <w:p>
      <w:pPr>
        <w:spacing w:line="360" w:lineRule="auto"/>
        <w:ind w:firstLine="480" w:firstLineChars="200"/>
      </w:pPr>
      <w:r>
        <w:rPr>
          <w:rFonts w:hint="eastAsia"/>
        </w:rPr>
        <w:t>甲方委托乙方承担武侯区老旧小区专项改造规划采购项目编制服务，经双方协商一致，签订本合同。</w:t>
      </w:r>
    </w:p>
    <w:p>
      <w:pPr>
        <w:spacing w:line="360" w:lineRule="auto"/>
        <w:ind w:right="-100"/>
        <w:outlineLvl w:val="0"/>
      </w:pPr>
      <w:bookmarkStart w:id="505" w:name="_Toc1276"/>
      <w:r>
        <w:rPr>
          <w:rFonts w:hint="eastAsia"/>
        </w:rPr>
        <w:t>第一条  本合同签订依据：</w:t>
      </w:r>
      <w:bookmarkEnd w:id="505"/>
    </w:p>
    <w:p>
      <w:pPr>
        <w:spacing w:line="360" w:lineRule="auto"/>
        <w:ind w:right="-100" w:firstLine="570"/>
      </w:pPr>
      <w:r>
        <w:t>1.1</w:t>
      </w:r>
      <w:r>
        <w:rPr>
          <w:rFonts w:hint="eastAsia"/>
        </w:rPr>
        <w:t xml:space="preserve"> 《中华人民共和国民法典》、《中华人民共和国城乡规划法》。</w:t>
      </w:r>
    </w:p>
    <w:p>
      <w:pPr>
        <w:spacing w:line="360" w:lineRule="auto"/>
        <w:ind w:right="-100" w:firstLine="570"/>
      </w:pPr>
      <w:r>
        <w:t>1.2</w:t>
      </w:r>
      <w:r>
        <w:rPr>
          <w:rFonts w:hint="eastAsia"/>
        </w:rPr>
        <w:t xml:space="preserve"> 国家及地方有关城市规划设计管理法规和规章。</w:t>
      </w:r>
    </w:p>
    <w:p>
      <w:pPr>
        <w:spacing w:line="360" w:lineRule="auto"/>
        <w:ind w:right="-100"/>
        <w:outlineLvl w:val="0"/>
      </w:pPr>
      <w:bookmarkStart w:id="506" w:name="_Toc1779"/>
      <w:r>
        <w:rPr>
          <w:rFonts w:hint="eastAsia"/>
        </w:rPr>
        <w:t>第二条</w:t>
      </w:r>
      <w:r>
        <w:t xml:space="preserve">  </w:t>
      </w:r>
      <w:r>
        <w:rPr>
          <w:rFonts w:hint="eastAsia"/>
        </w:rPr>
        <w:t>甲方向乙方提供的技术资料和工作条件</w:t>
      </w:r>
      <w:bookmarkEnd w:id="506"/>
    </w:p>
    <w:p>
      <w:pPr>
        <w:spacing w:line="360" w:lineRule="auto"/>
        <w:ind w:firstLine="480" w:firstLineChars="200"/>
      </w:pPr>
      <w:r>
        <w:rPr>
          <w:rFonts w:hint="eastAsia"/>
        </w:rPr>
        <w:t>本项目甲方协助乙方收集主要技术资料，且乙方可在项目内对其进行复制和使用，技术资料根据沟通协调会确定。</w:t>
      </w:r>
    </w:p>
    <w:p>
      <w:pPr>
        <w:pStyle w:val="15"/>
        <w:spacing w:line="380" w:lineRule="exact"/>
        <w:ind w:firstLine="482"/>
        <w:rPr>
          <w:sz w:val="24"/>
          <w:szCs w:val="24"/>
        </w:rPr>
      </w:pPr>
      <w:r>
        <w:rPr>
          <w:rFonts w:hint="eastAsia"/>
          <w:sz w:val="24"/>
          <w:szCs w:val="24"/>
        </w:rPr>
        <w:t>第三条 工作内容</w:t>
      </w:r>
    </w:p>
    <w:p>
      <w:pPr>
        <w:spacing w:line="360" w:lineRule="auto"/>
        <w:ind w:firstLine="487" w:firstLineChars="203"/>
      </w:pPr>
      <w:r>
        <w:rPr>
          <w:rFonts w:hint="eastAsia"/>
        </w:rPr>
        <w:t>3.1项目范围：</w:t>
      </w:r>
    </w:p>
    <w:p>
      <w:pPr>
        <w:spacing w:line="360" w:lineRule="auto"/>
        <w:ind w:firstLine="480" w:firstLineChars="200"/>
      </w:pPr>
      <w:r>
        <w:rPr>
          <w:rFonts w:hint="eastAsia"/>
        </w:rPr>
        <w:t>武侯区老旧小区专项改造规划项目范围为武侯区全域，总面积约75.36平方公里。</w:t>
      </w:r>
    </w:p>
    <w:p>
      <w:pPr>
        <w:spacing w:line="360" w:lineRule="auto"/>
        <w:ind w:firstLine="487" w:firstLineChars="203"/>
      </w:pPr>
      <w:r>
        <w:rPr>
          <w:rFonts w:hint="eastAsia"/>
        </w:rPr>
        <w:t>3.2规划编制服务要求</w:t>
      </w:r>
    </w:p>
    <w:p>
      <w:pPr>
        <w:spacing w:line="360" w:lineRule="auto"/>
        <w:ind w:firstLine="480" w:firstLineChars="200"/>
        <w:rPr>
          <w:bCs/>
          <w:caps/>
        </w:rPr>
      </w:pPr>
      <w:r>
        <w:rPr>
          <w:rFonts w:hint="eastAsia"/>
          <w:bCs/>
          <w:caps/>
        </w:rPr>
        <w:t>为贯彻落实国务院办公厅《关于全面推进城镇老旧小区改造工作的指导意见》、</w:t>
      </w:r>
      <w:r>
        <w:rPr>
          <w:bCs/>
          <w:caps/>
        </w:rPr>
        <w:t>四川省</w:t>
      </w:r>
      <w:r>
        <w:rPr>
          <w:rFonts w:hint="eastAsia"/>
          <w:bCs/>
          <w:caps/>
        </w:rPr>
        <w:t>住房</w:t>
      </w:r>
      <w:r>
        <w:rPr>
          <w:bCs/>
          <w:caps/>
        </w:rPr>
        <w:t>和城乡建设厅</w:t>
      </w:r>
      <w:r>
        <w:rPr>
          <w:rFonts w:hint="eastAsia"/>
          <w:bCs/>
          <w:caps/>
        </w:rPr>
        <w:t>《</w:t>
      </w:r>
      <w:r>
        <w:rPr>
          <w:bCs/>
          <w:caps/>
        </w:rPr>
        <w:t>关于</w:t>
      </w:r>
      <w:r>
        <w:rPr>
          <w:rFonts w:hint="eastAsia"/>
          <w:bCs/>
          <w:caps/>
        </w:rPr>
        <w:t>做好</w:t>
      </w:r>
      <w:r>
        <w:rPr>
          <w:bCs/>
          <w:caps/>
        </w:rPr>
        <w:t>城镇老旧小区专项改造规划编制工作的通知</w:t>
      </w:r>
      <w:r>
        <w:rPr>
          <w:rFonts w:hint="eastAsia"/>
          <w:bCs/>
          <w:caps/>
        </w:rPr>
        <w:t>》的</w:t>
      </w:r>
      <w:r>
        <w:rPr>
          <w:bCs/>
          <w:caps/>
        </w:rPr>
        <w:t>相关要求</w:t>
      </w:r>
      <w:r>
        <w:rPr>
          <w:rFonts w:hint="eastAsia"/>
          <w:bCs/>
          <w:caps/>
        </w:rPr>
        <w:t>，</w:t>
      </w:r>
      <w:r>
        <w:rPr>
          <w:bCs/>
          <w:caps/>
        </w:rPr>
        <w:t>落实</w:t>
      </w:r>
      <w:r>
        <w:rPr>
          <w:rFonts w:hint="eastAsia"/>
          <w:bCs/>
          <w:caps/>
        </w:rPr>
        <w:t>中共成都市委十三届八次全会暨市委经济工作会议精神，深入推进“幸福美好生活十大工程”，全面完成老旧小区改造，加快推动社区商业重整布局，不断提升城市治理水平，改善人居环境，</w:t>
      </w:r>
      <w:r>
        <w:rPr>
          <w:bCs/>
          <w:caps/>
        </w:rPr>
        <w:t>结合</w:t>
      </w:r>
      <w:r>
        <w:rPr>
          <w:rFonts w:hint="eastAsia"/>
          <w:bCs/>
          <w:caps/>
        </w:rPr>
        <w:t>武侯</w:t>
      </w:r>
      <w:r>
        <w:rPr>
          <w:bCs/>
          <w:caps/>
        </w:rPr>
        <w:t>区的实际情况</w:t>
      </w:r>
      <w:r>
        <w:rPr>
          <w:rFonts w:hint="eastAsia"/>
          <w:bCs/>
          <w:caps/>
        </w:rPr>
        <w:t>，开展《</w:t>
      </w:r>
      <w:r>
        <w:rPr>
          <w:rFonts w:hint="eastAsia"/>
        </w:rPr>
        <w:t>武侯区老旧小区专项改造规划</w:t>
      </w:r>
      <w:r>
        <w:rPr>
          <w:rFonts w:hint="eastAsia"/>
          <w:bCs/>
          <w:caps/>
        </w:rPr>
        <w:t>》项目的编制。主要包括以下内容：</w:t>
      </w:r>
    </w:p>
    <w:p>
      <w:pPr>
        <w:tabs>
          <w:tab w:val="left" w:pos="1440"/>
        </w:tabs>
        <w:spacing w:line="360" w:lineRule="auto"/>
        <w:ind w:firstLine="480" w:firstLineChars="200"/>
      </w:pPr>
      <w:r>
        <w:rPr>
          <w:rFonts w:hint="eastAsia"/>
          <w:lang w:eastAsia="zh-CN"/>
        </w:rPr>
        <w:t>(</w:t>
      </w:r>
      <w:r>
        <w:rPr>
          <w:rFonts w:hint="eastAsia"/>
        </w:rPr>
        <w:t>1</w:t>
      </w:r>
      <w:r>
        <w:rPr>
          <w:rFonts w:hint="eastAsia"/>
          <w:lang w:eastAsia="zh-CN"/>
        </w:rPr>
        <w:t>)</w:t>
      </w:r>
      <w:r>
        <w:rPr>
          <w:rFonts w:hint="eastAsia"/>
        </w:rPr>
        <w:t>项目</w:t>
      </w:r>
      <w:r>
        <w:t>背景。对</w:t>
      </w:r>
      <w:r>
        <w:rPr>
          <w:rFonts w:hint="eastAsia"/>
        </w:rPr>
        <w:t>国家、</w:t>
      </w:r>
      <w:r>
        <w:t>省</w:t>
      </w:r>
      <w:r>
        <w:rPr>
          <w:rFonts w:hint="eastAsia"/>
        </w:rPr>
        <w:t>、</w:t>
      </w:r>
      <w:r>
        <w:t>市</w:t>
      </w:r>
      <w:r>
        <w:rPr>
          <w:rFonts w:hint="eastAsia"/>
        </w:rPr>
        <w:t>关于</w:t>
      </w:r>
      <w:r>
        <w:t>老旧小区改造</w:t>
      </w:r>
      <w:r>
        <w:rPr>
          <w:rFonts w:hint="eastAsia"/>
        </w:rPr>
        <w:t>工作</w:t>
      </w:r>
      <w:r>
        <w:t>、意见等政策进行分析，</w:t>
      </w:r>
      <w:r>
        <w:rPr>
          <w:rFonts w:hint="eastAsia"/>
        </w:rPr>
        <w:t>总结</w:t>
      </w:r>
      <w:r>
        <w:t>对武侯区</w:t>
      </w:r>
      <w:r>
        <w:rPr>
          <w:rFonts w:hint="eastAsia"/>
        </w:rPr>
        <w:t>老旧小区</w:t>
      </w:r>
      <w:r>
        <w:t>改造的要求。</w:t>
      </w:r>
    </w:p>
    <w:p>
      <w:pPr>
        <w:tabs>
          <w:tab w:val="left" w:pos="1440"/>
        </w:tabs>
        <w:spacing w:line="360" w:lineRule="auto"/>
        <w:ind w:firstLine="480" w:firstLineChars="200"/>
      </w:pPr>
      <w:r>
        <w:rPr>
          <w:rFonts w:hint="eastAsia"/>
          <w:lang w:eastAsia="zh-CN"/>
        </w:rPr>
        <w:t>(</w:t>
      </w:r>
      <w:r>
        <w:t>2</w:t>
      </w:r>
      <w:r>
        <w:rPr>
          <w:rFonts w:hint="eastAsia"/>
          <w:lang w:eastAsia="zh-CN"/>
        </w:rPr>
        <w:t>)</w:t>
      </w:r>
      <w:r>
        <w:rPr>
          <w:rFonts w:hint="eastAsia"/>
        </w:rPr>
        <w:t>对象</w:t>
      </w:r>
      <w:r>
        <w:t>识别及</w:t>
      </w:r>
      <w:r>
        <w:rPr>
          <w:rFonts w:hint="eastAsia"/>
        </w:rPr>
        <w:t>现状</w:t>
      </w:r>
      <w:r>
        <w:t>分析。</w:t>
      </w:r>
      <w:r>
        <w:rPr>
          <w:rFonts w:hint="eastAsia"/>
        </w:rPr>
        <w:t>首先</w:t>
      </w:r>
      <w:r>
        <w:t>，</w:t>
      </w:r>
      <w:r>
        <w:rPr>
          <w:rFonts w:hint="eastAsia"/>
        </w:rPr>
        <w:t>结合老旧小区</w:t>
      </w:r>
      <w:r>
        <w:t>概念识别武侯区老旧小区，明确规划对象</w:t>
      </w:r>
      <w:r>
        <w:rPr>
          <w:rFonts w:hint="eastAsia"/>
        </w:rPr>
        <w:t>及</w:t>
      </w:r>
      <w:r>
        <w:t>其空间分布</w:t>
      </w:r>
      <w:r>
        <w:rPr>
          <w:rFonts w:hint="eastAsia"/>
        </w:rPr>
        <w:t>。其次，在全面摸底调查的基础上，开展</w:t>
      </w:r>
      <w:r>
        <w:t>老旧小区现状分析，</w:t>
      </w:r>
      <w:r>
        <w:rPr>
          <w:rFonts w:hint="eastAsia"/>
        </w:rPr>
        <w:t>评估其空间布局、建筑质量、风貌</w:t>
      </w:r>
      <w:r>
        <w:t>、权属</w:t>
      </w:r>
      <w:r>
        <w:rPr>
          <w:rFonts w:hint="eastAsia"/>
        </w:rPr>
        <w:t>以及改造意愿等方面情况。</w:t>
      </w:r>
    </w:p>
    <w:p>
      <w:pPr>
        <w:tabs>
          <w:tab w:val="left" w:pos="1440"/>
        </w:tabs>
        <w:spacing w:line="360" w:lineRule="auto"/>
        <w:ind w:firstLine="480" w:firstLineChars="200"/>
      </w:pPr>
      <w:r>
        <w:rPr>
          <w:rFonts w:hint="eastAsia"/>
          <w:lang w:eastAsia="zh-CN"/>
        </w:rPr>
        <w:t>(</w:t>
      </w:r>
      <w:r>
        <w:t>3</w:t>
      </w:r>
      <w:r>
        <w:rPr>
          <w:rFonts w:hint="eastAsia"/>
          <w:lang w:eastAsia="zh-CN"/>
        </w:rPr>
        <w:t>)</w:t>
      </w:r>
      <w:r>
        <w:rPr>
          <w:rFonts w:hint="eastAsia"/>
        </w:rPr>
        <w:t>案例借鉴</w:t>
      </w:r>
      <w:r>
        <w:t>。</w:t>
      </w:r>
      <w:r>
        <w:rPr>
          <w:rFonts w:hint="eastAsia"/>
        </w:rPr>
        <w:t>选取</w:t>
      </w:r>
      <w:r>
        <w:t>先进</w:t>
      </w:r>
      <w:r>
        <w:rPr>
          <w:rFonts w:hint="eastAsia"/>
        </w:rPr>
        <w:t>地区老旧小区改造</w:t>
      </w:r>
      <w:r>
        <w:t>案例，</w:t>
      </w:r>
      <w:r>
        <w:rPr>
          <w:rFonts w:hint="eastAsia"/>
        </w:rPr>
        <w:t>总结趋势与</w:t>
      </w:r>
      <w:r>
        <w:t>先进经验。</w:t>
      </w:r>
    </w:p>
    <w:p>
      <w:pPr>
        <w:tabs>
          <w:tab w:val="left" w:pos="1440"/>
        </w:tabs>
        <w:spacing w:line="360" w:lineRule="auto"/>
        <w:ind w:firstLine="480" w:firstLineChars="200"/>
      </w:pPr>
      <w:r>
        <w:rPr>
          <w:rFonts w:hint="eastAsia"/>
          <w:lang w:eastAsia="zh-CN"/>
        </w:rPr>
        <w:t>(</w:t>
      </w:r>
      <w:r>
        <w:t>4</w:t>
      </w:r>
      <w:r>
        <w:rPr>
          <w:rFonts w:hint="eastAsia"/>
          <w:lang w:eastAsia="zh-CN"/>
        </w:rPr>
        <w:t>)</w:t>
      </w:r>
      <w:r>
        <w:rPr>
          <w:rFonts w:hint="eastAsia"/>
        </w:rPr>
        <w:t>目标</w:t>
      </w:r>
      <w:r>
        <w:t>思路。</w:t>
      </w:r>
      <w:r>
        <w:rPr>
          <w:rFonts w:hint="eastAsia"/>
        </w:rPr>
        <w:t>提出武侯区老旧小区改造的目标和</w:t>
      </w:r>
      <w:r>
        <w:t>总体思路</w:t>
      </w:r>
      <w:r>
        <w:rPr>
          <w:rFonts w:hint="eastAsia"/>
        </w:rPr>
        <w:t>。</w:t>
      </w:r>
    </w:p>
    <w:p>
      <w:pPr>
        <w:tabs>
          <w:tab w:val="left" w:pos="1440"/>
        </w:tabs>
        <w:spacing w:line="360" w:lineRule="auto"/>
        <w:ind w:firstLine="480" w:firstLineChars="200"/>
      </w:pPr>
      <w:r>
        <w:rPr>
          <w:rFonts w:hint="eastAsia"/>
          <w:lang w:eastAsia="zh-CN"/>
        </w:rPr>
        <w:t>(</w:t>
      </w:r>
      <w:r>
        <w:rPr>
          <w:rFonts w:hint="eastAsia"/>
        </w:rPr>
        <w:t>5</w:t>
      </w:r>
      <w:r>
        <w:rPr>
          <w:rFonts w:hint="eastAsia"/>
          <w:lang w:eastAsia="zh-CN"/>
        </w:rPr>
        <w:t>)</w:t>
      </w:r>
      <w:r>
        <w:rPr>
          <w:rFonts w:hint="eastAsia"/>
        </w:rPr>
        <w:t>规划布局</w:t>
      </w:r>
      <w:r>
        <w:t>。</w:t>
      </w:r>
      <w:r>
        <w:rPr>
          <w:rFonts w:hint="eastAsia"/>
        </w:rPr>
        <w:t>在现状评估基础上，按照</w:t>
      </w:r>
      <w:r>
        <w:t>社区统筹管理、周边区域联动改造</w:t>
      </w:r>
      <w:r>
        <w:rPr>
          <w:rFonts w:hint="eastAsia"/>
        </w:rPr>
        <w:t>等原则</w:t>
      </w:r>
      <w:r>
        <w:t>划定改造单位，形成</w:t>
      </w:r>
      <w:r>
        <w:rPr>
          <w:rFonts w:hint="eastAsia"/>
        </w:rPr>
        <w:t>改造单元、老旧小区两个层级的空间</w:t>
      </w:r>
      <w:r>
        <w:t>布局</w:t>
      </w:r>
      <w:r>
        <w:rPr>
          <w:rFonts w:hint="eastAsia"/>
        </w:rPr>
        <w:t>。</w:t>
      </w:r>
    </w:p>
    <w:p>
      <w:pPr>
        <w:tabs>
          <w:tab w:val="left" w:pos="1440"/>
        </w:tabs>
        <w:spacing w:line="360" w:lineRule="auto"/>
        <w:ind w:firstLine="480" w:firstLineChars="200"/>
      </w:pPr>
      <w:r>
        <w:rPr>
          <w:rFonts w:hint="eastAsia"/>
          <w:lang w:eastAsia="zh-CN"/>
        </w:rPr>
        <w:t>(</w:t>
      </w:r>
      <w:r>
        <w:rPr>
          <w:rFonts w:hint="eastAsia"/>
        </w:rPr>
        <w:t>6</w:t>
      </w:r>
      <w:r>
        <w:rPr>
          <w:rFonts w:hint="eastAsia"/>
          <w:lang w:eastAsia="zh-CN"/>
        </w:rPr>
        <w:t>)</w:t>
      </w:r>
      <w:r>
        <w:rPr>
          <w:rFonts w:hint="eastAsia"/>
        </w:rPr>
        <w:t>改造单元</w:t>
      </w:r>
      <w:r>
        <w:t>规划。</w:t>
      </w:r>
      <w:r>
        <w:rPr>
          <w:rFonts w:hint="eastAsia"/>
        </w:rPr>
        <w:t>分别从基础设施、道路交通、景观绿化、服务设施、商业服务、历史文化保护等方面对现有资源及服务设施分析评估，依据老旧小区布局、人口、规模及居民需求情况，合理配置相关公共服务设施，活化利用各类资源</w:t>
      </w:r>
      <w:r>
        <w:t>。</w:t>
      </w:r>
      <w:r>
        <w:rPr>
          <w:rFonts w:hint="eastAsia"/>
        </w:rPr>
        <w:t>同时，结合改造单元特征，提出社区商业运作思路，完善商业服务设施空间分布，营造多样化的社区商业场景。</w:t>
      </w:r>
    </w:p>
    <w:p>
      <w:pPr>
        <w:tabs>
          <w:tab w:val="left" w:pos="1440"/>
        </w:tabs>
        <w:spacing w:line="360" w:lineRule="auto"/>
        <w:ind w:firstLine="480" w:firstLineChars="200"/>
      </w:pPr>
      <w:r>
        <w:rPr>
          <w:rFonts w:hint="eastAsia"/>
          <w:lang w:eastAsia="zh-CN"/>
        </w:rPr>
        <w:t>(</w:t>
      </w:r>
      <w:r>
        <w:t>7</w:t>
      </w:r>
      <w:r>
        <w:rPr>
          <w:rFonts w:hint="eastAsia"/>
          <w:lang w:eastAsia="zh-CN"/>
        </w:rPr>
        <w:t>)</w:t>
      </w:r>
      <w:r>
        <w:rPr>
          <w:rFonts w:hint="eastAsia"/>
        </w:rPr>
        <w:t>老旧小区规划</w:t>
      </w:r>
      <w:r>
        <w:t>。</w:t>
      </w:r>
      <w:r>
        <w:rPr>
          <w:rFonts w:hint="eastAsia"/>
        </w:rPr>
        <w:t>分别从基础设施、小区建筑、小区环境、服务设施等方面提出改造设计指引。</w:t>
      </w:r>
    </w:p>
    <w:p>
      <w:pPr>
        <w:tabs>
          <w:tab w:val="left" w:pos="1440"/>
        </w:tabs>
        <w:spacing w:line="360" w:lineRule="auto"/>
        <w:ind w:firstLine="480" w:firstLineChars="200"/>
      </w:pPr>
      <w:r>
        <w:rPr>
          <w:rFonts w:hint="eastAsia"/>
          <w:lang w:eastAsia="zh-CN"/>
        </w:rPr>
        <w:t>(</w:t>
      </w:r>
      <w:r>
        <w:t>8</w:t>
      </w:r>
      <w:r>
        <w:rPr>
          <w:rFonts w:hint="eastAsia"/>
          <w:lang w:eastAsia="zh-CN"/>
        </w:rPr>
        <w:t>)</w:t>
      </w:r>
      <w:r>
        <w:rPr>
          <w:rFonts w:hint="eastAsia"/>
        </w:rPr>
        <w:t>实施保障。结合</w:t>
      </w:r>
      <w:r>
        <w:t>武侯区</w:t>
      </w:r>
      <w:r>
        <w:rPr>
          <w:rFonts w:hint="eastAsia"/>
        </w:rPr>
        <w:t>实际</w:t>
      </w:r>
      <w:r>
        <w:t>，提</w:t>
      </w:r>
      <w:r>
        <w:rPr>
          <w:rFonts w:hint="eastAsia"/>
        </w:rPr>
        <w:t>出</w:t>
      </w:r>
      <w:r>
        <w:t>老旧小区改造的政策保障及建议</w:t>
      </w:r>
      <w:r>
        <w:rPr>
          <w:rFonts w:hint="eastAsia"/>
        </w:rPr>
        <w:t>。</w:t>
      </w:r>
    </w:p>
    <w:p>
      <w:pPr>
        <w:spacing w:line="360" w:lineRule="auto"/>
        <w:ind w:firstLine="487" w:firstLineChars="203"/>
      </w:pPr>
      <w:r>
        <w:rPr>
          <w:rFonts w:hint="eastAsia"/>
        </w:rPr>
        <w:t>3.3成果要求</w:t>
      </w:r>
    </w:p>
    <w:p>
      <w:pPr>
        <w:tabs>
          <w:tab w:val="left" w:pos="1440"/>
        </w:tabs>
        <w:spacing w:line="360" w:lineRule="auto"/>
        <w:ind w:firstLine="480" w:firstLineChars="200"/>
        <w:rPr>
          <w:rFonts w:cs="宋体"/>
        </w:rPr>
      </w:pPr>
      <w:r>
        <w:rPr>
          <w:rFonts w:hint="eastAsia" w:cs="宋体"/>
          <w:lang w:eastAsia="zh-CN"/>
        </w:rPr>
        <w:t>(</w:t>
      </w:r>
      <w:r>
        <w:rPr>
          <w:rFonts w:hint="eastAsia" w:cs="宋体"/>
        </w:rPr>
        <w:t>1</w:t>
      </w:r>
      <w:r>
        <w:rPr>
          <w:rFonts w:hint="eastAsia" w:cs="宋体"/>
          <w:lang w:eastAsia="zh-CN"/>
        </w:rPr>
        <w:t>)</w:t>
      </w:r>
      <w:r>
        <w:rPr>
          <w:rFonts w:hint="eastAsia" w:cs="宋体"/>
        </w:rPr>
        <w:t>设计成果内容：图文合订本，须涵盖规划</w:t>
      </w:r>
      <w:r>
        <w:rPr>
          <w:rFonts w:cs="宋体"/>
        </w:rPr>
        <w:t>成果质量要求中所</w:t>
      </w:r>
      <w:r>
        <w:rPr>
          <w:rFonts w:hint="eastAsia" w:cs="宋体"/>
        </w:rPr>
        <w:t>要求</w:t>
      </w:r>
      <w:r>
        <w:rPr>
          <w:rFonts w:cs="宋体"/>
        </w:rPr>
        <w:t>的内容</w:t>
      </w:r>
      <w:r>
        <w:rPr>
          <w:rFonts w:hint="eastAsia" w:cs="宋体"/>
        </w:rPr>
        <w:t>。</w:t>
      </w:r>
    </w:p>
    <w:p>
      <w:pPr>
        <w:tabs>
          <w:tab w:val="left" w:pos="1440"/>
        </w:tabs>
        <w:spacing w:line="360" w:lineRule="auto"/>
        <w:ind w:firstLine="480" w:firstLineChars="200"/>
        <w:rPr>
          <w:rFonts w:cs="宋体"/>
        </w:rPr>
      </w:pPr>
      <w:r>
        <w:rPr>
          <w:rFonts w:hint="eastAsia" w:cs="宋体"/>
          <w:lang w:eastAsia="zh-CN"/>
        </w:rPr>
        <w:t>(</w:t>
      </w:r>
      <w:r>
        <w:rPr>
          <w:rFonts w:hint="eastAsia" w:cs="宋体"/>
        </w:rPr>
        <w:t>2</w:t>
      </w:r>
      <w:r>
        <w:rPr>
          <w:rFonts w:hint="eastAsia" w:cs="宋体"/>
          <w:lang w:eastAsia="zh-CN"/>
        </w:rPr>
        <w:t>)</w:t>
      </w:r>
      <w:r>
        <w:rPr>
          <w:rFonts w:hint="eastAsia" w:cs="宋体"/>
        </w:rPr>
        <w:t>成果形式：汇报演示文件及图文合订本采用Power Point编制。</w:t>
      </w:r>
    </w:p>
    <w:p>
      <w:pPr>
        <w:tabs>
          <w:tab w:val="left" w:pos="1440"/>
        </w:tabs>
        <w:spacing w:line="360" w:lineRule="auto"/>
        <w:ind w:firstLine="480" w:firstLineChars="200"/>
        <w:rPr>
          <w:rFonts w:cs="宋体"/>
        </w:rPr>
      </w:pPr>
      <w:r>
        <w:rPr>
          <w:rFonts w:hint="eastAsia" w:cs="宋体"/>
          <w:lang w:eastAsia="zh-CN"/>
        </w:rPr>
        <w:t>(</w:t>
      </w:r>
      <w:r>
        <w:rPr>
          <w:rFonts w:hint="eastAsia" w:cs="宋体"/>
        </w:rPr>
        <w:t>3</w:t>
      </w:r>
      <w:r>
        <w:rPr>
          <w:rFonts w:hint="eastAsia" w:cs="宋体"/>
          <w:lang w:eastAsia="zh-CN"/>
        </w:rPr>
        <w:t>)</w:t>
      </w:r>
      <w:r>
        <w:rPr>
          <w:rFonts w:hint="eastAsia" w:cs="宋体"/>
        </w:rPr>
        <w:t>向甲方交付的规划文件：送审成果为图文合订本一式四份；正式成果为图文合订本一式六份，刻录光盘两张。</w:t>
      </w:r>
    </w:p>
    <w:p>
      <w:pPr>
        <w:spacing w:line="360" w:lineRule="auto"/>
        <w:ind w:firstLine="480" w:firstLineChars="200"/>
      </w:pPr>
      <w:r>
        <w:t>3.4规划工作时间：合同签订，资料齐备，收到首付款后于3个</w:t>
      </w:r>
      <w:r>
        <w:rPr>
          <w:rFonts w:hint="eastAsia"/>
          <w:lang w:val="en-US" w:eastAsia="zh-CN"/>
        </w:rPr>
        <w:t>月</w:t>
      </w:r>
      <w:r>
        <w:t>内提交送审成果；经</w:t>
      </w:r>
      <w:r>
        <w:rPr>
          <w:rFonts w:hint="eastAsia"/>
        </w:rPr>
        <w:t>相关</w:t>
      </w:r>
      <w:r>
        <w:t>审查通过后7个工作日内向甲方提交正式成果。</w:t>
      </w:r>
    </w:p>
    <w:p>
      <w:pPr>
        <w:pStyle w:val="3"/>
        <w:spacing w:line="360" w:lineRule="auto"/>
        <w:ind w:firstLine="480" w:firstLineChars="200"/>
        <w:jc w:val="both"/>
        <w:rPr>
          <w:b w:val="0"/>
          <w:kern w:val="0"/>
          <w:sz w:val="24"/>
        </w:rPr>
      </w:pPr>
      <w:bookmarkStart w:id="507" w:name="_Toc26633"/>
      <w:r>
        <w:rPr>
          <w:rFonts w:hint="eastAsia"/>
          <w:b w:val="0"/>
          <w:kern w:val="0"/>
          <w:sz w:val="24"/>
        </w:rPr>
        <w:t>第四条  报酬及支付方式</w:t>
      </w:r>
      <w:bookmarkEnd w:id="507"/>
    </w:p>
    <w:p>
      <w:pPr>
        <w:spacing w:line="360" w:lineRule="auto"/>
        <w:ind w:firstLine="480" w:firstLineChars="200"/>
      </w:pPr>
      <w:r>
        <w:t>4.1</w:t>
      </w:r>
      <w:r>
        <w:rPr>
          <w:rFonts w:hint="eastAsia"/>
        </w:rPr>
        <w:t xml:space="preserve"> 服务费用：</w:t>
      </w:r>
    </w:p>
    <w:p>
      <w:pPr>
        <w:pStyle w:val="70"/>
        <w:spacing w:line="360" w:lineRule="auto"/>
        <w:ind w:firstLine="480" w:firstLineChars="200"/>
        <w:rPr>
          <w:rFonts w:ascii="宋体" w:hAnsi="宋体"/>
          <w:kern w:val="0"/>
          <w:sz w:val="24"/>
        </w:rPr>
      </w:pPr>
      <w:r>
        <w:rPr>
          <w:rFonts w:hint="eastAsia" w:ascii="宋体" w:hAnsi="宋体"/>
          <w:kern w:val="0"/>
          <w:sz w:val="24"/>
        </w:rPr>
        <w:t>甲方向乙方支付本项目服务费为¥</w:t>
      </w:r>
      <w:r>
        <w:rPr>
          <w:rFonts w:hint="eastAsia" w:ascii="宋体" w:hAnsi="宋体"/>
          <w:kern w:val="0"/>
          <w:sz w:val="24"/>
          <w:u w:val="single"/>
        </w:rPr>
        <w:t xml:space="preserve">     </w:t>
      </w:r>
      <w:r>
        <w:rPr>
          <w:rFonts w:ascii="宋体" w:hAnsi="宋体"/>
          <w:kern w:val="0"/>
          <w:sz w:val="24"/>
        </w:rPr>
        <w:t>元</w:t>
      </w:r>
      <w:r>
        <w:rPr>
          <w:rFonts w:hint="eastAsia" w:ascii="宋体" w:hAnsi="宋体"/>
          <w:kern w:val="0"/>
          <w:sz w:val="24"/>
          <w:lang w:eastAsia="zh-CN"/>
        </w:rPr>
        <w:t>(</w:t>
      </w:r>
      <w:r>
        <w:rPr>
          <w:rFonts w:ascii="宋体" w:hAnsi="宋体"/>
          <w:kern w:val="0"/>
          <w:sz w:val="24"/>
        </w:rPr>
        <w:t>大写：人民币</w:t>
      </w:r>
      <w:r>
        <w:rPr>
          <w:rFonts w:hint="eastAsia" w:ascii="宋体" w:hAnsi="宋体"/>
          <w:kern w:val="0"/>
          <w:sz w:val="24"/>
          <w:u w:val="single"/>
        </w:rPr>
        <w:t xml:space="preserve">    </w:t>
      </w:r>
      <w:r>
        <w:rPr>
          <w:rFonts w:ascii="宋体" w:hAnsi="宋体"/>
          <w:kern w:val="0"/>
          <w:sz w:val="24"/>
        </w:rPr>
        <w:t>元整</w:t>
      </w:r>
      <w:r>
        <w:rPr>
          <w:rFonts w:hint="eastAsia" w:ascii="宋体" w:hAnsi="宋体"/>
          <w:kern w:val="0"/>
          <w:sz w:val="24"/>
          <w:lang w:eastAsia="zh-CN"/>
        </w:rPr>
        <w:t>)</w:t>
      </w:r>
      <w:r>
        <w:rPr>
          <w:rFonts w:ascii="宋体" w:hAnsi="宋体"/>
          <w:kern w:val="0"/>
          <w:sz w:val="24"/>
        </w:rPr>
        <w:t>。</w:t>
      </w:r>
    </w:p>
    <w:p>
      <w:pPr>
        <w:spacing w:line="360" w:lineRule="auto"/>
        <w:ind w:firstLine="480" w:firstLineChars="200"/>
      </w:pPr>
      <w:r>
        <w:t>4.2</w:t>
      </w:r>
      <w:r>
        <w:rPr>
          <w:rFonts w:hint="eastAsia"/>
        </w:rPr>
        <w:t>乙方应向甲方提交合法、有效的完税发票，否则，甲方有权拒绝付款。</w:t>
      </w:r>
    </w:p>
    <w:p>
      <w:pPr>
        <w:spacing w:line="360" w:lineRule="auto"/>
        <w:ind w:firstLine="480" w:firstLineChars="200"/>
      </w:pPr>
      <w:r>
        <w:t>4.3</w:t>
      </w:r>
      <w:r>
        <w:rPr>
          <w:rFonts w:hint="eastAsia"/>
        </w:rPr>
        <w:t>服务费支付方法：</w:t>
      </w:r>
    </w:p>
    <w:tbl>
      <w:tblPr>
        <w:tblStyle w:val="20"/>
        <w:tblW w:w="9435" w:type="dxa"/>
        <w:jc w:val="center"/>
        <w:tblCellSpacing w:w="0" w:type="dxa"/>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Layout w:type="fixed"/>
        <w:tblCellMar>
          <w:top w:w="45" w:type="dxa"/>
          <w:left w:w="45" w:type="dxa"/>
          <w:bottom w:w="45" w:type="dxa"/>
          <w:right w:w="45" w:type="dxa"/>
        </w:tblCellMar>
      </w:tblPr>
      <w:tblGrid>
        <w:gridCol w:w="1341"/>
        <w:gridCol w:w="2374"/>
        <w:gridCol w:w="1920"/>
        <w:gridCol w:w="3800"/>
      </w:tblGrid>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rHeight w:val="819" w:hRule="atLeast"/>
          <w:tblCellSpacing w:w="0" w:type="dxa"/>
          <w:jc w:val="center"/>
        </w:trPr>
        <w:tc>
          <w:tcPr>
            <w:tcW w:w="1341"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sz w:val="21"/>
                <w:szCs w:val="21"/>
              </w:rPr>
              <w:t>付费次序</w:t>
            </w:r>
          </w:p>
        </w:tc>
        <w:tc>
          <w:tcPr>
            <w:tcW w:w="2374"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rFonts w:hint="eastAsia" w:eastAsia="宋体"/>
                <w:sz w:val="21"/>
                <w:szCs w:val="21"/>
                <w:lang w:eastAsia="zh-CN"/>
              </w:rPr>
            </w:pPr>
            <w:r>
              <w:rPr>
                <w:sz w:val="21"/>
                <w:szCs w:val="21"/>
              </w:rPr>
              <w:t>占</w:t>
            </w:r>
            <w:r>
              <w:rPr>
                <w:rFonts w:hint="eastAsia"/>
                <w:sz w:val="21"/>
                <w:szCs w:val="21"/>
              </w:rPr>
              <w:t>合同金额</w:t>
            </w:r>
            <w:r>
              <w:rPr>
                <w:rFonts w:hint="eastAsia"/>
                <w:sz w:val="21"/>
                <w:szCs w:val="21"/>
                <w:lang w:eastAsia="zh-CN"/>
              </w:rPr>
              <w:t>(</w:t>
            </w:r>
            <w:r>
              <w:rPr>
                <w:sz w:val="21"/>
                <w:szCs w:val="21"/>
              </w:rPr>
              <w:t>％</w:t>
            </w:r>
            <w:r>
              <w:rPr>
                <w:rFonts w:hint="eastAsia"/>
                <w:sz w:val="21"/>
                <w:szCs w:val="21"/>
                <w:lang w:eastAsia="zh-CN"/>
              </w:rPr>
              <w:t>)</w:t>
            </w:r>
          </w:p>
        </w:tc>
        <w:tc>
          <w:tcPr>
            <w:tcW w:w="1920"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rFonts w:hint="eastAsia"/>
                <w:sz w:val="21"/>
                <w:szCs w:val="21"/>
              </w:rPr>
              <w:t>实际</w:t>
            </w:r>
            <w:r>
              <w:rPr>
                <w:sz w:val="21"/>
                <w:szCs w:val="21"/>
              </w:rPr>
              <w:t>付费额</w:t>
            </w:r>
          </w:p>
        </w:tc>
        <w:tc>
          <w:tcPr>
            <w:tcW w:w="3800"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sz w:val="21"/>
                <w:szCs w:val="21"/>
              </w:rPr>
              <w:t>付费时间</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rHeight w:val="784" w:hRule="atLeast"/>
          <w:tblCellSpacing w:w="0" w:type="dxa"/>
          <w:jc w:val="center"/>
        </w:trPr>
        <w:tc>
          <w:tcPr>
            <w:tcW w:w="1341"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sz w:val="21"/>
                <w:szCs w:val="21"/>
              </w:rPr>
              <w:t>第</w:t>
            </w:r>
            <w:r>
              <w:rPr>
                <w:rFonts w:hint="eastAsia"/>
                <w:sz w:val="21"/>
                <w:szCs w:val="21"/>
              </w:rPr>
              <w:t>一</w:t>
            </w:r>
            <w:r>
              <w:rPr>
                <w:sz w:val="21"/>
                <w:szCs w:val="21"/>
              </w:rPr>
              <w:t>次付费</w:t>
            </w:r>
          </w:p>
        </w:tc>
        <w:tc>
          <w:tcPr>
            <w:tcW w:w="2374"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ind w:firstLine="840" w:firstLineChars="400"/>
              <w:rPr>
                <w:sz w:val="21"/>
                <w:szCs w:val="21"/>
              </w:rPr>
            </w:pPr>
            <w:r>
              <w:rPr>
                <w:rFonts w:hint="eastAsia"/>
                <w:sz w:val="21"/>
                <w:szCs w:val="21"/>
              </w:rPr>
              <w:t>50%</w:t>
            </w:r>
          </w:p>
        </w:tc>
        <w:tc>
          <w:tcPr>
            <w:tcW w:w="1920"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sz w:val="21"/>
                <w:szCs w:val="21"/>
              </w:rPr>
              <w:t>-</w:t>
            </w:r>
          </w:p>
        </w:tc>
        <w:tc>
          <w:tcPr>
            <w:tcW w:w="3800"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rPr>
                <w:sz w:val="21"/>
                <w:szCs w:val="21"/>
              </w:rPr>
            </w:pPr>
            <w:r>
              <w:rPr>
                <w:rFonts w:hint="eastAsia" w:hAnsi="宋体"/>
                <w:sz w:val="21"/>
                <w:szCs w:val="21"/>
              </w:rPr>
              <w:t>本合同签订之日起7个工作日内</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rHeight w:val="844" w:hRule="atLeast"/>
          <w:tblCellSpacing w:w="0" w:type="dxa"/>
          <w:jc w:val="center"/>
        </w:trPr>
        <w:tc>
          <w:tcPr>
            <w:tcW w:w="1341"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sz w:val="21"/>
                <w:szCs w:val="21"/>
              </w:rPr>
              <w:t>第</w:t>
            </w:r>
            <w:r>
              <w:rPr>
                <w:rFonts w:hint="eastAsia"/>
                <w:sz w:val="21"/>
                <w:szCs w:val="21"/>
              </w:rPr>
              <w:t>二</w:t>
            </w:r>
            <w:r>
              <w:rPr>
                <w:sz w:val="21"/>
                <w:szCs w:val="21"/>
              </w:rPr>
              <w:t>次付费</w:t>
            </w:r>
          </w:p>
        </w:tc>
        <w:tc>
          <w:tcPr>
            <w:tcW w:w="2374"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rFonts w:hAnsi="宋体"/>
                <w:sz w:val="21"/>
                <w:szCs w:val="21"/>
              </w:rPr>
              <w:t>40</w:t>
            </w:r>
            <w:r>
              <w:rPr>
                <w:rFonts w:hint="eastAsia" w:hAnsi="宋体"/>
                <w:sz w:val="21"/>
                <w:szCs w:val="21"/>
              </w:rPr>
              <w:t>%</w:t>
            </w:r>
          </w:p>
        </w:tc>
        <w:tc>
          <w:tcPr>
            <w:tcW w:w="1920"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sz w:val="21"/>
                <w:szCs w:val="21"/>
              </w:rPr>
              <w:t>-</w:t>
            </w:r>
          </w:p>
        </w:tc>
        <w:tc>
          <w:tcPr>
            <w:tcW w:w="3800" w:type="dxa"/>
            <w:tcBorders>
              <w:top w:val="outset" w:color="CCCCCC" w:sz="6" w:space="0"/>
              <w:left w:val="outset" w:color="CCCCCC" w:sz="6" w:space="0"/>
              <w:bottom w:val="outset" w:color="CCCCCC" w:sz="6" w:space="0"/>
              <w:right w:val="outset" w:color="CCCCCC" w:sz="6" w:space="0"/>
            </w:tcBorders>
            <w:vAlign w:val="center"/>
          </w:tcPr>
          <w:p>
            <w:pPr>
              <w:spacing w:line="360" w:lineRule="auto"/>
              <w:rPr>
                <w:sz w:val="21"/>
                <w:szCs w:val="21"/>
              </w:rPr>
            </w:pPr>
            <w:r>
              <w:rPr>
                <w:rFonts w:hint="eastAsia"/>
                <w:sz w:val="21"/>
                <w:szCs w:val="21"/>
              </w:rPr>
              <w:t>项目经相关审查通过后7个工作日内</w:t>
            </w:r>
          </w:p>
        </w:tc>
      </w:tr>
      <w:tr>
        <w:tblPrEx>
          <w:tblBorders>
            <w:top w:val="outset" w:color="CCCCCC" w:sz="6" w:space="0"/>
            <w:left w:val="outset" w:color="CCCCCC" w:sz="6" w:space="0"/>
            <w:bottom w:val="outset" w:color="CCCCCC" w:sz="6" w:space="0"/>
            <w:right w:val="outset" w:color="CCCCCC" w:sz="6" w:space="0"/>
            <w:insideH w:val="none" w:color="auto" w:sz="0" w:space="0"/>
            <w:insideV w:val="none" w:color="auto" w:sz="0" w:space="0"/>
          </w:tblBorders>
          <w:tblCellMar>
            <w:top w:w="45" w:type="dxa"/>
            <w:left w:w="45" w:type="dxa"/>
            <w:bottom w:w="45" w:type="dxa"/>
            <w:right w:w="45" w:type="dxa"/>
          </w:tblCellMar>
        </w:tblPrEx>
        <w:trPr>
          <w:trHeight w:val="1162" w:hRule="atLeast"/>
          <w:tblCellSpacing w:w="0" w:type="dxa"/>
          <w:jc w:val="center"/>
        </w:trPr>
        <w:tc>
          <w:tcPr>
            <w:tcW w:w="1341"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sz w:val="21"/>
                <w:szCs w:val="21"/>
              </w:rPr>
              <w:t>第</w:t>
            </w:r>
            <w:r>
              <w:rPr>
                <w:rFonts w:hint="eastAsia"/>
                <w:sz w:val="21"/>
                <w:szCs w:val="21"/>
              </w:rPr>
              <w:t>三</w:t>
            </w:r>
            <w:r>
              <w:rPr>
                <w:sz w:val="21"/>
                <w:szCs w:val="21"/>
              </w:rPr>
              <w:t>次付费</w:t>
            </w:r>
          </w:p>
        </w:tc>
        <w:tc>
          <w:tcPr>
            <w:tcW w:w="2374"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sz w:val="21"/>
                <w:szCs w:val="21"/>
              </w:rPr>
              <w:t>10</w:t>
            </w:r>
            <w:r>
              <w:rPr>
                <w:rFonts w:hint="eastAsia"/>
                <w:sz w:val="21"/>
                <w:szCs w:val="21"/>
              </w:rPr>
              <w:t>%</w:t>
            </w:r>
          </w:p>
        </w:tc>
        <w:tc>
          <w:tcPr>
            <w:tcW w:w="1920" w:type="dxa"/>
            <w:tcBorders>
              <w:top w:val="outset" w:color="CCCCCC" w:sz="6" w:space="0"/>
              <w:left w:val="outset" w:color="CCCCCC" w:sz="6" w:space="0"/>
              <w:bottom w:val="outset" w:color="CCCCCC" w:sz="6" w:space="0"/>
              <w:right w:val="outset" w:color="CCCCCC" w:sz="6" w:space="0"/>
            </w:tcBorders>
            <w:vAlign w:val="center"/>
          </w:tcPr>
          <w:p>
            <w:pPr>
              <w:pStyle w:val="71"/>
              <w:spacing w:line="460" w:lineRule="exact"/>
              <w:jc w:val="center"/>
              <w:rPr>
                <w:sz w:val="21"/>
                <w:szCs w:val="21"/>
              </w:rPr>
            </w:pPr>
            <w:r>
              <w:rPr>
                <w:sz w:val="21"/>
                <w:szCs w:val="21"/>
              </w:rPr>
              <w:t>-</w:t>
            </w:r>
          </w:p>
        </w:tc>
        <w:tc>
          <w:tcPr>
            <w:tcW w:w="3800" w:type="dxa"/>
            <w:tcBorders>
              <w:top w:val="outset" w:color="CCCCCC" w:sz="6" w:space="0"/>
              <w:left w:val="outset" w:color="CCCCCC" w:sz="6" w:space="0"/>
              <w:bottom w:val="outset" w:color="CCCCCC" w:sz="6" w:space="0"/>
              <w:right w:val="outset" w:color="CCCCCC" w:sz="6" w:space="0"/>
            </w:tcBorders>
            <w:vAlign w:val="center"/>
          </w:tcPr>
          <w:p>
            <w:pPr>
              <w:pStyle w:val="71"/>
              <w:spacing w:line="300" w:lineRule="exact"/>
              <w:rPr>
                <w:sz w:val="21"/>
                <w:szCs w:val="21"/>
              </w:rPr>
            </w:pPr>
            <w:r>
              <w:rPr>
                <w:rFonts w:hint="eastAsia" w:hAnsi="宋体"/>
                <w:sz w:val="21"/>
                <w:szCs w:val="21"/>
              </w:rPr>
              <w:t>提交正式规划设计纸质成果后7个工作日内。乙方</w:t>
            </w:r>
            <w:r>
              <w:rPr>
                <w:rFonts w:hAnsi="宋体"/>
                <w:sz w:val="21"/>
                <w:szCs w:val="21"/>
              </w:rPr>
              <w:t>在收到全部规划设计费用后</w:t>
            </w:r>
            <w:r>
              <w:rPr>
                <w:rFonts w:hint="eastAsia" w:hAnsi="宋体"/>
                <w:sz w:val="21"/>
                <w:szCs w:val="21"/>
              </w:rPr>
              <w:t>7个</w:t>
            </w:r>
            <w:r>
              <w:rPr>
                <w:rFonts w:hAnsi="宋体"/>
                <w:sz w:val="21"/>
                <w:szCs w:val="21"/>
              </w:rPr>
              <w:t>工作日内提供电子文件。</w:t>
            </w:r>
          </w:p>
        </w:tc>
      </w:tr>
    </w:tbl>
    <w:p>
      <w:pPr>
        <w:spacing w:line="360" w:lineRule="auto"/>
      </w:pPr>
      <w:r>
        <w:t>4</w:t>
      </w:r>
      <w:r>
        <w:rPr>
          <w:rFonts w:hint="eastAsia"/>
        </w:rPr>
        <w:t>.4其他辅助收费：</w:t>
      </w:r>
    </w:p>
    <w:p>
      <w:pPr>
        <w:spacing w:line="360" w:lineRule="auto"/>
        <w:ind w:firstLine="600" w:firstLineChars="250"/>
      </w:pPr>
      <w:r>
        <w:rPr>
          <w:rFonts w:hint="eastAsia"/>
        </w:rPr>
        <w:t>如果甲方要求制作实体模型、三维动画等其他本合同第五条约定以外的专业工作成果，乙方有义务配合进行。具体费用由双方根据具体情况商定。</w:t>
      </w:r>
    </w:p>
    <w:p>
      <w:pPr>
        <w:spacing w:line="360" w:lineRule="auto"/>
        <w:ind w:right="-100" w:firstLine="570"/>
        <w:outlineLvl w:val="0"/>
      </w:pPr>
      <w:bookmarkStart w:id="508" w:name="_Toc15303"/>
      <w:r>
        <w:rPr>
          <w:rFonts w:hint="eastAsia"/>
        </w:rPr>
        <w:t>第五条  双方责任</w:t>
      </w:r>
      <w:bookmarkEnd w:id="508"/>
    </w:p>
    <w:p>
      <w:pPr>
        <w:spacing w:line="360" w:lineRule="auto"/>
        <w:ind w:right="-100" w:firstLine="480" w:firstLineChars="200"/>
      </w:pPr>
      <w:r>
        <w:t>5.1</w:t>
      </w:r>
      <w:r>
        <w:rPr>
          <w:rFonts w:hint="eastAsia"/>
        </w:rPr>
        <w:t xml:space="preserve"> 甲方责任</w:t>
      </w:r>
    </w:p>
    <w:p>
      <w:pPr>
        <w:spacing w:line="360" w:lineRule="auto"/>
        <w:ind w:right="-100" w:firstLine="480" w:firstLineChars="200"/>
      </w:pPr>
      <w:r>
        <w:t>5.1.1</w:t>
      </w:r>
      <w:r>
        <w:rPr>
          <w:rFonts w:hint="eastAsia"/>
        </w:rPr>
        <w:t xml:space="preserve"> 甲方按本合同规定的内容，在规定的时间内向乙方提交乙方规划设计需要的资料及文件，并对其完整性、正确性及时限性负责。由于甲方原因，造成规划设计所需资料不齐、不准、错误或收集困难时，乙方按本合同第三条规定的交付规划设计文件时间顺延。</w:t>
      </w:r>
    </w:p>
    <w:p>
      <w:pPr>
        <w:spacing w:line="360" w:lineRule="auto"/>
        <w:ind w:right="-100" w:firstLine="570"/>
      </w:pPr>
      <w:r>
        <w:t>5.1.2</w:t>
      </w:r>
      <w:r>
        <w:rPr>
          <w:rFonts w:hint="eastAsia"/>
        </w:rPr>
        <w:t>在合同履行期间，甲方要求终止或解除合同，应及时书面通知乙方。乙方已开始工作的，甲方应根据乙方已进行的实际工作量，不足一半的，按该阶段规划设计费的一半支付；超过一半的，按该阶段规划设计费的全部支付。</w:t>
      </w:r>
    </w:p>
    <w:p>
      <w:pPr>
        <w:spacing w:line="360" w:lineRule="auto"/>
        <w:ind w:right="-100" w:firstLine="570"/>
      </w:pPr>
      <w:r>
        <w:t>5.1.</w:t>
      </w:r>
      <w:r>
        <w:rPr>
          <w:rFonts w:hint="eastAsia"/>
        </w:rPr>
        <w:t>3甲方应协助配合乙方设计人员收集各种规划设计需要的现场资料。</w:t>
      </w:r>
    </w:p>
    <w:p>
      <w:pPr>
        <w:spacing w:line="360" w:lineRule="auto"/>
        <w:ind w:right="-100" w:firstLine="570"/>
      </w:pPr>
      <w:r>
        <w:t>5.1.</w:t>
      </w:r>
      <w:r>
        <w:rPr>
          <w:rFonts w:hint="eastAsia"/>
        </w:rPr>
        <w:t>4甲方应保护乙方的规划设计方案、文件、资料图纸、数据、计算软件等知识产权，未经乙方同意，甲方对乙方交付的规划设计资料文件及图纸不得擅自修改、复制或向第三方转让，如发生以上情况，乙方有权索赔。</w:t>
      </w:r>
    </w:p>
    <w:p>
      <w:pPr>
        <w:spacing w:line="360" w:lineRule="auto"/>
        <w:ind w:right="-100" w:firstLine="570"/>
      </w:pPr>
      <w:r>
        <w:t>5.1.</w:t>
      </w:r>
      <w:r>
        <w:rPr>
          <w:rFonts w:hint="eastAsia"/>
        </w:rPr>
        <w:t>5乙方交付甲方规划设计方案征求意见，甲方超过三个月仍未将对规划设计方案的意见返交乙方的，时间超过三个月，本合同再继续履行时，应对规划设计周期及规划设计费予以重新商定；如不继续履行时，则视为甲方终止合同，按</w:t>
      </w:r>
      <w:r>
        <w:t>5.1.2</w:t>
      </w:r>
      <w:r>
        <w:rPr>
          <w:rFonts w:hint="eastAsia"/>
        </w:rPr>
        <w:t>条处理。</w:t>
      </w:r>
    </w:p>
    <w:p>
      <w:pPr>
        <w:spacing w:line="360" w:lineRule="auto"/>
        <w:ind w:right="-100" w:firstLine="570"/>
      </w:pPr>
      <w:r>
        <w:t>5.1.</w:t>
      </w:r>
      <w:r>
        <w:rPr>
          <w:rFonts w:hint="eastAsia"/>
        </w:rPr>
        <w:t>6规划设计方案需城市规划主管部门审批或需专家评审的，由甲方组织评审并承担相关评审费用。</w:t>
      </w:r>
    </w:p>
    <w:p>
      <w:pPr>
        <w:spacing w:line="360" w:lineRule="auto"/>
        <w:ind w:right="-100" w:firstLine="570"/>
      </w:pPr>
      <w:r>
        <w:t>5.</w:t>
      </w:r>
      <w:r>
        <w:rPr>
          <w:rFonts w:hint="eastAsia"/>
        </w:rPr>
        <w:t>1</w:t>
      </w:r>
      <w:r>
        <w:t>.</w:t>
      </w:r>
      <w:r>
        <w:rPr>
          <w:rFonts w:hint="eastAsia"/>
        </w:rPr>
        <w:t>7 甲方变更委托设计项目、规模、条件或因提交的资料错误，或所提交资料做较大修改，以致造成乙方设计需返工时，双方除需另行协商签订补充协议，重新明确有关条款，并按本合同的内容根据乙方已完成的工作量支付设计费外，甲方还应按乙方所耗工作量向乙方增付设计费。</w:t>
      </w:r>
    </w:p>
    <w:p>
      <w:pPr>
        <w:spacing w:line="360" w:lineRule="auto"/>
        <w:ind w:right="-100" w:firstLine="570"/>
      </w:pPr>
      <w:r>
        <w:t>5.2</w:t>
      </w:r>
      <w:r>
        <w:rPr>
          <w:rFonts w:hint="eastAsia"/>
        </w:rPr>
        <w:t xml:space="preserve"> 乙方责任</w:t>
      </w:r>
    </w:p>
    <w:p>
      <w:pPr>
        <w:spacing w:line="360" w:lineRule="auto"/>
        <w:ind w:right="-100" w:firstLine="570"/>
        <w:outlineLvl w:val="0"/>
      </w:pPr>
      <w:bookmarkStart w:id="509" w:name="_Toc6073"/>
      <w:r>
        <w:t>5.2.1</w:t>
      </w:r>
      <w:r>
        <w:rPr>
          <w:rFonts w:hint="eastAsia"/>
        </w:rPr>
        <w:t xml:space="preserve"> 乙方按本合同第三条规定的内容、时间及份数向甲方交付规划设计文件。</w:t>
      </w:r>
      <w:bookmarkEnd w:id="509"/>
    </w:p>
    <w:p>
      <w:pPr>
        <w:spacing w:line="360" w:lineRule="auto"/>
        <w:ind w:right="-100" w:firstLine="570"/>
      </w:pPr>
      <w:r>
        <w:t>5.2.2</w:t>
      </w:r>
      <w:r>
        <w:rPr>
          <w:rFonts w:hint="eastAsia"/>
        </w:rPr>
        <w:t xml:space="preserve"> 乙方根据甲方提供的基础资料，经过现场踏勘和分析后，按照国家、自然资源部、地方的有关法规和规范，以及相关规划的要求，为甲方作出规划设计方案。规划方案应征求甲方意见，规划设计方案需城市规划主管部门或专家审批的，待审批意见下达后出正式规划设计文件。</w:t>
      </w:r>
    </w:p>
    <w:p>
      <w:pPr>
        <w:spacing w:line="360" w:lineRule="auto"/>
        <w:ind w:right="-100" w:firstLine="570"/>
        <w:outlineLvl w:val="0"/>
      </w:pPr>
      <w:bookmarkStart w:id="510" w:name="_Toc2512"/>
      <w:r>
        <w:t>5.2.3</w:t>
      </w:r>
      <w:r>
        <w:rPr>
          <w:rFonts w:hint="eastAsia"/>
        </w:rPr>
        <w:t xml:space="preserve"> 乙方对规划设计文件出现的遗漏、错误或与实际使用不相符的部分负责修改、补充；提供对规划资料文件和图纸中涉及的数据、术语等相关咨询服务。</w:t>
      </w:r>
      <w:bookmarkEnd w:id="510"/>
    </w:p>
    <w:p>
      <w:pPr>
        <w:spacing w:line="360" w:lineRule="auto"/>
        <w:ind w:right="-100" w:firstLine="570"/>
      </w:pPr>
      <w:r>
        <w:t>5.2.</w:t>
      </w:r>
      <w:r>
        <w:rPr>
          <w:rFonts w:hint="eastAsia"/>
        </w:rPr>
        <w:t>4 乙方交付规划设计文件后，按照分级评审原则，负责参加有关上级组织的评审，并根据评审意见负责不超过本合同规定范围内的必要修改和补充。</w:t>
      </w:r>
    </w:p>
    <w:p>
      <w:pPr>
        <w:spacing w:line="360" w:lineRule="auto"/>
        <w:ind w:right="-100" w:firstLine="570"/>
        <w:outlineLvl w:val="0"/>
      </w:pPr>
      <w:bookmarkStart w:id="511" w:name="_Toc16246"/>
      <w:r>
        <w:t>5.2.</w:t>
      </w:r>
      <w:r>
        <w:rPr>
          <w:rFonts w:hint="eastAsia"/>
        </w:rPr>
        <w:t>5 乙方不得向第三方扩散、转让甲方提交的图纸等技术资料，如发生以上情况并给甲方造成经济损失，甲方有权索赔。</w:t>
      </w:r>
      <w:bookmarkEnd w:id="511"/>
    </w:p>
    <w:p>
      <w:pPr>
        <w:spacing w:line="360" w:lineRule="auto"/>
        <w:ind w:right="-100" w:firstLine="570"/>
        <w:outlineLvl w:val="0"/>
      </w:pPr>
      <w:bookmarkStart w:id="512" w:name="_Toc25006"/>
      <w:r>
        <w:rPr>
          <w:rFonts w:hint="eastAsia"/>
        </w:rPr>
        <w:t>第六条  违约责任</w:t>
      </w:r>
      <w:bookmarkEnd w:id="512"/>
    </w:p>
    <w:p>
      <w:pPr>
        <w:spacing w:line="360" w:lineRule="auto"/>
        <w:ind w:right="-100" w:firstLine="570"/>
      </w:pPr>
      <w:r>
        <w:rPr>
          <w:rFonts w:hint="eastAsia"/>
        </w:rPr>
        <w:t>6.1</w:t>
      </w:r>
      <w:r>
        <w:t>甲、乙任何一方不履行本合同义务或者履行本合同义务不符合本合同规定的，应当承担继续履行、采取补救措施或者赔偿损失等违约责任。</w:t>
      </w:r>
    </w:p>
    <w:p>
      <w:pPr>
        <w:spacing w:line="360" w:lineRule="auto"/>
        <w:ind w:right="-100" w:firstLine="570"/>
      </w:pPr>
      <w:r>
        <w:rPr>
          <w:rFonts w:hint="eastAsia"/>
        </w:rPr>
        <w:t>6.2在合同签订后，甲方无故要求终止或解除合同，乙方未开始设计工作的，不退还甲方已付的启动费；已开始设计工作的，甲方应根据乙方已进行的实际工作量，不足一半时，按该阶段设计咨询服务费的一半支付；超过一半时，按该阶段设计咨询服务费的全部支付。</w:t>
      </w:r>
    </w:p>
    <w:p>
      <w:pPr>
        <w:spacing w:line="360" w:lineRule="auto"/>
        <w:ind w:right="-100" w:firstLine="570"/>
      </w:pPr>
      <w:r>
        <w:rPr>
          <w:rFonts w:hint="eastAsia"/>
        </w:rPr>
        <w:t>6.3 甲方应按本合同第四条所约定的金额和时间支付设计费，每逾期支付一天，应按应付金额的万分之五/天承担违约金。逾期超过三十天，乙方有权停止履行下阶段设计工作。在甲方结清应付款项前。不予拒绝提交设计资料文件、图纸，并书面通知甲方。且逾期支付超过三十天的乙方有权解除本协议，并要求甲方按支付合同总金额千分之二/天的标准计付违约金，但违约金累计不得超过合同总金额的20%。</w:t>
      </w:r>
    </w:p>
    <w:p>
      <w:pPr>
        <w:spacing w:line="360" w:lineRule="auto"/>
        <w:ind w:right="-100" w:firstLine="570"/>
      </w:pPr>
      <w:r>
        <w:rPr>
          <w:rFonts w:hint="eastAsia"/>
        </w:rPr>
        <w:t>6.4 由于乙方自身原因延误，按本合同第三条规定的设计资料文件、图纸的交付时间，每延误一天，应按该阶段应收设计费的万分之五/天承担违约金。由于乙方自身原因延误超过三十30天的，甲方有权解除本协议，并有权按同等标准要求支付违约金，但违约金累计不得超过合同总金额的20%并要求乙方支付合同总金额千分之二的违约金。</w:t>
      </w:r>
    </w:p>
    <w:p>
      <w:pPr>
        <w:pStyle w:val="11"/>
        <w:spacing w:line="360" w:lineRule="auto"/>
        <w:ind w:right="-100" w:firstLine="480" w:firstLineChars="200"/>
      </w:pPr>
      <w:r>
        <w:t>6.5</w:t>
      </w:r>
      <w:r>
        <w:rPr>
          <w:rFonts w:hint="eastAsia"/>
        </w:rPr>
        <w:t>本合同生效后，如任何一方违约，守约方为维护权益向违约方追偿的一切费用，包括但不限于律师费、诉讼费、保全费、鉴定费、差旅费等，由违约方承担。</w:t>
      </w:r>
    </w:p>
    <w:p>
      <w:pPr>
        <w:spacing w:line="360" w:lineRule="auto"/>
        <w:ind w:right="-100" w:firstLine="570"/>
        <w:outlineLvl w:val="0"/>
      </w:pPr>
      <w:bookmarkStart w:id="513" w:name="_Toc15547"/>
      <w:r>
        <w:rPr>
          <w:rFonts w:hint="eastAsia"/>
        </w:rPr>
        <w:t>第七条  知识产权</w:t>
      </w:r>
      <w:bookmarkEnd w:id="513"/>
    </w:p>
    <w:p>
      <w:pPr>
        <w:spacing w:line="360" w:lineRule="auto"/>
        <w:ind w:right="-100" w:firstLine="570"/>
      </w:pPr>
      <w:r>
        <w:rPr>
          <w:rFonts w:hint="eastAsia"/>
        </w:rPr>
        <w:t>7</w:t>
      </w:r>
      <w:r>
        <w:t>.</w:t>
      </w:r>
      <w:r>
        <w:rPr>
          <w:rFonts w:hint="eastAsia"/>
        </w:rPr>
        <w:t>1 乙方对设计完成的成果享有著作权，甲方将委托设计的所有费用结算完毕后，乙方可将该著作权转让甲方。双方共享署名权。</w:t>
      </w:r>
    </w:p>
    <w:p>
      <w:pPr>
        <w:spacing w:line="360" w:lineRule="auto"/>
        <w:ind w:right="-100" w:firstLine="570"/>
      </w:pPr>
      <w:r>
        <w:rPr>
          <w:rFonts w:hint="eastAsia"/>
        </w:rPr>
        <w:t>7</w:t>
      </w:r>
      <w:r>
        <w:t>.</w:t>
      </w:r>
      <w:r>
        <w:rPr>
          <w:rFonts w:hint="eastAsia"/>
        </w:rPr>
        <w:t>2 甲方在未结清所有委托设计费用并取得著作权之前，甲方对该成果不享有任何权利。</w:t>
      </w:r>
    </w:p>
    <w:p>
      <w:pPr>
        <w:spacing w:line="360" w:lineRule="auto"/>
        <w:ind w:right="-100" w:firstLine="570"/>
        <w:outlineLvl w:val="0"/>
      </w:pPr>
      <w:bookmarkStart w:id="514" w:name="_Toc1253"/>
      <w:r>
        <w:rPr>
          <w:rFonts w:hint="eastAsia"/>
        </w:rPr>
        <w:t>第八条  其它</w:t>
      </w:r>
      <w:bookmarkEnd w:id="514"/>
    </w:p>
    <w:p>
      <w:pPr>
        <w:spacing w:line="360" w:lineRule="auto"/>
        <w:ind w:right="-100" w:firstLine="570"/>
      </w:pPr>
      <w:r>
        <w:rPr>
          <w:rFonts w:hint="eastAsia"/>
        </w:rPr>
        <w:t>8</w:t>
      </w:r>
      <w:r>
        <w:t>.1</w:t>
      </w:r>
      <w:r>
        <w:rPr>
          <w:rFonts w:hint="eastAsia"/>
        </w:rPr>
        <w:t xml:space="preserve"> 乙方有义务努力做好相关后续服务工作。</w:t>
      </w:r>
    </w:p>
    <w:p>
      <w:pPr>
        <w:spacing w:line="360" w:lineRule="auto"/>
        <w:ind w:right="-100" w:firstLine="570"/>
      </w:pPr>
      <w:r>
        <w:rPr>
          <w:rFonts w:hint="eastAsia"/>
        </w:rPr>
        <w:t>8</w:t>
      </w:r>
      <w:r>
        <w:t>.</w:t>
      </w:r>
      <w:r>
        <w:rPr>
          <w:rFonts w:hint="eastAsia"/>
        </w:rPr>
        <w:t>2 甲方委托乙方承担本合同内容以外的工作服务，应另外支付费用。</w:t>
      </w:r>
    </w:p>
    <w:p>
      <w:pPr>
        <w:spacing w:line="360" w:lineRule="auto"/>
        <w:ind w:right="-100" w:firstLine="570"/>
      </w:pPr>
      <w:r>
        <w:rPr>
          <w:rFonts w:hint="eastAsia"/>
        </w:rPr>
        <w:t>8</w:t>
      </w:r>
      <w:r>
        <w:t>.</w:t>
      </w:r>
      <w:r>
        <w:rPr>
          <w:rFonts w:hint="eastAsia"/>
        </w:rPr>
        <w:t>3 由于不可抗力因素造成本合同无法履行时，双方应及时协商解决。</w:t>
      </w:r>
    </w:p>
    <w:p>
      <w:pPr>
        <w:spacing w:line="360" w:lineRule="auto"/>
        <w:ind w:right="-100" w:firstLine="570"/>
      </w:pPr>
      <w:r>
        <w:rPr>
          <w:rFonts w:hint="eastAsia"/>
        </w:rPr>
        <w:t>8.3.1</w:t>
      </w:r>
      <w:r>
        <w:t>不可抗力是指地震、台风、水灾、火灾、战争或其它不能预见、不能避免并不能克服的客观情况。如果一方当事人认为不可抗力发生并影响其履行本合同义务，应在第一时间通知另一方当事人，并在不可抗力发生后的十</w:t>
      </w:r>
      <w:r>
        <w:rPr>
          <w:rFonts w:hint="eastAsia"/>
          <w:lang w:eastAsia="zh-CN"/>
        </w:rPr>
        <w:t>(</w:t>
      </w:r>
      <w:r>
        <w:t>10</w:t>
      </w:r>
      <w:r>
        <w:rPr>
          <w:rFonts w:hint="eastAsia"/>
          <w:lang w:eastAsia="zh-CN"/>
        </w:rPr>
        <w:t>)</w:t>
      </w:r>
      <w:r>
        <w:t>日内提交书面证明材料。按照不可抗力对履行合同影响的程度，由双方协商决定是否免除或者部分免除合同义务，或者延期履行合同。</w:t>
      </w:r>
    </w:p>
    <w:p>
      <w:pPr>
        <w:spacing w:line="360" w:lineRule="auto"/>
        <w:ind w:right="-100" w:firstLine="570"/>
      </w:pPr>
      <w:r>
        <w:rPr>
          <w:rFonts w:hint="eastAsia"/>
        </w:rPr>
        <w:t>8.3.2</w:t>
      </w:r>
      <w:r>
        <w:t>不可抗力发生时，任何一方均不能被视为违约或不履行本合同义务。在合同签订后，乙方尚未开始设计工作的，乙方不退还甲方已付的启动费；乙方已开始设计工作的，甲方应根据乙方已进行的实际工作量，支付设计费。费用由双方协商后书面确定。</w:t>
      </w:r>
    </w:p>
    <w:p>
      <w:pPr>
        <w:spacing w:line="360" w:lineRule="auto"/>
        <w:ind w:right="-100" w:firstLine="570"/>
      </w:pPr>
      <w:r>
        <w:rPr>
          <w:rFonts w:hint="eastAsia"/>
        </w:rPr>
        <w:t>8.4在本合同履行期间，双方发生争议时应协商解决，协商不成时则向甲方所在地人民法院提起诉讼。</w:t>
      </w:r>
    </w:p>
    <w:p>
      <w:pPr>
        <w:spacing w:line="360" w:lineRule="auto"/>
        <w:ind w:right="-100" w:firstLine="570"/>
      </w:pPr>
      <w:r>
        <w:rPr>
          <w:rFonts w:hint="eastAsia"/>
        </w:rPr>
        <w:t>8</w:t>
      </w:r>
      <w:r>
        <w:t>.</w:t>
      </w:r>
      <w:r>
        <w:rPr>
          <w:rFonts w:hint="eastAsia"/>
        </w:rPr>
        <w:t>5 本合同未尽事宜，由双方协商解决，并及时签订补充协议，补充协议经双方签字生效后，与本合同具有同等效力。</w:t>
      </w:r>
    </w:p>
    <w:p>
      <w:pPr>
        <w:spacing w:line="360" w:lineRule="auto"/>
        <w:ind w:right="-100" w:firstLine="570"/>
      </w:pPr>
      <w:r>
        <w:rPr>
          <w:rFonts w:hint="eastAsia"/>
        </w:rPr>
        <w:t>8</w:t>
      </w:r>
      <w:r>
        <w:t>.</w:t>
      </w:r>
      <w:r>
        <w:rPr>
          <w:rFonts w:hint="eastAsia"/>
        </w:rPr>
        <w:t>6 甲乙双方履行完本合同规定的权利和义务后，本合同自行终止。</w:t>
      </w:r>
    </w:p>
    <w:p>
      <w:pPr>
        <w:spacing w:line="360" w:lineRule="auto"/>
        <w:ind w:right="-100" w:firstLine="570"/>
      </w:pPr>
      <w:r>
        <w:rPr>
          <w:rFonts w:hint="eastAsia"/>
        </w:rPr>
        <w:t>8.7本合同一式</w:t>
      </w:r>
      <w:r>
        <w:rPr>
          <w:rFonts w:hint="eastAsia"/>
          <w:lang w:val="en-US" w:eastAsia="zh-CN"/>
        </w:rPr>
        <w:t>陆</w:t>
      </w:r>
      <w:r>
        <w:rPr>
          <w:rFonts w:hint="eastAsia"/>
        </w:rPr>
        <w:t>份，自双方签章之日起生效。甲方</w:t>
      </w:r>
      <w:r>
        <w:rPr>
          <w:rFonts w:hint="eastAsia"/>
          <w:lang w:val="en-US" w:eastAsia="zh-CN"/>
        </w:rPr>
        <w:t>叁</w:t>
      </w:r>
      <w:r>
        <w:rPr>
          <w:rFonts w:hint="eastAsia"/>
        </w:rPr>
        <w:t>份，乙方、政府采购管理部门、采购代理机构各</w:t>
      </w:r>
      <w:r>
        <w:rPr>
          <w:rFonts w:hint="eastAsia"/>
          <w:lang w:val="en-US" w:eastAsia="zh-CN"/>
        </w:rPr>
        <w:t>壹</w:t>
      </w:r>
      <w:r>
        <w:rPr>
          <w:rFonts w:hint="eastAsia"/>
        </w:rPr>
        <w:t>份。</w:t>
      </w:r>
    </w:p>
    <w:p>
      <w:pPr>
        <w:pageBreakBefore/>
        <w:spacing w:line="360" w:lineRule="auto"/>
        <w:ind w:right="-102"/>
        <w:rPr>
          <w:rFonts w:hint="eastAsia" w:eastAsia="宋体"/>
          <w:lang w:eastAsia="zh-CN"/>
        </w:rPr>
      </w:pPr>
      <w:r>
        <w:rPr>
          <w:rFonts w:hint="eastAsia"/>
        </w:rPr>
        <w:t>委托方单位</w:t>
      </w:r>
      <w:r>
        <w:rPr>
          <w:rFonts w:hint="eastAsia"/>
          <w:lang w:eastAsia="zh-CN"/>
        </w:rPr>
        <w:t>(</w:t>
      </w:r>
      <w:r>
        <w:rPr>
          <w:rFonts w:hint="eastAsia"/>
        </w:rPr>
        <w:t>盖章</w:t>
      </w:r>
      <w:r>
        <w:rPr>
          <w:rFonts w:hint="eastAsia"/>
          <w:lang w:eastAsia="zh-CN"/>
        </w:rPr>
        <w:t>)</w:t>
      </w:r>
      <w:r>
        <w:t xml:space="preserve">          </w:t>
      </w:r>
      <w:r>
        <w:rPr>
          <w:rFonts w:hint="eastAsia"/>
        </w:rPr>
        <w:t xml:space="preserve">   规划设计单位</w:t>
      </w:r>
      <w:r>
        <w:rPr>
          <w:rFonts w:hint="eastAsia"/>
          <w:lang w:eastAsia="zh-CN"/>
        </w:rPr>
        <w:t>(</w:t>
      </w:r>
      <w:r>
        <w:rPr>
          <w:rFonts w:hint="eastAsia"/>
        </w:rPr>
        <w:t>盖章</w:t>
      </w:r>
      <w:r>
        <w:rPr>
          <w:rFonts w:hint="eastAsia"/>
          <w:lang w:eastAsia="zh-CN"/>
        </w:rPr>
        <w:t>)</w:t>
      </w:r>
    </w:p>
    <w:p>
      <w:pPr>
        <w:spacing w:line="360" w:lineRule="auto"/>
        <w:ind w:right="-100"/>
      </w:pPr>
    </w:p>
    <w:p>
      <w:pPr>
        <w:spacing w:line="360" w:lineRule="auto"/>
        <w:ind w:right="-100"/>
      </w:pPr>
    </w:p>
    <w:p>
      <w:pPr>
        <w:spacing w:line="360" w:lineRule="auto"/>
        <w:ind w:right="-100"/>
      </w:pPr>
    </w:p>
    <w:p>
      <w:pPr>
        <w:spacing w:line="360" w:lineRule="auto"/>
        <w:ind w:right="-100"/>
        <w:rPr>
          <w:rFonts w:hint="eastAsia" w:eastAsia="宋体"/>
          <w:lang w:eastAsia="zh-CN"/>
        </w:rPr>
      </w:pPr>
      <w:r>
        <w:rPr>
          <w:rFonts w:hint="eastAsia"/>
        </w:rPr>
        <w:t>法定代表人</w:t>
      </w:r>
      <w:r>
        <w:rPr>
          <w:rFonts w:hint="eastAsia"/>
          <w:lang w:eastAsia="zh-CN"/>
        </w:rPr>
        <w:t>(</w:t>
      </w:r>
      <w:r>
        <w:rPr>
          <w:rFonts w:hint="eastAsia"/>
        </w:rPr>
        <w:t>签字</w:t>
      </w:r>
      <w:r>
        <w:rPr>
          <w:rFonts w:hint="eastAsia"/>
          <w:lang w:eastAsia="zh-CN"/>
        </w:rPr>
        <w:t>)</w:t>
      </w:r>
      <w:r>
        <w:t xml:space="preserve">           </w:t>
      </w:r>
      <w:r>
        <w:rPr>
          <w:rFonts w:hint="eastAsia"/>
        </w:rPr>
        <w:t xml:space="preserve"> 法定代表人</w:t>
      </w:r>
      <w:r>
        <w:rPr>
          <w:rFonts w:hint="eastAsia"/>
          <w:lang w:eastAsia="zh-CN"/>
        </w:rPr>
        <w:t>(</w:t>
      </w:r>
      <w:r>
        <w:rPr>
          <w:rFonts w:hint="eastAsia"/>
        </w:rPr>
        <w:t>签字</w:t>
      </w:r>
      <w:r>
        <w:rPr>
          <w:rFonts w:hint="eastAsia"/>
          <w:lang w:eastAsia="zh-CN"/>
        </w:rPr>
        <w:t>)</w:t>
      </w:r>
    </w:p>
    <w:p>
      <w:pPr>
        <w:spacing w:line="360" w:lineRule="auto"/>
        <w:ind w:right="-100"/>
        <w:rPr>
          <w:rFonts w:hint="eastAsia" w:eastAsia="宋体"/>
          <w:lang w:eastAsia="zh-CN"/>
        </w:rPr>
      </w:pPr>
      <w:r>
        <w:rPr>
          <w:rFonts w:hint="eastAsia"/>
          <w:lang w:eastAsia="zh-CN"/>
        </w:rPr>
        <w:t>(</w:t>
      </w:r>
      <w:r>
        <w:rPr>
          <w:rFonts w:hint="eastAsia"/>
        </w:rPr>
        <w:t>或委托代理人</w:t>
      </w:r>
      <w:r>
        <w:rPr>
          <w:rFonts w:hint="eastAsia"/>
          <w:lang w:eastAsia="zh-CN"/>
        </w:rPr>
        <w:t>)</w:t>
      </w:r>
      <w:r>
        <w:t xml:space="preserve">             </w:t>
      </w:r>
      <w:r>
        <w:rPr>
          <w:rFonts w:hint="eastAsia"/>
        </w:rPr>
        <w:t xml:space="preserve"> </w:t>
      </w:r>
      <w:r>
        <w:rPr>
          <w:rFonts w:hint="eastAsia"/>
          <w:lang w:eastAsia="zh-CN"/>
        </w:rPr>
        <w:t>(</w:t>
      </w:r>
      <w:r>
        <w:rPr>
          <w:rFonts w:hint="eastAsia"/>
        </w:rPr>
        <w:t>或委托代理人</w:t>
      </w:r>
      <w:r>
        <w:rPr>
          <w:rFonts w:hint="eastAsia"/>
          <w:lang w:eastAsia="zh-CN"/>
        </w:rPr>
        <w:t>)</w:t>
      </w:r>
    </w:p>
    <w:p>
      <w:pPr>
        <w:spacing w:line="360" w:lineRule="auto"/>
        <w:ind w:right="-100"/>
      </w:pPr>
    </w:p>
    <w:p>
      <w:pPr>
        <w:spacing w:line="360" w:lineRule="auto"/>
        <w:ind w:right="-100"/>
      </w:pPr>
      <w:r>
        <w:rPr>
          <w:rFonts w:hint="eastAsia"/>
        </w:rPr>
        <w:t>单位地址：</w:t>
      </w:r>
      <w:r>
        <w:t xml:space="preserve">                   </w:t>
      </w:r>
      <w:r>
        <w:rPr>
          <w:rFonts w:hint="eastAsia"/>
        </w:rPr>
        <w:t>单位地址：</w:t>
      </w:r>
    </w:p>
    <w:p>
      <w:pPr>
        <w:spacing w:line="360" w:lineRule="auto"/>
        <w:ind w:right="-100"/>
      </w:pPr>
    </w:p>
    <w:p>
      <w:pPr>
        <w:spacing w:line="360" w:lineRule="auto"/>
        <w:ind w:right="-100"/>
      </w:pPr>
      <w:r>
        <w:rPr>
          <w:rFonts w:hint="eastAsia"/>
        </w:rPr>
        <w:t>邮政编码：</w:t>
      </w:r>
      <w:r>
        <w:t xml:space="preserve">                   </w:t>
      </w:r>
      <w:r>
        <w:rPr>
          <w:rFonts w:hint="eastAsia"/>
        </w:rPr>
        <w:t>邮政编码：</w:t>
      </w:r>
    </w:p>
    <w:p>
      <w:pPr>
        <w:spacing w:line="360" w:lineRule="auto"/>
        <w:ind w:right="-100"/>
      </w:pPr>
      <w:r>
        <w:rPr>
          <w:rFonts w:hint="eastAsia"/>
        </w:rPr>
        <w:t>电</w:t>
      </w:r>
      <w:r>
        <w:t xml:space="preserve">    </w:t>
      </w:r>
      <w:r>
        <w:rPr>
          <w:rFonts w:hint="eastAsia"/>
        </w:rPr>
        <w:t>话：</w:t>
      </w:r>
      <w:r>
        <w:t xml:space="preserve">                   </w:t>
      </w:r>
      <w:r>
        <w:rPr>
          <w:rFonts w:hint="eastAsia"/>
        </w:rPr>
        <w:t>电</w:t>
      </w:r>
      <w:r>
        <w:t xml:space="preserve">    </w:t>
      </w:r>
      <w:r>
        <w:rPr>
          <w:rFonts w:hint="eastAsia"/>
        </w:rPr>
        <w:t>话：</w:t>
      </w:r>
    </w:p>
    <w:p>
      <w:pPr>
        <w:spacing w:line="360" w:lineRule="auto"/>
        <w:ind w:right="-100" w:firstLine="1200" w:firstLineChars="500"/>
      </w:pPr>
      <w:r>
        <w:t xml:space="preserve">                   </w:t>
      </w:r>
    </w:p>
    <w:p>
      <w:pPr>
        <w:spacing w:line="360" w:lineRule="auto"/>
        <w:ind w:right="-100"/>
      </w:pPr>
      <w:r>
        <w:rPr>
          <w:rFonts w:hint="eastAsia"/>
        </w:rPr>
        <w:t>传</w:t>
      </w:r>
      <w:r>
        <w:t xml:space="preserve">    </w:t>
      </w:r>
      <w:r>
        <w:rPr>
          <w:rFonts w:hint="eastAsia"/>
        </w:rPr>
        <w:t>真：</w:t>
      </w:r>
      <w:r>
        <w:t xml:space="preserve">                   </w:t>
      </w:r>
      <w:r>
        <w:rPr>
          <w:rFonts w:hint="eastAsia"/>
        </w:rPr>
        <w:t>传</w:t>
      </w:r>
      <w:r>
        <w:t xml:space="preserve">    </w:t>
      </w:r>
      <w:r>
        <w:rPr>
          <w:rFonts w:hint="eastAsia"/>
        </w:rPr>
        <w:t>真：</w:t>
      </w:r>
    </w:p>
    <w:p>
      <w:pPr>
        <w:spacing w:line="360" w:lineRule="auto"/>
        <w:ind w:right="-100"/>
      </w:pPr>
      <w:r>
        <w:rPr>
          <w:rFonts w:hint="eastAsia"/>
        </w:rPr>
        <w:t>开户银行：</w:t>
      </w:r>
      <w:r>
        <w:t xml:space="preserve">                   </w:t>
      </w:r>
      <w:r>
        <w:rPr>
          <w:rFonts w:hint="eastAsia"/>
        </w:rPr>
        <w:t>开户银行：</w:t>
      </w:r>
      <w:r>
        <w:t xml:space="preserve"> </w:t>
      </w:r>
    </w:p>
    <w:p>
      <w:pPr>
        <w:spacing w:line="360" w:lineRule="auto"/>
        <w:ind w:right="-100"/>
      </w:pPr>
      <w:r>
        <w:rPr>
          <w:rFonts w:hint="eastAsia"/>
        </w:rPr>
        <w:t>银行帐号：</w:t>
      </w:r>
      <w:r>
        <w:t xml:space="preserve">                   </w:t>
      </w:r>
      <w:r>
        <w:rPr>
          <w:rFonts w:hint="eastAsia"/>
        </w:rPr>
        <w:t>银行帐号：</w:t>
      </w:r>
    </w:p>
    <w:p>
      <w:pPr>
        <w:spacing w:line="360" w:lineRule="auto"/>
        <w:ind w:right="-100"/>
      </w:pPr>
      <w:r>
        <w:rPr>
          <w:rFonts w:hint="eastAsia"/>
        </w:rPr>
        <w:t>甲方代表</w:t>
      </w:r>
      <w:r>
        <w:rPr>
          <w:rFonts w:hint="eastAsia"/>
          <w:lang w:eastAsia="zh-CN"/>
        </w:rPr>
        <w:t>(</w:t>
      </w:r>
      <w:r>
        <w:rPr>
          <w:rFonts w:hint="eastAsia"/>
        </w:rPr>
        <w:t>签字</w:t>
      </w:r>
      <w:r>
        <w:rPr>
          <w:rFonts w:hint="eastAsia"/>
          <w:lang w:eastAsia="zh-CN"/>
        </w:rPr>
        <w:t>)</w:t>
      </w:r>
      <w:r>
        <w:rPr>
          <w:rFonts w:hint="eastAsia"/>
        </w:rPr>
        <w:t>：</w:t>
      </w:r>
      <w:r>
        <w:t xml:space="preserve">            </w:t>
      </w:r>
      <w:r>
        <w:rPr>
          <w:rFonts w:hint="eastAsia"/>
        </w:rPr>
        <w:t>乙方代表</w:t>
      </w:r>
      <w:r>
        <w:rPr>
          <w:rFonts w:hint="eastAsia"/>
          <w:lang w:eastAsia="zh-CN"/>
        </w:rPr>
        <w:t>(</w:t>
      </w:r>
      <w:r>
        <w:rPr>
          <w:rFonts w:hint="eastAsia"/>
        </w:rPr>
        <w:t>签字</w:t>
      </w:r>
      <w:r>
        <w:rPr>
          <w:rFonts w:hint="eastAsia"/>
          <w:lang w:eastAsia="zh-CN"/>
        </w:rPr>
        <w:t>)</w:t>
      </w:r>
      <w:r>
        <w:rPr>
          <w:rFonts w:hint="eastAsia"/>
        </w:rPr>
        <w:t>：</w:t>
      </w:r>
    </w:p>
    <w:p>
      <w:pPr>
        <w:spacing w:line="360" w:lineRule="auto"/>
        <w:ind w:right="-100"/>
        <w:rPr>
          <w:rFonts w:hint="eastAsia" w:eastAsia="宋体"/>
          <w:lang w:eastAsia="zh-CN"/>
        </w:rPr>
      </w:pPr>
      <w:r>
        <w:rPr>
          <w:rFonts w:hint="eastAsia"/>
          <w:lang w:eastAsia="zh-CN"/>
        </w:rPr>
        <w:t>(</w:t>
      </w:r>
      <w:r>
        <w:rPr>
          <w:rFonts w:hint="eastAsia"/>
        </w:rPr>
        <w:t>联系人</w:t>
      </w:r>
      <w:r>
        <w:rPr>
          <w:rFonts w:hint="eastAsia"/>
          <w:lang w:eastAsia="zh-CN"/>
        </w:rPr>
        <w:t>)</w:t>
      </w:r>
      <w:r>
        <w:t xml:space="preserve">                   </w:t>
      </w:r>
      <w:r>
        <w:rPr>
          <w:rFonts w:hint="eastAsia"/>
          <w:lang w:eastAsia="zh-CN"/>
        </w:rPr>
        <w:t>(</w:t>
      </w:r>
      <w:r>
        <w:rPr>
          <w:rFonts w:hint="eastAsia"/>
        </w:rPr>
        <w:t>联系人</w:t>
      </w:r>
      <w:r>
        <w:rPr>
          <w:rFonts w:hint="eastAsia"/>
          <w:lang w:eastAsia="zh-CN"/>
        </w:rPr>
        <w:t>)</w:t>
      </w:r>
    </w:p>
    <w:p>
      <w:pPr>
        <w:spacing w:line="360" w:lineRule="auto"/>
        <w:ind w:right="-100"/>
      </w:pPr>
      <w:r>
        <w:rPr>
          <w:rFonts w:hint="eastAsia"/>
        </w:rPr>
        <w:t>签字日期：</w:t>
      </w:r>
      <w:r>
        <w:t xml:space="preserve">                   </w:t>
      </w:r>
      <w:r>
        <w:rPr>
          <w:rFonts w:hint="eastAsia"/>
        </w:rPr>
        <w:t>签字日期：</w:t>
      </w:r>
    </w:p>
    <w:p>
      <w:pPr>
        <w:ind w:right="-100"/>
        <w:rPr>
          <w:sz w:val="28"/>
          <w:szCs w:val="28"/>
        </w:rPr>
      </w:pPr>
    </w:p>
    <w:p>
      <w:pPr>
        <w:jc w:val="center"/>
        <w:rPr>
          <w:sz w:val="28"/>
          <w:szCs w:val="28"/>
        </w:rPr>
      </w:pPr>
    </w:p>
    <w:p>
      <w:pPr>
        <w:jc w:val="center"/>
        <w:rPr>
          <w:rFonts w:eastAsia="黑体"/>
          <w:b/>
          <w:sz w:val="44"/>
        </w:rPr>
      </w:pPr>
    </w:p>
    <w:p>
      <w:pPr>
        <w:jc w:val="center"/>
        <w:rPr>
          <w:rFonts w:eastAsia="黑体"/>
          <w:b/>
          <w:sz w:val="44"/>
        </w:rPr>
      </w:pPr>
    </w:p>
    <w:p>
      <w:pPr>
        <w:jc w:val="center"/>
        <w:rPr>
          <w:rFonts w:eastAsia="黑体"/>
          <w:b/>
          <w:sz w:val="44"/>
        </w:rPr>
      </w:pPr>
    </w:p>
    <w:p>
      <w:pPr>
        <w:jc w:val="center"/>
        <w:rPr>
          <w:rFonts w:eastAsia="黑体"/>
          <w:b/>
          <w:sz w:val="44"/>
        </w:rPr>
      </w:pPr>
    </w:p>
    <w:p>
      <w:pPr>
        <w:jc w:val="center"/>
        <w:rPr>
          <w:rFonts w:eastAsia="黑体"/>
          <w:b/>
          <w:sz w:val="44"/>
        </w:rPr>
      </w:pPr>
    </w:p>
    <w:p>
      <w:pPr>
        <w:jc w:val="center"/>
        <w:rPr>
          <w:rFonts w:eastAsia="黑体"/>
          <w:b/>
          <w:sz w:val="44"/>
        </w:rPr>
      </w:pPr>
    </w:p>
    <w:p>
      <w:pPr>
        <w:jc w:val="center"/>
      </w:pPr>
    </w:p>
    <w:p>
      <w:pPr>
        <w:pStyle w:val="40"/>
      </w:pPr>
      <w:r>
        <w:rPr>
          <w:rFonts w:hint="eastAsia"/>
        </w:rPr>
        <w:br w:type="page"/>
      </w:r>
    </w:p>
    <w:p>
      <w:pPr>
        <w:pStyle w:val="45"/>
        <w:numPr>
          <w:ilvl w:val="0"/>
          <w:numId w:val="22"/>
        </w:numPr>
        <w:spacing w:before="120" w:after="120"/>
      </w:pPr>
      <w:bookmarkStart w:id="515" w:name="_Toc28848"/>
      <w:bookmarkStart w:id="516" w:name="_Toc18097"/>
      <w:bookmarkStart w:id="517" w:name="_Toc1317"/>
      <w:r>
        <w:rPr>
          <w:rFonts w:hint="eastAsia"/>
        </w:rPr>
        <w:t>附件</w:t>
      </w:r>
      <w:bookmarkEnd w:id="515"/>
      <w:bookmarkEnd w:id="516"/>
      <w:bookmarkEnd w:id="517"/>
    </w:p>
    <w:p>
      <w:pPr>
        <w:pStyle w:val="32"/>
        <w:numPr>
          <w:ilvl w:val="1"/>
          <w:numId w:val="0"/>
        </w:numPr>
        <w:ind w:left="480" w:leftChars="200"/>
      </w:pPr>
      <w:bookmarkStart w:id="518" w:name="_Toc5935"/>
      <w:bookmarkStart w:id="519" w:name="_Toc18539"/>
      <w:bookmarkStart w:id="520" w:name="_Toc3105"/>
      <w:r>
        <w:rPr>
          <w:rFonts w:hint="eastAsia"/>
        </w:rPr>
        <w:t>附件一：问题的澄清、说明、更正通知</w:t>
      </w:r>
      <w:bookmarkEnd w:id="518"/>
      <w:bookmarkEnd w:id="519"/>
      <w:bookmarkEnd w:id="520"/>
    </w:p>
    <w:p>
      <w:pPr>
        <w:spacing w:line="360" w:lineRule="auto"/>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问题的澄清、说明、更正通知</w:t>
      </w:r>
    </w:p>
    <w:p>
      <w:pPr>
        <w:spacing w:line="360" w:lineRule="auto"/>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(由磋商小组发出)</w:t>
      </w:r>
    </w:p>
    <w:p>
      <w:pPr>
        <w:spacing w:line="360" w:lineRule="auto"/>
        <w:ind w:firstLine="480" w:firstLineChars="200"/>
        <w:jc w:val="both"/>
        <w:rPr>
          <w:rFonts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编号：</w:t>
      </w:r>
    </w:p>
    <w:p>
      <w:pPr>
        <w:spacing w:line="360" w:lineRule="auto"/>
        <w:ind w:firstLine="480" w:firstLineChars="200"/>
        <w:rPr>
          <w:rFonts w:asciiTheme="minorEastAsia" w:hAnsiTheme="minorEastAsia" w:eastAsiaTheme="minorEastAsia" w:cstheme="minorEastAsia"/>
          <w:color w:val="000000"/>
          <w:u w:val="single"/>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(供应商名称)： </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(项目名称)竞争性磋商小组，对你方的响应文件进行了仔细的审查，现需你方对下列问题以书面形式予以</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p>
    <w:p>
      <w:pPr>
        <w:wordWrap w:val="0"/>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请将上述问题的</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于</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时前递交至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(详细地址)或传真至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(传真号码)。采用传真方式的，应在</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时前将原件递交至</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(详细地址)。</w:t>
      </w:r>
    </w:p>
    <w:p>
      <w:pPr>
        <w:ind w:firstLine="5880" w:firstLineChars="2450"/>
        <w:rPr>
          <w:rFonts w:asciiTheme="minorEastAsia" w:hAnsiTheme="minorEastAsia" w:eastAsiaTheme="minorEastAsia" w:cstheme="minorEastAsia"/>
          <w:color w:val="000000"/>
        </w:rPr>
      </w:pPr>
    </w:p>
    <w:p>
      <w:pPr>
        <w:ind w:firstLine="5880" w:firstLineChars="2450"/>
        <w:rPr>
          <w:rFonts w:asciiTheme="minorEastAsia" w:hAnsiTheme="minorEastAsia" w:eastAsiaTheme="minorEastAsia" w:cstheme="minorEastAsia"/>
          <w:color w:val="000000"/>
        </w:rPr>
      </w:pPr>
    </w:p>
    <w:p>
      <w:pPr>
        <w:ind w:firstLine="2160" w:firstLineChars="900"/>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磋商小组：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w:t>
      </w:r>
    </w:p>
    <w:p>
      <w:pPr>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采购人或采购代理机构：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(盖单位章或负责人签字)</w:t>
      </w:r>
    </w:p>
    <w:p>
      <w:pPr>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p>
    <w:p>
      <w:pPr>
        <w:ind w:firstLine="616" w:firstLineChars="257"/>
        <w:rPr>
          <w:rFonts w:asciiTheme="minorEastAsia" w:hAnsiTheme="minorEastAsia" w:eastAsiaTheme="minorEastAsia" w:cstheme="minorEastAsia"/>
          <w:color w:val="000000"/>
        </w:rPr>
      </w:pPr>
    </w:p>
    <w:p>
      <w:pPr>
        <w:ind w:firstLine="616" w:firstLineChars="257"/>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注：(1)“问题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通知”由磋商小组拟定书面形式作出，由采购人或采购代理机构代为发出。</w:t>
      </w:r>
    </w:p>
    <w:p>
      <w:pPr>
        <w:ind w:firstLine="616" w:firstLineChars="257"/>
        <w:rPr>
          <w:rFonts w:asciiTheme="minorEastAsia" w:hAnsiTheme="minorEastAsia" w:eastAsiaTheme="minorEastAsia" w:cstheme="minorEastAsia"/>
          <w:color w:val="000000"/>
          <w:u w:val="single"/>
        </w:rPr>
      </w:pPr>
      <w:r>
        <w:rPr>
          <w:rFonts w:hint="eastAsia" w:asciiTheme="minorEastAsia" w:hAnsiTheme="minorEastAsia" w:eastAsiaTheme="minorEastAsia" w:cstheme="minorEastAsia"/>
          <w:color w:val="000000"/>
        </w:rPr>
        <w:t>(2)发给供应商的“问题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通知”，应删除“磋商小组：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(签字)”一栏，以“采购人或采购代理机构：</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(盖单位章或负责人签字)”代替。磋商小组签字的“问题</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通知”，应编入评审报告并存档备查。</w:t>
      </w:r>
    </w:p>
    <w:p>
      <w:pPr>
        <w:pStyle w:val="32"/>
        <w:numPr>
          <w:ilvl w:val="1"/>
          <w:numId w:val="0"/>
        </w:numPr>
        <w:ind w:left="480" w:left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1"/>
          <w:u w:val="single"/>
        </w:rPr>
        <w:br w:type="page"/>
      </w:r>
      <w:bookmarkStart w:id="521" w:name="_Toc12009"/>
      <w:bookmarkStart w:id="522" w:name="_Toc27175"/>
      <w:bookmarkStart w:id="523" w:name="_Toc31095"/>
      <w:r>
        <w:rPr>
          <w:rFonts w:hint="eastAsia" w:asciiTheme="minorEastAsia" w:hAnsiTheme="minorEastAsia" w:eastAsiaTheme="minorEastAsia" w:cstheme="minorEastAsia"/>
          <w:color w:val="000000"/>
        </w:rPr>
        <w:t>附件二：问题的澄清、说明、更正</w:t>
      </w:r>
      <w:bookmarkEnd w:id="521"/>
      <w:bookmarkEnd w:id="522"/>
      <w:bookmarkEnd w:id="523"/>
    </w:p>
    <w:p>
      <w:pPr>
        <w:ind w:firstLine="482" w:firstLineChars="200"/>
        <w:jc w:val="center"/>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问题的澄清、说明、更正</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编号：</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 xml:space="preserve"> (项目名称)竞争性磋商小组：</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问题澄清</w:t>
      </w:r>
      <w:r>
        <w:rPr>
          <w:rFonts w:hint="eastAsia" w:asciiTheme="minorEastAsia" w:hAnsiTheme="minorEastAsia" w:eastAsiaTheme="minorEastAsia" w:cstheme="minorEastAsia"/>
          <w:b/>
          <w:color w:val="000000"/>
        </w:rPr>
        <w:t>、说明、更正</w:t>
      </w:r>
      <w:r>
        <w:rPr>
          <w:rFonts w:hint="eastAsia" w:asciiTheme="minorEastAsia" w:hAnsiTheme="minorEastAsia" w:eastAsiaTheme="minorEastAsia" w:cstheme="minorEastAsia"/>
          <w:color w:val="000000"/>
        </w:rPr>
        <w:t>通知(编号：</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)已收悉，现</w:t>
      </w:r>
      <w:r>
        <w:rPr>
          <w:rFonts w:hint="eastAsia" w:asciiTheme="minorEastAsia" w:hAnsiTheme="minorEastAsia" w:eastAsiaTheme="minorEastAsia" w:cstheme="minorEastAsia"/>
          <w:b/>
          <w:color w:val="000000"/>
        </w:rPr>
        <w:t>澄清、说明、更正</w:t>
      </w:r>
      <w:r>
        <w:rPr>
          <w:rFonts w:hint="eastAsia" w:asciiTheme="minorEastAsia" w:hAnsiTheme="minorEastAsia" w:eastAsiaTheme="minorEastAsia" w:cstheme="minorEastAsia"/>
          <w:color w:val="000000"/>
        </w:rPr>
        <w:t>如下：</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w:t>
      </w:r>
    </w:p>
    <w:p>
      <w:pPr>
        <w:ind w:firstLine="48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80" w:firstLineChars="200"/>
        <w:rPr>
          <w:rFonts w:asciiTheme="minorEastAsia" w:hAnsiTheme="minorEastAsia" w:eastAsiaTheme="minorEastAsia" w:cstheme="minorEastAsia"/>
          <w:color w:val="000000"/>
        </w:rPr>
      </w:pPr>
    </w:p>
    <w:p>
      <w:pPr>
        <w:ind w:firstLine="4200" w:firstLineChars="175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法定代表人或其授权代表：</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(签字)</w:t>
      </w:r>
    </w:p>
    <w:p>
      <w:pPr>
        <w:ind w:firstLine="5880" w:firstLineChars="2450"/>
        <w:rPr>
          <w:rFonts w:asciiTheme="minorEastAsia" w:hAnsiTheme="minorEastAsia" w:eastAsiaTheme="minorEastAsia" w:cstheme="minorEastAsia"/>
          <w:color w:val="000000"/>
          <w:u w:val="single"/>
        </w:rPr>
      </w:pPr>
    </w:p>
    <w:p>
      <w:pPr>
        <w:ind w:firstLine="5400" w:firstLineChars="225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年</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月</w:t>
      </w:r>
      <w:r>
        <w:rPr>
          <w:rFonts w:hint="eastAsia" w:asciiTheme="minorEastAsia" w:hAnsiTheme="minorEastAsia" w:eastAsiaTheme="minorEastAsia" w:cstheme="minorEastAsia"/>
          <w:color w:val="000000"/>
          <w:u w:val="single"/>
        </w:rPr>
        <w:t xml:space="preserve">     </w:t>
      </w:r>
      <w:r>
        <w:rPr>
          <w:rFonts w:hint="eastAsia" w:asciiTheme="minorEastAsia" w:hAnsiTheme="minorEastAsia" w:eastAsiaTheme="minorEastAsia" w:cstheme="minorEastAsia"/>
          <w:color w:val="000000"/>
        </w:rPr>
        <w:t>日</w:t>
      </w: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注：供应商应按本“</w:t>
      </w:r>
      <w:r>
        <w:rPr>
          <w:rFonts w:hint="eastAsia" w:asciiTheme="minorEastAsia" w:hAnsiTheme="minorEastAsia" w:eastAsiaTheme="minorEastAsia" w:cstheme="minorEastAsia"/>
          <w:b/>
          <w:color w:val="000000"/>
        </w:rPr>
        <w:t>问题的澄清、说明、更正</w:t>
      </w:r>
      <w:r>
        <w:rPr>
          <w:rFonts w:hint="eastAsia" w:asciiTheme="minorEastAsia" w:hAnsiTheme="minorEastAsia" w:eastAsiaTheme="minorEastAsia" w:cstheme="minorEastAsia"/>
          <w:color w:val="000000"/>
        </w:rPr>
        <w:t>”格式回复。</w:t>
      </w:r>
    </w:p>
    <w:p>
      <w:r>
        <w:rPr>
          <w:rFonts w:hint="eastAsia"/>
        </w:rPr>
        <w:br w:type="page"/>
      </w:r>
    </w:p>
    <w:p>
      <w:pPr>
        <w:pStyle w:val="32"/>
        <w:numPr>
          <w:ilvl w:val="1"/>
          <w:numId w:val="0"/>
        </w:numPr>
        <w:ind w:left="480" w:leftChars="200"/>
      </w:pPr>
      <w:bookmarkStart w:id="524" w:name="_Toc6296"/>
      <w:bookmarkStart w:id="525" w:name="_Toc6541"/>
      <w:r>
        <w:rPr>
          <w:rFonts w:hint="eastAsia"/>
        </w:rPr>
        <w:t>附件三：2021年度信用评价服务效果调查表</w:t>
      </w:r>
      <w:bookmarkEnd w:id="524"/>
      <w:bookmarkEnd w:id="525"/>
    </w:p>
    <w:p>
      <w:pPr>
        <w:pStyle w:val="40"/>
        <w:spacing w:before="240" w:beforeLines="100" w:after="240" w:afterLines="100"/>
        <w:jc w:val="center"/>
        <w:rPr>
          <w:b/>
          <w:bCs/>
          <w:sz w:val="36"/>
          <w:szCs w:val="36"/>
        </w:rPr>
      </w:pPr>
      <w:r>
        <w:rPr>
          <w:rFonts w:hint="eastAsia"/>
          <w:b/>
          <w:bCs/>
          <w:sz w:val="36"/>
          <w:szCs w:val="36"/>
        </w:rPr>
        <w:t>2021年度信用评价服务效果调查表(供应商)</w:t>
      </w:r>
    </w:p>
    <w:p>
      <w:pPr>
        <w:pStyle w:val="40"/>
        <w:rPr>
          <w:u w:val="single"/>
        </w:rPr>
      </w:pPr>
      <w:r>
        <w:rPr>
          <w:rFonts w:hint="eastAsia"/>
        </w:rPr>
        <w:t>项目名称：</w:t>
      </w:r>
      <w:r>
        <w:rPr>
          <w:rFonts w:hint="eastAsia"/>
          <w:u w:val="single"/>
        </w:rPr>
        <w:t xml:space="preserve">                               </w:t>
      </w:r>
    </w:p>
    <w:p>
      <w:pPr>
        <w:pStyle w:val="40"/>
        <w:rPr>
          <w:u w:val="single"/>
        </w:rPr>
      </w:pPr>
      <w:r>
        <w:rPr>
          <w:rFonts w:hint="eastAsia"/>
        </w:rPr>
        <w:t>项目编号：</w:t>
      </w:r>
      <w:r>
        <w:rPr>
          <w:rFonts w:hint="eastAsia"/>
          <w:u w:val="single"/>
        </w:rPr>
        <w:t xml:space="preserve">                               </w:t>
      </w:r>
    </w:p>
    <w:p>
      <w:pPr>
        <w:pStyle w:val="40"/>
      </w:pPr>
      <w:r>
        <w:rPr>
          <w:rFonts w:hint="eastAsia"/>
        </w:rPr>
        <w:t>被评价代理机构名称：成都公恒信工程项目管理有限公司</w:t>
      </w:r>
    </w:p>
    <w:tbl>
      <w:tblPr>
        <w:tblStyle w:val="20"/>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满意</w:t>
            </w:r>
          </w:p>
          <w:p>
            <w:pPr>
              <w:pStyle w:val="42"/>
              <w:rPr>
                <w:b/>
                <w:bCs/>
              </w:rPr>
            </w:pPr>
            <w:r>
              <w:rPr>
                <w:rFonts w:hint="eastAsia"/>
                <w:b/>
                <w:bCs/>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 xml:space="preserve">基本满意 </w:t>
            </w:r>
          </w:p>
          <w:p>
            <w:pPr>
              <w:pStyle w:val="42"/>
              <w:rPr>
                <w:b/>
                <w:bCs/>
              </w:rPr>
            </w:pPr>
            <w:r>
              <w:rPr>
                <w:rFonts w:hint="eastAsia"/>
                <w:b/>
                <w:bCs/>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 xml:space="preserve">一般 </w:t>
            </w:r>
          </w:p>
          <w:p>
            <w:pPr>
              <w:pStyle w:val="42"/>
              <w:rPr>
                <w:b/>
                <w:bCs/>
              </w:rPr>
            </w:pPr>
            <w:r>
              <w:rPr>
                <w:rFonts w:hint="eastAsia"/>
                <w:b/>
                <w:bCs/>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不满意</w:t>
            </w:r>
          </w:p>
          <w:p>
            <w:pPr>
              <w:pStyle w:val="42"/>
              <w:rPr>
                <w:b/>
                <w:bCs/>
              </w:rPr>
            </w:pPr>
            <w:r>
              <w:rPr>
                <w:rFonts w:hint="eastAsia"/>
                <w:b/>
                <w:bCs/>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9"/>
              <w:rPr>
                <w:b/>
                <w:bCs/>
              </w:rPr>
            </w:pPr>
            <w:r>
              <w:rPr>
                <w:rFonts w:hint="eastAsia"/>
                <w:b/>
                <w:bCs/>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9"/>
              <w:rPr>
                <w:b/>
                <w:bCs/>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9"/>
              <w:rPr>
                <w:b/>
                <w:bCs/>
              </w:rPr>
            </w:pPr>
            <w:r>
              <w:rPr>
                <w:rFonts w:hint="eastAsia"/>
                <w:b/>
                <w:bCs/>
              </w:rPr>
              <w:t>供应商名称：</w:t>
            </w:r>
            <w:r>
              <w:rPr>
                <w:rFonts w:hint="eastAsia"/>
                <w:b/>
                <w:bCs/>
                <w:u w:val="single"/>
              </w:rPr>
              <w:t xml:space="preserve">                     </w:t>
            </w:r>
            <w:r>
              <w:rPr>
                <w:rFonts w:hint="eastAsia"/>
                <w:b/>
                <w:bCs/>
              </w:rPr>
              <w:t>(加盖鲜章)</w:t>
            </w:r>
          </w:p>
        </w:tc>
      </w:tr>
    </w:tbl>
    <w:p>
      <w:pPr>
        <w:pStyle w:val="44"/>
        <w:ind w:firstLine="482"/>
      </w:pPr>
      <w:r>
        <w:rPr>
          <w:rFonts w:hint="eastAsia"/>
        </w:rPr>
        <w:t>说明：请贵公司根据政府采购代理机构2021年度政府采购项目的实际情况，在“满意”、“基本满意”、“一般”、“不满意”四个评价档次栏中选取一栏打“√”，并加盖鲜章。</w:t>
      </w:r>
      <w:r>
        <w:rPr>
          <w:rFonts w:hint="eastAsia"/>
        </w:rPr>
        <w:br w:type="page"/>
      </w:r>
    </w:p>
    <w:p>
      <w:pPr>
        <w:pStyle w:val="32"/>
        <w:numPr>
          <w:ilvl w:val="1"/>
          <w:numId w:val="0"/>
        </w:numPr>
        <w:ind w:firstLine="482" w:firstLineChars="200"/>
        <w:rPr>
          <w:rFonts w:asciiTheme="minorEastAsia" w:hAnsiTheme="minorEastAsia" w:eastAsiaTheme="minorEastAsia" w:cstheme="minorEastAsia"/>
          <w:color w:val="000000"/>
        </w:rPr>
      </w:pPr>
      <w:bookmarkStart w:id="526" w:name="_Toc3947"/>
      <w:bookmarkStart w:id="527" w:name="_Toc7131"/>
      <w:r>
        <w:rPr>
          <w:rFonts w:hint="eastAsia" w:asciiTheme="minorEastAsia" w:hAnsiTheme="minorEastAsia" w:eastAsiaTheme="minorEastAsia" w:cstheme="minorEastAsia"/>
          <w:color w:val="000000"/>
        </w:rPr>
        <w:t>附件四：统计上大中小微型企业划分标准</w:t>
      </w:r>
      <w:bookmarkEnd w:id="526"/>
      <w:bookmarkEnd w:id="527"/>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vAlign w:val="center"/>
          </w:tcPr>
          <w:p>
            <w:pPr>
              <w:widowControl/>
              <w:spacing w:line="240" w:lineRule="auto"/>
              <w:jc w:val="center"/>
              <w:rPr>
                <w:rFonts w:cs="宋体"/>
                <w:b/>
                <w:bCs/>
                <w:color w:val="000000"/>
                <w:kern w:val="0"/>
                <w:sz w:val="15"/>
                <w:szCs w:val="15"/>
              </w:rPr>
            </w:pPr>
            <w:r>
              <w:rPr>
                <w:rFonts w:hint="eastAsia" w:cs="宋体"/>
                <w:b/>
                <w:bCs/>
                <w:color w:val="000000"/>
                <w:kern w:val="0"/>
                <w:sz w:val="15"/>
                <w:szCs w:val="15"/>
              </w:rPr>
              <w:t>行业名称</w:t>
            </w:r>
          </w:p>
        </w:tc>
        <w:tc>
          <w:tcPr>
            <w:tcW w:w="725" w:type="pct"/>
            <w:vAlign w:val="center"/>
          </w:tcPr>
          <w:p>
            <w:pPr>
              <w:widowControl/>
              <w:spacing w:line="240" w:lineRule="auto"/>
              <w:jc w:val="center"/>
              <w:rPr>
                <w:rFonts w:cs="宋体"/>
                <w:b/>
                <w:bCs/>
                <w:color w:val="000000"/>
                <w:kern w:val="0"/>
                <w:sz w:val="15"/>
                <w:szCs w:val="15"/>
              </w:rPr>
            </w:pPr>
            <w:r>
              <w:rPr>
                <w:rFonts w:hint="eastAsia" w:cs="宋体"/>
                <w:b/>
                <w:bCs/>
                <w:color w:val="000000"/>
                <w:kern w:val="0"/>
                <w:sz w:val="15"/>
                <w:szCs w:val="15"/>
              </w:rPr>
              <w:t>指标名称</w:t>
            </w:r>
          </w:p>
        </w:tc>
        <w:tc>
          <w:tcPr>
            <w:tcW w:w="375" w:type="pct"/>
            <w:vAlign w:val="center"/>
          </w:tcPr>
          <w:p>
            <w:pPr>
              <w:widowControl/>
              <w:spacing w:line="240" w:lineRule="auto"/>
              <w:jc w:val="center"/>
              <w:rPr>
                <w:rFonts w:cs="宋体"/>
                <w:b/>
                <w:bCs/>
                <w:color w:val="000000"/>
                <w:kern w:val="0"/>
                <w:sz w:val="15"/>
                <w:szCs w:val="15"/>
              </w:rPr>
            </w:pPr>
            <w:r>
              <w:rPr>
                <w:rFonts w:hint="eastAsia" w:cs="宋体"/>
                <w:b/>
                <w:bCs/>
                <w:color w:val="000000"/>
                <w:kern w:val="0"/>
                <w:sz w:val="15"/>
                <w:szCs w:val="15"/>
              </w:rPr>
              <w:t>计量</w:t>
            </w:r>
            <w:r>
              <w:rPr>
                <w:rFonts w:hint="eastAsia" w:cs="宋体"/>
                <w:b/>
                <w:bCs/>
                <w:color w:val="000000"/>
                <w:kern w:val="0"/>
                <w:sz w:val="15"/>
                <w:szCs w:val="15"/>
              </w:rPr>
              <w:br w:type="textWrapping"/>
            </w:r>
            <w:r>
              <w:rPr>
                <w:rFonts w:hint="eastAsia" w:cs="宋体"/>
                <w:b/>
                <w:bCs/>
                <w:color w:val="000000"/>
                <w:kern w:val="0"/>
                <w:sz w:val="15"/>
                <w:szCs w:val="15"/>
              </w:rPr>
              <w:t>单位</w:t>
            </w:r>
          </w:p>
        </w:tc>
        <w:tc>
          <w:tcPr>
            <w:tcW w:w="595" w:type="pct"/>
            <w:vAlign w:val="center"/>
          </w:tcPr>
          <w:p>
            <w:pPr>
              <w:widowControl/>
              <w:spacing w:line="240" w:lineRule="auto"/>
              <w:jc w:val="center"/>
              <w:rPr>
                <w:rFonts w:cs="宋体"/>
                <w:b/>
                <w:bCs/>
                <w:color w:val="000000"/>
                <w:kern w:val="0"/>
                <w:sz w:val="15"/>
                <w:szCs w:val="15"/>
              </w:rPr>
            </w:pPr>
            <w:r>
              <w:rPr>
                <w:rFonts w:hint="eastAsia" w:cs="宋体"/>
                <w:b/>
                <w:bCs/>
                <w:color w:val="000000"/>
                <w:kern w:val="0"/>
                <w:sz w:val="15"/>
                <w:szCs w:val="15"/>
              </w:rPr>
              <w:t>大型</w:t>
            </w:r>
          </w:p>
        </w:tc>
        <w:tc>
          <w:tcPr>
            <w:tcW w:w="901" w:type="pct"/>
            <w:vAlign w:val="center"/>
          </w:tcPr>
          <w:p>
            <w:pPr>
              <w:widowControl/>
              <w:spacing w:line="240" w:lineRule="auto"/>
              <w:jc w:val="center"/>
              <w:rPr>
                <w:rFonts w:cs="宋体"/>
                <w:b/>
                <w:bCs/>
                <w:color w:val="000000"/>
                <w:kern w:val="0"/>
                <w:sz w:val="15"/>
                <w:szCs w:val="15"/>
              </w:rPr>
            </w:pPr>
            <w:r>
              <w:rPr>
                <w:rFonts w:hint="eastAsia" w:cs="宋体"/>
                <w:b/>
                <w:bCs/>
                <w:color w:val="000000"/>
                <w:kern w:val="0"/>
                <w:sz w:val="15"/>
                <w:szCs w:val="15"/>
              </w:rPr>
              <w:t>中型</w:t>
            </w:r>
          </w:p>
        </w:tc>
        <w:tc>
          <w:tcPr>
            <w:tcW w:w="755" w:type="pct"/>
            <w:vAlign w:val="center"/>
          </w:tcPr>
          <w:p>
            <w:pPr>
              <w:widowControl/>
              <w:spacing w:line="240" w:lineRule="auto"/>
              <w:jc w:val="center"/>
              <w:rPr>
                <w:rFonts w:cs="宋体"/>
                <w:b/>
                <w:bCs/>
                <w:color w:val="000000"/>
                <w:kern w:val="0"/>
                <w:sz w:val="15"/>
                <w:szCs w:val="15"/>
              </w:rPr>
            </w:pPr>
            <w:r>
              <w:rPr>
                <w:rFonts w:hint="eastAsia" w:cs="宋体"/>
                <w:b/>
                <w:bCs/>
                <w:color w:val="000000"/>
                <w:kern w:val="0"/>
                <w:sz w:val="15"/>
                <w:szCs w:val="15"/>
              </w:rPr>
              <w:t>小型</w:t>
            </w:r>
          </w:p>
        </w:tc>
        <w:tc>
          <w:tcPr>
            <w:tcW w:w="525" w:type="pct"/>
            <w:vAlign w:val="center"/>
          </w:tcPr>
          <w:p>
            <w:pPr>
              <w:widowControl/>
              <w:spacing w:line="240" w:lineRule="auto"/>
              <w:jc w:val="center"/>
              <w:rPr>
                <w:rFonts w:cs="宋体"/>
                <w:b/>
                <w:bCs/>
                <w:color w:val="000000"/>
                <w:kern w:val="0"/>
                <w:sz w:val="15"/>
                <w:szCs w:val="15"/>
              </w:rPr>
            </w:pPr>
            <w:r>
              <w:rPr>
                <w:rFonts w:hint="eastAsia" w:cs="宋体"/>
                <w:b/>
                <w:bCs/>
                <w:color w:val="000000"/>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auto"/>
              <w:rPr>
                <w:rFonts w:cs="宋体"/>
                <w:color w:val="000000"/>
                <w:kern w:val="0"/>
                <w:sz w:val="15"/>
                <w:szCs w:val="15"/>
              </w:rPr>
            </w:pPr>
            <w:r>
              <w:rPr>
                <w:rFonts w:hint="eastAsia" w:cs="宋体"/>
                <w:color w:val="000000"/>
                <w:kern w:val="0"/>
                <w:sz w:val="15"/>
                <w:szCs w:val="15"/>
              </w:rPr>
              <w:t>农、林、牧、渔业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Y≥20000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500≤Y＜20000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50≤Y＜500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工业 *</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20≤X＜300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Y≥40000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2000≤Y＜40000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300≤Y＜2000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建筑业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Y≥80000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6000≤Y＜80000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300≤Y＜6000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资产总额(Z)</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Z≥80000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5000≤Z＜80000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300≤Z＜5000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批发业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X≥200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20≤X＜200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5≤X＜20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Y≥40000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5000≤Y＜40000</w:t>
            </w:r>
          </w:p>
        </w:tc>
        <w:tc>
          <w:tcPr>
            <w:tcW w:w="755" w:type="pct"/>
            <w:vAlign w:val="center"/>
          </w:tcPr>
          <w:p>
            <w:pPr>
              <w:widowControl/>
              <w:spacing w:line="240" w:lineRule="auto"/>
              <w:ind w:left="-1" w:leftChars="-1" w:hanging="1"/>
              <w:jc w:val="center"/>
              <w:rPr>
                <w:rFonts w:cs="宋体"/>
                <w:color w:val="000000"/>
                <w:kern w:val="0"/>
                <w:sz w:val="15"/>
                <w:szCs w:val="15"/>
              </w:rPr>
            </w:pPr>
            <w:r>
              <w:rPr>
                <w:rFonts w:hint="eastAsia" w:cs="宋体"/>
                <w:color w:val="000000"/>
                <w:kern w:val="0"/>
                <w:sz w:val="15"/>
                <w:szCs w:val="15"/>
              </w:rPr>
              <w:t>1000≤Y＜5000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零售业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50≤X＜300</w:t>
            </w:r>
          </w:p>
        </w:tc>
        <w:tc>
          <w:tcPr>
            <w:tcW w:w="755" w:type="pct"/>
            <w:vAlign w:val="center"/>
          </w:tcPr>
          <w:p>
            <w:pPr>
              <w:widowControl/>
              <w:spacing w:line="240" w:lineRule="auto"/>
              <w:ind w:left="-1" w:leftChars="-1" w:hanging="1"/>
              <w:jc w:val="center"/>
              <w:rPr>
                <w:rFonts w:cs="宋体"/>
                <w:color w:val="000000"/>
                <w:kern w:val="0"/>
                <w:sz w:val="15"/>
                <w:szCs w:val="15"/>
              </w:rPr>
            </w:pPr>
            <w:r>
              <w:rPr>
                <w:rFonts w:hint="eastAsia" w:cs="宋体"/>
                <w:color w:val="000000"/>
                <w:kern w:val="0"/>
                <w:sz w:val="15"/>
                <w:szCs w:val="15"/>
              </w:rPr>
              <w:t xml:space="preserve">10≤X＜50 </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Y≥20000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500≤Y＜20000</w:t>
            </w:r>
          </w:p>
        </w:tc>
        <w:tc>
          <w:tcPr>
            <w:tcW w:w="755" w:type="pct"/>
            <w:vAlign w:val="center"/>
          </w:tcPr>
          <w:p>
            <w:pPr>
              <w:widowControl/>
              <w:spacing w:line="240" w:lineRule="auto"/>
              <w:ind w:left="-1" w:leftChars="-1" w:hanging="1"/>
              <w:jc w:val="center"/>
              <w:rPr>
                <w:rFonts w:cs="宋体"/>
                <w:color w:val="000000"/>
                <w:kern w:val="0"/>
                <w:sz w:val="15"/>
                <w:szCs w:val="15"/>
              </w:rPr>
            </w:pPr>
            <w:r>
              <w:rPr>
                <w:rFonts w:hint="eastAsia" w:cs="宋体"/>
                <w:color w:val="000000"/>
                <w:kern w:val="0"/>
                <w:sz w:val="15"/>
                <w:szCs w:val="15"/>
              </w:rPr>
              <w:t xml:space="preserve">100≤Y＜500 </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交通运输业 *</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20≤X＜300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Y≥30000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3000≤Y＜30000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200≤Y＜3000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仓储业*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X≥200</w:t>
            </w:r>
          </w:p>
        </w:tc>
        <w:tc>
          <w:tcPr>
            <w:tcW w:w="901" w:type="pct"/>
            <w:vAlign w:val="center"/>
          </w:tcPr>
          <w:p>
            <w:pPr>
              <w:widowControl/>
              <w:spacing w:line="240" w:lineRule="auto"/>
              <w:ind w:left="-32" w:leftChars="-51" w:hanging="90" w:hangingChars="60"/>
              <w:jc w:val="center"/>
              <w:rPr>
                <w:rFonts w:cs="宋体"/>
                <w:color w:val="000000"/>
                <w:kern w:val="0"/>
                <w:sz w:val="15"/>
                <w:szCs w:val="15"/>
              </w:rPr>
            </w:pPr>
            <w:r>
              <w:rPr>
                <w:rFonts w:hint="eastAsia" w:cs="宋体"/>
                <w:color w:val="000000"/>
                <w:kern w:val="0"/>
                <w:sz w:val="15"/>
                <w:szCs w:val="15"/>
              </w:rPr>
              <w:t>100≤X＜200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20≤X＜100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Y≥30000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1000≤Y＜30000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100≤Y＜1000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邮政业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20≤X＜300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Y≥30000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2000≤Y＜30000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100≤Y＜2000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住宿业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240" w:lineRule="auto"/>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2000≤Y＜10000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100≤Y＜2000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餐饮业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240" w:lineRule="auto"/>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2000≤Y＜10000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100≤Y＜2000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信息传输业 *</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X≥2000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100≤X＜2000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1000≤Y＜100000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100≤Y＜1000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vAlign w:val="center"/>
          </w:tcPr>
          <w:p>
            <w:pPr>
              <w:widowControl/>
              <w:spacing w:line="240" w:lineRule="auto"/>
              <w:rPr>
                <w:rFonts w:cs="宋体"/>
                <w:color w:val="000000"/>
                <w:spacing w:val="-12"/>
                <w:kern w:val="0"/>
                <w:sz w:val="15"/>
                <w:szCs w:val="15"/>
              </w:rPr>
            </w:pPr>
            <w:r>
              <w:rPr>
                <w:rFonts w:hint="eastAsia" w:cs="宋体"/>
                <w:color w:val="000000"/>
                <w:spacing w:val="-12"/>
                <w:kern w:val="0"/>
                <w:sz w:val="15"/>
                <w:szCs w:val="15"/>
              </w:rPr>
              <w:t>软件和信息技术服</w:t>
            </w:r>
            <w:r>
              <w:rPr>
                <w:rFonts w:hint="eastAsia" w:cs="宋体"/>
                <w:color w:val="000000"/>
                <w:kern w:val="0"/>
                <w:sz w:val="15"/>
                <w:szCs w:val="15"/>
              </w:rPr>
              <w:t>务业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240" w:lineRule="auto"/>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uto"/>
              <w:rPr>
                <w:rFonts w:cs="宋体"/>
                <w:color w:val="000000"/>
                <w:spacing w:val="-12"/>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1000≤Y＜10000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50≤Y＜1000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房地产开发经营</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Y≥200000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1000≤Y＜200000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100≤Y＜1000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资产总额(Z)</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Z≥10000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5000≤Z＜10000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2000≤Z＜5000   </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物业管理</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300≤X＜1000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100≤X＜300 </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营业收入(Y)</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Y≥5000</w:t>
            </w:r>
          </w:p>
        </w:tc>
        <w:tc>
          <w:tcPr>
            <w:tcW w:w="901" w:type="pct"/>
            <w:vAlign w:val="center"/>
          </w:tcPr>
          <w:p>
            <w:pPr>
              <w:widowControl/>
              <w:spacing w:line="240" w:lineRule="auto"/>
              <w:ind w:left="-32" w:leftChars="-51" w:hanging="90" w:hangingChars="60"/>
              <w:jc w:val="center"/>
              <w:rPr>
                <w:rFonts w:cs="宋体"/>
                <w:color w:val="000000"/>
                <w:kern w:val="0"/>
                <w:sz w:val="15"/>
                <w:szCs w:val="15"/>
              </w:rPr>
            </w:pPr>
            <w:r>
              <w:rPr>
                <w:rFonts w:hint="eastAsia" w:cs="宋体"/>
                <w:color w:val="000000"/>
                <w:kern w:val="0"/>
                <w:sz w:val="15"/>
                <w:szCs w:val="15"/>
              </w:rPr>
              <w:t xml:space="preserve">1000≤Y＜5000 </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500≤Y＜1000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120" w:type="pct"/>
            <w:vMerge w:val="restart"/>
            <w:vAlign w:val="center"/>
          </w:tcPr>
          <w:p>
            <w:pPr>
              <w:widowControl/>
              <w:spacing w:line="240" w:lineRule="auto"/>
              <w:rPr>
                <w:rFonts w:cs="宋体"/>
                <w:color w:val="000000"/>
                <w:kern w:val="0"/>
                <w:sz w:val="15"/>
                <w:szCs w:val="15"/>
              </w:rPr>
            </w:pPr>
            <w:r>
              <w:rPr>
                <w:rFonts w:hint="eastAsia" w:cs="宋体"/>
                <w:color w:val="000000"/>
                <w:kern w:val="0"/>
                <w:sz w:val="15"/>
                <w:szCs w:val="15"/>
              </w:rPr>
              <w:t>租赁和商务服务业</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240" w:lineRule="auto"/>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spacing w:line="240" w:lineRule="auto"/>
              <w:rPr>
                <w:rFonts w:cs="宋体"/>
                <w:color w:val="000000"/>
                <w:kern w:val="0"/>
                <w:sz w:val="15"/>
                <w:szCs w:val="15"/>
              </w:rPr>
            </w:pP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资产总额(Z)</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万元</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Z≥120000</w:t>
            </w:r>
          </w:p>
        </w:tc>
        <w:tc>
          <w:tcPr>
            <w:tcW w:w="901"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8000≤Z＜120000</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100≤Z＜8000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auto"/>
              <w:rPr>
                <w:rFonts w:cs="宋体"/>
                <w:color w:val="000000"/>
                <w:kern w:val="0"/>
                <w:sz w:val="15"/>
                <w:szCs w:val="15"/>
              </w:rPr>
            </w:pPr>
            <w:r>
              <w:rPr>
                <w:rFonts w:hint="eastAsia" w:cs="宋体"/>
                <w:color w:val="000000"/>
                <w:kern w:val="0"/>
                <w:sz w:val="15"/>
                <w:szCs w:val="15"/>
              </w:rPr>
              <w:t>其他未列明行业 *</w:t>
            </w:r>
          </w:p>
        </w:tc>
        <w:tc>
          <w:tcPr>
            <w:tcW w:w="7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从业人员(X)</w:t>
            </w:r>
          </w:p>
        </w:tc>
        <w:tc>
          <w:tcPr>
            <w:tcW w:w="37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人</w:t>
            </w:r>
          </w:p>
        </w:tc>
        <w:tc>
          <w:tcPr>
            <w:tcW w:w="59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X≥300</w:t>
            </w:r>
          </w:p>
        </w:tc>
        <w:tc>
          <w:tcPr>
            <w:tcW w:w="901" w:type="pct"/>
            <w:vAlign w:val="center"/>
          </w:tcPr>
          <w:p>
            <w:pPr>
              <w:widowControl/>
              <w:spacing w:line="240" w:lineRule="auto"/>
              <w:ind w:left="-32" w:leftChars="-51" w:hanging="90" w:hangingChars="60"/>
              <w:jc w:val="center"/>
              <w:rPr>
                <w:rFonts w:cs="宋体"/>
                <w:color w:val="000000"/>
                <w:kern w:val="0"/>
                <w:sz w:val="15"/>
                <w:szCs w:val="15"/>
              </w:rPr>
            </w:pPr>
            <w:r>
              <w:rPr>
                <w:rFonts w:hint="eastAsia" w:cs="宋体"/>
                <w:color w:val="000000"/>
                <w:kern w:val="0"/>
                <w:sz w:val="15"/>
                <w:szCs w:val="15"/>
              </w:rPr>
              <w:t xml:space="preserve">100≤X＜300 </w:t>
            </w:r>
          </w:p>
        </w:tc>
        <w:tc>
          <w:tcPr>
            <w:tcW w:w="75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 xml:space="preserve"> 10≤X＜100</w:t>
            </w:r>
          </w:p>
        </w:tc>
        <w:tc>
          <w:tcPr>
            <w:tcW w:w="525" w:type="pct"/>
            <w:vAlign w:val="center"/>
          </w:tcPr>
          <w:p>
            <w:pPr>
              <w:widowControl/>
              <w:spacing w:line="240" w:lineRule="auto"/>
              <w:jc w:val="center"/>
              <w:rPr>
                <w:rFonts w:cs="宋体"/>
                <w:color w:val="000000"/>
                <w:kern w:val="0"/>
                <w:sz w:val="15"/>
                <w:szCs w:val="15"/>
              </w:rPr>
            </w:pPr>
            <w:r>
              <w:rPr>
                <w:rFonts w:hint="eastAsia" w:cs="宋体"/>
                <w:color w:val="000000"/>
                <w:kern w:val="0"/>
                <w:sz w:val="15"/>
                <w:szCs w:val="15"/>
              </w:rPr>
              <w:t>X＜10</w:t>
            </w:r>
          </w:p>
        </w:tc>
      </w:tr>
    </w:tbl>
    <w:p>
      <w:pPr>
        <w:widowControl/>
        <w:adjustRightInd/>
        <w:snapToGrid/>
        <w:ind w:firstLine="512" w:firstLineChars="200"/>
        <w:rPr>
          <w:rFonts w:cs="宋体"/>
          <w:color w:val="000000"/>
          <w:spacing w:val="8"/>
          <w:kern w:val="0"/>
        </w:rPr>
      </w:pPr>
      <w:r>
        <w:rPr>
          <w:rFonts w:hint="eastAsia" w:cs="宋体"/>
          <w:color w:val="000000"/>
          <w:spacing w:val="8"/>
          <w:kern w:val="0"/>
        </w:rPr>
        <w:t>说明：</w:t>
      </w:r>
    </w:p>
    <w:p>
      <w:pPr>
        <w:adjustRightInd/>
        <w:snapToGrid/>
        <w:ind w:firstLine="512" w:firstLineChars="200"/>
        <w:rPr>
          <w:rFonts w:cs="宋体"/>
          <w:color w:val="000000"/>
          <w:spacing w:val="8"/>
          <w:kern w:val="0"/>
        </w:rPr>
      </w:pPr>
      <w:r>
        <w:rPr>
          <w:rFonts w:hint="eastAsia" w:cs="宋体"/>
          <w:color w:val="000000"/>
          <w:spacing w:val="8"/>
          <w:kern w:val="0"/>
        </w:rPr>
        <w:t>1.大型、中型和小型企业须同时满足所列指标的下限，否则下划一档；微型企业只须满足所列指标中的一项即可。</w:t>
      </w:r>
    </w:p>
    <w:p>
      <w:pPr>
        <w:adjustRightInd/>
        <w:snapToGrid/>
        <w:ind w:firstLine="512" w:firstLineChars="200"/>
        <w:rPr>
          <w:rFonts w:cs="宋体"/>
          <w:color w:val="000000"/>
          <w:spacing w:val="8"/>
          <w:kern w:val="0"/>
        </w:rPr>
      </w:pPr>
      <w:r>
        <w:rPr>
          <w:rFonts w:hint="eastAsia" w:cs="宋体"/>
          <w:color w:val="000000"/>
          <w:spacing w:val="8"/>
          <w:kern w:val="0"/>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cs="宋体"/>
          <w:b/>
          <w:bCs/>
        </w:rPr>
      </w:pPr>
      <w:r>
        <w:rPr>
          <w:rFonts w:hint="eastAsia" w:cs="宋体"/>
          <w:color w:val="000000"/>
          <w:spacing w:val="8"/>
          <w:kern w:val="0"/>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cs="宋体"/>
          <w:b/>
          <w:bCs/>
        </w:rPr>
        <w:br w:type="page"/>
      </w:r>
    </w:p>
    <w:p>
      <w:pPr>
        <w:pStyle w:val="32"/>
        <w:numPr>
          <w:ilvl w:val="1"/>
          <w:numId w:val="0"/>
        </w:numPr>
        <w:ind w:firstLine="482" w:firstLineChars="200"/>
        <w:rPr>
          <w:rFonts w:asciiTheme="minorEastAsia" w:hAnsiTheme="minorEastAsia" w:eastAsiaTheme="minorEastAsia" w:cstheme="minorEastAsia"/>
          <w:color w:val="000000"/>
        </w:rPr>
      </w:pPr>
      <w:bookmarkStart w:id="528" w:name="_Toc21966"/>
      <w:bookmarkStart w:id="529" w:name="_Toc1845"/>
      <w:bookmarkStart w:id="530" w:name="_Toc26920"/>
      <w:bookmarkStart w:id="531" w:name="_Toc20845"/>
      <w:r>
        <w:rPr>
          <w:rFonts w:hint="eastAsia" w:asciiTheme="minorEastAsia" w:hAnsiTheme="minorEastAsia" w:eastAsiaTheme="minorEastAsia" w:cstheme="minorEastAsia"/>
          <w:color w:val="000000"/>
        </w:rPr>
        <w:t>附件五：《四川省财政厅关于推进四川省政府采购供应商信用融资工作的通知》(川财采〔2018〕123号文)</w:t>
      </w:r>
      <w:bookmarkEnd w:id="528"/>
      <w:bookmarkEnd w:id="529"/>
      <w:bookmarkEnd w:id="530"/>
      <w:bookmarkEnd w:id="531"/>
    </w:p>
    <w:p>
      <w:pPr>
        <w:pStyle w:val="18"/>
        <w:widowControl/>
        <w:wordWrap w:val="0"/>
        <w:adjustRightInd/>
        <w:snapToGrid/>
        <w:spacing w:beforeAutospacing="0" w:afterAutospacing="0"/>
        <w:rPr>
          <w:rFonts w:cs="宋体"/>
          <w:b/>
          <w:bCs/>
        </w:rPr>
      </w:pPr>
      <w:r>
        <w:rPr>
          <w:rFonts w:hint="eastAsia"/>
          <w:b/>
          <w:bCs/>
        </w:rPr>
        <w:t>查询链接：</w:t>
      </w:r>
      <w:r>
        <w:rPr>
          <w:rFonts w:hint="eastAsia" w:cs="宋体"/>
          <w:b/>
          <w:bCs/>
        </w:rPr>
        <w:t>http：//www.ccgp-sichuan.gov.cn/view/staticpags/sjzcfg/40288687657ff75501672fd954532414.html</w:t>
      </w:r>
    </w:p>
    <w:p>
      <w:pPr>
        <w:widowControl/>
        <w:adjustRightInd/>
        <w:snapToGrid/>
      </w:pPr>
    </w:p>
    <w:p>
      <w:pPr>
        <w:widowControl/>
        <w:adjustRightInd/>
        <w:snapToGrid/>
        <w:spacing w:line="240" w:lineRule="auto"/>
        <w:jc w:val="center"/>
        <w:rPr>
          <w:rFonts w:cs="宋体"/>
        </w:rPr>
      </w:pPr>
      <w:r>
        <w:rPr>
          <w:rFonts w:hint="eastAsia" w:cs="宋体"/>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5"/>
                    <a:stretch>
                      <a:fillRect/>
                    </a:stretch>
                  </pic:blipFill>
                  <pic:spPr>
                    <a:xfrm>
                      <a:off x="0" y="0"/>
                      <a:ext cx="5302250" cy="1859915"/>
                    </a:xfrm>
                    <a:prstGeom prst="rect">
                      <a:avLst/>
                    </a:prstGeom>
                    <a:noFill/>
                    <a:ln w="9525">
                      <a:noFill/>
                    </a:ln>
                  </pic:spPr>
                </pic:pic>
              </a:graphicData>
            </a:graphic>
          </wp:inline>
        </w:drawing>
      </w:r>
    </w:p>
    <w:p>
      <w:pPr>
        <w:pStyle w:val="18"/>
        <w:widowControl/>
        <w:adjustRightInd/>
        <w:snapToGrid/>
        <w:spacing w:beforeAutospacing="0" w:afterAutospacing="0"/>
        <w:rPr>
          <w:rFonts w:cs="宋体"/>
        </w:rPr>
      </w:pPr>
      <w:r>
        <w:rPr>
          <w:rFonts w:hint="eastAsia" w:cs="宋体"/>
        </w:rPr>
        <w:t>各市(州)、扩权县(市)财政局，各省直机关、事业单位、团体组织，各金融机构，各采购代理机构，各政府采购供应商：</w:t>
      </w:r>
    </w:p>
    <w:p>
      <w:pPr>
        <w:pStyle w:val="18"/>
        <w:widowControl/>
        <w:adjustRightInd/>
        <w:snapToGrid/>
        <w:spacing w:beforeAutospacing="0" w:afterAutospacing="0"/>
        <w:ind w:firstLine="480" w:firstLineChars="200"/>
        <w:rPr>
          <w:rFonts w:cs="宋体"/>
        </w:rPr>
      </w:pPr>
      <w:r>
        <w:rPr>
          <w:rFonts w:hint="eastAsia" w:cs="宋体"/>
        </w:rPr>
        <w:t>为贯彻落实党的十九大精神、国务院“放管服”改革决策部署、省委十一届三次全会“大力推进创新驱动发展战略”精神，助力解决政府采购中标、中标人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pStyle w:val="18"/>
        <w:widowControl/>
        <w:adjustRightInd/>
        <w:snapToGrid/>
        <w:spacing w:beforeAutospacing="0" w:afterAutospacing="0"/>
        <w:ind w:firstLine="480" w:firstLineChars="200"/>
        <w:rPr>
          <w:rFonts w:cs="宋体"/>
        </w:rPr>
      </w:pPr>
      <w:r>
        <w:rPr>
          <w:rFonts w:hint="eastAsia" w:cs="宋体"/>
        </w:rPr>
        <w:t>一、融资概念</w:t>
      </w:r>
    </w:p>
    <w:p>
      <w:pPr>
        <w:pStyle w:val="18"/>
        <w:widowControl/>
        <w:adjustRightInd/>
        <w:snapToGrid/>
        <w:spacing w:beforeAutospacing="0" w:afterAutospacing="0"/>
        <w:ind w:firstLine="480" w:firstLineChars="200"/>
        <w:rPr>
          <w:rFonts w:cs="宋体"/>
        </w:rPr>
      </w:pPr>
      <w:r>
        <w:rPr>
          <w:rFonts w:hint="eastAsia" w:cs="宋体"/>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18"/>
        <w:widowControl/>
        <w:adjustRightInd/>
        <w:snapToGrid/>
        <w:spacing w:beforeAutospacing="0" w:afterAutospacing="0"/>
        <w:ind w:firstLine="480" w:firstLineChars="200"/>
        <w:rPr>
          <w:rFonts w:cs="宋体"/>
        </w:rPr>
      </w:pPr>
      <w:r>
        <w:rPr>
          <w:rFonts w:hint="eastAsia" w:cs="宋体"/>
        </w:rPr>
        <w:t>二、基本原则</w:t>
      </w:r>
    </w:p>
    <w:p>
      <w:pPr>
        <w:pStyle w:val="18"/>
        <w:widowControl/>
        <w:adjustRightInd/>
        <w:snapToGrid/>
        <w:spacing w:beforeAutospacing="0" w:afterAutospacing="0"/>
        <w:ind w:firstLine="482" w:firstLineChars="200"/>
        <w:rPr>
          <w:rFonts w:cs="宋体"/>
        </w:rPr>
      </w:pPr>
      <w:r>
        <w:rPr>
          <w:rFonts w:hint="eastAsia" w:cs="宋体"/>
          <w:b/>
        </w:rPr>
        <w:t>(一)财政引导，市场运行</w:t>
      </w:r>
    </w:p>
    <w:p>
      <w:pPr>
        <w:pStyle w:val="18"/>
        <w:widowControl/>
        <w:adjustRightInd/>
        <w:snapToGrid/>
        <w:spacing w:beforeAutospacing="0" w:afterAutospacing="0"/>
        <w:ind w:firstLine="480" w:firstLineChars="200"/>
        <w:rPr>
          <w:rFonts w:cs="宋体"/>
        </w:rPr>
      </w:pPr>
      <w:r>
        <w:rPr>
          <w:rFonts w:hint="eastAsia" w:cs="宋体"/>
        </w:rPr>
        <w:t>财政部门推进“政采贷”，银行和供应商按照自愿原则参与。供应商自愿选择是否申请“政采贷”，银行依据其内部审查制度和决策程序决定是否为供应商提供融资，自担风险。</w:t>
      </w:r>
    </w:p>
    <w:p>
      <w:pPr>
        <w:pStyle w:val="18"/>
        <w:widowControl/>
        <w:adjustRightInd/>
        <w:snapToGrid/>
        <w:spacing w:beforeAutospacing="0" w:afterAutospacing="0"/>
        <w:ind w:firstLine="482" w:firstLineChars="200"/>
        <w:rPr>
          <w:rFonts w:cs="宋体"/>
        </w:rPr>
      </w:pPr>
      <w:r>
        <w:rPr>
          <w:rFonts w:hint="eastAsia" w:cs="宋体"/>
          <w:b/>
        </w:rPr>
        <w:t>(二)建立机制，服务银企</w:t>
      </w:r>
    </w:p>
    <w:p>
      <w:pPr>
        <w:pStyle w:val="18"/>
        <w:widowControl/>
        <w:adjustRightInd/>
        <w:snapToGrid/>
        <w:spacing w:beforeAutospacing="0" w:afterAutospacing="0"/>
        <w:ind w:firstLine="480" w:firstLineChars="200"/>
        <w:rPr>
          <w:rFonts w:cs="宋体"/>
        </w:rPr>
      </w:pPr>
      <w:r>
        <w:rPr>
          <w:rFonts w:hint="eastAsia" w:cs="宋体"/>
        </w:rPr>
        <w:t>财政部门与银行建立“政采贷”工作机制，推动政府采购政策功能和金融资源的有机结合，拓宽银行的融资业务，助力解决政府采购中标、中标人资金不足、融资难、融资贵的困难，促进企业健康发展。</w:t>
      </w:r>
    </w:p>
    <w:p>
      <w:pPr>
        <w:pStyle w:val="18"/>
        <w:widowControl/>
        <w:adjustRightInd/>
        <w:snapToGrid/>
        <w:spacing w:beforeAutospacing="0" w:afterAutospacing="0"/>
        <w:ind w:firstLine="482" w:firstLineChars="200"/>
        <w:rPr>
          <w:rFonts w:cs="宋体"/>
        </w:rPr>
      </w:pPr>
      <w:r>
        <w:rPr>
          <w:rFonts w:hint="eastAsia" w:cs="宋体"/>
          <w:b/>
        </w:rPr>
        <w:t>(三)优质优惠，加强扶持</w:t>
      </w:r>
    </w:p>
    <w:p>
      <w:pPr>
        <w:pStyle w:val="18"/>
        <w:widowControl/>
        <w:adjustRightInd/>
        <w:snapToGrid/>
        <w:spacing w:beforeAutospacing="0" w:afterAutospacing="0"/>
        <w:ind w:firstLine="480" w:firstLineChars="200"/>
        <w:rPr>
          <w:rFonts w:cs="宋体"/>
        </w:rPr>
      </w:pPr>
      <w:r>
        <w:rPr>
          <w:rFonts w:hint="eastAsia" w:cs="宋体"/>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8"/>
        <w:widowControl/>
        <w:adjustRightInd/>
        <w:snapToGrid/>
        <w:spacing w:beforeAutospacing="0" w:afterAutospacing="0"/>
        <w:ind w:firstLine="480" w:firstLineChars="200"/>
        <w:rPr>
          <w:rFonts w:cs="宋体"/>
        </w:rPr>
      </w:pPr>
      <w:r>
        <w:rPr>
          <w:rFonts w:hint="eastAsia" w:cs="宋体"/>
        </w:rPr>
        <w:t>三、基本条件</w:t>
      </w:r>
    </w:p>
    <w:p>
      <w:pPr>
        <w:pStyle w:val="18"/>
        <w:widowControl/>
        <w:adjustRightInd/>
        <w:snapToGrid/>
        <w:spacing w:beforeAutospacing="0" w:afterAutospacing="0"/>
        <w:ind w:firstLine="482" w:firstLineChars="200"/>
        <w:rPr>
          <w:rFonts w:cs="宋体"/>
        </w:rPr>
      </w:pPr>
      <w:r>
        <w:rPr>
          <w:rFonts w:hint="eastAsia" w:cs="宋体"/>
          <w:b/>
        </w:rPr>
        <w:t>(一)银行暨“政采贷”金融产品</w:t>
      </w:r>
    </w:p>
    <w:p>
      <w:pPr>
        <w:pStyle w:val="18"/>
        <w:widowControl/>
        <w:adjustRightInd/>
        <w:snapToGrid/>
        <w:spacing w:beforeAutospacing="0" w:afterAutospacing="0"/>
        <w:ind w:firstLine="482" w:firstLineChars="200"/>
        <w:rPr>
          <w:rFonts w:cs="宋体"/>
        </w:rPr>
      </w:pPr>
      <w:r>
        <w:rPr>
          <w:rFonts w:hint="eastAsia" w:cs="宋体"/>
          <w:b/>
        </w:rPr>
        <w:t>1、征集。</w:t>
      </w:r>
      <w:r>
        <w:rPr>
          <w:rFonts w:hint="eastAsia" w:cs="宋体"/>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pPr>
        <w:pStyle w:val="18"/>
        <w:widowControl/>
        <w:adjustRightInd/>
        <w:snapToGrid/>
        <w:spacing w:beforeAutospacing="0" w:afterAutospacing="0"/>
        <w:ind w:firstLine="480" w:firstLineChars="200"/>
        <w:rPr>
          <w:rFonts w:cs="宋体"/>
        </w:rPr>
      </w:pPr>
      <w:r>
        <w:rPr>
          <w:rFonts w:hint="eastAsia" w:cs="宋体"/>
        </w:rPr>
        <w:t>申请材料应当包括银行基本情况、“政采贷”产品名称、申请贷款条件、申请贷款方式、申请贷款程序、贷款审查流程、贷款额度、发放贷款时间、收款方式及其他优质服务和优惠承诺等。</w:t>
      </w:r>
    </w:p>
    <w:p>
      <w:pPr>
        <w:pStyle w:val="18"/>
        <w:widowControl/>
        <w:adjustRightInd/>
        <w:snapToGrid/>
        <w:spacing w:beforeAutospacing="0" w:afterAutospacing="0"/>
        <w:ind w:firstLine="480" w:firstLineChars="200"/>
        <w:rPr>
          <w:rFonts w:cs="宋体"/>
        </w:rPr>
      </w:pPr>
      <w:r>
        <w:rPr>
          <w:rFonts w:hint="eastAsia" w:cs="宋体"/>
        </w:rPr>
        <w:t>银行提供的“政采贷”产品应当满足“无抵押担保、程序简便、利率优惠、放款及时”的基本条件以及本通知其他相关规定。</w:t>
      </w:r>
    </w:p>
    <w:p>
      <w:pPr>
        <w:pStyle w:val="18"/>
        <w:widowControl/>
        <w:adjustRightInd/>
        <w:snapToGrid/>
        <w:spacing w:beforeAutospacing="0" w:afterAutospacing="0"/>
        <w:ind w:firstLine="480" w:firstLineChars="200"/>
        <w:rPr>
          <w:rFonts w:cs="宋体"/>
        </w:rPr>
      </w:pPr>
      <w:r>
        <w:rPr>
          <w:rFonts w:hint="eastAsia" w:cs="宋体"/>
        </w:rPr>
        <w:t>银行申请材料中应当载明其自愿提供“政采贷”产品，自担风险，不得要求或者变相要求财政部门和采购人为其提供风险担保、承诺。</w:t>
      </w:r>
    </w:p>
    <w:p>
      <w:pPr>
        <w:pStyle w:val="18"/>
        <w:widowControl/>
        <w:adjustRightInd/>
        <w:snapToGrid/>
        <w:spacing w:beforeAutospacing="0" w:afterAutospacing="0"/>
        <w:ind w:firstLine="482" w:firstLineChars="200"/>
        <w:rPr>
          <w:rFonts w:cs="宋体"/>
        </w:rPr>
      </w:pPr>
      <w:r>
        <w:rPr>
          <w:rFonts w:hint="eastAsia" w:cs="宋体"/>
          <w:b/>
        </w:rPr>
        <w:t>2、公示。</w:t>
      </w:r>
      <w:r>
        <w:rPr>
          <w:rFonts w:hint="eastAsia" w:cs="宋体"/>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pStyle w:val="18"/>
        <w:widowControl/>
        <w:adjustRightInd/>
        <w:snapToGrid/>
        <w:spacing w:beforeAutospacing="0" w:afterAutospacing="0"/>
        <w:ind w:firstLine="482" w:firstLineChars="200"/>
        <w:rPr>
          <w:rFonts w:cs="宋体"/>
        </w:rPr>
      </w:pPr>
      <w:r>
        <w:rPr>
          <w:rFonts w:hint="eastAsia" w:cs="宋体"/>
          <w:b/>
        </w:rPr>
        <w:t>(二)供应商</w:t>
      </w:r>
    </w:p>
    <w:p>
      <w:pPr>
        <w:pStyle w:val="18"/>
        <w:widowControl/>
        <w:adjustRightInd/>
        <w:snapToGrid/>
        <w:spacing w:beforeAutospacing="0" w:afterAutospacing="0"/>
        <w:ind w:firstLine="480" w:firstLineChars="200"/>
        <w:rPr>
          <w:rFonts w:cs="宋体"/>
        </w:rPr>
      </w:pPr>
      <w:r>
        <w:rPr>
          <w:rFonts w:hint="eastAsia" w:cs="宋体"/>
        </w:rPr>
        <w:t>政府采购供应商向银行申请“政采贷”，应当满足下列基本条件：</w:t>
      </w:r>
    </w:p>
    <w:p>
      <w:pPr>
        <w:pStyle w:val="18"/>
        <w:widowControl/>
        <w:adjustRightInd/>
        <w:snapToGrid/>
        <w:spacing w:beforeAutospacing="0" w:afterAutospacing="0"/>
        <w:ind w:firstLine="482" w:firstLineChars="200"/>
        <w:rPr>
          <w:rFonts w:cs="宋体"/>
        </w:rPr>
      </w:pPr>
      <w:r>
        <w:rPr>
          <w:rFonts w:hint="eastAsia" w:cs="宋体"/>
          <w:b/>
        </w:rPr>
        <w:t>1、</w:t>
      </w:r>
      <w:r>
        <w:rPr>
          <w:rFonts w:hint="eastAsia" w:cs="宋体"/>
        </w:rPr>
        <w:t>具有依法承担民事责任的能力；</w:t>
      </w:r>
    </w:p>
    <w:p>
      <w:pPr>
        <w:pStyle w:val="18"/>
        <w:widowControl/>
        <w:adjustRightInd/>
        <w:snapToGrid/>
        <w:spacing w:beforeAutospacing="0" w:afterAutospacing="0"/>
        <w:ind w:firstLine="482" w:firstLineChars="200"/>
        <w:rPr>
          <w:rFonts w:cs="宋体"/>
        </w:rPr>
      </w:pPr>
      <w:r>
        <w:rPr>
          <w:rFonts w:hint="eastAsia" w:cs="宋体"/>
          <w:b/>
        </w:rPr>
        <w:t>2、</w:t>
      </w:r>
      <w:r>
        <w:rPr>
          <w:rFonts w:hint="eastAsia" w:cs="宋体"/>
        </w:rPr>
        <w:t>具有依法履行政府采购合同的能力；</w:t>
      </w:r>
    </w:p>
    <w:p>
      <w:pPr>
        <w:pStyle w:val="18"/>
        <w:widowControl/>
        <w:adjustRightInd/>
        <w:snapToGrid/>
        <w:spacing w:beforeAutospacing="0" w:afterAutospacing="0"/>
        <w:ind w:firstLine="482" w:firstLineChars="200"/>
        <w:rPr>
          <w:rFonts w:cs="宋体"/>
        </w:rPr>
      </w:pPr>
      <w:r>
        <w:rPr>
          <w:rFonts w:hint="eastAsia" w:cs="宋体"/>
          <w:b/>
        </w:rPr>
        <w:t>3、</w:t>
      </w:r>
      <w:r>
        <w:rPr>
          <w:rFonts w:hint="eastAsia" w:cs="宋体"/>
        </w:rPr>
        <w:t>参加的政府采购活动未被财政部门依法暂停、责令重新开展或者认定中标、成交无效；</w:t>
      </w:r>
    </w:p>
    <w:p>
      <w:pPr>
        <w:pStyle w:val="18"/>
        <w:widowControl/>
        <w:adjustRightInd/>
        <w:snapToGrid/>
        <w:spacing w:beforeAutospacing="0" w:afterAutospacing="0"/>
        <w:ind w:firstLine="482" w:firstLineChars="200"/>
        <w:rPr>
          <w:rFonts w:cs="宋体"/>
        </w:rPr>
      </w:pPr>
      <w:r>
        <w:rPr>
          <w:rFonts w:hint="eastAsia" w:cs="宋体"/>
          <w:b/>
        </w:rPr>
        <w:t>4、</w:t>
      </w:r>
      <w:r>
        <w:rPr>
          <w:rFonts w:hint="eastAsia" w:cs="宋体"/>
        </w:rPr>
        <w:t>无《政府采购法》第二十二条第一款第(五)项所称的重大违法记录；</w:t>
      </w:r>
    </w:p>
    <w:p>
      <w:pPr>
        <w:pStyle w:val="18"/>
        <w:widowControl/>
        <w:adjustRightInd/>
        <w:snapToGrid/>
        <w:spacing w:beforeAutospacing="0" w:afterAutospacing="0"/>
        <w:ind w:firstLine="482" w:firstLineChars="200"/>
        <w:rPr>
          <w:rFonts w:cs="宋体"/>
        </w:rPr>
      </w:pPr>
      <w:r>
        <w:rPr>
          <w:rFonts w:hint="eastAsia" w:cs="宋体"/>
          <w:b/>
        </w:rPr>
        <w:t>5、</w:t>
      </w:r>
      <w:r>
        <w:rPr>
          <w:rFonts w:hint="eastAsia" w:cs="宋体"/>
        </w:rPr>
        <w:t>未被法院、市场监管、税务、银行等部门单位纳入失信名单且在有效期内；</w:t>
      </w:r>
    </w:p>
    <w:p>
      <w:pPr>
        <w:pStyle w:val="18"/>
        <w:widowControl/>
        <w:adjustRightInd/>
        <w:snapToGrid/>
        <w:spacing w:beforeAutospacing="0" w:afterAutospacing="0"/>
        <w:ind w:firstLine="482" w:firstLineChars="200"/>
        <w:rPr>
          <w:rFonts w:cs="宋体"/>
        </w:rPr>
      </w:pPr>
      <w:r>
        <w:rPr>
          <w:rFonts w:hint="eastAsia" w:cs="宋体"/>
          <w:b/>
        </w:rPr>
        <w:t>6、</w:t>
      </w:r>
      <w:r>
        <w:rPr>
          <w:rFonts w:hint="eastAsia" w:cs="宋体"/>
        </w:rPr>
        <w:t>在一定期限内的(银行可以具体确定)政府采购合同履约过程中或者其他经营活动履约过程中，无不依法履约被有关行政部门行政处罚的或者产生法律纠纷被法院、仲裁机构判决、裁决败诉的；</w:t>
      </w:r>
    </w:p>
    <w:p>
      <w:pPr>
        <w:pStyle w:val="18"/>
        <w:widowControl/>
        <w:adjustRightInd/>
        <w:snapToGrid/>
        <w:spacing w:beforeAutospacing="0" w:afterAutospacing="0"/>
        <w:ind w:firstLine="482" w:firstLineChars="200"/>
        <w:rPr>
          <w:rFonts w:cs="宋体"/>
        </w:rPr>
      </w:pPr>
      <w:r>
        <w:rPr>
          <w:rFonts w:hint="eastAsia" w:cs="宋体"/>
          <w:b/>
        </w:rPr>
        <w:t>7、</w:t>
      </w:r>
      <w:r>
        <w:rPr>
          <w:rFonts w:hint="eastAsia" w:cs="宋体"/>
        </w:rPr>
        <w:t>其他银行要求的不属于提供财产抵押或第三方担保的条件。</w:t>
      </w:r>
    </w:p>
    <w:p>
      <w:pPr>
        <w:pStyle w:val="18"/>
        <w:widowControl/>
        <w:adjustRightInd/>
        <w:snapToGrid/>
        <w:spacing w:beforeAutospacing="0" w:afterAutospacing="0"/>
        <w:ind w:firstLine="480" w:firstLineChars="200"/>
        <w:rPr>
          <w:rFonts w:cs="宋体"/>
        </w:rPr>
      </w:pPr>
      <w:r>
        <w:rPr>
          <w:rFonts w:hint="eastAsia" w:cs="宋体"/>
        </w:rPr>
        <w:t>四、构建平台</w:t>
      </w:r>
    </w:p>
    <w:p>
      <w:pPr>
        <w:pStyle w:val="18"/>
        <w:widowControl/>
        <w:adjustRightInd/>
        <w:snapToGrid/>
        <w:spacing w:beforeAutospacing="0" w:afterAutospacing="0"/>
        <w:ind w:firstLine="480" w:firstLineChars="200"/>
        <w:rPr>
          <w:rFonts w:cs="宋体"/>
        </w:rPr>
      </w:pPr>
      <w:r>
        <w:rPr>
          <w:rFonts w:hint="eastAsia" w:cs="宋体"/>
        </w:rPr>
        <w:t>四川省财政厅将在“四川政府采购网”统一构建四川省“政采贷”信息化服务平台，推进四川省“政采贷”工作信息化建设。</w:t>
      </w:r>
    </w:p>
    <w:p>
      <w:pPr>
        <w:pStyle w:val="18"/>
        <w:widowControl/>
        <w:adjustRightInd/>
        <w:snapToGrid/>
        <w:spacing w:beforeAutospacing="0" w:afterAutospacing="0"/>
        <w:ind w:firstLine="480" w:firstLineChars="200"/>
        <w:rPr>
          <w:rFonts w:cs="宋体"/>
        </w:rPr>
      </w:pPr>
      <w:r>
        <w:rPr>
          <w:rFonts w:hint="eastAsia" w:cs="宋体"/>
        </w:rPr>
        <w:t>五、财金互动</w:t>
      </w:r>
    </w:p>
    <w:p>
      <w:pPr>
        <w:pStyle w:val="18"/>
        <w:widowControl/>
        <w:adjustRightInd/>
        <w:snapToGrid/>
        <w:spacing w:beforeAutospacing="0" w:afterAutospacing="0"/>
        <w:ind w:firstLine="480" w:firstLineChars="200"/>
        <w:rPr>
          <w:rFonts w:cs="宋体"/>
        </w:rPr>
      </w:pPr>
      <w:r>
        <w:rPr>
          <w:rFonts w:hint="eastAsia" w:cs="宋体"/>
        </w:rPr>
        <w:t>各级财政部门应当按照《四川省政府采购促进中小企业发展的若干规定》(川财采[2016]35号)等有关规定，对金融机构向小微企业提供“政采贷”贷款产生的损失，纳入财政金融互动政策范围给予风险补贴。</w:t>
      </w:r>
    </w:p>
    <w:p>
      <w:pPr>
        <w:pStyle w:val="18"/>
        <w:widowControl/>
        <w:adjustRightInd/>
        <w:snapToGrid/>
        <w:spacing w:beforeAutospacing="0" w:afterAutospacing="0"/>
        <w:ind w:firstLine="480" w:firstLineChars="200"/>
        <w:rPr>
          <w:rFonts w:cs="宋体"/>
        </w:rPr>
      </w:pPr>
      <w:r>
        <w:rPr>
          <w:rFonts w:hint="eastAsia" w:cs="宋体"/>
        </w:rPr>
        <w:t>六、基本流程</w:t>
      </w:r>
    </w:p>
    <w:p>
      <w:pPr>
        <w:pStyle w:val="18"/>
        <w:widowControl/>
        <w:adjustRightInd/>
        <w:snapToGrid/>
        <w:spacing w:beforeAutospacing="0" w:afterAutospacing="0"/>
        <w:ind w:firstLine="482" w:firstLineChars="200"/>
        <w:rPr>
          <w:rFonts w:cs="宋体"/>
        </w:rPr>
      </w:pPr>
      <w:r>
        <w:rPr>
          <w:rFonts w:hint="eastAsia" w:cs="宋体"/>
          <w:b/>
        </w:rPr>
        <w:t>(一)意向申请</w:t>
      </w:r>
    </w:p>
    <w:p>
      <w:pPr>
        <w:pStyle w:val="18"/>
        <w:widowControl/>
        <w:adjustRightInd/>
        <w:snapToGrid/>
        <w:spacing w:beforeAutospacing="0" w:afterAutospacing="0"/>
        <w:ind w:firstLine="480" w:firstLineChars="200"/>
        <w:rPr>
          <w:rFonts w:cs="宋体"/>
        </w:rPr>
      </w:pPr>
      <w:r>
        <w:rPr>
          <w:rFonts w:hint="eastAsia" w:cs="宋体"/>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pStyle w:val="18"/>
        <w:widowControl/>
        <w:adjustRightInd/>
        <w:snapToGrid/>
        <w:spacing w:beforeAutospacing="0" w:afterAutospacing="0"/>
        <w:ind w:firstLine="482" w:firstLineChars="200"/>
        <w:rPr>
          <w:rFonts w:cs="宋体"/>
          <w:b/>
        </w:rPr>
      </w:pPr>
      <w:r>
        <w:rPr>
          <w:rFonts w:hint="eastAsia" w:cs="宋体"/>
          <w:b/>
        </w:rPr>
        <w:t>(二)正式申请</w:t>
      </w:r>
    </w:p>
    <w:p>
      <w:pPr>
        <w:pStyle w:val="18"/>
        <w:widowControl/>
        <w:adjustRightInd/>
        <w:snapToGrid/>
        <w:spacing w:beforeAutospacing="0" w:afterAutospacing="0"/>
        <w:ind w:firstLine="480" w:firstLineChars="200"/>
        <w:rPr>
          <w:rFonts w:cs="宋体"/>
        </w:rPr>
      </w:pPr>
      <w:r>
        <w:rPr>
          <w:rFonts w:hint="eastAsia" w:cs="宋体"/>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pStyle w:val="18"/>
        <w:widowControl/>
        <w:adjustRightInd/>
        <w:snapToGrid/>
        <w:spacing w:beforeAutospacing="0" w:afterAutospacing="0"/>
        <w:ind w:firstLine="480" w:firstLineChars="200"/>
        <w:rPr>
          <w:rFonts w:cs="宋体"/>
        </w:rPr>
      </w:pPr>
      <w:r>
        <w:rPr>
          <w:rFonts w:hint="eastAsia" w:cs="宋体"/>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pStyle w:val="18"/>
        <w:widowControl/>
        <w:adjustRightInd/>
        <w:snapToGrid/>
        <w:spacing w:beforeAutospacing="0" w:afterAutospacing="0"/>
        <w:ind w:firstLine="482" w:firstLineChars="200"/>
        <w:rPr>
          <w:rFonts w:cs="宋体"/>
        </w:rPr>
      </w:pPr>
      <w:r>
        <w:rPr>
          <w:rFonts w:hint="eastAsia" w:cs="宋体"/>
          <w:b/>
        </w:rPr>
        <w:t>(三)贷款审查</w:t>
      </w:r>
    </w:p>
    <w:p>
      <w:pPr>
        <w:pStyle w:val="18"/>
        <w:widowControl/>
        <w:adjustRightInd/>
        <w:snapToGrid/>
        <w:spacing w:beforeAutospacing="0" w:afterAutospacing="0"/>
        <w:ind w:firstLine="480" w:firstLineChars="200"/>
        <w:rPr>
          <w:rFonts w:cs="宋体"/>
        </w:rPr>
      </w:pPr>
      <w:r>
        <w:rPr>
          <w:rFonts w:hint="eastAsia" w:cs="宋体"/>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pStyle w:val="18"/>
        <w:widowControl/>
        <w:adjustRightInd/>
        <w:snapToGrid/>
        <w:spacing w:beforeAutospacing="0" w:afterAutospacing="0"/>
        <w:ind w:firstLine="482" w:firstLineChars="200"/>
        <w:rPr>
          <w:rFonts w:cs="宋体"/>
        </w:rPr>
      </w:pPr>
      <w:r>
        <w:rPr>
          <w:rFonts w:hint="eastAsia" w:cs="宋体"/>
          <w:b/>
        </w:rPr>
        <w:t>(四)信息报送</w:t>
      </w:r>
    </w:p>
    <w:p>
      <w:pPr>
        <w:pStyle w:val="18"/>
        <w:widowControl/>
        <w:adjustRightInd/>
        <w:snapToGrid/>
        <w:spacing w:beforeAutospacing="0" w:afterAutospacing="0"/>
        <w:ind w:firstLine="480" w:firstLineChars="200"/>
        <w:rPr>
          <w:rFonts w:cs="宋体"/>
        </w:rPr>
      </w:pPr>
      <w:r>
        <w:rPr>
          <w:rFonts w:hint="eastAsia" w:cs="宋体"/>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pStyle w:val="18"/>
        <w:widowControl/>
        <w:adjustRightInd/>
        <w:snapToGrid/>
        <w:spacing w:beforeAutospacing="0" w:afterAutospacing="0"/>
        <w:ind w:firstLine="482" w:firstLineChars="200"/>
        <w:rPr>
          <w:rFonts w:cs="宋体"/>
        </w:rPr>
      </w:pPr>
      <w:r>
        <w:rPr>
          <w:rFonts w:hint="eastAsia" w:cs="宋体"/>
          <w:b/>
        </w:rPr>
        <w:t>(五)资金支付</w:t>
      </w:r>
    </w:p>
    <w:p>
      <w:pPr>
        <w:pStyle w:val="18"/>
        <w:widowControl/>
        <w:adjustRightInd/>
        <w:snapToGrid/>
        <w:spacing w:beforeAutospacing="0" w:afterAutospacing="0"/>
        <w:ind w:firstLine="480" w:firstLineChars="200"/>
        <w:rPr>
          <w:rFonts w:cs="宋体"/>
        </w:rPr>
      </w:pPr>
      <w:r>
        <w:rPr>
          <w:rFonts w:hint="eastAsia" w:cs="宋体"/>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8"/>
        <w:widowControl/>
        <w:adjustRightInd/>
        <w:snapToGrid/>
        <w:spacing w:beforeAutospacing="0" w:afterAutospacing="0"/>
        <w:ind w:firstLine="480" w:firstLineChars="200"/>
        <w:rPr>
          <w:rFonts w:cs="宋体"/>
        </w:rPr>
      </w:pPr>
      <w:r>
        <w:rPr>
          <w:rFonts w:hint="eastAsia" w:cs="宋体"/>
        </w:rPr>
        <w:t>政府采购资金支付过程中，银行需要查询采购资金支付进程有关信息的，财政部门和采购人应当支持。</w:t>
      </w:r>
    </w:p>
    <w:p>
      <w:pPr>
        <w:pStyle w:val="18"/>
        <w:widowControl/>
        <w:adjustRightInd/>
        <w:snapToGrid/>
        <w:spacing w:beforeAutospacing="0" w:afterAutospacing="0"/>
        <w:ind w:firstLine="480" w:firstLineChars="200"/>
        <w:rPr>
          <w:rFonts w:cs="宋体"/>
        </w:rPr>
      </w:pPr>
      <w:r>
        <w:rPr>
          <w:rFonts w:hint="eastAsia" w:cs="宋体"/>
        </w:rPr>
        <w:t>七、职责要求</w:t>
      </w:r>
    </w:p>
    <w:p>
      <w:pPr>
        <w:pStyle w:val="18"/>
        <w:widowControl/>
        <w:adjustRightInd/>
        <w:snapToGrid/>
        <w:spacing w:beforeAutospacing="0" w:afterAutospacing="0"/>
        <w:ind w:firstLine="482" w:firstLineChars="200"/>
        <w:rPr>
          <w:rFonts w:cs="宋体"/>
        </w:rPr>
      </w:pPr>
      <w:r>
        <w:rPr>
          <w:rFonts w:hint="eastAsia" w:cs="宋体"/>
          <w:b/>
        </w:rPr>
        <w:t>(一)</w:t>
      </w:r>
      <w:r>
        <w:rPr>
          <w:rFonts w:hint="eastAsia" w:cs="宋体"/>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8"/>
        <w:widowControl/>
        <w:adjustRightInd/>
        <w:snapToGrid/>
        <w:spacing w:beforeAutospacing="0" w:afterAutospacing="0"/>
        <w:ind w:firstLine="482" w:firstLineChars="200"/>
        <w:rPr>
          <w:rFonts w:cs="宋体"/>
        </w:rPr>
      </w:pPr>
      <w:r>
        <w:rPr>
          <w:rFonts w:hint="eastAsia" w:cs="宋体"/>
          <w:b/>
        </w:rPr>
        <w:t>(二)</w:t>
      </w:r>
      <w:r>
        <w:rPr>
          <w:rFonts w:hint="eastAsia" w:cs="宋体"/>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8"/>
        <w:widowControl/>
        <w:adjustRightInd/>
        <w:snapToGrid/>
        <w:spacing w:beforeAutospacing="0" w:afterAutospacing="0"/>
        <w:ind w:firstLine="482" w:firstLineChars="200"/>
        <w:rPr>
          <w:rFonts w:cs="宋体"/>
        </w:rPr>
      </w:pPr>
      <w:r>
        <w:rPr>
          <w:rFonts w:hint="eastAsia" w:cs="宋体"/>
          <w:b/>
        </w:rPr>
        <w:t>(三)</w:t>
      </w:r>
      <w:r>
        <w:rPr>
          <w:rFonts w:hint="eastAsia" w:cs="宋体"/>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8"/>
        <w:widowControl/>
        <w:adjustRightInd/>
        <w:snapToGrid/>
        <w:spacing w:beforeAutospacing="0" w:afterAutospacing="0"/>
        <w:ind w:firstLine="482" w:firstLineChars="200"/>
        <w:rPr>
          <w:rFonts w:cs="宋体"/>
        </w:rPr>
      </w:pPr>
      <w:r>
        <w:rPr>
          <w:rFonts w:hint="eastAsia" w:cs="宋体"/>
          <w:b/>
        </w:rPr>
        <w:t>(四)</w:t>
      </w:r>
      <w:r>
        <w:rPr>
          <w:rFonts w:hint="eastAsia" w:cs="宋体"/>
        </w:rPr>
        <w:t>采购代理机构在组织实施政府采购活动中，应当采取有效方式，向供应商宣传“政采贷”政策。银行需要借用采购代理机构的场所直接向供应商介绍其“政采贷”产品的，采购代理机构应当支持。</w:t>
      </w:r>
    </w:p>
    <w:p>
      <w:pPr>
        <w:pStyle w:val="18"/>
        <w:widowControl/>
        <w:adjustRightInd/>
        <w:snapToGrid/>
        <w:spacing w:beforeAutospacing="0" w:afterAutospacing="0"/>
        <w:ind w:firstLine="482" w:firstLineChars="200"/>
        <w:rPr>
          <w:rFonts w:cs="宋体"/>
        </w:rPr>
      </w:pPr>
      <w:r>
        <w:rPr>
          <w:rFonts w:hint="eastAsia" w:cs="宋体"/>
          <w:b/>
        </w:rPr>
        <w:t>(五)</w:t>
      </w:r>
      <w:r>
        <w:rPr>
          <w:rFonts w:hint="eastAsia" w:cs="宋体"/>
        </w:rPr>
        <w:t>供应商应当依法参加政府采购活动，公平竞争，诚实守信，严格按照政府采购合同履约，严格按照借款合同偿还债务。</w:t>
      </w:r>
    </w:p>
    <w:p>
      <w:pPr>
        <w:pStyle w:val="18"/>
        <w:widowControl/>
        <w:adjustRightInd/>
        <w:snapToGrid/>
        <w:spacing w:beforeAutospacing="0" w:afterAutospacing="0"/>
        <w:ind w:firstLine="482" w:firstLineChars="200"/>
        <w:rPr>
          <w:rFonts w:cs="宋体"/>
        </w:rPr>
      </w:pPr>
      <w:r>
        <w:rPr>
          <w:rFonts w:hint="eastAsia" w:cs="宋体"/>
          <w:b/>
        </w:rPr>
        <w:t>(六)</w:t>
      </w:r>
      <w:r>
        <w:rPr>
          <w:rFonts w:hint="eastAsia" w:cs="宋体"/>
        </w:rPr>
        <w:t>财政部门、采购人、采购代理机构及其他有关单位和个人不得违规干预供应商选择“政采贷”银行及其产品，也不得违规干预银行向供应商进行贷款。</w:t>
      </w:r>
    </w:p>
    <w:p>
      <w:pPr>
        <w:pStyle w:val="18"/>
        <w:widowControl/>
        <w:adjustRightInd/>
        <w:snapToGrid/>
        <w:spacing w:beforeAutospacing="0" w:afterAutospacing="0"/>
        <w:ind w:firstLine="482" w:firstLineChars="200"/>
        <w:rPr>
          <w:rFonts w:cs="宋体"/>
        </w:rPr>
      </w:pPr>
      <w:r>
        <w:rPr>
          <w:rFonts w:hint="eastAsia" w:cs="宋体"/>
          <w:b/>
        </w:rPr>
        <w:t>(七)</w:t>
      </w:r>
      <w:r>
        <w:rPr>
          <w:rFonts w:hint="eastAsia" w:cs="宋体"/>
        </w:rPr>
        <w:t>相关单位和个人在开展“政采贷”工作过程中，发现新问题、新情况或者有意见建议的，请及时向四川省财政厅反馈。</w:t>
      </w:r>
    </w:p>
    <w:p>
      <w:pPr>
        <w:pStyle w:val="18"/>
        <w:widowControl/>
        <w:adjustRightInd/>
        <w:snapToGrid/>
        <w:spacing w:beforeAutospacing="0" w:afterAutospacing="0"/>
        <w:ind w:firstLine="480" w:firstLineChars="200"/>
        <w:rPr>
          <w:rFonts w:cs="宋体"/>
        </w:rPr>
      </w:pPr>
      <w:r>
        <w:rPr>
          <w:rFonts w:hint="eastAsia" w:cs="宋体"/>
        </w:rPr>
        <w:t>八、违规处理</w:t>
      </w:r>
    </w:p>
    <w:p>
      <w:pPr>
        <w:pStyle w:val="18"/>
        <w:widowControl/>
        <w:adjustRightInd/>
        <w:snapToGrid/>
        <w:spacing w:beforeAutospacing="0" w:afterAutospacing="0"/>
        <w:ind w:firstLine="482" w:firstLineChars="200"/>
        <w:rPr>
          <w:rFonts w:cs="宋体"/>
        </w:rPr>
      </w:pPr>
      <w:r>
        <w:rPr>
          <w:rFonts w:hint="eastAsia" w:cs="宋体"/>
          <w:b/>
        </w:rPr>
        <w:t>(一)银行违规处理</w:t>
      </w:r>
    </w:p>
    <w:p>
      <w:pPr>
        <w:pStyle w:val="18"/>
        <w:widowControl/>
        <w:adjustRightInd/>
        <w:snapToGrid/>
        <w:spacing w:beforeAutospacing="0" w:afterAutospacing="0"/>
        <w:ind w:firstLine="480" w:firstLineChars="200"/>
        <w:rPr>
          <w:rFonts w:cs="宋体"/>
        </w:rPr>
      </w:pPr>
      <w:r>
        <w:rPr>
          <w:rFonts w:hint="eastAsia" w:cs="宋体"/>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pStyle w:val="18"/>
        <w:widowControl/>
        <w:adjustRightInd/>
        <w:snapToGrid/>
        <w:spacing w:beforeAutospacing="0" w:afterAutospacing="0"/>
        <w:ind w:firstLine="482" w:firstLineChars="200"/>
        <w:rPr>
          <w:rFonts w:cs="宋体"/>
        </w:rPr>
      </w:pPr>
      <w:r>
        <w:rPr>
          <w:rFonts w:hint="eastAsia" w:cs="宋体"/>
          <w:b/>
        </w:rPr>
        <w:t>(二)供应商违规处理</w:t>
      </w:r>
    </w:p>
    <w:p>
      <w:pPr>
        <w:pStyle w:val="18"/>
        <w:widowControl/>
        <w:adjustRightInd/>
        <w:snapToGrid/>
        <w:spacing w:beforeAutospacing="0" w:afterAutospacing="0"/>
        <w:ind w:firstLine="480" w:firstLineChars="200"/>
        <w:rPr>
          <w:rFonts w:cs="宋体"/>
        </w:rPr>
      </w:pPr>
      <w:r>
        <w:rPr>
          <w:rFonts w:hint="eastAsia" w:cs="宋体"/>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pStyle w:val="18"/>
        <w:widowControl/>
        <w:adjustRightInd/>
        <w:snapToGrid/>
        <w:spacing w:beforeAutospacing="0" w:afterAutospacing="0"/>
        <w:ind w:firstLine="482" w:firstLineChars="200"/>
        <w:rPr>
          <w:rFonts w:cs="宋体"/>
        </w:rPr>
      </w:pPr>
      <w:r>
        <w:rPr>
          <w:rFonts w:hint="eastAsia" w:cs="宋体"/>
          <w:b/>
        </w:rPr>
        <w:t>(三)其他违规处理</w:t>
      </w:r>
    </w:p>
    <w:p>
      <w:pPr>
        <w:pStyle w:val="18"/>
        <w:widowControl/>
        <w:adjustRightInd/>
        <w:snapToGrid/>
        <w:spacing w:beforeAutospacing="0" w:afterAutospacing="0"/>
        <w:ind w:firstLine="480" w:firstLineChars="200"/>
        <w:rPr>
          <w:rFonts w:cs="宋体"/>
        </w:rPr>
      </w:pPr>
      <w:r>
        <w:rPr>
          <w:rFonts w:hint="eastAsia" w:cs="宋体"/>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8"/>
        <w:widowControl/>
        <w:adjustRightInd/>
        <w:snapToGrid/>
        <w:spacing w:beforeAutospacing="0" w:afterAutospacing="0"/>
        <w:ind w:firstLine="480" w:firstLineChars="200"/>
        <w:rPr>
          <w:rFonts w:cs="宋体"/>
        </w:rPr>
      </w:pPr>
      <w:r>
        <w:rPr>
          <w:rFonts w:hint="eastAsia" w:cs="宋体"/>
        </w:rPr>
        <w:t> </w:t>
      </w:r>
    </w:p>
    <w:p>
      <w:pPr>
        <w:rPr>
          <w:rFonts w:cs="宋体"/>
        </w:rPr>
      </w:pPr>
      <w:r>
        <w:rPr>
          <w:rFonts w:hint="eastAsia" w:cs="宋体"/>
          <w:kern w:val="0"/>
        </w:rPr>
        <w:drawing>
          <wp:anchor distT="0" distB="0" distL="114300" distR="114300" simplePos="0" relativeHeight="251660288"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6"/>
                    <a:stretch>
                      <a:fillRect/>
                    </a:stretch>
                  </pic:blipFill>
                  <pic:spPr>
                    <a:xfrm>
                      <a:off x="0" y="0"/>
                      <a:ext cx="1771650" cy="1781175"/>
                    </a:xfrm>
                    <a:prstGeom prst="rect">
                      <a:avLst/>
                    </a:prstGeom>
                    <a:noFill/>
                    <a:ln w="9525">
                      <a:noFill/>
                    </a:ln>
                  </pic:spPr>
                </pic:pic>
              </a:graphicData>
            </a:graphic>
          </wp:anchor>
        </w:drawing>
      </w:r>
      <w:r>
        <w:rPr>
          <w:rFonts w:hint="eastAsia" w:cs="宋体"/>
        </w:rPr>
        <w:br w:type="page"/>
      </w:r>
    </w:p>
    <w:p>
      <w:pPr>
        <w:pStyle w:val="32"/>
        <w:numPr>
          <w:ilvl w:val="1"/>
          <w:numId w:val="0"/>
        </w:numPr>
        <w:ind w:firstLine="482" w:firstLineChars="200"/>
      </w:pPr>
      <w:bookmarkStart w:id="532" w:name="_Toc907"/>
      <w:bookmarkStart w:id="533" w:name="_Toc31255"/>
      <w:bookmarkStart w:id="534" w:name="_Toc20770"/>
      <w:bookmarkStart w:id="535" w:name="_Toc18025"/>
      <w:r>
        <w:rPr>
          <w:rFonts w:hint="eastAsia" w:asciiTheme="minorEastAsia" w:hAnsiTheme="minorEastAsia" w:eastAsiaTheme="minorEastAsia" w:cstheme="minorEastAsia"/>
          <w:color w:val="000000"/>
        </w:rPr>
        <w:t>附件六：成都市财政局  中国人民银行成都分行营业管理部关于印发《成都市中小企业政府采购信用融资暂行办法》和《成都市级支持中小企业政府采购信用融资实施方案》的通</w:t>
      </w:r>
      <w:r>
        <w:rPr>
          <w:rFonts w:hint="eastAsia"/>
        </w:rPr>
        <w:t>知(成财采〔2019〕17号)</w:t>
      </w:r>
      <w:bookmarkEnd w:id="532"/>
      <w:bookmarkEnd w:id="533"/>
      <w:bookmarkEnd w:id="534"/>
      <w:bookmarkEnd w:id="535"/>
    </w:p>
    <w:p>
      <w:pPr>
        <w:widowControl/>
        <w:wordWrap w:val="0"/>
        <w:adjustRightInd/>
        <w:snapToGrid/>
        <w:rPr>
          <w:rFonts w:cs="宋体"/>
          <w:b/>
          <w:bCs/>
        </w:rPr>
      </w:pPr>
      <w:r>
        <w:rPr>
          <w:rFonts w:hint="eastAsia" w:cs="宋体"/>
          <w:b/>
          <w:bCs/>
        </w:rPr>
        <w:t>查询链接：</w:t>
      </w:r>
      <w:r>
        <w:fldChar w:fldCharType="begin"/>
      </w:r>
      <w:r>
        <w:instrText xml:space="preserve"> HYPERLINK "http://cdcz.chengdu.gov.cn/cdsczj/c116726/2019-03/13/content_7d81ae9c2a1e48968c7839a9c5b88ccd.shtml" </w:instrText>
      </w:r>
      <w:r>
        <w:fldChar w:fldCharType="separate"/>
      </w:r>
      <w:r>
        <w:rPr>
          <w:rStyle w:val="23"/>
          <w:rFonts w:hint="eastAsia" w:cs="宋体"/>
          <w:b/>
          <w:bCs/>
        </w:rPr>
        <w:t>http：//cdcz.chengdu.gov.cn/cdsczj/c116726/2019-03/13/content_7d81ae9c2a1e48968c7839a9c5b88ccd.shtml</w:t>
      </w:r>
      <w:r>
        <w:rPr>
          <w:rStyle w:val="23"/>
          <w:rFonts w:hint="eastAsia" w:cs="宋体"/>
          <w:b/>
          <w:bCs/>
        </w:rPr>
        <w:fldChar w:fldCharType="end"/>
      </w:r>
    </w:p>
    <w:p>
      <w:pPr>
        <w:widowControl/>
        <w:wordWrap w:val="0"/>
        <w:adjustRightInd/>
        <w:snapToGrid/>
        <w:rPr>
          <w:rFonts w:cs="宋体"/>
          <w:b/>
          <w:bCs/>
        </w:rPr>
      </w:pPr>
    </w:p>
    <w:tbl>
      <w:tblPr>
        <w:tblStyle w:val="20"/>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vAlign w:val="center"/>
          </w:tcPr>
          <w:p>
            <w:pPr>
              <w:spacing w:line="240" w:lineRule="auto"/>
              <w:jc w:val="distribute"/>
              <w:rPr>
                <w:rFonts w:eastAsia="方正小标宋简体"/>
                <w:color w:val="FF0000"/>
                <w:sz w:val="66"/>
                <w:szCs w:val="66"/>
              </w:rPr>
            </w:pPr>
            <w:r>
              <w:rPr>
                <w:rFonts w:hint="eastAsia" w:eastAsia="方正小标宋简体"/>
                <w:color w:val="FF0000"/>
                <w:sz w:val="66"/>
                <w:szCs w:val="66"/>
              </w:rPr>
              <w:t>成都市财政局</w:t>
            </w:r>
          </w:p>
        </w:tc>
        <w:tc>
          <w:tcPr>
            <w:tcW w:w="1580" w:type="dxa"/>
            <w:vMerge w:val="restart"/>
            <w:vAlign w:val="center"/>
          </w:tcPr>
          <w:p>
            <w:pPr>
              <w:spacing w:line="240" w:lineRule="auto"/>
              <w:jc w:val="center"/>
              <w:rPr>
                <w:rFonts w:eastAsia="方正小标宋简体"/>
                <w:color w:val="FF0000"/>
                <w:sz w:val="66"/>
                <w:szCs w:val="66"/>
              </w:rPr>
            </w:pPr>
            <w:r>
              <w:rPr>
                <w:rFonts w:hint="eastAsia" w:eastAsia="方正小标宋简体"/>
                <w:color w:val="FF0000"/>
                <w:sz w:val="66"/>
                <w:szCs w:val="66"/>
              </w:rPr>
              <w:t>文件</w:t>
            </w:r>
          </w:p>
        </w:tc>
      </w:tr>
      <w:tr>
        <w:tblPrEx>
          <w:tblCellMar>
            <w:top w:w="0" w:type="dxa"/>
            <w:left w:w="108" w:type="dxa"/>
            <w:bottom w:w="0" w:type="dxa"/>
            <w:right w:w="108" w:type="dxa"/>
          </w:tblCellMar>
        </w:tblPrEx>
        <w:trPr>
          <w:cantSplit/>
          <w:trHeight w:val="1335" w:hRule="atLeast"/>
          <w:jc w:val="center"/>
        </w:trPr>
        <w:tc>
          <w:tcPr>
            <w:tcW w:w="7482" w:type="dxa"/>
            <w:vAlign w:val="center"/>
          </w:tcPr>
          <w:p>
            <w:pPr>
              <w:spacing w:line="240" w:lineRule="auto"/>
              <w:jc w:val="distribute"/>
              <w:rPr>
                <w:rFonts w:eastAsia="方正小标宋简体"/>
                <w:color w:val="FF0000"/>
                <w:spacing w:val="-20"/>
                <w:w w:val="82"/>
                <w:sz w:val="62"/>
                <w:szCs w:val="62"/>
              </w:rPr>
            </w:pPr>
            <w:r>
              <w:rPr>
                <w:rFonts w:hint="eastAsia" w:eastAsia="方正小标宋简体"/>
                <w:color w:val="FF0000"/>
                <w:spacing w:val="-20"/>
                <w:w w:val="82"/>
                <w:sz w:val="62"/>
                <w:szCs w:val="62"/>
              </w:rPr>
              <w:t>中国人民银行成都分行营业管理部</w:t>
            </w:r>
          </w:p>
        </w:tc>
        <w:tc>
          <w:tcPr>
            <w:tcW w:w="1580" w:type="dxa"/>
            <w:vMerge w:val="continue"/>
            <w:vAlign w:val="center"/>
          </w:tcPr>
          <w:p>
            <w:pPr>
              <w:spacing w:line="240" w:lineRule="auto"/>
              <w:jc w:val="center"/>
              <w:rPr>
                <w:rFonts w:eastAsia="方正小标宋简体"/>
                <w:color w:val="FF0000"/>
                <w:sz w:val="66"/>
                <w:szCs w:val="66"/>
              </w:rPr>
            </w:pPr>
          </w:p>
        </w:tc>
      </w:tr>
    </w:tbl>
    <w:p>
      <w:pPr>
        <w:jc w:val="center"/>
        <w:rPr>
          <w:rFonts w:eastAsia="方正仿宋_GBK"/>
        </w:rPr>
      </w:pPr>
    </w:p>
    <w:p>
      <w:pPr>
        <w:jc w:val="center"/>
        <w:rPr>
          <w:rFonts w:eastAsia="方正仿宋_GBK"/>
          <w:color w:val="000000"/>
        </w:rPr>
      </w:pPr>
      <w:r>
        <w:rPr>
          <w:rFonts w:eastAsia="方正仿宋_GBK"/>
          <w:color w:val="FF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25pt;height:0pt;width:442.4pt;z-index:251661312;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uPvWAAAABgEAAA8AAAAAAAAAAQAgAAAAIgAAAGRycy9kb3ducmV2LnhtbFBLAQIUABQAAAAI&#10;AIdO4kBhC1wm7wEAANkDAAAOAAAAAAAAAAEAIAAAACUBAABkcnMvZTJvRG9jLnhtbFBLBQYAAAAA&#10;BgAGAFkBAACGBQAAAAA=&#10;">
                <v:fill on="f" focussize="0,0"/>
                <v:stroke weight="1.5pt" color="#FF0000" joinstyle="round"/>
                <v:imagedata o:title=""/>
                <o:lock v:ext="edit" aspectratio="f"/>
              </v:line>
            </w:pict>
          </mc:Fallback>
        </mc:AlternateContent>
      </w:r>
      <w:r>
        <w:rPr>
          <w:rFonts w:eastAsia="方正仿宋_GBK"/>
        </w:rPr>
        <w:t>成财</w:t>
      </w:r>
      <w:r>
        <w:rPr>
          <w:rFonts w:hint="eastAsia" w:eastAsia="方正仿宋_GBK"/>
        </w:rPr>
        <w:t>采</w:t>
      </w:r>
      <w:r>
        <w:rPr>
          <w:rFonts w:eastAsia="方正仿宋_GBK"/>
        </w:rPr>
        <w:t>〔201</w:t>
      </w:r>
      <w:r>
        <w:rPr>
          <w:rFonts w:hint="eastAsia" w:eastAsia="方正仿宋_GBK"/>
        </w:rPr>
        <w:t>9</w:t>
      </w:r>
      <w:r>
        <w:rPr>
          <w:rFonts w:eastAsia="方正仿宋_GBK"/>
        </w:rPr>
        <w:t>〕</w:t>
      </w:r>
      <w:r>
        <w:rPr>
          <w:rFonts w:hint="eastAsia" w:eastAsia="方正仿宋_GBK"/>
        </w:rPr>
        <w:t>17</w:t>
      </w:r>
      <w:r>
        <w:rPr>
          <w:rFonts w:eastAsia="方正仿宋_GBK"/>
        </w:rPr>
        <w:t>号</w:t>
      </w:r>
    </w:p>
    <w:p>
      <w:pPr>
        <w:topLinePunct/>
        <w:jc w:val="center"/>
        <w:rPr>
          <w:rFonts w:ascii="方正小标宋_GBK" w:hAnsi="方正小标宋_GBK" w:eastAsia="方正小标宋_GBK"/>
        </w:rPr>
      </w:pPr>
    </w:p>
    <w:p>
      <w:pPr>
        <w:topLinePunct/>
        <w:jc w:val="center"/>
        <w:rPr>
          <w:rFonts w:ascii="方正小标宋简体" w:hAnsi="方正小标宋简体" w:eastAsia="方正小标宋简体" w:cs="方正小标宋简体"/>
          <w:spacing w:val="-18"/>
          <w:sz w:val="44"/>
          <w:szCs w:val="44"/>
        </w:rPr>
      </w:pPr>
      <w:r>
        <w:rPr>
          <w:rFonts w:hint="eastAsia" w:ascii="方正小标宋简体" w:hAnsi="方正小标宋简体" w:eastAsia="方正小标宋简体" w:cs="方正小标宋简体"/>
          <w:spacing w:val="-18"/>
          <w:sz w:val="44"/>
          <w:szCs w:val="44"/>
        </w:rPr>
        <w:t>成都市财政局  中国人民银行成都分行营业管理部</w:t>
      </w:r>
    </w:p>
    <w:p>
      <w:pPr>
        <w:topLinePun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关于印发《成都市中小企业政府采购信用融资</w:t>
      </w:r>
    </w:p>
    <w:p>
      <w:pPr>
        <w:topLinePun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暂行办法》和《成都市级支持中小企业</w:t>
      </w:r>
    </w:p>
    <w:p>
      <w:pPr>
        <w:topLinePun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政府采购信用融资实施方案》的通知</w:t>
      </w:r>
    </w:p>
    <w:p>
      <w:pPr>
        <w:jc w:val="center"/>
        <w:rPr>
          <w:rFonts w:eastAsia="方正仿宋_GBK"/>
        </w:rPr>
      </w:pPr>
    </w:p>
    <w:p>
      <w:pPr>
        <w:widowControl/>
        <w:adjustRightInd/>
        <w:snapToGrid/>
        <w:rPr>
          <w:rFonts w:cs="宋体"/>
        </w:rPr>
      </w:pPr>
      <w:r>
        <w:rPr>
          <w:rFonts w:hint="eastAsia" w:cs="宋体"/>
        </w:rPr>
        <w:t>成都天府新区、高新区财政金融局，各区(市)县财政局，市级各部门、单位，各银行业金融机构：</w:t>
      </w:r>
    </w:p>
    <w:p>
      <w:pPr>
        <w:widowControl/>
        <w:adjustRightInd/>
        <w:snapToGrid/>
        <w:ind w:firstLine="480" w:firstLineChars="200"/>
        <w:rPr>
          <w:rFonts w:cs="宋体"/>
        </w:rPr>
      </w:pPr>
      <w:r>
        <w:rPr>
          <w:rFonts w:hint="eastAsia" w:cs="宋体"/>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pPr>
        <w:widowControl/>
        <w:adjustRightInd/>
        <w:snapToGrid/>
        <w:ind w:firstLine="480" w:firstLineChars="200"/>
        <w:rPr>
          <w:rFonts w:cs="宋体"/>
        </w:rPr>
      </w:pPr>
      <w:r>
        <w:rPr>
          <w:rFonts w:hint="eastAsia" w:cs="宋体"/>
        </w:rPr>
        <w:t>一、高度重视、迅速行动</w:t>
      </w:r>
    </w:p>
    <w:p>
      <w:pPr>
        <w:widowControl/>
        <w:adjustRightInd/>
        <w:snapToGrid/>
        <w:ind w:firstLine="480" w:firstLineChars="200"/>
        <w:rPr>
          <w:rFonts w:cs="宋体"/>
        </w:rPr>
      </w:pPr>
      <w:r>
        <w:rPr>
          <w:rFonts w:hint="eastAsia" w:cs="宋体"/>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widowControl/>
        <w:adjustRightInd/>
        <w:snapToGrid/>
        <w:ind w:firstLine="480" w:firstLineChars="200"/>
        <w:rPr>
          <w:rFonts w:cs="宋体"/>
        </w:rPr>
      </w:pPr>
      <w:r>
        <w:rPr>
          <w:rFonts w:hint="eastAsia" w:cs="宋体"/>
        </w:rPr>
        <w:t>二、明确责任、压茬推进</w:t>
      </w:r>
    </w:p>
    <w:p>
      <w:pPr>
        <w:widowControl/>
        <w:adjustRightInd/>
        <w:snapToGrid/>
        <w:ind w:firstLine="480" w:firstLineChars="200"/>
        <w:rPr>
          <w:rFonts w:cs="宋体"/>
        </w:rPr>
      </w:pPr>
      <w:r>
        <w:rPr>
          <w:rFonts w:hint="eastAsia" w:cs="宋体"/>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pPr>
        <w:widowControl/>
        <w:adjustRightInd/>
        <w:snapToGrid/>
        <w:ind w:firstLine="480" w:firstLineChars="200"/>
        <w:rPr>
          <w:rFonts w:cs="宋体"/>
        </w:rPr>
      </w:pPr>
      <w:r>
        <w:rPr>
          <w:rFonts w:hint="eastAsia" w:cs="宋体"/>
        </w:rPr>
        <w:t>三、优化服务、营造氛围</w:t>
      </w:r>
    </w:p>
    <w:p>
      <w:pPr>
        <w:widowControl/>
        <w:adjustRightInd/>
        <w:snapToGrid/>
        <w:ind w:firstLine="480" w:firstLineChars="200"/>
        <w:rPr>
          <w:rFonts w:cs="宋体"/>
        </w:rPr>
      </w:pPr>
      <w:r>
        <w:rPr>
          <w:rFonts w:hint="eastAsia" w:cs="宋体"/>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widowControl/>
        <w:adjustRightInd/>
        <w:snapToGrid/>
        <w:ind w:firstLine="480" w:firstLineChars="200"/>
        <w:rPr>
          <w:rFonts w:cs="宋体"/>
        </w:rPr>
      </w:pPr>
    </w:p>
    <w:p>
      <w:pPr>
        <w:widowControl/>
        <w:adjustRightInd/>
        <w:snapToGrid/>
        <w:ind w:firstLine="480" w:firstLineChars="200"/>
        <w:rPr>
          <w:rFonts w:cs="宋体"/>
        </w:rPr>
      </w:pPr>
      <w:r>
        <w:rPr>
          <w:rFonts w:hint="eastAsia" w:cs="宋体"/>
        </w:rPr>
        <w:t xml:space="preserve">附件：1．成都市中小企业政府采购信用融资暂行办法 </w:t>
      </w:r>
    </w:p>
    <w:p>
      <w:pPr>
        <w:widowControl/>
        <w:adjustRightInd/>
        <w:snapToGrid/>
        <w:ind w:firstLine="480" w:firstLineChars="200"/>
        <w:rPr>
          <w:rFonts w:cs="宋体"/>
        </w:rPr>
      </w:pPr>
      <w:r>
        <w:rPr>
          <w:rFonts w:hint="eastAsia" w:cs="宋体"/>
        </w:rPr>
        <w:t>2．成都市级支持中小企业政府采购信用融资实施方案</w:t>
      </w:r>
    </w:p>
    <w:p>
      <w:pPr>
        <w:pStyle w:val="12"/>
        <w:widowControl/>
        <w:topLinePunct/>
        <w:adjustRightInd/>
        <w:snapToGrid/>
        <w:ind w:firstLine="480" w:firstLineChars="200"/>
        <w:rPr>
          <w:rFonts w:ascii="宋体" w:eastAsia="宋体" w:cs="宋体"/>
          <w:sz w:val="24"/>
        </w:rPr>
      </w:pPr>
    </w:p>
    <w:p>
      <w:pPr>
        <w:pStyle w:val="12"/>
        <w:widowControl/>
        <w:topLinePunct/>
        <w:adjustRightInd/>
        <w:snapToGrid/>
        <w:ind w:firstLine="480" w:firstLineChars="200"/>
        <w:rPr>
          <w:rFonts w:ascii="宋体" w:eastAsia="宋体" w:cs="宋体"/>
          <w:sz w:val="24"/>
        </w:rPr>
      </w:pPr>
    </w:p>
    <w:p>
      <w:pPr>
        <w:pStyle w:val="12"/>
        <w:widowControl/>
        <w:topLinePunct/>
        <w:adjustRightInd/>
        <w:snapToGrid/>
        <w:ind w:firstLine="480" w:firstLineChars="200"/>
        <w:rPr>
          <w:rFonts w:ascii="宋体" w:eastAsia="宋体" w:cs="宋体"/>
          <w:sz w:val="24"/>
        </w:rPr>
      </w:pPr>
    </w:p>
    <w:p>
      <w:pPr>
        <w:widowControl/>
        <w:tabs>
          <w:tab w:val="left" w:pos="7584"/>
          <w:tab w:val="clear" w:pos="0"/>
        </w:tabs>
        <w:topLinePunct/>
        <w:adjustRightInd/>
        <w:snapToGrid/>
        <w:ind w:firstLine="480" w:firstLineChars="200"/>
        <w:jc w:val="right"/>
        <w:rPr>
          <w:rFonts w:cs="宋体"/>
        </w:rPr>
      </w:pPr>
      <w:r>
        <w:rPr>
          <w:rFonts w:hint="eastAsia" w:cs="宋体"/>
        </w:rPr>
        <w:t>成都市财政局         中国人民银行成都分行营业管理部</w:t>
      </w:r>
    </w:p>
    <w:p>
      <w:pPr>
        <w:widowControl/>
        <w:tabs>
          <w:tab w:val="left" w:pos="7584"/>
          <w:tab w:val="clear" w:pos="0"/>
        </w:tabs>
        <w:topLinePunct/>
        <w:adjustRightInd/>
        <w:snapToGrid/>
        <w:ind w:firstLine="480" w:firstLineChars="200"/>
        <w:jc w:val="right"/>
        <w:rPr>
          <w:rFonts w:cs="宋体"/>
        </w:rPr>
      </w:pPr>
      <w:r>
        <w:rPr>
          <w:rFonts w:hint="eastAsia" w:cs="宋体"/>
        </w:rPr>
        <w:t>2019年2月26日</w:t>
      </w:r>
    </w:p>
    <w:p>
      <w:pPr>
        <w:rPr>
          <w:rFonts w:cs="宋体"/>
        </w:rPr>
      </w:pPr>
      <w:r>
        <w:rPr>
          <w:rFonts w:hint="eastAsia" w:cs="宋体"/>
        </w:rPr>
        <w:br w:type="page"/>
      </w:r>
    </w:p>
    <w:p>
      <w:pPr>
        <w:topLinePunct/>
        <w:adjustRightInd/>
        <w:rPr>
          <w:rFonts w:cs="宋体"/>
        </w:rPr>
      </w:pPr>
      <w:r>
        <w:rPr>
          <w:rFonts w:hint="eastAsia" w:cs="宋体"/>
        </w:rPr>
        <w:t>附件1</w:t>
      </w:r>
    </w:p>
    <w:p>
      <w:pPr>
        <w:topLinePunct/>
        <w:adjustRightInd/>
        <w:rPr>
          <w:rFonts w:cs="宋体"/>
        </w:rPr>
      </w:pPr>
    </w:p>
    <w:p>
      <w:pPr>
        <w:topLinePunct/>
        <w:adjustRightInd/>
        <w:jc w:val="center"/>
        <w:rPr>
          <w:rFonts w:cs="宋体"/>
        </w:rPr>
      </w:pPr>
      <w:r>
        <w:rPr>
          <w:rFonts w:hint="eastAsia" w:cs="宋体"/>
        </w:rPr>
        <w:t>成都市中小企业</w:t>
      </w:r>
      <w:r>
        <w:rPr>
          <w:rFonts w:hint="eastAsia" w:cs="宋体"/>
          <w:color w:val="000000"/>
        </w:rPr>
        <w:t>政府采购信用融资暂行</w:t>
      </w:r>
      <w:r>
        <w:rPr>
          <w:rFonts w:hint="eastAsia" w:cs="宋体"/>
        </w:rPr>
        <w:t>办法</w:t>
      </w:r>
    </w:p>
    <w:p>
      <w:pPr>
        <w:topLinePunct/>
        <w:adjustRightInd/>
        <w:jc w:val="center"/>
        <w:rPr>
          <w:rFonts w:cs="宋体"/>
        </w:rPr>
      </w:pPr>
      <w:r>
        <w:rPr>
          <w:rFonts w:hint="eastAsia" w:cs="宋体"/>
        </w:rPr>
        <w:t>第一章  总  则</w:t>
      </w:r>
    </w:p>
    <w:p>
      <w:pPr>
        <w:topLinePunct/>
        <w:adjustRightInd/>
        <w:ind w:firstLine="480" w:firstLineChars="200"/>
        <w:rPr>
          <w:rFonts w:cs="宋体"/>
        </w:rPr>
      </w:pPr>
      <w:r>
        <w:rPr>
          <w:rFonts w:hint="eastAsia" w:cs="宋体"/>
        </w:rPr>
        <w:t>第一条(政策依据)</w:t>
      </w:r>
    </w:p>
    <w:p>
      <w:pPr>
        <w:topLinePunct/>
        <w:adjustRightInd/>
        <w:ind w:firstLine="480" w:firstLineChars="200"/>
        <w:rPr>
          <w:rFonts w:cs="宋体"/>
        </w:rPr>
      </w:pPr>
      <w:r>
        <w:rPr>
          <w:rFonts w:hint="eastAsia" w:cs="宋体"/>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topLinePunct/>
        <w:adjustRightInd/>
        <w:ind w:firstLine="480" w:firstLineChars="200"/>
        <w:rPr>
          <w:rFonts w:cs="宋体"/>
        </w:rPr>
      </w:pPr>
      <w:r>
        <w:rPr>
          <w:rFonts w:hint="eastAsia" w:cs="宋体"/>
        </w:rPr>
        <w:t>第二条(适用范围)</w:t>
      </w:r>
    </w:p>
    <w:p>
      <w:pPr>
        <w:topLinePunct/>
        <w:adjustRightInd/>
        <w:ind w:firstLine="480" w:firstLineChars="200"/>
        <w:rPr>
          <w:rFonts w:cs="宋体"/>
        </w:rPr>
      </w:pPr>
      <w:r>
        <w:rPr>
          <w:rFonts w:hint="eastAsia" w:cs="宋体"/>
        </w:rPr>
        <w:t>成都市行政区域内政府采购信用融资适用本办法。</w:t>
      </w:r>
    </w:p>
    <w:p>
      <w:pPr>
        <w:topLinePunct/>
        <w:adjustRightInd/>
        <w:ind w:firstLine="480" w:firstLineChars="200"/>
        <w:rPr>
          <w:rFonts w:cs="宋体"/>
        </w:rPr>
      </w:pPr>
      <w:r>
        <w:rPr>
          <w:rFonts w:hint="eastAsia" w:cs="宋体"/>
        </w:rPr>
        <w:t>第三条(术语定义)</w:t>
      </w:r>
    </w:p>
    <w:p>
      <w:pPr>
        <w:topLinePunct/>
        <w:adjustRightInd/>
        <w:ind w:firstLine="480" w:firstLineChars="200"/>
        <w:rPr>
          <w:rFonts w:cs="宋体"/>
        </w:rPr>
      </w:pPr>
      <w:r>
        <w:rPr>
          <w:rFonts w:hint="eastAsia" w:cs="宋体"/>
        </w:rPr>
        <w:t>本办法所称政府采购信用融资，是指融资机构以信用审查为基础，依据政府采购合同，按相应的优惠政策向申请融资的中小企业(以下简称供应商)提供资金支持的融资模式。</w:t>
      </w:r>
    </w:p>
    <w:p>
      <w:pPr>
        <w:topLinePunct/>
        <w:adjustRightInd/>
        <w:ind w:firstLine="480" w:firstLineChars="200"/>
        <w:rPr>
          <w:rFonts w:cs="宋体"/>
        </w:rPr>
      </w:pPr>
      <w:r>
        <w:rPr>
          <w:rFonts w:hint="eastAsia" w:cs="宋体"/>
        </w:rPr>
        <w:t>本办法所称融资机构，是指在成都市属地注册或设立分支机构，有意向按照本办法开展政府采购信用融资业务，经同级财政部门确定的银行机构。</w:t>
      </w:r>
    </w:p>
    <w:p>
      <w:pPr>
        <w:topLinePunct/>
        <w:adjustRightInd/>
        <w:ind w:firstLine="480" w:firstLineChars="200"/>
        <w:rPr>
          <w:rFonts w:cs="宋体"/>
        </w:rPr>
      </w:pPr>
      <w:r>
        <w:rPr>
          <w:rFonts w:hint="eastAsia" w:cs="宋体"/>
        </w:rPr>
        <w:t>本办法所称中小企业，包括中型、小型及微型企业，其划型标准按照国家相关规定执行。</w:t>
      </w:r>
    </w:p>
    <w:p>
      <w:pPr>
        <w:topLinePunct/>
        <w:adjustRightInd/>
        <w:ind w:firstLine="480" w:firstLineChars="200"/>
        <w:rPr>
          <w:rFonts w:cs="宋体"/>
        </w:rPr>
      </w:pPr>
      <w:r>
        <w:rPr>
          <w:rFonts w:hint="eastAsia" w:cs="宋体"/>
        </w:rPr>
        <w:t>第四条(基本原则)</w:t>
      </w:r>
    </w:p>
    <w:p>
      <w:pPr>
        <w:topLinePunct/>
        <w:adjustRightInd/>
        <w:ind w:firstLine="480" w:firstLineChars="200"/>
        <w:rPr>
          <w:rFonts w:cs="宋体"/>
        </w:rPr>
      </w:pPr>
      <w:r>
        <w:rPr>
          <w:rFonts w:hint="eastAsia" w:cs="宋体"/>
        </w:rPr>
        <w:t>政府采购信用融资工作坚持政府引导、市场主导，自愿选择、自担风险，诚实信用、互惠共赢的原则，切实发挥市场在资源配置中的决定性作用。</w:t>
      </w:r>
    </w:p>
    <w:p>
      <w:pPr>
        <w:topLinePunct/>
        <w:adjustRightInd/>
        <w:ind w:firstLine="480" w:firstLineChars="200"/>
        <w:jc w:val="center"/>
        <w:rPr>
          <w:rFonts w:cs="宋体"/>
        </w:rPr>
      </w:pPr>
      <w:r>
        <w:rPr>
          <w:rFonts w:hint="eastAsia" w:cs="宋体"/>
        </w:rPr>
        <w:t>第二章  融资优惠</w:t>
      </w:r>
    </w:p>
    <w:p>
      <w:pPr>
        <w:topLinePunct/>
        <w:adjustRightInd/>
        <w:ind w:firstLine="480" w:firstLineChars="200"/>
        <w:rPr>
          <w:rFonts w:cs="宋体"/>
        </w:rPr>
      </w:pPr>
      <w:r>
        <w:rPr>
          <w:rFonts w:hint="eastAsia" w:cs="宋体"/>
        </w:rPr>
        <w:t>第五条(融资方式)</w:t>
      </w:r>
    </w:p>
    <w:p>
      <w:pPr>
        <w:topLinePunct/>
        <w:adjustRightInd/>
        <w:ind w:firstLine="480" w:firstLineChars="200"/>
        <w:rPr>
          <w:rFonts w:cs="宋体"/>
        </w:rPr>
      </w:pPr>
      <w:r>
        <w:rPr>
          <w:rFonts w:hint="eastAsia" w:cs="宋体"/>
        </w:rPr>
        <w:t>供应商无需提供财产抵押或第三方担保，凭借政府采购合同向融资机构申请融资，融资机构根据其授信政策为供应商提供信用贷款。</w:t>
      </w:r>
    </w:p>
    <w:p>
      <w:pPr>
        <w:topLinePunct/>
        <w:adjustRightInd/>
        <w:ind w:firstLine="480" w:firstLineChars="200"/>
        <w:rPr>
          <w:rFonts w:cs="宋体"/>
        </w:rPr>
      </w:pPr>
      <w:r>
        <w:rPr>
          <w:rFonts w:hint="eastAsia" w:cs="宋体"/>
        </w:rPr>
        <w:t>第六条(融资额度)</w:t>
      </w:r>
    </w:p>
    <w:p>
      <w:pPr>
        <w:topLinePunct/>
        <w:adjustRightInd/>
        <w:ind w:firstLine="480" w:firstLineChars="200"/>
        <w:rPr>
          <w:rFonts w:cs="宋体"/>
        </w:rPr>
      </w:pPr>
      <w:r>
        <w:rPr>
          <w:rFonts w:hint="eastAsia" w:cs="宋体"/>
        </w:rPr>
        <w:t>融资额度原则上不超过政府采购合同金额。</w:t>
      </w:r>
    </w:p>
    <w:p>
      <w:pPr>
        <w:topLinePunct/>
        <w:adjustRightInd/>
        <w:ind w:firstLine="480" w:firstLineChars="200"/>
        <w:rPr>
          <w:rFonts w:cs="宋体"/>
        </w:rPr>
      </w:pPr>
      <w:r>
        <w:rPr>
          <w:rFonts w:hint="eastAsia" w:cs="宋体"/>
        </w:rPr>
        <w:t>第七条(融资利率)</w:t>
      </w:r>
    </w:p>
    <w:p>
      <w:pPr>
        <w:topLinePunct/>
        <w:adjustRightInd/>
        <w:ind w:firstLine="480" w:firstLineChars="200"/>
        <w:rPr>
          <w:rFonts w:cs="宋体"/>
        </w:rPr>
      </w:pPr>
      <w:r>
        <w:rPr>
          <w:rFonts w:hint="eastAsia" w:cs="宋体"/>
        </w:rPr>
        <w:t>融资机构向供应商提供融资的利率应低于同期一般中小企业的贷款利率。融资利率上浮比例原则上不超过中国人民银行公布的同期贷款基准利率的30%。</w:t>
      </w:r>
    </w:p>
    <w:p>
      <w:pPr>
        <w:topLinePunct/>
        <w:adjustRightInd/>
        <w:ind w:firstLine="480" w:firstLineChars="200"/>
        <w:rPr>
          <w:rFonts w:cs="宋体"/>
        </w:rPr>
      </w:pPr>
      <w:r>
        <w:rPr>
          <w:rFonts w:hint="eastAsia" w:cs="宋体"/>
        </w:rPr>
        <w:t>第八条(融资期限)</w:t>
      </w:r>
    </w:p>
    <w:p>
      <w:pPr>
        <w:topLinePunct/>
        <w:adjustRightInd/>
        <w:ind w:firstLine="480" w:firstLineChars="200"/>
        <w:rPr>
          <w:rFonts w:cs="宋体"/>
        </w:rPr>
      </w:pPr>
      <w:r>
        <w:rPr>
          <w:rFonts w:hint="eastAsia" w:cs="宋体"/>
        </w:rPr>
        <w:t>融资期限原则上与政府采购合同履行期限一致。</w:t>
      </w:r>
    </w:p>
    <w:p>
      <w:pPr>
        <w:topLinePunct/>
        <w:adjustRightInd/>
        <w:ind w:firstLine="480" w:firstLineChars="200"/>
        <w:rPr>
          <w:rFonts w:cs="宋体"/>
        </w:rPr>
      </w:pPr>
      <w:r>
        <w:rPr>
          <w:rFonts w:hint="eastAsia" w:cs="宋体"/>
        </w:rPr>
        <w:t>第九条(融资效率)</w:t>
      </w:r>
    </w:p>
    <w:p>
      <w:pPr>
        <w:topLinePunct/>
        <w:adjustRightInd/>
        <w:ind w:firstLine="480" w:firstLineChars="200"/>
        <w:rPr>
          <w:rFonts w:cs="宋体"/>
        </w:rPr>
      </w:pPr>
      <w:r>
        <w:rPr>
          <w:rFonts w:hint="eastAsia" w:cs="宋体"/>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topLinePunct/>
        <w:adjustRightInd/>
        <w:ind w:firstLine="480" w:firstLineChars="200"/>
        <w:rPr>
          <w:rFonts w:cs="宋体"/>
        </w:rPr>
      </w:pPr>
      <w:r>
        <w:rPr>
          <w:rFonts w:hint="eastAsia" w:cs="宋体"/>
        </w:rPr>
        <w:t>第十条(融资业务升级)</w:t>
      </w:r>
    </w:p>
    <w:p>
      <w:pPr>
        <w:topLinePunct/>
        <w:adjustRightInd/>
        <w:ind w:firstLine="480" w:firstLineChars="200"/>
        <w:rPr>
          <w:rFonts w:cs="宋体"/>
        </w:rPr>
      </w:pPr>
      <w:r>
        <w:rPr>
          <w:rFonts w:hint="eastAsia" w:cs="宋体"/>
        </w:rPr>
        <w:t>对履约记录良好、诚信资质高的供应商，融资机构应当在授信额度、融资审查、融资利率等方面给予更大支持，促进供应商依法诚信经营。</w:t>
      </w:r>
    </w:p>
    <w:p>
      <w:pPr>
        <w:topLinePunct/>
        <w:adjustRightInd/>
        <w:ind w:firstLine="480" w:firstLineChars="200"/>
        <w:rPr>
          <w:rFonts w:cs="宋体"/>
        </w:rPr>
      </w:pPr>
      <w:r>
        <w:rPr>
          <w:rFonts w:hint="eastAsia" w:cs="宋体"/>
        </w:rPr>
        <w:t>第十一条(贷款风险补贴)</w:t>
      </w:r>
    </w:p>
    <w:p>
      <w:pPr>
        <w:topLinePunct/>
        <w:adjustRightInd/>
        <w:ind w:firstLine="480" w:firstLineChars="200"/>
        <w:rPr>
          <w:rFonts w:cs="宋体"/>
        </w:rPr>
      </w:pPr>
      <w:r>
        <w:rPr>
          <w:rFonts w:hint="eastAsia" w:cs="宋体"/>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topLinePunct/>
        <w:adjustRightInd/>
        <w:ind w:firstLine="480" w:firstLineChars="200"/>
        <w:jc w:val="center"/>
        <w:rPr>
          <w:rFonts w:cs="宋体"/>
        </w:rPr>
      </w:pPr>
      <w:r>
        <w:rPr>
          <w:rFonts w:hint="eastAsia" w:cs="宋体"/>
        </w:rPr>
        <w:t>第三章  融资流程</w:t>
      </w:r>
    </w:p>
    <w:p>
      <w:pPr>
        <w:topLinePunct/>
        <w:adjustRightInd/>
        <w:ind w:firstLine="480" w:firstLineChars="200"/>
        <w:rPr>
          <w:rFonts w:cs="宋体"/>
        </w:rPr>
      </w:pPr>
      <w:r>
        <w:rPr>
          <w:rFonts w:hint="eastAsia" w:cs="宋体"/>
        </w:rPr>
        <w:t>第十二条(融资流程)</w:t>
      </w:r>
    </w:p>
    <w:p>
      <w:pPr>
        <w:topLinePunct/>
        <w:adjustRightInd/>
        <w:ind w:firstLine="480" w:firstLineChars="200"/>
        <w:rPr>
          <w:rFonts w:cs="宋体"/>
        </w:rPr>
      </w:pPr>
      <w:r>
        <w:rPr>
          <w:rFonts w:hint="eastAsia" w:cs="宋体"/>
        </w:rPr>
        <w:t>(一)信息发布。采购人应当在发布的采购公告和采购文件中载明采购项目可提供信用融资的信息。</w:t>
      </w:r>
    </w:p>
    <w:p>
      <w:pPr>
        <w:topLinePunct/>
        <w:adjustRightInd/>
        <w:ind w:firstLine="480" w:firstLineChars="200"/>
        <w:rPr>
          <w:rFonts w:cs="宋体"/>
        </w:rPr>
      </w:pPr>
      <w:r>
        <w:rPr>
          <w:rFonts w:hint="eastAsia" w:cs="宋体"/>
        </w:rPr>
        <w:t>(二)融资申请。有融资需求的供应商自主选择提供政府采购信用融资服务的融资机构及产品，并按要求提供申请资料。</w:t>
      </w:r>
    </w:p>
    <w:p>
      <w:pPr>
        <w:topLinePunct/>
        <w:adjustRightInd/>
        <w:ind w:firstLine="480" w:firstLineChars="200"/>
        <w:rPr>
          <w:rFonts w:cs="宋体"/>
        </w:rPr>
      </w:pPr>
      <w:r>
        <w:rPr>
          <w:rFonts w:hint="eastAsia" w:cs="宋体"/>
        </w:rPr>
        <w:t>(三)融资审查。融资机构对供应商的融资申请进行审查，并向供应商反馈审查及融资额度等情况。</w:t>
      </w:r>
    </w:p>
    <w:p>
      <w:pPr>
        <w:topLinePunct/>
        <w:adjustRightInd/>
        <w:ind w:firstLine="480" w:firstLineChars="200"/>
        <w:rPr>
          <w:rFonts w:cs="宋体"/>
        </w:rPr>
      </w:pPr>
      <w:r>
        <w:rPr>
          <w:rFonts w:hint="eastAsia" w:cs="宋体"/>
        </w:rPr>
        <w:t>(四)账户确认。供应商须在合作融资机构开立结算账户，并与采购人在政府采购合同中或通过签订补充协议的方式约定唯一收款账户，融资机构对唯一收款账户进行确认和锁定。</w:t>
      </w:r>
    </w:p>
    <w:p>
      <w:pPr>
        <w:topLinePunct/>
        <w:adjustRightInd/>
        <w:ind w:firstLine="480" w:firstLineChars="200"/>
        <w:rPr>
          <w:rFonts w:cs="宋体"/>
        </w:rPr>
      </w:pPr>
      <w:r>
        <w:rPr>
          <w:rFonts w:hint="eastAsia" w:cs="宋体"/>
        </w:rPr>
        <w:t>(五)放款。融资机构对政府采购合同及融资相关信息进行确认，并向供应商提供相应的融资产品。</w:t>
      </w:r>
    </w:p>
    <w:p>
      <w:pPr>
        <w:topLinePunct/>
        <w:adjustRightInd/>
        <w:ind w:firstLine="480" w:firstLineChars="200"/>
        <w:rPr>
          <w:rFonts w:cs="宋体"/>
        </w:rPr>
      </w:pPr>
      <w:r>
        <w:rPr>
          <w:rFonts w:hint="eastAsia" w:cs="宋体"/>
        </w:rPr>
        <w:t>(六)贷款归还。采购人按相关规定和合同约定将合同资金支付至约定的唯一收款账户。</w:t>
      </w:r>
    </w:p>
    <w:p>
      <w:pPr>
        <w:topLinePunct/>
        <w:adjustRightInd/>
        <w:ind w:firstLine="480" w:firstLineChars="200"/>
        <w:jc w:val="center"/>
        <w:rPr>
          <w:rFonts w:cs="宋体"/>
        </w:rPr>
      </w:pPr>
      <w:r>
        <w:rPr>
          <w:rFonts w:hint="eastAsia" w:cs="宋体"/>
        </w:rPr>
        <w:t>第四章  职责分工</w:t>
      </w:r>
    </w:p>
    <w:p>
      <w:pPr>
        <w:topLinePunct/>
        <w:adjustRightInd/>
        <w:ind w:firstLine="480" w:firstLineChars="200"/>
        <w:rPr>
          <w:rFonts w:cs="宋体"/>
        </w:rPr>
      </w:pPr>
      <w:r>
        <w:rPr>
          <w:rFonts w:hint="eastAsia" w:cs="宋体"/>
        </w:rPr>
        <w:t>第十三条(财政部门职责)</w:t>
      </w:r>
    </w:p>
    <w:p>
      <w:pPr>
        <w:topLinePunct/>
        <w:adjustRightInd/>
        <w:ind w:firstLine="480" w:firstLineChars="200"/>
        <w:rPr>
          <w:rFonts w:cs="宋体"/>
        </w:rPr>
      </w:pPr>
      <w:r>
        <w:rPr>
          <w:rFonts w:hint="eastAsia" w:cs="宋体"/>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topLinePunct/>
        <w:adjustRightInd/>
        <w:ind w:firstLine="480" w:firstLineChars="200"/>
        <w:rPr>
          <w:rFonts w:cs="宋体"/>
        </w:rPr>
      </w:pPr>
      <w:r>
        <w:rPr>
          <w:rFonts w:hint="eastAsia" w:cs="宋体"/>
        </w:rPr>
        <w:t>第十四条(融资机构主管部门职责)</w:t>
      </w:r>
    </w:p>
    <w:p>
      <w:pPr>
        <w:topLinePunct/>
        <w:adjustRightInd/>
        <w:ind w:firstLine="480" w:firstLineChars="200"/>
        <w:rPr>
          <w:rFonts w:cs="宋体"/>
        </w:rPr>
      </w:pPr>
      <w:r>
        <w:rPr>
          <w:rFonts w:hint="eastAsia" w:cs="宋体"/>
        </w:rPr>
        <w:t>引导融资机构依法依规开展政府采购信用融资。推动成都市政府采购监督管理系统与中征应收账款融资服务平台直联，实现政府采购信用融资线上办理，加强与财政部门的信息共享。</w:t>
      </w:r>
    </w:p>
    <w:p>
      <w:pPr>
        <w:topLinePunct/>
        <w:adjustRightInd/>
        <w:ind w:firstLine="480" w:firstLineChars="200"/>
        <w:rPr>
          <w:rFonts w:cs="宋体"/>
        </w:rPr>
      </w:pPr>
      <w:r>
        <w:rPr>
          <w:rFonts w:hint="eastAsia" w:cs="宋体"/>
        </w:rPr>
        <w:t>第十五条(采购人职责)</w:t>
      </w:r>
    </w:p>
    <w:p>
      <w:pPr>
        <w:topLinePunct/>
        <w:adjustRightInd/>
        <w:ind w:firstLine="480" w:firstLineChars="200"/>
        <w:rPr>
          <w:rFonts w:cs="宋体"/>
        </w:rPr>
      </w:pPr>
      <w:r>
        <w:rPr>
          <w:rFonts w:hint="eastAsia" w:cs="宋体"/>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topLinePunct/>
        <w:adjustRightInd/>
        <w:ind w:firstLine="480" w:firstLineChars="200"/>
        <w:rPr>
          <w:rFonts w:cs="宋体"/>
        </w:rPr>
      </w:pPr>
      <w:r>
        <w:rPr>
          <w:rFonts w:hint="eastAsia" w:cs="宋体"/>
        </w:rPr>
        <w:t>第十六条(融资机构职责)</w:t>
      </w:r>
    </w:p>
    <w:p>
      <w:pPr>
        <w:topLinePunct/>
        <w:adjustRightInd/>
        <w:ind w:firstLine="480" w:firstLineChars="200"/>
        <w:rPr>
          <w:rFonts w:cs="宋体"/>
        </w:rPr>
      </w:pPr>
      <w:r>
        <w:rPr>
          <w:rFonts w:hint="eastAsia" w:cs="宋体"/>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topLinePunct/>
        <w:adjustRightInd/>
        <w:ind w:firstLine="480" w:firstLineChars="200"/>
        <w:rPr>
          <w:rFonts w:cs="宋体"/>
        </w:rPr>
      </w:pPr>
      <w:r>
        <w:rPr>
          <w:rFonts w:hint="eastAsia" w:cs="宋体"/>
        </w:rPr>
        <w:t>第十七条(供应商职责)</w:t>
      </w:r>
    </w:p>
    <w:p>
      <w:pPr>
        <w:topLinePunct/>
        <w:adjustRightInd/>
        <w:ind w:firstLine="480" w:firstLineChars="200"/>
        <w:rPr>
          <w:rFonts w:cs="宋体"/>
        </w:rPr>
      </w:pPr>
      <w:r>
        <w:rPr>
          <w:rFonts w:hint="eastAsia" w:cs="宋体"/>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topLinePunct/>
        <w:adjustRightInd/>
        <w:ind w:firstLine="480" w:firstLineChars="200"/>
        <w:jc w:val="center"/>
        <w:rPr>
          <w:rFonts w:cs="宋体"/>
        </w:rPr>
      </w:pPr>
      <w:r>
        <w:rPr>
          <w:rFonts w:hint="eastAsia" w:cs="宋体"/>
        </w:rPr>
        <w:t>第五章 监督管理</w:t>
      </w:r>
    </w:p>
    <w:p>
      <w:pPr>
        <w:topLinePunct/>
        <w:adjustRightInd/>
        <w:ind w:firstLine="480" w:firstLineChars="200"/>
        <w:rPr>
          <w:rFonts w:cs="宋体"/>
        </w:rPr>
      </w:pPr>
      <w:r>
        <w:rPr>
          <w:rFonts w:hint="eastAsia" w:cs="宋体"/>
        </w:rPr>
        <w:t>第十八条(采购人监管)</w:t>
      </w:r>
    </w:p>
    <w:p>
      <w:pPr>
        <w:topLinePunct/>
        <w:adjustRightInd/>
        <w:ind w:firstLine="480" w:firstLineChars="200"/>
        <w:rPr>
          <w:rFonts w:cs="宋体"/>
        </w:rPr>
      </w:pPr>
      <w:r>
        <w:rPr>
          <w:rFonts w:hint="eastAsia" w:cs="宋体"/>
        </w:rPr>
        <w:t>采购人不执行政府采购信用融资政策，或不正当干预供应商选择合作融资机构，或无故拖延和拒付采购资金的，财政部门视情节进行约谈、通报直至暂停拨付财政资金。</w:t>
      </w:r>
    </w:p>
    <w:p>
      <w:pPr>
        <w:topLinePunct/>
        <w:adjustRightInd/>
        <w:ind w:firstLine="480" w:firstLineChars="200"/>
        <w:rPr>
          <w:rFonts w:cs="宋体"/>
        </w:rPr>
      </w:pPr>
      <w:r>
        <w:rPr>
          <w:rFonts w:hint="eastAsia" w:cs="宋体"/>
        </w:rPr>
        <w:t>第十九条(融资机构监管)</w:t>
      </w:r>
    </w:p>
    <w:p>
      <w:pPr>
        <w:topLinePunct/>
        <w:adjustRightInd/>
        <w:ind w:firstLine="480" w:firstLineChars="200"/>
        <w:rPr>
          <w:rFonts w:cs="宋体"/>
        </w:rPr>
      </w:pPr>
      <w:r>
        <w:rPr>
          <w:rFonts w:hint="eastAsia" w:cs="宋体"/>
        </w:rPr>
        <w:t>融资机构违反规定开展政府采购信用融资业务，对政府采购造成负面影响的，财政部门视情节取消其参与政府采购信用融资的业务权限。</w:t>
      </w:r>
    </w:p>
    <w:p>
      <w:pPr>
        <w:topLinePunct/>
        <w:adjustRightInd/>
        <w:ind w:firstLine="480" w:firstLineChars="200"/>
        <w:rPr>
          <w:rFonts w:cs="宋体"/>
        </w:rPr>
      </w:pPr>
      <w:r>
        <w:rPr>
          <w:rFonts w:hint="eastAsia" w:cs="宋体"/>
        </w:rPr>
        <w:t>第二十条(供应商监管)</w:t>
      </w:r>
    </w:p>
    <w:p>
      <w:pPr>
        <w:topLinePunct/>
        <w:adjustRightInd/>
        <w:ind w:firstLine="480" w:firstLineChars="200"/>
        <w:rPr>
          <w:rFonts w:cs="宋体"/>
        </w:rPr>
      </w:pPr>
      <w:r>
        <w:rPr>
          <w:rFonts w:hint="eastAsia" w:cs="宋体"/>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topLinePunct/>
        <w:adjustRightInd/>
        <w:ind w:firstLine="480" w:firstLineChars="200"/>
        <w:rPr>
          <w:rFonts w:cs="宋体"/>
        </w:rPr>
      </w:pPr>
      <w:r>
        <w:rPr>
          <w:rFonts w:hint="eastAsia" w:cs="宋体"/>
        </w:rPr>
        <w:t>第二十一条</w:t>
      </w:r>
      <w:bookmarkStart w:id="536" w:name="BM24558847_25425864_3"/>
      <w:bookmarkEnd w:id="536"/>
      <w:r>
        <w:rPr>
          <w:rFonts w:hint="eastAsia" w:cs="宋体"/>
        </w:rPr>
        <w:t>(相关单位及工作人员监管)</w:t>
      </w:r>
    </w:p>
    <w:p>
      <w:pPr>
        <w:topLinePunct/>
        <w:adjustRightInd/>
        <w:ind w:firstLine="480" w:firstLineChars="200"/>
        <w:rPr>
          <w:rFonts w:cs="宋体"/>
        </w:rPr>
      </w:pPr>
      <w:r>
        <w:rPr>
          <w:rFonts w:hint="eastAsia" w:cs="宋体"/>
        </w:rPr>
        <w:t>各相关单位及其工作人员在履行职责中存在滥用职权、玩忽职守、徇私舞弊等违法违纪行为的，依照有关规定处理，涉嫌犯罪的，移送司法机关处理。</w:t>
      </w:r>
    </w:p>
    <w:p>
      <w:pPr>
        <w:topLinePunct/>
        <w:adjustRightInd/>
        <w:ind w:firstLine="480" w:firstLineChars="200"/>
        <w:jc w:val="center"/>
        <w:rPr>
          <w:rFonts w:cs="宋体"/>
        </w:rPr>
      </w:pPr>
      <w:r>
        <w:rPr>
          <w:rFonts w:hint="eastAsia" w:cs="宋体"/>
        </w:rPr>
        <w:t>第六章  附  则</w:t>
      </w:r>
    </w:p>
    <w:p>
      <w:pPr>
        <w:topLinePunct/>
        <w:adjustRightInd/>
        <w:ind w:firstLine="480" w:firstLineChars="200"/>
        <w:rPr>
          <w:rFonts w:cs="宋体"/>
        </w:rPr>
      </w:pPr>
      <w:r>
        <w:rPr>
          <w:rFonts w:hint="eastAsia" w:cs="宋体"/>
        </w:rPr>
        <w:t>第二十二条(解释相关)</w:t>
      </w:r>
    </w:p>
    <w:p>
      <w:pPr>
        <w:topLinePunct/>
        <w:adjustRightInd/>
        <w:ind w:firstLine="480" w:firstLineChars="200"/>
        <w:rPr>
          <w:rFonts w:cs="宋体"/>
        </w:rPr>
      </w:pPr>
      <w:r>
        <w:rPr>
          <w:rFonts w:hint="eastAsia" w:cs="宋体"/>
        </w:rPr>
        <w:t>本办法由市财政局会同中国人民银行成都分行营业管理部负责解释。</w:t>
      </w:r>
    </w:p>
    <w:p>
      <w:pPr>
        <w:topLinePunct/>
        <w:adjustRightInd/>
        <w:ind w:firstLine="480" w:firstLineChars="200"/>
        <w:rPr>
          <w:rFonts w:cs="宋体"/>
        </w:rPr>
      </w:pPr>
      <w:r>
        <w:rPr>
          <w:rFonts w:hint="eastAsia" w:cs="宋体"/>
        </w:rPr>
        <w:t>第二十三条(施行相关)</w:t>
      </w:r>
    </w:p>
    <w:p>
      <w:pPr>
        <w:topLinePunct/>
        <w:adjustRightInd/>
        <w:ind w:firstLine="480" w:firstLineChars="200"/>
        <w:rPr>
          <w:rFonts w:cs="宋体"/>
        </w:rPr>
      </w:pPr>
      <w:r>
        <w:rPr>
          <w:rFonts w:hint="eastAsia" w:cs="宋体"/>
        </w:rPr>
        <w:t>本办法自印发之日起施行。市财政局、市金融办2013年12月9日印发的《关于开展中小企业政府采购信用担保及融资试点工作的通知》(成财采〔2013〕200号)同时废止。</w:t>
      </w:r>
    </w:p>
    <w:p>
      <w:pPr>
        <w:rPr>
          <w:rFonts w:cs="宋体"/>
        </w:rPr>
      </w:pPr>
      <w:r>
        <w:rPr>
          <w:rFonts w:hint="eastAsia" w:cs="宋体"/>
        </w:rPr>
        <w:br w:type="page"/>
      </w:r>
    </w:p>
    <w:p>
      <w:pPr>
        <w:topLinePunct/>
        <w:adjustRightInd/>
        <w:rPr>
          <w:rFonts w:cs="宋体"/>
        </w:rPr>
      </w:pPr>
      <w:r>
        <w:rPr>
          <w:rFonts w:hint="eastAsia" w:cs="宋体"/>
        </w:rPr>
        <w:t>附件2</w:t>
      </w:r>
    </w:p>
    <w:p>
      <w:pPr>
        <w:topLinePunct/>
        <w:adjustRightInd/>
        <w:ind w:firstLine="480" w:firstLineChars="200"/>
        <w:rPr>
          <w:rFonts w:cs="宋体"/>
        </w:rPr>
      </w:pPr>
    </w:p>
    <w:p>
      <w:pPr>
        <w:topLinePunct/>
        <w:adjustRightInd/>
        <w:jc w:val="center"/>
        <w:rPr>
          <w:rFonts w:cs="宋体"/>
        </w:rPr>
      </w:pPr>
      <w:r>
        <w:rPr>
          <w:rFonts w:hint="eastAsia" w:cs="宋体"/>
        </w:rPr>
        <w:t>成都市级支持中小企业政府采购</w:t>
      </w:r>
    </w:p>
    <w:p>
      <w:pPr>
        <w:topLinePunct/>
        <w:adjustRightInd/>
        <w:jc w:val="center"/>
        <w:rPr>
          <w:rFonts w:cs="宋体"/>
        </w:rPr>
      </w:pPr>
      <w:r>
        <w:rPr>
          <w:rFonts w:hint="eastAsia" w:cs="宋体"/>
        </w:rPr>
        <w:t>信用融资实施方案</w:t>
      </w:r>
    </w:p>
    <w:p>
      <w:pPr>
        <w:topLinePunct/>
        <w:adjustRightInd/>
        <w:ind w:firstLine="480" w:firstLineChars="200"/>
        <w:rPr>
          <w:rFonts w:cs="宋体"/>
        </w:rPr>
      </w:pPr>
    </w:p>
    <w:p>
      <w:pPr>
        <w:topLinePunct/>
        <w:adjustRightInd/>
        <w:ind w:firstLine="480" w:firstLineChars="200"/>
        <w:rPr>
          <w:rFonts w:cs="宋体"/>
        </w:rPr>
      </w:pPr>
      <w:r>
        <w:rPr>
          <w:rFonts w:hint="eastAsia" w:cs="宋体"/>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topLinePunct/>
        <w:adjustRightInd/>
        <w:ind w:firstLine="480" w:firstLineChars="200"/>
        <w:rPr>
          <w:rFonts w:cs="宋体"/>
        </w:rPr>
      </w:pPr>
      <w:r>
        <w:rPr>
          <w:rFonts w:hint="eastAsia" w:cs="宋体"/>
        </w:rPr>
        <w:t>一、目标任务</w:t>
      </w:r>
    </w:p>
    <w:p>
      <w:pPr>
        <w:topLinePunct/>
        <w:adjustRightInd/>
        <w:ind w:firstLine="480" w:firstLineChars="200"/>
        <w:rPr>
          <w:rFonts w:cs="宋体"/>
        </w:rPr>
      </w:pPr>
      <w:r>
        <w:rPr>
          <w:rFonts w:hint="eastAsia" w:cs="宋体"/>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topLinePunct/>
        <w:adjustRightInd/>
        <w:ind w:firstLine="480" w:firstLineChars="200"/>
        <w:rPr>
          <w:rFonts w:cs="宋体"/>
        </w:rPr>
      </w:pPr>
      <w:r>
        <w:rPr>
          <w:rFonts w:hint="eastAsia" w:cs="宋体"/>
        </w:rPr>
        <w:t>二、适用范围</w:t>
      </w:r>
    </w:p>
    <w:p>
      <w:pPr>
        <w:topLinePunct/>
        <w:adjustRightInd/>
        <w:ind w:firstLine="480" w:firstLineChars="200"/>
        <w:rPr>
          <w:rFonts w:cs="宋体"/>
        </w:rPr>
      </w:pPr>
      <w:r>
        <w:rPr>
          <w:rFonts w:hint="eastAsia" w:cs="宋体"/>
        </w:rPr>
        <w:t>本《实施方案》适用于成都市本级政府采购信用融资工作。</w:t>
      </w:r>
    </w:p>
    <w:p>
      <w:pPr>
        <w:topLinePunct/>
        <w:adjustRightInd/>
        <w:ind w:firstLine="480" w:firstLineChars="200"/>
        <w:rPr>
          <w:rFonts w:cs="宋体"/>
        </w:rPr>
      </w:pPr>
      <w:r>
        <w:rPr>
          <w:rFonts w:hint="eastAsia" w:cs="宋体"/>
        </w:rPr>
        <w:t xml:space="preserve">三、基本原则 </w:t>
      </w:r>
    </w:p>
    <w:p>
      <w:pPr>
        <w:topLinePunct/>
        <w:adjustRightInd/>
        <w:ind w:firstLine="480" w:firstLineChars="200"/>
        <w:rPr>
          <w:rFonts w:cs="宋体"/>
        </w:rPr>
      </w:pPr>
      <w:r>
        <w:rPr>
          <w:rFonts w:hint="eastAsia" w:cs="宋体"/>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topLinePunct/>
        <w:adjustRightInd/>
        <w:ind w:firstLine="480" w:firstLineChars="200"/>
        <w:rPr>
          <w:rFonts w:cs="宋体"/>
        </w:rPr>
      </w:pPr>
      <w:r>
        <w:rPr>
          <w:rFonts w:hint="eastAsia" w:cs="宋体"/>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topLinePunct/>
        <w:adjustRightInd/>
        <w:ind w:firstLine="480" w:firstLineChars="200"/>
        <w:rPr>
          <w:rFonts w:cs="宋体"/>
        </w:rPr>
      </w:pPr>
      <w:r>
        <w:rPr>
          <w:rFonts w:hint="eastAsia" w:cs="宋体"/>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topLinePunct/>
        <w:adjustRightInd/>
        <w:ind w:firstLine="480" w:firstLineChars="200"/>
        <w:rPr>
          <w:rFonts w:cs="宋体"/>
        </w:rPr>
      </w:pPr>
      <w:r>
        <w:rPr>
          <w:rFonts w:hint="eastAsia" w:cs="宋体"/>
        </w:rPr>
        <w:t>四、组织实施</w:t>
      </w:r>
    </w:p>
    <w:p>
      <w:pPr>
        <w:topLinePunct/>
        <w:adjustRightInd/>
        <w:ind w:firstLine="480" w:firstLineChars="200"/>
        <w:rPr>
          <w:rFonts w:cs="宋体"/>
        </w:rPr>
      </w:pPr>
      <w:r>
        <w:rPr>
          <w:rFonts w:hint="eastAsia" w:cs="宋体"/>
        </w:rPr>
        <w:t>(一)宣传动员</w:t>
      </w:r>
    </w:p>
    <w:p>
      <w:pPr>
        <w:topLinePunct/>
        <w:adjustRightInd/>
        <w:ind w:firstLine="480" w:firstLineChars="200"/>
        <w:rPr>
          <w:rFonts w:cs="宋体"/>
          <w:color w:val="000000"/>
        </w:rPr>
      </w:pPr>
      <w:r>
        <w:rPr>
          <w:rFonts w:hint="eastAsia" w:cs="宋体"/>
        </w:rPr>
        <w:t>相关部门和单位采取多种方式积极宣传《暂行办法》和《实</w:t>
      </w:r>
      <w:r>
        <w:rPr>
          <w:rFonts w:hint="eastAsia" w:cs="宋体"/>
          <w:color w:val="000000"/>
        </w:rPr>
        <w:t>施方案》，落实财政部门、融资机构主管部门、采购人、融资机构等职责任务，明确各项工作目标任务，确保成都市级政府采购信用融资工作有序推进。</w:t>
      </w:r>
    </w:p>
    <w:p>
      <w:pPr>
        <w:topLinePunct/>
        <w:adjustRightInd/>
        <w:ind w:firstLine="480" w:firstLineChars="200"/>
        <w:rPr>
          <w:rFonts w:cs="宋体"/>
        </w:rPr>
      </w:pPr>
      <w:r>
        <w:rPr>
          <w:rFonts w:hint="eastAsia" w:cs="宋体"/>
        </w:rPr>
        <w:t>(二)融资机构选择</w:t>
      </w:r>
    </w:p>
    <w:p>
      <w:pPr>
        <w:topLinePunct/>
        <w:adjustRightInd/>
        <w:ind w:firstLine="480" w:firstLineChars="200"/>
        <w:rPr>
          <w:rFonts w:cs="宋体"/>
          <w:color w:val="000000"/>
        </w:rPr>
      </w:pPr>
      <w:r>
        <w:rPr>
          <w:rFonts w:hint="eastAsia" w:cs="宋体"/>
          <w:color w:val="000000"/>
        </w:rPr>
        <w:t>1．报名。有意向按照《暂行办法》和《实施方案》开展政府采购信用融资业务的融资机构，由其在蓉最高机构或在蓉最高机构指定的分支机构在市财政局政府采购监督管理处报名。报名需提供以下材料：</w:t>
      </w:r>
    </w:p>
    <w:p>
      <w:pPr>
        <w:topLinePunct/>
        <w:adjustRightInd/>
        <w:ind w:firstLine="480" w:firstLineChars="200"/>
        <w:rPr>
          <w:rFonts w:cs="宋体"/>
          <w:color w:val="000000"/>
        </w:rPr>
      </w:pPr>
      <w:r>
        <w:rPr>
          <w:rFonts w:hint="eastAsia" w:cs="宋体"/>
          <w:color w:val="000000"/>
        </w:rPr>
        <w:t>(1)融资机构基本情况；</w:t>
      </w:r>
    </w:p>
    <w:p>
      <w:pPr>
        <w:topLinePunct/>
        <w:adjustRightInd/>
        <w:ind w:firstLine="480" w:firstLineChars="200"/>
        <w:rPr>
          <w:rFonts w:cs="宋体"/>
          <w:color w:val="000000"/>
        </w:rPr>
      </w:pPr>
      <w:r>
        <w:rPr>
          <w:rFonts w:hint="eastAsia" w:cs="宋体"/>
          <w:color w:val="000000"/>
        </w:rPr>
        <w:t>(2)政府采购信用融资实施方案(包括授信政策、融资产品、贷款利率及其它优惠措施、业务流程及各环节办结时间、联系方式等)；</w:t>
      </w:r>
    </w:p>
    <w:p>
      <w:pPr>
        <w:topLinePunct/>
        <w:adjustRightInd/>
        <w:ind w:firstLine="480" w:firstLineChars="200"/>
        <w:rPr>
          <w:rFonts w:cs="宋体"/>
          <w:color w:val="000000"/>
        </w:rPr>
      </w:pPr>
      <w:r>
        <w:rPr>
          <w:rFonts w:hint="eastAsia" w:cs="宋体"/>
          <w:color w:val="000000"/>
        </w:rPr>
        <w:t>(3)关于遵照《暂行办法》和《实施方案》开展政府采购信用融资业务的承诺；</w:t>
      </w:r>
    </w:p>
    <w:p>
      <w:pPr>
        <w:topLinePunct/>
        <w:adjustRightInd/>
        <w:ind w:firstLine="480" w:firstLineChars="200"/>
        <w:rPr>
          <w:rFonts w:cs="宋体"/>
          <w:color w:val="000000"/>
        </w:rPr>
      </w:pPr>
      <w:r>
        <w:rPr>
          <w:rFonts w:hint="eastAsia" w:cs="宋体"/>
          <w:color w:val="000000"/>
        </w:rPr>
        <w:t>(4)关于政府采购信用融资业务风险及系统对接研发费用自行承担的承诺。</w:t>
      </w:r>
    </w:p>
    <w:p>
      <w:pPr>
        <w:topLinePunct/>
        <w:adjustRightInd/>
        <w:ind w:firstLine="480" w:firstLineChars="200"/>
        <w:rPr>
          <w:rFonts w:cs="宋体"/>
          <w:color w:val="000000"/>
        </w:rPr>
      </w:pPr>
      <w:r>
        <w:rPr>
          <w:rFonts w:hint="eastAsia" w:cs="宋体"/>
          <w:color w:val="000000"/>
        </w:rPr>
        <w:t>2．系统对接。融资机构成功报名后，须按要求完成政府采购信用融资业务与成都市政府采购监督管理系统的技术对接。</w:t>
      </w:r>
    </w:p>
    <w:p>
      <w:pPr>
        <w:topLinePunct/>
        <w:adjustRightInd/>
        <w:ind w:firstLine="480" w:firstLineChars="200"/>
        <w:rPr>
          <w:rFonts w:cs="宋体"/>
          <w:color w:val="000000"/>
        </w:rPr>
      </w:pPr>
      <w:r>
        <w:rPr>
          <w:rFonts w:hint="eastAsia" w:cs="宋体"/>
          <w:color w:val="000000"/>
        </w:rPr>
        <w:t>3．确定融资机构。市财政局将完成系统对接的融资机构确定为我市开展政府采购信用融资业务的融资机构，并在成都市政府采购监督管理系统集中展示，为供应商开展融资提供指引。</w:t>
      </w:r>
    </w:p>
    <w:p>
      <w:pPr>
        <w:topLinePunct/>
        <w:adjustRightInd/>
        <w:ind w:firstLine="480" w:firstLineChars="200"/>
        <w:rPr>
          <w:rFonts w:cs="宋体"/>
        </w:rPr>
      </w:pPr>
      <w:r>
        <w:rPr>
          <w:rFonts w:hint="eastAsia" w:cs="宋体"/>
        </w:rPr>
        <w:t>(三)其他事项</w:t>
      </w:r>
    </w:p>
    <w:p>
      <w:pPr>
        <w:topLinePunct/>
        <w:adjustRightInd/>
        <w:ind w:firstLine="480" w:firstLineChars="200"/>
        <w:rPr>
          <w:rFonts w:cs="宋体"/>
          <w:color w:val="000000"/>
        </w:rPr>
      </w:pPr>
      <w:r>
        <w:rPr>
          <w:rFonts w:hint="eastAsia" w:cs="宋体"/>
          <w:color w:val="000000"/>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topLinePunct/>
        <w:adjustRightInd/>
        <w:ind w:firstLine="480" w:firstLineChars="200"/>
        <w:rPr>
          <w:rFonts w:cs="宋体"/>
        </w:rPr>
      </w:pPr>
      <w:r>
        <w:rPr>
          <w:rFonts w:hint="eastAsia" w:cs="宋体"/>
        </w:rPr>
        <w:t>五、相关要求</w:t>
      </w:r>
    </w:p>
    <w:p>
      <w:pPr>
        <w:topLinePunct/>
        <w:adjustRightInd/>
        <w:ind w:firstLine="480" w:firstLineChars="200"/>
        <w:rPr>
          <w:rFonts w:cs="宋体"/>
        </w:rPr>
      </w:pPr>
      <w:r>
        <w:rPr>
          <w:rFonts w:hint="eastAsia" w:cs="宋体"/>
        </w:rPr>
        <w:t>(一)加强组织领导。</w:t>
      </w:r>
      <w:r>
        <w:rPr>
          <w:rFonts w:hint="eastAsia" w:cs="宋体"/>
          <w:color w:val="000000"/>
          <w:kern w:val="0"/>
        </w:rPr>
        <w:t>政府采购信用融资是缓解中小企业资金短缺压力，优化中小企业发展环境，促进我市经济发展的重要举措。市级各部门、单位要统一思想，充分认识此项工作的重要意义，认真抓好政策落实，</w:t>
      </w:r>
      <w:r>
        <w:rPr>
          <w:rFonts w:hint="eastAsia" w:cs="宋体"/>
        </w:rPr>
        <w:t>全面、有序、科学推进政府采购信用融资工作。</w:t>
      </w:r>
    </w:p>
    <w:p>
      <w:pPr>
        <w:topLinePunct/>
        <w:adjustRightInd/>
        <w:ind w:firstLine="480" w:firstLineChars="200"/>
        <w:rPr>
          <w:rFonts w:cs="宋体"/>
        </w:rPr>
      </w:pPr>
      <w:r>
        <w:rPr>
          <w:rFonts w:hint="eastAsia" w:cs="宋体"/>
        </w:rPr>
        <w:t>(二)注重协调配合。</w:t>
      </w:r>
      <w:r>
        <w:rPr>
          <w:rFonts w:hint="eastAsia" w:cs="宋体"/>
          <w:color w:val="000000"/>
          <w:kern w:val="0"/>
        </w:rPr>
        <w:t>市财政局、中国人民银行成都分行营业管理部及采购人</w:t>
      </w:r>
      <w:r>
        <w:rPr>
          <w:rFonts w:hint="eastAsia" w:cs="宋体"/>
        </w:rPr>
        <w:t>等有关单位要根据职责任务，及时协调解决工作中遇到的困难和问题，积极</w:t>
      </w:r>
      <w:r>
        <w:rPr>
          <w:rFonts w:hint="eastAsia" w:cs="宋体"/>
          <w:color w:val="000000"/>
          <w:kern w:val="0"/>
        </w:rPr>
        <w:t>创造条件主动服务，帮助有融资需求、符合条件的供应商实现政府采购信用融资，促进中小企业又好又快发展</w:t>
      </w:r>
      <w:r>
        <w:rPr>
          <w:rFonts w:hint="eastAsia" w:cs="宋体"/>
        </w:rPr>
        <w:t>。</w:t>
      </w:r>
    </w:p>
    <w:p>
      <w:pPr>
        <w:topLinePunct/>
        <w:adjustRightInd/>
        <w:ind w:firstLine="480" w:firstLineChars="200"/>
        <w:rPr>
          <w:rFonts w:cs="宋体"/>
        </w:rPr>
      </w:pPr>
      <w:r>
        <w:rPr>
          <w:rFonts w:hint="eastAsia" w:cs="宋体"/>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4"/>
        <w:ind w:firstLine="482"/>
        <w:outlineLvl w:val="1"/>
        <w:rPr>
          <w:highlight w:val="red"/>
        </w:rPr>
      </w:pPr>
    </w:p>
    <w:p>
      <w:pPr>
        <w:pStyle w:val="44"/>
        <w:ind w:firstLine="482"/>
      </w:pPr>
    </w:p>
    <w:sectPr>
      <w:pgSz w:w="11906" w:h="16838"/>
      <w:pgMar w:top="1440" w:right="1080" w:bottom="1440" w:left="1080" w:header="851" w:footer="992"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 w:name="方正小标宋_GBK">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pPr>
    <w:r>
      <w:rPr>
        <w:rFonts w:hint="eastAsia"/>
        <w:sz w:val="15"/>
        <w:szCs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tabs>
        <w:tab w:val="center" w:pos="4153"/>
        <w:tab w:val="right" w:pos="8306"/>
        <w:tab w:val="clear" w:pos="0"/>
      </w:tabs>
      <w:jc w:val="left"/>
    </w:pPr>
    <w:r>
      <w:rPr>
        <w:rFonts w:hint="eastAsia"/>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11A08B0"/>
    <w:multiLevelType w:val="singleLevel"/>
    <w:tmpl w:val="A11A08B0"/>
    <w:lvl w:ilvl="0" w:tentative="0">
      <w:start w:val="1"/>
      <w:numFmt w:val="decimal"/>
      <w:lvlText w:val="%1."/>
      <w:lvlJc w:val="left"/>
      <w:pPr>
        <w:tabs>
          <w:tab w:val="left" w:pos="312"/>
        </w:tabs>
      </w:pPr>
    </w:lvl>
  </w:abstractNum>
  <w:abstractNum w:abstractNumId="3">
    <w:nsid w:val="A7BD92C4"/>
    <w:multiLevelType w:val="singleLevel"/>
    <w:tmpl w:val="A7BD92C4"/>
    <w:lvl w:ilvl="0" w:tentative="0">
      <w:start w:val="1"/>
      <w:numFmt w:val="chineseCounting"/>
      <w:lvlText w:val="(%1)"/>
      <w:lvlJc w:val="left"/>
      <w:pPr>
        <w:tabs>
          <w:tab w:val="left" w:pos="312"/>
        </w:tabs>
      </w:pPr>
      <w:rPr>
        <w:rFonts w:hint="eastAsia"/>
      </w:rPr>
    </w:lvl>
  </w:abstractNum>
  <w:abstractNum w:abstractNumId="4">
    <w:nsid w:val="A80635A9"/>
    <w:multiLevelType w:val="singleLevel"/>
    <w:tmpl w:val="A80635A9"/>
    <w:lvl w:ilvl="0" w:tentative="0">
      <w:start w:val="1"/>
      <w:numFmt w:val="chineseCounting"/>
      <w:pStyle w:val="63"/>
      <w:suff w:val="nothing"/>
      <w:lvlText w:val="第%1条  "/>
      <w:lvlJc w:val="left"/>
      <w:pPr>
        <w:ind w:left="0" w:firstLine="0"/>
      </w:pPr>
      <w:rPr>
        <w:rFonts w:hint="eastAsia"/>
      </w:rPr>
    </w:lvl>
  </w:abstractNum>
  <w:abstractNum w:abstractNumId="5">
    <w:nsid w:val="B04D8E0A"/>
    <w:multiLevelType w:val="multilevel"/>
    <w:tmpl w:val="B04D8E0A"/>
    <w:lvl w:ilvl="0" w:tentative="0">
      <w:start w:val="1"/>
      <w:numFmt w:val="chineseCounting"/>
      <w:pStyle w:val="45"/>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2"/>
      <w:suff w:val="nothing"/>
      <w:lvlText w:val="%2、"/>
      <w:lvlJc w:val="left"/>
      <w:pPr>
        <w:ind w:left="0" w:firstLine="0"/>
      </w:pPr>
      <w:rPr>
        <w:rFonts w:hint="eastAsia" w:ascii="宋体" w:hAnsi="宋体" w:eastAsia="宋体" w:cs="宋体"/>
      </w:rPr>
    </w:lvl>
    <w:lvl w:ilvl="2" w:tentative="0">
      <w:start w:val="1"/>
      <w:numFmt w:val="chineseCounting"/>
      <w:pStyle w:val="46"/>
      <w:suff w:val="nothing"/>
      <w:lvlText w:val="(%3)"/>
      <w:lvlJc w:val="left"/>
      <w:pPr>
        <w:tabs>
          <w:tab w:val="left" w:pos="0"/>
        </w:tabs>
        <w:ind w:left="0" w:firstLine="0"/>
      </w:pPr>
      <w:rPr>
        <w:rFonts w:hint="eastAsia" w:ascii="宋体" w:hAnsi="宋体" w:eastAsia="宋体" w:cs="宋体"/>
      </w:rPr>
    </w:lvl>
    <w:lvl w:ilvl="3" w:tentative="0">
      <w:start w:val="1"/>
      <w:numFmt w:val="decimal"/>
      <w:pStyle w:val="60"/>
      <w:suff w:val="nothing"/>
      <w:lvlText w:val="%4."/>
      <w:lvlJc w:val="left"/>
      <w:pPr>
        <w:tabs>
          <w:tab w:val="left" w:pos="0"/>
        </w:tabs>
        <w:ind w:left="0" w:firstLine="0"/>
      </w:pPr>
      <w:rPr>
        <w:rFonts w:hint="eastAsia" w:ascii="宋体" w:hAnsi="宋体" w:eastAsia="宋体" w:cs="宋体"/>
      </w:rPr>
    </w:lvl>
    <w:lvl w:ilvl="4" w:tentative="0">
      <w:start w:val="1"/>
      <w:numFmt w:val="decimal"/>
      <w:pStyle w:val="61"/>
      <w:suff w:val="nothing"/>
      <w:lvlText w:val="%4.%5"/>
      <w:lvlJc w:val="left"/>
      <w:pPr>
        <w:ind w:left="0" w:firstLine="0"/>
      </w:pPr>
      <w:rPr>
        <w:rFonts w:hint="eastAsia" w:ascii="宋体" w:hAnsi="宋体" w:eastAsia="宋体" w:cs="宋体"/>
      </w:rPr>
    </w:lvl>
    <w:lvl w:ilvl="5" w:tentative="0">
      <w:start w:val="1"/>
      <w:numFmt w:val="decimal"/>
      <w:pStyle w:val="62"/>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C7F53590"/>
    <w:multiLevelType w:val="multilevel"/>
    <w:tmpl w:val="C7F53590"/>
    <w:lvl w:ilvl="0" w:tentative="0">
      <w:start w:val="1"/>
      <w:numFmt w:val="decimal"/>
      <w:pStyle w:val="36"/>
      <w:suff w:val="nothing"/>
      <w:lvlText w:val="%1."/>
      <w:lvlJc w:val="left"/>
      <w:pPr>
        <w:tabs>
          <w:tab w:val="left" w:pos="420"/>
        </w:tabs>
        <w:ind w:left="0" w:firstLine="0"/>
      </w:pPr>
      <w:rPr>
        <w:rFonts w:hint="default" w:ascii="宋体" w:hAnsi="宋体" w:eastAsia="宋体" w:cs="宋体"/>
      </w:rPr>
    </w:lvl>
    <w:lvl w:ilvl="1" w:tentative="0">
      <w:start w:val="1"/>
      <w:numFmt w:val="decimal"/>
      <w:pStyle w:val="37"/>
      <w:suff w:val="nothing"/>
      <w:lvlText w:val="%1.%2"/>
      <w:lvlJc w:val="left"/>
      <w:pPr>
        <w:tabs>
          <w:tab w:val="left" w:pos="420"/>
        </w:tabs>
        <w:ind w:left="0" w:firstLine="0"/>
      </w:pPr>
      <w:rPr>
        <w:rFonts w:hint="default" w:ascii="宋体" w:hAnsi="宋体" w:eastAsia="宋体" w:cs="宋体"/>
      </w:rPr>
    </w:lvl>
    <w:lvl w:ilvl="2" w:tentative="0">
      <w:start w:val="1"/>
      <w:numFmt w:val="decimal"/>
      <w:pStyle w:val="38"/>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CA240A61"/>
    <w:multiLevelType w:val="singleLevel"/>
    <w:tmpl w:val="CA240A61"/>
    <w:lvl w:ilvl="0" w:tentative="0">
      <w:start w:val="1"/>
      <w:numFmt w:val="chineseCounting"/>
      <w:pStyle w:val="41"/>
      <w:suff w:val="nothing"/>
      <w:lvlText w:val="(%1)"/>
      <w:lvlJc w:val="left"/>
      <w:pPr>
        <w:ind w:left="0" w:firstLine="0"/>
      </w:pPr>
      <w:rPr>
        <w:rFonts w:hint="eastAsia"/>
      </w:rPr>
    </w:lvl>
  </w:abstractNum>
  <w:abstractNum w:abstractNumId="8">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9">
    <w:nsid w:val="DC5F828C"/>
    <w:multiLevelType w:val="singleLevel"/>
    <w:tmpl w:val="DC5F828C"/>
    <w:lvl w:ilvl="0" w:tentative="0">
      <w:start w:val="1"/>
      <w:numFmt w:val="decimal"/>
      <w:lvlText w:val="(%1)"/>
      <w:lvlJc w:val="left"/>
      <w:pPr>
        <w:ind w:left="425" w:hanging="425"/>
      </w:pPr>
      <w:rPr>
        <w:rFonts w:hint="default"/>
      </w:rPr>
    </w:lvl>
  </w:abstractNum>
  <w:abstractNum w:abstractNumId="10">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0"/>
      <w:suff w:val="nothing"/>
      <w:lvlText w:val="(%2)"/>
      <w:lvlJc w:val="left"/>
      <w:pPr>
        <w:ind w:left="0" w:firstLine="0"/>
      </w:pPr>
      <w:rPr>
        <w:rFonts w:hint="eastAsia" w:ascii="宋体" w:hAnsi="宋体" w:eastAsia="宋体" w:cs="宋体"/>
      </w:rPr>
    </w:lvl>
    <w:lvl w:ilvl="2" w:tentative="0">
      <w:start w:val="1"/>
      <w:numFmt w:val="decimal"/>
      <w:pStyle w:val="33"/>
      <w:suff w:val="nothing"/>
      <w:lvlText w:val="%3."/>
      <w:lvlJc w:val="left"/>
      <w:pPr>
        <w:ind w:left="0" w:firstLine="0"/>
      </w:pPr>
      <w:rPr>
        <w:rFonts w:hint="eastAsia" w:ascii="宋体" w:hAnsi="宋体" w:eastAsia="宋体" w:cs="宋体"/>
      </w:rPr>
    </w:lvl>
    <w:lvl w:ilvl="3" w:tentative="0">
      <w:start w:val="1"/>
      <w:numFmt w:val="decimal"/>
      <w:pStyle w:val="34"/>
      <w:suff w:val="nothing"/>
      <w:lvlText w:val="%3.%4"/>
      <w:lvlJc w:val="left"/>
      <w:pPr>
        <w:ind w:left="0" w:firstLine="0"/>
      </w:pPr>
      <w:rPr>
        <w:rFonts w:hint="eastAsia" w:ascii="宋体" w:hAnsi="宋体" w:eastAsia="宋体" w:cs="宋体"/>
      </w:rPr>
    </w:lvl>
    <w:lvl w:ilvl="4" w:tentative="0">
      <w:start w:val="1"/>
      <w:numFmt w:val="decimal"/>
      <w:pStyle w:val="35"/>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1">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2">
    <w:nsid w:val="0D3DD0CB"/>
    <w:multiLevelType w:val="singleLevel"/>
    <w:tmpl w:val="0D3DD0CB"/>
    <w:lvl w:ilvl="0" w:tentative="0">
      <w:start w:val="1"/>
      <w:numFmt w:val="decimal"/>
      <w:lvlText w:val="%1."/>
      <w:lvlJc w:val="left"/>
      <w:pPr>
        <w:tabs>
          <w:tab w:val="left" w:pos="312"/>
        </w:tabs>
      </w:pPr>
    </w:lvl>
  </w:abstractNum>
  <w:abstractNum w:abstractNumId="13">
    <w:nsid w:val="2AC17483"/>
    <w:multiLevelType w:val="singleLevel"/>
    <w:tmpl w:val="2AC17483"/>
    <w:lvl w:ilvl="0" w:tentative="0">
      <w:start w:val="1"/>
      <w:numFmt w:val="decimal"/>
      <w:lvlText w:val="%1."/>
      <w:lvlJc w:val="left"/>
      <w:pPr>
        <w:tabs>
          <w:tab w:val="left" w:pos="312"/>
        </w:tabs>
      </w:pPr>
    </w:lvl>
  </w:abstractNum>
  <w:abstractNum w:abstractNumId="14">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6">
    <w:nsid w:val="42408E7C"/>
    <w:multiLevelType w:val="singleLevel"/>
    <w:tmpl w:val="42408E7C"/>
    <w:lvl w:ilvl="0" w:tentative="0">
      <w:start w:val="1"/>
      <w:numFmt w:val="chineseCounting"/>
      <w:suff w:val="nothing"/>
      <w:lvlText w:val="(%1)"/>
      <w:lvlJc w:val="left"/>
      <w:pPr>
        <w:tabs>
          <w:tab w:val="left" w:pos="0"/>
        </w:tabs>
      </w:pPr>
      <w:rPr>
        <w:rFonts w:hint="eastAsia" w:ascii="宋体" w:hAnsi="宋体" w:eastAsia="宋体" w:cs="宋体"/>
      </w:rPr>
    </w:lvl>
  </w:abstractNum>
  <w:abstractNum w:abstractNumId="17">
    <w:nsid w:val="4384AB16"/>
    <w:multiLevelType w:val="singleLevel"/>
    <w:tmpl w:val="4384AB16"/>
    <w:lvl w:ilvl="0" w:tentative="0">
      <w:start w:val="1"/>
      <w:numFmt w:val="decimal"/>
      <w:lvlText w:val="%1."/>
      <w:lvlJc w:val="left"/>
      <w:pPr>
        <w:tabs>
          <w:tab w:val="left" w:pos="312"/>
        </w:tabs>
      </w:pPr>
    </w:lvl>
  </w:abstractNum>
  <w:abstractNum w:abstractNumId="18">
    <w:nsid w:val="5912557E"/>
    <w:multiLevelType w:val="singleLevel"/>
    <w:tmpl w:val="5912557E"/>
    <w:lvl w:ilvl="0" w:tentative="0">
      <w:start w:val="1"/>
      <w:numFmt w:val="chineseCounting"/>
      <w:suff w:val="nothing"/>
      <w:lvlText w:val="%1、"/>
      <w:lvlJc w:val="left"/>
      <w:rPr>
        <w:rFonts w:hint="eastAsia"/>
      </w:rPr>
    </w:lvl>
  </w:abstractNum>
  <w:abstractNum w:abstractNumId="19">
    <w:nsid w:val="79578A8E"/>
    <w:multiLevelType w:val="singleLevel"/>
    <w:tmpl w:val="79578A8E"/>
    <w:lvl w:ilvl="0" w:tentative="0">
      <w:start w:val="1"/>
      <w:numFmt w:val="decimal"/>
      <w:lvlText w:val="%1"/>
      <w:lvlJc w:val="left"/>
      <w:pPr>
        <w:tabs>
          <w:tab w:val="left" w:pos="0"/>
        </w:tabs>
        <w:ind w:left="0" w:firstLine="0"/>
      </w:pPr>
      <w:rPr>
        <w:rFonts w:hint="default"/>
      </w:rPr>
    </w:lvl>
  </w:abstractNum>
  <w:num w:numId="1">
    <w:abstractNumId w:val="10"/>
  </w:num>
  <w:num w:numId="2">
    <w:abstractNumId w:val="15"/>
  </w:num>
  <w:num w:numId="3">
    <w:abstractNumId w:val="5"/>
  </w:num>
  <w:num w:numId="4">
    <w:abstractNumId w:val="6"/>
  </w:num>
  <w:num w:numId="5">
    <w:abstractNumId w:val="7"/>
  </w:num>
  <w:num w:numId="6">
    <w:abstractNumId w:val="4"/>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18"/>
  </w:num>
  <w:num w:numId="12">
    <w:abstractNumId w:val="12"/>
  </w:num>
  <w:num w:numId="13">
    <w:abstractNumId w:val="9"/>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trackRevisions w:val="1"/>
  <w:documentProtection w:enforcement="0"/>
  <w:defaultTabStop w:val="0"/>
  <w:drawingGridHorizontalSpacing w:val="2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0E5119"/>
    <w:rsid w:val="0010191C"/>
    <w:rsid w:val="001025A9"/>
    <w:rsid w:val="0010309E"/>
    <w:rsid w:val="0011590B"/>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4775D"/>
    <w:rsid w:val="00353E82"/>
    <w:rsid w:val="00396369"/>
    <w:rsid w:val="003A6605"/>
    <w:rsid w:val="003B2228"/>
    <w:rsid w:val="003C13E4"/>
    <w:rsid w:val="003D21F1"/>
    <w:rsid w:val="003E1DCC"/>
    <w:rsid w:val="003F4651"/>
    <w:rsid w:val="00410967"/>
    <w:rsid w:val="00411E40"/>
    <w:rsid w:val="00415AA1"/>
    <w:rsid w:val="00415E21"/>
    <w:rsid w:val="00445ADF"/>
    <w:rsid w:val="00457ED9"/>
    <w:rsid w:val="0046727E"/>
    <w:rsid w:val="00477AC0"/>
    <w:rsid w:val="00482071"/>
    <w:rsid w:val="00483674"/>
    <w:rsid w:val="004861AE"/>
    <w:rsid w:val="00486D20"/>
    <w:rsid w:val="00495036"/>
    <w:rsid w:val="00497B14"/>
    <w:rsid w:val="004A6781"/>
    <w:rsid w:val="004A7D40"/>
    <w:rsid w:val="004B4092"/>
    <w:rsid w:val="004E0FDD"/>
    <w:rsid w:val="004F2F95"/>
    <w:rsid w:val="00506600"/>
    <w:rsid w:val="00526D76"/>
    <w:rsid w:val="0053030D"/>
    <w:rsid w:val="00551430"/>
    <w:rsid w:val="00554499"/>
    <w:rsid w:val="00557A19"/>
    <w:rsid w:val="00570E40"/>
    <w:rsid w:val="00573162"/>
    <w:rsid w:val="005C07BA"/>
    <w:rsid w:val="005D43E9"/>
    <w:rsid w:val="005F3F05"/>
    <w:rsid w:val="0060449E"/>
    <w:rsid w:val="006058A4"/>
    <w:rsid w:val="006109FE"/>
    <w:rsid w:val="00614BF4"/>
    <w:rsid w:val="00616B6E"/>
    <w:rsid w:val="00633858"/>
    <w:rsid w:val="00635E1D"/>
    <w:rsid w:val="00642BD0"/>
    <w:rsid w:val="00670841"/>
    <w:rsid w:val="006708EE"/>
    <w:rsid w:val="006934B4"/>
    <w:rsid w:val="00694C4F"/>
    <w:rsid w:val="006A14EA"/>
    <w:rsid w:val="006B1D4C"/>
    <w:rsid w:val="006C21DD"/>
    <w:rsid w:val="006F6EF3"/>
    <w:rsid w:val="007078F2"/>
    <w:rsid w:val="00722E70"/>
    <w:rsid w:val="00735F80"/>
    <w:rsid w:val="0074524D"/>
    <w:rsid w:val="00751CC2"/>
    <w:rsid w:val="00777D9C"/>
    <w:rsid w:val="00784579"/>
    <w:rsid w:val="007B1325"/>
    <w:rsid w:val="007B1F36"/>
    <w:rsid w:val="007B7C9E"/>
    <w:rsid w:val="007C56D1"/>
    <w:rsid w:val="007D09EC"/>
    <w:rsid w:val="007F300C"/>
    <w:rsid w:val="008003F4"/>
    <w:rsid w:val="008016F9"/>
    <w:rsid w:val="008062AE"/>
    <w:rsid w:val="00811328"/>
    <w:rsid w:val="00815C57"/>
    <w:rsid w:val="00815F35"/>
    <w:rsid w:val="0082614F"/>
    <w:rsid w:val="00850B71"/>
    <w:rsid w:val="00854BC9"/>
    <w:rsid w:val="0085639C"/>
    <w:rsid w:val="0087454D"/>
    <w:rsid w:val="008812A2"/>
    <w:rsid w:val="00890D7F"/>
    <w:rsid w:val="008A0EB1"/>
    <w:rsid w:val="008A2076"/>
    <w:rsid w:val="008E659E"/>
    <w:rsid w:val="008F1529"/>
    <w:rsid w:val="008F1CB6"/>
    <w:rsid w:val="008F487A"/>
    <w:rsid w:val="008F717E"/>
    <w:rsid w:val="008F74EB"/>
    <w:rsid w:val="00900F2F"/>
    <w:rsid w:val="00902627"/>
    <w:rsid w:val="00924D85"/>
    <w:rsid w:val="00931981"/>
    <w:rsid w:val="00932AFD"/>
    <w:rsid w:val="00942ED3"/>
    <w:rsid w:val="00945986"/>
    <w:rsid w:val="00946F94"/>
    <w:rsid w:val="00983536"/>
    <w:rsid w:val="00990893"/>
    <w:rsid w:val="009C1AB3"/>
    <w:rsid w:val="009C43E6"/>
    <w:rsid w:val="009D01D2"/>
    <w:rsid w:val="009D3440"/>
    <w:rsid w:val="009E1E4F"/>
    <w:rsid w:val="009F5992"/>
    <w:rsid w:val="00A23AFB"/>
    <w:rsid w:val="00A3273B"/>
    <w:rsid w:val="00A466E6"/>
    <w:rsid w:val="00A47F1F"/>
    <w:rsid w:val="00A66F6A"/>
    <w:rsid w:val="00A75A1A"/>
    <w:rsid w:val="00A837A5"/>
    <w:rsid w:val="00A95C07"/>
    <w:rsid w:val="00AA348E"/>
    <w:rsid w:val="00AA51C1"/>
    <w:rsid w:val="00AB3B15"/>
    <w:rsid w:val="00AB65CA"/>
    <w:rsid w:val="00AB67D8"/>
    <w:rsid w:val="00AC2F78"/>
    <w:rsid w:val="00AC53D3"/>
    <w:rsid w:val="00AC5E59"/>
    <w:rsid w:val="00AF3998"/>
    <w:rsid w:val="00B07B2E"/>
    <w:rsid w:val="00B139AA"/>
    <w:rsid w:val="00B25366"/>
    <w:rsid w:val="00B31CC3"/>
    <w:rsid w:val="00B44B56"/>
    <w:rsid w:val="00BA69F4"/>
    <w:rsid w:val="00BA6D13"/>
    <w:rsid w:val="00BB299F"/>
    <w:rsid w:val="00BE1766"/>
    <w:rsid w:val="00BF4E9E"/>
    <w:rsid w:val="00C00F81"/>
    <w:rsid w:val="00C12445"/>
    <w:rsid w:val="00C17A63"/>
    <w:rsid w:val="00C32340"/>
    <w:rsid w:val="00C35487"/>
    <w:rsid w:val="00C3593E"/>
    <w:rsid w:val="00C43BC1"/>
    <w:rsid w:val="00C711E4"/>
    <w:rsid w:val="00C918ED"/>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B7D51"/>
    <w:rsid w:val="00DC4298"/>
    <w:rsid w:val="00DC68DD"/>
    <w:rsid w:val="00DD5096"/>
    <w:rsid w:val="00DD654B"/>
    <w:rsid w:val="00DF10BC"/>
    <w:rsid w:val="00DF13FE"/>
    <w:rsid w:val="00E04823"/>
    <w:rsid w:val="00E2173D"/>
    <w:rsid w:val="00E36803"/>
    <w:rsid w:val="00E53568"/>
    <w:rsid w:val="00E74CE9"/>
    <w:rsid w:val="00E7539A"/>
    <w:rsid w:val="00E76276"/>
    <w:rsid w:val="00E83C3F"/>
    <w:rsid w:val="00E86078"/>
    <w:rsid w:val="00E87BB1"/>
    <w:rsid w:val="00E93F48"/>
    <w:rsid w:val="00E965F8"/>
    <w:rsid w:val="00EB31E1"/>
    <w:rsid w:val="00EB7B2D"/>
    <w:rsid w:val="00EC5DCE"/>
    <w:rsid w:val="00ED1147"/>
    <w:rsid w:val="00EE2E61"/>
    <w:rsid w:val="00EE2E62"/>
    <w:rsid w:val="00EF4699"/>
    <w:rsid w:val="00F025B2"/>
    <w:rsid w:val="00F0340D"/>
    <w:rsid w:val="00F140D0"/>
    <w:rsid w:val="00F173E6"/>
    <w:rsid w:val="00F22D2F"/>
    <w:rsid w:val="00F23715"/>
    <w:rsid w:val="00F25BA2"/>
    <w:rsid w:val="00F32329"/>
    <w:rsid w:val="00F4295B"/>
    <w:rsid w:val="00F61CA3"/>
    <w:rsid w:val="00F714C7"/>
    <w:rsid w:val="00F9177B"/>
    <w:rsid w:val="00FB1A56"/>
    <w:rsid w:val="00FD2CEE"/>
    <w:rsid w:val="011E300A"/>
    <w:rsid w:val="013D1C8A"/>
    <w:rsid w:val="013F0F7C"/>
    <w:rsid w:val="01464694"/>
    <w:rsid w:val="015258FF"/>
    <w:rsid w:val="01601E7A"/>
    <w:rsid w:val="01744062"/>
    <w:rsid w:val="01782F69"/>
    <w:rsid w:val="01876A1F"/>
    <w:rsid w:val="018B3842"/>
    <w:rsid w:val="018F03FE"/>
    <w:rsid w:val="019377A3"/>
    <w:rsid w:val="01A40160"/>
    <w:rsid w:val="01A965C7"/>
    <w:rsid w:val="01A96BB6"/>
    <w:rsid w:val="01B763DC"/>
    <w:rsid w:val="01BC53AC"/>
    <w:rsid w:val="01C91C5F"/>
    <w:rsid w:val="01D57332"/>
    <w:rsid w:val="01DA5F1D"/>
    <w:rsid w:val="01E366FD"/>
    <w:rsid w:val="02132164"/>
    <w:rsid w:val="02195753"/>
    <w:rsid w:val="022D7471"/>
    <w:rsid w:val="023372E3"/>
    <w:rsid w:val="02362CC5"/>
    <w:rsid w:val="02676F4A"/>
    <w:rsid w:val="026D704D"/>
    <w:rsid w:val="02735026"/>
    <w:rsid w:val="027655B6"/>
    <w:rsid w:val="02792F82"/>
    <w:rsid w:val="02825F13"/>
    <w:rsid w:val="028430AA"/>
    <w:rsid w:val="028879D9"/>
    <w:rsid w:val="02A14D74"/>
    <w:rsid w:val="02A46BEF"/>
    <w:rsid w:val="02B43DAD"/>
    <w:rsid w:val="02BC4E5F"/>
    <w:rsid w:val="02DC1FED"/>
    <w:rsid w:val="02DD3DF1"/>
    <w:rsid w:val="02E247AD"/>
    <w:rsid w:val="02E3266E"/>
    <w:rsid w:val="02F71628"/>
    <w:rsid w:val="0306250D"/>
    <w:rsid w:val="031B1E88"/>
    <w:rsid w:val="031C70D4"/>
    <w:rsid w:val="0321449C"/>
    <w:rsid w:val="034175A9"/>
    <w:rsid w:val="03486A36"/>
    <w:rsid w:val="0350391F"/>
    <w:rsid w:val="03644B36"/>
    <w:rsid w:val="036E7CB0"/>
    <w:rsid w:val="03770FAA"/>
    <w:rsid w:val="039261BA"/>
    <w:rsid w:val="03C23BAF"/>
    <w:rsid w:val="03C40ABE"/>
    <w:rsid w:val="03D60077"/>
    <w:rsid w:val="03DC7E66"/>
    <w:rsid w:val="03E3449B"/>
    <w:rsid w:val="03F050BD"/>
    <w:rsid w:val="03F7077E"/>
    <w:rsid w:val="03F90DB1"/>
    <w:rsid w:val="03FB00F1"/>
    <w:rsid w:val="040172D5"/>
    <w:rsid w:val="04053316"/>
    <w:rsid w:val="04161C96"/>
    <w:rsid w:val="041E23EC"/>
    <w:rsid w:val="04256CBB"/>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DE5CC1"/>
    <w:rsid w:val="04F10481"/>
    <w:rsid w:val="04F51041"/>
    <w:rsid w:val="04F72D3C"/>
    <w:rsid w:val="04FB6CA5"/>
    <w:rsid w:val="04FF4175"/>
    <w:rsid w:val="05204AF2"/>
    <w:rsid w:val="05232BB3"/>
    <w:rsid w:val="053C2598"/>
    <w:rsid w:val="05533444"/>
    <w:rsid w:val="056D77F4"/>
    <w:rsid w:val="057C1154"/>
    <w:rsid w:val="0586026D"/>
    <w:rsid w:val="059052A1"/>
    <w:rsid w:val="05981791"/>
    <w:rsid w:val="05AA6ECF"/>
    <w:rsid w:val="05B55267"/>
    <w:rsid w:val="05BD44C2"/>
    <w:rsid w:val="05C14E93"/>
    <w:rsid w:val="05EE7A21"/>
    <w:rsid w:val="05F74FD6"/>
    <w:rsid w:val="06015BFD"/>
    <w:rsid w:val="06042A70"/>
    <w:rsid w:val="060A5B6D"/>
    <w:rsid w:val="06157620"/>
    <w:rsid w:val="062F0344"/>
    <w:rsid w:val="06322365"/>
    <w:rsid w:val="0644691C"/>
    <w:rsid w:val="06473E71"/>
    <w:rsid w:val="064C13DA"/>
    <w:rsid w:val="065904CC"/>
    <w:rsid w:val="06607022"/>
    <w:rsid w:val="06640B64"/>
    <w:rsid w:val="06657762"/>
    <w:rsid w:val="066D09E8"/>
    <w:rsid w:val="066D20E0"/>
    <w:rsid w:val="06791870"/>
    <w:rsid w:val="06AB7088"/>
    <w:rsid w:val="06C14990"/>
    <w:rsid w:val="06C255FB"/>
    <w:rsid w:val="06C466BB"/>
    <w:rsid w:val="06CC3632"/>
    <w:rsid w:val="06DC4238"/>
    <w:rsid w:val="06E91B3A"/>
    <w:rsid w:val="06F23D1E"/>
    <w:rsid w:val="06F821B3"/>
    <w:rsid w:val="06FF392B"/>
    <w:rsid w:val="07057562"/>
    <w:rsid w:val="072A238A"/>
    <w:rsid w:val="073B634E"/>
    <w:rsid w:val="073C2D1E"/>
    <w:rsid w:val="074C58DC"/>
    <w:rsid w:val="075615A8"/>
    <w:rsid w:val="07641D0D"/>
    <w:rsid w:val="07662674"/>
    <w:rsid w:val="0767483A"/>
    <w:rsid w:val="07A31B05"/>
    <w:rsid w:val="07BF6ABC"/>
    <w:rsid w:val="07C40FCD"/>
    <w:rsid w:val="07D879E1"/>
    <w:rsid w:val="07E0507A"/>
    <w:rsid w:val="07E761B7"/>
    <w:rsid w:val="07E91DAA"/>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D71CF"/>
    <w:rsid w:val="093B5F9E"/>
    <w:rsid w:val="09474FBC"/>
    <w:rsid w:val="094D4667"/>
    <w:rsid w:val="095520D8"/>
    <w:rsid w:val="096B20A4"/>
    <w:rsid w:val="098E57E7"/>
    <w:rsid w:val="09B024F6"/>
    <w:rsid w:val="09CC3BAD"/>
    <w:rsid w:val="09E244D3"/>
    <w:rsid w:val="09E44204"/>
    <w:rsid w:val="09F410FD"/>
    <w:rsid w:val="0A141092"/>
    <w:rsid w:val="0A18215B"/>
    <w:rsid w:val="0A1C206E"/>
    <w:rsid w:val="0A1F3AFB"/>
    <w:rsid w:val="0A214D17"/>
    <w:rsid w:val="0A3B1828"/>
    <w:rsid w:val="0A3D4730"/>
    <w:rsid w:val="0A406793"/>
    <w:rsid w:val="0A4F2112"/>
    <w:rsid w:val="0A562EAD"/>
    <w:rsid w:val="0A88671B"/>
    <w:rsid w:val="0A941E7B"/>
    <w:rsid w:val="0ABF45E0"/>
    <w:rsid w:val="0AC253B8"/>
    <w:rsid w:val="0AD029E3"/>
    <w:rsid w:val="0AD20D78"/>
    <w:rsid w:val="0AD319F0"/>
    <w:rsid w:val="0AD95FEE"/>
    <w:rsid w:val="0AEB1D55"/>
    <w:rsid w:val="0AEF28BE"/>
    <w:rsid w:val="0AFC7C23"/>
    <w:rsid w:val="0B030A0E"/>
    <w:rsid w:val="0B165FCB"/>
    <w:rsid w:val="0B373A25"/>
    <w:rsid w:val="0B490628"/>
    <w:rsid w:val="0B4D084E"/>
    <w:rsid w:val="0B5001FD"/>
    <w:rsid w:val="0B5D62E7"/>
    <w:rsid w:val="0B5E6C1B"/>
    <w:rsid w:val="0B7C78A1"/>
    <w:rsid w:val="0B94665C"/>
    <w:rsid w:val="0B964EC9"/>
    <w:rsid w:val="0B9B3CCE"/>
    <w:rsid w:val="0B9D5FFB"/>
    <w:rsid w:val="0BA62356"/>
    <w:rsid w:val="0BCF0D6E"/>
    <w:rsid w:val="0BDD0790"/>
    <w:rsid w:val="0BDD4638"/>
    <w:rsid w:val="0BF5093F"/>
    <w:rsid w:val="0C095932"/>
    <w:rsid w:val="0C0D7E74"/>
    <w:rsid w:val="0C154760"/>
    <w:rsid w:val="0C166DCE"/>
    <w:rsid w:val="0C1C6F33"/>
    <w:rsid w:val="0C371FE2"/>
    <w:rsid w:val="0C426E10"/>
    <w:rsid w:val="0C4358FB"/>
    <w:rsid w:val="0C593A85"/>
    <w:rsid w:val="0C6658D4"/>
    <w:rsid w:val="0C6F3B75"/>
    <w:rsid w:val="0C87727B"/>
    <w:rsid w:val="0C8C56BB"/>
    <w:rsid w:val="0CA53F3A"/>
    <w:rsid w:val="0CA87886"/>
    <w:rsid w:val="0CAF57CC"/>
    <w:rsid w:val="0CB41A43"/>
    <w:rsid w:val="0CC06DC6"/>
    <w:rsid w:val="0CC12374"/>
    <w:rsid w:val="0CCC52F8"/>
    <w:rsid w:val="0CDC30C8"/>
    <w:rsid w:val="0CE94F94"/>
    <w:rsid w:val="0CED067B"/>
    <w:rsid w:val="0CFC6488"/>
    <w:rsid w:val="0D1158BC"/>
    <w:rsid w:val="0D1D5BF4"/>
    <w:rsid w:val="0D290E15"/>
    <w:rsid w:val="0D2E7CDA"/>
    <w:rsid w:val="0D38710E"/>
    <w:rsid w:val="0D3A5B22"/>
    <w:rsid w:val="0D4A61F6"/>
    <w:rsid w:val="0D5A4C9D"/>
    <w:rsid w:val="0D5E127F"/>
    <w:rsid w:val="0D636535"/>
    <w:rsid w:val="0D652404"/>
    <w:rsid w:val="0D790005"/>
    <w:rsid w:val="0D793F75"/>
    <w:rsid w:val="0D8323B8"/>
    <w:rsid w:val="0D8D3FD0"/>
    <w:rsid w:val="0D941DD9"/>
    <w:rsid w:val="0D947DEF"/>
    <w:rsid w:val="0D9960F6"/>
    <w:rsid w:val="0D9B3836"/>
    <w:rsid w:val="0D9D017D"/>
    <w:rsid w:val="0DAF57C7"/>
    <w:rsid w:val="0DB87064"/>
    <w:rsid w:val="0DD37D4F"/>
    <w:rsid w:val="0E105F97"/>
    <w:rsid w:val="0E1D4C94"/>
    <w:rsid w:val="0E1E01D2"/>
    <w:rsid w:val="0E237ECF"/>
    <w:rsid w:val="0E2C57A6"/>
    <w:rsid w:val="0E3B4AAC"/>
    <w:rsid w:val="0E444E25"/>
    <w:rsid w:val="0E4528EE"/>
    <w:rsid w:val="0E463F6A"/>
    <w:rsid w:val="0E4E095A"/>
    <w:rsid w:val="0E533A22"/>
    <w:rsid w:val="0E5400D2"/>
    <w:rsid w:val="0E5D50FC"/>
    <w:rsid w:val="0E5E0B3E"/>
    <w:rsid w:val="0E8D2FCC"/>
    <w:rsid w:val="0E9944EA"/>
    <w:rsid w:val="0EB331E4"/>
    <w:rsid w:val="0EB5186D"/>
    <w:rsid w:val="0EBA7291"/>
    <w:rsid w:val="0ED45063"/>
    <w:rsid w:val="0EE00334"/>
    <w:rsid w:val="0F090320"/>
    <w:rsid w:val="0F3E4FBF"/>
    <w:rsid w:val="0F440DC1"/>
    <w:rsid w:val="0F4527B9"/>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23538"/>
    <w:rsid w:val="0FEA7956"/>
    <w:rsid w:val="0FF2619D"/>
    <w:rsid w:val="10002E78"/>
    <w:rsid w:val="10082322"/>
    <w:rsid w:val="100A088B"/>
    <w:rsid w:val="101E557F"/>
    <w:rsid w:val="10220902"/>
    <w:rsid w:val="102832C0"/>
    <w:rsid w:val="1030329B"/>
    <w:rsid w:val="1035512C"/>
    <w:rsid w:val="103627B4"/>
    <w:rsid w:val="10476538"/>
    <w:rsid w:val="107921C2"/>
    <w:rsid w:val="107E07FE"/>
    <w:rsid w:val="10805044"/>
    <w:rsid w:val="108A45AA"/>
    <w:rsid w:val="108B5C75"/>
    <w:rsid w:val="10927871"/>
    <w:rsid w:val="109B2457"/>
    <w:rsid w:val="10A80202"/>
    <w:rsid w:val="10A86948"/>
    <w:rsid w:val="10BD4B6E"/>
    <w:rsid w:val="10C05016"/>
    <w:rsid w:val="10DC5341"/>
    <w:rsid w:val="10E55858"/>
    <w:rsid w:val="10E8122E"/>
    <w:rsid w:val="10F16B8E"/>
    <w:rsid w:val="10F973AA"/>
    <w:rsid w:val="11002024"/>
    <w:rsid w:val="1101215E"/>
    <w:rsid w:val="1107086A"/>
    <w:rsid w:val="112673D2"/>
    <w:rsid w:val="11272A81"/>
    <w:rsid w:val="11343C71"/>
    <w:rsid w:val="1140061F"/>
    <w:rsid w:val="11511756"/>
    <w:rsid w:val="11596BD4"/>
    <w:rsid w:val="1166278E"/>
    <w:rsid w:val="118151C6"/>
    <w:rsid w:val="11A3453B"/>
    <w:rsid w:val="11B13A44"/>
    <w:rsid w:val="11B64B9D"/>
    <w:rsid w:val="11C34C5A"/>
    <w:rsid w:val="11D7281B"/>
    <w:rsid w:val="11D93657"/>
    <w:rsid w:val="11E62926"/>
    <w:rsid w:val="11E7019B"/>
    <w:rsid w:val="12041F1C"/>
    <w:rsid w:val="125C1D36"/>
    <w:rsid w:val="126F4111"/>
    <w:rsid w:val="126F5ED9"/>
    <w:rsid w:val="1299328B"/>
    <w:rsid w:val="12A04B9A"/>
    <w:rsid w:val="12A30DA6"/>
    <w:rsid w:val="12C23A7C"/>
    <w:rsid w:val="12C6156A"/>
    <w:rsid w:val="12D37006"/>
    <w:rsid w:val="12D919C1"/>
    <w:rsid w:val="12E94BA8"/>
    <w:rsid w:val="12F55F70"/>
    <w:rsid w:val="130A3353"/>
    <w:rsid w:val="130B7334"/>
    <w:rsid w:val="131B0C66"/>
    <w:rsid w:val="13380869"/>
    <w:rsid w:val="135B4093"/>
    <w:rsid w:val="135C15A5"/>
    <w:rsid w:val="136B30DD"/>
    <w:rsid w:val="13755EB2"/>
    <w:rsid w:val="13877DCB"/>
    <w:rsid w:val="13887B1A"/>
    <w:rsid w:val="139F2E5E"/>
    <w:rsid w:val="13A35911"/>
    <w:rsid w:val="13A47BFE"/>
    <w:rsid w:val="13AD2096"/>
    <w:rsid w:val="13AE0DA1"/>
    <w:rsid w:val="13B773EB"/>
    <w:rsid w:val="13C4002F"/>
    <w:rsid w:val="13E67824"/>
    <w:rsid w:val="13ED6898"/>
    <w:rsid w:val="14063E97"/>
    <w:rsid w:val="14166484"/>
    <w:rsid w:val="14197E9B"/>
    <w:rsid w:val="14242A9B"/>
    <w:rsid w:val="14293FDD"/>
    <w:rsid w:val="14335E33"/>
    <w:rsid w:val="145D7218"/>
    <w:rsid w:val="14663754"/>
    <w:rsid w:val="1470604A"/>
    <w:rsid w:val="14857BC8"/>
    <w:rsid w:val="148A09EC"/>
    <w:rsid w:val="14930FE3"/>
    <w:rsid w:val="14960E91"/>
    <w:rsid w:val="14BE3BD0"/>
    <w:rsid w:val="14CE2A48"/>
    <w:rsid w:val="14CF2CA5"/>
    <w:rsid w:val="14D4721A"/>
    <w:rsid w:val="14D53920"/>
    <w:rsid w:val="14E36FB1"/>
    <w:rsid w:val="14E60E10"/>
    <w:rsid w:val="14F71157"/>
    <w:rsid w:val="15072773"/>
    <w:rsid w:val="151D60E3"/>
    <w:rsid w:val="152165F3"/>
    <w:rsid w:val="1530340C"/>
    <w:rsid w:val="15443470"/>
    <w:rsid w:val="154F09D4"/>
    <w:rsid w:val="155D44F6"/>
    <w:rsid w:val="1568195A"/>
    <w:rsid w:val="156825AE"/>
    <w:rsid w:val="157648A9"/>
    <w:rsid w:val="157D25F1"/>
    <w:rsid w:val="158013B3"/>
    <w:rsid w:val="15897466"/>
    <w:rsid w:val="159D2AA8"/>
    <w:rsid w:val="15BC3A0F"/>
    <w:rsid w:val="15BF05AC"/>
    <w:rsid w:val="15CF3C06"/>
    <w:rsid w:val="15CF6FF0"/>
    <w:rsid w:val="15E044A0"/>
    <w:rsid w:val="15E40909"/>
    <w:rsid w:val="15F32BDF"/>
    <w:rsid w:val="15F97B47"/>
    <w:rsid w:val="16071DD9"/>
    <w:rsid w:val="160C5D02"/>
    <w:rsid w:val="16184098"/>
    <w:rsid w:val="161F7166"/>
    <w:rsid w:val="16290D5F"/>
    <w:rsid w:val="162C4C37"/>
    <w:rsid w:val="163409FD"/>
    <w:rsid w:val="164925E6"/>
    <w:rsid w:val="16564ED8"/>
    <w:rsid w:val="16695F27"/>
    <w:rsid w:val="166B2C03"/>
    <w:rsid w:val="166B2D98"/>
    <w:rsid w:val="167A093E"/>
    <w:rsid w:val="167E6CA3"/>
    <w:rsid w:val="167F4B95"/>
    <w:rsid w:val="169D0E74"/>
    <w:rsid w:val="16A0455F"/>
    <w:rsid w:val="16AB4CC3"/>
    <w:rsid w:val="16BD04E5"/>
    <w:rsid w:val="16C419E8"/>
    <w:rsid w:val="16E21427"/>
    <w:rsid w:val="16E57675"/>
    <w:rsid w:val="17033117"/>
    <w:rsid w:val="170A61ED"/>
    <w:rsid w:val="170C6A21"/>
    <w:rsid w:val="170C751B"/>
    <w:rsid w:val="17166620"/>
    <w:rsid w:val="17174AB2"/>
    <w:rsid w:val="172F59B8"/>
    <w:rsid w:val="173C59AC"/>
    <w:rsid w:val="173F20E2"/>
    <w:rsid w:val="177F62FA"/>
    <w:rsid w:val="178E0BAF"/>
    <w:rsid w:val="17987B34"/>
    <w:rsid w:val="17C271C7"/>
    <w:rsid w:val="17DE3FD2"/>
    <w:rsid w:val="17E25684"/>
    <w:rsid w:val="17FA253A"/>
    <w:rsid w:val="18071145"/>
    <w:rsid w:val="180D1861"/>
    <w:rsid w:val="1824021D"/>
    <w:rsid w:val="182727AA"/>
    <w:rsid w:val="182C3C1D"/>
    <w:rsid w:val="183737F8"/>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4B6D06"/>
    <w:rsid w:val="19580F07"/>
    <w:rsid w:val="19605FFF"/>
    <w:rsid w:val="196C060A"/>
    <w:rsid w:val="197226D6"/>
    <w:rsid w:val="197B045A"/>
    <w:rsid w:val="19911370"/>
    <w:rsid w:val="19981B0B"/>
    <w:rsid w:val="19A60597"/>
    <w:rsid w:val="19A748CE"/>
    <w:rsid w:val="19B53F29"/>
    <w:rsid w:val="19BB4AC7"/>
    <w:rsid w:val="19ED1019"/>
    <w:rsid w:val="19F30FD0"/>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6B578D"/>
    <w:rsid w:val="1A8A4647"/>
    <w:rsid w:val="1A9723B6"/>
    <w:rsid w:val="1A984C5D"/>
    <w:rsid w:val="1AA34AA6"/>
    <w:rsid w:val="1AA93183"/>
    <w:rsid w:val="1AAC781B"/>
    <w:rsid w:val="1AB44A07"/>
    <w:rsid w:val="1AD41623"/>
    <w:rsid w:val="1ADA1B4E"/>
    <w:rsid w:val="1AED05E1"/>
    <w:rsid w:val="1AF00F47"/>
    <w:rsid w:val="1AF046CF"/>
    <w:rsid w:val="1AF16568"/>
    <w:rsid w:val="1B074284"/>
    <w:rsid w:val="1B24725D"/>
    <w:rsid w:val="1B2B048F"/>
    <w:rsid w:val="1B301CAE"/>
    <w:rsid w:val="1B44289D"/>
    <w:rsid w:val="1B4A2D9D"/>
    <w:rsid w:val="1B4D4C2F"/>
    <w:rsid w:val="1B5752AC"/>
    <w:rsid w:val="1B67625B"/>
    <w:rsid w:val="1B6B043B"/>
    <w:rsid w:val="1B6B336B"/>
    <w:rsid w:val="1B6E424D"/>
    <w:rsid w:val="1B863F0D"/>
    <w:rsid w:val="1B9369D7"/>
    <w:rsid w:val="1B9E5564"/>
    <w:rsid w:val="1BAF5377"/>
    <w:rsid w:val="1BB15F13"/>
    <w:rsid w:val="1BB678D9"/>
    <w:rsid w:val="1BBF4AED"/>
    <w:rsid w:val="1BCB3B13"/>
    <w:rsid w:val="1C19483C"/>
    <w:rsid w:val="1C213008"/>
    <w:rsid w:val="1C347AE7"/>
    <w:rsid w:val="1C3709C2"/>
    <w:rsid w:val="1C3F5A29"/>
    <w:rsid w:val="1C73352D"/>
    <w:rsid w:val="1C7F0A0D"/>
    <w:rsid w:val="1C883EE2"/>
    <w:rsid w:val="1C8A5704"/>
    <w:rsid w:val="1C993644"/>
    <w:rsid w:val="1CA30814"/>
    <w:rsid w:val="1CA411B8"/>
    <w:rsid w:val="1CA91C58"/>
    <w:rsid w:val="1CAE730B"/>
    <w:rsid w:val="1CD11261"/>
    <w:rsid w:val="1CF333E6"/>
    <w:rsid w:val="1D0565E2"/>
    <w:rsid w:val="1D2122A1"/>
    <w:rsid w:val="1D2357FD"/>
    <w:rsid w:val="1D2D51F1"/>
    <w:rsid w:val="1D37486F"/>
    <w:rsid w:val="1D42071E"/>
    <w:rsid w:val="1D4856D1"/>
    <w:rsid w:val="1D6257AE"/>
    <w:rsid w:val="1D677324"/>
    <w:rsid w:val="1D6E2D29"/>
    <w:rsid w:val="1D782040"/>
    <w:rsid w:val="1D8C6A7E"/>
    <w:rsid w:val="1D8E167F"/>
    <w:rsid w:val="1DB01D77"/>
    <w:rsid w:val="1DB95872"/>
    <w:rsid w:val="1DBD7240"/>
    <w:rsid w:val="1DC07134"/>
    <w:rsid w:val="1DC15568"/>
    <w:rsid w:val="1DC77F7C"/>
    <w:rsid w:val="1DCE2AB1"/>
    <w:rsid w:val="1DD0335C"/>
    <w:rsid w:val="1DD620D3"/>
    <w:rsid w:val="1DDE1182"/>
    <w:rsid w:val="1DFC3B16"/>
    <w:rsid w:val="1E071D72"/>
    <w:rsid w:val="1E1E21E7"/>
    <w:rsid w:val="1E2566DA"/>
    <w:rsid w:val="1E2B6D7F"/>
    <w:rsid w:val="1E2D48C4"/>
    <w:rsid w:val="1E32366D"/>
    <w:rsid w:val="1E36628C"/>
    <w:rsid w:val="1E510853"/>
    <w:rsid w:val="1E57604D"/>
    <w:rsid w:val="1E635018"/>
    <w:rsid w:val="1E656782"/>
    <w:rsid w:val="1E814CED"/>
    <w:rsid w:val="1E8469F9"/>
    <w:rsid w:val="1E92658B"/>
    <w:rsid w:val="1E9C5BFF"/>
    <w:rsid w:val="1ECC3FFD"/>
    <w:rsid w:val="1ED2384F"/>
    <w:rsid w:val="1ED9232C"/>
    <w:rsid w:val="1EDD43FA"/>
    <w:rsid w:val="1EDF476D"/>
    <w:rsid w:val="1EEA697A"/>
    <w:rsid w:val="1EEC0C5C"/>
    <w:rsid w:val="1F176E60"/>
    <w:rsid w:val="1F37018C"/>
    <w:rsid w:val="1F455558"/>
    <w:rsid w:val="1F4C1597"/>
    <w:rsid w:val="1F51433D"/>
    <w:rsid w:val="1F5500CB"/>
    <w:rsid w:val="1F5B5AF9"/>
    <w:rsid w:val="1F7C2691"/>
    <w:rsid w:val="1F9A340A"/>
    <w:rsid w:val="1FB31A5F"/>
    <w:rsid w:val="1FC97C87"/>
    <w:rsid w:val="1FCC023A"/>
    <w:rsid w:val="1FDE3F49"/>
    <w:rsid w:val="1FE933AA"/>
    <w:rsid w:val="1FF468DA"/>
    <w:rsid w:val="200B0D0C"/>
    <w:rsid w:val="201051B9"/>
    <w:rsid w:val="20191A25"/>
    <w:rsid w:val="2040794E"/>
    <w:rsid w:val="20460DDC"/>
    <w:rsid w:val="204D6F6C"/>
    <w:rsid w:val="20506C8E"/>
    <w:rsid w:val="2064368A"/>
    <w:rsid w:val="207F43D9"/>
    <w:rsid w:val="208B7592"/>
    <w:rsid w:val="20906E82"/>
    <w:rsid w:val="209128E5"/>
    <w:rsid w:val="209F1645"/>
    <w:rsid w:val="20A84AFD"/>
    <w:rsid w:val="20B336D0"/>
    <w:rsid w:val="20B41FC9"/>
    <w:rsid w:val="20B707BB"/>
    <w:rsid w:val="20DA452F"/>
    <w:rsid w:val="20E40D06"/>
    <w:rsid w:val="20E70DDA"/>
    <w:rsid w:val="20EE5292"/>
    <w:rsid w:val="20EE7A98"/>
    <w:rsid w:val="20F012DA"/>
    <w:rsid w:val="20F91B22"/>
    <w:rsid w:val="20FB0C58"/>
    <w:rsid w:val="2102118F"/>
    <w:rsid w:val="210643F0"/>
    <w:rsid w:val="21126A1E"/>
    <w:rsid w:val="211A3117"/>
    <w:rsid w:val="211D6ED8"/>
    <w:rsid w:val="21365E4F"/>
    <w:rsid w:val="21432762"/>
    <w:rsid w:val="214418B5"/>
    <w:rsid w:val="215F5D66"/>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F71CC"/>
    <w:rsid w:val="226E0F46"/>
    <w:rsid w:val="22894FBA"/>
    <w:rsid w:val="228B7D1B"/>
    <w:rsid w:val="22993411"/>
    <w:rsid w:val="22A627B6"/>
    <w:rsid w:val="22BB1853"/>
    <w:rsid w:val="22EE7034"/>
    <w:rsid w:val="22FD46BD"/>
    <w:rsid w:val="23153857"/>
    <w:rsid w:val="231B17F9"/>
    <w:rsid w:val="23216DFA"/>
    <w:rsid w:val="233A304E"/>
    <w:rsid w:val="23443D7D"/>
    <w:rsid w:val="235511EA"/>
    <w:rsid w:val="23690609"/>
    <w:rsid w:val="237A3E4E"/>
    <w:rsid w:val="237E1230"/>
    <w:rsid w:val="238A29AB"/>
    <w:rsid w:val="238F40D9"/>
    <w:rsid w:val="23933508"/>
    <w:rsid w:val="239504D4"/>
    <w:rsid w:val="23950A3C"/>
    <w:rsid w:val="239B5FC0"/>
    <w:rsid w:val="23A92C60"/>
    <w:rsid w:val="23B03FD9"/>
    <w:rsid w:val="23B714CC"/>
    <w:rsid w:val="23BA7F5A"/>
    <w:rsid w:val="23C13739"/>
    <w:rsid w:val="23E11DA2"/>
    <w:rsid w:val="23E235B0"/>
    <w:rsid w:val="24044813"/>
    <w:rsid w:val="2428389C"/>
    <w:rsid w:val="2439617A"/>
    <w:rsid w:val="244E7DAC"/>
    <w:rsid w:val="245005B3"/>
    <w:rsid w:val="24661A7D"/>
    <w:rsid w:val="24734E74"/>
    <w:rsid w:val="24940315"/>
    <w:rsid w:val="249511E4"/>
    <w:rsid w:val="249604BE"/>
    <w:rsid w:val="24A31E88"/>
    <w:rsid w:val="24C504EE"/>
    <w:rsid w:val="24D14521"/>
    <w:rsid w:val="24E164AF"/>
    <w:rsid w:val="24E41B08"/>
    <w:rsid w:val="24E65466"/>
    <w:rsid w:val="24E944A8"/>
    <w:rsid w:val="24F61130"/>
    <w:rsid w:val="24F96CA5"/>
    <w:rsid w:val="24FC5064"/>
    <w:rsid w:val="250B6C88"/>
    <w:rsid w:val="250D16FB"/>
    <w:rsid w:val="25207316"/>
    <w:rsid w:val="252348FA"/>
    <w:rsid w:val="25280D33"/>
    <w:rsid w:val="25373204"/>
    <w:rsid w:val="253A1C68"/>
    <w:rsid w:val="253C7281"/>
    <w:rsid w:val="25564658"/>
    <w:rsid w:val="255A4BBE"/>
    <w:rsid w:val="255D101D"/>
    <w:rsid w:val="25603917"/>
    <w:rsid w:val="25627611"/>
    <w:rsid w:val="25636FED"/>
    <w:rsid w:val="25645A54"/>
    <w:rsid w:val="25772EBB"/>
    <w:rsid w:val="25832019"/>
    <w:rsid w:val="259331FE"/>
    <w:rsid w:val="25957FF8"/>
    <w:rsid w:val="25A149AC"/>
    <w:rsid w:val="25AF3F32"/>
    <w:rsid w:val="25B22A3B"/>
    <w:rsid w:val="25BA2D11"/>
    <w:rsid w:val="25C654B7"/>
    <w:rsid w:val="25D97596"/>
    <w:rsid w:val="25E37902"/>
    <w:rsid w:val="25F044F9"/>
    <w:rsid w:val="25F74971"/>
    <w:rsid w:val="26040109"/>
    <w:rsid w:val="26061962"/>
    <w:rsid w:val="260F672F"/>
    <w:rsid w:val="26175540"/>
    <w:rsid w:val="262C56B0"/>
    <w:rsid w:val="262F1527"/>
    <w:rsid w:val="2642755C"/>
    <w:rsid w:val="26507D69"/>
    <w:rsid w:val="26590788"/>
    <w:rsid w:val="265D1B10"/>
    <w:rsid w:val="26640280"/>
    <w:rsid w:val="266D04E0"/>
    <w:rsid w:val="267D0DD4"/>
    <w:rsid w:val="268367B8"/>
    <w:rsid w:val="268A18BB"/>
    <w:rsid w:val="26900E65"/>
    <w:rsid w:val="269308F5"/>
    <w:rsid w:val="269B5762"/>
    <w:rsid w:val="26A0140A"/>
    <w:rsid w:val="26A4480F"/>
    <w:rsid w:val="26AB027E"/>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B23EE"/>
    <w:rsid w:val="279C7ABE"/>
    <w:rsid w:val="27A46AC2"/>
    <w:rsid w:val="27B52D32"/>
    <w:rsid w:val="27C22234"/>
    <w:rsid w:val="27D30046"/>
    <w:rsid w:val="27D4336A"/>
    <w:rsid w:val="27E96CD0"/>
    <w:rsid w:val="27F60128"/>
    <w:rsid w:val="28100970"/>
    <w:rsid w:val="28130FC3"/>
    <w:rsid w:val="281A2308"/>
    <w:rsid w:val="28242AFE"/>
    <w:rsid w:val="282D4DA2"/>
    <w:rsid w:val="28383DE0"/>
    <w:rsid w:val="284763CA"/>
    <w:rsid w:val="284C1CF1"/>
    <w:rsid w:val="285259C3"/>
    <w:rsid w:val="286F0F65"/>
    <w:rsid w:val="28810C2F"/>
    <w:rsid w:val="28832153"/>
    <w:rsid w:val="288C402F"/>
    <w:rsid w:val="28AB6575"/>
    <w:rsid w:val="28AF56E0"/>
    <w:rsid w:val="28BF2E88"/>
    <w:rsid w:val="28C50D1F"/>
    <w:rsid w:val="28F364BD"/>
    <w:rsid w:val="29034D8E"/>
    <w:rsid w:val="290D640A"/>
    <w:rsid w:val="291560D2"/>
    <w:rsid w:val="291A4C7E"/>
    <w:rsid w:val="291F0427"/>
    <w:rsid w:val="29293C6D"/>
    <w:rsid w:val="293C79A7"/>
    <w:rsid w:val="29454D6E"/>
    <w:rsid w:val="294F4DA4"/>
    <w:rsid w:val="295449EC"/>
    <w:rsid w:val="29554FB8"/>
    <w:rsid w:val="295D23DB"/>
    <w:rsid w:val="296228C4"/>
    <w:rsid w:val="297172A8"/>
    <w:rsid w:val="2983564B"/>
    <w:rsid w:val="2986365A"/>
    <w:rsid w:val="298F2D60"/>
    <w:rsid w:val="29BE52CE"/>
    <w:rsid w:val="29DB2E13"/>
    <w:rsid w:val="29DB795F"/>
    <w:rsid w:val="29F43C64"/>
    <w:rsid w:val="29FA25C8"/>
    <w:rsid w:val="29FC032F"/>
    <w:rsid w:val="29FD19B7"/>
    <w:rsid w:val="2A03307B"/>
    <w:rsid w:val="2A112438"/>
    <w:rsid w:val="2A121ADD"/>
    <w:rsid w:val="2A1808B1"/>
    <w:rsid w:val="2A1C72FC"/>
    <w:rsid w:val="2A363D92"/>
    <w:rsid w:val="2A3B23D3"/>
    <w:rsid w:val="2A463A27"/>
    <w:rsid w:val="2A6021EF"/>
    <w:rsid w:val="2A6A0AB6"/>
    <w:rsid w:val="2A7A288C"/>
    <w:rsid w:val="2A7A5040"/>
    <w:rsid w:val="2A7F5588"/>
    <w:rsid w:val="2A871EF8"/>
    <w:rsid w:val="2A8B0659"/>
    <w:rsid w:val="2A94612D"/>
    <w:rsid w:val="2A99095C"/>
    <w:rsid w:val="2A9C5B40"/>
    <w:rsid w:val="2AA400F4"/>
    <w:rsid w:val="2AAC54BB"/>
    <w:rsid w:val="2AB57FF9"/>
    <w:rsid w:val="2ABA6371"/>
    <w:rsid w:val="2AC329D5"/>
    <w:rsid w:val="2AC771F9"/>
    <w:rsid w:val="2ACC28DA"/>
    <w:rsid w:val="2ACC4C06"/>
    <w:rsid w:val="2AD82E16"/>
    <w:rsid w:val="2AE11D66"/>
    <w:rsid w:val="2AEB102F"/>
    <w:rsid w:val="2AFA470A"/>
    <w:rsid w:val="2B0678E1"/>
    <w:rsid w:val="2B0C20F7"/>
    <w:rsid w:val="2B0F5533"/>
    <w:rsid w:val="2B1A03EA"/>
    <w:rsid w:val="2B1B65B9"/>
    <w:rsid w:val="2B2706A2"/>
    <w:rsid w:val="2B28252F"/>
    <w:rsid w:val="2B3C0E48"/>
    <w:rsid w:val="2B461FAE"/>
    <w:rsid w:val="2B4D31F0"/>
    <w:rsid w:val="2B4F0637"/>
    <w:rsid w:val="2B4F71D5"/>
    <w:rsid w:val="2B527EE3"/>
    <w:rsid w:val="2B580D2F"/>
    <w:rsid w:val="2B5E1A74"/>
    <w:rsid w:val="2B667187"/>
    <w:rsid w:val="2B7D4228"/>
    <w:rsid w:val="2B8B70C4"/>
    <w:rsid w:val="2B9576E2"/>
    <w:rsid w:val="2B9A4D5A"/>
    <w:rsid w:val="2BA41CAA"/>
    <w:rsid w:val="2BBB53AD"/>
    <w:rsid w:val="2BC2082C"/>
    <w:rsid w:val="2BCB2584"/>
    <w:rsid w:val="2BD25B6F"/>
    <w:rsid w:val="2BEC51D8"/>
    <w:rsid w:val="2BEC7EFA"/>
    <w:rsid w:val="2BEF1A87"/>
    <w:rsid w:val="2C0368C6"/>
    <w:rsid w:val="2C05500E"/>
    <w:rsid w:val="2C0D4506"/>
    <w:rsid w:val="2C1134D0"/>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F5DDE"/>
    <w:rsid w:val="2CD56F32"/>
    <w:rsid w:val="2CDB0944"/>
    <w:rsid w:val="2CE27267"/>
    <w:rsid w:val="2CE74D39"/>
    <w:rsid w:val="2CE8150A"/>
    <w:rsid w:val="2D016444"/>
    <w:rsid w:val="2D0B00A7"/>
    <w:rsid w:val="2D12077C"/>
    <w:rsid w:val="2D270FD0"/>
    <w:rsid w:val="2D277EFB"/>
    <w:rsid w:val="2D31047C"/>
    <w:rsid w:val="2D3178DC"/>
    <w:rsid w:val="2D324DB9"/>
    <w:rsid w:val="2D4E3F0C"/>
    <w:rsid w:val="2D646B9E"/>
    <w:rsid w:val="2D700E9E"/>
    <w:rsid w:val="2D976683"/>
    <w:rsid w:val="2DB27C81"/>
    <w:rsid w:val="2DE35338"/>
    <w:rsid w:val="2E161683"/>
    <w:rsid w:val="2E194F3D"/>
    <w:rsid w:val="2E3E0198"/>
    <w:rsid w:val="2E3F0BEE"/>
    <w:rsid w:val="2E521413"/>
    <w:rsid w:val="2E560939"/>
    <w:rsid w:val="2E5A7CD6"/>
    <w:rsid w:val="2E5E648E"/>
    <w:rsid w:val="2E743409"/>
    <w:rsid w:val="2E790DE1"/>
    <w:rsid w:val="2E7B7EC9"/>
    <w:rsid w:val="2E9136EE"/>
    <w:rsid w:val="2EC56BE5"/>
    <w:rsid w:val="2EC73785"/>
    <w:rsid w:val="2EF00893"/>
    <w:rsid w:val="2EF55C29"/>
    <w:rsid w:val="2EFF3E52"/>
    <w:rsid w:val="2F08433B"/>
    <w:rsid w:val="2F136646"/>
    <w:rsid w:val="2F2F22BD"/>
    <w:rsid w:val="2F3557ED"/>
    <w:rsid w:val="2F363704"/>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8A0CB6"/>
    <w:rsid w:val="30A57B99"/>
    <w:rsid w:val="30B97331"/>
    <w:rsid w:val="30BA6D63"/>
    <w:rsid w:val="30C23A3B"/>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E06FD"/>
    <w:rsid w:val="31DA7CEA"/>
    <w:rsid w:val="31ED3136"/>
    <w:rsid w:val="31FD406A"/>
    <w:rsid w:val="31FE2FC8"/>
    <w:rsid w:val="32066C5B"/>
    <w:rsid w:val="324276A3"/>
    <w:rsid w:val="32440A8B"/>
    <w:rsid w:val="324639D0"/>
    <w:rsid w:val="324D77D1"/>
    <w:rsid w:val="325719E8"/>
    <w:rsid w:val="326170B4"/>
    <w:rsid w:val="3264531C"/>
    <w:rsid w:val="32665466"/>
    <w:rsid w:val="326B38EB"/>
    <w:rsid w:val="32892A4B"/>
    <w:rsid w:val="32A5175C"/>
    <w:rsid w:val="32AF0842"/>
    <w:rsid w:val="32B04854"/>
    <w:rsid w:val="32B736BD"/>
    <w:rsid w:val="32B865A2"/>
    <w:rsid w:val="32D817FB"/>
    <w:rsid w:val="32E75208"/>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362F2"/>
    <w:rsid w:val="348448C6"/>
    <w:rsid w:val="348A1DB8"/>
    <w:rsid w:val="34980D1E"/>
    <w:rsid w:val="34A25951"/>
    <w:rsid w:val="34B033E7"/>
    <w:rsid w:val="34BD350C"/>
    <w:rsid w:val="34BF74EA"/>
    <w:rsid w:val="34D766B0"/>
    <w:rsid w:val="34DB2B4D"/>
    <w:rsid w:val="34E16316"/>
    <w:rsid w:val="34E467C1"/>
    <w:rsid w:val="34E75F12"/>
    <w:rsid w:val="34F32500"/>
    <w:rsid w:val="34F338FE"/>
    <w:rsid w:val="350A5CF4"/>
    <w:rsid w:val="351F2F82"/>
    <w:rsid w:val="3535293E"/>
    <w:rsid w:val="3536502B"/>
    <w:rsid w:val="353665BD"/>
    <w:rsid w:val="35371562"/>
    <w:rsid w:val="355B65B2"/>
    <w:rsid w:val="355D4F81"/>
    <w:rsid w:val="35705AE4"/>
    <w:rsid w:val="35824905"/>
    <w:rsid w:val="35843F72"/>
    <w:rsid w:val="35970273"/>
    <w:rsid w:val="35C74E47"/>
    <w:rsid w:val="35C769F0"/>
    <w:rsid w:val="35E24DF5"/>
    <w:rsid w:val="35FC0320"/>
    <w:rsid w:val="35FC78A0"/>
    <w:rsid w:val="35FF3C90"/>
    <w:rsid w:val="35FF463C"/>
    <w:rsid w:val="3606454A"/>
    <w:rsid w:val="360D4DD7"/>
    <w:rsid w:val="361124A4"/>
    <w:rsid w:val="36132896"/>
    <w:rsid w:val="36251E52"/>
    <w:rsid w:val="3633222C"/>
    <w:rsid w:val="363407F7"/>
    <w:rsid w:val="3638445C"/>
    <w:rsid w:val="36434D26"/>
    <w:rsid w:val="36470DE8"/>
    <w:rsid w:val="364D39D1"/>
    <w:rsid w:val="365612E8"/>
    <w:rsid w:val="366513C8"/>
    <w:rsid w:val="3686608C"/>
    <w:rsid w:val="368E7A3C"/>
    <w:rsid w:val="36AD62EF"/>
    <w:rsid w:val="36CA1F25"/>
    <w:rsid w:val="36DE0951"/>
    <w:rsid w:val="36F210B1"/>
    <w:rsid w:val="36F901E6"/>
    <w:rsid w:val="37007AC7"/>
    <w:rsid w:val="371722E2"/>
    <w:rsid w:val="371D335B"/>
    <w:rsid w:val="371F6EDC"/>
    <w:rsid w:val="372A09FA"/>
    <w:rsid w:val="37330115"/>
    <w:rsid w:val="373529C0"/>
    <w:rsid w:val="375A3819"/>
    <w:rsid w:val="375A58F4"/>
    <w:rsid w:val="375F2D0C"/>
    <w:rsid w:val="376B4FBE"/>
    <w:rsid w:val="37807A1C"/>
    <w:rsid w:val="378E3BE4"/>
    <w:rsid w:val="379837CA"/>
    <w:rsid w:val="37994C24"/>
    <w:rsid w:val="37A273E4"/>
    <w:rsid w:val="37A4695E"/>
    <w:rsid w:val="37AA79A3"/>
    <w:rsid w:val="37B253AC"/>
    <w:rsid w:val="37B73B33"/>
    <w:rsid w:val="37B75F51"/>
    <w:rsid w:val="37C87091"/>
    <w:rsid w:val="37D42B5B"/>
    <w:rsid w:val="37E8004A"/>
    <w:rsid w:val="37F048A0"/>
    <w:rsid w:val="37F27E10"/>
    <w:rsid w:val="382932C1"/>
    <w:rsid w:val="382A51FA"/>
    <w:rsid w:val="382F4B08"/>
    <w:rsid w:val="38312A30"/>
    <w:rsid w:val="385E6AEF"/>
    <w:rsid w:val="38A00A0E"/>
    <w:rsid w:val="38A172FA"/>
    <w:rsid w:val="38A23923"/>
    <w:rsid w:val="38B10FD3"/>
    <w:rsid w:val="38B12660"/>
    <w:rsid w:val="38DC7DB9"/>
    <w:rsid w:val="38E12A24"/>
    <w:rsid w:val="38E7522B"/>
    <w:rsid w:val="38F172EC"/>
    <w:rsid w:val="38FA46B4"/>
    <w:rsid w:val="39065887"/>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F27D6"/>
    <w:rsid w:val="3990461B"/>
    <w:rsid w:val="39916571"/>
    <w:rsid w:val="39980102"/>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BF2B5A"/>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3218F"/>
    <w:rsid w:val="3BE5760A"/>
    <w:rsid w:val="3BF736C7"/>
    <w:rsid w:val="3C0D7EBC"/>
    <w:rsid w:val="3C193F39"/>
    <w:rsid w:val="3C35789E"/>
    <w:rsid w:val="3C3A17EA"/>
    <w:rsid w:val="3C3E6D60"/>
    <w:rsid w:val="3C4D4524"/>
    <w:rsid w:val="3C5639DE"/>
    <w:rsid w:val="3C571C05"/>
    <w:rsid w:val="3C64352B"/>
    <w:rsid w:val="3C672E2C"/>
    <w:rsid w:val="3C764FC0"/>
    <w:rsid w:val="3C8D58BE"/>
    <w:rsid w:val="3C8E5FED"/>
    <w:rsid w:val="3C9E20B1"/>
    <w:rsid w:val="3CB53A65"/>
    <w:rsid w:val="3CC102AC"/>
    <w:rsid w:val="3CE360F2"/>
    <w:rsid w:val="3CEA5162"/>
    <w:rsid w:val="3CEE5C15"/>
    <w:rsid w:val="3CF46F06"/>
    <w:rsid w:val="3CF5496B"/>
    <w:rsid w:val="3D0B4E51"/>
    <w:rsid w:val="3D115586"/>
    <w:rsid w:val="3D197739"/>
    <w:rsid w:val="3D2B2775"/>
    <w:rsid w:val="3D422B64"/>
    <w:rsid w:val="3D500385"/>
    <w:rsid w:val="3D5A44CB"/>
    <w:rsid w:val="3D5A54B8"/>
    <w:rsid w:val="3D6025AF"/>
    <w:rsid w:val="3D647CD4"/>
    <w:rsid w:val="3D7B49B3"/>
    <w:rsid w:val="3D84454D"/>
    <w:rsid w:val="3D8D259B"/>
    <w:rsid w:val="3D8D2E74"/>
    <w:rsid w:val="3D940183"/>
    <w:rsid w:val="3D94569F"/>
    <w:rsid w:val="3DAD4BED"/>
    <w:rsid w:val="3DB328C2"/>
    <w:rsid w:val="3DCC12F0"/>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904009"/>
    <w:rsid w:val="3E996659"/>
    <w:rsid w:val="3E9E1FC0"/>
    <w:rsid w:val="3EA300A7"/>
    <w:rsid w:val="3EB93130"/>
    <w:rsid w:val="3EC3043C"/>
    <w:rsid w:val="3EC8242A"/>
    <w:rsid w:val="3EC8679C"/>
    <w:rsid w:val="3ED66E05"/>
    <w:rsid w:val="3EE5288B"/>
    <w:rsid w:val="3F027DD0"/>
    <w:rsid w:val="3F232D0D"/>
    <w:rsid w:val="3F2763A2"/>
    <w:rsid w:val="3F2E1337"/>
    <w:rsid w:val="3F2E2497"/>
    <w:rsid w:val="3F3303B1"/>
    <w:rsid w:val="3F4A339D"/>
    <w:rsid w:val="3F66563F"/>
    <w:rsid w:val="3F6E7773"/>
    <w:rsid w:val="3F7F1757"/>
    <w:rsid w:val="3F8E7BF9"/>
    <w:rsid w:val="3F9F1936"/>
    <w:rsid w:val="3FBF2FE8"/>
    <w:rsid w:val="3FDE02D2"/>
    <w:rsid w:val="3FFB6A4F"/>
    <w:rsid w:val="40016981"/>
    <w:rsid w:val="4002562A"/>
    <w:rsid w:val="400D69C0"/>
    <w:rsid w:val="401E0B4D"/>
    <w:rsid w:val="401E1F88"/>
    <w:rsid w:val="40266EE6"/>
    <w:rsid w:val="402D166A"/>
    <w:rsid w:val="40653402"/>
    <w:rsid w:val="40654256"/>
    <w:rsid w:val="406E2D1C"/>
    <w:rsid w:val="407A1956"/>
    <w:rsid w:val="407C3AE5"/>
    <w:rsid w:val="407F1C79"/>
    <w:rsid w:val="409171F4"/>
    <w:rsid w:val="40942BDE"/>
    <w:rsid w:val="409B660A"/>
    <w:rsid w:val="40A96AA7"/>
    <w:rsid w:val="40B04F11"/>
    <w:rsid w:val="40C27447"/>
    <w:rsid w:val="40CA627D"/>
    <w:rsid w:val="40D2308B"/>
    <w:rsid w:val="40D641E4"/>
    <w:rsid w:val="40DD7A15"/>
    <w:rsid w:val="41080CDA"/>
    <w:rsid w:val="411266A1"/>
    <w:rsid w:val="413362A7"/>
    <w:rsid w:val="414311A9"/>
    <w:rsid w:val="4149186F"/>
    <w:rsid w:val="415E7F1E"/>
    <w:rsid w:val="416136C1"/>
    <w:rsid w:val="4163168B"/>
    <w:rsid w:val="41645CF3"/>
    <w:rsid w:val="41684FED"/>
    <w:rsid w:val="41705CAC"/>
    <w:rsid w:val="41751899"/>
    <w:rsid w:val="417852FE"/>
    <w:rsid w:val="41792489"/>
    <w:rsid w:val="418718DD"/>
    <w:rsid w:val="41975AE6"/>
    <w:rsid w:val="419A0534"/>
    <w:rsid w:val="419B5637"/>
    <w:rsid w:val="41A50C0C"/>
    <w:rsid w:val="41A7672E"/>
    <w:rsid w:val="41AB30BD"/>
    <w:rsid w:val="41C16449"/>
    <w:rsid w:val="41EE6976"/>
    <w:rsid w:val="42101E16"/>
    <w:rsid w:val="4212294F"/>
    <w:rsid w:val="421337A1"/>
    <w:rsid w:val="422C1E62"/>
    <w:rsid w:val="422C3873"/>
    <w:rsid w:val="4238215D"/>
    <w:rsid w:val="42387696"/>
    <w:rsid w:val="42490980"/>
    <w:rsid w:val="426E0E54"/>
    <w:rsid w:val="42746CC9"/>
    <w:rsid w:val="42782D0E"/>
    <w:rsid w:val="42812BEB"/>
    <w:rsid w:val="42917131"/>
    <w:rsid w:val="42AE6B72"/>
    <w:rsid w:val="42B368EE"/>
    <w:rsid w:val="42BE31F4"/>
    <w:rsid w:val="42BF4A33"/>
    <w:rsid w:val="42CA3CDB"/>
    <w:rsid w:val="42E23496"/>
    <w:rsid w:val="42E87A95"/>
    <w:rsid w:val="42FB5048"/>
    <w:rsid w:val="43011432"/>
    <w:rsid w:val="431567DE"/>
    <w:rsid w:val="431B24E0"/>
    <w:rsid w:val="431F46B8"/>
    <w:rsid w:val="432129E2"/>
    <w:rsid w:val="432B0A09"/>
    <w:rsid w:val="43401591"/>
    <w:rsid w:val="43441DEB"/>
    <w:rsid w:val="4345375F"/>
    <w:rsid w:val="434B6E74"/>
    <w:rsid w:val="4357300A"/>
    <w:rsid w:val="43621BFB"/>
    <w:rsid w:val="43654953"/>
    <w:rsid w:val="43675239"/>
    <w:rsid w:val="437300B3"/>
    <w:rsid w:val="43756941"/>
    <w:rsid w:val="438028DB"/>
    <w:rsid w:val="43933756"/>
    <w:rsid w:val="439C453E"/>
    <w:rsid w:val="43B823A9"/>
    <w:rsid w:val="43BE6232"/>
    <w:rsid w:val="43D349E2"/>
    <w:rsid w:val="43D951C6"/>
    <w:rsid w:val="43D95633"/>
    <w:rsid w:val="43DA1716"/>
    <w:rsid w:val="44011F00"/>
    <w:rsid w:val="44057C4B"/>
    <w:rsid w:val="44062C0D"/>
    <w:rsid w:val="44174544"/>
    <w:rsid w:val="441C152A"/>
    <w:rsid w:val="44320154"/>
    <w:rsid w:val="44385C50"/>
    <w:rsid w:val="44415838"/>
    <w:rsid w:val="4449591C"/>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117BCB"/>
    <w:rsid w:val="45393FE2"/>
    <w:rsid w:val="453A3D5A"/>
    <w:rsid w:val="454B22CD"/>
    <w:rsid w:val="4556483C"/>
    <w:rsid w:val="455E543A"/>
    <w:rsid w:val="456526DC"/>
    <w:rsid w:val="456B6252"/>
    <w:rsid w:val="45830823"/>
    <w:rsid w:val="45862A66"/>
    <w:rsid w:val="45912560"/>
    <w:rsid w:val="45BA3A4B"/>
    <w:rsid w:val="45C168FC"/>
    <w:rsid w:val="45E42AD7"/>
    <w:rsid w:val="45E44565"/>
    <w:rsid w:val="45ED675F"/>
    <w:rsid w:val="45FE6567"/>
    <w:rsid w:val="46177320"/>
    <w:rsid w:val="461F1D4F"/>
    <w:rsid w:val="46226875"/>
    <w:rsid w:val="46317741"/>
    <w:rsid w:val="46383B0F"/>
    <w:rsid w:val="463A4532"/>
    <w:rsid w:val="464B7691"/>
    <w:rsid w:val="46510993"/>
    <w:rsid w:val="465E2B27"/>
    <w:rsid w:val="4660270E"/>
    <w:rsid w:val="46647097"/>
    <w:rsid w:val="4672717E"/>
    <w:rsid w:val="46792680"/>
    <w:rsid w:val="468A7785"/>
    <w:rsid w:val="46A80D82"/>
    <w:rsid w:val="46AD46D2"/>
    <w:rsid w:val="46B26810"/>
    <w:rsid w:val="46BB7BAE"/>
    <w:rsid w:val="46BF304B"/>
    <w:rsid w:val="46CB0396"/>
    <w:rsid w:val="46CB3B16"/>
    <w:rsid w:val="46E94533"/>
    <w:rsid w:val="46E97115"/>
    <w:rsid w:val="46EA34E6"/>
    <w:rsid w:val="46F20D65"/>
    <w:rsid w:val="46F575B9"/>
    <w:rsid w:val="46FF6008"/>
    <w:rsid w:val="470457E6"/>
    <w:rsid w:val="47185071"/>
    <w:rsid w:val="471861C1"/>
    <w:rsid w:val="472530E4"/>
    <w:rsid w:val="47307DD7"/>
    <w:rsid w:val="473C1E11"/>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F88"/>
    <w:rsid w:val="483510C7"/>
    <w:rsid w:val="48437C58"/>
    <w:rsid w:val="485C39F4"/>
    <w:rsid w:val="485F4BAA"/>
    <w:rsid w:val="4862142D"/>
    <w:rsid w:val="48626E30"/>
    <w:rsid w:val="48636ED0"/>
    <w:rsid w:val="48680479"/>
    <w:rsid w:val="487835F2"/>
    <w:rsid w:val="487C274E"/>
    <w:rsid w:val="48952A5D"/>
    <w:rsid w:val="489701E4"/>
    <w:rsid w:val="489C5552"/>
    <w:rsid w:val="48AB0568"/>
    <w:rsid w:val="48B23A8E"/>
    <w:rsid w:val="48C170BE"/>
    <w:rsid w:val="48CD0CC0"/>
    <w:rsid w:val="48D53C4F"/>
    <w:rsid w:val="48D949EA"/>
    <w:rsid w:val="48F73D54"/>
    <w:rsid w:val="49037C95"/>
    <w:rsid w:val="4905290C"/>
    <w:rsid w:val="49063785"/>
    <w:rsid w:val="490868B8"/>
    <w:rsid w:val="491C548A"/>
    <w:rsid w:val="491D1B81"/>
    <w:rsid w:val="4923371B"/>
    <w:rsid w:val="492F531F"/>
    <w:rsid w:val="492F6636"/>
    <w:rsid w:val="492F7E36"/>
    <w:rsid w:val="49405D5E"/>
    <w:rsid w:val="49561E92"/>
    <w:rsid w:val="495E66DA"/>
    <w:rsid w:val="496A1DB8"/>
    <w:rsid w:val="4971045B"/>
    <w:rsid w:val="4979031F"/>
    <w:rsid w:val="497976FA"/>
    <w:rsid w:val="4980571E"/>
    <w:rsid w:val="49833A3E"/>
    <w:rsid w:val="49896678"/>
    <w:rsid w:val="49AE68B8"/>
    <w:rsid w:val="49C60139"/>
    <w:rsid w:val="49C63B01"/>
    <w:rsid w:val="49E6704C"/>
    <w:rsid w:val="49EE6A1F"/>
    <w:rsid w:val="49EF23AD"/>
    <w:rsid w:val="49F14CC3"/>
    <w:rsid w:val="49F22F8E"/>
    <w:rsid w:val="49FD6413"/>
    <w:rsid w:val="4A087357"/>
    <w:rsid w:val="4A0C39A3"/>
    <w:rsid w:val="4A2F5C12"/>
    <w:rsid w:val="4A3D4FF8"/>
    <w:rsid w:val="4A3F629B"/>
    <w:rsid w:val="4A416D23"/>
    <w:rsid w:val="4A4C7AB7"/>
    <w:rsid w:val="4A546A31"/>
    <w:rsid w:val="4A691BA3"/>
    <w:rsid w:val="4A75264F"/>
    <w:rsid w:val="4A8622B6"/>
    <w:rsid w:val="4AA13962"/>
    <w:rsid w:val="4ADB40EF"/>
    <w:rsid w:val="4ADD4949"/>
    <w:rsid w:val="4AE86A3E"/>
    <w:rsid w:val="4AF7270C"/>
    <w:rsid w:val="4AF81756"/>
    <w:rsid w:val="4AFB4707"/>
    <w:rsid w:val="4B037587"/>
    <w:rsid w:val="4B0C10BD"/>
    <w:rsid w:val="4B33627A"/>
    <w:rsid w:val="4B356505"/>
    <w:rsid w:val="4B3A331C"/>
    <w:rsid w:val="4B3D32A5"/>
    <w:rsid w:val="4B503E7D"/>
    <w:rsid w:val="4B5526A6"/>
    <w:rsid w:val="4B6A739A"/>
    <w:rsid w:val="4B6B2FC4"/>
    <w:rsid w:val="4B816AF3"/>
    <w:rsid w:val="4B84080B"/>
    <w:rsid w:val="4BBA5C6F"/>
    <w:rsid w:val="4BC3761F"/>
    <w:rsid w:val="4BD62C17"/>
    <w:rsid w:val="4BEE2702"/>
    <w:rsid w:val="4BF1539E"/>
    <w:rsid w:val="4C0D69A5"/>
    <w:rsid w:val="4C114E73"/>
    <w:rsid w:val="4C1D41C6"/>
    <w:rsid w:val="4C276414"/>
    <w:rsid w:val="4C30348B"/>
    <w:rsid w:val="4C457E06"/>
    <w:rsid w:val="4C486022"/>
    <w:rsid w:val="4C533964"/>
    <w:rsid w:val="4C561AA4"/>
    <w:rsid w:val="4C5653EF"/>
    <w:rsid w:val="4C58759F"/>
    <w:rsid w:val="4C6E490F"/>
    <w:rsid w:val="4C7A3E0A"/>
    <w:rsid w:val="4C992C68"/>
    <w:rsid w:val="4C9A24A5"/>
    <w:rsid w:val="4CB4751A"/>
    <w:rsid w:val="4CD36081"/>
    <w:rsid w:val="4CD715B6"/>
    <w:rsid w:val="4CE34671"/>
    <w:rsid w:val="4CFE58B7"/>
    <w:rsid w:val="4D0D5045"/>
    <w:rsid w:val="4D241DA1"/>
    <w:rsid w:val="4D2C484A"/>
    <w:rsid w:val="4D6036C2"/>
    <w:rsid w:val="4D694853"/>
    <w:rsid w:val="4D6E3730"/>
    <w:rsid w:val="4D7D0B22"/>
    <w:rsid w:val="4D964BDE"/>
    <w:rsid w:val="4DA22F6F"/>
    <w:rsid w:val="4DA366F2"/>
    <w:rsid w:val="4DA82C5E"/>
    <w:rsid w:val="4DB90D53"/>
    <w:rsid w:val="4DC43E1F"/>
    <w:rsid w:val="4DCA651D"/>
    <w:rsid w:val="4DD455C4"/>
    <w:rsid w:val="4DEE1BA4"/>
    <w:rsid w:val="4DF85277"/>
    <w:rsid w:val="4DFC5B74"/>
    <w:rsid w:val="4E00643A"/>
    <w:rsid w:val="4E046187"/>
    <w:rsid w:val="4E1A5E9B"/>
    <w:rsid w:val="4E206385"/>
    <w:rsid w:val="4E220315"/>
    <w:rsid w:val="4E2B750E"/>
    <w:rsid w:val="4E5057CD"/>
    <w:rsid w:val="4E525C89"/>
    <w:rsid w:val="4E6C7842"/>
    <w:rsid w:val="4E716DD6"/>
    <w:rsid w:val="4E7D41EF"/>
    <w:rsid w:val="4E8743CF"/>
    <w:rsid w:val="4E8A19A2"/>
    <w:rsid w:val="4EA73499"/>
    <w:rsid w:val="4EAF6660"/>
    <w:rsid w:val="4EC112A5"/>
    <w:rsid w:val="4EC27DC2"/>
    <w:rsid w:val="4EC55A56"/>
    <w:rsid w:val="4ECD7A91"/>
    <w:rsid w:val="4EE33A64"/>
    <w:rsid w:val="4EE520BF"/>
    <w:rsid w:val="4EEC2511"/>
    <w:rsid w:val="4F05494C"/>
    <w:rsid w:val="4F0D50A9"/>
    <w:rsid w:val="4F11126D"/>
    <w:rsid w:val="4F1A62E3"/>
    <w:rsid w:val="4F20737B"/>
    <w:rsid w:val="4F254CD6"/>
    <w:rsid w:val="4F311C64"/>
    <w:rsid w:val="4F460289"/>
    <w:rsid w:val="4F474CB8"/>
    <w:rsid w:val="4F5D32F2"/>
    <w:rsid w:val="4F737BC5"/>
    <w:rsid w:val="4F8306AF"/>
    <w:rsid w:val="4F897829"/>
    <w:rsid w:val="4F970DE9"/>
    <w:rsid w:val="4F971FC4"/>
    <w:rsid w:val="4F985CD1"/>
    <w:rsid w:val="4FA5268C"/>
    <w:rsid w:val="4FC804D5"/>
    <w:rsid w:val="4FCC1A25"/>
    <w:rsid w:val="4FDD6723"/>
    <w:rsid w:val="4FF22676"/>
    <w:rsid w:val="4FFE1B06"/>
    <w:rsid w:val="50047F66"/>
    <w:rsid w:val="500A40D7"/>
    <w:rsid w:val="502138A5"/>
    <w:rsid w:val="505A67EB"/>
    <w:rsid w:val="50654940"/>
    <w:rsid w:val="50750658"/>
    <w:rsid w:val="50765757"/>
    <w:rsid w:val="508C15FC"/>
    <w:rsid w:val="50B63FD8"/>
    <w:rsid w:val="50BB47E0"/>
    <w:rsid w:val="50BD18A9"/>
    <w:rsid w:val="50C46BEE"/>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765FC"/>
    <w:rsid w:val="519A032B"/>
    <w:rsid w:val="519D4FB2"/>
    <w:rsid w:val="519E21FD"/>
    <w:rsid w:val="51AA50F9"/>
    <w:rsid w:val="51AF10C4"/>
    <w:rsid w:val="51B06B92"/>
    <w:rsid w:val="51B07591"/>
    <w:rsid w:val="51B43002"/>
    <w:rsid w:val="51BB1A11"/>
    <w:rsid w:val="51BD6C11"/>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E0E00"/>
    <w:rsid w:val="5270414C"/>
    <w:rsid w:val="52B224F0"/>
    <w:rsid w:val="52B41F04"/>
    <w:rsid w:val="52B6366E"/>
    <w:rsid w:val="52C660C9"/>
    <w:rsid w:val="52CF29D7"/>
    <w:rsid w:val="52D94139"/>
    <w:rsid w:val="52E3567F"/>
    <w:rsid w:val="52ED06D4"/>
    <w:rsid w:val="52F93FBF"/>
    <w:rsid w:val="53001BB3"/>
    <w:rsid w:val="530265E4"/>
    <w:rsid w:val="53143779"/>
    <w:rsid w:val="531B3817"/>
    <w:rsid w:val="53264D65"/>
    <w:rsid w:val="532931AC"/>
    <w:rsid w:val="532F0995"/>
    <w:rsid w:val="534555A6"/>
    <w:rsid w:val="53501B3A"/>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1233D7"/>
    <w:rsid w:val="5414737F"/>
    <w:rsid w:val="541C389D"/>
    <w:rsid w:val="541F29DD"/>
    <w:rsid w:val="5448592B"/>
    <w:rsid w:val="544C7BFD"/>
    <w:rsid w:val="545029C2"/>
    <w:rsid w:val="5450301F"/>
    <w:rsid w:val="5450471C"/>
    <w:rsid w:val="54644D9B"/>
    <w:rsid w:val="546A3A38"/>
    <w:rsid w:val="546E3ADE"/>
    <w:rsid w:val="54736A86"/>
    <w:rsid w:val="547651B8"/>
    <w:rsid w:val="54780EBC"/>
    <w:rsid w:val="547F33FC"/>
    <w:rsid w:val="548379B4"/>
    <w:rsid w:val="54A72293"/>
    <w:rsid w:val="54A91A03"/>
    <w:rsid w:val="54C2646B"/>
    <w:rsid w:val="54C72B03"/>
    <w:rsid w:val="54CC69D9"/>
    <w:rsid w:val="54CD0339"/>
    <w:rsid w:val="54D65F23"/>
    <w:rsid w:val="54E94703"/>
    <w:rsid w:val="54EA17CF"/>
    <w:rsid w:val="54EF0AAE"/>
    <w:rsid w:val="54F77F3B"/>
    <w:rsid w:val="54F9507D"/>
    <w:rsid w:val="55090AE5"/>
    <w:rsid w:val="5518442B"/>
    <w:rsid w:val="5522648E"/>
    <w:rsid w:val="55257673"/>
    <w:rsid w:val="552611B1"/>
    <w:rsid w:val="55316CD7"/>
    <w:rsid w:val="553271D3"/>
    <w:rsid w:val="55425E7B"/>
    <w:rsid w:val="554B700A"/>
    <w:rsid w:val="554F2666"/>
    <w:rsid w:val="556C60B3"/>
    <w:rsid w:val="55754E2B"/>
    <w:rsid w:val="55945D37"/>
    <w:rsid w:val="55AA0F8C"/>
    <w:rsid w:val="55C87E5B"/>
    <w:rsid w:val="55CD5E8D"/>
    <w:rsid w:val="55DB4561"/>
    <w:rsid w:val="55DC0F43"/>
    <w:rsid w:val="55EB1F25"/>
    <w:rsid w:val="55EE0C26"/>
    <w:rsid w:val="561A04E3"/>
    <w:rsid w:val="563E5AB2"/>
    <w:rsid w:val="563F540E"/>
    <w:rsid w:val="564C522B"/>
    <w:rsid w:val="56974290"/>
    <w:rsid w:val="56986987"/>
    <w:rsid w:val="56A44760"/>
    <w:rsid w:val="56A501F8"/>
    <w:rsid w:val="56B67C5D"/>
    <w:rsid w:val="56C055FC"/>
    <w:rsid w:val="56CC638C"/>
    <w:rsid w:val="56D3410E"/>
    <w:rsid w:val="56D51BC3"/>
    <w:rsid w:val="56DB67A7"/>
    <w:rsid w:val="56E556D3"/>
    <w:rsid w:val="56EF34E3"/>
    <w:rsid w:val="570D273C"/>
    <w:rsid w:val="571E1E61"/>
    <w:rsid w:val="573518D3"/>
    <w:rsid w:val="57501DED"/>
    <w:rsid w:val="575A1028"/>
    <w:rsid w:val="57634140"/>
    <w:rsid w:val="576524BB"/>
    <w:rsid w:val="57681EA3"/>
    <w:rsid w:val="577F5FA9"/>
    <w:rsid w:val="577F68C1"/>
    <w:rsid w:val="57812F5F"/>
    <w:rsid w:val="57A1557A"/>
    <w:rsid w:val="57C24C91"/>
    <w:rsid w:val="57D20CF9"/>
    <w:rsid w:val="57E70737"/>
    <w:rsid w:val="57EA2A94"/>
    <w:rsid w:val="57EE6662"/>
    <w:rsid w:val="57FC57BD"/>
    <w:rsid w:val="57FF6155"/>
    <w:rsid w:val="580140A6"/>
    <w:rsid w:val="580B6E3C"/>
    <w:rsid w:val="580C1C8E"/>
    <w:rsid w:val="580D7D81"/>
    <w:rsid w:val="58120B37"/>
    <w:rsid w:val="581E62DD"/>
    <w:rsid w:val="58291B84"/>
    <w:rsid w:val="58342026"/>
    <w:rsid w:val="585673E9"/>
    <w:rsid w:val="586A54CE"/>
    <w:rsid w:val="586C3CC6"/>
    <w:rsid w:val="58783CFA"/>
    <w:rsid w:val="587B52C1"/>
    <w:rsid w:val="588D4442"/>
    <w:rsid w:val="58951088"/>
    <w:rsid w:val="58990FC0"/>
    <w:rsid w:val="58A14C54"/>
    <w:rsid w:val="58A64233"/>
    <w:rsid w:val="58AF4435"/>
    <w:rsid w:val="58BB3DC0"/>
    <w:rsid w:val="58C07FBB"/>
    <w:rsid w:val="58CC1EB8"/>
    <w:rsid w:val="58D95B4A"/>
    <w:rsid w:val="58DD409B"/>
    <w:rsid w:val="58E236F3"/>
    <w:rsid w:val="5906339C"/>
    <w:rsid w:val="59131292"/>
    <w:rsid w:val="59232A72"/>
    <w:rsid w:val="5942577F"/>
    <w:rsid w:val="59511F8F"/>
    <w:rsid w:val="59580B22"/>
    <w:rsid w:val="596A0C5D"/>
    <w:rsid w:val="5988042A"/>
    <w:rsid w:val="599041ED"/>
    <w:rsid w:val="59912541"/>
    <w:rsid w:val="59924FF5"/>
    <w:rsid w:val="599817E8"/>
    <w:rsid w:val="59B56492"/>
    <w:rsid w:val="59C35ACF"/>
    <w:rsid w:val="59C53B23"/>
    <w:rsid w:val="59D65B05"/>
    <w:rsid w:val="5A02182B"/>
    <w:rsid w:val="5A0D509A"/>
    <w:rsid w:val="5A2400DF"/>
    <w:rsid w:val="5A285981"/>
    <w:rsid w:val="5A38069B"/>
    <w:rsid w:val="5A552EDD"/>
    <w:rsid w:val="5A64740A"/>
    <w:rsid w:val="5A664CCE"/>
    <w:rsid w:val="5A746011"/>
    <w:rsid w:val="5A8A5E83"/>
    <w:rsid w:val="5AA20ED6"/>
    <w:rsid w:val="5AA423B5"/>
    <w:rsid w:val="5AA708CA"/>
    <w:rsid w:val="5AAC551A"/>
    <w:rsid w:val="5AB37F0E"/>
    <w:rsid w:val="5AF17F45"/>
    <w:rsid w:val="5AF26392"/>
    <w:rsid w:val="5AF37DCE"/>
    <w:rsid w:val="5AFD5309"/>
    <w:rsid w:val="5B18306C"/>
    <w:rsid w:val="5B2327FE"/>
    <w:rsid w:val="5B273F35"/>
    <w:rsid w:val="5B2A28AF"/>
    <w:rsid w:val="5B2D4026"/>
    <w:rsid w:val="5B3B4BE1"/>
    <w:rsid w:val="5B5E6F93"/>
    <w:rsid w:val="5B6160B4"/>
    <w:rsid w:val="5B691244"/>
    <w:rsid w:val="5B7C1860"/>
    <w:rsid w:val="5B7F50BF"/>
    <w:rsid w:val="5B867F38"/>
    <w:rsid w:val="5B9207A8"/>
    <w:rsid w:val="5B9F7DAC"/>
    <w:rsid w:val="5BAC3A38"/>
    <w:rsid w:val="5BB77E50"/>
    <w:rsid w:val="5BBB37E1"/>
    <w:rsid w:val="5BBB3896"/>
    <w:rsid w:val="5BF22D70"/>
    <w:rsid w:val="5BF55195"/>
    <w:rsid w:val="5C0553DC"/>
    <w:rsid w:val="5C0C53F2"/>
    <w:rsid w:val="5C111495"/>
    <w:rsid w:val="5C165947"/>
    <w:rsid w:val="5C1739FF"/>
    <w:rsid w:val="5C182B40"/>
    <w:rsid w:val="5C3405B2"/>
    <w:rsid w:val="5C4863C1"/>
    <w:rsid w:val="5C61437B"/>
    <w:rsid w:val="5C6C3BD8"/>
    <w:rsid w:val="5C8C06C1"/>
    <w:rsid w:val="5C992D62"/>
    <w:rsid w:val="5CB02287"/>
    <w:rsid w:val="5CC24B59"/>
    <w:rsid w:val="5CCC5196"/>
    <w:rsid w:val="5CDF5473"/>
    <w:rsid w:val="5CEF6584"/>
    <w:rsid w:val="5CF71428"/>
    <w:rsid w:val="5D1773C9"/>
    <w:rsid w:val="5D34149D"/>
    <w:rsid w:val="5D3B5726"/>
    <w:rsid w:val="5D4601B1"/>
    <w:rsid w:val="5D494DBC"/>
    <w:rsid w:val="5D55588E"/>
    <w:rsid w:val="5D5A0839"/>
    <w:rsid w:val="5D67174C"/>
    <w:rsid w:val="5D703A41"/>
    <w:rsid w:val="5D7A5CAC"/>
    <w:rsid w:val="5D7B0085"/>
    <w:rsid w:val="5D7B50D7"/>
    <w:rsid w:val="5D811B5C"/>
    <w:rsid w:val="5DAB27C9"/>
    <w:rsid w:val="5DB46EC8"/>
    <w:rsid w:val="5DC22429"/>
    <w:rsid w:val="5DCB6A18"/>
    <w:rsid w:val="5DD371C8"/>
    <w:rsid w:val="5DDB0AAD"/>
    <w:rsid w:val="5DF84E51"/>
    <w:rsid w:val="5E156A90"/>
    <w:rsid w:val="5E211BF7"/>
    <w:rsid w:val="5E294CFC"/>
    <w:rsid w:val="5E3564A3"/>
    <w:rsid w:val="5E39617D"/>
    <w:rsid w:val="5E5A73BB"/>
    <w:rsid w:val="5E6572A9"/>
    <w:rsid w:val="5E6F4588"/>
    <w:rsid w:val="5E766ABA"/>
    <w:rsid w:val="5E790CA0"/>
    <w:rsid w:val="5E7945FC"/>
    <w:rsid w:val="5E930082"/>
    <w:rsid w:val="5EB351E3"/>
    <w:rsid w:val="5EB6009E"/>
    <w:rsid w:val="5EC43375"/>
    <w:rsid w:val="5ECB5E0F"/>
    <w:rsid w:val="5ED32946"/>
    <w:rsid w:val="5EE278D0"/>
    <w:rsid w:val="5F0E22EC"/>
    <w:rsid w:val="5F4C162A"/>
    <w:rsid w:val="5F5C4825"/>
    <w:rsid w:val="5F701D7B"/>
    <w:rsid w:val="5F727FC6"/>
    <w:rsid w:val="5F8874C5"/>
    <w:rsid w:val="5FA562EE"/>
    <w:rsid w:val="5FB67C3B"/>
    <w:rsid w:val="5FBA715C"/>
    <w:rsid w:val="5FBE789B"/>
    <w:rsid w:val="5FC469D3"/>
    <w:rsid w:val="5FD862BD"/>
    <w:rsid w:val="5FDD0F28"/>
    <w:rsid w:val="5FDE4C57"/>
    <w:rsid w:val="60085D90"/>
    <w:rsid w:val="60265BCA"/>
    <w:rsid w:val="603A2B07"/>
    <w:rsid w:val="6040415C"/>
    <w:rsid w:val="60414C70"/>
    <w:rsid w:val="6054527B"/>
    <w:rsid w:val="60613951"/>
    <w:rsid w:val="607F45F5"/>
    <w:rsid w:val="607F6BA2"/>
    <w:rsid w:val="608E4E60"/>
    <w:rsid w:val="609A3A92"/>
    <w:rsid w:val="60A35595"/>
    <w:rsid w:val="60A652C9"/>
    <w:rsid w:val="60A94626"/>
    <w:rsid w:val="60B3575F"/>
    <w:rsid w:val="60BE3971"/>
    <w:rsid w:val="60C36BAA"/>
    <w:rsid w:val="60D9563E"/>
    <w:rsid w:val="60DA02C2"/>
    <w:rsid w:val="60E471F1"/>
    <w:rsid w:val="60F600EF"/>
    <w:rsid w:val="60F864F0"/>
    <w:rsid w:val="610244AA"/>
    <w:rsid w:val="611304E9"/>
    <w:rsid w:val="61186287"/>
    <w:rsid w:val="613045F7"/>
    <w:rsid w:val="613C19CF"/>
    <w:rsid w:val="6145645F"/>
    <w:rsid w:val="614B50C1"/>
    <w:rsid w:val="61517443"/>
    <w:rsid w:val="61593AF6"/>
    <w:rsid w:val="61705093"/>
    <w:rsid w:val="618F5E5F"/>
    <w:rsid w:val="61B00A1E"/>
    <w:rsid w:val="61C44FB6"/>
    <w:rsid w:val="61CA606C"/>
    <w:rsid w:val="61D3123E"/>
    <w:rsid w:val="61D4596C"/>
    <w:rsid w:val="61DE243F"/>
    <w:rsid w:val="62006316"/>
    <w:rsid w:val="621A51B1"/>
    <w:rsid w:val="621B7911"/>
    <w:rsid w:val="62244482"/>
    <w:rsid w:val="622446F8"/>
    <w:rsid w:val="622C2A0D"/>
    <w:rsid w:val="62364403"/>
    <w:rsid w:val="62387CD2"/>
    <w:rsid w:val="62436960"/>
    <w:rsid w:val="62521D8C"/>
    <w:rsid w:val="625C6B16"/>
    <w:rsid w:val="625F53CD"/>
    <w:rsid w:val="62604FDE"/>
    <w:rsid w:val="62686E91"/>
    <w:rsid w:val="627B5880"/>
    <w:rsid w:val="6294124F"/>
    <w:rsid w:val="629C00D6"/>
    <w:rsid w:val="629F5000"/>
    <w:rsid w:val="62CA2E80"/>
    <w:rsid w:val="62D17676"/>
    <w:rsid w:val="62D32BA1"/>
    <w:rsid w:val="63027145"/>
    <w:rsid w:val="63075750"/>
    <w:rsid w:val="630E1549"/>
    <w:rsid w:val="631040EF"/>
    <w:rsid w:val="63147EC5"/>
    <w:rsid w:val="633571CC"/>
    <w:rsid w:val="633B709F"/>
    <w:rsid w:val="6348512C"/>
    <w:rsid w:val="634D0FFB"/>
    <w:rsid w:val="634D4E50"/>
    <w:rsid w:val="635A4FE5"/>
    <w:rsid w:val="635C7A8A"/>
    <w:rsid w:val="63607B63"/>
    <w:rsid w:val="636451F8"/>
    <w:rsid w:val="636655E8"/>
    <w:rsid w:val="63864396"/>
    <w:rsid w:val="63AC40B1"/>
    <w:rsid w:val="63AC7B01"/>
    <w:rsid w:val="63B069B7"/>
    <w:rsid w:val="63B96A14"/>
    <w:rsid w:val="63C85E2C"/>
    <w:rsid w:val="63D92960"/>
    <w:rsid w:val="63E35F3A"/>
    <w:rsid w:val="63EC4F0E"/>
    <w:rsid w:val="63FF4C2E"/>
    <w:rsid w:val="64104E63"/>
    <w:rsid w:val="6419743D"/>
    <w:rsid w:val="642D197F"/>
    <w:rsid w:val="64351649"/>
    <w:rsid w:val="64505561"/>
    <w:rsid w:val="6451172E"/>
    <w:rsid w:val="645B218B"/>
    <w:rsid w:val="646949A2"/>
    <w:rsid w:val="646A3946"/>
    <w:rsid w:val="64752152"/>
    <w:rsid w:val="64802D6E"/>
    <w:rsid w:val="6481537F"/>
    <w:rsid w:val="64A37A75"/>
    <w:rsid w:val="64B7696A"/>
    <w:rsid w:val="64BF2823"/>
    <w:rsid w:val="64D30230"/>
    <w:rsid w:val="64D81ED5"/>
    <w:rsid w:val="64D85ADD"/>
    <w:rsid w:val="64E45A26"/>
    <w:rsid w:val="64FA0716"/>
    <w:rsid w:val="65097286"/>
    <w:rsid w:val="650B4776"/>
    <w:rsid w:val="65182A1E"/>
    <w:rsid w:val="65194470"/>
    <w:rsid w:val="652900ED"/>
    <w:rsid w:val="65341AB7"/>
    <w:rsid w:val="653D34A1"/>
    <w:rsid w:val="654C0A01"/>
    <w:rsid w:val="654C400E"/>
    <w:rsid w:val="655C6B59"/>
    <w:rsid w:val="65686596"/>
    <w:rsid w:val="65931D3A"/>
    <w:rsid w:val="659822DD"/>
    <w:rsid w:val="65A3380C"/>
    <w:rsid w:val="65AF3DC5"/>
    <w:rsid w:val="65B44DD6"/>
    <w:rsid w:val="65D21F83"/>
    <w:rsid w:val="65D60201"/>
    <w:rsid w:val="65D95B4E"/>
    <w:rsid w:val="65E174B2"/>
    <w:rsid w:val="65F01AB4"/>
    <w:rsid w:val="65FE7F42"/>
    <w:rsid w:val="660B3DE6"/>
    <w:rsid w:val="66100967"/>
    <w:rsid w:val="6622278A"/>
    <w:rsid w:val="662720D2"/>
    <w:rsid w:val="663219D1"/>
    <w:rsid w:val="66376FAC"/>
    <w:rsid w:val="663A5586"/>
    <w:rsid w:val="665304C5"/>
    <w:rsid w:val="6653533F"/>
    <w:rsid w:val="665B5E5F"/>
    <w:rsid w:val="66646397"/>
    <w:rsid w:val="666D301C"/>
    <w:rsid w:val="669C06FE"/>
    <w:rsid w:val="669D0FFF"/>
    <w:rsid w:val="66A37B86"/>
    <w:rsid w:val="66B131AA"/>
    <w:rsid w:val="66B87247"/>
    <w:rsid w:val="66C1139D"/>
    <w:rsid w:val="66D00173"/>
    <w:rsid w:val="66D12486"/>
    <w:rsid w:val="66D4710B"/>
    <w:rsid w:val="66D87459"/>
    <w:rsid w:val="66DC5B3F"/>
    <w:rsid w:val="66E03F2D"/>
    <w:rsid w:val="66EB4340"/>
    <w:rsid w:val="66F81E55"/>
    <w:rsid w:val="67105321"/>
    <w:rsid w:val="67286393"/>
    <w:rsid w:val="67366086"/>
    <w:rsid w:val="67381AD5"/>
    <w:rsid w:val="675070A7"/>
    <w:rsid w:val="675E2286"/>
    <w:rsid w:val="676E7F3D"/>
    <w:rsid w:val="67704FAD"/>
    <w:rsid w:val="67740045"/>
    <w:rsid w:val="677436BA"/>
    <w:rsid w:val="677E4332"/>
    <w:rsid w:val="67836156"/>
    <w:rsid w:val="67A27CC2"/>
    <w:rsid w:val="67A60B9C"/>
    <w:rsid w:val="67AD0F3F"/>
    <w:rsid w:val="67C02813"/>
    <w:rsid w:val="67C5120B"/>
    <w:rsid w:val="67EA233A"/>
    <w:rsid w:val="67EF30B3"/>
    <w:rsid w:val="68061993"/>
    <w:rsid w:val="680D0939"/>
    <w:rsid w:val="68237FD2"/>
    <w:rsid w:val="68252054"/>
    <w:rsid w:val="68331294"/>
    <w:rsid w:val="68394CF3"/>
    <w:rsid w:val="684224C0"/>
    <w:rsid w:val="684557CE"/>
    <w:rsid w:val="68466D27"/>
    <w:rsid w:val="686A00C3"/>
    <w:rsid w:val="686D127F"/>
    <w:rsid w:val="687067F6"/>
    <w:rsid w:val="68741E62"/>
    <w:rsid w:val="6874371C"/>
    <w:rsid w:val="68747A3A"/>
    <w:rsid w:val="68802A41"/>
    <w:rsid w:val="689078F6"/>
    <w:rsid w:val="689304A0"/>
    <w:rsid w:val="68B729D2"/>
    <w:rsid w:val="68B93D81"/>
    <w:rsid w:val="68BC7885"/>
    <w:rsid w:val="68D1337E"/>
    <w:rsid w:val="68E3352F"/>
    <w:rsid w:val="68E65278"/>
    <w:rsid w:val="68EC04DE"/>
    <w:rsid w:val="68FC7FC0"/>
    <w:rsid w:val="69022832"/>
    <w:rsid w:val="69093CAF"/>
    <w:rsid w:val="690B7520"/>
    <w:rsid w:val="691200AE"/>
    <w:rsid w:val="69152147"/>
    <w:rsid w:val="69285AA8"/>
    <w:rsid w:val="6931256A"/>
    <w:rsid w:val="69317031"/>
    <w:rsid w:val="69647D29"/>
    <w:rsid w:val="697E74B0"/>
    <w:rsid w:val="6992357A"/>
    <w:rsid w:val="69AB1271"/>
    <w:rsid w:val="69B96038"/>
    <w:rsid w:val="69C76718"/>
    <w:rsid w:val="69CF00C0"/>
    <w:rsid w:val="69D85016"/>
    <w:rsid w:val="69DA61FE"/>
    <w:rsid w:val="69E67C99"/>
    <w:rsid w:val="69FD5302"/>
    <w:rsid w:val="6A0456C2"/>
    <w:rsid w:val="6A0A518E"/>
    <w:rsid w:val="6A0B1654"/>
    <w:rsid w:val="6A220495"/>
    <w:rsid w:val="6A305C56"/>
    <w:rsid w:val="6A441179"/>
    <w:rsid w:val="6A5318E5"/>
    <w:rsid w:val="6A6D40BC"/>
    <w:rsid w:val="6A817C93"/>
    <w:rsid w:val="6A83685F"/>
    <w:rsid w:val="6A871F0C"/>
    <w:rsid w:val="6A8D10DF"/>
    <w:rsid w:val="6A90546D"/>
    <w:rsid w:val="6AA320BF"/>
    <w:rsid w:val="6AB5211E"/>
    <w:rsid w:val="6ABF0E6A"/>
    <w:rsid w:val="6AC5220C"/>
    <w:rsid w:val="6AD97F5A"/>
    <w:rsid w:val="6AF42FD3"/>
    <w:rsid w:val="6B05038A"/>
    <w:rsid w:val="6B176BC8"/>
    <w:rsid w:val="6B2976D7"/>
    <w:rsid w:val="6B2B66DF"/>
    <w:rsid w:val="6B776695"/>
    <w:rsid w:val="6B782F1E"/>
    <w:rsid w:val="6B8829BB"/>
    <w:rsid w:val="6B8A0EE1"/>
    <w:rsid w:val="6B8B51C2"/>
    <w:rsid w:val="6B9A59AF"/>
    <w:rsid w:val="6BA076F0"/>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19354C"/>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D26A9"/>
    <w:rsid w:val="6CB561E6"/>
    <w:rsid w:val="6CC02E2E"/>
    <w:rsid w:val="6CD04B41"/>
    <w:rsid w:val="6CD96E67"/>
    <w:rsid w:val="6CE27AF9"/>
    <w:rsid w:val="6CE30221"/>
    <w:rsid w:val="6CF511CB"/>
    <w:rsid w:val="6CF83B19"/>
    <w:rsid w:val="6D001895"/>
    <w:rsid w:val="6D13356D"/>
    <w:rsid w:val="6D172F05"/>
    <w:rsid w:val="6D1B4843"/>
    <w:rsid w:val="6D242CB5"/>
    <w:rsid w:val="6D324CAD"/>
    <w:rsid w:val="6D347EA9"/>
    <w:rsid w:val="6D3A1767"/>
    <w:rsid w:val="6D3B587B"/>
    <w:rsid w:val="6D594AFC"/>
    <w:rsid w:val="6D696D90"/>
    <w:rsid w:val="6DAB236E"/>
    <w:rsid w:val="6DB60733"/>
    <w:rsid w:val="6DBB120B"/>
    <w:rsid w:val="6DBE1A43"/>
    <w:rsid w:val="6DCF476F"/>
    <w:rsid w:val="6DD2377C"/>
    <w:rsid w:val="6DF04651"/>
    <w:rsid w:val="6DF825E5"/>
    <w:rsid w:val="6E010E59"/>
    <w:rsid w:val="6E0D3650"/>
    <w:rsid w:val="6E282CF9"/>
    <w:rsid w:val="6E2D2C94"/>
    <w:rsid w:val="6E461B04"/>
    <w:rsid w:val="6E582A2C"/>
    <w:rsid w:val="6E6011F9"/>
    <w:rsid w:val="6E6E1524"/>
    <w:rsid w:val="6E7961A9"/>
    <w:rsid w:val="6E7E2890"/>
    <w:rsid w:val="6E825693"/>
    <w:rsid w:val="6E9270A8"/>
    <w:rsid w:val="6EA13BFA"/>
    <w:rsid w:val="6EC15B86"/>
    <w:rsid w:val="6EC15FF9"/>
    <w:rsid w:val="6EC543D7"/>
    <w:rsid w:val="6EC82F43"/>
    <w:rsid w:val="6EE54ACA"/>
    <w:rsid w:val="6EFF229C"/>
    <w:rsid w:val="6F1A2251"/>
    <w:rsid w:val="6F1A6D0C"/>
    <w:rsid w:val="6F231DFF"/>
    <w:rsid w:val="6F2A675D"/>
    <w:rsid w:val="6F844DBC"/>
    <w:rsid w:val="6F8715EB"/>
    <w:rsid w:val="6F8725F7"/>
    <w:rsid w:val="6F8C1686"/>
    <w:rsid w:val="6FAD579E"/>
    <w:rsid w:val="6FBD6232"/>
    <w:rsid w:val="6FC01F8F"/>
    <w:rsid w:val="6FDC1942"/>
    <w:rsid w:val="6FE06C43"/>
    <w:rsid w:val="6FE20202"/>
    <w:rsid w:val="6FEC283D"/>
    <w:rsid w:val="6FF93153"/>
    <w:rsid w:val="6FFA2C08"/>
    <w:rsid w:val="700C21C5"/>
    <w:rsid w:val="70246D82"/>
    <w:rsid w:val="702A275D"/>
    <w:rsid w:val="703D65DA"/>
    <w:rsid w:val="703F5BF3"/>
    <w:rsid w:val="704C260E"/>
    <w:rsid w:val="70543CE2"/>
    <w:rsid w:val="70561F0A"/>
    <w:rsid w:val="706458F5"/>
    <w:rsid w:val="707675BB"/>
    <w:rsid w:val="709D2DEC"/>
    <w:rsid w:val="709F20B3"/>
    <w:rsid w:val="70A01767"/>
    <w:rsid w:val="70AA46DF"/>
    <w:rsid w:val="70B82FD3"/>
    <w:rsid w:val="70B95679"/>
    <w:rsid w:val="70C224AB"/>
    <w:rsid w:val="70C432B4"/>
    <w:rsid w:val="70CC28E1"/>
    <w:rsid w:val="70CF4244"/>
    <w:rsid w:val="70D676F5"/>
    <w:rsid w:val="70DF7ED0"/>
    <w:rsid w:val="70EC65A4"/>
    <w:rsid w:val="70F82D59"/>
    <w:rsid w:val="710515F9"/>
    <w:rsid w:val="711606F7"/>
    <w:rsid w:val="71275730"/>
    <w:rsid w:val="713043DC"/>
    <w:rsid w:val="7136359B"/>
    <w:rsid w:val="714F1722"/>
    <w:rsid w:val="717179D7"/>
    <w:rsid w:val="7175261E"/>
    <w:rsid w:val="7175696F"/>
    <w:rsid w:val="7198256C"/>
    <w:rsid w:val="719C7B18"/>
    <w:rsid w:val="719E7939"/>
    <w:rsid w:val="71B95573"/>
    <w:rsid w:val="71BB5741"/>
    <w:rsid w:val="71C30E32"/>
    <w:rsid w:val="71CE7B26"/>
    <w:rsid w:val="71E0131C"/>
    <w:rsid w:val="71E02D3A"/>
    <w:rsid w:val="71EB7849"/>
    <w:rsid w:val="71EC1C07"/>
    <w:rsid w:val="71F24FB3"/>
    <w:rsid w:val="71F52906"/>
    <w:rsid w:val="720D1F2F"/>
    <w:rsid w:val="72256327"/>
    <w:rsid w:val="726D6FD7"/>
    <w:rsid w:val="727D4077"/>
    <w:rsid w:val="727E121A"/>
    <w:rsid w:val="72863AA7"/>
    <w:rsid w:val="728F7ACD"/>
    <w:rsid w:val="72943159"/>
    <w:rsid w:val="72953AF1"/>
    <w:rsid w:val="729B6C0B"/>
    <w:rsid w:val="72AD7075"/>
    <w:rsid w:val="72B20521"/>
    <w:rsid w:val="72B80B69"/>
    <w:rsid w:val="72C4162D"/>
    <w:rsid w:val="72DC7380"/>
    <w:rsid w:val="72DE30C9"/>
    <w:rsid w:val="72E328D4"/>
    <w:rsid w:val="72E43F2E"/>
    <w:rsid w:val="73150018"/>
    <w:rsid w:val="731F472C"/>
    <w:rsid w:val="73225980"/>
    <w:rsid w:val="734C1455"/>
    <w:rsid w:val="73691C33"/>
    <w:rsid w:val="7373536B"/>
    <w:rsid w:val="73770563"/>
    <w:rsid w:val="737C342A"/>
    <w:rsid w:val="737D37CC"/>
    <w:rsid w:val="738B6531"/>
    <w:rsid w:val="738C4998"/>
    <w:rsid w:val="73A24FAD"/>
    <w:rsid w:val="73AA47FB"/>
    <w:rsid w:val="73AD7669"/>
    <w:rsid w:val="73B04BCD"/>
    <w:rsid w:val="73B65D64"/>
    <w:rsid w:val="73B804F6"/>
    <w:rsid w:val="73BC476F"/>
    <w:rsid w:val="73D14BBF"/>
    <w:rsid w:val="73D36370"/>
    <w:rsid w:val="73E26FB6"/>
    <w:rsid w:val="73EC4687"/>
    <w:rsid w:val="73F932F6"/>
    <w:rsid w:val="73FD0584"/>
    <w:rsid w:val="74126BC0"/>
    <w:rsid w:val="74150779"/>
    <w:rsid w:val="74273790"/>
    <w:rsid w:val="74432E49"/>
    <w:rsid w:val="744732F4"/>
    <w:rsid w:val="744D309E"/>
    <w:rsid w:val="744D6CEA"/>
    <w:rsid w:val="745C1017"/>
    <w:rsid w:val="745C2583"/>
    <w:rsid w:val="746022ED"/>
    <w:rsid w:val="747B47C1"/>
    <w:rsid w:val="747B6FB9"/>
    <w:rsid w:val="748969B2"/>
    <w:rsid w:val="74A76C06"/>
    <w:rsid w:val="74B55A7D"/>
    <w:rsid w:val="74C11875"/>
    <w:rsid w:val="74C177D1"/>
    <w:rsid w:val="74D329FB"/>
    <w:rsid w:val="74D57736"/>
    <w:rsid w:val="74D76582"/>
    <w:rsid w:val="74E30911"/>
    <w:rsid w:val="74E41769"/>
    <w:rsid w:val="74FD6AF9"/>
    <w:rsid w:val="7505436A"/>
    <w:rsid w:val="750C6A6D"/>
    <w:rsid w:val="7514582F"/>
    <w:rsid w:val="75207767"/>
    <w:rsid w:val="754B359F"/>
    <w:rsid w:val="75514745"/>
    <w:rsid w:val="755334CE"/>
    <w:rsid w:val="756C77A6"/>
    <w:rsid w:val="75971833"/>
    <w:rsid w:val="759B4D4E"/>
    <w:rsid w:val="759E36E7"/>
    <w:rsid w:val="75A90395"/>
    <w:rsid w:val="75C24F30"/>
    <w:rsid w:val="75C42A34"/>
    <w:rsid w:val="75C97A4F"/>
    <w:rsid w:val="75CA29A8"/>
    <w:rsid w:val="75CA6FC2"/>
    <w:rsid w:val="75D0102D"/>
    <w:rsid w:val="75D72FE8"/>
    <w:rsid w:val="75D9071B"/>
    <w:rsid w:val="75DA0B91"/>
    <w:rsid w:val="75DD11C7"/>
    <w:rsid w:val="75F062A3"/>
    <w:rsid w:val="75F158D8"/>
    <w:rsid w:val="75FE1C7F"/>
    <w:rsid w:val="76044DBC"/>
    <w:rsid w:val="7608238C"/>
    <w:rsid w:val="76094850"/>
    <w:rsid w:val="762142B8"/>
    <w:rsid w:val="762A6911"/>
    <w:rsid w:val="762B7BC5"/>
    <w:rsid w:val="764A13AC"/>
    <w:rsid w:val="76504B2A"/>
    <w:rsid w:val="76515480"/>
    <w:rsid w:val="76601709"/>
    <w:rsid w:val="76742690"/>
    <w:rsid w:val="767D65DB"/>
    <w:rsid w:val="76830CCE"/>
    <w:rsid w:val="768D6682"/>
    <w:rsid w:val="7698178A"/>
    <w:rsid w:val="76CB270C"/>
    <w:rsid w:val="76D16297"/>
    <w:rsid w:val="76DD67D3"/>
    <w:rsid w:val="76E00191"/>
    <w:rsid w:val="76F529B8"/>
    <w:rsid w:val="773310E3"/>
    <w:rsid w:val="77511B2F"/>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B0788"/>
    <w:rsid w:val="77DA3B38"/>
    <w:rsid w:val="77DF0EAD"/>
    <w:rsid w:val="78102276"/>
    <w:rsid w:val="78164B46"/>
    <w:rsid w:val="784D556E"/>
    <w:rsid w:val="784E76DC"/>
    <w:rsid w:val="786A010A"/>
    <w:rsid w:val="787C42DD"/>
    <w:rsid w:val="788A5451"/>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2D38DD"/>
    <w:rsid w:val="793C27D0"/>
    <w:rsid w:val="79456D2F"/>
    <w:rsid w:val="79481F08"/>
    <w:rsid w:val="79496D88"/>
    <w:rsid w:val="794C1DA6"/>
    <w:rsid w:val="795874B4"/>
    <w:rsid w:val="7961710C"/>
    <w:rsid w:val="796226B7"/>
    <w:rsid w:val="798736BF"/>
    <w:rsid w:val="798813F5"/>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840CE"/>
    <w:rsid w:val="7A7F4BEA"/>
    <w:rsid w:val="7A865DC3"/>
    <w:rsid w:val="7A894151"/>
    <w:rsid w:val="7A975B0F"/>
    <w:rsid w:val="7A9C36A2"/>
    <w:rsid w:val="7AA9318C"/>
    <w:rsid w:val="7AB76C4F"/>
    <w:rsid w:val="7ABD6E5B"/>
    <w:rsid w:val="7AC330B7"/>
    <w:rsid w:val="7ACC2256"/>
    <w:rsid w:val="7ACE7B72"/>
    <w:rsid w:val="7ADB19DB"/>
    <w:rsid w:val="7ADC193F"/>
    <w:rsid w:val="7AE832A5"/>
    <w:rsid w:val="7B032391"/>
    <w:rsid w:val="7B036EB4"/>
    <w:rsid w:val="7B095ECF"/>
    <w:rsid w:val="7B0D3C52"/>
    <w:rsid w:val="7B12491B"/>
    <w:rsid w:val="7B1810CF"/>
    <w:rsid w:val="7B2C61C2"/>
    <w:rsid w:val="7B390BF2"/>
    <w:rsid w:val="7B4162C7"/>
    <w:rsid w:val="7B480D0D"/>
    <w:rsid w:val="7B4C7AD1"/>
    <w:rsid w:val="7B534E2D"/>
    <w:rsid w:val="7B591ED1"/>
    <w:rsid w:val="7B6302AC"/>
    <w:rsid w:val="7B683189"/>
    <w:rsid w:val="7B98535A"/>
    <w:rsid w:val="7BA83698"/>
    <w:rsid w:val="7BAE48FC"/>
    <w:rsid w:val="7BB83DF8"/>
    <w:rsid w:val="7BBA2E35"/>
    <w:rsid w:val="7BC45DE2"/>
    <w:rsid w:val="7BC76B4E"/>
    <w:rsid w:val="7BCC163B"/>
    <w:rsid w:val="7BD965EC"/>
    <w:rsid w:val="7BDF360D"/>
    <w:rsid w:val="7BE66796"/>
    <w:rsid w:val="7BFF4559"/>
    <w:rsid w:val="7C0827FE"/>
    <w:rsid w:val="7C1A756B"/>
    <w:rsid w:val="7C1B1028"/>
    <w:rsid w:val="7C226546"/>
    <w:rsid w:val="7C2B2034"/>
    <w:rsid w:val="7C3043FE"/>
    <w:rsid w:val="7C455132"/>
    <w:rsid w:val="7C4E1254"/>
    <w:rsid w:val="7C4F607B"/>
    <w:rsid w:val="7C54745D"/>
    <w:rsid w:val="7C556A53"/>
    <w:rsid w:val="7C583982"/>
    <w:rsid w:val="7C7D0B32"/>
    <w:rsid w:val="7C804B0D"/>
    <w:rsid w:val="7C8C5EFB"/>
    <w:rsid w:val="7CA31AB6"/>
    <w:rsid w:val="7CA4518D"/>
    <w:rsid w:val="7CBE5D37"/>
    <w:rsid w:val="7CD17149"/>
    <w:rsid w:val="7CD730F8"/>
    <w:rsid w:val="7CEF7B71"/>
    <w:rsid w:val="7D027F2A"/>
    <w:rsid w:val="7D061726"/>
    <w:rsid w:val="7D0A1A32"/>
    <w:rsid w:val="7D0C1069"/>
    <w:rsid w:val="7D0E4B5B"/>
    <w:rsid w:val="7D1B6EB8"/>
    <w:rsid w:val="7D33504E"/>
    <w:rsid w:val="7D362C54"/>
    <w:rsid w:val="7D363C81"/>
    <w:rsid w:val="7D3C08AA"/>
    <w:rsid w:val="7D4928DE"/>
    <w:rsid w:val="7D4C641E"/>
    <w:rsid w:val="7D5C493C"/>
    <w:rsid w:val="7D8605C7"/>
    <w:rsid w:val="7DAE540F"/>
    <w:rsid w:val="7DB07FBB"/>
    <w:rsid w:val="7DD535C7"/>
    <w:rsid w:val="7DD80B95"/>
    <w:rsid w:val="7DE75F71"/>
    <w:rsid w:val="7DEA41A0"/>
    <w:rsid w:val="7DF5241B"/>
    <w:rsid w:val="7DF7247F"/>
    <w:rsid w:val="7E0C5874"/>
    <w:rsid w:val="7E0D5730"/>
    <w:rsid w:val="7E1F2DD5"/>
    <w:rsid w:val="7E2A39F6"/>
    <w:rsid w:val="7E3C6DB1"/>
    <w:rsid w:val="7E4313B6"/>
    <w:rsid w:val="7E480690"/>
    <w:rsid w:val="7E6071B0"/>
    <w:rsid w:val="7E804FCB"/>
    <w:rsid w:val="7E8E42BF"/>
    <w:rsid w:val="7E90670A"/>
    <w:rsid w:val="7E9212CE"/>
    <w:rsid w:val="7E9552F4"/>
    <w:rsid w:val="7E971EEC"/>
    <w:rsid w:val="7EA6705B"/>
    <w:rsid w:val="7ED44F77"/>
    <w:rsid w:val="7ED544B5"/>
    <w:rsid w:val="7EDB49B6"/>
    <w:rsid w:val="7EF249D0"/>
    <w:rsid w:val="7F0D0F48"/>
    <w:rsid w:val="7F110E3B"/>
    <w:rsid w:val="7F1B5E8E"/>
    <w:rsid w:val="7F2E4552"/>
    <w:rsid w:val="7F3022EC"/>
    <w:rsid w:val="7F3360A4"/>
    <w:rsid w:val="7F3950C2"/>
    <w:rsid w:val="7F3A08BE"/>
    <w:rsid w:val="7F3A609B"/>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4">
    <w:name w:val="heading 2"/>
    <w:basedOn w:val="1"/>
    <w:next w:val="1"/>
    <w:link w:val="29"/>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outlineLvl w:val="2"/>
    </w:pPr>
    <w:rPr>
      <w:rFonts w:hint="eastAsia"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7">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8">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9">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0">
    <w:name w:val="annotation text"/>
    <w:basedOn w:val="1"/>
    <w:link w:val="68"/>
    <w:qFormat/>
    <w:uiPriority w:val="0"/>
  </w:style>
  <w:style w:type="paragraph" w:styleId="11">
    <w:name w:val="Body Text"/>
    <w:basedOn w:val="1"/>
    <w:next w:val="1"/>
    <w:qFormat/>
    <w:uiPriority w:val="0"/>
    <w:pPr>
      <w:spacing w:after="120"/>
    </w:pPr>
    <w:rPr>
      <w:rFonts w:ascii="Times New Roman"/>
    </w:rPr>
  </w:style>
  <w:style w:type="paragraph" w:styleId="12">
    <w:name w:val="Body Text Indent"/>
    <w:basedOn w:val="1"/>
    <w:qFormat/>
    <w:uiPriority w:val="0"/>
    <w:pPr>
      <w:ind w:firstLine="538" w:firstLineChars="168"/>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sz w:val="21"/>
    </w:rPr>
  </w:style>
  <w:style w:type="paragraph" w:styleId="14">
    <w:name w:val="Balloon Text"/>
    <w:basedOn w:val="1"/>
    <w:link w:val="72"/>
    <w:qFormat/>
    <w:uiPriority w:val="0"/>
    <w:pPr>
      <w:spacing w:line="240" w:lineRule="auto"/>
    </w:pPr>
    <w:rPr>
      <w:sz w:val="18"/>
      <w:szCs w:val="18"/>
    </w:rPr>
  </w:style>
  <w:style w:type="paragraph" w:styleId="15">
    <w:name w:val="footer"/>
    <w:basedOn w:val="1"/>
    <w:link w:val="28"/>
    <w:qFormat/>
    <w:uiPriority w:val="0"/>
    <w:pPr>
      <w:spacing w:line="240" w:lineRule="auto"/>
    </w:pPr>
    <w:rPr>
      <w:sz w:val="18"/>
      <w:szCs w:val="18"/>
    </w:rPr>
  </w:style>
  <w:style w:type="paragraph" w:styleId="16">
    <w:name w:val="header"/>
    <w:basedOn w:val="1"/>
    <w:link w:val="27"/>
    <w:qFormat/>
    <w:uiPriority w:val="0"/>
    <w:pPr>
      <w:pBdr>
        <w:bottom w:val="single" w:color="auto" w:sz="6" w:space="1"/>
      </w:pBdr>
      <w:wordWrap w:val="0"/>
      <w:topLinePunct/>
      <w:spacing w:line="240" w:lineRule="auto"/>
      <w:jc w:val="center"/>
    </w:pPr>
    <w:rPr>
      <w:sz w:val="18"/>
      <w:szCs w:val="18"/>
    </w:rPr>
  </w:style>
  <w:style w:type="paragraph" w:styleId="17">
    <w:name w:val="toc 2"/>
    <w:basedOn w:val="1"/>
    <w:next w:val="1"/>
    <w:qFormat/>
    <w:uiPriority w:val="0"/>
    <w:pPr>
      <w:wordWrap w:val="0"/>
      <w:topLinePunct/>
      <w:spacing w:line="400" w:lineRule="exact"/>
      <w:ind w:left="420" w:leftChars="200"/>
    </w:pPr>
    <w:rPr>
      <w:sz w:val="21"/>
    </w:rPr>
  </w:style>
  <w:style w:type="paragraph" w:styleId="18">
    <w:name w:val="Normal (Web)"/>
    <w:basedOn w:val="1"/>
    <w:qFormat/>
    <w:uiPriority w:val="0"/>
    <w:pPr>
      <w:spacing w:beforeAutospacing="1" w:afterAutospacing="1"/>
    </w:pPr>
    <w:rPr>
      <w:rFonts w:cs="Times New Roman"/>
      <w:kern w:val="0"/>
    </w:rPr>
  </w:style>
  <w:style w:type="paragraph" w:styleId="19">
    <w:name w:val="annotation subject"/>
    <w:basedOn w:val="10"/>
    <w:next w:val="10"/>
    <w:link w:val="69"/>
    <w:qFormat/>
    <w:uiPriority w:val="0"/>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0"/>
    <w:rPr>
      <w:color w:val="0000FF"/>
      <w:u w:val="single"/>
    </w:rPr>
  </w:style>
  <w:style w:type="character" w:styleId="24">
    <w:name w:val="annotation reference"/>
    <w:basedOn w:val="22"/>
    <w:qFormat/>
    <w:uiPriority w:val="0"/>
    <w:rPr>
      <w:sz w:val="21"/>
      <w:szCs w:val="21"/>
    </w:rPr>
  </w:style>
  <w:style w:type="paragraph" w:customStyle="1" w:styleId="25">
    <w:name w:val="标题 5（有编号）（绿盟科技）"/>
    <w:basedOn w:val="1"/>
    <w:next w:val="26"/>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7">
    <w:name w:val="页眉 字符"/>
    <w:basedOn w:val="22"/>
    <w:link w:val="16"/>
    <w:qFormat/>
    <w:uiPriority w:val="0"/>
    <w:rPr>
      <w:rFonts w:ascii="宋体" w:hAnsi="宋体" w:eastAsia="宋体" w:cstheme="minorBidi"/>
      <w:kern w:val="2"/>
      <w:sz w:val="18"/>
      <w:szCs w:val="18"/>
    </w:rPr>
  </w:style>
  <w:style w:type="character" w:customStyle="1" w:styleId="28">
    <w:name w:val="页脚 字符"/>
    <w:basedOn w:val="22"/>
    <w:link w:val="15"/>
    <w:qFormat/>
    <w:uiPriority w:val="0"/>
    <w:rPr>
      <w:rFonts w:ascii="宋体" w:hAnsi="宋体" w:eastAsia="宋体" w:cstheme="minorBidi"/>
      <w:kern w:val="2"/>
      <w:sz w:val="18"/>
      <w:szCs w:val="18"/>
    </w:rPr>
  </w:style>
  <w:style w:type="character" w:customStyle="1" w:styleId="29">
    <w:name w:val="标题 2 字符"/>
    <w:basedOn w:val="22"/>
    <w:link w:val="4"/>
    <w:qFormat/>
    <w:uiPriority w:val="0"/>
    <w:rPr>
      <w:rFonts w:ascii="Arial" w:hAnsi="Arial" w:eastAsia="黑体"/>
      <w:b/>
      <w:sz w:val="28"/>
    </w:rPr>
  </w:style>
  <w:style w:type="paragraph" w:customStyle="1" w:styleId="30">
    <w:name w:val="05、“(一)”正文三级标题"/>
    <w:basedOn w:val="1"/>
    <w:link w:val="55"/>
    <w:qFormat/>
    <w:uiPriority w:val="0"/>
    <w:pPr>
      <w:numPr>
        <w:ilvl w:val="1"/>
        <w:numId w:val="1"/>
      </w:numPr>
      <w:wordWrap w:val="0"/>
      <w:topLinePunct/>
      <w:ind w:firstLine="803" w:firstLineChars="200"/>
    </w:pPr>
  </w:style>
  <w:style w:type="paragraph" w:customStyle="1" w:styleId="31">
    <w:name w:val="00、封面正文(与其他内容无关的格式)"/>
    <w:basedOn w:val="1"/>
    <w:qFormat/>
    <w:uiPriority w:val="0"/>
  </w:style>
  <w:style w:type="paragraph" w:customStyle="1" w:styleId="32">
    <w:name w:val="15、“一、”二级标题"/>
    <w:basedOn w:val="1"/>
    <w:qFormat/>
    <w:uiPriority w:val="0"/>
    <w:pPr>
      <w:numPr>
        <w:ilvl w:val="1"/>
        <w:numId w:val="3"/>
      </w:numPr>
      <w:wordWrap w:val="0"/>
      <w:topLinePunct/>
      <w:ind w:firstLine="803" w:firstLineChars="200"/>
      <w:outlineLvl w:val="1"/>
    </w:pPr>
    <w:rPr>
      <w:b/>
    </w:rPr>
  </w:style>
  <w:style w:type="paragraph" w:customStyle="1" w:styleId="33">
    <w:name w:val="06、“1.”正文四级标题"/>
    <w:basedOn w:val="1"/>
    <w:link w:val="57"/>
    <w:qFormat/>
    <w:uiPriority w:val="0"/>
    <w:pPr>
      <w:numPr>
        <w:ilvl w:val="2"/>
        <w:numId w:val="1"/>
      </w:numPr>
      <w:wordWrap w:val="0"/>
      <w:topLinePunct/>
      <w:ind w:firstLine="803" w:firstLineChars="200"/>
    </w:pPr>
    <w:rPr>
      <w:snapToGrid w:val="0"/>
    </w:rPr>
  </w:style>
  <w:style w:type="paragraph" w:customStyle="1" w:styleId="34">
    <w:name w:val="07、“1.1”正文五级标题"/>
    <w:basedOn w:val="1"/>
    <w:link w:val="49"/>
    <w:qFormat/>
    <w:uiPriority w:val="0"/>
    <w:pPr>
      <w:numPr>
        <w:ilvl w:val="3"/>
        <w:numId w:val="1"/>
      </w:numPr>
      <w:ind w:firstLine="803" w:firstLineChars="200"/>
    </w:pPr>
  </w:style>
  <w:style w:type="paragraph" w:customStyle="1" w:styleId="35">
    <w:name w:val="08、“(1)”正文六级标题"/>
    <w:basedOn w:val="1"/>
    <w:link w:val="58"/>
    <w:qFormat/>
    <w:uiPriority w:val="0"/>
    <w:pPr>
      <w:numPr>
        <w:ilvl w:val="4"/>
        <w:numId w:val="1"/>
      </w:numPr>
      <w:ind w:firstLine="803" w:firstLineChars="200"/>
    </w:pPr>
    <w:rPr>
      <w:snapToGrid w:val="0"/>
    </w:rPr>
  </w:style>
  <w:style w:type="paragraph" w:customStyle="1" w:styleId="36">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37">
    <w:name w:val="10、“1.1”表格内二级标题"/>
    <w:basedOn w:val="1"/>
    <w:link w:val="48"/>
    <w:qFormat/>
    <w:uiPriority w:val="0"/>
    <w:pPr>
      <w:numPr>
        <w:ilvl w:val="1"/>
        <w:numId w:val="4"/>
      </w:numPr>
      <w:wordWrap w:val="0"/>
      <w:topLinePunct/>
      <w:spacing w:line="360" w:lineRule="exact"/>
      <w:ind w:left="48" w:leftChars="20"/>
    </w:pPr>
    <w:rPr>
      <w:snapToGrid w:val="0"/>
      <w:sz w:val="21"/>
    </w:rPr>
  </w:style>
  <w:style w:type="paragraph" w:customStyle="1" w:styleId="38">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39">
    <w:name w:val="12、表格内左对齐正文"/>
    <w:basedOn w:val="1"/>
    <w:link w:val="59"/>
    <w:qFormat/>
    <w:uiPriority w:val="0"/>
    <w:pPr>
      <w:wordWrap w:val="0"/>
      <w:topLinePunct/>
      <w:spacing w:line="360" w:lineRule="exact"/>
      <w:ind w:left="48" w:leftChars="20"/>
    </w:pPr>
    <w:rPr>
      <w:snapToGrid w:val="0"/>
      <w:sz w:val="21"/>
    </w:rPr>
  </w:style>
  <w:style w:type="paragraph" w:customStyle="1" w:styleId="40">
    <w:name w:val="01、普通正文"/>
    <w:basedOn w:val="1"/>
    <w:link w:val="53"/>
    <w:qFormat/>
    <w:uiPriority w:val="0"/>
    <w:pPr>
      <w:wordWrap w:val="0"/>
      <w:topLinePunct/>
    </w:pPr>
    <w:rPr>
      <w:snapToGrid w:val="0"/>
    </w:rPr>
  </w:style>
  <w:style w:type="paragraph" w:customStyle="1" w:styleId="41">
    <w:name w:val="20、第五章“(一)”三级标题"/>
    <w:basedOn w:val="40"/>
    <w:link w:val="50"/>
    <w:qFormat/>
    <w:uiPriority w:val="0"/>
    <w:pPr>
      <w:pageBreakBefore/>
      <w:numPr>
        <w:ilvl w:val="0"/>
        <w:numId w:val="5"/>
      </w:numPr>
      <w:spacing w:before="50" w:beforeLines="50" w:after="50" w:afterLines="50"/>
      <w:jc w:val="center"/>
      <w:outlineLvl w:val="2"/>
    </w:pPr>
    <w:rPr>
      <w:b/>
      <w:sz w:val="28"/>
    </w:rPr>
  </w:style>
  <w:style w:type="paragraph" w:customStyle="1" w:styleId="42">
    <w:name w:val="13、表格内居中正文"/>
    <w:basedOn w:val="1"/>
    <w:qFormat/>
    <w:uiPriority w:val="0"/>
    <w:pPr>
      <w:wordWrap w:val="0"/>
      <w:topLinePunct/>
      <w:spacing w:line="360" w:lineRule="exact"/>
      <w:jc w:val="center"/>
    </w:pPr>
    <w:rPr>
      <w:sz w:val="21"/>
    </w:rPr>
  </w:style>
  <w:style w:type="paragraph" w:customStyle="1" w:styleId="43">
    <w:name w:val="02、首行缩进2字符正文"/>
    <w:basedOn w:val="1"/>
    <w:link w:val="52"/>
    <w:qFormat/>
    <w:uiPriority w:val="0"/>
    <w:pPr>
      <w:wordWrap w:val="0"/>
      <w:topLinePunct/>
      <w:ind w:firstLine="480" w:firstLineChars="200"/>
    </w:pPr>
  </w:style>
  <w:style w:type="paragraph" w:customStyle="1" w:styleId="44">
    <w:name w:val="03、“注：”正文(加粗，首行缩进2字符)"/>
    <w:basedOn w:val="40"/>
    <w:link w:val="54"/>
    <w:qFormat/>
    <w:uiPriority w:val="0"/>
    <w:pPr>
      <w:ind w:firstLine="480" w:firstLineChars="200"/>
    </w:pPr>
    <w:rPr>
      <w:b/>
    </w:rPr>
  </w:style>
  <w:style w:type="paragraph" w:customStyle="1" w:styleId="45">
    <w:name w:val="14、“第一章”一级标题"/>
    <w:basedOn w:val="40"/>
    <w:qFormat/>
    <w:uiPriority w:val="0"/>
    <w:pPr>
      <w:numPr>
        <w:ilvl w:val="0"/>
        <w:numId w:val="3"/>
      </w:numPr>
      <w:spacing w:before="50" w:beforeLines="50" w:after="50" w:afterLines="50" w:line="240" w:lineRule="auto"/>
      <w:jc w:val="center"/>
      <w:outlineLvl w:val="0"/>
    </w:pPr>
    <w:rPr>
      <w:b/>
      <w:sz w:val="36"/>
    </w:rPr>
  </w:style>
  <w:style w:type="paragraph" w:customStyle="1" w:styleId="46">
    <w:name w:val="16、“(一)”三级标题"/>
    <w:basedOn w:val="40"/>
    <w:link w:val="51"/>
    <w:qFormat/>
    <w:uiPriority w:val="0"/>
    <w:pPr>
      <w:numPr>
        <w:ilvl w:val="2"/>
        <w:numId w:val="3"/>
      </w:numPr>
      <w:ind w:firstLine="803" w:firstLineChars="200"/>
      <w:outlineLvl w:val="2"/>
    </w:pPr>
    <w:rPr>
      <w:b/>
    </w:rPr>
  </w:style>
  <w:style w:type="paragraph" w:customStyle="1" w:styleId="47">
    <w:name w:val="04“一、”正文二级标题"/>
    <w:basedOn w:val="40"/>
    <w:link w:val="56"/>
    <w:qFormat/>
    <w:uiPriority w:val="0"/>
    <w:pPr>
      <w:ind w:firstLine="803" w:firstLineChars="200"/>
    </w:pPr>
  </w:style>
  <w:style w:type="character" w:customStyle="1" w:styleId="48">
    <w:name w:val="10、“1.1”表格内二级标题 Char"/>
    <w:link w:val="37"/>
    <w:qFormat/>
    <w:uiPriority w:val="0"/>
    <w:rPr>
      <w:rFonts w:ascii="宋体" w:hAnsi="宋体" w:eastAsia="宋体"/>
      <w:snapToGrid w:val="0"/>
      <w:sz w:val="21"/>
    </w:rPr>
  </w:style>
  <w:style w:type="character" w:customStyle="1" w:styleId="49">
    <w:name w:val="07、“1.1”正文五级标题 Char"/>
    <w:link w:val="34"/>
    <w:qFormat/>
    <w:uiPriority w:val="0"/>
    <w:rPr>
      <w:rFonts w:ascii="宋体" w:hAnsi="宋体" w:eastAsia="宋体"/>
    </w:rPr>
  </w:style>
  <w:style w:type="character" w:customStyle="1" w:styleId="50">
    <w:name w:val="18、第三章“(一)”三级标题 Char"/>
    <w:link w:val="41"/>
    <w:qFormat/>
    <w:uiPriority w:val="0"/>
    <w:rPr>
      <w:rFonts w:ascii="宋体" w:hAnsi="宋体" w:eastAsia="宋体"/>
      <w:b/>
      <w:sz w:val="28"/>
    </w:rPr>
  </w:style>
  <w:style w:type="character" w:customStyle="1" w:styleId="51">
    <w:name w:val="16、“(一)”三级标题 Char"/>
    <w:link w:val="46"/>
    <w:qFormat/>
    <w:uiPriority w:val="0"/>
    <w:rPr>
      <w:rFonts w:ascii="宋体" w:hAnsi="宋体" w:eastAsia="宋体"/>
      <w:b/>
    </w:rPr>
  </w:style>
  <w:style w:type="character" w:customStyle="1" w:styleId="52">
    <w:name w:val="02、首行缩进2字符正文 Char"/>
    <w:link w:val="43"/>
    <w:qFormat/>
    <w:uiPriority w:val="0"/>
    <w:rPr>
      <w:rFonts w:ascii="宋体" w:hAnsi="宋体" w:eastAsia="宋体"/>
    </w:rPr>
  </w:style>
  <w:style w:type="character" w:customStyle="1" w:styleId="53">
    <w:name w:val="01、普通正文 Char"/>
    <w:link w:val="40"/>
    <w:qFormat/>
    <w:uiPriority w:val="0"/>
    <w:rPr>
      <w:rFonts w:ascii="宋体" w:hAnsi="宋体" w:eastAsia="宋体"/>
      <w:snapToGrid w:val="0"/>
    </w:rPr>
  </w:style>
  <w:style w:type="character" w:customStyle="1" w:styleId="54">
    <w:name w:val="03、“注：”正文(加粗，首行缩进2字符) Char"/>
    <w:link w:val="44"/>
    <w:qFormat/>
    <w:uiPriority w:val="0"/>
    <w:rPr>
      <w:b/>
    </w:rPr>
  </w:style>
  <w:style w:type="character" w:customStyle="1" w:styleId="55">
    <w:name w:val="05、“(一)”正文三级标题 Char"/>
    <w:link w:val="30"/>
    <w:qFormat/>
    <w:uiPriority w:val="0"/>
    <w:rPr>
      <w:rFonts w:ascii="宋体" w:hAnsi="宋体" w:eastAsia="宋体"/>
    </w:rPr>
  </w:style>
  <w:style w:type="character" w:customStyle="1" w:styleId="56">
    <w:name w:val="04“一、”正文二级标题 Char"/>
    <w:link w:val="47"/>
    <w:qFormat/>
    <w:uiPriority w:val="0"/>
  </w:style>
  <w:style w:type="character" w:customStyle="1" w:styleId="57">
    <w:name w:val="06、“1.”正文四级标题 Char"/>
    <w:link w:val="33"/>
    <w:qFormat/>
    <w:uiPriority w:val="0"/>
    <w:rPr>
      <w:rFonts w:ascii="宋体" w:hAnsi="宋体" w:eastAsia="宋体"/>
      <w:snapToGrid w:val="0"/>
    </w:rPr>
  </w:style>
  <w:style w:type="character" w:customStyle="1" w:styleId="58">
    <w:name w:val="08、“(1)”正文六级标题 Char"/>
    <w:link w:val="35"/>
    <w:qFormat/>
    <w:uiPriority w:val="0"/>
    <w:rPr>
      <w:rFonts w:ascii="宋体" w:hAnsi="宋体" w:eastAsia="宋体"/>
      <w:snapToGrid w:val="0"/>
    </w:rPr>
  </w:style>
  <w:style w:type="character" w:customStyle="1" w:styleId="59">
    <w:name w:val="12、表格内左对齐正文 Char"/>
    <w:link w:val="39"/>
    <w:qFormat/>
    <w:uiPriority w:val="0"/>
    <w:rPr>
      <w:rFonts w:ascii="宋体" w:hAnsi="宋体" w:eastAsia="宋体"/>
      <w:snapToGrid w:val="0"/>
      <w:sz w:val="21"/>
    </w:rPr>
  </w:style>
  <w:style w:type="paragraph" w:customStyle="1" w:styleId="60">
    <w:name w:val="17“1.”四级标题"/>
    <w:basedOn w:val="43"/>
    <w:link w:val="64"/>
    <w:qFormat/>
    <w:uiPriority w:val="0"/>
    <w:pPr>
      <w:numPr>
        <w:ilvl w:val="3"/>
        <w:numId w:val="3"/>
      </w:numPr>
      <w:ind w:firstLine="803"/>
    </w:pPr>
  </w:style>
  <w:style w:type="paragraph" w:customStyle="1" w:styleId="61">
    <w:name w:val="18、“1.1”五级标题"/>
    <w:basedOn w:val="60"/>
    <w:qFormat/>
    <w:uiPriority w:val="0"/>
    <w:pPr>
      <w:numPr>
        <w:ilvl w:val="4"/>
      </w:numPr>
      <w:ind w:firstLine="803"/>
    </w:pPr>
  </w:style>
  <w:style w:type="paragraph" w:customStyle="1" w:styleId="62">
    <w:name w:val="19、“(1)”六级标题"/>
    <w:basedOn w:val="60"/>
    <w:qFormat/>
    <w:uiPriority w:val="0"/>
    <w:pPr>
      <w:numPr>
        <w:ilvl w:val="5"/>
      </w:numPr>
      <w:ind w:firstLine="803"/>
    </w:pPr>
  </w:style>
  <w:style w:type="paragraph" w:customStyle="1" w:styleId="63">
    <w:name w:val="21、合同二级标题序号"/>
    <w:basedOn w:val="40"/>
    <w:qFormat/>
    <w:uiPriority w:val="0"/>
    <w:pPr>
      <w:numPr>
        <w:ilvl w:val="0"/>
        <w:numId w:val="6"/>
      </w:numPr>
      <w:ind w:firstLine="803" w:firstLineChars="200"/>
      <w:outlineLvl w:val="1"/>
    </w:pPr>
    <w:rPr>
      <w:b/>
    </w:rPr>
  </w:style>
  <w:style w:type="character" w:customStyle="1" w:styleId="64">
    <w:name w:val="17“1.”四级标题 Char"/>
    <w:link w:val="60"/>
    <w:qFormat/>
    <w:uiPriority w:val="0"/>
    <w:rPr>
      <w:rFonts w:ascii="宋体" w:hAnsi="宋体" w:eastAsia="宋体"/>
    </w:rPr>
  </w:style>
  <w:style w:type="paragraph" w:customStyle="1" w:styleId="65">
    <w:name w:val="正文首行缩进两字符"/>
    <w:basedOn w:val="1"/>
    <w:qFormat/>
    <w:uiPriority w:val="0"/>
    <w:pPr>
      <w:spacing w:line="360" w:lineRule="auto"/>
      <w:ind w:firstLine="200" w:firstLineChars="200"/>
      <w:jc w:val="both"/>
    </w:pPr>
    <w:rPr>
      <w:sz w:val="21"/>
      <w:szCs w:val="20"/>
    </w:rPr>
  </w:style>
  <w:style w:type="paragraph" w:customStyle="1" w:styleId="66">
    <w:name w:val="样式 首行缩进:  2 字符"/>
    <w:basedOn w:val="1"/>
    <w:qFormat/>
    <w:uiPriority w:val="0"/>
    <w:pPr>
      <w:ind w:firstLine="420" w:firstLineChars="200"/>
      <w:jc w:val="both"/>
    </w:pPr>
    <w:rPr>
      <w:rFonts w:cs="宋体"/>
      <w:sz w:val="21"/>
      <w:szCs w:val="20"/>
    </w:rPr>
  </w:style>
  <w:style w:type="paragraph" w:customStyle="1" w:styleId="67">
    <w:name w:val="Revision"/>
    <w:hidden/>
    <w:semiHidden/>
    <w:qFormat/>
    <w:uiPriority w:val="99"/>
    <w:rPr>
      <w:rFonts w:ascii="宋体" w:hAnsi="宋体" w:eastAsia="宋体" w:cstheme="minorBidi"/>
      <w:kern w:val="2"/>
      <w:sz w:val="24"/>
      <w:szCs w:val="24"/>
      <w:lang w:val="en-US" w:eastAsia="zh-CN" w:bidi="ar-SA"/>
    </w:rPr>
  </w:style>
  <w:style w:type="character" w:customStyle="1" w:styleId="68">
    <w:name w:val="批注文字 字符"/>
    <w:basedOn w:val="22"/>
    <w:link w:val="10"/>
    <w:qFormat/>
    <w:uiPriority w:val="0"/>
    <w:rPr>
      <w:rFonts w:ascii="宋体" w:hAnsi="宋体" w:cstheme="minorBidi"/>
      <w:kern w:val="2"/>
      <w:sz w:val="24"/>
      <w:szCs w:val="24"/>
    </w:rPr>
  </w:style>
  <w:style w:type="character" w:customStyle="1" w:styleId="69">
    <w:name w:val="批注主题 字符"/>
    <w:basedOn w:val="68"/>
    <w:link w:val="19"/>
    <w:qFormat/>
    <w:uiPriority w:val="0"/>
    <w:rPr>
      <w:rFonts w:ascii="宋体" w:hAnsi="宋体" w:cstheme="minorBidi"/>
      <w:b/>
      <w:bCs/>
      <w:kern w:val="2"/>
      <w:sz w:val="24"/>
      <w:szCs w:val="24"/>
    </w:rPr>
  </w:style>
  <w:style w:type="paragraph" w:customStyle="1" w:styleId="70">
    <w:name w:val="Char Char Char"/>
    <w:basedOn w:val="1"/>
    <w:qFormat/>
    <w:uiPriority w:val="0"/>
    <w:pPr>
      <w:tabs>
        <w:tab w:val="clear" w:pos="0"/>
      </w:tabs>
      <w:adjustRightInd/>
      <w:snapToGrid/>
      <w:spacing w:line="240" w:lineRule="auto"/>
      <w:jc w:val="both"/>
    </w:pPr>
    <w:rPr>
      <w:rFonts w:ascii="Times New Roman" w:hAnsi="Times New Roman" w:cs="Times New Roman"/>
      <w:sz w:val="21"/>
    </w:rPr>
  </w:style>
  <w:style w:type="paragraph" w:customStyle="1" w:styleId="71">
    <w:name w:val="Char Char Char1"/>
    <w:basedOn w:val="1"/>
    <w:qFormat/>
    <w:uiPriority w:val="0"/>
    <w:pPr>
      <w:tabs>
        <w:tab w:val="clear" w:pos="0"/>
      </w:tabs>
      <w:adjustRightInd/>
      <w:snapToGrid/>
      <w:spacing w:line="240" w:lineRule="auto"/>
      <w:jc w:val="both"/>
    </w:pPr>
    <w:rPr>
      <w:rFonts w:ascii="Times New Roman" w:hAnsi="Times New Roman" w:cs="Times New Roman"/>
      <w:sz w:val="21"/>
    </w:rPr>
  </w:style>
  <w:style w:type="character" w:customStyle="1" w:styleId="72">
    <w:name w:val="批注框文本 字符"/>
    <w:basedOn w:val="22"/>
    <w:link w:val="14"/>
    <w:qFormat/>
    <w:uiPriority w:val="0"/>
    <w:rPr>
      <w:rFonts w:ascii="宋体" w:hAnsi="宋体" w:cstheme="minorBidi"/>
      <w:kern w:val="2"/>
      <w:sz w:val="18"/>
      <w:szCs w:val="18"/>
    </w:rPr>
  </w:style>
  <w:style w:type="paragraph" w:styleId="7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GIF"/><Relationship Id="rId15" Type="http://schemas.openxmlformats.org/officeDocument/2006/relationships/image" Target="media/image1.GI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F346A8-F4C5-4490-855B-EA397ED6A0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100</Pages>
  <Words>55861</Words>
  <Characters>57891</Characters>
  <Lines>537</Lines>
  <Paragraphs>151</Paragraphs>
  <TotalTime>2</TotalTime>
  <ScaleCrop>false</ScaleCrop>
  <LinksUpToDate>false</LinksUpToDate>
  <CharactersWithSpaces>61474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2021-05-13T05:37:00Z</dcterms:created>
  <dc:creator>wxy</dc:creator>
  <cp:lastModifiedBy>欧阳雪Monster</cp:lastModifiedBy>
  <cp:lastPrinted>2021-06-18T05:12:00Z</cp:lastPrinted>
  <dcterms:modified xsi:type="dcterms:W3CDTF">2021-07-09T07:12:44Z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432618696_btnclosed</vt:lpwstr>
  </property>
  <property fmtid="{D5CDD505-2E9C-101B-9397-08002B2CF9AE}" pid="4" name="ICV">
    <vt:lpwstr>C6514C4DAC0A4B5F96C779B9F0B4EEC5</vt:lpwstr>
  </property>
</Properties>
</file>