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 w:afterLines="10" w:line="360" w:lineRule="auto"/>
        <w:rPr>
          <w:rFonts w:hint="eastAsia" w:hAnsi="宋体" w:eastAsia="宋体" w:cs="宋体"/>
          <w:b/>
          <w:bCs/>
          <w:color w:val="auto"/>
          <w:sz w:val="32"/>
          <w:szCs w:val="21"/>
          <w:highlight w:val="none"/>
          <w:lang w:eastAsia="zh-CN"/>
        </w:rPr>
      </w:pPr>
      <w:bookmarkStart w:id="0" w:name="_Toc5725"/>
      <w:bookmarkStart w:id="1" w:name="_Toc578"/>
      <w:r>
        <w:rPr>
          <w:rFonts w:hint="eastAsia" w:hAnsi="宋体" w:cs="宋体"/>
          <w:b/>
          <w:bCs/>
          <w:color w:val="auto"/>
          <w:sz w:val="32"/>
          <w:szCs w:val="21"/>
          <w:highlight w:val="none"/>
        </w:rPr>
        <w:t>项目编号：</w:t>
      </w:r>
    </w:p>
    <w:p>
      <w:pPr>
        <w:spacing w:beforeLines="10" w:afterLines="10" w:line="360" w:lineRule="auto"/>
        <w:ind w:left="1606" w:hanging="1606" w:hangingChars="500"/>
        <w:rPr>
          <w:rFonts w:hint="eastAsia" w:hAnsi="宋体" w:eastAsia="宋体" w:cs="宋体"/>
          <w:b/>
          <w:bCs/>
          <w:color w:val="auto"/>
          <w:sz w:val="32"/>
          <w:szCs w:val="21"/>
          <w:highlight w:val="none"/>
          <w:lang w:eastAsia="zh-CN"/>
        </w:rPr>
      </w:pPr>
      <w:r>
        <w:rPr>
          <w:rFonts w:hint="eastAsia" w:hAnsi="宋体" w:cs="宋体"/>
          <w:b/>
          <w:bCs/>
          <w:color w:val="auto"/>
          <w:sz w:val="32"/>
          <w:szCs w:val="21"/>
          <w:highlight w:val="none"/>
        </w:rPr>
        <w:t>项目名称：</w:t>
      </w:r>
      <w:r>
        <w:rPr>
          <w:rFonts w:hint="eastAsia" w:hAnsi="宋体" w:cs="宋体"/>
          <w:b/>
          <w:bCs/>
          <w:color w:val="auto"/>
          <w:sz w:val="32"/>
          <w:szCs w:val="21"/>
          <w:highlight w:val="none"/>
          <w:lang w:eastAsia="zh-CN"/>
        </w:rPr>
        <w:t>经开区应急污水处理站延期服务采购项目</w:t>
      </w:r>
    </w:p>
    <w:p>
      <w:pPr>
        <w:pStyle w:val="22"/>
        <w:rPr>
          <w:rFonts w:hAnsi="宋体" w:cs="宋体"/>
          <w:b/>
          <w:bCs/>
          <w:color w:val="auto"/>
          <w:sz w:val="52"/>
          <w:szCs w:val="52"/>
          <w:highlight w:val="none"/>
        </w:rPr>
      </w:pPr>
    </w:p>
    <w:p>
      <w:pPr>
        <w:rPr>
          <w:color w:val="auto"/>
          <w:highlight w:val="none"/>
        </w:rPr>
      </w:pPr>
    </w:p>
    <w:p>
      <w:pPr>
        <w:spacing w:line="360" w:lineRule="auto"/>
        <w:jc w:val="center"/>
        <w:rPr>
          <w:rFonts w:hAnsi="宋体" w:cs="宋体"/>
          <w:b/>
          <w:bCs/>
          <w:color w:val="auto"/>
          <w:sz w:val="52"/>
          <w:szCs w:val="52"/>
          <w:highlight w:val="none"/>
        </w:rPr>
      </w:pPr>
    </w:p>
    <w:p>
      <w:pPr>
        <w:jc w:val="center"/>
        <w:rPr>
          <w:color w:val="auto"/>
          <w:highlight w:val="none"/>
        </w:rPr>
      </w:pPr>
      <w:r>
        <w:rPr>
          <w:rFonts w:hint="eastAsia" w:hAnsi="宋体" w:cs="宋体"/>
          <w:b/>
          <w:color w:val="auto"/>
          <w:sz w:val="96"/>
          <w:szCs w:val="21"/>
          <w:highlight w:val="none"/>
        </w:rPr>
        <w:t>招 标 文 件</w:t>
      </w:r>
    </w:p>
    <w:p>
      <w:pPr>
        <w:rPr>
          <w:rFonts w:hAnsi="宋体" w:cs="宋体"/>
          <w:b/>
          <w:color w:val="auto"/>
          <w:sz w:val="52"/>
          <w:highlight w:val="none"/>
        </w:rPr>
      </w:pPr>
    </w:p>
    <w:p>
      <w:pPr>
        <w:spacing w:beforeLines="10" w:afterLines="10"/>
        <w:jc w:val="center"/>
        <w:rPr>
          <w:rFonts w:hAnsi="宋体" w:cs="宋体"/>
          <w:b/>
          <w:bCs/>
          <w:color w:val="auto"/>
          <w:sz w:val="36"/>
          <w:highlight w:val="none"/>
        </w:rPr>
      </w:pPr>
    </w:p>
    <w:p>
      <w:pPr>
        <w:pStyle w:val="22"/>
        <w:rPr>
          <w:color w:val="auto"/>
          <w:highlight w:val="none"/>
        </w:rPr>
      </w:pPr>
    </w:p>
    <w:p>
      <w:pPr>
        <w:rPr>
          <w:color w:val="auto"/>
          <w:highlight w:val="none"/>
        </w:rPr>
      </w:pPr>
    </w:p>
    <w:p>
      <w:pPr>
        <w:pStyle w:val="22"/>
        <w:rPr>
          <w:color w:val="auto"/>
          <w:highlight w:val="none"/>
        </w:rPr>
      </w:pPr>
    </w:p>
    <w:p>
      <w:pPr>
        <w:rPr>
          <w:color w:val="auto"/>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jc w:val="center"/>
        <w:rPr>
          <w:b/>
          <w:color w:val="auto"/>
          <w:sz w:val="32"/>
          <w:szCs w:val="32"/>
          <w:highlight w:val="none"/>
        </w:rPr>
      </w:pPr>
      <w:r>
        <w:rPr>
          <w:rFonts w:hint="eastAsia"/>
          <w:b/>
          <w:color w:val="auto"/>
          <w:sz w:val="32"/>
          <w:szCs w:val="32"/>
          <w:highlight w:val="none"/>
        </w:rPr>
        <w:t>中国·四川·成都</w:t>
      </w:r>
    </w:p>
    <w:p>
      <w:pPr>
        <w:spacing w:line="360" w:lineRule="auto"/>
        <w:jc w:val="center"/>
        <w:rPr>
          <w:rFonts w:hint="eastAsia" w:eastAsia="宋体"/>
          <w:b/>
          <w:color w:val="auto"/>
          <w:sz w:val="32"/>
          <w:szCs w:val="32"/>
          <w:highlight w:val="none"/>
          <w:lang w:eastAsia="zh-CN"/>
        </w:rPr>
      </w:pPr>
      <w:r>
        <w:rPr>
          <w:rFonts w:hint="eastAsia"/>
          <w:b/>
          <w:color w:val="auto"/>
          <w:sz w:val="32"/>
          <w:szCs w:val="32"/>
          <w:highlight w:val="none"/>
          <w:lang w:eastAsia="zh-CN"/>
        </w:rPr>
        <w:t>崇州市水务局</w:t>
      </w:r>
    </w:p>
    <w:p>
      <w:pPr>
        <w:spacing w:line="360" w:lineRule="auto"/>
        <w:jc w:val="center"/>
        <w:rPr>
          <w:b/>
          <w:color w:val="auto"/>
          <w:sz w:val="32"/>
          <w:szCs w:val="32"/>
          <w:highlight w:val="none"/>
        </w:rPr>
      </w:pPr>
      <w:r>
        <w:rPr>
          <w:rFonts w:hint="eastAsia"/>
          <w:b/>
          <w:color w:val="auto"/>
          <w:sz w:val="32"/>
          <w:szCs w:val="32"/>
          <w:highlight w:val="none"/>
        </w:rPr>
        <w:t>成都倍信达工程管理咨询有限公司</w:t>
      </w:r>
    </w:p>
    <w:p>
      <w:pPr>
        <w:spacing w:line="360" w:lineRule="auto"/>
        <w:jc w:val="center"/>
        <w:rPr>
          <w:b/>
          <w:bCs/>
          <w:color w:val="auto"/>
          <w:sz w:val="32"/>
          <w:szCs w:val="32"/>
          <w:highlight w:val="none"/>
          <w:lang w:val="zh-CN"/>
        </w:rPr>
      </w:pPr>
      <w:r>
        <w:rPr>
          <w:rFonts w:hint="eastAsia"/>
          <w:b/>
          <w:color w:val="auto"/>
          <w:sz w:val="30"/>
          <w:szCs w:val="30"/>
          <w:highlight w:val="none"/>
        </w:rPr>
        <w:t>202</w:t>
      </w:r>
      <w:r>
        <w:rPr>
          <w:rFonts w:hint="eastAsia"/>
          <w:b/>
          <w:color w:val="auto"/>
          <w:sz w:val="30"/>
          <w:szCs w:val="30"/>
          <w:highlight w:val="none"/>
          <w:lang w:val="en-US" w:eastAsia="zh-CN"/>
        </w:rPr>
        <w:t>1</w:t>
      </w:r>
      <w:r>
        <w:rPr>
          <w:b/>
          <w:bCs/>
          <w:color w:val="auto"/>
          <w:sz w:val="32"/>
          <w:szCs w:val="32"/>
          <w:highlight w:val="none"/>
          <w:lang w:val="zh-CN"/>
        </w:rPr>
        <w:t>年</w:t>
      </w:r>
      <w:r>
        <w:rPr>
          <w:rFonts w:hint="eastAsia"/>
          <w:b/>
          <w:bCs/>
          <w:color w:val="auto"/>
          <w:sz w:val="32"/>
          <w:szCs w:val="32"/>
          <w:highlight w:val="none"/>
          <w:lang w:val="en-US" w:eastAsia="zh-CN"/>
        </w:rPr>
        <w:t>7</w:t>
      </w:r>
      <w:r>
        <w:rPr>
          <w:b/>
          <w:bCs/>
          <w:color w:val="auto"/>
          <w:sz w:val="32"/>
          <w:szCs w:val="32"/>
          <w:highlight w:val="none"/>
          <w:lang w:val="zh-CN"/>
        </w:rPr>
        <w:t>月</w:t>
      </w:r>
    </w:p>
    <w:p>
      <w:pPr>
        <w:spacing w:line="360" w:lineRule="auto"/>
        <w:ind w:firstLine="1285" w:firstLineChars="400"/>
        <w:rPr>
          <w:rFonts w:hAnsi="宋体" w:cs="宋体"/>
          <w:b/>
          <w:bCs/>
          <w:color w:val="auto"/>
          <w:sz w:val="32"/>
          <w:szCs w:val="32"/>
          <w:highlight w:val="none"/>
        </w:rPr>
      </w:pPr>
    </w:p>
    <w:p>
      <w:pPr>
        <w:pStyle w:val="22"/>
        <w:rPr>
          <w:rFonts w:hAnsi="宋体" w:cs="宋体"/>
          <w:b/>
          <w:color w:val="auto"/>
          <w:sz w:val="32"/>
          <w:szCs w:val="32"/>
          <w:highlight w:val="none"/>
        </w:rPr>
        <w:sectPr>
          <w:headerReference r:id="rId3" w:type="default"/>
          <w:pgSz w:w="11906" w:h="16838"/>
          <w:pgMar w:top="1191" w:right="1134" w:bottom="1134" w:left="1418" w:header="851" w:footer="992" w:gutter="0"/>
          <w:pgNumType w:start="1"/>
          <w:cols w:space="720" w:num="1"/>
          <w:docGrid w:type="lines" w:linePitch="314" w:charSpace="0"/>
        </w:sectPr>
      </w:pPr>
    </w:p>
    <w:bookmarkEnd w:id="0"/>
    <w:bookmarkEnd w:id="1"/>
    <w:sdt>
      <w:sdtPr>
        <w:rPr>
          <w:rFonts w:ascii="宋体" w:hAnsi="宋体" w:eastAsia="宋体" w:cs="黑体"/>
          <w:b/>
          <w:bCs/>
          <w:color w:val="auto"/>
          <w:sz w:val="32"/>
          <w:szCs w:val="32"/>
          <w:lang w:val="en-US" w:eastAsia="zh-CN" w:bidi="ar-SA"/>
        </w:rPr>
        <w:id w:val="147470088"/>
        <w15:color w:val="DBDBDB"/>
        <w:docPartObj>
          <w:docPartGallery w:val="Table of Contents"/>
          <w:docPartUnique/>
        </w:docPartObj>
      </w:sdtPr>
      <w:sdtEndPr>
        <w:rPr>
          <w:rFonts w:hint="eastAsia" w:ascii="宋体" w:hAnsi="宋体" w:eastAsia="宋体" w:cs="宋体"/>
          <w:b/>
          <w:bCs/>
          <w:color w:val="auto"/>
          <w:sz w:val="24"/>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b/>
              <w:bCs/>
              <w:color w:val="auto"/>
              <w:sz w:val="32"/>
              <w:szCs w:val="32"/>
            </w:rPr>
          </w:pPr>
          <w:r>
            <w:rPr>
              <w:rFonts w:ascii="宋体" w:hAnsi="宋体" w:eastAsia="宋体"/>
              <w:b/>
              <w:bCs/>
              <w:color w:val="auto"/>
              <w:sz w:val="32"/>
              <w:szCs w:val="32"/>
            </w:rPr>
            <w:t>目录</w:t>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_Toc27440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第三章 投标文件格式</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投标人</w:t>
          </w:r>
          <w:r>
            <w:rPr>
              <w:rFonts w:hint="eastAsia" w:ascii="宋体" w:hAnsi="宋体" w:eastAsia="宋体" w:cs="宋体"/>
              <w:color w:val="auto"/>
              <w:sz w:val="24"/>
              <w:szCs w:val="24"/>
              <w:highlight w:val="none"/>
              <w:lang w:val="zh-CN"/>
            </w:rPr>
            <w:t>和投标产品</w:t>
          </w:r>
          <w:r>
            <w:rPr>
              <w:rFonts w:hint="eastAsia" w:ascii="宋体" w:hAnsi="宋体" w:eastAsia="宋体" w:cs="宋体"/>
              <w:color w:val="auto"/>
              <w:sz w:val="24"/>
              <w:szCs w:val="24"/>
              <w:highlight w:val="none"/>
            </w:rPr>
            <w:t>的资格、资质性及其他类似效力要求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第五章 资格性审查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47</w:t>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_Toc25998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0"/>
              <w:sz w:val="24"/>
              <w:szCs w:val="24"/>
            </w:rPr>
            <w:t xml:space="preserve">第六章 </w:t>
          </w:r>
          <w:r>
            <w:rPr>
              <w:rFonts w:hint="eastAsia" w:ascii="宋体" w:hAnsi="宋体" w:eastAsia="宋体" w:cs="宋体"/>
              <w:bCs w:val="0"/>
              <w:color w:val="auto"/>
              <w:kern w:val="0"/>
              <w:sz w:val="24"/>
              <w:szCs w:val="24"/>
              <w:highlight w:val="none"/>
            </w:rPr>
            <w:t>招标项目技术、服务及其他要求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_Toc28026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评标办法</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61</w:t>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_Toc19504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第八章</w:t>
          </w:r>
          <w:r>
            <w:rPr>
              <w:rFonts w:hint="eastAsia" w:ascii="宋体" w:hAnsi="宋体" w:eastAsia="宋体" w:cs="宋体"/>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政府采购合同</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72</w:t>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distribute"/>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pStyle w:val="3"/>
        <w:spacing w:before="0" w:after="0" w:line="360" w:lineRule="auto"/>
        <w:ind w:firstLine="482" w:firstLineChars="200"/>
        <w:jc w:val="distribute"/>
        <w:outlineLvl w:val="9"/>
        <w:rPr>
          <w:rFonts w:hAnsi="宋体" w:cs="宋体"/>
          <w:bCs w:val="0"/>
          <w:color w:val="auto"/>
          <w:sz w:val="24"/>
          <w:szCs w:val="24"/>
          <w:highlight w:val="none"/>
        </w:rPr>
      </w:pPr>
      <w:bookmarkStart w:id="2" w:name="_Toc15568"/>
      <w:bookmarkStart w:id="3" w:name="_Toc15794"/>
      <w:bookmarkStart w:id="4" w:name="_Toc26242"/>
    </w:p>
    <w:p>
      <w:pPr>
        <w:pStyle w:val="3"/>
        <w:spacing w:before="0" w:after="0" w:line="360" w:lineRule="auto"/>
        <w:ind w:firstLine="420" w:firstLineChars="200"/>
        <w:jc w:val="center"/>
        <w:rPr>
          <w:rFonts w:hAnsi="宋体" w:cs="宋体"/>
          <w:color w:val="auto"/>
          <w:highlight w:val="none"/>
        </w:rPr>
      </w:pPr>
      <w:r>
        <w:rPr>
          <w:rFonts w:hint="eastAsia" w:hAnsi="宋体" w:cs="宋体"/>
          <w:b w:val="0"/>
          <w:bCs w:val="0"/>
          <w:color w:val="auto"/>
          <w:sz w:val="21"/>
          <w:szCs w:val="21"/>
          <w:highlight w:val="none"/>
        </w:rPr>
        <w:br w:type="page"/>
      </w:r>
      <w:bookmarkStart w:id="5" w:name="_Toc23616"/>
      <w:bookmarkStart w:id="6" w:name="_Toc27440"/>
      <w:bookmarkStart w:id="7" w:name="_Toc9731"/>
      <w:bookmarkStart w:id="8" w:name="_Toc213396945"/>
      <w:bookmarkStart w:id="9" w:name="_Toc217446031"/>
      <w:bookmarkStart w:id="10" w:name="_Toc213397009"/>
      <w:bookmarkStart w:id="11" w:name="_Toc213496267"/>
      <w:bookmarkStart w:id="12" w:name="_Toc213396759"/>
      <w:r>
        <w:rPr>
          <w:rFonts w:hint="eastAsia" w:hAnsi="宋体" w:cs="宋体"/>
          <w:color w:val="auto"/>
          <w:sz w:val="36"/>
          <w:szCs w:val="36"/>
          <w:highlight w:val="none"/>
        </w:rPr>
        <w:t>第一章 投标邀请</w:t>
      </w:r>
      <w:bookmarkEnd w:id="2"/>
      <w:bookmarkEnd w:id="3"/>
      <w:bookmarkEnd w:id="4"/>
      <w:bookmarkEnd w:id="5"/>
      <w:bookmarkEnd w:id="6"/>
      <w:bookmarkEnd w:id="7"/>
    </w:p>
    <w:p>
      <w:pPr>
        <w:spacing w:line="360" w:lineRule="auto"/>
        <w:ind w:firstLine="482" w:firstLineChars="200"/>
        <w:rPr>
          <w:rFonts w:hAnsi="宋体" w:cs="宋体"/>
          <w:color w:val="auto"/>
          <w:sz w:val="24"/>
          <w:highlight w:val="none"/>
          <w:lang w:val="zh-CN"/>
        </w:rPr>
      </w:pPr>
      <w:r>
        <w:rPr>
          <w:rFonts w:hint="eastAsia" w:hAnsi="宋体" w:cs="宋体"/>
          <w:b/>
          <w:bCs/>
          <w:color w:val="auto"/>
          <w:sz w:val="24"/>
          <w:highlight w:val="none"/>
          <w:u w:val="single"/>
        </w:rPr>
        <w:t>成都倍信达工程管理咨询有限公司</w:t>
      </w:r>
      <w:r>
        <w:rPr>
          <w:rFonts w:hint="eastAsia" w:hAnsi="宋体" w:cs="宋体"/>
          <w:color w:val="auto"/>
          <w:sz w:val="24"/>
          <w:highlight w:val="none"/>
          <w:lang w:val="zh-CN"/>
        </w:rPr>
        <w:t>受</w:t>
      </w:r>
      <w:r>
        <w:rPr>
          <w:rFonts w:hint="eastAsia" w:hAnsi="宋体" w:cs="宋体"/>
          <w:b/>
          <w:bCs/>
          <w:color w:val="auto"/>
          <w:sz w:val="24"/>
          <w:highlight w:val="none"/>
          <w:u w:val="single"/>
          <w:lang w:eastAsia="zh-CN"/>
        </w:rPr>
        <w:t>崇州市水务局</w:t>
      </w:r>
      <w:r>
        <w:rPr>
          <w:rFonts w:hint="eastAsia" w:hAnsi="宋体" w:cs="宋体"/>
          <w:color w:val="auto"/>
          <w:sz w:val="24"/>
          <w:highlight w:val="none"/>
          <w:lang w:val="zh-CN"/>
        </w:rPr>
        <w:t>的委托，拟对</w:t>
      </w:r>
      <w:r>
        <w:rPr>
          <w:rFonts w:hint="eastAsia" w:hAnsi="宋体" w:cs="宋体"/>
          <w:b/>
          <w:bCs/>
          <w:color w:val="auto"/>
          <w:sz w:val="24"/>
          <w:highlight w:val="none"/>
          <w:u w:val="single"/>
          <w:lang w:eastAsia="zh-CN"/>
        </w:rPr>
        <w:t>经开区应急污水处理站延期服务采购项目</w:t>
      </w:r>
      <w:r>
        <w:rPr>
          <w:rFonts w:hint="eastAsia" w:hAnsi="宋体" w:cs="宋体"/>
          <w:color w:val="auto"/>
          <w:sz w:val="24"/>
          <w:highlight w:val="none"/>
          <w:lang w:val="zh-CN"/>
        </w:rPr>
        <w:t>进行国内公开招标，兹邀请符合本次招标要求的供应商参加投标。</w:t>
      </w:r>
    </w:p>
    <w:p>
      <w:pPr>
        <w:wordWrap w:val="0"/>
        <w:topLinePunct/>
        <w:spacing w:line="360" w:lineRule="auto"/>
        <w:rPr>
          <w:rFonts w:hint="eastAsia" w:hAnsi="宋体" w:cs="宋体"/>
          <w:color w:val="auto"/>
          <w:sz w:val="24"/>
          <w:highlight w:val="none"/>
          <w:lang w:eastAsia="zh-CN"/>
        </w:rPr>
      </w:pPr>
      <w:r>
        <w:rPr>
          <w:rFonts w:hint="eastAsia" w:hAnsi="宋体" w:cs="宋体"/>
          <w:b/>
          <w:color w:val="auto"/>
          <w:sz w:val="24"/>
          <w:highlight w:val="none"/>
        </w:rPr>
        <w:t xml:space="preserve">    一、项目编号：</w:t>
      </w:r>
    </w:p>
    <w:p>
      <w:pPr>
        <w:numPr>
          <w:ilvl w:val="0"/>
          <w:numId w:val="2"/>
        </w:numPr>
        <w:spacing w:line="360" w:lineRule="auto"/>
        <w:ind w:left="1450" w:leftChars="143" w:hanging="964" w:hangingChars="400"/>
        <w:rPr>
          <w:rFonts w:hAnsi="宋体" w:cs="宋体"/>
          <w:color w:val="auto"/>
          <w:sz w:val="24"/>
          <w:highlight w:val="none"/>
        </w:rPr>
      </w:pPr>
      <w:r>
        <w:rPr>
          <w:rFonts w:hint="eastAsia" w:hAnsi="宋体" w:cs="宋体"/>
          <w:b/>
          <w:color w:val="auto"/>
          <w:sz w:val="24"/>
          <w:highlight w:val="none"/>
        </w:rPr>
        <w:t>项目名称：</w:t>
      </w:r>
      <w:r>
        <w:rPr>
          <w:rFonts w:hint="eastAsia" w:hAnsi="宋体" w:cs="宋体"/>
          <w:color w:val="auto"/>
          <w:sz w:val="24"/>
          <w:highlight w:val="none"/>
          <w:lang w:eastAsia="zh-CN"/>
        </w:rPr>
        <w:t>经开区应急污水处理站延期服务采购项目</w:t>
      </w:r>
    </w:p>
    <w:p>
      <w:pPr>
        <w:numPr>
          <w:ilvl w:val="0"/>
          <w:numId w:val="2"/>
        </w:numPr>
        <w:wordWrap w:val="0"/>
        <w:topLinePunct/>
        <w:spacing w:line="360" w:lineRule="auto"/>
        <w:ind w:left="10" w:leftChars="0" w:right="51" w:rightChars="15" w:firstLine="477" w:firstLineChars="198"/>
        <w:rPr>
          <w:rFonts w:hAnsi="宋体" w:cs="宋体"/>
          <w:b/>
          <w:color w:val="auto"/>
          <w:sz w:val="24"/>
          <w:szCs w:val="28"/>
          <w:highlight w:val="none"/>
        </w:rPr>
      </w:pPr>
      <w:r>
        <w:rPr>
          <w:rFonts w:hint="eastAsia" w:hAnsi="宋体" w:cs="宋体"/>
          <w:b/>
          <w:color w:val="auto"/>
          <w:sz w:val="24"/>
          <w:szCs w:val="28"/>
          <w:highlight w:val="none"/>
        </w:rPr>
        <w:t>资金来源：</w:t>
      </w:r>
      <w:r>
        <w:rPr>
          <w:rFonts w:hint="eastAsia" w:hAnsi="宋体" w:cs="宋体"/>
          <w:color w:val="auto"/>
          <w:sz w:val="24"/>
          <w:highlight w:val="none"/>
        </w:rPr>
        <w:t>财政资金，已落实。采购预算</w:t>
      </w:r>
      <w:r>
        <w:rPr>
          <w:rFonts w:hint="eastAsia" w:hAnsi="宋体" w:cs="宋体"/>
          <w:color w:val="auto"/>
          <w:sz w:val="24"/>
          <w:highlight w:val="none"/>
          <w:lang w:eastAsia="zh-CN"/>
        </w:rPr>
        <w:t>3630万元/年</w:t>
      </w:r>
      <w:r>
        <w:rPr>
          <w:rFonts w:hint="eastAsia" w:hAnsi="宋体" w:cs="宋体"/>
          <w:color w:val="auto"/>
          <w:sz w:val="24"/>
          <w:highlight w:val="none"/>
        </w:rPr>
        <w:t>；</w:t>
      </w:r>
      <w:r>
        <w:rPr>
          <w:rFonts w:hint="eastAsia" w:hAnsi="宋体"/>
          <w:color w:val="auto"/>
          <w:sz w:val="24"/>
          <w:highlight w:val="none"/>
        </w:rPr>
        <w:t>备案</w:t>
      </w:r>
      <w:r>
        <w:rPr>
          <w:rFonts w:hint="eastAsia" w:hAnsi="宋体" w:cs="宋体"/>
          <w:color w:val="auto"/>
          <w:sz w:val="24"/>
          <w:highlight w:val="none"/>
        </w:rPr>
        <w:t>号</w:t>
      </w:r>
      <w:r>
        <w:rPr>
          <w:rFonts w:hint="eastAsia" w:ascii="宋体" w:hAnsi="宋体" w:eastAsia="宋体" w:cs="宋体"/>
          <w:color w:val="auto"/>
          <w:sz w:val="24"/>
          <w:highlight w:val="none"/>
        </w:rPr>
        <w:t>：(202</w:t>
      </w: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0236</w:t>
      </w:r>
      <w:r>
        <w:rPr>
          <w:rFonts w:hint="eastAsia" w:ascii="Calibri" w:hAnsi="宋体" w:cs="Times New Roman"/>
          <w:color w:val="auto"/>
          <w:sz w:val="24"/>
          <w:highlight w:val="none"/>
        </w:rPr>
        <w:t>号</w:t>
      </w:r>
      <w:r>
        <w:rPr>
          <w:rFonts w:hint="eastAsia" w:hAnsi="宋体" w:cs="宋体"/>
          <w:color w:val="auto"/>
          <w:sz w:val="24"/>
          <w:highlight w:val="none"/>
        </w:rPr>
        <w:t>。</w:t>
      </w:r>
    </w:p>
    <w:p>
      <w:pPr>
        <w:spacing w:line="360" w:lineRule="auto"/>
        <w:ind w:firstLine="472" w:firstLineChars="196"/>
        <w:jc w:val="left"/>
        <w:rPr>
          <w:rFonts w:hAnsi="宋体" w:cs="宋体"/>
          <w:b/>
          <w:color w:val="auto"/>
          <w:sz w:val="24"/>
          <w:highlight w:val="none"/>
        </w:rPr>
      </w:pPr>
      <w:r>
        <w:rPr>
          <w:rFonts w:hint="eastAsia" w:hAnsi="宋体" w:cs="宋体"/>
          <w:b/>
          <w:color w:val="auto"/>
          <w:sz w:val="24"/>
          <w:highlight w:val="none"/>
        </w:rPr>
        <w:t>四</w:t>
      </w:r>
      <w:r>
        <w:rPr>
          <w:rFonts w:hint="eastAsia" w:hAnsi="宋体" w:cs="宋体"/>
          <w:b/>
          <w:bCs/>
          <w:color w:val="auto"/>
          <w:sz w:val="24"/>
          <w:highlight w:val="none"/>
        </w:rPr>
        <w:t>、</w:t>
      </w:r>
      <w:r>
        <w:rPr>
          <w:rFonts w:hint="eastAsia" w:hAnsi="宋体" w:cs="宋体"/>
          <w:b/>
          <w:color w:val="auto"/>
          <w:sz w:val="24"/>
          <w:highlight w:val="none"/>
        </w:rPr>
        <w:t>招标项目简介：</w:t>
      </w:r>
      <w:r>
        <w:rPr>
          <w:rFonts w:hint="eastAsia" w:hAnsi="宋体" w:cs="宋体"/>
          <w:b w:val="0"/>
          <w:bCs/>
          <w:color w:val="auto"/>
          <w:sz w:val="24"/>
          <w:highlight w:val="none"/>
          <w:lang w:eastAsia="zh-CN"/>
        </w:rPr>
        <w:t>崇州市水务局拟采用公开</w:t>
      </w:r>
      <w:r>
        <w:rPr>
          <w:rFonts w:hint="eastAsia" w:hAnsi="宋体" w:cs="宋体"/>
          <w:b w:val="0"/>
          <w:bCs/>
          <w:color w:val="auto"/>
          <w:sz w:val="24"/>
          <w:highlight w:val="none"/>
          <w:lang w:val="en-US" w:eastAsia="zh-CN"/>
        </w:rPr>
        <w:t>招标</w:t>
      </w:r>
      <w:r>
        <w:rPr>
          <w:rFonts w:hint="eastAsia" w:hAnsi="宋体" w:cs="宋体"/>
          <w:b w:val="0"/>
          <w:bCs/>
          <w:color w:val="auto"/>
          <w:sz w:val="24"/>
          <w:highlight w:val="none"/>
          <w:lang w:eastAsia="zh-CN"/>
        </w:rPr>
        <w:t>方式选择一家</w:t>
      </w:r>
      <w:r>
        <w:rPr>
          <w:rFonts w:hint="eastAsia" w:hAnsi="宋体" w:cs="宋体"/>
          <w:color w:val="auto"/>
          <w:sz w:val="24"/>
          <w:highlight w:val="none"/>
          <w:lang w:eastAsia="zh-CN"/>
        </w:rPr>
        <w:t>经开区应急污水处理站延期</w:t>
      </w:r>
      <w:r>
        <w:rPr>
          <w:rFonts w:hint="eastAsia" w:hAnsi="宋体" w:cs="宋体"/>
          <w:b w:val="0"/>
          <w:bCs/>
          <w:color w:val="auto"/>
          <w:sz w:val="24"/>
          <w:highlight w:val="none"/>
          <w:lang w:eastAsia="zh-CN"/>
        </w:rPr>
        <w:t>服务单位</w:t>
      </w:r>
      <w:r>
        <w:rPr>
          <w:rFonts w:hint="eastAsia" w:hAnsi="宋体" w:cs="宋体"/>
          <w:b w:val="0"/>
          <w:bCs/>
          <w:color w:val="auto"/>
          <w:sz w:val="24"/>
          <w:highlight w:val="none"/>
          <w:lang w:val="en-US" w:eastAsia="zh-CN"/>
        </w:rPr>
        <w:t>，共1个包</w:t>
      </w:r>
      <w:r>
        <w:rPr>
          <w:rFonts w:hint="eastAsia" w:hAnsi="宋体" w:cs="宋体"/>
          <w:color w:val="auto"/>
          <w:sz w:val="24"/>
          <w:highlight w:val="none"/>
          <w:lang w:val="en-US" w:eastAsia="zh-CN"/>
        </w:rPr>
        <w:t>。</w:t>
      </w:r>
    </w:p>
    <w:p>
      <w:pPr>
        <w:wordWrap w:val="0"/>
        <w:topLinePunct/>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rPr>
      </w:pPr>
      <w:r>
        <w:rPr>
          <w:rFonts w:hint="eastAsia" w:hAnsi="宋体" w:cs="宋体"/>
          <w:color w:val="auto"/>
          <w:sz w:val="24"/>
          <w:lang w:val="zh-CN"/>
        </w:rPr>
        <w:t>1</w:t>
      </w:r>
      <w:r>
        <w:rPr>
          <w:rFonts w:hint="eastAsia" w:hAnsi="宋体" w:cs="宋体"/>
          <w:color w:val="auto"/>
          <w:sz w:val="24"/>
          <w:lang w:val="zh-CN" w:eastAsia="zh-CN"/>
        </w:rPr>
        <w:t>.</w:t>
      </w:r>
      <w:r>
        <w:rPr>
          <w:rFonts w:hint="eastAsia" w:hAnsi="宋体" w:cs="宋体"/>
          <w:color w:val="auto"/>
          <w:sz w:val="24"/>
          <w:lang w:val="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rPr>
      </w:pPr>
      <w:r>
        <w:rPr>
          <w:rFonts w:hint="eastAsia" w:hAnsi="宋体" w:cs="宋体"/>
          <w:color w:val="auto"/>
          <w:sz w:val="24"/>
          <w:lang w:val="zh-CN"/>
        </w:rPr>
        <w:t>2</w:t>
      </w:r>
      <w:r>
        <w:rPr>
          <w:rFonts w:hint="eastAsia" w:hAnsi="宋体" w:cs="宋体"/>
          <w:color w:val="auto"/>
          <w:sz w:val="24"/>
          <w:lang w:val="zh-CN" w:eastAsia="zh-CN"/>
        </w:rPr>
        <w:t>.</w:t>
      </w:r>
      <w:r>
        <w:rPr>
          <w:rFonts w:hint="eastAsia" w:hAnsi="宋体" w:cs="宋体"/>
          <w:color w:val="auto"/>
          <w:sz w:val="24"/>
          <w:lang w:val="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rPr>
      </w:pPr>
      <w:r>
        <w:rPr>
          <w:rFonts w:hint="eastAsia" w:hAnsi="宋体" w:cs="宋体"/>
          <w:color w:val="auto"/>
          <w:sz w:val="24"/>
          <w:lang w:val="zh-CN"/>
        </w:rPr>
        <w:t>3</w:t>
      </w:r>
      <w:r>
        <w:rPr>
          <w:rFonts w:hint="eastAsia" w:hAnsi="宋体" w:cs="宋体"/>
          <w:color w:val="auto"/>
          <w:sz w:val="24"/>
          <w:lang w:val="zh-CN" w:eastAsia="zh-CN"/>
        </w:rPr>
        <w:t>.</w:t>
      </w:r>
      <w:r>
        <w:rPr>
          <w:rFonts w:hint="eastAsia" w:hAnsi="宋体" w:cs="宋体"/>
          <w:color w:val="auto"/>
          <w:sz w:val="24"/>
          <w:lang w:val="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rPr>
      </w:pPr>
      <w:r>
        <w:rPr>
          <w:rFonts w:hint="eastAsia" w:hAnsi="宋体" w:cs="宋体"/>
          <w:color w:val="auto"/>
          <w:sz w:val="24"/>
          <w:lang w:val="zh-CN"/>
        </w:rPr>
        <w:t>4</w:t>
      </w:r>
      <w:r>
        <w:rPr>
          <w:rFonts w:hint="eastAsia" w:hAnsi="宋体" w:cs="宋体"/>
          <w:color w:val="auto"/>
          <w:sz w:val="24"/>
          <w:lang w:val="zh-CN" w:eastAsia="zh-CN"/>
        </w:rPr>
        <w:t>.</w:t>
      </w:r>
      <w:r>
        <w:rPr>
          <w:rFonts w:hint="eastAsia" w:hAnsi="宋体" w:cs="宋体"/>
          <w:color w:val="auto"/>
          <w:sz w:val="24"/>
          <w:lang w:val="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rPr>
      </w:pPr>
      <w:r>
        <w:rPr>
          <w:rFonts w:hint="eastAsia" w:hAnsi="宋体" w:cs="宋体"/>
          <w:color w:val="auto"/>
          <w:sz w:val="24"/>
          <w:lang w:val="zh-CN"/>
        </w:rPr>
        <w:t>5</w:t>
      </w:r>
      <w:r>
        <w:rPr>
          <w:rFonts w:hint="eastAsia" w:hAnsi="宋体" w:cs="宋体"/>
          <w:color w:val="auto"/>
          <w:sz w:val="24"/>
          <w:lang w:val="zh-CN" w:eastAsia="zh-CN"/>
        </w:rPr>
        <w:t>.</w:t>
      </w:r>
      <w:r>
        <w:rPr>
          <w:rFonts w:hint="eastAsia" w:hAnsi="宋体" w:cs="宋体"/>
          <w:color w:val="auto"/>
          <w:sz w:val="24"/>
          <w:lang w:val="zh-CN"/>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eastAsia="zh-CN"/>
        </w:rPr>
      </w:pPr>
      <w:r>
        <w:rPr>
          <w:rFonts w:hint="eastAsia" w:hAnsi="宋体" w:cs="宋体"/>
          <w:color w:val="auto"/>
          <w:sz w:val="24"/>
          <w:lang w:val="zh-CN"/>
        </w:rPr>
        <w:t>6</w:t>
      </w:r>
      <w:r>
        <w:rPr>
          <w:rFonts w:hint="eastAsia" w:hAnsi="宋体" w:cs="宋体"/>
          <w:color w:val="auto"/>
          <w:sz w:val="24"/>
          <w:lang w:val="zh-CN" w:eastAsia="zh-CN"/>
        </w:rPr>
        <w:t>.</w:t>
      </w:r>
      <w:r>
        <w:rPr>
          <w:rFonts w:hint="eastAsia" w:hAnsi="宋体" w:cs="宋体"/>
          <w:color w:val="auto"/>
          <w:sz w:val="24"/>
          <w:lang w:val="zh-CN"/>
        </w:rPr>
        <w:t>法律、行政法规规定的其他条件</w:t>
      </w:r>
      <w:r>
        <w:rPr>
          <w:rFonts w:hint="eastAsia" w:hAnsi="宋体" w:cs="宋体"/>
          <w:color w:val="auto"/>
          <w:sz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9" w:firstLineChars="283"/>
        <w:jc w:val="left"/>
        <w:textAlignment w:val="auto"/>
        <w:rPr>
          <w:rFonts w:hint="eastAsia" w:hAnsi="宋体" w:cs="宋体"/>
          <w:color w:val="auto"/>
          <w:sz w:val="24"/>
          <w:lang w:val="zh-CN"/>
        </w:rPr>
      </w:pPr>
      <w:r>
        <w:rPr>
          <w:rFonts w:hint="eastAsia" w:hAnsi="宋体" w:cs="宋体"/>
          <w:color w:val="auto"/>
          <w:sz w:val="24"/>
          <w:lang w:val="zh-CN" w:eastAsia="zh-CN"/>
        </w:rPr>
        <w:t>7.</w:t>
      </w:r>
      <w:r>
        <w:rPr>
          <w:rFonts w:hint="eastAsia" w:hAnsi="宋体" w:cs="宋体"/>
          <w:color w:val="auto"/>
          <w:sz w:val="24"/>
          <w:lang w:val="zh-CN"/>
        </w:rPr>
        <w:t>本项目</w:t>
      </w:r>
      <w:r>
        <w:rPr>
          <w:rFonts w:hint="eastAsia" w:hAnsi="宋体" w:cs="宋体"/>
          <w:color w:val="auto"/>
          <w:sz w:val="24"/>
          <w:lang w:val="zh-CN" w:eastAsia="zh-CN"/>
        </w:rPr>
        <w:t>不</w:t>
      </w:r>
      <w:r>
        <w:rPr>
          <w:rFonts w:hint="eastAsia" w:hAnsi="宋体" w:cs="宋体"/>
          <w:color w:val="auto"/>
          <w:sz w:val="24"/>
          <w:lang w:val="zh-CN"/>
        </w:rPr>
        <w:t>接受联合体投标。</w:t>
      </w:r>
    </w:p>
    <w:p>
      <w:pPr>
        <w:pStyle w:val="2"/>
        <w:rPr>
          <w:rFonts w:hint="eastAsia"/>
          <w:color w:val="auto"/>
        </w:rPr>
      </w:pPr>
      <w:r>
        <w:rPr>
          <w:rFonts w:hint="eastAsia"/>
          <w:b/>
          <w:bCs/>
          <w:color w:val="auto"/>
        </w:rPr>
        <w:t>六、严禁参加本次采购活动的供应商：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rPr>
      </w:pPr>
      <w:r>
        <w:rPr>
          <w:rFonts w:hint="eastAsia"/>
          <w:color w:val="auto"/>
        </w:rPr>
        <w:t>根据《关于在政府采购活动中查询及使用信用记录有关问题的通知》（财库〔2016〕125 号）的要求，采购人/采购代理机构将通过“信用中国”网站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color w:val="auto"/>
          <w:sz w:val="24"/>
          <w:lang w:eastAsia="zh-CN"/>
        </w:rPr>
      </w:pPr>
      <w:r>
        <w:rPr>
          <w:rFonts w:hint="eastAsia"/>
          <w:color w:val="auto"/>
        </w:rPr>
        <w:fldChar w:fldCharType="begin"/>
      </w:r>
      <w:r>
        <w:rPr>
          <w:rFonts w:hint="eastAsia"/>
          <w:color w:val="auto"/>
        </w:rPr>
        <w:instrText xml:space="preserve"> HYPERLINK "http://www.creditchina.gov.cn/" \h </w:instrText>
      </w:r>
      <w:r>
        <w:rPr>
          <w:rFonts w:hint="eastAsia"/>
          <w:color w:val="auto"/>
        </w:rPr>
        <w:fldChar w:fldCharType="separate"/>
      </w:r>
      <w:r>
        <w:rPr>
          <w:rFonts w:hint="eastAsia"/>
          <w:color w:val="auto"/>
        </w:rPr>
        <w:t>（www.creditchina.gov.cn</w:t>
      </w:r>
      <w:r>
        <w:rPr>
          <w:rFonts w:hint="eastAsia"/>
          <w:color w:val="auto"/>
        </w:rPr>
        <w:fldChar w:fldCharType="end"/>
      </w:r>
      <w:r>
        <w:rPr>
          <w:rFonts w:hint="eastAsia"/>
          <w:color w:val="auto"/>
        </w:rPr>
        <w:t>）、“中国政府采购网”网站（</w:t>
      </w:r>
      <w:r>
        <w:rPr>
          <w:rFonts w:hint="eastAsia"/>
          <w:color w:val="auto"/>
        </w:rPr>
        <w:fldChar w:fldCharType="begin"/>
      </w:r>
      <w:r>
        <w:rPr>
          <w:rFonts w:hint="eastAsia"/>
          <w:color w:val="auto"/>
        </w:rPr>
        <w:instrText xml:space="preserve"> HYPERLINK "http://www.ccgp.gov.cn/" \h </w:instrText>
      </w:r>
      <w:r>
        <w:rPr>
          <w:rFonts w:hint="eastAsia"/>
          <w:color w:val="auto"/>
        </w:rPr>
        <w:fldChar w:fldCharType="separate"/>
      </w:r>
      <w:r>
        <w:rPr>
          <w:rFonts w:hint="eastAsia"/>
          <w:color w:val="auto"/>
        </w:rPr>
        <w:t>www.ccgp.gov.cn</w:t>
      </w:r>
      <w:r>
        <w:rPr>
          <w:rFonts w:hint="eastAsia"/>
          <w:color w:val="auto"/>
        </w:rPr>
        <w:fldChar w:fldCharType="end"/>
      </w:r>
      <w:r>
        <w:rPr>
          <w:rFonts w:hint="eastAsia"/>
          <w:color w:val="auto"/>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widowControl w:val="0"/>
        <w:kinsoku/>
        <w:wordWrap w:val="0"/>
        <w:overflowPunct/>
        <w:topLinePunct/>
        <w:autoSpaceDE/>
        <w:autoSpaceDN/>
        <w:bidi w:val="0"/>
        <w:adjustRightInd/>
        <w:snapToGrid/>
        <w:spacing w:line="360" w:lineRule="auto"/>
        <w:ind w:firstLine="482" w:firstLineChars="200"/>
        <w:textAlignment w:val="auto"/>
        <w:rPr>
          <w:rFonts w:hint="eastAsia" w:hAnsi="宋体" w:eastAsia="宋体" w:cs="宋体"/>
          <w:b/>
          <w:color w:val="auto"/>
          <w:sz w:val="24"/>
          <w:highlight w:val="none"/>
          <w:lang w:eastAsia="zh-CN"/>
        </w:rPr>
      </w:pPr>
      <w:r>
        <w:rPr>
          <w:rFonts w:hint="eastAsia" w:hAnsi="宋体" w:cs="宋体"/>
          <w:b/>
          <w:bCs/>
          <w:color w:val="auto"/>
          <w:sz w:val="24"/>
          <w:lang w:eastAsia="zh-CN"/>
        </w:rPr>
        <w:t>七</w:t>
      </w:r>
      <w:r>
        <w:rPr>
          <w:rFonts w:hint="eastAsia" w:ascii="宋体" w:hAnsi="宋体" w:eastAsia="宋体" w:cs="宋体"/>
          <w:b/>
          <w:bCs/>
          <w:color w:val="auto"/>
          <w:sz w:val="24"/>
        </w:rPr>
        <w:t>、</w:t>
      </w:r>
      <w:r>
        <w:rPr>
          <w:rFonts w:hint="eastAsia" w:hAnsi="宋体" w:cs="宋体"/>
          <w:b/>
          <w:color w:val="auto"/>
          <w:sz w:val="24"/>
          <w:highlight w:val="none"/>
        </w:rPr>
        <w:t>获取招标文件的时间期限、地点、方式及招标文件售价</w:t>
      </w:r>
      <w:r>
        <w:rPr>
          <w:rFonts w:hint="eastAsia" w:hAnsi="宋体" w:cs="宋体"/>
          <w:b/>
          <w:color w:val="auto"/>
          <w:sz w:val="24"/>
          <w:highlight w:val="none"/>
          <w:lang w:eastAsia="zh-CN"/>
        </w:rPr>
        <w:t>：</w:t>
      </w:r>
    </w:p>
    <w:p>
      <w:pPr>
        <w:spacing w:after="50" w:line="400" w:lineRule="exact"/>
        <w:ind w:firstLine="480" w:firstLineChars="200"/>
        <w:rPr>
          <w:rFonts w:hint="eastAsia" w:ascii="宋体"/>
          <w:sz w:val="24"/>
        </w:rPr>
      </w:pPr>
      <w:r>
        <w:rPr>
          <w:rFonts w:hint="eastAsia" w:ascii="宋体"/>
          <w:sz w:val="24"/>
        </w:rPr>
        <w:t>1、招标文件获取期限(报名时间)：自2021年7月</w:t>
      </w:r>
      <w:r>
        <w:rPr>
          <w:rFonts w:hint="eastAsia" w:ascii="宋体"/>
          <w:sz w:val="24"/>
          <w:lang w:val="en-US" w:eastAsia="zh-CN"/>
        </w:rPr>
        <w:t>12</w:t>
      </w:r>
      <w:r>
        <w:rPr>
          <w:rFonts w:hint="eastAsia" w:ascii="宋体"/>
          <w:sz w:val="24"/>
        </w:rPr>
        <w:t>日至2021年7月1</w:t>
      </w:r>
      <w:r>
        <w:rPr>
          <w:rFonts w:hint="eastAsia" w:ascii="宋体"/>
          <w:sz w:val="24"/>
          <w:lang w:val="en-US" w:eastAsia="zh-CN"/>
        </w:rPr>
        <w:t>6</w:t>
      </w:r>
      <w:r>
        <w:rPr>
          <w:rFonts w:hint="eastAsia" w:ascii="宋体"/>
          <w:sz w:val="24"/>
        </w:rPr>
        <w:t>日。</w:t>
      </w:r>
    </w:p>
    <w:p>
      <w:pPr>
        <w:spacing w:after="50" w:line="400" w:lineRule="exact"/>
        <w:ind w:firstLine="480" w:firstLineChars="200"/>
        <w:rPr>
          <w:rFonts w:hint="eastAsia" w:ascii="宋体"/>
          <w:sz w:val="24"/>
        </w:rPr>
      </w:pPr>
      <w:r>
        <w:rPr>
          <w:rFonts w:hint="eastAsia" w:ascii="宋体"/>
          <w:sz w:val="24"/>
        </w:rPr>
        <w:t>2、招标文件的获取地点：政府采购云平台（网址：</w:t>
      </w:r>
      <w:r>
        <w:rPr>
          <w:rFonts w:hint="eastAsia" w:ascii="宋体"/>
          <w:sz w:val="24"/>
        </w:rPr>
        <w:fldChar w:fldCharType="begin"/>
      </w:r>
      <w:r>
        <w:rPr>
          <w:rFonts w:hint="eastAsia" w:ascii="宋体"/>
          <w:sz w:val="24"/>
        </w:rPr>
        <w:instrText xml:space="preserve"> HYPERLINK "https://www.zcygov.cn）。" </w:instrText>
      </w:r>
      <w:r>
        <w:rPr>
          <w:rFonts w:hint="eastAsia" w:ascii="宋体"/>
          <w:sz w:val="24"/>
        </w:rPr>
        <w:fldChar w:fldCharType="separate"/>
      </w:r>
      <w:r>
        <w:rPr>
          <w:rStyle w:val="43"/>
          <w:rFonts w:hint="default" w:ascii="宋体"/>
          <w:sz w:val="24"/>
        </w:rPr>
        <w:t>https://www.zcygov.cn）。</w:t>
      </w:r>
      <w:r>
        <w:rPr>
          <w:rFonts w:hint="eastAsia" w:ascii="宋体"/>
          <w:sz w:val="24"/>
        </w:rPr>
        <w:fldChar w:fldCharType="end"/>
      </w:r>
    </w:p>
    <w:p>
      <w:pPr>
        <w:spacing w:after="50" w:line="400" w:lineRule="exact"/>
        <w:ind w:firstLine="480" w:firstLineChars="200"/>
        <w:rPr>
          <w:rFonts w:hint="eastAsia" w:ascii="宋体"/>
          <w:sz w:val="24"/>
        </w:rPr>
      </w:pPr>
      <w:r>
        <w:rPr>
          <w:rFonts w:hint="eastAsia" w:ascii="宋体"/>
          <w:sz w:val="24"/>
        </w:rPr>
        <w:t>3、招标文件的获取方式</w:t>
      </w:r>
    </w:p>
    <w:p>
      <w:pPr>
        <w:spacing w:after="50" w:line="400" w:lineRule="exact"/>
        <w:ind w:firstLine="480" w:firstLineChars="200"/>
        <w:rPr>
          <w:rFonts w:hint="eastAsia" w:ascii="宋体"/>
          <w:sz w:val="24"/>
        </w:rPr>
      </w:pPr>
      <w:r>
        <w:rPr>
          <w:rFonts w:hint="eastAsia" w:ascii="宋体"/>
          <w:sz w:val="24"/>
        </w:rPr>
        <w:t>招标文件获取方式：投标人从“政府采购云平台”获取采购文件（网址：https://www.zcygov.cn）。登录政府采购云平台—项目采购—获取采购文件—申请获取采购文件。</w:t>
      </w:r>
    </w:p>
    <w:p>
      <w:pPr>
        <w:spacing w:after="50" w:line="400" w:lineRule="exact"/>
        <w:ind w:firstLine="480" w:firstLineChars="200"/>
        <w:rPr>
          <w:rFonts w:hint="eastAsia" w:ascii="宋体"/>
          <w:sz w:val="24"/>
        </w:rPr>
      </w:pPr>
      <w:r>
        <w:rPr>
          <w:rFonts w:hint="eastAsia" w:ascii="宋体"/>
          <w:sz w:val="24"/>
        </w:rPr>
        <w:t>4、本项目招标文件售价人民币0元/份（招标文件免费获取）。</w:t>
      </w:r>
    </w:p>
    <w:p>
      <w:pPr>
        <w:spacing w:after="50" w:line="400" w:lineRule="exact"/>
        <w:ind w:firstLine="480" w:firstLineChars="200"/>
        <w:rPr>
          <w:rFonts w:hint="eastAsia" w:ascii="宋体"/>
          <w:sz w:val="24"/>
        </w:rPr>
      </w:pPr>
      <w:r>
        <w:rPr>
          <w:rFonts w:hint="eastAsia" w:ascii="宋体"/>
          <w:sz w:val="24"/>
        </w:rPr>
        <w:t>注意事项：</w:t>
      </w:r>
    </w:p>
    <w:p>
      <w:pPr>
        <w:spacing w:after="50" w:line="400" w:lineRule="exact"/>
        <w:ind w:firstLine="480" w:firstLineChars="200"/>
        <w:rPr>
          <w:rFonts w:hint="eastAsia" w:ascii="宋体"/>
          <w:sz w:val="24"/>
        </w:rPr>
      </w:pPr>
      <w:r>
        <w:rPr>
          <w:rFonts w:hint="eastAsia" w:ascii="宋体"/>
          <w:sz w:val="24"/>
        </w:rPr>
        <w:t>（1）投标人只有在“政府采购云平台”完成获取招标文件申请并下载招标文件后才视作依法参与本项目。如未在“政府采购云平台”内完成相关流程，引起的投标无效责任自负。</w:t>
      </w:r>
    </w:p>
    <w:p>
      <w:pPr>
        <w:spacing w:after="50" w:line="400" w:lineRule="exact"/>
        <w:ind w:firstLine="480" w:firstLineChars="200"/>
        <w:rPr>
          <w:rFonts w:hint="eastAsia" w:ascii="宋体"/>
          <w:sz w:val="24"/>
        </w:rPr>
      </w:pPr>
      <w:r>
        <w:rPr>
          <w:rFonts w:hint="eastAsia" w:ascii="宋体"/>
          <w:sz w:val="24"/>
        </w:rPr>
        <w:t>（2）本项目为电子招标投标项目，投标人参与本项目全过程中凡涉及系统操作请详见《供应商政府采购项目电子交易操作指南》。（操作指南以政府采购云平台网站发布为准，操作指南请登录政府采购云平台后，点击“前台大厅—操作指南—供应商”处下载查看）。</w:t>
      </w:r>
    </w:p>
    <w:p>
      <w:pPr>
        <w:wordWrap w:val="0"/>
        <w:topLinePunct/>
        <w:spacing w:line="360" w:lineRule="auto"/>
        <w:ind w:firstLine="480" w:firstLineChars="200"/>
        <w:rPr>
          <w:rFonts w:hint="eastAsia" w:hAnsi="宋体" w:cs="宋体"/>
          <w:color w:val="auto"/>
          <w:sz w:val="24"/>
          <w:szCs w:val="24"/>
          <w:highlight w:val="none"/>
        </w:rPr>
      </w:pPr>
      <w:r>
        <w:rPr>
          <w:rFonts w:hint="eastAsia" w:ascii="宋体"/>
          <w:sz w:val="24"/>
        </w:rPr>
        <w:t>（3）投标资格不能转让。</w:t>
      </w:r>
    </w:p>
    <w:p>
      <w:pPr>
        <w:spacing w:after="50" w:line="420" w:lineRule="exact"/>
        <w:ind w:firstLine="472" w:firstLineChars="196"/>
        <w:rPr>
          <w:rFonts w:hint="eastAsia" w:ascii="宋体"/>
          <w:b/>
          <w:sz w:val="24"/>
          <w:highlight w:val="yellow"/>
        </w:rPr>
      </w:pPr>
      <w:r>
        <w:rPr>
          <w:rFonts w:hint="eastAsia" w:hAnsi="宋体" w:cs="宋体"/>
          <w:b/>
          <w:color w:val="auto"/>
          <w:sz w:val="24"/>
          <w:szCs w:val="28"/>
          <w:highlight w:val="none"/>
          <w:lang w:eastAsia="zh-CN"/>
        </w:rPr>
        <w:t>八</w:t>
      </w:r>
      <w:r>
        <w:rPr>
          <w:rFonts w:hint="eastAsia" w:hAnsi="宋体" w:cs="宋体"/>
          <w:b/>
          <w:color w:val="auto"/>
          <w:sz w:val="24"/>
          <w:szCs w:val="28"/>
          <w:highlight w:val="none"/>
        </w:rPr>
        <w:t>、</w:t>
      </w:r>
      <w:r>
        <w:rPr>
          <w:rFonts w:hint="eastAsia" w:ascii="宋体"/>
          <w:b/>
          <w:sz w:val="24"/>
        </w:rPr>
        <w:t>投标截止时间和开标时间：2021年</w:t>
      </w:r>
      <w:r>
        <w:rPr>
          <w:rFonts w:hint="eastAsia" w:ascii="宋体"/>
          <w:b/>
          <w:sz w:val="24"/>
          <w:lang w:val="en-US" w:eastAsia="zh-CN"/>
        </w:rPr>
        <w:t>8</w:t>
      </w:r>
      <w:r>
        <w:rPr>
          <w:rFonts w:hint="eastAsia" w:ascii="宋体"/>
          <w:b/>
          <w:sz w:val="24"/>
        </w:rPr>
        <w:t>月</w:t>
      </w:r>
      <w:r>
        <w:rPr>
          <w:rFonts w:hint="eastAsia" w:ascii="宋体"/>
          <w:b/>
          <w:sz w:val="24"/>
          <w:lang w:val="en-US" w:eastAsia="zh-CN"/>
        </w:rPr>
        <w:t>3</w:t>
      </w:r>
      <w:r>
        <w:rPr>
          <w:rFonts w:hint="eastAsia" w:ascii="宋体"/>
          <w:b/>
          <w:sz w:val="24"/>
        </w:rPr>
        <w:t>日</w:t>
      </w:r>
      <w:r>
        <w:rPr>
          <w:rFonts w:hint="eastAsia" w:ascii="宋体"/>
          <w:b/>
          <w:sz w:val="24"/>
          <w:lang w:val="en-US" w:eastAsia="zh-CN"/>
        </w:rPr>
        <w:t>0</w:t>
      </w:r>
      <w:r>
        <w:rPr>
          <w:rFonts w:hint="eastAsia" w:ascii="宋体"/>
          <w:b/>
          <w:sz w:val="24"/>
        </w:rPr>
        <w:t>9</w:t>
      </w:r>
      <w:r>
        <w:rPr>
          <w:rFonts w:hint="eastAsia" w:ascii="宋体"/>
          <w:b/>
          <w:sz w:val="24"/>
          <w:lang w:eastAsia="zh-CN"/>
        </w:rPr>
        <w:t>时</w:t>
      </w:r>
      <w:r>
        <w:rPr>
          <w:rFonts w:hint="eastAsia" w:ascii="宋体"/>
          <w:b/>
          <w:sz w:val="24"/>
        </w:rPr>
        <w:t>30</w:t>
      </w:r>
      <w:r>
        <w:rPr>
          <w:rFonts w:hint="eastAsia" w:ascii="宋体"/>
          <w:b/>
          <w:sz w:val="24"/>
          <w:lang w:eastAsia="zh-CN"/>
        </w:rPr>
        <w:t>分</w:t>
      </w:r>
      <w:r>
        <w:rPr>
          <w:rFonts w:hint="eastAsia" w:ascii="宋体"/>
          <w:b/>
          <w:sz w:val="24"/>
        </w:rPr>
        <w:t xml:space="preserve"> </w:t>
      </w:r>
      <w:r>
        <w:rPr>
          <w:rFonts w:hint="eastAsia" w:ascii="宋体"/>
          <w:sz w:val="24"/>
          <w:szCs w:val="28"/>
        </w:rPr>
        <w:t>（北京时间）</w:t>
      </w:r>
      <w:r>
        <w:rPr>
          <w:rFonts w:hint="eastAsia" w:ascii="宋体"/>
          <w:b/>
          <w:sz w:val="24"/>
        </w:rPr>
        <w:t>。</w:t>
      </w:r>
    </w:p>
    <w:p>
      <w:pPr>
        <w:pStyle w:val="13"/>
        <w:wordWrap w:val="0"/>
        <w:topLinePunct/>
        <w:spacing w:line="360" w:lineRule="auto"/>
        <w:ind w:firstLine="480"/>
        <w:rPr>
          <w:rFonts w:ascii="宋体" w:hAnsi="宋体" w:cs="宋体"/>
          <w:color w:val="auto"/>
          <w:sz w:val="24"/>
          <w:szCs w:val="28"/>
          <w:highlight w:val="none"/>
        </w:rPr>
      </w:pPr>
      <w:r>
        <w:rPr>
          <w:rFonts w:hint="eastAsia"/>
          <w:sz w:val="24"/>
          <w:szCs w:val="28"/>
        </w:rPr>
        <w:t>投标截止时间前，投标人应将加密的电子投标文件递交至“政府采购云平台”对应项目（包件）。本次招标不接受其他方式的投标文件。</w:t>
      </w:r>
    </w:p>
    <w:p>
      <w:pPr>
        <w:spacing w:after="50" w:line="400" w:lineRule="exact"/>
        <w:ind w:firstLine="489" w:firstLineChars="203"/>
        <w:rPr>
          <w:rFonts w:hint="eastAsia" w:ascii="宋体"/>
          <w:b/>
          <w:sz w:val="24"/>
        </w:rPr>
      </w:pPr>
      <w:r>
        <w:rPr>
          <w:rFonts w:hint="eastAsia" w:hAnsi="宋体" w:cs="宋体"/>
          <w:b/>
          <w:color w:val="auto"/>
          <w:sz w:val="24"/>
          <w:highlight w:val="none"/>
          <w:lang w:eastAsia="zh-CN"/>
        </w:rPr>
        <w:t>九</w:t>
      </w:r>
      <w:r>
        <w:rPr>
          <w:rFonts w:hint="eastAsia" w:hAnsi="宋体" w:cs="宋体"/>
          <w:b/>
          <w:color w:val="auto"/>
          <w:sz w:val="24"/>
          <w:highlight w:val="none"/>
        </w:rPr>
        <w:t>、</w:t>
      </w:r>
      <w:r>
        <w:rPr>
          <w:rFonts w:hint="eastAsia" w:ascii="宋体"/>
          <w:b/>
          <w:sz w:val="24"/>
        </w:rPr>
        <w:t>开标地点：</w:t>
      </w:r>
    </w:p>
    <w:p>
      <w:pPr>
        <w:spacing w:after="50" w:line="400" w:lineRule="exact"/>
        <w:ind w:firstLine="487" w:firstLineChars="203"/>
        <w:rPr>
          <w:rFonts w:hint="eastAsia" w:ascii="宋体"/>
          <w:bCs/>
          <w:sz w:val="24"/>
          <w:szCs w:val="28"/>
        </w:rPr>
      </w:pPr>
      <w:r>
        <w:rPr>
          <w:rFonts w:hint="eastAsia" w:ascii="宋体"/>
          <w:bCs/>
          <w:sz w:val="24"/>
          <w:szCs w:val="28"/>
        </w:rPr>
        <w:t>1、本项目为不见面开标项目。</w:t>
      </w:r>
    </w:p>
    <w:p>
      <w:pPr>
        <w:spacing w:after="50" w:line="400" w:lineRule="exact"/>
        <w:ind w:firstLine="487" w:firstLineChars="203"/>
        <w:rPr>
          <w:rFonts w:hint="eastAsia" w:ascii="宋体" w:eastAsia="宋体"/>
          <w:bCs/>
          <w:sz w:val="24"/>
          <w:szCs w:val="28"/>
          <w:lang w:val="en-US" w:eastAsia="zh-CN"/>
        </w:rPr>
      </w:pPr>
      <w:r>
        <w:rPr>
          <w:rFonts w:hint="eastAsia" w:ascii="宋体"/>
          <w:bCs/>
          <w:sz w:val="24"/>
          <w:szCs w:val="28"/>
        </w:rPr>
        <w:t>2、开标地点：政府采购云平台(https://www.zcygov.cn)</w:t>
      </w:r>
      <w:r>
        <w:rPr>
          <w:rFonts w:hint="eastAsia" w:ascii="宋体"/>
          <w:bCs/>
          <w:sz w:val="24"/>
          <w:szCs w:val="28"/>
          <w:lang w:eastAsia="zh-CN"/>
        </w:rPr>
        <w:t>。</w:t>
      </w:r>
    </w:p>
    <w:p>
      <w:pPr>
        <w:spacing w:after="50" w:line="400" w:lineRule="exact"/>
        <w:ind w:firstLine="487" w:firstLineChars="203"/>
        <w:rPr>
          <w:rFonts w:hint="eastAsia" w:ascii="宋体"/>
          <w:bCs/>
          <w:sz w:val="24"/>
          <w:szCs w:val="28"/>
        </w:rPr>
      </w:pPr>
      <w:r>
        <w:rPr>
          <w:rFonts w:hint="eastAsia" w:ascii="宋体"/>
          <w:bCs/>
          <w:sz w:val="24"/>
          <w:szCs w:val="28"/>
        </w:rPr>
        <w:t>3、本项目只接受投标人加密并递交至“政府采购云平台”的投标文件。</w:t>
      </w:r>
    </w:p>
    <w:p>
      <w:pPr>
        <w:wordWrap w:val="0"/>
        <w:topLinePunct/>
        <w:spacing w:line="360" w:lineRule="auto"/>
        <w:ind w:firstLine="480" w:firstLineChars="200"/>
        <w:rPr>
          <w:rFonts w:hAnsi="宋体" w:cs="宋体"/>
          <w:color w:val="auto"/>
          <w:sz w:val="24"/>
          <w:szCs w:val="28"/>
          <w:highlight w:val="none"/>
        </w:rPr>
      </w:pPr>
      <w:r>
        <w:rPr>
          <w:rFonts w:hint="eastAsia" w:ascii="宋体"/>
          <w:bCs/>
          <w:sz w:val="24"/>
          <w:szCs w:val="28"/>
        </w:rPr>
        <w:t>4、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60"/>
        <w:wordWrap w:val="0"/>
        <w:topLinePunct/>
        <w:ind w:firstLine="482"/>
        <w:rPr>
          <w:rFonts w:ascii="宋体" w:hAnsi="宋体" w:cs="宋体"/>
          <w:color w:val="auto"/>
          <w:sz w:val="24"/>
          <w:highlight w:val="none"/>
        </w:rPr>
      </w:pPr>
      <w:r>
        <w:rPr>
          <w:rFonts w:hint="eastAsia" w:ascii="宋体" w:hAnsi="宋体" w:cs="宋体"/>
          <w:b/>
          <w:color w:val="auto"/>
          <w:sz w:val="24"/>
          <w:highlight w:val="none"/>
        </w:rPr>
        <w:t>十、采购信息发布媒体：</w:t>
      </w:r>
      <w:r>
        <w:rPr>
          <w:rFonts w:hint="eastAsia" w:ascii="宋体" w:hAnsi="宋体" w:cs="宋体"/>
          <w:sz w:val="24"/>
        </w:rPr>
        <w:t>本投标邀请在四川政府采购网（http://www.ccgp-sichuan.gov.cn）上以公告形式发布，公告期限为发布之日起5个工作日</w:t>
      </w:r>
      <w:r>
        <w:rPr>
          <w:rFonts w:hint="eastAsia" w:ascii="宋体" w:hAnsi="宋体" w:cs="宋体"/>
          <w:color w:val="auto"/>
          <w:sz w:val="24"/>
          <w:highlight w:val="none"/>
        </w:rPr>
        <w:t>。</w:t>
      </w:r>
    </w:p>
    <w:p>
      <w:pPr>
        <w:tabs>
          <w:tab w:val="left" w:pos="2310"/>
        </w:tabs>
        <w:spacing w:line="360" w:lineRule="auto"/>
        <w:ind w:right="680" w:rightChars="200" w:firstLine="482" w:firstLineChars="200"/>
        <w:rPr>
          <w:rFonts w:hint="eastAsia" w:hAnsi="宋体" w:cs="宋体"/>
          <w:b/>
          <w:bCs/>
          <w:color w:val="auto"/>
          <w:kern w:val="2"/>
          <w:sz w:val="24"/>
          <w:szCs w:val="24"/>
          <w:highlight w:val="none"/>
          <w:lang w:val="zh-CN"/>
        </w:rPr>
      </w:pPr>
      <w:bookmarkStart w:id="13" w:name="OLE_LINK20"/>
      <w:r>
        <w:rPr>
          <w:rFonts w:hint="eastAsia" w:hAnsi="宋体" w:cs="宋体"/>
          <w:b/>
          <w:bCs/>
          <w:color w:val="auto"/>
          <w:kern w:val="2"/>
          <w:sz w:val="24"/>
          <w:szCs w:val="24"/>
          <w:highlight w:val="none"/>
          <w:lang w:val="zh-CN"/>
        </w:rPr>
        <w:t>十一、联系方式：</w:t>
      </w:r>
    </w:p>
    <w:p>
      <w:pPr>
        <w:tabs>
          <w:tab w:val="left" w:pos="2310"/>
        </w:tabs>
        <w:spacing w:line="360" w:lineRule="auto"/>
        <w:ind w:right="680" w:rightChars="200" w:firstLine="482" w:firstLineChars="200"/>
        <w:rPr>
          <w:rFonts w:hAnsi="宋体" w:cs="宋体"/>
          <w:color w:val="auto"/>
          <w:sz w:val="24"/>
          <w:szCs w:val="24"/>
          <w:highlight w:val="none"/>
        </w:rPr>
      </w:pPr>
      <w:r>
        <w:rPr>
          <w:rFonts w:hint="eastAsia" w:hAnsi="宋体" w:cs="宋体"/>
          <w:b/>
          <w:bCs/>
          <w:color w:val="auto"/>
          <w:kern w:val="2"/>
          <w:sz w:val="24"/>
          <w:szCs w:val="24"/>
          <w:highlight w:val="none"/>
          <w:lang w:val="zh-CN"/>
        </w:rPr>
        <w:t>采 购 人：</w:t>
      </w:r>
      <w:bookmarkEnd w:id="13"/>
      <w:r>
        <w:rPr>
          <w:rFonts w:hint="eastAsia" w:hAnsi="宋体" w:cs="宋体"/>
          <w:b/>
          <w:bCs/>
          <w:color w:val="auto"/>
          <w:kern w:val="2"/>
          <w:sz w:val="24"/>
          <w:szCs w:val="24"/>
          <w:highlight w:val="none"/>
          <w:lang w:val="zh-CN"/>
        </w:rPr>
        <w:t>崇州市水务局</w:t>
      </w:r>
    </w:p>
    <w:p>
      <w:pPr>
        <w:tabs>
          <w:tab w:val="left" w:pos="2310"/>
        </w:tabs>
        <w:spacing w:line="360" w:lineRule="auto"/>
        <w:ind w:right="680" w:rightChars="200" w:firstLine="480" w:firstLineChars="200"/>
        <w:rPr>
          <w:rFonts w:ascii="Calibri" w:hAnsi="宋体" w:cs="Times New Roman"/>
          <w:color w:val="auto"/>
          <w:sz w:val="24"/>
          <w:highlight w:val="none"/>
        </w:rPr>
      </w:pPr>
      <w:r>
        <w:rPr>
          <w:rFonts w:hint="eastAsia" w:hAnsi="宋体" w:cs="宋体"/>
          <w:color w:val="auto"/>
          <w:sz w:val="24"/>
          <w:szCs w:val="24"/>
          <w:highlight w:val="none"/>
        </w:rPr>
        <w:t>地</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址：崇州市崇阳街道崇庆北路456号</w:t>
      </w:r>
    </w:p>
    <w:p>
      <w:pPr>
        <w:tabs>
          <w:tab w:val="left" w:pos="2310"/>
        </w:tabs>
        <w:spacing w:line="360" w:lineRule="auto"/>
        <w:ind w:right="680" w:rightChars="200" w:firstLine="480" w:firstLineChars="200"/>
        <w:rPr>
          <w:rFonts w:hAnsi="宋体" w:cs="宋体"/>
          <w:color w:val="auto"/>
          <w:sz w:val="24"/>
          <w:szCs w:val="24"/>
          <w:highlight w:val="none"/>
        </w:rPr>
      </w:pPr>
      <w:r>
        <w:rPr>
          <w:rFonts w:hint="eastAsia" w:hAnsi="宋体" w:cs="宋体"/>
          <w:color w:val="auto"/>
          <w:sz w:val="24"/>
          <w:szCs w:val="24"/>
          <w:highlight w:val="none"/>
        </w:rPr>
        <w:t>联 系 人：</w:t>
      </w:r>
      <w:r>
        <w:rPr>
          <w:rFonts w:hint="eastAsia" w:hAnsi="宋体" w:cs="宋体"/>
          <w:color w:val="auto"/>
          <w:sz w:val="24"/>
          <w:szCs w:val="24"/>
          <w:highlight w:val="none"/>
          <w:lang w:eastAsia="zh-CN"/>
        </w:rPr>
        <w:t>张</w:t>
      </w:r>
      <w:r>
        <w:rPr>
          <w:rFonts w:hint="eastAsia" w:hAnsi="宋体" w:cs="宋体"/>
          <w:color w:val="auto"/>
          <w:sz w:val="24"/>
          <w:szCs w:val="24"/>
          <w:highlight w:val="none"/>
        </w:rPr>
        <w:t xml:space="preserve">女士 </w:t>
      </w:r>
    </w:p>
    <w:p>
      <w:pPr>
        <w:tabs>
          <w:tab w:val="left" w:pos="2310"/>
        </w:tabs>
        <w:spacing w:line="360" w:lineRule="auto"/>
        <w:ind w:right="680" w:rightChars="200" w:firstLine="480" w:firstLineChars="200"/>
        <w:rPr>
          <w:rFonts w:hAnsi="宋体" w:cs="宋体"/>
          <w:color w:val="auto"/>
          <w:sz w:val="24"/>
          <w:szCs w:val="24"/>
          <w:highlight w:val="none"/>
        </w:rPr>
      </w:pPr>
      <w:r>
        <w:rPr>
          <w:rFonts w:hint="eastAsia" w:hAnsi="宋体" w:cs="宋体"/>
          <w:color w:val="auto"/>
          <w:sz w:val="24"/>
          <w:szCs w:val="24"/>
          <w:highlight w:val="none"/>
        </w:rPr>
        <w:t>联系电话：028-82381159</w:t>
      </w:r>
    </w:p>
    <w:p>
      <w:pPr>
        <w:pStyle w:val="60"/>
        <w:ind w:firstLine="482"/>
        <w:rPr>
          <w:rFonts w:ascii="宋体" w:hAnsi="宋体" w:cs="宋体"/>
          <w:b/>
          <w:bCs/>
          <w:color w:val="auto"/>
          <w:sz w:val="24"/>
          <w:highlight w:val="none"/>
        </w:rPr>
      </w:pPr>
      <w:r>
        <w:rPr>
          <w:rFonts w:hint="eastAsia" w:ascii="宋体" w:hAnsi="宋体" w:cs="宋体"/>
          <w:b/>
          <w:bCs/>
          <w:color w:val="auto"/>
          <w:sz w:val="24"/>
          <w:highlight w:val="none"/>
        </w:rPr>
        <w:t>采购代理机构：</w:t>
      </w:r>
      <w:r>
        <w:rPr>
          <w:rFonts w:hint="eastAsia" w:ascii="宋体" w:hAnsi="宋体" w:cs="宋体"/>
          <w:b/>
          <w:bCs/>
          <w:color w:val="auto"/>
          <w:sz w:val="24"/>
          <w:highlight w:val="none"/>
          <w:lang w:val="zh-CN"/>
        </w:rPr>
        <w:t>成都倍信达工程管理咨询有限公司</w:t>
      </w:r>
    </w:p>
    <w:p>
      <w:pPr>
        <w:pStyle w:val="60"/>
        <w:ind w:firstLine="480"/>
        <w:rPr>
          <w:rFonts w:ascii="宋体" w:hAnsi="宋体" w:cs="宋体"/>
          <w:color w:val="auto"/>
          <w:sz w:val="24"/>
          <w:highlight w:val="none"/>
          <w:lang w:val="zh-CN"/>
        </w:rPr>
      </w:pPr>
      <w:r>
        <w:rPr>
          <w:rFonts w:hint="eastAsia" w:ascii="宋体" w:hAnsi="宋体" w:cs="宋体"/>
          <w:color w:val="auto"/>
          <w:sz w:val="24"/>
          <w:highlight w:val="none"/>
        </w:rPr>
        <w:t>地    址：</w:t>
      </w:r>
      <w:r>
        <w:rPr>
          <w:rFonts w:hint="eastAsia" w:ascii="宋体" w:hAnsi="宋体" w:cs="宋体"/>
          <w:color w:val="auto"/>
          <w:sz w:val="24"/>
          <w:highlight w:val="none"/>
          <w:lang w:val="zh-CN"/>
        </w:rPr>
        <w:t>成都市崇州市世纪大道1607号三楼308室</w:t>
      </w:r>
    </w:p>
    <w:p>
      <w:pPr>
        <w:pStyle w:val="60"/>
        <w:ind w:firstLine="480"/>
        <w:rPr>
          <w:rFonts w:ascii="宋体" w:hAnsi="宋体" w:cs="宋体"/>
          <w:color w:val="auto"/>
          <w:sz w:val="24"/>
          <w:highlight w:val="none"/>
        </w:rPr>
      </w:pPr>
      <w:r>
        <w:rPr>
          <w:rFonts w:hint="eastAsia" w:ascii="宋体" w:hAnsi="宋体" w:cs="宋体"/>
          <w:color w:val="auto"/>
          <w:sz w:val="24"/>
          <w:highlight w:val="none"/>
        </w:rPr>
        <w:t>联 系 人：李女士</w:t>
      </w:r>
    </w:p>
    <w:p>
      <w:pPr>
        <w:pStyle w:val="60"/>
        <w:ind w:firstLine="480"/>
        <w:rPr>
          <w:rFonts w:hint="eastAsia" w:hAnsi="宋体" w:cs="宋体"/>
          <w:b/>
          <w:color w:val="auto"/>
          <w:sz w:val="36"/>
          <w:highlight w:val="none"/>
        </w:rPr>
      </w:pPr>
      <w:r>
        <w:rPr>
          <w:rFonts w:hint="eastAsia" w:ascii="宋体" w:hAnsi="宋体" w:cs="宋体"/>
          <w:color w:val="auto"/>
          <w:sz w:val="24"/>
          <w:highlight w:val="none"/>
        </w:rPr>
        <w:t>联系电话：028-82235987</w:t>
      </w:r>
    </w:p>
    <w:p>
      <w:pPr>
        <w:spacing w:afterLines="50" w:line="360" w:lineRule="auto"/>
        <w:jc w:val="center"/>
        <w:outlineLvl w:val="0"/>
        <w:rPr>
          <w:rFonts w:hint="eastAsia" w:hAnsi="宋体" w:cs="宋体"/>
          <w:b/>
          <w:color w:val="auto"/>
          <w:sz w:val="36"/>
          <w:highlight w:val="none"/>
        </w:rPr>
      </w:pPr>
    </w:p>
    <w:p>
      <w:pPr>
        <w:spacing w:afterLines="50" w:line="360" w:lineRule="auto"/>
        <w:jc w:val="right"/>
        <w:outlineLvl w:val="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2021年7月</w:t>
      </w:r>
    </w:p>
    <w:p>
      <w:pPr>
        <w:spacing w:afterLines="50" w:line="360" w:lineRule="auto"/>
        <w:jc w:val="center"/>
        <w:outlineLvl w:val="0"/>
        <w:rPr>
          <w:rFonts w:hAnsi="宋体" w:cs="宋体"/>
          <w:b/>
          <w:color w:val="auto"/>
          <w:sz w:val="36"/>
          <w:highlight w:val="none"/>
        </w:rPr>
      </w:pPr>
      <w:r>
        <w:rPr>
          <w:rFonts w:hint="eastAsia" w:hAnsi="宋体" w:cs="宋体"/>
          <w:b w:val="0"/>
          <w:bCs/>
          <w:color w:val="auto"/>
          <w:sz w:val="24"/>
          <w:szCs w:val="24"/>
          <w:highlight w:val="none"/>
        </w:rPr>
        <w:br w:type="page"/>
      </w:r>
      <w:bookmarkStart w:id="14" w:name="_Toc18419"/>
      <w:bookmarkStart w:id="15" w:name="_Toc3856"/>
      <w:bookmarkStart w:id="16" w:name="_Toc25668"/>
      <w:bookmarkStart w:id="17" w:name="_Toc7416"/>
      <w:bookmarkStart w:id="18" w:name="_Toc29899"/>
      <w:r>
        <w:rPr>
          <w:rFonts w:hint="eastAsia" w:hAnsi="宋体" w:cs="宋体"/>
          <w:b/>
          <w:color w:val="auto"/>
          <w:sz w:val="36"/>
          <w:szCs w:val="36"/>
          <w:highlight w:val="none"/>
        </w:rPr>
        <w:t>第二章 投标人须知</w:t>
      </w:r>
      <w:bookmarkEnd w:id="8"/>
      <w:bookmarkEnd w:id="9"/>
      <w:bookmarkEnd w:id="10"/>
      <w:bookmarkEnd w:id="11"/>
      <w:bookmarkEnd w:id="12"/>
      <w:bookmarkEnd w:id="14"/>
      <w:bookmarkEnd w:id="15"/>
      <w:bookmarkEnd w:id="16"/>
      <w:bookmarkEnd w:id="17"/>
      <w:bookmarkEnd w:id="18"/>
    </w:p>
    <w:p>
      <w:pPr>
        <w:pStyle w:val="4"/>
        <w:spacing w:before="0" w:after="0" w:line="400" w:lineRule="exact"/>
        <w:jc w:val="center"/>
        <w:rPr>
          <w:rFonts w:ascii="宋体" w:hAnsi="宋体" w:eastAsia="宋体" w:cs="宋体"/>
          <w:bCs w:val="0"/>
          <w:color w:val="auto"/>
          <w:highlight w:val="none"/>
        </w:rPr>
      </w:pPr>
      <w:bookmarkStart w:id="19" w:name="_Toc189727030"/>
      <w:bookmarkStart w:id="20" w:name="_Toc213396946"/>
      <w:bookmarkStart w:id="21" w:name="_Toc327196261"/>
      <w:bookmarkStart w:id="22" w:name="_Toc213397010"/>
      <w:bookmarkStart w:id="23" w:name="_Toc28824"/>
      <w:bookmarkStart w:id="24" w:name="_Toc16580"/>
      <w:bookmarkStart w:id="25" w:name="_Toc213396760"/>
      <w:bookmarkStart w:id="26" w:name="_Toc14035"/>
      <w:bookmarkStart w:id="27" w:name="_Toc217446032"/>
      <w:bookmarkStart w:id="28" w:name="_Toc213496268"/>
      <w:bookmarkStart w:id="29" w:name="_Toc31215"/>
      <w:r>
        <w:rPr>
          <w:rFonts w:hint="eastAsia" w:ascii="宋体" w:hAnsi="宋体" w:eastAsia="宋体" w:cs="宋体"/>
          <w:bCs w:val="0"/>
          <w:color w:val="auto"/>
          <w:highlight w:val="none"/>
        </w:rPr>
        <w:t>一、投标人须知附表</w:t>
      </w:r>
      <w:bookmarkEnd w:id="19"/>
      <w:bookmarkEnd w:id="20"/>
      <w:bookmarkEnd w:id="21"/>
      <w:bookmarkEnd w:id="22"/>
      <w:bookmarkEnd w:id="23"/>
      <w:bookmarkEnd w:id="24"/>
      <w:bookmarkEnd w:id="25"/>
      <w:bookmarkEnd w:id="26"/>
      <w:bookmarkEnd w:id="27"/>
      <w:bookmarkEnd w:id="28"/>
      <w:bookmarkEnd w:id="29"/>
    </w:p>
    <w:tbl>
      <w:tblPr>
        <w:tblStyle w:val="3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159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910" w:type="dxa"/>
            <w:vAlign w:val="center"/>
          </w:tcPr>
          <w:p>
            <w:pPr>
              <w:pStyle w:val="63"/>
              <w:spacing w:line="320" w:lineRule="exact"/>
              <w:ind w:left="9"/>
              <w:jc w:val="center"/>
              <w:rPr>
                <w:rFonts w:hint="eastAsia" w:ascii="宋体" w:hAnsi="宋体" w:eastAsia="宋体" w:cs="宋体"/>
                <w:color w:val="auto"/>
                <w:sz w:val="21"/>
                <w:szCs w:val="21"/>
                <w:highlight w:val="none"/>
                <w:lang w:val="zh-CN"/>
              </w:rPr>
            </w:pPr>
            <w:bookmarkStart w:id="30" w:name="_Toc327196262"/>
            <w:r>
              <w:rPr>
                <w:rFonts w:hint="eastAsia" w:ascii="宋体" w:hAnsi="宋体" w:eastAsia="宋体" w:cs="宋体"/>
                <w:color w:val="auto"/>
                <w:sz w:val="21"/>
                <w:szCs w:val="21"/>
                <w:highlight w:val="none"/>
                <w:lang w:val="zh-CN"/>
              </w:rPr>
              <w:t>序 号</w:t>
            </w:r>
          </w:p>
        </w:tc>
        <w:tc>
          <w:tcPr>
            <w:tcW w:w="1596" w:type="dxa"/>
            <w:vAlign w:val="center"/>
          </w:tcPr>
          <w:p>
            <w:pPr>
              <w:pStyle w:val="63"/>
              <w:spacing w:line="320" w:lineRule="exact"/>
              <w:ind w:left="38"/>
              <w:jc w:val="center"/>
              <w:rPr>
                <w:color w:val="auto"/>
                <w:sz w:val="21"/>
                <w:szCs w:val="21"/>
                <w:highlight w:val="none"/>
                <w:lang w:val="zh-CN"/>
              </w:rPr>
            </w:pPr>
            <w:r>
              <w:rPr>
                <w:rFonts w:hint="eastAsia"/>
                <w:color w:val="auto"/>
                <w:sz w:val="21"/>
                <w:szCs w:val="21"/>
                <w:highlight w:val="none"/>
              </w:rPr>
              <w:t>条款名称</w:t>
            </w:r>
          </w:p>
        </w:tc>
        <w:tc>
          <w:tcPr>
            <w:tcW w:w="7244" w:type="dxa"/>
            <w:vAlign w:val="center"/>
          </w:tcPr>
          <w:p>
            <w:pPr>
              <w:pStyle w:val="63"/>
              <w:spacing w:line="320" w:lineRule="exact"/>
              <w:ind w:left="78" w:leftChars="23" w:right="51" w:rightChars="15"/>
              <w:jc w:val="center"/>
              <w:rPr>
                <w:color w:val="auto"/>
                <w:sz w:val="21"/>
                <w:szCs w:val="21"/>
                <w:highlight w:val="none"/>
                <w:lang w:val="zh-CN"/>
              </w:rPr>
            </w:pPr>
            <w:r>
              <w:rPr>
                <w:rFonts w:hint="eastAsia"/>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lang w:val="zh-CN"/>
              </w:rPr>
            </w:pPr>
          </w:p>
        </w:tc>
        <w:tc>
          <w:tcPr>
            <w:tcW w:w="1596" w:type="dxa"/>
            <w:vAlign w:val="center"/>
          </w:tcPr>
          <w:p>
            <w:pPr>
              <w:pStyle w:val="63"/>
              <w:spacing w:line="320" w:lineRule="exact"/>
              <w:ind w:left="38"/>
              <w:jc w:val="center"/>
              <w:rPr>
                <w:color w:val="auto"/>
                <w:sz w:val="21"/>
                <w:szCs w:val="21"/>
                <w:highlight w:val="none"/>
              </w:rPr>
            </w:pPr>
            <w:r>
              <w:rPr>
                <w:rFonts w:hint="eastAsia"/>
                <w:color w:val="auto"/>
                <w:sz w:val="21"/>
                <w:szCs w:val="21"/>
                <w:highlight w:val="none"/>
              </w:rPr>
              <w:t>采购预算和最高限价</w:t>
            </w:r>
          </w:p>
          <w:p>
            <w:pPr>
              <w:pStyle w:val="63"/>
              <w:spacing w:line="320" w:lineRule="exact"/>
              <w:ind w:left="38"/>
              <w:jc w:val="center"/>
              <w:rPr>
                <w:color w:val="auto"/>
                <w:sz w:val="21"/>
                <w:szCs w:val="21"/>
                <w:highlight w:val="none"/>
                <w:lang w:val="zh-CN"/>
              </w:rPr>
            </w:pPr>
            <w:r>
              <w:rPr>
                <w:rFonts w:hint="eastAsia"/>
                <w:color w:val="auto"/>
                <w:sz w:val="21"/>
                <w:szCs w:val="21"/>
                <w:highlight w:val="none"/>
              </w:rPr>
              <w:t>(实质性要求)</w:t>
            </w:r>
          </w:p>
        </w:tc>
        <w:tc>
          <w:tcPr>
            <w:tcW w:w="7244" w:type="dxa"/>
            <w:vAlign w:val="center"/>
          </w:tcPr>
          <w:p>
            <w:pPr>
              <w:pStyle w:val="63"/>
              <w:numPr>
                <w:ilvl w:val="0"/>
                <w:numId w:val="4"/>
              </w:numPr>
              <w:spacing w:line="320" w:lineRule="exact"/>
              <w:ind w:left="78" w:leftChars="23" w:right="51" w:rightChars="15"/>
              <w:jc w:val="both"/>
              <w:rPr>
                <w:rFonts w:hint="eastAsia"/>
                <w:color w:val="auto"/>
                <w:sz w:val="21"/>
                <w:szCs w:val="21"/>
                <w:highlight w:val="none"/>
              </w:rPr>
            </w:pPr>
            <w:r>
              <w:rPr>
                <w:rFonts w:hint="eastAsia"/>
                <w:color w:val="auto"/>
                <w:sz w:val="21"/>
                <w:szCs w:val="21"/>
                <w:highlight w:val="none"/>
              </w:rPr>
              <w:t>采购预算</w:t>
            </w:r>
            <w:r>
              <w:rPr>
                <w:rFonts w:hint="eastAsia"/>
                <w:color w:val="auto"/>
                <w:sz w:val="21"/>
                <w:szCs w:val="21"/>
                <w:highlight w:val="none"/>
                <w:lang w:eastAsia="zh-CN"/>
              </w:rPr>
              <w:t>：</w:t>
            </w:r>
            <w:r>
              <w:rPr>
                <w:rFonts w:hint="eastAsia"/>
                <w:color w:val="auto"/>
                <w:sz w:val="21"/>
                <w:szCs w:val="21"/>
                <w:highlight w:val="none"/>
                <w:lang w:val="en-US" w:eastAsia="zh-CN"/>
              </w:rPr>
              <w:t>3630万元/年</w:t>
            </w:r>
          </w:p>
          <w:p>
            <w:pPr>
              <w:pStyle w:val="63"/>
              <w:spacing w:line="320" w:lineRule="exact"/>
              <w:ind w:left="78" w:leftChars="23" w:right="51" w:rightChars="15"/>
              <w:jc w:val="both"/>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.最高限价：</w:t>
            </w:r>
            <w:r>
              <w:rPr>
                <w:rFonts w:hint="eastAsia"/>
                <w:color w:val="auto"/>
                <w:sz w:val="21"/>
                <w:szCs w:val="21"/>
                <w:highlight w:val="none"/>
                <w:lang w:eastAsia="zh-CN"/>
              </w:rPr>
              <w:t>污水处理服务单价为</w:t>
            </w:r>
            <w:r>
              <w:rPr>
                <w:rFonts w:hint="eastAsia"/>
                <w:color w:val="auto"/>
                <w:sz w:val="21"/>
                <w:szCs w:val="21"/>
                <w:highlight w:val="none"/>
                <w:lang w:val="en-US" w:eastAsia="zh-CN"/>
              </w:rPr>
              <w:t>4.15元/吨。</w:t>
            </w:r>
          </w:p>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lang w:val="zh-CN"/>
              </w:rPr>
              <w:t>注：投标报价超过最高限价的报价为无效投标</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lang w:val="zh-CN"/>
              </w:rPr>
            </w:pPr>
          </w:p>
        </w:tc>
        <w:tc>
          <w:tcPr>
            <w:tcW w:w="1596" w:type="dxa"/>
            <w:vAlign w:val="center"/>
          </w:tcPr>
          <w:p>
            <w:pPr>
              <w:pStyle w:val="63"/>
              <w:spacing w:line="320" w:lineRule="exact"/>
              <w:ind w:left="38"/>
              <w:jc w:val="center"/>
              <w:rPr>
                <w:color w:val="auto"/>
                <w:sz w:val="21"/>
                <w:szCs w:val="21"/>
                <w:highlight w:val="none"/>
                <w:lang w:val="zh-CN"/>
              </w:rPr>
            </w:pPr>
            <w:r>
              <w:rPr>
                <w:rFonts w:hint="eastAsia"/>
                <w:color w:val="auto"/>
                <w:sz w:val="21"/>
                <w:szCs w:val="21"/>
                <w:highlight w:val="none"/>
                <w:lang w:val="zh-CN"/>
              </w:rPr>
              <w:t>采购方式</w:t>
            </w:r>
          </w:p>
        </w:tc>
        <w:tc>
          <w:tcPr>
            <w:tcW w:w="7244" w:type="dxa"/>
            <w:vAlign w:val="center"/>
          </w:tcPr>
          <w:p>
            <w:pPr>
              <w:pStyle w:val="63"/>
              <w:spacing w:line="320" w:lineRule="exact"/>
              <w:ind w:left="78" w:leftChars="23" w:right="51" w:rightChars="15"/>
              <w:jc w:val="both"/>
              <w:rPr>
                <w:color w:val="auto"/>
                <w:sz w:val="21"/>
                <w:szCs w:val="21"/>
                <w:highlight w:val="none"/>
                <w:lang w:val="zh-CN"/>
              </w:rPr>
            </w:pPr>
            <w:r>
              <w:rPr>
                <w:rFonts w:hint="eastAsia"/>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lang w:val="zh-CN"/>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评标方法</w:t>
            </w:r>
          </w:p>
        </w:tc>
        <w:tc>
          <w:tcPr>
            <w:tcW w:w="7244" w:type="dxa"/>
            <w:vAlign w:val="center"/>
          </w:tcPr>
          <w:p>
            <w:pPr>
              <w:pStyle w:val="63"/>
              <w:spacing w:line="320" w:lineRule="exact"/>
              <w:ind w:left="78" w:leftChars="23" w:right="51" w:rightChars="15"/>
              <w:rPr>
                <w:color w:val="auto"/>
                <w:sz w:val="21"/>
                <w:szCs w:val="21"/>
                <w:highlight w:val="none"/>
                <w:lang w:val="zh-CN"/>
              </w:rPr>
            </w:pPr>
            <w:r>
              <w:rPr>
                <w:rFonts w:hint="eastAsia"/>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服务期限</w:t>
            </w:r>
          </w:p>
        </w:tc>
        <w:tc>
          <w:tcPr>
            <w:tcW w:w="7244" w:type="dxa"/>
            <w:vAlign w:val="center"/>
          </w:tcPr>
          <w:p>
            <w:pPr>
              <w:pStyle w:val="63"/>
              <w:spacing w:line="320" w:lineRule="exact"/>
              <w:ind w:right="51" w:rightChars="15"/>
              <w:rPr>
                <w:color w:val="auto"/>
                <w:sz w:val="21"/>
                <w:szCs w:val="21"/>
                <w:highlight w:val="none"/>
              </w:rPr>
            </w:pPr>
            <w:r>
              <w:rPr>
                <w:rFonts w:hint="eastAsia"/>
                <w:color w:val="auto"/>
                <w:sz w:val="21"/>
                <w:szCs w:val="21"/>
                <w:highlight w:val="none"/>
                <w:lang w:val="en-US" w:eastAsia="zh-CN"/>
              </w:rPr>
              <w:t>自合同签订后，本项目运营期三年，合同一年一签。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质量要求、验收标准</w:t>
            </w:r>
          </w:p>
        </w:tc>
        <w:tc>
          <w:tcPr>
            <w:tcW w:w="7244" w:type="dxa"/>
            <w:vAlign w:val="center"/>
          </w:tcPr>
          <w:p>
            <w:pPr>
              <w:pStyle w:val="63"/>
              <w:spacing w:line="320" w:lineRule="exact"/>
              <w:ind w:left="78" w:leftChars="23" w:right="51" w:rightChars="15"/>
              <w:rPr>
                <w:color w:val="auto"/>
                <w:sz w:val="21"/>
                <w:szCs w:val="21"/>
                <w:highlight w:val="none"/>
              </w:rPr>
            </w:pPr>
            <w:r>
              <w:rPr>
                <w:rFonts w:hint="eastAsia"/>
                <w:color w:val="auto"/>
                <w:sz w:val="21"/>
                <w:szCs w:val="21"/>
                <w:highlight w:val="none"/>
              </w:rPr>
              <w:t>质量要求：达到国家相关标准、行业标准、地方标准或者其他标准、规范要求；</w:t>
            </w:r>
          </w:p>
          <w:p>
            <w:pPr>
              <w:pStyle w:val="63"/>
              <w:spacing w:line="320" w:lineRule="exact"/>
              <w:ind w:left="78" w:leftChars="23" w:right="51" w:rightChars="15"/>
              <w:rPr>
                <w:color w:val="auto"/>
                <w:sz w:val="21"/>
                <w:szCs w:val="21"/>
                <w:highlight w:val="none"/>
              </w:rPr>
            </w:pPr>
            <w:r>
              <w:rPr>
                <w:rFonts w:hint="eastAsia"/>
                <w:color w:val="auto"/>
                <w:sz w:val="21"/>
                <w:szCs w:val="21"/>
                <w:highlight w:val="none"/>
              </w:rPr>
              <w:t>验收标准：中标人与采购人应严格按照《财政部关于进一步加强政府采购需求和履约验收管理的指导意见》(财库〔2016〕205号)的要求进行验收。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现场考察、标前答疑会</w:t>
            </w:r>
          </w:p>
        </w:tc>
        <w:tc>
          <w:tcPr>
            <w:tcW w:w="7244" w:type="dxa"/>
            <w:vAlign w:val="center"/>
          </w:tcPr>
          <w:p>
            <w:pPr>
              <w:pStyle w:val="63"/>
              <w:wordWrap w:val="0"/>
              <w:topLinePunct/>
              <w:spacing w:line="320" w:lineRule="exact"/>
              <w:ind w:right="170" w:rightChars="50"/>
              <w:jc w:val="both"/>
              <w:rPr>
                <w:color w:val="auto"/>
                <w:sz w:val="21"/>
                <w:szCs w:val="21"/>
                <w:highlight w:val="none"/>
              </w:rPr>
            </w:pPr>
            <w:r>
              <w:rPr>
                <w:rFonts w:hint="eastAsia"/>
                <w:color w:val="auto"/>
                <w:sz w:val="21"/>
                <w:szCs w:val="21"/>
                <w:highlight w:val="none"/>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63"/>
              <w:spacing w:line="320" w:lineRule="exact"/>
              <w:ind w:left="78" w:leftChars="23" w:right="51" w:rightChars="15"/>
              <w:rPr>
                <w:color w:val="auto"/>
                <w:sz w:val="21"/>
                <w:szCs w:val="21"/>
                <w:highlight w:val="none"/>
              </w:rPr>
            </w:pPr>
            <w:r>
              <w:rPr>
                <w:rFonts w:hint="eastAsia"/>
                <w:color w:val="auto"/>
                <w:sz w:val="21"/>
                <w:szCs w:val="21"/>
                <w:highlight w:val="none"/>
              </w:rPr>
              <w:t>2.投标人考察现场所发生的一切费用由投标人自己承担。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highlight w:val="none"/>
                <w:lang w:val="zh-CN"/>
              </w:rPr>
            </w:pPr>
          </w:p>
        </w:tc>
        <w:tc>
          <w:tcPr>
            <w:tcW w:w="1596" w:type="dxa"/>
            <w:vAlign w:val="center"/>
          </w:tcPr>
          <w:p>
            <w:pPr>
              <w:pStyle w:val="63"/>
              <w:spacing w:line="320" w:lineRule="exact"/>
              <w:ind w:left="96"/>
              <w:jc w:val="center"/>
              <w:rPr>
                <w:rFonts w:ascii="Calibri" w:hAnsi="Calibri" w:cs="Times New Roman"/>
                <w:color w:val="auto"/>
                <w:sz w:val="21"/>
                <w:highlight w:val="none"/>
                <w:lang w:val="zh-CN"/>
              </w:rPr>
            </w:pPr>
            <w:r>
              <w:rPr>
                <w:rFonts w:hint="eastAsia" w:ascii="Calibri" w:hAnsi="Calibri" w:cs="Times New Roman"/>
                <w:color w:val="auto"/>
                <w:sz w:val="21"/>
                <w:highlight w:val="none"/>
                <w:lang w:val="zh-CN"/>
              </w:rPr>
              <w:t>投标保证金</w:t>
            </w:r>
            <w:r>
              <w:rPr>
                <w:rFonts w:ascii="Calibri" w:hAnsi="Calibri" w:cs="Times New Roman"/>
                <w:color w:val="auto"/>
                <w:sz w:val="21"/>
                <w:highlight w:val="none"/>
              </w:rPr>
              <w:t>(</w:t>
            </w:r>
            <w:r>
              <w:rPr>
                <w:rFonts w:hint="eastAsia" w:ascii="Calibri" w:hAnsi="Calibri" w:cs="Times New Roman"/>
                <w:color w:val="auto"/>
                <w:sz w:val="21"/>
                <w:highlight w:val="none"/>
              </w:rPr>
              <w:t>实质性要求</w:t>
            </w:r>
            <w:r>
              <w:rPr>
                <w:rFonts w:ascii="Calibri" w:hAnsi="Calibri" w:cs="Times New Roman"/>
                <w:color w:val="auto"/>
                <w:sz w:val="21"/>
                <w:highlight w:val="none"/>
              </w:rPr>
              <w:t>)</w:t>
            </w:r>
          </w:p>
        </w:tc>
        <w:tc>
          <w:tcPr>
            <w:tcW w:w="7244" w:type="dxa"/>
            <w:vAlign w:val="center"/>
          </w:tcPr>
          <w:p>
            <w:pPr>
              <w:spacing w:line="320" w:lineRule="exact"/>
              <w:ind w:left="78" w:leftChars="23" w:right="51" w:rightChars="15"/>
              <w:rPr>
                <w:rFonts w:ascii="Calibri" w:hAnsi="宋体" w:cs="Times New Roman"/>
                <w:color w:val="auto"/>
                <w:sz w:val="21"/>
                <w:highlight w:val="none"/>
                <w:lang w:val="zh-CN"/>
              </w:rPr>
            </w:pPr>
            <w:r>
              <w:rPr>
                <w:rFonts w:hint="eastAsia" w:ascii="Calibri" w:hAnsi="宋体" w:cs="Times New Roman"/>
                <w:color w:val="auto"/>
                <w:sz w:val="21"/>
                <w:highlight w:val="none"/>
                <w:lang w:val="zh-CN"/>
              </w:rPr>
              <w:t>根据四川省财政厅关于进一步做好疫情防控期间政府采购工作有关事项的通知（川财采【</w:t>
            </w:r>
            <w:r>
              <w:rPr>
                <w:rFonts w:ascii="Calibri" w:hAnsi="宋体" w:cs="Times New Roman"/>
                <w:color w:val="auto"/>
                <w:sz w:val="21"/>
                <w:highlight w:val="none"/>
                <w:lang w:val="zh-CN"/>
              </w:rPr>
              <w:t>2020</w:t>
            </w:r>
            <w:r>
              <w:rPr>
                <w:rFonts w:hint="eastAsia" w:ascii="Calibri" w:hAnsi="宋体" w:cs="Times New Roman"/>
                <w:color w:val="auto"/>
                <w:sz w:val="21"/>
                <w:highlight w:val="none"/>
                <w:lang w:val="zh-CN"/>
              </w:rPr>
              <w:t>】</w:t>
            </w:r>
            <w:r>
              <w:rPr>
                <w:rFonts w:ascii="Calibri" w:hAnsi="宋体" w:cs="Times New Roman"/>
                <w:color w:val="auto"/>
                <w:sz w:val="21"/>
                <w:highlight w:val="none"/>
                <w:lang w:val="zh-CN"/>
              </w:rPr>
              <w:t>28</w:t>
            </w:r>
            <w:r>
              <w:rPr>
                <w:rFonts w:hint="eastAsia" w:ascii="Calibri" w:hAnsi="宋体" w:cs="Times New Roman"/>
                <w:color w:val="auto"/>
                <w:sz w:val="21"/>
                <w:highlight w:val="none"/>
                <w:lang w:val="zh-CN"/>
              </w:rPr>
              <w:t>号），疫情防控期间不收取投标保证金。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rFonts w:ascii="Calibri" w:hAnsi="Calibri" w:cs="Times New Roman"/>
                <w:color w:val="auto"/>
                <w:sz w:val="21"/>
                <w:highlight w:val="none"/>
              </w:rPr>
            </w:pPr>
            <w:r>
              <w:rPr>
                <w:rFonts w:hint="eastAsia" w:ascii="Calibri" w:hAnsi="Calibri" w:cs="Times New Roman"/>
                <w:color w:val="auto"/>
                <w:sz w:val="21"/>
                <w:highlight w:val="none"/>
              </w:rPr>
              <w:t>履约保证金</w:t>
            </w:r>
          </w:p>
          <w:p>
            <w:pPr>
              <w:pStyle w:val="63"/>
              <w:spacing w:line="320" w:lineRule="exact"/>
              <w:ind w:left="96"/>
              <w:jc w:val="center"/>
              <w:rPr>
                <w:rFonts w:ascii="Calibri" w:hAnsi="Calibri" w:cs="Times New Roman"/>
                <w:color w:val="auto"/>
                <w:sz w:val="21"/>
                <w:highlight w:val="none"/>
              </w:rPr>
            </w:pPr>
            <w:r>
              <w:rPr>
                <w:rFonts w:hint="eastAsia" w:ascii="Calibri" w:hAnsi="Calibri" w:cs="Times New Roman"/>
                <w:color w:val="auto"/>
                <w:sz w:val="21"/>
                <w:highlight w:val="none"/>
              </w:rPr>
              <w:t>(实质性要求)</w:t>
            </w:r>
          </w:p>
        </w:tc>
        <w:tc>
          <w:tcPr>
            <w:tcW w:w="7244" w:type="dxa"/>
            <w:vAlign w:val="center"/>
          </w:tcPr>
          <w:p>
            <w:pPr>
              <w:spacing w:line="320" w:lineRule="exact"/>
              <w:ind w:left="78" w:leftChars="23" w:right="51" w:rightChars="15"/>
              <w:rPr>
                <w:rFonts w:ascii="Calibri" w:hAnsi="宋体" w:cs="Times New Roman"/>
                <w:color w:val="auto"/>
                <w:sz w:val="21"/>
                <w:highlight w:val="none"/>
              </w:rPr>
            </w:pPr>
            <w:r>
              <w:rPr>
                <w:rFonts w:hint="eastAsia" w:ascii="Calibri" w:hAnsi="宋体" w:cs="Times New Roman"/>
                <w:color w:val="auto"/>
                <w:sz w:val="21"/>
                <w:highlight w:val="none"/>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联合体投标</w:t>
            </w:r>
          </w:p>
          <w:p>
            <w:pPr>
              <w:pStyle w:val="63"/>
              <w:spacing w:line="320" w:lineRule="exact"/>
              <w:ind w:left="96"/>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本项目</w:t>
            </w:r>
            <w:r>
              <w:rPr>
                <w:rFonts w:hint="eastAsia" w:hAnsi="宋体" w:cs="宋体"/>
                <w:color w:val="auto"/>
                <w:sz w:val="21"/>
                <w:szCs w:val="21"/>
                <w:highlight w:val="none"/>
                <w:lang w:eastAsia="zh-CN"/>
              </w:rPr>
              <w:t>不</w:t>
            </w:r>
            <w:r>
              <w:rPr>
                <w:rFonts w:hint="eastAsia" w:hAnsi="宋体" w:cs="宋体"/>
                <w:color w:val="auto"/>
                <w:sz w:val="21"/>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投标有效期</w:t>
            </w:r>
          </w:p>
          <w:p>
            <w:pPr>
              <w:pStyle w:val="63"/>
              <w:spacing w:line="320" w:lineRule="exact"/>
              <w:ind w:left="96"/>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备选投标方案和报价</w:t>
            </w:r>
          </w:p>
        </w:tc>
        <w:tc>
          <w:tcPr>
            <w:tcW w:w="7244" w:type="dxa"/>
            <w:vAlign w:val="center"/>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rPr>
              <w:t>招标</w:t>
            </w:r>
            <w:r>
              <w:rPr>
                <w:rFonts w:hint="eastAsia"/>
                <w:color w:val="auto"/>
                <w:sz w:val="21"/>
                <w:szCs w:val="21"/>
                <w:highlight w:val="none"/>
                <w:lang w:val="zh-CN"/>
              </w:rPr>
              <w:t>代理</w:t>
            </w:r>
          </w:p>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服务费</w:t>
            </w:r>
          </w:p>
        </w:tc>
        <w:tc>
          <w:tcPr>
            <w:tcW w:w="7244" w:type="dxa"/>
            <w:vAlign w:val="center"/>
          </w:tcPr>
          <w:p>
            <w:pPr>
              <w:numPr>
                <w:ilvl w:val="0"/>
                <w:numId w:val="5"/>
              </w:num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收取标准：</w:t>
            </w:r>
            <w:r>
              <w:rPr>
                <w:rFonts w:hint="eastAsia" w:hAnsi="宋体" w:cs="宋体"/>
                <w:color w:val="auto"/>
                <w:sz w:val="21"/>
                <w:szCs w:val="21"/>
                <w:highlight w:val="none"/>
                <w:lang w:val="zh-CN"/>
              </w:rPr>
              <w:t>该费用参照《招标代理服务收费管理暂行办法》(计价格</w:t>
            </w:r>
            <w:r>
              <w:rPr>
                <w:rFonts w:hint="eastAsia" w:hAnsi="宋体" w:cs="宋体"/>
                <w:color w:val="auto"/>
                <w:sz w:val="21"/>
                <w:szCs w:val="21"/>
                <w:highlight w:val="none"/>
              </w:rPr>
              <w:t>〔</w:t>
            </w:r>
            <w:r>
              <w:rPr>
                <w:rFonts w:hint="eastAsia" w:hAnsi="宋体" w:cs="宋体"/>
                <w:color w:val="auto"/>
                <w:sz w:val="21"/>
                <w:szCs w:val="21"/>
                <w:highlight w:val="none"/>
                <w:lang w:val="zh-CN"/>
              </w:rPr>
              <w:t>2002</w:t>
            </w:r>
            <w:r>
              <w:rPr>
                <w:rFonts w:hint="eastAsia" w:hAnsi="宋体" w:cs="宋体"/>
                <w:color w:val="auto"/>
                <w:sz w:val="21"/>
                <w:szCs w:val="21"/>
                <w:highlight w:val="none"/>
              </w:rPr>
              <w:t>〕</w:t>
            </w:r>
            <w:r>
              <w:rPr>
                <w:rFonts w:hint="eastAsia" w:hAnsi="宋体" w:cs="宋体"/>
                <w:color w:val="auto"/>
                <w:sz w:val="21"/>
                <w:szCs w:val="21"/>
                <w:highlight w:val="none"/>
                <w:lang w:val="zh-CN"/>
              </w:rPr>
              <w:t>1980号)及《国家发展改革委办公厅关于招标代理服务收费有关问题的通知》(发改办价格</w:t>
            </w:r>
            <w:r>
              <w:rPr>
                <w:rFonts w:hint="eastAsia" w:hAnsi="宋体" w:cs="宋体"/>
                <w:color w:val="auto"/>
                <w:sz w:val="21"/>
                <w:szCs w:val="21"/>
                <w:highlight w:val="none"/>
              </w:rPr>
              <w:t>〔</w:t>
            </w:r>
            <w:r>
              <w:rPr>
                <w:rFonts w:hint="eastAsia" w:hAnsi="宋体" w:cs="宋体"/>
                <w:color w:val="auto"/>
                <w:sz w:val="21"/>
                <w:szCs w:val="21"/>
                <w:highlight w:val="none"/>
                <w:lang w:val="zh-CN"/>
              </w:rPr>
              <w:t>2003</w:t>
            </w:r>
            <w:r>
              <w:rPr>
                <w:rFonts w:hint="eastAsia" w:hAnsi="宋体" w:cs="宋体"/>
                <w:color w:val="auto"/>
                <w:sz w:val="21"/>
                <w:szCs w:val="21"/>
                <w:highlight w:val="none"/>
              </w:rPr>
              <w:t>〕</w:t>
            </w:r>
            <w:r>
              <w:rPr>
                <w:rFonts w:hint="eastAsia" w:hAnsi="宋体" w:cs="宋体"/>
                <w:color w:val="auto"/>
                <w:sz w:val="21"/>
                <w:szCs w:val="21"/>
                <w:highlight w:val="none"/>
                <w:lang w:val="zh-CN"/>
              </w:rPr>
              <w:t>857号)</w:t>
            </w:r>
            <w:r>
              <w:rPr>
                <w:rFonts w:hint="eastAsia" w:hAnsi="宋体" w:cs="宋体"/>
                <w:color w:val="auto"/>
                <w:sz w:val="21"/>
                <w:szCs w:val="21"/>
                <w:highlight w:val="none"/>
              </w:rPr>
              <w:t>的标准</w:t>
            </w:r>
            <w:r>
              <w:rPr>
                <w:rFonts w:hint="eastAsia" w:hAnsi="宋体" w:cs="宋体"/>
                <w:color w:val="auto"/>
                <w:sz w:val="21"/>
                <w:szCs w:val="21"/>
                <w:highlight w:val="none"/>
                <w:lang w:val="zh-CN"/>
              </w:rPr>
              <w:t>计取</w:t>
            </w:r>
            <w:r>
              <w:rPr>
                <w:rFonts w:hint="eastAsia" w:hAnsi="宋体" w:cs="宋体"/>
                <w:color w:val="auto"/>
                <w:sz w:val="21"/>
                <w:szCs w:val="21"/>
                <w:highlight w:val="none"/>
              </w:rPr>
              <w:t>。</w:t>
            </w:r>
          </w:p>
          <w:p>
            <w:pPr>
              <w:numPr>
                <w:ilvl w:val="0"/>
                <w:numId w:val="5"/>
              </w:numPr>
              <w:spacing w:line="320" w:lineRule="exact"/>
              <w:ind w:left="78" w:leftChars="23" w:right="51" w:rightChars="15"/>
              <w:rPr>
                <w:rFonts w:hAnsi="宋体" w:cs="宋体"/>
                <w:color w:val="auto"/>
                <w:sz w:val="21"/>
                <w:szCs w:val="21"/>
                <w:highlight w:val="none"/>
                <w:lang w:val="zh-CN"/>
              </w:rPr>
            </w:pPr>
            <w:r>
              <w:rPr>
                <w:rFonts w:hint="eastAsia" w:hAnsi="宋体" w:cs="宋体"/>
                <w:color w:val="auto"/>
                <w:sz w:val="21"/>
                <w:szCs w:val="21"/>
                <w:highlight w:val="none"/>
                <w:lang w:val="en-US" w:eastAsia="zh-CN"/>
              </w:rPr>
              <w:t>收取方式：中标通知书发出后二个工作日内由中标人一次性支付</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rPr>
              <w:t>是否</w:t>
            </w:r>
            <w:r>
              <w:rPr>
                <w:rFonts w:hint="eastAsia"/>
                <w:color w:val="auto"/>
                <w:sz w:val="21"/>
                <w:szCs w:val="21"/>
                <w:highlight w:val="none"/>
                <w:lang w:val="zh-CN"/>
              </w:rPr>
              <w:t>专门面向中小企业的项目</w:t>
            </w:r>
            <w:r>
              <w:rPr>
                <w:rFonts w:hint="eastAsia"/>
                <w:color w:val="auto"/>
                <w:sz w:val="21"/>
                <w:szCs w:val="21"/>
                <w:highlight w:val="none"/>
              </w:rPr>
              <w:t>或专门面向小微企业采购的项目</w:t>
            </w:r>
          </w:p>
        </w:tc>
        <w:tc>
          <w:tcPr>
            <w:tcW w:w="7244" w:type="dxa"/>
            <w:vAlign w:val="center"/>
          </w:tcPr>
          <w:p>
            <w:pPr>
              <w:pStyle w:val="63"/>
              <w:wordWrap w:val="0"/>
              <w:topLinePunct/>
              <w:spacing w:line="320" w:lineRule="exact"/>
              <w:ind w:left="78" w:leftChars="23" w:right="51" w:rightChars="15"/>
              <w:jc w:val="both"/>
              <w:rPr>
                <w:color w:val="auto"/>
                <w:sz w:val="21"/>
                <w:szCs w:val="21"/>
                <w:highlight w:val="none"/>
                <w:lang w:val="zh-CN"/>
              </w:rPr>
            </w:pPr>
            <w:r>
              <w:rPr>
                <w:rFonts w:hint="eastAsia"/>
                <w:color w:val="auto"/>
                <w:sz w:val="21"/>
                <w:szCs w:val="21"/>
                <w:highlight w:val="none"/>
              </w:rPr>
              <w:t>本项目为</w:t>
            </w:r>
            <w:r>
              <w:rPr>
                <w:rFonts w:hint="eastAsia"/>
                <w:color w:val="auto"/>
                <w:sz w:val="21"/>
                <w:szCs w:val="21"/>
                <w:highlight w:val="none"/>
                <w:lang w:val="zh-CN"/>
              </w:rPr>
              <w:t>非专门面向中小企业</w:t>
            </w:r>
            <w:r>
              <w:rPr>
                <w:rFonts w:hint="eastAsia"/>
                <w:color w:val="auto"/>
                <w:sz w:val="21"/>
                <w:szCs w:val="21"/>
                <w:highlight w:val="none"/>
              </w:rPr>
              <w:t>采购</w:t>
            </w:r>
            <w:r>
              <w:rPr>
                <w:rFonts w:hint="eastAsia"/>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rPr>
            </w:pPr>
            <w:r>
              <w:rPr>
                <w:rFonts w:hint="eastAsia"/>
                <w:color w:val="auto"/>
                <w:kern w:val="2"/>
                <w:sz w:val="21"/>
                <w:szCs w:val="21"/>
                <w:highlight w:val="none"/>
              </w:rPr>
              <w:t>小微企业、监狱企业、</w:t>
            </w:r>
            <w:r>
              <w:rPr>
                <w:rFonts w:hint="eastAsia"/>
                <w:color w:val="auto"/>
                <w:sz w:val="21"/>
                <w:szCs w:val="21"/>
                <w:highlight w:val="none"/>
              </w:rPr>
              <w:t>残疾人福利性单位</w:t>
            </w:r>
            <w:r>
              <w:rPr>
                <w:rFonts w:hint="eastAsia"/>
                <w:color w:val="auto"/>
                <w:kern w:val="2"/>
                <w:sz w:val="21"/>
                <w:szCs w:val="21"/>
                <w:highlight w:val="none"/>
              </w:rPr>
              <w:t>价格扣除</w:t>
            </w:r>
            <w:r>
              <w:rPr>
                <w:rFonts w:hint="eastAsia"/>
                <w:color w:val="auto"/>
                <w:sz w:val="21"/>
                <w:szCs w:val="21"/>
                <w:highlight w:val="none"/>
              </w:rPr>
              <w:t>(实质性要求)</w:t>
            </w:r>
          </w:p>
        </w:tc>
        <w:tc>
          <w:tcPr>
            <w:tcW w:w="7244" w:type="dxa"/>
            <w:vAlign w:val="center"/>
          </w:tcPr>
          <w:tbl>
            <w:tblPr>
              <w:tblStyle w:val="3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44" w:type="dxa"/>
                  <w:noWrap w:val="0"/>
                  <w:vAlign w:val="center"/>
                </w:tcPr>
                <w:p>
                  <w:pPr>
                    <w:shd w:val="clear" w:color="auto" w:fill="FFFFFF"/>
                    <w:spacing w:line="320" w:lineRule="exact"/>
                    <w:rPr>
                      <w:rFonts w:hint="eastAsia" w:ascii="宋体" w:hAnsi="宋体" w:eastAsia="宋体" w:cs="宋体"/>
                      <w:color w:val="auto"/>
                      <w:sz w:val="21"/>
                      <w:szCs w:val="21"/>
                    </w:rPr>
                  </w:pPr>
                  <w:bookmarkStart w:id="31" w:name="PO_默认文件内容_2"/>
                  <w:r>
                    <w:rPr>
                      <w:rFonts w:hint="eastAsia" w:ascii="宋体" w:hAnsi="宋体" w:eastAsia="宋体" w:cs="宋体"/>
                      <w:color w:val="auto"/>
                      <w:sz w:val="21"/>
                      <w:szCs w:val="21"/>
                    </w:rPr>
                    <w:t>1、根据《政府采购促进中小企业发展管理办法》（财库〔2020〕46号）的规定，对小型和微型企业产品的价格给予10%的价格扣除，用扣除后的价格参与评标。</w:t>
                  </w:r>
                </w:p>
                <w:p>
                  <w:pPr>
                    <w:shd w:val="clear" w:color="auto" w:fill="FFFFFF"/>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2、参加政府采购活动的中小企业（监狱企业）提供《中小企业（监狱企业）声明函》原件，未提供的，视为放弃享受小微企业价格扣除优惠政策。</w:t>
                  </w:r>
                </w:p>
                <w:p>
                  <w:pPr>
                    <w:shd w:val="clear" w:color="auto" w:fill="FFFFFF"/>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shd w:val="clear" w:color="auto" w:fill="FFFFFF"/>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联合体各方均为小型、微型企业的，联合体视同为小型、微型企业享受规定的扶持政策。组成联合体的大中型企业和其他自然人、法人或者其他组织，与小型、微型企业之间不得存在投资关系。</w:t>
                  </w:r>
                </w:p>
                <w:p>
                  <w:pPr>
                    <w:shd w:val="clear" w:color="auto" w:fill="FFFFFF"/>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4、参加政府采购活动的残疾人福利性单位应当提供《残疾人福利性单位声明函》原件，未提供的，视为放弃享受小微企业价格扣除优惠政策。</w:t>
                  </w:r>
                  <w:bookmarkEnd w:id="31"/>
                </w:p>
              </w:tc>
            </w:tr>
          </w:tbl>
          <w:p>
            <w:pPr>
              <w:shd w:val="clear" w:color="auto" w:fill="FFFFFF"/>
              <w:spacing w:line="32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ind w:left="38"/>
              <w:jc w:val="center"/>
              <w:rPr>
                <w:color w:val="auto"/>
                <w:kern w:val="2"/>
                <w:sz w:val="21"/>
                <w:szCs w:val="21"/>
                <w:highlight w:val="none"/>
              </w:rPr>
            </w:pPr>
            <w:r>
              <w:rPr>
                <w:rFonts w:hint="eastAsia"/>
                <w:color w:val="auto"/>
                <w:kern w:val="2"/>
                <w:sz w:val="21"/>
                <w:szCs w:val="21"/>
                <w:highlight w:val="none"/>
              </w:rPr>
              <w:t>低于成本价不正当竞争预防措施</w:t>
            </w:r>
          </w:p>
          <w:p>
            <w:pPr>
              <w:pStyle w:val="63"/>
              <w:spacing w:line="320" w:lineRule="exact"/>
              <w:ind w:left="38"/>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rPr>
              <w:t>在评审过程中，评标委员会认为供应商的报价明显低于其他通过资格性、符合性审查供应商的报价，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color w:val="auto"/>
                <w:sz w:val="21"/>
                <w:szCs w:val="21"/>
                <w:highlight w:val="none"/>
              </w:rPr>
              <w:br w:type="textWrapping"/>
            </w:r>
            <w:r>
              <w:rPr>
                <w:rFonts w:hint="eastAsia"/>
                <w:color w:val="auto"/>
                <w:sz w:val="21"/>
                <w:szCs w:val="21"/>
                <w:highlight w:val="none"/>
              </w:rPr>
              <w:t>供应商书面说明应当签字确认或者加盖公章，否则无效。</w:t>
            </w:r>
            <w:r>
              <w:rPr>
                <w:rFonts w:hint="eastAsia"/>
                <w:color w:val="auto"/>
                <w:sz w:val="21"/>
                <w:szCs w:val="21"/>
                <w:highlight w:val="none"/>
              </w:rPr>
              <w:br w:type="textWrapping"/>
            </w:r>
            <w:r>
              <w:rPr>
                <w:rFonts w:hint="eastAsia"/>
                <w:color w:val="auto"/>
                <w:sz w:val="21"/>
                <w:szCs w:val="21"/>
                <w:highlight w:val="none"/>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sz w:val="21"/>
                <w:szCs w:val="21"/>
                <w:highlight w:val="none"/>
                <w:lang w:val="zh-CN"/>
              </w:rPr>
              <w:t>评</w:t>
            </w:r>
            <w:r>
              <w:rPr>
                <w:rFonts w:hint="eastAsia"/>
                <w:color w:val="auto"/>
                <w:sz w:val="21"/>
                <w:szCs w:val="21"/>
                <w:highlight w:val="none"/>
              </w:rPr>
              <w:t>审</w:t>
            </w:r>
            <w:r>
              <w:rPr>
                <w:rFonts w:hint="eastAsia"/>
                <w:color w:val="auto"/>
                <w:sz w:val="21"/>
                <w:szCs w:val="21"/>
                <w:highlight w:val="none"/>
                <w:lang w:val="zh-CN"/>
              </w:rPr>
              <w:t>情况的公告</w:t>
            </w:r>
          </w:p>
        </w:tc>
        <w:tc>
          <w:tcPr>
            <w:tcW w:w="7244" w:type="dxa"/>
            <w:vAlign w:val="center"/>
          </w:tcPr>
          <w:p>
            <w:pPr>
              <w:pStyle w:val="63"/>
              <w:wordWrap w:val="0"/>
              <w:topLinePunct/>
              <w:spacing w:line="320" w:lineRule="exact"/>
              <w:ind w:left="78" w:leftChars="23" w:right="51" w:rightChars="15"/>
              <w:jc w:val="both"/>
              <w:rPr>
                <w:color w:val="auto"/>
                <w:sz w:val="21"/>
                <w:szCs w:val="21"/>
                <w:highlight w:val="none"/>
                <w:lang w:val="zh-CN"/>
              </w:rPr>
            </w:pPr>
            <w:r>
              <w:rPr>
                <w:rFonts w:hint="eastAsia"/>
                <w:color w:val="auto"/>
                <w:sz w:val="21"/>
                <w:szCs w:val="21"/>
                <w:highlight w:val="none"/>
              </w:rPr>
              <w:t>所有供应商投标文件资格性、符合性审查情况、采用综合评分法时的总得分和分项汇总得分情况、评审结果等将在四川政府采购网上采购结果公告附件中予以公告。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采购文件咨询</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联系人：李女士    </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开评标工作咨询</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联系人：李女士     </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spacing w:line="320" w:lineRule="exact"/>
              <w:ind w:left="170" w:leftChars="50" w:right="170" w:rightChars="50"/>
              <w:jc w:val="center"/>
              <w:rPr>
                <w:rFonts w:hAnsi="宋体" w:cs="宋体"/>
                <w:color w:val="auto"/>
                <w:sz w:val="21"/>
                <w:szCs w:val="21"/>
                <w:highlight w:val="none"/>
                <w:lang w:val="zh-CN"/>
              </w:rPr>
            </w:pPr>
            <w:r>
              <w:rPr>
                <w:rFonts w:hint="eastAsia" w:hAnsi="宋体" w:cs="宋体"/>
                <w:color w:val="auto"/>
                <w:sz w:val="21"/>
                <w:szCs w:val="21"/>
                <w:highlight w:val="none"/>
              </w:rPr>
              <w:t>中标通知书领取</w:t>
            </w:r>
          </w:p>
        </w:tc>
        <w:tc>
          <w:tcPr>
            <w:tcW w:w="7244" w:type="dxa"/>
            <w:vAlign w:val="center"/>
          </w:tcPr>
          <w:p>
            <w:pPr>
              <w:pStyle w:val="63"/>
              <w:wordWrap w:val="0"/>
              <w:spacing w:line="320" w:lineRule="exact"/>
              <w:ind w:left="78" w:leftChars="23" w:right="51" w:rightChars="15"/>
              <w:jc w:val="both"/>
              <w:rPr>
                <w:color w:val="auto"/>
                <w:sz w:val="21"/>
                <w:szCs w:val="21"/>
                <w:highlight w:val="none"/>
              </w:rPr>
            </w:pPr>
            <w:r>
              <w:rPr>
                <w:rFonts w:hint="eastAsia"/>
                <w:color w:val="auto"/>
                <w:sz w:val="21"/>
                <w:szCs w:val="21"/>
                <w:highlight w:val="none"/>
              </w:rPr>
              <w:t>结果公告在四川政府采购网上公告后，请中标供应商凭有效身份证明证件到成都倍信达工程管理咨询有限公司领取中标通知书</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联系人：李女士    </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供应商询问</w:t>
            </w:r>
          </w:p>
        </w:tc>
        <w:tc>
          <w:tcPr>
            <w:tcW w:w="7244" w:type="dxa"/>
          </w:tcPr>
          <w:p>
            <w:pPr>
              <w:spacing w:line="320" w:lineRule="exact"/>
              <w:ind w:left="78" w:leftChars="23" w:right="51" w:rightChars="15"/>
              <w:rPr>
                <w:rFonts w:hAnsi="宋体" w:cs="宋体"/>
                <w:color w:val="auto"/>
                <w:sz w:val="21"/>
                <w:szCs w:val="21"/>
                <w:highlight w:val="none"/>
                <w:lang w:val="zh-CN"/>
              </w:rPr>
            </w:pPr>
            <w:r>
              <w:rPr>
                <w:rFonts w:hint="eastAsia" w:hAnsi="宋体" w:cs="宋体"/>
                <w:color w:val="auto"/>
                <w:sz w:val="21"/>
                <w:szCs w:val="21"/>
                <w:highlight w:val="none"/>
              </w:rPr>
              <w:t>根据委托代理协议约定，供应商询问由采购代理机构</w:t>
            </w:r>
            <w:r>
              <w:rPr>
                <w:rFonts w:hint="eastAsia" w:hAnsi="宋体" w:cs="宋体"/>
                <w:color w:val="auto"/>
                <w:sz w:val="21"/>
                <w:szCs w:val="21"/>
                <w:highlight w:val="none"/>
                <w:lang w:val="zh-CN"/>
              </w:rPr>
              <w:t>负责答复</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联系人：李女士     </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供应商质疑</w:t>
            </w:r>
          </w:p>
        </w:tc>
        <w:tc>
          <w:tcPr>
            <w:tcW w:w="7244" w:type="dxa"/>
            <w:vAlign w:val="center"/>
          </w:tcPr>
          <w:p>
            <w:pPr>
              <w:spacing w:line="320" w:lineRule="exact"/>
              <w:ind w:left="78" w:leftChars="23" w:right="51" w:rightChars="15"/>
              <w:jc w:val="left"/>
              <w:rPr>
                <w:rFonts w:hAnsi="宋体" w:cs="宋体"/>
                <w:color w:val="auto"/>
                <w:sz w:val="21"/>
                <w:szCs w:val="21"/>
                <w:highlight w:val="none"/>
              </w:rPr>
            </w:pPr>
            <w:r>
              <w:rPr>
                <w:rFonts w:hint="eastAsia" w:hAnsi="宋体" w:cs="宋体"/>
                <w:color w:val="auto"/>
                <w:sz w:val="21"/>
                <w:szCs w:val="21"/>
                <w:highlight w:val="none"/>
              </w:rPr>
              <w:t>根据委托代理协议约定，对于采购文件(招标文件技术条款和除政府采购法第二十二条之外的其他资格条件、专业商务要求)的质疑由采购人</w:t>
            </w:r>
            <w:r>
              <w:rPr>
                <w:rFonts w:hint="eastAsia" w:hAnsi="宋体" w:cs="宋体"/>
                <w:color w:val="auto"/>
                <w:sz w:val="21"/>
                <w:szCs w:val="21"/>
                <w:highlight w:val="none"/>
                <w:lang w:val="zh-CN"/>
              </w:rPr>
              <w:t>负责答复；对于采购过程</w:t>
            </w:r>
            <w:r>
              <w:rPr>
                <w:rFonts w:hint="eastAsia" w:hAnsi="宋体" w:cs="宋体"/>
                <w:color w:val="auto"/>
                <w:sz w:val="21"/>
                <w:szCs w:val="21"/>
                <w:highlight w:val="none"/>
              </w:rPr>
              <w:t>由采购代理机构</w:t>
            </w:r>
            <w:r>
              <w:rPr>
                <w:rFonts w:hint="eastAsia" w:hAnsi="宋体" w:cs="宋体"/>
                <w:color w:val="auto"/>
                <w:sz w:val="21"/>
                <w:szCs w:val="21"/>
                <w:highlight w:val="none"/>
                <w:lang w:val="zh-CN"/>
              </w:rPr>
              <w:t>负责答复；对于采购结果</w:t>
            </w:r>
            <w:r>
              <w:rPr>
                <w:rFonts w:hint="eastAsia" w:hAnsi="宋体" w:cs="宋体"/>
                <w:color w:val="auto"/>
                <w:sz w:val="21"/>
                <w:szCs w:val="21"/>
                <w:highlight w:val="none"/>
              </w:rPr>
              <w:t>由采购代理机构</w:t>
            </w:r>
            <w:r>
              <w:rPr>
                <w:rFonts w:hint="eastAsia" w:hAnsi="宋体" w:cs="宋体"/>
                <w:color w:val="auto"/>
                <w:sz w:val="21"/>
                <w:szCs w:val="21"/>
                <w:highlight w:val="none"/>
                <w:lang w:val="zh-CN"/>
              </w:rPr>
              <w:t>负责答复</w:t>
            </w:r>
            <w:r>
              <w:rPr>
                <w:rFonts w:hint="eastAsia" w:hAnsi="宋体" w:cs="宋体"/>
                <w:color w:val="auto"/>
                <w:sz w:val="21"/>
                <w:szCs w:val="21"/>
                <w:highlight w:val="none"/>
              </w:rPr>
              <w:t>。</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联系人：李女士     </w:t>
            </w:r>
          </w:p>
          <w:p>
            <w:pPr>
              <w:spacing w:line="320" w:lineRule="exact"/>
              <w:ind w:left="78" w:leftChars="23" w:right="51" w:rightChars="15"/>
              <w:jc w:val="left"/>
              <w:rPr>
                <w:rFonts w:hAnsi="宋体" w:cs="宋体"/>
                <w:color w:val="auto"/>
                <w:sz w:val="24"/>
                <w:highlight w:val="none"/>
              </w:rPr>
            </w:pPr>
            <w:r>
              <w:rPr>
                <w:rFonts w:hint="eastAsia" w:hAnsi="宋体" w:cs="宋体"/>
                <w:color w:val="auto"/>
                <w:sz w:val="21"/>
                <w:szCs w:val="21"/>
                <w:highlight w:val="none"/>
              </w:rPr>
              <w:t>联系电话：</w:t>
            </w:r>
            <w:r>
              <w:rPr>
                <w:rFonts w:hint="eastAsia" w:hAnsi="宋体" w:cs="宋体"/>
                <w:color w:val="auto"/>
                <w:sz w:val="24"/>
                <w:highlight w:val="none"/>
              </w:rPr>
              <w:t>028-82235987</w:t>
            </w:r>
          </w:p>
          <w:p>
            <w:pPr>
              <w:spacing w:line="320" w:lineRule="exact"/>
              <w:ind w:left="78" w:leftChars="23" w:right="51" w:rightChars="15"/>
              <w:jc w:val="left"/>
              <w:rPr>
                <w:rFonts w:hAnsi="宋体" w:cs="宋体"/>
                <w:color w:val="auto"/>
                <w:sz w:val="21"/>
                <w:szCs w:val="21"/>
                <w:highlight w:val="none"/>
              </w:rPr>
            </w:pPr>
            <w:r>
              <w:rPr>
                <w:rFonts w:hint="eastAsia" w:hAnsi="宋体" w:cs="宋体"/>
                <w:color w:val="auto"/>
                <w:sz w:val="21"/>
                <w:szCs w:val="21"/>
                <w:highlight w:val="none"/>
                <w:lang w:val="zh-CN"/>
              </w:rPr>
              <w:t>注：根据《中华人民共和国政府采购法》</w:t>
            </w:r>
            <w:r>
              <w:rPr>
                <w:rFonts w:hint="eastAsia" w:hAnsi="宋体" w:cs="宋体"/>
                <w:color w:val="auto"/>
                <w:sz w:val="21"/>
                <w:szCs w:val="21"/>
                <w:highlight w:val="none"/>
              </w:rPr>
              <w:t>等法律法规</w:t>
            </w:r>
            <w:r>
              <w:rPr>
                <w:rFonts w:hint="eastAsia" w:hAnsi="宋体" w:cs="宋体"/>
                <w:color w:val="auto"/>
                <w:sz w:val="21"/>
                <w:szCs w:val="21"/>
                <w:highlight w:val="none"/>
                <w:lang w:val="zh-CN"/>
              </w:rPr>
              <w:t>规定，</w:t>
            </w:r>
            <w:r>
              <w:rPr>
                <w:rFonts w:hint="eastAsia" w:hAnsi="宋体" w:cs="宋体"/>
                <w:color w:val="auto"/>
                <w:sz w:val="21"/>
                <w:szCs w:val="21"/>
                <w:highlight w:val="none"/>
              </w:rPr>
              <w:t>供应商质疑应当有明确的请求和必要的证明材料。</w:t>
            </w:r>
          </w:p>
          <w:p>
            <w:pPr>
              <w:spacing w:line="320" w:lineRule="exact"/>
              <w:ind w:left="78" w:leftChars="23" w:right="51" w:rightChars="15"/>
              <w:jc w:val="left"/>
              <w:rPr>
                <w:rFonts w:hAnsi="宋体" w:cs="宋体"/>
                <w:color w:val="auto"/>
                <w:sz w:val="21"/>
                <w:szCs w:val="21"/>
                <w:highlight w:val="none"/>
              </w:rPr>
            </w:pPr>
            <w:r>
              <w:rPr>
                <w:rFonts w:hint="eastAsia" w:hAnsi="宋体" w:cs="宋体"/>
                <w:color w:val="auto"/>
                <w:sz w:val="21"/>
                <w:szCs w:val="21"/>
                <w:highlight w:val="none"/>
                <w:lang w:val="zh-CN"/>
              </w:rPr>
              <w:t>供应商质疑不得超出采购文件、采购过程、采购结果的范围，不得进行虚假、恶意质疑，不得以质疑为手段获取不当得利、实现非法目的。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供应商投诉</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投诉受理单位：崇州市财政局</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地址：崇州市崇阳街道永安中路1号，电话：028-82313883</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注：供应商投诉应当有明确的请求和必要的证明材料。供应商投诉的事项不得超出已质疑事项的范围。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rFonts w:hint="eastAsia" w:ascii="宋体" w:hAnsi="宋体" w:eastAsia="宋体" w:cs="宋体"/>
                <w:color w:val="auto"/>
                <w:sz w:val="21"/>
                <w:szCs w:val="21"/>
                <w:highlight w:val="none"/>
              </w:rPr>
            </w:pPr>
          </w:p>
        </w:tc>
        <w:tc>
          <w:tcPr>
            <w:tcW w:w="1596" w:type="dxa"/>
            <w:vAlign w:val="center"/>
          </w:tcPr>
          <w:p>
            <w:pPr>
              <w:pStyle w:val="63"/>
              <w:spacing w:line="320" w:lineRule="exact"/>
              <w:jc w:val="center"/>
              <w:rPr>
                <w:color w:val="auto"/>
                <w:sz w:val="21"/>
                <w:szCs w:val="21"/>
                <w:highlight w:val="none"/>
              </w:rPr>
            </w:pPr>
            <w:r>
              <w:rPr>
                <w:rFonts w:hint="eastAsia"/>
                <w:color w:val="auto"/>
                <w:sz w:val="21"/>
                <w:szCs w:val="21"/>
                <w:highlight w:val="none"/>
                <w:lang w:val="zh-CN"/>
              </w:rPr>
              <w:t>温馨提示</w:t>
            </w:r>
          </w:p>
        </w:tc>
        <w:tc>
          <w:tcPr>
            <w:tcW w:w="7244" w:type="dxa"/>
            <w:vAlign w:val="center"/>
          </w:tcPr>
          <w:p>
            <w:pPr>
              <w:pStyle w:val="63"/>
              <w:spacing w:line="276" w:lineRule="auto"/>
              <w:ind w:left="167" w:leftChars="49"/>
              <w:rPr>
                <w:rFonts w:hint="eastAsia"/>
                <w:lang w:val="zh-CN"/>
              </w:rPr>
            </w:pPr>
            <w:r>
              <w:rPr>
                <w:rFonts w:hint="eastAsia"/>
                <w:lang w:val="en-US" w:eastAsia="zh-CN"/>
              </w:rPr>
              <w:t>1.</w:t>
            </w:r>
            <w:r>
              <w:rPr>
                <w:rFonts w:hint="eastAsia"/>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63"/>
              <w:spacing w:line="276" w:lineRule="auto"/>
              <w:ind w:left="167" w:leftChars="49"/>
              <w:rPr>
                <w:rFonts w:hint="eastAsia"/>
                <w:lang w:val="zh-CN"/>
              </w:rPr>
            </w:pPr>
            <w:r>
              <w:rPr>
                <w:rFonts w:hint="eastAsia"/>
                <w:lang w:val="zh-CN"/>
              </w:rPr>
              <w:t>2.政府采购云平台供应商注册地址：</w:t>
            </w:r>
          </w:p>
          <w:p>
            <w:pPr>
              <w:pStyle w:val="63"/>
              <w:wordWrap w:val="0"/>
              <w:topLinePunct/>
              <w:spacing w:line="320" w:lineRule="exact"/>
              <w:ind w:left="78" w:leftChars="23" w:right="51" w:rightChars="15"/>
              <w:jc w:val="both"/>
              <w:rPr>
                <w:color w:val="auto"/>
                <w:sz w:val="21"/>
                <w:szCs w:val="21"/>
                <w:highlight w:val="none"/>
              </w:rPr>
            </w:pPr>
            <w:r>
              <w:rPr>
                <w:rFonts w:hint="eastAsia"/>
                <w:lang w:val="zh-CN"/>
              </w:rPr>
              <w:t>https://middle.zcygov.cn/v-settle-front/registry?settleCategory=1&amp;entranceType=119&amp;utm=a0017.b1347.cl50.3.c0de9400b91b11eb870ad7da87d69c97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50" w:type="dxa"/>
            <w:gridSpan w:val="3"/>
            <w:vAlign w:val="center"/>
          </w:tcPr>
          <w:p>
            <w:pPr>
              <w:pStyle w:val="63"/>
              <w:tabs>
                <w:tab w:val="left" w:pos="2561"/>
              </w:tabs>
              <w:wordWrap w:val="0"/>
              <w:topLinePunct/>
              <w:spacing w:line="320" w:lineRule="exact"/>
              <w:ind w:left="78" w:leftChars="23" w:right="51" w:rightChars="1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3"/>
              <w:wordWrap w:val="0"/>
              <w:topLinePunct/>
              <w:spacing w:line="320" w:lineRule="exact"/>
              <w:ind w:left="78" w:leftChars="23" w:right="51" w:rightChars="15"/>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本项目可采用信用融资政策。 </w:t>
            </w:r>
          </w:p>
          <w:p>
            <w:pPr>
              <w:pStyle w:val="63"/>
              <w:wordWrap w:val="0"/>
              <w:topLinePunct/>
              <w:spacing w:line="320" w:lineRule="exact"/>
              <w:ind w:left="78" w:leftChars="23" w:right="51" w:rightChars="15"/>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 </w:t>
            </w:r>
          </w:p>
          <w:p>
            <w:pPr>
              <w:pStyle w:val="63"/>
              <w:wordWrap w:val="0"/>
              <w:topLinePunct/>
              <w:spacing w:line="320" w:lineRule="exact"/>
              <w:ind w:left="78" w:leftChars="23" w:right="51" w:rightChars="15"/>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银行名称</w:t>
            </w:r>
          </w:p>
        </w:tc>
        <w:tc>
          <w:tcPr>
            <w:tcW w:w="1596" w:type="dxa"/>
            <w:vAlign w:val="center"/>
          </w:tcPr>
          <w:p>
            <w:pPr>
              <w:pStyle w:val="63"/>
              <w:spacing w:line="320" w:lineRule="exact"/>
              <w:jc w:val="center"/>
              <w:rPr>
                <w:color w:val="auto"/>
                <w:sz w:val="21"/>
                <w:szCs w:val="21"/>
                <w:highlight w:val="none"/>
              </w:rPr>
            </w:pPr>
            <w:r>
              <w:rPr>
                <w:rFonts w:hint="eastAsia"/>
                <w:color w:val="auto"/>
                <w:sz w:val="21"/>
                <w:szCs w:val="21"/>
                <w:highlight w:val="none"/>
              </w:rPr>
              <w:t>联系人及方式</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成都农商银行崇州支行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业务部客户经理  任艳菊 13881851255</w:t>
            </w:r>
          </w:p>
          <w:p>
            <w:pPr>
              <w:jc w:val="center"/>
              <w:rPr>
                <w:rFonts w:hAnsi="宋体" w:cs="宋体"/>
                <w:color w:val="auto"/>
                <w:sz w:val="21"/>
                <w:szCs w:val="21"/>
                <w:highlight w:val="none"/>
              </w:rPr>
            </w:pPr>
            <w:r>
              <w:rPr>
                <w:rFonts w:hint="eastAsia" w:hAnsi="宋体" w:cs="宋体"/>
                <w:color w:val="auto"/>
                <w:sz w:val="21"/>
                <w:szCs w:val="21"/>
                <w:highlight w:val="none"/>
              </w:rPr>
              <w:t>业务部客户经理  骆晓峰 13551850363</w:t>
            </w:r>
          </w:p>
          <w:p>
            <w:pPr>
              <w:pStyle w:val="63"/>
              <w:spacing w:line="320" w:lineRule="exact"/>
              <w:jc w:val="center"/>
              <w:rPr>
                <w:color w:val="auto"/>
                <w:sz w:val="21"/>
                <w:szCs w:val="21"/>
                <w:highlight w:val="none"/>
              </w:rPr>
            </w:pPr>
            <w:r>
              <w:rPr>
                <w:rFonts w:hint="eastAsia"/>
                <w:color w:val="auto"/>
                <w:sz w:val="21"/>
                <w:szCs w:val="21"/>
                <w:highlight w:val="none"/>
              </w:rPr>
              <w:t xml:space="preserve">业务部经理  </w:t>
            </w:r>
          </w:p>
          <w:p>
            <w:pPr>
              <w:pStyle w:val="63"/>
              <w:spacing w:line="320" w:lineRule="exact"/>
              <w:jc w:val="center"/>
              <w:rPr>
                <w:color w:val="auto"/>
                <w:sz w:val="21"/>
                <w:szCs w:val="21"/>
                <w:highlight w:val="none"/>
              </w:rPr>
            </w:pPr>
            <w:r>
              <w:rPr>
                <w:rFonts w:hint="eastAsia"/>
                <w:color w:val="auto"/>
                <w:sz w:val="21"/>
                <w:szCs w:val="21"/>
                <w:highlight w:val="none"/>
              </w:rPr>
              <w:t>陈晓阳 13438190630</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1、授信额度：</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（1）流动资金贷款类：最高不超过政府采购合同中采购总金额的85%；</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（2）承兑汇票及保函类：保证金比例不低于15%。</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2、授信期限：</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（1）流动资金贷款期限原则上不超过18个月，重大项目最高不超过3年，主要根据政府采购合同的付款周期确定。贷款期间可展期1次，可提前还款。</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（2）银行承兑汇票（纸质）不超过6个月；银行承兑汇票（电子）不超过1年。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（3）保函期限原则上不超过3年，根据政府采购合同的付款周期确定。</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（4）根据采购文件中约定的采购款项支付进度，增加适当宽限期设置还款计划。</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3、利率定价：</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原则上不超过基准利率上浮30%。对地处贫困地区的供应商实行更加优惠的定价。</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崇州上银村镇银行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 xml:space="preserve">龚真真 </w:t>
            </w:r>
            <w:r>
              <w:rPr>
                <w:rFonts w:hint="eastAsia" w:hAnsi="宋体" w:cs="宋体"/>
                <w:color w:val="auto"/>
                <w:sz w:val="21"/>
                <w:szCs w:val="21"/>
                <w:highlight w:val="none"/>
              </w:rPr>
              <w:tab/>
            </w:r>
            <w:r>
              <w:rPr>
                <w:rFonts w:hint="eastAsia" w:hAnsi="宋体" w:cs="宋体"/>
                <w:color w:val="auto"/>
                <w:sz w:val="21"/>
                <w:szCs w:val="21"/>
                <w:highlight w:val="none"/>
              </w:rPr>
              <w:t>副 行 长17740215212</w:t>
            </w:r>
          </w:p>
          <w:p>
            <w:pPr>
              <w:jc w:val="center"/>
              <w:rPr>
                <w:rFonts w:hAnsi="宋体" w:cs="宋体"/>
                <w:color w:val="auto"/>
                <w:sz w:val="21"/>
                <w:szCs w:val="21"/>
                <w:highlight w:val="none"/>
              </w:rPr>
            </w:pPr>
            <w:r>
              <w:rPr>
                <w:rFonts w:hint="eastAsia" w:hAnsi="宋体" w:cs="宋体"/>
                <w:color w:val="auto"/>
                <w:sz w:val="21"/>
                <w:szCs w:val="21"/>
                <w:highlight w:val="none"/>
              </w:rPr>
              <w:t>杨彦铭</w:t>
            </w:r>
            <w:r>
              <w:rPr>
                <w:rFonts w:hint="eastAsia" w:hAnsi="宋体" w:cs="宋体"/>
                <w:color w:val="auto"/>
                <w:sz w:val="21"/>
                <w:szCs w:val="21"/>
                <w:highlight w:val="none"/>
              </w:rPr>
              <w:tab/>
            </w:r>
            <w:r>
              <w:rPr>
                <w:rFonts w:hint="eastAsia" w:hAnsi="宋体" w:cs="宋体"/>
                <w:color w:val="auto"/>
                <w:sz w:val="21"/>
                <w:szCs w:val="21"/>
                <w:highlight w:val="none"/>
              </w:rPr>
              <w:t>部门总经理13981735391</w:t>
            </w:r>
          </w:p>
          <w:p>
            <w:pPr>
              <w:jc w:val="center"/>
              <w:rPr>
                <w:rFonts w:hAnsi="宋体" w:cs="宋体"/>
                <w:color w:val="auto"/>
                <w:sz w:val="21"/>
                <w:szCs w:val="21"/>
                <w:highlight w:val="none"/>
              </w:rPr>
            </w:pPr>
            <w:r>
              <w:rPr>
                <w:rFonts w:hint="eastAsia" w:hAnsi="宋体" w:cs="宋体"/>
                <w:color w:val="auto"/>
                <w:sz w:val="21"/>
                <w:szCs w:val="21"/>
                <w:highlight w:val="none"/>
              </w:rPr>
              <w:t>黄龙</w:t>
            </w:r>
            <w:r>
              <w:rPr>
                <w:rFonts w:hint="eastAsia" w:hAnsi="宋体" w:cs="宋体"/>
                <w:color w:val="auto"/>
                <w:sz w:val="21"/>
                <w:szCs w:val="21"/>
                <w:highlight w:val="none"/>
              </w:rPr>
              <w:tab/>
            </w:r>
            <w:r>
              <w:rPr>
                <w:rFonts w:hint="eastAsia" w:hAnsi="宋体" w:cs="宋体"/>
                <w:color w:val="auto"/>
                <w:sz w:val="21"/>
                <w:szCs w:val="21"/>
                <w:highlight w:val="none"/>
              </w:rPr>
              <w:t>副总经理13348884865</w:t>
            </w:r>
          </w:p>
          <w:p>
            <w:pPr>
              <w:jc w:val="center"/>
              <w:rPr>
                <w:rFonts w:hAnsi="宋体" w:cs="宋体"/>
                <w:color w:val="auto"/>
                <w:sz w:val="21"/>
                <w:szCs w:val="21"/>
                <w:highlight w:val="none"/>
              </w:rPr>
            </w:pPr>
            <w:r>
              <w:rPr>
                <w:rFonts w:hint="eastAsia" w:hAnsi="宋体" w:cs="宋体"/>
                <w:color w:val="auto"/>
                <w:sz w:val="21"/>
                <w:szCs w:val="21"/>
                <w:highlight w:val="none"/>
              </w:rPr>
              <w:t>羊孝丽</w:t>
            </w:r>
            <w:r>
              <w:rPr>
                <w:rFonts w:hint="eastAsia" w:hAnsi="宋体" w:cs="宋体"/>
                <w:color w:val="auto"/>
                <w:sz w:val="21"/>
                <w:szCs w:val="21"/>
                <w:highlight w:val="none"/>
              </w:rPr>
              <w:tab/>
            </w:r>
            <w:r>
              <w:rPr>
                <w:rFonts w:hint="eastAsia" w:hAnsi="宋体" w:cs="宋体"/>
                <w:color w:val="auto"/>
                <w:sz w:val="21"/>
                <w:szCs w:val="21"/>
                <w:highlight w:val="none"/>
              </w:rPr>
              <w:t>客户经理15884577260</w:t>
            </w:r>
          </w:p>
          <w:p>
            <w:pPr>
              <w:jc w:val="center"/>
              <w:rPr>
                <w:rFonts w:hAnsi="宋体" w:cs="宋体"/>
                <w:color w:val="auto"/>
                <w:sz w:val="21"/>
                <w:szCs w:val="21"/>
                <w:highlight w:val="none"/>
              </w:rPr>
            </w:pPr>
            <w:r>
              <w:rPr>
                <w:rFonts w:hint="eastAsia" w:hAnsi="宋体" w:cs="宋体"/>
                <w:color w:val="auto"/>
                <w:sz w:val="21"/>
                <w:szCs w:val="21"/>
                <w:highlight w:val="none"/>
              </w:rPr>
              <w:t>尹翔</w:t>
            </w:r>
            <w:r>
              <w:rPr>
                <w:rFonts w:hint="eastAsia" w:hAnsi="宋体" w:cs="宋体"/>
                <w:color w:val="auto"/>
                <w:sz w:val="21"/>
                <w:szCs w:val="21"/>
                <w:highlight w:val="none"/>
              </w:rPr>
              <w:tab/>
            </w:r>
            <w:r>
              <w:rPr>
                <w:rFonts w:hint="eastAsia" w:hAnsi="宋体" w:cs="宋体"/>
                <w:color w:val="auto"/>
                <w:sz w:val="21"/>
                <w:szCs w:val="21"/>
                <w:highlight w:val="none"/>
              </w:rPr>
              <w:t>客户经理13982166628</w:t>
            </w:r>
          </w:p>
          <w:p>
            <w:pPr>
              <w:pStyle w:val="63"/>
              <w:spacing w:line="320" w:lineRule="exact"/>
              <w:jc w:val="center"/>
              <w:rPr>
                <w:color w:val="auto"/>
                <w:sz w:val="21"/>
                <w:szCs w:val="21"/>
                <w:highlight w:val="none"/>
              </w:rPr>
            </w:pPr>
            <w:r>
              <w:rPr>
                <w:rFonts w:hint="eastAsia"/>
                <w:color w:val="auto"/>
                <w:sz w:val="21"/>
                <w:szCs w:val="21"/>
                <w:highlight w:val="none"/>
              </w:rPr>
              <w:t>吴翅飞</w:t>
            </w:r>
            <w:r>
              <w:rPr>
                <w:rFonts w:hint="eastAsia"/>
                <w:color w:val="auto"/>
                <w:sz w:val="21"/>
                <w:szCs w:val="21"/>
                <w:highlight w:val="none"/>
              </w:rPr>
              <w:tab/>
            </w:r>
            <w:r>
              <w:rPr>
                <w:rFonts w:hint="eastAsia"/>
                <w:color w:val="auto"/>
                <w:sz w:val="21"/>
                <w:szCs w:val="21"/>
                <w:highlight w:val="none"/>
              </w:rPr>
              <w:t>客户经理18982275308</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授信政策</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担保方式：信用</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授信期限：不高于采购合同期限，最高不超过三年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利率水平：基准上浮30%</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放款时限：审批通过后5个工作日内</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授信成数：最高不高于合同总价款的90%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陈东江</w:t>
            </w:r>
            <w:r>
              <w:rPr>
                <w:rFonts w:hint="eastAsia" w:hAnsi="宋体" w:cs="宋体"/>
                <w:color w:val="auto"/>
                <w:sz w:val="21"/>
                <w:szCs w:val="21"/>
                <w:highlight w:val="none"/>
              </w:rPr>
              <w:tab/>
            </w:r>
            <w:r>
              <w:rPr>
                <w:rFonts w:hint="eastAsia" w:hAnsi="宋体" w:cs="宋体"/>
                <w:color w:val="auto"/>
                <w:sz w:val="21"/>
                <w:szCs w:val="21"/>
                <w:highlight w:val="none"/>
              </w:rPr>
              <w:t>副 行 长</w:t>
            </w:r>
            <w:r>
              <w:rPr>
                <w:rFonts w:hint="eastAsia" w:hAnsi="宋体" w:cs="宋体"/>
                <w:color w:val="auto"/>
                <w:sz w:val="21"/>
                <w:szCs w:val="21"/>
                <w:highlight w:val="none"/>
              </w:rPr>
              <w:tab/>
            </w:r>
            <w:r>
              <w:rPr>
                <w:rFonts w:hint="eastAsia" w:hAnsi="宋体" w:cs="宋体"/>
                <w:color w:val="auto"/>
                <w:sz w:val="21"/>
                <w:szCs w:val="21"/>
                <w:highlight w:val="none"/>
              </w:rPr>
              <w:t>13980843688</w:t>
            </w:r>
          </w:p>
          <w:p>
            <w:pPr>
              <w:jc w:val="center"/>
              <w:rPr>
                <w:rFonts w:hAnsi="宋体" w:cs="宋体"/>
                <w:color w:val="auto"/>
                <w:sz w:val="21"/>
                <w:szCs w:val="21"/>
                <w:highlight w:val="none"/>
              </w:rPr>
            </w:pPr>
            <w:r>
              <w:rPr>
                <w:rFonts w:hint="eastAsia" w:hAnsi="宋体" w:cs="宋体"/>
                <w:color w:val="auto"/>
                <w:sz w:val="21"/>
                <w:szCs w:val="21"/>
                <w:highlight w:val="none"/>
              </w:rPr>
              <w:t>肖毓</w:t>
            </w:r>
            <w:r>
              <w:rPr>
                <w:rFonts w:hint="eastAsia" w:hAnsi="宋体" w:cs="宋体"/>
                <w:color w:val="auto"/>
                <w:sz w:val="21"/>
                <w:szCs w:val="21"/>
                <w:highlight w:val="none"/>
              </w:rPr>
              <w:tab/>
            </w:r>
            <w:r>
              <w:rPr>
                <w:rFonts w:hint="eastAsia" w:hAnsi="宋体" w:cs="宋体"/>
                <w:color w:val="auto"/>
                <w:sz w:val="21"/>
                <w:szCs w:val="21"/>
                <w:highlight w:val="none"/>
              </w:rPr>
              <w:t>部门经理</w:t>
            </w:r>
            <w:r>
              <w:rPr>
                <w:rFonts w:hint="eastAsia" w:hAnsi="宋体" w:cs="宋体"/>
                <w:color w:val="auto"/>
                <w:sz w:val="21"/>
                <w:szCs w:val="21"/>
                <w:highlight w:val="none"/>
              </w:rPr>
              <w:tab/>
            </w:r>
            <w:r>
              <w:rPr>
                <w:rFonts w:hint="eastAsia" w:hAnsi="宋体" w:cs="宋体"/>
                <w:color w:val="auto"/>
                <w:sz w:val="21"/>
                <w:szCs w:val="21"/>
                <w:highlight w:val="none"/>
              </w:rPr>
              <w:t>13882110585</w:t>
            </w:r>
          </w:p>
          <w:p>
            <w:pPr>
              <w:jc w:val="center"/>
              <w:rPr>
                <w:rFonts w:hAnsi="宋体" w:cs="宋体"/>
                <w:color w:val="auto"/>
                <w:sz w:val="21"/>
                <w:szCs w:val="21"/>
                <w:highlight w:val="none"/>
              </w:rPr>
            </w:pPr>
            <w:r>
              <w:rPr>
                <w:rFonts w:hint="eastAsia" w:hAnsi="宋体" w:cs="宋体"/>
                <w:color w:val="auto"/>
                <w:sz w:val="21"/>
                <w:szCs w:val="21"/>
                <w:highlight w:val="none"/>
              </w:rPr>
              <w:t>何莉</w:t>
            </w:r>
            <w:r>
              <w:rPr>
                <w:rFonts w:hint="eastAsia" w:hAnsi="宋体" w:cs="宋体"/>
                <w:color w:val="auto"/>
                <w:sz w:val="21"/>
                <w:szCs w:val="21"/>
                <w:highlight w:val="none"/>
              </w:rPr>
              <w:tab/>
            </w:r>
            <w:r>
              <w:rPr>
                <w:rFonts w:hint="eastAsia" w:hAnsi="宋体" w:cs="宋体"/>
                <w:color w:val="auto"/>
                <w:sz w:val="21"/>
                <w:szCs w:val="21"/>
                <w:highlight w:val="none"/>
              </w:rPr>
              <w:t>副 经 理</w:t>
            </w:r>
            <w:r>
              <w:rPr>
                <w:rFonts w:hint="eastAsia" w:hAnsi="宋体" w:cs="宋体"/>
                <w:color w:val="auto"/>
                <w:sz w:val="21"/>
                <w:szCs w:val="21"/>
                <w:highlight w:val="none"/>
              </w:rPr>
              <w:tab/>
            </w:r>
            <w:r>
              <w:rPr>
                <w:rFonts w:hint="eastAsia" w:hAnsi="宋体" w:cs="宋体"/>
                <w:color w:val="auto"/>
                <w:sz w:val="21"/>
                <w:szCs w:val="21"/>
                <w:highlight w:val="none"/>
              </w:rPr>
              <w:t>15982110977</w:t>
            </w:r>
          </w:p>
          <w:p>
            <w:pPr>
              <w:jc w:val="center"/>
              <w:rPr>
                <w:rFonts w:hAnsi="宋体" w:cs="宋体"/>
                <w:color w:val="auto"/>
                <w:sz w:val="21"/>
                <w:szCs w:val="21"/>
                <w:highlight w:val="none"/>
              </w:rPr>
            </w:pPr>
            <w:r>
              <w:rPr>
                <w:rFonts w:hint="eastAsia" w:hAnsi="宋体" w:cs="宋体"/>
                <w:color w:val="auto"/>
                <w:sz w:val="21"/>
                <w:szCs w:val="21"/>
                <w:highlight w:val="none"/>
              </w:rPr>
              <w:t>唐雪姣</w:t>
            </w:r>
            <w:r>
              <w:rPr>
                <w:rFonts w:hint="eastAsia" w:hAnsi="宋体" w:cs="宋体"/>
                <w:color w:val="auto"/>
                <w:sz w:val="21"/>
                <w:szCs w:val="21"/>
                <w:highlight w:val="none"/>
              </w:rPr>
              <w:tab/>
            </w:r>
            <w:r>
              <w:rPr>
                <w:rFonts w:hint="eastAsia" w:hAnsi="宋体" w:cs="宋体"/>
                <w:color w:val="auto"/>
                <w:sz w:val="21"/>
                <w:szCs w:val="21"/>
                <w:highlight w:val="none"/>
              </w:rPr>
              <w:t>客户经理</w:t>
            </w:r>
            <w:r>
              <w:rPr>
                <w:rFonts w:hint="eastAsia" w:hAnsi="宋体" w:cs="宋体"/>
                <w:color w:val="auto"/>
                <w:sz w:val="21"/>
                <w:szCs w:val="21"/>
                <w:highlight w:val="none"/>
              </w:rPr>
              <w:tab/>
            </w:r>
            <w:r>
              <w:rPr>
                <w:rFonts w:hint="eastAsia" w:hAnsi="宋体" w:cs="宋体"/>
                <w:color w:val="auto"/>
                <w:sz w:val="21"/>
                <w:szCs w:val="21"/>
                <w:highlight w:val="none"/>
              </w:rPr>
              <w:t>13689013376</w:t>
            </w:r>
          </w:p>
          <w:p>
            <w:pPr>
              <w:pStyle w:val="63"/>
              <w:spacing w:line="320" w:lineRule="exact"/>
              <w:jc w:val="center"/>
              <w:rPr>
                <w:color w:val="auto"/>
                <w:sz w:val="21"/>
                <w:szCs w:val="21"/>
                <w:highlight w:val="none"/>
              </w:rPr>
            </w:pPr>
            <w:r>
              <w:rPr>
                <w:rFonts w:hint="eastAsia"/>
                <w:color w:val="auto"/>
                <w:sz w:val="21"/>
                <w:szCs w:val="21"/>
                <w:highlight w:val="none"/>
              </w:rPr>
              <w:t>王羽</w:t>
            </w:r>
            <w:r>
              <w:rPr>
                <w:rFonts w:hint="eastAsia"/>
                <w:color w:val="auto"/>
                <w:sz w:val="21"/>
                <w:szCs w:val="21"/>
                <w:highlight w:val="none"/>
              </w:rPr>
              <w:tab/>
            </w:r>
            <w:r>
              <w:rPr>
                <w:rFonts w:hint="eastAsia"/>
                <w:color w:val="auto"/>
                <w:sz w:val="21"/>
                <w:szCs w:val="21"/>
                <w:highlight w:val="none"/>
              </w:rPr>
              <w:t>客户经理</w:t>
            </w:r>
            <w:r>
              <w:rPr>
                <w:rFonts w:hint="eastAsia"/>
                <w:color w:val="auto"/>
                <w:sz w:val="21"/>
                <w:szCs w:val="21"/>
                <w:highlight w:val="none"/>
              </w:rPr>
              <w:tab/>
            </w:r>
            <w:r>
              <w:rPr>
                <w:rFonts w:hint="eastAsia"/>
                <w:color w:val="auto"/>
                <w:sz w:val="21"/>
                <w:szCs w:val="21"/>
                <w:highlight w:val="none"/>
              </w:rPr>
              <w:t>13568936607</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1、授信额度</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根据《政府采购合同》金额测定授信额度理论值，最高可贷合同总金额的70%，原则不超过1000万元。小微企业单户信用贷款额度不超过500万元。</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2、融资期限</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融资到期日不超过《政府采购合同》项下应收账款付款到期日后3个月（含），融资期限原则上不超过1年（含），最长不超过3年。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3、融资利率 </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原则上不超过人民银行同期基准利率上浮30%。</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4、还款方式</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分管行长 王勇 82313560  13980969703</w:t>
            </w:r>
          </w:p>
          <w:p>
            <w:pPr>
              <w:pStyle w:val="63"/>
              <w:spacing w:line="320" w:lineRule="exact"/>
              <w:jc w:val="center"/>
              <w:rPr>
                <w:color w:val="auto"/>
                <w:sz w:val="21"/>
                <w:szCs w:val="21"/>
                <w:highlight w:val="none"/>
              </w:rPr>
            </w:pPr>
            <w:r>
              <w:rPr>
                <w:rFonts w:hint="eastAsia"/>
                <w:color w:val="auto"/>
                <w:sz w:val="21"/>
                <w:szCs w:val="21"/>
                <w:highlight w:val="none"/>
              </w:rPr>
              <w:t>分管主任龚才兵 82276832  18081054180</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授信额度：单一合同项下信用授信金额不得高于合同标的的70%，最高不超过2000万元，最长不超过一年。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担保方式：须借款人法定代表人、主要股东、实际控制人或关联企业提供连带责任保证担保；也可采购取房地产抵押或第三方保证等。</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重庆银行崇州支行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 xml:space="preserve">业务部经理   </w:t>
            </w:r>
          </w:p>
          <w:p>
            <w:pPr>
              <w:jc w:val="center"/>
              <w:rPr>
                <w:rFonts w:hAnsi="宋体" w:cs="宋体"/>
                <w:color w:val="auto"/>
                <w:sz w:val="21"/>
                <w:szCs w:val="21"/>
                <w:highlight w:val="none"/>
              </w:rPr>
            </w:pPr>
            <w:r>
              <w:rPr>
                <w:rFonts w:hint="eastAsia" w:hAnsi="宋体" w:cs="宋体"/>
                <w:color w:val="auto"/>
                <w:sz w:val="21"/>
                <w:szCs w:val="21"/>
                <w:highlight w:val="none"/>
              </w:rPr>
              <w:t>李盛勇  18108259677</w:t>
            </w:r>
          </w:p>
          <w:p>
            <w:pPr>
              <w:jc w:val="center"/>
              <w:rPr>
                <w:rFonts w:hAnsi="宋体" w:cs="宋体"/>
                <w:color w:val="auto"/>
                <w:sz w:val="21"/>
                <w:szCs w:val="21"/>
                <w:highlight w:val="none"/>
              </w:rPr>
            </w:pPr>
            <w:r>
              <w:rPr>
                <w:rFonts w:hint="eastAsia" w:hAnsi="宋体" w:cs="宋体"/>
                <w:color w:val="auto"/>
                <w:sz w:val="21"/>
                <w:szCs w:val="21"/>
                <w:highlight w:val="none"/>
              </w:rPr>
              <w:t>小微业务部副经理   余蓥   13550034115</w:t>
            </w:r>
          </w:p>
          <w:p>
            <w:pPr>
              <w:pStyle w:val="63"/>
              <w:spacing w:line="320" w:lineRule="exact"/>
              <w:jc w:val="center"/>
              <w:rPr>
                <w:color w:val="auto"/>
                <w:sz w:val="21"/>
                <w:szCs w:val="21"/>
                <w:highlight w:val="none"/>
              </w:rPr>
            </w:pPr>
            <w:r>
              <w:rPr>
                <w:rFonts w:hint="eastAsia"/>
                <w:color w:val="auto"/>
                <w:sz w:val="21"/>
                <w:szCs w:val="21"/>
                <w:highlight w:val="none"/>
              </w:rPr>
              <w:t>小微业务部客户经理  陈文韬 13547927235</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授信额度：单一合同项下信用授信金额不得高于合同标的的80%，目前暂不超过100万元。</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执行利率：申请人信用评价实施差异化定价，原则上不超过基准利率上浮30%。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工商银行崇州支行</w:t>
            </w:r>
          </w:p>
        </w:tc>
        <w:tc>
          <w:tcPr>
            <w:tcW w:w="1596" w:type="dxa"/>
            <w:vAlign w:val="center"/>
          </w:tcPr>
          <w:p>
            <w:pPr>
              <w:pStyle w:val="63"/>
              <w:spacing w:line="320" w:lineRule="exact"/>
              <w:jc w:val="center"/>
              <w:rPr>
                <w:color w:val="auto"/>
                <w:sz w:val="21"/>
                <w:szCs w:val="21"/>
                <w:highlight w:val="none"/>
              </w:rPr>
            </w:pPr>
            <w:r>
              <w:rPr>
                <w:rFonts w:hint="eastAsia"/>
                <w:color w:val="auto"/>
                <w:sz w:val="21"/>
                <w:szCs w:val="21"/>
                <w:highlight w:val="none"/>
              </w:rPr>
              <w:t>分管行长：张樱川13882296300</w:t>
            </w:r>
          </w:p>
          <w:p>
            <w:pPr>
              <w:pStyle w:val="63"/>
              <w:spacing w:line="320" w:lineRule="exact"/>
              <w:jc w:val="center"/>
              <w:rPr>
                <w:color w:val="auto"/>
                <w:sz w:val="21"/>
                <w:szCs w:val="21"/>
                <w:highlight w:val="none"/>
              </w:rPr>
            </w:pPr>
            <w:r>
              <w:rPr>
                <w:rFonts w:hint="eastAsia"/>
                <w:color w:val="auto"/>
                <w:sz w:val="21"/>
                <w:szCs w:val="21"/>
                <w:highlight w:val="none"/>
              </w:rPr>
              <w:t xml:space="preserve">  分管科长：曲希17760374425</w:t>
            </w:r>
          </w:p>
          <w:p>
            <w:pPr>
              <w:pStyle w:val="63"/>
              <w:spacing w:line="320" w:lineRule="exact"/>
              <w:jc w:val="center"/>
              <w:rPr>
                <w:color w:val="auto"/>
                <w:sz w:val="21"/>
                <w:szCs w:val="21"/>
                <w:highlight w:val="none"/>
              </w:rPr>
            </w:pPr>
            <w:r>
              <w:rPr>
                <w:rFonts w:hint="eastAsia"/>
                <w:color w:val="auto"/>
                <w:sz w:val="21"/>
                <w:szCs w:val="21"/>
                <w:highlight w:val="none"/>
              </w:rPr>
              <w:t xml:space="preserve">  客户经理：余波13688482133</w:t>
            </w:r>
          </w:p>
          <w:p>
            <w:pPr>
              <w:pStyle w:val="63"/>
              <w:spacing w:line="320" w:lineRule="exact"/>
              <w:jc w:val="center"/>
              <w:rPr>
                <w:color w:val="auto"/>
                <w:sz w:val="21"/>
                <w:szCs w:val="21"/>
                <w:highlight w:val="none"/>
              </w:rPr>
            </w:pPr>
            <w:r>
              <w:rPr>
                <w:rFonts w:hint="eastAsia"/>
                <w:color w:val="auto"/>
                <w:sz w:val="21"/>
                <w:szCs w:val="21"/>
                <w:highlight w:val="none"/>
              </w:rPr>
              <w:t xml:space="preserve">  客户经理：华昌庚15828604669</w:t>
            </w:r>
          </w:p>
        </w:tc>
        <w:tc>
          <w:tcPr>
            <w:tcW w:w="7244" w:type="dxa"/>
            <w:vAlign w:val="center"/>
          </w:tcPr>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融资额度</w:t>
            </w:r>
          </w:p>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 xml:space="preserve"> 1、采用信用方式的，单户贷款金额最高不超过200万元,微型企业单户最高不超过100万元。</w:t>
            </w:r>
          </w:p>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执行利率：“政采贷”业务定价不得低于人民银行基准利率执行，根据不同客户情况合理确定。</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还款方式：“政采贷”贷款根据企业经营特点、应收账款的回款特点确定还款方式，可采用一次性还款或分期还款方式，但须按月付息。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3"/>
              <w:wordWrap w:val="0"/>
              <w:topLinePunct/>
              <w:spacing w:line="320" w:lineRule="exact"/>
              <w:ind w:left="78" w:leftChars="23" w:right="51" w:rightChars="15"/>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按照崇州市级支持中小企业政府采购信息融资实施方案，提供以下单位联系方式： </w:t>
            </w:r>
          </w:p>
          <w:p>
            <w:pPr>
              <w:pStyle w:val="63"/>
              <w:wordWrap w:val="0"/>
              <w:topLinePunct/>
              <w:spacing w:line="320" w:lineRule="exact"/>
              <w:ind w:left="78" w:leftChars="23" w:right="51" w:rightChars="15"/>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银行名称</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成都农商银行崇州支行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崇州上银村镇银行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 xml:space="preserve">部门总经理      杨彦铭 </w:t>
            </w:r>
            <w:r>
              <w:rPr>
                <w:rFonts w:hint="eastAsia"/>
                <w:color w:val="auto"/>
                <w:sz w:val="21"/>
                <w:szCs w:val="21"/>
                <w:highlight w:val="none"/>
              </w:rPr>
              <w:tab/>
            </w:r>
            <w:r>
              <w:rPr>
                <w:rFonts w:hint="eastAsia"/>
                <w:color w:val="auto"/>
                <w:sz w:val="21"/>
                <w:szCs w:val="21"/>
                <w:highlight w:val="none"/>
              </w:rPr>
              <w:t>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中国农业银行崇州支行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 xml:space="preserve">部门经理        肖  毓 </w:t>
            </w:r>
            <w:r>
              <w:rPr>
                <w:rFonts w:hint="eastAsia"/>
                <w:color w:val="auto"/>
                <w:sz w:val="21"/>
                <w:szCs w:val="21"/>
                <w:highlight w:val="none"/>
              </w:rPr>
              <w:tab/>
            </w:r>
            <w:r>
              <w:rPr>
                <w:rFonts w:hint="eastAsia"/>
                <w:color w:val="auto"/>
                <w:sz w:val="21"/>
                <w:szCs w:val="21"/>
                <w:highlight w:val="none"/>
              </w:rPr>
              <w:t>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工商银行崇州支行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分管科长        曲  希  17760374425</w:t>
            </w:r>
          </w:p>
        </w:tc>
      </w:tr>
    </w:tbl>
    <w:p>
      <w:pPr>
        <w:pStyle w:val="4"/>
        <w:spacing w:line="40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br w:type="page"/>
      </w:r>
      <w:bookmarkStart w:id="32" w:name="_Toc4011"/>
      <w:bookmarkStart w:id="33" w:name="_Toc9222"/>
      <w:bookmarkStart w:id="34" w:name="_Toc2042"/>
      <w:bookmarkStart w:id="35" w:name="_Toc23295"/>
      <w:r>
        <w:rPr>
          <w:rFonts w:hint="eastAsia" w:ascii="宋体" w:hAnsi="宋体" w:eastAsia="宋体" w:cs="宋体"/>
          <w:bCs w:val="0"/>
          <w:color w:val="auto"/>
          <w:highlight w:val="none"/>
        </w:rPr>
        <w:t>二、总 则</w:t>
      </w:r>
      <w:bookmarkEnd w:id="30"/>
      <w:bookmarkEnd w:id="32"/>
      <w:bookmarkEnd w:id="33"/>
      <w:bookmarkEnd w:id="34"/>
      <w:bookmarkEnd w:id="35"/>
    </w:p>
    <w:p>
      <w:pPr>
        <w:pStyle w:val="5"/>
        <w:spacing w:line="400" w:lineRule="exact"/>
        <w:ind w:firstLine="482" w:firstLineChars="200"/>
        <w:rPr>
          <w:rFonts w:hint="eastAsia" w:ascii="宋体"/>
          <w:sz w:val="24"/>
          <w:szCs w:val="24"/>
          <w:lang w:val="en-US" w:eastAsia="zh-CN"/>
        </w:rPr>
      </w:pPr>
      <w:bookmarkStart w:id="36" w:name="_Toc183582205"/>
      <w:bookmarkStart w:id="37" w:name="_Toc183682342"/>
      <w:bookmarkStart w:id="38" w:name="_Toc217446034"/>
      <w:bookmarkStart w:id="39" w:name="_Toc308084574"/>
      <w:bookmarkStart w:id="40" w:name="_Toc308188129"/>
      <w:bookmarkStart w:id="41" w:name="_Toc5790"/>
      <w:bookmarkStart w:id="42" w:name="_Toc23796"/>
      <w:bookmarkStart w:id="43" w:name="_Toc20769"/>
      <w:bookmarkStart w:id="44" w:name="_Toc319439877"/>
      <w:bookmarkStart w:id="45" w:name="_Toc10311"/>
      <w:bookmarkStart w:id="46" w:name="_Toc29532"/>
      <w:bookmarkStart w:id="47" w:name="_Toc32483"/>
      <w:bookmarkStart w:id="48" w:name="_Toc309897492"/>
      <w:bookmarkStart w:id="49" w:name="_Toc307564829"/>
      <w:bookmarkStart w:id="50" w:name="_Toc307501086"/>
      <w:bookmarkStart w:id="51" w:name="_Toc31870"/>
      <w:bookmarkStart w:id="52" w:name="_Toc28450"/>
      <w:bookmarkStart w:id="53" w:name="_Toc12046"/>
      <w:bookmarkStart w:id="54" w:name="_Toc3601"/>
      <w:bookmarkStart w:id="55" w:name="_Toc31725"/>
      <w:bookmarkStart w:id="56" w:name="_Toc327196263"/>
      <w:bookmarkStart w:id="57" w:name="_Toc319440119"/>
      <w:r>
        <w:rPr>
          <w:rFonts w:hint="eastAsia" w:ascii="宋体"/>
          <w:sz w:val="24"/>
          <w:szCs w:val="24"/>
          <w:lang w:val="en-US" w:eastAsia="zh-CN"/>
        </w:rPr>
        <w:t>1</w:t>
      </w:r>
      <w:bookmarkEnd w:id="36"/>
      <w:bookmarkEnd w:id="37"/>
      <w:r>
        <w:rPr>
          <w:rFonts w:hint="eastAsia" w:ascii="宋体"/>
          <w:sz w:val="24"/>
          <w:szCs w:val="24"/>
          <w:lang w:val="en-US" w:eastAsia="zh-CN"/>
        </w:rPr>
        <w:t>.适用范围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1.1 本招标文件仅适用于本次公开招标采购项目。</w:t>
      </w:r>
    </w:p>
    <w:p>
      <w:pPr>
        <w:pStyle w:val="5"/>
        <w:spacing w:line="400" w:lineRule="exact"/>
        <w:ind w:firstLine="482" w:firstLineChars="200"/>
        <w:rPr>
          <w:rFonts w:hint="eastAsia" w:ascii="宋体"/>
          <w:sz w:val="24"/>
          <w:szCs w:val="24"/>
          <w:lang w:val="en-US" w:eastAsia="zh-CN"/>
        </w:rPr>
      </w:pPr>
      <w:bookmarkStart w:id="58" w:name="_Toc183582206"/>
      <w:bookmarkStart w:id="59" w:name="_Toc183682343"/>
      <w:bookmarkStart w:id="60" w:name="_Toc319440120"/>
      <w:bookmarkStart w:id="61" w:name="_Toc319439878"/>
      <w:bookmarkStart w:id="62" w:name="_Toc2775"/>
      <w:bookmarkStart w:id="63" w:name="_Toc19670"/>
      <w:bookmarkStart w:id="64" w:name="_Toc7942"/>
      <w:bookmarkStart w:id="65" w:name="_Toc309897493"/>
      <w:bookmarkStart w:id="66" w:name="_Toc307564830"/>
      <w:bookmarkStart w:id="67" w:name="_Toc16858"/>
      <w:bookmarkStart w:id="68" w:name="_Toc308084575"/>
      <w:bookmarkStart w:id="69" w:name="_Toc327196264"/>
      <w:bookmarkStart w:id="70" w:name="_Toc24985"/>
      <w:bookmarkStart w:id="71" w:name="_Toc307501087"/>
      <w:bookmarkStart w:id="72" w:name="_Toc156"/>
      <w:bookmarkStart w:id="73" w:name="_Toc13022"/>
      <w:bookmarkStart w:id="74" w:name="_Toc19069"/>
      <w:bookmarkStart w:id="75" w:name="_Toc308188130"/>
      <w:bookmarkStart w:id="76" w:name="_Toc10659"/>
      <w:bookmarkStart w:id="77" w:name="_Toc217446035"/>
      <w:bookmarkStart w:id="78" w:name="_Toc524"/>
      <w:bookmarkStart w:id="79" w:name="_Toc24751"/>
      <w:r>
        <w:rPr>
          <w:rFonts w:hint="eastAsia" w:ascii="宋体"/>
          <w:sz w:val="24"/>
          <w:szCs w:val="24"/>
          <w:lang w:val="en-US" w:eastAsia="zh-CN"/>
        </w:rPr>
        <w:t>2</w:t>
      </w:r>
      <w:bookmarkEnd w:id="58"/>
      <w:bookmarkEnd w:id="59"/>
      <w:r>
        <w:rPr>
          <w:rFonts w:hint="eastAsia" w:ascii="宋体"/>
          <w:sz w:val="24"/>
          <w:szCs w:val="24"/>
          <w:lang w:val="en-US" w:eastAsia="zh-CN"/>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2.1 “采购人”系指依法进行政府采购的国家机关、事业单位、团体组织。本次招标的采购人是</w:t>
      </w:r>
      <w:r>
        <w:rPr>
          <w:rFonts w:hint="eastAsia" w:hAnsi="宋体" w:cs="宋体"/>
          <w:color w:val="auto"/>
          <w:sz w:val="24"/>
          <w:highlight w:val="none"/>
          <w:u w:val="single"/>
          <w:lang w:eastAsia="zh-CN"/>
        </w:rPr>
        <w:t>崇州市水务局</w:t>
      </w:r>
      <w:r>
        <w:rPr>
          <w:rFonts w:hint="eastAsia" w:hAnsi="宋体" w:cs="宋体"/>
          <w:color w:val="auto"/>
          <w:sz w:val="24"/>
          <w:highlight w:val="none"/>
        </w:rPr>
        <w:t>。</w:t>
      </w:r>
    </w:p>
    <w:p>
      <w:pPr>
        <w:pStyle w:val="9"/>
        <w:ind w:firstLine="480"/>
        <w:rPr>
          <w:rFonts w:ascii="宋体" w:hAnsi="宋体" w:cs="宋体"/>
          <w:color w:val="auto"/>
          <w:sz w:val="24"/>
          <w:highlight w:val="none"/>
        </w:rPr>
      </w:pPr>
      <w:r>
        <w:rPr>
          <w:rFonts w:hint="eastAsia" w:ascii="宋体" w:hAnsi="宋体" w:cs="宋体"/>
          <w:color w:val="auto"/>
          <w:sz w:val="24"/>
          <w:highlight w:val="none"/>
        </w:rPr>
        <w:t>2.2 “采购代理机构” 系指根据采购人的委托依法办理招标事宜的采购机构。本次招标的采购代理机构是</w:t>
      </w:r>
      <w:r>
        <w:rPr>
          <w:rFonts w:hint="eastAsia" w:ascii="宋体" w:hAnsi="宋体" w:cs="宋体"/>
          <w:color w:val="auto"/>
          <w:kern w:val="0"/>
          <w:sz w:val="24"/>
          <w:highlight w:val="none"/>
          <w:u w:val="single"/>
        </w:rPr>
        <w:t>成都倍信达工程管理咨询有限公司</w:t>
      </w:r>
      <w:r>
        <w:rPr>
          <w:rFonts w:hint="eastAsia" w:ascii="宋体" w:hAnsi="宋体" w:cs="宋体"/>
          <w:color w:val="auto"/>
          <w:kern w:val="0"/>
          <w:sz w:val="24"/>
          <w:highlight w:val="none"/>
        </w:rPr>
        <w:t>。</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2.3 “招标采购单位”系指“采购人”和“采购代理机构”的统称。</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2.4 “投标人”系指购买了招标文件拟参加投标和向采购人提供货物及相应服务的供应商。</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2.5 本招标文件各部分规定的期间以时、日、月、年计算。期间开始的时和日，不计算在期间内，而从次日开始计算。期间届满的最后一天是节假日的，以节假日后的第一日为期间届满的日期。</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2.6本招标文件各部分规定的时间均以北京时间为准。</w:t>
      </w:r>
    </w:p>
    <w:p>
      <w:pPr>
        <w:pStyle w:val="5"/>
        <w:spacing w:line="400" w:lineRule="exact"/>
        <w:ind w:firstLine="482" w:firstLineChars="200"/>
        <w:rPr>
          <w:rFonts w:hint="eastAsia" w:ascii="宋体"/>
          <w:sz w:val="24"/>
          <w:szCs w:val="24"/>
          <w:lang w:val="en-US" w:eastAsia="zh-CN"/>
        </w:rPr>
      </w:pPr>
      <w:bookmarkStart w:id="80" w:name="_Toc3060"/>
      <w:bookmarkStart w:id="81" w:name="_Toc7511"/>
      <w:bookmarkStart w:id="82" w:name="_Toc217446036"/>
      <w:bookmarkStart w:id="83" w:name="_Toc309897494"/>
      <w:bookmarkStart w:id="84" w:name="_Toc22174"/>
      <w:bookmarkStart w:id="85" w:name="_Toc23383"/>
      <w:bookmarkStart w:id="86" w:name="_Toc217390843"/>
      <w:bookmarkStart w:id="87" w:name="_Toc308084576"/>
      <w:bookmarkStart w:id="88" w:name="_Toc307564831"/>
      <w:bookmarkStart w:id="89" w:name="_Toc183582207"/>
      <w:bookmarkStart w:id="90" w:name="_Toc308188131"/>
      <w:bookmarkStart w:id="91" w:name="_Toc319439879"/>
      <w:bookmarkStart w:id="92" w:name="_Toc327196265"/>
      <w:bookmarkStart w:id="93" w:name="_Toc183682344"/>
      <w:bookmarkStart w:id="94" w:name="_Toc30244"/>
      <w:bookmarkStart w:id="95" w:name="_Toc319440121"/>
      <w:bookmarkStart w:id="96" w:name="_Toc24547"/>
      <w:bookmarkStart w:id="97" w:name="_Toc307501088"/>
      <w:bookmarkStart w:id="98" w:name="_Toc29784"/>
      <w:bookmarkStart w:id="99" w:name="_Toc26508"/>
      <w:bookmarkStart w:id="100" w:name="_Toc31295"/>
      <w:bookmarkStart w:id="101" w:name="_Toc30689"/>
      <w:bookmarkStart w:id="102" w:name="_Toc4334"/>
      <w:r>
        <w:rPr>
          <w:rFonts w:hint="eastAsia" w:ascii="宋体"/>
          <w:sz w:val="24"/>
          <w:szCs w:val="24"/>
          <w:lang w:val="en-US" w:eastAsia="zh-CN"/>
        </w:rPr>
        <w:t>3.合格的投标人</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sz w:val="24"/>
          <w:szCs w:val="24"/>
          <w:lang w:val="en-US" w:eastAsia="zh-CN"/>
        </w:rPr>
        <w:t>(实质性要求)</w:t>
      </w:r>
      <w:bookmarkEnd w:id="100"/>
      <w:bookmarkEnd w:id="101"/>
      <w:bookmarkEnd w:id="102"/>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合格的投标人应具备以下条件：</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(1)本招标文件“投标邀请”第五条规定的条件；</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(2)遵守国家有关的法律、法规、规章和其他政策制度；</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(3)按照招标文件“投标邀请”中第七条规定获取了招标文件。</w:t>
      </w:r>
    </w:p>
    <w:p>
      <w:pPr>
        <w:pStyle w:val="5"/>
        <w:spacing w:line="400" w:lineRule="exact"/>
        <w:ind w:firstLine="482" w:firstLineChars="200"/>
        <w:rPr>
          <w:rFonts w:hint="eastAsia" w:ascii="宋体"/>
          <w:sz w:val="24"/>
          <w:szCs w:val="24"/>
          <w:lang w:val="en-US" w:eastAsia="zh-CN"/>
        </w:rPr>
      </w:pPr>
      <w:bookmarkStart w:id="103" w:name="_Toc308084577"/>
      <w:bookmarkStart w:id="104" w:name="_Toc307564832"/>
      <w:bookmarkStart w:id="105" w:name="_Toc183582208"/>
      <w:bookmarkStart w:id="106" w:name="_Toc308188132"/>
      <w:bookmarkStart w:id="107" w:name="_Toc21649"/>
      <w:bookmarkStart w:id="108" w:name="_Toc28895"/>
      <w:bookmarkStart w:id="109" w:name="_Toc319440122"/>
      <w:bookmarkStart w:id="110" w:name="_Toc5067"/>
      <w:bookmarkStart w:id="111" w:name="_Toc4414"/>
      <w:bookmarkStart w:id="112" w:name="_Toc307501089"/>
      <w:bookmarkStart w:id="113" w:name="_Toc9761"/>
      <w:bookmarkStart w:id="114" w:name="_Toc14323"/>
      <w:bookmarkStart w:id="115" w:name="_Toc26952"/>
      <w:bookmarkStart w:id="116" w:name="_Toc12293"/>
      <w:bookmarkStart w:id="117" w:name="_Toc319439880"/>
      <w:bookmarkStart w:id="118" w:name="_Toc327196266"/>
      <w:bookmarkStart w:id="119" w:name="_Toc183682345"/>
      <w:bookmarkStart w:id="120" w:name="_Toc217446037"/>
      <w:bookmarkStart w:id="121" w:name="_Toc309897495"/>
      <w:bookmarkStart w:id="122" w:name="_Toc31729"/>
      <w:bookmarkStart w:id="123" w:name="_Toc6077"/>
      <w:bookmarkStart w:id="124" w:name="_Toc7047"/>
      <w:r>
        <w:rPr>
          <w:rFonts w:hint="eastAsia" w:ascii="宋体"/>
          <w:sz w:val="24"/>
          <w:szCs w:val="24"/>
          <w:lang w:val="en-US" w:eastAsia="zh-CN"/>
        </w:rPr>
        <w:t>4.投标费用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sz w:val="24"/>
          <w:szCs w:val="24"/>
          <w:lang w:val="en-US" w:eastAsia="zh-CN"/>
        </w:rPr>
        <w:t>(实质性要求)</w:t>
      </w:r>
      <w:bookmarkEnd w:id="122"/>
      <w:bookmarkEnd w:id="123"/>
      <w:bookmarkEnd w:id="124"/>
    </w:p>
    <w:p>
      <w:pPr>
        <w:tabs>
          <w:tab w:val="left" w:pos="7665"/>
        </w:tabs>
        <w:spacing w:line="440" w:lineRule="exact"/>
        <w:ind w:firstLine="480"/>
        <w:rPr>
          <w:rFonts w:hAnsi="宋体" w:cs="宋体"/>
          <w:color w:val="auto"/>
          <w:sz w:val="24"/>
          <w:highlight w:val="none"/>
        </w:rPr>
      </w:pPr>
      <w:r>
        <w:rPr>
          <w:rFonts w:hint="eastAsia" w:hAnsi="宋体" w:cs="宋体"/>
          <w:color w:val="auto"/>
          <w:sz w:val="24"/>
          <w:highlight w:val="none"/>
        </w:rPr>
        <w:t>投标人参加投标的有关费用由投标人自行承担。</w:t>
      </w:r>
    </w:p>
    <w:p>
      <w:pPr>
        <w:pStyle w:val="5"/>
        <w:spacing w:line="400" w:lineRule="exact"/>
        <w:ind w:firstLine="482" w:firstLineChars="200"/>
        <w:rPr>
          <w:rFonts w:hint="eastAsia" w:ascii="宋体"/>
          <w:sz w:val="24"/>
          <w:szCs w:val="24"/>
        </w:rPr>
      </w:pPr>
      <w:bookmarkStart w:id="125" w:name="_Toc18984"/>
      <w:bookmarkStart w:id="126" w:name="_Toc28490"/>
      <w:bookmarkStart w:id="127" w:name="_Toc7710"/>
      <w:bookmarkStart w:id="128" w:name="_Toc309897496"/>
      <w:bookmarkStart w:id="129" w:name="_Toc11996"/>
      <w:bookmarkStart w:id="130" w:name="_Toc308084578"/>
      <w:bookmarkStart w:id="131" w:name="_Toc319440123"/>
      <w:bookmarkStart w:id="132" w:name="_Toc308188133"/>
      <w:bookmarkStart w:id="133" w:name="_Toc327196267"/>
      <w:bookmarkStart w:id="134" w:name="_Toc319439881"/>
      <w:bookmarkStart w:id="135" w:name="_Toc11131"/>
      <w:bookmarkStart w:id="136" w:name="_Toc27927"/>
      <w:bookmarkStart w:id="137" w:name="_Toc27604"/>
      <w:bookmarkStart w:id="138" w:name="_Toc307564833"/>
      <w:bookmarkStart w:id="139" w:name="_Toc307501090"/>
      <w:bookmarkStart w:id="140" w:name="_Toc18993"/>
      <w:bookmarkStart w:id="141" w:name="_Toc25456"/>
      <w:bookmarkStart w:id="142" w:name="_Toc11923"/>
      <w:bookmarkStart w:id="143" w:name="_Toc5564"/>
      <w:r>
        <w:rPr>
          <w:rFonts w:hint="eastAsia" w:ascii="宋体"/>
          <w:sz w:val="24"/>
          <w:szCs w:val="24"/>
          <w:lang w:val="en-US" w:eastAsia="zh-CN"/>
        </w:rPr>
        <w:t>5.</w:t>
      </w:r>
      <w:r>
        <w:rPr>
          <w:rFonts w:hint="eastAsia" w:ascii="宋体"/>
          <w:sz w:val="24"/>
          <w:szCs w:val="24"/>
        </w:rPr>
        <w:t>充分、公平竞争保障措施</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sz w:val="24"/>
          <w:szCs w:val="24"/>
        </w:rPr>
        <w:t>(实质性要求)</w:t>
      </w:r>
      <w:bookmarkEnd w:id="141"/>
      <w:bookmarkEnd w:id="142"/>
      <w:bookmarkEnd w:id="143"/>
    </w:p>
    <w:p>
      <w:pPr>
        <w:tabs>
          <w:tab w:val="left" w:pos="7665"/>
        </w:tabs>
        <w:spacing w:line="400" w:lineRule="exact"/>
        <w:ind w:firstLine="480"/>
        <w:rPr>
          <w:rFonts w:hAnsi="宋体" w:cs="宋体"/>
          <w:color w:val="auto"/>
          <w:sz w:val="24"/>
          <w:highlight w:val="none"/>
        </w:rPr>
      </w:pPr>
      <w:bookmarkStart w:id="144" w:name="_Toc327196268"/>
      <w:bookmarkStart w:id="145" w:name="_Toc13891"/>
      <w:bookmarkStart w:id="146" w:name="_Toc183582209"/>
      <w:bookmarkStart w:id="147" w:name="_Toc217446038"/>
      <w:bookmarkStart w:id="148" w:name="_Toc183682346"/>
      <w:bookmarkStart w:id="149" w:name="_Toc77400779"/>
      <w:bookmarkStart w:id="150" w:name="_Toc89075875"/>
      <w:r>
        <w:rPr>
          <w:rFonts w:hint="eastAsia" w:hAnsi="宋体" w:cs="宋体"/>
          <w:b/>
          <w:bCs/>
          <w:color w:val="auto"/>
          <w:sz w:val="24"/>
          <w:highlight w:val="none"/>
        </w:rPr>
        <w:t>5.1利害关系供应商处理。</w:t>
      </w:r>
      <w:r>
        <w:rPr>
          <w:rFonts w:hint="eastAsia" w:hAnsi="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tabs>
          <w:tab w:val="left" w:pos="7665"/>
        </w:tabs>
        <w:spacing w:line="400" w:lineRule="exact"/>
        <w:ind w:firstLine="480"/>
        <w:rPr>
          <w:rFonts w:hAnsi="宋体" w:cs="宋体"/>
          <w:color w:val="auto"/>
          <w:sz w:val="24"/>
          <w:highlight w:val="none"/>
        </w:rPr>
      </w:pPr>
      <w:r>
        <w:rPr>
          <w:rFonts w:hint="eastAsia" w:hAnsi="宋体" w:cs="宋体"/>
          <w:b/>
          <w:bCs/>
          <w:color w:val="auto"/>
          <w:sz w:val="24"/>
          <w:highlight w:val="none"/>
        </w:rPr>
        <w:t>5.2前期参与供应商处理。</w:t>
      </w:r>
      <w:r>
        <w:rPr>
          <w:rFonts w:hint="eastAsia" w:hAnsi="宋体" w:cs="宋体"/>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400" w:lineRule="exact"/>
        <w:ind w:firstLine="480"/>
        <w:rPr>
          <w:rFonts w:hAnsi="宋体" w:cs="宋体"/>
          <w:color w:val="auto"/>
          <w:sz w:val="24"/>
          <w:highlight w:val="none"/>
        </w:rPr>
      </w:pPr>
      <w:r>
        <w:rPr>
          <w:rFonts w:hint="eastAsia" w:hAnsi="宋体" w:cs="宋体"/>
          <w:b/>
          <w:bCs/>
          <w:color w:val="auto"/>
          <w:sz w:val="24"/>
          <w:highlight w:val="none"/>
        </w:rPr>
        <w:t>5.3利害关系代理人处理。</w:t>
      </w:r>
      <w:r>
        <w:rPr>
          <w:rFonts w:hint="eastAsia" w:hAnsi="宋体" w:cs="宋体"/>
          <w:color w:val="auto"/>
          <w:sz w:val="24"/>
          <w:highlight w:val="none"/>
        </w:rPr>
        <w:t>2家以上的供应商不得在同一合同项下的采购项目中，同时委托同一个自然人、同一家庭的人员、同一单位的人员作为其代理人，否则，其投标文件作为无效处理。</w:t>
      </w:r>
    </w:p>
    <w:p>
      <w:pPr>
        <w:pStyle w:val="4"/>
        <w:spacing w:before="0" w:after="0" w:line="440" w:lineRule="exact"/>
        <w:jc w:val="center"/>
        <w:rPr>
          <w:rFonts w:ascii="宋体" w:hAnsi="宋体" w:eastAsia="宋体" w:cs="宋体"/>
          <w:bCs w:val="0"/>
          <w:color w:val="auto"/>
          <w:highlight w:val="none"/>
        </w:rPr>
      </w:pPr>
      <w:bookmarkStart w:id="151" w:name="_Toc23907"/>
      <w:bookmarkStart w:id="152" w:name="_Toc14125"/>
      <w:bookmarkStart w:id="153" w:name="_Toc27564"/>
      <w:r>
        <w:rPr>
          <w:rFonts w:hint="eastAsia" w:ascii="宋体" w:hAnsi="宋体" w:eastAsia="宋体" w:cs="宋体"/>
          <w:bCs w:val="0"/>
          <w:color w:val="auto"/>
          <w:highlight w:val="none"/>
        </w:rPr>
        <w:t>三、招标文件</w:t>
      </w:r>
      <w:bookmarkEnd w:id="144"/>
      <w:bookmarkEnd w:id="145"/>
      <w:bookmarkEnd w:id="146"/>
      <w:bookmarkEnd w:id="147"/>
      <w:bookmarkEnd w:id="148"/>
      <w:bookmarkEnd w:id="149"/>
      <w:bookmarkEnd w:id="150"/>
      <w:bookmarkEnd w:id="151"/>
      <w:bookmarkEnd w:id="152"/>
      <w:bookmarkEnd w:id="153"/>
    </w:p>
    <w:p>
      <w:pPr>
        <w:pStyle w:val="5"/>
        <w:spacing w:line="400" w:lineRule="exact"/>
        <w:ind w:firstLine="482" w:firstLineChars="200"/>
        <w:rPr>
          <w:rFonts w:hint="eastAsia" w:ascii="宋体"/>
          <w:sz w:val="24"/>
          <w:szCs w:val="24"/>
        </w:rPr>
      </w:pPr>
      <w:bookmarkStart w:id="154" w:name="_Toc309897498"/>
      <w:bookmarkStart w:id="155" w:name="_Toc16404"/>
      <w:bookmarkStart w:id="156" w:name="_Toc217446039"/>
      <w:bookmarkStart w:id="157" w:name="_Toc24565"/>
      <w:bookmarkStart w:id="158" w:name="_Toc319440125"/>
      <w:bookmarkStart w:id="159" w:name="_Toc307564835"/>
      <w:bookmarkStart w:id="160" w:name="_Toc25650"/>
      <w:bookmarkStart w:id="161" w:name="_Toc19030"/>
      <w:bookmarkStart w:id="162" w:name="_Toc8208"/>
      <w:bookmarkStart w:id="163" w:name="_Toc319439883"/>
      <w:bookmarkStart w:id="164" w:name="_Toc5983"/>
      <w:bookmarkStart w:id="165" w:name="_Toc29703"/>
      <w:bookmarkStart w:id="166" w:name="_Toc308084580"/>
      <w:bookmarkStart w:id="167" w:name="_Toc8808"/>
      <w:bookmarkStart w:id="168" w:name="_Toc183682347"/>
      <w:bookmarkStart w:id="169" w:name="_Toc25874"/>
      <w:bookmarkStart w:id="170" w:name="_Toc22520"/>
      <w:bookmarkStart w:id="171" w:name="_Toc307501092"/>
      <w:bookmarkStart w:id="172" w:name="_Toc327196269"/>
      <w:bookmarkStart w:id="173" w:name="_Toc21985"/>
      <w:bookmarkStart w:id="174" w:name="_Toc308188135"/>
      <w:bookmarkStart w:id="175" w:name="_Toc183582210"/>
      <w:r>
        <w:rPr>
          <w:rFonts w:hint="eastAsia" w:ascii="宋体"/>
          <w:sz w:val="24"/>
          <w:szCs w:val="24"/>
        </w:rPr>
        <w:t>6.招标文件的构成</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tabs>
          <w:tab w:val="left" w:pos="7665"/>
        </w:tabs>
        <w:spacing w:line="440" w:lineRule="exact"/>
        <w:ind w:firstLine="499" w:firstLineChars="208"/>
        <w:rPr>
          <w:rFonts w:hAnsi="宋体" w:cs="宋体"/>
          <w:color w:val="auto"/>
          <w:sz w:val="24"/>
          <w:highlight w:val="none"/>
        </w:rPr>
      </w:pPr>
      <w:r>
        <w:rPr>
          <w:rFonts w:hint="eastAsia" w:ascii="宋体" w:hAnsi="宋体" w:cs="宋体"/>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r>
        <w:rPr>
          <w:rFonts w:hint="eastAsia" w:hAnsi="宋体" w:cs="宋体"/>
          <w:color w:val="auto"/>
          <w:sz w:val="24"/>
          <w:highlight w:val="none"/>
        </w:rPr>
        <w:t>：</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rPr>
        <w:t>投标邀请；</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rPr>
        <w:t>投标人须知；</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rPr>
        <w:t>投标文件格式；</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rPr>
        <w:t>招标项目技术、服务、政府采购合同内容条款及其他商务要求；</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rPr>
        <w:t>资格审查办法；</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rPr>
        <w:t>评标办法；</w:t>
      </w:r>
    </w:p>
    <w:p>
      <w:pPr>
        <w:numPr>
          <w:ilvl w:val="0"/>
          <w:numId w:val="6"/>
        </w:numPr>
        <w:spacing w:line="440" w:lineRule="exact"/>
        <w:ind w:left="0" w:firstLine="480"/>
        <w:rPr>
          <w:rFonts w:hAnsi="宋体" w:cs="宋体"/>
          <w:color w:val="auto"/>
          <w:sz w:val="24"/>
          <w:highlight w:val="none"/>
        </w:rPr>
      </w:pPr>
      <w:r>
        <w:rPr>
          <w:rFonts w:hint="eastAsia" w:hAnsi="宋体" w:cs="宋体"/>
          <w:color w:val="auto"/>
          <w:sz w:val="24"/>
          <w:highlight w:val="none"/>
          <w:lang w:eastAsia="zh-CN"/>
        </w:rPr>
        <w:t>合同主要条款（供参考）。</w:t>
      </w:r>
    </w:p>
    <w:p>
      <w:pPr>
        <w:pStyle w:val="5"/>
        <w:spacing w:line="400" w:lineRule="exact"/>
        <w:ind w:firstLine="482" w:firstLineChars="200"/>
        <w:rPr>
          <w:rFonts w:hint="eastAsia" w:ascii="宋体"/>
          <w:sz w:val="24"/>
          <w:szCs w:val="24"/>
        </w:rPr>
      </w:pPr>
      <w:bookmarkStart w:id="176" w:name="_Toc183582211"/>
      <w:bookmarkStart w:id="177" w:name="_Toc183682348"/>
      <w:bookmarkStart w:id="178" w:name="_Toc309897499"/>
      <w:bookmarkStart w:id="179" w:name="_Toc308188136"/>
      <w:bookmarkStart w:id="180" w:name="_Toc327196270"/>
      <w:bookmarkStart w:id="181" w:name="_Toc319439884"/>
      <w:bookmarkStart w:id="182" w:name="_Toc13600"/>
      <w:bookmarkStart w:id="183" w:name="_Toc17632"/>
      <w:bookmarkStart w:id="184" w:name="_Toc26020"/>
      <w:bookmarkStart w:id="185" w:name="_Toc307501093"/>
      <w:bookmarkStart w:id="186" w:name="_Toc19612"/>
      <w:bookmarkStart w:id="187" w:name="_Toc27690"/>
      <w:bookmarkStart w:id="188" w:name="_Toc108"/>
      <w:bookmarkStart w:id="189" w:name="_Toc307564836"/>
      <w:bookmarkStart w:id="190" w:name="_Toc16291"/>
      <w:bookmarkStart w:id="191" w:name="_Toc319440126"/>
      <w:bookmarkStart w:id="192" w:name="_Toc217446040"/>
      <w:bookmarkStart w:id="193" w:name="_Toc11995"/>
      <w:bookmarkStart w:id="194" w:name="_Toc25894"/>
      <w:bookmarkStart w:id="195" w:name="_Toc22085"/>
      <w:bookmarkStart w:id="196" w:name="_Toc308084581"/>
      <w:bookmarkStart w:id="197" w:name="_Toc7541"/>
      <w:r>
        <w:rPr>
          <w:rFonts w:hint="eastAsia" w:ascii="宋体"/>
          <w:sz w:val="24"/>
          <w:szCs w:val="24"/>
        </w:rPr>
        <w:t>7.招标文件的澄清</w:t>
      </w:r>
      <w:bookmarkEnd w:id="176"/>
      <w:bookmarkEnd w:id="177"/>
      <w:r>
        <w:rPr>
          <w:rFonts w:hint="eastAsia" w:ascii="宋体"/>
          <w:sz w:val="24"/>
          <w:szCs w:val="24"/>
        </w:rPr>
        <w:t>和修改</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7.1 招标采购单位可以依法对招标文件进行澄清或者修改。</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7.4 投标人认为需要对招标文件进行澄清或者修改的，可以以书面形式向招标采购单位构提出申请，但招标采购单位可以决定是否采纳投标人的申请事项。</w:t>
      </w:r>
      <w:r>
        <w:rPr>
          <w:rFonts w:hint="eastAsia" w:hAnsi="宋体" w:cs="宋体"/>
          <w:color w:val="auto"/>
          <w:sz w:val="24"/>
          <w:szCs w:val="20"/>
          <w:highlight w:val="none"/>
        </w:rPr>
        <w:t>　</w:t>
      </w:r>
    </w:p>
    <w:p>
      <w:pPr>
        <w:pStyle w:val="5"/>
        <w:spacing w:line="400" w:lineRule="exact"/>
        <w:ind w:firstLine="482" w:firstLineChars="200"/>
        <w:rPr>
          <w:rFonts w:hint="eastAsia" w:ascii="宋体"/>
          <w:sz w:val="24"/>
          <w:szCs w:val="24"/>
        </w:rPr>
      </w:pPr>
      <w:bookmarkStart w:id="198" w:name="_Toc6811"/>
      <w:bookmarkStart w:id="199" w:name="_Toc2637"/>
      <w:bookmarkStart w:id="200" w:name="_Toc319440127"/>
      <w:bookmarkStart w:id="201" w:name="_Toc307501094"/>
      <w:bookmarkStart w:id="202" w:name="_Toc217446041"/>
      <w:bookmarkStart w:id="203" w:name="_Toc309897500"/>
      <w:bookmarkStart w:id="204" w:name="_Toc327196271"/>
      <w:bookmarkStart w:id="205" w:name="_Toc3159"/>
      <w:bookmarkStart w:id="206" w:name="_Toc16546"/>
      <w:bookmarkStart w:id="207" w:name="_Toc3361"/>
      <w:bookmarkStart w:id="208" w:name="_Toc17111"/>
      <w:bookmarkStart w:id="209" w:name="_Toc22061"/>
      <w:bookmarkStart w:id="210" w:name="_Toc308188137"/>
      <w:bookmarkStart w:id="211" w:name="_Toc307564837"/>
      <w:bookmarkStart w:id="212" w:name="_Toc319439885"/>
      <w:bookmarkStart w:id="213" w:name="_Toc208848971"/>
      <w:bookmarkStart w:id="214" w:name="_Toc7026"/>
      <w:bookmarkStart w:id="215" w:name="_Toc308084582"/>
      <w:bookmarkStart w:id="216" w:name="_Toc24226"/>
      <w:bookmarkStart w:id="217" w:name="_Toc9735"/>
      <w:bookmarkStart w:id="218" w:name="_Toc8838"/>
      <w:r>
        <w:rPr>
          <w:rFonts w:hint="eastAsia" w:ascii="宋体"/>
          <w:sz w:val="24"/>
          <w:szCs w:val="24"/>
        </w:rPr>
        <w:t>8.答疑会和现场考察</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63"/>
        <w:wordWrap w:val="0"/>
        <w:topLinePunct/>
        <w:spacing w:line="440" w:lineRule="exact"/>
        <w:ind w:right="170" w:rightChars="50" w:firstLine="480" w:firstLineChars="200"/>
        <w:jc w:val="both"/>
        <w:rPr>
          <w:color w:val="auto"/>
          <w:szCs w:val="22"/>
          <w:highlight w:val="none"/>
        </w:rPr>
      </w:pPr>
      <w:bookmarkStart w:id="219" w:name="_Toc327196272"/>
      <w:bookmarkStart w:id="220" w:name="_Toc77400780"/>
      <w:bookmarkStart w:id="221" w:name="_Toc89075876"/>
      <w:bookmarkStart w:id="222" w:name="_Toc27479"/>
      <w:bookmarkStart w:id="223" w:name="_Toc217446042"/>
      <w:bookmarkStart w:id="224" w:name="_Toc16131"/>
      <w:bookmarkStart w:id="225" w:name="_Toc20199"/>
      <w:bookmarkStart w:id="226" w:name="_Toc183582214"/>
      <w:bookmarkStart w:id="227" w:name="_Toc183682351"/>
      <w:bookmarkStart w:id="228" w:name="_Toc5372"/>
      <w:r>
        <w:rPr>
          <w:rFonts w:hint="eastAsia"/>
          <w:color w:val="auto"/>
          <w:szCs w:val="22"/>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r>
        <w:rPr>
          <w:rFonts w:hint="eastAsia"/>
          <w:color w:val="auto"/>
          <w:highlight w:val="none"/>
        </w:rPr>
        <w:t>。</w:t>
      </w:r>
    </w:p>
    <w:p>
      <w:pPr>
        <w:pStyle w:val="4"/>
        <w:spacing w:before="0" w:after="0" w:line="440" w:lineRule="exact"/>
        <w:ind w:firstLine="480"/>
        <w:rPr>
          <w:rFonts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 xml:space="preserve">8.2 供应商考察现场所发生的一切费用由供应商自己承担。 </w:t>
      </w:r>
    </w:p>
    <w:p>
      <w:pPr>
        <w:pStyle w:val="4"/>
        <w:spacing w:before="0" w:after="0" w:line="44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t>四、投标文件</w:t>
      </w:r>
      <w:bookmarkEnd w:id="219"/>
      <w:bookmarkEnd w:id="220"/>
      <w:bookmarkEnd w:id="221"/>
      <w:bookmarkEnd w:id="222"/>
      <w:bookmarkEnd w:id="223"/>
      <w:bookmarkEnd w:id="224"/>
      <w:bookmarkEnd w:id="225"/>
      <w:bookmarkEnd w:id="226"/>
      <w:bookmarkEnd w:id="227"/>
      <w:bookmarkEnd w:id="228"/>
    </w:p>
    <w:p>
      <w:pPr>
        <w:pStyle w:val="5"/>
        <w:spacing w:line="400" w:lineRule="exact"/>
        <w:ind w:firstLine="482" w:firstLineChars="200"/>
        <w:rPr>
          <w:rFonts w:hint="eastAsia" w:ascii="宋体"/>
          <w:sz w:val="24"/>
          <w:szCs w:val="24"/>
        </w:rPr>
      </w:pPr>
      <w:bookmarkStart w:id="229" w:name="_Toc309897502"/>
      <w:bookmarkStart w:id="230" w:name="_Toc319440129"/>
      <w:bookmarkStart w:id="231" w:name="_Toc319439887"/>
      <w:bookmarkStart w:id="232" w:name="_Toc308188139"/>
      <w:bookmarkStart w:id="233" w:name="_Toc217446043"/>
      <w:bookmarkStart w:id="234" w:name="_Toc23564"/>
      <w:bookmarkStart w:id="235" w:name="_Toc183582215"/>
      <w:bookmarkStart w:id="236" w:name="_Toc308084584"/>
      <w:bookmarkStart w:id="237" w:name="_Toc1641"/>
      <w:bookmarkStart w:id="238" w:name="_Toc29330"/>
      <w:bookmarkStart w:id="239" w:name="_Toc2601"/>
      <w:bookmarkStart w:id="240" w:name="_Toc26076"/>
      <w:bookmarkStart w:id="241" w:name="_Toc307564839"/>
      <w:bookmarkStart w:id="242" w:name="_Toc21169"/>
      <w:bookmarkStart w:id="243" w:name="_Toc307501096"/>
      <w:bookmarkStart w:id="244" w:name="_Toc327196273"/>
      <w:bookmarkStart w:id="245" w:name="_Toc183682352"/>
      <w:bookmarkStart w:id="246" w:name="_Toc27053"/>
      <w:bookmarkStart w:id="247" w:name="_Toc3041"/>
      <w:bookmarkStart w:id="248" w:name="_Toc8388"/>
      <w:bookmarkStart w:id="249" w:name="_Toc11217"/>
      <w:bookmarkStart w:id="250" w:name="_Toc3307"/>
      <w:r>
        <w:rPr>
          <w:rFonts w:hint="eastAsia" w:ascii="宋体"/>
          <w:sz w:val="24"/>
          <w:szCs w:val="24"/>
        </w:rPr>
        <w:t>9.投标文件的语言</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sz w:val="24"/>
          <w:szCs w:val="24"/>
        </w:rPr>
        <w:t>(实质性要求)</w:t>
      </w:r>
      <w:bookmarkEnd w:id="248"/>
      <w:bookmarkEnd w:id="249"/>
      <w:bookmarkEnd w:id="250"/>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9.2 翻译的中文资料与外文资料如果出现差异和矛盾时，以中文为准。涉嫌虚假响应的按照相关法律法规处理。</w:t>
      </w:r>
    </w:p>
    <w:p>
      <w:pPr>
        <w:pStyle w:val="5"/>
        <w:spacing w:line="400" w:lineRule="exact"/>
        <w:ind w:firstLine="482" w:firstLineChars="200"/>
        <w:rPr>
          <w:rFonts w:hint="eastAsia" w:ascii="宋体"/>
          <w:sz w:val="24"/>
          <w:szCs w:val="24"/>
        </w:rPr>
      </w:pPr>
      <w:bookmarkStart w:id="251" w:name="_Toc307501097"/>
      <w:bookmarkStart w:id="252" w:name="_Toc183682353"/>
      <w:bookmarkStart w:id="253" w:name="_Toc217446044"/>
      <w:bookmarkStart w:id="254" w:name="_Toc183582216"/>
      <w:bookmarkStart w:id="255" w:name="_Toc308084585"/>
      <w:bookmarkStart w:id="256" w:name="_Toc319439888"/>
      <w:bookmarkStart w:id="257" w:name="_Toc327196274"/>
      <w:bookmarkStart w:id="258" w:name="_Toc319440130"/>
      <w:bookmarkStart w:id="259" w:name="_Toc309897503"/>
      <w:bookmarkStart w:id="260" w:name="_Toc20091"/>
      <w:bookmarkStart w:id="261" w:name="_Toc15145"/>
      <w:bookmarkStart w:id="262" w:name="_Toc15226"/>
      <w:bookmarkStart w:id="263" w:name="_Toc308188140"/>
      <w:bookmarkStart w:id="264" w:name="_Toc20188"/>
      <w:bookmarkStart w:id="265" w:name="_Toc17444"/>
      <w:bookmarkStart w:id="266" w:name="_Toc307564840"/>
      <w:bookmarkStart w:id="267" w:name="_Toc2379"/>
      <w:bookmarkStart w:id="268" w:name="_Toc11901"/>
      <w:bookmarkStart w:id="269" w:name="_Toc12195"/>
      <w:bookmarkStart w:id="270" w:name="_Toc10594"/>
      <w:bookmarkStart w:id="271" w:name="_Toc27229"/>
      <w:bookmarkStart w:id="272" w:name="_Toc18700"/>
      <w:r>
        <w:rPr>
          <w:rFonts w:hint="eastAsia" w:ascii="宋体"/>
          <w:sz w:val="24"/>
          <w:szCs w:val="24"/>
        </w:rPr>
        <w:t>10.计量单位</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宋体"/>
          <w:sz w:val="24"/>
          <w:szCs w:val="24"/>
        </w:rPr>
        <w:t>(实质性要求)</w:t>
      </w:r>
      <w:bookmarkEnd w:id="270"/>
      <w:bookmarkEnd w:id="271"/>
      <w:bookmarkEnd w:id="272"/>
    </w:p>
    <w:p>
      <w:pPr>
        <w:spacing w:line="440" w:lineRule="exact"/>
        <w:ind w:firstLine="470" w:firstLineChars="196"/>
        <w:rPr>
          <w:rFonts w:hAnsi="宋体" w:cs="宋体"/>
          <w:color w:val="auto"/>
          <w:sz w:val="24"/>
          <w:highlight w:val="none"/>
        </w:rPr>
      </w:pPr>
      <w:r>
        <w:rPr>
          <w:rFonts w:hint="eastAsia" w:hAnsi="宋体" w:cs="宋体"/>
          <w:color w:val="auto"/>
          <w:sz w:val="24"/>
          <w:highlight w:val="none"/>
        </w:rPr>
        <w:t>除招标文件中另有规定外，本次采购项目所有合同项下的投标均采用国家法定的计量单位。</w:t>
      </w:r>
    </w:p>
    <w:p>
      <w:pPr>
        <w:pStyle w:val="5"/>
        <w:spacing w:line="400" w:lineRule="exact"/>
        <w:ind w:firstLine="482" w:firstLineChars="200"/>
        <w:rPr>
          <w:rFonts w:hint="eastAsia" w:ascii="宋体"/>
          <w:sz w:val="24"/>
          <w:szCs w:val="24"/>
        </w:rPr>
      </w:pPr>
      <w:bookmarkStart w:id="273" w:name="_Toc22739"/>
      <w:bookmarkStart w:id="274" w:name="_Toc319440131"/>
      <w:bookmarkStart w:id="275" w:name="_Toc309897504"/>
      <w:bookmarkStart w:id="276" w:name="_Toc217446045"/>
      <w:bookmarkStart w:id="277" w:name="_Toc319439889"/>
      <w:bookmarkStart w:id="278" w:name="_Toc16798"/>
      <w:bookmarkStart w:id="279" w:name="_Toc25216"/>
      <w:bookmarkStart w:id="280" w:name="_Toc308084586"/>
      <w:bookmarkStart w:id="281" w:name="_Toc8803"/>
      <w:bookmarkStart w:id="282" w:name="_Toc698"/>
      <w:bookmarkStart w:id="283" w:name="_Toc307501098"/>
      <w:bookmarkStart w:id="284" w:name="_Toc307564841"/>
      <w:bookmarkStart w:id="285" w:name="_Toc24761"/>
      <w:bookmarkStart w:id="286" w:name="_Toc327196275"/>
      <w:bookmarkStart w:id="287" w:name="_Toc308188141"/>
      <w:bookmarkStart w:id="288" w:name="_Toc8881"/>
      <w:bookmarkStart w:id="289" w:name="_Toc15435"/>
      <w:bookmarkStart w:id="290" w:name="_Toc19960"/>
      <w:bookmarkStart w:id="291" w:name="_Toc21948"/>
      <w:bookmarkStart w:id="292" w:name="_Toc11633"/>
      <w:r>
        <w:rPr>
          <w:rFonts w:hint="eastAsia" w:ascii="宋体"/>
          <w:sz w:val="24"/>
          <w:szCs w:val="24"/>
        </w:rPr>
        <w:t>11.投标货币</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ascii="宋体"/>
          <w:sz w:val="24"/>
          <w:szCs w:val="24"/>
        </w:rPr>
        <w:t>(实质性要求)</w:t>
      </w:r>
      <w:bookmarkEnd w:id="290"/>
      <w:bookmarkEnd w:id="291"/>
      <w:bookmarkEnd w:id="292"/>
    </w:p>
    <w:p>
      <w:pPr>
        <w:tabs>
          <w:tab w:val="left" w:pos="7665"/>
        </w:tabs>
        <w:spacing w:line="440" w:lineRule="exact"/>
        <w:ind w:left="13" w:hanging="118"/>
        <w:rPr>
          <w:rFonts w:hAnsi="宋体" w:cs="宋体"/>
          <w:color w:val="auto"/>
          <w:sz w:val="24"/>
          <w:highlight w:val="none"/>
        </w:rPr>
      </w:pPr>
      <w:r>
        <w:rPr>
          <w:rFonts w:hint="eastAsia" w:hAnsi="宋体" w:cs="宋体"/>
          <w:color w:val="auto"/>
          <w:sz w:val="24"/>
          <w:highlight w:val="none"/>
        </w:rPr>
        <w:t xml:space="preserve">     本次招标项目的投标均以人民币报价。</w:t>
      </w:r>
    </w:p>
    <w:p>
      <w:pPr>
        <w:pStyle w:val="5"/>
        <w:spacing w:line="400" w:lineRule="exact"/>
        <w:ind w:firstLine="482" w:firstLineChars="200"/>
        <w:rPr>
          <w:rFonts w:hint="eastAsia" w:ascii="宋体"/>
          <w:sz w:val="24"/>
          <w:szCs w:val="24"/>
        </w:rPr>
      </w:pPr>
      <w:bookmarkStart w:id="293" w:name="_Toc21894"/>
      <w:bookmarkStart w:id="294" w:name="_Toc24432"/>
      <w:bookmarkStart w:id="295" w:name="_Toc309897505"/>
      <w:bookmarkStart w:id="296" w:name="_Toc21797"/>
      <w:bookmarkStart w:id="297" w:name="_Toc7935"/>
      <w:bookmarkStart w:id="298" w:name="_Toc319439890"/>
      <w:bookmarkStart w:id="299" w:name="_Toc307501099"/>
      <w:bookmarkStart w:id="300" w:name="_Toc217446046"/>
      <w:bookmarkStart w:id="301" w:name="_Toc308188142"/>
      <w:bookmarkStart w:id="302" w:name="_Toc308084587"/>
      <w:bookmarkStart w:id="303" w:name="_Toc15074"/>
      <w:bookmarkStart w:id="304" w:name="_Toc319440132"/>
      <w:bookmarkStart w:id="305" w:name="_Toc327196276"/>
      <w:bookmarkStart w:id="306" w:name="_Toc8550"/>
      <w:bookmarkStart w:id="307" w:name="_Toc307564842"/>
      <w:bookmarkStart w:id="308" w:name="_Toc25266"/>
      <w:bookmarkStart w:id="309" w:name="_Toc16409"/>
      <w:bookmarkStart w:id="310" w:name="_Toc32667"/>
      <w:bookmarkStart w:id="311" w:name="_Toc20014"/>
      <w:bookmarkStart w:id="312" w:name="_Toc4336"/>
      <w:r>
        <w:rPr>
          <w:rFonts w:hint="eastAsia" w:ascii="宋体"/>
          <w:sz w:val="24"/>
          <w:szCs w:val="24"/>
        </w:rPr>
        <w:t>12.联合体投标</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hint="eastAsia" w:ascii="宋体"/>
          <w:sz w:val="24"/>
          <w:szCs w:val="24"/>
        </w:rPr>
        <w:t>(实质性要求)</w:t>
      </w:r>
      <w:bookmarkEnd w:id="310"/>
      <w:bookmarkEnd w:id="311"/>
      <w:bookmarkEnd w:id="312"/>
    </w:p>
    <w:p>
      <w:pPr>
        <w:pStyle w:val="13"/>
        <w:spacing w:line="440" w:lineRule="exact"/>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本次政府采购活动不接受联合体投标。</w:t>
      </w:r>
    </w:p>
    <w:p>
      <w:pPr>
        <w:pStyle w:val="5"/>
        <w:spacing w:line="400" w:lineRule="exact"/>
        <w:ind w:firstLine="482" w:firstLineChars="200"/>
        <w:rPr>
          <w:rFonts w:hint="eastAsia" w:ascii="宋体"/>
          <w:sz w:val="24"/>
          <w:szCs w:val="24"/>
        </w:rPr>
      </w:pPr>
      <w:bookmarkStart w:id="313" w:name="_Toc27877"/>
      <w:bookmarkStart w:id="314" w:name="_Toc327196277"/>
      <w:bookmarkStart w:id="315" w:name="_Toc307564843"/>
      <w:bookmarkStart w:id="316" w:name="_Toc319440133"/>
      <w:bookmarkStart w:id="317" w:name="_Toc307501100"/>
      <w:bookmarkStart w:id="318" w:name="_Toc13754"/>
      <w:bookmarkStart w:id="319" w:name="_Toc308188143"/>
      <w:bookmarkStart w:id="320" w:name="_Toc308084588"/>
      <w:bookmarkStart w:id="321" w:name="_Toc30958"/>
      <w:bookmarkStart w:id="322" w:name="_Toc217446047"/>
      <w:bookmarkStart w:id="323" w:name="_Toc7819"/>
      <w:bookmarkStart w:id="324" w:name="_Toc319439891"/>
      <w:bookmarkStart w:id="325" w:name="_Toc309897506"/>
      <w:bookmarkStart w:id="326" w:name="_Toc18912"/>
      <w:bookmarkStart w:id="327" w:name="_Toc10974"/>
      <w:bookmarkStart w:id="328" w:name="_Toc3781"/>
      <w:bookmarkStart w:id="329" w:name="_Toc2050"/>
      <w:bookmarkStart w:id="330" w:name="_Toc9626"/>
      <w:bookmarkStart w:id="331" w:name="_Toc15468"/>
      <w:bookmarkStart w:id="332" w:name="_Toc22458"/>
      <w:r>
        <w:rPr>
          <w:rFonts w:hint="eastAsia" w:ascii="宋体"/>
          <w:sz w:val="24"/>
          <w:szCs w:val="24"/>
        </w:rPr>
        <w:t>13.知识产权</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宋体"/>
          <w:sz w:val="24"/>
          <w:szCs w:val="24"/>
        </w:rPr>
        <w:t>(实质性要求)</w:t>
      </w:r>
      <w:bookmarkEnd w:id="330"/>
      <w:bookmarkEnd w:id="331"/>
      <w:bookmarkEnd w:id="332"/>
    </w:p>
    <w:p>
      <w:pPr>
        <w:spacing w:line="440" w:lineRule="exact"/>
        <w:ind w:firstLine="460" w:firstLineChars="192"/>
        <w:rPr>
          <w:rFonts w:hint="eastAsia" w:hAnsi="宋体" w:cs="宋体"/>
          <w:color w:val="auto"/>
          <w:sz w:val="24"/>
          <w:highlight w:val="none"/>
        </w:rPr>
      </w:pPr>
      <w:r>
        <w:rPr>
          <w:rFonts w:hint="eastAsia" w:hAnsi="宋体" w:cs="宋体"/>
          <w:color w:val="auto"/>
          <w:sz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440" w:lineRule="exact"/>
        <w:ind w:firstLine="460" w:firstLineChars="192"/>
        <w:rPr>
          <w:rFonts w:hint="eastAsia" w:hAnsi="宋体" w:cs="宋体"/>
          <w:color w:val="auto"/>
          <w:sz w:val="24"/>
          <w:highlight w:val="none"/>
        </w:rPr>
      </w:pPr>
      <w:r>
        <w:rPr>
          <w:rFonts w:hint="eastAsia" w:hAnsi="宋体" w:cs="宋体"/>
          <w:color w:val="auto"/>
          <w:sz w:val="24"/>
          <w:highlight w:val="none"/>
        </w:rPr>
        <w:t>13.2 采购人享有本项目实施过程中产生的知识成果及知识产权。</w:t>
      </w:r>
    </w:p>
    <w:p>
      <w:pPr>
        <w:spacing w:line="440" w:lineRule="exact"/>
        <w:ind w:firstLine="460" w:firstLineChars="192"/>
        <w:rPr>
          <w:rFonts w:hint="eastAsia" w:hAnsi="宋体" w:cs="宋体"/>
          <w:color w:val="auto"/>
          <w:sz w:val="24"/>
          <w:highlight w:val="none"/>
        </w:rPr>
      </w:pPr>
      <w:r>
        <w:rPr>
          <w:rFonts w:hint="eastAsia" w:hAnsi="宋体" w:cs="宋体"/>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40" w:lineRule="exact"/>
        <w:ind w:firstLine="460" w:firstLineChars="192"/>
        <w:rPr>
          <w:rFonts w:hAnsi="宋体" w:cs="宋体"/>
          <w:color w:val="auto"/>
          <w:sz w:val="24"/>
          <w:highlight w:val="none"/>
        </w:rPr>
      </w:pPr>
      <w:r>
        <w:rPr>
          <w:rFonts w:hint="eastAsia" w:hAnsi="宋体" w:cs="宋体"/>
          <w:color w:val="auto"/>
          <w:sz w:val="24"/>
          <w:highlight w:val="none"/>
        </w:rPr>
        <w:t xml:space="preserve">13.4 如采用投标人所不拥有的知识产权，则在投标报价中必须包括合法获取该知识产权的相关费用。 </w:t>
      </w:r>
    </w:p>
    <w:p>
      <w:pPr>
        <w:pStyle w:val="5"/>
        <w:spacing w:line="400" w:lineRule="exact"/>
        <w:ind w:firstLine="482" w:firstLineChars="200"/>
        <w:rPr>
          <w:rFonts w:hint="eastAsia" w:ascii="宋体"/>
          <w:sz w:val="24"/>
          <w:szCs w:val="24"/>
        </w:rPr>
      </w:pPr>
      <w:bookmarkStart w:id="333" w:name="_Toc5369"/>
      <w:bookmarkStart w:id="334" w:name="_Toc2706"/>
      <w:bookmarkStart w:id="335" w:name="_Toc7660"/>
      <w:bookmarkStart w:id="336" w:name="_Toc307564844"/>
      <w:bookmarkStart w:id="337" w:name="_Toc307501101"/>
      <w:bookmarkStart w:id="338" w:name="_Toc183682354"/>
      <w:bookmarkStart w:id="339" w:name="_Toc327196278"/>
      <w:bookmarkStart w:id="340" w:name="_Toc11856"/>
      <w:bookmarkStart w:id="341" w:name="_Toc308084589"/>
      <w:bookmarkStart w:id="342" w:name="_Toc8432"/>
      <w:bookmarkStart w:id="343" w:name="_Toc791"/>
      <w:bookmarkStart w:id="344" w:name="_Toc183582217"/>
      <w:bookmarkStart w:id="345" w:name="_Toc1140"/>
      <w:bookmarkStart w:id="346" w:name="_Toc308188144"/>
      <w:bookmarkStart w:id="347" w:name="_Toc217446048"/>
      <w:bookmarkStart w:id="348" w:name="_Toc16281"/>
      <w:bookmarkStart w:id="349" w:name="_Toc319440134"/>
      <w:bookmarkStart w:id="350" w:name="_Toc10817"/>
      <w:bookmarkStart w:id="351" w:name="_Toc319439892"/>
      <w:bookmarkStart w:id="352" w:name="_Toc309897507"/>
      <w:bookmarkStart w:id="353" w:name="_Toc6143"/>
      <w:bookmarkStart w:id="354" w:name="_Toc30708"/>
      <w:r>
        <w:rPr>
          <w:rFonts w:hint="eastAsia" w:ascii="宋体"/>
          <w:sz w:val="24"/>
          <w:szCs w:val="24"/>
        </w:rPr>
        <w:t>14.投标文件的组成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440" w:lineRule="exact"/>
        <w:ind w:firstLine="470" w:firstLineChars="196"/>
        <w:rPr>
          <w:rFonts w:hAnsi="宋体" w:cs="宋体"/>
          <w:color w:val="auto"/>
          <w:sz w:val="24"/>
          <w:highlight w:val="none"/>
        </w:rPr>
      </w:pPr>
      <w:r>
        <w:rPr>
          <w:rFonts w:hint="eastAsia" w:hAnsi="宋体" w:cs="宋体"/>
          <w:color w:val="auto"/>
          <w:sz w:val="24"/>
          <w:highlight w:val="none"/>
        </w:rPr>
        <w:t>投标人应按照招标文件的规定和要求编制投标文件，否则视为无效投标。投标人拟在中标后将中标项目的非主体、非关键性工作交由他人完成的，应当在投标文件中载明。投标人编写的投标文件应包括下列部分：</w:t>
      </w:r>
    </w:p>
    <w:p>
      <w:pPr>
        <w:widowControl/>
        <w:spacing w:line="360" w:lineRule="auto"/>
        <w:ind w:firstLine="480" w:firstLineChars="200"/>
        <w:jc w:val="left"/>
        <w:rPr>
          <w:rFonts w:hAnsi="宋体" w:cs="宋体"/>
          <w:color w:val="auto"/>
          <w:sz w:val="24"/>
          <w:szCs w:val="24"/>
          <w:highlight w:val="none"/>
        </w:rPr>
      </w:pPr>
      <w:r>
        <w:rPr>
          <w:rFonts w:hAnsi="宋体" w:cs="宋体"/>
          <w:color w:val="auto"/>
          <w:sz w:val="24"/>
          <w:szCs w:val="24"/>
          <w:highlight w:val="none"/>
        </w:rPr>
        <w:t>投标人应按照招标文件的规定和要求编制投标文件。投标人编写的投标文件应至少包括下列两部分文件:</w:t>
      </w:r>
      <w:r>
        <w:rPr>
          <w:rFonts w:hAnsi="宋体" w:cs="宋体"/>
          <w:color w:val="auto"/>
          <w:sz w:val="24"/>
          <w:szCs w:val="24"/>
          <w:highlight w:val="none"/>
        </w:rPr>
        <w:br w:type="textWrapping"/>
      </w:r>
      <w:r>
        <w:rPr>
          <w:rFonts w:hint="eastAsia" w:hAnsi="宋体" w:cs="宋体"/>
          <w:b/>
          <w:color w:val="auto"/>
          <w:sz w:val="24"/>
          <w:szCs w:val="32"/>
          <w:highlight w:val="none"/>
        </w:rPr>
        <w:t>文件一:资格性投标文件(用于资格审查和符合性审查)</w:t>
      </w:r>
      <w:r>
        <w:rPr>
          <w:rFonts w:hAnsi="宋体" w:cs="宋体"/>
          <w:color w:val="auto"/>
          <w:sz w:val="24"/>
          <w:szCs w:val="24"/>
          <w:highlight w:val="none"/>
        </w:rPr>
        <w:br w:type="textWrapping"/>
      </w:r>
      <w:r>
        <w:rPr>
          <w:rFonts w:hint="eastAsia" w:hAnsi="宋体" w:cs="宋体"/>
          <w:color w:val="auto"/>
          <w:sz w:val="24"/>
          <w:szCs w:val="24"/>
          <w:highlight w:val="none"/>
        </w:rPr>
        <w:t xml:space="preserve">    包括本文件第五章所列内容要求具备的资格证明文件等（部分资料格式见第三章）</w:t>
      </w:r>
      <w:r>
        <w:rPr>
          <w:rFonts w:hAnsi="宋体" w:cs="宋体"/>
          <w:color w:val="auto"/>
          <w:sz w:val="24"/>
          <w:szCs w:val="24"/>
          <w:highlight w:val="none"/>
        </w:rPr>
        <w:t>。</w:t>
      </w:r>
      <w:r>
        <w:rPr>
          <w:rFonts w:hAnsi="宋体" w:cs="宋体"/>
          <w:color w:val="auto"/>
          <w:sz w:val="24"/>
          <w:szCs w:val="24"/>
          <w:highlight w:val="none"/>
        </w:rPr>
        <w:br w:type="textWrapping"/>
      </w:r>
      <w:r>
        <w:rPr>
          <w:rFonts w:hint="eastAsia" w:hAnsi="宋体" w:cs="宋体"/>
          <w:b/>
          <w:color w:val="auto"/>
          <w:sz w:val="24"/>
          <w:szCs w:val="32"/>
          <w:highlight w:val="none"/>
        </w:rPr>
        <w:t>文件二:其他投标文件(用于资格审查以外的评标)</w:t>
      </w:r>
    </w:p>
    <w:p>
      <w:pPr>
        <w:pStyle w:val="22"/>
        <w:rPr>
          <w:color w:val="auto"/>
          <w:highlight w:val="none"/>
        </w:rPr>
      </w:pPr>
      <w:r>
        <w:rPr>
          <w:rFonts w:hint="eastAsia" w:hAnsi="宋体" w:cs="宋体"/>
          <w:color w:val="auto"/>
          <w:sz w:val="24"/>
          <w:szCs w:val="24"/>
          <w:highlight w:val="none"/>
        </w:rPr>
        <w:t>视采购项目具体情况可以包括以下内容（部分资料格式见第三章）</w:t>
      </w:r>
      <w:r>
        <w:rPr>
          <w:rFonts w:hAnsi="宋体" w:cs="宋体"/>
          <w:color w:val="auto"/>
          <w:sz w:val="24"/>
          <w:szCs w:val="24"/>
          <w:highlight w:val="none"/>
        </w:rPr>
        <w:t>:</w:t>
      </w:r>
    </w:p>
    <w:p>
      <w:pPr>
        <w:spacing w:line="440" w:lineRule="exact"/>
        <w:ind w:firstLine="472" w:firstLineChars="196"/>
        <w:rPr>
          <w:rFonts w:hAnsi="宋体" w:cs="宋体"/>
          <w:color w:val="auto"/>
          <w:sz w:val="24"/>
          <w:highlight w:val="none"/>
        </w:rPr>
      </w:pPr>
      <w:r>
        <w:rPr>
          <w:rFonts w:hint="eastAsia" w:hAnsi="宋体" w:cs="宋体"/>
          <w:b/>
          <w:color w:val="auto"/>
          <w:sz w:val="24"/>
          <w:highlight w:val="none"/>
        </w:rPr>
        <w:t>（一） 报价部分。</w:t>
      </w:r>
      <w:r>
        <w:rPr>
          <w:rFonts w:hint="eastAsia" w:hAnsi="宋体" w:cs="宋体"/>
          <w:bCs/>
          <w:color w:val="auto"/>
          <w:sz w:val="24"/>
          <w:highlight w:val="none"/>
        </w:rPr>
        <w:t>投标人</w:t>
      </w:r>
      <w:r>
        <w:rPr>
          <w:rFonts w:hint="eastAsia" w:hAnsi="宋体" w:cs="宋体"/>
          <w:color w:val="auto"/>
          <w:sz w:val="24"/>
          <w:highlight w:val="none"/>
        </w:rPr>
        <w:t>按照以下要求填写的“</w:t>
      </w:r>
      <w:r>
        <w:rPr>
          <w:rFonts w:hint="eastAsia" w:hAnsi="宋体" w:cs="宋体"/>
          <w:color w:val="auto"/>
          <w:sz w:val="24"/>
          <w:highlight w:val="none"/>
          <w:lang w:eastAsia="zh-CN"/>
        </w:rPr>
        <w:t>报价一览表</w:t>
      </w:r>
      <w:r>
        <w:rPr>
          <w:rFonts w:hint="eastAsia" w:hAnsi="宋体" w:cs="宋体"/>
          <w:color w:val="auto"/>
          <w:sz w:val="24"/>
          <w:highlight w:val="none"/>
        </w:rPr>
        <w:t>”、“报价明细表”，否则视为无效投标。本次招标报价要求：</w:t>
      </w:r>
    </w:p>
    <w:p>
      <w:pPr>
        <w:spacing w:line="440" w:lineRule="exact"/>
        <w:ind w:firstLine="499" w:firstLineChars="208"/>
        <w:rPr>
          <w:rFonts w:hAnsi="宋体" w:cs="宋体"/>
          <w:color w:val="auto"/>
          <w:sz w:val="24"/>
          <w:highlight w:val="none"/>
          <w:lang w:val="zh-CN"/>
        </w:rPr>
      </w:pPr>
      <w:r>
        <w:rPr>
          <w:rFonts w:hint="eastAsia" w:hAnsi="宋体" w:cs="宋体"/>
          <w:color w:val="auto"/>
          <w:sz w:val="24"/>
          <w:highlight w:val="none"/>
        </w:rPr>
        <w:t>(1)投标人的报价是投标人响应招标项目包要求的全部工作内容的价格体现，包括完成本项目所涉及的一切费用</w:t>
      </w:r>
      <w:r>
        <w:rPr>
          <w:rFonts w:hAnsi="宋体" w:cs="宋体"/>
          <w:b/>
          <w:bCs/>
          <w:color w:val="auto"/>
          <w:sz w:val="24"/>
          <w:szCs w:val="24"/>
          <w:highlight w:val="none"/>
        </w:rPr>
        <w:t>(实质性要求)</w:t>
      </w:r>
      <w:r>
        <w:rPr>
          <w:rFonts w:hint="eastAsia" w:hAnsi="宋体" w:cs="宋体"/>
          <w:color w:val="auto"/>
          <w:sz w:val="24"/>
          <w:highlight w:val="none"/>
        </w:rPr>
        <w:t>。</w:t>
      </w:r>
    </w:p>
    <w:p>
      <w:pPr>
        <w:widowControl/>
        <w:spacing w:line="360" w:lineRule="auto"/>
        <w:ind w:left="17" w:leftChars="5" w:firstLine="460" w:firstLineChars="191"/>
        <w:jc w:val="left"/>
        <w:rPr>
          <w:rFonts w:hAnsi="宋体" w:cs="宋体"/>
          <w:color w:val="auto"/>
          <w:sz w:val="24"/>
          <w:highlight w:val="none"/>
          <w:lang w:val="zh-CN"/>
        </w:rPr>
      </w:pPr>
      <w:r>
        <w:rPr>
          <w:rFonts w:hint="eastAsia" w:hAnsi="宋体" w:cs="宋体"/>
          <w:b/>
          <w:color w:val="auto"/>
          <w:sz w:val="24"/>
          <w:highlight w:val="none"/>
        </w:rPr>
        <w:t>（二）服务</w:t>
      </w:r>
      <w:r>
        <w:rPr>
          <w:rFonts w:hint="eastAsia" w:hAnsi="宋体" w:cs="宋体"/>
          <w:b/>
          <w:color w:val="auto"/>
          <w:sz w:val="24"/>
          <w:highlight w:val="none"/>
          <w:lang w:val="zh-CN"/>
        </w:rPr>
        <w:t>部分。</w:t>
      </w:r>
      <w:r>
        <w:rPr>
          <w:rFonts w:hint="eastAsia" w:hAnsi="宋体" w:cs="宋体"/>
          <w:color w:val="auto"/>
          <w:sz w:val="24"/>
          <w:highlight w:val="none"/>
          <w:lang w:val="zh-CN"/>
        </w:rPr>
        <w:t>投标人按照招标文件要求做出的</w:t>
      </w:r>
      <w:r>
        <w:rPr>
          <w:rFonts w:hint="eastAsia" w:hAnsi="宋体" w:cs="宋体"/>
          <w:color w:val="auto"/>
          <w:sz w:val="24"/>
          <w:highlight w:val="none"/>
        </w:rPr>
        <w:t>技术</w:t>
      </w:r>
      <w:r>
        <w:rPr>
          <w:rFonts w:hint="eastAsia" w:hAnsi="宋体" w:cs="宋体"/>
          <w:color w:val="auto"/>
          <w:sz w:val="24"/>
          <w:highlight w:val="none"/>
          <w:lang w:val="zh-CN"/>
        </w:rPr>
        <w:t>应答，主要是针对招标项目</w:t>
      </w:r>
      <w:r>
        <w:rPr>
          <w:rFonts w:hAnsi="宋体" w:cs="宋体"/>
          <w:color w:val="auto"/>
          <w:sz w:val="24"/>
          <w:szCs w:val="24"/>
          <w:highlight w:val="none"/>
        </w:rPr>
        <w:t>的服务指标、参数和服务要求做出的</w:t>
      </w:r>
      <w:r>
        <w:rPr>
          <w:rFonts w:hint="eastAsia" w:hAnsi="宋体" w:cs="宋体"/>
          <w:color w:val="auto"/>
          <w:sz w:val="24"/>
          <w:highlight w:val="none"/>
          <w:lang w:val="zh-CN"/>
        </w:rPr>
        <w:t>实质性响应和满足。投标人的</w:t>
      </w:r>
      <w:r>
        <w:rPr>
          <w:rFonts w:hint="eastAsia" w:hAnsi="宋体" w:cs="宋体"/>
          <w:color w:val="auto"/>
          <w:sz w:val="24"/>
          <w:highlight w:val="none"/>
        </w:rPr>
        <w:t>技术应答应尽可能</w:t>
      </w:r>
      <w:r>
        <w:rPr>
          <w:rFonts w:hint="eastAsia" w:hAnsi="宋体" w:cs="宋体"/>
          <w:color w:val="auto"/>
          <w:sz w:val="24"/>
          <w:highlight w:val="none"/>
          <w:lang w:val="zh-CN"/>
        </w:rPr>
        <w:t>包括下列内容：</w:t>
      </w:r>
    </w:p>
    <w:p>
      <w:pPr>
        <w:widowControl/>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rPr>
        <w:t>（1）</w:t>
      </w:r>
      <w:r>
        <w:rPr>
          <w:rFonts w:hAnsi="宋体" w:cs="宋体"/>
          <w:color w:val="auto"/>
          <w:sz w:val="24"/>
          <w:szCs w:val="24"/>
          <w:highlight w:val="none"/>
        </w:rPr>
        <w:t>服务应答表</w:t>
      </w:r>
      <w:r>
        <w:rPr>
          <w:rFonts w:hint="eastAsia" w:hAnsi="宋体" w:cs="宋体"/>
          <w:color w:val="auto"/>
          <w:sz w:val="24"/>
          <w:szCs w:val="24"/>
          <w:highlight w:val="none"/>
          <w:lang w:eastAsia="zh-CN"/>
        </w:rPr>
        <w:t>；</w:t>
      </w:r>
    </w:p>
    <w:p>
      <w:pPr>
        <w:pStyle w:val="2"/>
        <w:ind w:firstLine="480" w:firstLineChars="200"/>
        <w:rPr>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hAnsi="宋体" w:cs="宋体"/>
          <w:color w:val="auto"/>
          <w:highlight w:val="none"/>
        </w:rPr>
        <w:t>投标人认为需要提供的文件和资料。</w:t>
      </w:r>
    </w:p>
    <w:p>
      <w:pPr>
        <w:spacing w:line="440" w:lineRule="exact"/>
        <w:ind w:firstLine="472" w:firstLineChars="196"/>
        <w:rPr>
          <w:rFonts w:hAnsi="宋体" w:cs="宋体"/>
          <w:color w:val="auto"/>
          <w:sz w:val="24"/>
          <w:highlight w:val="none"/>
        </w:rPr>
      </w:pPr>
      <w:r>
        <w:rPr>
          <w:rFonts w:hint="eastAsia" w:hAnsi="宋体" w:cs="宋体"/>
          <w:b/>
          <w:bCs/>
          <w:color w:val="auto"/>
          <w:sz w:val="24"/>
          <w:highlight w:val="none"/>
        </w:rPr>
        <w:t>（三） 商务部分。</w:t>
      </w:r>
      <w:r>
        <w:rPr>
          <w:rFonts w:hint="eastAsia" w:hAnsi="宋体" w:cs="宋体"/>
          <w:color w:val="auto"/>
          <w:sz w:val="24"/>
          <w:szCs w:val="24"/>
          <w:highlight w:val="none"/>
        </w:rPr>
        <w:t>投标人按照招标文件要求提供的有关文件及优惠承诺</w:t>
      </w:r>
      <w:r>
        <w:rPr>
          <w:rFonts w:hint="eastAsia" w:hAnsi="宋体" w:cs="宋体"/>
          <w:color w:val="auto"/>
          <w:sz w:val="24"/>
          <w:highlight w:val="none"/>
        </w:rPr>
        <w:t>；包括以下内容：</w:t>
      </w:r>
    </w:p>
    <w:p>
      <w:pPr>
        <w:widowControl/>
        <w:spacing w:line="360" w:lineRule="auto"/>
        <w:ind w:firstLine="720" w:firstLineChars="300"/>
        <w:jc w:val="left"/>
        <w:rPr>
          <w:rFonts w:hAnsi="宋体" w:cs="宋体"/>
          <w:color w:val="auto"/>
          <w:sz w:val="24"/>
          <w:szCs w:val="24"/>
          <w:highlight w:val="none"/>
        </w:rPr>
      </w:pPr>
      <w:bookmarkStart w:id="355" w:name="_Toc217446049"/>
      <w:bookmarkStart w:id="356" w:name="_Toc183682355"/>
      <w:bookmarkStart w:id="357" w:name="_Toc183582218"/>
      <w:bookmarkStart w:id="358" w:name="_Toc307501102"/>
      <w:r>
        <w:rPr>
          <w:rFonts w:hint="eastAsia" w:hAnsi="宋体" w:cs="宋体"/>
          <w:color w:val="auto"/>
          <w:sz w:val="24"/>
          <w:szCs w:val="24"/>
          <w:highlight w:val="none"/>
        </w:rPr>
        <w:t>(1)投标函；</w:t>
      </w:r>
    </w:p>
    <w:p>
      <w:pPr>
        <w:widowControl/>
        <w:spacing w:line="360" w:lineRule="auto"/>
        <w:ind w:firstLine="720" w:firstLineChars="300"/>
        <w:jc w:val="lef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)商务应答表；</w:t>
      </w:r>
    </w:p>
    <w:p>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)投标人根据第七章评分细则提供相关的证明材料(复印件)；</w:t>
      </w:r>
    </w:p>
    <w:p>
      <w:pPr>
        <w:widowControl/>
        <w:spacing w:line="360" w:lineRule="auto"/>
        <w:ind w:firstLine="720" w:firstLineChars="300"/>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)投标人认为应当提供的其他证明材料</w:t>
      </w:r>
      <w:r>
        <w:rPr>
          <w:rFonts w:hint="eastAsia" w:hAnsi="宋体" w:cs="宋体"/>
          <w:color w:val="auto"/>
          <w:sz w:val="24"/>
          <w:szCs w:val="24"/>
          <w:highlight w:val="none"/>
          <w:lang w:eastAsia="zh-CN"/>
        </w:rPr>
        <w:t>。</w:t>
      </w:r>
    </w:p>
    <w:p>
      <w:pPr>
        <w:pStyle w:val="22"/>
        <w:ind w:firstLine="482" w:firstLineChars="200"/>
        <w:rPr>
          <w:color w:val="auto"/>
          <w:highlight w:val="none"/>
        </w:rPr>
      </w:pPr>
      <w:r>
        <w:rPr>
          <w:rFonts w:hAnsi="宋体" w:cs="宋体"/>
          <w:b/>
          <w:bCs/>
          <w:color w:val="auto"/>
          <w:sz w:val="24"/>
          <w:szCs w:val="24"/>
          <w:highlight w:val="none"/>
        </w:rPr>
        <w:t>(</w:t>
      </w:r>
      <w:r>
        <w:rPr>
          <w:rFonts w:hint="eastAsia" w:hAnsi="宋体" w:cs="宋体"/>
          <w:b/>
          <w:bCs/>
          <w:color w:val="auto"/>
          <w:sz w:val="24"/>
          <w:szCs w:val="24"/>
          <w:highlight w:val="none"/>
          <w:lang w:eastAsia="zh-CN"/>
        </w:rPr>
        <w:t>四</w:t>
      </w:r>
      <w:r>
        <w:rPr>
          <w:rFonts w:hAnsi="宋体" w:cs="宋体"/>
          <w:b/>
          <w:bCs/>
          <w:color w:val="auto"/>
          <w:sz w:val="24"/>
          <w:szCs w:val="24"/>
          <w:highlight w:val="none"/>
        </w:rPr>
        <w:t>)其他部分</w:t>
      </w:r>
      <w:r>
        <w:rPr>
          <w:rFonts w:hint="eastAsia" w:ascii="宋体"/>
          <w:sz w:val="24"/>
        </w:rPr>
        <w:t>（如涉及，不涉及的无需提交证明材料）</w:t>
      </w:r>
      <w:r>
        <w:rPr>
          <w:rFonts w:hAnsi="宋体" w:cs="宋体"/>
          <w:color w:val="auto"/>
          <w:sz w:val="24"/>
          <w:szCs w:val="24"/>
          <w:highlight w:val="none"/>
        </w:rPr>
        <w:t>。投标人按照招标文件要求作出的其他应答和承诺。</w:t>
      </w:r>
    </w:p>
    <w:p>
      <w:pPr>
        <w:pStyle w:val="5"/>
        <w:spacing w:line="400" w:lineRule="exact"/>
        <w:ind w:firstLine="482" w:firstLineChars="200"/>
        <w:rPr>
          <w:rFonts w:hint="eastAsia" w:ascii="宋体"/>
          <w:sz w:val="24"/>
          <w:szCs w:val="24"/>
        </w:rPr>
      </w:pPr>
      <w:bookmarkStart w:id="359" w:name="_Toc327196279"/>
      <w:bookmarkStart w:id="360" w:name="_Toc4288"/>
      <w:bookmarkStart w:id="361" w:name="_Toc32103"/>
      <w:bookmarkStart w:id="362" w:name="_Toc309897508"/>
      <w:bookmarkStart w:id="363" w:name="_Toc6789"/>
      <w:bookmarkStart w:id="364" w:name="_Toc26967"/>
      <w:bookmarkStart w:id="365" w:name="_Toc3096"/>
      <w:bookmarkStart w:id="366" w:name="_Toc15103"/>
      <w:bookmarkStart w:id="367" w:name="_Toc308084590"/>
      <w:bookmarkStart w:id="368" w:name="_Toc23655"/>
      <w:bookmarkStart w:id="369" w:name="_Toc1874"/>
      <w:bookmarkStart w:id="370" w:name="_Toc15763"/>
      <w:bookmarkStart w:id="371" w:name="_Toc31194"/>
      <w:bookmarkStart w:id="372" w:name="_Toc308188145"/>
      <w:bookmarkStart w:id="373" w:name="_Toc31136"/>
      <w:bookmarkStart w:id="374" w:name="_Toc319439893"/>
      <w:bookmarkStart w:id="375" w:name="_Toc319440135"/>
      <w:bookmarkStart w:id="376" w:name="_Toc307564845"/>
      <w:r>
        <w:rPr>
          <w:rFonts w:hint="eastAsia" w:ascii="宋体"/>
          <w:sz w:val="24"/>
          <w:szCs w:val="24"/>
        </w:rPr>
        <w:t>15.投标文件格式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宋体"/>
          <w:sz w:val="24"/>
          <w:szCs w:val="24"/>
        </w:rPr>
        <w:tab/>
      </w:r>
    </w:p>
    <w:p>
      <w:pPr>
        <w:tabs>
          <w:tab w:val="left" w:pos="7665"/>
        </w:tabs>
        <w:spacing w:line="440" w:lineRule="exact"/>
        <w:ind w:left="20" w:leftChars="6" w:firstLine="480" w:firstLineChars="200"/>
        <w:rPr>
          <w:rFonts w:hAnsi="宋体" w:cs="宋体"/>
          <w:color w:val="auto"/>
          <w:sz w:val="24"/>
          <w:highlight w:val="none"/>
        </w:rPr>
      </w:pPr>
      <w:r>
        <w:rPr>
          <w:rFonts w:hint="eastAsia" w:hAnsi="宋体" w:cs="宋体"/>
          <w:color w:val="auto"/>
          <w:sz w:val="24"/>
          <w:highlight w:val="none"/>
        </w:rPr>
        <w:t>15.1 投标人应按照招标文件第三章中提供的“投标文件格式”填写相关内容。</w:t>
      </w:r>
    </w:p>
    <w:p>
      <w:pPr>
        <w:tabs>
          <w:tab w:val="left" w:pos="7665"/>
        </w:tabs>
        <w:spacing w:line="440" w:lineRule="exact"/>
        <w:ind w:left="20" w:leftChars="6" w:firstLine="480" w:firstLineChars="200"/>
        <w:rPr>
          <w:rFonts w:hAnsi="宋体" w:cs="宋体"/>
          <w:color w:val="auto"/>
          <w:sz w:val="24"/>
          <w:highlight w:val="none"/>
        </w:rPr>
      </w:pPr>
      <w:r>
        <w:rPr>
          <w:rFonts w:hint="eastAsia" w:hAnsi="宋体" w:cs="宋体"/>
          <w:color w:val="auto"/>
          <w:sz w:val="24"/>
          <w:highlight w:val="none"/>
        </w:rPr>
        <w:t>15.2 对于没有格式要求的由投标人自行编写。</w:t>
      </w:r>
    </w:p>
    <w:p>
      <w:pPr>
        <w:pStyle w:val="5"/>
        <w:spacing w:line="400" w:lineRule="exact"/>
        <w:ind w:firstLine="482" w:firstLineChars="200"/>
        <w:rPr>
          <w:rFonts w:hint="eastAsia" w:ascii="宋体"/>
          <w:sz w:val="24"/>
          <w:szCs w:val="24"/>
        </w:rPr>
      </w:pPr>
      <w:bookmarkStart w:id="377" w:name="_Toc21884"/>
      <w:bookmarkStart w:id="378" w:name="_Toc309897509"/>
      <w:bookmarkStart w:id="379" w:name="_Toc27418"/>
      <w:bookmarkStart w:id="380" w:name="_Toc308188146"/>
      <w:bookmarkStart w:id="381" w:name="_Toc14382"/>
      <w:bookmarkStart w:id="382" w:name="_Toc217446050"/>
      <w:bookmarkStart w:id="383" w:name="_Toc307564846"/>
      <w:bookmarkStart w:id="384" w:name="_Toc183682360"/>
      <w:bookmarkStart w:id="385" w:name="_Toc307501103"/>
      <w:bookmarkStart w:id="386" w:name="_Toc308084591"/>
      <w:bookmarkStart w:id="387" w:name="_Toc31944"/>
      <w:bookmarkStart w:id="388" w:name="_Toc20642"/>
      <w:bookmarkStart w:id="389" w:name="_Toc183582223"/>
      <w:bookmarkStart w:id="390" w:name="_Toc327196280"/>
      <w:bookmarkStart w:id="391" w:name="_Toc319439894"/>
      <w:bookmarkStart w:id="392" w:name="_Toc319440136"/>
      <w:bookmarkStart w:id="393" w:name="_Toc29891"/>
      <w:bookmarkStart w:id="394" w:name="_Toc21967"/>
      <w:bookmarkStart w:id="395" w:name="_Toc4102"/>
      <w:bookmarkStart w:id="396" w:name="_Toc14436"/>
      <w:bookmarkStart w:id="397" w:name="_Toc2456"/>
      <w:bookmarkStart w:id="398" w:name="_Toc32574"/>
      <w:r>
        <w:rPr>
          <w:rFonts w:hint="eastAsia" w:ascii="宋体"/>
          <w:sz w:val="24"/>
          <w:szCs w:val="24"/>
        </w:rPr>
        <w:t>16.投标保证金</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宋体"/>
          <w:sz w:val="24"/>
          <w:szCs w:val="24"/>
        </w:rPr>
        <w:t>(实质性要求</w:t>
      </w:r>
      <w:bookmarkEnd w:id="396"/>
      <w:r>
        <w:rPr>
          <w:rFonts w:hint="eastAsia" w:ascii="宋体"/>
          <w:sz w:val="24"/>
          <w:szCs w:val="24"/>
        </w:rPr>
        <w:t>)</w:t>
      </w:r>
      <w:bookmarkEnd w:id="397"/>
      <w:bookmarkEnd w:id="398"/>
    </w:p>
    <w:p>
      <w:pPr>
        <w:spacing w:line="440" w:lineRule="exact"/>
        <w:ind w:firstLine="470" w:firstLineChars="196"/>
        <w:rPr>
          <w:rFonts w:hAnsi="宋体" w:cs="宋体"/>
          <w:color w:val="auto"/>
          <w:sz w:val="24"/>
          <w:highlight w:val="none"/>
        </w:rPr>
      </w:pPr>
      <w:bookmarkStart w:id="399" w:name="_Toc183682361"/>
      <w:bookmarkStart w:id="400" w:name="_Toc217446051"/>
      <w:bookmarkStart w:id="401" w:name="_Toc31284"/>
      <w:bookmarkStart w:id="402" w:name="_Toc26011"/>
      <w:bookmarkStart w:id="403" w:name="_Toc9356"/>
      <w:bookmarkStart w:id="404" w:name="_Toc308084592"/>
      <w:bookmarkStart w:id="405" w:name="_Toc307564847"/>
      <w:bookmarkStart w:id="406" w:name="_Toc319440137"/>
      <w:bookmarkStart w:id="407" w:name="_Toc319439895"/>
      <w:bookmarkStart w:id="408" w:name="_Toc183582224"/>
      <w:bookmarkStart w:id="409" w:name="_Toc327196281"/>
      <w:bookmarkStart w:id="410" w:name="_Toc13956"/>
      <w:bookmarkStart w:id="411" w:name="_Toc17857"/>
      <w:bookmarkStart w:id="412" w:name="_Toc29434"/>
      <w:bookmarkStart w:id="413" w:name="_Toc308188147"/>
      <w:bookmarkStart w:id="414" w:name="_Toc309897510"/>
      <w:bookmarkStart w:id="415" w:name="_Toc27589"/>
      <w:bookmarkStart w:id="416" w:name="_Toc307501104"/>
      <w:bookmarkStart w:id="417" w:name="_Toc21338"/>
      <w:r>
        <w:rPr>
          <w:rFonts w:hint="eastAsia" w:hAnsi="宋体" w:cs="宋体"/>
          <w:color w:val="auto"/>
          <w:sz w:val="24"/>
          <w:highlight w:val="none"/>
        </w:rPr>
        <w:t xml:space="preserve"> </w:t>
      </w:r>
      <w:r>
        <w:rPr>
          <w:rFonts w:hint="eastAsia" w:hAnsi="宋体" w:cs="宋体"/>
          <w:color w:val="auto"/>
          <w:sz w:val="24"/>
          <w:highlight w:val="none"/>
          <w:lang w:val="zh-CN"/>
        </w:rPr>
        <w:t>根据四川省财政厅关于进一步做好疫情防控期间政府采购工作有关事项的通知（川财采【2020】28号），疫情防控期间不收取投标保证金</w:t>
      </w:r>
      <w:r>
        <w:rPr>
          <w:rFonts w:hint="eastAsia" w:hAnsi="宋体" w:cs="宋体"/>
          <w:color w:val="auto"/>
          <w:sz w:val="24"/>
          <w:highlight w:val="none"/>
        </w:rPr>
        <w:t>。</w:t>
      </w:r>
    </w:p>
    <w:p>
      <w:pPr>
        <w:pStyle w:val="5"/>
        <w:spacing w:line="400" w:lineRule="exact"/>
        <w:ind w:firstLine="482" w:firstLineChars="200"/>
        <w:rPr>
          <w:rFonts w:hint="eastAsia" w:ascii="宋体"/>
          <w:sz w:val="24"/>
          <w:szCs w:val="24"/>
        </w:rPr>
      </w:pPr>
      <w:bookmarkStart w:id="418" w:name="_Toc20243"/>
      <w:bookmarkStart w:id="419" w:name="_Toc24782"/>
      <w:bookmarkStart w:id="420" w:name="_Toc19115"/>
      <w:r>
        <w:rPr>
          <w:rFonts w:hint="eastAsia" w:ascii="宋体"/>
          <w:sz w:val="24"/>
          <w:szCs w:val="24"/>
        </w:rPr>
        <w:t>17.投标有效期</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ascii="宋体"/>
          <w:sz w:val="24"/>
          <w:szCs w:val="24"/>
        </w:rPr>
        <w:t>(实质性要求</w:t>
      </w:r>
      <w:bookmarkEnd w:id="418"/>
      <w:r>
        <w:rPr>
          <w:rFonts w:hint="eastAsia" w:ascii="宋体"/>
          <w:sz w:val="24"/>
          <w:szCs w:val="24"/>
        </w:rPr>
        <w:t>)</w:t>
      </w:r>
      <w:bookmarkEnd w:id="419"/>
      <w:bookmarkEnd w:id="420"/>
    </w:p>
    <w:p>
      <w:pPr>
        <w:tabs>
          <w:tab w:val="left" w:pos="7665"/>
        </w:tabs>
        <w:spacing w:line="400" w:lineRule="exact"/>
        <w:ind w:left="20" w:leftChars="6" w:firstLine="360" w:firstLineChars="150"/>
        <w:rPr>
          <w:rFonts w:hAnsi="宋体" w:cs="宋体"/>
          <w:color w:val="auto"/>
          <w:sz w:val="24"/>
          <w:highlight w:val="none"/>
        </w:rPr>
      </w:pPr>
      <w:r>
        <w:rPr>
          <w:rFonts w:hint="eastAsia" w:hAnsi="宋体" w:cs="宋体"/>
          <w:color w:val="auto"/>
          <w:sz w:val="24"/>
          <w:highlight w:val="none"/>
          <w:lang w:val="zh-CN"/>
        </w:rPr>
        <w:t>投标有效期为提交投标文件的截止之日起90天。</w:t>
      </w:r>
    </w:p>
    <w:p>
      <w:pPr>
        <w:pStyle w:val="5"/>
        <w:spacing w:line="400" w:lineRule="exact"/>
        <w:ind w:firstLine="482" w:firstLineChars="200"/>
        <w:rPr>
          <w:rFonts w:hint="eastAsia" w:ascii="宋体"/>
          <w:sz w:val="24"/>
          <w:szCs w:val="24"/>
        </w:rPr>
      </w:pPr>
      <w:bookmarkStart w:id="421" w:name="_Toc217446052"/>
      <w:bookmarkStart w:id="422" w:name="_Toc7213"/>
      <w:bookmarkStart w:id="423" w:name="_Toc6239"/>
      <w:bookmarkStart w:id="424" w:name="_Toc308084593"/>
      <w:bookmarkStart w:id="425" w:name="_Toc26817"/>
      <w:bookmarkStart w:id="426" w:name="_Toc183682362"/>
      <w:bookmarkStart w:id="427" w:name="_Toc327196282"/>
      <w:bookmarkStart w:id="428" w:name="_Toc27461"/>
      <w:bookmarkStart w:id="429" w:name="_Toc12545"/>
      <w:bookmarkStart w:id="430" w:name="_Toc3077"/>
      <w:bookmarkStart w:id="431" w:name="_Toc3717"/>
      <w:bookmarkStart w:id="432" w:name="_Toc307501105"/>
      <w:bookmarkStart w:id="433" w:name="_Toc319439896"/>
      <w:bookmarkStart w:id="434" w:name="_Toc27612"/>
      <w:bookmarkStart w:id="435" w:name="_Toc319440138"/>
      <w:bookmarkStart w:id="436" w:name="_Toc183582225"/>
      <w:bookmarkStart w:id="437" w:name="_Toc6827"/>
      <w:bookmarkStart w:id="438" w:name="_Toc25471"/>
      <w:bookmarkStart w:id="439" w:name="_Toc308188148"/>
      <w:bookmarkStart w:id="440" w:name="_Toc22593"/>
      <w:bookmarkStart w:id="441" w:name="_Toc309897511"/>
      <w:bookmarkStart w:id="442" w:name="_Toc307564848"/>
      <w:r>
        <w:rPr>
          <w:rFonts w:hint="eastAsia" w:ascii="宋体"/>
          <w:sz w:val="24"/>
          <w:szCs w:val="24"/>
        </w:rPr>
        <w:t>18.</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hint="eastAsia" w:ascii="宋体"/>
          <w:sz w:val="24"/>
          <w:szCs w:val="24"/>
        </w:rPr>
        <w:t>投标文件的制作、签章、加密</w:t>
      </w:r>
    </w:p>
    <w:p>
      <w:pPr>
        <w:tabs>
          <w:tab w:val="left" w:pos="1080"/>
        </w:tabs>
        <w:spacing w:line="400" w:lineRule="exact"/>
        <w:ind w:firstLine="460" w:firstLineChars="192"/>
        <w:rPr>
          <w:rFonts w:hint="eastAsia" w:ascii="宋体"/>
          <w:sz w:val="24"/>
        </w:rPr>
      </w:pPr>
      <w:bookmarkStart w:id="443" w:name="_Toc23675"/>
      <w:bookmarkStart w:id="444" w:name="_Toc319439897"/>
      <w:bookmarkStart w:id="445" w:name="_Toc319440139"/>
      <w:bookmarkStart w:id="446" w:name="_Toc308188149"/>
      <w:bookmarkStart w:id="447" w:name="_Toc13153"/>
      <w:bookmarkStart w:id="448" w:name="_Toc10555"/>
      <w:bookmarkStart w:id="449" w:name="_Toc183582226"/>
      <w:bookmarkStart w:id="450" w:name="_Toc307501106"/>
      <w:bookmarkStart w:id="451" w:name="_Toc308084594"/>
      <w:bookmarkStart w:id="452" w:name="_Toc19635"/>
      <w:bookmarkStart w:id="453" w:name="_Toc307564849"/>
      <w:bookmarkStart w:id="454" w:name="_Toc77400781"/>
      <w:bookmarkStart w:id="455" w:name="_Toc327196283"/>
      <w:bookmarkStart w:id="456" w:name="_Toc183682363"/>
      <w:bookmarkStart w:id="457" w:name="_Toc89075877"/>
      <w:bookmarkStart w:id="458" w:name="_Toc217446053"/>
      <w:bookmarkStart w:id="459" w:name="_Toc5019"/>
      <w:bookmarkStart w:id="460" w:name="_Toc309897512"/>
      <w:bookmarkStart w:id="461" w:name="_Toc27443"/>
      <w:r>
        <w:rPr>
          <w:rFonts w:hint="eastAsia" w:ascii="宋体"/>
          <w:sz w:val="24"/>
        </w:rPr>
        <w:t>1</w:t>
      </w:r>
      <w:r>
        <w:rPr>
          <w:rFonts w:hint="eastAsia" w:ascii="宋体"/>
          <w:sz w:val="24"/>
          <w:lang w:val="en-US" w:eastAsia="zh-CN"/>
        </w:rPr>
        <w:t>8</w:t>
      </w:r>
      <w:r>
        <w:rPr>
          <w:rFonts w:hint="eastAsia" w:ascii="宋体"/>
          <w:sz w:val="24"/>
        </w:rPr>
        <w:t>.1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ascii="宋体"/>
          <w:sz w:val="24"/>
          <w:lang w:val="en-US" w:eastAsia="zh-CN"/>
        </w:rPr>
        <w:t>8</w:t>
      </w:r>
      <w:r>
        <w:rPr>
          <w:rFonts w:hint="eastAsia" w:ascii="宋体"/>
          <w:sz w:val="24"/>
        </w:rPr>
        <w:t>.2 投标文件每页均应加盖投标人（法定名称）电子签章，不得使用投标人专用章（如经济合同章、投标专用章等）或下属单位印章代替。（实质性要求）</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ascii="宋体"/>
          <w:sz w:val="24"/>
          <w:lang w:val="en-US" w:eastAsia="zh-CN"/>
        </w:rPr>
        <w:t>8</w:t>
      </w:r>
      <w:r>
        <w:rPr>
          <w:rFonts w:hint="eastAsia" w:ascii="宋体"/>
          <w:sz w:val="24"/>
        </w:rPr>
        <w:t>.3 投标人应使用本企业CA数字证书对投标文件进行加密。（实质性要求）</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ascii="宋体"/>
          <w:sz w:val="24"/>
          <w:lang w:val="en-US" w:eastAsia="zh-CN"/>
        </w:rPr>
        <w:t>8</w:t>
      </w:r>
      <w:r>
        <w:rPr>
          <w:rFonts w:hint="eastAsia" w:ascii="宋体"/>
          <w:sz w:val="24"/>
        </w:rPr>
        <w:t>.4 招标文件若有修改，投标人根据修改后的招标文件制作或修改并递交投标文件。</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ascii="宋体"/>
          <w:sz w:val="24"/>
          <w:lang w:val="en-US" w:eastAsia="zh-CN"/>
        </w:rPr>
        <w:t>8</w:t>
      </w:r>
      <w:r>
        <w:rPr>
          <w:rFonts w:hint="eastAsia" w:ascii="宋体"/>
          <w:sz w:val="24"/>
        </w:rPr>
        <w:t>.5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tabs>
          <w:tab w:val="left" w:pos="1080"/>
        </w:tabs>
        <w:spacing w:line="440" w:lineRule="exact"/>
        <w:ind w:firstLine="480" w:firstLineChars="200"/>
        <w:rPr>
          <w:rFonts w:hAnsi="宋体" w:cs="宋体"/>
          <w:color w:val="auto"/>
          <w:sz w:val="24"/>
          <w:highlight w:val="none"/>
        </w:rPr>
      </w:pPr>
      <w:r>
        <w:rPr>
          <w:rFonts w:hint="eastAsia" w:ascii="宋体"/>
          <w:sz w:val="24"/>
        </w:rPr>
        <w:t>说明：1、招标文件中要求提供复印件证明材料的，包含原件的影印件或复印件或扫描件。2、本项目如涉及分包段采购的，投标人可对包段进行选择投标，但投标人必须对所投包段中的所有内容进行投标，并响应招标文件的要求和分包段分别编制投标文件</w:t>
      </w:r>
      <w:r>
        <w:rPr>
          <w:rFonts w:hint="eastAsia" w:hAnsi="宋体" w:cs="宋体"/>
          <w:color w:val="auto"/>
          <w:sz w:val="24"/>
          <w:highlight w:val="none"/>
        </w:rPr>
        <w:t>。</w:t>
      </w:r>
    </w:p>
    <w:p>
      <w:pPr>
        <w:pStyle w:val="5"/>
        <w:spacing w:line="400" w:lineRule="exact"/>
        <w:ind w:firstLine="482" w:firstLineChars="200"/>
        <w:rPr>
          <w:rFonts w:hint="eastAsia" w:ascii="宋体"/>
          <w:sz w:val="24"/>
          <w:szCs w:val="24"/>
        </w:rPr>
      </w:pPr>
      <w:bookmarkStart w:id="462" w:name="_Toc21788"/>
      <w:bookmarkStart w:id="463" w:name="_Toc6805"/>
      <w:bookmarkStart w:id="464" w:name="_Toc17010"/>
      <w:bookmarkStart w:id="465" w:name="_Toc23619"/>
      <w:bookmarkStart w:id="466" w:name="_Toc16752"/>
      <w:r>
        <w:rPr>
          <w:rFonts w:hint="eastAsia" w:ascii="宋体"/>
          <w:sz w:val="24"/>
          <w:szCs w:val="24"/>
        </w:rPr>
        <w:t>19.</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Start w:id="467" w:name="_Toc183682364"/>
      <w:bookmarkStart w:id="468" w:name="_Toc183582227"/>
      <w:bookmarkStart w:id="469" w:name="_Toc19406"/>
      <w:bookmarkStart w:id="470" w:name="_Toc308188150"/>
      <w:bookmarkStart w:id="471" w:name="_Toc9965"/>
      <w:bookmarkStart w:id="472" w:name="_Toc20273"/>
      <w:bookmarkStart w:id="473" w:name="_Toc309897513"/>
      <w:bookmarkStart w:id="474" w:name="_Toc217446054"/>
      <w:bookmarkStart w:id="475" w:name="_Toc54"/>
      <w:bookmarkStart w:id="476" w:name="_Toc5768"/>
      <w:bookmarkStart w:id="477" w:name="_Toc319440140"/>
      <w:bookmarkStart w:id="478" w:name="_Toc7231"/>
      <w:bookmarkStart w:id="479" w:name="_Toc308084595"/>
      <w:bookmarkStart w:id="480" w:name="_Toc2092"/>
      <w:bookmarkStart w:id="481" w:name="_Toc319439898"/>
      <w:bookmarkStart w:id="482" w:name="_Toc25113"/>
      <w:bookmarkStart w:id="483" w:name="_Toc8863"/>
      <w:bookmarkStart w:id="484" w:name="_Toc307501107"/>
      <w:bookmarkStart w:id="485" w:name="_Toc327196284"/>
      <w:bookmarkStart w:id="486" w:name="_Toc25947"/>
      <w:bookmarkStart w:id="487" w:name="_Toc27234"/>
      <w:bookmarkStart w:id="488" w:name="_Toc307564850"/>
      <w:r>
        <w:rPr>
          <w:rFonts w:hint="eastAsia" w:ascii="宋体"/>
          <w:sz w:val="24"/>
          <w:szCs w:val="24"/>
        </w:rPr>
        <w:t>投标文件的</w:t>
      </w:r>
      <w:bookmarkEnd w:id="467"/>
      <w:bookmarkEnd w:id="468"/>
      <w:r>
        <w:rPr>
          <w:rFonts w:hint="eastAsia" w:ascii="宋体"/>
          <w:sz w:val="24"/>
          <w:szCs w:val="24"/>
        </w:rPr>
        <w:t>递交</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tabs>
          <w:tab w:val="left" w:pos="1095"/>
        </w:tabs>
        <w:spacing w:line="400" w:lineRule="exact"/>
        <w:ind w:firstLine="460" w:firstLineChars="192"/>
        <w:rPr>
          <w:rFonts w:hint="eastAsia" w:ascii="宋体"/>
          <w:sz w:val="24"/>
        </w:rPr>
      </w:pPr>
      <w:r>
        <w:rPr>
          <w:rFonts w:hint="eastAsia" w:ascii="宋体"/>
          <w:sz w:val="24"/>
          <w:lang w:val="en-US" w:eastAsia="zh-CN"/>
        </w:rPr>
        <w:t>19</w:t>
      </w:r>
      <w:r>
        <w:rPr>
          <w:rFonts w:hint="eastAsia" w:ascii="宋体"/>
          <w:sz w:val="24"/>
        </w:rPr>
        <w:t>.1 投标人应当在投标文件递交截止时间前，将生成的已加密的电子投标文件成功递交至“政府采购云平台”。</w:t>
      </w:r>
    </w:p>
    <w:p>
      <w:pPr>
        <w:tabs>
          <w:tab w:val="left" w:pos="1095"/>
        </w:tabs>
        <w:spacing w:line="400" w:lineRule="exact"/>
        <w:ind w:firstLine="460" w:firstLineChars="192"/>
        <w:rPr>
          <w:rFonts w:hint="eastAsia" w:ascii="宋体"/>
          <w:sz w:val="24"/>
        </w:rPr>
      </w:pPr>
      <w:r>
        <w:rPr>
          <w:rFonts w:hint="eastAsia" w:ascii="宋体"/>
          <w:sz w:val="24"/>
          <w:lang w:val="en-US" w:eastAsia="zh-CN"/>
        </w:rPr>
        <w:t>19</w:t>
      </w:r>
      <w:r>
        <w:rPr>
          <w:rFonts w:hint="eastAsia" w:ascii="宋体"/>
          <w:sz w:val="24"/>
        </w:rPr>
        <w:t>.2投标人应充分考虑递交文件的不可预见因素，在投标截止时间后将无法递交。</w:t>
      </w:r>
    </w:p>
    <w:p>
      <w:pPr>
        <w:tabs>
          <w:tab w:val="left" w:pos="1095"/>
        </w:tabs>
        <w:spacing w:line="440" w:lineRule="exact"/>
        <w:ind w:firstLine="460" w:firstLineChars="192"/>
        <w:rPr>
          <w:rFonts w:hAnsi="宋体" w:cs="宋体"/>
          <w:color w:val="auto"/>
          <w:sz w:val="24"/>
          <w:highlight w:val="none"/>
        </w:rPr>
      </w:pPr>
      <w:r>
        <w:rPr>
          <w:rFonts w:hint="eastAsia" w:ascii="宋体"/>
          <w:sz w:val="24"/>
          <w:lang w:val="en-US" w:eastAsia="zh-CN"/>
        </w:rPr>
        <w:t>19</w:t>
      </w:r>
      <w:r>
        <w:rPr>
          <w:rFonts w:hint="eastAsia" w:ascii="宋体"/>
          <w:sz w:val="24"/>
        </w:rPr>
        <w:t>.3 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5"/>
        <w:spacing w:line="400" w:lineRule="exact"/>
        <w:ind w:firstLine="482" w:firstLineChars="200"/>
        <w:rPr>
          <w:rFonts w:hint="eastAsia" w:ascii="宋体"/>
          <w:sz w:val="24"/>
          <w:szCs w:val="24"/>
        </w:rPr>
      </w:pPr>
      <w:bookmarkStart w:id="489" w:name="_Toc183682365"/>
      <w:bookmarkStart w:id="490" w:name="_Toc183582228"/>
      <w:bookmarkStart w:id="491" w:name="_Toc307501108"/>
      <w:bookmarkStart w:id="492" w:name="_Toc12138"/>
      <w:bookmarkStart w:id="493" w:name="_Toc217446055"/>
      <w:bookmarkStart w:id="494" w:name="_Toc327196285"/>
      <w:bookmarkStart w:id="495" w:name="_Toc25795"/>
      <w:bookmarkStart w:id="496" w:name="_Toc22634"/>
      <w:bookmarkStart w:id="497" w:name="_Toc309897514"/>
      <w:bookmarkStart w:id="498" w:name="_Toc4178"/>
      <w:bookmarkStart w:id="499" w:name="_Toc6140"/>
      <w:bookmarkStart w:id="500" w:name="_Toc308084596"/>
      <w:bookmarkStart w:id="501" w:name="_Toc319439899"/>
      <w:bookmarkStart w:id="502" w:name="_Toc308188151"/>
      <w:bookmarkStart w:id="503" w:name="_Toc319440141"/>
      <w:bookmarkStart w:id="504" w:name="_Toc17045"/>
      <w:bookmarkStart w:id="505" w:name="_Toc15674"/>
      <w:bookmarkStart w:id="506" w:name="_Toc3865"/>
      <w:bookmarkStart w:id="507" w:name="_Toc307564851"/>
      <w:bookmarkStart w:id="508" w:name="_Toc7313"/>
      <w:bookmarkStart w:id="509" w:name="_Toc1451"/>
      <w:bookmarkStart w:id="510" w:name="_Toc23816"/>
      <w:r>
        <w:rPr>
          <w:rFonts w:hint="eastAsia" w:ascii="宋体"/>
          <w:sz w:val="24"/>
          <w:szCs w:val="24"/>
        </w:rPr>
        <w:t>2</w:t>
      </w:r>
      <w:r>
        <w:rPr>
          <w:rFonts w:hint="eastAsia" w:ascii="宋体"/>
          <w:sz w:val="24"/>
          <w:szCs w:val="24"/>
          <w:lang w:val="en-US" w:eastAsia="zh-CN"/>
        </w:rPr>
        <w:t>0</w:t>
      </w:r>
      <w:r>
        <w:rPr>
          <w:rFonts w:hint="eastAsia" w:ascii="宋体"/>
          <w:sz w:val="24"/>
          <w:szCs w:val="24"/>
        </w:rPr>
        <w:t>.投标文件的修改和撤</w:t>
      </w:r>
      <w:bookmarkEnd w:id="489"/>
      <w:bookmarkEnd w:id="490"/>
      <w:r>
        <w:rPr>
          <w:rFonts w:hint="eastAsia" w:ascii="宋体"/>
          <w:sz w:val="24"/>
          <w:szCs w:val="24"/>
        </w:rPr>
        <w:t>回</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8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80"/>
        <w:rPr>
          <w:rFonts w:hint="eastAsia" w:hAnsi="宋体" w:cs="宋体"/>
          <w:color w:val="auto"/>
          <w:sz w:val="24"/>
          <w:highlight w:val="non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.2投标截止时间后，投标人不得对其递交的投标文件做任何补充、修改</w:t>
      </w:r>
      <w:r>
        <w:rPr>
          <w:rFonts w:hint="eastAsia" w:hAnsi="宋体" w:cs="宋体"/>
          <w:color w:val="auto"/>
          <w:sz w:val="24"/>
          <w:highlight w:val="none"/>
        </w:rPr>
        <w:t>。</w:t>
      </w:r>
    </w:p>
    <w:p>
      <w:pPr>
        <w:pStyle w:val="5"/>
        <w:spacing w:line="400" w:lineRule="exact"/>
        <w:ind w:firstLine="482" w:firstLineChars="200"/>
        <w:rPr>
          <w:rFonts w:hint="eastAsia" w:ascii="宋体"/>
          <w:sz w:val="24"/>
          <w:szCs w:val="24"/>
        </w:rPr>
      </w:pPr>
      <w:r>
        <w:rPr>
          <w:rFonts w:hint="eastAsia" w:ascii="宋体"/>
          <w:sz w:val="24"/>
          <w:szCs w:val="24"/>
        </w:rPr>
        <w:t>2</w:t>
      </w:r>
      <w:r>
        <w:rPr>
          <w:rFonts w:hint="eastAsia" w:ascii="宋体"/>
          <w:sz w:val="24"/>
          <w:szCs w:val="24"/>
          <w:lang w:val="en-US" w:eastAsia="zh-CN"/>
        </w:rPr>
        <w:t>1</w:t>
      </w:r>
      <w:r>
        <w:rPr>
          <w:rFonts w:hint="eastAsia" w:ascii="宋体"/>
          <w:sz w:val="24"/>
          <w:szCs w:val="24"/>
        </w:rPr>
        <w:t>.投标文件的解密</w:t>
      </w:r>
    </w:p>
    <w:p>
      <w:pPr>
        <w:spacing w:line="400" w:lineRule="exact"/>
        <w:ind w:firstLine="480"/>
        <w:rPr>
          <w:rFonts w:hint="eastAsia" w:ascii="宋体" w:hAnsi="宋体" w:cs="宋体"/>
          <w:sz w:val="24"/>
        </w:rPr>
      </w:pPr>
      <w:r>
        <w:rPr>
          <w:rFonts w:hint="eastAsia" w:hAnsi="宋体"/>
          <w:sz w:val="24"/>
          <w:szCs w:val="22"/>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2"/>
      </w:pPr>
    </w:p>
    <w:p>
      <w:pPr>
        <w:pStyle w:val="4"/>
        <w:spacing w:before="0" w:after="0" w:line="440" w:lineRule="exact"/>
        <w:jc w:val="center"/>
        <w:rPr>
          <w:rFonts w:ascii="宋体" w:hAnsi="宋体" w:eastAsia="宋体" w:cs="宋体"/>
          <w:bCs w:val="0"/>
          <w:color w:val="auto"/>
          <w:highlight w:val="none"/>
        </w:rPr>
      </w:pPr>
      <w:bookmarkStart w:id="511" w:name="_Toc21531"/>
      <w:bookmarkStart w:id="512" w:name="_Toc217446056"/>
      <w:bookmarkStart w:id="513" w:name="_Toc31425"/>
      <w:bookmarkStart w:id="514" w:name="_Toc89075878"/>
      <w:bookmarkStart w:id="515" w:name="_Toc183582231"/>
      <w:bookmarkStart w:id="516" w:name="_Toc16817"/>
      <w:bookmarkStart w:id="517" w:name="_Toc183682368"/>
      <w:bookmarkStart w:id="518" w:name="_Toc77400782"/>
      <w:bookmarkStart w:id="519" w:name="_Toc15691"/>
      <w:bookmarkStart w:id="520" w:name="_Toc327196286"/>
      <w:r>
        <w:rPr>
          <w:rFonts w:hint="eastAsia" w:ascii="宋体" w:hAnsi="宋体" w:eastAsia="宋体" w:cs="宋体"/>
          <w:bCs w:val="0"/>
          <w:color w:val="auto"/>
          <w:highlight w:val="none"/>
        </w:rPr>
        <w:t>五、开标和中标</w:t>
      </w:r>
      <w:bookmarkEnd w:id="511"/>
      <w:bookmarkEnd w:id="512"/>
      <w:bookmarkEnd w:id="513"/>
      <w:bookmarkEnd w:id="514"/>
      <w:bookmarkEnd w:id="515"/>
      <w:bookmarkEnd w:id="516"/>
      <w:bookmarkEnd w:id="517"/>
      <w:bookmarkEnd w:id="518"/>
      <w:bookmarkEnd w:id="519"/>
      <w:bookmarkEnd w:id="520"/>
    </w:p>
    <w:p>
      <w:pPr>
        <w:pStyle w:val="5"/>
        <w:spacing w:line="400" w:lineRule="exact"/>
        <w:ind w:firstLine="482" w:firstLineChars="200"/>
        <w:rPr>
          <w:rFonts w:hint="eastAsia" w:ascii="宋体"/>
          <w:sz w:val="24"/>
          <w:szCs w:val="24"/>
        </w:rPr>
      </w:pPr>
      <w:bookmarkStart w:id="521" w:name="_Toc29493"/>
      <w:bookmarkStart w:id="522" w:name="_Toc20023"/>
      <w:bookmarkStart w:id="523" w:name="_Toc11957"/>
      <w:bookmarkStart w:id="524" w:name="_Toc13237"/>
      <w:bookmarkStart w:id="525" w:name="_Toc217446057"/>
      <w:bookmarkStart w:id="526" w:name="_Toc308084598"/>
      <w:bookmarkStart w:id="527" w:name="_Toc319440143"/>
      <w:bookmarkStart w:id="528" w:name="_Toc183682369"/>
      <w:bookmarkStart w:id="529" w:name="_Toc19952"/>
      <w:bookmarkStart w:id="530" w:name="_Toc319439901"/>
      <w:bookmarkStart w:id="531" w:name="_Toc308188153"/>
      <w:bookmarkStart w:id="532" w:name="_Toc307501110"/>
      <w:bookmarkStart w:id="533" w:name="_Toc309897516"/>
      <w:bookmarkStart w:id="534" w:name="_Toc6289"/>
      <w:bookmarkStart w:id="535" w:name="_Toc29031"/>
      <w:bookmarkStart w:id="536" w:name="_Toc8915"/>
      <w:bookmarkStart w:id="537" w:name="_Toc327196287"/>
      <w:bookmarkStart w:id="538" w:name="_Toc183582232"/>
      <w:bookmarkStart w:id="539" w:name="_Toc18049"/>
      <w:bookmarkStart w:id="540" w:name="_Toc307564853"/>
      <w:bookmarkStart w:id="541" w:name="_Toc15426"/>
      <w:bookmarkStart w:id="542" w:name="_Toc23998"/>
      <w:r>
        <w:rPr>
          <w:rFonts w:hint="eastAsia" w:ascii="宋体"/>
          <w:sz w:val="24"/>
          <w:szCs w:val="24"/>
        </w:rPr>
        <w:t>22.开标</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400" w:lineRule="exact"/>
        <w:ind w:firstLine="480" w:firstLineChars="200"/>
        <w:rPr>
          <w:rFonts w:hint="eastAsia" w:ascii="宋体" w:hAnsi="宋体" w:cs="宋体"/>
          <w:sz w:val="24"/>
        </w:rPr>
      </w:pPr>
      <w:bookmarkStart w:id="543" w:name="_Toc217446058"/>
      <w:bookmarkStart w:id="544" w:name="_Toc307564854"/>
      <w:bookmarkStart w:id="545" w:name="_Toc319439902"/>
      <w:bookmarkStart w:id="546" w:name="_Toc15266"/>
      <w:bookmarkStart w:id="547" w:name="_Toc26350"/>
      <w:bookmarkStart w:id="548" w:name="_Toc319440144"/>
      <w:bookmarkStart w:id="549" w:name="_Toc308188154"/>
      <w:bookmarkStart w:id="550" w:name="_Toc327196288"/>
      <w:bookmarkStart w:id="551" w:name="_Toc21367"/>
      <w:bookmarkStart w:id="552" w:name="_Toc5097"/>
      <w:bookmarkStart w:id="553" w:name="_Toc309897517"/>
      <w:bookmarkStart w:id="554" w:name="_Toc10782"/>
      <w:bookmarkStart w:id="555" w:name="_Toc12755"/>
      <w:bookmarkStart w:id="556" w:name="_Toc827"/>
      <w:bookmarkStart w:id="557" w:name="_Toc20885"/>
      <w:bookmarkStart w:id="558" w:name="_Toc7168"/>
      <w:bookmarkStart w:id="559" w:name="_Toc308084599"/>
      <w:bookmarkStart w:id="560" w:name="_Toc24509"/>
      <w:bookmarkStart w:id="561" w:name="_Toc17927"/>
      <w:bookmarkStart w:id="562" w:name="_Toc307501111"/>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.1本项目为不见面开标项目。（递交电子投标文件的投标人不足3家的，不予开标。）</w:t>
      </w:r>
    </w:p>
    <w:p>
      <w:pPr>
        <w:spacing w:line="4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0" w:firstLineChars="200"/>
        <w:rPr>
          <w:rFonts w:hint="eastAsia" w:ascii="宋体" w:hAnsi="宋体" w:cs="宋体"/>
          <w:sz w:val="24"/>
        </w:rPr>
      </w:pPr>
      <w:r>
        <w:rPr>
          <w:rFonts w:hint="eastAsia" w:ascii="宋体" w:hAnsi="宋体" w:cs="宋体"/>
          <w:sz w:val="24"/>
        </w:rPr>
        <w:t>提示：投标人未按时登录不见面开标系统，错过开标解密时间的，由投标人自行承担不利后果。</w:t>
      </w:r>
    </w:p>
    <w:p>
      <w:pPr>
        <w:spacing w:line="4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解密投标文件。等待代理机构开启解密后，投标人进行线上解密。开启解密后，投标人应在60分钟内（具体时限以政府采购云平台系统设定的时间为准），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line="4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line="4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4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.6因断电、断网、系统故障或其他不可抗力等因素导致不见面开标系统无法正常运行的，开标活动中止或延迟，待系统恢复正常后继续进行开标活动。</w:t>
      </w:r>
    </w:p>
    <w:p>
      <w:pPr>
        <w:spacing w:line="400" w:lineRule="exact"/>
        <w:ind w:firstLine="480" w:firstLineChars="200"/>
        <w:rPr>
          <w:rFonts w:hint="eastAsia" w:ascii="宋体" w:hAnsi="宋体" w:cs="宋体"/>
          <w:sz w:val="24"/>
        </w:rPr>
      </w:pPr>
      <w:r>
        <w:rPr>
          <w:rFonts w:hint="eastAsia" w:ascii="宋体" w:hAnsi="宋体" w:cs="宋体"/>
          <w:sz w:val="24"/>
        </w:rPr>
        <w:t>2</w:t>
      </w:r>
      <w:r>
        <w:rPr>
          <w:rFonts w:hint="eastAsia" w:hAnsi="宋体" w:cs="宋体"/>
          <w:sz w:val="24"/>
          <w:lang w:val="en-US" w:eastAsia="zh-CN"/>
        </w:rPr>
        <w:t>2</w:t>
      </w:r>
      <w:r>
        <w:rPr>
          <w:rFonts w:hint="eastAsia" w:ascii="宋体" w:hAnsi="宋体" w:cs="宋体"/>
          <w:sz w:val="24"/>
        </w:rPr>
        <w:t>.7不见面开标过程中，各方主体均应遵守互联网有关规定，不得发表与交易活动无关的言论。</w:t>
      </w:r>
    </w:p>
    <w:p>
      <w:pPr>
        <w:pStyle w:val="5"/>
        <w:spacing w:line="400" w:lineRule="exact"/>
        <w:ind w:firstLine="482" w:firstLineChars="200"/>
        <w:rPr>
          <w:rFonts w:hint="eastAsia" w:ascii="宋体"/>
          <w:sz w:val="24"/>
          <w:szCs w:val="24"/>
        </w:rPr>
      </w:pPr>
      <w:r>
        <w:rPr>
          <w:rFonts w:hint="eastAsia" w:ascii="宋体"/>
          <w:sz w:val="24"/>
          <w:szCs w:val="24"/>
        </w:rPr>
        <w:t>23.</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宋体"/>
          <w:sz w:val="24"/>
          <w:szCs w:val="24"/>
        </w:rPr>
        <w:t>开评标过程存档</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开标和评标过程进行全过程电子监控，并将电子监控资料存储介质留存归档。</w:t>
      </w:r>
    </w:p>
    <w:p>
      <w:pPr>
        <w:pStyle w:val="5"/>
        <w:spacing w:line="400" w:lineRule="exact"/>
        <w:ind w:firstLine="482" w:firstLineChars="200"/>
        <w:rPr>
          <w:rFonts w:hint="eastAsia" w:ascii="宋体"/>
          <w:sz w:val="24"/>
          <w:szCs w:val="24"/>
        </w:rPr>
      </w:pPr>
      <w:bookmarkStart w:id="563" w:name="_Toc8800"/>
      <w:bookmarkStart w:id="564" w:name="_Toc183582238"/>
      <w:bookmarkStart w:id="565" w:name="_Toc15967"/>
      <w:bookmarkStart w:id="566" w:name="_Toc307501112"/>
      <w:bookmarkStart w:id="567" w:name="_Toc9806"/>
      <w:bookmarkStart w:id="568" w:name="_Toc13751"/>
      <w:bookmarkStart w:id="569" w:name="_Toc217446063"/>
      <w:bookmarkStart w:id="570" w:name="_Toc308188155"/>
      <w:bookmarkStart w:id="571" w:name="_Toc183682375"/>
      <w:bookmarkStart w:id="572" w:name="_Toc128"/>
      <w:bookmarkStart w:id="573" w:name="_Toc308084600"/>
      <w:bookmarkStart w:id="574" w:name="_Toc327196289"/>
      <w:bookmarkStart w:id="575" w:name="_Toc307564855"/>
      <w:bookmarkStart w:id="576" w:name="_Toc319439903"/>
      <w:bookmarkStart w:id="577" w:name="_Toc309897518"/>
      <w:bookmarkStart w:id="578" w:name="_Toc489"/>
      <w:bookmarkStart w:id="579" w:name="_Toc28123"/>
      <w:bookmarkStart w:id="580" w:name="_Toc319440145"/>
      <w:bookmarkStart w:id="581" w:name="_Toc6332"/>
      <w:bookmarkStart w:id="582" w:name="_Toc11258"/>
      <w:bookmarkStart w:id="583" w:name="_Toc28481"/>
      <w:bookmarkStart w:id="584" w:name="_Toc16512"/>
      <w:r>
        <w:rPr>
          <w:rFonts w:hint="eastAsia" w:ascii="宋体"/>
          <w:sz w:val="24"/>
          <w:szCs w:val="24"/>
        </w:rPr>
        <w:t>2</w:t>
      </w:r>
      <w:r>
        <w:rPr>
          <w:rFonts w:hint="eastAsia" w:ascii="宋体"/>
          <w:sz w:val="24"/>
          <w:szCs w:val="24"/>
          <w:lang w:val="en-US" w:eastAsia="zh-CN"/>
        </w:rPr>
        <w:t>4</w:t>
      </w:r>
      <w:r>
        <w:rPr>
          <w:rFonts w:hint="eastAsia" w:ascii="宋体"/>
          <w:sz w:val="24"/>
          <w:szCs w:val="24"/>
        </w:rPr>
        <w: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宋体"/>
          <w:sz w:val="24"/>
          <w:szCs w:val="24"/>
        </w:rPr>
        <w:t>评标情况公告</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5"/>
        <w:spacing w:line="400" w:lineRule="exact"/>
        <w:ind w:firstLine="482" w:firstLineChars="200"/>
        <w:rPr>
          <w:rFonts w:hint="eastAsia" w:ascii="宋体" w:hAnsi="宋体" w:cs="宋体"/>
          <w:bCs w:val="0"/>
          <w:sz w:val="24"/>
          <w:szCs w:val="24"/>
        </w:rPr>
      </w:pPr>
      <w:r>
        <w:rPr>
          <w:rFonts w:hint="eastAsia" w:ascii="宋体" w:hAnsi="宋体" w:cs="宋体"/>
          <w:bCs w:val="0"/>
          <w:sz w:val="24"/>
          <w:szCs w:val="24"/>
        </w:rPr>
        <w:t>2</w:t>
      </w:r>
      <w:r>
        <w:rPr>
          <w:rFonts w:hint="eastAsia" w:ascii="宋体" w:hAnsi="宋体" w:cs="宋体"/>
          <w:bCs w:val="0"/>
          <w:sz w:val="24"/>
          <w:szCs w:val="24"/>
          <w:lang w:val="en-US" w:eastAsia="zh-CN"/>
        </w:rPr>
        <w:t>5</w:t>
      </w:r>
      <w:r>
        <w:rPr>
          <w:rFonts w:hint="eastAsia" w:ascii="宋体" w:hAnsi="宋体" w:cs="宋体"/>
          <w:bCs w:val="0"/>
          <w:sz w:val="24"/>
          <w:szCs w:val="24"/>
        </w:rPr>
        <w:t>.中标通知书</w:t>
      </w:r>
    </w:p>
    <w:p>
      <w:pPr>
        <w:tabs>
          <w:tab w:val="left" w:pos="7665"/>
        </w:tabs>
        <w:spacing w:line="400" w:lineRule="exact"/>
        <w:ind w:firstLine="480" w:firstLineChars="200"/>
        <w:rPr>
          <w:rFonts w:hint="eastAsia" w:ascii="宋体"/>
          <w:sz w:val="24"/>
        </w:rPr>
      </w:pPr>
      <w:r>
        <w:rPr>
          <w:rFonts w:hint="eastAsia" w:ascii="宋体"/>
          <w:sz w:val="24"/>
        </w:rPr>
        <w:t>2</w:t>
      </w:r>
      <w:r>
        <w:rPr>
          <w:rFonts w:hint="eastAsia" w:ascii="宋体"/>
          <w:sz w:val="24"/>
          <w:lang w:val="en-US" w:eastAsia="zh-CN"/>
        </w:rPr>
        <w:t>5</w:t>
      </w:r>
      <w:r>
        <w:rPr>
          <w:rFonts w:hint="eastAsia" w:ascii="宋体"/>
          <w:bCs/>
          <w:sz w:val="24"/>
        </w:rPr>
        <w:t>.</w:t>
      </w:r>
      <w:r>
        <w:rPr>
          <w:rFonts w:hint="eastAsia" w:ascii="宋体"/>
          <w:sz w:val="24"/>
        </w:rPr>
        <w:t>1 中标通知书为签订政府采购合同的依据之一，是合同的有效组成部分。</w:t>
      </w:r>
    </w:p>
    <w:p>
      <w:pPr>
        <w:tabs>
          <w:tab w:val="left" w:pos="7665"/>
        </w:tabs>
        <w:spacing w:line="400" w:lineRule="exact"/>
        <w:ind w:firstLine="480"/>
        <w:rPr>
          <w:rFonts w:hint="eastAsia" w:ascii="宋体"/>
          <w:sz w:val="24"/>
        </w:rPr>
      </w:pPr>
      <w:r>
        <w:rPr>
          <w:rFonts w:hint="eastAsia" w:ascii="宋体"/>
          <w:sz w:val="24"/>
        </w:rPr>
        <w:t>2</w:t>
      </w:r>
      <w:r>
        <w:rPr>
          <w:rFonts w:hint="eastAsia" w:ascii="宋体"/>
          <w:sz w:val="24"/>
          <w:lang w:val="en-US" w:eastAsia="zh-CN"/>
        </w:rPr>
        <w:t>5</w:t>
      </w:r>
      <w:r>
        <w:rPr>
          <w:rFonts w:hint="eastAsia" w:ascii="宋体"/>
          <w:sz w:val="24"/>
        </w:rPr>
        <w:t>.2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hint="eastAsia" w:ascii="宋体"/>
          <w:sz w:val="24"/>
        </w:rPr>
      </w:pPr>
      <w:r>
        <w:rPr>
          <w:rFonts w:hint="eastAsia" w:ascii="宋体"/>
          <w:sz w:val="24"/>
        </w:rPr>
        <w:t>2</w:t>
      </w:r>
      <w:r>
        <w:rPr>
          <w:rFonts w:hint="eastAsia" w:ascii="宋体"/>
          <w:sz w:val="24"/>
          <w:lang w:val="en-US" w:eastAsia="zh-CN"/>
        </w:rPr>
        <w:t>5.</w:t>
      </w:r>
      <w:r>
        <w:rPr>
          <w:rFonts w:hint="eastAsia" w:ascii="宋体"/>
          <w:sz w:val="24"/>
        </w:rPr>
        <w:t>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hint="eastAsia" w:ascii="宋体" w:hAnsi="Calibri" w:eastAsia="宋体" w:cs="黑体"/>
          <w:sz w:val="24"/>
          <w:szCs w:val="22"/>
          <w:lang w:val="en-US" w:eastAsia="zh-CN" w:bidi="ar-SA"/>
        </w:rPr>
      </w:pPr>
      <w:r>
        <w:rPr>
          <w:rFonts w:hint="eastAsia" w:ascii="宋体" w:hAnsi="Calibri" w:eastAsia="宋体" w:cs="黑体"/>
          <w:sz w:val="24"/>
          <w:szCs w:val="22"/>
          <w:lang w:val="en-US" w:eastAsia="zh-CN" w:bidi="ar-SA"/>
        </w:rPr>
        <w:t>25.4在四川政府采购网公告中标结果同时发出中标通知书，中标供应商自行登录政府采购云平台下载中标通知书。</w:t>
      </w:r>
    </w:p>
    <w:p>
      <w:pPr>
        <w:pStyle w:val="4"/>
        <w:spacing w:before="0" w:after="0" w:line="440" w:lineRule="exact"/>
        <w:jc w:val="center"/>
        <w:rPr>
          <w:rFonts w:hint="eastAsia" w:ascii="宋体" w:hAnsi="宋体" w:eastAsia="宋体" w:cs="宋体"/>
          <w:bCs w:val="0"/>
          <w:color w:val="auto"/>
          <w:highlight w:val="none"/>
        </w:rPr>
      </w:pPr>
      <w:bookmarkStart w:id="585" w:name="_Toc17916"/>
      <w:bookmarkStart w:id="586" w:name="_Toc10354"/>
      <w:bookmarkStart w:id="587" w:name="_Toc327196290"/>
      <w:bookmarkStart w:id="588" w:name="_Toc217446064"/>
      <w:bookmarkStart w:id="589" w:name="_Toc13383"/>
      <w:bookmarkStart w:id="590" w:name="_Toc2685"/>
      <w:bookmarkStart w:id="591" w:name="_Toc183682377"/>
      <w:bookmarkStart w:id="592" w:name="_Toc183582240"/>
      <w:r>
        <w:rPr>
          <w:rFonts w:hint="eastAsia" w:ascii="宋体" w:hAnsi="宋体" w:eastAsia="宋体" w:cs="宋体"/>
          <w:bCs w:val="0"/>
          <w:color w:val="auto"/>
          <w:highlight w:val="none"/>
        </w:rPr>
        <w:t>六、签订及履行合同和验收</w:t>
      </w:r>
      <w:bookmarkEnd w:id="585"/>
      <w:bookmarkEnd w:id="586"/>
      <w:bookmarkEnd w:id="587"/>
      <w:bookmarkEnd w:id="588"/>
      <w:bookmarkEnd w:id="589"/>
      <w:bookmarkEnd w:id="590"/>
    </w:p>
    <w:p>
      <w:pPr>
        <w:pStyle w:val="5"/>
        <w:spacing w:line="400" w:lineRule="exact"/>
        <w:ind w:firstLine="482" w:firstLineChars="200"/>
        <w:rPr>
          <w:rFonts w:hint="eastAsia" w:ascii="宋体" w:hAnsi="宋体" w:cs="宋体"/>
          <w:bCs w:val="0"/>
          <w:sz w:val="24"/>
          <w:szCs w:val="24"/>
        </w:rPr>
      </w:pPr>
      <w:bookmarkStart w:id="593" w:name="_Toc308188157"/>
      <w:bookmarkStart w:id="594" w:name="_Toc319440147"/>
      <w:bookmarkStart w:id="595" w:name="_Toc309897520"/>
      <w:bookmarkStart w:id="596" w:name="_Toc16835"/>
      <w:bookmarkStart w:id="597" w:name="_Toc327196291"/>
      <w:bookmarkStart w:id="598" w:name="_Toc515"/>
      <w:bookmarkStart w:id="599" w:name="_Toc27989"/>
      <w:bookmarkStart w:id="600" w:name="_Toc20427"/>
      <w:bookmarkStart w:id="601" w:name="_Toc4460"/>
      <w:bookmarkStart w:id="602" w:name="_Toc25992"/>
      <w:bookmarkStart w:id="603" w:name="_Toc319439905"/>
      <w:bookmarkStart w:id="604" w:name="_Toc307501114"/>
      <w:bookmarkStart w:id="605" w:name="_Toc17937"/>
      <w:bookmarkStart w:id="606" w:name="_Toc308084602"/>
      <w:bookmarkStart w:id="607" w:name="_Toc307564857"/>
      <w:bookmarkStart w:id="608" w:name="_Toc24949"/>
      <w:bookmarkStart w:id="609" w:name="_Toc3130"/>
      <w:bookmarkStart w:id="610" w:name="_Toc27214"/>
      <w:bookmarkStart w:id="611" w:name="_Toc217446065"/>
      <w:bookmarkStart w:id="612" w:name="_Toc5659"/>
      <w:r>
        <w:rPr>
          <w:rFonts w:hint="eastAsia" w:ascii="宋体" w:hAnsi="宋体" w:cs="宋体"/>
          <w:bCs w:val="0"/>
          <w:sz w:val="24"/>
          <w:szCs w:val="24"/>
        </w:rPr>
        <w:t>26.签订合同</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26.1 中标人在收到采购代理机构发出的《中标通知书》后，应在法律法规规定的时间内与采购人签订采购合同。由于中标人的原因逾期未与采购人签订采购合同的，将视为放弃中标，取消其中标资格并将按相关规定进行处理。</w:t>
      </w:r>
    </w:p>
    <w:p>
      <w:pPr>
        <w:spacing w:line="440" w:lineRule="exact"/>
        <w:ind w:firstLine="420" w:firstLineChars="175"/>
        <w:rPr>
          <w:rFonts w:hAnsi="宋体" w:cs="宋体"/>
          <w:color w:val="auto"/>
          <w:sz w:val="24"/>
          <w:highlight w:val="none"/>
        </w:rPr>
      </w:pPr>
      <w:r>
        <w:rPr>
          <w:rFonts w:hint="eastAsia" w:hAnsi="宋体" w:cs="宋体"/>
          <w:color w:val="auto"/>
          <w:sz w:val="24"/>
          <w:highlight w:val="none"/>
        </w:rPr>
        <w:t>26.2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40" w:lineRule="exact"/>
        <w:ind w:firstLine="420" w:firstLineChars="175"/>
        <w:rPr>
          <w:rFonts w:hAnsi="宋体" w:cs="宋体"/>
          <w:color w:val="auto"/>
          <w:sz w:val="24"/>
          <w:highlight w:val="none"/>
        </w:rPr>
      </w:pPr>
      <w:r>
        <w:rPr>
          <w:rFonts w:hint="eastAsia" w:hAnsi="宋体" w:cs="宋体"/>
          <w:color w:val="auto"/>
          <w:sz w:val="24"/>
          <w:highlight w:val="none"/>
        </w:rPr>
        <w:t>26.3 中标人因不可抗力原因不能履行采购合同或放弃中标的，采购人可以与排在中标人之后第一位的中标候选人签订采购合同，以此类推。</w:t>
      </w:r>
    </w:p>
    <w:p>
      <w:pPr>
        <w:spacing w:line="440" w:lineRule="exact"/>
        <w:ind w:firstLine="420" w:firstLineChars="175"/>
        <w:rPr>
          <w:rFonts w:hAnsi="宋体" w:cs="宋体"/>
          <w:color w:val="auto"/>
          <w:sz w:val="24"/>
          <w:highlight w:val="none"/>
        </w:rPr>
      </w:pPr>
      <w:r>
        <w:rPr>
          <w:rFonts w:hint="eastAsia" w:hAnsi="宋体" w:cs="宋体"/>
          <w:color w:val="auto"/>
          <w:sz w:val="24"/>
          <w:highlight w:val="none"/>
        </w:rPr>
        <w:t>26.4中标人在合同签订之后2个工作日内，将签订的合同原件1份送至采购代理机构进行登记备案。</w:t>
      </w:r>
    </w:p>
    <w:p>
      <w:pPr>
        <w:pStyle w:val="5"/>
        <w:spacing w:line="400" w:lineRule="exact"/>
        <w:ind w:firstLine="482" w:firstLineChars="200"/>
        <w:rPr>
          <w:rFonts w:hint="eastAsia" w:ascii="宋体" w:hAnsi="宋体" w:cs="宋体"/>
          <w:bCs w:val="0"/>
          <w:sz w:val="24"/>
          <w:szCs w:val="24"/>
        </w:rPr>
      </w:pPr>
      <w:bookmarkStart w:id="613" w:name="_Toc3758"/>
      <w:bookmarkStart w:id="614" w:name="_Toc31670"/>
      <w:bookmarkStart w:id="615" w:name="_Toc309897521"/>
      <w:bookmarkStart w:id="616" w:name="_Toc319439906"/>
      <w:bookmarkStart w:id="617" w:name="_Toc307501115"/>
      <w:bookmarkStart w:id="618" w:name="_Toc308188158"/>
      <w:bookmarkStart w:id="619" w:name="_Toc327196292"/>
      <w:bookmarkStart w:id="620" w:name="_Toc319440148"/>
      <w:bookmarkStart w:id="621" w:name="_Toc217446066"/>
      <w:bookmarkStart w:id="622" w:name="_Toc20139"/>
      <w:bookmarkStart w:id="623" w:name="_Toc12489"/>
      <w:bookmarkStart w:id="624" w:name="_Toc307564858"/>
      <w:bookmarkStart w:id="625" w:name="_Toc12852"/>
      <w:bookmarkStart w:id="626" w:name="_Toc31397"/>
      <w:bookmarkStart w:id="627" w:name="_Toc308084603"/>
      <w:bookmarkStart w:id="628" w:name="_Toc24196"/>
      <w:bookmarkStart w:id="629" w:name="_Toc25756"/>
      <w:bookmarkStart w:id="630" w:name="_Toc27317"/>
      <w:bookmarkStart w:id="631" w:name="_Toc26000"/>
      <w:bookmarkStart w:id="632" w:name="_Toc29795"/>
      <w:r>
        <w:rPr>
          <w:rFonts w:hint="eastAsia" w:ascii="宋体" w:hAnsi="宋体" w:cs="宋体"/>
          <w:bCs w:val="0"/>
          <w:sz w:val="24"/>
          <w:szCs w:val="24"/>
        </w:rPr>
        <w:t>27.合同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hint="eastAsia" w:ascii="宋体" w:hAnsi="宋体" w:cs="宋体"/>
          <w:bCs w:val="0"/>
          <w:sz w:val="24"/>
          <w:szCs w:val="24"/>
        </w:rPr>
        <w:t>分包</w:t>
      </w:r>
      <w:bookmarkEnd w:id="628"/>
      <w:bookmarkEnd w:id="629"/>
      <w:r>
        <w:rPr>
          <w:rFonts w:hint="eastAsia" w:ascii="宋体" w:hAnsi="宋体" w:cs="宋体"/>
          <w:bCs w:val="0"/>
          <w:sz w:val="24"/>
          <w:szCs w:val="24"/>
        </w:rPr>
        <w:t>(实质性要求)</w:t>
      </w:r>
      <w:bookmarkEnd w:id="630"/>
      <w:bookmarkEnd w:id="631"/>
      <w:bookmarkEnd w:id="632"/>
    </w:p>
    <w:p>
      <w:pPr>
        <w:spacing w:line="440" w:lineRule="exact"/>
        <w:ind w:firstLine="540" w:firstLineChars="225"/>
        <w:rPr>
          <w:rFonts w:hAnsi="宋体" w:cs="宋体"/>
          <w:color w:val="auto"/>
          <w:sz w:val="24"/>
          <w:highlight w:val="none"/>
        </w:rPr>
      </w:pPr>
      <w:bookmarkStart w:id="633" w:name="_Toc319439907"/>
      <w:bookmarkStart w:id="634" w:name="_Toc16143"/>
      <w:bookmarkStart w:id="635" w:name="_Toc29552"/>
      <w:bookmarkStart w:id="636" w:name="_Toc308084604"/>
      <w:bookmarkStart w:id="637" w:name="_Toc29842"/>
      <w:bookmarkStart w:id="638" w:name="_Toc307564859"/>
      <w:bookmarkStart w:id="639" w:name="_Toc15644"/>
      <w:bookmarkStart w:id="640" w:name="_Toc30827"/>
      <w:bookmarkStart w:id="641" w:name="_Toc309897522"/>
      <w:bookmarkStart w:id="642" w:name="_Toc19999"/>
      <w:bookmarkStart w:id="643" w:name="_Toc319440149"/>
      <w:bookmarkStart w:id="644" w:name="_Toc29332"/>
      <w:bookmarkStart w:id="645" w:name="_Toc217446067"/>
      <w:bookmarkStart w:id="646" w:name="_Toc30954"/>
      <w:bookmarkStart w:id="647" w:name="_Toc307501116"/>
      <w:bookmarkStart w:id="648" w:name="_Toc308188159"/>
      <w:bookmarkStart w:id="649" w:name="_Toc327196293"/>
      <w:r>
        <w:rPr>
          <w:rFonts w:hint="eastAsia" w:hAnsi="宋体" w:cs="宋体"/>
          <w:color w:val="auto"/>
          <w:sz w:val="24"/>
          <w:highlight w:val="none"/>
          <w:lang w:eastAsia="zh-CN"/>
        </w:rPr>
        <w:t>本项目不允许分包</w:t>
      </w:r>
      <w:r>
        <w:rPr>
          <w:rFonts w:hint="eastAsia" w:hAnsi="宋体" w:cs="宋体"/>
          <w:color w:val="auto"/>
          <w:sz w:val="24"/>
          <w:highlight w:val="none"/>
        </w:rPr>
        <w:t>。</w:t>
      </w:r>
    </w:p>
    <w:p>
      <w:pPr>
        <w:pStyle w:val="5"/>
        <w:spacing w:line="400" w:lineRule="exact"/>
        <w:ind w:firstLine="482" w:firstLineChars="200"/>
        <w:rPr>
          <w:rFonts w:hint="eastAsia" w:ascii="宋体" w:hAnsi="宋体" w:cs="宋体"/>
          <w:bCs w:val="0"/>
          <w:sz w:val="24"/>
          <w:szCs w:val="24"/>
        </w:rPr>
      </w:pPr>
      <w:bookmarkStart w:id="650" w:name="_Toc8340"/>
      <w:bookmarkStart w:id="651" w:name="_Toc28937"/>
      <w:bookmarkStart w:id="652" w:name="_Toc5242"/>
      <w:r>
        <w:rPr>
          <w:rFonts w:hint="eastAsia" w:ascii="宋体" w:hAnsi="宋体" w:cs="宋体"/>
          <w:bCs w:val="0"/>
          <w:sz w:val="24"/>
          <w:szCs w:val="24"/>
        </w:rPr>
        <w:t>28. 合同转包(实质性要求)</w:t>
      </w:r>
      <w:bookmarkEnd w:id="650"/>
      <w:bookmarkEnd w:id="651"/>
      <w:bookmarkEnd w:id="652"/>
    </w:p>
    <w:p>
      <w:pPr>
        <w:spacing w:line="440" w:lineRule="exact"/>
        <w:ind w:firstLine="540" w:firstLineChars="225"/>
        <w:rPr>
          <w:rFonts w:hAnsi="宋体" w:cs="宋体"/>
          <w:color w:val="auto"/>
          <w:sz w:val="24"/>
          <w:highlight w:val="none"/>
        </w:rPr>
      </w:pPr>
      <w:r>
        <w:rPr>
          <w:rFonts w:hint="eastAsia" w:hAnsi="宋体" w:cs="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40" w:lineRule="exact"/>
        <w:ind w:firstLine="540" w:firstLineChars="225"/>
        <w:rPr>
          <w:rFonts w:hAnsi="宋体" w:cs="宋体"/>
          <w:color w:val="auto"/>
          <w:sz w:val="24"/>
          <w:highlight w:val="none"/>
        </w:rPr>
      </w:pPr>
      <w:r>
        <w:rPr>
          <w:rFonts w:hint="eastAsia" w:hAnsi="宋体" w:cs="宋体"/>
          <w:color w:val="auto"/>
          <w:sz w:val="24"/>
          <w:highlight w:val="none"/>
        </w:rPr>
        <w:t>中标人转包的，视同拒绝履行政府采购合同义务，将依法追究法律责任。</w:t>
      </w:r>
    </w:p>
    <w:p>
      <w:pPr>
        <w:pStyle w:val="5"/>
        <w:spacing w:line="400" w:lineRule="exact"/>
        <w:ind w:firstLine="482" w:firstLineChars="200"/>
        <w:rPr>
          <w:rFonts w:hint="eastAsia" w:ascii="宋体" w:hAnsi="宋体" w:cs="宋体"/>
          <w:bCs w:val="0"/>
          <w:sz w:val="24"/>
          <w:szCs w:val="24"/>
        </w:rPr>
      </w:pPr>
      <w:bookmarkStart w:id="653" w:name="_Toc12603"/>
      <w:bookmarkStart w:id="654" w:name="_Toc11992"/>
      <w:bookmarkStart w:id="655" w:name="_Toc7239"/>
      <w:r>
        <w:rPr>
          <w:rFonts w:hint="eastAsia" w:ascii="宋体" w:hAnsi="宋体" w:cs="宋体"/>
          <w:bCs w:val="0"/>
          <w:sz w:val="24"/>
          <w:szCs w:val="24"/>
        </w:rPr>
        <w:t>29. 补充合同</w:t>
      </w:r>
      <w:bookmarkEnd w:id="653"/>
      <w:bookmarkEnd w:id="654"/>
      <w:bookmarkEnd w:id="655"/>
    </w:p>
    <w:p>
      <w:pPr>
        <w:spacing w:line="440" w:lineRule="exact"/>
        <w:ind w:firstLine="493"/>
        <w:rPr>
          <w:rFonts w:hAnsi="宋体" w:cs="宋体"/>
          <w:color w:val="auto"/>
          <w:sz w:val="24"/>
          <w:highlight w:val="none"/>
        </w:rPr>
      </w:pPr>
      <w:r>
        <w:rPr>
          <w:rFonts w:hint="eastAsia" w:hAnsi="宋体" w:cs="宋体"/>
          <w:color w:val="auto"/>
          <w:sz w:val="24"/>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pStyle w:val="5"/>
        <w:spacing w:line="400" w:lineRule="exact"/>
        <w:ind w:firstLine="482" w:firstLineChars="200"/>
        <w:rPr>
          <w:rFonts w:hint="eastAsia" w:ascii="宋体" w:hAnsi="宋体" w:cs="宋体"/>
          <w:bCs w:val="0"/>
          <w:sz w:val="24"/>
          <w:szCs w:val="24"/>
        </w:rPr>
      </w:pPr>
      <w:bookmarkStart w:id="656" w:name="_Toc308164812"/>
      <w:bookmarkStart w:id="657" w:name="_Toc30508"/>
      <w:bookmarkStart w:id="658" w:name="_Toc24237"/>
      <w:bookmarkStart w:id="659" w:name="_Toc31704"/>
      <w:bookmarkStart w:id="660" w:name="_Toc319439908"/>
      <w:bookmarkStart w:id="661" w:name="_Toc307564860"/>
      <w:bookmarkStart w:id="662" w:name="_Toc307501117"/>
      <w:bookmarkStart w:id="663" w:name="_Toc327196294"/>
      <w:bookmarkStart w:id="664" w:name="_Toc27331"/>
      <w:bookmarkStart w:id="665" w:name="_Toc19537"/>
      <w:bookmarkStart w:id="666" w:name="_Toc28404"/>
      <w:bookmarkStart w:id="667" w:name="_Toc319440150"/>
      <w:bookmarkStart w:id="668" w:name="_Toc30856"/>
      <w:bookmarkStart w:id="669" w:name="_Toc217446068"/>
      <w:bookmarkStart w:id="670" w:name="_Toc27686"/>
      <w:bookmarkStart w:id="671" w:name="_Toc11533"/>
      <w:bookmarkStart w:id="672" w:name="_Toc308084605"/>
      <w:bookmarkStart w:id="673" w:name="_Toc16034"/>
      <w:bookmarkStart w:id="674" w:name="_Toc22746"/>
      <w:bookmarkStart w:id="675" w:name="_Toc309897523"/>
      <w:bookmarkStart w:id="676" w:name="_Toc308188160"/>
      <w:r>
        <w:rPr>
          <w:rFonts w:hint="eastAsia" w:ascii="宋体" w:hAnsi="宋体" w:cs="宋体"/>
          <w:bCs w:val="0"/>
          <w:sz w:val="24"/>
          <w:szCs w:val="24"/>
        </w:rPr>
        <w:t>30. 履约保证金</w:t>
      </w:r>
      <w:bookmarkEnd w:id="656"/>
      <w:r>
        <w:rPr>
          <w:rFonts w:hint="eastAsia" w:ascii="宋体" w:hAnsi="宋体" w:cs="宋体"/>
          <w:bCs w:val="0"/>
          <w:sz w:val="24"/>
          <w:szCs w:val="24"/>
        </w:rPr>
        <w:t>(本项目不作要求)</w:t>
      </w:r>
      <w:bookmarkEnd w:id="657"/>
      <w:bookmarkEnd w:id="658"/>
      <w:bookmarkEnd w:id="659"/>
    </w:p>
    <w:p>
      <w:pPr>
        <w:pStyle w:val="5"/>
        <w:spacing w:line="400" w:lineRule="exact"/>
        <w:ind w:firstLine="482" w:firstLineChars="200"/>
        <w:rPr>
          <w:rFonts w:hint="eastAsia" w:ascii="宋体" w:hAnsi="宋体" w:cs="宋体"/>
          <w:bCs w:val="0"/>
          <w:sz w:val="24"/>
          <w:szCs w:val="24"/>
        </w:rPr>
      </w:pPr>
      <w:bookmarkStart w:id="677" w:name="_Toc12689"/>
      <w:bookmarkStart w:id="678" w:name="_Toc19123"/>
      <w:bookmarkStart w:id="679" w:name="_Toc13715"/>
      <w:r>
        <w:rPr>
          <w:rFonts w:hint="eastAsia" w:ascii="宋体" w:hAnsi="宋体" w:cs="宋体"/>
          <w:bCs w:val="0"/>
          <w:sz w:val="24"/>
          <w:szCs w:val="24"/>
        </w:rPr>
        <w:t>31. 合同公告</w:t>
      </w:r>
      <w:bookmarkEnd w:id="677"/>
      <w:bookmarkEnd w:id="678"/>
      <w:bookmarkEnd w:id="679"/>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pStyle w:val="5"/>
        <w:spacing w:line="400" w:lineRule="exact"/>
        <w:ind w:firstLine="482" w:firstLineChars="200"/>
        <w:rPr>
          <w:rFonts w:hint="eastAsia" w:ascii="宋体" w:hAnsi="宋体" w:cs="宋体"/>
          <w:bCs w:val="0"/>
          <w:sz w:val="24"/>
          <w:szCs w:val="24"/>
        </w:rPr>
      </w:pPr>
      <w:bookmarkStart w:id="680" w:name="_Toc22299"/>
      <w:bookmarkStart w:id="681" w:name="_Toc10023"/>
      <w:bookmarkStart w:id="682" w:name="_Toc30953"/>
      <w:bookmarkStart w:id="683" w:name="_Toc319440151"/>
      <w:bookmarkStart w:id="684" w:name="_Toc13392"/>
      <w:bookmarkStart w:id="685" w:name="_Toc18278"/>
      <w:bookmarkStart w:id="686" w:name="_Toc16494"/>
      <w:bookmarkStart w:id="687" w:name="_Toc360"/>
      <w:bookmarkStart w:id="688" w:name="_Toc327196295"/>
      <w:bookmarkStart w:id="689" w:name="_Toc319439909"/>
      <w:bookmarkStart w:id="690" w:name="_Toc307564861"/>
      <w:bookmarkStart w:id="691" w:name="_Toc4961"/>
      <w:bookmarkStart w:id="692" w:name="_Toc308188161"/>
      <w:bookmarkStart w:id="693" w:name="_Toc308084606"/>
      <w:bookmarkStart w:id="694" w:name="_Toc309897524"/>
      <w:bookmarkStart w:id="695" w:name="_Toc217446069"/>
      <w:bookmarkStart w:id="696" w:name="_Toc7893"/>
      <w:bookmarkStart w:id="697" w:name="_Toc307501118"/>
      <w:bookmarkStart w:id="698" w:name="_Toc14211"/>
      <w:bookmarkStart w:id="699" w:name="_Toc20855"/>
      <w:r>
        <w:rPr>
          <w:rFonts w:hint="eastAsia" w:ascii="宋体" w:hAnsi="宋体" w:cs="宋体"/>
          <w:bCs w:val="0"/>
          <w:sz w:val="24"/>
          <w:szCs w:val="24"/>
        </w:rPr>
        <w:t>32. 合同备案</w:t>
      </w:r>
      <w:bookmarkEnd w:id="680"/>
      <w:bookmarkEnd w:id="681"/>
      <w:bookmarkEnd w:id="682"/>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采购人应当将政府采购合同副本自签订(双方当事人均已签字盖章)之日起七个工作日内通过四川政府采购网报同级财政部门备案。</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5"/>
        <w:spacing w:line="400" w:lineRule="exact"/>
        <w:ind w:firstLine="482" w:firstLineChars="200"/>
        <w:rPr>
          <w:rFonts w:hint="eastAsia" w:ascii="宋体" w:hAnsi="宋体" w:cs="宋体"/>
          <w:bCs w:val="0"/>
          <w:sz w:val="24"/>
          <w:szCs w:val="24"/>
        </w:rPr>
      </w:pPr>
      <w:bookmarkStart w:id="700" w:name="_Toc15310"/>
      <w:bookmarkStart w:id="701" w:name="_Toc13204"/>
      <w:bookmarkStart w:id="702" w:name="_Toc13194"/>
      <w:bookmarkStart w:id="703" w:name="_Toc27872"/>
      <w:bookmarkStart w:id="704" w:name="_Toc307501119"/>
      <w:bookmarkStart w:id="705" w:name="_Toc18547"/>
      <w:bookmarkStart w:id="706" w:name="_Toc307564862"/>
      <w:bookmarkStart w:id="707" w:name="_Toc17018"/>
      <w:bookmarkStart w:id="708" w:name="_Toc9916"/>
      <w:bookmarkStart w:id="709" w:name="_Toc15219"/>
      <w:bookmarkStart w:id="710" w:name="_Toc9815"/>
      <w:bookmarkStart w:id="711" w:name="_Toc319439910"/>
      <w:bookmarkStart w:id="712" w:name="_Toc5754"/>
      <w:bookmarkStart w:id="713" w:name="_Toc309897525"/>
      <w:bookmarkStart w:id="714" w:name="_Toc327196296"/>
      <w:bookmarkStart w:id="715" w:name="_Toc308188162"/>
      <w:bookmarkStart w:id="716" w:name="_Toc319440152"/>
      <w:bookmarkStart w:id="717" w:name="_Toc308084607"/>
      <w:bookmarkStart w:id="718" w:name="_Toc217446070"/>
      <w:bookmarkStart w:id="719" w:name="_Toc27114"/>
      <w:r>
        <w:rPr>
          <w:rFonts w:hint="eastAsia" w:ascii="宋体" w:hAnsi="宋体" w:cs="宋体"/>
          <w:bCs w:val="0"/>
          <w:sz w:val="24"/>
          <w:szCs w:val="24"/>
        </w:rPr>
        <w:t>33. 履行合同</w:t>
      </w:r>
      <w:bookmarkEnd w:id="700"/>
      <w:bookmarkEnd w:id="701"/>
      <w:bookmarkEnd w:id="702"/>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33.1 中标人与采购人签订合同后，合同双方应严格执行合同条款，履行合同规定的义务，保证合同的顺利完成。</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33.2 在合同履行过程中，如发生合同纠纷，合同双方应按照《中华人民共和国民法典》的有关规定进行处理。</w:t>
      </w:r>
    </w:p>
    <w:p>
      <w:pPr>
        <w:pStyle w:val="5"/>
        <w:spacing w:line="400" w:lineRule="exact"/>
        <w:ind w:firstLine="482" w:firstLineChars="200"/>
        <w:rPr>
          <w:rFonts w:hint="eastAsia" w:ascii="宋体" w:hAnsi="宋体" w:cs="宋体"/>
          <w:bCs w:val="0"/>
          <w:sz w:val="24"/>
          <w:szCs w:val="24"/>
        </w:rPr>
      </w:pPr>
      <w:bookmarkStart w:id="720" w:name="_Toc13473"/>
      <w:bookmarkStart w:id="721" w:name="_Toc31"/>
      <w:bookmarkStart w:id="722" w:name="_Toc12435"/>
      <w:r>
        <w:rPr>
          <w:rFonts w:hint="eastAsia" w:ascii="宋体" w:hAnsi="宋体" w:cs="宋体"/>
          <w:bCs w:val="0"/>
          <w:sz w:val="24"/>
          <w:szCs w:val="24"/>
        </w:rPr>
        <w:t>34.验收</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spacing w:line="440" w:lineRule="exact"/>
        <w:ind w:firstLine="480" w:firstLineChars="200"/>
        <w:rPr>
          <w:rFonts w:hAnsi="宋体" w:cs="宋体"/>
          <w:color w:val="auto"/>
          <w:sz w:val="24"/>
          <w:highlight w:val="none"/>
        </w:rPr>
      </w:pPr>
      <w:bookmarkStart w:id="723" w:name="_Toc217446071"/>
      <w:r>
        <w:rPr>
          <w:rFonts w:hint="eastAsia" w:hAnsi="宋体" w:cs="宋体"/>
          <w:color w:val="auto"/>
          <w:sz w:val="24"/>
          <w:highlight w:val="none"/>
        </w:rPr>
        <w:t>34.1本项目采购人及其委托的采购代理机构将严格按照《财政部关于进一步加强政府采购需求和履约验收管理的指导意见》(财库〔2016〕205号)的要求进行验收。相关信息涉密和权限限定要求、知识产权归采购人使用。</w:t>
      </w:r>
    </w:p>
    <w:bookmarkEnd w:id="591"/>
    <w:bookmarkEnd w:id="592"/>
    <w:bookmarkEnd w:id="723"/>
    <w:p>
      <w:pPr>
        <w:pStyle w:val="5"/>
        <w:spacing w:line="400" w:lineRule="exact"/>
        <w:ind w:firstLine="482" w:firstLineChars="200"/>
        <w:rPr>
          <w:rFonts w:hint="eastAsia" w:ascii="宋体" w:hAnsi="宋体" w:cs="宋体"/>
          <w:bCs w:val="0"/>
          <w:sz w:val="24"/>
          <w:szCs w:val="24"/>
        </w:rPr>
      </w:pPr>
      <w:bookmarkStart w:id="724" w:name="_Toc308164818"/>
      <w:bookmarkStart w:id="725" w:name="_Toc16716"/>
      <w:bookmarkStart w:id="726" w:name="_Toc17896"/>
      <w:bookmarkStart w:id="727" w:name="_Toc23426"/>
      <w:bookmarkStart w:id="728" w:name="_Toc217446074"/>
      <w:bookmarkStart w:id="729" w:name="_Toc327196297"/>
      <w:bookmarkStart w:id="730" w:name="_Toc16219"/>
      <w:bookmarkStart w:id="731" w:name="_Toc183682380"/>
      <w:bookmarkStart w:id="732" w:name="_Toc183582243"/>
      <w:r>
        <w:rPr>
          <w:rFonts w:hint="eastAsia" w:ascii="宋体" w:hAnsi="宋体" w:cs="宋体"/>
          <w:bCs w:val="0"/>
          <w:sz w:val="24"/>
          <w:szCs w:val="24"/>
          <w:lang w:val="en-US" w:eastAsia="zh-CN"/>
        </w:rPr>
        <w:t>35.</w:t>
      </w:r>
      <w:r>
        <w:rPr>
          <w:rFonts w:hint="eastAsia" w:ascii="宋体" w:hAnsi="宋体" w:cs="宋体"/>
          <w:bCs w:val="0"/>
          <w:sz w:val="24"/>
          <w:szCs w:val="24"/>
        </w:rPr>
        <w:t>资金支付</w:t>
      </w:r>
      <w:bookmarkEnd w:id="724"/>
      <w:r>
        <w:rPr>
          <w:rFonts w:hint="eastAsia" w:ascii="宋体" w:hAnsi="宋体" w:cs="宋体"/>
          <w:bCs w:val="0"/>
          <w:sz w:val="24"/>
          <w:szCs w:val="24"/>
        </w:rPr>
        <w:t>方式</w:t>
      </w:r>
      <w:bookmarkEnd w:id="725"/>
      <w:bookmarkEnd w:id="726"/>
      <w:bookmarkEnd w:id="727"/>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lang w:val="zh-CN"/>
        </w:rPr>
        <w:t>采购人将按照政府采购合同规定，及时向成交供应商支付采购资金</w:t>
      </w:r>
      <w:r>
        <w:rPr>
          <w:rFonts w:hint="eastAsia" w:hAnsi="宋体" w:cs="宋体"/>
          <w:color w:val="auto"/>
          <w:sz w:val="24"/>
          <w:highlight w:val="none"/>
        </w:rPr>
        <w:t>。</w:t>
      </w:r>
    </w:p>
    <w:p>
      <w:pPr>
        <w:pStyle w:val="4"/>
        <w:spacing w:before="0" w:after="0" w:line="440" w:lineRule="exact"/>
        <w:jc w:val="center"/>
        <w:rPr>
          <w:rFonts w:ascii="宋体" w:hAnsi="宋体" w:eastAsia="宋体" w:cs="宋体"/>
          <w:bCs w:val="0"/>
          <w:color w:val="auto"/>
          <w:highlight w:val="none"/>
        </w:rPr>
      </w:pPr>
      <w:bookmarkStart w:id="733" w:name="_Toc15972"/>
      <w:bookmarkStart w:id="734" w:name="_Toc27770"/>
      <w:bookmarkStart w:id="735" w:name="_Toc28984"/>
      <w:r>
        <w:rPr>
          <w:rFonts w:hint="eastAsia" w:ascii="宋体" w:hAnsi="宋体" w:eastAsia="宋体" w:cs="宋体"/>
          <w:bCs w:val="0"/>
          <w:color w:val="auto"/>
          <w:highlight w:val="none"/>
        </w:rPr>
        <w:t>七、投标纪律要求</w:t>
      </w:r>
      <w:bookmarkEnd w:id="728"/>
      <w:bookmarkEnd w:id="729"/>
      <w:bookmarkEnd w:id="730"/>
      <w:bookmarkEnd w:id="733"/>
      <w:bookmarkEnd w:id="734"/>
      <w:bookmarkEnd w:id="735"/>
    </w:p>
    <w:p>
      <w:pPr>
        <w:pStyle w:val="5"/>
        <w:spacing w:line="400" w:lineRule="exact"/>
        <w:ind w:firstLine="482" w:firstLineChars="200"/>
        <w:rPr>
          <w:rFonts w:hint="eastAsia" w:ascii="宋体" w:hAnsi="宋体" w:cs="宋体"/>
          <w:bCs w:val="0"/>
          <w:sz w:val="24"/>
          <w:szCs w:val="24"/>
          <w:lang w:val="en-US" w:eastAsia="zh-CN"/>
        </w:rPr>
      </w:pPr>
      <w:bookmarkStart w:id="736" w:name="_Toc308188164"/>
      <w:bookmarkStart w:id="737" w:name="_Toc309897527"/>
      <w:bookmarkStart w:id="738" w:name="_Toc30964"/>
      <w:bookmarkStart w:id="739" w:name="_Toc319440154"/>
      <w:bookmarkStart w:id="740" w:name="_Toc27399"/>
      <w:bookmarkStart w:id="741" w:name="_Toc17887"/>
      <w:bookmarkStart w:id="742" w:name="_Toc10754"/>
      <w:bookmarkStart w:id="743" w:name="_Toc327196298"/>
      <w:bookmarkStart w:id="744" w:name="_Toc6284"/>
      <w:bookmarkStart w:id="745" w:name="_Toc31498"/>
      <w:bookmarkStart w:id="746" w:name="_Toc319439912"/>
      <w:bookmarkStart w:id="747" w:name="_Toc308084609"/>
      <w:bookmarkStart w:id="748" w:name="_Toc21018"/>
      <w:bookmarkStart w:id="749" w:name="_Toc14263"/>
      <w:bookmarkStart w:id="750" w:name="_Toc217446075"/>
      <w:bookmarkStart w:id="751" w:name="_Toc307501121"/>
      <w:bookmarkStart w:id="752" w:name="_Toc307564864"/>
      <w:bookmarkStart w:id="753" w:name="_Toc1828"/>
      <w:bookmarkStart w:id="754" w:name="_Toc5014"/>
      <w:bookmarkStart w:id="755" w:name="_Toc11074"/>
      <w:r>
        <w:rPr>
          <w:rFonts w:hint="eastAsia" w:ascii="宋体" w:hAnsi="宋体" w:cs="宋体"/>
          <w:bCs w:val="0"/>
          <w:sz w:val="24"/>
          <w:szCs w:val="24"/>
          <w:lang w:val="en-US" w:eastAsia="zh-CN"/>
        </w:rPr>
        <w:t>36.投标人不得具有的情形</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(1)提供虚假材料谋取中标；</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(2)采取不正当手段诋毁、排挤其他投标人；</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(3)与招标采购单位、其他投标人恶意串通；</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(4)向招标采购单位、评标委员会成员行贿或者提供其他不正当利益；</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(5)在招标过程中与招标采购单位进行协商谈判；</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(6)中标或者成交后无正当理由拒不与采购人签订政府采购合同；</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(7)未按照采购文件确定的事项签订政府采购合同；</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(9)提供假冒伪劣产品；</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pStyle w:val="9"/>
        <w:spacing w:line="440" w:lineRule="exact"/>
        <w:ind w:firstLine="480"/>
        <w:rPr>
          <w:rFonts w:ascii="宋体" w:hAnsi="宋体" w:cs="宋体"/>
          <w:color w:val="auto"/>
          <w:sz w:val="24"/>
          <w:highlight w:val="none"/>
        </w:rPr>
      </w:pPr>
      <w:r>
        <w:rPr>
          <w:rFonts w:hint="eastAsia" w:ascii="宋体" w:hAnsi="宋体" w:cs="宋体"/>
          <w:color w:val="auto"/>
          <w:sz w:val="24"/>
          <w:highlight w:val="none"/>
        </w:rPr>
        <w:t>投标人有上述情形的，按照规定追究法律责任，具备(1)-(10)条情形之一的，同时将取消中标资格或者认定中标无效。</w:t>
      </w:r>
    </w:p>
    <w:p>
      <w:pPr>
        <w:pStyle w:val="4"/>
        <w:spacing w:before="0" w:after="0" w:line="440" w:lineRule="exact"/>
        <w:jc w:val="center"/>
        <w:rPr>
          <w:rFonts w:hint="eastAsia" w:ascii="宋体" w:hAnsi="宋体" w:eastAsia="宋体" w:cs="宋体"/>
          <w:bCs w:val="0"/>
          <w:color w:val="auto"/>
          <w:highlight w:val="none"/>
          <w:lang w:eastAsia="zh-CN"/>
        </w:rPr>
      </w:pPr>
      <w:bookmarkStart w:id="756" w:name="_Toc20327"/>
      <w:bookmarkStart w:id="757" w:name="_Toc6469"/>
      <w:bookmarkStart w:id="758" w:name="_Toc8765"/>
      <w:bookmarkStart w:id="759" w:name="_Toc217446078"/>
      <w:r>
        <w:rPr>
          <w:rFonts w:hint="eastAsia" w:ascii="宋体" w:hAnsi="宋体" w:eastAsia="宋体" w:cs="宋体"/>
          <w:bCs w:val="0"/>
          <w:color w:val="auto"/>
          <w:highlight w:val="none"/>
        </w:rPr>
        <w:t>八、询问</w:t>
      </w:r>
      <w:bookmarkEnd w:id="756"/>
      <w:bookmarkEnd w:id="757"/>
      <w:bookmarkEnd w:id="758"/>
      <w:r>
        <w:rPr>
          <w:rFonts w:hint="eastAsia" w:ascii="宋体" w:hAnsi="宋体" w:eastAsia="宋体" w:cs="宋体"/>
          <w:bCs w:val="0"/>
          <w:color w:val="auto"/>
          <w:highlight w:val="none"/>
          <w:lang w:eastAsia="zh-CN"/>
        </w:rPr>
        <w:t>、</w:t>
      </w:r>
      <w:r>
        <w:rPr>
          <w:rFonts w:hint="eastAsia" w:ascii="宋体" w:hAnsi="宋体" w:eastAsia="宋体" w:cs="宋体"/>
          <w:bCs w:val="0"/>
          <w:color w:val="auto"/>
          <w:highlight w:val="none"/>
        </w:rPr>
        <w:t>质疑和投诉</w:t>
      </w:r>
    </w:p>
    <w:p>
      <w:pPr>
        <w:pStyle w:val="5"/>
        <w:spacing w:line="400" w:lineRule="exact"/>
        <w:ind w:firstLine="482" w:firstLineChars="200"/>
        <w:rPr>
          <w:rFonts w:hint="eastAsia" w:ascii="宋体" w:hAnsi="宋体" w:cs="宋体"/>
          <w:bCs w:val="0"/>
          <w:sz w:val="24"/>
          <w:szCs w:val="24"/>
          <w:lang w:val="en-US" w:eastAsia="zh-CN"/>
        </w:rPr>
      </w:pPr>
      <w:bookmarkStart w:id="760" w:name="_Toc12421"/>
      <w:bookmarkStart w:id="761" w:name="_Toc12717"/>
      <w:bookmarkStart w:id="762" w:name="_Toc24165"/>
      <w:bookmarkStart w:id="763" w:name="_Toc327196301"/>
      <w:bookmarkStart w:id="764" w:name="_Toc21424"/>
      <w:r>
        <w:rPr>
          <w:rFonts w:hint="eastAsia" w:ascii="宋体" w:hAnsi="宋体" w:cs="宋体"/>
          <w:bCs w:val="0"/>
          <w:sz w:val="24"/>
          <w:szCs w:val="24"/>
          <w:lang w:val="en-US" w:eastAsia="zh-CN"/>
        </w:rPr>
        <w:t xml:space="preserve">37. </w:t>
      </w:r>
      <w:bookmarkEnd w:id="760"/>
      <w:bookmarkEnd w:id="761"/>
      <w:bookmarkEnd w:id="762"/>
      <w:r>
        <w:rPr>
          <w:rFonts w:hint="eastAsia" w:ascii="宋体" w:hAnsi="宋体" w:cs="宋体"/>
          <w:bCs w:val="0"/>
          <w:sz w:val="24"/>
          <w:szCs w:val="24"/>
          <w:lang w:val="en-US" w:eastAsia="zh-CN"/>
        </w:rPr>
        <w:t>询问、质疑、投诉</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等相关规定办理。</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供应商提出质疑应当提交质疑函和必要的证明材料。质疑函应当包括下列内容：</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（1）供应商的姓名或者名称、地址、邮编、联系人及联系电话；</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（2）质疑项目的名称、编号；</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（3）具体、明确的质疑事项和与质疑事项相关的请求；</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（4）事实依据；</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（5）必要的法律依据；</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（6）提出质疑的日期。</w:t>
      </w:r>
    </w:p>
    <w:p>
      <w:pPr>
        <w:tabs>
          <w:tab w:val="left" w:pos="7665"/>
        </w:tabs>
        <w:wordWrap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w:t>
      </w:r>
    </w:p>
    <w:bookmarkEnd w:id="731"/>
    <w:bookmarkEnd w:id="732"/>
    <w:bookmarkEnd w:id="759"/>
    <w:bookmarkEnd w:id="763"/>
    <w:bookmarkEnd w:id="764"/>
    <w:p>
      <w:pPr>
        <w:pStyle w:val="18"/>
        <w:spacing w:after="0" w:line="440" w:lineRule="exact"/>
        <w:ind w:left="0" w:leftChars="0" w:firstLine="0" w:firstLineChars="0"/>
        <w:rPr>
          <w:rFonts w:hAnsi="宋体" w:cs="宋体"/>
          <w:color w:val="auto"/>
          <w:sz w:val="24"/>
          <w:highlight w:val="none"/>
        </w:rPr>
      </w:pPr>
    </w:p>
    <w:p>
      <w:pPr>
        <w:pStyle w:val="4"/>
        <w:spacing w:before="0" w:after="0" w:line="440" w:lineRule="exact"/>
        <w:jc w:val="center"/>
        <w:rPr>
          <w:rFonts w:ascii="宋体" w:hAnsi="宋体" w:eastAsia="宋体" w:cs="宋体"/>
          <w:color w:val="auto"/>
          <w:highlight w:val="none"/>
        </w:rPr>
      </w:pPr>
      <w:bookmarkStart w:id="765" w:name="_Toc13921"/>
      <w:bookmarkStart w:id="766" w:name="_Toc4850"/>
      <w:bookmarkStart w:id="767" w:name="_Toc14470"/>
      <w:bookmarkStart w:id="768" w:name="_Toc5589"/>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、串通投标的情形</w:t>
      </w:r>
      <w:bookmarkEnd w:id="765"/>
      <w:bookmarkEnd w:id="766"/>
      <w:bookmarkEnd w:id="767"/>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有下列情形之一的，视为投标人串通投标，其投标无效。</w:t>
      </w:r>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(一)不同投标人的投标文件由同一单位或者个人编制；</w:t>
      </w:r>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(二)不同投标人委托同一单位或者个人办理投标事宜；</w:t>
      </w:r>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(三)不同投标人的投标文件载明的项目管理成员或者联系人员为同一人；</w:t>
      </w:r>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(四)不同投标人的投标文件异常一致或者投标报价呈规律性差异；</w:t>
      </w:r>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(五)不同投标人的投标文件相互混装；</w:t>
      </w:r>
    </w:p>
    <w:p>
      <w:pPr>
        <w:pStyle w:val="18"/>
        <w:wordWrap w:val="0"/>
        <w:spacing w:after="0" w:line="440" w:lineRule="exact"/>
        <w:ind w:left="0" w:leftChars="0" w:firstLine="540" w:firstLineChars="225"/>
        <w:jc w:val="left"/>
        <w:rPr>
          <w:rFonts w:hAnsi="宋体" w:cs="宋体"/>
          <w:color w:val="auto"/>
          <w:sz w:val="24"/>
          <w:highlight w:val="none"/>
        </w:rPr>
      </w:pPr>
      <w:r>
        <w:rPr>
          <w:rFonts w:hint="eastAsia" w:hAnsi="宋体" w:cs="宋体"/>
          <w:color w:val="auto"/>
          <w:sz w:val="24"/>
          <w:highlight w:val="none"/>
        </w:rPr>
        <w:t>(六)不同投标人的投标保证金从同一单位或者个人的账户转出。</w:t>
      </w:r>
    </w:p>
    <w:p>
      <w:pPr>
        <w:pStyle w:val="4"/>
        <w:spacing w:before="0" w:after="0" w:line="440" w:lineRule="exact"/>
        <w:jc w:val="center"/>
        <w:rPr>
          <w:rFonts w:ascii="宋体" w:hAnsi="宋体" w:eastAsia="宋体" w:cs="宋体"/>
          <w:color w:val="auto"/>
          <w:highlight w:val="none"/>
        </w:rPr>
      </w:pPr>
      <w:bookmarkStart w:id="769" w:name="_Toc27206"/>
      <w:bookmarkStart w:id="770" w:name="_Toc8827"/>
      <w:bookmarkStart w:id="771" w:name="_Toc19058"/>
      <w:r>
        <w:rPr>
          <w:rFonts w:hint="eastAsia" w:ascii="宋体" w:hAnsi="宋体" w:eastAsia="宋体" w:cs="宋体"/>
          <w:color w:val="auto"/>
          <w:highlight w:val="none"/>
        </w:rPr>
        <w:t>十、其他</w:t>
      </w:r>
      <w:bookmarkEnd w:id="769"/>
      <w:bookmarkEnd w:id="770"/>
      <w:bookmarkEnd w:id="771"/>
    </w:p>
    <w:p>
      <w:pPr>
        <w:pStyle w:val="18"/>
        <w:spacing w:after="0" w:line="440" w:lineRule="exact"/>
        <w:ind w:left="0" w:leftChars="0" w:firstLine="480" w:firstLineChars="200"/>
        <w:rPr>
          <w:rFonts w:hAnsi="宋体" w:cs="宋体"/>
          <w:color w:val="auto"/>
          <w:sz w:val="24"/>
          <w:highlight w:val="none"/>
        </w:rPr>
      </w:pPr>
      <w:r>
        <w:rPr>
          <w:rFonts w:hint="eastAsia" w:hAnsi="宋体" w:cs="宋体"/>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18"/>
        <w:spacing w:after="0" w:line="360" w:lineRule="auto"/>
        <w:ind w:left="0" w:leftChars="0" w:firstLine="480" w:firstLineChars="200"/>
        <w:jc w:val="center"/>
        <w:outlineLvl w:val="0"/>
        <w:rPr>
          <w:rFonts w:hint="eastAsia" w:hAnsi="宋体" w:cs="宋体"/>
          <w:b/>
          <w:color w:val="auto"/>
          <w:sz w:val="36"/>
        </w:rPr>
      </w:pPr>
      <w:r>
        <w:rPr>
          <w:rFonts w:hint="eastAsia" w:hAnsi="宋体" w:cs="宋体"/>
          <w:color w:val="auto"/>
          <w:sz w:val="24"/>
          <w:highlight w:val="none"/>
        </w:rPr>
        <w:br w:type="page"/>
      </w:r>
      <w:bookmarkEnd w:id="768"/>
      <w:bookmarkStart w:id="772" w:name="_Toc25961"/>
      <w:bookmarkStart w:id="773" w:name="_Toc12928"/>
      <w:bookmarkStart w:id="774" w:name="_Toc5197"/>
      <w:bookmarkStart w:id="775" w:name="_Toc29575"/>
      <w:bookmarkStart w:id="776" w:name="_Toc4196"/>
      <w:bookmarkStart w:id="777" w:name="_Toc18724"/>
      <w:bookmarkStart w:id="778" w:name="_Toc881"/>
      <w:r>
        <w:rPr>
          <w:rFonts w:hint="eastAsia" w:hAnsi="宋体" w:cs="宋体"/>
          <w:b/>
          <w:color w:val="auto"/>
          <w:sz w:val="36"/>
        </w:rPr>
        <w:t>第三章 投标文件格式</w:t>
      </w:r>
      <w:bookmarkEnd w:id="772"/>
      <w:bookmarkEnd w:id="773"/>
      <w:bookmarkEnd w:id="774"/>
      <w:bookmarkEnd w:id="775"/>
      <w:bookmarkEnd w:id="776"/>
    </w:p>
    <w:p>
      <w:pPr>
        <w:widowControl/>
        <w:shd w:val="clear" w:color="auto" w:fill="FFFFFF"/>
        <w:spacing w:line="360" w:lineRule="atLeast"/>
        <w:rPr>
          <w:rFonts w:hint="eastAsia" w:hAnsi="宋体" w:cs="宋体"/>
          <w:color w:val="auto"/>
          <w:sz w:val="24"/>
        </w:rPr>
      </w:pPr>
      <w:bookmarkStart w:id="779" w:name="_Toc211218954"/>
      <w:bookmarkStart w:id="780" w:name="_Toc439161746"/>
      <w:bookmarkStart w:id="781" w:name="_Toc182629023"/>
      <w:bookmarkStart w:id="782" w:name="_Toc287367101"/>
      <w:bookmarkStart w:id="783" w:name="_Toc295978802"/>
      <w:bookmarkStart w:id="784" w:name="_Toc294701519"/>
      <w:bookmarkStart w:id="785" w:name="_Toc182759327"/>
      <w:bookmarkStart w:id="786" w:name="_Toc316462354"/>
      <w:bookmarkStart w:id="787" w:name="_Toc294688711"/>
      <w:bookmarkStart w:id="788" w:name="_Toc16460"/>
    </w:p>
    <w:bookmarkEnd w:id="779"/>
    <w:bookmarkEnd w:id="780"/>
    <w:bookmarkEnd w:id="781"/>
    <w:bookmarkEnd w:id="782"/>
    <w:bookmarkEnd w:id="783"/>
    <w:bookmarkEnd w:id="784"/>
    <w:bookmarkEnd w:id="785"/>
    <w:bookmarkEnd w:id="786"/>
    <w:bookmarkEnd w:id="787"/>
    <w:bookmarkEnd w:id="788"/>
    <w:p>
      <w:pPr>
        <w:widowControl/>
        <w:spacing w:line="360" w:lineRule="atLeast"/>
        <w:ind w:firstLine="470" w:firstLineChars="196"/>
        <w:outlineLvl w:val="1"/>
        <w:rPr>
          <w:rFonts w:hint="eastAsia" w:ascii="宋体" w:hAnsi="宋体" w:cs="宋体"/>
          <w:sz w:val="24"/>
        </w:rPr>
      </w:pPr>
      <w:r>
        <w:rPr>
          <w:rFonts w:hint="eastAsia" w:ascii="宋体" w:hAnsi="宋体" w:cs="宋体"/>
          <w:sz w:val="24"/>
        </w:rPr>
        <w:t>一、本章所制投标文件格式，除格式中明确将该格式作为实质性要求的，一律不具有强制性。</w:t>
      </w:r>
    </w:p>
    <w:p>
      <w:pPr>
        <w:widowControl/>
        <w:spacing w:line="360" w:lineRule="atLeast"/>
        <w:ind w:firstLine="470" w:firstLineChars="196"/>
        <w:outlineLvl w:val="1"/>
        <w:rPr>
          <w:rFonts w:hint="eastAsia" w:ascii="宋体" w:hAnsi="宋体" w:cs="宋体"/>
          <w:sz w:val="24"/>
        </w:rPr>
      </w:pPr>
      <w:r>
        <w:rPr>
          <w:rFonts w:hint="eastAsia" w:ascii="宋体" w:hAnsi="宋体" w:cs="宋体"/>
          <w:sz w:val="24"/>
        </w:rPr>
        <w:t>二、本章所制投标文件格式有关表格中的备注栏，由投标人根据自身投标情况作解释性说明，不作为必填项。</w:t>
      </w:r>
    </w:p>
    <w:p>
      <w:pPr>
        <w:widowControl/>
        <w:shd w:val="clear" w:color="auto" w:fill="FFFFFF"/>
        <w:spacing w:line="360" w:lineRule="atLeast"/>
        <w:ind w:firstLine="470" w:firstLineChars="196"/>
        <w:jc w:val="left"/>
        <w:rPr>
          <w:rFonts w:hAnsi="宋体" w:cs="宋体"/>
          <w:color w:val="auto"/>
          <w:sz w:val="24"/>
          <w:highlight w:val="none"/>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三、本章所制投标文件格式中需要填写的相关内容事项，可能会与本采购项目无关，在不改变投标文件原义、不影响本项目采购需求的情况下，投标人可以不予填写，但应当注明。</w:t>
      </w:r>
    </w:p>
    <w:p>
      <w:pPr>
        <w:tabs>
          <w:tab w:val="left" w:pos="7665"/>
        </w:tabs>
        <w:spacing w:line="400" w:lineRule="exact"/>
        <w:rPr>
          <w:rFonts w:hAnsi="宋体" w:cs="宋体"/>
          <w:color w:val="auto"/>
          <w:sz w:val="24"/>
          <w:highlight w:val="none"/>
        </w:rPr>
      </w:pPr>
      <w:r>
        <w:rPr>
          <w:rFonts w:hint="eastAsia" w:hAnsi="宋体" w:cs="宋体"/>
          <w:color w:val="auto"/>
          <w:sz w:val="24"/>
          <w:highlight w:val="none"/>
        </w:rPr>
        <w:br w:type="page"/>
      </w:r>
    </w:p>
    <w:p>
      <w:pPr>
        <w:keepNext/>
        <w:keepLines/>
        <w:spacing w:beforeLines="100" w:afterLines="100"/>
        <w:jc w:val="both"/>
        <w:rPr>
          <w:rFonts w:hAnsi="宋体" w:cs="宋体"/>
          <w:b/>
          <w:bCs/>
          <w:color w:val="auto"/>
          <w:kern w:val="2"/>
          <w:sz w:val="32"/>
          <w:szCs w:val="28"/>
          <w:highlight w:val="none"/>
        </w:rPr>
      </w:pPr>
      <w:bookmarkStart w:id="789" w:name="_Toc6994"/>
      <w:bookmarkStart w:id="790" w:name="_Toc11581"/>
    </w:p>
    <w:p>
      <w:pPr>
        <w:tabs>
          <w:tab w:val="left" w:pos="7665"/>
        </w:tabs>
        <w:spacing w:line="400" w:lineRule="exact"/>
        <w:rPr>
          <w:rFonts w:hAnsi="宋体" w:cs="宋体"/>
          <w:color w:val="auto"/>
          <w:sz w:val="24"/>
          <w:highlight w:val="none"/>
        </w:rPr>
      </w:pPr>
      <w:r>
        <w:rPr>
          <w:rFonts w:hint="eastAsia" w:hAnsi="宋体" w:cs="宋体"/>
          <w:color w:val="auto"/>
          <w:sz w:val="24"/>
          <w:highlight w:val="none"/>
        </w:rPr>
        <w:t>封面</w:t>
      </w:r>
      <w:bookmarkEnd w:id="789"/>
      <w:bookmarkEnd w:id="790"/>
    </w:p>
    <w:p>
      <w:pPr>
        <w:spacing w:line="360" w:lineRule="auto"/>
        <w:rPr>
          <w:rFonts w:hAnsi="宋体" w:cs="宋体"/>
          <w:bCs/>
          <w:color w:val="auto"/>
          <w:szCs w:val="21"/>
          <w:highlight w:val="none"/>
        </w:rPr>
      </w:pPr>
    </w:p>
    <w:p>
      <w:pPr>
        <w:spacing w:line="360" w:lineRule="auto"/>
        <w:rPr>
          <w:rFonts w:hAnsi="宋体" w:cs="宋体"/>
          <w:bCs/>
          <w:color w:val="auto"/>
          <w:szCs w:val="21"/>
          <w:highlight w:val="none"/>
        </w:rPr>
      </w:pPr>
    </w:p>
    <w:p>
      <w:pPr>
        <w:spacing w:line="360" w:lineRule="auto"/>
        <w:rPr>
          <w:rFonts w:hAnsi="宋体" w:cs="宋体"/>
          <w:bCs/>
          <w:color w:val="auto"/>
          <w:szCs w:val="21"/>
          <w:highlight w:val="none"/>
        </w:rPr>
      </w:pPr>
    </w:p>
    <w:p>
      <w:pPr>
        <w:spacing w:line="360" w:lineRule="auto"/>
        <w:jc w:val="right"/>
        <w:rPr>
          <w:rFonts w:hAnsi="宋体" w:cs="宋体"/>
          <w:color w:val="auto"/>
          <w:sz w:val="24"/>
          <w:highlight w:val="none"/>
        </w:rPr>
      </w:pPr>
    </w:p>
    <w:p>
      <w:pPr>
        <w:tabs>
          <w:tab w:val="left" w:pos="7665"/>
        </w:tabs>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资格性投标文件</w:t>
      </w:r>
      <w:r>
        <w:rPr>
          <w:rFonts w:hint="eastAsia" w:hAnsi="宋体" w:cs="宋体"/>
          <w:b/>
          <w:color w:val="auto"/>
          <w:sz w:val="48"/>
          <w:szCs w:val="48"/>
          <w:highlight w:val="none"/>
          <w:lang w:val="en-US" w:eastAsia="zh-CN"/>
        </w:rPr>
        <w:t>/</w:t>
      </w:r>
      <w:r>
        <w:rPr>
          <w:rFonts w:hint="eastAsia" w:hAnsi="宋体" w:cs="宋体"/>
          <w:b/>
          <w:color w:val="auto"/>
          <w:sz w:val="48"/>
          <w:szCs w:val="48"/>
          <w:highlight w:val="none"/>
        </w:rPr>
        <w:t>其他响应性投标文件</w:t>
      </w:r>
    </w:p>
    <w:p>
      <w:pPr>
        <w:spacing w:line="360" w:lineRule="auto"/>
        <w:jc w:val="center"/>
        <w:rPr>
          <w:rFonts w:hAnsi="宋体" w:cs="宋体"/>
          <w:color w:val="auto"/>
          <w:spacing w:val="78"/>
          <w:sz w:val="120"/>
          <w:szCs w:val="120"/>
          <w:highlight w:val="none"/>
        </w:rPr>
      </w:pPr>
    </w:p>
    <w:p>
      <w:pPr>
        <w:spacing w:line="480" w:lineRule="auto"/>
        <w:ind w:firstLine="2168" w:firstLineChars="675"/>
        <w:jc w:val="left"/>
        <w:rPr>
          <w:rFonts w:hAnsi="宋体" w:cs="宋体"/>
          <w:b/>
          <w:bCs/>
          <w:color w:val="auto"/>
          <w:sz w:val="32"/>
          <w:szCs w:val="32"/>
          <w:highlight w:val="none"/>
          <w:u w:val="single"/>
        </w:rPr>
      </w:pPr>
      <w:r>
        <w:rPr>
          <w:rFonts w:hint="eastAsia" w:hAnsi="宋体" w:cs="宋体"/>
          <w:b/>
          <w:bCs/>
          <w:color w:val="auto"/>
          <w:sz w:val="32"/>
          <w:szCs w:val="32"/>
          <w:highlight w:val="none"/>
        </w:rPr>
        <w:t>项目名称：</w:t>
      </w:r>
    </w:p>
    <w:p>
      <w:pPr>
        <w:spacing w:line="480" w:lineRule="auto"/>
        <w:ind w:firstLine="2168" w:firstLineChars="675"/>
        <w:jc w:val="left"/>
        <w:rPr>
          <w:rFonts w:hAnsi="宋体" w:cs="宋体"/>
          <w:b/>
          <w:color w:val="auto"/>
          <w:sz w:val="32"/>
          <w:szCs w:val="32"/>
          <w:highlight w:val="none"/>
          <w:u w:val="single"/>
        </w:rPr>
      </w:pPr>
      <w:r>
        <w:rPr>
          <w:rFonts w:hint="eastAsia" w:hAnsi="宋体" w:cs="宋体"/>
          <w:b/>
          <w:bCs/>
          <w:color w:val="auto"/>
          <w:sz w:val="32"/>
          <w:szCs w:val="32"/>
          <w:highlight w:val="none"/>
        </w:rPr>
        <w:t>项目编号：</w:t>
      </w:r>
    </w:p>
    <w:p>
      <w:pPr>
        <w:spacing w:line="480" w:lineRule="auto"/>
        <w:ind w:firstLine="2188" w:firstLineChars="681"/>
        <w:jc w:val="left"/>
        <w:rPr>
          <w:rFonts w:hAnsi="宋体" w:cs="宋体"/>
          <w:b/>
          <w:bCs/>
          <w:color w:val="auto"/>
          <w:sz w:val="32"/>
          <w:szCs w:val="32"/>
          <w:highlight w:val="none"/>
          <w:u w:val="single"/>
        </w:rPr>
      </w:pPr>
      <w:r>
        <w:rPr>
          <w:rFonts w:hint="eastAsia" w:hAnsi="宋体" w:cs="宋体"/>
          <w:b/>
          <w:bCs/>
          <w:color w:val="auto"/>
          <w:sz w:val="32"/>
          <w:szCs w:val="32"/>
          <w:highlight w:val="none"/>
        </w:rPr>
        <w:t>投标人名称：</w:t>
      </w:r>
    </w:p>
    <w:p>
      <w:pPr>
        <w:spacing w:line="480" w:lineRule="auto"/>
        <w:ind w:firstLine="2188" w:firstLineChars="681"/>
        <w:rPr>
          <w:rFonts w:hAnsi="宋体" w:cs="宋体"/>
          <w:b/>
          <w:bCs/>
          <w:color w:val="auto"/>
          <w:sz w:val="32"/>
          <w:szCs w:val="32"/>
          <w:highlight w:val="none"/>
        </w:rPr>
      </w:pPr>
      <w:r>
        <w:rPr>
          <w:rFonts w:hint="eastAsia" w:hAnsi="宋体" w:cs="宋体"/>
          <w:b/>
          <w:bCs/>
          <w:color w:val="auto"/>
          <w:sz w:val="32"/>
          <w:szCs w:val="32"/>
          <w:highlight w:val="none"/>
        </w:rPr>
        <w:t>投标日期：</w:t>
      </w:r>
      <w:r>
        <w:rPr>
          <w:rFonts w:hint="eastAsia" w:hAnsi="宋体" w:cs="宋体"/>
          <w:b/>
          <w:bCs/>
          <w:color w:val="auto"/>
          <w:sz w:val="32"/>
          <w:szCs w:val="32"/>
          <w:highlight w:val="none"/>
          <w:lang w:val="en-US" w:eastAsia="zh-CN"/>
        </w:rPr>
        <w:t xml:space="preserve">  </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 xml:space="preserve">  </w:t>
      </w:r>
      <w:r>
        <w:rPr>
          <w:rFonts w:hint="eastAsia" w:hAnsi="宋体" w:cs="宋体"/>
          <w:b/>
          <w:bCs/>
          <w:color w:val="auto"/>
          <w:sz w:val="32"/>
          <w:szCs w:val="32"/>
          <w:highlight w:val="none"/>
        </w:rPr>
        <w:t>月</w:t>
      </w:r>
      <w:r>
        <w:rPr>
          <w:rFonts w:hint="eastAsia" w:hAnsi="宋体" w:cs="宋体"/>
          <w:b/>
          <w:bCs/>
          <w:color w:val="auto"/>
          <w:sz w:val="32"/>
          <w:szCs w:val="32"/>
          <w:highlight w:val="none"/>
          <w:lang w:val="en-US" w:eastAsia="zh-CN"/>
        </w:rPr>
        <w:t xml:space="preserve">  </w:t>
      </w:r>
      <w:r>
        <w:rPr>
          <w:rFonts w:hint="eastAsia" w:hAnsi="宋体" w:cs="宋体"/>
          <w:b/>
          <w:bCs/>
          <w:color w:val="auto"/>
          <w:sz w:val="32"/>
          <w:szCs w:val="32"/>
          <w:highlight w:val="none"/>
        </w:rPr>
        <w:t>日</w:t>
      </w:r>
    </w:p>
    <w:p>
      <w:pPr>
        <w:tabs>
          <w:tab w:val="left" w:pos="900"/>
        </w:tabs>
        <w:spacing w:line="360" w:lineRule="auto"/>
        <w:jc w:val="center"/>
        <w:rPr>
          <w:rFonts w:hAnsi="宋体" w:cs="宋体"/>
          <w:b/>
          <w:color w:val="auto"/>
          <w:sz w:val="32"/>
          <w:highlight w:val="none"/>
        </w:rPr>
      </w:pPr>
      <w:bookmarkStart w:id="791" w:name="_Toc5306"/>
      <w:bookmarkStart w:id="792" w:name="_Toc31011"/>
      <w:bookmarkStart w:id="793" w:name="_Toc5565"/>
      <w:bookmarkStart w:id="794" w:name="_Toc11556"/>
      <w:r>
        <w:rPr>
          <w:rFonts w:hint="eastAsia" w:hAnsi="宋体" w:cs="宋体"/>
          <w:b/>
          <w:color w:val="auto"/>
          <w:sz w:val="32"/>
          <w:highlight w:val="none"/>
        </w:rPr>
        <w:br w:type="page"/>
      </w:r>
    </w:p>
    <w:bookmarkEnd w:id="791"/>
    <w:bookmarkEnd w:id="792"/>
    <w:bookmarkEnd w:id="793"/>
    <w:bookmarkEnd w:id="794"/>
    <w:p>
      <w:pPr>
        <w:tabs>
          <w:tab w:val="left" w:pos="900"/>
        </w:tabs>
        <w:spacing w:line="360" w:lineRule="auto"/>
        <w:jc w:val="center"/>
        <w:rPr>
          <w:rFonts w:hAnsi="宋体" w:cs="宋体"/>
          <w:b/>
          <w:color w:val="auto"/>
          <w:sz w:val="32"/>
          <w:highlight w:val="none"/>
        </w:rPr>
      </w:pPr>
      <w:bookmarkStart w:id="795" w:name="_Toc15611"/>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numPr>
          <w:ilvl w:val="0"/>
          <w:numId w:val="7"/>
        </w:numPr>
        <w:tabs>
          <w:tab w:val="left" w:pos="900"/>
          <w:tab w:val="left" w:pos="3740"/>
        </w:tabs>
        <w:spacing w:line="360" w:lineRule="auto"/>
        <w:jc w:val="center"/>
        <w:outlineLvl w:val="1"/>
        <w:rPr>
          <w:rFonts w:hAnsi="宋体" w:cs="宋体"/>
          <w:b/>
          <w:color w:val="auto"/>
          <w:sz w:val="32"/>
          <w:highlight w:val="none"/>
        </w:rPr>
      </w:pPr>
      <w:bookmarkStart w:id="796" w:name="_Toc11318"/>
      <w:r>
        <w:rPr>
          <w:rFonts w:hint="eastAsia" w:hAnsi="宋体" w:cs="宋体"/>
          <w:b/>
          <w:color w:val="auto"/>
          <w:sz w:val="32"/>
          <w:highlight w:val="none"/>
        </w:rPr>
        <w:t>分 资格性投标文件(格式)</w:t>
      </w:r>
      <w:bookmarkEnd w:id="795"/>
      <w:bookmarkEnd w:id="796"/>
      <w:bookmarkStart w:id="797" w:name="_Toc16168"/>
      <w:bookmarkStart w:id="798" w:name="_Toc23537"/>
    </w:p>
    <w:p>
      <w:pPr>
        <w:wordWrap w:val="0"/>
        <w:spacing w:line="400" w:lineRule="exact"/>
        <w:ind w:left="931" w:leftChars="129" w:hanging="492" w:hangingChars="175"/>
        <w:rPr>
          <w:rFonts w:hAnsi="宋体" w:cs="宋体"/>
          <w:b/>
          <w:bCs/>
          <w:color w:val="auto"/>
          <w:sz w:val="24"/>
          <w:szCs w:val="24"/>
          <w:highlight w:val="none"/>
        </w:rPr>
      </w:pPr>
      <w:r>
        <w:rPr>
          <w:rFonts w:hint="eastAsia" w:hAnsi="宋体" w:cs="宋体"/>
          <w:b/>
          <w:bCs/>
          <w:color w:val="auto"/>
          <w:sz w:val="28"/>
          <w:szCs w:val="28"/>
          <w:highlight w:val="none"/>
        </w:rPr>
        <w:br w:type="page"/>
      </w:r>
      <w:bookmarkEnd w:id="797"/>
      <w:bookmarkEnd w:id="798"/>
      <w:bookmarkStart w:id="799" w:name="_Toc18702"/>
    </w:p>
    <w:p>
      <w:pPr>
        <w:pStyle w:val="4"/>
        <w:numPr>
          <w:ilvl w:val="0"/>
          <w:numId w:val="8"/>
        </w:numPr>
        <w:spacing w:line="400" w:lineRule="exact"/>
        <w:ind w:firstLine="0"/>
        <w:jc w:val="center"/>
        <w:rPr>
          <w:rFonts w:ascii="宋体" w:hAnsi="宋体" w:eastAsia="宋体" w:cs="宋体"/>
          <w:color w:val="auto"/>
          <w:sz w:val="28"/>
          <w:szCs w:val="28"/>
          <w:highlight w:val="none"/>
        </w:rPr>
      </w:pPr>
      <w:bookmarkStart w:id="800" w:name="_Toc9243"/>
      <w:bookmarkStart w:id="801" w:name="_Toc10036"/>
      <w:bookmarkStart w:id="802" w:name="_Toc9688"/>
      <w:r>
        <w:rPr>
          <w:rFonts w:hint="eastAsia" w:ascii="宋体" w:hAnsi="宋体" w:eastAsia="宋体" w:cs="宋体"/>
          <w:color w:val="auto"/>
          <w:sz w:val="28"/>
          <w:szCs w:val="28"/>
          <w:highlight w:val="none"/>
        </w:rPr>
        <w:t>法定代表人证明书</w:t>
      </w:r>
      <w:bookmarkEnd w:id="800"/>
      <w:bookmarkEnd w:id="801"/>
      <w:bookmarkEnd w:id="802"/>
    </w:p>
    <w:p>
      <w:pPr>
        <w:wordWrap w:val="0"/>
        <w:topLinePunct/>
        <w:spacing w:line="440" w:lineRule="exact"/>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单位名称：</w:t>
      </w:r>
      <w:r>
        <w:rPr>
          <w:rFonts w:hint="eastAsia" w:hAnsi="宋体" w:cs="宋体"/>
          <w:color w:val="auto"/>
          <w:sz w:val="24"/>
          <w:szCs w:val="24"/>
          <w:highlight w:val="none"/>
          <w:u w:val="single"/>
          <w:lang w:val="en-US" w:eastAsia="zh-CN"/>
        </w:rPr>
        <w:t xml:space="preserve">                  </w:t>
      </w:r>
    </w:p>
    <w:p>
      <w:pPr>
        <w:wordWrap w:val="0"/>
        <w:topLinePunct/>
        <w:spacing w:line="440" w:lineRule="exact"/>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地    址：</w:t>
      </w:r>
      <w:r>
        <w:rPr>
          <w:rFonts w:hint="eastAsia" w:hAnsi="宋体" w:cs="宋体"/>
          <w:color w:val="auto"/>
          <w:sz w:val="24"/>
          <w:szCs w:val="24"/>
          <w:highlight w:val="none"/>
          <w:u w:val="single"/>
          <w:lang w:val="en-US" w:eastAsia="zh-CN"/>
        </w:rPr>
        <w:t xml:space="preserve">                    </w:t>
      </w:r>
    </w:p>
    <w:p>
      <w:pPr>
        <w:wordWrap w:val="0"/>
        <w:topLinePunct/>
        <w:spacing w:line="440" w:lineRule="exact"/>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姓    名：</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年龄：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lang w:val="en-US" w:eastAsia="zh-CN"/>
        </w:rPr>
        <w:t xml:space="preserve">             </w:t>
      </w:r>
    </w:p>
    <w:p>
      <w:pPr>
        <w:wordWrap w:val="0"/>
        <w:topLinePunct/>
        <w:spacing w:line="440" w:lineRule="exact"/>
        <w:ind w:firstLine="420"/>
        <w:rPr>
          <w:rFonts w:hAnsi="宋体" w:cs="宋体"/>
          <w:color w:val="auto"/>
          <w:sz w:val="24"/>
          <w:szCs w:val="24"/>
          <w:highlight w:val="none"/>
        </w:rPr>
      </w:pPr>
      <w:r>
        <w:rPr>
          <w:rFonts w:hint="eastAsia" w:hAnsi="宋体" w:cs="宋体"/>
          <w:color w:val="auto"/>
          <w:sz w:val="24"/>
          <w:szCs w:val="24"/>
          <w:highlight w:val="none"/>
        </w:rPr>
        <w:t>本人系(投标人名称)的法定代表人。就参加你单位组织的“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项目(项目编号</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)的</w:t>
      </w:r>
      <w:r>
        <w:rPr>
          <w:rFonts w:hint="eastAsia" w:hAnsi="宋体" w:cs="宋体"/>
          <w:color w:val="auto"/>
          <w:sz w:val="24"/>
          <w:highlight w:val="none"/>
        </w:rPr>
        <w:t>投标</w:t>
      </w:r>
      <w:r>
        <w:rPr>
          <w:rFonts w:hint="eastAsia" w:hAnsi="宋体" w:cs="宋体"/>
          <w:color w:val="auto"/>
          <w:sz w:val="24"/>
          <w:szCs w:val="24"/>
          <w:highlight w:val="none"/>
        </w:rPr>
        <w:t>活动、并参与项目的投标、签订合同以及执行合同等一切事宜，我单位均予承认，所产生的法律后果均由我单位承担。</w:t>
      </w:r>
    </w:p>
    <w:p>
      <w:pPr>
        <w:topLinePunct/>
        <w:spacing w:line="440" w:lineRule="exact"/>
        <w:ind w:firstLine="500"/>
        <w:rPr>
          <w:rFonts w:hAnsi="宋体" w:cs="宋体"/>
          <w:color w:val="auto"/>
          <w:sz w:val="24"/>
          <w:szCs w:val="24"/>
          <w:highlight w:val="none"/>
        </w:rPr>
      </w:pPr>
      <w:r>
        <w:rPr>
          <w:rFonts w:hint="eastAsia" w:hAnsi="宋体" w:cs="宋体"/>
          <w:color w:val="auto"/>
          <w:sz w:val="24"/>
          <w:szCs w:val="24"/>
          <w:highlight w:val="none"/>
        </w:rPr>
        <w:t>特此证明。</w:t>
      </w:r>
    </w:p>
    <w:p>
      <w:pPr>
        <w:wordWrap w:val="0"/>
        <w:topLinePunct/>
        <w:spacing w:line="440" w:lineRule="exact"/>
        <w:ind w:firstLine="482" w:firstLineChars="200"/>
        <w:rPr>
          <w:rFonts w:hAnsi="宋体" w:cs="宋体"/>
          <w:b/>
          <w:color w:val="auto"/>
          <w:sz w:val="24"/>
          <w:szCs w:val="24"/>
          <w:highlight w:val="none"/>
        </w:rPr>
      </w:pPr>
    </w:p>
    <w:p>
      <w:pPr>
        <w:wordWrap w:val="0"/>
        <w:topLinePunct/>
        <w:spacing w:line="440" w:lineRule="exact"/>
        <w:ind w:firstLine="482" w:firstLineChars="200"/>
        <w:rPr>
          <w:rFonts w:hAnsi="宋体" w:cs="宋体"/>
          <w:b/>
          <w:color w:val="auto"/>
          <w:sz w:val="24"/>
          <w:szCs w:val="24"/>
          <w:highlight w:val="none"/>
        </w:rPr>
      </w:pPr>
    </w:p>
    <w:p>
      <w:pPr>
        <w:wordWrap w:val="0"/>
        <w:topLinePunct/>
        <w:spacing w:line="44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附：法定代表人身份证复印件正反面</w:t>
      </w:r>
      <w:r>
        <w:rPr>
          <w:rFonts w:hint="eastAsia" w:hAnsi="宋体" w:cs="宋体"/>
          <w:b/>
          <w:bCs/>
          <w:color w:val="auto"/>
          <w:sz w:val="24"/>
          <w:szCs w:val="24"/>
          <w:highlight w:val="none"/>
        </w:rPr>
        <w:t>(供应商的法定代表人为外籍人士的，则提供护照复印件)</w:t>
      </w:r>
    </w:p>
    <w:p>
      <w:pPr>
        <w:wordWrap w:val="0"/>
        <w:topLinePunct/>
        <w:spacing w:line="400" w:lineRule="exact"/>
        <w:ind w:firstLine="482" w:firstLineChars="200"/>
        <w:rPr>
          <w:rFonts w:hAnsi="宋体" w:cs="宋体"/>
          <w:b/>
          <w:color w:val="auto"/>
          <w:sz w:val="24"/>
          <w:szCs w:val="24"/>
          <w:highlight w:val="none"/>
        </w:rPr>
      </w:pPr>
    </w:p>
    <w:p>
      <w:pPr>
        <w:wordWrap w:val="0"/>
        <w:topLinePunct/>
        <w:spacing w:line="600" w:lineRule="atLeast"/>
        <w:ind w:left="-617" w:firstLine="617"/>
        <w:jc w:val="center"/>
        <w:rPr>
          <w:rFonts w:hAnsi="宋体" w:cs="宋体"/>
          <w:b/>
          <w:bCs/>
          <w:color w:val="auto"/>
          <w:sz w:val="24"/>
          <w:szCs w:val="24"/>
          <w:highlight w:val="none"/>
        </w:rPr>
      </w:pPr>
    </w:p>
    <w:p>
      <w:pPr>
        <w:wordWrap w:val="0"/>
        <w:topLinePunct/>
        <w:spacing w:line="360" w:lineRule="auto"/>
        <w:ind w:left="-617" w:firstLine="617"/>
        <w:jc w:val="center"/>
        <w:rPr>
          <w:rFonts w:hAnsi="宋体" w:cs="宋体"/>
          <w:b/>
          <w:bCs/>
          <w:color w:val="auto"/>
          <w:sz w:val="24"/>
          <w:szCs w:val="24"/>
          <w:highlight w:val="none"/>
        </w:rPr>
      </w:pPr>
    </w:p>
    <w:p>
      <w:pPr>
        <w:wordWrap w:val="0"/>
        <w:topLinePunct/>
        <w:spacing w:line="440" w:lineRule="exact"/>
        <w:ind w:firstLine="496" w:firstLineChars="207"/>
        <w:rPr>
          <w:rFonts w:hAnsi="宋体" w:cs="宋体"/>
          <w:color w:val="auto"/>
          <w:sz w:val="24"/>
          <w:szCs w:val="24"/>
          <w:highlight w:val="none"/>
        </w:rPr>
      </w:pPr>
      <w:r>
        <w:rPr>
          <w:rFonts w:hint="eastAsia" w:hAnsi="宋体" w:cs="宋体"/>
          <w:color w:val="auto"/>
          <w:sz w:val="24"/>
          <w:szCs w:val="24"/>
          <w:highlight w:val="none"/>
        </w:rPr>
        <w:t xml:space="preserve">投标人名称： (盖章) </w:t>
      </w:r>
    </w:p>
    <w:p>
      <w:pPr>
        <w:wordWrap w:val="0"/>
        <w:topLinePunct/>
        <w:spacing w:line="440" w:lineRule="exact"/>
        <w:ind w:firstLine="496" w:firstLineChars="207"/>
        <w:rPr>
          <w:rFonts w:hAnsi="宋体" w:cs="宋体"/>
          <w:color w:val="auto"/>
          <w:sz w:val="24"/>
          <w:szCs w:val="24"/>
          <w:highlight w:val="none"/>
        </w:rPr>
      </w:pPr>
      <w:r>
        <w:rPr>
          <w:rFonts w:hint="eastAsia" w:hAnsi="宋体" w:cs="宋体"/>
          <w:color w:val="auto"/>
          <w:sz w:val="24"/>
          <w:szCs w:val="24"/>
          <w:highlight w:val="none"/>
        </w:rPr>
        <w:t>投标日期：</w:t>
      </w:r>
    </w:p>
    <w:p>
      <w:pPr>
        <w:wordWrap w:val="0"/>
        <w:topLinePunct/>
        <w:spacing w:line="600" w:lineRule="atLeast"/>
        <w:ind w:firstLine="826" w:firstLineChars="343"/>
        <w:rPr>
          <w:rFonts w:hAnsi="宋体" w:cs="宋体"/>
          <w:b/>
          <w:bCs/>
          <w:color w:val="auto"/>
          <w:sz w:val="24"/>
          <w:szCs w:val="24"/>
          <w:highlight w:val="none"/>
        </w:rPr>
      </w:pPr>
    </w:p>
    <w:p>
      <w:pPr>
        <w:wordWrap w:val="0"/>
        <w:spacing w:line="400" w:lineRule="exact"/>
        <w:ind w:left="17" w:leftChars="5" w:firstLine="482" w:firstLineChars="200"/>
        <w:rPr>
          <w:rFonts w:hAnsi="宋体" w:cs="宋体"/>
          <w:b/>
          <w:color w:val="auto"/>
          <w:sz w:val="24"/>
          <w:szCs w:val="24"/>
          <w:highlight w:val="none"/>
        </w:rPr>
      </w:pPr>
    </w:p>
    <w:p>
      <w:pPr>
        <w:pStyle w:val="4"/>
        <w:numPr>
          <w:ilvl w:val="0"/>
          <w:numId w:val="8"/>
        </w:numPr>
        <w:spacing w:line="400" w:lineRule="exact"/>
        <w:ind w:firstLine="0"/>
        <w:jc w:val="center"/>
        <w:rPr>
          <w:rFonts w:ascii="宋体" w:hAnsi="宋体" w:eastAsia="宋体" w:cs="宋体"/>
          <w:color w:val="auto"/>
          <w:sz w:val="28"/>
          <w:szCs w:val="28"/>
          <w:highlight w:val="none"/>
        </w:rPr>
      </w:pPr>
      <w:bookmarkStart w:id="803" w:name="_Toc3822"/>
      <w:bookmarkStart w:id="804" w:name="_Toc28397"/>
      <w:r>
        <w:rPr>
          <w:rFonts w:hint="eastAsia" w:ascii="宋体" w:hAnsi="宋体" w:eastAsia="宋体" w:cs="宋体"/>
          <w:color w:val="auto"/>
          <w:sz w:val="28"/>
          <w:szCs w:val="28"/>
          <w:highlight w:val="none"/>
        </w:rPr>
        <w:br w:type="page"/>
      </w:r>
      <w:bookmarkStart w:id="805" w:name="_Toc22073"/>
      <w:r>
        <w:rPr>
          <w:rFonts w:hint="eastAsia" w:ascii="宋体" w:hAnsi="宋体" w:eastAsia="宋体" w:cs="宋体"/>
          <w:color w:val="auto"/>
          <w:sz w:val="28"/>
          <w:szCs w:val="28"/>
          <w:highlight w:val="none"/>
        </w:rPr>
        <w:t>具有独立承担民事责任的能力的证明材料</w:t>
      </w:r>
      <w:bookmarkEnd w:id="805"/>
    </w:p>
    <w:bookmarkEnd w:id="803"/>
    <w:bookmarkEnd w:id="804"/>
    <w:p>
      <w:pPr>
        <w:pStyle w:val="4"/>
        <w:numPr>
          <w:ilvl w:val="0"/>
          <w:numId w:val="8"/>
        </w:numPr>
        <w:spacing w:line="400" w:lineRule="exact"/>
        <w:ind w:firstLine="0"/>
        <w:jc w:val="center"/>
        <w:rPr>
          <w:rFonts w:ascii="宋体" w:hAnsi="宋体" w:eastAsia="宋体" w:cs="宋体"/>
          <w:color w:val="auto"/>
          <w:sz w:val="28"/>
          <w:szCs w:val="28"/>
          <w:highlight w:val="none"/>
        </w:rPr>
      </w:pPr>
      <w:bookmarkStart w:id="806" w:name="_Toc14566"/>
      <w:r>
        <w:rPr>
          <w:rFonts w:hint="eastAsia" w:ascii="宋体" w:hAnsi="宋体" w:eastAsia="宋体" w:cs="宋体"/>
          <w:color w:val="auto"/>
          <w:sz w:val="28"/>
          <w:szCs w:val="28"/>
          <w:highlight w:val="none"/>
        </w:rPr>
        <w:br w:type="page"/>
      </w:r>
      <w:bookmarkStart w:id="807" w:name="_Toc30285"/>
      <w:r>
        <w:rPr>
          <w:rFonts w:hint="eastAsia" w:ascii="宋体" w:hAnsi="宋体" w:eastAsia="宋体" w:cs="宋体"/>
          <w:color w:val="auto"/>
          <w:sz w:val="28"/>
          <w:szCs w:val="28"/>
          <w:highlight w:val="none"/>
        </w:rPr>
        <w:t>具有健全的财务会计制度的证明材料</w:t>
      </w:r>
      <w:bookmarkEnd w:id="807"/>
    </w:p>
    <w:bookmarkEnd w:id="806"/>
    <w:p>
      <w:pPr>
        <w:wordWrap w:val="0"/>
        <w:spacing w:line="400" w:lineRule="exact"/>
        <w:ind w:left="17" w:leftChars="5" w:firstLine="562" w:firstLineChars="200"/>
        <w:rPr>
          <w:rFonts w:hAnsi="宋体" w:cs="宋体"/>
          <w:b/>
          <w:bCs/>
          <w:color w:val="auto"/>
          <w:sz w:val="28"/>
          <w:szCs w:val="28"/>
          <w:highlight w:val="none"/>
        </w:rPr>
      </w:pPr>
      <w:bookmarkStart w:id="808" w:name="_Toc5443"/>
      <w:r>
        <w:rPr>
          <w:rFonts w:hint="eastAsia" w:hAnsi="宋体" w:cs="宋体"/>
          <w:b/>
          <w:bCs/>
          <w:color w:val="auto"/>
          <w:sz w:val="28"/>
          <w:szCs w:val="28"/>
          <w:highlight w:val="none"/>
        </w:rPr>
        <w:br w:type="page"/>
      </w:r>
      <w:bookmarkEnd w:id="808"/>
      <w:bookmarkStart w:id="809" w:name="_Toc5011"/>
      <w:bookmarkStart w:id="810" w:name="_Toc12311"/>
    </w:p>
    <w:p>
      <w:pPr>
        <w:rPr>
          <w:rFonts w:hAnsi="宋体" w:cs="宋体"/>
          <w:b/>
          <w:bCs/>
          <w:color w:val="auto"/>
          <w:sz w:val="28"/>
          <w:szCs w:val="28"/>
          <w:highlight w:val="none"/>
        </w:rPr>
      </w:pPr>
    </w:p>
    <w:p>
      <w:pPr>
        <w:jc w:val="center"/>
        <w:rPr>
          <w:rFonts w:hAnsi="宋体" w:cs="宋体"/>
          <w:b/>
          <w:bCs/>
          <w:color w:val="auto"/>
          <w:sz w:val="28"/>
          <w:szCs w:val="28"/>
          <w:highlight w:val="none"/>
        </w:rPr>
      </w:pPr>
      <w:r>
        <w:rPr>
          <w:rFonts w:hint="eastAsia" w:hAnsi="宋体" w:cs="宋体"/>
          <w:b/>
          <w:bCs/>
          <w:color w:val="auto"/>
          <w:sz w:val="28"/>
          <w:szCs w:val="28"/>
          <w:highlight w:val="none"/>
        </w:rPr>
        <w:t>（四）承诺及声明函</w:t>
      </w:r>
      <w:bookmarkEnd w:id="809"/>
      <w:bookmarkEnd w:id="810"/>
    </w:p>
    <w:p>
      <w:pPr>
        <w:widowControl/>
        <w:spacing w:line="440" w:lineRule="exact"/>
        <w:jc w:val="left"/>
        <w:rPr>
          <w:rFonts w:hAnsi="宋体" w:cs="宋体"/>
          <w:color w:val="auto"/>
          <w:sz w:val="24"/>
          <w:szCs w:val="24"/>
          <w:highlight w:val="none"/>
          <w:lang w:val="zh-CN"/>
        </w:rPr>
      </w:pPr>
      <w:r>
        <w:rPr>
          <w:rFonts w:hint="eastAsia" w:hAnsi="宋体" w:cs="宋体"/>
          <w:color w:val="auto"/>
          <w:sz w:val="24"/>
          <w:highlight w:val="none"/>
          <w:u w:val="single"/>
        </w:rPr>
        <w:t>(采购代理机构名称)</w:t>
      </w:r>
      <w:r>
        <w:rPr>
          <w:rFonts w:hint="eastAsia" w:hAnsi="宋体" w:cs="宋体"/>
          <w:color w:val="auto"/>
          <w:sz w:val="24"/>
          <w:highlight w:val="none"/>
        </w:rPr>
        <w:t>：</w:t>
      </w:r>
      <w:bookmarkStart w:id="811" w:name="_Toc14299"/>
      <w:bookmarkStart w:id="812" w:name="_Toc9591"/>
      <w:r>
        <w:rPr>
          <w:rFonts w:hint="eastAsia" w:hAnsi="宋体" w:cs="宋体"/>
          <w:color w:val="auto"/>
          <w:sz w:val="24"/>
          <w:szCs w:val="24"/>
          <w:highlight w:val="none"/>
          <w:lang w:val="zh-CN"/>
        </w:rPr>
        <w:t>　</w:t>
      </w:r>
    </w:p>
    <w:p>
      <w:pPr>
        <w:wordWrap w:val="0"/>
        <w:adjustRightInd w:val="0"/>
        <w:spacing w:line="400" w:lineRule="exact"/>
        <w:ind w:firstLine="420" w:firstLineChars="175"/>
        <w:jc w:val="left"/>
        <w:rPr>
          <w:rFonts w:hAnsi="宋体" w:cs="宋体"/>
          <w:bCs/>
          <w:color w:val="auto"/>
          <w:sz w:val="24"/>
          <w:szCs w:val="24"/>
          <w:highlight w:val="none"/>
          <w:lang w:val="zh-CN"/>
        </w:rPr>
      </w:pPr>
      <w:r>
        <w:rPr>
          <w:rFonts w:hint="eastAsia" w:hAnsi="宋体" w:cs="宋体"/>
          <w:bCs/>
          <w:color w:val="auto"/>
          <w:sz w:val="24"/>
          <w:szCs w:val="24"/>
          <w:highlight w:val="none"/>
          <w:lang w:val="zh-CN"/>
        </w:rPr>
        <w:t>本公司(公司名称)参加(项目名称)(项目编号：)的投标活动，现我公司承诺</w:t>
      </w:r>
      <w:r>
        <w:rPr>
          <w:rFonts w:hint="eastAsia" w:hAnsi="宋体" w:cs="宋体"/>
          <w:bCs/>
          <w:color w:val="auto"/>
          <w:sz w:val="24"/>
          <w:szCs w:val="24"/>
          <w:highlight w:val="none"/>
        </w:rPr>
        <w:t>及声明如下</w:t>
      </w:r>
      <w:r>
        <w:rPr>
          <w:rFonts w:hint="eastAsia" w:hAnsi="宋体" w:cs="宋体"/>
          <w:bCs/>
          <w:color w:val="auto"/>
          <w:sz w:val="24"/>
          <w:szCs w:val="24"/>
          <w:highlight w:val="none"/>
          <w:lang w:val="zh-CN"/>
        </w:rPr>
        <w:t>：</w:t>
      </w:r>
    </w:p>
    <w:p>
      <w:pPr>
        <w:widowControl/>
        <w:shd w:val="clear" w:color="auto" w:fill="FFFFFF"/>
        <w:spacing w:line="360" w:lineRule="atLeast"/>
        <w:ind w:firstLine="480" w:firstLineChars="200"/>
        <w:jc w:val="left"/>
        <w:rPr>
          <w:color w:val="auto"/>
          <w:sz w:val="24"/>
          <w:highlight w:val="none"/>
        </w:rPr>
      </w:pPr>
      <w:r>
        <w:rPr>
          <w:rFonts w:hint="eastAsia"/>
          <w:color w:val="auto"/>
          <w:sz w:val="24"/>
          <w:highlight w:val="none"/>
        </w:rPr>
        <w:t>一、具备《中华人民共和国政府采购法》第二十二条第一款和本项目规定的条件：</w:t>
      </w:r>
    </w:p>
    <w:p>
      <w:pPr>
        <w:widowControl/>
        <w:shd w:val="clear" w:color="auto" w:fill="FFFFFF"/>
        <w:spacing w:line="360" w:lineRule="atLeast"/>
        <w:ind w:firstLine="480" w:firstLineChars="200"/>
        <w:jc w:val="left"/>
        <w:rPr>
          <w:color w:val="auto"/>
          <w:sz w:val="24"/>
          <w:highlight w:val="none"/>
        </w:rPr>
      </w:pPr>
      <w:r>
        <w:rPr>
          <w:rFonts w:hint="eastAsia"/>
          <w:color w:val="auto"/>
          <w:sz w:val="24"/>
          <w:highlight w:val="none"/>
        </w:rPr>
        <w:t xml:space="preserve">(一)具有独立承担民事责任的能力； </w:t>
      </w:r>
      <w:r>
        <w:rPr>
          <w:rFonts w:hint="eastAsia"/>
          <w:color w:val="auto"/>
          <w:sz w:val="24"/>
          <w:highlight w:val="none"/>
        </w:rPr>
        <w:br w:type="textWrapping"/>
      </w:r>
      <w:r>
        <w:rPr>
          <w:rFonts w:hint="eastAsia"/>
          <w:color w:val="auto"/>
          <w:sz w:val="24"/>
          <w:highlight w:val="none"/>
        </w:rPr>
        <w:t xml:space="preserve">　　(二)具有良好的商业信誉和健全的财务会计制度； </w:t>
      </w:r>
      <w:r>
        <w:rPr>
          <w:rFonts w:hint="eastAsia"/>
          <w:color w:val="auto"/>
          <w:sz w:val="24"/>
          <w:highlight w:val="none"/>
        </w:rPr>
        <w:br w:type="textWrapping"/>
      </w:r>
      <w:r>
        <w:rPr>
          <w:rFonts w:hint="eastAsia"/>
          <w:color w:val="auto"/>
          <w:sz w:val="24"/>
          <w:highlight w:val="none"/>
        </w:rPr>
        <w:t xml:space="preserve">　　(三)具有履行合同所必需的设备和专业技术能力； </w:t>
      </w:r>
      <w:r>
        <w:rPr>
          <w:rFonts w:hint="eastAsia"/>
          <w:color w:val="auto"/>
          <w:sz w:val="24"/>
          <w:highlight w:val="none"/>
        </w:rPr>
        <w:br w:type="textWrapping"/>
      </w:r>
      <w:r>
        <w:rPr>
          <w:rFonts w:hint="eastAsia"/>
          <w:color w:val="auto"/>
          <w:sz w:val="24"/>
          <w:highlight w:val="none"/>
        </w:rPr>
        <w:t xml:space="preserve">　　(四)有依法缴纳税收和社会保障资金的良好记录； </w:t>
      </w:r>
      <w:r>
        <w:rPr>
          <w:rFonts w:hint="eastAsia"/>
          <w:color w:val="auto"/>
          <w:sz w:val="24"/>
          <w:highlight w:val="none"/>
        </w:rPr>
        <w:br w:type="textWrapping"/>
      </w:r>
      <w:r>
        <w:rPr>
          <w:rFonts w:hint="eastAsia"/>
          <w:color w:val="auto"/>
          <w:sz w:val="24"/>
          <w:highlight w:val="none"/>
        </w:rPr>
        <w:t>　　(五)参加本次政府采购活动前三年内，在经营活动中没有重大违法记录(成立不足三年的从成立之日起计算)；</w:t>
      </w:r>
    </w:p>
    <w:p>
      <w:pPr>
        <w:widowControl/>
        <w:shd w:val="clear" w:color="auto" w:fill="FFFFFF"/>
        <w:spacing w:line="360" w:lineRule="atLeast"/>
        <w:ind w:firstLine="480" w:firstLineChars="200"/>
        <w:jc w:val="left"/>
        <w:rPr>
          <w:color w:val="auto"/>
          <w:sz w:val="24"/>
          <w:highlight w:val="none"/>
        </w:rPr>
      </w:pPr>
      <w:r>
        <w:rPr>
          <w:rFonts w:hint="eastAsia"/>
          <w:color w:val="auto"/>
          <w:sz w:val="24"/>
          <w:highlight w:val="none"/>
        </w:rPr>
        <w:t>(六)法律、行政法规规定的其他条件；</w:t>
      </w:r>
    </w:p>
    <w:p>
      <w:pPr>
        <w:widowControl/>
        <w:shd w:val="clear" w:color="auto" w:fill="FFFFFF"/>
        <w:spacing w:line="360" w:lineRule="atLeast"/>
        <w:ind w:firstLine="480" w:firstLineChars="200"/>
        <w:jc w:val="left"/>
        <w:rPr>
          <w:color w:val="auto"/>
          <w:sz w:val="24"/>
          <w:highlight w:val="none"/>
        </w:rPr>
      </w:pPr>
      <w:r>
        <w:rPr>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hd w:val="clear" w:color="auto" w:fill="FFFFFF"/>
        <w:spacing w:line="360" w:lineRule="atLeast"/>
        <w:ind w:firstLine="480" w:firstLineChars="200"/>
        <w:jc w:val="left"/>
        <w:rPr>
          <w:color w:val="auto"/>
          <w:sz w:val="24"/>
          <w:highlight w:val="none"/>
        </w:rPr>
      </w:pPr>
      <w:r>
        <w:rPr>
          <w:rFonts w:hint="eastAsia"/>
          <w:color w:val="auto"/>
          <w:sz w:val="24"/>
          <w:highlight w:val="none"/>
        </w:rPr>
        <w:t>三、参加本次招标采购活动，不存在与单位负责人为同一人或者存在直接控股、管理关系的其他供应商参与同一合同项下的政府采购活动的行为。</w:t>
      </w:r>
    </w:p>
    <w:p>
      <w:pPr>
        <w:widowControl/>
        <w:shd w:val="clear" w:color="auto" w:fill="FFFFFF"/>
        <w:spacing w:line="360" w:lineRule="atLeast"/>
        <w:ind w:firstLine="480" w:firstLineChars="200"/>
        <w:jc w:val="left"/>
        <w:rPr>
          <w:color w:val="auto"/>
          <w:sz w:val="24"/>
          <w:highlight w:val="none"/>
        </w:rPr>
      </w:pPr>
      <w:r>
        <w:rPr>
          <w:rFonts w:hint="eastAsia"/>
          <w:color w:val="auto"/>
          <w:sz w:val="24"/>
          <w:highlight w:val="none"/>
        </w:rPr>
        <w:t>四、参加本次招标采购活动，不存在和其他供应商在同一合同项下的采购项目中，同时委托同一个自然人、同一家庭的人员、同一单位的人员作为代理人的行为。</w:t>
      </w:r>
    </w:p>
    <w:p>
      <w:pPr>
        <w:widowControl/>
        <w:shd w:val="clear" w:color="auto" w:fill="FFFFFF"/>
        <w:spacing w:line="360" w:lineRule="atLeast"/>
        <w:ind w:firstLine="480" w:firstLineChars="200"/>
        <w:jc w:val="left"/>
        <w:rPr>
          <w:rFonts w:hint="eastAsia"/>
          <w:color w:val="auto"/>
          <w:sz w:val="24"/>
          <w:highlight w:val="none"/>
        </w:rPr>
      </w:pPr>
      <w:r>
        <w:rPr>
          <w:rFonts w:hint="eastAsia"/>
          <w:color w:val="auto"/>
          <w:sz w:val="24"/>
          <w:highlight w:val="none"/>
        </w:rPr>
        <w:t>五、</w:t>
      </w:r>
      <w:r>
        <w:rPr>
          <w:rFonts w:hint="eastAsia" w:hAnsi="宋体" w:cs="宋体"/>
          <w:color w:val="auto"/>
          <w:sz w:val="24"/>
          <w:highlight w:val="none"/>
        </w:rPr>
        <w:t>我单位未对本次采购项目提供过整体设计、规范编制或者项目管理、监理、检测等服务。</w:t>
      </w:r>
    </w:p>
    <w:p>
      <w:pPr>
        <w:widowControl/>
        <w:shd w:val="clear" w:color="auto" w:fill="FFFFFF"/>
        <w:spacing w:line="360" w:lineRule="atLeast"/>
        <w:ind w:firstLine="480" w:firstLineChars="200"/>
        <w:jc w:val="left"/>
        <w:rPr>
          <w:rFonts w:hint="eastAsia" w:hAnsi="宋体" w:eastAsia="宋体" w:cs="宋体"/>
          <w:color w:val="auto"/>
          <w:sz w:val="24"/>
          <w:highlight w:val="none"/>
          <w:lang w:val="en-US" w:eastAsia="zh-CN"/>
        </w:rPr>
      </w:pPr>
      <w:r>
        <w:rPr>
          <w:rFonts w:hint="eastAsia"/>
          <w:color w:val="auto"/>
          <w:sz w:val="24"/>
          <w:highlight w:val="none"/>
        </w:rPr>
        <w:t>六、截至响应文件递交截止日未被列入失信被执行人、重大税收违法案件当事人名单、政府采购严重违法失信行为记录名单</w:t>
      </w:r>
      <w:r>
        <w:rPr>
          <w:rFonts w:hint="eastAsia"/>
          <w:color w:val="auto"/>
          <w:sz w:val="24"/>
          <w:highlight w:val="none"/>
          <w:lang w:eastAsia="zh-CN"/>
        </w:rPr>
        <w:t>。</w:t>
      </w:r>
    </w:p>
    <w:p>
      <w:pPr>
        <w:widowControl/>
        <w:shd w:val="clear" w:color="auto" w:fill="FFFFFF"/>
        <w:spacing w:line="360" w:lineRule="atLeast"/>
        <w:ind w:firstLine="420"/>
        <w:jc w:val="left"/>
        <w:rPr>
          <w:rFonts w:hint="eastAsia"/>
          <w:color w:val="auto"/>
          <w:sz w:val="24"/>
          <w:highlight w:val="none"/>
        </w:rPr>
      </w:pPr>
      <w:r>
        <w:rPr>
          <w:rFonts w:hint="eastAsia"/>
          <w:color w:val="auto"/>
          <w:sz w:val="24"/>
          <w:highlight w:val="none"/>
        </w:rPr>
        <w:t>七、投标文件中提供的能够给予我公司带来优惠、好处的任何材料资料和技术、服务、商务等响应承诺情况都是真实的、有效的、合法的。</w:t>
      </w:r>
    </w:p>
    <w:p>
      <w:pPr>
        <w:pStyle w:val="22"/>
        <w:ind w:firstLine="480" w:firstLineChars="200"/>
        <w:rPr>
          <w:rFonts w:hint="eastAsia"/>
          <w:color w:val="auto"/>
          <w:highlight w:val="none"/>
        </w:rPr>
      </w:pPr>
      <w:r>
        <w:rPr>
          <w:rFonts w:hint="eastAsia"/>
          <w:color w:val="auto"/>
          <w:sz w:val="24"/>
          <w:highlight w:val="none"/>
        </w:rPr>
        <w:t>八、参加本次招标采购活动，本</w:t>
      </w:r>
      <w:r>
        <w:rPr>
          <w:rFonts w:hint="eastAsia" w:hAnsi="宋体" w:cs="宋体"/>
          <w:color w:val="auto"/>
          <w:sz w:val="24"/>
          <w:highlight w:val="none"/>
        </w:rPr>
        <w:t>单位及其现任法定代表人/主要负责人无行贿犯罪记录；</w:t>
      </w:r>
    </w:p>
    <w:p>
      <w:pPr>
        <w:adjustRightInd w:val="0"/>
        <w:spacing w:line="400" w:lineRule="exact"/>
        <w:ind w:firstLine="420" w:firstLineChars="175"/>
        <w:jc w:val="left"/>
        <w:rPr>
          <w:rFonts w:hAnsi="宋体" w:cs="宋体"/>
          <w:bCs/>
          <w:color w:val="auto"/>
          <w:sz w:val="24"/>
          <w:szCs w:val="24"/>
          <w:highlight w:val="none"/>
          <w:lang w:val="zh-CN"/>
        </w:rPr>
      </w:pPr>
      <w:r>
        <w:rPr>
          <w:rFonts w:hint="eastAsia"/>
          <w:color w:val="auto"/>
          <w:sz w:val="24"/>
          <w:highlight w:val="none"/>
        </w:rPr>
        <w:t>本公司对上述承诺的内容事项真实性负责。如经查实上述承诺的内容事项存在虚假，我公司愿意接受以提供虚假材料谋取中标追究法律责任。</w:t>
      </w:r>
    </w:p>
    <w:p>
      <w:pPr>
        <w:adjustRightInd w:val="0"/>
        <w:spacing w:line="400" w:lineRule="exact"/>
        <w:jc w:val="left"/>
        <w:rPr>
          <w:rFonts w:hAnsi="宋体" w:cs="宋体"/>
          <w:bCs/>
          <w:color w:val="auto"/>
          <w:sz w:val="24"/>
          <w:szCs w:val="24"/>
          <w:highlight w:val="none"/>
        </w:rPr>
      </w:pPr>
    </w:p>
    <w:p>
      <w:pPr>
        <w:adjustRightInd w:val="0"/>
        <w:spacing w:line="400" w:lineRule="exact"/>
        <w:ind w:firstLine="420" w:firstLineChars="175"/>
        <w:jc w:val="left"/>
        <w:rPr>
          <w:rFonts w:hAnsi="宋体" w:cs="宋体"/>
          <w:bCs/>
          <w:color w:val="auto"/>
          <w:sz w:val="24"/>
          <w:szCs w:val="24"/>
          <w:highlight w:val="none"/>
        </w:rPr>
      </w:pPr>
      <w:r>
        <w:rPr>
          <w:rFonts w:hint="eastAsia" w:hAnsi="宋体" w:cs="宋体"/>
          <w:bCs/>
          <w:color w:val="auto"/>
          <w:sz w:val="24"/>
          <w:szCs w:val="24"/>
          <w:highlight w:val="none"/>
        </w:rPr>
        <w:t>投标人名称：         (盖章)</w:t>
      </w:r>
    </w:p>
    <w:p>
      <w:pPr>
        <w:widowControl/>
        <w:tabs>
          <w:tab w:val="left" w:pos="900"/>
        </w:tabs>
        <w:spacing w:line="440" w:lineRule="exact"/>
        <w:ind w:firstLine="460" w:firstLineChars="192"/>
        <w:jc w:val="left"/>
        <w:rPr>
          <w:rFonts w:ascii="宋体" w:hAnsi="宋体" w:eastAsia="宋体" w:cs="宋体"/>
          <w:color w:val="auto"/>
          <w:sz w:val="28"/>
          <w:szCs w:val="28"/>
          <w:highlight w:val="none"/>
        </w:rPr>
      </w:pPr>
      <w:r>
        <w:rPr>
          <w:rFonts w:hint="eastAsia" w:hAnsi="宋体" w:cs="宋体"/>
          <w:bCs/>
          <w:color w:val="auto"/>
          <w:sz w:val="24"/>
          <w:szCs w:val="24"/>
          <w:highlight w:val="none"/>
        </w:rPr>
        <w:t xml:space="preserve">日  期：  </w:t>
      </w:r>
      <w:r>
        <w:rPr>
          <w:rFonts w:hint="eastAsia" w:hAnsi="宋体" w:cs="宋体"/>
          <w:b/>
          <w:bCs/>
          <w:color w:val="auto"/>
          <w:sz w:val="28"/>
          <w:szCs w:val="28"/>
          <w:highlight w:val="none"/>
        </w:rPr>
        <w:br w:type="page"/>
      </w:r>
      <w:bookmarkEnd w:id="811"/>
      <w:bookmarkEnd w:id="812"/>
    </w:p>
    <w:p>
      <w:pPr>
        <w:widowControl/>
        <w:shd w:val="clear" w:color="auto" w:fill="FFFFFF"/>
        <w:spacing w:line="440" w:lineRule="exact"/>
        <w:jc w:val="center"/>
        <w:rPr>
          <w:rFonts w:hAnsi="宋体" w:cs="宋体"/>
          <w:color w:val="auto"/>
          <w:highlight w:val="none"/>
        </w:rPr>
      </w:pPr>
      <w:bookmarkStart w:id="813" w:name="_Toc18982"/>
      <w:bookmarkStart w:id="814" w:name="_Toc25575"/>
      <w:r>
        <w:rPr>
          <w:rFonts w:hint="eastAsia" w:hAnsi="宋体"/>
          <w:b/>
          <w:bCs/>
          <w:color w:val="auto"/>
          <w:sz w:val="28"/>
          <w:szCs w:val="28"/>
          <w:highlight w:val="none"/>
        </w:rPr>
        <w:t>(</w:t>
      </w:r>
      <w:r>
        <w:rPr>
          <w:rFonts w:hint="eastAsia" w:hAnsi="宋体"/>
          <w:b/>
          <w:bCs/>
          <w:color w:val="auto"/>
          <w:sz w:val="28"/>
          <w:szCs w:val="28"/>
          <w:highlight w:val="none"/>
          <w:lang w:eastAsia="zh-CN"/>
        </w:rPr>
        <w:t>五</w:t>
      </w:r>
      <w:r>
        <w:rPr>
          <w:rFonts w:hint="eastAsia" w:hAnsi="宋体"/>
          <w:b/>
          <w:bCs/>
          <w:color w:val="auto"/>
          <w:sz w:val="28"/>
          <w:szCs w:val="28"/>
          <w:highlight w:val="none"/>
        </w:rPr>
        <w:t>）招标</w:t>
      </w:r>
      <w:r>
        <w:rPr>
          <w:rFonts w:hAnsi="宋体"/>
          <w:b/>
          <w:bCs/>
          <w:color w:val="auto"/>
          <w:sz w:val="28"/>
          <w:szCs w:val="28"/>
          <w:highlight w:val="none"/>
        </w:rPr>
        <w:t>文件要求提供的其他</w:t>
      </w:r>
      <w:r>
        <w:rPr>
          <w:rFonts w:hint="eastAsia" w:hAnsi="宋体"/>
          <w:b/>
          <w:bCs/>
          <w:color w:val="auto"/>
          <w:sz w:val="28"/>
          <w:szCs w:val="28"/>
          <w:highlight w:val="none"/>
        </w:rPr>
        <w:t>资格</w:t>
      </w:r>
      <w:r>
        <w:rPr>
          <w:rFonts w:hAnsi="宋体"/>
          <w:b/>
          <w:bCs/>
          <w:color w:val="auto"/>
          <w:sz w:val="28"/>
          <w:szCs w:val="28"/>
          <w:highlight w:val="none"/>
        </w:rPr>
        <w:t>证明文件</w:t>
      </w:r>
      <w:r>
        <w:rPr>
          <w:rFonts w:hint="eastAsia" w:hAnsi="宋体"/>
          <w:b/>
          <w:bCs/>
          <w:color w:val="auto"/>
          <w:sz w:val="28"/>
          <w:szCs w:val="28"/>
          <w:highlight w:val="none"/>
        </w:rPr>
        <w:t>(若有则填写)</w:t>
      </w:r>
      <w:bookmarkEnd w:id="813"/>
      <w:bookmarkEnd w:id="814"/>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pStyle w:val="61"/>
        <w:numPr>
          <w:ilvl w:val="4"/>
          <w:numId w:val="0"/>
        </w:numPr>
        <w:outlineLvl w:val="9"/>
        <w:rPr>
          <w:rFonts w:ascii="宋体" w:hAnsi="宋体" w:eastAsia="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pStyle w:val="62"/>
        <w:rPr>
          <w:rFonts w:ascii="宋体"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outlineLvl w:val="1"/>
        <w:rPr>
          <w:rFonts w:hAnsi="宋体" w:cs="宋体"/>
          <w:b/>
          <w:color w:val="auto"/>
          <w:sz w:val="32"/>
          <w:highlight w:val="none"/>
        </w:rPr>
      </w:pPr>
      <w:bookmarkStart w:id="815" w:name="_Toc2428"/>
      <w:r>
        <w:rPr>
          <w:rFonts w:hint="eastAsia" w:hAnsi="宋体" w:cs="宋体"/>
          <w:b/>
          <w:color w:val="auto"/>
          <w:sz w:val="32"/>
          <w:highlight w:val="none"/>
        </w:rPr>
        <w:t>第二部分 其他响应性投标文件(格式)</w:t>
      </w:r>
      <w:bookmarkEnd w:id="815"/>
    </w:p>
    <w:p>
      <w:pPr>
        <w:keepNext/>
        <w:keepLines/>
        <w:spacing w:beforeLines="100" w:afterLines="100"/>
        <w:rPr>
          <w:rFonts w:hAnsi="宋体" w:cs="宋体"/>
          <w:color w:val="auto"/>
          <w:highlight w:val="none"/>
        </w:rPr>
      </w:pPr>
      <w:bookmarkStart w:id="816" w:name="_Toc26038"/>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rPr>
          <w:color w:val="auto"/>
        </w:rPr>
      </w:pPr>
    </w:p>
    <w:p>
      <w:pPr>
        <w:pStyle w:val="2"/>
        <w:rPr>
          <w:rFonts w:ascii="宋体" w:hAnsi="宋体" w:cs="宋体"/>
          <w:color w:val="auto"/>
          <w:highlight w:val="none"/>
        </w:rPr>
      </w:pPr>
    </w:p>
    <w:p>
      <w:pPr>
        <w:pStyle w:val="4"/>
        <w:numPr>
          <w:ilvl w:val="0"/>
          <w:numId w:val="9"/>
        </w:numPr>
        <w:spacing w:beforeLines="100" w:afterLines="100" w:line="240" w:lineRule="auto"/>
        <w:ind w:firstLine="0"/>
        <w:jc w:val="center"/>
        <w:rPr>
          <w:rFonts w:ascii="宋体" w:hAnsi="宋体" w:eastAsia="宋体" w:cs="宋体"/>
          <w:color w:val="auto"/>
          <w:szCs w:val="28"/>
          <w:highlight w:val="none"/>
        </w:rPr>
      </w:pPr>
      <w:bookmarkStart w:id="817" w:name="_Toc388"/>
      <w:r>
        <w:rPr>
          <w:rFonts w:hint="eastAsia" w:ascii="宋体" w:hAnsi="宋体" w:eastAsia="宋体" w:cs="宋体"/>
          <w:color w:val="auto"/>
          <w:szCs w:val="28"/>
          <w:highlight w:val="none"/>
        </w:rPr>
        <w:t xml:space="preserve"> 投标函</w:t>
      </w:r>
      <w:bookmarkEnd w:id="799"/>
      <w:bookmarkEnd w:id="816"/>
      <w:bookmarkEnd w:id="817"/>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采购代理机构  </w:t>
      </w:r>
    </w:p>
    <w:p>
      <w:pPr>
        <w:pStyle w:val="18"/>
        <w:wordWrap w:val="0"/>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我方全面研究了 “</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rPr>
        <w:t>”项目招标文件(项目编号：</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rPr>
        <w:t>)，决定参加贵单位组织的本项目投标。我方授权</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rPr>
        <w:t>(姓名、职务)代表我</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rPr>
        <w:t>(投标单位的名称)全权处理本项目投标的有关事宜。</w:t>
      </w:r>
    </w:p>
    <w:p>
      <w:pPr>
        <w:pStyle w:val="18"/>
        <w:numPr>
          <w:ilvl w:val="0"/>
          <w:numId w:val="10"/>
        </w:numPr>
        <w:wordWrap w:val="0"/>
        <w:spacing w:after="0" w:line="400" w:lineRule="exact"/>
        <w:ind w:left="16" w:leftChars="0" w:firstLine="458" w:firstLineChars="191"/>
        <w:jc w:val="left"/>
        <w:rPr>
          <w:rFonts w:hAnsi="宋体" w:cs="宋体"/>
          <w:bCs/>
          <w:color w:val="auto"/>
          <w:sz w:val="24"/>
          <w:szCs w:val="24"/>
          <w:highlight w:val="none"/>
        </w:rPr>
      </w:pPr>
      <w:r>
        <w:rPr>
          <w:rFonts w:hint="eastAsia" w:hAnsi="宋体" w:cs="宋体"/>
          <w:bCs/>
          <w:color w:val="auto"/>
          <w:sz w:val="24"/>
          <w:szCs w:val="24"/>
          <w:highlight w:val="none"/>
        </w:rPr>
        <w:t>我方自愿按照招标文件规定的各项要求向采购人提供所需服务。</w:t>
      </w:r>
    </w:p>
    <w:p>
      <w:pPr>
        <w:pStyle w:val="18"/>
        <w:wordWrap w:val="0"/>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2、一旦我方中标，我方将严格履行合同规定的责任和义务</w:t>
      </w:r>
      <w:r>
        <w:rPr>
          <w:rFonts w:hint="eastAsia" w:hAnsi="宋体" w:cs="宋体"/>
          <w:bCs/>
          <w:color w:val="auto"/>
          <w:sz w:val="24"/>
          <w:szCs w:val="24"/>
          <w:highlight w:val="none"/>
          <w:lang w:eastAsia="zh-CN"/>
        </w:rPr>
        <w:t>，</w:t>
      </w:r>
      <w:r>
        <w:rPr>
          <w:rFonts w:hint="eastAsia" w:ascii="宋体" w:hAnsi="宋体" w:eastAsia="宋体" w:cs="宋体"/>
          <w:bCs/>
          <w:color w:val="auto"/>
          <w:sz w:val="24"/>
        </w:rPr>
        <w:t>按采购人要求时间完成项目规定的所有服务内容</w:t>
      </w:r>
      <w:r>
        <w:rPr>
          <w:rFonts w:hint="eastAsia" w:hAnsi="宋体" w:cs="宋体"/>
          <w:bCs/>
          <w:color w:val="auto"/>
          <w:sz w:val="24"/>
          <w:szCs w:val="24"/>
          <w:highlight w:val="none"/>
        </w:rPr>
        <w:t xml:space="preserve">。   </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3、我方承诺：投标有效期为提交投标文件的截止之日起90天。</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我方承诺在投标文件响应以外，包括采购过程中和合同履约、项目验收等过程中完全接受和满足本项目招标文件明确规定了为实质性内容，但在符合性审查事项表格中未列明的实质性要求事项（如采购预算、最高限价、无偿或低于成本价不正当竞争预防措施、进口产品（如涉及）、合格的投标人、投标费用、充分、公平竞争保障措施、投标文件的语言、计量单位、投标货币、知识产权、投标有效期、合同分包、合同转包、履约保证金等实质性要求等）。</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5、我方愿意提供贵公司可能另外要求的，与投标有关的文件资料，并保证我方已提供和将要提供的文件资料是真实、准确的。</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6、我方完全理解采购人不一定将合同授予最低报价的投标人的行为。</w:t>
      </w:r>
    </w:p>
    <w:p>
      <w:pPr>
        <w:pStyle w:val="18"/>
        <w:spacing w:after="0" w:line="400" w:lineRule="exact"/>
        <w:ind w:left="0" w:leftChars="0" w:firstLine="480" w:firstLineChars="200"/>
        <w:jc w:val="left"/>
        <w:rPr>
          <w:rFonts w:hAnsi="宋体" w:cs="宋体"/>
          <w:bCs/>
          <w:color w:val="auto"/>
          <w:sz w:val="24"/>
          <w:szCs w:val="24"/>
          <w:highlight w:val="none"/>
        </w:rPr>
      </w:pP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投标人名称：(盖章)</w:t>
      </w:r>
    </w:p>
    <w:p>
      <w:pPr>
        <w:pStyle w:val="18"/>
        <w:spacing w:after="0" w:line="400" w:lineRule="exact"/>
        <w:ind w:left="0" w:leftChars="0"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通讯地址：</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邮政编码：</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传    真：</w:t>
      </w:r>
    </w:p>
    <w:p>
      <w:pPr>
        <w:pStyle w:val="18"/>
        <w:spacing w:after="0" w:line="400" w:lineRule="exact"/>
        <w:ind w:left="0" w:leftChars="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日</w:t>
      </w:r>
      <w:r>
        <w:rPr>
          <w:rFonts w:hint="eastAsia" w:hAnsi="宋体" w:cs="宋体"/>
          <w:bCs/>
          <w:color w:val="auto"/>
          <w:sz w:val="24"/>
          <w:szCs w:val="24"/>
          <w:highlight w:val="none"/>
          <w:lang w:val="en-US" w:eastAsia="zh-CN"/>
        </w:rPr>
        <w:t xml:space="preserve">    </w:t>
      </w:r>
      <w:r>
        <w:rPr>
          <w:rFonts w:hint="eastAsia" w:hAnsi="宋体" w:cs="宋体"/>
          <w:bCs/>
          <w:color w:val="auto"/>
          <w:sz w:val="24"/>
          <w:szCs w:val="24"/>
          <w:highlight w:val="none"/>
        </w:rPr>
        <w:t>期：</w:t>
      </w:r>
    </w:p>
    <w:p>
      <w:pPr>
        <w:pStyle w:val="4"/>
        <w:jc w:val="center"/>
        <w:rPr>
          <w:rFonts w:hint="eastAsia" w:eastAsia="宋体"/>
          <w:color w:val="auto"/>
          <w:highlight w:val="none"/>
          <w:lang w:eastAsia="zh-CN"/>
        </w:rPr>
      </w:pPr>
      <w:bookmarkStart w:id="818" w:name="_Toc1650"/>
      <w:r>
        <w:rPr>
          <w:rFonts w:hint="eastAsia" w:ascii="宋体" w:hAnsi="宋体" w:eastAsia="宋体" w:cs="宋体"/>
          <w:color w:val="auto"/>
          <w:highlight w:val="none"/>
        </w:rPr>
        <w:br w:type="page"/>
      </w:r>
      <w:bookmarkEnd w:id="818"/>
      <w:r>
        <w:rPr>
          <w:rFonts w:hint="eastAsia" w:ascii="宋体" w:hAnsi="宋体" w:eastAsia="宋体" w:cs="宋体"/>
          <w:color w:val="auto"/>
          <w:highlight w:val="none"/>
        </w:rPr>
        <w:t>（二）</w:t>
      </w:r>
      <w:r>
        <w:rPr>
          <w:rFonts w:hint="eastAsia" w:eastAsia="宋体"/>
          <w:color w:val="auto"/>
          <w:highlight w:val="none"/>
          <w:lang w:eastAsia="zh-CN"/>
        </w:rPr>
        <w:t>报价一览表</w:t>
      </w:r>
    </w:p>
    <w:tbl>
      <w:tblPr>
        <w:tblStyle w:val="35"/>
        <w:tblW w:w="0" w:type="auto"/>
        <w:jc w:val="center"/>
        <w:tblLayout w:type="fixed"/>
        <w:tblCellMar>
          <w:top w:w="0" w:type="dxa"/>
          <w:left w:w="108" w:type="dxa"/>
          <w:bottom w:w="0" w:type="dxa"/>
          <w:right w:w="108" w:type="dxa"/>
        </w:tblCellMar>
      </w:tblPr>
      <w:tblGrid>
        <w:gridCol w:w="1951"/>
        <w:gridCol w:w="7088"/>
      </w:tblGrid>
      <w:tr>
        <w:tblPrEx>
          <w:tblCellMar>
            <w:top w:w="0" w:type="dxa"/>
            <w:left w:w="108" w:type="dxa"/>
            <w:bottom w:w="0" w:type="dxa"/>
            <w:right w:w="108" w:type="dxa"/>
          </w:tblCellMar>
        </w:tblPrEx>
        <w:trPr>
          <w:trHeight w:val="886"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bookmarkStart w:id="819" w:name="_Toc26795"/>
            <w:bookmarkStart w:id="820" w:name="_Toc7728"/>
            <w:bookmarkStart w:id="821" w:name="_Toc23742"/>
            <w:r>
              <w:rPr>
                <w:rFonts w:hint="eastAsia" w:ascii="宋体" w:hAnsi="宋体" w:eastAsia="宋体" w:cs="宋体"/>
                <w:color w:val="auto"/>
                <w:sz w:val="24"/>
              </w:rPr>
              <w:t>项目名称</w:t>
            </w:r>
          </w:p>
        </w:tc>
        <w:tc>
          <w:tcPr>
            <w:tcW w:w="7088" w:type="dxa"/>
            <w:tcBorders>
              <w:top w:val="single" w:color="auto" w:sz="4" w:space="0"/>
              <w:left w:val="nil"/>
              <w:bottom w:val="single" w:color="auto" w:sz="4" w:space="0"/>
              <w:right w:val="single" w:color="auto" w:sz="4" w:space="0"/>
            </w:tcBorders>
            <w:noWrap w:val="0"/>
            <w:vAlign w:val="center"/>
          </w:tcPr>
          <w:p>
            <w:pPr>
              <w:ind w:right="51" w:rightChars="15" w:firstLine="480" w:firstLineChars="200"/>
              <w:rPr>
                <w:rFonts w:hint="eastAsia" w:ascii="宋体" w:hAnsi="宋体" w:eastAsia="宋体" w:cs="宋体"/>
                <w:color w:val="auto"/>
                <w:sz w:val="24"/>
              </w:rPr>
            </w:pPr>
          </w:p>
        </w:tc>
      </w:tr>
      <w:tr>
        <w:tblPrEx>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项目编号</w:t>
            </w:r>
          </w:p>
        </w:tc>
        <w:tc>
          <w:tcPr>
            <w:tcW w:w="708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auto"/>
                <w:sz w:val="24"/>
              </w:rPr>
            </w:pPr>
          </w:p>
        </w:tc>
      </w:tr>
      <w:tr>
        <w:tblPrEx>
          <w:tblCellMar>
            <w:top w:w="0" w:type="dxa"/>
            <w:left w:w="108" w:type="dxa"/>
            <w:bottom w:w="0" w:type="dxa"/>
            <w:right w:w="108" w:type="dxa"/>
          </w:tblCellMar>
        </w:tblPrEx>
        <w:trPr>
          <w:trHeight w:val="892" w:hRule="atLeast"/>
          <w:jc w:val="center"/>
        </w:trPr>
        <w:tc>
          <w:tcPr>
            <w:tcW w:w="195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服务内容</w:t>
            </w:r>
          </w:p>
        </w:tc>
        <w:tc>
          <w:tcPr>
            <w:tcW w:w="7088" w:type="dxa"/>
            <w:tcBorders>
              <w:top w:val="single" w:color="auto" w:sz="4" w:space="0"/>
              <w:left w:val="nil"/>
              <w:right w:val="single" w:color="auto" w:sz="4" w:space="0"/>
            </w:tcBorders>
            <w:noWrap w:val="0"/>
            <w:vAlign w:val="center"/>
          </w:tcPr>
          <w:p>
            <w:pPr>
              <w:widowControl/>
              <w:rPr>
                <w:rFonts w:hint="eastAsia" w:ascii="宋体" w:hAnsi="宋体" w:eastAsia="宋体" w:cs="宋体"/>
                <w:color w:val="auto"/>
                <w:sz w:val="24"/>
              </w:rPr>
            </w:pPr>
          </w:p>
        </w:tc>
      </w:tr>
      <w:tr>
        <w:tblPrEx>
          <w:tblCellMar>
            <w:top w:w="0" w:type="dxa"/>
            <w:left w:w="108" w:type="dxa"/>
            <w:bottom w:w="0" w:type="dxa"/>
            <w:right w:w="108" w:type="dxa"/>
          </w:tblCellMar>
        </w:tblPrEx>
        <w:trPr>
          <w:trHeight w:val="908"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lang w:eastAsia="zh-CN"/>
              </w:rPr>
            </w:pPr>
            <w:r>
              <w:rPr>
                <w:rFonts w:hint="eastAsia" w:hAnsi="宋体" w:cs="宋体"/>
                <w:color w:val="auto"/>
                <w:sz w:val="24"/>
                <w:lang w:eastAsia="zh-CN"/>
              </w:rPr>
              <w:t>服务期限</w:t>
            </w:r>
          </w:p>
        </w:tc>
        <w:tc>
          <w:tcPr>
            <w:tcW w:w="708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auto"/>
                <w:sz w:val="24"/>
              </w:rPr>
            </w:pPr>
            <w:r>
              <w:rPr>
                <w:rFonts w:hint="eastAsia" w:ascii="宋体" w:hAnsi="宋体" w:eastAsia="宋体" w:cs="宋体"/>
                <w:color w:val="auto"/>
                <w:sz w:val="24"/>
                <w:lang w:val="en-US" w:eastAsia="zh-CN"/>
              </w:rPr>
              <w:t>三年，合同一年一签。</w:t>
            </w:r>
          </w:p>
        </w:tc>
      </w:tr>
      <w:tr>
        <w:tblPrEx>
          <w:tblCellMar>
            <w:top w:w="0" w:type="dxa"/>
            <w:left w:w="108" w:type="dxa"/>
            <w:bottom w:w="0" w:type="dxa"/>
            <w:right w:w="108" w:type="dxa"/>
          </w:tblCellMar>
        </w:tblPrEx>
        <w:trPr>
          <w:trHeight w:val="1423"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投标报价</w:t>
            </w:r>
          </w:p>
        </w:tc>
        <w:tc>
          <w:tcPr>
            <w:tcW w:w="708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bCs/>
                <w:color w:val="auto"/>
                <w:sz w:val="24"/>
              </w:rPr>
            </w:pPr>
            <w:r>
              <w:rPr>
                <w:rFonts w:hint="eastAsia" w:ascii="宋体" w:hAnsi="宋体" w:eastAsia="宋体" w:cs="宋体"/>
                <w:color w:val="auto"/>
                <w:sz w:val="24"/>
                <w:highlight w:val="yellow"/>
              </w:rPr>
              <w:t>人民币：</w:t>
            </w:r>
            <w:r>
              <w:rPr>
                <w:rFonts w:hint="eastAsia" w:ascii="宋体" w:hAnsi="宋体" w:eastAsia="宋体" w:cs="宋体"/>
                <w:color w:val="auto"/>
                <w:sz w:val="24"/>
                <w:highlight w:val="yellow"/>
                <w:u w:val="single"/>
              </w:rPr>
              <w:t xml:space="preserve">             </w:t>
            </w:r>
            <w:r>
              <w:rPr>
                <w:rFonts w:hint="eastAsia" w:ascii="宋体" w:hAnsi="宋体" w:eastAsia="宋体" w:cs="宋体"/>
                <w:bCs/>
                <w:color w:val="auto"/>
                <w:sz w:val="24"/>
                <w:highlight w:val="yellow"/>
                <w:u w:val="none"/>
              </w:rPr>
              <w:t>元</w:t>
            </w:r>
            <w:r>
              <w:rPr>
                <w:rFonts w:hint="eastAsia" w:hAnsi="宋体" w:cs="宋体"/>
                <w:bCs/>
                <w:color w:val="auto"/>
                <w:sz w:val="24"/>
                <w:highlight w:val="yellow"/>
                <w:u w:val="none"/>
                <w:lang w:val="en-US" w:eastAsia="zh-CN"/>
              </w:rPr>
              <w:t>/吨</w:t>
            </w:r>
            <w:r>
              <w:rPr>
                <w:rFonts w:hint="eastAsia" w:ascii="宋体" w:hAnsi="宋体" w:eastAsia="宋体" w:cs="宋体"/>
                <w:color w:val="auto"/>
                <w:sz w:val="24"/>
                <w:highlight w:val="yellow"/>
              </w:rPr>
              <w:t>（大写：</w:t>
            </w:r>
            <w:r>
              <w:rPr>
                <w:rFonts w:hint="eastAsia" w:ascii="宋体" w:hAnsi="宋体" w:eastAsia="宋体" w:cs="宋体"/>
                <w:color w:val="auto"/>
                <w:sz w:val="24"/>
                <w:highlight w:val="yellow"/>
                <w:u w:val="single"/>
              </w:rPr>
              <w:t xml:space="preserve">               </w:t>
            </w:r>
            <w:r>
              <w:rPr>
                <w:rFonts w:hint="eastAsia" w:ascii="宋体" w:hAnsi="宋体" w:eastAsia="宋体" w:cs="宋体"/>
                <w:color w:val="auto"/>
                <w:sz w:val="24"/>
                <w:highlight w:val="yellow"/>
              </w:rPr>
              <w:t>）</w:t>
            </w:r>
          </w:p>
        </w:tc>
      </w:tr>
    </w:tbl>
    <w:p>
      <w:pPr>
        <w:spacing w:line="360" w:lineRule="auto"/>
        <w:ind w:left="840" w:hanging="840" w:hangingChars="350"/>
        <w:jc w:val="left"/>
        <w:rPr>
          <w:rFonts w:hint="eastAsia" w:ascii="宋体" w:hAnsi="宋体" w:eastAsia="宋体" w:cs="宋体"/>
          <w:color w:val="auto"/>
          <w:sz w:val="24"/>
        </w:rPr>
      </w:pPr>
      <w:r>
        <w:rPr>
          <w:rFonts w:hint="eastAsia" w:ascii="宋体" w:hAnsi="宋体" w:eastAsia="宋体" w:cs="宋体"/>
          <w:color w:val="auto"/>
          <w:sz w:val="24"/>
        </w:rPr>
        <w:t>注：1</w:t>
      </w:r>
      <w:r>
        <w:rPr>
          <w:rFonts w:hint="eastAsia" w:ascii="宋体" w:hAnsi="宋体" w:eastAsia="宋体" w:cs="宋体"/>
          <w:color w:val="auto"/>
          <w:sz w:val="24"/>
          <w:highlight w:val="yellow"/>
        </w:rPr>
        <w:t>.投标报价</w:t>
      </w:r>
      <w:r>
        <w:rPr>
          <w:rFonts w:hint="eastAsia" w:hAnsi="宋体" w:cs="宋体"/>
          <w:color w:val="auto"/>
          <w:sz w:val="24"/>
          <w:highlight w:val="yellow"/>
          <w:lang w:eastAsia="zh-CN"/>
        </w:rPr>
        <w:t>只报单价</w:t>
      </w:r>
      <w:r>
        <w:rPr>
          <w:rFonts w:hint="eastAsia" w:ascii="宋体" w:hAnsi="宋体" w:eastAsia="宋体" w:cs="宋体"/>
          <w:color w:val="auto"/>
          <w:sz w:val="24"/>
          <w:highlight w:val="yellow"/>
        </w:rPr>
        <w:t>。</w:t>
      </w:r>
      <w:r>
        <w:rPr>
          <w:rFonts w:hint="eastAsia" w:ascii="宋体" w:hAnsi="宋体" w:eastAsia="宋体" w:cs="宋体"/>
          <w:color w:val="auto"/>
          <w:sz w:val="24"/>
        </w:rPr>
        <w:t xml:space="preserve"> </w:t>
      </w:r>
    </w:p>
    <w:p>
      <w:pPr>
        <w:spacing w:line="360" w:lineRule="auto"/>
        <w:ind w:left="840" w:hanging="840" w:hangingChars="35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hAnsi="宋体" w:cs="宋体"/>
          <w:color w:val="auto"/>
          <w:sz w:val="24"/>
          <w:lang w:eastAsia="zh-CN"/>
        </w:rPr>
        <w:t>报价一览表</w:t>
      </w:r>
      <w:r>
        <w:rPr>
          <w:rFonts w:hint="eastAsia" w:ascii="宋体" w:hAnsi="宋体" w:eastAsia="宋体" w:cs="宋体"/>
          <w:color w:val="auto"/>
          <w:sz w:val="24"/>
        </w:rPr>
        <w:t>”为多页的，每页均需盖投标人印章。</w:t>
      </w:r>
    </w:p>
    <w:p>
      <w:pPr>
        <w:spacing w:line="360" w:lineRule="auto"/>
        <w:ind w:left="840" w:hanging="840" w:hangingChars="35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hAnsi="宋体" w:cs="宋体"/>
          <w:color w:val="auto"/>
          <w:sz w:val="24"/>
          <w:lang w:eastAsia="zh-CN"/>
        </w:rPr>
        <w:t>.</w:t>
      </w:r>
      <w:r>
        <w:rPr>
          <w:rFonts w:hint="eastAsia" w:ascii="宋体" w:hAnsi="宋体" w:eastAsia="宋体" w:cs="宋体"/>
          <w:color w:val="auto"/>
          <w:sz w:val="24"/>
        </w:rPr>
        <w:t>“</w:t>
      </w:r>
      <w:r>
        <w:rPr>
          <w:rFonts w:hint="eastAsia" w:hAnsi="宋体" w:cs="宋体"/>
          <w:color w:val="auto"/>
          <w:sz w:val="24"/>
          <w:lang w:eastAsia="zh-CN"/>
        </w:rPr>
        <w:t>报价一览表</w:t>
      </w:r>
      <w:r>
        <w:rPr>
          <w:rFonts w:hint="eastAsia" w:ascii="宋体" w:hAnsi="宋体" w:eastAsia="宋体" w:cs="宋体"/>
          <w:color w:val="auto"/>
          <w:sz w:val="24"/>
        </w:rPr>
        <w:t>”以包为单位填写。</w:t>
      </w:r>
    </w:p>
    <w:p>
      <w:pPr>
        <w:spacing w:line="360" w:lineRule="auto"/>
        <w:ind w:left="0" w:leftChars="0" w:firstLine="0" w:firstLineChars="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hAnsi="宋体" w:cs="宋体"/>
          <w:color w:val="auto"/>
          <w:sz w:val="24"/>
          <w:lang w:eastAsia="zh-CN"/>
        </w:rPr>
        <w:t>.</w:t>
      </w:r>
      <w:r>
        <w:rPr>
          <w:rFonts w:hint="eastAsia" w:ascii="宋体" w:hAnsi="宋体" w:eastAsia="宋体" w:cs="宋体"/>
          <w:color w:val="auto"/>
          <w:sz w:val="24"/>
        </w:rPr>
        <w:t>以上表格如不能完全表达清楚投标人认为必要的费用明细，投标人可在符合表格内容要求之上自行补充。</w:t>
      </w:r>
    </w:p>
    <w:p>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投标人名称：        （盖章）</w:t>
      </w:r>
    </w:p>
    <w:p>
      <w:pPr>
        <w:widowControl/>
        <w:spacing w:line="360" w:lineRule="atLeast"/>
        <w:ind w:firstLine="470" w:firstLineChars="196"/>
        <w:jc w:val="left"/>
        <w:outlineLvl w:val="1"/>
        <w:rPr>
          <w:rFonts w:hint="eastAsia" w:ascii="宋体" w:hAnsi="宋体" w:eastAsia="宋体" w:cs="宋体"/>
          <w:color w:val="auto"/>
          <w:sz w:val="24"/>
        </w:rPr>
      </w:pPr>
      <w:r>
        <w:rPr>
          <w:rFonts w:hint="eastAsia" w:ascii="宋体" w:hAnsi="宋体" w:eastAsia="宋体" w:cs="宋体"/>
          <w:color w:val="auto"/>
          <w:sz w:val="24"/>
        </w:rPr>
        <w:t>日    期：      年   月   日</w:t>
      </w:r>
    </w:p>
    <w:bookmarkEnd w:id="819"/>
    <w:bookmarkEnd w:id="820"/>
    <w:bookmarkEnd w:id="821"/>
    <w:p>
      <w:pPr>
        <w:rPr>
          <w:rFonts w:ascii="宋体" w:hAnsi="宋体" w:eastAsia="宋体" w:cs="宋体"/>
          <w:color w:val="auto"/>
          <w:szCs w:val="28"/>
          <w:highlight w:val="none"/>
        </w:rPr>
      </w:pPr>
      <w:bookmarkStart w:id="822" w:name="_Toc439161752"/>
      <w:bookmarkStart w:id="823" w:name="_Toc302997926"/>
      <w:r>
        <w:rPr>
          <w:rFonts w:hint="eastAsia" w:ascii="宋体" w:hAnsi="宋体" w:eastAsia="宋体" w:cs="宋体"/>
          <w:color w:val="auto"/>
          <w:sz w:val="28"/>
          <w:szCs w:val="28"/>
          <w:highlight w:val="none"/>
        </w:rPr>
        <w:br w:type="page"/>
      </w:r>
      <w:bookmarkStart w:id="824" w:name="_Toc6982"/>
      <w:bookmarkStart w:id="825" w:name="_Toc3690"/>
      <w:bookmarkStart w:id="826" w:name="_Toc5912"/>
      <w:bookmarkStart w:id="827" w:name="_Toc20845"/>
      <w:r>
        <w:rPr>
          <w:rFonts w:hint="eastAsia" w:ascii="宋体" w:hAnsi="宋体" w:eastAsia="宋体" w:cs="宋体"/>
          <w:color w:val="auto"/>
          <w:sz w:val="28"/>
          <w:szCs w:val="28"/>
          <w:highlight w:val="none"/>
        </w:rPr>
        <w:t>（</w:t>
      </w:r>
      <w:r>
        <w:rPr>
          <w:rFonts w:hint="eastAsia" w:hAnsi="宋体" w:cs="宋体"/>
          <w:color w:val="auto"/>
          <w:sz w:val="28"/>
          <w:szCs w:val="28"/>
          <w:highlight w:val="none"/>
          <w:lang w:val="en-US" w:eastAsia="zh-CN"/>
        </w:rPr>
        <w:t>三</w:t>
      </w:r>
      <w:r>
        <w:rPr>
          <w:rFonts w:hint="eastAsia" w:ascii="宋体" w:hAnsi="宋体" w:eastAsia="宋体" w:cs="宋体"/>
          <w:color w:val="auto"/>
          <w:sz w:val="28"/>
          <w:szCs w:val="28"/>
          <w:highlight w:val="none"/>
        </w:rPr>
        <w:t>）</w:t>
      </w:r>
      <w:r>
        <w:rPr>
          <w:rFonts w:hint="eastAsia" w:ascii="宋体" w:hAnsi="宋体" w:eastAsia="宋体" w:cs="宋体"/>
          <w:color w:val="auto"/>
          <w:sz w:val="30"/>
          <w:szCs w:val="30"/>
          <w:highlight w:val="none"/>
        </w:rPr>
        <w:t>投</w:t>
      </w:r>
      <w:r>
        <w:rPr>
          <w:rFonts w:hint="eastAsia" w:ascii="宋体" w:hAnsi="宋体" w:eastAsia="宋体" w:cs="宋体"/>
          <w:color w:val="auto"/>
          <w:szCs w:val="28"/>
          <w:highlight w:val="none"/>
        </w:rPr>
        <w:t>标人基本情况表</w:t>
      </w:r>
      <w:bookmarkEnd w:id="822"/>
      <w:bookmarkEnd w:id="823"/>
      <w:bookmarkEnd w:id="824"/>
      <w:bookmarkEnd w:id="825"/>
      <w:bookmarkEnd w:id="826"/>
      <w:bookmarkEnd w:id="827"/>
    </w:p>
    <w:tbl>
      <w:tblPr>
        <w:tblStyle w:val="3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228"/>
        <w:gridCol w:w="334"/>
        <w:gridCol w:w="43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投标人名称</w:t>
            </w:r>
          </w:p>
        </w:tc>
        <w:tc>
          <w:tcPr>
            <w:tcW w:w="7524" w:type="dxa"/>
            <w:gridSpan w:val="7"/>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注册地址</w:t>
            </w:r>
          </w:p>
        </w:tc>
        <w:tc>
          <w:tcPr>
            <w:tcW w:w="4012"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邮政编码</w:t>
            </w:r>
          </w:p>
        </w:tc>
        <w:tc>
          <w:tcPr>
            <w:tcW w:w="2284"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联系人</w:t>
            </w:r>
          </w:p>
        </w:tc>
        <w:tc>
          <w:tcPr>
            <w:tcW w:w="288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电话</w:t>
            </w:r>
          </w:p>
        </w:tc>
        <w:tc>
          <w:tcPr>
            <w:tcW w:w="2284"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传真</w:t>
            </w:r>
          </w:p>
        </w:tc>
        <w:tc>
          <w:tcPr>
            <w:tcW w:w="288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网址</w:t>
            </w:r>
          </w:p>
        </w:tc>
        <w:tc>
          <w:tcPr>
            <w:tcW w:w="2284"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组织结构</w:t>
            </w:r>
          </w:p>
        </w:tc>
        <w:tc>
          <w:tcPr>
            <w:tcW w:w="7524" w:type="dxa"/>
            <w:gridSpan w:val="7"/>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法定代表人</w:t>
            </w: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1432"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技术职称</w:t>
            </w: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767"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电话</w:t>
            </w:r>
          </w:p>
        </w:tc>
        <w:tc>
          <w:tcPr>
            <w:tcW w:w="1517" w:type="dxa"/>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技术负责人</w:t>
            </w: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1432"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技术职称</w:t>
            </w: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767"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电话</w:t>
            </w:r>
          </w:p>
        </w:tc>
        <w:tc>
          <w:tcPr>
            <w:tcW w:w="1517" w:type="dxa"/>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成立时间</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4967" w:type="dxa"/>
            <w:gridSpan w:val="5"/>
            <w:vAlign w:val="center"/>
          </w:tcPr>
          <w:p>
            <w:pPr>
              <w:autoSpaceDE w:val="0"/>
              <w:autoSpaceDN w:val="0"/>
              <w:adjustRightInd w:val="0"/>
              <w:spacing w:line="400" w:lineRule="exact"/>
              <w:ind w:firstLine="1470" w:firstLineChars="700"/>
              <w:rPr>
                <w:rFonts w:hAnsi="宋体" w:cs="宋体"/>
                <w:color w:val="auto"/>
                <w:sz w:val="21"/>
                <w:szCs w:val="21"/>
                <w:highlight w:val="none"/>
              </w:rPr>
            </w:pPr>
            <w:r>
              <w:rPr>
                <w:rFonts w:hint="eastAsia" w:hAnsi="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企业资质等级</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restart"/>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其中</w:t>
            </w: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项目经理</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营业执照号/统一社会信用代码</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高级职称人员</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注册资金</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中级职称人员</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开户银行</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初级职称人员</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账号</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技工</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经营范围</w:t>
            </w:r>
          </w:p>
        </w:tc>
        <w:tc>
          <w:tcPr>
            <w:tcW w:w="7524" w:type="dxa"/>
            <w:gridSpan w:val="7"/>
            <w:vAlign w:val="center"/>
          </w:tcPr>
          <w:p>
            <w:pPr>
              <w:autoSpaceDE w:val="0"/>
              <w:autoSpaceDN w:val="0"/>
              <w:adjustRightInd w:val="0"/>
              <w:spacing w:line="400" w:lineRule="exact"/>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备注</w:t>
            </w:r>
          </w:p>
        </w:tc>
        <w:tc>
          <w:tcPr>
            <w:tcW w:w="7524" w:type="dxa"/>
            <w:gridSpan w:val="7"/>
          </w:tcPr>
          <w:p>
            <w:pPr>
              <w:autoSpaceDE w:val="0"/>
              <w:autoSpaceDN w:val="0"/>
              <w:adjustRightInd w:val="0"/>
              <w:spacing w:line="400" w:lineRule="exact"/>
              <w:jc w:val="left"/>
              <w:rPr>
                <w:rFonts w:hAnsi="宋体" w:cs="宋体"/>
                <w:color w:val="auto"/>
                <w:sz w:val="21"/>
                <w:szCs w:val="21"/>
                <w:highlight w:val="none"/>
              </w:rPr>
            </w:pPr>
          </w:p>
        </w:tc>
      </w:tr>
    </w:tbl>
    <w:p>
      <w:pPr>
        <w:adjustRightInd w:val="0"/>
        <w:spacing w:line="400" w:lineRule="exact"/>
        <w:ind w:firstLine="482" w:firstLineChars="200"/>
        <w:jc w:val="left"/>
        <w:rPr>
          <w:rFonts w:hAnsi="宋体" w:cs="宋体"/>
          <w:b/>
          <w:color w:val="auto"/>
          <w:kern w:val="2"/>
          <w:sz w:val="24"/>
          <w:szCs w:val="24"/>
          <w:highlight w:val="none"/>
        </w:rPr>
      </w:pPr>
      <w:r>
        <w:rPr>
          <w:rFonts w:hint="eastAsia" w:hAnsi="宋体" w:cs="宋体"/>
          <w:b/>
          <w:color w:val="auto"/>
          <w:sz w:val="24"/>
          <w:szCs w:val="24"/>
          <w:highlight w:val="none"/>
        </w:rPr>
        <w:t>注：</w:t>
      </w:r>
      <w:r>
        <w:rPr>
          <w:rFonts w:hint="eastAsia" w:hAnsi="宋体" w:cs="宋体"/>
          <w:b/>
          <w:color w:val="auto"/>
          <w:kern w:val="2"/>
          <w:sz w:val="24"/>
          <w:szCs w:val="24"/>
          <w:highlight w:val="none"/>
        </w:rPr>
        <w:t>投标人根据自身实际情况填写，对不涉及的内容可填写“/”，不影响投标资质及效力。</w:t>
      </w: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9"/>
        <w:ind w:firstLine="487" w:firstLineChars="202"/>
        <w:rPr>
          <w:rFonts w:ascii="宋体" w:hAnsi="宋体" w:cs="宋体"/>
          <w:b/>
          <w:color w:val="auto"/>
          <w:sz w:val="24"/>
          <w:szCs w:val="24"/>
          <w:highlight w:val="none"/>
        </w:rPr>
      </w:pPr>
    </w:p>
    <w:p>
      <w:pPr>
        <w:pStyle w:val="4"/>
        <w:spacing w:beforeLines="100" w:afterLines="100" w:line="240" w:lineRule="auto"/>
        <w:jc w:val="center"/>
        <w:rPr>
          <w:rFonts w:ascii="宋体" w:hAnsi="宋体" w:eastAsia="宋体" w:cs="宋体"/>
          <w:color w:val="auto"/>
          <w:szCs w:val="28"/>
          <w:highlight w:val="none"/>
        </w:rPr>
      </w:pPr>
      <w:bookmarkStart w:id="828" w:name="_Toc372"/>
      <w:bookmarkStart w:id="829" w:name="_Toc21006"/>
      <w:bookmarkStart w:id="830" w:name="_Toc217446087"/>
      <w:bookmarkStart w:id="831" w:name="_Toc7835"/>
      <w:bookmarkStart w:id="832" w:name="_Toc307501130"/>
      <w:bookmarkStart w:id="833" w:name="_Toc25577"/>
      <w:bookmarkStart w:id="834" w:name="_Toc319440166"/>
      <w:bookmarkStart w:id="835" w:name="_Toc327196310"/>
      <w:bookmarkStart w:id="836" w:name="_Toc307564875"/>
      <w:bookmarkStart w:id="837" w:name="_Toc26124"/>
      <w:bookmarkStart w:id="838" w:name="_Toc24507"/>
      <w:bookmarkStart w:id="839" w:name="_Toc319440168"/>
      <w:bookmarkStart w:id="840" w:name="_Toc327196312"/>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四</w:t>
      </w:r>
      <w:r>
        <w:rPr>
          <w:rFonts w:hint="eastAsia" w:ascii="宋体" w:hAnsi="宋体" w:eastAsia="宋体" w:cs="宋体"/>
          <w:color w:val="auto"/>
          <w:szCs w:val="28"/>
          <w:highlight w:val="none"/>
        </w:rPr>
        <w:t>）商务应答表</w:t>
      </w:r>
      <w:bookmarkEnd w:id="828"/>
      <w:bookmarkEnd w:id="829"/>
      <w:bookmarkEnd w:id="830"/>
      <w:bookmarkEnd w:id="831"/>
      <w:bookmarkEnd w:id="832"/>
      <w:bookmarkEnd w:id="833"/>
      <w:bookmarkEnd w:id="834"/>
      <w:bookmarkEnd w:id="835"/>
      <w:bookmarkEnd w:id="836"/>
    </w:p>
    <w:p>
      <w:pPr>
        <w:wordWrap w:val="0"/>
        <w:spacing w:line="400" w:lineRule="exact"/>
        <w:rPr>
          <w:rFonts w:hAnsi="宋体" w:cs="宋体"/>
          <w:b/>
          <w:bCs/>
          <w:color w:val="auto"/>
          <w:sz w:val="24"/>
          <w:szCs w:val="24"/>
          <w:highlight w:val="none"/>
        </w:rPr>
      </w:pPr>
      <w:r>
        <w:rPr>
          <w:rFonts w:hint="eastAsia" w:hAnsi="宋体" w:cs="宋体"/>
          <w:b/>
          <w:bCs/>
          <w:color w:val="auto"/>
          <w:sz w:val="24"/>
          <w:szCs w:val="24"/>
          <w:highlight w:val="none"/>
        </w:rPr>
        <w:t>项目名称：</w:t>
      </w:r>
    </w:p>
    <w:p>
      <w:pPr>
        <w:pStyle w:val="21"/>
        <w:pBdr>
          <w:bottom w:val="none" w:color="auto" w:sz="0" w:space="0"/>
        </w:pBdr>
        <w:tabs>
          <w:tab w:val="clear" w:pos="4153"/>
          <w:tab w:val="clear" w:pos="8306"/>
        </w:tabs>
        <w:wordWrap w:val="0"/>
        <w:snapToGrid/>
        <w:spacing w:line="400" w:lineRule="exact"/>
        <w:jc w:val="both"/>
        <w:rPr>
          <w:rFonts w:hAnsi="宋体" w:cs="宋体"/>
          <w:b/>
          <w:bCs/>
          <w:color w:val="auto"/>
          <w:sz w:val="24"/>
          <w:szCs w:val="24"/>
          <w:highlight w:val="none"/>
        </w:rPr>
      </w:pPr>
      <w:r>
        <w:rPr>
          <w:rFonts w:hint="eastAsia" w:hAnsi="宋体" w:cs="宋体"/>
          <w:b/>
          <w:bCs/>
          <w:color w:val="auto"/>
          <w:sz w:val="24"/>
          <w:szCs w:val="24"/>
          <w:highlight w:val="none"/>
        </w:rPr>
        <w:t>项目编号：</w:t>
      </w:r>
    </w:p>
    <w:tbl>
      <w:tblPr>
        <w:tblStyle w:val="35"/>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256"/>
        <w:gridCol w:w="355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400" w:lineRule="exact"/>
              <w:rPr>
                <w:rFonts w:hAnsi="宋体" w:cs="宋体"/>
                <w:color w:val="auto"/>
                <w:sz w:val="21"/>
                <w:szCs w:val="21"/>
                <w:highlight w:val="none"/>
              </w:rPr>
            </w:pPr>
            <w:r>
              <w:rPr>
                <w:rFonts w:hint="eastAsia" w:hAnsi="宋体" w:cs="宋体"/>
                <w:color w:val="auto"/>
                <w:sz w:val="21"/>
                <w:szCs w:val="21"/>
                <w:highlight w:val="none"/>
              </w:rPr>
              <w:t>序号</w:t>
            </w:r>
          </w:p>
        </w:tc>
        <w:tc>
          <w:tcPr>
            <w:tcW w:w="3256"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招标要求</w:t>
            </w:r>
          </w:p>
        </w:tc>
        <w:tc>
          <w:tcPr>
            <w:tcW w:w="3550"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投标应答</w:t>
            </w:r>
          </w:p>
        </w:tc>
        <w:tc>
          <w:tcPr>
            <w:tcW w:w="1567"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ind w:left="277" w:hanging="277" w:hangingChars="132"/>
              <w:jc w:val="center"/>
              <w:rPr>
                <w:rFonts w:hAnsi="宋体" w:cs="宋体"/>
                <w:color w:val="auto"/>
                <w:sz w:val="21"/>
                <w:szCs w:val="21"/>
                <w:highlight w:val="none"/>
              </w:rPr>
            </w:pPr>
          </w:p>
        </w:tc>
        <w:tc>
          <w:tcPr>
            <w:tcW w:w="1567" w:type="dxa"/>
          </w:tcPr>
          <w:p>
            <w:pPr>
              <w:spacing w:line="400" w:lineRule="exact"/>
              <w:ind w:left="277" w:hanging="277" w:hangingChars="132"/>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jc w:val="center"/>
              <w:rPr>
                <w:rFonts w:hAnsi="宋体" w:cs="宋体"/>
                <w:color w:val="auto"/>
                <w:sz w:val="21"/>
                <w:szCs w:val="21"/>
                <w:highlight w:val="none"/>
              </w:rPr>
            </w:pPr>
          </w:p>
        </w:tc>
        <w:tc>
          <w:tcPr>
            <w:tcW w:w="1567"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jc w:val="center"/>
              <w:rPr>
                <w:rFonts w:hAnsi="宋体" w:cs="宋体"/>
                <w:color w:val="auto"/>
                <w:sz w:val="21"/>
                <w:szCs w:val="21"/>
                <w:highlight w:val="none"/>
              </w:rPr>
            </w:pPr>
          </w:p>
        </w:tc>
        <w:tc>
          <w:tcPr>
            <w:tcW w:w="1567"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jc w:val="center"/>
              <w:rPr>
                <w:rFonts w:hAnsi="宋体" w:cs="宋体"/>
                <w:color w:val="auto"/>
                <w:sz w:val="21"/>
                <w:szCs w:val="21"/>
                <w:highlight w:val="none"/>
              </w:rPr>
            </w:pPr>
          </w:p>
        </w:tc>
        <w:tc>
          <w:tcPr>
            <w:tcW w:w="1567" w:type="dxa"/>
          </w:tcPr>
          <w:p>
            <w:pPr>
              <w:spacing w:line="400" w:lineRule="exact"/>
              <w:jc w:val="center"/>
              <w:rPr>
                <w:rFonts w:hAnsi="宋体" w:cs="宋体"/>
                <w:color w:val="auto"/>
                <w:sz w:val="21"/>
                <w:szCs w:val="21"/>
                <w:highlight w:val="none"/>
              </w:rPr>
            </w:pPr>
          </w:p>
        </w:tc>
      </w:tr>
    </w:tbl>
    <w:p>
      <w:pPr>
        <w:spacing w:line="400" w:lineRule="exact"/>
        <w:ind w:firstLine="501" w:firstLineChars="208"/>
        <w:rPr>
          <w:rFonts w:hAnsi="宋体" w:cs="宋体"/>
          <w:b/>
          <w:bCs/>
          <w:color w:val="auto"/>
          <w:sz w:val="24"/>
          <w:szCs w:val="24"/>
          <w:highlight w:val="none"/>
        </w:rPr>
      </w:pPr>
    </w:p>
    <w:p>
      <w:pPr>
        <w:spacing w:line="400" w:lineRule="exact"/>
        <w:ind w:firstLine="501" w:firstLineChars="208"/>
        <w:rPr>
          <w:rFonts w:hAnsi="宋体" w:cs="宋体"/>
          <w:b/>
          <w:bCs/>
          <w:color w:val="auto"/>
          <w:sz w:val="24"/>
          <w:szCs w:val="24"/>
          <w:highlight w:val="none"/>
        </w:rPr>
      </w:pPr>
      <w:r>
        <w:rPr>
          <w:rFonts w:hint="eastAsia" w:hAnsi="宋体" w:cs="宋体"/>
          <w:b/>
          <w:bCs/>
          <w:color w:val="auto"/>
          <w:sz w:val="24"/>
          <w:szCs w:val="24"/>
          <w:highlight w:val="none"/>
        </w:rPr>
        <w:t>注：投标人必须据实填写，不得虚假应答，否则将取消其投标或中标资格。</w:t>
      </w:r>
    </w:p>
    <w:p>
      <w:pPr>
        <w:spacing w:line="400" w:lineRule="exact"/>
        <w:rPr>
          <w:rFonts w:hAnsi="宋体" w:cs="宋体"/>
          <w:color w:val="auto"/>
          <w:sz w:val="24"/>
          <w:szCs w:val="24"/>
          <w:highlight w:val="none"/>
        </w:rPr>
      </w:pPr>
    </w:p>
    <w:p>
      <w:pPr>
        <w:spacing w:line="400" w:lineRule="exact"/>
        <w:rPr>
          <w:rFonts w:hAnsi="宋体" w:cs="宋体"/>
          <w:color w:val="auto"/>
          <w:sz w:val="24"/>
          <w:szCs w:val="24"/>
          <w:highlight w:val="none"/>
        </w:rPr>
      </w:pPr>
    </w:p>
    <w:p>
      <w:pPr>
        <w:adjustRightInd w:val="0"/>
        <w:spacing w:line="400" w:lineRule="exact"/>
        <w:ind w:firstLine="398" w:firstLineChars="166"/>
        <w:jc w:val="left"/>
        <w:rPr>
          <w:rFonts w:hAnsi="宋体" w:cs="宋体"/>
          <w:bCs/>
          <w:color w:val="auto"/>
          <w:sz w:val="24"/>
          <w:szCs w:val="24"/>
          <w:highlight w:val="none"/>
        </w:rPr>
      </w:pPr>
      <w:r>
        <w:rPr>
          <w:rFonts w:hint="eastAsia" w:hAnsi="宋体" w:cs="宋体"/>
          <w:bCs/>
          <w:color w:val="auto"/>
          <w:sz w:val="24"/>
          <w:szCs w:val="24"/>
          <w:highlight w:val="none"/>
        </w:rPr>
        <w:t>投标人名称：(盖章)</w:t>
      </w:r>
    </w:p>
    <w:p>
      <w:pPr>
        <w:adjustRightInd w:val="0"/>
        <w:spacing w:line="400" w:lineRule="exact"/>
        <w:ind w:firstLine="420" w:firstLineChars="175"/>
        <w:jc w:val="left"/>
        <w:rPr>
          <w:rFonts w:hAnsi="宋体" w:cs="宋体"/>
          <w:bCs/>
          <w:color w:val="auto"/>
          <w:sz w:val="24"/>
          <w:szCs w:val="24"/>
          <w:highlight w:val="none"/>
        </w:rPr>
      </w:pPr>
      <w:r>
        <w:rPr>
          <w:rFonts w:hint="eastAsia" w:hAnsi="宋体" w:cs="宋体"/>
          <w:bCs/>
          <w:color w:val="auto"/>
          <w:sz w:val="24"/>
          <w:szCs w:val="24"/>
          <w:highlight w:val="none"/>
        </w:rPr>
        <w:t>日期:</w:t>
      </w:r>
    </w:p>
    <w:p>
      <w:pPr>
        <w:keepNext/>
        <w:keepLines/>
        <w:spacing w:beforeLines="100" w:afterLines="100"/>
        <w:rPr>
          <w:rFonts w:hAnsi="宋体" w:cs="宋体"/>
          <w:color w:val="auto"/>
          <w:szCs w:val="28"/>
          <w:highlight w:val="none"/>
        </w:rPr>
      </w:pPr>
      <w:r>
        <w:rPr>
          <w:rFonts w:hint="eastAsia" w:hAnsi="宋体" w:cs="宋体"/>
          <w:color w:val="auto"/>
          <w:szCs w:val="28"/>
          <w:highlight w:val="none"/>
        </w:rPr>
        <w:br w:type="page"/>
      </w:r>
    </w:p>
    <w:bookmarkEnd w:id="837"/>
    <w:bookmarkEnd w:id="838"/>
    <w:bookmarkEnd w:id="839"/>
    <w:bookmarkEnd w:id="840"/>
    <w:p>
      <w:pPr>
        <w:pStyle w:val="4"/>
        <w:spacing w:beforeLines="100" w:afterLines="100" w:line="240" w:lineRule="auto"/>
        <w:jc w:val="center"/>
        <w:rPr>
          <w:rFonts w:ascii="宋体" w:hAnsi="宋体" w:eastAsia="宋体" w:cs="宋体"/>
          <w:color w:val="auto"/>
          <w:szCs w:val="28"/>
          <w:highlight w:val="none"/>
        </w:rPr>
      </w:pPr>
      <w:bookmarkStart w:id="841" w:name="_Toc14508"/>
      <w:bookmarkStart w:id="842" w:name="_Toc3995"/>
      <w:bookmarkStart w:id="843" w:name="_Toc23376"/>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rPr>
        <w:t>）</w:t>
      </w:r>
      <w:bookmarkEnd w:id="841"/>
      <w:bookmarkEnd w:id="842"/>
      <w:bookmarkEnd w:id="843"/>
      <w:r>
        <w:rPr>
          <w:rFonts w:hint="eastAsia" w:ascii="宋体" w:hAnsi="宋体" w:eastAsia="宋体" w:cs="宋体"/>
          <w:color w:val="auto"/>
          <w:highlight w:val="none"/>
        </w:rPr>
        <w:t>服务应答表</w:t>
      </w:r>
    </w:p>
    <w:p>
      <w:pPr>
        <w:wordWrap w:val="0"/>
        <w:spacing w:line="400" w:lineRule="exact"/>
        <w:rPr>
          <w:rFonts w:hAnsi="宋体" w:cs="宋体"/>
          <w:b/>
          <w:bCs/>
          <w:color w:val="auto"/>
          <w:sz w:val="24"/>
          <w:szCs w:val="24"/>
          <w:highlight w:val="none"/>
        </w:rPr>
      </w:pPr>
      <w:r>
        <w:rPr>
          <w:rFonts w:hint="eastAsia" w:hAnsi="宋体" w:cs="宋体"/>
          <w:b/>
          <w:bCs/>
          <w:color w:val="auto"/>
          <w:sz w:val="24"/>
          <w:szCs w:val="24"/>
          <w:highlight w:val="none"/>
        </w:rPr>
        <w:t>项目名称：</w:t>
      </w:r>
    </w:p>
    <w:p>
      <w:pPr>
        <w:pStyle w:val="21"/>
        <w:pBdr>
          <w:bottom w:val="none" w:color="auto" w:sz="0" w:space="0"/>
        </w:pBdr>
        <w:tabs>
          <w:tab w:val="clear" w:pos="4153"/>
          <w:tab w:val="clear" w:pos="8306"/>
        </w:tabs>
        <w:wordWrap w:val="0"/>
        <w:snapToGrid/>
        <w:spacing w:line="400" w:lineRule="exact"/>
        <w:jc w:val="both"/>
        <w:rPr>
          <w:rFonts w:hAnsi="宋体" w:cs="宋体"/>
          <w:b/>
          <w:bCs/>
          <w:color w:val="auto"/>
          <w:sz w:val="24"/>
          <w:szCs w:val="24"/>
          <w:highlight w:val="none"/>
        </w:rPr>
      </w:pPr>
      <w:r>
        <w:rPr>
          <w:rFonts w:hint="eastAsia" w:hAnsi="宋体" w:cs="宋体"/>
          <w:b/>
          <w:bCs/>
          <w:color w:val="auto"/>
          <w:sz w:val="24"/>
          <w:szCs w:val="24"/>
          <w:highlight w:val="none"/>
        </w:rPr>
        <w:t>项目编号：</w:t>
      </w:r>
    </w:p>
    <w:tbl>
      <w:tblPr>
        <w:tblStyle w:val="35"/>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1" w:type="dxa"/>
            <w:vAlign w:val="center"/>
          </w:tcPr>
          <w:p>
            <w:pPr>
              <w:spacing w:line="400" w:lineRule="exact"/>
              <w:rPr>
                <w:rFonts w:hAnsi="宋体" w:cs="宋体"/>
                <w:color w:val="auto"/>
                <w:sz w:val="21"/>
                <w:szCs w:val="21"/>
                <w:highlight w:val="none"/>
              </w:rPr>
            </w:pPr>
            <w:r>
              <w:rPr>
                <w:rFonts w:hint="eastAsia" w:hAnsi="宋体" w:cs="宋体"/>
                <w:color w:val="auto"/>
                <w:sz w:val="21"/>
                <w:szCs w:val="21"/>
                <w:highlight w:val="none"/>
              </w:rPr>
              <w:t>序号</w:t>
            </w:r>
          </w:p>
        </w:tc>
        <w:tc>
          <w:tcPr>
            <w:tcW w:w="3880"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招标要求</w:t>
            </w:r>
          </w:p>
        </w:tc>
        <w:tc>
          <w:tcPr>
            <w:tcW w:w="3673"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投标应答</w:t>
            </w:r>
          </w:p>
        </w:tc>
        <w:tc>
          <w:tcPr>
            <w:tcW w:w="1631"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ind w:left="277" w:hanging="277" w:hangingChars="132"/>
              <w:jc w:val="center"/>
              <w:rPr>
                <w:rFonts w:hAnsi="宋体" w:cs="宋体"/>
                <w:color w:val="auto"/>
                <w:sz w:val="21"/>
                <w:szCs w:val="21"/>
                <w:highlight w:val="none"/>
              </w:rPr>
            </w:pPr>
          </w:p>
        </w:tc>
        <w:tc>
          <w:tcPr>
            <w:tcW w:w="1631" w:type="dxa"/>
          </w:tcPr>
          <w:p>
            <w:pPr>
              <w:spacing w:line="400" w:lineRule="exact"/>
              <w:ind w:left="277" w:hanging="277" w:hangingChars="132"/>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jc w:val="center"/>
              <w:rPr>
                <w:rFonts w:hAnsi="宋体" w:cs="宋体"/>
                <w:color w:val="auto"/>
                <w:sz w:val="21"/>
                <w:szCs w:val="21"/>
                <w:highlight w:val="none"/>
              </w:rPr>
            </w:pPr>
          </w:p>
        </w:tc>
        <w:tc>
          <w:tcPr>
            <w:tcW w:w="1631"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jc w:val="center"/>
              <w:rPr>
                <w:rFonts w:hAnsi="宋体" w:cs="宋体"/>
                <w:color w:val="auto"/>
                <w:sz w:val="21"/>
                <w:szCs w:val="21"/>
                <w:highlight w:val="none"/>
              </w:rPr>
            </w:pPr>
          </w:p>
        </w:tc>
        <w:tc>
          <w:tcPr>
            <w:tcW w:w="1631"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jc w:val="center"/>
              <w:rPr>
                <w:rFonts w:hAnsi="宋体" w:cs="宋体"/>
                <w:color w:val="auto"/>
                <w:sz w:val="21"/>
                <w:szCs w:val="21"/>
                <w:highlight w:val="none"/>
              </w:rPr>
            </w:pPr>
          </w:p>
        </w:tc>
        <w:tc>
          <w:tcPr>
            <w:tcW w:w="1631" w:type="dxa"/>
          </w:tcPr>
          <w:p>
            <w:pPr>
              <w:spacing w:line="400" w:lineRule="exact"/>
              <w:jc w:val="center"/>
              <w:rPr>
                <w:rFonts w:hAnsi="宋体" w:cs="宋体"/>
                <w:color w:val="auto"/>
                <w:sz w:val="21"/>
                <w:szCs w:val="21"/>
                <w:highlight w:val="none"/>
              </w:rPr>
            </w:pPr>
          </w:p>
        </w:tc>
      </w:tr>
    </w:tbl>
    <w:p>
      <w:pPr>
        <w:widowControl/>
        <w:shd w:val="clear" w:color="auto" w:fill="FFFFFF"/>
        <w:spacing w:line="360" w:lineRule="atLeast"/>
        <w:ind w:firstLine="420"/>
        <w:jc w:val="left"/>
        <w:rPr>
          <w:rFonts w:hAnsi="宋体" w:cs="宋体"/>
          <w:b/>
          <w:bCs/>
          <w:color w:val="auto"/>
          <w:sz w:val="24"/>
          <w:highlight w:val="none"/>
        </w:rPr>
      </w:pPr>
    </w:p>
    <w:p>
      <w:pPr>
        <w:widowControl/>
        <w:shd w:val="clear" w:color="auto" w:fill="FFFFFF"/>
        <w:spacing w:line="360" w:lineRule="atLeast"/>
        <w:ind w:firstLine="472" w:firstLineChars="196"/>
        <w:jc w:val="left"/>
        <w:rPr>
          <w:rFonts w:hAnsi="宋体" w:cs="宋体"/>
          <w:b/>
          <w:bCs/>
          <w:color w:val="auto"/>
          <w:sz w:val="24"/>
          <w:highlight w:val="none"/>
        </w:rPr>
      </w:pPr>
      <w:r>
        <w:rPr>
          <w:rFonts w:hint="eastAsia" w:hAnsi="宋体" w:cs="宋体"/>
          <w:b/>
          <w:bCs/>
          <w:color w:val="auto"/>
          <w:sz w:val="24"/>
          <w:highlight w:val="none"/>
        </w:rPr>
        <w:t>注：</w:t>
      </w:r>
      <w:r>
        <w:rPr>
          <w:rFonts w:hint="eastAsia" w:hAnsi="宋体" w:cs="宋体"/>
          <w:b/>
          <w:bCs/>
          <w:color w:val="auto"/>
          <w:sz w:val="24"/>
          <w:szCs w:val="24"/>
          <w:highlight w:val="none"/>
        </w:rPr>
        <w:t>投标人</w:t>
      </w:r>
      <w:r>
        <w:rPr>
          <w:rFonts w:hint="eastAsia" w:hAnsi="宋体" w:cs="宋体"/>
          <w:b/>
          <w:bCs/>
          <w:color w:val="auto"/>
          <w:sz w:val="24"/>
          <w:highlight w:val="none"/>
        </w:rPr>
        <w:t>必须据实填写，不得虚假填写，否则将取消其投标或中标资格。</w:t>
      </w:r>
    </w:p>
    <w:p>
      <w:pPr>
        <w:widowControl/>
        <w:shd w:val="clear" w:color="auto" w:fill="FFFFFF"/>
        <w:spacing w:line="360" w:lineRule="atLeast"/>
        <w:ind w:firstLine="470" w:firstLineChars="196"/>
        <w:jc w:val="left"/>
        <w:rPr>
          <w:rFonts w:hAnsi="宋体" w:cs="宋体"/>
          <w:color w:val="auto"/>
          <w:sz w:val="24"/>
          <w:highlight w:val="none"/>
        </w:rPr>
      </w:pPr>
    </w:p>
    <w:p>
      <w:pPr>
        <w:widowControl/>
        <w:shd w:val="clear" w:color="auto" w:fill="FFFFFF"/>
        <w:spacing w:line="360" w:lineRule="atLeast"/>
        <w:ind w:firstLine="470" w:firstLineChars="196"/>
        <w:jc w:val="left"/>
        <w:rPr>
          <w:rFonts w:hAnsi="宋体" w:cs="宋体"/>
          <w:color w:val="auto"/>
          <w:sz w:val="24"/>
          <w:highlight w:val="none"/>
        </w:rPr>
      </w:pPr>
    </w:p>
    <w:p>
      <w:pPr>
        <w:widowControl/>
        <w:shd w:val="clear" w:color="auto" w:fill="FFFFFF"/>
        <w:spacing w:line="360" w:lineRule="atLeast"/>
        <w:ind w:firstLine="470" w:firstLineChars="196"/>
        <w:jc w:val="left"/>
        <w:rPr>
          <w:rFonts w:hAnsi="宋体" w:cs="宋体"/>
          <w:color w:val="auto"/>
          <w:sz w:val="24"/>
          <w:highlight w:val="none"/>
        </w:rPr>
      </w:pPr>
    </w:p>
    <w:p>
      <w:pPr>
        <w:adjustRightInd w:val="0"/>
        <w:spacing w:line="4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投标人名称：(盖章)</w:t>
      </w:r>
    </w:p>
    <w:p>
      <w:pPr>
        <w:spacing w:line="400" w:lineRule="exact"/>
        <w:ind w:firstLine="480" w:firstLineChars="200"/>
        <w:rPr>
          <w:rFonts w:hAnsi="宋体" w:cs="宋体"/>
          <w:color w:val="auto"/>
          <w:sz w:val="24"/>
          <w:highlight w:val="none"/>
        </w:rPr>
      </w:pPr>
      <w:r>
        <w:rPr>
          <w:rFonts w:hint="eastAsia" w:hAnsi="宋体" w:cs="宋体"/>
          <w:bCs/>
          <w:color w:val="auto"/>
          <w:sz w:val="24"/>
          <w:szCs w:val="24"/>
          <w:highlight w:val="none"/>
        </w:rPr>
        <w:t>日期:</w:t>
      </w:r>
    </w:p>
    <w:p>
      <w:pPr>
        <w:pStyle w:val="61"/>
        <w:numPr>
          <w:ilvl w:val="4"/>
          <w:numId w:val="0"/>
        </w:numPr>
        <w:outlineLvl w:val="9"/>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rPr>
          <w:rFonts w:hint="eastAsia" w:ascii="宋体" w:hAnsi="宋体" w:eastAsia="宋体" w:cs="宋体"/>
          <w:color w:val="auto"/>
          <w:szCs w:val="28"/>
          <w:highlight w:val="none"/>
        </w:rPr>
      </w:pPr>
      <w:bookmarkStart w:id="844" w:name="_Toc15935"/>
      <w:r>
        <w:rPr>
          <w:rFonts w:hint="eastAsia" w:ascii="宋体" w:hAnsi="宋体" w:eastAsia="宋体" w:cs="宋体"/>
          <w:color w:val="auto"/>
          <w:szCs w:val="28"/>
          <w:highlight w:val="none"/>
        </w:rPr>
        <w:br w:type="page"/>
      </w:r>
    </w:p>
    <w:p>
      <w:pPr>
        <w:pStyle w:val="4"/>
        <w:spacing w:beforeLines="100" w:afterLines="100" w:line="240" w:lineRule="auto"/>
        <w:jc w:val="center"/>
        <w:rPr>
          <w:rFonts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rPr>
        <w:t>）</w:t>
      </w:r>
      <w:bookmarkEnd w:id="844"/>
      <w:bookmarkStart w:id="845" w:name="_Toc32145"/>
      <w:r>
        <w:rPr>
          <w:rFonts w:hint="eastAsia" w:ascii="宋体" w:hAnsi="宋体" w:eastAsia="宋体" w:cs="宋体"/>
          <w:color w:val="auto"/>
          <w:szCs w:val="28"/>
          <w:highlight w:val="none"/>
        </w:rPr>
        <w:t>类似项目业绩一览表</w:t>
      </w:r>
      <w:bookmarkEnd w:id="845"/>
    </w:p>
    <w:p>
      <w:pPr>
        <w:spacing w:line="400" w:lineRule="exact"/>
        <w:ind w:firstLine="46" w:firstLineChars="19"/>
        <w:rPr>
          <w:rFonts w:hAnsi="宋体" w:cs="宋体"/>
          <w:b/>
          <w:bCs/>
          <w:color w:val="auto"/>
          <w:sz w:val="24"/>
          <w:szCs w:val="24"/>
          <w:highlight w:val="none"/>
        </w:rPr>
      </w:pPr>
      <w:r>
        <w:rPr>
          <w:rFonts w:hint="eastAsia" w:hAnsi="宋体" w:cs="宋体"/>
          <w:b/>
          <w:bCs/>
          <w:color w:val="auto"/>
          <w:sz w:val="24"/>
          <w:szCs w:val="24"/>
          <w:highlight w:val="none"/>
        </w:rPr>
        <w:t>项目名称：</w:t>
      </w:r>
    </w:p>
    <w:p>
      <w:pPr>
        <w:spacing w:line="400" w:lineRule="exact"/>
        <w:ind w:firstLine="46" w:firstLineChars="19"/>
        <w:rPr>
          <w:rFonts w:hAnsi="宋体" w:cs="宋体"/>
          <w:b/>
          <w:bCs/>
          <w:color w:val="auto"/>
          <w:sz w:val="24"/>
          <w:szCs w:val="24"/>
          <w:highlight w:val="none"/>
          <w:u w:val="single"/>
        </w:rPr>
      </w:pPr>
      <w:r>
        <w:rPr>
          <w:rFonts w:hint="eastAsia" w:hAnsi="宋体" w:cs="宋体"/>
          <w:b/>
          <w:bCs/>
          <w:color w:val="auto"/>
          <w:sz w:val="24"/>
          <w:szCs w:val="24"/>
          <w:highlight w:val="none"/>
        </w:rPr>
        <w:t>项目编号：</w:t>
      </w:r>
    </w:p>
    <w:p>
      <w:pPr>
        <w:spacing w:line="400" w:lineRule="exact"/>
        <w:ind w:firstLine="46" w:firstLineChars="19"/>
        <w:rPr>
          <w:rFonts w:hAnsi="宋体" w:cs="宋体"/>
          <w:b/>
          <w:bCs/>
          <w:color w:val="auto"/>
          <w:sz w:val="24"/>
          <w:szCs w:val="24"/>
          <w:highlight w:val="none"/>
        </w:rPr>
      </w:pPr>
    </w:p>
    <w:tbl>
      <w:tblPr>
        <w:tblStyle w:val="35"/>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95"/>
        <w:gridCol w:w="2556"/>
        <w:gridCol w:w="1194"/>
        <w:gridCol w:w="12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年份</w:t>
            </w:r>
          </w:p>
        </w:tc>
        <w:tc>
          <w:tcPr>
            <w:tcW w:w="1695"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用户名称</w:t>
            </w:r>
          </w:p>
        </w:tc>
        <w:tc>
          <w:tcPr>
            <w:tcW w:w="2556"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194"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完成时间</w:t>
            </w:r>
          </w:p>
        </w:tc>
        <w:tc>
          <w:tcPr>
            <w:tcW w:w="1260"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合同金额</w:t>
            </w:r>
          </w:p>
        </w:tc>
        <w:tc>
          <w:tcPr>
            <w:tcW w:w="945"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bl>
    <w:p>
      <w:pPr>
        <w:adjustRightInd w:val="0"/>
        <w:spacing w:line="400" w:lineRule="exact"/>
        <w:ind w:firstLine="482" w:firstLineChars="200"/>
        <w:jc w:val="left"/>
        <w:rPr>
          <w:rFonts w:hAnsi="宋体" w:cs="宋体"/>
          <w:b/>
          <w:color w:val="auto"/>
          <w:kern w:val="2"/>
          <w:sz w:val="24"/>
          <w:szCs w:val="24"/>
          <w:highlight w:val="none"/>
        </w:rPr>
      </w:pPr>
      <w:r>
        <w:rPr>
          <w:rFonts w:hint="eastAsia" w:hAnsi="宋体" w:cs="宋体"/>
          <w:b/>
          <w:color w:val="auto"/>
          <w:sz w:val="24"/>
          <w:szCs w:val="24"/>
          <w:highlight w:val="none"/>
        </w:rPr>
        <w:t>注：以上业绩需提供招标文件要求的有关书面证明材料</w:t>
      </w:r>
      <w:r>
        <w:rPr>
          <w:rFonts w:hint="eastAsia" w:hAnsi="宋体" w:cs="宋体"/>
          <w:b/>
          <w:color w:val="auto"/>
          <w:kern w:val="2"/>
          <w:sz w:val="24"/>
          <w:szCs w:val="24"/>
          <w:highlight w:val="none"/>
        </w:rPr>
        <w:t>。</w:t>
      </w:r>
    </w:p>
    <w:p>
      <w:pPr>
        <w:spacing w:line="400" w:lineRule="exact"/>
        <w:rPr>
          <w:rFonts w:hAnsi="宋体" w:cs="宋体"/>
          <w:bCs/>
          <w:color w:val="auto"/>
          <w:sz w:val="24"/>
          <w:szCs w:val="24"/>
          <w:highlight w:val="none"/>
        </w:rPr>
      </w:pPr>
    </w:p>
    <w:p>
      <w:pPr>
        <w:spacing w:line="400" w:lineRule="exact"/>
        <w:jc w:val="center"/>
        <w:rPr>
          <w:rFonts w:hAnsi="宋体" w:cs="宋体"/>
          <w:bCs/>
          <w:color w:val="auto"/>
          <w:sz w:val="24"/>
          <w:szCs w:val="24"/>
          <w:highlight w:val="none"/>
        </w:rPr>
      </w:pPr>
    </w:p>
    <w:p>
      <w:pPr>
        <w:adjustRightInd w:val="0"/>
        <w:spacing w:line="4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投标人名称：(盖章)</w:t>
      </w:r>
    </w:p>
    <w:p>
      <w:pPr>
        <w:spacing w:line="400" w:lineRule="exact"/>
        <w:ind w:firstLine="480" w:firstLineChars="200"/>
        <w:rPr>
          <w:rFonts w:hAnsi="宋体" w:cs="宋体"/>
          <w:color w:val="auto"/>
          <w:sz w:val="24"/>
          <w:highlight w:val="none"/>
        </w:rPr>
      </w:pPr>
      <w:r>
        <w:rPr>
          <w:rFonts w:hint="eastAsia" w:hAnsi="宋体" w:cs="宋体"/>
          <w:bCs/>
          <w:color w:val="auto"/>
          <w:sz w:val="24"/>
          <w:szCs w:val="24"/>
          <w:highlight w:val="none"/>
        </w:rPr>
        <w:t>日期:</w:t>
      </w:r>
    </w:p>
    <w:p>
      <w:pPr>
        <w:adjustRightInd w:val="0"/>
        <w:spacing w:line="400" w:lineRule="exact"/>
        <w:ind w:firstLine="480" w:firstLineChars="200"/>
        <w:jc w:val="left"/>
        <w:rPr>
          <w:rFonts w:hAnsi="宋体" w:cs="宋体"/>
          <w:color w:val="auto"/>
          <w:sz w:val="24"/>
          <w:szCs w:val="24"/>
          <w:highlight w:val="none"/>
        </w:rPr>
      </w:pPr>
    </w:p>
    <w:p>
      <w:pPr>
        <w:keepNext/>
        <w:keepLines/>
        <w:spacing w:beforeLines="100" w:afterLines="100"/>
        <w:rPr>
          <w:rFonts w:hAnsi="宋体" w:cs="宋体"/>
          <w:color w:val="auto"/>
          <w:szCs w:val="28"/>
          <w:highlight w:val="none"/>
        </w:rPr>
      </w:pPr>
    </w:p>
    <w:p>
      <w:pPr>
        <w:rPr>
          <w:rFonts w:hint="eastAsia" w:ascii="宋体" w:hAnsi="宋体" w:eastAsia="宋体" w:cs="宋体"/>
          <w:color w:val="auto"/>
          <w:szCs w:val="28"/>
          <w:highlight w:val="none"/>
        </w:rPr>
      </w:pPr>
      <w:bookmarkStart w:id="846" w:name="_Toc17015"/>
      <w:bookmarkStart w:id="847" w:name="_Toc3745"/>
      <w:bookmarkStart w:id="848" w:name="_Toc22133"/>
      <w:bookmarkStart w:id="849" w:name="_Toc19240"/>
      <w:r>
        <w:rPr>
          <w:rFonts w:hint="eastAsia" w:ascii="宋体" w:hAnsi="宋体" w:eastAsia="宋体" w:cs="宋体"/>
          <w:color w:val="auto"/>
          <w:szCs w:val="28"/>
          <w:highlight w:val="none"/>
        </w:rPr>
        <w:br w:type="page"/>
      </w:r>
    </w:p>
    <w:p>
      <w:pPr>
        <w:pStyle w:val="4"/>
        <w:spacing w:beforeLines="100" w:afterLines="100" w:line="240" w:lineRule="auto"/>
        <w:jc w:val="center"/>
        <w:rPr>
          <w:rFonts w:ascii="宋体" w:hAnsi="宋体" w:eastAsia="宋体"/>
          <w:color w:val="auto"/>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七</w:t>
      </w:r>
      <w:r>
        <w:rPr>
          <w:rFonts w:hint="eastAsia" w:ascii="宋体" w:hAnsi="宋体" w:eastAsia="宋体" w:cs="宋体"/>
          <w:color w:val="auto"/>
          <w:szCs w:val="28"/>
          <w:highlight w:val="none"/>
        </w:rPr>
        <w:t>）拟任本项目人员配置情况</w:t>
      </w:r>
      <w:bookmarkEnd w:id="846"/>
      <w:bookmarkEnd w:id="847"/>
      <w:bookmarkEnd w:id="848"/>
    </w:p>
    <w:p>
      <w:pPr>
        <w:spacing w:line="400" w:lineRule="exact"/>
        <w:ind w:firstLine="46" w:firstLineChars="19"/>
        <w:rPr>
          <w:rFonts w:hAnsi="宋体" w:cs="宋体"/>
          <w:b/>
          <w:bCs/>
          <w:color w:val="auto"/>
          <w:sz w:val="24"/>
          <w:szCs w:val="24"/>
          <w:highlight w:val="none"/>
        </w:rPr>
      </w:pPr>
      <w:r>
        <w:rPr>
          <w:rFonts w:hint="eastAsia" w:hAnsi="宋体" w:cs="宋体"/>
          <w:b/>
          <w:bCs/>
          <w:color w:val="auto"/>
          <w:sz w:val="24"/>
          <w:szCs w:val="24"/>
          <w:highlight w:val="none"/>
        </w:rPr>
        <w:t>项目名称：</w:t>
      </w:r>
    </w:p>
    <w:p>
      <w:pPr>
        <w:spacing w:line="400" w:lineRule="exact"/>
        <w:ind w:firstLine="46" w:firstLineChars="19"/>
        <w:rPr>
          <w:rFonts w:hAnsi="宋体" w:cs="宋体"/>
          <w:b/>
          <w:bCs/>
          <w:color w:val="auto"/>
          <w:sz w:val="24"/>
          <w:szCs w:val="24"/>
          <w:highlight w:val="none"/>
        </w:rPr>
      </w:pPr>
      <w:r>
        <w:rPr>
          <w:rFonts w:hint="eastAsia" w:hAnsi="宋体" w:cs="宋体"/>
          <w:b/>
          <w:bCs/>
          <w:color w:val="auto"/>
          <w:sz w:val="24"/>
          <w:szCs w:val="24"/>
          <w:highlight w:val="none"/>
        </w:rPr>
        <w:t>项目编号：</w:t>
      </w:r>
    </w:p>
    <w:tbl>
      <w:tblPr>
        <w:tblStyle w:val="3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类别</w:t>
            </w:r>
          </w:p>
        </w:tc>
        <w:tc>
          <w:tcPr>
            <w:tcW w:w="923"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职务</w:t>
            </w:r>
          </w:p>
        </w:tc>
        <w:tc>
          <w:tcPr>
            <w:tcW w:w="921"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923"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职称</w:t>
            </w:r>
          </w:p>
        </w:tc>
        <w:tc>
          <w:tcPr>
            <w:tcW w:w="922"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常住地</w:t>
            </w:r>
          </w:p>
        </w:tc>
        <w:tc>
          <w:tcPr>
            <w:tcW w:w="4919" w:type="dxa"/>
            <w:gridSpan w:val="4"/>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spacing w:line="400" w:lineRule="exact"/>
              <w:jc w:val="center"/>
              <w:rPr>
                <w:rFonts w:hAnsi="宋体" w:cs="宋体"/>
                <w:color w:val="auto"/>
                <w:sz w:val="21"/>
                <w:szCs w:val="21"/>
                <w:highlight w:val="none"/>
              </w:rPr>
            </w:pPr>
          </w:p>
        </w:tc>
        <w:tc>
          <w:tcPr>
            <w:tcW w:w="923" w:type="dxa"/>
            <w:vMerge w:val="continue"/>
            <w:vAlign w:val="center"/>
          </w:tcPr>
          <w:p>
            <w:pPr>
              <w:spacing w:line="400" w:lineRule="exact"/>
              <w:jc w:val="center"/>
              <w:rPr>
                <w:rFonts w:hAnsi="宋体" w:cs="宋体"/>
                <w:color w:val="auto"/>
                <w:sz w:val="21"/>
                <w:szCs w:val="21"/>
                <w:highlight w:val="none"/>
              </w:rPr>
            </w:pPr>
          </w:p>
        </w:tc>
        <w:tc>
          <w:tcPr>
            <w:tcW w:w="921" w:type="dxa"/>
            <w:vMerge w:val="continue"/>
            <w:vAlign w:val="center"/>
          </w:tcPr>
          <w:p>
            <w:pPr>
              <w:spacing w:line="400" w:lineRule="exact"/>
              <w:jc w:val="center"/>
              <w:rPr>
                <w:rFonts w:hAnsi="宋体" w:cs="宋体"/>
                <w:color w:val="auto"/>
                <w:sz w:val="21"/>
                <w:szCs w:val="21"/>
                <w:highlight w:val="none"/>
              </w:rPr>
            </w:pPr>
          </w:p>
        </w:tc>
        <w:tc>
          <w:tcPr>
            <w:tcW w:w="923" w:type="dxa"/>
            <w:vMerge w:val="continue"/>
            <w:vAlign w:val="center"/>
          </w:tcPr>
          <w:p>
            <w:pPr>
              <w:spacing w:line="400" w:lineRule="exact"/>
              <w:jc w:val="center"/>
              <w:rPr>
                <w:rFonts w:hAnsi="宋体" w:cs="宋体"/>
                <w:color w:val="auto"/>
                <w:sz w:val="21"/>
                <w:szCs w:val="21"/>
                <w:highlight w:val="none"/>
              </w:rPr>
            </w:pPr>
          </w:p>
        </w:tc>
        <w:tc>
          <w:tcPr>
            <w:tcW w:w="922" w:type="dxa"/>
            <w:vMerge w:val="continue"/>
            <w:vAlign w:val="center"/>
          </w:tcPr>
          <w:p>
            <w:pPr>
              <w:spacing w:line="400" w:lineRule="exact"/>
              <w:jc w:val="center"/>
              <w:rPr>
                <w:rFonts w:hAnsi="宋体" w:cs="宋体"/>
                <w:color w:val="auto"/>
                <w:sz w:val="21"/>
                <w:szCs w:val="21"/>
                <w:highlight w:val="none"/>
              </w:rPr>
            </w:pPr>
          </w:p>
        </w:tc>
        <w:tc>
          <w:tcPr>
            <w:tcW w:w="1436"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证书名称</w:t>
            </w:r>
          </w:p>
        </w:tc>
        <w:tc>
          <w:tcPr>
            <w:tcW w:w="1022"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级别</w:t>
            </w:r>
          </w:p>
        </w:tc>
        <w:tc>
          <w:tcPr>
            <w:tcW w:w="1232"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证号</w:t>
            </w:r>
          </w:p>
        </w:tc>
        <w:tc>
          <w:tcPr>
            <w:tcW w:w="1229"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48" w:type="dxa"/>
            <w:vMerge w:val="restart"/>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管</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理</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人</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员</w:t>
            </w: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restart"/>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技</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术</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人</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员</w:t>
            </w: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售后</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服务</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人员</w:t>
            </w: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bCs/>
                <w:color w:val="auto"/>
                <w:sz w:val="21"/>
                <w:szCs w:val="21"/>
                <w:highlight w:val="none"/>
              </w:rPr>
            </w:pPr>
          </w:p>
        </w:tc>
        <w:tc>
          <w:tcPr>
            <w:tcW w:w="923" w:type="dxa"/>
          </w:tcPr>
          <w:p>
            <w:pPr>
              <w:spacing w:line="400" w:lineRule="exact"/>
              <w:jc w:val="center"/>
              <w:rPr>
                <w:rFonts w:hAnsi="宋体" w:cs="宋体"/>
                <w:bCs/>
                <w:color w:val="auto"/>
                <w:sz w:val="21"/>
                <w:szCs w:val="21"/>
                <w:highlight w:val="none"/>
              </w:rPr>
            </w:pPr>
          </w:p>
        </w:tc>
        <w:tc>
          <w:tcPr>
            <w:tcW w:w="922" w:type="dxa"/>
          </w:tcPr>
          <w:p>
            <w:pPr>
              <w:spacing w:line="400" w:lineRule="exact"/>
              <w:jc w:val="center"/>
              <w:rPr>
                <w:rFonts w:hAnsi="宋体" w:cs="宋体"/>
                <w:bCs/>
                <w:color w:val="auto"/>
                <w:sz w:val="21"/>
                <w:szCs w:val="21"/>
                <w:highlight w:val="none"/>
              </w:rPr>
            </w:pPr>
          </w:p>
        </w:tc>
        <w:tc>
          <w:tcPr>
            <w:tcW w:w="1436" w:type="dxa"/>
          </w:tcPr>
          <w:p>
            <w:pPr>
              <w:spacing w:line="400" w:lineRule="exact"/>
              <w:jc w:val="center"/>
              <w:rPr>
                <w:rFonts w:hAnsi="宋体" w:cs="宋体"/>
                <w:bCs/>
                <w:color w:val="auto"/>
                <w:sz w:val="21"/>
                <w:szCs w:val="21"/>
                <w:highlight w:val="none"/>
              </w:rPr>
            </w:pPr>
          </w:p>
        </w:tc>
        <w:tc>
          <w:tcPr>
            <w:tcW w:w="1022" w:type="dxa"/>
          </w:tcPr>
          <w:p>
            <w:pPr>
              <w:spacing w:line="400" w:lineRule="exact"/>
              <w:jc w:val="center"/>
              <w:rPr>
                <w:rFonts w:hAnsi="宋体" w:cs="宋体"/>
                <w:bCs/>
                <w:color w:val="auto"/>
                <w:sz w:val="21"/>
                <w:szCs w:val="21"/>
                <w:highlight w:val="none"/>
              </w:rPr>
            </w:pPr>
          </w:p>
        </w:tc>
        <w:tc>
          <w:tcPr>
            <w:tcW w:w="1232" w:type="dxa"/>
          </w:tcPr>
          <w:p>
            <w:pPr>
              <w:spacing w:line="400" w:lineRule="exact"/>
              <w:jc w:val="center"/>
              <w:rPr>
                <w:rFonts w:hAnsi="宋体" w:cs="宋体"/>
                <w:bCs/>
                <w:color w:val="auto"/>
                <w:sz w:val="21"/>
                <w:szCs w:val="21"/>
                <w:highlight w:val="none"/>
              </w:rPr>
            </w:pPr>
          </w:p>
        </w:tc>
        <w:tc>
          <w:tcPr>
            <w:tcW w:w="1229" w:type="dxa"/>
          </w:tcPr>
          <w:p>
            <w:pPr>
              <w:spacing w:line="400" w:lineRule="exact"/>
              <w:jc w:val="center"/>
              <w:rPr>
                <w:rFonts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bCs/>
                <w:color w:val="auto"/>
                <w:sz w:val="21"/>
                <w:szCs w:val="21"/>
                <w:highlight w:val="none"/>
              </w:rPr>
            </w:pPr>
          </w:p>
        </w:tc>
        <w:tc>
          <w:tcPr>
            <w:tcW w:w="923" w:type="dxa"/>
          </w:tcPr>
          <w:p>
            <w:pPr>
              <w:spacing w:line="400" w:lineRule="exact"/>
              <w:jc w:val="center"/>
              <w:rPr>
                <w:rFonts w:hAnsi="宋体" w:cs="宋体"/>
                <w:bCs/>
                <w:color w:val="auto"/>
                <w:sz w:val="21"/>
                <w:szCs w:val="21"/>
                <w:highlight w:val="none"/>
              </w:rPr>
            </w:pPr>
          </w:p>
        </w:tc>
        <w:tc>
          <w:tcPr>
            <w:tcW w:w="922" w:type="dxa"/>
          </w:tcPr>
          <w:p>
            <w:pPr>
              <w:spacing w:line="400" w:lineRule="exact"/>
              <w:jc w:val="center"/>
              <w:rPr>
                <w:rFonts w:hAnsi="宋体" w:cs="宋体"/>
                <w:bCs/>
                <w:color w:val="auto"/>
                <w:sz w:val="21"/>
                <w:szCs w:val="21"/>
                <w:highlight w:val="none"/>
              </w:rPr>
            </w:pPr>
          </w:p>
        </w:tc>
        <w:tc>
          <w:tcPr>
            <w:tcW w:w="1436" w:type="dxa"/>
          </w:tcPr>
          <w:p>
            <w:pPr>
              <w:spacing w:line="400" w:lineRule="exact"/>
              <w:jc w:val="center"/>
              <w:rPr>
                <w:rFonts w:hAnsi="宋体" w:cs="宋体"/>
                <w:bCs/>
                <w:color w:val="auto"/>
                <w:sz w:val="21"/>
                <w:szCs w:val="21"/>
                <w:highlight w:val="none"/>
              </w:rPr>
            </w:pPr>
          </w:p>
        </w:tc>
        <w:tc>
          <w:tcPr>
            <w:tcW w:w="1022" w:type="dxa"/>
          </w:tcPr>
          <w:p>
            <w:pPr>
              <w:spacing w:line="400" w:lineRule="exact"/>
              <w:jc w:val="center"/>
              <w:rPr>
                <w:rFonts w:hAnsi="宋体" w:cs="宋体"/>
                <w:bCs/>
                <w:color w:val="auto"/>
                <w:sz w:val="21"/>
                <w:szCs w:val="21"/>
                <w:highlight w:val="none"/>
              </w:rPr>
            </w:pPr>
          </w:p>
        </w:tc>
        <w:tc>
          <w:tcPr>
            <w:tcW w:w="1232" w:type="dxa"/>
          </w:tcPr>
          <w:p>
            <w:pPr>
              <w:spacing w:line="400" w:lineRule="exact"/>
              <w:jc w:val="center"/>
              <w:rPr>
                <w:rFonts w:hAnsi="宋体" w:cs="宋体"/>
                <w:bCs/>
                <w:color w:val="auto"/>
                <w:sz w:val="21"/>
                <w:szCs w:val="21"/>
                <w:highlight w:val="none"/>
              </w:rPr>
            </w:pPr>
          </w:p>
        </w:tc>
        <w:tc>
          <w:tcPr>
            <w:tcW w:w="1229" w:type="dxa"/>
          </w:tcPr>
          <w:p>
            <w:pPr>
              <w:spacing w:line="400" w:lineRule="exact"/>
              <w:jc w:val="center"/>
              <w:rPr>
                <w:rFonts w:hAnsi="宋体" w:cs="宋体"/>
                <w:bCs/>
                <w:color w:val="auto"/>
                <w:sz w:val="21"/>
                <w:szCs w:val="21"/>
                <w:highlight w:val="none"/>
              </w:rPr>
            </w:pPr>
          </w:p>
        </w:tc>
      </w:tr>
    </w:tbl>
    <w:p>
      <w:pPr>
        <w:adjustRightInd w:val="0"/>
        <w:spacing w:line="400" w:lineRule="exact"/>
        <w:ind w:firstLine="482" w:firstLineChars="200"/>
        <w:jc w:val="left"/>
        <w:rPr>
          <w:rFonts w:hAnsi="宋体" w:cs="宋体"/>
          <w:b/>
          <w:color w:val="auto"/>
          <w:kern w:val="2"/>
          <w:sz w:val="24"/>
          <w:szCs w:val="24"/>
          <w:highlight w:val="none"/>
        </w:rPr>
      </w:pPr>
      <w:r>
        <w:rPr>
          <w:rFonts w:hint="eastAsia" w:hAnsi="宋体" w:cs="宋体"/>
          <w:b/>
          <w:color w:val="auto"/>
          <w:sz w:val="24"/>
          <w:szCs w:val="24"/>
          <w:highlight w:val="none"/>
        </w:rPr>
        <w:t>注：</w:t>
      </w:r>
      <w:r>
        <w:rPr>
          <w:rFonts w:hint="eastAsia" w:hAnsi="宋体" w:cs="宋体"/>
          <w:b/>
          <w:color w:val="auto"/>
          <w:kern w:val="2"/>
          <w:sz w:val="24"/>
          <w:szCs w:val="24"/>
          <w:highlight w:val="none"/>
        </w:rPr>
        <w:t>投标人根据自身实际情况填写，对不涉及的内容可填写“/”。</w:t>
      </w:r>
    </w:p>
    <w:p>
      <w:pPr>
        <w:spacing w:line="400" w:lineRule="exact"/>
        <w:rPr>
          <w:rFonts w:hAnsi="宋体" w:cs="宋体"/>
          <w:bCs/>
          <w:color w:val="auto"/>
          <w:sz w:val="24"/>
          <w:szCs w:val="24"/>
          <w:highlight w:val="none"/>
        </w:rPr>
      </w:pPr>
    </w:p>
    <w:p>
      <w:pPr>
        <w:spacing w:line="400" w:lineRule="exact"/>
        <w:jc w:val="center"/>
        <w:rPr>
          <w:rFonts w:hAnsi="宋体" w:cs="宋体"/>
          <w:bCs/>
          <w:color w:val="auto"/>
          <w:sz w:val="24"/>
          <w:szCs w:val="24"/>
          <w:highlight w:val="none"/>
        </w:rPr>
      </w:pPr>
    </w:p>
    <w:p>
      <w:pPr>
        <w:adjustRightInd w:val="0"/>
        <w:spacing w:line="4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投标人名称：(盖章)</w:t>
      </w:r>
    </w:p>
    <w:p>
      <w:pPr>
        <w:spacing w:line="400" w:lineRule="exact"/>
        <w:ind w:firstLine="480" w:firstLineChars="200"/>
        <w:rPr>
          <w:rFonts w:hAnsi="宋体" w:cs="宋体"/>
          <w:color w:val="auto"/>
          <w:sz w:val="24"/>
          <w:highlight w:val="none"/>
        </w:rPr>
      </w:pPr>
      <w:r>
        <w:rPr>
          <w:rFonts w:hint="eastAsia" w:hAnsi="宋体" w:cs="宋体"/>
          <w:bCs/>
          <w:color w:val="auto"/>
          <w:sz w:val="24"/>
          <w:szCs w:val="24"/>
          <w:highlight w:val="none"/>
        </w:rPr>
        <w:t>日期:</w:t>
      </w:r>
    </w:p>
    <w:p>
      <w:pPr>
        <w:keepNext/>
        <w:keepLines/>
        <w:spacing w:beforeLines="100" w:afterLines="100"/>
        <w:rPr>
          <w:rFonts w:hAnsi="宋体" w:cs="宋体"/>
          <w:color w:val="auto"/>
          <w:szCs w:val="28"/>
          <w:highlight w:val="none"/>
        </w:rPr>
      </w:pPr>
      <w:r>
        <w:rPr>
          <w:rFonts w:hint="eastAsia" w:hAnsi="宋体" w:cs="宋体"/>
          <w:color w:val="auto"/>
          <w:szCs w:val="28"/>
          <w:highlight w:val="none"/>
        </w:rPr>
        <w:br w:type="page"/>
      </w:r>
      <w:bookmarkEnd w:id="849"/>
    </w:p>
    <w:p>
      <w:pPr>
        <w:pStyle w:val="4"/>
        <w:spacing w:beforeLines="100" w:afterLines="100" w:line="240" w:lineRule="auto"/>
        <w:jc w:val="center"/>
        <w:rPr>
          <w:rFonts w:ascii="宋体" w:hAnsi="宋体" w:eastAsia="宋体" w:cs="宋体"/>
          <w:color w:val="auto"/>
          <w:szCs w:val="28"/>
          <w:highlight w:val="none"/>
        </w:rPr>
      </w:pPr>
      <w:bookmarkStart w:id="850" w:name="_Toc2450"/>
      <w:bookmarkStart w:id="851" w:name="_Toc22215"/>
      <w:bookmarkStart w:id="852" w:name="_Toc122"/>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rPr>
        <w:t>）中小企业声明</w:t>
      </w:r>
      <w:r>
        <w:rPr>
          <w:rFonts w:hint="eastAsia" w:ascii="宋体" w:hAnsi="宋体" w:eastAsia="宋体" w:cs="宋体"/>
          <w:color w:val="auto"/>
          <w:szCs w:val="28"/>
          <w:highlight w:val="none"/>
          <w:lang w:val="en-US" w:eastAsia="zh-CN"/>
        </w:rPr>
        <w:t>函</w:t>
      </w:r>
      <w:r>
        <w:rPr>
          <w:rFonts w:hint="eastAsia" w:ascii="宋体" w:hAnsi="宋体" w:eastAsia="宋体" w:cs="宋体"/>
          <w:color w:val="auto"/>
          <w:szCs w:val="28"/>
          <w:highlight w:val="none"/>
        </w:rPr>
        <w:t>(如涉及</w:t>
      </w:r>
      <w:bookmarkEnd w:id="850"/>
      <w:r>
        <w:rPr>
          <w:rFonts w:hint="eastAsia" w:ascii="宋体" w:hAnsi="宋体" w:eastAsia="宋体" w:cs="宋体"/>
          <w:color w:val="auto"/>
          <w:szCs w:val="28"/>
          <w:highlight w:val="none"/>
        </w:rPr>
        <w:t>)</w:t>
      </w:r>
      <w:bookmarkEnd w:id="851"/>
      <w:bookmarkEnd w:id="852"/>
    </w:p>
    <w:p>
      <w:pPr>
        <w:spacing w:line="588" w:lineRule="exact"/>
        <w:ind w:firstLine="480" w:firstLineChars="200"/>
        <w:rPr>
          <w:rFonts w:hint="eastAsia" w:hAnsi="宋体" w:cs="宋体"/>
          <w:color w:val="auto"/>
          <w:sz w:val="24"/>
          <w:szCs w:val="24"/>
          <w:highlight w:val="none"/>
        </w:rPr>
      </w:pPr>
      <w:bookmarkStart w:id="853" w:name="_Toc8055"/>
      <w:bookmarkStart w:id="854" w:name="_Toc417911732"/>
      <w:bookmarkStart w:id="855" w:name="_Toc387658050"/>
      <w:bookmarkStart w:id="856" w:name="_Toc419811733"/>
      <w:bookmarkStart w:id="857" w:name="_Toc387147344"/>
      <w:bookmarkStart w:id="858" w:name="_Toc413748654"/>
      <w:r>
        <w:rPr>
          <w:rFonts w:hint="eastAsia" w:hAnsi="宋体" w:cs="宋体"/>
          <w:color w:val="auto"/>
          <w:sz w:val="24"/>
          <w:szCs w:val="24"/>
          <w:highlight w:val="none"/>
          <w:lang w:val="en-US" w:eastAsia="zh-CN"/>
        </w:rPr>
        <w:t>本公司郑重声明，根据《政府采购促进中小企业发展管理办法》（财库﹝2020﹞46 号）的规定，本公司参加</w:t>
      </w:r>
      <w:r>
        <w:rPr>
          <w:rFonts w:hint="eastAsia" w:hAnsi="宋体" w:cs="宋体"/>
          <w:color w:val="auto"/>
          <w:sz w:val="24"/>
          <w:szCs w:val="24"/>
          <w:highlight w:val="none"/>
          <w:u w:val="single"/>
          <w:lang w:val="en-US" w:eastAsia="zh-CN"/>
        </w:rPr>
        <w:t>（单位名称）</w:t>
      </w:r>
      <w:r>
        <w:rPr>
          <w:rFonts w:hint="eastAsia" w:hAnsi="宋体" w:cs="宋体"/>
          <w:color w:val="auto"/>
          <w:sz w:val="24"/>
          <w:szCs w:val="24"/>
          <w:highlight w:val="none"/>
          <w:lang w:val="en-US" w:eastAsia="zh-CN"/>
        </w:rPr>
        <w:t>的</w:t>
      </w:r>
      <w:r>
        <w:rPr>
          <w:rFonts w:hint="eastAsia" w:hAnsi="宋体" w:cs="宋体"/>
          <w:color w:val="auto"/>
          <w:sz w:val="24"/>
          <w:szCs w:val="24"/>
          <w:highlight w:val="none"/>
          <w:u w:val="single"/>
          <w:lang w:val="en-US" w:eastAsia="zh-CN"/>
        </w:rPr>
        <w:t>（项目名称）</w:t>
      </w:r>
      <w:r>
        <w:rPr>
          <w:rFonts w:hint="eastAsia" w:hAnsi="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pPr>
        <w:spacing w:line="588"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u w:val="single"/>
          <w:lang w:val="en-US" w:eastAsia="zh-CN"/>
        </w:rPr>
        <w:t xml:space="preserve">经开区应急污水处理站延期服务采购项目 </w:t>
      </w:r>
      <w:r>
        <w:rPr>
          <w:rFonts w:hint="eastAsia" w:hAnsi="宋体" w:cs="宋体"/>
          <w:color w:val="auto"/>
          <w:sz w:val="24"/>
          <w:szCs w:val="24"/>
          <w:highlight w:val="none"/>
          <w:lang w:val="en-US" w:eastAsia="zh-CN"/>
        </w:rPr>
        <w:t>，属于</w:t>
      </w:r>
      <w:r>
        <w:rPr>
          <w:rFonts w:hint="eastAsia" w:hAnsi="宋体" w:cs="宋体"/>
          <w:color w:val="auto"/>
          <w:sz w:val="24"/>
          <w:szCs w:val="24"/>
          <w:highlight w:val="none"/>
          <w:u w:val="single"/>
          <w:lang w:val="en-US" w:eastAsia="zh-CN"/>
        </w:rPr>
        <w:t>其他未列明行业</w:t>
      </w:r>
      <w:r>
        <w:rPr>
          <w:rFonts w:hint="eastAsia" w:hAnsi="宋体" w:cs="宋体"/>
          <w:color w:val="auto"/>
          <w:sz w:val="24"/>
          <w:szCs w:val="24"/>
          <w:highlight w:val="none"/>
          <w:lang w:val="en-US" w:eastAsia="zh-CN"/>
        </w:rPr>
        <w:t>；承接企业为</w:t>
      </w:r>
      <w:r>
        <w:rPr>
          <w:rFonts w:hint="eastAsia" w:hAnsi="宋体" w:cs="宋体"/>
          <w:color w:val="auto"/>
          <w:sz w:val="24"/>
          <w:szCs w:val="24"/>
          <w:highlight w:val="none"/>
          <w:u w:val="single"/>
          <w:lang w:val="en-US" w:eastAsia="zh-CN"/>
        </w:rPr>
        <w:t>（企业名称）</w:t>
      </w:r>
      <w:r>
        <w:rPr>
          <w:rFonts w:hint="eastAsia" w:hAnsi="宋体" w:cs="宋体"/>
          <w:color w:val="auto"/>
          <w:sz w:val="24"/>
          <w:szCs w:val="24"/>
          <w:highlight w:val="none"/>
          <w:lang w:val="en-US" w:eastAsia="zh-CN"/>
        </w:rPr>
        <w:t>，从业人员</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人，营业收入为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万元，资产总额为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万元，属于</w:t>
      </w:r>
      <w:r>
        <w:rPr>
          <w:rFonts w:hint="eastAsia" w:hAnsi="宋体" w:cs="宋体"/>
          <w:color w:val="auto"/>
          <w:sz w:val="24"/>
          <w:szCs w:val="24"/>
          <w:highlight w:val="none"/>
          <w:u w:val="single"/>
          <w:lang w:val="en-US" w:eastAsia="zh-CN"/>
        </w:rPr>
        <w:t>（中型企业、小型企业、微型企业）</w:t>
      </w:r>
      <w:r>
        <w:rPr>
          <w:rFonts w:hint="eastAsia" w:hAnsi="宋体" w:cs="宋体"/>
          <w:color w:val="auto"/>
          <w:sz w:val="24"/>
          <w:szCs w:val="24"/>
          <w:highlight w:val="none"/>
          <w:lang w:val="en-US" w:eastAsia="zh-CN"/>
        </w:rPr>
        <w:t xml:space="preserve">； </w:t>
      </w:r>
    </w:p>
    <w:p>
      <w:pPr>
        <w:spacing w:line="588"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2. </w:t>
      </w:r>
      <w:r>
        <w:rPr>
          <w:rFonts w:hint="eastAsia" w:hAnsi="宋体" w:cs="宋体"/>
          <w:color w:val="auto"/>
          <w:sz w:val="24"/>
          <w:szCs w:val="24"/>
          <w:highlight w:val="none"/>
          <w:u w:val="single"/>
          <w:lang w:val="en-US" w:eastAsia="zh-CN"/>
        </w:rPr>
        <w:t>（标的名称）</w:t>
      </w:r>
      <w:r>
        <w:rPr>
          <w:rFonts w:hint="eastAsia" w:hAnsi="宋体" w:cs="宋体"/>
          <w:color w:val="auto"/>
          <w:sz w:val="24"/>
          <w:szCs w:val="24"/>
          <w:highlight w:val="none"/>
          <w:lang w:val="en-US" w:eastAsia="zh-CN"/>
        </w:rPr>
        <w:t xml:space="preserve"> ，属于</w:t>
      </w:r>
      <w:r>
        <w:rPr>
          <w:rFonts w:hint="eastAsia" w:hAnsi="宋体" w:cs="宋体"/>
          <w:color w:val="auto"/>
          <w:sz w:val="24"/>
          <w:szCs w:val="24"/>
          <w:highlight w:val="none"/>
          <w:u w:val="single"/>
          <w:lang w:val="en-US" w:eastAsia="zh-CN"/>
        </w:rPr>
        <w:t>（采购文件中明确的所属行业）</w:t>
      </w:r>
      <w:r>
        <w:rPr>
          <w:rFonts w:hint="eastAsia" w:hAnsi="宋体" w:cs="宋体"/>
          <w:color w:val="auto"/>
          <w:sz w:val="24"/>
          <w:szCs w:val="24"/>
          <w:highlight w:val="none"/>
          <w:lang w:val="en-US" w:eastAsia="zh-CN"/>
        </w:rPr>
        <w:t>；承接企业为</w:t>
      </w:r>
      <w:r>
        <w:rPr>
          <w:rFonts w:hint="eastAsia" w:hAnsi="宋体" w:cs="宋体"/>
          <w:color w:val="auto"/>
          <w:sz w:val="24"/>
          <w:szCs w:val="24"/>
          <w:highlight w:val="none"/>
          <w:u w:val="single"/>
          <w:lang w:val="en-US" w:eastAsia="zh-CN"/>
        </w:rPr>
        <w:t>（企业名称）</w:t>
      </w:r>
      <w:r>
        <w:rPr>
          <w:rFonts w:hint="eastAsia" w:hAnsi="宋体" w:cs="宋体"/>
          <w:color w:val="auto"/>
          <w:sz w:val="24"/>
          <w:szCs w:val="24"/>
          <w:highlight w:val="none"/>
          <w:lang w:val="en-US" w:eastAsia="zh-CN"/>
        </w:rPr>
        <w:t>，从业人员</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人，营业收入为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万元，资产总额为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万元，属于</w:t>
      </w:r>
      <w:r>
        <w:rPr>
          <w:rFonts w:hint="eastAsia" w:hAnsi="宋体" w:cs="宋体"/>
          <w:color w:val="auto"/>
          <w:sz w:val="24"/>
          <w:szCs w:val="24"/>
          <w:highlight w:val="none"/>
          <w:u w:val="single"/>
          <w:lang w:val="en-US" w:eastAsia="zh-CN"/>
        </w:rPr>
        <w:t>（中型企业、小型企业、微型企业）</w:t>
      </w:r>
      <w:r>
        <w:rPr>
          <w:rFonts w:hint="eastAsia" w:hAnsi="宋体" w:cs="宋体"/>
          <w:color w:val="auto"/>
          <w:sz w:val="24"/>
          <w:szCs w:val="24"/>
          <w:highlight w:val="none"/>
          <w:lang w:val="en-US" w:eastAsia="zh-CN"/>
        </w:rPr>
        <w:t>；</w:t>
      </w:r>
    </w:p>
    <w:p>
      <w:pPr>
        <w:spacing w:line="588"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w:t>
      </w:r>
    </w:p>
    <w:p>
      <w:pPr>
        <w:spacing w:line="588"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以上企业，不属于大企业的分支机构，不存在控股股东为大企业的情形，也不存在与大企业的负责人为同一人的情形。 </w:t>
      </w:r>
    </w:p>
    <w:p>
      <w:pPr>
        <w:spacing w:line="588"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本企业对上述声明内容的真实性负责。如有虚假，将依法承担相应责任。 </w:t>
      </w:r>
    </w:p>
    <w:p>
      <w:pPr>
        <w:spacing w:line="588" w:lineRule="exact"/>
        <w:ind w:firstLine="480" w:firstLineChars="200"/>
        <w:rPr>
          <w:rFonts w:hint="eastAsia" w:hAnsi="宋体" w:cs="宋体"/>
          <w:color w:val="auto"/>
          <w:sz w:val="24"/>
          <w:szCs w:val="24"/>
          <w:highlight w:val="none"/>
        </w:rPr>
      </w:pPr>
    </w:p>
    <w:p>
      <w:pPr>
        <w:spacing w:line="588"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企业名称（盖章）： </w:t>
      </w:r>
    </w:p>
    <w:p>
      <w:pPr>
        <w:spacing w:line="588"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日 期： </w:t>
      </w:r>
    </w:p>
    <w:p>
      <w:pPr>
        <w:pStyle w:val="88"/>
        <w:keepNext w:val="0"/>
        <w:keepLines w:val="0"/>
        <w:spacing w:before="0" w:after="0" w:line="240" w:lineRule="auto"/>
        <w:ind w:firstLine="480"/>
        <w:jc w:val="left"/>
        <w:outlineLvl w:val="9"/>
        <w:rPr>
          <w:rFonts w:ascii="宋体" w:hAnsi="宋体" w:eastAsia="宋体" w:cs="宋体"/>
          <w:color w:val="auto"/>
          <w:spacing w:val="6"/>
          <w:szCs w:val="24"/>
        </w:rPr>
      </w:pPr>
    </w:p>
    <w:p>
      <w:pPr>
        <w:pStyle w:val="88"/>
        <w:keepNext w:val="0"/>
        <w:keepLines w:val="0"/>
        <w:spacing w:before="0" w:after="0" w:line="240" w:lineRule="auto"/>
        <w:ind w:firstLine="480"/>
        <w:jc w:val="center"/>
        <w:outlineLvl w:val="9"/>
        <w:rPr>
          <w:rFonts w:ascii="宋体" w:hAnsi="宋体" w:eastAsia="宋体" w:cs="宋体"/>
          <w:color w:val="auto"/>
          <w:spacing w:val="6"/>
          <w:szCs w:val="24"/>
        </w:rPr>
      </w:pPr>
    </w:p>
    <w:p>
      <w:pPr>
        <w:pStyle w:val="88"/>
        <w:keepNext w:val="0"/>
        <w:keepLines w:val="0"/>
        <w:spacing w:before="0" w:after="0" w:line="240" w:lineRule="auto"/>
        <w:ind w:firstLine="480"/>
        <w:jc w:val="center"/>
        <w:outlineLvl w:val="9"/>
        <w:rPr>
          <w:rFonts w:ascii="宋体" w:hAnsi="宋体" w:eastAsia="宋体" w:cs="宋体"/>
          <w:color w:val="auto"/>
          <w:spacing w:val="6"/>
          <w:szCs w:val="24"/>
        </w:rPr>
      </w:pPr>
    </w:p>
    <w:p>
      <w:pPr>
        <w:pStyle w:val="88"/>
        <w:keepNext w:val="0"/>
        <w:keepLines w:val="0"/>
        <w:spacing w:before="0" w:after="0" w:line="240" w:lineRule="auto"/>
        <w:ind w:firstLine="480"/>
        <w:jc w:val="left"/>
        <w:outlineLvl w:val="9"/>
        <w:rPr>
          <w:rFonts w:ascii="宋体" w:hAnsi="宋体" w:eastAsia="宋体" w:cs="宋体"/>
          <w:color w:val="auto"/>
          <w:spacing w:val="6"/>
          <w:szCs w:val="24"/>
        </w:rPr>
      </w:pPr>
    </w:p>
    <w:p>
      <w:pPr>
        <w:pStyle w:val="88"/>
        <w:keepNext w:val="0"/>
        <w:keepLines w:val="0"/>
        <w:spacing w:before="0" w:after="0" w:line="240" w:lineRule="auto"/>
        <w:ind w:firstLine="480"/>
        <w:jc w:val="left"/>
        <w:outlineLvl w:val="9"/>
        <w:rPr>
          <w:rFonts w:ascii="宋体" w:hAnsi="宋体" w:eastAsia="宋体" w:cs="宋体"/>
          <w:color w:val="auto"/>
          <w:spacing w:val="6"/>
          <w:szCs w:val="24"/>
        </w:rPr>
      </w:pPr>
    </w:p>
    <w:p>
      <w:pPr>
        <w:pStyle w:val="88"/>
        <w:keepNext w:val="0"/>
        <w:keepLines w:val="0"/>
        <w:spacing w:before="0" w:after="0" w:line="240" w:lineRule="auto"/>
        <w:ind w:firstLine="480"/>
        <w:jc w:val="left"/>
        <w:outlineLvl w:val="9"/>
        <w:rPr>
          <w:rFonts w:ascii="宋体" w:hAnsi="宋体" w:eastAsia="宋体" w:cs="宋体"/>
          <w:color w:val="auto"/>
          <w:spacing w:val="6"/>
          <w:sz w:val="21"/>
          <w:szCs w:val="21"/>
        </w:rPr>
      </w:pPr>
      <w:r>
        <w:rPr>
          <w:rFonts w:hint="eastAsia" w:ascii="宋体" w:hAnsi="宋体" w:eastAsia="宋体" w:cs="宋体"/>
          <w:color w:val="auto"/>
          <w:spacing w:val="6"/>
          <w:sz w:val="21"/>
          <w:szCs w:val="21"/>
        </w:rPr>
        <w:t>注：1、</w:t>
      </w:r>
      <w:r>
        <w:rPr>
          <w:rFonts w:ascii="宋体" w:hAnsi="宋体" w:eastAsia="宋体" w:cs="宋体"/>
          <w:color w:val="auto"/>
          <w:spacing w:val="6"/>
          <w:sz w:val="21"/>
          <w:szCs w:val="21"/>
        </w:rPr>
        <w:t>从业人员、营业收入、资产总额填报上一年度数据，无上一年度数据的新成立企业可不填报。</w:t>
      </w:r>
    </w:p>
    <w:p>
      <w:pPr>
        <w:pStyle w:val="88"/>
        <w:keepNext w:val="0"/>
        <w:keepLines w:val="0"/>
        <w:spacing w:before="0" w:after="0" w:line="240" w:lineRule="auto"/>
        <w:ind w:firstLine="480"/>
        <w:jc w:val="left"/>
        <w:outlineLvl w:val="9"/>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jc w:val="left"/>
        <w:outlineLvl w:val="2"/>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keepNext/>
        <w:keepLines/>
        <w:spacing w:beforeLines="100" w:afterLines="100"/>
        <w:rPr>
          <w:rFonts w:hAnsi="宋体" w:cs="宋体"/>
          <w:color w:val="auto"/>
          <w:szCs w:val="28"/>
          <w:highlight w:val="none"/>
        </w:rPr>
      </w:pPr>
      <w:r>
        <w:rPr>
          <w:rFonts w:hint="eastAsia" w:hAnsi="宋体" w:cs="宋体"/>
          <w:color w:val="auto"/>
          <w:szCs w:val="28"/>
          <w:highlight w:val="none"/>
        </w:rPr>
        <w:br w:type="page"/>
      </w:r>
    </w:p>
    <w:p>
      <w:pPr>
        <w:pStyle w:val="4"/>
        <w:spacing w:beforeLines="100" w:afterLines="100" w:line="240" w:lineRule="auto"/>
        <w:jc w:val="center"/>
        <w:rPr>
          <w:rFonts w:ascii="宋体" w:hAnsi="宋体" w:eastAsia="宋体" w:cs="宋体"/>
          <w:color w:val="auto"/>
          <w:szCs w:val="28"/>
          <w:highlight w:val="none"/>
        </w:rPr>
      </w:pPr>
      <w:bookmarkStart w:id="859" w:name="_Toc11278"/>
      <w:bookmarkStart w:id="860" w:name="_Toc27232"/>
      <w:bookmarkStart w:id="861" w:name="_Toc26771"/>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rPr>
        <w:t>）监狱企业相关证明材料</w:t>
      </w:r>
      <w:bookmarkEnd w:id="853"/>
      <w:r>
        <w:rPr>
          <w:rFonts w:hint="eastAsia" w:ascii="宋体" w:hAnsi="宋体" w:eastAsia="宋体" w:cs="宋体"/>
          <w:color w:val="auto"/>
          <w:szCs w:val="28"/>
          <w:highlight w:val="none"/>
        </w:rPr>
        <w:t>(如涉及</w:t>
      </w:r>
      <w:bookmarkEnd w:id="859"/>
      <w:r>
        <w:rPr>
          <w:rFonts w:hint="eastAsia" w:ascii="宋体" w:hAnsi="宋体" w:eastAsia="宋体" w:cs="宋体"/>
          <w:color w:val="auto"/>
          <w:szCs w:val="28"/>
          <w:highlight w:val="none"/>
        </w:rPr>
        <w:t>)</w:t>
      </w:r>
      <w:bookmarkEnd w:id="860"/>
      <w:bookmarkEnd w:id="861"/>
    </w:p>
    <w:p>
      <w:pPr>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说明：</w:t>
      </w:r>
    </w:p>
    <w:p>
      <w:pPr>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①监狱企业参加政府采购活动时，应当提供由省级以上监狱管理局、戒毒管理局(含新疆生产建设兵团)出具的属于监狱企业的证明文件。</w:t>
      </w:r>
    </w:p>
    <w:p>
      <w:pPr>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②如未提供监狱企业相关证明材料的，则其评审中的监狱企业不能享受招标文件规定的价格扣除，但不影响供应投标文件的有效性。</w:t>
      </w:r>
    </w:p>
    <w:p>
      <w:pPr>
        <w:spacing w:line="360" w:lineRule="auto"/>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rPr>
        <w:t>③非监狱企业无需提供证明材料。</w:t>
      </w:r>
    </w:p>
    <w:p>
      <w:pPr>
        <w:keepNext/>
        <w:keepLines/>
        <w:spacing w:beforeLines="100" w:afterLines="100"/>
        <w:rPr>
          <w:rFonts w:hAnsi="宋体" w:cs="宋体"/>
          <w:color w:val="auto"/>
          <w:szCs w:val="28"/>
          <w:highlight w:val="none"/>
        </w:rPr>
      </w:pPr>
    </w:p>
    <w:p>
      <w:pPr>
        <w:keepNext/>
        <w:keepLines/>
        <w:spacing w:beforeLines="100" w:afterLines="100"/>
        <w:rPr>
          <w:rFonts w:hAnsi="宋体" w:cs="宋体"/>
          <w:color w:val="auto"/>
          <w:szCs w:val="28"/>
          <w:highlight w:val="none"/>
        </w:rPr>
      </w:pPr>
    </w:p>
    <w:p>
      <w:pPr>
        <w:keepNext/>
        <w:keepLines/>
        <w:spacing w:beforeLines="100" w:afterLines="100"/>
        <w:rPr>
          <w:rFonts w:hAnsi="宋体" w:cs="宋体"/>
          <w:color w:val="auto"/>
          <w:szCs w:val="28"/>
          <w:highlight w:val="none"/>
        </w:rPr>
      </w:pPr>
      <w:r>
        <w:rPr>
          <w:rFonts w:hint="eastAsia" w:hAnsi="宋体" w:cs="宋体"/>
          <w:color w:val="auto"/>
          <w:szCs w:val="28"/>
          <w:highlight w:val="none"/>
        </w:rPr>
        <w:br w:type="page"/>
      </w:r>
    </w:p>
    <w:p>
      <w:pPr>
        <w:pStyle w:val="4"/>
        <w:spacing w:beforeLines="100" w:afterLines="100" w:line="240" w:lineRule="auto"/>
        <w:jc w:val="center"/>
        <w:rPr>
          <w:rFonts w:ascii="宋体" w:hAnsi="宋体" w:eastAsia="宋体" w:cs="宋体"/>
          <w:color w:val="auto"/>
          <w:szCs w:val="28"/>
          <w:highlight w:val="none"/>
        </w:rPr>
      </w:pPr>
      <w:bookmarkStart w:id="862" w:name="_Toc7140"/>
      <w:bookmarkStart w:id="863" w:name="_Toc27384"/>
      <w:bookmarkStart w:id="864" w:name="_Toc25492"/>
      <w:r>
        <w:rPr>
          <w:rFonts w:hint="eastAsia" w:ascii="宋体" w:hAnsi="宋体" w:eastAsia="宋体" w:cs="宋体"/>
          <w:color w:val="auto"/>
          <w:szCs w:val="28"/>
          <w:highlight w:val="none"/>
        </w:rPr>
        <w:t>（十）残疾人福利性单位声明函(如涉及</w:t>
      </w:r>
      <w:bookmarkEnd w:id="862"/>
      <w:r>
        <w:rPr>
          <w:rFonts w:hint="eastAsia" w:ascii="宋体" w:hAnsi="宋体" w:eastAsia="宋体" w:cs="宋体"/>
          <w:color w:val="auto"/>
          <w:szCs w:val="28"/>
          <w:highlight w:val="none"/>
        </w:rPr>
        <w:t>)</w:t>
      </w:r>
      <w:bookmarkEnd w:id="863"/>
      <w:bookmarkEnd w:id="864"/>
    </w:p>
    <w:p>
      <w:pPr>
        <w:spacing w:line="588"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本单位郑重声明，根据《财政部 民政部 中国残疾人联合会关于促进残疾人就业政府采购政策的通知》(财库</w:t>
      </w:r>
      <w:r>
        <w:rPr>
          <w:rFonts w:hint="eastAsia" w:hAnsi="宋体" w:cs="宋体"/>
          <w:color w:val="auto"/>
          <w:sz w:val="24"/>
          <w:szCs w:val="24"/>
          <w:highlight w:val="none"/>
        </w:rPr>
        <w:t>〔2017〕141</w:t>
      </w:r>
      <w:r>
        <w:rPr>
          <w:rFonts w:hint="eastAsia" w:hAnsi="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hAnsi="宋体" w:cs="宋体"/>
          <w:color w:val="auto"/>
          <w:spacing w:val="6"/>
          <w:sz w:val="24"/>
          <w:szCs w:val="24"/>
          <w:highlight w:val="none"/>
        </w:rPr>
      </w:pPr>
    </w:p>
    <w:p>
      <w:pPr>
        <w:spacing w:line="588" w:lineRule="exact"/>
        <w:ind w:firstLine="504" w:firstLineChars="200"/>
        <w:rPr>
          <w:rFonts w:hAnsi="宋体" w:cs="宋体"/>
          <w:color w:val="auto"/>
          <w:spacing w:val="6"/>
          <w:sz w:val="24"/>
          <w:szCs w:val="24"/>
          <w:highlight w:val="none"/>
        </w:rPr>
      </w:pPr>
    </w:p>
    <w:p>
      <w:pPr>
        <w:tabs>
          <w:tab w:val="left" w:pos="4860"/>
        </w:tabs>
        <w:spacing w:line="588" w:lineRule="exact"/>
        <w:ind w:right="1560" w:firstLine="504" w:firstLineChars="200"/>
        <w:jc w:val="center"/>
        <w:rPr>
          <w:rFonts w:hAnsi="宋体" w:cs="宋体"/>
          <w:color w:val="auto"/>
          <w:spacing w:val="6"/>
          <w:sz w:val="24"/>
          <w:szCs w:val="24"/>
          <w:highlight w:val="none"/>
        </w:rPr>
      </w:pPr>
      <w:r>
        <w:rPr>
          <w:rFonts w:hint="eastAsia" w:hAnsi="宋体" w:cs="宋体"/>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hAnsi="宋体" w:cs="宋体"/>
          <w:color w:val="auto"/>
          <w:highlight w:val="none"/>
        </w:rPr>
      </w:pPr>
      <w:r>
        <w:rPr>
          <w:rFonts w:hint="eastAsia" w:hAnsi="宋体" w:cs="宋体"/>
          <w:color w:val="auto"/>
          <w:spacing w:val="6"/>
          <w:sz w:val="24"/>
          <w:szCs w:val="24"/>
          <w:highlight w:val="none"/>
          <w:lang w:val="en-US" w:eastAsia="zh-CN"/>
        </w:rPr>
        <w:t xml:space="preserve">       </w:t>
      </w:r>
      <w:r>
        <w:rPr>
          <w:rFonts w:hint="eastAsia" w:hAnsi="宋体" w:cs="宋体"/>
          <w:color w:val="auto"/>
          <w:spacing w:val="6"/>
          <w:sz w:val="24"/>
          <w:szCs w:val="24"/>
          <w:highlight w:val="none"/>
        </w:rPr>
        <w:t>日  期：</w:t>
      </w:r>
    </w:p>
    <w:bookmarkEnd w:id="854"/>
    <w:bookmarkEnd w:id="855"/>
    <w:bookmarkEnd w:id="856"/>
    <w:bookmarkEnd w:id="857"/>
    <w:bookmarkEnd w:id="858"/>
    <w:p>
      <w:pPr>
        <w:spacing w:line="400" w:lineRule="exact"/>
        <w:jc w:val="left"/>
        <w:rPr>
          <w:rFonts w:hAnsi="宋体" w:cs="宋体"/>
          <w:color w:val="auto"/>
          <w:sz w:val="24"/>
          <w:szCs w:val="24"/>
          <w:highlight w:val="none"/>
        </w:rPr>
      </w:pPr>
    </w:p>
    <w:p>
      <w:pPr>
        <w:adjustRightInd w:val="0"/>
        <w:spacing w:line="360" w:lineRule="auto"/>
        <w:jc w:val="center"/>
        <w:rPr>
          <w:rFonts w:hAnsi="宋体" w:cs="宋体"/>
          <w:b/>
          <w:bCs/>
          <w:color w:val="auto"/>
          <w:kern w:val="2"/>
          <w:sz w:val="32"/>
          <w:szCs w:val="28"/>
          <w:highlight w:val="none"/>
        </w:rPr>
      </w:pPr>
      <w:r>
        <w:rPr>
          <w:rFonts w:hint="eastAsia" w:hAnsi="宋体" w:cs="宋体"/>
          <w:b/>
          <w:bCs/>
          <w:color w:val="auto"/>
          <w:kern w:val="2"/>
          <w:sz w:val="32"/>
          <w:szCs w:val="28"/>
          <w:highlight w:val="none"/>
        </w:rPr>
        <w:br w:type="page"/>
      </w:r>
    </w:p>
    <w:p>
      <w:pPr>
        <w:pStyle w:val="4"/>
        <w:spacing w:beforeLines="100" w:afterLines="100" w:line="240" w:lineRule="auto"/>
        <w:jc w:val="center"/>
        <w:rPr>
          <w:rFonts w:ascii="宋体" w:hAnsi="宋体" w:eastAsia="宋体" w:cs="宋体"/>
          <w:color w:val="auto"/>
          <w:szCs w:val="28"/>
          <w:highlight w:val="none"/>
        </w:rPr>
      </w:pPr>
      <w:bookmarkStart w:id="865" w:name="_Toc18157"/>
      <w:r>
        <w:rPr>
          <w:rFonts w:hint="eastAsia" w:ascii="宋体" w:hAnsi="宋体" w:eastAsia="宋体" w:cs="宋体"/>
          <w:color w:val="auto"/>
          <w:szCs w:val="28"/>
          <w:highlight w:val="none"/>
        </w:rPr>
        <w:t>（十</w:t>
      </w:r>
      <w:r>
        <w:rPr>
          <w:rFonts w:hint="eastAsia" w:ascii="宋体" w:hAnsi="宋体" w:eastAsia="宋体" w:cs="宋体"/>
          <w:color w:val="auto"/>
          <w:szCs w:val="28"/>
          <w:highlight w:val="none"/>
          <w:lang w:val="en-US" w:eastAsia="zh-CN"/>
        </w:rPr>
        <w:t>一</w:t>
      </w:r>
      <w:r>
        <w:rPr>
          <w:rFonts w:hint="eastAsia" w:ascii="宋体" w:hAnsi="宋体" w:eastAsia="宋体" w:cs="宋体"/>
          <w:color w:val="auto"/>
          <w:szCs w:val="28"/>
          <w:highlight w:val="none"/>
        </w:rPr>
        <w:t>）项目实施方案</w:t>
      </w:r>
      <w:bookmarkEnd w:id="865"/>
    </w:p>
    <w:p>
      <w:pPr>
        <w:spacing w:line="400" w:lineRule="exact"/>
        <w:ind w:firstLine="482" w:firstLineChars="200"/>
        <w:rPr>
          <w:rFonts w:hAnsi="宋体" w:cs="宋体"/>
          <w:color w:val="auto"/>
          <w:sz w:val="24"/>
          <w:highlight w:val="none"/>
        </w:rPr>
      </w:pPr>
      <w:r>
        <w:rPr>
          <w:rFonts w:hint="eastAsia" w:hAnsi="宋体" w:cs="宋体"/>
          <w:b/>
          <w:bCs/>
          <w:color w:val="auto"/>
          <w:sz w:val="24"/>
          <w:szCs w:val="24"/>
          <w:highlight w:val="none"/>
        </w:rPr>
        <w:t>注：格式自拟。</w:t>
      </w:r>
    </w:p>
    <w:p>
      <w:pPr>
        <w:pStyle w:val="4"/>
        <w:spacing w:beforeLines="100" w:afterLines="100" w:line="240" w:lineRule="auto"/>
        <w:outlineLvl w:val="9"/>
        <w:rPr>
          <w:rFonts w:ascii="宋体" w:hAnsi="宋体" w:eastAsia="宋体" w:cs="宋体"/>
          <w:color w:val="auto"/>
          <w:szCs w:val="28"/>
          <w:highlight w:val="none"/>
        </w:rPr>
      </w:pPr>
      <w:r>
        <w:rPr>
          <w:rFonts w:hint="eastAsia" w:ascii="宋体" w:hAnsi="宋体" w:eastAsia="宋体" w:cs="宋体"/>
          <w:color w:val="auto"/>
          <w:szCs w:val="28"/>
          <w:highlight w:val="none"/>
        </w:rPr>
        <w:br w:type="page"/>
      </w:r>
      <w:bookmarkStart w:id="866" w:name="_Toc26174"/>
    </w:p>
    <w:p>
      <w:pPr>
        <w:pStyle w:val="4"/>
        <w:spacing w:beforeLines="100" w:afterLines="100" w:line="240" w:lineRule="auto"/>
        <w:jc w:val="center"/>
        <w:rPr>
          <w:rFonts w:ascii="宋体" w:hAnsi="宋体" w:eastAsia="宋体" w:cs="宋体"/>
          <w:color w:val="auto"/>
          <w:szCs w:val="28"/>
          <w:highlight w:val="none"/>
        </w:rPr>
      </w:pPr>
      <w:r>
        <w:rPr>
          <w:rFonts w:hint="eastAsia" w:ascii="宋体" w:hAnsi="宋体" w:eastAsia="宋体" w:cs="宋体"/>
          <w:color w:val="auto"/>
          <w:szCs w:val="28"/>
          <w:highlight w:val="none"/>
        </w:rPr>
        <w:t>（十</w:t>
      </w:r>
      <w:r>
        <w:rPr>
          <w:rFonts w:hint="eastAsia" w:ascii="宋体" w:hAnsi="宋体" w:eastAsia="宋体" w:cs="宋体"/>
          <w:color w:val="auto"/>
          <w:szCs w:val="28"/>
          <w:highlight w:val="none"/>
          <w:lang w:val="en-US" w:eastAsia="zh-CN"/>
        </w:rPr>
        <w:t>二</w:t>
      </w:r>
      <w:r>
        <w:rPr>
          <w:rFonts w:hint="eastAsia" w:ascii="宋体" w:hAnsi="宋体" w:eastAsia="宋体" w:cs="宋体"/>
          <w:color w:val="auto"/>
          <w:szCs w:val="28"/>
          <w:highlight w:val="none"/>
        </w:rPr>
        <w:t>）招标代理服务费承诺函</w:t>
      </w:r>
      <w:bookmarkEnd w:id="866"/>
    </w:p>
    <w:p>
      <w:pPr>
        <w:spacing w:line="360" w:lineRule="auto"/>
        <w:rPr>
          <w:rFonts w:hAnsi="宋体" w:cs="宋体"/>
          <w:color w:val="auto"/>
          <w:sz w:val="24"/>
          <w:highlight w:val="none"/>
        </w:rPr>
      </w:pPr>
      <w:r>
        <w:rPr>
          <w:rFonts w:hint="eastAsia" w:hAnsi="宋体" w:cs="宋体"/>
          <w:color w:val="auto"/>
          <w:sz w:val="24"/>
          <w:highlight w:val="none"/>
        </w:rPr>
        <w:t>成都倍信达工程管理咨询有限公司：</w:t>
      </w:r>
    </w:p>
    <w:p>
      <w:pPr>
        <w:wordWrap w:val="0"/>
        <w:spacing w:line="360" w:lineRule="auto"/>
        <w:ind w:firstLine="489" w:firstLineChars="204"/>
        <w:rPr>
          <w:rFonts w:hAnsi="宋体" w:cs="宋体"/>
          <w:color w:val="auto"/>
          <w:sz w:val="24"/>
          <w:highlight w:val="none"/>
        </w:rPr>
      </w:pPr>
      <w:r>
        <w:rPr>
          <w:rFonts w:hint="eastAsia" w:hAnsi="宋体" w:cs="宋体"/>
          <w:color w:val="auto"/>
          <w:sz w:val="24"/>
          <w:highlight w:val="none"/>
        </w:rPr>
        <w:t>我公司在贵公司代理的</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项目(项目编号：</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公开招标中若获中标，我们保证在收到中标通知后2个工作日内按</w:t>
      </w:r>
      <w:r>
        <w:rPr>
          <w:rFonts w:hint="eastAsia" w:hAnsi="宋体" w:cs="宋体"/>
          <w:color w:val="auto"/>
          <w:sz w:val="24"/>
          <w:highlight w:val="none"/>
          <w:lang w:val="zh-CN"/>
        </w:rPr>
        <w:t>招标文件</w:t>
      </w:r>
      <w:r>
        <w:rPr>
          <w:rFonts w:hint="eastAsia" w:hAnsi="宋体" w:cs="宋体"/>
          <w:color w:val="auto"/>
          <w:sz w:val="24"/>
          <w:highlight w:val="none"/>
        </w:rPr>
        <w:t>的规定，以支票、银行汇票、电汇、现金或经贵公司认可的一种方式，向贵公司即</w:t>
      </w:r>
      <w:r>
        <w:rPr>
          <w:rFonts w:hint="eastAsia" w:hAnsi="宋体" w:cs="宋体"/>
          <w:color w:val="auto"/>
          <w:sz w:val="24"/>
          <w:highlight w:val="none"/>
          <w:lang w:val="zh-CN"/>
        </w:rPr>
        <w:t>成都倍信达工程管理咨询有限公司</w:t>
      </w:r>
      <w:r>
        <w:rPr>
          <w:rFonts w:hint="eastAsia" w:hAnsi="宋体" w:cs="宋体"/>
          <w:color w:val="auto"/>
          <w:sz w:val="24"/>
          <w:highlight w:val="none"/>
        </w:rPr>
        <w:t>指定的银行帐号，按照</w:t>
      </w:r>
      <w:r>
        <w:rPr>
          <w:rFonts w:hint="eastAsia" w:hAnsi="宋体" w:cs="宋体"/>
          <w:color w:val="auto"/>
          <w:sz w:val="24"/>
          <w:highlight w:val="none"/>
          <w:lang w:val="zh-CN"/>
        </w:rPr>
        <w:t>招标文件中</w:t>
      </w:r>
      <w:r>
        <w:rPr>
          <w:rFonts w:hint="eastAsia" w:hAnsi="宋体" w:cs="宋体"/>
          <w:color w:val="auto"/>
          <w:sz w:val="24"/>
          <w:highlight w:val="none"/>
        </w:rPr>
        <w:t>招标代理服务费收取标准一次性支付招标代理服务费。</w:t>
      </w:r>
    </w:p>
    <w:p>
      <w:pPr>
        <w:spacing w:line="360" w:lineRule="auto"/>
        <w:ind w:firstLine="435"/>
        <w:rPr>
          <w:rFonts w:hAnsi="宋体" w:cs="宋体"/>
          <w:color w:val="auto"/>
          <w:sz w:val="24"/>
          <w:highlight w:val="none"/>
        </w:rPr>
      </w:pP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特此承诺。</w:t>
      </w:r>
    </w:p>
    <w:p>
      <w:pPr>
        <w:spacing w:line="360" w:lineRule="auto"/>
        <w:ind w:firstLine="435"/>
        <w:rPr>
          <w:rFonts w:hAnsi="宋体" w:cs="宋体"/>
          <w:color w:val="auto"/>
          <w:sz w:val="24"/>
          <w:highlight w:val="none"/>
        </w:rPr>
      </w:pPr>
    </w:p>
    <w:p>
      <w:pPr>
        <w:spacing w:line="360" w:lineRule="auto"/>
        <w:ind w:firstLine="435"/>
        <w:rPr>
          <w:rFonts w:hAnsi="宋体" w:cs="宋体"/>
          <w:color w:val="auto"/>
          <w:sz w:val="24"/>
          <w:highlight w:val="none"/>
        </w:rPr>
      </w:pPr>
    </w:p>
    <w:p>
      <w:pPr>
        <w:spacing w:line="360" w:lineRule="auto"/>
        <w:ind w:firstLine="360" w:firstLineChars="150"/>
        <w:rPr>
          <w:rFonts w:hAnsi="宋体" w:cs="宋体"/>
          <w:color w:val="auto"/>
          <w:sz w:val="24"/>
          <w:highlight w:val="none"/>
        </w:rPr>
      </w:pPr>
      <w:r>
        <w:rPr>
          <w:rFonts w:hint="eastAsia" w:hAnsi="宋体" w:cs="宋体"/>
          <w:color w:val="auto"/>
          <w:sz w:val="24"/>
          <w:highlight w:val="none"/>
        </w:rPr>
        <w:t>承诺方法定名称(承诺方盖章)：</w:t>
      </w:r>
    </w:p>
    <w:p>
      <w:pPr>
        <w:spacing w:line="360" w:lineRule="auto"/>
        <w:ind w:firstLine="360" w:firstLineChars="150"/>
        <w:rPr>
          <w:rFonts w:hAnsi="宋体" w:cs="宋体"/>
          <w:color w:val="auto"/>
          <w:sz w:val="24"/>
          <w:highlight w:val="none"/>
        </w:rPr>
      </w:pPr>
      <w:r>
        <w:rPr>
          <w:rFonts w:hint="eastAsia" w:hAnsi="宋体" w:cs="宋体"/>
          <w:color w:val="auto"/>
          <w:sz w:val="24"/>
          <w:highlight w:val="none"/>
        </w:rPr>
        <w:t>承诺日期：</w:t>
      </w: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rPr>
          <w:rFonts w:hAnsi="宋体" w:cs="宋体"/>
          <w:b/>
          <w:bCs/>
          <w:color w:val="auto"/>
          <w:kern w:val="2"/>
          <w:sz w:val="32"/>
          <w:szCs w:val="28"/>
          <w:highlight w:val="none"/>
        </w:rPr>
      </w:pPr>
      <w:r>
        <w:rPr>
          <w:rFonts w:hint="eastAsia" w:hAnsi="宋体" w:cs="宋体"/>
          <w:b/>
          <w:bCs/>
          <w:color w:val="auto"/>
          <w:kern w:val="2"/>
          <w:sz w:val="32"/>
          <w:szCs w:val="28"/>
          <w:highlight w:val="none"/>
        </w:rPr>
        <w:br w:type="page"/>
      </w:r>
    </w:p>
    <w:p>
      <w:pPr>
        <w:adjustRightInd w:val="0"/>
        <w:spacing w:line="360" w:lineRule="auto"/>
        <w:jc w:val="center"/>
        <w:outlineLvl w:val="0"/>
        <w:rPr>
          <w:rFonts w:hAnsi="宋体" w:cs="宋体"/>
          <w:b/>
          <w:color w:val="auto"/>
          <w:sz w:val="36"/>
          <w:szCs w:val="36"/>
          <w:highlight w:val="none"/>
        </w:rPr>
      </w:pPr>
      <w:bookmarkStart w:id="867" w:name="_Toc11798"/>
      <w:bookmarkStart w:id="868" w:name="_Toc17786"/>
      <w:bookmarkStart w:id="869" w:name="_Toc24126"/>
      <w:bookmarkStart w:id="870" w:name="_Toc28177"/>
      <w:r>
        <w:rPr>
          <w:rFonts w:hint="eastAsia" w:hAnsi="宋体" w:cs="宋体"/>
          <w:b/>
          <w:color w:val="auto"/>
          <w:sz w:val="36"/>
          <w:szCs w:val="36"/>
          <w:highlight w:val="none"/>
        </w:rPr>
        <w:t>第四章 投标人</w:t>
      </w:r>
      <w:r>
        <w:rPr>
          <w:rFonts w:hint="eastAsia" w:hAnsi="宋体" w:cs="宋体"/>
          <w:b/>
          <w:color w:val="auto"/>
          <w:sz w:val="36"/>
          <w:szCs w:val="36"/>
          <w:highlight w:val="none"/>
          <w:lang w:val="zh-CN"/>
        </w:rPr>
        <w:t>和投标产品</w:t>
      </w:r>
      <w:r>
        <w:rPr>
          <w:rFonts w:hint="eastAsia" w:hAnsi="宋体" w:cs="宋体"/>
          <w:b/>
          <w:color w:val="auto"/>
          <w:sz w:val="36"/>
          <w:szCs w:val="36"/>
          <w:highlight w:val="none"/>
        </w:rPr>
        <w:t>的资格、资质性</w:t>
      </w:r>
      <w:bookmarkStart w:id="871" w:name="_Toc21759"/>
      <w:bookmarkStart w:id="872" w:name="_Toc17884"/>
      <w:bookmarkStart w:id="873" w:name="_Toc327196317"/>
      <w:bookmarkStart w:id="874" w:name="_Toc319439931"/>
      <w:bookmarkStart w:id="875" w:name="_Toc307501136"/>
      <w:bookmarkStart w:id="876" w:name="_Toc307564882"/>
      <w:r>
        <w:rPr>
          <w:rFonts w:hint="eastAsia" w:hAnsi="宋体" w:cs="宋体"/>
          <w:b/>
          <w:color w:val="auto"/>
          <w:sz w:val="36"/>
          <w:szCs w:val="36"/>
          <w:highlight w:val="none"/>
        </w:rPr>
        <w:t>及其他类似效力要求</w:t>
      </w:r>
      <w:bookmarkEnd w:id="777"/>
      <w:bookmarkEnd w:id="778"/>
      <w:bookmarkEnd w:id="867"/>
      <w:bookmarkEnd w:id="868"/>
      <w:bookmarkEnd w:id="869"/>
      <w:bookmarkEnd w:id="870"/>
      <w:bookmarkEnd w:id="871"/>
      <w:bookmarkEnd w:id="872"/>
      <w:bookmarkEnd w:id="873"/>
      <w:bookmarkEnd w:id="874"/>
      <w:bookmarkEnd w:id="875"/>
      <w:bookmarkEnd w:id="876"/>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Ansi="宋体" w:cs="宋体"/>
          <w:b w:val="0"/>
          <w:bCs w:val="0"/>
          <w:color w:val="auto"/>
          <w:highlight w:val="none"/>
          <w:lang w:val="zh-CN"/>
        </w:rPr>
      </w:pPr>
      <w:bookmarkStart w:id="877" w:name="_Toc18335"/>
      <w:bookmarkStart w:id="878" w:name="_Toc14656"/>
      <w:r>
        <w:rPr>
          <w:rFonts w:hint="default" w:hAnsi="宋体" w:cs="宋体"/>
          <w:b w:val="0"/>
          <w:bCs w:val="0"/>
          <w:color w:val="auto"/>
          <w:highlight w:val="none"/>
          <w:lang w:val="zh-CN"/>
        </w:rPr>
        <w:t>一、投标人的资格、资质性要求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（一）中华人民共和国政府采购法》第二十二条第一款第（一）至（五）规定的条件：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1、具有独立承担民事责任的能力；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2、具有良好的商业信誉和健全的财务会计制度；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3、具有履行合同所必需的设备和专业技术能力；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4、具有依法缴纳税收和社会保障资金的良好记录；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5、参加本次政府采购活动前三年内，在经营活动中没有重大违法记录。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（二）法律、行政法规规定的其他条件：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eastAsia" w:hAnsi="宋体" w:cs="宋体"/>
          <w:color w:val="auto"/>
          <w:highlight w:val="none"/>
          <w:lang w:val="zh-CN" w:eastAsia="zh-CN"/>
        </w:rPr>
        <w:t>1、</w:t>
      </w:r>
      <w:r>
        <w:rPr>
          <w:rFonts w:hint="default" w:hAnsi="宋体" w:cs="宋体"/>
          <w:color w:val="auto"/>
          <w:highlight w:val="none"/>
          <w:lang w:val="zh-CN"/>
        </w:rPr>
        <w:t>投标人单位及其现任法定代表人/主要负责人不得具有行贿犯罪记录</w:t>
      </w:r>
      <w:r>
        <w:rPr>
          <w:rFonts w:hint="eastAsia" w:hAnsi="宋体" w:cs="宋体"/>
          <w:color w:val="auto"/>
          <w:highlight w:val="none"/>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hAnsi="宋体" w:cs="宋体"/>
          <w:color w:val="auto"/>
          <w:highlight w:val="none"/>
          <w:lang w:val="zh-CN"/>
        </w:rPr>
      </w:pPr>
      <w:r>
        <w:rPr>
          <w:rFonts w:hint="eastAsia" w:hAnsi="宋体" w:cs="宋体"/>
          <w:color w:val="auto"/>
          <w:highlight w:val="none"/>
          <w:lang w:val="zh-CN" w:eastAsia="zh-CN"/>
        </w:rPr>
        <w:t>2、</w:t>
      </w:r>
      <w:r>
        <w:rPr>
          <w:rFonts w:hint="eastAsia" w:hAnsi="宋体" w:cs="宋体"/>
          <w:color w:val="auto"/>
          <w:highlight w:val="none"/>
          <w:lang w:val="zh-CN"/>
        </w:rPr>
        <w:t>单位负责人为同一人或者存在控股、管理关系的不同</w:t>
      </w:r>
      <w:r>
        <w:rPr>
          <w:rFonts w:hint="eastAsia" w:hAnsi="宋体" w:cs="宋体"/>
          <w:color w:val="auto"/>
          <w:highlight w:val="none"/>
          <w:lang w:val="zh-CN" w:eastAsia="zh-CN"/>
        </w:rPr>
        <w:t>投标人</w:t>
      </w:r>
      <w:r>
        <w:rPr>
          <w:rFonts w:hint="eastAsia" w:hAnsi="宋体" w:cs="宋体"/>
          <w:color w:val="auto"/>
          <w:highlight w:val="none"/>
          <w:lang w:val="zh-CN"/>
        </w:rPr>
        <w:t>，不得参加同一合同项下的政府采购活动。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eastAsia" w:hAnsi="宋体" w:cs="宋体"/>
          <w:color w:val="auto"/>
          <w:highlight w:val="none"/>
          <w:lang w:val="zh-CN"/>
        </w:rPr>
      </w:pPr>
      <w:r>
        <w:rPr>
          <w:rFonts w:hint="eastAsia" w:hAnsi="宋体" w:cs="宋体"/>
          <w:color w:val="auto"/>
          <w:highlight w:val="none"/>
          <w:lang w:val="zh-CN" w:eastAsia="zh-CN"/>
        </w:rPr>
        <w:t>3、</w:t>
      </w:r>
      <w:r>
        <w:rPr>
          <w:rFonts w:hint="eastAsia" w:hAnsi="宋体" w:cs="宋体"/>
          <w:color w:val="auto"/>
          <w:highlight w:val="none"/>
          <w:lang w:val="zh-CN"/>
        </w:rPr>
        <w:t>投标人未对本次采购项目提供过整体设计、规范编制或者项目管理、监理、检测等服务。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（三）本项目不接受联合体投标。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Ansi="宋体" w:cs="宋体"/>
          <w:color w:val="auto"/>
          <w:highlight w:val="none"/>
          <w:lang w:val="zh-CN"/>
        </w:rPr>
      </w:pPr>
      <w:r>
        <w:rPr>
          <w:rFonts w:hint="default" w:hAnsi="宋体" w:cs="宋体"/>
          <w:color w:val="auto"/>
          <w:highlight w:val="none"/>
          <w:lang w:val="zh-CN"/>
        </w:rPr>
        <w:t>二、投标产品的资格、资质性要求：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Ansi="宋体" w:cs="宋体"/>
          <w:color w:val="auto"/>
          <w:highlight w:val="none"/>
          <w:lang w:val="zh-CN"/>
        </w:rPr>
      </w:pPr>
      <w:r>
        <w:rPr>
          <w:rFonts w:hint="default" w:hAnsi="宋体" w:cs="宋体"/>
          <w:color w:val="auto"/>
          <w:highlight w:val="none"/>
          <w:lang w:val="zh-CN"/>
        </w:rPr>
        <w:t>三、其他类似效力要求：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79" w:firstLineChars="283"/>
        <w:textAlignment w:val="auto"/>
        <w:rPr>
          <w:rFonts w:hint="default" w:hAnsi="宋体" w:cs="宋体"/>
          <w:color w:val="auto"/>
          <w:highlight w:val="none"/>
          <w:lang w:val="zh-CN"/>
        </w:rPr>
      </w:pPr>
      <w:r>
        <w:rPr>
          <w:rFonts w:hint="default" w:hAnsi="宋体" w:cs="宋体"/>
          <w:color w:val="auto"/>
          <w:highlight w:val="none"/>
          <w:lang w:val="zh-CN"/>
        </w:rPr>
        <w:t>授权参加本次投标活动的投标人代表</w:t>
      </w:r>
      <w:r>
        <w:rPr>
          <w:rFonts w:hint="eastAsia" w:hAnsi="宋体" w:cs="宋体"/>
          <w:color w:val="auto"/>
          <w:highlight w:val="none"/>
          <w:lang w:val="zh-CN" w:eastAsia="zh-CN"/>
        </w:rPr>
        <w:t>。</w:t>
      </w:r>
    </w:p>
    <w:p>
      <w:pPr>
        <w:rPr>
          <w:rFonts w:hAnsi="宋体" w:cs="宋体"/>
          <w:color w:val="auto"/>
          <w:highlight w:val="none"/>
          <w:lang w:val="zh-CN"/>
        </w:rPr>
      </w:pPr>
    </w:p>
    <w:p>
      <w:pPr>
        <w:pStyle w:val="60"/>
        <w:spacing w:line="420" w:lineRule="exact"/>
        <w:ind w:firstLine="0" w:firstLineChars="0"/>
        <w:rPr>
          <w:rFonts w:hint="eastAsia" w:ascii="宋体" w:hAnsi="宋体" w:eastAsia="宋体" w:cs="宋体"/>
          <w:b/>
          <w:color w:val="auto"/>
          <w:sz w:val="24"/>
        </w:rPr>
      </w:pPr>
      <w:r>
        <w:rPr>
          <w:rFonts w:hint="eastAsia" w:ascii="宋体" w:hAnsi="宋体" w:eastAsia="宋体" w:cs="宋体"/>
          <w:b/>
          <w:color w:val="auto"/>
          <w:sz w:val="24"/>
        </w:rPr>
        <w:t>注</w:t>
      </w:r>
      <w:r>
        <w:rPr>
          <w:rFonts w:hint="eastAsia" w:ascii="宋体" w:hAnsi="宋体" w:eastAsia="宋体" w:cs="宋体"/>
          <w:b/>
          <w:color w:val="auto"/>
          <w:sz w:val="24"/>
          <w:szCs w:val="22"/>
        </w:rPr>
        <w:t>：1、本项目确定供应商重大违法记录中较大数额罚款的金额标准为：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w:t>
      </w:r>
      <w:r>
        <w:rPr>
          <w:rFonts w:hint="eastAsia" w:ascii="宋体" w:hAnsi="宋体" w:eastAsia="宋体" w:cs="宋体"/>
          <w:b/>
          <w:color w:val="auto"/>
          <w:sz w:val="24"/>
        </w:rPr>
        <w:t>为处以罚款或者没收财产5万元以上。</w:t>
      </w:r>
    </w:p>
    <w:p>
      <w:pPr>
        <w:pStyle w:val="60"/>
        <w:ind w:firstLine="472" w:firstLineChars="196"/>
        <w:jc w:val="left"/>
        <w:rPr>
          <w:rFonts w:hint="eastAsia" w:ascii="宋体" w:hAnsi="宋体" w:eastAsia="宋体" w:cs="宋体"/>
          <w:b/>
          <w:color w:val="auto"/>
          <w:sz w:val="24"/>
        </w:rPr>
      </w:pPr>
      <w:r>
        <w:rPr>
          <w:rFonts w:hint="eastAsia" w:ascii="宋体" w:hAnsi="宋体" w:eastAsia="宋体" w:cs="宋体"/>
          <w:b/>
          <w:color w:val="auto"/>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rPr>
          <w:color w:val="auto"/>
          <w:lang w:val="zh-CN"/>
        </w:rPr>
      </w:pPr>
    </w:p>
    <w:p>
      <w:pPr>
        <w:wordWrap w:val="0"/>
        <w:topLinePunct/>
        <w:spacing w:after="50" w:line="440" w:lineRule="exact"/>
        <w:rPr>
          <w:rFonts w:hAnsi="宋体" w:cs="宋体"/>
          <w:color w:val="auto"/>
          <w:sz w:val="24"/>
          <w:szCs w:val="20"/>
          <w:highlight w:val="none"/>
          <w:lang w:val="zh-CN"/>
        </w:rPr>
      </w:pPr>
    </w:p>
    <w:bookmarkEnd w:id="877"/>
    <w:bookmarkEnd w:id="878"/>
    <w:p>
      <w:pPr>
        <w:ind w:left="-874" w:leftChars="-257"/>
        <w:rPr>
          <w:color w:val="auto"/>
          <w:highlight w:val="none"/>
        </w:rPr>
      </w:pPr>
    </w:p>
    <w:p>
      <w:pPr>
        <w:pStyle w:val="3"/>
        <w:spacing w:before="260" w:after="260" w:line="360" w:lineRule="auto"/>
        <w:jc w:val="center"/>
        <w:rPr>
          <w:rFonts w:hAnsi="宋体" w:cs="宋体"/>
          <w:bCs w:val="0"/>
          <w:color w:val="auto"/>
          <w:sz w:val="36"/>
          <w:highlight w:val="none"/>
        </w:rPr>
      </w:pPr>
      <w:bookmarkStart w:id="879" w:name="_Toc24888"/>
      <w:r>
        <w:rPr>
          <w:rFonts w:hint="eastAsia" w:hAnsi="宋体" w:cs="宋体"/>
          <w:bCs w:val="0"/>
          <w:color w:val="auto"/>
          <w:sz w:val="36"/>
          <w:highlight w:val="none"/>
        </w:rPr>
        <w:br w:type="page"/>
      </w:r>
      <w:bookmarkStart w:id="880" w:name="_Toc22956"/>
      <w:bookmarkStart w:id="881" w:name="_Toc32032"/>
      <w:bookmarkStart w:id="882" w:name="_Toc7008"/>
      <w:bookmarkStart w:id="883" w:name="_Toc30333"/>
      <w:bookmarkStart w:id="884" w:name="_Toc29476"/>
      <w:r>
        <w:rPr>
          <w:rFonts w:hint="eastAsia" w:hAnsi="宋体" w:cs="宋体"/>
          <w:bCs w:val="0"/>
          <w:color w:val="auto"/>
          <w:sz w:val="36"/>
          <w:szCs w:val="36"/>
          <w:highlight w:val="none"/>
        </w:rPr>
        <w:t xml:space="preserve">第五章 </w:t>
      </w:r>
      <w:bookmarkEnd w:id="879"/>
      <w:bookmarkEnd w:id="880"/>
      <w:bookmarkEnd w:id="881"/>
      <w:r>
        <w:rPr>
          <w:rFonts w:hint="eastAsia" w:hAnsi="宋体" w:cs="宋体"/>
          <w:bCs w:val="0"/>
          <w:color w:val="auto"/>
          <w:sz w:val="36"/>
          <w:szCs w:val="36"/>
          <w:highlight w:val="none"/>
        </w:rPr>
        <w:t>资格性审查</w:t>
      </w:r>
      <w:bookmarkEnd w:id="882"/>
      <w:bookmarkEnd w:id="883"/>
      <w:bookmarkEnd w:id="884"/>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bookmarkStart w:id="885" w:name="_Toc327196332"/>
      <w:bookmarkStart w:id="886" w:name="_Toc32482"/>
      <w:r>
        <w:rPr>
          <w:rFonts w:hint="eastAsia" w:hAnsi="宋体" w:cs="宋体"/>
          <w:b w:val="0"/>
          <w:bCs/>
          <w:color w:val="auto"/>
          <w:sz w:val="24"/>
          <w:szCs w:val="24"/>
          <w:highlight w:val="none"/>
        </w:rPr>
        <w:t>一、投标人的资格、资质性要求相关证明材料</w:t>
      </w:r>
      <w:r>
        <w:rPr>
          <w:rFonts w:hint="eastAsia" w:hAnsi="宋体" w:cs="宋体"/>
          <w:b w:val="0"/>
          <w:bCs/>
          <w:color w:val="auto"/>
          <w:sz w:val="24"/>
          <w:szCs w:val="24"/>
          <w:highlight w:val="none"/>
          <w:lang w:eastAsia="zh-CN"/>
        </w:rPr>
        <w:t>：</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w:t>
      </w:r>
      <w:r>
        <w:rPr>
          <w:rFonts w:hint="eastAsia" w:hAnsi="宋体" w:cs="宋体"/>
          <w:b w:val="0"/>
          <w:bCs/>
          <w:color w:val="auto"/>
          <w:sz w:val="24"/>
          <w:szCs w:val="24"/>
          <w:highlight w:val="none"/>
          <w:lang w:val="zh-CN" w:eastAsia="zh-CN"/>
        </w:rPr>
        <w:t>一</w:t>
      </w:r>
      <w:r>
        <w:rPr>
          <w:rFonts w:hint="eastAsia" w:hAnsi="宋体" w:cs="宋体"/>
          <w:b w:val="0"/>
          <w:bCs/>
          <w:color w:val="auto"/>
          <w:sz w:val="24"/>
          <w:szCs w:val="24"/>
          <w:highlight w:val="none"/>
          <w:lang w:val="zh-CN"/>
        </w:rPr>
        <w:t>）具有独立承担民事责任能力的证明材料复印件：</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en-US" w:eastAsia="zh-CN"/>
        </w:rPr>
        <w:t>1、</w:t>
      </w:r>
      <w:r>
        <w:rPr>
          <w:rFonts w:hint="eastAsia" w:hAnsi="宋体" w:cs="宋体"/>
          <w:b w:val="0"/>
          <w:bCs/>
          <w:color w:val="auto"/>
          <w:sz w:val="24"/>
          <w:szCs w:val="24"/>
          <w:highlight w:val="none"/>
          <w:lang w:val="zh-CN"/>
        </w:rPr>
        <w:t>企业法人：提供“统一社会信用代码营业执照”；</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en-US" w:eastAsia="zh-CN"/>
        </w:rPr>
        <w:t>2、</w:t>
      </w:r>
      <w:r>
        <w:rPr>
          <w:rFonts w:hint="eastAsia" w:hAnsi="宋体" w:cs="宋体"/>
          <w:b w:val="0"/>
          <w:bCs/>
          <w:color w:val="auto"/>
          <w:sz w:val="24"/>
          <w:szCs w:val="24"/>
          <w:highlight w:val="none"/>
          <w:lang w:val="zh-CN"/>
        </w:rPr>
        <w:t>事业法人：提供“统一社会信用代码法人登记证书”；</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en-US" w:eastAsia="zh-CN"/>
        </w:rPr>
        <w:t>3、</w:t>
      </w:r>
      <w:r>
        <w:rPr>
          <w:rFonts w:hint="eastAsia" w:hAnsi="宋体" w:cs="宋体"/>
          <w:b w:val="0"/>
          <w:bCs/>
          <w:color w:val="auto"/>
          <w:sz w:val="24"/>
          <w:szCs w:val="24"/>
          <w:highlight w:val="none"/>
          <w:lang w:val="zh-CN"/>
        </w:rPr>
        <w:t>其他组织：提供“对应主管部门颁发的准许执业证明文件”或“统一社会信用代码的社会团体法人登记证书”或“统一社会信用代码的民办非企业单位登记证书”或“统一社会信用代码的基金会法人登记证书”；</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4、个体工商户</w:t>
      </w:r>
      <w:r>
        <w:rPr>
          <w:rFonts w:hint="eastAsia" w:hAnsi="宋体" w:cs="宋体"/>
          <w:b w:val="0"/>
          <w:bCs/>
          <w:color w:val="auto"/>
          <w:sz w:val="24"/>
          <w:szCs w:val="24"/>
          <w:highlight w:val="none"/>
          <w:lang w:val="zh-CN"/>
        </w:rPr>
        <w:t>：提供“统一社会信用代码营业执照”；</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en-US" w:eastAsia="zh-CN"/>
        </w:rPr>
        <w:t>5、</w:t>
      </w:r>
      <w:r>
        <w:rPr>
          <w:rFonts w:hint="eastAsia" w:hAnsi="宋体" w:cs="宋体"/>
          <w:b w:val="0"/>
          <w:bCs/>
          <w:color w:val="auto"/>
          <w:sz w:val="24"/>
          <w:szCs w:val="24"/>
          <w:highlight w:val="none"/>
          <w:lang w:val="zh-CN"/>
        </w:rPr>
        <w:t>自然人：提供“身份证明材料”。</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（二）具有良好的商业信誉的承诺函原件。</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（三）</w:t>
      </w:r>
      <w:r>
        <w:rPr>
          <w:rFonts w:hint="eastAsia" w:hAnsi="宋体" w:cs="宋体"/>
          <w:b w:val="0"/>
          <w:bCs/>
          <w:color w:val="auto"/>
          <w:sz w:val="24"/>
          <w:szCs w:val="24"/>
          <w:highlight w:val="none"/>
          <w:lang w:val="en-US" w:eastAsia="zh-CN"/>
        </w:rPr>
        <w:t>具备健全的财务会计制度证明材料复印件：</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en-US" w:eastAsia="zh-CN"/>
        </w:rPr>
        <w:t>成立满一年的</w:t>
      </w:r>
      <w:r>
        <w:rPr>
          <w:rFonts w:hint="eastAsia" w:hAnsi="宋体" w:cs="宋体"/>
          <w:b w:val="0"/>
          <w:bCs/>
          <w:color w:val="auto"/>
          <w:sz w:val="24"/>
          <w:szCs w:val="24"/>
          <w:highlight w:val="none"/>
          <w:lang w:val="zh-CN"/>
        </w:rPr>
        <w:t>企业法人（</w:t>
      </w:r>
      <w:r>
        <w:rPr>
          <w:rFonts w:hint="eastAsia" w:hAnsi="宋体" w:cs="宋体"/>
          <w:b w:val="0"/>
          <w:bCs/>
          <w:color w:val="auto"/>
          <w:sz w:val="24"/>
          <w:szCs w:val="24"/>
          <w:highlight w:val="none"/>
          <w:lang w:val="en-US" w:eastAsia="zh-CN"/>
        </w:rPr>
        <w:t>以下三项内容任选一项即可</w:t>
      </w:r>
      <w:r>
        <w:rPr>
          <w:rFonts w:hint="eastAsia" w:hAnsi="宋体" w:cs="宋体"/>
          <w:b w:val="0"/>
          <w:bCs/>
          <w:color w:val="auto"/>
          <w:sz w:val="24"/>
          <w:szCs w:val="24"/>
          <w:highlight w:val="none"/>
          <w:lang w:val="zh-CN"/>
        </w:rPr>
        <w:t>）：</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①可提供</w:t>
      </w:r>
      <w:r>
        <w:rPr>
          <w:rFonts w:hint="eastAsia" w:hAnsi="宋体" w:cs="宋体"/>
          <w:b w:val="0"/>
          <w:bCs/>
          <w:color w:val="auto"/>
          <w:sz w:val="24"/>
          <w:szCs w:val="24"/>
          <w:highlight w:val="none"/>
          <w:lang w:val="en-US" w:eastAsia="zh-CN"/>
        </w:rPr>
        <w:t>2019年度或2020年度</w:t>
      </w:r>
      <w:r>
        <w:rPr>
          <w:rFonts w:hint="eastAsia" w:hAnsi="宋体" w:cs="宋体"/>
          <w:b w:val="0"/>
          <w:bCs/>
          <w:color w:val="auto"/>
          <w:sz w:val="24"/>
          <w:szCs w:val="24"/>
          <w:highlight w:val="none"/>
          <w:lang w:val="zh-CN"/>
        </w:rPr>
        <w:t>会计师事务所</w:t>
      </w:r>
      <w:r>
        <w:rPr>
          <w:rFonts w:hint="eastAsia" w:hAnsi="宋体" w:cs="宋体"/>
          <w:b w:val="0"/>
          <w:bCs/>
          <w:color w:val="auto"/>
          <w:sz w:val="24"/>
          <w:szCs w:val="24"/>
          <w:highlight w:val="none"/>
          <w:lang w:val="en-US" w:eastAsia="zh-CN"/>
        </w:rPr>
        <w:t>出具的</w:t>
      </w:r>
      <w:r>
        <w:rPr>
          <w:rFonts w:hint="eastAsia" w:hAnsi="宋体" w:cs="宋体"/>
          <w:b w:val="0"/>
          <w:bCs/>
          <w:color w:val="auto"/>
          <w:sz w:val="24"/>
          <w:szCs w:val="24"/>
          <w:highlight w:val="none"/>
          <w:lang w:val="zh-CN"/>
        </w:rPr>
        <w:t>审计报告复印件。</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注：会计师事务所出具的审计报告应</w:t>
      </w:r>
      <w:r>
        <w:rPr>
          <w:rFonts w:hint="eastAsia" w:hAnsi="宋体" w:cs="宋体"/>
          <w:b w:val="0"/>
          <w:bCs/>
          <w:color w:val="auto"/>
          <w:sz w:val="24"/>
          <w:szCs w:val="24"/>
          <w:highlight w:val="none"/>
          <w:lang w:val="zh-CN"/>
        </w:rPr>
        <w:t>包含审计报告、所涉及的财务报表、报表附注、</w:t>
      </w:r>
      <w:r>
        <w:rPr>
          <w:rFonts w:hint="eastAsia" w:hAnsi="宋体" w:cs="宋体"/>
          <w:b w:val="0"/>
          <w:bCs/>
          <w:color w:val="auto"/>
          <w:sz w:val="24"/>
          <w:szCs w:val="24"/>
          <w:highlight w:val="none"/>
          <w:lang w:val="en-US" w:eastAsia="zh-CN"/>
        </w:rPr>
        <w:t>会计师事务所营业执照、会计师事务所执业证书、</w:t>
      </w:r>
      <w:r>
        <w:rPr>
          <w:rFonts w:hint="eastAsia" w:hAnsi="宋体" w:cs="宋体"/>
          <w:b w:val="0"/>
          <w:bCs/>
          <w:color w:val="auto"/>
          <w:sz w:val="24"/>
          <w:szCs w:val="24"/>
          <w:highlight w:val="none"/>
          <w:lang w:val="zh-CN"/>
        </w:rPr>
        <w:t>签署审计报告的注册会计师</w:t>
      </w:r>
      <w:r>
        <w:rPr>
          <w:rFonts w:hint="eastAsia" w:hAnsi="宋体" w:cs="宋体"/>
          <w:b w:val="0"/>
          <w:bCs/>
          <w:color w:val="auto"/>
          <w:sz w:val="24"/>
          <w:szCs w:val="24"/>
          <w:highlight w:val="none"/>
          <w:lang w:val="en-US" w:eastAsia="zh-CN"/>
        </w:rPr>
        <w:t>执业</w:t>
      </w:r>
      <w:r>
        <w:rPr>
          <w:rFonts w:hint="eastAsia" w:hAnsi="宋体" w:cs="宋体"/>
          <w:b w:val="0"/>
          <w:bCs/>
          <w:color w:val="auto"/>
          <w:sz w:val="24"/>
          <w:szCs w:val="24"/>
          <w:highlight w:val="none"/>
          <w:lang w:val="zh-CN"/>
        </w:rPr>
        <w:t>证明</w:t>
      </w:r>
      <w:r>
        <w:rPr>
          <w:rFonts w:hint="eastAsia" w:hAnsi="宋体" w:cs="宋体"/>
          <w:b w:val="0"/>
          <w:bCs/>
          <w:color w:val="auto"/>
          <w:sz w:val="24"/>
          <w:szCs w:val="24"/>
          <w:highlight w:val="none"/>
          <w:lang w:val="en-US" w:eastAsia="zh-CN"/>
        </w:rPr>
        <w:t>。</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若是由</w:t>
      </w:r>
      <w:r>
        <w:rPr>
          <w:rFonts w:hint="eastAsia" w:hAnsi="宋体" w:cs="宋体"/>
          <w:b w:val="0"/>
          <w:bCs/>
          <w:color w:val="auto"/>
          <w:sz w:val="24"/>
          <w:szCs w:val="24"/>
          <w:highlight w:val="none"/>
          <w:lang w:val="zh-CN"/>
        </w:rPr>
        <w:fldChar w:fldCharType="begin"/>
      </w:r>
      <w:r>
        <w:rPr>
          <w:rFonts w:hint="eastAsia" w:hAnsi="宋体" w:cs="宋体"/>
          <w:b w:val="0"/>
          <w:bCs/>
          <w:color w:val="auto"/>
          <w:sz w:val="24"/>
          <w:szCs w:val="24"/>
          <w:highlight w:val="none"/>
          <w:lang w:val="zh-CN"/>
        </w:rPr>
        <w:instrText xml:space="preserve"> HYPERLINK "https://www.baidu.com/s?wd=%E6%9C%89%E9%99%90%E8%B4%A3%E4%BB%BB&amp;tn=SE_PcZhidaonwhc_ngpagmjz&amp;rsv_dl=gh_pc_zhidao" \t "https://zhidao.baidu.com/question/_blank" </w:instrText>
      </w:r>
      <w:r>
        <w:rPr>
          <w:rFonts w:hint="eastAsia" w:hAnsi="宋体" w:cs="宋体"/>
          <w:b w:val="0"/>
          <w:bCs/>
          <w:color w:val="auto"/>
          <w:sz w:val="24"/>
          <w:szCs w:val="24"/>
          <w:highlight w:val="none"/>
          <w:lang w:val="zh-CN"/>
        </w:rPr>
        <w:fldChar w:fldCharType="separate"/>
      </w:r>
      <w:r>
        <w:rPr>
          <w:rFonts w:hint="eastAsia" w:hAnsi="宋体" w:cs="宋体"/>
          <w:b w:val="0"/>
          <w:bCs/>
          <w:color w:val="auto"/>
          <w:sz w:val="24"/>
          <w:szCs w:val="24"/>
          <w:highlight w:val="none"/>
          <w:lang w:val="zh-CN"/>
        </w:rPr>
        <w:t>有限责任</w:t>
      </w:r>
      <w:r>
        <w:rPr>
          <w:rFonts w:hint="eastAsia" w:hAnsi="宋体" w:cs="宋体"/>
          <w:b w:val="0"/>
          <w:bCs/>
          <w:color w:val="auto"/>
          <w:sz w:val="24"/>
          <w:szCs w:val="24"/>
          <w:highlight w:val="none"/>
          <w:lang w:val="zh-CN"/>
        </w:rPr>
        <w:fldChar w:fldCharType="end"/>
      </w:r>
      <w:r>
        <w:rPr>
          <w:rFonts w:hint="eastAsia" w:hAnsi="宋体" w:cs="宋体"/>
          <w:b w:val="0"/>
          <w:bCs/>
          <w:color w:val="auto"/>
          <w:sz w:val="24"/>
          <w:szCs w:val="24"/>
          <w:highlight w:val="none"/>
          <w:lang w:val="zh-CN"/>
        </w:rPr>
        <w:t>会计师事务所出具的审计报告，</w:t>
      </w:r>
      <w:r>
        <w:rPr>
          <w:rFonts w:hint="eastAsia" w:hAnsi="宋体" w:cs="宋体"/>
          <w:b w:val="0"/>
          <w:bCs/>
          <w:color w:val="auto"/>
          <w:sz w:val="24"/>
          <w:szCs w:val="24"/>
          <w:highlight w:val="none"/>
          <w:lang w:val="en-US" w:eastAsia="zh-CN"/>
        </w:rPr>
        <w:t>主任会计师未签署审计报告的，</w:t>
      </w:r>
      <w:r>
        <w:rPr>
          <w:rFonts w:hint="eastAsia" w:hAnsi="宋体" w:cs="宋体"/>
          <w:b w:val="0"/>
          <w:bCs/>
          <w:color w:val="auto"/>
          <w:sz w:val="24"/>
          <w:szCs w:val="24"/>
          <w:highlight w:val="none"/>
          <w:lang w:val="zh-CN"/>
        </w:rPr>
        <w:t>应当</w:t>
      </w:r>
      <w:r>
        <w:rPr>
          <w:rFonts w:hint="eastAsia" w:hAnsi="宋体" w:cs="宋体"/>
          <w:b w:val="0"/>
          <w:bCs/>
          <w:color w:val="auto"/>
          <w:sz w:val="24"/>
          <w:szCs w:val="24"/>
          <w:highlight w:val="none"/>
          <w:lang w:val="en-US" w:eastAsia="zh-CN"/>
        </w:rPr>
        <w:t>提供</w:t>
      </w:r>
      <w:r>
        <w:rPr>
          <w:rFonts w:hint="eastAsia" w:hAnsi="宋体" w:cs="宋体"/>
          <w:b w:val="0"/>
          <w:bCs/>
          <w:color w:val="auto"/>
          <w:sz w:val="24"/>
          <w:szCs w:val="24"/>
          <w:highlight w:val="none"/>
          <w:lang w:val="zh-CN"/>
        </w:rPr>
        <w:t>会计师事务所授权会计师</w:t>
      </w:r>
      <w:r>
        <w:rPr>
          <w:rFonts w:hint="eastAsia" w:hAnsi="宋体" w:cs="宋体"/>
          <w:b w:val="0"/>
          <w:bCs/>
          <w:color w:val="auto"/>
          <w:sz w:val="24"/>
          <w:szCs w:val="24"/>
          <w:highlight w:val="none"/>
          <w:lang w:val="en-US" w:eastAsia="zh-CN"/>
        </w:rPr>
        <w:t>签署审计报告的授权书复印件。</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②也可提供自行编制的</w:t>
      </w:r>
      <w:r>
        <w:rPr>
          <w:rFonts w:hint="eastAsia" w:hAnsi="宋体" w:cs="宋体"/>
          <w:b w:val="0"/>
          <w:bCs/>
          <w:color w:val="auto"/>
          <w:sz w:val="24"/>
          <w:szCs w:val="24"/>
          <w:highlight w:val="none"/>
          <w:lang w:val="en-US" w:eastAsia="zh-CN"/>
        </w:rPr>
        <w:t>2019年度或2020年度</w:t>
      </w:r>
      <w:r>
        <w:rPr>
          <w:rFonts w:hint="eastAsia" w:hAnsi="宋体" w:cs="宋体"/>
          <w:b w:val="0"/>
          <w:bCs/>
          <w:color w:val="auto"/>
          <w:sz w:val="24"/>
          <w:szCs w:val="24"/>
          <w:highlight w:val="none"/>
          <w:lang w:val="zh-CN"/>
        </w:rPr>
        <w:t>财务状况复印件。</w:t>
      </w:r>
    </w:p>
    <w:p>
      <w:pPr>
        <w:wordWrap w:val="0"/>
        <w:topLinePunct/>
        <w:spacing w:after="50" w:line="360" w:lineRule="auto"/>
        <w:ind w:firstLine="480" w:firstLineChars="200"/>
        <w:rPr>
          <w:rFonts w:hint="eastAsia" w:hAnsi="宋体" w:cs="宋体"/>
          <w:b w:val="0"/>
          <w:bCs/>
          <w:color w:val="auto"/>
          <w:sz w:val="24"/>
          <w:szCs w:val="24"/>
          <w:highlight w:val="none"/>
          <w:lang w:val="en-US"/>
        </w:rPr>
      </w:pPr>
      <w:r>
        <w:rPr>
          <w:rFonts w:hint="eastAsia" w:hAnsi="宋体" w:cs="宋体"/>
          <w:b w:val="0"/>
          <w:bCs/>
          <w:color w:val="auto"/>
          <w:sz w:val="24"/>
          <w:szCs w:val="24"/>
          <w:highlight w:val="none"/>
          <w:lang w:val="en-US" w:eastAsia="zh-CN"/>
        </w:rPr>
        <w:t>注：财务报告应</w:t>
      </w:r>
      <w:r>
        <w:rPr>
          <w:rFonts w:hint="eastAsia" w:hAnsi="宋体" w:cs="宋体"/>
          <w:b w:val="0"/>
          <w:bCs/>
          <w:color w:val="auto"/>
          <w:sz w:val="24"/>
          <w:szCs w:val="24"/>
          <w:highlight w:val="none"/>
          <w:lang w:val="zh-CN"/>
        </w:rPr>
        <w:t>包含资产负债表、</w:t>
      </w:r>
      <w:r>
        <w:rPr>
          <w:rFonts w:hint="eastAsia" w:hAnsi="宋体" w:cs="宋体"/>
          <w:b w:val="0"/>
          <w:bCs/>
          <w:color w:val="auto"/>
          <w:sz w:val="24"/>
          <w:szCs w:val="24"/>
          <w:highlight w:val="none"/>
          <w:lang w:val="en-US" w:eastAsia="zh-CN"/>
        </w:rPr>
        <w:t>利润表（或称损益表）、现金流量表。以上三表均需具有单位负责人、主管会计工作负责人、财务（会计）机构负责人的签字或签章。</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③也可提供开户银行出具的资信证明复印件。</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注：资信证明出具时间需在投标截止时间前3个月内。</w:t>
      </w:r>
    </w:p>
    <w:p>
      <w:pPr>
        <w:wordWrap w:val="0"/>
        <w:topLinePunct/>
        <w:spacing w:after="50" w:line="360" w:lineRule="auto"/>
        <w:ind w:firstLine="480" w:firstLineChars="200"/>
        <w:rPr>
          <w:rFonts w:hint="eastAsia" w:hAnsi="宋体" w:cs="宋体"/>
          <w:b w:val="0"/>
          <w:bCs/>
          <w:color w:val="auto"/>
          <w:sz w:val="24"/>
          <w:szCs w:val="24"/>
          <w:highlight w:val="none"/>
          <w:lang w:val="zh-CN"/>
        </w:rPr>
      </w:pPr>
      <w:r>
        <w:rPr>
          <w:rFonts w:hint="eastAsia" w:hAnsi="宋体" w:cs="宋体"/>
          <w:b w:val="0"/>
          <w:bCs/>
          <w:color w:val="auto"/>
          <w:sz w:val="24"/>
          <w:szCs w:val="24"/>
          <w:highlight w:val="none"/>
          <w:lang w:val="zh-CN"/>
        </w:rPr>
        <w:t>成立时间至递交响应文件截止时间为止不足一年的</w:t>
      </w:r>
      <w:r>
        <w:rPr>
          <w:rFonts w:hint="eastAsia" w:hAnsi="宋体" w:cs="宋体"/>
          <w:b w:val="0"/>
          <w:bCs/>
          <w:color w:val="auto"/>
          <w:sz w:val="24"/>
          <w:szCs w:val="24"/>
          <w:highlight w:val="none"/>
          <w:lang w:val="en-US" w:eastAsia="zh-CN"/>
        </w:rPr>
        <w:t xml:space="preserve">企业法人： </w:t>
      </w:r>
      <w:r>
        <w:rPr>
          <w:rFonts w:hint="eastAsia" w:hAnsi="宋体" w:cs="宋体"/>
          <w:b w:val="0"/>
          <w:bCs/>
          <w:color w:val="auto"/>
          <w:sz w:val="24"/>
          <w:szCs w:val="24"/>
          <w:highlight w:val="none"/>
          <w:lang w:val="zh-CN"/>
        </w:rPr>
        <w:t>提供在工商备案的公司章程复印件。</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zh-CN"/>
        </w:rPr>
        <w:t>事业单位或其他组织</w:t>
      </w:r>
      <w:r>
        <w:rPr>
          <w:rFonts w:hint="eastAsia" w:hAnsi="宋体" w:cs="宋体"/>
          <w:b w:val="0"/>
          <w:bCs/>
          <w:color w:val="auto"/>
          <w:sz w:val="24"/>
          <w:szCs w:val="24"/>
          <w:highlight w:val="none"/>
          <w:lang w:val="en-US" w:eastAsia="zh-CN"/>
        </w:rPr>
        <w:t>或个体工商户或自然人：</w:t>
      </w:r>
      <w:r>
        <w:rPr>
          <w:rFonts w:hint="eastAsia" w:hAnsi="宋体" w:cs="宋体"/>
          <w:b w:val="0"/>
          <w:bCs/>
          <w:color w:val="auto"/>
          <w:sz w:val="24"/>
          <w:szCs w:val="24"/>
          <w:highlight w:val="none"/>
          <w:lang w:val="zh-CN"/>
        </w:rPr>
        <w:t>提供其具有健全的财务会计制度的承诺函原件。</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zh-CN"/>
        </w:rPr>
        <w:t>（四）</w:t>
      </w:r>
      <w:r>
        <w:rPr>
          <w:rFonts w:hint="eastAsia" w:hAnsi="宋体" w:cs="宋体"/>
          <w:b w:val="0"/>
          <w:bCs/>
          <w:color w:val="auto"/>
          <w:sz w:val="24"/>
          <w:szCs w:val="24"/>
          <w:highlight w:val="none"/>
          <w:lang w:val="en-US" w:eastAsia="zh-CN"/>
        </w:rPr>
        <w:t>依法缴纳税收的承诺函原件。</w:t>
      </w:r>
    </w:p>
    <w:p>
      <w:pPr>
        <w:wordWrap w:val="0"/>
        <w:topLinePunct/>
        <w:spacing w:after="50" w:line="360" w:lineRule="auto"/>
        <w:ind w:firstLine="480" w:firstLineChars="200"/>
        <w:rPr>
          <w:rFonts w:hint="eastAsia" w:hAnsi="宋体" w:cs="宋体"/>
          <w:b w:val="0"/>
          <w:bCs/>
          <w:color w:val="auto"/>
          <w:sz w:val="24"/>
          <w:szCs w:val="24"/>
          <w:highlight w:val="none"/>
          <w:lang w:val="zh-CN" w:eastAsia="zh-CN"/>
        </w:rPr>
      </w:pPr>
      <w:r>
        <w:rPr>
          <w:rFonts w:hint="eastAsia" w:hAnsi="宋体" w:cs="宋体"/>
          <w:b w:val="0"/>
          <w:bCs/>
          <w:color w:val="auto"/>
          <w:sz w:val="24"/>
          <w:szCs w:val="24"/>
          <w:highlight w:val="none"/>
          <w:lang w:val="zh-CN"/>
        </w:rPr>
        <w:t>（五）</w:t>
      </w:r>
      <w:r>
        <w:rPr>
          <w:rFonts w:hint="eastAsia" w:hAnsi="宋体" w:cs="宋体"/>
          <w:b w:val="0"/>
          <w:bCs/>
          <w:color w:val="auto"/>
          <w:sz w:val="24"/>
          <w:szCs w:val="24"/>
          <w:highlight w:val="none"/>
          <w:lang w:val="zh-CN" w:eastAsia="zh-CN"/>
        </w:rPr>
        <w:t>依法缴纳社保的承诺函原件。</w:t>
      </w:r>
    </w:p>
    <w:p>
      <w:pPr>
        <w:wordWrap w:val="0"/>
        <w:topLinePunct/>
        <w:spacing w:after="50" w:line="360" w:lineRule="auto"/>
        <w:ind w:firstLine="480" w:firstLineChars="200"/>
        <w:rPr>
          <w:rFonts w:hint="eastAsia" w:hAnsi="宋体" w:cs="宋体"/>
          <w:b w:val="0"/>
          <w:bCs/>
          <w:color w:val="auto"/>
          <w:sz w:val="24"/>
          <w:szCs w:val="24"/>
          <w:highlight w:val="none"/>
          <w:lang w:val="zh-CN" w:eastAsia="zh-CN"/>
        </w:rPr>
      </w:pPr>
      <w:r>
        <w:rPr>
          <w:rFonts w:hint="eastAsia" w:hAnsi="宋体" w:cs="宋体"/>
          <w:b w:val="0"/>
          <w:bCs/>
          <w:color w:val="auto"/>
          <w:sz w:val="24"/>
          <w:szCs w:val="24"/>
          <w:highlight w:val="none"/>
          <w:lang w:val="zh-CN"/>
        </w:rPr>
        <w:t>（六）</w:t>
      </w:r>
      <w:r>
        <w:rPr>
          <w:rFonts w:hint="eastAsia" w:hAnsi="宋体" w:cs="宋体"/>
          <w:b w:val="0"/>
          <w:bCs/>
          <w:color w:val="auto"/>
          <w:sz w:val="24"/>
          <w:szCs w:val="24"/>
          <w:highlight w:val="none"/>
          <w:lang w:val="zh-CN" w:eastAsia="zh-CN"/>
        </w:rPr>
        <w:t>具备履行合同所必需的设备和专业技术能力的承诺函原件。</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zh-CN"/>
        </w:rPr>
        <w:t>（七）</w:t>
      </w:r>
      <w:r>
        <w:rPr>
          <w:rFonts w:hint="eastAsia" w:hAnsi="宋体" w:cs="宋体"/>
          <w:b w:val="0"/>
          <w:bCs/>
          <w:color w:val="auto"/>
          <w:sz w:val="24"/>
          <w:szCs w:val="24"/>
          <w:highlight w:val="none"/>
          <w:lang w:val="zh-CN" w:eastAsia="zh-CN"/>
        </w:rPr>
        <w:t>参加政府采购活动前3年内在经营活动中没有重大违法记录的承诺函原件</w:t>
      </w:r>
      <w:r>
        <w:rPr>
          <w:rFonts w:hint="eastAsia" w:hAnsi="宋体" w:cs="宋体"/>
          <w:b w:val="0"/>
          <w:bCs/>
          <w:color w:val="auto"/>
          <w:sz w:val="24"/>
          <w:szCs w:val="24"/>
          <w:highlight w:val="none"/>
          <w:lang w:val="en-US" w:eastAsia="zh-CN"/>
        </w:rPr>
        <w:t>。</w:t>
      </w:r>
    </w:p>
    <w:p>
      <w:pPr>
        <w:wordWrap w:val="0"/>
        <w:topLinePunct/>
        <w:spacing w:after="50" w:line="360" w:lineRule="auto"/>
        <w:ind w:firstLine="480" w:firstLineChars="200"/>
        <w:rPr>
          <w:rFonts w:hint="eastAsia" w:hAnsi="宋体" w:cs="宋体"/>
          <w:b w:val="0"/>
          <w:bCs/>
          <w:color w:val="auto"/>
          <w:sz w:val="24"/>
          <w:szCs w:val="24"/>
          <w:highlight w:val="none"/>
          <w:lang w:val="zh-CN" w:eastAsia="zh-CN"/>
        </w:rPr>
      </w:pPr>
      <w:r>
        <w:rPr>
          <w:rFonts w:hint="eastAsia" w:hAnsi="宋体" w:cs="宋体"/>
          <w:b w:val="0"/>
          <w:bCs/>
          <w:color w:val="auto"/>
          <w:sz w:val="24"/>
          <w:szCs w:val="24"/>
          <w:highlight w:val="none"/>
          <w:lang w:val="en-US" w:eastAsia="zh-CN"/>
        </w:rPr>
        <w:t>（八）</w:t>
      </w:r>
      <w:r>
        <w:rPr>
          <w:rFonts w:hint="eastAsia" w:hAnsi="宋体" w:cs="宋体"/>
          <w:b w:val="0"/>
          <w:bCs/>
          <w:color w:val="auto"/>
          <w:sz w:val="24"/>
          <w:szCs w:val="24"/>
          <w:highlight w:val="none"/>
          <w:lang w:val="zh-CN" w:eastAsia="zh-CN"/>
        </w:rPr>
        <w:t>具备法律、行政法规规定的其他条件的</w:t>
      </w:r>
      <w:r>
        <w:rPr>
          <w:rFonts w:hint="eastAsia" w:hAnsi="宋体" w:cs="宋体"/>
          <w:b w:val="0"/>
          <w:bCs/>
          <w:color w:val="auto"/>
          <w:sz w:val="24"/>
          <w:szCs w:val="24"/>
          <w:highlight w:val="none"/>
          <w:lang w:val="en-US" w:eastAsia="zh-CN"/>
        </w:rPr>
        <w:t>相关</w:t>
      </w:r>
      <w:r>
        <w:rPr>
          <w:rFonts w:hint="eastAsia" w:hAnsi="宋体" w:cs="宋体"/>
          <w:b w:val="0"/>
          <w:bCs/>
          <w:color w:val="auto"/>
          <w:sz w:val="24"/>
          <w:szCs w:val="24"/>
          <w:highlight w:val="none"/>
          <w:lang w:val="zh-CN" w:eastAsia="zh-CN"/>
        </w:rPr>
        <w:t>材料：</w:t>
      </w:r>
    </w:p>
    <w:p>
      <w:pPr>
        <w:wordWrap w:val="0"/>
        <w:topLinePunct/>
        <w:spacing w:after="50" w:line="360" w:lineRule="auto"/>
        <w:ind w:firstLine="480" w:firstLineChars="200"/>
        <w:rPr>
          <w:rFonts w:hint="eastAsia" w:hAnsi="宋体" w:cs="宋体"/>
          <w:b w:val="0"/>
          <w:bCs/>
          <w:color w:val="auto"/>
          <w:sz w:val="24"/>
          <w:szCs w:val="24"/>
          <w:highlight w:val="none"/>
          <w:lang w:val="en-US"/>
        </w:rPr>
      </w:pPr>
      <w:r>
        <w:rPr>
          <w:rFonts w:hint="eastAsia" w:hAnsi="宋体" w:cs="宋体"/>
          <w:b w:val="0"/>
          <w:bCs/>
          <w:color w:val="auto"/>
          <w:sz w:val="24"/>
          <w:szCs w:val="24"/>
          <w:highlight w:val="none"/>
          <w:lang w:val="en-US" w:eastAsia="zh-CN"/>
        </w:rPr>
        <w:t>1、</w:t>
      </w:r>
      <w:r>
        <w:rPr>
          <w:rFonts w:hint="eastAsia" w:hAnsi="宋体" w:cs="宋体"/>
          <w:b w:val="0"/>
          <w:bCs/>
          <w:color w:val="auto"/>
          <w:sz w:val="24"/>
          <w:szCs w:val="24"/>
          <w:highlight w:val="none"/>
          <w:lang w:val="en-US"/>
        </w:rPr>
        <w:t>投标人单位及其现任法定代表人/主要负责人不具有行贿犯罪记录</w:t>
      </w:r>
      <w:r>
        <w:rPr>
          <w:rFonts w:hint="eastAsia" w:hAnsi="宋体" w:cs="宋体"/>
          <w:b w:val="0"/>
          <w:bCs/>
          <w:color w:val="auto"/>
          <w:sz w:val="24"/>
          <w:szCs w:val="24"/>
          <w:highlight w:val="none"/>
          <w:lang w:val="en-US" w:eastAsia="zh-CN"/>
        </w:rPr>
        <w:t>的承诺函原件</w:t>
      </w:r>
      <w:r>
        <w:rPr>
          <w:rFonts w:hint="eastAsia" w:hAnsi="宋体" w:cs="宋体"/>
          <w:b w:val="0"/>
          <w:bCs/>
          <w:color w:val="auto"/>
          <w:sz w:val="24"/>
          <w:szCs w:val="24"/>
          <w:highlight w:val="none"/>
          <w:lang w:val="en-US"/>
        </w:rPr>
        <w:t>。</w:t>
      </w:r>
    </w:p>
    <w:p>
      <w:pPr>
        <w:wordWrap w:val="0"/>
        <w:topLinePunct/>
        <w:spacing w:after="50" w:line="360" w:lineRule="auto"/>
        <w:ind w:firstLine="480" w:firstLineChars="200"/>
        <w:rPr>
          <w:rFonts w:hint="eastAsia" w:hAnsi="宋体" w:cs="宋体"/>
          <w:b w:val="0"/>
          <w:bCs/>
          <w:color w:val="auto"/>
          <w:sz w:val="24"/>
          <w:szCs w:val="24"/>
          <w:highlight w:val="none"/>
          <w:lang w:val="en-US"/>
        </w:rPr>
      </w:pPr>
      <w:r>
        <w:rPr>
          <w:rFonts w:hint="eastAsia" w:hAnsi="宋体" w:cs="宋体"/>
          <w:b w:val="0"/>
          <w:bCs/>
          <w:color w:val="auto"/>
          <w:sz w:val="24"/>
          <w:szCs w:val="24"/>
          <w:highlight w:val="none"/>
          <w:lang w:val="en-US" w:eastAsia="zh-CN"/>
        </w:rPr>
        <w:t>2、</w:t>
      </w:r>
      <w:r>
        <w:rPr>
          <w:rFonts w:hint="eastAsia" w:hAnsi="宋体" w:cs="宋体"/>
          <w:b w:val="0"/>
          <w:bCs/>
          <w:color w:val="auto"/>
          <w:sz w:val="24"/>
          <w:szCs w:val="24"/>
          <w:highlight w:val="none"/>
          <w:lang w:val="en-US"/>
        </w:rPr>
        <w:t>单位负责人为同一人或者存在控股、管理关系的不同</w:t>
      </w:r>
      <w:r>
        <w:rPr>
          <w:rFonts w:hint="eastAsia" w:hAnsi="宋体" w:cs="宋体"/>
          <w:b w:val="0"/>
          <w:bCs/>
          <w:color w:val="auto"/>
          <w:sz w:val="24"/>
          <w:szCs w:val="24"/>
          <w:highlight w:val="none"/>
          <w:lang w:val="en-US" w:eastAsia="zh-CN"/>
        </w:rPr>
        <w:t>投标人</w:t>
      </w:r>
      <w:r>
        <w:rPr>
          <w:rFonts w:hint="eastAsia" w:hAnsi="宋体" w:cs="宋体"/>
          <w:b w:val="0"/>
          <w:bCs/>
          <w:color w:val="auto"/>
          <w:sz w:val="24"/>
          <w:szCs w:val="24"/>
          <w:highlight w:val="none"/>
          <w:lang w:val="en-US"/>
        </w:rPr>
        <w:t>，不</w:t>
      </w:r>
      <w:r>
        <w:rPr>
          <w:rFonts w:hint="eastAsia" w:hAnsi="宋体" w:cs="宋体"/>
          <w:b w:val="0"/>
          <w:bCs/>
          <w:color w:val="auto"/>
          <w:sz w:val="24"/>
          <w:szCs w:val="24"/>
          <w:highlight w:val="none"/>
          <w:lang w:val="en-US" w:eastAsia="zh-CN"/>
        </w:rPr>
        <w:t>会</w:t>
      </w:r>
      <w:r>
        <w:rPr>
          <w:rFonts w:hint="eastAsia" w:hAnsi="宋体" w:cs="宋体"/>
          <w:b w:val="0"/>
          <w:bCs/>
          <w:color w:val="auto"/>
          <w:sz w:val="24"/>
          <w:szCs w:val="24"/>
          <w:highlight w:val="none"/>
          <w:lang w:val="en-US"/>
        </w:rPr>
        <w:t>参加同一合同项下的政府采购活动</w:t>
      </w:r>
      <w:r>
        <w:rPr>
          <w:rFonts w:hint="eastAsia" w:hAnsi="宋体" w:cs="宋体"/>
          <w:b w:val="0"/>
          <w:bCs/>
          <w:color w:val="auto"/>
          <w:sz w:val="24"/>
          <w:szCs w:val="24"/>
          <w:highlight w:val="none"/>
          <w:lang w:val="en-US" w:eastAsia="zh-CN"/>
        </w:rPr>
        <w:t>的承诺函原件</w:t>
      </w:r>
      <w:r>
        <w:rPr>
          <w:rFonts w:hint="eastAsia" w:hAnsi="宋体" w:cs="宋体"/>
          <w:b w:val="0"/>
          <w:bCs/>
          <w:color w:val="auto"/>
          <w:sz w:val="24"/>
          <w:szCs w:val="24"/>
          <w:highlight w:val="none"/>
          <w:lang w:val="en-US"/>
        </w:rPr>
        <w:t>。</w:t>
      </w:r>
    </w:p>
    <w:p>
      <w:pPr>
        <w:wordWrap w:val="0"/>
        <w:topLinePunct/>
        <w:spacing w:after="50" w:line="360" w:lineRule="auto"/>
        <w:ind w:firstLine="480" w:firstLineChars="200"/>
        <w:rPr>
          <w:rFonts w:hint="eastAsia" w:hAnsi="宋体" w:cs="宋体"/>
          <w:b w:val="0"/>
          <w:bCs/>
          <w:color w:val="auto"/>
          <w:sz w:val="24"/>
          <w:szCs w:val="24"/>
          <w:highlight w:val="none"/>
          <w:lang w:val="en-US"/>
        </w:rPr>
      </w:pPr>
      <w:r>
        <w:rPr>
          <w:rFonts w:hint="eastAsia" w:hAnsi="宋体" w:cs="宋体"/>
          <w:b w:val="0"/>
          <w:bCs/>
          <w:color w:val="auto"/>
          <w:sz w:val="24"/>
          <w:szCs w:val="24"/>
          <w:highlight w:val="none"/>
          <w:lang w:val="en-US" w:eastAsia="zh-CN"/>
        </w:rPr>
        <w:t>3、</w:t>
      </w:r>
      <w:r>
        <w:rPr>
          <w:rFonts w:hint="eastAsia" w:hAnsi="宋体" w:cs="宋体"/>
          <w:b w:val="0"/>
          <w:bCs/>
          <w:color w:val="auto"/>
          <w:sz w:val="24"/>
          <w:szCs w:val="24"/>
          <w:highlight w:val="none"/>
          <w:lang w:val="en-US"/>
        </w:rPr>
        <w:t>未对本次采购项目提供过整体设计、规范编制或者项目管理、监理、检测等服务</w:t>
      </w:r>
      <w:r>
        <w:rPr>
          <w:rFonts w:hint="eastAsia" w:hAnsi="宋体" w:cs="宋体"/>
          <w:b w:val="0"/>
          <w:bCs/>
          <w:color w:val="auto"/>
          <w:sz w:val="24"/>
          <w:szCs w:val="24"/>
          <w:highlight w:val="none"/>
          <w:lang w:val="en-US" w:eastAsia="zh-CN"/>
        </w:rPr>
        <w:t>的承诺函原件</w:t>
      </w:r>
      <w:r>
        <w:rPr>
          <w:rFonts w:hint="eastAsia" w:hAnsi="宋体" w:cs="宋体"/>
          <w:b w:val="0"/>
          <w:bCs/>
          <w:color w:val="auto"/>
          <w:sz w:val="24"/>
          <w:szCs w:val="24"/>
          <w:highlight w:val="none"/>
          <w:lang w:val="en-US"/>
        </w:rPr>
        <w:t>。</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4、符合其它法律、</w:t>
      </w:r>
      <w:r>
        <w:rPr>
          <w:rFonts w:hint="eastAsia" w:hAnsi="宋体" w:cs="宋体"/>
          <w:b w:val="0"/>
          <w:bCs/>
          <w:color w:val="auto"/>
          <w:sz w:val="24"/>
          <w:szCs w:val="24"/>
          <w:highlight w:val="none"/>
          <w:lang w:val="zh-CN"/>
        </w:rPr>
        <w:t>行政法规规定的</w:t>
      </w:r>
      <w:r>
        <w:rPr>
          <w:rFonts w:hint="eastAsia" w:hAnsi="宋体" w:cs="宋体"/>
          <w:b w:val="0"/>
          <w:bCs/>
          <w:color w:val="auto"/>
          <w:sz w:val="24"/>
          <w:szCs w:val="24"/>
          <w:highlight w:val="none"/>
          <w:lang w:val="en-US" w:eastAsia="zh-CN"/>
        </w:rPr>
        <w:t>承诺函原件。</w:t>
      </w:r>
    </w:p>
    <w:p>
      <w:p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二、投标产品的资格、资质性要求相关证明材料：</w:t>
      </w:r>
    </w:p>
    <w:p>
      <w:p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无。</w:t>
      </w:r>
    </w:p>
    <w:p>
      <w:p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三、其他类似效力要求相关证明材料：</w:t>
      </w:r>
    </w:p>
    <w:p>
      <w:pPr>
        <w:wordWrap w:val="0"/>
        <w:topLinePunct/>
        <w:spacing w:after="50" w:line="360" w:lineRule="auto"/>
        <w:ind w:firstLine="480" w:firstLineChars="200"/>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rPr>
        <w:t>法定代表人证明书</w:t>
      </w:r>
      <w:r>
        <w:rPr>
          <w:rFonts w:hint="eastAsia" w:hAnsi="宋体" w:cs="宋体"/>
          <w:b w:val="0"/>
          <w:bCs/>
          <w:color w:val="auto"/>
          <w:sz w:val="24"/>
          <w:szCs w:val="24"/>
          <w:highlight w:val="none"/>
          <w:lang w:eastAsia="zh-CN"/>
        </w:rPr>
        <w:t>。</w:t>
      </w:r>
    </w:p>
    <w:p>
      <w:pPr>
        <w:wordWrap w:val="0"/>
        <w:topLinePunct/>
        <w:spacing w:after="50" w:line="360" w:lineRule="auto"/>
        <w:rPr>
          <w:rFonts w:hint="eastAsia" w:hAnsi="宋体" w:cs="宋体"/>
          <w:b w:val="0"/>
          <w:bCs/>
          <w:color w:val="auto"/>
          <w:sz w:val="24"/>
          <w:szCs w:val="24"/>
          <w:highlight w:val="none"/>
        </w:rPr>
      </w:pPr>
    </w:p>
    <w:p>
      <w:p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注：</w:t>
      </w:r>
    </w:p>
    <w:p>
      <w:pPr>
        <w:numPr>
          <w:ilvl w:val="0"/>
          <w:numId w:val="11"/>
        </w:num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相关证明材料为复印件的，复印件必须加盖相关投标人公章</w:t>
      </w:r>
      <w:r>
        <w:rPr>
          <w:rFonts w:hint="eastAsia" w:hAnsi="宋体" w:cs="宋体"/>
          <w:b w:val="0"/>
          <w:bCs/>
          <w:color w:val="auto"/>
          <w:sz w:val="24"/>
          <w:szCs w:val="24"/>
          <w:highlight w:val="none"/>
          <w:lang w:eastAsia="zh-CN"/>
        </w:rPr>
        <w:t>。</w:t>
      </w:r>
    </w:p>
    <w:p>
      <w:p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2.</w:t>
      </w:r>
      <w:r>
        <w:rPr>
          <w:rFonts w:hint="eastAsia" w:hAnsi="宋体" w:cs="宋体"/>
          <w:b w:val="0"/>
          <w:bCs/>
          <w:color w:val="auto"/>
          <w:sz w:val="24"/>
          <w:szCs w:val="24"/>
          <w:highlight w:val="none"/>
          <w:lang w:val="en-US" w:eastAsia="zh-CN"/>
        </w:rPr>
        <w:t xml:space="preserve"> </w:t>
      </w:r>
      <w:r>
        <w:rPr>
          <w:rFonts w:hint="eastAsia" w:hAnsi="宋体" w:cs="宋体"/>
          <w:b w:val="0"/>
          <w:bCs/>
          <w:color w:val="auto"/>
          <w:sz w:val="24"/>
          <w:szCs w:val="24"/>
          <w:highlight w:val="none"/>
        </w:rPr>
        <w:t>上述内容中涉及承诺函的，投标人可以单独提供，也可以在相关资格承诺函中一并进行承诺。</w:t>
      </w:r>
    </w:p>
    <w:p>
      <w:pPr>
        <w:wordWrap w:val="0"/>
        <w:topLinePunct/>
        <w:spacing w:after="50" w:line="360" w:lineRule="auto"/>
        <w:ind w:firstLine="480" w:firstLineChars="200"/>
        <w:rPr>
          <w:rFonts w:hint="eastAsia" w:hAnsi="宋体" w:cs="宋体"/>
          <w:b w:val="0"/>
          <w:bCs/>
          <w:color w:val="auto"/>
          <w:sz w:val="24"/>
          <w:szCs w:val="24"/>
          <w:highlight w:val="none"/>
        </w:rPr>
      </w:pPr>
      <w:r>
        <w:rPr>
          <w:rFonts w:hint="eastAsia" w:hAnsi="宋体" w:cs="宋体"/>
          <w:b w:val="0"/>
          <w:bCs/>
          <w:color w:val="auto"/>
          <w:sz w:val="24"/>
          <w:szCs w:val="24"/>
          <w:highlight w:val="none"/>
        </w:rPr>
        <w:t>3.</w:t>
      </w:r>
      <w:r>
        <w:rPr>
          <w:rFonts w:hint="eastAsia" w:hAnsi="宋体" w:cs="宋体"/>
          <w:b w:val="0"/>
          <w:bCs/>
          <w:color w:val="auto"/>
          <w:sz w:val="24"/>
          <w:szCs w:val="24"/>
          <w:highlight w:val="none"/>
          <w:lang w:val="en-US" w:eastAsia="zh-CN"/>
        </w:rPr>
        <w:t xml:space="preserve"> </w:t>
      </w:r>
      <w:r>
        <w:rPr>
          <w:rFonts w:hint="eastAsia" w:hAnsi="宋体" w:cs="宋体"/>
          <w:b w:val="0"/>
          <w:bCs/>
          <w:color w:val="auto"/>
          <w:sz w:val="24"/>
          <w:szCs w:val="24"/>
          <w:highlight w:val="none"/>
        </w:rPr>
        <w:t>本章要求提供的相关证明材料应当与第</w:t>
      </w:r>
      <w:r>
        <w:rPr>
          <w:rFonts w:hint="eastAsia" w:hAnsi="宋体" w:cs="宋体"/>
          <w:b w:val="0"/>
          <w:bCs/>
          <w:color w:val="auto"/>
          <w:sz w:val="24"/>
          <w:szCs w:val="24"/>
          <w:highlight w:val="none"/>
          <w:lang w:val="en-US" w:eastAsia="zh-CN"/>
        </w:rPr>
        <w:t>四</w:t>
      </w:r>
      <w:r>
        <w:rPr>
          <w:rFonts w:hint="eastAsia" w:hAnsi="宋体" w:cs="宋体"/>
          <w:b w:val="0"/>
          <w:bCs/>
          <w:color w:val="auto"/>
          <w:sz w:val="24"/>
          <w:szCs w:val="24"/>
          <w:highlight w:val="none"/>
        </w:rPr>
        <w:t>章的规定要求对应，除投标人自愿以外，不能要求投标人提供额外的证明材料。如果要求提供额外的证明材料，投标人有权不予提供，且不影响投标文件的有效性和完整性。</w:t>
      </w:r>
    </w:p>
    <w:p>
      <w:pPr>
        <w:wordWrap w:val="0"/>
        <w:topLinePunct/>
        <w:spacing w:after="50" w:line="360" w:lineRule="auto"/>
        <w:ind w:firstLine="480" w:firstLineChars="200"/>
        <w:rPr>
          <w:rFonts w:hint="eastAsia" w:hAnsi="宋体" w:cs="宋体"/>
          <w:b w:val="0"/>
          <w:bCs/>
          <w:color w:val="auto"/>
          <w:sz w:val="24"/>
          <w:szCs w:val="24"/>
          <w:highlight w:val="none"/>
          <w:lang w:val="en-US"/>
        </w:rPr>
      </w:pPr>
      <w:r>
        <w:rPr>
          <w:rFonts w:hint="eastAsia" w:hAnsi="宋体" w:cs="宋体"/>
          <w:b w:val="0"/>
          <w:bCs/>
          <w:color w:val="auto"/>
          <w:sz w:val="24"/>
          <w:szCs w:val="24"/>
          <w:highlight w:val="none"/>
          <w:lang w:val="en-US"/>
        </w:rPr>
        <w:t>4.</w:t>
      </w:r>
      <w:r>
        <w:rPr>
          <w:rFonts w:hint="eastAsia" w:hAnsi="宋体" w:cs="宋体"/>
          <w:b w:val="0"/>
          <w:bCs/>
          <w:color w:val="auto"/>
          <w:sz w:val="24"/>
          <w:szCs w:val="24"/>
          <w:highlight w:val="none"/>
          <w:lang w:val="en-US" w:eastAsia="zh-CN"/>
        </w:rPr>
        <w:t xml:space="preserve"> </w:t>
      </w:r>
      <w:r>
        <w:rPr>
          <w:rFonts w:hint="eastAsia" w:hAnsi="宋体" w:cs="宋体"/>
          <w:b w:val="0"/>
          <w:bCs/>
          <w:color w:val="auto"/>
          <w:sz w:val="24"/>
          <w:szCs w:val="24"/>
          <w:highlight w:val="none"/>
          <w:lang w:val="en-US"/>
        </w:rPr>
        <w:t>投标人若未将用于资格审查的证明材料装订入投标文件（资格性部分）的，视为未提供相应资格证明材料，资格审查将不予通过。</w:t>
      </w:r>
      <w:bookmarkEnd w:id="885"/>
    </w:p>
    <w:p>
      <w:pPr>
        <w:wordWrap w:val="0"/>
        <w:topLinePunct/>
        <w:spacing w:after="50" w:line="360" w:lineRule="auto"/>
        <w:ind w:firstLine="480" w:firstLineChars="200"/>
        <w:rPr>
          <w:rFonts w:hint="eastAsia" w:hAnsi="宋体" w:cs="宋体"/>
          <w:b w:val="0"/>
          <w:bCs/>
          <w:color w:val="auto"/>
          <w:sz w:val="24"/>
          <w:szCs w:val="24"/>
          <w:highlight w:val="none"/>
          <w:lang w:val="en-US"/>
        </w:rPr>
      </w:pPr>
      <w:r>
        <w:rPr>
          <w:rFonts w:hint="eastAsia" w:hAnsi="宋体" w:cs="宋体"/>
          <w:b w:val="0"/>
          <w:bCs/>
          <w:color w:val="auto"/>
          <w:sz w:val="24"/>
          <w:szCs w:val="24"/>
          <w:highlight w:val="none"/>
          <w:lang w:val="en-US" w:eastAsia="zh-CN"/>
        </w:rPr>
        <w:t xml:space="preserve">5. </w:t>
      </w:r>
      <w:r>
        <w:rPr>
          <w:rFonts w:hint="eastAsia" w:hAnsi="宋体" w:cs="宋体"/>
          <w:b w:val="0"/>
          <w:bCs/>
          <w:color w:val="auto"/>
          <w:sz w:val="24"/>
          <w:szCs w:val="24"/>
          <w:highlight w:val="none"/>
          <w:lang w:val="en-US"/>
        </w:rPr>
        <w:t>根据《政府采购货物和服务招标投标管理办法》(财政部令第87号)第四十四条对投标人的资格进行审查。</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6. 本项目由采购人或者采购代理机构依法对投标人的资格进行审查，并出具书面的资格性审查结果。</w:t>
      </w:r>
    </w:p>
    <w:p>
      <w:pPr>
        <w:wordWrap w:val="0"/>
        <w:topLinePunct/>
        <w:spacing w:after="50"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7. 合格投标人不足3家的，不得评标。</w:t>
      </w:r>
    </w:p>
    <w:p>
      <w:pPr>
        <w:pStyle w:val="3"/>
        <w:numPr>
          <w:ilvl w:val="0"/>
          <w:numId w:val="12"/>
        </w:numPr>
        <w:spacing w:before="260" w:after="260" w:line="360" w:lineRule="auto"/>
        <w:jc w:val="center"/>
        <w:rPr>
          <w:rFonts w:hAnsi="宋体" w:cs="宋体"/>
          <w:bCs w:val="0"/>
          <w:color w:val="auto"/>
          <w:kern w:val="0"/>
          <w:sz w:val="36"/>
          <w:szCs w:val="22"/>
          <w:highlight w:val="none"/>
        </w:rPr>
      </w:pPr>
      <w:r>
        <w:rPr>
          <w:rFonts w:hint="eastAsia" w:hAnsi="宋体" w:cs="宋体"/>
          <w:bCs w:val="0"/>
          <w:color w:val="auto"/>
          <w:sz w:val="36"/>
          <w:highlight w:val="none"/>
        </w:rPr>
        <w:br w:type="page"/>
      </w:r>
      <w:bookmarkStart w:id="887" w:name="_Toc24960"/>
      <w:bookmarkStart w:id="888" w:name="_Toc25998"/>
      <w:bookmarkStart w:id="889" w:name="_Toc12698"/>
      <w:bookmarkStart w:id="890" w:name="_Toc23373"/>
      <w:bookmarkStart w:id="891" w:name="OLE_LINK4"/>
      <w:bookmarkStart w:id="892" w:name="_Toc19791"/>
      <w:r>
        <w:rPr>
          <w:rFonts w:hint="eastAsia" w:hAnsi="宋体" w:cs="宋体"/>
          <w:bCs w:val="0"/>
          <w:color w:val="auto"/>
          <w:kern w:val="0"/>
          <w:sz w:val="36"/>
          <w:szCs w:val="22"/>
          <w:highlight w:val="none"/>
        </w:rPr>
        <w:t>招标项目技术、服务及其他要求</w:t>
      </w:r>
      <w:bookmarkEnd w:id="886"/>
      <w:bookmarkEnd w:id="887"/>
      <w:bookmarkEnd w:id="888"/>
      <w:bookmarkEnd w:id="889"/>
      <w:bookmarkEnd w:id="890"/>
      <w:bookmarkEnd w:id="891"/>
      <w:bookmarkEnd w:id="892"/>
      <w:bookmarkStart w:id="893" w:name="_Toc27469"/>
      <w:bookmarkStart w:id="894" w:name="_Toc308188201"/>
      <w:bookmarkStart w:id="895" w:name="_Toc319439948"/>
      <w:bookmarkStart w:id="896" w:name="_Toc1541"/>
      <w:bookmarkStart w:id="897" w:name="_Toc12025"/>
      <w:bookmarkStart w:id="898" w:name="_Toc23360"/>
      <w:bookmarkStart w:id="899" w:name="_Toc32159"/>
      <w:bookmarkStart w:id="900" w:name="_Toc308084648"/>
      <w:bookmarkStart w:id="901" w:name="_Toc327196343"/>
      <w:bookmarkStart w:id="902" w:name="_Toc319440192"/>
      <w:bookmarkStart w:id="903" w:name="_Toc307501157"/>
      <w:bookmarkStart w:id="904" w:name="_Toc307564899"/>
      <w:bookmarkStart w:id="905" w:name="_Toc309897566"/>
      <w:bookmarkStart w:id="906" w:name="_Toc1839"/>
      <w:bookmarkStart w:id="907" w:name="_Toc29864"/>
      <w:bookmarkStart w:id="908" w:name="_Toc217446060"/>
      <w:bookmarkStart w:id="909" w:name="_Toc217446099"/>
    </w:p>
    <w:p>
      <w:pPr>
        <w:keepNext w:val="0"/>
        <w:keepLines w:val="0"/>
        <w:pageBreakBefore w:val="0"/>
        <w:numPr>
          <w:ilvl w:val="0"/>
          <w:numId w:val="13"/>
        </w:numPr>
        <w:kinsoku/>
        <w:wordWrap/>
        <w:overflowPunct/>
        <w:topLinePunct w:val="0"/>
        <w:autoSpaceDE/>
        <w:autoSpaceDN/>
        <w:bidi w:val="0"/>
        <w:adjustRightInd/>
        <w:snapToGrid/>
        <w:spacing w:line="360" w:lineRule="auto"/>
        <w:rPr>
          <w:rFonts w:hint="eastAsia"/>
          <w:b/>
          <w:bCs/>
          <w:color w:val="auto"/>
          <w:sz w:val="28"/>
          <w:szCs w:val="28"/>
          <w:lang w:eastAsia="zh-CN"/>
        </w:rPr>
      </w:pPr>
      <w:bookmarkStart w:id="910" w:name="_Toc1684"/>
      <w:bookmarkStart w:id="911" w:name="_Toc24977"/>
      <w:bookmarkStart w:id="912" w:name="_Toc28932"/>
      <w:r>
        <w:rPr>
          <w:rFonts w:hint="eastAsia"/>
          <w:b/>
          <w:bCs/>
          <w:color w:val="auto"/>
          <w:sz w:val="28"/>
          <w:szCs w:val="28"/>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color w:val="auto"/>
          <w:sz w:val="24"/>
          <w:szCs w:val="24"/>
          <w:lang w:val="en-US" w:eastAsia="zh-CN"/>
        </w:rPr>
      </w:pPr>
      <w:r>
        <w:rPr>
          <w:rFonts w:hint="eastAsia"/>
          <w:color w:val="auto"/>
          <w:sz w:val="24"/>
          <w:szCs w:val="24"/>
          <w:lang w:val="en-US" w:eastAsia="zh-CN"/>
        </w:rPr>
        <w:t>为保障崇州市经开区工业污水得到有效及时处理，崇州市水务局建设了崇州市经开区应急污水处理站，该站于2019年4月26日正式建成运营，处理能力25000m³/d，主要接纳崇州经开区工业污水，处理后排放标准《城镇污水处理厂污染物排放标准》（GB18918-2002）的一级A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color w:val="auto"/>
          <w:sz w:val="24"/>
          <w:szCs w:val="24"/>
          <w:lang w:val="en-US" w:eastAsia="zh-CN"/>
        </w:rPr>
      </w:pPr>
      <w:r>
        <w:rPr>
          <w:rFonts w:hint="eastAsia"/>
          <w:color w:val="auto"/>
          <w:sz w:val="24"/>
          <w:szCs w:val="24"/>
          <w:lang w:val="en-US" w:eastAsia="zh-CN"/>
        </w:rPr>
        <w:t>目前，崇州市城市生活污水处理厂虽已完成达标技改工程，但处理能力并未增加，仍维持在40000m³/d；崇州经开区污水处理厂于2020年完成二期建设，一期处理能力为19800m³/d，二期处理能力为19800m³/d。基于以上数据及崇州市经开区应急污水处理站一年的运行数据统计，若终止崇州市经开区应急污水处理站服务，将有超过10000吨以上的污水不能处理。因此，拟对崇州市经开区应急污水处理站前期项目设施进行维修后，继续对该部分污水进行处理，当崇州经开区污水处理厂或附近其他污水处理厂增容扩建，足以处理该部分污水后，对本项目进行拆除，并恢复原貌。</w:t>
      </w:r>
    </w:p>
    <w:p>
      <w:pPr>
        <w:keepNext w:val="0"/>
        <w:keepLines w:val="0"/>
        <w:pageBreakBefore w:val="0"/>
        <w:numPr>
          <w:ilvl w:val="0"/>
          <w:numId w:val="13"/>
        </w:numPr>
        <w:kinsoku/>
        <w:wordWrap/>
        <w:overflowPunct/>
        <w:topLinePunct w:val="0"/>
        <w:autoSpaceDE/>
        <w:autoSpaceDN/>
        <w:bidi w:val="0"/>
        <w:adjustRightInd/>
        <w:snapToGrid/>
        <w:spacing w:line="360" w:lineRule="auto"/>
        <w:rPr>
          <w:rFonts w:hint="eastAsia"/>
          <w:b/>
          <w:bCs/>
          <w:color w:val="auto"/>
          <w:sz w:val="28"/>
          <w:szCs w:val="28"/>
          <w:lang w:val="en-US" w:eastAsia="zh-CN"/>
        </w:rPr>
      </w:pPr>
      <w:r>
        <w:rPr>
          <w:rFonts w:hint="eastAsia"/>
          <w:b/>
          <w:bCs/>
          <w:color w:val="auto"/>
          <w:sz w:val="28"/>
          <w:szCs w:val="28"/>
          <w:lang w:val="en-US" w:eastAsia="zh-CN"/>
        </w:rPr>
        <w:t>工艺介绍</w:t>
      </w:r>
    </w:p>
    <w:p>
      <w:pPr>
        <w:numPr>
          <w:ilvl w:val="0"/>
          <w:numId w:val="0"/>
        </w:numPr>
        <w:tabs>
          <w:tab w:val="left" w:pos="866"/>
          <w:tab w:val="left" w:pos="867"/>
        </w:tabs>
        <w:spacing w:before="197" w:after="0" w:line="360" w:lineRule="auto"/>
        <w:ind w:right="0" w:rightChars="0" w:firstLine="480" w:firstLineChars="200"/>
        <w:jc w:val="left"/>
        <w:outlineLvl w:val="9"/>
        <w:rPr>
          <w:color w:val="auto"/>
          <w:sz w:val="24"/>
          <w:szCs w:val="24"/>
        </w:rPr>
      </w:pPr>
      <w:r>
        <w:rPr>
          <w:rFonts w:hint="eastAsia"/>
          <w:color w:val="auto"/>
          <w:sz w:val="24"/>
          <w:szCs w:val="24"/>
          <w:lang w:val="en-US" w:eastAsia="zh-CN"/>
        </w:rPr>
        <w:t>1、</w:t>
      </w:r>
      <w:r>
        <w:rPr>
          <w:color w:val="auto"/>
          <w:sz w:val="24"/>
          <w:szCs w:val="24"/>
        </w:rPr>
        <w:t>设计要求</w:t>
      </w:r>
      <w:bookmarkStart w:id="913" w:name="4.1.1 设计处理能力"/>
      <w:bookmarkEnd w:id="913"/>
    </w:p>
    <w:p>
      <w:pPr>
        <w:numPr>
          <w:ilvl w:val="0"/>
          <w:numId w:val="0"/>
        </w:numPr>
        <w:tabs>
          <w:tab w:val="left" w:pos="866"/>
          <w:tab w:val="left" w:pos="867"/>
        </w:tabs>
        <w:spacing w:before="197" w:after="0" w:line="360" w:lineRule="auto"/>
        <w:ind w:right="0" w:rightChars="0" w:firstLine="480" w:firstLineChars="200"/>
        <w:jc w:val="left"/>
        <w:outlineLvl w:val="9"/>
        <w:rPr>
          <w:color w:val="auto"/>
          <w:sz w:val="24"/>
          <w:szCs w:val="24"/>
        </w:rPr>
      </w:pPr>
      <w:r>
        <w:rPr>
          <w:color w:val="auto"/>
          <w:sz w:val="24"/>
          <w:szCs w:val="24"/>
        </w:rPr>
        <w:t xml:space="preserve">设计处理能力本项目原设计处理水量为 </w:t>
      </w:r>
      <w:r>
        <w:rPr>
          <w:rFonts w:ascii="Times New Roman" w:hAnsi="Times New Roman" w:eastAsia="Times New Roman"/>
          <w:color w:val="auto"/>
          <w:sz w:val="24"/>
          <w:szCs w:val="24"/>
        </w:rPr>
        <w:t>25000m</w:t>
      </w:r>
      <w:r>
        <w:rPr>
          <w:color w:val="auto"/>
          <w:sz w:val="24"/>
          <w:szCs w:val="24"/>
        </w:rPr>
        <w:t>³</w:t>
      </w:r>
      <w:r>
        <w:rPr>
          <w:rFonts w:ascii="Times New Roman" w:hAnsi="Times New Roman" w:eastAsia="Times New Roman"/>
          <w:color w:val="auto"/>
          <w:sz w:val="24"/>
          <w:szCs w:val="24"/>
        </w:rPr>
        <w:t>/d</w:t>
      </w:r>
      <w:r>
        <w:rPr>
          <w:color w:val="auto"/>
          <w:sz w:val="24"/>
          <w:szCs w:val="24"/>
        </w:rPr>
        <w:t xml:space="preserve">，污水站按日运行 </w:t>
      </w:r>
      <w:r>
        <w:rPr>
          <w:rFonts w:ascii="Times New Roman" w:hAnsi="Times New Roman" w:eastAsia="Times New Roman"/>
          <w:color w:val="auto"/>
          <w:sz w:val="24"/>
          <w:szCs w:val="24"/>
        </w:rPr>
        <w:t xml:space="preserve">24h </w:t>
      </w:r>
      <w:r>
        <w:rPr>
          <w:color w:val="auto"/>
          <w:sz w:val="24"/>
          <w:szCs w:val="24"/>
        </w:rPr>
        <w:t>设计。</w:t>
      </w:r>
    </w:p>
    <w:p>
      <w:pPr>
        <w:numPr>
          <w:ilvl w:val="0"/>
          <w:numId w:val="0"/>
        </w:numPr>
        <w:tabs>
          <w:tab w:val="left" w:pos="957"/>
          <w:tab w:val="left" w:pos="958"/>
        </w:tabs>
        <w:spacing w:before="160" w:after="0" w:line="360" w:lineRule="auto"/>
        <w:ind w:right="0" w:rightChars="0" w:firstLine="480" w:firstLineChars="200"/>
        <w:jc w:val="left"/>
        <w:outlineLvl w:val="9"/>
        <w:rPr>
          <w:color w:val="auto"/>
          <w:sz w:val="24"/>
          <w:szCs w:val="24"/>
        </w:rPr>
      </w:pPr>
      <w:bookmarkStart w:id="914" w:name="4.1.2 设计出水水质"/>
      <w:bookmarkEnd w:id="914"/>
      <w:r>
        <w:rPr>
          <w:rFonts w:hint="eastAsia"/>
          <w:color w:val="auto"/>
          <w:sz w:val="24"/>
          <w:szCs w:val="24"/>
          <w:lang w:val="en-US" w:eastAsia="zh-CN"/>
        </w:rPr>
        <w:t>2、</w:t>
      </w:r>
      <w:r>
        <w:rPr>
          <w:color w:val="auto"/>
          <w:sz w:val="24"/>
          <w:szCs w:val="24"/>
        </w:rPr>
        <w:t>设计出水水质</w:t>
      </w:r>
    </w:p>
    <w:p>
      <w:pPr>
        <w:numPr>
          <w:ilvl w:val="0"/>
          <w:numId w:val="0"/>
        </w:numPr>
        <w:tabs>
          <w:tab w:val="left" w:pos="957"/>
          <w:tab w:val="left" w:pos="958"/>
        </w:tabs>
        <w:spacing w:before="160" w:after="0" w:line="360" w:lineRule="auto"/>
        <w:ind w:right="0" w:rightChars="0" w:firstLine="480" w:firstLineChars="200"/>
        <w:jc w:val="left"/>
        <w:outlineLvl w:val="9"/>
        <w:rPr>
          <w:color w:val="auto"/>
          <w:sz w:val="24"/>
          <w:szCs w:val="24"/>
        </w:rPr>
      </w:pPr>
      <w:r>
        <w:rPr>
          <w:color w:val="auto"/>
          <w:sz w:val="24"/>
          <w:szCs w:val="24"/>
        </w:rPr>
        <w:t>出水水质要求达到《城镇污水处理厂污染物排放标准》（</w:t>
      </w:r>
      <w:r>
        <w:rPr>
          <w:rFonts w:ascii="Times New Roman" w:eastAsia="Times New Roman"/>
          <w:color w:val="auto"/>
          <w:sz w:val="24"/>
          <w:szCs w:val="24"/>
        </w:rPr>
        <w:t>GB18918-2002</w:t>
      </w:r>
      <w:r>
        <w:rPr>
          <w:color w:val="auto"/>
          <w:sz w:val="24"/>
          <w:szCs w:val="24"/>
        </w:rPr>
        <w:t xml:space="preserve">）一级 </w:t>
      </w:r>
      <w:r>
        <w:rPr>
          <w:rFonts w:ascii="Times New Roman" w:eastAsia="Times New Roman"/>
          <w:color w:val="auto"/>
          <w:sz w:val="24"/>
          <w:szCs w:val="24"/>
        </w:rPr>
        <w:t xml:space="preserve">A </w:t>
      </w:r>
      <w:r>
        <w:rPr>
          <w:color w:val="auto"/>
          <w:sz w:val="24"/>
          <w:szCs w:val="24"/>
        </w:rPr>
        <w:t>标准，出水指标见下表：</w:t>
      </w:r>
    </w:p>
    <w:p>
      <w:pPr>
        <w:keepNext w:val="0"/>
        <w:keepLines w:val="0"/>
        <w:pageBreakBefore w:val="0"/>
        <w:widowControl w:val="0"/>
        <w:kinsoku/>
        <w:wordWrap/>
        <w:overflowPunct/>
        <w:topLinePunct w:val="0"/>
        <w:autoSpaceDE/>
        <w:autoSpaceDN/>
        <w:bidi w:val="0"/>
        <w:adjustRightInd/>
        <w:snapToGrid/>
        <w:spacing w:before="159" w:line="360" w:lineRule="auto"/>
        <w:ind w:left="139" w:right="178" w:firstLine="0" w:firstLineChars="0"/>
        <w:jc w:val="center"/>
        <w:textAlignment w:val="auto"/>
        <w:rPr>
          <w:b/>
          <w:color w:val="auto"/>
          <w:sz w:val="21"/>
        </w:rPr>
      </w:pPr>
      <w:r>
        <w:rPr>
          <w:b/>
          <w:color w:val="auto"/>
          <w:sz w:val="21"/>
        </w:rPr>
        <w:t>出水水质指标要求</w:t>
      </w:r>
    </w:p>
    <w:p>
      <w:pPr>
        <w:pStyle w:val="2"/>
        <w:keepNext w:val="0"/>
        <w:keepLines w:val="0"/>
        <w:pageBreakBefore w:val="0"/>
        <w:widowControl w:val="0"/>
        <w:kinsoku/>
        <w:wordWrap/>
        <w:overflowPunct/>
        <w:topLinePunct w:val="0"/>
        <w:autoSpaceDE/>
        <w:autoSpaceDN/>
        <w:bidi w:val="0"/>
        <w:adjustRightInd/>
        <w:snapToGrid/>
        <w:spacing w:before="11" w:line="360" w:lineRule="auto"/>
        <w:ind w:firstLine="0" w:firstLineChars="0"/>
        <w:textAlignment w:val="auto"/>
        <w:rPr>
          <w:b/>
          <w:color w:val="auto"/>
          <w:sz w:val="10"/>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89"/>
        <w:gridCol w:w="2804"/>
        <w:gridCol w:w="1986"/>
        <w:gridCol w:w="26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3" w:hRule="atLeast"/>
        </w:trPr>
        <w:tc>
          <w:tcPr>
            <w:tcW w:w="1189"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361" w:right="346" w:firstLine="0" w:firstLineChars="0"/>
              <w:jc w:val="center"/>
              <w:textAlignment w:val="auto"/>
              <w:rPr>
                <w:b/>
                <w:color w:val="auto"/>
                <w:sz w:val="21"/>
              </w:rPr>
            </w:pPr>
            <w:r>
              <w:rPr>
                <w:b/>
                <w:color w:val="auto"/>
                <w:sz w:val="21"/>
              </w:rPr>
              <w:t>序号</w:t>
            </w:r>
          </w:p>
        </w:tc>
        <w:tc>
          <w:tcPr>
            <w:tcW w:w="2804"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970" w:right="940" w:firstLine="0" w:firstLineChars="0"/>
              <w:jc w:val="center"/>
              <w:textAlignment w:val="auto"/>
              <w:rPr>
                <w:b/>
                <w:color w:val="auto"/>
                <w:sz w:val="21"/>
              </w:rPr>
            </w:pPr>
            <w:r>
              <w:rPr>
                <w:b/>
                <w:color w:val="auto"/>
                <w:sz w:val="21"/>
              </w:rPr>
              <w:t>检验项目</w:t>
            </w:r>
          </w:p>
        </w:tc>
        <w:tc>
          <w:tcPr>
            <w:tcW w:w="19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753" w:right="727" w:firstLine="0" w:firstLineChars="0"/>
              <w:jc w:val="center"/>
              <w:textAlignment w:val="auto"/>
              <w:rPr>
                <w:b/>
                <w:color w:val="auto"/>
                <w:sz w:val="21"/>
              </w:rPr>
            </w:pPr>
            <w:r>
              <w:rPr>
                <w:b/>
                <w:color w:val="auto"/>
                <w:sz w:val="21"/>
              </w:rPr>
              <w:t>单位</w:t>
            </w:r>
          </w:p>
        </w:tc>
        <w:tc>
          <w:tcPr>
            <w:tcW w:w="2686"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701" w:right="659" w:firstLine="0" w:firstLineChars="0"/>
              <w:jc w:val="center"/>
              <w:textAlignment w:val="auto"/>
              <w:rPr>
                <w:b/>
                <w:color w:val="auto"/>
                <w:sz w:val="21"/>
              </w:rPr>
            </w:pPr>
            <w:r>
              <w:rPr>
                <w:b/>
                <w:color w:val="auto"/>
                <w:sz w:val="21"/>
              </w:rPr>
              <w:t>设计进水水质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968" w:right="940" w:firstLine="0" w:firstLineChars="0"/>
              <w:jc w:val="center"/>
              <w:textAlignment w:val="auto"/>
              <w:rPr>
                <w:rFonts w:ascii="Times New Roman"/>
                <w:color w:val="auto"/>
                <w:sz w:val="21"/>
              </w:rPr>
            </w:pPr>
            <w:r>
              <w:rPr>
                <w:rFonts w:ascii="Times New Roman"/>
                <w:color w:val="auto"/>
                <w:sz w:val="21"/>
              </w:rPr>
              <w:t>CODcr</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95" w:right="659" w:firstLine="0" w:firstLineChars="0"/>
              <w:jc w:val="center"/>
              <w:textAlignment w:val="auto"/>
              <w:rPr>
                <w:rFonts w:ascii="Times New Roman" w:hAnsi="Times New Roman"/>
                <w:color w:val="auto"/>
                <w:sz w:val="21"/>
              </w:rPr>
            </w:pPr>
            <w:r>
              <w:rPr>
                <w:rFonts w:ascii="Times New Roman" w:hAnsi="Times New Roman"/>
                <w:color w:val="auto"/>
                <w:sz w:val="21"/>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1" w:line="360" w:lineRule="auto"/>
              <w:ind w:left="969" w:right="940" w:firstLine="0" w:firstLineChars="0"/>
              <w:jc w:val="center"/>
              <w:textAlignment w:val="auto"/>
              <w:rPr>
                <w:rFonts w:ascii="Times New Roman"/>
                <w:color w:val="auto"/>
                <w:sz w:val="21"/>
              </w:rPr>
            </w:pPr>
            <w:r>
              <w:rPr>
                <w:rFonts w:ascii="Times New Roman"/>
                <w:color w:val="auto"/>
                <w:position w:val="2"/>
                <w:sz w:val="21"/>
              </w:rPr>
              <w:t>BOD</w:t>
            </w:r>
            <w:r>
              <w:rPr>
                <w:rFonts w:ascii="Times New Roman"/>
                <w:color w:val="auto"/>
                <w:position w:val="2"/>
                <w:sz w:val="21"/>
                <w:vertAlign w:val="subscript"/>
              </w:rPr>
              <w:t>5</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95" w:right="659" w:firstLine="0" w:firstLineChars="0"/>
              <w:jc w:val="center"/>
              <w:textAlignment w:val="auto"/>
              <w:rPr>
                <w:rFonts w:ascii="Times New Roman" w:hAnsi="Times New Roman"/>
                <w:color w:val="auto"/>
                <w:sz w:val="21"/>
              </w:rPr>
            </w:pPr>
            <w:r>
              <w:rPr>
                <w:rFonts w:ascii="Times New Roman" w:hAnsi="Times New Roman"/>
                <w:color w:val="auto"/>
                <w:sz w:val="21"/>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50"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7" w:line="360" w:lineRule="auto"/>
              <w:ind w:left="968" w:right="940" w:firstLine="0" w:firstLineChars="0"/>
              <w:jc w:val="center"/>
              <w:textAlignment w:val="auto"/>
              <w:rPr>
                <w:color w:val="auto"/>
                <w:sz w:val="21"/>
              </w:rPr>
            </w:pPr>
            <w:r>
              <w:rPr>
                <w:color w:val="auto"/>
                <w:sz w:val="21"/>
              </w:rPr>
              <w:t>氨氮</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50"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7" w:line="360" w:lineRule="auto"/>
              <w:ind w:left="696" w:right="659" w:firstLine="0" w:firstLineChars="0"/>
              <w:jc w:val="center"/>
              <w:textAlignment w:val="auto"/>
              <w:rPr>
                <w:color w:val="auto"/>
                <w:sz w:val="21"/>
              </w:rPr>
            </w:pPr>
            <w:r>
              <w:rPr>
                <w:rFonts w:ascii="Times New Roman" w:hAnsi="Times New Roman" w:eastAsia="Times New Roman"/>
                <w:color w:val="auto"/>
                <w:sz w:val="21"/>
              </w:rPr>
              <w:t>≤5</w:t>
            </w:r>
            <w:r>
              <w:rPr>
                <w:color w:val="auto"/>
                <w:sz w:val="21"/>
              </w:rPr>
              <w:t>（</w:t>
            </w:r>
            <w:r>
              <w:rPr>
                <w:rFonts w:ascii="Times New Roman" w:hAnsi="Times New Roman" w:eastAsia="Times New Roman"/>
                <w:color w:val="auto"/>
                <w:sz w:val="21"/>
              </w:rPr>
              <w:t>8</w:t>
            </w:r>
            <w:r>
              <w:rPr>
                <w:color w:val="auto"/>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968" w:right="940" w:firstLine="0" w:firstLineChars="0"/>
              <w:jc w:val="center"/>
              <w:textAlignment w:val="auto"/>
              <w:rPr>
                <w:rFonts w:ascii="Times New Roman"/>
                <w:color w:val="auto"/>
                <w:sz w:val="21"/>
              </w:rPr>
            </w:pPr>
            <w:r>
              <w:rPr>
                <w:rFonts w:ascii="Times New Roman"/>
                <w:color w:val="auto"/>
                <w:sz w:val="21"/>
              </w:rPr>
              <w:t>TN</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695" w:right="659" w:firstLine="0" w:firstLineChars="0"/>
              <w:jc w:val="center"/>
              <w:textAlignment w:val="auto"/>
              <w:rPr>
                <w:rFonts w:ascii="Times New Roman" w:hAnsi="Times New Roman"/>
                <w:color w:val="auto"/>
                <w:sz w:val="21"/>
              </w:rPr>
            </w:pPr>
            <w:r>
              <w:rPr>
                <w:rFonts w:ascii="Times New Roman" w:hAnsi="Times New Roman"/>
                <w:color w:val="auto"/>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1" w:hRule="atLeast"/>
        </w:trPr>
        <w:tc>
          <w:tcPr>
            <w:tcW w:w="1189"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804"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967" w:right="940" w:firstLine="0" w:firstLineChars="0"/>
              <w:jc w:val="center"/>
              <w:textAlignment w:val="auto"/>
              <w:rPr>
                <w:rFonts w:ascii="Times New Roman"/>
                <w:color w:val="auto"/>
                <w:sz w:val="21"/>
              </w:rPr>
            </w:pPr>
            <w:r>
              <w:rPr>
                <w:rFonts w:ascii="Times New Roman"/>
                <w:color w:val="auto"/>
                <w:sz w:val="21"/>
              </w:rPr>
              <w:t>TP</w:t>
            </w:r>
          </w:p>
        </w:tc>
        <w:tc>
          <w:tcPr>
            <w:tcW w:w="19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97" w:right="659" w:firstLine="0" w:firstLineChars="0"/>
              <w:jc w:val="center"/>
              <w:textAlignment w:val="auto"/>
              <w:rPr>
                <w:rFonts w:ascii="Times New Roman" w:hAnsi="Times New Roman"/>
                <w:color w:val="auto"/>
                <w:sz w:val="21"/>
              </w:rPr>
            </w:pPr>
            <w:r>
              <w:rPr>
                <w:rFonts w:ascii="Times New Roman" w:hAnsi="Times New Roman"/>
                <w:color w:val="auto"/>
                <w:sz w:val="21"/>
              </w:rPr>
              <w:t>≤0.5</w:t>
            </w:r>
          </w:p>
        </w:tc>
      </w:tr>
    </w:tbl>
    <w:p>
      <w:pPr>
        <w:numPr>
          <w:ilvl w:val="0"/>
          <w:numId w:val="0"/>
        </w:numPr>
        <w:tabs>
          <w:tab w:val="left" w:pos="728"/>
        </w:tabs>
        <w:spacing w:before="2" w:after="0" w:line="360" w:lineRule="auto"/>
        <w:ind w:right="0" w:rightChars="0"/>
        <w:jc w:val="left"/>
        <w:outlineLvl w:val="9"/>
        <w:rPr>
          <w:rFonts w:hint="eastAsia"/>
          <w:color w:val="auto"/>
          <w:lang w:val="en-US" w:eastAsia="zh-CN"/>
        </w:rPr>
      </w:pPr>
      <w:bookmarkStart w:id="915" w:name="4.2工艺流程"/>
      <w:bookmarkEnd w:id="915"/>
      <w:bookmarkStart w:id="916" w:name="_bookmark15"/>
      <w:bookmarkEnd w:id="916"/>
    </w:p>
    <w:p>
      <w:pPr>
        <w:numPr>
          <w:ilvl w:val="0"/>
          <w:numId w:val="0"/>
        </w:numPr>
        <w:tabs>
          <w:tab w:val="left" w:pos="957"/>
          <w:tab w:val="left" w:pos="958"/>
        </w:tabs>
        <w:spacing w:before="160" w:after="0" w:line="360" w:lineRule="auto"/>
        <w:ind w:right="0" w:rightChars="0" w:firstLine="480" w:firstLineChars="200"/>
        <w:jc w:val="left"/>
        <w:outlineLvl w:val="9"/>
        <w:rPr>
          <w:color w:val="auto"/>
          <w:sz w:val="24"/>
          <w:szCs w:val="24"/>
        </w:rPr>
      </w:pPr>
      <w:r>
        <w:rPr>
          <w:rFonts w:hint="eastAsia"/>
          <w:color w:val="auto"/>
          <w:sz w:val="24"/>
          <w:szCs w:val="24"/>
          <w:lang w:val="en-US" w:eastAsia="zh-CN"/>
        </w:rPr>
        <w:t>3、</w:t>
      </w:r>
      <w:r>
        <w:rPr>
          <w:color w:val="auto"/>
          <w:sz w:val="24"/>
          <w:szCs w:val="24"/>
        </w:rPr>
        <w:t>工艺流程</w:t>
      </w:r>
    </w:p>
    <w:p>
      <w:pPr>
        <w:numPr>
          <w:ilvl w:val="0"/>
          <w:numId w:val="0"/>
        </w:numPr>
        <w:tabs>
          <w:tab w:val="left" w:pos="957"/>
          <w:tab w:val="left" w:pos="958"/>
        </w:tabs>
        <w:spacing w:before="185" w:after="0" w:line="360" w:lineRule="auto"/>
        <w:ind w:right="0" w:rightChars="0" w:firstLine="420" w:firstLineChars="200"/>
        <w:jc w:val="left"/>
        <w:outlineLvl w:val="9"/>
        <w:rPr>
          <w:rFonts w:ascii="宋体" w:hAnsi="宋体" w:eastAsia="宋体" w:cs="宋体"/>
          <w:color w:val="auto"/>
          <w:spacing w:val="-15"/>
          <w:sz w:val="24"/>
          <w:szCs w:val="22"/>
          <w:lang w:val="zh-CN" w:eastAsia="zh-CN" w:bidi="zh-CN"/>
        </w:rPr>
      </w:pPr>
      <w:bookmarkStart w:id="917" w:name="4.2.1 工艺流程简述"/>
      <w:bookmarkEnd w:id="917"/>
      <w:r>
        <w:rPr>
          <w:rFonts w:ascii="宋体" w:hAnsi="宋体" w:eastAsia="宋体" w:cs="宋体"/>
          <w:color w:val="auto"/>
          <w:spacing w:val="-15"/>
          <w:sz w:val="24"/>
          <w:szCs w:val="22"/>
          <w:lang w:val="zh-CN" w:eastAsia="zh-CN" w:bidi="zh-CN"/>
        </w:rPr>
        <w:t>工艺流程简述</w:t>
      </w:r>
    </w:p>
    <w:p>
      <w:pPr>
        <w:pStyle w:val="90"/>
        <w:numPr>
          <w:ilvl w:val="0"/>
          <w:numId w:val="0"/>
        </w:numPr>
        <w:tabs>
          <w:tab w:val="left" w:pos="1498"/>
        </w:tabs>
        <w:spacing w:before="161" w:after="0" w:line="360" w:lineRule="auto"/>
        <w:ind w:right="291" w:rightChars="0" w:firstLine="420" w:firstLineChars="200"/>
        <w:jc w:val="left"/>
        <w:rPr>
          <w:color w:val="auto"/>
          <w:sz w:val="24"/>
        </w:rPr>
      </w:pPr>
      <w:r>
        <w:rPr>
          <w:color w:val="auto"/>
          <w:spacing w:val="-15"/>
          <w:sz w:val="24"/>
        </w:rPr>
        <w:t xml:space="preserve">生活污水经过粗、细格栅预处理，去除废水中大体积杂物后进入提升池， </w:t>
      </w:r>
      <w:r>
        <w:rPr>
          <w:color w:val="auto"/>
          <w:sz w:val="24"/>
        </w:rPr>
        <w:t>经水泵提升进入缺氧反应器进行生化处理；</w:t>
      </w:r>
    </w:p>
    <w:p>
      <w:pPr>
        <w:pStyle w:val="90"/>
        <w:numPr>
          <w:ilvl w:val="0"/>
          <w:numId w:val="0"/>
        </w:numPr>
        <w:tabs>
          <w:tab w:val="left" w:pos="1498"/>
        </w:tabs>
        <w:spacing w:before="0" w:after="0" w:line="360" w:lineRule="auto"/>
        <w:ind w:right="411" w:rightChars="0" w:firstLine="492" w:firstLineChars="200"/>
        <w:jc w:val="left"/>
        <w:rPr>
          <w:color w:val="auto"/>
          <w:sz w:val="24"/>
        </w:rPr>
      </w:pPr>
      <w:r>
        <w:rPr>
          <w:color w:val="auto"/>
          <w:spacing w:val="3"/>
          <w:sz w:val="24"/>
        </w:rPr>
        <w:t>废水经过缺氧反应器和好氧反应器的微生物处理去除废水中的有机废物，随后进入快沉反应器进行沉淀，并同时进行污泥回流，防止污泥流失；</w:t>
      </w:r>
    </w:p>
    <w:p>
      <w:pPr>
        <w:pStyle w:val="90"/>
        <w:numPr>
          <w:ilvl w:val="0"/>
          <w:numId w:val="0"/>
        </w:numPr>
        <w:tabs>
          <w:tab w:val="left" w:pos="1498"/>
        </w:tabs>
        <w:spacing w:before="3" w:after="0" w:line="360" w:lineRule="auto"/>
        <w:ind w:right="411" w:rightChars="0" w:firstLine="460" w:firstLineChars="200"/>
        <w:jc w:val="left"/>
        <w:rPr>
          <w:color w:val="auto"/>
          <w:sz w:val="24"/>
        </w:rPr>
      </w:pPr>
      <w:r>
        <w:rPr>
          <w:color w:val="auto"/>
          <w:spacing w:val="-5"/>
          <w:sz w:val="24"/>
        </w:rPr>
        <w:t>经过沉淀后的废水进入除磷反应器进行除磷，经过化学除磷后的废水进</w:t>
      </w:r>
      <w:r>
        <w:rPr>
          <w:color w:val="auto"/>
          <w:spacing w:val="-4"/>
          <w:sz w:val="24"/>
        </w:rPr>
        <w:t xml:space="preserve">入高效过滤器进行过滤，保证废水出水 </w:t>
      </w:r>
      <w:r>
        <w:rPr>
          <w:rFonts w:ascii="Times New Roman" w:eastAsia="Times New Roman"/>
          <w:color w:val="auto"/>
          <w:sz w:val="24"/>
        </w:rPr>
        <w:t>TP</w:t>
      </w:r>
      <w:r>
        <w:rPr>
          <w:color w:val="auto"/>
          <w:sz w:val="24"/>
        </w:rPr>
        <w:t>、</w:t>
      </w:r>
      <w:r>
        <w:rPr>
          <w:rFonts w:ascii="Times New Roman" w:eastAsia="Times New Roman"/>
          <w:color w:val="auto"/>
          <w:sz w:val="24"/>
        </w:rPr>
        <w:t xml:space="preserve">SS </w:t>
      </w:r>
      <w:r>
        <w:rPr>
          <w:color w:val="auto"/>
          <w:sz w:val="24"/>
        </w:rPr>
        <w:t>达标；</w:t>
      </w:r>
    </w:p>
    <w:p>
      <w:pPr>
        <w:pStyle w:val="90"/>
        <w:numPr>
          <w:ilvl w:val="0"/>
          <w:numId w:val="0"/>
        </w:numPr>
        <w:tabs>
          <w:tab w:val="left" w:pos="1498"/>
        </w:tabs>
        <w:spacing w:before="5" w:after="0" w:line="360" w:lineRule="auto"/>
        <w:ind w:right="0" w:rightChars="0"/>
        <w:jc w:val="left"/>
        <w:rPr>
          <w:color w:val="auto"/>
          <w:sz w:val="24"/>
        </w:rPr>
      </w:pPr>
      <w:r>
        <w:rPr>
          <w:color w:val="auto"/>
          <w:sz w:val="24"/>
        </w:rPr>
        <w:t>最终污水进入紫外消毒池进行消毒后达标排放；</w:t>
      </w:r>
    </w:p>
    <w:p>
      <w:pPr>
        <w:pStyle w:val="90"/>
        <w:numPr>
          <w:ilvl w:val="0"/>
          <w:numId w:val="0"/>
        </w:numPr>
        <w:tabs>
          <w:tab w:val="left" w:pos="1498"/>
        </w:tabs>
        <w:spacing w:before="161" w:after="0" w:line="360" w:lineRule="auto"/>
        <w:ind w:right="411" w:rightChars="0" w:firstLine="460" w:firstLineChars="200"/>
        <w:jc w:val="left"/>
        <w:rPr>
          <w:color w:val="auto"/>
          <w:sz w:val="24"/>
        </w:rPr>
      </w:pPr>
      <w:r>
        <w:rPr>
          <w:color w:val="auto"/>
          <w:spacing w:val="-5"/>
          <w:sz w:val="24"/>
        </w:rPr>
        <w:t>生化及除磷过程产生的污泥进入污泥浓缩池，污泥自然沉降浓缩以后进</w:t>
      </w:r>
      <w:r>
        <w:rPr>
          <w:color w:val="auto"/>
          <w:sz w:val="24"/>
        </w:rPr>
        <w:t>入污泥压滤系统进行脱水；最终的脱水污泥由业主外运处置。</w:t>
      </w:r>
    </w:p>
    <w:p>
      <w:pPr>
        <w:numPr>
          <w:ilvl w:val="0"/>
          <w:numId w:val="0"/>
        </w:numPr>
        <w:tabs>
          <w:tab w:val="left" w:pos="957"/>
          <w:tab w:val="left" w:pos="958"/>
        </w:tabs>
        <w:spacing w:before="64" w:after="0" w:line="360" w:lineRule="auto"/>
        <w:ind w:leftChars="200" w:right="0" w:rightChars="0"/>
        <w:jc w:val="left"/>
        <w:outlineLvl w:val="9"/>
        <w:rPr>
          <w:rFonts w:hint="eastAsia"/>
          <w:color w:val="auto"/>
          <w:lang w:val="en-US" w:eastAsia="zh-CN"/>
        </w:rPr>
      </w:pPr>
      <w:bookmarkStart w:id="918" w:name="4.2.2 工艺流程图"/>
      <w:bookmarkEnd w:id="918"/>
    </w:p>
    <w:p>
      <w:pPr>
        <w:spacing w:line="360" w:lineRule="auto"/>
        <w:rPr>
          <w:rFonts w:hint="eastAsia" w:eastAsia="宋体"/>
          <w:color w:val="auto"/>
          <w:sz w:val="25"/>
          <w:lang w:eastAsia="zh-CN"/>
        </w:rPr>
      </w:pPr>
      <w:r>
        <w:rPr>
          <w:rFonts w:hint="eastAsia" w:eastAsia="宋体"/>
          <w:color w:val="auto"/>
          <w:sz w:val="25"/>
          <w:lang w:eastAsia="zh-CN"/>
        </w:rPr>
        <w:drawing>
          <wp:inline distT="0" distB="0" distL="0" distR="0">
            <wp:extent cx="5547995" cy="5217160"/>
            <wp:effectExtent l="0" t="0" r="14605" b="10160"/>
            <wp:docPr id="1026" name="图片 409" descr="25000tpd 崇州市经开区应急站延期服务咨询方案-百川集大_40"/>
            <wp:cNvGraphicFramePr/>
            <a:graphic xmlns:a="http://schemas.openxmlformats.org/drawingml/2006/main">
              <a:graphicData uri="http://schemas.openxmlformats.org/drawingml/2006/picture">
                <pic:pic xmlns:pic="http://schemas.openxmlformats.org/drawingml/2006/picture">
                  <pic:nvPicPr>
                    <pic:cNvPr id="1026" name="图片 409" descr="25000tpd 崇州市经开区应急站延期服务咨询方案-百川集大_40"/>
                    <pic:cNvPicPr/>
                  </pic:nvPicPr>
                  <pic:blipFill>
                    <a:blip r:embed="rId9" cstate="print"/>
                    <a:srcRect t="11034" r="5943" b="26444"/>
                    <a:stretch>
                      <a:fillRect/>
                    </a:stretch>
                  </pic:blipFill>
                  <pic:spPr>
                    <a:xfrm>
                      <a:off x="0" y="0"/>
                      <a:ext cx="5547995" cy="5217160"/>
                    </a:xfrm>
                    <a:prstGeom prst="rect">
                      <a:avLst/>
                    </a:prstGeom>
                  </pic:spPr>
                </pic:pic>
              </a:graphicData>
            </a:graphic>
          </wp:inline>
        </w:drawing>
      </w:r>
    </w:p>
    <w:p>
      <w:pPr>
        <w:pStyle w:val="2"/>
        <w:spacing w:line="360" w:lineRule="auto"/>
        <w:jc w:val="center"/>
        <w:rPr>
          <w:rFonts w:hint="default" w:eastAsia="宋体"/>
          <w:b/>
          <w:bCs/>
          <w:color w:val="auto"/>
          <w:sz w:val="25"/>
          <w:lang w:val="en-US" w:eastAsia="zh-CN"/>
        </w:rPr>
      </w:pPr>
      <w:r>
        <w:rPr>
          <w:rFonts w:hint="eastAsia"/>
          <w:b/>
          <w:bCs/>
          <w:color w:val="auto"/>
          <w:sz w:val="25"/>
          <w:lang w:val="en-US" w:eastAsia="zh-CN"/>
        </w:rPr>
        <w:t>工艺流程图</w:t>
      </w:r>
    </w:p>
    <w:p>
      <w:pPr>
        <w:spacing w:line="360" w:lineRule="auto"/>
        <w:ind w:left="0" w:leftChars="0" w:firstLine="0" w:firstLineChars="0"/>
        <w:rPr>
          <w:color w:val="auto"/>
          <w:sz w:val="25"/>
        </w:rPr>
      </w:pPr>
    </w:p>
    <w:p>
      <w:pPr>
        <w:pStyle w:val="2"/>
        <w:spacing w:line="360" w:lineRule="auto"/>
        <w:ind w:left="0" w:leftChars="0" w:firstLine="0" w:firstLineChars="0"/>
        <w:rPr>
          <w:color w:val="auto"/>
        </w:rPr>
      </w:pPr>
    </w:p>
    <w:p>
      <w:pPr>
        <w:numPr>
          <w:ilvl w:val="0"/>
          <w:numId w:val="0"/>
        </w:numPr>
        <w:tabs>
          <w:tab w:val="left" w:pos="957"/>
          <w:tab w:val="left" w:pos="958"/>
        </w:tabs>
        <w:spacing w:before="160" w:after="0" w:line="360" w:lineRule="auto"/>
        <w:ind w:right="0" w:rightChars="0"/>
        <w:jc w:val="left"/>
        <w:outlineLvl w:val="9"/>
        <w:rPr>
          <w:color w:val="auto"/>
          <w:sz w:val="24"/>
          <w:szCs w:val="24"/>
        </w:rPr>
      </w:pPr>
      <w:bookmarkStart w:id="919" w:name="4.3主要工艺设计描述"/>
      <w:bookmarkEnd w:id="919"/>
      <w:bookmarkStart w:id="920" w:name="_bookmark16"/>
      <w:bookmarkEnd w:id="920"/>
      <w:r>
        <w:rPr>
          <w:rFonts w:hint="eastAsia"/>
          <w:color w:val="auto"/>
          <w:sz w:val="24"/>
          <w:szCs w:val="24"/>
          <w:lang w:val="en-US" w:eastAsia="zh-CN"/>
        </w:rPr>
        <w:t>4、</w:t>
      </w:r>
      <w:r>
        <w:rPr>
          <w:color w:val="auto"/>
          <w:sz w:val="24"/>
          <w:szCs w:val="24"/>
        </w:rPr>
        <w:t>主要工艺设计描述</w:t>
      </w:r>
    </w:p>
    <w:p>
      <w:pPr>
        <w:numPr>
          <w:ilvl w:val="0"/>
          <w:numId w:val="0"/>
        </w:numPr>
        <w:tabs>
          <w:tab w:val="left" w:pos="838"/>
        </w:tabs>
        <w:spacing w:before="185" w:after="0" w:line="360" w:lineRule="auto"/>
        <w:ind w:leftChars="200" w:right="0" w:rightChars="0" w:firstLine="281" w:firstLineChars="100"/>
        <w:jc w:val="center"/>
        <w:outlineLvl w:val="9"/>
        <w:rPr>
          <w:b/>
          <w:bCs/>
          <w:color w:val="auto"/>
          <w:sz w:val="28"/>
          <w:szCs w:val="28"/>
        </w:rPr>
      </w:pPr>
      <w:bookmarkStart w:id="921" w:name="4.3.1粗、细格栅设计"/>
      <w:bookmarkEnd w:id="921"/>
      <w:r>
        <w:rPr>
          <w:b/>
          <w:bCs/>
          <w:color w:val="auto"/>
          <w:sz w:val="28"/>
          <w:szCs w:val="28"/>
        </w:rPr>
        <w:t>粗、细格栅设计</w:t>
      </w:r>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161" w:after="0" w:line="360" w:lineRule="auto"/>
        <w:ind w:right="0" w:rightChars="0" w:firstLine="4080" w:firstLineChars="1700"/>
        <w:jc w:val="left"/>
        <w:textAlignment w:val="auto"/>
        <w:rPr>
          <w:color w:val="auto"/>
          <w:sz w:val="24"/>
        </w:rPr>
      </w:pPr>
      <w:bookmarkStart w:id="922" w:name="4.3.1.1粗格栅设备技术参数"/>
      <w:bookmarkEnd w:id="922"/>
      <w:r>
        <w:rPr>
          <w:color w:val="auto"/>
          <w:sz w:val="24"/>
        </w:rPr>
        <w:t>粗格栅设备技术参数</w:t>
      </w:r>
    </w:p>
    <w:p>
      <w:pPr>
        <w:pStyle w:val="2"/>
        <w:keepNext w:val="0"/>
        <w:keepLines w:val="0"/>
        <w:pageBreakBefore w:val="0"/>
        <w:widowControl w:val="0"/>
        <w:kinsoku/>
        <w:wordWrap/>
        <w:overflowPunct/>
        <w:topLinePunct w:val="0"/>
        <w:autoSpaceDE/>
        <w:autoSpaceDN/>
        <w:bidi w:val="0"/>
        <w:adjustRightInd/>
        <w:snapToGrid/>
        <w:spacing w:before="3" w:line="360" w:lineRule="auto"/>
        <w:ind w:firstLine="0" w:firstLineChars="0"/>
        <w:textAlignment w:val="auto"/>
        <w:rPr>
          <w:rFonts w:hint="eastAsia" w:eastAsia="宋体"/>
          <w:color w:val="auto"/>
          <w:sz w:val="12"/>
          <w:lang w:val="en-US" w:eastAsia="zh-CN"/>
        </w:rPr>
      </w:pPr>
      <w:r>
        <w:rPr>
          <w:rFonts w:hint="eastAsia"/>
          <w:color w:val="auto"/>
          <w:sz w:val="12"/>
          <w:lang w:val="en-US" w:eastAsia="zh-CN"/>
        </w:rPr>
        <w:t xml:space="preserve"> </w:t>
      </w: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9"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5" w:firstLine="0" w:firstLineChars="0"/>
              <w:jc w:val="center"/>
              <w:textAlignment w:val="auto"/>
              <w:rPr>
                <w:color w:val="auto"/>
                <w:sz w:val="21"/>
              </w:rPr>
            </w:pPr>
            <w:r>
              <w:rPr>
                <w:color w:val="auto"/>
                <w:sz w:val="21"/>
              </w:rPr>
              <w:t>单套设备处理能力</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578" w:right="552" w:firstLine="0" w:firstLineChars="0"/>
              <w:jc w:val="center"/>
              <w:textAlignment w:val="auto"/>
              <w:rPr>
                <w:rFonts w:ascii="Times New Roman" w:hAnsi="Times New Roman"/>
                <w:color w:val="auto"/>
                <w:sz w:val="21"/>
              </w:rPr>
            </w:pPr>
            <w:r>
              <w:rPr>
                <w:rFonts w:ascii="Times New Roman" w:hAnsi="Times New Roman"/>
                <w:color w:val="auto"/>
                <w:sz w:val="21"/>
              </w:rPr>
              <w:t>0.3m</w:t>
            </w:r>
            <w:r>
              <w:rPr>
                <w:color w:val="auto"/>
                <w:sz w:val="21"/>
              </w:rPr>
              <w:t>³</w:t>
            </w:r>
            <w:r>
              <w:rPr>
                <w:rFonts w:ascii="Times New Roman" w:hAnsi="Times New Roman"/>
                <w:color w:val="auto"/>
                <w:sz w:val="21"/>
              </w:rPr>
              <w:t>/s</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2"/>
        <w:keepNext w:val="0"/>
        <w:keepLines w:val="0"/>
        <w:pageBreakBefore w:val="0"/>
        <w:widowControl w:val="0"/>
        <w:kinsoku/>
        <w:wordWrap/>
        <w:overflowPunct/>
        <w:topLinePunct w:val="0"/>
        <w:autoSpaceDE/>
        <w:autoSpaceDN/>
        <w:bidi w:val="0"/>
        <w:adjustRightInd/>
        <w:snapToGrid/>
        <w:spacing w:before="11" w:line="360" w:lineRule="auto"/>
        <w:ind w:firstLine="0" w:firstLineChars="0"/>
        <w:textAlignment w:val="auto"/>
        <w:rPr>
          <w:color w:val="auto"/>
          <w:sz w:val="4"/>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格栅间隙</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78" w:right="552" w:firstLine="0" w:firstLineChars="0"/>
              <w:jc w:val="center"/>
              <w:textAlignment w:val="auto"/>
              <w:rPr>
                <w:rFonts w:ascii="Times New Roman"/>
                <w:color w:val="auto"/>
                <w:sz w:val="21"/>
              </w:rPr>
            </w:pPr>
            <w:r>
              <w:rPr>
                <w:rFonts w:ascii="Times New Roman"/>
                <w:color w:val="auto"/>
                <w:sz w:val="21"/>
              </w:rPr>
              <w:t>10mm</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设备宽度</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78" w:right="552" w:firstLine="0" w:firstLineChars="0"/>
              <w:jc w:val="center"/>
              <w:textAlignment w:val="auto"/>
              <w:rPr>
                <w:rFonts w:ascii="Times New Roman"/>
                <w:color w:val="auto"/>
                <w:sz w:val="21"/>
              </w:rPr>
            </w:pPr>
            <w:r>
              <w:rPr>
                <w:rFonts w:ascii="Times New Roman"/>
                <w:color w:val="auto"/>
                <w:sz w:val="21"/>
              </w:rPr>
              <w:t>1100mm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安装角度</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0" w:right="552" w:firstLine="0" w:firstLineChars="0"/>
              <w:jc w:val="center"/>
              <w:textAlignment w:val="auto"/>
              <w:rPr>
                <w:rFonts w:ascii="Times New Roman" w:hAnsi="Times New Roman"/>
                <w:color w:val="auto"/>
                <w:sz w:val="21"/>
              </w:rPr>
            </w:pPr>
            <w:r>
              <w:rPr>
                <w:rFonts w:ascii="Times New Roman" w:hAnsi="Times New Roman"/>
                <w:color w:val="auto"/>
                <w:sz w:val="21"/>
              </w:rPr>
              <w:t>75°</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电机功率</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76" w:right="552" w:firstLine="0" w:firstLineChars="0"/>
              <w:jc w:val="center"/>
              <w:textAlignment w:val="auto"/>
              <w:rPr>
                <w:rFonts w:ascii="Times New Roman"/>
                <w:color w:val="auto"/>
                <w:sz w:val="21"/>
              </w:rPr>
            </w:pPr>
            <w:r>
              <w:rPr>
                <w:rFonts w:ascii="Times New Roman"/>
                <w:color w:val="auto"/>
                <w:sz w:val="21"/>
              </w:rPr>
              <w:t>3.0kW</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4" w:after="0" w:line="360" w:lineRule="auto"/>
        <w:ind w:left="1497" w:leftChars="0" w:right="0" w:rightChars="0"/>
        <w:jc w:val="left"/>
        <w:textAlignment w:val="auto"/>
        <w:rPr>
          <w:color w:val="auto"/>
          <w:sz w:val="24"/>
        </w:rPr>
      </w:pPr>
      <w:bookmarkStart w:id="923" w:name="4.3.1.2细格栅设备技术参数"/>
      <w:bookmarkEnd w:id="923"/>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4" w:after="0" w:line="360" w:lineRule="auto"/>
        <w:ind w:right="0" w:rightChars="0"/>
        <w:jc w:val="center"/>
        <w:textAlignment w:val="auto"/>
        <w:rPr>
          <w:b/>
          <w:bCs/>
          <w:color w:val="auto"/>
          <w:sz w:val="24"/>
        </w:rPr>
      </w:pPr>
      <w:r>
        <w:rPr>
          <w:b/>
          <w:bCs/>
          <w:color w:val="auto"/>
          <w:sz w:val="24"/>
        </w:rPr>
        <w:t>细格栅设备技术参数</w:t>
      </w:r>
    </w:p>
    <w:p>
      <w:pPr>
        <w:pStyle w:val="2"/>
        <w:keepNext w:val="0"/>
        <w:keepLines w:val="0"/>
        <w:pageBreakBefore w:val="0"/>
        <w:widowControl w:val="0"/>
        <w:kinsoku/>
        <w:wordWrap/>
        <w:overflowPunct/>
        <w:topLinePunct w:val="0"/>
        <w:autoSpaceDE/>
        <w:autoSpaceDN/>
        <w:bidi w:val="0"/>
        <w:adjustRightInd/>
        <w:snapToGrid/>
        <w:spacing w:before="3"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5" w:firstLine="0" w:firstLineChars="0"/>
              <w:jc w:val="center"/>
              <w:textAlignment w:val="auto"/>
              <w:rPr>
                <w:color w:val="auto"/>
                <w:sz w:val="21"/>
              </w:rPr>
            </w:pPr>
            <w:r>
              <w:rPr>
                <w:color w:val="auto"/>
                <w:sz w:val="21"/>
              </w:rPr>
              <w:t>单套设备处理能力</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580" w:right="552" w:firstLine="0" w:firstLineChars="0"/>
              <w:jc w:val="center"/>
              <w:textAlignment w:val="auto"/>
              <w:rPr>
                <w:rFonts w:ascii="Times New Roman" w:hAnsi="Times New Roman"/>
                <w:color w:val="auto"/>
                <w:sz w:val="21"/>
              </w:rPr>
            </w:pPr>
            <w:r>
              <w:rPr>
                <w:rFonts w:ascii="Times New Roman" w:hAnsi="Times New Roman"/>
                <w:color w:val="auto"/>
                <w:sz w:val="21"/>
              </w:rPr>
              <w:t>0.31m</w:t>
            </w:r>
            <w:r>
              <w:rPr>
                <w:color w:val="auto"/>
                <w:sz w:val="21"/>
              </w:rPr>
              <w:t>³</w:t>
            </w:r>
            <w:r>
              <w:rPr>
                <w:rFonts w:ascii="Times New Roman" w:hAnsi="Times New Roman"/>
                <w:color w:val="auto"/>
                <w:sz w:val="21"/>
              </w:rPr>
              <w:t>/s</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格栅间隙</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78" w:right="552" w:firstLine="0" w:firstLineChars="0"/>
              <w:jc w:val="center"/>
              <w:textAlignment w:val="auto"/>
              <w:rPr>
                <w:rFonts w:ascii="Times New Roman"/>
                <w:color w:val="auto"/>
                <w:sz w:val="21"/>
              </w:rPr>
            </w:pPr>
            <w:r>
              <w:rPr>
                <w:rFonts w:ascii="Times New Roman"/>
                <w:color w:val="auto"/>
                <w:sz w:val="21"/>
              </w:rPr>
              <w:t>5mm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11" w:right="185" w:firstLine="0" w:firstLineChars="0"/>
              <w:jc w:val="center"/>
              <w:textAlignment w:val="auto"/>
              <w:rPr>
                <w:color w:val="auto"/>
                <w:sz w:val="21"/>
              </w:rPr>
            </w:pPr>
            <w:r>
              <w:rPr>
                <w:color w:val="auto"/>
                <w:sz w:val="21"/>
              </w:rPr>
              <w:t>设备宽度</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78" w:right="552" w:firstLine="0" w:firstLineChars="0"/>
              <w:jc w:val="center"/>
              <w:textAlignment w:val="auto"/>
              <w:rPr>
                <w:rFonts w:ascii="Times New Roman"/>
                <w:color w:val="auto"/>
                <w:sz w:val="21"/>
              </w:rPr>
            </w:pPr>
            <w:r>
              <w:rPr>
                <w:rFonts w:ascii="Times New Roman"/>
                <w:color w:val="auto"/>
                <w:sz w:val="21"/>
              </w:rPr>
              <w:t>1400mm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5" w:firstLine="0" w:firstLineChars="0"/>
              <w:jc w:val="center"/>
              <w:textAlignment w:val="auto"/>
              <w:rPr>
                <w:color w:val="auto"/>
                <w:sz w:val="21"/>
              </w:rPr>
            </w:pPr>
            <w:r>
              <w:rPr>
                <w:color w:val="auto"/>
                <w:sz w:val="21"/>
              </w:rPr>
              <w:t>安装角度</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580" w:right="552" w:firstLine="0" w:firstLineChars="0"/>
              <w:jc w:val="center"/>
              <w:textAlignment w:val="auto"/>
              <w:rPr>
                <w:rFonts w:ascii="Times New Roman" w:hAnsi="Times New Roman"/>
                <w:color w:val="auto"/>
                <w:sz w:val="21"/>
              </w:rPr>
            </w:pPr>
            <w:r>
              <w:rPr>
                <w:rFonts w:ascii="Times New Roman" w:hAnsi="Times New Roman"/>
                <w:color w:val="auto"/>
                <w:sz w:val="21"/>
              </w:rPr>
              <w:t>75°</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电机功率</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79" w:right="552" w:firstLine="0" w:firstLineChars="0"/>
              <w:jc w:val="center"/>
              <w:textAlignment w:val="auto"/>
              <w:rPr>
                <w:rFonts w:ascii="Times New Roman"/>
                <w:color w:val="auto"/>
                <w:sz w:val="21"/>
              </w:rPr>
            </w:pPr>
            <w:r>
              <w:rPr>
                <w:rFonts w:ascii="Times New Roman"/>
                <w:color w:val="auto"/>
                <w:sz w:val="21"/>
              </w:rPr>
              <w:t>3.0kW</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2"/>
        <w:keepNext w:val="0"/>
        <w:keepLines w:val="0"/>
        <w:pageBreakBefore w:val="0"/>
        <w:widowControl w:val="0"/>
        <w:kinsoku/>
        <w:wordWrap/>
        <w:overflowPunct/>
        <w:topLinePunct w:val="0"/>
        <w:autoSpaceDE/>
        <w:autoSpaceDN/>
        <w:bidi w:val="0"/>
        <w:adjustRightInd/>
        <w:snapToGrid/>
        <w:spacing w:before="158" w:line="360" w:lineRule="auto"/>
        <w:ind w:left="0" w:leftChars="0" w:firstLine="0" w:firstLineChars="0"/>
        <w:jc w:val="center"/>
        <w:textAlignment w:val="auto"/>
        <w:rPr>
          <w:rFonts w:hint="eastAsia"/>
          <w:b/>
          <w:bCs/>
          <w:color w:val="auto"/>
          <w:lang w:val="en-US" w:eastAsia="zh-CN"/>
        </w:rPr>
      </w:pPr>
      <w:bookmarkStart w:id="924" w:name="4.3.2提升池设计"/>
      <w:bookmarkEnd w:id="924"/>
    </w:p>
    <w:p>
      <w:pPr>
        <w:pStyle w:val="2"/>
        <w:keepNext w:val="0"/>
        <w:keepLines w:val="0"/>
        <w:pageBreakBefore w:val="0"/>
        <w:widowControl w:val="0"/>
        <w:kinsoku/>
        <w:wordWrap/>
        <w:overflowPunct/>
        <w:topLinePunct w:val="0"/>
        <w:autoSpaceDE/>
        <w:autoSpaceDN/>
        <w:bidi w:val="0"/>
        <w:adjustRightInd/>
        <w:snapToGrid/>
        <w:spacing w:before="158" w:line="360" w:lineRule="auto"/>
        <w:ind w:left="0" w:leftChars="0" w:firstLine="0" w:firstLineChars="0"/>
        <w:jc w:val="center"/>
        <w:textAlignment w:val="auto"/>
        <w:rPr>
          <w:b/>
          <w:bCs/>
          <w:color w:val="auto"/>
        </w:rPr>
      </w:pPr>
      <w:r>
        <w:rPr>
          <w:b/>
          <w:bCs/>
          <w:color w:val="auto"/>
        </w:rPr>
        <w:t>提升池设计</w:t>
      </w:r>
    </w:p>
    <w:p>
      <w:pPr>
        <w:pStyle w:val="2"/>
        <w:keepNext w:val="0"/>
        <w:keepLines w:val="0"/>
        <w:pageBreakBefore w:val="0"/>
        <w:widowControl w:val="0"/>
        <w:kinsoku/>
        <w:wordWrap/>
        <w:overflowPunct/>
        <w:topLinePunct w:val="0"/>
        <w:autoSpaceDE/>
        <w:autoSpaceDN/>
        <w:bidi w:val="0"/>
        <w:adjustRightInd/>
        <w:snapToGrid/>
        <w:spacing w:before="158" w:line="360" w:lineRule="auto"/>
        <w:ind w:left="0" w:leftChars="0" w:firstLine="0" w:firstLineChars="0"/>
        <w:jc w:val="center"/>
        <w:textAlignment w:val="auto"/>
        <w:rPr>
          <w:b/>
          <w:bCs/>
          <w:color w:val="auto"/>
        </w:rPr>
      </w:pPr>
      <w:bookmarkStart w:id="925" w:name="4.3.2.1提升池技术参数"/>
      <w:bookmarkEnd w:id="925"/>
      <w:r>
        <w:rPr>
          <w:b/>
          <w:bCs/>
          <w:color w:val="auto"/>
        </w:rPr>
        <w:t>提升池技术参数</w:t>
      </w:r>
    </w:p>
    <w:p>
      <w:pPr>
        <w:pStyle w:val="2"/>
        <w:keepNext w:val="0"/>
        <w:keepLines w:val="0"/>
        <w:pageBreakBefore w:val="0"/>
        <w:widowControl w:val="0"/>
        <w:kinsoku/>
        <w:wordWrap/>
        <w:overflowPunct/>
        <w:topLinePunct w:val="0"/>
        <w:autoSpaceDE/>
        <w:autoSpaceDN/>
        <w:bidi w:val="0"/>
        <w:adjustRightInd/>
        <w:snapToGrid/>
        <w:spacing w:before="5"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5812" w:type="dxa"/>
            <w:gridSpan w:val="2"/>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69" w:right="2341" w:firstLine="0" w:firstLineChars="0"/>
              <w:jc w:val="center"/>
              <w:textAlignment w:val="auto"/>
              <w:rPr>
                <w:color w:val="auto"/>
                <w:sz w:val="21"/>
              </w:rPr>
            </w:pPr>
            <w:r>
              <w:rPr>
                <w:color w:val="auto"/>
                <w:sz w:val="21"/>
              </w:rPr>
              <w:t>提升池</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600" w:right="566" w:firstLine="0" w:firstLineChars="0"/>
              <w:jc w:val="center"/>
              <w:textAlignment w:val="auto"/>
              <w:rPr>
                <w:color w:val="auto"/>
                <w:sz w:val="21"/>
              </w:rPr>
            </w:pPr>
            <w:r>
              <w:rPr>
                <w:color w:val="auto"/>
                <w:sz w:val="21"/>
              </w:rPr>
              <w:t>含格栅渠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长</w:t>
            </w:r>
            <w:r>
              <w:rPr>
                <w:rFonts w:ascii="Times New Roman" w:hAnsi="Times New Roman" w:eastAsia="Times New Roman"/>
                <w:color w:val="auto"/>
                <w:sz w:val="21"/>
              </w:rPr>
              <w:t>×</w:t>
            </w:r>
            <w:r>
              <w:rPr>
                <w:color w:val="auto"/>
                <w:sz w:val="21"/>
              </w:rPr>
              <w:t>宽</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10.3m×8.2m×9.2m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579" w:right="552" w:firstLine="0" w:firstLineChars="0"/>
              <w:jc w:val="center"/>
              <w:textAlignment w:val="auto"/>
              <w:rPr>
                <w:color w:val="auto"/>
                <w:sz w:val="21"/>
              </w:rPr>
            </w:pPr>
            <w:r>
              <w:rPr>
                <w:rFonts w:ascii="Times New Roman" w:eastAsia="Times New Roman"/>
                <w:color w:val="auto"/>
                <w:sz w:val="21"/>
              </w:rPr>
              <w:t xml:space="preserve">1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材质</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76" w:right="552" w:firstLine="0" w:firstLineChars="0"/>
              <w:jc w:val="center"/>
              <w:textAlignment w:val="auto"/>
              <w:rPr>
                <w:color w:val="auto"/>
                <w:sz w:val="21"/>
              </w:rPr>
            </w:pPr>
            <w:r>
              <w:rPr>
                <w:color w:val="auto"/>
                <w:sz w:val="21"/>
              </w:rPr>
              <w:t>钢砼</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keepNext w:val="0"/>
        <w:keepLines w:val="0"/>
        <w:pageBreakBefore w:val="0"/>
        <w:widowControl w:val="0"/>
        <w:numPr>
          <w:ilvl w:val="0"/>
          <w:numId w:val="0"/>
        </w:numPr>
        <w:tabs>
          <w:tab w:val="left" w:pos="838"/>
        </w:tabs>
        <w:kinsoku/>
        <w:wordWrap/>
        <w:overflowPunct/>
        <w:topLinePunct w:val="0"/>
        <w:autoSpaceDE/>
        <w:autoSpaceDN/>
        <w:bidi w:val="0"/>
        <w:adjustRightInd/>
        <w:snapToGrid/>
        <w:spacing w:before="2" w:after="0" w:line="360" w:lineRule="auto"/>
        <w:ind w:right="0" w:rightChars="0"/>
        <w:jc w:val="left"/>
        <w:textAlignment w:val="auto"/>
        <w:outlineLvl w:val="9"/>
        <w:rPr>
          <w:rFonts w:hint="eastAsia"/>
          <w:color w:val="auto"/>
          <w:lang w:val="en-US" w:eastAsia="zh-CN"/>
        </w:rPr>
      </w:pPr>
      <w:bookmarkStart w:id="926" w:name="4.3.3一体化设备设计"/>
      <w:bookmarkEnd w:id="926"/>
    </w:p>
    <w:p>
      <w:pPr>
        <w:numPr>
          <w:ilvl w:val="0"/>
          <w:numId w:val="0"/>
        </w:numPr>
        <w:tabs>
          <w:tab w:val="left" w:pos="838"/>
        </w:tabs>
        <w:spacing w:before="185" w:after="0" w:line="360" w:lineRule="auto"/>
        <w:ind w:leftChars="200" w:right="0" w:rightChars="0" w:firstLine="281" w:firstLineChars="100"/>
        <w:jc w:val="center"/>
        <w:outlineLvl w:val="9"/>
        <w:rPr>
          <w:b/>
          <w:bCs/>
          <w:color w:val="auto"/>
          <w:sz w:val="28"/>
          <w:szCs w:val="28"/>
        </w:rPr>
      </w:pPr>
      <w:r>
        <w:rPr>
          <w:b/>
          <w:bCs/>
          <w:color w:val="auto"/>
          <w:sz w:val="28"/>
          <w:szCs w:val="28"/>
        </w:rPr>
        <w:t>一体化设备设计</w:t>
      </w:r>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158" w:after="0" w:line="360" w:lineRule="auto"/>
        <w:ind w:right="0" w:rightChars="0"/>
        <w:jc w:val="center"/>
        <w:textAlignment w:val="auto"/>
        <w:rPr>
          <w:b/>
          <w:bCs/>
          <w:color w:val="auto"/>
          <w:sz w:val="24"/>
        </w:rPr>
      </w:pPr>
      <w:bookmarkStart w:id="927" w:name="4.3.3.1生化反应器技术参数"/>
      <w:bookmarkEnd w:id="927"/>
      <w:r>
        <w:rPr>
          <w:b/>
          <w:bCs/>
          <w:color w:val="auto"/>
          <w:sz w:val="24"/>
        </w:rPr>
        <w:t>生化反应器技术参数</w:t>
      </w:r>
    </w:p>
    <w:p>
      <w:pPr>
        <w:pStyle w:val="2"/>
        <w:keepNext w:val="0"/>
        <w:keepLines w:val="0"/>
        <w:pageBreakBefore w:val="0"/>
        <w:widowControl w:val="0"/>
        <w:kinsoku/>
        <w:wordWrap/>
        <w:overflowPunct/>
        <w:topLinePunct w:val="0"/>
        <w:autoSpaceDE/>
        <w:autoSpaceDN/>
        <w:bidi w:val="0"/>
        <w:adjustRightInd/>
        <w:snapToGrid/>
        <w:spacing w:before="6"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污泥负荷</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6" w:line="360" w:lineRule="auto"/>
              <w:ind w:left="583" w:right="552" w:firstLine="0" w:firstLineChars="0"/>
              <w:jc w:val="center"/>
              <w:textAlignment w:val="auto"/>
              <w:rPr>
                <w:color w:val="auto"/>
                <w:sz w:val="21"/>
              </w:rPr>
            </w:pPr>
            <w:r>
              <w:rPr>
                <w:rFonts w:ascii="Times New Roman" w:hAnsi="Times New Roman" w:eastAsia="Times New Roman"/>
                <w:color w:val="auto"/>
                <w:position w:val="2"/>
                <w:sz w:val="21"/>
              </w:rPr>
              <w:t>0.12kgBOD</w:t>
            </w:r>
            <w:r>
              <w:rPr>
                <w:rFonts w:ascii="Times New Roman" w:hAnsi="Times New Roman" w:eastAsia="Times New Roman"/>
                <w:color w:val="auto"/>
                <w:position w:val="2"/>
                <w:sz w:val="21"/>
                <w:vertAlign w:val="subscript"/>
              </w:rPr>
              <w:t>5</w:t>
            </w:r>
            <w:r>
              <w:rPr>
                <w:rFonts w:ascii="Times New Roman" w:hAnsi="Times New Roman" w:eastAsia="Times New Roman"/>
                <w:color w:val="auto"/>
                <w:position w:val="2"/>
                <w:sz w:val="21"/>
                <w:vertAlign w:val="baseline"/>
              </w:rPr>
              <w:t>/</w:t>
            </w:r>
            <w:r>
              <w:rPr>
                <w:color w:val="auto"/>
                <w:position w:val="2"/>
                <w:sz w:val="21"/>
                <w:vertAlign w:val="baseline"/>
              </w:rPr>
              <w:t>（</w:t>
            </w:r>
            <w:r>
              <w:rPr>
                <w:rFonts w:ascii="Times New Roman" w:hAnsi="Times New Roman" w:eastAsia="Times New Roman"/>
                <w:color w:val="auto"/>
                <w:position w:val="2"/>
                <w:sz w:val="21"/>
                <w:vertAlign w:val="baseline"/>
              </w:rPr>
              <w:t>kgMLSS·d</w:t>
            </w:r>
            <w:r>
              <w:rPr>
                <w:color w:val="auto"/>
                <w:position w:val="2"/>
                <w:sz w:val="21"/>
                <w:vertAlign w:val="baseline"/>
              </w:rPr>
              <w:t>）</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污泥浓度</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79" w:right="552" w:firstLine="0" w:firstLineChars="0"/>
              <w:jc w:val="center"/>
              <w:textAlignment w:val="auto"/>
              <w:rPr>
                <w:rFonts w:ascii="Times New Roman"/>
                <w:color w:val="auto"/>
                <w:sz w:val="21"/>
              </w:rPr>
            </w:pPr>
            <w:r>
              <w:rPr>
                <w:rFonts w:ascii="Times New Roman"/>
                <w:color w:val="auto"/>
                <w:sz w:val="21"/>
              </w:rPr>
              <w:t>3500mg/L</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3" w:firstLine="0" w:firstLineChars="0"/>
              <w:jc w:val="center"/>
              <w:textAlignment w:val="auto"/>
              <w:rPr>
                <w:color w:val="auto"/>
                <w:sz w:val="21"/>
              </w:rPr>
            </w:pPr>
            <w:r>
              <w:rPr>
                <w:color w:val="auto"/>
                <w:sz w:val="21"/>
              </w:rPr>
              <w:t>有效停留时间</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580" w:right="552" w:firstLine="0" w:firstLineChars="0"/>
              <w:jc w:val="center"/>
              <w:textAlignment w:val="auto"/>
              <w:rPr>
                <w:rFonts w:ascii="Times New Roman"/>
                <w:color w:val="auto"/>
                <w:sz w:val="21"/>
              </w:rPr>
            </w:pPr>
            <w:r>
              <w:rPr>
                <w:rFonts w:ascii="Times New Roman"/>
                <w:color w:val="auto"/>
                <w:sz w:val="21"/>
              </w:rPr>
              <w:t>12h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601" w:right="566" w:firstLine="0" w:firstLineChars="0"/>
              <w:jc w:val="center"/>
              <w:textAlignment w:val="auto"/>
              <w:rPr>
                <w:rFonts w:ascii="Times New Roman" w:eastAsia="Times New Roman"/>
                <w:color w:val="auto"/>
                <w:sz w:val="21"/>
              </w:rPr>
            </w:pPr>
            <w:r>
              <w:rPr>
                <w:rFonts w:ascii="Times New Roman" w:eastAsia="Times New Roman"/>
                <w:color w:val="auto"/>
                <w:sz w:val="21"/>
              </w:rPr>
              <w:t>A</w:t>
            </w:r>
            <w:r>
              <w:rPr>
                <w:color w:val="auto"/>
                <w:sz w:val="21"/>
              </w:rPr>
              <w:t>：</w:t>
            </w:r>
            <w:r>
              <w:rPr>
                <w:rFonts w:ascii="Times New Roman" w:eastAsia="Times New Roman"/>
                <w:color w:val="auto"/>
                <w:sz w:val="21"/>
              </w:rPr>
              <w:t>O=1:2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污泥回流比</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2" w:right="552" w:firstLine="0" w:firstLineChars="0"/>
              <w:jc w:val="center"/>
              <w:textAlignment w:val="auto"/>
              <w:rPr>
                <w:rFonts w:ascii="Times New Roman"/>
                <w:color w:val="auto"/>
                <w:sz w:val="21"/>
              </w:rPr>
            </w:pPr>
            <w:r>
              <w:rPr>
                <w:rFonts w:ascii="Times New Roman"/>
                <w:color w:val="auto"/>
                <w:sz w:val="21"/>
              </w:rPr>
              <w:t>100%</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混合液回流比</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2" w:right="552" w:firstLine="0" w:firstLineChars="0"/>
              <w:jc w:val="center"/>
              <w:textAlignment w:val="auto"/>
              <w:rPr>
                <w:rFonts w:ascii="Times New Roman"/>
                <w:color w:val="auto"/>
                <w:sz w:val="21"/>
              </w:rPr>
            </w:pPr>
            <w:r>
              <w:rPr>
                <w:rFonts w:ascii="Times New Roman"/>
                <w:color w:val="auto"/>
                <w:sz w:val="21"/>
              </w:rPr>
              <w:t>300%</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64" w:after="0" w:line="360" w:lineRule="auto"/>
        <w:ind w:right="0" w:rightChars="0"/>
        <w:jc w:val="center"/>
        <w:textAlignment w:val="auto"/>
        <w:rPr>
          <w:b/>
          <w:bCs/>
          <w:color w:val="auto"/>
          <w:sz w:val="24"/>
        </w:rPr>
      </w:pPr>
      <w:bookmarkStart w:id="928" w:name="4.3.3.2缺氧反应器技术参数"/>
      <w:bookmarkEnd w:id="928"/>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64" w:after="0" w:line="360" w:lineRule="auto"/>
        <w:ind w:right="0" w:rightChars="0"/>
        <w:jc w:val="center"/>
        <w:textAlignment w:val="auto"/>
        <w:rPr>
          <w:b/>
          <w:bCs/>
          <w:color w:val="auto"/>
          <w:sz w:val="24"/>
        </w:rPr>
      </w:pPr>
      <w:r>
        <w:rPr>
          <w:b/>
          <w:bCs/>
          <w:color w:val="auto"/>
          <w:sz w:val="24"/>
        </w:rPr>
        <w:t>缺氧反应器技术参数</w:t>
      </w:r>
    </w:p>
    <w:p>
      <w:pPr>
        <w:pStyle w:val="2"/>
        <w:keepNext w:val="0"/>
        <w:keepLines w:val="0"/>
        <w:pageBreakBefore w:val="0"/>
        <w:widowControl w:val="0"/>
        <w:kinsoku/>
        <w:wordWrap/>
        <w:overflowPunct/>
        <w:topLinePunct w:val="0"/>
        <w:autoSpaceDE/>
        <w:autoSpaceDN/>
        <w:bidi w:val="0"/>
        <w:adjustRightInd/>
        <w:snapToGrid/>
        <w:spacing w:before="4"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直径</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Ø22.92m×6m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79" w:right="552" w:firstLine="0" w:firstLineChars="0"/>
              <w:jc w:val="center"/>
              <w:textAlignment w:val="auto"/>
              <w:rPr>
                <w:color w:val="auto"/>
                <w:sz w:val="21"/>
              </w:rPr>
            </w:pPr>
            <w:r>
              <w:rPr>
                <w:rFonts w:ascii="Times New Roman" w:eastAsia="Times New Roman"/>
                <w:color w:val="auto"/>
                <w:sz w:val="21"/>
              </w:rPr>
              <w:t xml:space="preserve">2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有效停留时间</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0" w:right="552" w:firstLine="0" w:firstLineChars="0"/>
              <w:jc w:val="center"/>
              <w:textAlignment w:val="auto"/>
              <w:rPr>
                <w:rFonts w:ascii="Times New Roman"/>
                <w:color w:val="auto"/>
                <w:sz w:val="21"/>
              </w:rPr>
            </w:pPr>
            <w:r>
              <w:rPr>
                <w:rFonts w:ascii="Times New Roman"/>
                <w:color w:val="auto"/>
                <w:sz w:val="21"/>
              </w:rPr>
              <w:t>4h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有效水深</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0" w:right="552" w:firstLine="0" w:firstLineChars="0"/>
              <w:jc w:val="center"/>
              <w:textAlignment w:val="auto"/>
              <w:rPr>
                <w:rFonts w:ascii="Times New Roman"/>
                <w:color w:val="auto"/>
                <w:sz w:val="21"/>
              </w:rPr>
            </w:pPr>
            <w:r>
              <w:rPr>
                <w:rFonts w:ascii="Times New Roman"/>
                <w:color w:val="auto"/>
                <w:sz w:val="21"/>
              </w:rPr>
              <w:t>5.05m</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3" w:after="0" w:line="360" w:lineRule="auto"/>
        <w:ind w:leftChars="200" w:right="0" w:rightChars="0" w:firstLine="0" w:firstLineChars="0"/>
        <w:jc w:val="left"/>
        <w:textAlignment w:val="auto"/>
        <w:rPr>
          <w:color w:val="auto"/>
          <w:sz w:val="24"/>
        </w:rPr>
      </w:pPr>
      <w:bookmarkStart w:id="929" w:name="4.3.3.3好氧反应器技术参数"/>
      <w:bookmarkEnd w:id="929"/>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3" w:after="0" w:line="360" w:lineRule="auto"/>
        <w:ind w:leftChars="200" w:right="0" w:rightChars="0" w:firstLine="0" w:firstLineChars="0"/>
        <w:jc w:val="center"/>
        <w:textAlignment w:val="auto"/>
        <w:rPr>
          <w:b/>
          <w:bCs/>
          <w:color w:val="auto"/>
          <w:sz w:val="24"/>
        </w:rPr>
      </w:pPr>
      <w:r>
        <w:rPr>
          <w:b/>
          <w:bCs/>
          <w:color w:val="auto"/>
          <w:sz w:val="24"/>
        </w:rPr>
        <w:t>好氧反应器技术参数</w:t>
      </w:r>
    </w:p>
    <w:p>
      <w:pPr>
        <w:pStyle w:val="2"/>
        <w:keepNext w:val="0"/>
        <w:keepLines w:val="0"/>
        <w:pageBreakBefore w:val="0"/>
        <w:widowControl w:val="0"/>
        <w:kinsoku/>
        <w:wordWrap/>
        <w:overflowPunct/>
        <w:topLinePunct w:val="0"/>
        <w:autoSpaceDE/>
        <w:autoSpaceDN/>
        <w:bidi w:val="0"/>
        <w:adjustRightInd/>
        <w:snapToGrid/>
        <w:spacing w:before="2" w:after="1"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5" w:firstLine="0" w:firstLineChars="0"/>
              <w:jc w:val="center"/>
              <w:textAlignment w:val="auto"/>
              <w:rPr>
                <w:color w:val="auto"/>
                <w:sz w:val="21"/>
              </w:rPr>
            </w:pPr>
            <w:r>
              <w:rPr>
                <w:color w:val="auto"/>
                <w:sz w:val="21"/>
              </w:rPr>
              <w:t>直径</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Ø32.85m×6m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79" w:right="552" w:firstLine="0" w:firstLineChars="0"/>
              <w:jc w:val="center"/>
              <w:textAlignment w:val="auto"/>
              <w:rPr>
                <w:color w:val="auto"/>
                <w:sz w:val="21"/>
              </w:rPr>
            </w:pPr>
            <w:r>
              <w:rPr>
                <w:rFonts w:ascii="Times New Roman" w:eastAsia="Times New Roman"/>
                <w:color w:val="auto"/>
                <w:sz w:val="21"/>
              </w:rPr>
              <w:t xml:space="preserve">2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有效停留时间</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0" w:right="552" w:firstLine="0" w:firstLineChars="0"/>
              <w:jc w:val="center"/>
              <w:textAlignment w:val="auto"/>
              <w:rPr>
                <w:rFonts w:ascii="Times New Roman"/>
                <w:color w:val="auto"/>
                <w:sz w:val="21"/>
              </w:rPr>
            </w:pPr>
            <w:r>
              <w:rPr>
                <w:rFonts w:ascii="Times New Roman"/>
                <w:color w:val="auto"/>
                <w:sz w:val="21"/>
              </w:rPr>
              <w:t>8h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5" w:firstLine="0" w:firstLineChars="0"/>
              <w:jc w:val="center"/>
              <w:textAlignment w:val="auto"/>
              <w:rPr>
                <w:color w:val="auto"/>
                <w:sz w:val="21"/>
              </w:rPr>
            </w:pPr>
            <w:r>
              <w:rPr>
                <w:color w:val="auto"/>
                <w:sz w:val="21"/>
              </w:rPr>
              <w:t>有效水深</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580" w:right="552" w:firstLine="0" w:firstLineChars="0"/>
              <w:jc w:val="center"/>
              <w:textAlignment w:val="auto"/>
              <w:rPr>
                <w:rFonts w:ascii="Times New Roman"/>
                <w:color w:val="auto"/>
                <w:sz w:val="21"/>
              </w:rPr>
            </w:pPr>
            <w:r>
              <w:rPr>
                <w:rFonts w:ascii="Times New Roman"/>
                <w:color w:val="auto"/>
                <w:sz w:val="21"/>
              </w:rPr>
              <w:t>4.91m</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2" w:after="0" w:line="360" w:lineRule="auto"/>
        <w:ind w:leftChars="200" w:right="0" w:rightChars="0" w:firstLine="0" w:firstLineChars="0"/>
        <w:jc w:val="left"/>
        <w:textAlignment w:val="auto"/>
        <w:rPr>
          <w:color w:val="auto"/>
          <w:sz w:val="24"/>
        </w:rPr>
      </w:pPr>
      <w:bookmarkStart w:id="930" w:name="4.3.3.4快沉反应器技术参数"/>
      <w:bookmarkEnd w:id="930"/>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2" w:after="0" w:line="360" w:lineRule="auto"/>
        <w:ind w:leftChars="200" w:right="0" w:rightChars="0" w:firstLine="0" w:firstLineChars="0"/>
        <w:jc w:val="center"/>
        <w:textAlignment w:val="auto"/>
        <w:rPr>
          <w:b/>
          <w:bCs/>
          <w:color w:val="auto"/>
          <w:sz w:val="24"/>
        </w:rPr>
      </w:pPr>
      <w:r>
        <w:rPr>
          <w:b/>
          <w:bCs/>
          <w:color w:val="auto"/>
          <w:sz w:val="24"/>
        </w:rPr>
        <w:t>快沉反应器技术参数</w:t>
      </w:r>
    </w:p>
    <w:p>
      <w:pPr>
        <w:pStyle w:val="2"/>
        <w:keepNext w:val="0"/>
        <w:keepLines w:val="0"/>
        <w:pageBreakBefore w:val="0"/>
        <w:widowControl w:val="0"/>
        <w:kinsoku/>
        <w:wordWrap/>
        <w:overflowPunct/>
        <w:topLinePunct w:val="0"/>
        <w:autoSpaceDE/>
        <w:autoSpaceDN/>
        <w:bidi w:val="0"/>
        <w:adjustRightInd/>
        <w:snapToGrid/>
        <w:spacing w:before="4" w:after="1"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直径</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Ø28.27m×4.8m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79" w:right="552" w:firstLine="0" w:firstLineChars="0"/>
              <w:jc w:val="center"/>
              <w:textAlignment w:val="auto"/>
              <w:rPr>
                <w:color w:val="auto"/>
                <w:sz w:val="21"/>
              </w:rPr>
            </w:pPr>
            <w:r>
              <w:rPr>
                <w:rFonts w:ascii="Times New Roman" w:eastAsia="Times New Roman"/>
                <w:color w:val="auto"/>
                <w:sz w:val="21"/>
              </w:rPr>
              <w:t xml:space="preserve">2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11" w:right="185" w:firstLine="0" w:firstLineChars="0"/>
              <w:jc w:val="center"/>
              <w:textAlignment w:val="auto"/>
              <w:rPr>
                <w:color w:val="auto"/>
                <w:sz w:val="21"/>
              </w:rPr>
            </w:pPr>
            <w:r>
              <w:rPr>
                <w:color w:val="auto"/>
                <w:sz w:val="21"/>
              </w:rPr>
              <w:t>表面负荷</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580" w:right="552" w:firstLine="0" w:firstLineChars="0"/>
              <w:jc w:val="center"/>
              <w:textAlignment w:val="auto"/>
              <w:rPr>
                <w:rFonts w:ascii="Times New Roman" w:hAnsi="Times New Roman" w:eastAsia="Times New Roman"/>
                <w:color w:val="auto"/>
                <w:sz w:val="21"/>
              </w:rPr>
            </w:pPr>
            <w:r>
              <w:rPr>
                <w:rFonts w:ascii="Times New Roman" w:hAnsi="Times New Roman" w:eastAsia="Times New Roman"/>
                <w:color w:val="auto"/>
                <w:sz w:val="21"/>
              </w:rPr>
              <w:t>0.83m</w:t>
            </w:r>
            <w:r>
              <w:rPr>
                <w:color w:val="auto"/>
                <w:sz w:val="21"/>
              </w:rPr>
              <w:t>³</w:t>
            </w:r>
            <w:r>
              <w:rPr>
                <w:rFonts w:ascii="Times New Roman" w:hAnsi="Times New Roman" w:eastAsia="Times New Roman"/>
                <w:color w:val="auto"/>
                <w:sz w:val="21"/>
              </w:rPr>
              <w:t>/</w:t>
            </w:r>
            <w:r>
              <w:rPr>
                <w:color w:val="auto"/>
                <w:sz w:val="21"/>
              </w:rPr>
              <w:t>㎡</w:t>
            </w:r>
            <w:r>
              <w:rPr>
                <w:rFonts w:ascii="Times New Roman" w:hAnsi="Times New Roman" w:eastAsia="Times New Roman"/>
                <w:color w:val="auto"/>
                <w:sz w:val="21"/>
              </w:rPr>
              <w:t>·h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有效停留时间</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2" w:right="552" w:firstLine="0" w:firstLineChars="0"/>
              <w:jc w:val="center"/>
              <w:textAlignment w:val="auto"/>
              <w:rPr>
                <w:rFonts w:ascii="Times New Roman"/>
                <w:color w:val="auto"/>
                <w:sz w:val="21"/>
              </w:rPr>
            </w:pPr>
            <w:r>
              <w:rPr>
                <w:rFonts w:ascii="Times New Roman"/>
                <w:color w:val="auto"/>
                <w:sz w:val="21"/>
              </w:rPr>
              <w:t>4.22h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有效水深</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0" w:right="552" w:firstLine="0" w:firstLineChars="0"/>
              <w:jc w:val="center"/>
              <w:textAlignment w:val="auto"/>
              <w:rPr>
                <w:rFonts w:ascii="Times New Roman"/>
                <w:color w:val="auto"/>
                <w:sz w:val="21"/>
              </w:rPr>
            </w:pPr>
            <w:r>
              <w:rPr>
                <w:rFonts w:ascii="Times New Roman"/>
                <w:color w:val="auto"/>
                <w:sz w:val="21"/>
              </w:rPr>
              <w:t>3.5m</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4" w:after="0" w:line="360" w:lineRule="auto"/>
        <w:ind w:right="0" w:rightChars="0"/>
        <w:jc w:val="left"/>
        <w:textAlignment w:val="auto"/>
        <w:rPr>
          <w:color w:val="auto"/>
          <w:sz w:val="24"/>
        </w:rPr>
      </w:pPr>
      <w:bookmarkStart w:id="931" w:name="4.3.3.5除磷反应器技术参数"/>
      <w:bookmarkEnd w:id="931"/>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4" w:after="0" w:line="360" w:lineRule="auto"/>
        <w:ind w:right="0" w:rightChars="0"/>
        <w:jc w:val="center"/>
        <w:textAlignment w:val="auto"/>
        <w:rPr>
          <w:b/>
          <w:bCs/>
          <w:color w:val="auto"/>
          <w:sz w:val="24"/>
        </w:rPr>
      </w:pPr>
      <w:r>
        <w:rPr>
          <w:b/>
          <w:bCs/>
          <w:color w:val="auto"/>
          <w:sz w:val="24"/>
        </w:rPr>
        <w:t>除磷反应器技术参数</w:t>
      </w:r>
    </w:p>
    <w:p>
      <w:pPr>
        <w:pStyle w:val="2"/>
        <w:keepNext w:val="0"/>
        <w:keepLines w:val="0"/>
        <w:pageBreakBefore w:val="0"/>
        <w:widowControl w:val="0"/>
        <w:kinsoku/>
        <w:wordWrap/>
        <w:overflowPunct/>
        <w:topLinePunct w:val="0"/>
        <w:autoSpaceDE/>
        <w:autoSpaceDN/>
        <w:bidi w:val="0"/>
        <w:adjustRightInd/>
        <w:snapToGrid/>
        <w:spacing w:before="2" w:after="1"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直径</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Ø22.15m×4.2m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79" w:right="552" w:firstLine="0" w:firstLineChars="0"/>
              <w:jc w:val="center"/>
              <w:textAlignment w:val="auto"/>
              <w:rPr>
                <w:color w:val="auto"/>
                <w:sz w:val="21"/>
              </w:rPr>
            </w:pPr>
            <w:r>
              <w:rPr>
                <w:rFonts w:ascii="Times New Roman" w:eastAsia="Times New Roman"/>
                <w:color w:val="auto"/>
                <w:sz w:val="21"/>
              </w:rPr>
              <w:t xml:space="preserve">2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表面负荷</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80" w:right="552" w:firstLine="0" w:firstLineChars="0"/>
              <w:jc w:val="center"/>
              <w:textAlignment w:val="auto"/>
              <w:rPr>
                <w:rFonts w:ascii="Times New Roman" w:hAnsi="Times New Roman" w:eastAsia="Times New Roman"/>
                <w:color w:val="auto"/>
                <w:sz w:val="21"/>
              </w:rPr>
            </w:pPr>
            <w:r>
              <w:rPr>
                <w:rFonts w:ascii="Times New Roman" w:hAnsi="Times New Roman" w:eastAsia="Times New Roman"/>
                <w:color w:val="auto"/>
                <w:sz w:val="21"/>
              </w:rPr>
              <w:t>1.35m</w:t>
            </w:r>
            <w:r>
              <w:rPr>
                <w:color w:val="auto"/>
                <w:sz w:val="21"/>
              </w:rPr>
              <w:t>³</w:t>
            </w:r>
            <w:r>
              <w:rPr>
                <w:rFonts w:ascii="Times New Roman" w:hAnsi="Times New Roman" w:eastAsia="Times New Roman"/>
                <w:color w:val="auto"/>
                <w:sz w:val="21"/>
              </w:rPr>
              <w:t>/</w:t>
            </w:r>
            <w:r>
              <w:rPr>
                <w:color w:val="auto"/>
                <w:sz w:val="21"/>
              </w:rPr>
              <w:t>㎡</w:t>
            </w:r>
            <w:r>
              <w:rPr>
                <w:rFonts w:ascii="Times New Roman" w:hAnsi="Times New Roman" w:eastAsia="Times New Roman"/>
                <w:color w:val="auto"/>
                <w:sz w:val="21"/>
              </w:rPr>
              <w:t>·h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有效停留时间</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2" w:right="552" w:firstLine="0" w:firstLineChars="0"/>
              <w:jc w:val="center"/>
              <w:textAlignment w:val="auto"/>
              <w:rPr>
                <w:rFonts w:ascii="Times New Roman"/>
                <w:color w:val="auto"/>
                <w:sz w:val="21"/>
              </w:rPr>
            </w:pPr>
            <w:r>
              <w:rPr>
                <w:rFonts w:ascii="Times New Roman"/>
                <w:color w:val="auto"/>
                <w:sz w:val="21"/>
              </w:rPr>
              <w:t>1.85h</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有效水深</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0" w:right="552" w:firstLine="0" w:firstLineChars="0"/>
              <w:jc w:val="center"/>
              <w:textAlignment w:val="auto"/>
              <w:rPr>
                <w:rFonts w:ascii="Times New Roman"/>
                <w:color w:val="auto"/>
                <w:sz w:val="21"/>
              </w:rPr>
            </w:pPr>
            <w:r>
              <w:rPr>
                <w:rFonts w:ascii="Times New Roman"/>
                <w:color w:val="auto"/>
                <w:sz w:val="21"/>
              </w:rPr>
              <w:t>2.5m</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64" w:after="0" w:line="360" w:lineRule="auto"/>
        <w:ind w:right="0" w:rightChars="0"/>
        <w:jc w:val="left"/>
        <w:textAlignment w:val="auto"/>
        <w:rPr>
          <w:color w:val="auto"/>
          <w:sz w:val="24"/>
        </w:rPr>
      </w:pPr>
      <w:bookmarkStart w:id="932" w:name="4.3.3.6高效过滤器技术参数"/>
      <w:bookmarkEnd w:id="932"/>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64" w:after="0" w:line="360" w:lineRule="auto"/>
        <w:ind w:right="0" w:rightChars="0"/>
        <w:jc w:val="center"/>
        <w:textAlignment w:val="auto"/>
        <w:rPr>
          <w:b/>
          <w:bCs/>
          <w:color w:val="auto"/>
          <w:sz w:val="24"/>
        </w:rPr>
      </w:pPr>
      <w:r>
        <w:rPr>
          <w:b/>
          <w:bCs/>
          <w:color w:val="auto"/>
          <w:sz w:val="24"/>
        </w:rPr>
        <w:t>高效过滤器技术参数</w:t>
      </w:r>
    </w:p>
    <w:p>
      <w:pPr>
        <w:pStyle w:val="2"/>
        <w:keepNext w:val="0"/>
        <w:keepLines w:val="0"/>
        <w:pageBreakBefore w:val="0"/>
        <w:widowControl w:val="0"/>
        <w:kinsoku/>
        <w:wordWrap/>
        <w:overflowPunct/>
        <w:topLinePunct w:val="0"/>
        <w:autoSpaceDE/>
        <w:autoSpaceDN/>
        <w:bidi w:val="0"/>
        <w:adjustRightInd/>
        <w:snapToGrid/>
        <w:spacing w:before="4"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设备外形尺寸</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6.5m×4.5m×2.8m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79" w:right="552" w:firstLine="0" w:firstLineChars="0"/>
              <w:jc w:val="center"/>
              <w:textAlignment w:val="auto"/>
              <w:rPr>
                <w:color w:val="auto"/>
                <w:sz w:val="21"/>
              </w:rPr>
            </w:pPr>
            <w:r>
              <w:rPr>
                <w:rFonts w:ascii="Times New Roman" w:eastAsia="Times New Roman"/>
                <w:color w:val="auto"/>
                <w:sz w:val="21"/>
              </w:rPr>
              <w:t xml:space="preserve">4 </w:t>
            </w:r>
            <w:r>
              <w:rPr>
                <w:color w:val="auto"/>
                <w:sz w:val="21"/>
              </w:rPr>
              <w:t>台</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单套设备处理量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80" w:right="552" w:firstLine="0" w:firstLineChars="0"/>
              <w:jc w:val="center"/>
              <w:textAlignment w:val="auto"/>
              <w:rPr>
                <w:rFonts w:ascii="Times New Roman" w:hAnsi="Times New Roman"/>
                <w:color w:val="auto"/>
                <w:sz w:val="21"/>
              </w:rPr>
            </w:pPr>
            <w:r>
              <w:rPr>
                <w:rFonts w:ascii="Times New Roman" w:hAnsi="Times New Roman"/>
                <w:color w:val="auto"/>
                <w:sz w:val="21"/>
              </w:rPr>
              <w:t>6250 m</w:t>
            </w:r>
            <w:r>
              <w:rPr>
                <w:color w:val="auto"/>
                <w:sz w:val="21"/>
              </w:rPr>
              <w:t>³</w:t>
            </w:r>
            <w:r>
              <w:rPr>
                <w:rFonts w:ascii="Times New Roman" w:hAnsi="Times New Roman"/>
                <w:color w:val="auto"/>
                <w:sz w:val="21"/>
              </w:rPr>
              <w:t>/d</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单套设备滤盘直径</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78" w:right="552" w:firstLine="0" w:firstLineChars="0"/>
              <w:jc w:val="center"/>
              <w:textAlignment w:val="auto"/>
              <w:rPr>
                <w:rFonts w:ascii="Times New Roman" w:hAnsi="Times New Roman"/>
                <w:color w:val="auto"/>
                <w:sz w:val="21"/>
              </w:rPr>
            </w:pPr>
            <w:r>
              <w:rPr>
                <w:rFonts w:ascii="Times New Roman" w:hAnsi="Times New Roman"/>
                <w:color w:val="auto"/>
                <w:sz w:val="21"/>
              </w:rPr>
              <w:t>Ø2000mm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00" w:right="566" w:firstLine="0" w:firstLineChars="0"/>
              <w:jc w:val="center"/>
              <w:textAlignment w:val="auto"/>
              <w:rPr>
                <w:color w:val="auto"/>
                <w:sz w:val="21"/>
              </w:rPr>
            </w:pPr>
            <w:r>
              <w:rPr>
                <w:color w:val="auto"/>
                <w:sz w:val="21"/>
              </w:rPr>
              <w:t>纤维转盘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5" w:firstLine="0" w:firstLineChars="0"/>
              <w:jc w:val="center"/>
              <w:textAlignment w:val="auto"/>
              <w:rPr>
                <w:color w:val="auto"/>
                <w:sz w:val="21"/>
              </w:rPr>
            </w:pPr>
            <w:r>
              <w:rPr>
                <w:color w:val="auto"/>
                <w:sz w:val="21"/>
              </w:rPr>
              <w:t>单套设备滤盘个数</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580" w:right="552" w:firstLine="0" w:firstLineChars="0"/>
              <w:jc w:val="center"/>
              <w:textAlignment w:val="auto"/>
              <w:rPr>
                <w:rFonts w:ascii="Times New Roman"/>
                <w:color w:val="auto"/>
                <w:sz w:val="21"/>
              </w:rPr>
            </w:pPr>
            <w:r>
              <w:rPr>
                <w:rFonts w:ascii="Times New Roman"/>
                <w:color w:val="auto"/>
                <w:sz w:val="21"/>
              </w:rPr>
              <w:t>12</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6</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单套设备装机功率</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76" w:right="552" w:firstLine="0" w:firstLineChars="0"/>
              <w:jc w:val="center"/>
              <w:textAlignment w:val="auto"/>
              <w:rPr>
                <w:rFonts w:ascii="Times New Roman"/>
                <w:color w:val="auto"/>
                <w:sz w:val="21"/>
              </w:rPr>
            </w:pPr>
            <w:r>
              <w:rPr>
                <w:rFonts w:ascii="Times New Roman"/>
                <w:color w:val="auto"/>
                <w:sz w:val="21"/>
              </w:rPr>
              <w:t>11kW</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keepNext w:val="0"/>
        <w:keepLines w:val="0"/>
        <w:pageBreakBefore w:val="0"/>
        <w:widowControl w:val="0"/>
        <w:numPr>
          <w:ilvl w:val="0"/>
          <w:numId w:val="0"/>
        </w:numPr>
        <w:tabs>
          <w:tab w:val="left" w:pos="838"/>
        </w:tabs>
        <w:kinsoku/>
        <w:wordWrap/>
        <w:overflowPunct/>
        <w:topLinePunct w:val="0"/>
        <w:autoSpaceDE/>
        <w:autoSpaceDN/>
        <w:bidi w:val="0"/>
        <w:adjustRightInd/>
        <w:snapToGrid/>
        <w:spacing w:before="3" w:after="0" w:line="360" w:lineRule="auto"/>
        <w:ind w:left="837" w:leftChars="0" w:right="0" w:rightChars="0"/>
        <w:jc w:val="left"/>
        <w:textAlignment w:val="auto"/>
        <w:outlineLvl w:val="9"/>
        <w:rPr>
          <w:color w:val="auto"/>
        </w:rPr>
      </w:pPr>
      <w:bookmarkStart w:id="933" w:name="4.3.4紫外消毒排放渠设计"/>
      <w:bookmarkEnd w:id="933"/>
    </w:p>
    <w:p>
      <w:pPr>
        <w:numPr>
          <w:ilvl w:val="0"/>
          <w:numId w:val="0"/>
        </w:numPr>
        <w:tabs>
          <w:tab w:val="left" w:pos="838"/>
        </w:tabs>
        <w:spacing w:before="185" w:after="0" w:line="360" w:lineRule="auto"/>
        <w:ind w:leftChars="200" w:right="0" w:rightChars="0" w:firstLine="341" w:firstLineChars="100"/>
        <w:jc w:val="center"/>
        <w:outlineLvl w:val="9"/>
        <w:rPr>
          <w:b/>
          <w:bCs/>
          <w:color w:val="auto"/>
        </w:rPr>
      </w:pPr>
      <w:r>
        <w:rPr>
          <w:b/>
          <w:bCs/>
          <w:color w:val="auto"/>
        </w:rPr>
        <w:t>紫外消毒排放渠设计</w:t>
      </w:r>
    </w:p>
    <w:p>
      <w:pPr>
        <w:pStyle w:val="2"/>
        <w:keepNext w:val="0"/>
        <w:keepLines w:val="0"/>
        <w:pageBreakBefore w:val="0"/>
        <w:widowControl w:val="0"/>
        <w:kinsoku/>
        <w:wordWrap/>
        <w:overflowPunct/>
        <w:topLinePunct w:val="0"/>
        <w:autoSpaceDE/>
        <w:autoSpaceDN/>
        <w:bidi w:val="0"/>
        <w:adjustRightInd/>
        <w:snapToGrid/>
        <w:spacing w:before="160" w:line="360" w:lineRule="auto"/>
        <w:ind w:left="717" w:firstLine="0" w:firstLineChars="0"/>
        <w:jc w:val="center"/>
        <w:textAlignment w:val="auto"/>
        <w:rPr>
          <w:b/>
          <w:bCs/>
          <w:color w:val="auto"/>
        </w:rPr>
      </w:pPr>
      <w:r>
        <w:rPr>
          <w:b/>
          <w:bCs/>
          <w:color w:val="auto"/>
        </w:rPr>
        <w:t>紫外消毒池技术参数</w:t>
      </w:r>
    </w:p>
    <w:p>
      <w:pPr>
        <w:pStyle w:val="2"/>
        <w:keepNext w:val="0"/>
        <w:keepLines w:val="0"/>
        <w:pageBreakBefore w:val="0"/>
        <w:widowControl w:val="0"/>
        <w:kinsoku/>
        <w:wordWrap/>
        <w:overflowPunct/>
        <w:topLinePunct w:val="0"/>
        <w:autoSpaceDE/>
        <w:autoSpaceDN/>
        <w:bidi w:val="0"/>
        <w:adjustRightInd/>
        <w:snapToGrid/>
        <w:spacing w:before="3"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5812" w:type="dxa"/>
            <w:gridSpan w:val="2"/>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69" w:right="2343" w:firstLine="0" w:firstLineChars="0"/>
              <w:jc w:val="center"/>
              <w:textAlignment w:val="auto"/>
              <w:rPr>
                <w:color w:val="auto"/>
                <w:sz w:val="21"/>
              </w:rPr>
            </w:pPr>
            <w:r>
              <w:rPr>
                <w:color w:val="auto"/>
                <w:sz w:val="21"/>
              </w:rPr>
              <w:t>紫外消毒池</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600" w:right="566" w:firstLine="0" w:firstLineChars="0"/>
              <w:jc w:val="center"/>
              <w:textAlignment w:val="auto"/>
              <w:rPr>
                <w:color w:val="auto"/>
                <w:sz w:val="21"/>
              </w:rPr>
            </w:pPr>
            <w:r>
              <w:rPr>
                <w:color w:val="auto"/>
                <w:sz w:val="21"/>
              </w:rPr>
              <w:t>含排放渠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长</w:t>
            </w:r>
            <w:r>
              <w:rPr>
                <w:rFonts w:ascii="Times New Roman" w:hAnsi="Times New Roman" w:eastAsia="Times New Roman"/>
                <w:color w:val="auto"/>
                <w:sz w:val="21"/>
              </w:rPr>
              <w:t>×</w:t>
            </w:r>
            <w:r>
              <w:rPr>
                <w:color w:val="auto"/>
                <w:sz w:val="21"/>
              </w:rPr>
              <w:t>宽</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2" w:right="552" w:firstLine="0" w:firstLineChars="0"/>
              <w:jc w:val="center"/>
              <w:textAlignment w:val="auto"/>
              <w:rPr>
                <w:rFonts w:ascii="Times New Roman" w:hAnsi="Times New Roman"/>
                <w:color w:val="auto"/>
                <w:sz w:val="21"/>
              </w:rPr>
            </w:pPr>
            <w:r>
              <w:rPr>
                <w:rFonts w:ascii="Times New Roman" w:hAnsi="Times New Roman"/>
                <w:color w:val="auto"/>
                <w:sz w:val="21"/>
              </w:rPr>
              <w:t>16.54m×3.4m×2.2m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579" w:right="552" w:firstLine="0" w:firstLineChars="0"/>
              <w:jc w:val="center"/>
              <w:textAlignment w:val="auto"/>
              <w:rPr>
                <w:color w:val="auto"/>
                <w:sz w:val="21"/>
              </w:rPr>
            </w:pPr>
            <w:r>
              <w:rPr>
                <w:rFonts w:ascii="Times New Roman" w:eastAsia="Times New Roman"/>
                <w:color w:val="auto"/>
                <w:sz w:val="21"/>
              </w:rPr>
              <w:t xml:space="preserve">1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紫外灯数量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81" w:right="552" w:firstLine="0" w:firstLineChars="0"/>
              <w:jc w:val="center"/>
              <w:textAlignment w:val="auto"/>
              <w:rPr>
                <w:color w:val="auto"/>
                <w:sz w:val="21"/>
              </w:rPr>
            </w:pPr>
            <w:r>
              <w:rPr>
                <w:rFonts w:ascii="Times New Roman" w:eastAsia="Times New Roman"/>
                <w:color w:val="auto"/>
                <w:sz w:val="21"/>
              </w:rPr>
              <w:t xml:space="preserve">44 </w:t>
            </w:r>
            <w:r>
              <w:rPr>
                <w:color w:val="auto"/>
                <w:sz w:val="21"/>
              </w:rPr>
              <w:t>支</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5" w:firstLine="0" w:firstLineChars="0"/>
              <w:jc w:val="center"/>
              <w:textAlignment w:val="auto"/>
              <w:rPr>
                <w:color w:val="auto"/>
                <w:sz w:val="21"/>
              </w:rPr>
            </w:pPr>
            <w:r>
              <w:rPr>
                <w:color w:val="auto"/>
                <w:sz w:val="21"/>
              </w:rPr>
              <w:t>紫外灯功率</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76" w:right="552" w:firstLine="0" w:firstLineChars="0"/>
              <w:jc w:val="center"/>
              <w:textAlignment w:val="auto"/>
              <w:rPr>
                <w:rFonts w:ascii="Times New Roman"/>
                <w:color w:val="auto"/>
                <w:sz w:val="21"/>
              </w:rPr>
            </w:pPr>
            <w:r>
              <w:rPr>
                <w:rFonts w:ascii="Times New Roman"/>
                <w:color w:val="auto"/>
                <w:sz w:val="21"/>
              </w:rPr>
              <w:t>22kW</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6</w:t>
            </w:r>
          </w:p>
        </w:tc>
        <w:tc>
          <w:tcPr>
            <w:tcW w:w="5812" w:type="dxa"/>
            <w:gridSpan w:val="2"/>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369" w:right="2341" w:firstLine="0" w:firstLineChars="0"/>
              <w:jc w:val="center"/>
              <w:textAlignment w:val="auto"/>
              <w:rPr>
                <w:color w:val="auto"/>
                <w:sz w:val="21"/>
              </w:rPr>
            </w:pPr>
            <w:r>
              <w:rPr>
                <w:color w:val="auto"/>
                <w:sz w:val="21"/>
              </w:rPr>
              <w:t>清水池</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7</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长</w:t>
            </w:r>
            <w:r>
              <w:rPr>
                <w:rFonts w:ascii="Times New Roman" w:hAnsi="Times New Roman" w:eastAsia="Times New Roman"/>
                <w:color w:val="auto"/>
                <w:sz w:val="21"/>
              </w:rPr>
              <w:t>×</w:t>
            </w:r>
            <w:r>
              <w:rPr>
                <w:color w:val="auto"/>
                <w:sz w:val="21"/>
              </w:rPr>
              <w:t>宽</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580" w:right="552" w:firstLine="0" w:firstLineChars="0"/>
              <w:jc w:val="center"/>
              <w:textAlignment w:val="auto"/>
              <w:rPr>
                <w:rFonts w:ascii="Times New Roman" w:hAnsi="Times New Roman"/>
                <w:color w:val="auto"/>
                <w:sz w:val="21"/>
              </w:rPr>
            </w:pPr>
            <w:r>
              <w:rPr>
                <w:rFonts w:ascii="Times New Roman" w:hAnsi="Times New Roman"/>
                <w:color w:val="auto"/>
                <w:sz w:val="21"/>
              </w:rPr>
              <w:t>3m×3m×3m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8</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79" w:right="552" w:firstLine="0" w:firstLineChars="0"/>
              <w:jc w:val="center"/>
              <w:textAlignment w:val="auto"/>
              <w:rPr>
                <w:color w:val="auto"/>
                <w:sz w:val="21"/>
              </w:rPr>
            </w:pPr>
            <w:r>
              <w:rPr>
                <w:rFonts w:ascii="Times New Roman" w:eastAsia="Times New Roman"/>
                <w:color w:val="auto"/>
                <w:sz w:val="21"/>
              </w:rPr>
              <w:t xml:space="preserve">1 </w:t>
            </w:r>
            <w:r>
              <w:rPr>
                <w:color w:val="auto"/>
                <w:sz w:val="21"/>
              </w:rPr>
              <w:t>座</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keepNext w:val="0"/>
        <w:keepLines w:val="0"/>
        <w:pageBreakBefore w:val="0"/>
        <w:widowControl w:val="0"/>
        <w:numPr>
          <w:ilvl w:val="0"/>
          <w:numId w:val="0"/>
        </w:numPr>
        <w:tabs>
          <w:tab w:val="left" w:pos="838"/>
        </w:tabs>
        <w:kinsoku/>
        <w:wordWrap/>
        <w:overflowPunct/>
        <w:topLinePunct w:val="0"/>
        <w:autoSpaceDE/>
        <w:autoSpaceDN/>
        <w:bidi w:val="0"/>
        <w:adjustRightInd/>
        <w:snapToGrid/>
        <w:spacing w:before="3" w:after="0" w:line="360" w:lineRule="auto"/>
        <w:ind w:left="837" w:leftChars="0" w:right="0" w:rightChars="0"/>
        <w:jc w:val="left"/>
        <w:textAlignment w:val="auto"/>
        <w:outlineLvl w:val="9"/>
        <w:rPr>
          <w:color w:val="auto"/>
        </w:rPr>
      </w:pPr>
      <w:bookmarkStart w:id="934" w:name="4.3.5污泥浓缩池设计"/>
      <w:bookmarkEnd w:id="934"/>
    </w:p>
    <w:p>
      <w:pPr>
        <w:bidi w:val="0"/>
        <w:spacing w:line="360" w:lineRule="auto"/>
        <w:jc w:val="center"/>
        <w:rPr>
          <w:color w:val="auto"/>
        </w:rPr>
      </w:pPr>
      <w:r>
        <w:rPr>
          <w:b/>
          <w:bCs/>
          <w:color w:val="auto"/>
        </w:rPr>
        <w:t>污泥浓缩池设计</w:t>
      </w:r>
    </w:p>
    <w:p>
      <w:pPr>
        <w:pStyle w:val="2"/>
        <w:keepNext w:val="0"/>
        <w:keepLines w:val="0"/>
        <w:pageBreakBefore w:val="0"/>
        <w:widowControl w:val="0"/>
        <w:kinsoku/>
        <w:wordWrap/>
        <w:overflowPunct/>
        <w:topLinePunct w:val="0"/>
        <w:autoSpaceDE/>
        <w:autoSpaceDN/>
        <w:bidi w:val="0"/>
        <w:adjustRightInd/>
        <w:snapToGrid/>
        <w:spacing w:before="158" w:line="360" w:lineRule="auto"/>
        <w:jc w:val="center"/>
        <w:textAlignment w:val="auto"/>
        <w:rPr>
          <w:b/>
          <w:bCs/>
          <w:color w:val="auto"/>
        </w:rPr>
      </w:pPr>
      <w:bookmarkStart w:id="935" w:name="4.3.5.1污泥浓缩池技术参数"/>
      <w:bookmarkEnd w:id="935"/>
      <w:r>
        <w:rPr>
          <w:rFonts w:hint="eastAsia"/>
          <w:b/>
          <w:bCs/>
          <w:color w:val="auto"/>
          <w:lang w:val="en-US" w:eastAsia="zh-CN"/>
        </w:rPr>
        <w:t xml:space="preserve">  </w:t>
      </w:r>
      <w:r>
        <w:rPr>
          <w:b/>
          <w:bCs/>
          <w:color w:val="auto"/>
        </w:rPr>
        <w:t>污泥浓缩池技术参数</w:t>
      </w:r>
    </w:p>
    <w:p>
      <w:pPr>
        <w:pStyle w:val="2"/>
        <w:keepNext w:val="0"/>
        <w:keepLines w:val="0"/>
        <w:pageBreakBefore w:val="0"/>
        <w:widowControl w:val="0"/>
        <w:kinsoku/>
        <w:wordWrap/>
        <w:overflowPunct/>
        <w:topLinePunct w:val="0"/>
        <w:autoSpaceDE/>
        <w:autoSpaceDN/>
        <w:bidi w:val="0"/>
        <w:adjustRightInd/>
        <w:snapToGrid/>
        <w:spacing w:before="5" w:line="360" w:lineRule="auto"/>
        <w:ind w:firstLine="0" w:firstLineChars="0"/>
        <w:textAlignment w:val="auto"/>
        <w:rPr>
          <w:color w:val="auto"/>
          <w:sz w:val="12"/>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2126"/>
        <w:gridCol w:w="3686"/>
        <w:gridCol w:w="21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130" w:right="111" w:firstLine="0" w:firstLineChars="0"/>
              <w:jc w:val="center"/>
              <w:textAlignment w:val="auto"/>
              <w:rPr>
                <w:b/>
                <w:color w:val="auto"/>
                <w:sz w:val="21"/>
              </w:rPr>
            </w:pPr>
            <w:r>
              <w:rPr>
                <w:b/>
                <w:color w:val="auto"/>
                <w:sz w:val="21"/>
              </w:rPr>
              <w:t>序号</w:t>
            </w:r>
          </w:p>
        </w:tc>
        <w:tc>
          <w:tcPr>
            <w:tcW w:w="212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11" w:right="181" w:firstLine="0" w:firstLineChars="0"/>
              <w:jc w:val="center"/>
              <w:textAlignment w:val="auto"/>
              <w:rPr>
                <w:b/>
                <w:color w:val="auto"/>
                <w:sz w:val="21"/>
              </w:rPr>
            </w:pPr>
            <w:r>
              <w:rPr>
                <w:b/>
                <w:color w:val="auto"/>
                <w:sz w:val="21"/>
              </w:rPr>
              <w:t>项目</w:t>
            </w:r>
          </w:p>
        </w:tc>
        <w:tc>
          <w:tcPr>
            <w:tcW w:w="36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583" w:right="552" w:firstLine="0" w:firstLineChars="0"/>
              <w:jc w:val="center"/>
              <w:textAlignment w:val="auto"/>
              <w:rPr>
                <w:b/>
                <w:color w:val="auto"/>
                <w:sz w:val="21"/>
              </w:rPr>
            </w:pPr>
            <w:r>
              <w:rPr>
                <w:b/>
                <w:color w:val="auto"/>
                <w:sz w:val="21"/>
              </w:rPr>
              <w:t>技术参数</w:t>
            </w:r>
          </w:p>
        </w:tc>
        <w:tc>
          <w:tcPr>
            <w:tcW w:w="212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601" w:right="562"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5812" w:type="dxa"/>
            <w:gridSpan w:val="2"/>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369" w:right="2343" w:firstLine="0" w:firstLineChars="0"/>
              <w:jc w:val="center"/>
              <w:textAlignment w:val="auto"/>
              <w:rPr>
                <w:color w:val="auto"/>
                <w:sz w:val="21"/>
              </w:rPr>
            </w:pPr>
            <w:r>
              <w:rPr>
                <w:color w:val="auto"/>
                <w:sz w:val="21"/>
              </w:rPr>
              <w:t>污泥浓缩池</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直径</w:t>
            </w:r>
            <w:r>
              <w:rPr>
                <w:rFonts w:ascii="Times New Roman" w:hAnsi="Times New Roman" w:eastAsia="Times New Roman"/>
                <w:color w:val="auto"/>
                <w:sz w:val="21"/>
              </w:rPr>
              <w:t>×</w:t>
            </w:r>
            <w:r>
              <w:rPr>
                <w:color w:val="auto"/>
                <w:sz w:val="21"/>
              </w:rPr>
              <w:t>高</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0" w:right="552" w:firstLine="0" w:firstLineChars="0"/>
              <w:jc w:val="center"/>
              <w:textAlignment w:val="auto"/>
              <w:rPr>
                <w:rFonts w:ascii="Times New Roman" w:hAnsi="Times New Roman"/>
                <w:color w:val="auto"/>
                <w:sz w:val="21"/>
              </w:rPr>
            </w:pPr>
            <w:r>
              <w:rPr>
                <w:rFonts w:ascii="Times New Roman" w:hAnsi="Times New Roman"/>
                <w:color w:val="auto"/>
                <w:sz w:val="21"/>
              </w:rPr>
              <w:t>Ø5.35m×6m</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724"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12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11" w:right="183" w:firstLine="0" w:firstLineChars="0"/>
              <w:jc w:val="center"/>
              <w:textAlignment w:val="auto"/>
              <w:rPr>
                <w:color w:val="auto"/>
                <w:sz w:val="21"/>
              </w:rPr>
            </w:pPr>
            <w:r>
              <w:rPr>
                <w:color w:val="auto"/>
                <w:sz w:val="21"/>
              </w:rPr>
              <w:t>数量</w:t>
            </w:r>
          </w:p>
        </w:tc>
        <w:tc>
          <w:tcPr>
            <w:tcW w:w="36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579" w:right="552" w:firstLine="0" w:firstLineChars="0"/>
              <w:jc w:val="center"/>
              <w:textAlignment w:val="auto"/>
              <w:rPr>
                <w:color w:val="auto"/>
                <w:sz w:val="21"/>
              </w:rPr>
            </w:pPr>
            <w:r>
              <w:rPr>
                <w:rFonts w:ascii="Times New Roman" w:eastAsia="Times New Roman"/>
                <w:color w:val="auto"/>
                <w:sz w:val="21"/>
              </w:rPr>
              <w:t xml:space="preserve">1 </w:t>
            </w:r>
            <w:r>
              <w:rPr>
                <w:color w:val="auto"/>
                <w:sz w:val="21"/>
              </w:rPr>
              <w:t>座</w:t>
            </w:r>
          </w:p>
        </w:tc>
        <w:tc>
          <w:tcPr>
            <w:tcW w:w="212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724"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12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11" w:right="185" w:firstLine="0" w:firstLineChars="0"/>
              <w:jc w:val="center"/>
              <w:textAlignment w:val="auto"/>
              <w:rPr>
                <w:color w:val="auto"/>
                <w:sz w:val="21"/>
              </w:rPr>
            </w:pPr>
            <w:r>
              <w:rPr>
                <w:color w:val="auto"/>
                <w:sz w:val="21"/>
              </w:rPr>
              <w:t>有效水深</w:t>
            </w:r>
          </w:p>
        </w:tc>
        <w:tc>
          <w:tcPr>
            <w:tcW w:w="36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580" w:right="552" w:firstLine="0" w:firstLineChars="0"/>
              <w:jc w:val="center"/>
              <w:textAlignment w:val="auto"/>
              <w:rPr>
                <w:rFonts w:ascii="Times New Roman"/>
                <w:color w:val="auto"/>
                <w:sz w:val="21"/>
              </w:rPr>
            </w:pPr>
            <w:r>
              <w:rPr>
                <w:rFonts w:ascii="Times New Roman"/>
                <w:color w:val="auto"/>
                <w:sz w:val="21"/>
              </w:rPr>
              <w:t>5.5m</w:t>
            </w:r>
          </w:p>
        </w:tc>
        <w:tc>
          <w:tcPr>
            <w:tcW w:w="212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bidi w:val="0"/>
        <w:spacing w:line="360" w:lineRule="auto"/>
        <w:rPr>
          <w:rFonts w:hint="eastAsia"/>
          <w:color w:val="auto"/>
          <w:lang w:val="en-US" w:eastAsia="zh-CN"/>
        </w:rPr>
      </w:pPr>
      <w:bookmarkStart w:id="936" w:name="4.3.6土建建构筑物设计"/>
      <w:bookmarkEnd w:id="936"/>
    </w:p>
    <w:p>
      <w:pPr>
        <w:bidi w:val="0"/>
        <w:spacing w:line="360" w:lineRule="auto"/>
        <w:jc w:val="center"/>
        <w:rPr>
          <w:b/>
          <w:bCs/>
          <w:color w:val="auto"/>
        </w:rPr>
      </w:pPr>
      <w:r>
        <w:rPr>
          <w:b/>
          <w:bCs/>
          <w:color w:val="auto"/>
        </w:rPr>
        <w:t>土建构筑物设计</w:t>
      </w:r>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160" w:after="0" w:line="360" w:lineRule="auto"/>
        <w:ind w:right="0" w:rightChars="0"/>
        <w:jc w:val="center"/>
        <w:textAlignment w:val="auto"/>
        <w:rPr>
          <w:b/>
          <w:bCs/>
          <w:color w:val="auto"/>
          <w:sz w:val="24"/>
        </w:rPr>
      </w:pPr>
      <w:bookmarkStart w:id="937" w:name="4.3.6.1设备间及生产、生活用房技术参数"/>
      <w:bookmarkEnd w:id="937"/>
      <w:r>
        <w:rPr>
          <w:b/>
          <w:bCs/>
          <w:color w:val="auto"/>
          <w:sz w:val="24"/>
        </w:rPr>
        <w:t>设备间及生产、生活用房技术参数</w:t>
      </w:r>
    </w:p>
    <w:p>
      <w:pPr>
        <w:pStyle w:val="2"/>
        <w:keepNext w:val="0"/>
        <w:keepLines w:val="0"/>
        <w:pageBreakBefore w:val="0"/>
        <w:widowControl w:val="0"/>
        <w:kinsoku/>
        <w:wordWrap/>
        <w:overflowPunct/>
        <w:topLinePunct w:val="0"/>
        <w:autoSpaceDE/>
        <w:autoSpaceDN/>
        <w:bidi w:val="0"/>
        <w:adjustRightInd/>
        <w:snapToGrid/>
        <w:spacing w:before="4" w:line="360" w:lineRule="auto"/>
        <w:ind w:firstLine="0" w:firstLineChars="0"/>
        <w:textAlignment w:val="auto"/>
        <w:rPr>
          <w:color w:val="auto"/>
          <w:sz w:val="12"/>
        </w:rPr>
      </w:pPr>
    </w:p>
    <w:tbl>
      <w:tblPr>
        <w:tblStyle w:val="35"/>
        <w:tblW w:w="0" w:type="auto"/>
        <w:tblInd w:w="15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8"/>
        <w:gridCol w:w="2130"/>
        <w:gridCol w:w="2910"/>
        <w:gridCol w:w="765"/>
        <w:gridCol w:w="771"/>
        <w:gridCol w:w="14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71" w:right="155" w:firstLine="0" w:firstLineChars="0"/>
              <w:jc w:val="center"/>
              <w:textAlignment w:val="auto"/>
              <w:rPr>
                <w:b/>
                <w:color w:val="auto"/>
                <w:sz w:val="21"/>
              </w:rPr>
            </w:pPr>
            <w:r>
              <w:rPr>
                <w:b/>
                <w:color w:val="auto"/>
                <w:sz w:val="21"/>
              </w:rPr>
              <w:t>序号</w:t>
            </w:r>
          </w:p>
        </w:tc>
        <w:tc>
          <w:tcPr>
            <w:tcW w:w="2130"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36" w:right="210" w:firstLine="0" w:firstLineChars="0"/>
              <w:jc w:val="center"/>
              <w:textAlignment w:val="auto"/>
              <w:rPr>
                <w:b/>
                <w:color w:val="auto"/>
                <w:sz w:val="21"/>
              </w:rPr>
            </w:pPr>
            <w:r>
              <w:rPr>
                <w:b/>
                <w:color w:val="auto"/>
                <w:sz w:val="21"/>
              </w:rPr>
              <w:t>名称</w:t>
            </w:r>
          </w:p>
        </w:tc>
        <w:tc>
          <w:tcPr>
            <w:tcW w:w="2910"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633" w:right="605" w:firstLine="0" w:firstLineChars="0"/>
              <w:jc w:val="center"/>
              <w:textAlignment w:val="auto"/>
              <w:rPr>
                <w:b/>
                <w:color w:val="auto"/>
                <w:sz w:val="21"/>
              </w:rPr>
            </w:pPr>
            <w:r>
              <w:rPr>
                <w:b/>
                <w:color w:val="auto"/>
                <w:sz w:val="21"/>
              </w:rPr>
              <w:t>规格、尺寸</w:t>
            </w:r>
          </w:p>
        </w:tc>
        <w:tc>
          <w:tcPr>
            <w:tcW w:w="76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60" w:right="132" w:firstLine="0" w:firstLineChars="0"/>
              <w:jc w:val="center"/>
              <w:textAlignment w:val="auto"/>
              <w:rPr>
                <w:b/>
                <w:color w:val="auto"/>
                <w:sz w:val="21"/>
              </w:rPr>
            </w:pPr>
            <w:r>
              <w:rPr>
                <w:b/>
                <w:color w:val="auto"/>
                <w:sz w:val="21"/>
              </w:rPr>
              <w:t>单位</w:t>
            </w:r>
          </w:p>
        </w:tc>
        <w:tc>
          <w:tcPr>
            <w:tcW w:w="771"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63" w:right="135" w:firstLine="0" w:firstLineChars="0"/>
              <w:jc w:val="center"/>
              <w:textAlignment w:val="auto"/>
              <w:rPr>
                <w:b/>
                <w:color w:val="auto"/>
                <w:sz w:val="21"/>
              </w:rPr>
            </w:pPr>
            <w:r>
              <w:rPr>
                <w:b/>
                <w:color w:val="auto"/>
                <w:sz w:val="21"/>
              </w:rPr>
              <w:t>数量</w:t>
            </w:r>
          </w:p>
        </w:tc>
        <w:tc>
          <w:tcPr>
            <w:tcW w:w="143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496" w:right="460"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18" w:firstLine="0" w:firstLineChars="0"/>
              <w:jc w:val="center"/>
              <w:textAlignment w:val="auto"/>
              <w:rPr>
                <w:rFonts w:ascii="Times New Roman"/>
                <w:color w:val="auto"/>
                <w:sz w:val="21"/>
              </w:rPr>
            </w:pPr>
            <w:r>
              <w:rPr>
                <w:rFonts w:ascii="Times New Roman"/>
                <w:color w:val="auto"/>
                <w:w w:val="99"/>
                <w:sz w:val="21"/>
              </w:rPr>
              <w:t>1</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36" w:right="210" w:firstLine="0" w:firstLineChars="0"/>
              <w:jc w:val="center"/>
              <w:textAlignment w:val="auto"/>
              <w:rPr>
                <w:color w:val="auto"/>
                <w:sz w:val="21"/>
              </w:rPr>
            </w:pPr>
            <w:r>
              <w:rPr>
                <w:color w:val="auto"/>
                <w:sz w:val="21"/>
              </w:rPr>
              <w:t>机修备品间</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6.0m×4.0m×4.3m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2</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36" w:right="208" w:firstLine="0" w:firstLineChars="0"/>
              <w:jc w:val="center"/>
              <w:textAlignment w:val="auto"/>
              <w:rPr>
                <w:color w:val="auto"/>
                <w:sz w:val="21"/>
              </w:rPr>
            </w:pPr>
            <w:r>
              <w:rPr>
                <w:color w:val="auto"/>
                <w:sz w:val="21"/>
              </w:rPr>
              <w:t>中控室</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6.0m×4.0m×4.3m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8" w:firstLine="0" w:firstLineChars="0"/>
              <w:jc w:val="center"/>
              <w:textAlignment w:val="auto"/>
              <w:rPr>
                <w:rFonts w:ascii="Times New Roman"/>
                <w:color w:val="auto"/>
                <w:sz w:val="21"/>
              </w:rPr>
            </w:pPr>
            <w:r>
              <w:rPr>
                <w:rFonts w:ascii="Times New Roman"/>
                <w:color w:val="auto"/>
                <w:w w:val="99"/>
                <w:sz w:val="21"/>
              </w:rPr>
              <w:t>3</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36" w:right="210" w:firstLine="0" w:firstLineChars="0"/>
              <w:jc w:val="center"/>
              <w:textAlignment w:val="auto"/>
              <w:rPr>
                <w:color w:val="auto"/>
                <w:sz w:val="21"/>
              </w:rPr>
            </w:pPr>
            <w:r>
              <w:rPr>
                <w:color w:val="auto"/>
                <w:sz w:val="21"/>
              </w:rPr>
              <w:t>药剂库房</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6.0m×5.0m×4.3m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18" w:firstLine="0" w:firstLineChars="0"/>
              <w:jc w:val="center"/>
              <w:textAlignment w:val="auto"/>
              <w:rPr>
                <w:rFonts w:ascii="Times New Roman"/>
                <w:color w:val="auto"/>
                <w:sz w:val="21"/>
              </w:rPr>
            </w:pPr>
            <w:r>
              <w:rPr>
                <w:rFonts w:ascii="Times New Roman"/>
                <w:color w:val="auto"/>
                <w:w w:val="99"/>
                <w:sz w:val="21"/>
              </w:rPr>
              <w:t>4</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36" w:right="210" w:firstLine="0" w:firstLineChars="0"/>
              <w:jc w:val="center"/>
              <w:textAlignment w:val="auto"/>
              <w:rPr>
                <w:color w:val="auto"/>
                <w:sz w:val="21"/>
              </w:rPr>
            </w:pPr>
            <w:r>
              <w:rPr>
                <w:color w:val="auto"/>
                <w:sz w:val="21"/>
              </w:rPr>
              <w:t>压滤机房</w:t>
            </w:r>
            <w:r>
              <w:rPr>
                <w:rFonts w:ascii="Times New Roman" w:eastAsia="Times New Roman"/>
                <w:color w:val="auto"/>
                <w:sz w:val="21"/>
              </w:rPr>
              <w:t>&amp;</w:t>
            </w:r>
            <w:r>
              <w:rPr>
                <w:color w:val="auto"/>
                <w:sz w:val="21"/>
              </w:rPr>
              <w:t>配药间</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18.0m×6.0m×4.3m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8" w:firstLine="0" w:firstLineChars="0"/>
              <w:jc w:val="center"/>
              <w:textAlignment w:val="auto"/>
              <w:rPr>
                <w:rFonts w:ascii="Times New Roman"/>
                <w:color w:val="auto"/>
                <w:sz w:val="21"/>
              </w:rPr>
            </w:pPr>
            <w:r>
              <w:rPr>
                <w:rFonts w:ascii="Times New Roman"/>
                <w:color w:val="auto"/>
                <w:w w:val="99"/>
                <w:sz w:val="21"/>
              </w:rPr>
              <w:t>5</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36" w:right="208" w:firstLine="0" w:firstLineChars="0"/>
              <w:jc w:val="center"/>
              <w:textAlignment w:val="auto"/>
              <w:rPr>
                <w:color w:val="auto"/>
                <w:sz w:val="21"/>
              </w:rPr>
            </w:pPr>
            <w:r>
              <w:rPr>
                <w:color w:val="auto"/>
                <w:sz w:val="21"/>
              </w:rPr>
              <w:t>污泥间</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6.0m×6.0m×4.3m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8" w:firstLine="0" w:firstLineChars="0"/>
              <w:jc w:val="center"/>
              <w:textAlignment w:val="auto"/>
              <w:rPr>
                <w:rFonts w:ascii="Times New Roman"/>
                <w:color w:val="auto"/>
                <w:sz w:val="21"/>
              </w:rPr>
            </w:pPr>
            <w:r>
              <w:rPr>
                <w:rFonts w:ascii="Times New Roman"/>
                <w:color w:val="auto"/>
                <w:w w:val="99"/>
                <w:sz w:val="21"/>
              </w:rPr>
              <w:t>6</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34" w:right="210" w:firstLine="0" w:firstLineChars="0"/>
              <w:jc w:val="center"/>
              <w:textAlignment w:val="auto"/>
              <w:rPr>
                <w:color w:val="auto"/>
                <w:sz w:val="21"/>
              </w:rPr>
            </w:pPr>
            <w:r>
              <w:rPr>
                <w:color w:val="auto"/>
                <w:sz w:val="21"/>
              </w:rPr>
              <w:t>碳源加药车间</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16.5m×7.4m×4.3m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7</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6" w:right="208" w:firstLine="0" w:firstLineChars="0"/>
              <w:jc w:val="center"/>
              <w:textAlignment w:val="auto"/>
              <w:rPr>
                <w:color w:val="auto"/>
                <w:sz w:val="21"/>
              </w:rPr>
            </w:pPr>
            <w:r>
              <w:rPr>
                <w:color w:val="auto"/>
                <w:sz w:val="21"/>
              </w:rPr>
              <w:t>配电室</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6.0m×6.0m×4.3m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8</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6" w:right="208" w:firstLine="0" w:firstLineChars="0"/>
              <w:jc w:val="center"/>
              <w:textAlignment w:val="auto"/>
              <w:rPr>
                <w:color w:val="auto"/>
                <w:sz w:val="21"/>
              </w:rPr>
            </w:pPr>
            <w:r>
              <w:rPr>
                <w:color w:val="auto"/>
                <w:sz w:val="21"/>
              </w:rPr>
              <w:t>风机房</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12.0m×6.0m×4.3m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8" w:firstLine="0" w:firstLineChars="0"/>
              <w:jc w:val="center"/>
              <w:textAlignment w:val="auto"/>
              <w:rPr>
                <w:rFonts w:ascii="Times New Roman"/>
                <w:color w:val="auto"/>
                <w:sz w:val="21"/>
              </w:rPr>
            </w:pPr>
            <w:r>
              <w:rPr>
                <w:rFonts w:ascii="Times New Roman"/>
                <w:color w:val="auto"/>
                <w:w w:val="99"/>
                <w:sz w:val="21"/>
              </w:rPr>
              <w:t>9</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36" w:right="208" w:firstLine="0" w:firstLineChars="0"/>
              <w:jc w:val="center"/>
              <w:textAlignment w:val="auto"/>
              <w:rPr>
                <w:color w:val="auto"/>
                <w:sz w:val="21"/>
              </w:rPr>
            </w:pPr>
            <w:r>
              <w:rPr>
                <w:color w:val="auto"/>
                <w:sz w:val="21"/>
              </w:rPr>
              <w:t>化验室</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6.0m×4.0m×4.3m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71" w:right="153" w:firstLine="0" w:firstLineChars="0"/>
              <w:jc w:val="center"/>
              <w:textAlignment w:val="auto"/>
              <w:rPr>
                <w:rFonts w:ascii="Times New Roman"/>
                <w:color w:val="auto"/>
                <w:sz w:val="21"/>
              </w:rPr>
            </w:pPr>
            <w:r>
              <w:rPr>
                <w:rFonts w:ascii="Times New Roman"/>
                <w:color w:val="auto"/>
                <w:sz w:val="21"/>
              </w:rPr>
              <w:t>10</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6" w:right="210" w:firstLine="0" w:firstLineChars="0"/>
              <w:jc w:val="center"/>
              <w:textAlignment w:val="auto"/>
              <w:rPr>
                <w:color w:val="auto"/>
                <w:sz w:val="21"/>
              </w:rPr>
            </w:pPr>
            <w:r>
              <w:rPr>
                <w:color w:val="auto"/>
                <w:sz w:val="21"/>
              </w:rPr>
              <w:t>在线监测室</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4.0m×3.0m×4.3m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71" w:right="153" w:firstLine="0" w:firstLineChars="0"/>
              <w:jc w:val="center"/>
              <w:textAlignment w:val="auto"/>
              <w:rPr>
                <w:rFonts w:ascii="Times New Roman"/>
                <w:color w:val="auto"/>
                <w:sz w:val="21"/>
              </w:rPr>
            </w:pPr>
            <w:r>
              <w:rPr>
                <w:rFonts w:ascii="Times New Roman"/>
                <w:color w:val="auto"/>
                <w:sz w:val="21"/>
              </w:rPr>
              <w:t>11</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6" w:right="208" w:firstLine="0" w:firstLineChars="0"/>
              <w:jc w:val="center"/>
              <w:textAlignment w:val="auto"/>
              <w:rPr>
                <w:color w:val="auto"/>
                <w:sz w:val="21"/>
              </w:rPr>
            </w:pPr>
            <w:r>
              <w:rPr>
                <w:color w:val="auto"/>
                <w:sz w:val="21"/>
              </w:rPr>
              <w:t>门卫室</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3.0m×3.0m×4.3m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71" w:right="153" w:firstLine="0" w:firstLineChars="0"/>
              <w:jc w:val="center"/>
              <w:textAlignment w:val="auto"/>
              <w:rPr>
                <w:rFonts w:ascii="Times New Roman"/>
                <w:color w:val="auto"/>
                <w:sz w:val="21"/>
              </w:rPr>
            </w:pPr>
            <w:r>
              <w:rPr>
                <w:rFonts w:ascii="Times New Roman"/>
                <w:color w:val="auto"/>
                <w:sz w:val="21"/>
              </w:rPr>
              <w:t>12</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36" w:right="210" w:firstLine="0" w:firstLineChars="0"/>
              <w:jc w:val="center"/>
              <w:textAlignment w:val="auto"/>
              <w:rPr>
                <w:color w:val="auto"/>
                <w:sz w:val="21"/>
              </w:rPr>
            </w:pPr>
            <w:r>
              <w:rPr>
                <w:color w:val="auto"/>
                <w:sz w:val="21"/>
              </w:rPr>
              <w:t>办公会议室</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6.0m×6.0m×4.3m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71" w:right="153" w:firstLine="0" w:firstLineChars="0"/>
              <w:jc w:val="center"/>
              <w:textAlignment w:val="auto"/>
              <w:rPr>
                <w:rFonts w:ascii="Times New Roman"/>
                <w:color w:val="auto"/>
                <w:sz w:val="21"/>
              </w:rPr>
            </w:pPr>
            <w:r>
              <w:rPr>
                <w:rFonts w:ascii="Times New Roman"/>
                <w:color w:val="auto"/>
                <w:sz w:val="21"/>
              </w:rPr>
              <w:t>13</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4" w:right="210" w:firstLine="0" w:firstLineChars="0"/>
              <w:jc w:val="center"/>
              <w:textAlignment w:val="auto"/>
              <w:rPr>
                <w:color w:val="auto"/>
                <w:sz w:val="21"/>
              </w:rPr>
            </w:pPr>
            <w:r>
              <w:rPr>
                <w:color w:val="auto"/>
                <w:sz w:val="21"/>
              </w:rPr>
              <w:t>宿舍</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6.0m×4.0m×4.3m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3</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71" w:right="153" w:firstLine="0" w:firstLineChars="0"/>
              <w:jc w:val="center"/>
              <w:textAlignment w:val="auto"/>
              <w:rPr>
                <w:rFonts w:ascii="Times New Roman"/>
                <w:color w:val="auto"/>
                <w:sz w:val="21"/>
              </w:rPr>
            </w:pPr>
            <w:r>
              <w:rPr>
                <w:rFonts w:ascii="Times New Roman"/>
                <w:color w:val="auto"/>
                <w:sz w:val="21"/>
              </w:rPr>
              <w:t>14</w:t>
            </w:r>
          </w:p>
        </w:tc>
        <w:tc>
          <w:tcPr>
            <w:tcW w:w="213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34" w:right="210" w:firstLine="0" w:firstLineChars="0"/>
              <w:jc w:val="center"/>
              <w:textAlignment w:val="auto"/>
              <w:rPr>
                <w:color w:val="auto"/>
                <w:sz w:val="21"/>
              </w:rPr>
            </w:pPr>
            <w:r>
              <w:rPr>
                <w:color w:val="auto"/>
                <w:sz w:val="21"/>
              </w:rPr>
              <w:t>食堂</w:t>
            </w:r>
          </w:p>
        </w:tc>
        <w:tc>
          <w:tcPr>
            <w:tcW w:w="2910"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6.0m×6.0m×4.3m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808"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71" w:right="153" w:firstLine="0" w:firstLineChars="0"/>
              <w:jc w:val="center"/>
              <w:textAlignment w:val="auto"/>
              <w:rPr>
                <w:rFonts w:ascii="Times New Roman"/>
                <w:color w:val="auto"/>
                <w:sz w:val="21"/>
              </w:rPr>
            </w:pPr>
            <w:r>
              <w:rPr>
                <w:rFonts w:ascii="Times New Roman"/>
                <w:color w:val="auto"/>
                <w:sz w:val="21"/>
              </w:rPr>
              <w:t>15</w:t>
            </w:r>
          </w:p>
        </w:tc>
        <w:tc>
          <w:tcPr>
            <w:tcW w:w="2130"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34" w:right="210" w:firstLine="0" w:firstLineChars="0"/>
              <w:jc w:val="center"/>
              <w:textAlignment w:val="auto"/>
              <w:rPr>
                <w:color w:val="auto"/>
                <w:sz w:val="21"/>
              </w:rPr>
            </w:pPr>
            <w:r>
              <w:rPr>
                <w:color w:val="auto"/>
                <w:sz w:val="21"/>
              </w:rPr>
              <w:t>厕所</w:t>
            </w:r>
          </w:p>
        </w:tc>
        <w:tc>
          <w:tcPr>
            <w:tcW w:w="2910"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635" w:right="605" w:firstLine="0" w:firstLineChars="0"/>
              <w:jc w:val="center"/>
              <w:textAlignment w:val="auto"/>
              <w:rPr>
                <w:rFonts w:ascii="Times New Roman" w:hAnsi="Times New Roman"/>
                <w:color w:val="auto"/>
                <w:sz w:val="21"/>
              </w:rPr>
            </w:pPr>
            <w:r>
              <w:rPr>
                <w:rFonts w:ascii="Times New Roman" w:hAnsi="Times New Roman"/>
                <w:color w:val="auto"/>
                <w:sz w:val="21"/>
              </w:rPr>
              <w:t>6.0m×4.0m×4.3m</w:t>
            </w:r>
          </w:p>
        </w:tc>
        <w:tc>
          <w:tcPr>
            <w:tcW w:w="76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19"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2" w:after="0" w:line="360" w:lineRule="auto"/>
        <w:ind w:right="0" w:rightChars="0"/>
        <w:jc w:val="center"/>
        <w:textAlignment w:val="auto"/>
        <w:rPr>
          <w:b/>
          <w:bCs/>
          <w:color w:val="auto"/>
          <w:sz w:val="24"/>
        </w:rPr>
      </w:pPr>
      <w:bookmarkStart w:id="938" w:name="4.3.6.2构筑物及设备基础技术参数"/>
      <w:bookmarkEnd w:id="938"/>
    </w:p>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2" w:after="0" w:line="360" w:lineRule="auto"/>
        <w:ind w:right="0" w:rightChars="0"/>
        <w:jc w:val="center"/>
        <w:textAlignment w:val="auto"/>
        <w:rPr>
          <w:b/>
          <w:bCs/>
          <w:color w:val="auto"/>
          <w:sz w:val="24"/>
        </w:rPr>
      </w:pPr>
      <w:r>
        <w:rPr>
          <w:b/>
          <w:bCs/>
          <w:color w:val="auto"/>
          <w:sz w:val="24"/>
        </w:rPr>
        <w:t>构筑物及设备基础技术参数</w:t>
      </w:r>
    </w:p>
    <w:p>
      <w:pPr>
        <w:pStyle w:val="2"/>
        <w:keepNext w:val="0"/>
        <w:keepLines w:val="0"/>
        <w:pageBreakBefore w:val="0"/>
        <w:widowControl w:val="0"/>
        <w:kinsoku/>
        <w:wordWrap/>
        <w:overflowPunct/>
        <w:topLinePunct w:val="0"/>
        <w:autoSpaceDE/>
        <w:autoSpaceDN/>
        <w:bidi w:val="0"/>
        <w:adjustRightInd/>
        <w:snapToGrid/>
        <w:spacing w:before="4" w:after="1" w:line="360" w:lineRule="auto"/>
        <w:ind w:firstLine="0" w:firstLineChars="0"/>
        <w:textAlignment w:val="auto"/>
        <w:rPr>
          <w:color w:val="auto"/>
          <w:sz w:val="12"/>
        </w:rPr>
      </w:pPr>
    </w:p>
    <w:tbl>
      <w:tblPr>
        <w:tblStyle w:val="35"/>
        <w:tblW w:w="0" w:type="auto"/>
        <w:tblInd w:w="15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8"/>
        <w:gridCol w:w="2145"/>
        <w:gridCol w:w="2895"/>
        <w:gridCol w:w="765"/>
        <w:gridCol w:w="771"/>
        <w:gridCol w:w="14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808"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71" w:right="155" w:firstLine="0" w:firstLineChars="0"/>
              <w:jc w:val="center"/>
              <w:textAlignment w:val="auto"/>
              <w:rPr>
                <w:b/>
                <w:color w:val="auto"/>
                <w:sz w:val="21"/>
              </w:rPr>
            </w:pPr>
            <w:r>
              <w:rPr>
                <w:b/>
                <w:color w:val="auto"/>
                <w:sz w:val="21"/>
              </w:rPr>
              <w:t>序号</w:t>
            </w:r>
          </w:p>
        </w:tc>
        <w:tc>
          <w:tcPr>
            <w:tcW w:w="214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06" w:right="81" w:firstLine="0" w:firstLineChars="0"/>
              <w:jc w:val="center"/>
              <w:textAlignment w:val="auto"/>
              <w:rPr>
                <w:b/>
                <w:color w:val="auto"/>
                <w:sz w:val="21"/>
              </w:rPr>
            </w:pPr>
            <w:r>
              <w:rPr>
                <w:b/>
                <w:color w:val="auto"/>
                <w:sz w:val="21"/>
              </w:rPr>
              <w:t>名称</w:t>
            </w:r>
          </w:p>
        </w:tc>
        <w:tc>
          <w:tcPr>
            <w:tcW w:w="289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626" w:right="598" w:firstLine="0" w:firstLineChars="0"/>
              <w:jc w:val="center"/>
              <w:textAlignment w:val="auto"/>
              <w:rPr>
                <w:b/>
                <w:color w:val="auto"/>
                <w:sz w:val="21"/>
              </w:rPr>
            </w:pPr>
            <w:r>
              <w:rPr>
                <w:b/>
                <w:color w:val="auto"/>
                <w:sz w:val="21"/>
              </w:rPr>
              <w:t>规格、尺寸</w:t>
            </w:r>
          </w:p>
        </w:tc>
        <w:tc>
          <w:tcPr>
            <w:tcW w:w="76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60" w:right="132" w:firstLine="0" w:firstLineChars="0"/>
              <w:jc w:val="center"/>
              <w:textAlignment w:val="auto"/>
              <w:rPr>
                <w:b/>
                <w:color w:val="auto"/>
                <w:sz w:val="21"/>
              </w:rPr>
            </w:pPr>
            <w:r>
              <w:rPr>
                <w:b/>
                <w:color w:val="auto"/>
                <w:sz w:val="21"/>
              </w:rPr>
              <w:t>单位</w:t>
            </w:r>
          </w:p>
        </w:tc>
        <w:tc>
          <w:tcPr>
            <w:tcW w:w="771"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63" w:right="135" w:firstLine="0" w:firstLineChars="0"/>
              <w:jc w:val="center"/>
              <w:textAlignment w:val="auto"/>
              <w:rPr>
                <w:b/>
                <w:color w:val="auto"/>
                <w:sz w:val="21"/>
              </w:rPr>
            </w:pPr>
            <w:r>
              <w:rPr>
                <w:b/>
                <w:color w:val="auto"/>
                <w:sz w:val="21"/>
              </w:rPr>
              <w:t>数量</w:t>
            </w:r>
          </w:p>
        </w:tc>
        <w:tc>
          <w:tcPr>
            <w:tcW w:w="143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496" w:right="460"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1</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07" w:right="81" w:firstLine="0" w:firstLineChars="0"/>
              <w:jc w:val="center"/>
              <w:textAlignment w:val="auto"/>
              <w:rPr>
                <w:color w:val="auto"/>
                <w:sz w:val="21"/>
              </w:rPr>
            </w:pPr>
            <w:r>
              <w:rPr>
                <w:color w:val="auto"/>
                <w:sz w:val="21"/>
              </w:rPr>
              <w:t>提升池（含格栅渠）</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27" w:right="598" w:firstLine="0" w:firstLineChars="0"/>
              <w:jc w:val="center"/>
              <w:textAlignment w:val="auto"/>
              <w:rPr>
                <w:rFonts w:ascii="Times New Roman" w:hAnsi="Times New Roman"/>
                <w:color w:val="auto"/>
                <w:sz w:val="21"/>
              </w:rPr>
            </w:pPr>
            <w:r>
              <w:rPr>
                <w:rFonts w:ascii="Times New Roman" w:hAnsi="Times New Roman"/>
                <w:color w:val="auto"/>
                <w:sz w:val="21"/>
              </w:rPr>
              <w:t>10.3m×8.2m×9.2m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8" w:firstLine="0" w:firstLineChars="0"/>
              <w:jc w:val="center"/>
              <w:textAlignment w:val="auto"/>
              <w:rPr>
                <w:rFonts w:ascii="Times New Roman"/>
                <w:color w:val="auto"/>
                <w:sz w:val="21"/>
              </w:rPr>
            </w:pPr>
            <w:r>
              <w:rPr>
                <w:rFonts w:ascii="Times New Roman"/>
                <w:color w:val="auto"/>
                <w:w w:val="99"/>
                <w:sz w:val="21"/>
              </w:rPr>
              <w:t>2</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09" w:right="81" w:firstLine="0" w:firstLineChars="0"/>
              <w:jc w:val="center"/>
              <w:textAlignment w:val="auto"/>
              <w:rPr>
                <w:color w:val="auto"/>
                <w:sz w:val="21"/>
              </w:rPr>
            </w:pPr>
            <w:r>
              <w:rPr>
                <w:color w:val="auto"/>
                <w:sz w:val="21"/>
              </w:rPr>
              <w:t>缺氧反应器基础</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27" w:right="598" w:firstLine="0" w:firstLineChars="0"/>
              <w:jc w:val="center"/>
              <w:textAlignment w:val="auto"/>
              <w:rPr>
                <w:rFonts w:ascii="Times New Roman" w:hAnsi="Times New Roman"/>
                <w:color w:val="auto"/>
                <w:sz w:val="21"/>
              </w:rPr>
            </w:pPr>
            <w:r>
              <w:rPr>
                <w:rFonts w:ascii="Times New Roman" w:hAnsi="Times New Roman"/>
                <w:color w:val="auto"/>
                <w:sz w:val="21"/>
              </w:rPr>
              <w:t>Ø22.92m×0.6m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29" w:firstLine="0" w:firstLineChars="0"/>
              <w:jc w:val="center"/>
              <w:textAlignment w:val="auto"/>
              <w:rPr>
                <w:rFonts w:ascii="Times New Roman"/>
                <w:color w:val="auto"/>
                <w:sz w:val="21"/>
              </w:rPr>
            </w:pPr>
            <w:r>
              <w:rPr>
                <w:rFonts w:ascii="Times New Roman"/>
                <w:color w:val="auto"/>
                <w:w w:val="99"/>
                <w:sz w:val="21"/>
              </w:rPr>
              <w:t>2</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18" w:firstLine="0" w:firstLineChars="0"/>
              <w:jc w:val="center"/>
              <w:textAlignment w:val="auto"/>
              <w:rPr>
                <w:rFonts w:ascii="Times New Roman"/>
                <w:color w:val="auto"/>
                <w:sz w:val="21"/>
              </w:rPr>
            </w:pPr>
            <w:r>
              <w:rPr>
                <w:rFonts w:ascii="Times New Roman"/>
                <w:color w:val="auto"/>
                <w:w w:val="99"/>
                <w:sz w:val="21"/>
              </w:rPr>
              <w:t>3</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109" w:right="81" w:firstLine="0" w:firstLineChars="0"/>
              <w:jc w:val="center"/>
              <w:textAlignment w:val="auto"/>
              <w:rPr>
                <w:color w:val="auto"/>
                <w:sz w:val="21"/>
              </w:rPr>
            </w:pPr>
            <w:r>
              <w:rPr>
                <w:color w:val="auto"/>
                <w:sz w:val="21"/>
              </w:rPr>
              <w:t>好氧反应器基础</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627" w:right="598" w:firstLine="0" w:firstLineChars="0"/>
              <w:jc w:val="center"/>
              <w:textAlignment w:val="auto"/>
              <w:rPr>
                <w:rFonts w:ascii="Times New Roman" w:hAnsi="Times New Roman"/>
                <w:color w:val="auto"/>
                <w:sz w:val="21"/>
              </w:rPr>
            </w:pPr>
            <w:r>
              <w:rPr>
                <w:rFonts w:ascii="Times New Roman" w:hAnsi="Times New Roman"/>
                <w:color w:val="auto"/>
                <w:sz w:val="21"/>
              </w:rPr>
              <w:t>Ø32.85m×0.6m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2"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29" w:firstLine="0" w:firstLineChars="0"/>
              <w:jc w:val="center"/>
              <w:textAlignment w:val="auto"/>
              <w:rPr>
                <w:rFonts w:ascii="Times New Roman"/>
                <w:color w:val="auto"/>
                <w:sz w:val="21"/>
              </w:rPr>
            </w:pPr>
            <w:r>
              <w:rPr>
                <w:rFonts w:ascii="Times New Roman"/>
                <w:color w:val="auto"/>
                <w:w w:val="99"/>
                <w:sz w:val="21"/>
              </w:rPr>
              <w:t>2</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4</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109" w:right="81" w:firstLine="0" w:firstLineChars="0"/>
              <w:jc w:val="center"/>
              <w:textAlignment w:val="auto"/>
              <w:rPr>
                <w:color w:val="auto"/>
                <w:sz w:val="21"/>
              </w:rPr>
            </w:pPr>
            <w:r>
              <w:rPr>
                <w:color w:val="auto"/>
                <w:sz w:val="21"/>
              </w:rPr>
              <w:t>快沉反应器基础</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27" w:right="598" w:firstLine="0" w:firstLineChars="0"/>
              <w:jc w:val="center"/>
              <w:textAlignment w:val="auto"/>
              <w:rPr>
                <w:rFonts w:ascii="Times New Roman" w:hAnsi="Times New Roman"/>
                <w:color w:val="auto"/>
                <w:sz w:val="21"/>
              </w:rPr>
            </w:pPr>
            <w:r>
              <w:rPr>
                <w:rFonts w:ascii="Times New Roman" w:hAnsi="Times New Roman"/>
                <w:color w:val="auto"/>
                <w:sz w:val="21"/>
              </w:rPr>
              <w:t>Ø28.27m×0.6m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2</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8" w:firstLine="0" w:firstLineChars="0"/>
              <w:jc w:val="center"/>
              <w:textAlignment w:val="auto"/>
              <w:rPr>
                <w:rFonts w:ascii="Times New Roman"/>
                <w:color w:val="auto"/>
                <w:sz w:val="21"/>
              </w:rPr>
            </w:pPr>
            <w:r>
              <w:rPr>
                <w:rFonts w:ascii="Times New Roman"/>
                <w:color w:val="auto"/>
                <w:w w:val="99"/>
                <w:sz w:val="21"/>
              </w:rPr>
              <w:t>5</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09" w:right="81" w:firstLine="0" w:firstLineChars="0"/>
              <w:jc w:val="center"/>
              <w:textAlignment w:val="auto"/>
              <w:rPr>
                <w:color w:val="auto"/>
                <w:sz w:val="21"/>
              </w:rPr>
            </w:pPr>
            <w:r>
              <w:rPr>
                <w:color w:val="auto"/>
                <w:sz w:val="21"/>
              </w:rPr>
              <w:t>除磷反应器基础</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27" w:right="598" w:firstLine="0" w:firstLineChars="0"/>
              <w:jc w:val="center"/>
              <w:textAlignment w:val="auto"/>
              <w:rPr>
                <w:rFonts w:ascii="Times New Roman" w:hAnsi="Times New Roman"/>
                <w:color w:val="auto"/>
                <w:sz w:val="21"/>
              </w:rPr>
            </w:pPr>
            <w:r>
              <w:rPr>
                <w:rFonts w:ascii="Times New Roman" w:hAnsi="Times New Roman"/>
                <w:color w:val="auto"/>
                <w:sz w:val="21"/>
              </w:rPr>
              <w:t>Ø22.15m×0.6m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29" w:firstLine="0" w:firstLineChars="0"/>
              <w:jc w:val="center"/>
              <w:textAlignment w:val="auto"/>
              <w:rPr>
                <w:rFonts w:ascii="Times New Roman"/>
                <w:color w:val="auto"/>
                <w:sz w:val="21"/>
              </w:rPr>
            </w:pPr>
            <w:r>
              <w:rPr>
                <w:rFonts w:ascii="Times New Roman"/>
                <w:color w:val="auto"/>
                <w:w w:val="99"/>
                <w:sz w:val="21"/>
              </w:rPr>
              <w:t>2</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atLeast"/>
        </w:trPr>
        <w:tc>
          <w:tcPr>
            <w:tcW w:w="808"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6</w:t>
            </w:r>
          </w:p>
        </w:tc>
        <w:tc>
          <w:tcPr>
            <w:tcW w:w="214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109" w:right="81" w:firstLine="0" w:firstLineChars="0"/>
              <w:jc w:val="center"/>
              <w:textAlignment w:val="auto"/>
              <w:rPr>
                <w:color w:val="auto"/>
                <w:sz w:val="21"/>
              </w:rPr>
            </w:pPr>
            <w:r>
              <w:rPr>
                <w:color w:val="auto"/>
                <w:sz w:val="21"/>
              </w:rPr>
              <w:t>高效过滤器基础</w:t>
            </w:r>
          </w:p>
        </w:tc>
        <w:tc>
          <w:tcPr>
            <w:tcW w:w="289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27" w:right="598" w:firstLine="0" w:firstLineChars="0"/>
              <w:jc w:val="center"/>
              <w:textAlignment w:val="auto"/>
              <w:rPr>
                <w:rFonts w:ascii="Times New Roman" w:hAnsi="Times New Roman"/>
                <w:color w:val="auto"/>
                <w:sz w:val="21"/>
              </w:rPr>
            </w:pPr>
            <w:r>
              <w:rPr>
                <w:rFonts w:ascii="Times New Roman" w:hAnsi="Times New Roman"/>
                <w:color w:val="auto"/>
                <w:sz w:val="21"/>
              </w:rPr>
              <w:t>6.5m×4.5m×0.5m</w:t>
            </w:r>
          </w:p>
        </w:tc>
        <w:tc>
          <w:tcPr>
            <w:tcW w:w="76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2</w:t>
            </w:r>
          </w:p>
        </w:tc>
        <w:tc>
          <w:tcPr>
            <w:tcW w:w="143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2"/>
        <w:keepNext w:val="0"/>
        <w:keepLines w:val="0"/>
        <w:pageBreakBefore w:val="0"/>
        <w:widowControl w:val="0"/>
        <w:kinsoku/>
        <w:wordWrap/>
        <w:overflowPunct/>
        <w:topLinePunct w:val="0"/>
        <w:autoSpaceDE/>
        <w:autoSpaceDN/>
        <w:bidi w:val="0"/>
        <w:adjustRightInd/>
        <w:snapToGrid/>
        <w:spacing w:before="11" w:line="360" w:lineRule="auto"/>
        <w:ind w:firstLine="0" w:firstLineChars="0"/>
        <w:textAlignment w:val="auto"/>
        <w:rPr>
          <w:color w:val="auto"/>
          <w:sz w:val="4"/>
        </w:rPr>
      </w:pPr>
    </w:p>
    <w:tbl>
      <w:tblPr>
        <w:tblStyle w:val="35"/>
        <w:tblW w:w="0" w:type="auto"/>
        <w:tblInd w:w="15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8"/>
        <w:gridCol w:w="2145"/>
        <w:gridCol w:w="2895"/>
        <w:gridCol w:w="765"/>
        <w:gridCol w:w="771"/>
        <w:gridCol w:w="14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71" w:right="155" w:firstLine="0" w:firstLineChars="0"/>
              <w:jc w:val="center"/>
              <w:textAlignment w:val="auto"/>
              <w:rPr>
                <w:b/>
                <w:color w:val="auto"/>
                <w:sz w:val="21"/>
              </w:rPr>
            </w:pPr>
            <w:r>
              <w:rPr>
                <w:b/>
                <w:color w:val="auto"/>
                <w:sz w:val="21"/>
              </w:rPr>
              <w:t>序号</w:t>
            </w:r>
          </w:p>
        </w:tc>
        <w:tc>
          <w:tcPr>
            <w:tcW w:w="214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06" w:right="81" w:firstLine="0" w:firstLineChars="0"/>
              <w:jc w:val="center"/>
              <w:textAlignment w:val="auto"/>
              <w:rPr>
                <w:b/>
                <w:color w:val="auto"/>
                <w:sz w:val="21"/>
              </w:rPr>
            </w:pPr>
            <w:r>
              <w:rPr>
                <w:b/>
                <w:color w:val="auto"/>
                <w:sz w:val="21"/>
              </w:rPr>
              <w:t>名称</w:t>
            </w:r>
          </w:p>
        </w:tc>
        <w:tc>
          <w:tcPr>
            <w:tcW w:w="289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930" w:firstLine="0" w:firstLineChars="0"/>
              <w:textAlignment w:val="auto"/>
              <w:rPr>
                <w:b/>
                <w:color w:val="auto"/>
                <w:sz w:val="21"/>
              </w:rPr>
            </w:pPr>
            <w:r>
              <w:rPr>
                <w:b/>
                <w:color w:val="auto"/>
                <w:sz w:val="21"/>
              </w:rPr>
              <w:t>规格、尺寸</w:t>
            </w:r>
          </w:p>
        </w:tc>
        <w:tc>
          <w:tcPr>
            <w:tcW w:w="765"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60" w:right="132" w:firstLine="0" w:firstLineChars="0"/>
              <w:jc w:val="center"/>
              <w:textAlignment w:val="auto"/>
              <w:rPr>
                <w:b/>
                <w:color w:val="auto"/>
                <w:sz w:val="21"/>
              </w:rPr>
            </w:pPr>
            <w:r>
              <w:rPr>
                <w:b/>
                <w:color w:val="auto"/>
                <w:sz w:val="21"/>
              </w:rPr>
              <w:t>单位</w:t>
            </w:r>
          </w:p>
        </w:tc>
        <w:tc>
          <w:tcPr>
            <w:tcW w:w="771"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63" w:right="135" w:firstLine="0" w:firstLineChars="0"/>
              <w:jc w:val="center"/>
              <w:textAlignment w:val="auto"/>
              <w:rPr>
                <w:b/>
                <w:color w:val="auto"/>
                <w:sz w:val="21"/>
              </w:rPr>
            </w:pPr>
            <w:r>
              <w:rPr>
                <w:b/>
                <w:color w:val="auto"/>
                <w:sz w:val="21"/>
              </w:rPr>
              <w:t>数量</w:t>
            </w:r>
          </w:p>
        </w:tc>
        <w:tc>
          <w:tcPr>
            <w:tcW w:w="1439"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496" w:right="460" w:firstLine="0" w:firstLineChars="0"/>
              <w:jc w:val="center"/>
              <w:textAlignment w:val="auto"/>
              <w:rPr>
                <w:b/>
                <w:color w:val="auto"/>
                <w:sz w:val="21"/>
              </w:rPr>
            </w:pPr>
            <w:r>
              <w:rPr>
                <w:b/>
                <w:color w:val="auto"/>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7</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109" w:right="81" w:firstLine="0" w:firstLineChars="0"/>
              <w:jc w:val="center"/>
              <w:textAlignment w:val="auto"/>
              <w:rPr>
                <w:color w:val="auto"/>
                <w:sz w:val="21"/>
              </w:rPr>
            </w:pPr>
            <w:r>
              <w:rPr>
                <w:color w:val="auto"/>
                <w:sz w:val="21"/>
              </w:rPr>
              <w:t>污泥浓缩池基础</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844" w:firstLine="0" w:firstLineChars="0"/>
              <w:textAlignment w:val="auto"/>
              <w:rPr>
                <w:rFonts w:ascii="Times New Roman" w:hAnsi="Times New Roman"/>
                <w:color w:val="auto"/>
                <w:sz w:val="21"/>
              </w:rPr>
            </w:pPr>
            <w:r>
              <w:rPr>
                <w:rFonts w:ascii="Times New Roman" w:hAnsi="Times New Roman"/>
                <w:color w:val="auto"/>
                <w:sz w:val="21"/>
              </w:rPr>
              <w:t>Ø5.35m×0.6m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808"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8" w:firstLine="0" w:firstLineChars="0"/>
              <w:jc w:val="center"/>
              <w:textAlignment w:val="auto"/>
              <w:rPr>
                <w:rFonts w:ascii="Times New Roman"/>
                <w:color w:val="auto"/>
                <w:sz w:val="21"/>
              </w:rPr>
            </w:pPr>
            <w:r>
              <w:rPr>
                <w:rFonts w:ascii="Times New Roman"/>
                <w:color w:val="auto"/>
                <w:w w:val="99"/>
                <w:sz w:val="21"/>
              </w:rPr>
              <w:t>8</w:t>
            </w:r>
          </w:p>
        </w:tc>
        <w:tc>
          <w:tcPr>
            <w:tcW w:w="214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4" w:right="81" w:firstLine="0" w:firstLineChars="0"/>
              <w:jc w:val="center"/>
              <w:textAlignment w:val="auto"/>
              <w:rPr>
                <w:color w:val="auto"/>
                <w:sz w:val="21"/>
              </w:rPr>
            </w:pPr>
            <w:r>
              <w:rPr>
                <w:color w:val="auto"/>
                <w:spacing w:val="-18"/>
                <w:sz w:val="21"/>
              </w:rPr>
              <w:t>紫外消毒渠</w:t>
            </w:r>
            <w:r>
              <w:rPr>
                <w:color w:val="auto"/>
                <w:sz w:val="21"/>
              </w:rPr>
              <w:t>（含排放渠</w:t>
            </w:r>
          </w:p>
        </w:tc>
        <w:tc>
          <w:tcPr>
            <w:tcW w:w="289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tabs>
                <w:tab w:val="left" w:pos="597"/>
              </w:tabs>
              <w:kinsoku/>
              <w:wordWrap/>
              <w:overflowPunct/>
              <w:topLinePunct w:val="0"/>
              <w:autoSpaceDE/>
              <w:autoSpaceDN/>
              <w:bidi w:val="0"/>
              <w:adjustRightInd/>
              <w:snapToGrid/>
              <w:spacing w:before="120" w:line="360" w:lineRule="auto"/>
              <w:ind w:left="-111" w:firstLine="0" w:firstLineChars="0"/>
              <w:textAlignment w:val="auto"/>
              <w:rPr>
                <w:rFonts w:ascii="Times New Roman" w:hAnsi="Times New Roman" w:eastAsia="Times New Roman"/>
                <w:color w:val="auto"/>
                <w:sz w:val="21"/>
              </w:rPr>
            </w:pPr>
            <w:r>
              <w:rPr>
                <w:color w:val="auto"/>
                <w:sz w:val="21"/>
              </w:rPr>
              <w:t>）</w:t>
            </w:r>
            <w:r>
              <w:rPr>
                <w:color w:val="auto"/>
                <w:sz w:val="21"/>
              </w:rPr>
              <w:tab/>
            </w:r>
            <w:r>
              <w:rPr>
                <w:rFonts w:ascii="Times New Roman" w:hAnsi="Times New Roman" w:eastAsia="Times New Roman"/>
                <w:color w:val="auto"/>
                <w:sz w:val="21"/>
              </w:rPr>
              <w:t>16.54m×3.4m×2.2m</w:t>
            </w:r>
          </w:p>
        </w:tc>
        <w:tc>
          <w:tcPr>
            <w:tcW w:w="765"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0"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808"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8" w:firstLine="0" w:firstLineChars="0"/>
              <w:jc w:val="center"/>
              <w:textAlignment w:val="auto"/>
              <w:rPr>
                <w:rFonts w:ascii="Times New Roman"/>
                <w:color w:val="auto"/>
                <w:sz w:val="21"/>
              </w:rPr>
            </w:pPr>
            <w:r>
              <w:rPr>
                <w:rFonts w:ascii="Times New Roman"/>
                <w:color w:val="auto"/>
                <w:w w:val="99"/>
                <w:sz w:val="21"/>
              </w:rPr>
              <w:t>9</w:t>
            </w:r>
          </w:p>
        </w:tc>
        <w:tc>
          <w:tcPr>
            <w:tcW w:w="214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109" w:right="81" w:firstLine="0" w:firstLineChars="0"/>
              <w:jc w:val="center"/>
              <w:textAlignment w:val="auto"/>
              <w:rPr>
                <w:color w:val="auto"/>
                <w:sz w:val="21"/>
              </w:rPr>
            </w:pPr>
            <w:r>
              <w:rPr>
                <w:color w:val="auto"/>
                <w:sz w:val="21"/>
              </w:rPr>
              <w:t>清水池</w:t>
            </w:r>
          </w:p>
        </w:tc>
        <w:tc>
          <w:tcPr>
            <w:tcW w:w="289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700" w:firstLine="0" w:firstLineChars="0"/>
              <w:textAlignment w:val="auto"/>
              <w:rPr>
                <w:rFonts w:ascii="Times New Roman" w:hAnsi="Times New Roman"/>
                <w:color w:val="auto"/>
                <w:sz w:val="21"/>
              </w:rPr>
            </w:pPr>
            <w:r>
              <w:rPr>
                <w:rFonts w:ascii="Times New Roman" w:hAnsi="Times New Roman"/>
                <w:color w:val="auto"/>
                <w:sz w:val="21"/>
              </w:rPr>
              <w:t>3.0m×3.0m×3.0m</w:t>
            </w:r>
          </w:p>
        </w:tc>
        <w:tc>
          <w:tcPr>
            <w:tcW w:w="765"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21" w:line="360" w:lineRule="auto"/>
              <w:ind w:left="28" w:firstLine="0" w:firstLineChars="0"/>
              <w:jc w:val="center"/>
              <w:textAlignment w:val="auto"/>
              <w:rPr>
                <w:color w:val="auto"/>
                <w:sz w:val="21"/>
              </w:rPr>
            </w:pPr>
            <w:r>
              <w:rPr>
                <w:color w:val="auto"/>
                <w:w w:val="99"/>
                <w:sz w:val="21"/>
              </w:rPr>
              <w:t>座</w:t>
            </w:r>
          </w:p>
        </w:tc>
        <w:tc>
          <w:tcPr>
            <w:tcW w:w="771"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29" w:firstLine="0" w:firstLineChars="0"/>
              <w:jc w:val="center"/>
              <w:textAlignment w:val="auto"/>
              <w:rPr>
                <w:rFonts w:ascii="Times New Roman"/>
                <w:color w:val="auto"/>
                <w:sz w:val="21"/>
              </w:rPr>
            </w:pPr>
            <w:r>
              <w:rPr>
                <w:rFonts w:ascii="Times New Roman"/>
                <w:color w:val="auto"/>
                <w:w w:val="99"/>
                <w:sz w:val="21"/>
              </w:rPr>
              <w:t>1</w:t>
            </w:r>
          </w:p>
        </w:tc>
        <w:tc>
          <w:tcPr>
            <w:tcW w:w="1439"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color w:val="auto"/>
                <w:sz w:val="20"/>
              </w:rPr>
            </w:pPr>
          </w:p>
        </w:tc>
      </w:tr>
    </w:tbl>
    <w:p>
      <w:pPr>
        <w:pStyle w:val="90"/>
        <w:keepNext w:val="0"/>
        <w:keepLines w:val="0"/>
        <w:pageBreakBefore w:val="0"/>
        <w:widowControl w:val="0"/>
        <w:numPr>
          <w:ilvl w:val="0"/>
          <w:numId w:val="0"/>
        </w:numPr>
        <w:tabs>
          <w:tab w:val="left" w:pos="1498"/>
        </w:tabs>
        <w:kinsoku/>
        <w:wordWrap/>
        <w:overflowPunct/>
        <w:topLinePunct w:val="0"/>
        <w:autoSpaceDE/>
        <w:autoSpaceDN/>
        <w:bidi w:val="0"/>
        <w:adjustRightInd/>
        <w:snapToGrid/>
        <w:spacing w:before="4" w:after="0" w:line="360" w:lineRule="auto"/>
        <w:ind w:right="0" w:rightChars="0"/>
        <w:jc w:val="center"/>
        <w:textAlignment w:val="auto"/>
        <w:rPr>
          <w:b/>
          <w:bCs/>
          <w:color w:val="auto"/>
          <w:sz w:val="24"/>
        </w:rPr>
      </w:pPr>
      <w:bookmarkStart w:id="939" w:name="4.3.6.3厂区公用工程技术参数"/>
      <w:bookmarkEnd w:id="939"/>
      <w:bookmarkStart w:id="940" w:name="第5章运行费用"/>
      <w:bookmarkEnd w:id="940"/>
    </w:p>
    <w:p>
      <w:pPr>
        <w:pStyle w:val="2"/>
        <w:rPr>
          <w:rFonts w:hint="eastAsia"/>
          <w:color w:val="auto"/>
          <w:lang w:val="en-US" w:eastAsia="zh-CN"/>
        </w:rPr>
      </w:pPr>
    </w:p>
    <w:p>
      <w:pPr>
        <w:keepNext w:val="0"/>
        <w:keepLines w:val="0"/>
        <w:pageBreakBefore w:val="0"/>
        <w:numPr>
          <w:ilvl w:val="0"/>
          <w:numId w:val="13"/>
        </w:numPr>
        <w:kinsoku/>
        <w:wordWrap/>
        <w:overflowPunct/>
        <w:topLinePunct w:val="0"/>
        <w:autoSpaceDE/>
        <w:autoSpaceDN/>
        <w:bidi w:val="0"/>
        <w:adjustRightInd/>
        <w:snapToGrid/>
        <w:spacing w:line="360" w:lineRule="auto"/>
        <w:rPr>
          <w:rFonts w:hint="eastAsia"/>
          <w:b/>
          <w:bCs/>
          <w:color w:val="auto"/>
          <w:sz w:val="28"/>
          <w:szCs w:val="28"/>
          <w:lang w:val="en-US" w:eastAsia="zh-CN"/>
        </w:rPr>
      </w:pPr>
      <w:r>
        <w:rPr>
          <w:rFonts w:hint="eastAsia"/>
          <w:b/>
          <w:bCs/>
          <w:color w:val="auto"/>
          <w:sz w:val="28"/>
          <w:szCs w:val="28"/>
          <w:lang w:val="en-US" w:eastAsia="zh-CN"/>
        </w:rPr>
        <w:t>服务内容</w:t>
      </w:r>
    </w:p>
    <w:p>
      <w:pPr>
        <w:bidi w:val="0"/>
        <w:spacing w:line="360" w:lineRule="auto"/>
        <w:ind w:firstLine="476" w:firstLineChars="200"/>
        <w:outlineLvl w:val="9"/>
        <w:rPr>
          <w:rFonts w:hint="default"/>
          <w:color w:val="auto"/>
          <w:lang w:val="en-US"/>
        </w:rPr>
      </w:pPr>
      <w:bookmarkStart w:id="941" w:name="_Toc12887"/>
      <w:r>
        <w:rPr>
          <w:rFonts w:hint="eastAsia" w:ascii="宋体" w:hAnsi="宋体" w:cs="宋体"/>
          <w:b w:val="0"/>
          <w:bCs w:val="0"/>
          <w:color w:val="auto"/>
          <w:spacing w:val="-1"/>
          <w:kern w:val="2"/>
          <w:sz w:val="24"/>
          <w:szCs w:val="22"/>
          <w:lang w:val="en-US" w:eastAsia="zh-CN" w:bidi="ar-SA"/>
        </w:rPr>
        <w:t>供应商提供</w:t>
      </w:r>
      <w:r>
        <w:rPr>
          <w:rFonts w:hint="eastAsia" w:ascii="宋体" w:hAnsi="宋体" w:eastAsia="宋体" w:cs="宋体"/>
          <w:b w:val="0"/>
          <w:bCs w:val="0"/>
          <w:color w:val="auto"/>
          <w:spacing w:val="-1"/>
          <w:kern w:val="2"/>
          <w:sz w:val="24"/>
          <w:szCs w:val="22"/>
          <w:lang w:val="en-US" w:eastAsia="zh-CN" w:bidi="ar-SA"/>
        </w:rPr>
        <w:t>崇州市经开区应急站延期服务</w:t>
      </w:r>
      <w:r>
        <w:rPr>
          <w:rFonts w:hint="eastAsia" w:ascii="宋体" w:hAnsi="宋体" w:cs="宋体"/>
          <w:b w:val="0"/>
          <w:bCs w:val="0"/>
          <w:color w:val="auto"/>
          <w:spacing w:val="-1"/>
          <w:kern w:val="2"/>
          <w:sz w:val="24"/>
          <w:szCs w:val="22"/>
          <w:lang w:val="en-US" w:eastAsia="zh-CN" w:bidi="ar-SA"/>
        </w:rPr>
        <w:t>，</w:t>
      </w:r>
      <w:r>
        <w:rPr>
          <w:rFonts w:hint="eastAsia" w:ascii="宋体" w:hAnsi="宋体" w:eastAsia="宋体" w:cs="宋体"/>
          <w:b w:val="0"/>
          <w:color w:val="auto"/>
          <w:kern w:val="2"/>
          <w:sz w:val="24"/>
          <w:szCs w:val="22"/>
          <w:lang w:val="en-US" w:eastAsia="zh-CN" w:bidi="ar-SA"/>
        </w:rPr>
        <w:t>对现有的设备进行</w:t>
      </w:r>
      <w:r>
        <w:rPr>
          <w:rFonts w:hint="eastAsia" w:ascii="宋体" w:hAnsi="宋体" w:eastAsia="宋体" w:cs="宋体"/>
          <w:b w:val="0"/>
          <w:bCs w:val="0"/>
          <w:color w:val="auto"/>
          <w:spacing w:val="-1"/>
          <w:kern w:val="2"/>
          <w:sz w:val="24"/>
          <w:szCs w:val="22"/>
          <w:lang w:val="en-US" w:eastAsia="zh-CN" w:bidi="ar-SA"/>
        </w:rPr>
        <w:t>维修和改造，继续延期运营处理规模设为25000m³/d，不设保底，</w:t>
      </w:r>
      <w:r>
        <w:rPr>
          <w:rFonts w:hint="eastAsia" w:ascii="宋体" w:hAnsi="宋体" w:eastAsia="宋体" w:cs="宋体"/>
          <w:b w:val="0"/>
          <w:bCs w:val="0"/>
          <w:color w:val="auto"/>
          <w:spacing w:val="-1"/>
          <w:kern w:val="2"/>
          <w:sz w:val="24"/>
          <w:szCs w:val="22"/>
          <w:highlight w:val="none"/>
          <w:lang w:val="en-US" w:eastAsia="zh-CN" w:bidi="ar-SA"/>
        </w:rPr>
        <w:t>运营期为3年。</w:t>
      </w:r>
      <w:bookmarkEnd w:id="941"/>
      <w:r>
        <w:rPr>
          <w:rFonts w:hint="eastAsia" w:ascii="宋体" w:hAnsi="宋体" w:eastAsia="宋体" w:cs="宋体"/>
          <w:b w:val="0"/>
          <w:bCs w:val="0"/>
          <w:color w:val="auto"/>
          <w:spacing w:val="-1"/>
          <w:kern w:val="2"/>
          <w:sz w:val="24"/>
          <w:szCs w:val="22"/>
          <w:highlight w:val="none"/>
          <w:lang w:val="en-US" w:eastAsia="zh-CN" w:bidi="ar-SA"/>
        </w:rPr>
        <w:t>在服务期限内，</w:t>
      </w:r>
      <w:r>
        <w:rPr>
          <w:rFonts w:hint="eastAsia" w:ascii="宋体" w:hAnsi="宋体" w:cs="宋体"/>
          <w:b w:val="0"/>
          <w:bCs w:val="0"/>
          <w:color w:val="auto"/>
          <w:spacing w:val="-1"/>
          <w:kern w:val="2"/>
          <w:sz w:val="24"/>
          <w:szCs w:val="22"/>
          <w:highlight w:val="none"/>
          <w:lang w:val="en-US" w:eastAsia="zh-CN" w:bidi="ar-SA"/>
        </w:rPr>
        <w:t>供应商负责对</w:t>
      </w:r>
      <w:r>
        <w:rPr>
          <w:rFonts w:hint="eastAsia" w:ascii="宋体" w:hAnsi="宋体" w:eastAsia="宋体" w:cs="宋体"/>
          <w:b w:val="0"/>
          <w:bCs w:val="0"/>
          <w:color w:val="auto"/>
          <w:spacing w:val="-1"/>
          <w:kern w:val="2"/>
          <w:sz w:val="24"/>
          <w:szCs w:val="22"/>
          <w:lang w:val="en-US" w:eastAsia="zh-CN" w:bidi="ar-SA"/>
        </w:rPr>
        <w:t>崇州市经开区应急站</w:t>
      </w:r>
      <w:r>
        <w:rPr>
          <w:rFonts w:hint="eastAsia" w:ascii="宋体" w:hAnsi="宋体" w:eastAsia="宋体" w:cs="宋体"/>
          <w:b w:val="0"/>
          <w:color w:val="auto"/>
          <w:kern w:val="2"/>
          <w:sz w:val="24"/>
          <w:szCs w:val="22"/>
          <w:lang w:val="en-US" w:eastAsia="zh-CN" w:bidi="ar-SA"/>
        </w:rPr>
        <w:t>污水</w:t>
      </w:r>
      <w:r>
        <w:rPr>
          <w:rFonts w:hint="eastAsia" w:ascii="宋体" w:hAnsi="宋体" w:cs="宋体"/>
          <w:b w:val="0"/>
          <w:color w:val="auto"/>
          <w:kern w:val="2"/>
          <w:sz w:val="24"/>
          <w:szCs w:val="22"/>
          <w:lang w:val="en-US" w:eastAsia="zh-CN" w:bidi="ar-SA"/>
        </w:rPr>
        <w:t>进行</w:t>
      </w:r>
      <w:r>
        <w:rPr>
          <w:rFonts w:hint="eastAsia" w:ascii="宋体" w:hAnsi="宋体" w:eastAsia="宋体" w:cs="宋体"/>
          <w:b w:val="0"/>
          <w:color w:val="auto"/>
          <w:kern w:val="2"/>
          <w:sz w:val="24"/>
          <w:szCs w:val="22"/>
          <w:lang w:val="en-US" w:eastAsia="zh-CN" w:bidi="ar-SA"/>
        </w:rPr>
        <w:t>处理</w:t>
      </w:r>
      <w:r>
        <w:rPr>
          <w:rFonts w:hint="eastAsia" w:ascii="宋体" w:hAnsi="宋体" w:cs="宋体"/>
          <w:b w:val="0"/>
          <w:color w:val="auto"/>
          <w:kern w:val="2"/>
          <w:sz w:val="24"/>
          <w:szCs w:val="22"/>
          <w:lang w:val="en-US" w:eastAsia="zh-CN" w:bidi="ar-SA"/>
        </w:rPr>
        <w:t>，</w:t>
      </w:r>
      <w:r>
        <w:rPr>
          <w:rFonts w:hint="eastAsia" w:ascii="宋体" w:hAnsi="宋体" w:cs="宋体"/>
          <w:b w:val="0"/>
          <w:bCs w:val="0"/>
          <w:color w:val="auto"/>
          <w:sz w:val="24"/>
        </w:rPr>
        <w:t>出水水质执行《城镇污水处理厂污染物排放标准》（GB18918-2002）的一级A标。负责运营生产、设备设施维护、水质达标。</w:t>
      </w:r>
    </w:p>
    <w:p>
      <w:pPr>
        <w:keepNext w:val="0"/>
        <w:keepLines w:val="0"/>
        <w:pageBreakBefore w:val="0"/>
        <w:numPr>
          <w:ilvl w:val="0"/>
          <w:numId w:val="13"/>
        </w:numPr>
        <w:kinsoku/>
        <w:wordWrap/>
        <w:overflowPunct/>
        <w:topLinePunct w:val="0"/>
        <w:autoSpaceDE/>
        <w:autoSpaceDN/>
        <w:bidi w:val="0"/>
        <w:adjustRightInd/>
        <w:snapToGrid/>
        <w:spacing w:line="360" w:lineRule="auto"/>
        <w:rPr>
          <w:rFonts w:hint="eastAsia"/>
          <w:b/>
          <w:bCs/>
          <w:color w:val="auto"/>
          <w:sz w:val="28"/>
          <w:szCs w:val="28"/>
          <w:lang w:val="en-US" w:eastAsia="zh-CN"/>
        </w:rPr>
      </w:pPr>
      <w:bookmarkStart w:id="942" w:name="1.2.2运行费用说明"/>
      <w:bookmarkEnd w:id="942"/>
      <w:bookmarkStart w:id="943" w:name="_Toc468"/>
      <w:r>
        <w:rPr>
          <w:rFonts w:hint="eastAsia"/>
          <w:b/>
          <w:bCs/>
          <w:color w:val="auto"/>
          <w:sz w:val="28"/>
          <w:szCs w:val="28"/>
          <w:lang w:val="en-US" w:eastAsia="zh-CN"/>
        </w:rPr>
        <w:t>服务要求</w:t>
      </w:r>
      <w:bookmarkEnd w:id="943"/>
    </w:p>
    <w:p>
      <w:pPr>
        <w:pStyle w:val="5"/>
        <w:bidi w:val="0"/>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1、进</w:t>
      </w:r>
      <w:r>
        <w:rPr>
          <w:rFonts w:hint="eastAsia" w:ascii="宋体" w:hAnsi="宋体" w:eastAsia="宋体" w:cs="宋体"/>
          <w:b w:val="0"/>
          <w:bCs w:val="0"/>
          <w:color w:val="auto"/>
          <w:sz w:val="24"/>
        </w:rPr>
        <w:t>出水水质</w:t>
      </w:r>
    </w:p>
    <w:p>
      <w:pPr>
        <w:keepNext w:val="0"/>
        <w:keepLines w:val="0"/>
        <w:pageBreakBefore w:val="0"/>
        <w:widowControl w:val="0"/>
        <w:kinsoku/>
        <w:wordWrap/>
        <w:overflowPunct/>
        <w:topLinePunct w:val="0"/>
        <w:autoSpaceDE/>
        <w:autoSpaceDN/>
        <w:bidi w:val="0"/>
        <w:adjustRightInd/>
        <w:snapToGrid/>
        <w:spacing w:before="159" w:line="360" w:lineRule="auto"/>
        <w:ind w:left="139" w:right="178" w:firstLine="0" w:firstLineChars="0"/>
        <w:jc w:val="center"/>
        <w:textAlignment w:val="auto"/>
        <w:rPr>
          <w:rFonts w:hint="eastAsia"/>
          <w:color w:val="auto"/>
        </w:rPr>
      </w:pPr>
      <w:r>
        <w:rPr>
          <w:rFonts w:hint="eastAsia"/>
          <w:b/>
          <w:color w:val="auto"/>
          <w:sz w:val="21"/>
          <w:lang w:val="en-US" w:eastAsia="zh-CN"/>
        </w:rPr>
        <w:t>进</w:t>
      </w:r>
      <w:r>
        <w:rPr>
          <w:b/>
          <w:color w:val="auto"/>
          <w:sz w:val="21"/>
        </w:rPr>
        <w:t>水水质指标要求</w:t>
      </w:r>
    </w:p>
    <w:tbl>
      <w:tblPr>
        <w:tblStyle w:val="35"/>
        <w:tblpPr w:leftFromText="180" w:rightFromText="180" w:vertAnchor="text" w:horzAnchor="page" w:tblpX="1911" w:tblpY="533"/>
        <w:tblOverlap w:val="never"/>
        <w:tblW w:w="0" w:type="auto"/>
        <w:tblInd w:w="0" w:type="dxa"/>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Layout w:type="fixed"/>
        <w:tblCellMar>
          <w:top w:w="0" w:type="dxa"/>
          <w:left w:w="10" w:type="dxa"/>
          <w:bottom w:w="0" w:type="dxa"/>
          <w:right w:w="10" w:type="dxa"/>
        </w:tblCellMar>
      </w:tblPr>
      <w:tblGrid>
        <w:gridCol w:w="1185"/>
        <w:gridCol w:w="2401"/>
        <w:gridCol w:w="2482"/>
        <w:gridCol w:w="2483"/>
      </w:tblGrid>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12"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序号</w:t>
            </w:r>
          </w:p>
        </w:tc>
        <w:tc>
          <w:tcPr>
            <w:tcW w:w="2401"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项目</w:t>
            </w:r>
          </w:p>
        </w:tc>
        <w:tc>
          <w:tcPr>
            <w:tcW w:w="2482"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设计进水浓度</w:t>
            </w:r>
          </w:p>
        </w:tc>
        <w:tc>
          <w:tcPr>
            <w:tcW w:w="2483" w:type="dxa"/>
            <w:tcBorders>
              <w:top w:val="single" w:color="000000" w:sz="12"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备注</w:t>
            </w: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COD</w:t>
            </w:r>
            <w:r>
              <w:rPr>
                <w:rFonts w:ascii="宋体" w:hAnsi="宋体" w:cs="仿宋"/>
                <w:color w:val="auto"/>
                <w:sz w:val="24"/>
              </w:rPr>
              <w:t>cr</w:t>
            </w:r>
            <w:r>
              <w:rPr>
                <w:rFonts w:hint="eastAsia" w:ascii="宋体" w:hAnsi="宋体" w:cs="仿宋"/>
                <w:color w:val="auto"/>
                <w:sz w:val="24"/>
              </w:rPr>
              <w:t>（mg/L）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≤350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2</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BOD</w:t>
            </w:r>
            <w:r>
              <w:rPr>
                <w:rFonts w:hint="eastAsia" w:ascii="宋体" w:hAnsi="宋体" w:cs="仿宋"/>
                <w:color w:val="auto"/>
                <w:sz w:val="24"/>
                <w:vertAlign w:val="subscript"/>
              </w:rPr>
              <w:t>5</w:t>
            </w:r>
            <w:r>
              <w:rPr>
                <w:rFonts w:hint="eastAsia" w:ascii="宋体" w:hAnsi="宋体" w:cs="仿宋"/>
                <w:color w:val="auto"/>
                <w:sz w:val="24"/>
              </w:rPr>
              <w:t>（mg/L）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≤150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SS（mg/L）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≤180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4</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NH</w:t>
            </w:r>
            <w:r>
              <w:rPr>
                <w:rFonts w:hint="eastAsia" w:ascii="宋体" w:hAnsi="宋体" w:cs="仿宋"/>
                <w:color w:val="auto"/>
                <w:sz w:val="24"/>
                <w:vertAlign w:val="subscript"/>
              </w:rPr>
              <w:t>3</w:t>
            </w:r>
            <w:r>
              <w:rPr>
                <w:rFonts w:hint="eastAsia" w:ascii="宋体" w:hAnsi="宋体" w:cs="仿宋"/>
                <w:color w:val="auto"/>
                <w:sz w:val="24"/>
              </w:rPr>
              <w:t>-N（mg/L）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≤35</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5</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TN（mg/L）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w:t>
            </w:r>
            <w:r>
              <w:rPr>
                <w:rFonts w:ascii="宋体" w:hAnsi="宋体" w:cs="仿宋"/>
                <w:color w:val="auto"/>
                <w:sz w:val="24"/>
              </w:rPr>
              <w:t>40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ascii="宋体" w:hAnsi="宋体" w:cs="仿宋"/>
                <w:color w:val="auto"/>
                <w:sz w:val="24"/>
              </w:rPr>
              <w:t>6</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TP（mg/L）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≤4</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ascii="宋体" w:hAnsi="宋体" w:cs="仿宋"/>
                <w:color w:val="auto"/>
                <w:sz w:val="24"/>
              </w:rPr>
              <w:t>7</w:t>
            </w:r>
          </w:p>
        </w:tc>
        <w:tc>
          <w:tcPr>
            <w:tcW w:w="2401"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pH</w:t>
            </w:r>
          </w:p>
        </w:tc>
        <w:tc>
          <w:tcPr>
            <w:tcW w:w="2482"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6-9</w:t>
            </w:r>
          </w:p>
        </w:tc>
        <w:tc>
          <w:tcPr>
            <w:tcW w:w="2483" w:type="dxa"/>
            <w:tcBorders>
              <w:top w:val="single" w:color="000000" w:sz="6" w:space="0"/>
              <w:left w:val="single" w:color="000000" w:sz="6" w:space="0"/>
              <w:bottom w:val="single" w:color="000000" w:sz="12"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bl>
    <w:p>
      <w:pPr>
        <w:keepNext w:val="0"/>
        <w:keepLines w:val="0"/>
        <w:pageBreakBefore w:val="0"/>
        <w:widowControl w:val="0"/>
        <w:kinsoku/>
        <w:wordWrap/>
        <w:overflowPunct/>
        <w:topLinePunct w:val="0"/>
        <w:autoSpaceDE/>
        <w:autoSpaceDN/>
        <w:bidi w:val="0"/>
        <w:adjustRightInd/>
        <w:snapToGrid/>
        <w:spacing w:before="159" w:line="360" w:lineRule="auto"/>
        <w:ind w:left="139" w:right="178" w:firstLine="0" w:firstLineChars="0"/>
        <w:jc w:val="center"/>
        <w:textAlignment w:val="auto"/>
        <w:rPr>
          <w:b/>
          <w:color w:val="auto"/>
          <w:sz w:val="21"/>
        </w:rPr>
      </w:pPr>
      <w:r>
        <w:rPr>
          <w:b/>
          <w:color w:val="auto"/>
          <w:sz w:val="21"/>
        </w:rPr>
        <w:t>出水水质指标要求</w:t>
      </w:r>
    </w:p>
    <w:p>
      <w:pPr>
        <w:pStyle w:val="2"/>
        <w:keepNext w:val="0"/>
        <w:keepLines w:val="0"/>
        <w:pageBreakBefore w:val="0"/>
        <w:widowControl w:val="0"/>
        <w:kinsoku/>
        <w:wordWrap/>
        <w:overflowPunct/>
        <w:topLinePunct w:val="0"/>
        <w:autoSpaceDE/>
        <w:autoSpaceDN/>
        <w:bidi w:val="0"/>
        <w:adjustRightInd/>
        <w:snapToGrid/>
        <w:spacing w:before="11" w:line="360" w:lineRule="auto"/>
        <w:ind w:firstLine="0" w:firstLineChars="0"/>
        <w:textAlignment w:val="auto"/>
        <w:rPr>
          <w:b/>
          <w:color w:val="auto"/>
          <w:sz w:val="10"/>
        </w:rPr>
      </w:pPr>
    </w:p>
    <w:tbl>
      <w:tblPr>
        <w:tblStyle w:val="35"/>
        <w:tblW w:w="0" w:type="auto"/>
        <w:tblInd w:w="2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89"/>
        <w:gridCol w:w="2804"/>
        <w:gridCol w:w="1986"/>
        <w:gridCol w:w="26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3" w:hRule="atLeast"/>
        </w:trPr>
        <w:tc>
          <w:tcPr>
            <w:tcW w:w="1189" w:type="dxa"/>
            <w:tcBorders>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361" w:right="346" w:firstLine="0" w:firstLineChars="0"/>
              <w:jc w:val="center"/>
              <w:textAlignment w:val="auto"/>
              <w:rPr>
                <w:b/>
                <w:color w:val="auto"/>
                <w:sz w:val="21"/>
              </w:rPr>
            </w:pPr>
            <w:r>
              <w:rPr>
                <w:b/>
                <w:color w:val="auto"/>
                <w:sz w:val="21"/>
              </w:rPr>
              <w:t>序号</w:t>
            </w:r>
          </w:p>
        </w:tc>
        <w:tc>
          <w:tcPr>
            <w:tcW w:w="2804"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970" w:right="940" w:firstLine="0" w:firstLineChars="0"/>
              <w:jc w:val="center"/>
              <w:textAlignment w:val="auto"/>
              <w:rPr>
                <w:b/>
                <w:color w:val="auto"/>
                <w:sz w:val="21"/>
              </w:rPr>
            </w:pPr>
            <w:r>
              <w:rPr>
                <w:b/>
                <w:color w:val="auto"/>
                <w:sz w:val="21"/>
              </w:rPr>
              <w:t>检验项目</w:t>
            </w:r>
          </w:p>
        </w:tc>
        <w:tc>
          <w:tcPr>
            <w:tcW w:w="1986" w:type="dxa"/>
            <w:tcBorders>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753" w:right="727" w:firstLine="0" w:firstLineChars="0"/>
              <w:jc w:val="center"/>
              <w:textAlignment w:val="auto"/>
              <w:rPr>
                <w:b/>
                <w:color w:val="auto"/>
                <w:sz w:val="21"/>
              </w:rPr>
            </w:pPr>
            <w:r>
              <w:rPr>
                <w:b/>
                <w:color w:val="auto"/>
                <w:sz w:val="21"/>
              </w:rPr>
              <w:t>单位</w:t>
            </w:r>
          </w:p>
        </w:tc>
        <w:tc>
          <w:tcPr>
            <w:tcW w:w="2686" w:type="dxa"/>
            <w:tcBorders>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6" w:line="360" w:lineRule="auto"/>
              <w:ind w:left="701" w:right="659" w:firstLine="0" w:firstLineChars="0"/>
              <w:jc w:val="center"/>
              <w:textAlignment w:val="auto"/>
              <w:rPr>
                <w:b/>
                <w:color w:val="auto"/>
                <w:sz w:val="21"/>
              </w:rPr>
            </w:pPr>
            <w:r>
              <w:rPr>
                <w:b/>
                <w:color w:val="auto"/>
                <w:sz w:val="21"/>
              </w:rPr>
              <w:t>设计</w:t>
            </w:r>
            <w:r>
              <w:rPr>
                <w:rFonts w:hint="eastAsia"/>
                <w:b/>
                <w:color w:val="auto"/>
                <w:sz w:val="21"/>
                <w:lang w:val="en-US" w:eastAsia="zh-CN"/>
              </w:rPr>
              <w:t>出</w:t>
            </w:r>
            <w:r>
              <w:rPr>
                <w:b/>
                <w:color w:val="auto"/>
                <w:sz w:val="21"/>
              </w:rPr>
              <w:t>水水质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1</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968" w:right="940" w:firstLine="0" w:firstLineChars="0"/>
              <w:jc w:val="center"/>
              <w:textAlignment w:val="auto"/>
              <w:rPr>
                <w:rFonts w:ascii="Times New Roman"/>
                <w:color w:val="auto"/>
                <w:sz w:val="21"/>
              </w:rPr>
            </w:pPr>
            <w:r>
              <w:rPr>
                <w:rFonts w:ascii="Times New Roman"/>
                <w:color w:val="auto"/>
                <w:sz w:val="21"/>
              </w:rPr>
              <w:t>CODcr</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95" w:right="659" w:firstLine="0" w:firstLineChars="0"/>
              <w:jc w:val="center"/>
              <w:textAlignment w:val="auto"/>
              <w:rPr>
                <w:rFonts w:ascii="Times New Roman" w:hAnsi="Times New Roman"/>
                <w:color w:val="auto"/>
                <w:sz w:val="21"/>
              </w:rPr>
            </w:pPr>
            <w:r>
              <w:rPr>
                <w:rFonts w:ascii="Times New Roman" w:hAnsi="Times New Roman"/>
                <w:color w:val="auto"/>
                <w:sz w:val="21"/>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16" w:firstLine="0" w:firstLineChars="0"/>
              <w:jc w:val="center"/>
              <w:textAlignment w:val="auto"/>
              <w:rPr>
                <w:rFonts w:ascii="Times New Roman"/>
                <w:color w:val="auto"/>
                <w:sz w:val="21"/>
              </w:rPr>
            </w:pPr>
            <w:r>
              <w:rPr>
                <w:rFonts w:ascii="Times New Roman"/>
                <w:color w:val="auto"/>
                <w:w w:val="99"/>
                <w:sz w:val="21"/>
              </w:rPr>
              <w:t>2</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1" w:line="360" w:lineRule="auto"/>
              <w:ind w:left="969" w:right="940" w:firstLine="0" w:firstLineChars="0"/>
              <w:jc w:val="center"/>
              <w:textAlignment w:val="auto"/>
              <w:rPr>
                <w:rFonts w:ascii="Times New Roman"/>
                <w:color w:val="auto"/>
                <w:sz w:val="21"/>
              </w:rPr>
            </w:pPr>
            <w:r>
              <w:rPr>
                <w:rFonts w:ascii="Times New Roman"/>
                <w:color w:val="auto"/>
                <w:position w:val="2"/>
                <w:sz w:val="21"/>
              </w:rPr>
              <w:t>BOD</w:t>
            </w:r>
            <w:r>
              <w:rPr>
                <w:rFonts w:ascii="Times New Roman"/>
                <w:color w:val="auto"/>
                <w:position w:val="2"/>
                <w:sz w:val="21"/>
                <w:vertAlign w:val="subscript"/>
              </w:rPr>
              <w:t>5</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4" w:line="360" w:lineRule="auto"/>
              <w:ind w:left="695" w:right="659" w:firstLine="0" w:firstLineChars="0"/>
              <w:jc w:val="center"/>
              <w:textAlignment w:val="auto"/>
              <w:rPr>
                <w:rFonts w:ascii="Times New Roman" w:hAnsi="Times New Roman"/>
                <w:color w:val="auto"/>
                <w:sz w:val="21"/>
              </w:rPr>
            </w:pPr>
            <w:r>
              <w:rPr>
                <w:rFonts w:ascii="Times New Roman" w:hAnsi="Times New Roman"/>
                <w:color w:val="auto"/>
                <w:sz w:val="21"/>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50" w:line="360" w:lineRule="auto"/>
              <w:ind w:left="16" w:firstLine="0" w:firstLineChars="0"/>
              <w:jc w:val="center"/>
              <w:textAlignment w:val="auto"/>
              <w:rPr>
                <w:rFonts w:ascii="Times New Roman"/>
                <w:color w:val="auto"/>
                <w:sz w:val="21"/>
              </w:rPr>
            </w:pPr>
            <w:r>
              <w:rPr>
                <w:rFonts w:ascii="Times New Roman"/>
                <w:color w:val="auto"/>
                <w:w w:val="99"/>
                <w:sz w:val="21"/>
              </w:rPr>
              <w:t>3</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7" w:line="360" w:lineRule="auto"/>
              <w:ind w:left="968" w:right="940" w:firstLine="0" w:firstLineChars="0"/>
              <w:jc w:val="center"/>
              <w:textAlignment w:val="auto"/>
              <w:rPr>
                <w:color w:val="auto"/>
                <w:sz w:val="21"/>
              </w:rPr>
            </w:pPr>
            <w:r>
              <w:rPr>
                <w:color w:val="auto"/>
                <w:sz w:val="21"/>
              </w:rPr>
              <w:t>氨氮</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50"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7" w:line="360" w:lineRule="auto"/>
              <w:ind w:left="696" w:right="659" w:firstLine="0" w:firstLineChars="0"/>
              <w:jc w:val="center"/>
              <w:textAlignment w:val="auto"/>
              <w:rPr>
                <w:color w:val="auto"/>
                <w:sz w:val="21"/>
              </w:rPr>
            </w:pPr>
            <w:r>
              <w:rPr>
                <w:rFonts w:ascii="Times New Roman" w:hAnsi="Times New Roman" w:eastAsia="Times New Roman"/>
                <w:color w:val="auto"/>
                <w:sz w:val="21"/>
              </w:rPr>
              <w:t>≤5</w:t>
            </w:r>
            <w:r>
              <w:rPr>
                <w:color w:val="auto"/>
                <w:sz w:val="21"/>
              </w:rPr>
              <w:t>（</w:t>
            </w:r>
            <w:r>
              <w:rPr>
                <w:rFonts w:ascii="Times New Roman" w:hAnsi="Times New Roman" w:eastAsia="Times New Roman"/>
                <w:color w:val="auto"/>
                <w:sz w:val="21"/>
              </w:rPr>
              <w:t>8</w:t>
            </w:r>
            <w:r>
              <w:rPr>
                <w:color w:val="auto"/>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1" w:hRule="atLeast"/>
        </w:trPr>
        <w:tc>
          <w:tcPr>
            <w:tcW w:w="1189" w:type="dxa"/>
            <w:tcBorders>
              <w:top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16" w:firstLine="0" w:firstLineChars="0"/>
              <w:jc w:val="center"/>
              <w:textAlignment w:val="auto"/>
              <w:rPr>
                <w:rFonts w:ascii="Times New Roman"/>
                <w:color w:val="auto"/>
                <w:sz w:val="21"/>
              </w:rPr>
            </w:pPr>
            <w:r>
              <w:rPr>
                <w:rFonts w:ascii="Times New Roman"/>
                <w:color w:val="auto"/>
                <w:w w:val="99"/>
                <w:sz w:val="21"/>
              </w:rPr>
              <w:t>4</w:t>
            </w:r>
          </w:p>
        </w:tc>
        <w:tc>
          <w:tcPr>
            <w:tcW w:w="2804"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968" w:right="940" w:firstLine="0" w:firstLineChars="0"/>
              <w:jc w:val="center"/>
              <w:textAlignment w:val="auto"/>
              <w:rPr>
                <w:rFonts w:ascii="Times New Roman"/>
                <w:color w:val="auto"/>
                <w:sz w:val="21"/>
              </w:rPr>
            </w:pPr>
            <w:r>
              <w:rPr>
                <w:rFonts w:ascii="Times New Roman"/>
                <w:color w:val="auto"/>
                <w:sz w:val="21"/>
              </w:rPr>
              <w:t>TN</w:t>
            </w:r>
          </w:p>
        </w:tc>
        <w:tc>
          <w:tcPr>
            <w:tcW w:w="1986" w:type="dxa"/>
            <w:tcBorders>
              <w:top w:val="single" w:color="000000" w:sz="4" w:space="0"/>
              <w:left w:val="single" w:color="000000" w:sz="4" w:space="0"/>
              <w:bottom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bottom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3" w:line="360" w:lineRule="auto"/>
              <w:ind w:left="695" w:right="659" w:firstLine="0" w:firstLineChars="0"/>
              <w:jc w:val="center"/>
              <w:textAlignment w:val="auto"/>
              <w:rPr>
                <w:rFonts w:ascii="Times New Roman" w:hAnsi="Times New Roman"/>
                <w:color w:val="auto"/>
                <w:sz w:val="21"/>
              </w:rPr>
            </w:pPr>
            <w:r>
              <w:rPr>
                <w:rFonts w:ascii="Times New Roman" w:hAnsi="Times New Roman"/>
                <w:color w:val="auto"/>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1" w:hRule="atLeast"/>
        </w:trPr>
        <w:tc>
          <w:tcPr>
            <w:tcW w:w="1189" w:type="dxa"/>
            <w:tcBorders>
              <w:top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16" w:firstLine="0" w:firstLineChars="0"/>
              <w:jc w:val="center"/>
              <w:textAlignment w:val="auto"/>
              <w:rPr>
                <w:rFonts w:ascii="Times New Roman"/>
                <w:color w:val="auto"/>
                <w:sz w:val="21"/>
              </w:rPr>
            </w:pPr>
            <w:r>
              <w:rPr>
                <w:rFonts w:ascii="Times New Roman"/>
                <w:color w:val="auto"/>
                <w:w w:val="99"/>
                <w:sz w:val="21"/>
              </w:rPr>
              <w:t>5</w:t>
            </w:r>
          </w:p>
        </w:tc>
        <w:tc>
          <w:tcPr>
            <w:tcW w:w="2804"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967" w:right="940" w:firstLine="0" w:firstLineChars="0"/>
              <w:jc w:val="center"/>
              <w:textAlignment w:val="auto"/>
              <w:rPr>
                <w:rFonts w:ascii="Times New Roman"/>
                <w:color w:val="auto"/>
                <w:sz w:val="21"/>
              </w:rPr>
            </w:pPr>
            <w:r>
              <w:rPr>
                <w:rFonts w:ascii="Times New Roman"/>
                <w:color w:val="auto"/>
                <w:sz w:val="21"/>
              </w:rPr>
              <w:t>TP</w:t>
            </w:r>
          </w:p>
        </w:tc>
        <w:tc>
          <w:tcPr>
            <w:tcW w:w="1986" w:type="dxa"/>
            <w:tcBorders>
              <w:top w:val="single" w:color="000000" w:sz="4" w:space="0"/>
              <w:left w:val="single" w:color="000000" w:sz="4" w:space="0"/>
              <w:righ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753" w:right="727" w:firstLine="0" w:firstLineChars="0"/>
              <w:jc w:val="center"/>
              <w:textAlignment w:val="auto"/>
              <w:rPr>
                <w:rFonts w:ascii="Times New Roman"/>
                <w:color w:val="auto"/>
                <w:sz w:val="21"/>
              </w:rPr>
            </w:pPr>
            <w:r>
              <w:rPr>
                <w:rFonts w:ascii="Times New Roman"/>
                <w:color w:val="auto"/>
                <w:sz w:val="21"/>
              </w:rPr>
              <w:t>mg/L</w:t>
            </w:r>
          </w:p>
        </w:tc>
        <w:tc>
          <w:tcPr>
            <w:tcW w:w="2686" w:type="dxa"/>
            <w:tcBorders>
              <w:top w:val="single" w:color="000000" w:sz="4" w:space="0"/>
              <w:left w:val="single" w:color="000000" w:sz="4" w:space="0"/>
            </w:tcBorders>
          </w:tcPr>
          <w:p>
            <w:pPr>
              <w:pStyle w:val="89"/>
              <w:keepNext w:val="0"/>
              <w:keepLines w:val="0"/>
              <w:pageBreakBefore w:val="0"/>
              <w:widowControl w:val="0"/>
              <w:kinsoku/>
              <w:wordWrap/>
              <w:overflowPunct/>
              <w:topLinePunct w:val="0"/>
              <w:autoSpaceDE/>
              <w:autoSpaceDN/>
              <w:bidi w:val="0"/>
              <w:adjustRightInd/>
              <w:snapToGrid/>
              <w:spacing w:before="135" w:line="360" w:lineRule="auto"/>
              <w:ind w:left="697" w:right="659" w:firstLine="0" w:firstLineChars="0"/>
              <w:jc w:val="center"/>
              <w:textAlignment w:val="auto"/>
              <w:rPr>
                <w:rFonts w:ascii="Times New Roman" w:hAnsi="Times New Roman"/>
                <w:color w:val="auto"/>
                <w:sz w:val="21"/>
              </w:rPr>
            </w:pPr>
            <w:r>
              <w:rPr>
                <w:rFonts w:ascii="Times New Roman" w:hAnsi="Times New Roman"/>
                <w:color w:val="auto"/>
                <w:sz w:val="21"/>
              </w:rPr>
              <w:t>≤0.5</w:t>
            </w:r>
          </w:p>
        </w:tc>
      </w:tr>
    </w:tbl>
    <w:p>
      <w:pPr>
        <w:spacing w:line="360" w:lineRule="auto"/>
        <w:rPr>
          <w:color w:val="auto"/>
        </w:rPr>
      </w:pPr>
    </w:p>
    <w:p>
      <w:pPr>
        <w:pStyle w:val="5"/>
        <w:bidi w:val="0"/>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lang w:val="en-US" w:eastAsia="zh-CN"/>
        </w:rPr>
        <w:t>2、</w:t>
      </w:r>
      <w:r>
        <w:rPr>
          <w:rFonts w:hint="eastAsia" w:ascii="宋体" w:hAnsi="宋体" w:cs="宋体"/>
          <w:b w:val="0"/>
          <w:bCs w:val="0"/>
          <w:color w:val="auto"/>
          <w:sz w:val="24"/>
        </w:rPr>
        <w:t>出水水质执行《城镇污水处理厂污染物排放标准》（GB18918-2002）的一级A标。</w:t>
      </w:r>
    </w:p>
    <w:p>
      <w:pPr>
        <w:pStyle w:val="5"/>
        <w:bidi w:val="0"/>
        <w:spacing w:line="360" w:lineRule="auto"/>
        <w:ind w:firstLine="480" w:firstLineChars="200"/>
        <w:rPr>
          <w:rFonts w:hint="eastAsia" w:ascii="宋体" w:hAnsi="宋体" w:eastAsia="宋体" w:cs="宋体"/>
          <w:b w:val="0"/>
          <w:bCs w:val="0"/>
          <w:color w:val="auto"/>
          <w:sz w:val="24"/>
        </w:rPr>
      </w:pPr>
      <w:r>
        <w:rPr>
          <w:rFonts w:hint="eastAsia" w:ascii="宋体" w:hAnsi="宋体" w:cs="宋体"/>
          <w:b w:val="0"/>
          <w:bCs w:val="0"/>
          <w:color w:val="auto"/>
          <w:sz w:val="24"/>
          <w:lang w:val="en-US" w:eastAsia="zh-CN"/>
        </w:rPr>
        <w:t>3、</w:t>
      </w:r>
      <w:r>
        <w:rPr>
          <w:rFonts w:hint="eastAsia" w:ascii="宋体" w:hAnsi="宋体" w:cs="宋体"/>
          <w:b w:val="0"/>
          <w:bCs w:val="0"/>
          <w:color w:val="auto"/>
          <w:sz w:val="24"/>
        </w:rPr>
        <w:t>服务期间，供应商应保证其设施设备运行时产生的噪音和臭气符合国家现行相</w:t>
      </w:r>
      <w:r>
        <w:rPr>
          <w:rFonts w:hint="eastAsia" w:ascii="宋体" w:hAnsi="宋体" w:eastAsia="宋体" w:cs="宋体"/>
          <w:b w:val="0"/>
          <w:bCs w:val="0"/>
          <w:color w:val="auto"/>
          <w:sz w:val="24"/>
        </w:rPr>
        <w:t>关规定标准。</w:t>
      </w:r>
    </w:p>
    <w:p>
      <w:pPr>
        <w:pStyle w:val="5"/>
        <w:bidi w:val="0"/>
        <w:spacing w:line="360" w:lineRule="auto"/>
        <w:ind w:firstLine="480" w:firstLineChars="200"/>
        <w:rPr>
          <w:rFonts w:hint="eastAsia" w:ascii="Times New Roman" w:eastAsia="宋体"/>
          <w:color w:val="auto"/>
          <w:highlight w:val="none"/>
          <w:lang w:val="en-US" w:eastAsia="zh-CN"/>
        </w:rPr>
      </w:pPr>
      <w:r>
        <w:rPr>
          <w:rFonts w:hint="eastAsia" w:ascii="宋体" w:hAnsi="宋体" w:eastAsia="宋体" w:cs="宋体"/>
          <w:b w:val="0"/>
          <w:bCs w:val="0"/>
          <w:color w:val="auto"/>
          <w:sz w:val="24"/>
          <w:lang w:val="en-US" w:eastAsia="zh-CN"/>
        </w:rPr>
        <w:t>4、供应</w:t>
      </w:r>
      <w:r>
        <w:rPr>
          <w:rFonts w:hint="eastAsia" w:cs="宋体"/>
          <w:b w:val="0"/>
          <w:bCs w:val="0"/>
          <w:color w:val="auto"/>
          <w:sz w:val="24"/>
          <w:lang w:val="en-US" w:eastAsia="zh-CN"/>
        </w:rPr>
        <w:t>商</w:t>
      </w:r>
      <w:r>
        <w:rPr>
          <w:rFonts w:hint="eastAsia" w:ascii="宋体" w:hAnsi="宋体" w:cs="宋体"/>
          <w:b w:val="0"/>
          <w:bCs w:val="0"/>
          <w:color w:val="auto"/>
          <w:sz w:val="24"/>
        </w:rPr>
        <w:t>负责完成</w:t>
      </w:r>
      <w:r>
        <w:rPr>
          <w:rFonts w:hint="eastAsia" w:cs="宋体"/>
          <w:b w:val="0"/>
          <w:bCs w:val="0"/>
          <w:color w:val="auto"/>
          <w:sz w:val="24"/>
          <w:lang w:val="en-US" w:eastAsia="zh-CN"/>
        </w:rPr>
        <w:t>设备大修费用（工艺设备部分更新、维护）、电气大修费用（电气设备部分更新、维护）、土建大修费用（修补围墙、绿化、道路等，检修土建设施）。</w:t>
      </w:r>
    </w:p>
    <w:p>
      <w:pPr>
        <w:keepNext w:val="0"/>
        <w:keepLines w:val="0"/>
        <w:pageBreakBefore w:val="0"/>
        <w:numPr>
          <w:ilvl w:val="0"/>
          <w:numId w:val="13"/>
        </w:numPr>
        <w:kinsoku/>
        <w:wordWrap/>
        <w:overflowPunct/>
        <w:topLinePunct w:val="0"/>
        <w:autoSpaceDE/>
        <w:autoSpaceDN/>
        <w:bidi w:val="0"/>
        <w:adjustRightInd/>
        <w:snapToGrid/>
        <w:spacing w:line="360" w:lineRule="auto"/>
        <w:rPr>
          <w:rFonts w:hint="eastAsia"/>
          <w:b/>
          <w:bCs/>
          <w:color w:val="auto"/>
          <w:sz w:val="28"/>
          <w:szCs w:val="28"/>
          <w:lang w:val="en-US" w:eastAsia="zh-CN"/>
        </w:rPr>
      </w:pPr>
      <w:r>
        <w:rPr>
          <w:rFonts w:hint="eastAsia"/>
          <w:b/>
          <w:bCs/>
          <w:color w:val="auto"/>
          <w:sz w:val="28"/>
          <w:szCs w:val="28"/>
          <w:lang w:val="en-US" w:eastAsia="zh-CN"/>
        </w:rPr>
        <w:t>商务要求（实质性要求）</w:t>
      </w:r>
    </w:p>
    <w:p>
      <w:pPr>
        <w:pStyle w:val="5"/>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报价要求</w:t>
      </w:r>
    </w:p>
    <w:p>
      <w:pPr>
        <w:numPr>
          <w:ilvl w:val="0"/>
          <w:numId w:val="0"/>
        </w:num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1.1污水处理服务费单价最高限价为</w:t>
      </w:r>
      <w:r>
        <w:rPr>
          <w:rFonts w:hint="eastAsia"/>
          <w:color w:val="auto"/>
          <w:sz w:val="21"/>
          <w:szCs w:val="21"/>
          <w:highlight w:val="none"/>
          <w:lang w:val="en-US" w:eastAsia="zh-CN"/>
        </w:rPr>
        <w:t>4.15元/吨</w:t>
      </w:r>
      <w:r>
        <w:rPr>
          <w:rFonts w:hint="eastAsia"/>
          <w:color w:val="auto"/>
          <w:sz w:val="21"/>
          <w:szCs w:val="21"/>
          <w:highlight w:val="none"/>
        </w:rPr>
        <w:t>；</w:t>
      </w:r>
      <w:r>
        <w:rPr>
          <w:rFonts w:hint="eastAsia" w:ascii="宋体" w:hAnsi="宋体" w:eastAsia="宋体" w:cs="宋体"/>
          <w:color w:val="auto"/>
          <w:sz w:val="24"/>
          <w:szCs w:val="24"/>
          <w:lang w:val="en-US" w:eastAsia="zh-CN"/>
        </w:rPr>
        <w:t>投标人所投污水处理单价高于污水处理单价最高限价或投标报价高于投标报价最高限价的，其投标文件按无效投标文件处理。</w:t>
      </w:r>
    </w:p>
    <w:p>
      <w:pPr>
        <w:numPr>
          <w:ilvl w:val="0"/>
          <w:numId w:val="0"/>
        </w:num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供应商所报</w:t>
      </w:r>
      <w:r>
        <w:rPr>
          <w:rFonts w:hint="eastAsia" w:ascii="宋体" w:hAnsi="宋体" w:eastAsia="宋体" w:cs="宋体"/>
          <w:b w:val="0"/>
          <w:bCs w:val="0"/>
          <w:color w:val="auto"/>
          <w:sz w:val="24"/>
          <w:szCs w:val="24"/>
        </w:rPr>
        <w:t>污水处理服务单价应包</w:t>
      </w:r>
      <w:r>
        <w:rPr>
          <w:rFonts w:hint="eastAsia" w:ascii="宋体" w:hAnsi="宋体" w:eastAsia="宋体" w:cs="宋体"/>
          <w:color w:val="auto"/>
          <w:sz w:val="24"/>
          <w:szCs w:val="24"/>
        </w:rPr>
        <w:t>括设备人工费、电费、水费、药剂费、社会保险费、设备设施日常维护和修理费、检验检测、管理费、化验费和水质监测费、办公、车辆、培训、税收等所有费用。</w:t>
      </w:r>
    </w:p>
    <w:p>
      <w:pPr>
        <w:numPr>
          <w:ilvl w:val="0"/>
          <w:numId w:val="0"/>
        </w:numPr>
        <w:spacing w:line="360" w:lineRule="auto"/>
        <w:ind w:firstLine="480" w:firstLineChars="200"/>
        <w:rPr>
          <w:color w:val="auto"/>
        </w:rPr>
      </w:pPr>
      <w:r>
        <w:rPr>
          <w:rFonts w:hint="eastAsia" w:ascii="宋体" w:hAnsi="宋体"/>
          <w:color w:val="auto"/>
          <w:sz w:val="24"/>
          <w:lang w:val="en-US" w:eastAsia="zh-CN"/>
        </w:rPr>
        <w:t>1.3</w:t>
      </w:r>
      <w:r>
        <w:rPr>
          <w:rFonts w:hint="eastAsia" w:ascii="宋体" w:hAnsi="宋体"/>
          <w:color w:val="auto"/>
          <w:sz w:val="24"/>
        </w:rPr>
        <w:t>供应商所报污水处理服务单价在合同履行期间不调整。</w:t>
      </w:r>
    </w:p>
    <w:p>
      <w:pPr>
        <w:pStyle w:val="5"/>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服务起始时间</w:t>
      </w:r>
    </w:p>
    <w:p>
      <w:pPr>
        <w:spacing w:line="360" w:lineRule="auto"/>
        <w:ind w:firstLine="480"/>
        <w:rPr>
          <w:color w:val="auto"/>
          <w:sz w:val="24"/>
          <w:szCs w:val="32"/>
        </w:rPr>
      </w:pPr>
      <w:r>
        <w:rPr>
          <w:rFonts w:hint="eastAsia" w:hAnsi="宋体" w:cs="宋体"/>
          <w:color w:val="auto"/>
          <w:sz w:val="24"/>
          <w:szCs w:val="32"/>
          <w:lang w:val="en-US" w:eastAsia="zh-CN"/>
        </w:rPr>
        <w:t>计费周期从出水稳定达标，工艺运行正常，七天连续出水达到排放标准，通过验收之日起计算。</w:t>
      </w:r>
    </w:p>
    <w:p>
      <w:pPr>
        <w:pStyle w:val="5"/>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3、服务期限</w:t>
      </w:r>
    </w:p>
    <w:p>
      <w:pPr>
        <w:pStyle w:val="2"/>
        <w:spacing w:before="183" w:line="360" w:lineRule="auto"/>
        <w:ind w:left="0" w:leftChars="0" w:firstLine="480" w:firstLineChars="200"/>
        <w:outlineLvl w:val="9"/>
        <w:rPr>
          <w:color w:val="auto"/>
          <w:highlight w:val="none"/>
        </w:rPr>
      </w:pPr>
      <w:r>
        <w:rPr>
          <w:rFonts w:hint="eastAsia" w:cs="宋体"/>
          <w:color w:val="auto"/>
          <w:szCs w:val="24"/>
          <w:highlight w:val="none"/>
          <w:lang w:val="en-US" w:eastAsia="zh-CN"/>
        </w:rPr>
        <w:t>自合同签订后，</w:t>
      </w:r>
      <w:r>
        <w:rPr>
          <w:color w:val="auto"/>
          <w:highlight w:val="none"/>
        </w:rPr>
        <w:t>本项目运营期</w:t>
      </w:r>
      <w:r>
        <w:rPr>
          <w:rFonts w:hint="eastAsia"/>
          <w:color w:val="auto"/>
          <w:highlight w:val="none"/>
          <w:lang w:val="en-US" w:eastAsia="zh-CN"/>
        </w:rPr>
        <w:t>三年，合同一年一签</w:t>
      </w:r>
      <w:r>
        <w:rPr>
          <w:rFonts w:hint="eastAsia" w:eastAsia="宋体"/>
          <w:color w:val="auto"/>
          <w:highlight w:val="none"/>
          <w:lang w:val="en-US" w:eastAsia="zh-CN"/>
        </w:rPr>
        <w:t>。</w:t>
      </w:r>
    </w:p>
    <w:p>
      <w:pPr>
        <w:pStyle w:val="5"/>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4、基本水量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8"/>
        <w:textAlignment w:val="auto"/>
        <w:rPr>
          <w:rFonts w:hint="eastAsia" w:ascii="宋体" w:hAnsi="宋体" w:cs="宋体"/>
          <w:color w:val="auto"/>
          <w:sz w:val="24"/>
          <w:szCs w:val="32"/>
        </w:rPr>
      </w:pPr>
      <w:r>
        <w:rPr>
          <w:rFonts w:hint="eastAsia" w:ascii="宋体" w:hAnsi="宋体" w:cs="宋体"/>
          <w:color w:val="auto"/>
          <w:sz w:val="24"/>
          <w:szCs w:val="32"/>
          <w:lang w:val="en-US" w:eastAsia="zh-CN"/>
        </w:rPr>
        <w:t>4.1</w:t>
      </w:r>
      <w:r>
        <w:rPr>
          <w:rFonts w:hint="eastAsia" w:ascii="宋体" w:hAnsi="宋体" w:cs="宋体"/>
          <w:color w:val="auto"/>
          <w:sz w:val="24"/>
          <w:szCs w:val="32"/>
        </w:rPr>
        <w:t>本项目污水水量</w:t>
      </w:r>
      <w:r>
        <w:rPr>
          <w:rFonts w:hint="eastAsia" w:ascii="宋体" w:hAnsi="宋体" w:cs="宋体"/>
          <w:color w:val="auto"/>
          <w:sz w:val="24"/>
          <w:szCs w:val="32"/>
          <w:lang w:val="en-US" w:eastAsia="zh-CN"/>
        </w:rPr>
        <w:t>不设保底。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8"/>
        <w:textAlignment w:val="auto"/>
        <w:outlineLvl w:val="9"/>
        <w:rPr>
          <w:rFonts w:hint="eastAsia" w:ascii="宋体" w:hAnsi="宋体" w:cs="宋体"/>
          <w:color w:val="auto"/>
          <w:sz w:val="24"/>
          <w:szCs w:val="32"/>
          <w:lang w:val="en-US" w:eastAsia="zh-CN"/>
        </w:rPr>
      </w:pPr>
      <w:r>
        <w:rPr>
          <w:rFonts w:hint="eastAsia" w:ascii="宋体" w:hAnsi="宋体" w:cs="宋体"/>
          <w:color w:val="auto"/>
          <w:sz w:val="24"/>
          <w:szCs w:val="32"/>
          <w:lang w:val="en-US" w:eastAsia="zh-CN"/>
        </w:rPr>
        <w:t>4.2当月服务费=</w:t>
      </w:r>
      <w:r>
        <w:rPr>
          <w:rFonts w:hint="eastAsia" w:ascii="宋体" w:hAnsi="宋体" w:cs="宋体"/>
          <w:color w:val="auto"/>
          <w:sz w:val="24"/>
          <w:szCs w:val="32"/>
        </w:rPr>
        <w:t>当</w:t>
      </w:r>
      <w:r>
        <w:rPr>
          <w:rFonts w:hint="eastAsia" w:ascii="宋体" w:hAnsi="宋体" w:cs="宋体"/>
          <w:color w:val="auto"/>
          <w:sz w:val="24"/>
          <w:szCs w:val="32"/>
          <w:highlight w:val="none"/>
          <w:lang w:eastAsia="zh-CN"/>
        </w:rPr>
        <w:t>月</w:t>
      </w:r>
      <w:r>
        <w:rPr>
          <w:rFonts w:hint="eastAsia" w:ascii="宋体" w:hAnsi="宋体" w:cs="宋体"/>
          <w:color w:val="auto"/>
          <w:sz w:val="24"/>
          <w:szCs w:val="32"/>
        </w:rPr>
        <w:t>实际服务水量×污水处理服务投标单价</w:t>
      </w:r>
    </w:p>
    <w:p>
      <w:pPr>
        <w:pStyle w:val="2"/>
        <w:numPr>
          <w:ilvl w:val="0"/>
          <w:numId w:val="0"/>
        </w:numPr>
        <w:spacing w:line="360" w:lineRule="auto"/>
        <w:ind w:leftChars="198"/>
        <w:rPr>
          <w:rFonts w:hint="default"/>
          <w:color w:val="auto"/>
          <w:lang w:val="en-US"/>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按</w:t>
      </w:r>
      <w:r>
        <w:rPr>
          <w:rFonts w:hint="eastAsia" w:hAnsi="宋体" w:cs="宋体"/>
          <w:color w:val="auto"/>
          <w:sz w:val="24"/>
          <w:szCs w:val="24"/>
          <w:highlight w:val="none"/>
          <w:lang w:eastAsia="zh-CN"/>
        </w:rPr>
        <w:t>月</w:t>
      </w:r>
      <w:r>
        <w:rPr>
          <w:rFonts w:hint="eastAsia" w:ascii="宋体" w:hAnsi="宋体" w:eastAsia="宋体" w:cs="宋体"/>
          <w:color w:val="auto"/>
          <w:sz w:val="24"/>
          <w:szCs w:val="24"/>
          <w:highlight w:val="none"/>
        </w:rPr>
        <w:t>支付，采购人每</w:t>
      </w:r>
      <w:r>
        <w:rPr>
          <w:rFonts w:hint="eastAsia" w:hAnsi="宋体" w:cs="宋体"/>
          <w:color w:val="auto"/>
          <w:sz w:val="24"/>
          <w:szCs w:val="24"/>
          <w:highlight w:val="none"/>
          <w:lang w:eastAsia="zh-CN"/>
        </w:rPr>
        <w:t>月</w:t>
      </w:r>
      <w:r>
        <w:rPr>
          <w:rFonts w:hint="eastAsia" w:ascii="宋体" w:hAnsi="宋体" w:eastAsia="宋体" w:cs="宋体"/>
          <w:color w:val="auto"/>
          <w:sz w:val="24"/>
          <w:szCs w:val="24"/>
          <w:highlight w:val="none"/>
        </w:rPr>
        <w:t>按照</w:t>
      </w:r>
      <w:r>
        <w:rPr>
          <w:rFonts w:hint="eastAsia" w:hAnsi="宋体" w:cs="宋体"/>
          <w:color w:val="auto"/>
          <w:sz w:val="24"/>
          <w:szCs w:val="24"/>
          <w:highlight w:val="none"/>
          <w:lang w:eastAsia="zh-CN"/>
        </w:rPr>
        <w:t>合同应支付金额</w:t>
      </w:r>
      <w:r>
        <w:rPr>
          <w:rFonts w:hint="eastAsia" w:ascii="宋体" w:hAnsi="宋体" w:eastAsia="宋体" w:cs="宋体"/>
          <w:color w:val="auto"/>
          <w:sz w:val="24"/>
          <w:szCs w:val="24"/>
          <w:highlight w:val="none"/>
        </w:rPr>
        <w:t>支付至供应商账户。</w:t>
      </w:r>
    </w:p>
    <w:p>
      <w:pPr>
        <w:pStyle w:val="5"/>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5、验收要求</w:t>
      </w:r>
    </w:p>
    <w:p>
      <w:pPr>
        <w:spacing w:line="400" w:lineRule="exact"/>
        <w:ind w:firstLine="480" w:firstLineChars="200"/>
        <w:rPr>
          <w:rFonts w:hint="eastAsia" w:ascii="宋体" w:hAnsi="宋体"/>
          <w:color w:val="auto"/>
          <w:sz w:val="24"/>
          <w:szCs w:val="24"/>
        </w:rPr>
      </w:pPr>
      <w:r>
        <w:rPr>
          <w:rFonts w:hint="eastAsia" w:ascii="宋体"/>
          <w:color w:val="auto"/>
          <w:sz w:val="24"/>
          <w:lang w:val="en-US" w:eastAsia="zh-CN"/>
        </w:rPr>
        <w:t>中标供应商与采购人应严格按照《财政部关于进一步加强政府采购需求和履约验收管理的指导意见》(财库〔2016〕205号)的要求进行验收。相关信息涉密和权限限定要求、知识产权归采购人使用</w:t>
      </w:r>
      <w:r>
        <w:rPr>
          <w:rFonts w:hint="eastAsia" w:ascii="宋体"/>
          <w:color w:val="auto"/>
          <w:sz w:val="24"/>
        </w:rPr>
        <w:t>。</w:t>
      </w:r>
    </w:p>
    <w:p>
      <w:pPr>
        <w:pStyle w:val="5"/>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6、付款方法和条件</w:t>
      </w:r>
    </w:p>
    <w:p>
      <w:pPr>
        <w:spacing w:line="400" w:lineRule="exact"/>
        <w:ind w:firstLine="480" w:firstLineChars="200"/>
        <w:rPr>
          <w:rFonts w:hint="eastAsia" w:ascii="宋体"/>
          <w:color w:val="auto"/>
          <w:sz w:val="24"/>
          <w:highlight w:val="none"/>
          <w:lang w:val="en-US" w:eastAsia="zh-CN"/>
        </w:rPr>
      </w:pPr>
      <w:r>
        <w:rPr>
          <w:rFonts w:hint="eastAsia"/>
          <w:color w:val="auto"/>
          <w:sz w:val="24"/>
          <w:highlight w:val="none"/>
          <w:lang w:val="en-US" w:eastAsia="zh-CN"/>
        </w:rPr>
        <w:t>6.1</w:t>
      </w:r>
      <w:r>
        <w:rPr>
          <w:rFonts w:hint="eastAsia" w:ascii="宋体"/>
          <w:color w:val="auto"/>
          <w:sz w:val="24"/>
          <w:highlight w:val="none"/>
          <w:lang w:val="en-US" w:eastAsia="zh-CN"/>
        </w:rPr>
        <w:t>供应商应及时书面通知采购人检测出水水质，由供应商委托第三方机构进行检测，若出水水质检测报告表明出水水质全部达标，则采购人收到书面申请之日视为本项目开始正式运营起始日，采购人开始对污水处理量进行计量并按约定付费。从出水水质达标之日起计算污水处理服务量，每月25-30号核实污水处理数量及污水处理服务费，次月1-5号，采购人接到供应商合格的票据凭证资料以后，提交支付凭证资料给财政国库支付执行机构办理财政国库支付手续，并由其向供应商拨上月污水处理服务费。</w:t>
      </w:r>
    </w:p>
    <w:p>
      <w:pPr>
        <w:spacing w:line="400" w:lineRule="exact"/>
        <w:ind w:firstLine="480" w:firstLineChars="200"/>
        <w:rPr>
          <w:rFonts w:hint="eastAsia" w:ascii="宋体"/>
          <w:color w:val="auto"/>
          <w:sz w:val="24"/>
          <w:lang w:val="en-US" w:eastAsia="zh-CN"/>
        </w:rPr>
      </w:pPr>
      <w:r>
        <w:rPr>
          <w:rFonts w:hint="eastAsia"/>
          <w:color w:val="auto"/>
          <w:sz w:val="24"/>
          <w:lang w:val="en-US" w:eastAsia="zh-CN"/>
        </w:rPr>
        <w:t>6.2</w:t>
      </w:r>
      <w:r>
        <w:rPr>
          <w:rFonts w:hint="eastAsia" w:ascii="宋体"/>
          <w:color w:val="auto"/>
          <w:sz w:val="24"/>
          <w:lang w:val="en-US" w:eastAsia="zh-CN"/>
        </w:rPr>
        <w:t>若出具的出水水质检测报告表明出水水质不达标，供应商需继续调试至出水水质达标，经再次检测合格后以检测报告出具之日视为本项目开始正式运营日，采购人开始对污水处理量进行计量并按约定付费，检测费用由供应商承担。</w:t>
      </w:r>
    </w:p>
    <w:p>
      <w:pPr>
        <w:rPr>
          <w:rFonts w:hint="eastAsia" w:hAnsi="宋体" w:cs="宋体"/>
          <w:b/>
          <w:color w:val="auto"/>
          <w:sz w:val="36"/>
          <w:highlight w:val="none"/>
        </w:rPr>
      </w:pPr>
      <w:bookmarkStart w:id="944" w:name="_Toc7421"/>
      <w:bookmarkStart w:id="945" w:name="_Toc28026"/>
      <w:r>
        <w:rPr>
          <w:rFonts w:hint="eastAsia" w:hAnsi="宋体" w:cs="宋体"/>
          <w:b/>
          <w:color w:val="auto"/>
          <w:sz w:val="36"/>
          <w:highlight w:val="none"/>
        </w:rPr>
        <w:br w:type="page"/>
      </w:r>
    </w:p>
    <w:p>
      <w:pPr>
        <w:widowControl/>
        <w:adjustRightInd w:val="0"/>
        <w:snapToGrid w:val="0"/>
        <w:spacing w:line="360" w:lineRule="auto"/>
        <w:ind w:firstLine="2891" w:firstLineChars="800"/>
        <w:outlineLvl w:val="0"/>
        <w:rPr>
          <w:rFonts w:hAnsi="宋体" w:cs="宋体"/>
          <w:b/>
          <w:color w:val="auto"/>
          <w:sz w:val="36"/>
          <w:highlight w:val="none"/>
        </w:rPr>
      </w:pPr>
      <w:r>
        <w:rPr>
          <w:rFonts w:hint="eastAsia" w:hAnsi="宋体" w:cs="宋体"/>
          <w:b/>
          <w:color w:val="auto"/>
          <w:sz w:val="36"/>
          <w:highlight w:val="none"/>
        </w:rPr>
        <w:t>第七章 评标办法</w:t>
      </w:r>
      <w:bookmarkEnd w:id="893"/>
      <w:bookmarkEnd w:id="910"/>
      <w:bookmarkEnd w:id="911"/>
      <w:bookmarkEnd w:id="912"/>
      <w:bookmarkEnd w:id="944"/>
      <w:bookmarkEnd w:id="945"/>
      <w:bookmarkStart w:id="946" w:name="_Hlt101846155"/>
      <w:bookmarkEnd w:id="946"/>
      <w:bookmarkStart w:id="947" w:name="_Toc208849007"/>
      <w:bookmarkStart w:id="948" w:name="_Toc183582280"/>
      <w:bookmarkStart w:id="949" w:name="_Toc183682415"/>
      <w:bookmarkStart w:id="950" w:name="_Toc217446097"/>
    </w:p>
    <w:p>
      <w:pPr>
        <w:pStyle w:val="4"/>
        <w:numPr>
          <w:ilvl w:val="0"/>
          <w:numId w:val="14"/>
        </w:numPr>
        <w:spacing w:before="0" w:after="0" w:line="440" w:lineRule="exact"/>
        <w:ind w:firstLine="482" w:firstLineChars="200"/>
        <w:rPr>
          <w:rFonts w:ascii="宋体" w:hAnsi="宋体" w:eastAsia="宋体" w:cs="宋体"/>
          <w:bCs w:val="0"/>
          <w:color w:val="auto"/>
          <w:sz w:val="24"/>
          <w:szCs w:val="24"/>
          <w:highlight w:val="none"/>
        </w:rPr>
      </w:pPr>
      <w:bookmarkStart w:id="951" w:name="_Toc26923"/>
      <w:bookmarkStart w:id="952" w:name="_Toc3881"/>
      <w:bookmarkStart w:id="953" w:name="_Toc308084645"/>
      <w:bookmarkStart w:id="954" w:name="_Toc4553"/>
      <w:bookmarkStart w:id="955" w:name="_Toc319439946"/>
      <w:bookmarkStart w:id="956" w:name="_Toc327196339"/>
      <w:bookmarkStart w:id="957" w:name="_Toc25435"/>
      <w:bookmarkStart w:id="958" w:name="_Toc25959"/>
      <w:bookmarkStart w:id="959" w:name="_Toc319440188"/>
      <w:bookmarkStart w:id="960" w:name="_Toc23517"/>
      <w:bookmarkStart w:id="961" w:name="_Toc21302"/>
      <w:bookmarkStart w:id="962" w:name="_Toc307501154"/>
      <w:bookmarkStart w:id="963" w:name="_Toc1543"/>
      <w:bookmarkStart w:id="964" w:name="_Toc307564896"/>
      <w:bookmarkStart w:id="965" w:name="_Toc2232"/>
      <w:bookmarkStart w:id="966" w:name="_Toc11039"/>
      <w:bookmarkStart w:id="967" w:name="_Toc309897563"/>
      <w:bookmarkStart w:id="968" w:name="_Toc483"/>
      <w:bookmarkStart w:id="969" w:name="_Toc308188198"/>
      <w:r>
        <w:rPr>
          <w:rFonts w:hint="eastAsia" w:ascii="宋体" w:hAnsi="宋体" w:eastAsia="宋体" w:cs="宋体"/>
          <w:bCs w:val="0"/>
          <w:color w:val="auto"/>
          <w:sz w:val="24"/>
          <w:szCs w:val="24"/>
          <w:highlight w:val="none"/>
        </w:rPr>
        <w:t>总则</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根据《中华人民共和国政府采购法》、《中华人民共和国政府采购法实施条例》和《政府采购货物和服务招标投标管理办法》(财政部令第87号)等法律规章，结合采购项目特点制定本评标办法。</w:t>
      </w:r>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评标工作由采购代理机构负责组织，具体评标事务由采购代理机构依法组建的评标委员会负责。评标委员会由采购人代表和有关技术、经济等方面的专家组成。</w:t>
      </w:r>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评标工作应遵循公平、公正、科学及择优的原则，并以相同的评标程序和标准对待所有的投标人。</w:t>
      </w:r>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评标委员会按照招标文件规定的评标方法和标准进行评标，并独立履行下列职责：</w:t>
      </w:r>
    </w:p>
    <w:p>
      <w:pPr>
        <w:pStyle w:val="31"/>
        <w:numPr>
          <w:ilvl w:val="0"/>
          <w:numId w:val="16"/>
        </w:numPr>
        <w:wordWrap w:val="0"/>
        <w:spacing w:before="0" w:beforeAutospacing="0" w:after="0" w:afterAutospacing="0" w:line="440" w:lineRule="exact"/>
        <w:ind w:firstLine="480" w:firstLineChars="200"/>
        <w:rPr>
          <w:rFonts w:cs="宋体"/>
          <w:color w:val="auto"/>
          <w:sz w:val="24"/>
          <w:szCs w:val="24"/>
          <w:highlight w:val="none"/>
        </w:rPr>
      </w:pPr>
      <w:bookmarkStart w:id="970" w:name="_Toc217446098"/>
      <w:r>
        <w:rPr>
          <w:rFonts w:hint="eastAsia" w:cs="宋体"/>
          <w:color w:val="auto"/>
          <w:sz w:val="24"/>
          <w:szCs w:val="24"/>
          <w:highlight w:val="none"/>
        </w:rPr>
        <w:t>审查、评价投标文件是否符合招标文件的商务、技术等实质性要求；</w:t>
      </w:r>
    </w:p>
    <w:p>
      <w:pPr>
        <w:pStyle w:val="31"/>
        <w:numPr>
          <w:ilvl w:val="0"/>
          <w:numId w:val="16"/>
        </w:numPr>
        <w:wordWrap w:val="0"/>
        <w:spacing w:before="0" w:beforeAutospacing="0" w:after="0" w:afterAutospacing="0" w:line="440" w:lineRule="exact"/>
        <w:ind w:firstLine="480" w:firstLineChars="200"/>
        <w:rPr>
          <w:rFonts w:cs="宋体"/>
          <w:color w:val="auto"/>
          <w:sz w:val="24"/>
          <w:szCs w:val="24"/>
          <w:highlight w:val="none"/>
        </w:rPr>
      </w:pPr>
      <w:r>
        <w:rPr>
          <w:rFonts w:hint="eastAsia" w:cs="宋体"/>
          <w:color w:val="auto"/>
          <w:sz w:val="24"/>
          <w:szCs w:val="24"/>
          <w:highlight w:val="none"/>
        </w:rPr>
        <w:t>要求投标人对投标文件有关事项作出澄清或者说明；</w:t>
      </w:r>
    </w:p>
    <w:p>
      <w:pPr>
        <w:pStyle w:val="31"/>
        <w:numPr>
          <w:ilvl w:val="0"/>
          <w:numId w:val="16"/>
        </w:numPr>
        <w:wordWrap w:val="0"/>
        <w:spacing w:before="0" w:beforeAutospacing="0" w:after="0" w:afterAutospacing="0" w:line="440" w:lineRule="exact"/>
        <w:ind w:firstLine="480" w:firstLineChars="200"/>
        <w:rPr>
          <w:rFonts w:cs="宋体"/>
          <w:color w:val="auto"/>
          <w:sz w:val="24"/>
          <w:szCs w:val="24"/>
          <w:highlight w:val="none"/>
        </w:rPr>
      </w:pPr>
      <w:r>
        <w:rPr>
          <w:rFonts w:hint="eastAsia" w:cs="宋体"/>
          <w:color w:val="auto"/>
          <w:sz w:val="24"/>
          <w:szCs w:val="24"/>
          <w:highlight w:val="none"/>
        </w:rPr>
        <w:t>对投标文件进行比较和评价；</w:t>
      </w:r>
    </w:p>
    <w:p>
      <w:pPr>
        <w:pStyle w:val="31"/>
        <w:numPr>
          <w:ilvl w:val="0"/>
          <w:numId w:val="16"/>
        </w:numPr>
        <w:wordWrap w:val="0"/>
        <w:spacing w:before="0" w:beforeAutospacing="0" w:after="0" w:afterAutospacing="0" w:line="440" w:lineRule="exact"/>
        <w:ind w:firstLine="480" w:firstLineChars="200"/>
        <w:rPr>
          <w:rFonts w:cs="宋体"/>
          <w:color w:val="auto"/>
          <w:sz w:val="24"/>
          <w:szCs w:val="24"/>
          <w:highlight w:val="none"/>
        </w:rPr>
      </w:pPr>
      <w:r>
        <w:rPr>
          <w:rFonts w:hint="eastAsia" w:cs="宋体"/>
          <w:color w:val="auto"/>
          <w:sz w:val="24"/>
          <w:szCs w:val="24"/>
          <w:highlight w:val="none"/>
        </w:rPr>
        <w:t>确定中标候选人名单；</w:t>
      </w:r>
    </w:p>
    <w:p>
      <w:pPr>
        <w:numPr>
          <w:ilvl w:val="0"/>
          <w:numId w:val="16"/>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向采购人、采购代理机构或者有关部门报告评标中发现的违法行为。</w:t>
      </w:r>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评标过程独立、保密。投标人非法干预评标评标过程的行为将导致其投标文件作为无效处理。</w:t>
      </w:r>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评标委员会评价投标文件的响应性，对于投标人而言，除评标委员会要求其澄清、说明或者纠正而提供的资料外，仅依据投标文件本身的内容，不寻求其他外部证据。</w:t>
      </w:r>
    </w:p>
    <w:p>
      <w:pPr>
        <w:numPr>
          <w:ilvl w:val="0"/>
          <w:numId w:val="15"/>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评委会发现招标文件表述不明确或需要说明的事项，可提请招标采购单位书面解释说明。发现招标文件违反有关法律、法规和规章的，可以拒绝评标，并向招标采购单位书面说明情况。</w:t>
      </w:r>
    </w:p>
    <w:p>
      <w:pPr>
        <w:pStyle w:val="4"/>
        <w:numPr>
          <w:ilvl w:val="0"/>
          <w:numId w:val="14"/>
        </w:numPr>
        <w:spacing w:before="0" w:after="0" w:line="440" w:lineRule="exact"/>
        <w:ind w:firstLine="482" w:firstLineChars="200"/>
        <w:rPr>
          <w:rFonts w:ascii="宋体" w:hAnsi="宋体" w:eastAsia="宋体" w:cs="宋体"/>
          <w:bCs w:val="0"/>
          <w:color w:val="auto"/>
          <w:sz w:val="24"/>
          <w:szCs w:val="24"/>
          <w:highlight w:val="none"/>
        </w:rPr>
      </w:pPr>
      <w:bookmarkStart w:id="971" w:name="_Toc23669"/>
      <w:bookmarkStart w:id="972" w:name="_Toc10398"/>
      <w:bookmarkStart w:id="973" w:name="_Toc3371"/>
      <w:bookmarkStart w:id="974" w:name="_Toc26792"/>
      <w:bookmarkStart w:id="975" w:name="_Toc14100"/>
      <w:bookmarkStart w:id="976" w:name="_Toc3915"/>
      <w:bookmarkStart w:id="977" w:name="_Toc276"/>
      <w:bookmarkStart w:id="978" w:name="_Toc8496"/>
      <w:bookmarkStart w:id="979" w:name="_Toc12975"/>
      <w:bookmarkStart w:id="980" w:name="_Toc319440189"/>
      <w:bookmarkStart w:id="981" w:name="_Toc327196340"/>
      <w:bookmarkStart w:id="982" w:name="_Toc25612"/>
      <w:bookmarkStart w:id="983" w:name="_Toc5152"/>
      <w:r>
        <w:rPr>
          <w:rFonts w:hint="eastAsia" w:ascii="宋体" w:hAnsi="宋体" w:eastAsia="宋体" w:cs="宋体"/>
          <w:bCs w:val="0"/>
          <w:color w:val="auto"/>
          <w:sz w:val="24"/>
          <w:szCs w:val="24"/>
          <w:highlight w:val="none"/>
        </w:rPr>
        <w:t>评标方法</w:t>
      </w:r>
      <w:bookmarkEnd w:id="971"/>
      <w:bookmarkEnd w:id="972"/>
      <w:bookmarkEnd w:id="973"/>
      <w:bookmarkEnd w:id="974"/>
      <w:bookmarkEnd w:id="975"/>
      <w:bookmarkEnd w:id="976"/>
      <w:bookmarkEnd w:id="977"/>
      <w:bookmarkEnd w:id="978"/>
      <w:bookmarkEnd w:id="979"/>
      <w:bookmarkEnd w:id="980"/>
      <w:bookmarkEnd w:id="981"/>
      <w:bookmarkEnd w:id="982"/>
      <w:bookmarkEnd w:id="983"/>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本项目评标方法为：综合评分法。</w:t>
      </w:r>
    </w:p>
    <w:p>
      <w:pPr>
        <w:pStyle w:val="4"/>
        <w:numPr>
          <w:ilvl w:val="0"/>
          <w:numId w:val="14"/>
        </w:numPr>
        <w:spacing w:before="0" w:after="0" w:line="440" w:lineRule="exact"/>
        <w:ind w:firstLine="482" w:firstLineChars="200"/>
        <w:rPr>
          <w:rFonts w:ascii="宋体" w:hAnsi="宋体" w:eastAsia="宋体" w:cs="宋体"/>
          <w:bCs w:val="0"/>
          <w:color w:val="auto"/>
          <w:sz w:val="24"/>
          <w:szCs w:val="24"/>
          <w:highlight w:val="none"/>
        </w:rPr>
      </w:pPr>
      <w:bookmarkStart w:id="984" w:name="_Toc19196"/>
      <w:bookmarkStart w:id="985" w:name="_Toc5906"/>
      <w:bookmarkStart w:id="986" w:name="_Toc12883"/>
      <w:bookmarkStart w:id="987" w:name="_Toc319440190"/>
      <w:bookmarkStart w:id="988" w:name="_Toc17374"/>
      <w:bookmarkStart w:id="989" w:name="_Toc23322"/>
      <w:bookmarkStart w:id="990" w:name="_Toc7390"/>
      <w:bookmarkStart w:id="991" w:name="_Toc17613"/>
      <w:bookmarkStart w:id="992" w:name="_Toc5897"/>
      <w:bookmarkStart w:id="993" w:name="_Toc9969"/>
      <w:bookmarkStart w:id="994" w:name="_Toc11380"/>
      <w:bookmarkStart w:id="995" w:name="_Toc327196341"/>
      <w:bookmarkStart w:id="996" w:name="_Toc27103"/>
      <w:r>
        <w:rPr>
          <w:rFonts w:hint="eastAsia" w:ascii="宋体" w:hAnsi="宋体" w:eastAsia="宋体" w:cs="宋体"/>
          <w:bCs w:val="0"/>
          <w:color w:val="auto"/>
          <w:sz w:val="24"/>
          <w:szCs w:val="24"/>
          <w:highlight w:val="none"/>
        </w:rPr>
        <w:t>评标程序</w:t>
      </w:r>
      <w:bookmarkEnd w:id="970"/>
      <w:bookmarkEnd w:id="984"/>
      <w:bookmarkEnd w:id="985"/>
      <w:bookmarkEnd w:id="986"/>
      <w:bookmarkEnd w:id="987"/>
      <w:bookmarkEnd w:id="988"/>
      <w:bookmarkEnd w:id="989"/>
      <w:bookmarkEnd w:id="990"/>
      <w:bookmarkEnd w:id="991"/>
      <w:bookmarkEnd w:id="992"/>
      <w:bookmarkEnd w:id="993"/>
      <w:bookmarkEnd w:id="994"/>
      <w:bookmarkEnd w:id="995"/>
      <w:bookmarkEnd w:id="996"/>
    </w:p>
    <w:p>
      <w:pPr>
        <w:numPr>
          <w:ilvl w:val="0"/>
          <w:numId w:val="17"/>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熟悉招标文件和停止评标</w:t>
      </w:r>
    </w:p>
    <w:p>
      <w:pPr>
        <w:numPr>
          <w:ilvl w:val="0"/>
          <w:numId w:val="18"/>
        </w:numPr>
        <w:tabs>
          <w:tab w:val="left" w:pos="0"/>
        </w:tabs>
        <w:spacing w:line="400" w:lineRule="exact"/>
        <w:ind w:firstLine="480" w:firstLineChars="200"/>
        <w:rPr>
          <w:color w:val="auto"/>
          <w:sz w:val="24"/>
          <w:highlight w:val="none"/>
        </w:rPr>
      </w:pPr>
      <w:r>
        <w:rPr>
          <w:rFonts w:hint="eastAsia"/>
          <w:color w:val="auto"/>
          <w:sz w:val="24"/>
          <w:highlight w:val="none"/>
        </w:rPr>
        <w:t>评标委员会正式评标前，应当熟悉招标文件，</w:t>
      </w:r>
      <w:r>
        <w:rPr>
          <w:rFonts w:hint="eastAsia" w:hAnsi="宋体" w:cs="宋体"/>
          <w:color w:val="auto"/>
          <w:sz w:val="24"/>
          <w:highlight w:val="none"/>
        </w:rPr>
        <w:t>主要包括招标文件中符合性审查内容、采购项目技术、服务和商务要求、评标方法和标准以及政府采购合同主要条款等。</w:t>
      </w:r>
    </w:p>
    <w:p>
      <w:pPr>
        <w:numPr>
          <w:ilvl w:val="0"/>
          <w:numId w:val="18"/>
        </w:numPr>
        <w:tabs>
          <w:tab w:val="left" w:pos="0"/>
        </w:tabs>
        <w:spacing w:line="400" w:lineRule="exact"/>
        <w:ind w:firstLine="480" w:firstLineChars="200"/>
        <w:rPr>
          <w:color w:val="auto"/>
          <w:sz w:val="24"/>
          <w:highlight w:val="none"/>
        </w:rPr>
      </w:pPr>
      <w:r>
        <w:rPr>
          <w:rFonts w:hint="eastAsia"/>
          <w:color w:val="auto"/>
          <w:sz w:val="24"/>
          <w:highlight w:val="none"/>
        </w:rPr>
        <w:t>招标文件有下列情形之一的，评标委员会应当停止评标：</w:t>
      </w:r>
    </w:p>
    <w:p>
      <w:pPr>
        <w:spacing w:line="400" w:lineRule="exact"/>
        <w:ind w:firstLine="480" w:firstLineChars="200"/>
        <w:rPr>
          <w:color w:val="auto"/>
          <w:sz w:val="24"/>
          <w:highlight w:val="none"/>
        </w:rPr>
      </w:pPr>
      <w:r>
        <w:rPr>
          <w:rFonts w:hint="eastAsia"/>
          <w:color w:val="auto"/>
          <w:sz w:val="24"/>
          <w:highlight w:val="none"/>
        </w:rPr>
        <w:t>(1)招标文件的规定存在歧义、重大缺陷的；</w:t>
      </w:r>
    </w:p>
    <w:p>
      <w:pPr>
        <w:spacing w:line="400" w:lineRule="exact"/>
        <w:ind w:firstLine="480" w:firstLineChars="200"/>
        <w:rPr>
          <w:color w:val="auto"/>
          <w:sz w:val="24"/>
          <w:highlight w:val="none"/>
        </w:rPr>
      </w:pPr>
      <w:r>
        <w:rPr>
          <w:rFonts w:hint="eastAsia"/>
          <w:color w:val="auto"/>
          <w:sz w:val="24"/>
          <w:highlight w:val="none"/>
        </w:rPr>
        <w:t>(2)招标文件明显以不合理条件对供应商实行差别待遇或者歧视待遇的；</w:t>
      </w:r>
    </w:p>
    <w:p>
      <w:pPr>
        <w:spacing w:line="400" w:lineRule="exact"/>
        <w:ind w:firstLine="480" w:firstLineChars="200"/>
        <w:rPr>
          <w:color w:val="auto"/>
          <w:sz w:val="24"/>
          <w:highlight w:val="none"/>
        </w:rPr>
      </w:pPr>
      <w:r>
        <w:rPr>
          <w:rFonts w:hint="eastAsia"/>
          <w:color w:val="auto"/>
          <w:sz w:val="24"/>
          <w:highlight w:val="none"/>
        </w:rPr>
        <w:t>(3)采购项目属于国家规定的优先、强制采购范围，但是招标文件未依法体现优先、强制采购相关规定的；</w:t>
      </w:r>
    </w:p>
    <w:p>
      <w:pPr>
        <w:spacing w:line="400" w:lineRule="exact"/>
        <w:ind w:firstLine="480" w:firstLineChars="200"/>
        <w:rPr>
          <w:color w:val="auto"/>
          <w:sz w:val="24"/>
          <w:highlight w:val="none"/>
        </w:rPr>
      </w:pPr>
      <w:r>
        <w:rPr>
          <w:rFonts w:hint="eastAsia"/>
          <w:color w:val="auto"/>
          <w:sz w:val="24"/>
          <w:highlight w:val="none"/>
        </w:rPr>
        <w:t>(4)采购项目属于政府采购促进中小企业发展的范围，但是招标文件未依法体现促进中小企业发展相关规定的；</w:t>
      </w:r>
    </w:p>
    <w:p>
      <w:pPr>
        <w:spacing w:line="400" w:lineRule="exact"/>
        <w:ind w:firstLine="480" w:firstLineChars="200"/>
        <w:rPr>
          <w:color w:val="auto"/>
          <w:sz w:val="24"/>
          <w:highlight w:val="none"/>
        </w:rPr>
      </w:pPr>
      <w:r>
        <w:rPr>
          <w:rFonts w:hint="eastAsia"/>
          <w:color w:val="auto"/>
          <w:sz w:val="24"/>
          <w:highlight w:val="none"/>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color w:val="auto"/>
          <w:sz w:val="24"/>
          <w:highlight w:val="none"/>
        </w:rPr>
      </w:pPr>
      <w:r>
        <w:rPr>
          <w:rFonts w:hint="eastAsia"/>
          <w:color w:val="auto"/>
          <w:sz w:val="24"/>
          <w:highlight w:val="none"/>
        </w:rPr>
        <w:t>(6)招标文件将投标人的资格条件列为评分因素的；</w:t>
      </w:r>
    </w:p>
    <w:p>
      <w:pPr>
        <w:spacing w:line="400" w:lineRule="exact"/>
        <w:ind w:firstLine="480" w:firstLineChars="200"/>
        <w:rPr>
          <w:color w:val="auto"/>
          <w:sz w:val="24"/>
          <w:highlight w:val="none"/>
        </w:rPr>
      </w:pPr>
      <w:r>
        <w:rPr>
          <w:rFonts w:hint="eastAsia"/>
          <w:color w:val="auto"/>
          <w:sz w:val="24"/>
          <w:highlight w:val="none"/>
        </w:rPr>
        <w:t>(7)招标文件有违反国家其他有关强制性规定的情形。</w:t>
      </w:r>
    </w:p>
    <w:p>
      <w:pPr>
        <w:numPr>
          <w:ilvl w:val="0"/>
          <w:numId w:val="18"/>
        </w:numPr>
        <w:tabs>
          <w:tab w:val="left" w:pos="0"/>
        </w:tabs>
        <w:spacing w:line="400" w:lineRule="exact"/>
        <w:ind w:firstLine="480" w:firstLineChars="200"/>
        <w:rPr>
          <w:color w:val="auto"/>
          <w:sz w:val="24"/>
          <w:highlight w:val="none"/>
        </w:rPr>
      </w:pPr>
      <w:r>
        <w:rPr>
          <w:rFonts w:hint="eastAsia"/>
          <w:color w:val="auto"/>
          <w:sz w:val="24"/>
          <w:highlight w:val="none"/>
        </w:rPr>
        <w:t>评标过程中有下列情形之一的，评标委员会成员可以停止评标：</w:t>
      </w:r>
    </w:p>
    <w:p>
      <w:pPr>
        <w:spacing w:line="400" w:lineRule="exact"/>
        <w:ind w:firstLine="480" w:firstLineChars="200"/>
        <w:rPr>
          <w:color w:val="auto"/>
          <w:sz w:val="24"/>
          <w:highlight w:val="none"/>
        </w:rPr>
      </w:pPr>
      <w:r>
        <w:rPr>
          <w:rFonts w:hint="eastAsia"/>
          <w:color w:val="auto"/>
          <w:sz w:val="24"/>
          <w:highlight w:val="none"/>
        </w:rPr>
        <w:t>(1)招标采购单位未提供必要的与采购项目有关的政策制度文件或者采购文件，继续评标将导致违法或者错误评标的；</w:t>
      </w:r>
    </w:p>
    <w:p>
      <w:pPr>
        <w:spacing w:line="400" w:lineRule="exact"/>
        <w:ind w:firstLine="480" w:firstLineChars="200"/>
        <w:rPr>
          <w:color w:val="auto"/>
          <w:sz w:val="24"/>
          <w:highlight w:val="none"/>
        </w:rPr>
      </w:pPr>
      <w:r>
        <w:rPr>
          <w:rFonts w:hint="eastAsia"/>
          <w:color w:val="auto"/>
          <w:sz w:val="24"/>
          <w:highlight w:val="none"/>
        </w:rPr>
        <w:t>(2)有关单位和个人非法干预评标委员会依法独立评标的；</w:t>
      </w:r>
    </w:p>
    <w:p>
      <w:pPr>
        <w:spacing w:line="400" w:lineRule="exact"/>
        <w:ind w:firstLine="480" w:firstLineChars="200"/>
        <w:rPr>
          <w:color w:val="auto"/>
          <w:sz w:val="24"/>
          <w:highlight w:val="none"/>
        </w:rPr>
      </w:pPr>
      <w:r>
        <w:rPr>
          <w:rFonts w:hint="eastAsia"/>
          <w:color w:val="auto"/>
          <w:sz w:val="24"/>
          <w:highlight w:val="none"/>
        </w:rPr>
        <w:t>(3)其他导致评标委员会无法正常履职的情形。</w:t>
      </w:r>
    </w:p>
    <w:p>
      <w:pPr>
        <w:spacing w:line="440" w:lineRule="exact"/>
        <w:ind w:firstLine="480" w:firstLineChars="200"/>
        <w:rPr>
          <w:color w:val="auto"/>
          <w:sz w:val="24"/>
          <w:highlight w:val="none"/>
        </w:rPr>
      </w:pPr>
      <w:r>
        <w:rPr>
          <w:rFonts w:hint="eastAsia"/>
          <w:color w:val="auto"/>
          <w:sz w:val="24"/>
          <w:highlight w:val="none"/>
        </w:rPr>
        <w:t>4、出现本条规定应当停止评标或者可以停止评标情形的，评标委员会成员应当向招标采购单位书面说明情况。除本条规定的情形外，评标委员会成员不得以任何方式和理由停止评标。</w:t>
      </w:r>
    </w:p>
    <w:p>
      <w:pPr>
        <w:spacing w:line="440" w:lineRule="exact"/>
        <w:ind w:firstLine="480" w:firstLineChars="200"/>
        <w:rPr>
          <w:rFonts w:hAnsi="宋体" w:cs="宋体"/>
          <w:b/>
          <w:bCs/>
          <w:color w:val="auto"/>
          <w:sz w:val="24"/>
          <w:highlight w:val="none"/>
        </w:rPr>
      </w:pPr>
      <w:r>
        <w:rPr>
          <w:rFonts w:hint="eastAsia"/>
          <w:color w:val="auto"/>
          <w:sz w:val="24"/>
          <w:highlight w:val="none"/>
        </w:rPr>
        <w:t>（二）</w:t>
      </w:r>
      <w:r>
        <w:rPr>
          <w:rFonts w:hint="eastAsia" w:hAnsi="宋体" w:cs="宋体"/>
          <w:b/>
          <w:bCs/>
          <w:color w:val="auto"/>
          <w:sz w:val="24"/>
          <w:highlight w:val="none"/>
        </w:rPr>
        <w:t>符合性审查</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40" w:lineRule="exact"/>
        <w:ind w:firstLine="480" w:firstLineChars="200"/>
        <w:rPr>
          <w:rFonts w:hint="eastAsia" w:ascii="宋体"/>
          <w:sz w:val="24"/>
        </w:rPr>
      </w:pPr>
      <w:r>
        <w:rPr>
          <w:rFonts w:hint="eastAsia" w:ascii="宋体"/>
          <w:sz w:val="24"/>
          <w:lang w:val="en-US" w:eastAsia="zh-CN"/>
        </w:rPr>
        <w:t>2.</w:t>
      </w:r>
      <w:r>
        <w:rPr>
          <w:rFonts w:hint="eastAsia" w:ascii="宋体"/>
          <w:sz w:val="24"/>
        </w:rPr>
        <w:t>投标文件有其他不影响采购项目实质性要求的情形，本项目不作为实质性要求进行规定，即不作为符合性审查事项，不得作为无效投标处理。</w:t>
      </w:r>
    </w:p>
    <w:p>
      <w:pPr>
        <w:spacing w:line="440" w:lineRule="exact"/>
        <w:ind w:firstLine="480" w:firstLineChars="200"/>
        <w:rPr>
          <w:rFonts w:hint="eastAsia" w:ascii="宋体"/>
          <w:sz w:val="24"/>
          <w:lang w:val="en-US" w:eastAsia="zh-CN"/>
        </w:rPr>
      </w:pPr>
      <w:r>
        <w:rPr>
          <w:rFonts w:hint="eastAsia" w:ascii="宋体"/>
          <w:sz w:val="24"/>
          <w:lang w:val="en-US" w:eastAsia="zh-CN"/>
        </w:rPr>
        <w:t>3.依据招标文件的规定，从投标文件（资格性响应文件除外）的有效性、完整性和对招标文件的响应程度进行审查，以确定是否对招标文件的实质性要求作出响应。符合性审查标准见下表：</w:t>
      </w:r>
    </w:p>
    <w:p>
      <w:pPr>
        <w:rPr>
          <w:rFonts w:hint="eastAsia" w:ascii="宋体"/>
          <w:sz w:val="24"/>
          <w:lang w:val="en-US" w:eastAsia="zh-CN"/>
        </w:rPr>
      </w:pPr>
      <w:r>
        <w:rPr>
          <w:rFonts w:hint="eastAsia" w:ascii="宋体"/>
          <w:sz w:val="24"/>
          <w:lang w:val="en-US" w:eastAsia="zh-CN"/>
        </w:rPr>
        <w:br w:type="page"/>
      </w:r>
    </w:p>
    <w:p>
      <w:pPr>
        <w:pStyle w:val="2"/>
        <w:rPr>
          <w:rFonts w:hint="eastAsia"/>
          <w:lang w:val="en-US" w:eastAsia="zh-CN"/>
        </w:rPr>
      </w:pP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0"/>
            <w:vAlign w:val="center"/>
          </w:tcPr>
          <w:p>
            <w:pPr>
              <w:widowControl/>
              <w:jc w:val="center"/>
              <w:rPr>
                <w:b/>
                <w:bCs/>
                <w:kern w:val="0"/>
                <w:sz w:val="21"/>
                <w:szCs w:val="21"/>
              </w:rPr>
            </w:pPr>
            <w:r>
              <w:rPr>
                <w:rFonts w:hint="eastAsia" w:hAnsi="宋体"/>
                <w:b/>
                <w:bCs/>
                <w:kern w:val="0"/>
                <w:sz w:val="21"/>
                <w:szCs w:val="21"/>
              </w:rPr>
              <w:t>序号</w:t>
            </w:r>
          </w:p>
        </w:tc>
        <w:tc>
          <w:tcPr>
            <w:tcW w:w="2268" w:type="dxa"/>
            <w:noWrap w:val="0"/>
            <w:vAlign w:val="center"/>
          </w:tcPr>
          <w:p>
            <w:pPr>
              <w:jc w:val="center"/>
              <w:rPr>
                <w:b/>
                <w:bCs/>
                <w:kern w:val="0"/>
                <w:sz w:val="21"/>
                <w:szCs w:val="21"/>
              </w:rPr>
            </w:pPr>
            <w:r>
              <w:rPr>
                <w:rFonts w:hint="eastAsia" w:hAnsi="宋体"/>
                <w:b/>
                <w:bCs/>
                <w:kern w:val="0"/>
                <w:sz w:val="21"/>
                <w:szCs w:val="21"/>
              </w:rPr>
              <w:t>符合性审查项</w:t>
            </w:r>
          </w:p>
        </w:tc>
        <w:tc>
          <w:tcPr>
            <w:tcW w:w="5812" w:type="dxa"/>
            <w:noWrap w:val="0"/>
            <w:vAlign w:val="center"/>
          </w:tcPr>
          <w:p>
            <w:pPr>
              <w:widowControl/>
              <w:jc w:val="center"/>
              <w:rPr>
                <w:b/>
                <w:bCs/>
                <w:kern w:val="0"/>
                <w:sz w:val="21"/>
                <w:szCs w:val="21"/>
              </w:rPr>
            </w:pPr>
            <w:r>
              <w:rPr>
                <w:rFonts w:hint="eastAsia" w:hAnsi="宋体"/>
                <w:b/>
                <w:bCs/>
                <w:kern w:val="0"/>
                <w:sz w:val="21"/>
                <w:szCs w:val="21"/>
              </w:rPr>
              <w:t>通过条件</w:t>
            </w:r>
          </w:p>
        </w:tc>
        <w:tc>
          <w:tcPr>
            <w:tcW w:w="851" w:type="dxa"/>
            <w:noWrap w:val="0"/>
            <w:vAlign w:val="center"/>
          </w:tcPr>
          <w:p>
            <w:pPr>
              <w:widowControl/>
              <w:jc w:val="center"/>
              <w:rPr>
                <w:b/>
                <w:bCs/>
                <w:kern w:val="0"/>
                <w:sz w:val="21"/>
                <w:szCs w:val="21"/>
              </w:rPr>
            </w:pPr>
            <w:r>
              <w:rPr>
                <w:rFonts w:hint="eastAsia" w:hAnsi="宋体"/>
                <w:b/>
                <w:bCs/>
                <w:kern w:val="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bCs/>
                <w:kern w:val="0"/>
                <w:sz w:val="21"/>
                <w:szCs w:val="21"/>
              </w:rPr>
            </w:pPr>
            <w:r>
              <w:rPr>
                <w:rFonts w:hint="eastAsia"/>
                <w:bCs/>
                <w:kern w:val="0"/>
                <w:sz w:val="21"/>
                <w:szCs w:val="21"/>
              </w:rPr>
              <w:t>1</w:t>
            </w:r>
          </w:p>
        </w:tc>
        <w:tc>
          <w:tcPr>
            <w:tcW w:w="2268" w:type="dxa"/>
            <w:noWrap w:val="0"/>
            <w:vAlign w:val="center"/>
          </w:tcPr>
          <w:p>
            <w:pPr>
              <w:spacing w:line="360" w:lineRule="auto"/>
              <w:rPr>
                <w:rFonts w:hAnsi="宋体"/>
                <w:sz w:val="21"/>
                <w:szCs w:val="21"/>
              </w:rPr>
            </w:pPr>
            <w:r>
              <w:rPr>
                <w:rFonts w:hint="eastAsia" w:hAnsi="宋体"/>
                <w:sz w:val="21"/>
                <w:szCs w:val="21"/>
              </w:rPr>
              <w:t>采购预算、最高限价</w:t>
            </w:r>
          </w:p>
        </w:tc>
        <w:tc>
          <w:tcPr>
            <w:tcW w:w="5812" w:type="dxa"/>
            <w:noWrap w:val="0"/>
            <w:vAlign w:val="center"/>
          </w:tcPr>
          <w:p>
            <w:pPr>
              <w:spacing w:line="360" w:lineRule="auto"/>
              <w:rPr>
                <w:rFonts w:hAnsi="宋体"/>
                <w:sz w:val="21"/>
                <w:szCs w:val="21"/>
              </w:rPr>
            </w:pPr>
            <w:r>
              <w:rPr>
                <w:rFonts w:hint="eastAsia" w:hAnsi="宋体"/>
                <w:sz w:val="21"/>
                <w:szCs w:val="21"/>
              </w:rPr>
              <w:t>投标人投标文件中的报价均未超过采购预算和最高限价要求</w:t>
            </w:r>
          </w:p>
        </w:tc>
        <w:tc>
          <w:tcPr>
            <w:tcW w:w="851" w:type="dxa"/>
            <w:noWrap w:val="0"/>
            <w:vAlign w:val="center"/>
          </w:tcPr>
          <w:p>
            <w:pPr>
              <w:widowControl/>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bCs/>
                <w:kern w:val="0"/>
                <w:sz w:val="21"/>
                <w:szCs w:val="21"/>
              </w:rPr>
            </w:pPr>
            <w:r>
              <w:rPr>
                <w:rFonts w:hint="eastAsia"/>
                <w:bCs/>
                <w:kern w:val="0"/>
                <w:sz w:val="21"/>
                <w:szCs w:val="21"/>
              </w:rPr>
              <w:t>2</w:t>
            </w:r>
          </w:p>
        </w:tc>
        <w:tc>
          <w:tcPr>
            <w:tcW w:w="2268" w:type="dxa"/>
            <w:noWrap w:val="0"/>
            <w:vAlign w:val="center"/>
          </w:tcPr>
          <w:p>
            <w:pPr>
              <w:spacing w:line="360" w:lineRule="auto"/>
              <w:rPr>
                <w:rFonts w:hAnsi="宋体"/>
                <w:sz w:val="21"/>
                <w:szCs w:val="21"/>
              </w:rPr>
            </w:pPr>
            <w:r>
              <w:rPr>
                <w:rFonts w:hint="eastAsia" w:hAnsi="宋体"/>
                <w:sz w:val="21"/>
                <w:szCs w:val="21"/>
              </w:rPr>
              <w:t>投标文件的语言、计量单位、报价货币、投标有效期</w:t>
            </w:r>
          </w:p>
        </w:tc>
        <w:tc>
          <w:tcPr>
            <w:tcW w:w="5812" w:type="dxa"/>
            <w:noWrap w:val="0"/>
            <w:vAlign w:val="center"/>
          </w:tcPr>
          <w:p>
            <w:pPr>
              <w:spacing w:line="360" w:lineRule="auto"/>
              <w:ind w:left="33"/>
              <w:rPr>
                <w:rFonts w:hAnsi="宋体"/>
                <w:sz w:val="21"/>
                <w:szCs w:val="21"/>
              </w:rPr>
            </w:pPr>
            <w:r>
              <w:rPr>
                <w:rFonts w:hint="eastAsia" w:hAnsi="宋体"/>
                <w:sz w:val="21"/>
                <w:szCs w:val="21"/>
              </w:rPr>
              <w:t>计量单位、语言、报价货币、投标有效期均符合招标文件的要求。</w:t>
            </w:r>
          </w:p>
        </w:tc>
        <w:tc>
          <w:tcPr>
            <w:tcW w:w="851" w:type="dxa"/>
            <w:noWrap w:val="0"/>
            <w:vAlign w:val="center"/>
          </w:tcPr>
          <w:p>
            <w:pPr>
              <w:widowControl/>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eastAsia="宋体"/>
                <w:bCs/>
                <w:kern w:val="0"/>
                <w:sz w:val="21"/>
                <w:szCs w:val="21"/>
                <w:lang w:eastAsia="zh-CN"/>
              </w:rPr>
            </w:pPr>
            <w:r>
              <w:rPr>
                <w:rFonts w:hint="eastAsia"/>
                <w:bCs/>
                <w:kern w:val="0"/>
                <w:sz w:val="21"/>
                <w:szCs w:val="21"/>
                <w:lang w:val="en-US" w:eastAsia="zh-CN"/>
              </w:rPr>
              <w:t>3</w:t>
            </w:r>
          </w:p>
        </w:tc>
        <w:tc>
          <w:tcPr>
            <w:tcW w:w="2268" w:type="dxa"/>
            <w:noWrap w:val="0"/>
            <w:vAlign w:val="center"/>
          </w:tcPr>
          <w:p>
            <w:pPr>
              <w:spacing w:line="360" w:lineRule="auto"/>
              <w:rPr>
                <w:rFonts w:hAnsi="宋体"/>
                <w:sz w:val="21"/>
                <w:szCs w:val="21"/>
              </w:rPr>
            </w:pPr>
            <w:r>
              <w:rPr>
                <w:rFonts w:hint="eastAsia" w:hAnsi="宋体"/>
                <w:sz w:val="21"/>
                <w:szCs w:val="21"/>
              </w:rPr>
              <w:t>投标文件报价</w:t>
            </w:r>
          </w:p>
        </w:tc>
        <w:tc>
          <w:tcPr>
            <w:tcW w:w="5812" w:type="dxa"/>
            <w:noWrap w:val="0"/>
            <w:vAlign w:val="center"/>
          </w:tcPr>
          <w:p>
            <w:pPr>
              <w:widowControl/>
              <w:spacing w:line="360" w:lineRule="auto"/>
              <w:rPr>
                <w:rFonts w:hint="eastAsia"/>
                <w:sz w:val="21"/>
                <w:szCs w:val="21"/>
              </w:rPr>
            </w:pPr>
            <w:r>
              <w:rPr>
                <w:rFonts w:hint="eastAsia"/>
                <w:sz w:val="21"/>
                <w:szCs w:val="21"/>
              </w:rPr>
              <w:t>（</w:t>
            </w:r>
            <w:r>
              <w:rPr>
                <w:sz w:val="21"/>
                <w:szCs w:val="21"/>
              </w:rPr>
              <w:t>1</w:t>
            </w:r>
            <w:r>
              <w:rPr>
                <w:rFonts w:hint="eastAsia"/>
                <w:sz w:val="21"/>
                <w:szCs w:val="21"/>
              </w:rPr>
              <w:t>）报价唯一（说明：报价出现下列情况的，按以下原则处理，并以修正后的价格作为投标人的投标报价：①投标文件中的大写金额和小写金额不一致的，以大写金额为准，但大写金额出现文字错误，导致金额无法判断的除外；单价金额小数点或者百分比有明显错位的，以总价为准，并修改单价；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w:t>
            </w:r>
          </w:p>
          <w:p>
            <w:pPr>
              <w:widowControl/>
              <w:spacing w:line="360" w:lineRule="auto"/>
              <w:rPr>
                <w:rFonts w:hint="eastAsia"/>
                <w:sz w:val="21"/>
                <w:szCs w:val="21"/>
              </w:rPr>
            </w:pPr>
            <w:r>
              <w:rPr>
                <w:rFonts w:hint="eastAsia"/>
                <w:sz w:val="21"/>
                <w:szCs w:val="21"/>
              </w:rPr>
              <w:t>（2）投标人的报价是投标人响应招标项目要求的全部工作内容的价格体现，包括投标人完成本项目所需的一切费用；</w:t>
            </w:r>
          </w:p>
          <w:p>
            <w:pPr>
              <w:widowControl/>
              <w:spacing w:line="360" w:lineRule="auto"/>
              <w:rPr>
                <w:rFonts w:hint="eastAsia"/>
                <w:sz w:val="21"/>
                <w:szCs w:val="21"/>
              </w:rPr>
            </w:pPr>
            <w:r>
              <w:rPr>
                <w:rFonts w:hint="eastAsia"/>
                <w:sz w:val="21"/>
                <w:szCs w:val="21"/>
              </w:rPr>
              <w:t>（3）供应商的投标文件、响应文件涉嫌无偿或明显低于成本价报价的（明显低于成本的参考标准建议为：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 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widowControl/>
              <w:spacing w:line="360" w:lineRule="auto"/>
              <w:rPr>
                <w:sz w:val="21"/>
                <w:szCs w:val="21"/>
              </w:rPr>
            </w:pPr>
            <w:r>
              <w:rPr>
                <w:rFonts w:hint="eastAsia"/>
                <w:sz w:val="21"/>
                <w:szCs w:val="21"/>
              </w:rPr>
              <w:t>注：因本项目为不见面开标，涉及提供相关书面说明的，以政府采购云平台的实际操作为准。如因断电、断网、系统故障或其他不可抗力等因素，导致系统无法使用的，由投标人按评标委员会的要求进行澄清或者说明。</w:t>
            </w:r>
          </w:p>
        </w:tc>
        <w:tc>
          <w:tcPr>
            <w:tcW w:w="851" w:type="dxa"/>
            <w:noWrap w:val="0"/>
            <w:vAlign w:val="center"/>
          </w:tcPr>
          <w:p>
            <w:pPr>
              <w:widowControl/>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noWrap w:val="0"/>
            <w:vAlign w:val="center"/>
          </w:tcPr>
          <w:p>
            <w:pPr>
              <w:jc w:val="center"/>
              <w:rPr>
                <w:rFonts w:hint="eastAsia" w:eastAsia="宋体"/>
                <w:bCs/>
                <w:kern w:val="0"/>
                <w:sz w:val="21"/>
                <w:szCs w:val="21"/>
                <w:lang w:eastAsia="zh-CN"/>
              </w:rPr>
            </w:pPr>
            <w:r>
              <w:rPr>
                <w:rFonts w:hint="eastAsia"/>
                <w:bCs/>
                <w:kern w:val="0"/>
                <w:sz w:val="21"/>
                <w:szCs w:val="21"/>
                <w:lang w:val="en-US" w:eastAsia="zh-CN"/>
              </w:rPr>
              <w:t>4</w:t>
            </w:r>
          </w:p>
        </w:tc>
        <w:tc>
          <w:tcPr>
            <w:tcW w:w="2268" w:type="dxa"/>
            <w:noWrap w:val="0"/>
            <w:vAlign w:val="center"/>
          </w:tcPr>
          <w:p>
            <w:pPr>
              <w:spacing w:line="360" w:lineRule="auto"/>
              <w:rPr>
                <w:rFonts w:hint="eastAsia" w:hAnsi="宋体"/>
                <w:sz w:val="21"/>
                <w:szCs w:val="21"/>
              </w:rPr>
            </w:pPr>
            <w:r>
              <w:rPr>
                <w:rFonts w:hint="eastAsia" w:hAnsi="宋体"/>
                <w:sz w:val="21"/>
                <w:szCs w:val="21"/>
              </w:rPr>
              <w:t>投标文件的制作、签章、加密</w:t>
            </w:r>
          </w:p>
        </w:tc>
        <w:tc>
          <w:tcPr>
            <w:tcW w:w="5812" w:type="dxa"/>
            <w:noWrap w:val="0"/>
            <w:vAlign w:val="center"/>
          </w:tcPr>
          <w:p>
            <w:pPr>
              <w:spacing w:line="360" w:lineRule="auto"/>
              <w:rPr>
                <w:rFonts w:hint="eastAsia" w:hAnsi="宋体" w:eastAsia="宋体"/>
                <w:sz w:val="21"/>
                <w:szCs w:val="21"/>
                <w:lang w:eastAsia="zh-CN"/>
              </w:rPr>
            </w:pPr>
            <w:r>
              <w:rPr>
                <w:rFonts w:hint="eastAsia" w:hAnsi="宋体"/>
                <w:sz w:val="21"/>
                <w:szCs w:val="21"/>
              </w:rPr>
              <w:t>投标文件按照招标文件的要求制作、签章、加密（招标文件第二章第1</w:t>
            </w:r>
            <w:r>
              <w:rPr>
                <w:rFonts w:hint="eastAsia" w:hAnsi="宋体"/>
                <w:sz w:val="21"/>
                <w:szCs w:val="21"/>
                <w:lang w:val="en-US" w:eastAsia="zh-CN"/>
              </w:rPr>
              <w:t>8</w:t>
            </w:r>
            <w:r>
              <w:rPr>
                <w:rFonts w:hint="eastAsia" w:hAnsi="宋体"/>
                <w:sz w:val="21"/>
                <w:szCs w:val="21"/>
              </w:rPr>
              <w:t>条的要求）</w:t>
            </w:r>
          </w:p>
        </w:tc>
        <w:tc>
          <w:tcPr>
            <w:tcW w:w="851" w:type="dxa"/>
            <w:noWrap w:val="0"/>
            <w:vAlign w:val="center"/>
          </w:tcPr>
          <w:p>
            <w:pPr>
              <w:widowControl/>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noWrap w:val="0"/>
            <w:vAlign w:val="center"/>
          </w:tcPr>
          <w:p>
            <w:pPr>
              <w:jc w:val="center"/>
              <w:rPr>
                <w:rFonts w:hint="eastAsia" w:eastAsia="宋体"/>
                <w:bCs/>
                <w:kern w:val="0"/>
                <w:sz w:val="21"/>
                <w:szCs w:val="21"/>
                <w:lang w:eastAsia="zh-CN"/>
              </w:rPr>
            </w:pPr>
            <w:r>
              <w:rPr>
                <w:rFonts w:hint="eastAsia"/>
                <w:bCs/>
                <w:kern w:val="0"/>
                <w:sz w:val="21"/>
                <w:szCs w:val="21"/>
                <w:lang w:val="en-US" w:eastAsia="zh-CN"/>
              </w:rPr>
              <w:t>5</w:t>
            </w:r>
          </w:p>
        </w:tc>
        <w:tc>
          <w:tcPr>
            <w:tcW w:w="2268" w:type="dxa"/>
            <w:noWrap w:val="0"/>
            <w:vAlign w:val="center"/>
          </w:tcPr>
          <w:p>
            <w:pPr>
              <w:spacing w:line="360" w:lineRule="auto"/>
              <w:jc w:val="both"/>
              <w:rPr>
                <w:rFonts w:hAnsi="宋体"/>
                <w:sz w:val="21"/>
                <w:szCs w:val="21"/>
              </w:rPr>
            </w:pPr>
            <w:r>
              <w:rPr>
                <w:rFonts w:hint="eastAsia" w:hAnsi="宋体"/>
                <w:sz w:val="21"/>
                <w:szCs w:val="21"/>
                <w:lang w:val="en-US" w:eastAsia="zh-CN"/>
              </w:rPr>
              <w:t>实质性要求</w:t>
            </w:r>
          </w:p>
        </w:tc>
        <w:tc>
          <w:tcPr>
            <w:tcW w:w="5812" w:type="dxa"/>
            <w:noWrap w:val="0"/>
            <w:vAlign w:val="center"/>
          </w:tcPr>
          <w:p>
            <w:pPr>
              <w:spacing w:line="360" w:lineRule="auto"/>
              <w:rPr>
                <w:rFonts w:hAnsi="宋体"/>
                <w:sz w:val="21"/>
                <w:szCs w:val="21"/>
              </w:rPr>
            </w:pPr>
            <w:r>
              <w:rPr>
                <w:rFonts w:hint="eastAsia" w:hAnsi="宋体"/>
                <w:sz w:val="21"/>
                <w:szCs w:val="21"/>
              </w:rPr>
              <w:t>投标文件均实质性响应招标文件中</w:t>
            </w:r>
            <w:r>
              <w:rPr>
                <w:rFonts w:hint="eastAsia" w:hAnsi="宋体"/>
                <w:sz w:val="21"/>
                <w:szCs w:val="21"/>
                <w:lang w:eastAsia="zh-CN"/>
              </w:rPr>
              <w:t>标注“</w:t>
            </w:r>
            <w:r>
              <w:rPr>
                <w:rFonts w:hint="eastAsia" w:hAnsi="宋体"/>
                <w:sz w:val="21"/>
                <w:szCs w:val="21"/>
                <w:lang w:val="en-US" w:eastAsia="zh-CN"/>
              </w:rPr>
              <w:t>实质性要求”的内容</w:t>
            </w:r>
            <w:r>
              <w:rPr>
                <w:rFonts w:hint="eastAsia" w:hAnsi="宋体"/>
                <w:sz w:val="21"/>
                <w:szCs w:val="21"/>
              </w:rPr>
              <w:t>。</w:t>
            </w:r>
          </w:p>
        </w:tc>
        <w:tc>
          <w:tcPr>
            <w:tcW w:w="851" w:type="dxa"/>
            <w:noWrap w:val="0"/>
            <w:vAlign w:val="center"/>
          </w:tcPr>
          <w:p>
            <w:pPr>
              <w:widowControl/>
              <w:jc w:val="center"/>
              <w:rPr>
                <w:b/>
                <w:bCs/>
                <w:kern w:val="0"/>
                <w:sz w:val="21"/>
                <w:szCs w:val="21"/>
              </w:rPr>
            </w:pPr>
          </w:p>
        </w:tc>
      </w:tr>
    </w:tbl>
    <w:p>
      <w:pPr>
        <w:pStyle w:val="2"/>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注：1.评标委员会对投标文件（资格性响应文件除外）的符合性审查事项仅限于招标文件的明确规定同时在上表中列明的事项。招标文件没有明确规定为实质性内容的不得作为符合性审查评审事项；招标文件明确规定了为实质性内容，但在上表中未列明的事项也不得作为符合性审查评审事项（此类实质性要求为招标文件告知投标人的内容，无法以投标文件响应的形式体现）。</w:t>
      </w:r>
    </w:p>
    <w:p>
      <w:pPr>
        <w:pStyle w:val="2"/>
        <w:ind w:firstLine="480" w:firstLineChars="20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2.以上每一项结论均为“通过”的，则投标人的投标文件通过符合性审查；如有任意一项结论为“不通过”的，则投标人的投标文件按无效投标文件处理。如果评标委员会认为供应商有任意一项不通过的，应在评审报告中载明不通过的具体原因。</w:t>
      </w:r>
    </w:p>
    <w:p>
      <w:pPr>
        <w:numPr>
          <w:ilvl w:val="0"/>
          <w:numId w:val="0"/>
        </w:numPr>
        <w:spacing w:line="440" w:lineRule="exact"/>
        <w:ind w:leftChars="200"/>
        <w:rPr>
          <w:rFonts w:hAnsi="宋体" w:cs="宋体"/>
          <w:b/>
          <w:bCs/>
          <w:color w:val="auto"/>
          <w:sz w:val="24"/>
          <w:highlight w:val="none"/>
        </w:rPr>
      </w:pPr>
      <w:r>
        <w:rPr>
          <w:rFonts w:hint="eastAsia" w:hAnsi="宋体" w:cs="宋体"/>
          <w:b/>
          <w:bCs/>
          <w:color w:val="auto"/>
          <w:sz w:val="24"/>
          <w:highlight w:val="none"/>
          <w:lang w:eastAsia="zh-CN"/>
        </w:rPr>
        <w:t>（三）</w:t>
      </w:r>
      <w:r>
        <w:rPr>
          <w:rFonts w:hint="eastAsia" w:hAnsi="宋体" w:cs="宋体"/>
          <w:b/>
          <w:bCs/>
          <w:color w:val="auto"/>
          <w:sz w:val="24"/>
          <w:highlight w:val="none"/>
        </w:rPr>
        <w:t>评标争议处理规则</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lang w:eastAsia="zh-CN"/>
        </w:rPr>
        <w:t>（四）供应商应当书面澄清、说明或者更正</w:t>
      </w:r>
      <w:r>
        <w:rPr>
          <w:rFonts w:hint="eastAsia" w:ascii="宋体"/>
          <w:sz w:val="24"/>
        </w:rPr>
        <w:t>（注：因本项目为不见面开标，以下涉及提供相关书面说明的，以政府采购云平台的实际操作为准。如因断电、断网、系统故障或其他不可抗力等因素，导致系统无法使用的，由投标人按评标委员会的要求进行澄清或者说明）</w:t>
      </w:r>
      <w:r>
        <w:rPr>
          <w:rFonts w:hint="eastAsia" w:ascii="宋体" w:hAnsi="宋体" w:cs="宋体"/>
          <w:sz w:val="24"/>
        </w:rPr>
        <w:t>。</w:t>
      </w:r>
    </w:p>
    <w:p>
      <w:pPr>
        <w:numPr>
          <w:ilvl w:val="0"/>
          <w:numId w:val="19"/>
        </w:numPr>
        <w:spacing w:line="440" w:lineRule="exact"/>
        <w:ind w:firstLine="480" w:firstLineChars="200"/>
        <w:rPr>
          <w:rFonts w:hAnsi="宋体" w:cs="宋体"/>
          <w:color w:val="auto"/>
          <w:sz w:val="24"/>
          <w:highlight w:val="none"/>
        </w:rPr>
      </w:pPr>
      <w:r>
        <w:rPr>
          <w:rFonts w:hint="eastAsia" w:ascii="宋体" w:hAnsi="宋体" w:cs="宋体"/>
          <w:sz w:val="24"/>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numPr>
          <w:ilvl w:val="0"/>
          <w:numId w:val="19"/>
        </w:numPr>
        <w:spacing w:line="440" w:lineRule="exact"/>
        <w:ind w:firstLine="480" w:firstLineChars="200"/>
        <w:rPr>
          <w:rFonts w:hAnsi="宋体" w:cs="宋体"/>
          <w:color w:val="auto"/>
          <w:sz w:val="24"/>
          <w:highlight w:val="none"/>
        </w:rPr>
      </w:pPr>
      <w:r>
        <w:rPr>
          <w:rFonts w:hint="eastAsia" w:ascii="宋体" w:hAnsi="宋体" w:cs="宋体"/>
          <w:sz w:val="24"/>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r>
        <w:rPr>
          <w:rFonts w:hint="eastAsia" w:hAnsi="宋体" w:cs="宋体"/>
          <w:color w:val="auto"/>
          <w:sz w:val="24"/>
          <w:highlight w:val="none"/>
        </w:rPr>
        <w:t>。</w:t>
      </w:r>
    </w:p>
    <w:p>
      <w:pPr>
        <w:numPr>
          <w:ilvl w:val="0"/>
          <w:numId w:val="19"/>
        </w:numPr>
        <w:spacing w:line="440" w:lineRule="exact"/>
        <w:ind w:firstLine="480" w:firstLineChars="200"/>
        <w:rPr>
          <w:rFonts w:hAnsi="宋体" w:cs="宋体"/>
          <w:color w:val="auto"/>
          <w:sz w:val="24"/>
          <w:highlight w:val="none"/>
        </w:rPr>
      </w:pPr>
      <w:r>
        <w:rPr>
          <w:rFonts w:hint="eastAsia" w:ascii="宋体" w:hAnsi="宋体" w:cs="宋体"/>
          <w:sz w:val="24"/>
        </w:rPr>
        <w:t>评标委员会要求供应商澄清、说明或者更正，不得超出招标文件的范围，不得以此让供应商实质改变投标文件的内容，不得影响供应商公平竞争。本项目下列内容不得澄清</w:t>
      </w:r>
      <w:r>
        <w:rPr>
          <w:rFonts w:hint="eastAsia" w:hAnsi="宋体" w:cs="宋体"/>
          <w:color w:val="auto"/>
          <w:sz w:val="24"/>
          <w:highlight w:val="none"/>
        </w:rPr>
        <w:t>：</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3.1按财政部规定应当在评标时不予承认的投标文件内容事项；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3.2投标文件中已经明确的内容事项；</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3.3投标文件未提供的材料。</w:t>
      </w:r>
    </w:p>
    <w:p>
      <w:pPr>
        <w:numPr>
          <w:ilvl w:val="0"/>
          <w:numId w:val="19"/>
        </w:numPr>
        <w:spacing w:line="440" w:lineRule="exact"/>
        <w:ind w:firstLine="480" w:firstLineChars="200"/>
        <w:rPr>
          <w:rFonts w:hAnsi="宋体" w:cs="宋体"/>
          <w:color w:val="auto"/>
          <w:sz w:val="24"/>
          <w:highlight w:val="none"/>
        </w:rPr>
      </w:pPr>
      <w:r>
        <w:rPr>
          <w:rFonts w:hint="eastAsia" w:ascii="宋体" w:hAnsi="宋体" w:cs="宋体"/>
          <w:sz w:val="24"/>
        </w:rPr>
        <w:t>本项目采购过程中，投标文件出现下列情况的，不需要供应商澄清、说明或者更正，按照以下原则处理</w:t>
      </w:r>
      <w:r>
        <w:rPr>
          <w:rFonts w:hint="eastAsia" w:hAnsi="宋体" w:cs="宋体"/>
          <w:color w:val="auto"/>
          <w:sz w:val="24"/>
          <w:highlight w:val="none"/>
        </w:rPr>
        <w:t>：</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4.1投标文件的大写金额和小写金额不一致的，以大写金额为准，但大写金额出现文字错误，导致金额无法判断的除外；</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4.2总价金额与按单价汇总金额不一致的，以单价汇总金额计算结果为准，但是单价金额出现计算错误、明显人为工作失误的除外；</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4.3单价金额小数点有明显错位的，应以总价为准，并修改单价；</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4.4对不同语言文本投标文件的解释发生异议的，以中文文本为准。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40" w:lineRule="exact"/>
        <w:ind w:firstLine="482" w:firstLineChars="200"/>
        <w:rPr>
          <w:rFonts w:hAnsi="宋体" w:cs="宋体"/>
          <w:b/>
          <w:color w:val="auto"/>
          <w:sz w:val="24"/>
          <w:highlight w:val="none"/>
        </w:rPr>
      </w:pPr>
      <w:r>
        <w:rPr>
          <w:rFonts w:hint="eastAsia" w:hAnsi="宋体" w:cs="宋体"/>
          <w:b/>
          <w:color w:val="auto"/>
          <w:sz w:val="24"/>
          <w:highlight w:val="none"/>
        </w:rPr>
        <w:t>注：评标委员会成员应当积极履行澄清、说明或者纠正的职责，不得将应当澄清、说明或者纠正的投标文件作无效投标处理。</w:t>
      </w:r>
    </w:p>
    <w:p>
      <w:pPr>
        <w:numPr>
          <w:ilvl w:val="0"/>
          <w:numId w:val="0"/>
        </w:numPr>
        <w:spacing w:line="440" w:lineRule="exact"/>
        <w:ind w:left="0" w:leftChars="0" w:firstLine="682" w:firstLineChars="283"/>
        <w:rPr>
          <w:rFonts w:hint="eastAsia" w:hAnsi="宋体" w:cs="宋体"/>
          <w:b w:val="0"/>
          <w:bCs w:val="0"/>
          <w:color w:val="auto"/>
          <w:sz w:val="24"/>
          <w:highlight w:val="none"/>
        </w:rPr>
      </w:pPr>
      <w:r>
        <w:rPr>
          <w:rFonts w:hint="eastAsia" w:hAnsi="宋体" w:cs="宋体"/>
          <w:b/>
          <w:bCs/>
          <w:color w:val="auto"/>
          <w:sz w:val="24"/>
          <w:highlight w:val="none"/>
          <w:lang w:eastAsia="zh-CN"/>
        </w:rPr>
        <w:t>（五）</w:t>
      </w:r>
      <w:r>
        <w:rPr>
          <w:rFonts w:hint="eastAsia" w:hAnsi="宋体" w:cs="宋体"/>
          <w:b/>
          <w:bCs/>
          <w:color w:val="auto"/>
          <w:sz w:val="24"/>
          <w:highlight w:val="none"/>
        </w:rPr>
        <w:t>低于成本价投标处理。</w:t>
      </w:r>
      <w:r>
        <w:rPr>
          <w:rFonts w:hint="eastAsia" w:hAnsi="宋体" w:cs="宋体"/>
          <w:b w:val="0"/>
          <w:bCs w:val="0"/>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在评标过程中，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0"/>
        </w:numPr>
        <w:spacing w:line="440" w:lineRule="exact"/>
        <w:ind w:left="0" w:leftChars="0" w:firstLine="679" w:firstLineChars="283"/>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440" w:lineRule="exact"/>
        <w:ind w:left="0" w:leftChars="0" w:firstLine="679" w:firstLineChars="283"/>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4"/>
        <w:numPr>
          <w:ilvl w:val="0"/>
          <w:numId w:val="14"/>
        </w:numPr>
        <w:spacing w:before="0" w:after="0" w:line="440" w:lineRule="exact"/>
        <w:ind w:firstLine="482" w:firstLineChars="200"/>
        <w:rPr>
          <w:rFonts w:ascii="宋体" w:hAnsi="宋体" w:eastAsia="宋体" w:cs="宋体"/>
          <w:bCs w:val="0"/>
          <w:color w:val="auto"/>
          <w:sz w:val="24"/>
          <w:szCs w:val="24"/>
          <w:highlight w:val="none"/>
        </w:rPr>
      </w:pPr>
      <w:bookmarkStart w:id="997" w:name="_Toc308084646"/>
      <w:bookmarkStart w:id="998" w:name="_Toc31050"/>
      <w:bookmarkStart w:id="999" w:name="_Toc27402"/>
      <w:bookmarkStart w:id="1000" w:name="_Toc24902"/>
      <w:bookmarkStart w:id="1001" w:name="_Toc25587"/>
      <w:bookmarkStart w:id="1002" w:name="_Toc327196342"/>
      <w:bookmarkStart w:id="1003" w:name="_Toc319439947"/>
      <w:bookmarkStart w:id="1004" w:name="_Toc22389"/>
      <w:bookmarkStart w:id="1005" w:name="_Toc23187"/>
      <w:bookmarkStart w:id="1006" w:name="_Toc319440191"/>
      <w:bookmarkStart w:id="1007" w:name="_Toc309897564"/>
      <w:bookmarkStart w:id="1008" w:name="_Toc217446103"/>
      <w:bookmarkStart w:id="1009" w:name="_Toc21397"/>
      <w:bookmarkStart w:id="1010" w:name="_Toc2106"/>
      <w:bookmarkStart w:id="1011" w:name="_Toc307501155"/>
      <w:bookmarkStart w:id="1012" w:name="_Toc1756"/>
      <w:bookmarkStart w:id="1013" w:name="_Toc26213"/>
      <w:bookmarkStart w:id="1014" w:name="_Toc307564897"/>
      <w:bookmarkStart w:id="1015" w:name="_Toc308188199"/>
      <w:bookmarkStart w:id="1016" w:name="_Toc30417"/>
      <w:r>
        <w:rPr>
          <w:rFonts w:hint="eastAsia" w:ascii="宋体" w:hAnsi="宋体" w:eastAsia="宋体" w:cs="宋体"/>
          <w:bCs w:val="0"/>
          <w:color w:val="auto"/>
          <w:sz w:val="24"/>
          <w:szCs w:val="24"/>
          <w:highlight w:val="none"/>
        </w:rPr>
        <w:t>评标细则及标准</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pPr>
        <w:numPr>
          <w:ilvl w:val="0"/>
          <w:numId w:val="20"/>
        </w:numPr>
        <w:spacing w:line="440" w:lineRule="exact"/>
        <w:ind w:firstLine="480" w:firstLineChars="200"/>
        <w:rPr>
          <w:rFonts w:hAnsi="宋体" w:cs="宋体"/>
          <w:color w:val="auto"/>
          <w:sz w:val="24"/>
          <w:highlight w:val="none"/>
        </w:rPr>
      </w:pPr>
      <w:r>
        <w:rPr>
          <w:rFonts w:hint="eastAsia" w:hAnsi="宋体" w:cs="宋体"/>
          <w:color w:val="auto"/>
          <w:sz w:val="24"/>
          <w:highlight w:val="none"/>
        </w:rPr>
        <w:t>评委会只对通过符合性检查的投标文件，根据招标文件的要求采用相同的评标程序、评分办法及标准进行评价和比较。</w:t>
      </w:r>
    </w:p>
    <w:p>
      <w:pPr>
        <w:numPr>
          <w:ilvl w:val="0"/>
          <w:numId w:val="20"/>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本次综合评分的因素是：详见“综合评分明细表中的评分因素及权重”。</w:t>
      </w:r>
    </w:p>
    <w:p>
      <w:pPr>
        <w:numPr>
          <w:ilvl w:val="0"/>
          <w:numId w:val="20"/>
        </w:numPr>
        <w:spacing w:line="440" w:lineRule="exact"/>
        <w:ind w:firstLine="480" w:firstLineChars="200"/>
        <w:rPr>
          <w:rFonts w:hAnsi="宋体" w:cs="宋体"/>
          <w:color w:val="auto"/>
          <w:sz w:val="24"/>
          <w:highlight w:val="none"/>
        </w:rPr>
      </w:pPr>
      <w:r>
        <w:rPr>
          <w:rFonts w:hint="eastAsia" w:hAnsi="宋体" w:cs="宋体"/>
          <w:color w:val="auto"/>
          <w:sz w:val="24"/>
          <w:highlight w:val="none"/>
        </w:rPr>
        <w:t>除价格因素外，评标委员会成员应当根据自身专业情况独立对每个有效投标人的投标文件进行评价、打分。技术、与技术有关的服务及其他技术类评分因素由抽取的技术方面评标委员会成员独立评分。财务状况及其他经济类评分因素由抽取的经济方面评标委员会成员独立评分。政府采购政策功能、政府采购合同主要条款及其他政策合同类的评分因素由抽取的法律方面评标委员会成员独立评分。采购人代表原则上对技术、与技术有关的服务及其他技术类评分因素独立评分。价格及其他不能明确区分的评分因素由评标委员会成员共同评分。</w:t>
      </w:r>
    </w:p>
    <w:p>
      <w:pPr>
        <w:numPr>
          <w:ilvl w:val="0"/>
          <w:numId w:val="20"/>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在评标过程中，投标文件有下列情况之一，评标委员会成员应当按照招标文件规定的非实质性偏离进行扣分：</w:t>
      </w:r>
    </w:p>
    <w:p>
      <w:pPr>
        <w:numPr>
          <w:ilvl w:val="0"/>
          <w:numId w:val="21"/>
        </w:numPr>
        <w:spacing w:line="440" w:lineRule="exact"/>
        <w:rPr>
          <w:rFonts w:hAnsi="宋体" w:cs="宋体"/>
          <w:color w:val="auto"/>
          <w:sz w:val="24"/>
          <w:highlight w:val="none"/>
        </w:rPr>
      </w:pPr>
      <w:r>
        <w:rPr>
          <w:rFonts w:hint="eastAsia" w:hAnsi="宋体" w:cs="宋体"/>
          <w:color w:val="auto"/>
          <w:sz w:val="24"/>
          <w:highlight w:val="none"/>
        </w:rPr>
        <w:t>文字表述的内容含义不明确，或者同类问题表述不一致，或者有明显文字和计算错误，或者提供的技术信息和数据资料不完整，投标人拒绝澄清或在规定的时间内没有进行澄清、说明或补正或澄清、说明、补正的内容也不能说明问题的；</w:t>
      </w:r>
    </w:p>
    <w:p>
      <w:pPr>
        <w:numPr>
          <w:ilvl w:val="0"/>
          <w:numId w:val="21"/>
        </w:numPr>
        <w:spacing w:line="440" w:lineRule="exact"/>
        <w:rPr>
          <w:rFonts w:hAnsi="宋体" w:cs="宋体"/>
          <w:color w:val="auto"/>
          <w:sz w:val="24"/>
          <w:highlight w:val="none"/>
        </w:rPr>
      </w:pPr>
      <w:r>
        <w:rPr>
          <w:rFonts w:hint="eastAsia" w:hAnsi="宋体" w:cs="宋体"/>
          <w:color w:val="auto"/>
          <w:sz w:val="24"/>
          <w:szCs w:val="24"/>
          <w:highlight w:val="none"/>
        </w:rPr>
        <w:t>投标文件制作不规范，响应不全面，格式不规范，内容不整齐</w:t>
      </w:r>
      <w:r>
        <w:rPr>
          <w:rFonts w:hint="eastAsia" w:hAnsi="宋体" w:cs="宋体"/>
          <w:color w:val="auto"/>
          <w:sz w:val="24"/>
          <w:highlight w:val="none"/>
        </w:rPr>
        <w:t>；</w:t>
      </w:r>
    </w:p>
    <w:p>
      <w:pPr>
        <w:numPr>
          <w:ilvl w:val="0"/>
          <w:numId w:val="21"/>
        </w:numPr>
        <w:spacing w:line="440" w:lineRule="exact"/>
        <w:rPr>
          <w:rFonts w:hAnsi="宋体" w:cs="宋体"/>
          <w:color w:val="auto"/>
          <w:sz w:val="24"/>
          <w:highlight w:val="none"/>
        </w:rPr>
      </w:pPr>
      <w:r>
        <w:rPr>
          <w:rFonts w:hint="eastAsia" w:hAnsi="宋体" w:cs="宋体"/>
          <w:color w:val="auto"/>
          <w:sz w:val="24"/>
          <w:highlight w:val="none"/>
        </w:rPr>
        <w:t>认定的与招标文件规定的技术、商务和其他规定要求不符的非实质性偏离；</w:t>
      </w:r>
    </w:p>
    <w:p>
      <w:pPr>
        <w:numPr>
          <w:ilvl w:val="0"/>
          <w:numId w:val="21"/>
        </w:numPr>
        <w:spacing w:line="440" w:lineRule="exact"/>
        <w:rPr>
          <w:rFonts w:hAnsi="宋体" w:cs="宋体"/>
          <w:color w:val="auto"/>
          <w:sz w:val="24"/>
          <w:highlight w:val="none"/>
        </w:rPr>
      </w:pPr>
      <w:r>
        <w:rPr>
          <w:rFonts w:hint="eastAsia" w:hAnsi="宋体" w:cs="宋体"/>
          <w:color w:val="auto"/>
          <w:sz w:val="24"/>
          <w:highlight w:val="none"/>
        </w:rPr>
        <w:t>符合四川省财政厅关于《四川省政府采购评审工作规程(修订)》(川财采〔2016〕53号)第三十八条第二款符合性审查第二项情形的。</w:t>
      </w:r>
    </w:p>
    <w:p>
      <w:pPr>
        <w:numPr>
          <w:ilvl w:val="0"/>
          <w:numId w:val="20"/>
        </w:numPr>
        <w:spacing w:line="440" w:lineRule="exact"/>
        <w:ind w:firstLine="480" w:firstLineChars="200"/>
        <w:rPr>
          <w:rFonts w:hAnsi="宋体" w:cs="宋体"/>
          <w:color w:val="auto"/>
          <w:sz w:val="24"/>
          <w:highlight w:val="none"/>
        </w:rPr>
      </w:pPr>
      <w:r>
        <w:rPr>
          <w:rFonts w:hint="eastAsia" w:hAnsi="宋体" w:cs="宋体"/>
          <w:color w:val="auto"/>
          <w:sz w:val="24"/>
          <w:highlight w:val="none"/>
        </w:rPr>
        <w:t>综合评分明细表</w:t>
      </w:r>
    </w:p>
    <w:p>
      <w:pPr>
        <w:pStyle w:val="13"/>
        <w:numPr>
          <w:ilvl w:val="0"/>
          <w:numId w:val="22"/>
        </w:numPr>
        <w:tabs>
          <w:tab w:val="left" w:pos="600"/>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综合评分明细表的制定以科学合理、降低评委会自由裁量权为原则。</w:t>
      </w:r>
    </w:p>
    <w:p>
      <w:pPr>
        <w:pStyle w:val="13"/>
        <w:numPr>
          <w:ilvl w:val="0"/>
          <w:numId w:val="22"/>
        </w:numPr>
        <w:tabs>
          <w:tab w:val="left" w:pos="600"/>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综合评分明细表：</w:t>
      </w:r>
      <w:bookmarkStart w:id="1017" w:name="_Toc5464"/>
      <w:bookmarkStart w:id="1018" w:name="_Toc13513"/>
      <w:bookmarkStart w:id="1019" w:name="_Toc4648"/>
      <w:bookmarkStart w:id="1020" w:name="_Toc21363"/>
      <w:bookmarkStart w:id="1021" w:name="_Toc21671"/>
    </w:p>
    <w:tbl>
      <w:tblPr>
        <w:tblStyle w:val="35"/>
        <w:tblW w:w="9693"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89"/>
        <w:gridCol w:w="890"/>
        <w:gridCol w:w="543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rPr>
              <w:t>序号</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rPr>
              <w:t>评分因素</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rPr>
              <w:t>及权重</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rPr>
              <w:t>分值</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rPr>
              <w:t>评分标准</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宋体" w:hAnsi="宋体" w:eastAsia="宋体" w:cs="宋体"/>
                <w:b/>
                <w:bCs w:val="0"/>
                <w:color w:val="auto"/>
                <w:kern w:val="2"/>
                <w:sz w:val="21"/>
                <w:szCs w:val="21"/>
                <w:highlight w:val="none"/>
                <w:lang w:val="en-US"/>
              </w:rPr>
            </w:pPr>
            <w:r>
              <w:rPr>
                <w:rFonts w:hint="eastAsia" w:ascii="宋体" w:hAnsi="宋体" w:eastAsia="宋体" w:cs="宋体"/>
                <w:b/>
                <w:bCs w:val="0"/>
                <w:color w:val="auto"/>
                <w:kern w:val="2"/>
                <w:sz w:val="21"/>
                <w:szCs w:val="21"/>
                <w:highlight w:val="none"/>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1</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报价</w:t>
            </w:r>
            <w:r>
              <w:rPr>
                <w:rFonts w:hint="eastAsia" w:ascii="宋体" w:hAnsi="宋体" w:eastAsia="宋体" w:cs="宋体"/>
                <w:b w:val="0"/>
                <w:bCs/>
                <w:color w:val="auto"/>
                <w:kern w:val="2"/>
                <w:sz w:val="21"/>
                <w:szCs w:val="21"/>
                <w:highlight w:val="none"/>
                <w:lang w:val="en-US" w:eastAsia="zh-CN"/>
              </w:rPr>
              <w:t>1</w:t>
            </w:r>
            <w:r>
              <w:rPr>
                <w:rFonts w:hint="eastAsia" w:hAnsi="宋体" w:cs="宋体"/>
                <w:b w:val="0"/>
                <w:bCs/>
                <w:color w:val="auto"/>
                <w:kern w:val="2"/>
                <w:sz w:val="21"/>
                <w:szCs w:val="21"/>
                <w:highlight w:val="none"/>
                <w:lang w:val="en-US" w:eastAsia="zh-CN"/>
              </w:rPr>
              <w:t>5</w:t>
            </w:r>
            <w:r>
              <w:rPr>
                <w:rFonts w:hint="eastAsia" w:ascii="宋体" w:hAnsi="宋体" w:eastAsia="宋体" w:cs="宋体"/>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hAnsi="宋体" w:cs="宋体"/>
                <w:b w:val="0"/>
                <w:bCs/>
                <w:color w:val="auto"/>
                <w:kern w:val="2"/>
                <w:sz w:val="21"/>
                <w:szCs w:val="21"/>
                <w:highlight w:val="none"/>
                <w:lang w:val="en-US" w:eastAsia="zh-CN"/>
              </w:rPr>
              <w:t>15</w:t>
            </w:r>
            <w:r>
              <w:rPr>
                <w:rFonts w:hint="eastAsia" w:ascii="宋体" w:hAnsi="宋体" w:eastAsia="宋体" w:cs="宋体"/>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38" w:right="0" w:rightChars="0" w:firstLine="0" w:firstLineChars="0"/>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1、小微企业（监狱企业、残疾人福利性单位视同小微企业）价格扣除按照招标文件须知附表规定执行。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sz w:val="21"/>
                <w:szCs w:val="21"/>
                <w:highlight w:val="none"/>
                <w:lang w:val="en-US"/>
              </w:rPr>
              <w:t>2、</w:t>
            </w:r>
            <w:r>
              <w:rPr>
                <w:rFonts w:hint="eastAsia" w:ascii="宋体" w:hAnsi="宋体" w:eastAsia="宋体" w:cs="宋体"/>
                <w:b w:val="0"/>
                <w:bCs/>
                <w:color w:val="auto"/>
                <w:kern w:val="2"/>
                <w:sz w:val="21"/>
                <w:szCs w:val="21"/>
                <w:highlight w:val="none"/>
                <w:lang w:val="en-US"/>
              </w:rPr>
              <w:t>以本次有效的最低投标报价为基准价，投标报价得分=(基准价／投标报价)</w:t>
            </w:r>
            <w:r>
              <w:rPr>
                <w:rFonts w:hint="eastAsia" w:ascii="宋体" w:hAnsi="宋体" w:eastAsia="宋体" w:cs="宋体"/>
                <w:color w:val="auto"/>
                <w:sz w:val="21"/>
                <w:szCs w:val="21"/>
                <w:highlight w:val="none"/>
              </w:rPr>
              <w:t>*分值</w:t>
            </w:r>
            <w:r>
              <w:rPr>
                <w:rFonts w:hint="eastAsia" w:ascii="宋体" w:hAnsi="宋体" w:eastAsia="宋体" w:cs="宋体"/>
                <w:color w:val="auto"/>
                <w:sz w:val="21"/>
                <w:szCs w:val="21"/>
                <w:highlight w:val="none"/>
                <w:lang w:eastAsia="zh-CN"/>
              </w:rPr>
              <w:t>。</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2</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履约能力</w:t>
            </w:r>
            <w:r>
              <w:rPr>
                <w:rFonts w:hint="eastAsia"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val="en-US" w:eastAsia="zh-CN"/>
              </w:rPr>
              <w:t>分</w:t>
            </w:r>
          </w:p>
        </w:tc>
        <w:tc>
          <w:tcPr>
            <w:tcW w:w="54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rPr>
              <w:t>投标人近三年（2019</w:t>
            </w:r>
            <w:r>
              <w:rPr>
                <w:rFonts w:hint="eastAsia" w:ascii="宋体" w:hAnsi="宋体" w:eastAsia="宋体" w:cs="宋体"/>
                <w:b w:val="0"/>
                <w:bCs/>
                <w:color w:val="auto"/>
                <w:kern w:val="2"/>
                <w:sz w:val="21"/>
                <w:szCs w:val="21"/>
                <w:highlight w:val="none"/>
                <w:lang w:val="en-US" w:eastAsia="zh-CN"/>
              </w:rPr>
              <w:t>、2020、2021</w:t>
            </w:r>
            <w:r>
              <w:rPr>
                <w:rFonts w:hint="eastAsia" w:ascii="宋体" w:hAnsi="宋体" w:eastAsia="宋体" w:cs="宋体"/>
                <w:b w:val="0"/>
                <w:bCs/>
                <w:color w:val="auto"/>
                <w:kern w:val="2"/>
                <w:sz w:val="21"/>
                <w:szCs w:val="21"/>
                <w:highlight w:val="none"/>
                <w:lang w:val="en-US"/>
              </w:rPr>
              <w:t>年）具有单个污水处理设备销售或租赁或运维</w:t>
            </w:r>
            <w:r>
              <w:rPr>
                <w:rFonts w:hint="eastAsia" w:ascii="宋体" w:hAnsi="宋体" w:eastAsia="宋体" w:cs="宋体"/>
                <w:b w:val="0"/>
                <w:bCs/>
                <w:color w:val="auto"/>
                <w:kern w:val="2"/>
                <w:sz w:val="21"/>
                <w:szCs w:val="21"/>
                <w:highlight w:val="none"/>
                <w:lang w:val="en-US" w:eastAsia="zh-CN"/>
              </w:rPr>
              <w:t>业绩的一个得</w:t>
            </w: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en-US" w:eastAsia="zh-CN"/>
              </w:rPr>
              <w:t>分，</w:t>
            </w:r>
            <w:r>
              <w:rPr>
                <w:rFonts w:hint="eastAsia" w:hAnsi="宋体" w:cs="宋体"/>
                <w:b w:val="0"/>
                <w:bCs/>
                <w:color w:val="auto"/>
                <w:kern w:val="2"/>
                <w:sz w:val="21"/>
                <w:szCs w:val="21"/>
                <w:highlight w:val="none"/>
                <w:lang w:val="en-US" w:eastAsia="zh-CN"/>
              </w:rPr>
              <w:t>此项</w:t>
            </w:r>
            <w:r>
              <w:rPr>
                <w:rFonts w:hint="eastAsia" w:ascii="宋体" w:hAnsi="宋体" w:eastAsia="宋体" w:cs="宋体"/>
                <w:b w:val="0"/>
                <w:bCs/>
                <w:color w:val="auto"/>
                <w:kern w:val="2"/>
                <w:sz w:val="21"/>
                <w:szCs w:val="21"/>
                <w:highlight w:val="none"/>
                <w:lang w:val="en-US" w:eastAsia="zh-CN"/>
              </w:rPr>
              <w:t>最高得</w:t>
            </w:r>
            <w:r>
              <w:rPr>
                <w:rFonts w:hint="eastAsia"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val="en-US" w:eastAsia="zh-CN"/>
              </w:rPr>
              <w:t>分。</w:t>
            </w:r>
            <w:r>
              <w:rPr>
                <w:rFonts w:hint="eastAsia" w:hAnsi="宋体" w:cs="宋体"/>
                <w:b w:val="0"/>
                <w:bCs/>
                <w:color w:val="auto"/>
                <w:kern w:val="2"/>
                <w:sz w:val="21"/>
                <w:szCs w:val="21"/>
                <w:highlight w:val="none"/>
                <w:lang w:val="en-US" w:eastAsia="zh-CN"/>
              </w:rPr>
              <w:t>(说明：需提供合同复印件视为有效）</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3</w:t>
            </w:r>
          </w:p>
        </w:tc>
        <w:tc>
          <w:tcPr>
            <w:tcW w:w="12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服务方案</w:t>
            </w:r>
            <w:r>
              <w:rPr>
                <w:rFonts w:hint="eastAsia" w:ascii="宋体" w:hAnsi="宋体" w:eastAsia="宋体" w:cs="宋体"/>
                <w:b w:val="0"/>
                <w:bCs/>
                <w:color w:val="auto"/>
                <w:kern w:val="2"/>
                <w:sz w:val="21"/>
                <w:szCs w:val="21"/>
                <w:highlight w:val="none"/>
                <w:lang w:val="en-US" w:eastAsia="zh-CN"/>
              </w:rPr>
              <w:t>4</w:t>
            </w:r>
            <w:r>
              <w:rPr>
                <w:rFonts w:hint="eastAsia"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val="en-US" w:eastAsia="zh-CN"/>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hAnsi="宋体" w:cs="宋体"/>
                <w:b w:val="0"/>
                <w:bCs/>
                <w:color w:val="auto"/>
                <w:kern w:val="2"/>
                <w:sz w:val="21"/>
                <w:szCs w:val="21"/>
                <w:highlight w:val="none"/>
                <w:lang w:val="en-US" w:eastAsia="zh-CN"/>
              </w:rPr>
              <w:t>前期整体方案12</w:t>
            </w:r>
            <w:r>
              <w:rPr>
                <w:rFonts w:hint="eastAsia" w:ascii="宋体" w:hAnsi="宋体" w:eastAsia="宋体" w:cs="宋体"/>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eastAsia="zh-CN"/>
              </w:rPr>
              <w:t>投标人根据项目现场进行维修和改造的前期整体方案，方案内容至少包含</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 xml:space="preserve">设计方案、设备维修改造方案、设备安装方案、工程质量控制方案，方案内容完整、针对性强、无缺项且满足招标文件要求的得 </w:t>
            </w:r>
            <w:r>
              <w:rPr>
                <w:rFonts w:hint="eastAsia" w:hAnsi="宋体" w:cs="宋体"/>
                <w:b w:val="0"/>
                <w:bCs/>
                <w:color w:val="auto"/>
                <w:kern w:val="2"/>
                <w:sz w:val="21"/>
                <w:szCs w:val="21"/>
                <w:highlight w:val="none"/>
                <w:lang w:val="en-US" w:eastAsia="zh-CN"/>
              </w:rPr>
              <w:t>12</w:t>
            </w:r>
            <w:r>
              <w:rPr>
                <w:rFonts w:hint="eastAsia" w:ascii="宋体" w:hAnsi="宋体" w:eastAsia="宋体" w:cs="宋体"/>
                <w:b w:val="0"/>
                <w:bCs/>
                <w:color w:val="auto"/>
                <w:kern w:val="2"/>
                <w:sz w:val="21"/>
                <w:szCs w:val="21"/>
                <w:highlight w:val="none"/>
                <w:lang w:val="en-US" w:eastAsia="zh-CN"/>
              </w:rPr>
              <w:t>分；每缺少一项的扣</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分；每有一处</w:t>
            </w:r>
            <w:r>
              <w:rPr>
                <w:rFonts w:hint="eastAsia" w:hAnsi="宋体" w:cs="宋体"/>
                <w:b w:val="0"/>
                <w:bCs/>
                <w:color w:val="auto"/>
                <w:kern w:val="2"/>
                <w:sz w:val="21"/>
                <w:szCs w:val="21"/>
                <w:highlight w:val="none"/>
                <w:lang w:val="en-US" w:eastAsia="zh-CN"/>
              </w:rPr>
              <w:t>阐述不清</w:t>
            </w:r>
            <w:r>
              <w:rPr>
                <w:rFonts w:hint="eastAsia" w:ascii="宋体" w:hAnsi="宋体" w:eastAsia="宋体" w:cs="宋体"/>
                <w:b w:val="0"/>
                <w:bCs/>
                <w:color w:val="auto"/>
                <w:kern w:val="2"/>
                <w:sz w:val="21"/>
                <w:szCs w:val="21"/>
                <w:highlight w:val="none"/>
                <w:lang w:val="en-US" w:eastAsia="zh-CN"/>
              </w:rPr>
              <w:t>或</w:t>
            </w:r>
            <w:r>
              <w:rPr>
                <w:rFonts w:hint="eastAsia" w:hAnsi="宋体" w:cs="宋体"/>
                <w:b w:val="0"/>
                <w:bCs/>
                <w:color w:val="auto"/>
                <w:kern w:val="2"/>
                <w:sz w:val="21"/>
                <w:szCs w:val="21"/>
                <w:highlight w:val="none"/>
                <w:lang w:val="en-US" w:eastAsia="zh-CN"/>
              </w:rPr>
              <w:t>不贴合实际的</w:t>
            </w:r>
            <w:r>
              <w:rPr>
                <w:rFonts w:hint="eastAsia" w:ascii="宋体" w:hAnsi="宋体" w:eastAsia="宋体" w:cs="宋体"/>
                <w:b w:val="0"/>
                <w:bCs/>
                <w:color w:val="auto"/>
                <w:kern w:val="2"/>
                <w:sz w:val="21"/>
                <w:szCs w:val="21"/>
                <w:highlight w:val="none"/>
                <w:lang w:val="en-US" w:eastAsia="zh-CN"/>
              </w:rPr>
              <w:t>扣</w:t>
            </w:r>
            <w:r>
              <w:rPr>
                <w:rFonts w:hint="eastAsia" w:hAnsi="宋体" w:cs="宋体"/>
                <w:b w:val="0"/>
                <w:bCs/>
                <w:color w:val="auto"/>
                <w:kern w:val="2"/>
                <w:sz w:val="21"/>
                <w:szCs w:val="21"/>
                <w:highlight w:val="none"/>
                <w:lang w:val="en-US" w:eastAsia="zh-CN"/>
              </w:rPr>
              <w:t>1.5</w:t>
            </w:r>
            <w:r>
              <w:rPr>
                <w:rFonts w:hint="eastAsia" w:ascii="宋体" w:hAnsi="宋体" w:eastAsia="宋体" w:cs="宋体"/>
                <w:b w:val="0"/>
                <w:bCs/>
                <w:color w:val="auto"/>
                <w:kern w:val="2"/>
                <w:sz w:val="21"/>
                <w:szCs w:val="21"/>
                <w:highlight w:val="none"/>
                <w:lang w:val="en-US" w:eastAsia="zh-CN"/>
              </w:rPr>
              <w:t>分，直至本项分值扣完为止。</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hAnsi="宋体" w:cs="宋体"/>
                <w:b w:val="0"/>
                <w:bCs/>
                <w:color w:val="auto"/>
                <w:kern w:val="2"/>
                <w:sz w:val="21"/>
                <w:szCs w:val="21"/>
                <w:highlight w:val="none"/>
                <w:lang w:val="en-US" w:eastAsia="zh-CN"/>
              </w:rPr>
            </w:pPr>
          </w:p>
        </w:tc>
        <w:tc>
          <w:tcPr>
            <w:tcW w:w="12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运营维护方案</w:t>
            </w:r>
            <w:r>
              <w:rPr>
                <w:rFonts w:hint="eastAsia" w:hAnsi="宋体" w:cs="宋体"/>
                <w:b w:val="0"/>
                <w:bCs/>
                <w:color w:val="auto"/>
                <w:kern w:val="2"/>
                <w:sz w:val="21"/>
                <w:szCs w:val="21"/>
                <w:highlight w:val="none"/>
                <w:lang w:val="en-US" w:eastAsia="zh-CN"/>
              </w:rPr>
              <w:t>25分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投标人针对本项目提供的设备运营维护服务方案</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方案内容至少包含</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运营维护目标</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运营维护制度</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应急管理措施</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人员</w:t>
            </w:r>
            <w:r>
              <w:rPr>
                <w:rFonts w:hint="eastAsia" w:hAnsi="宋体" w:cs="宋体"/>
                <w:b w:val="0"/>
                <w:bCs/>
                <w:color w:val="auto"/>
                <w:kern w:val="2"/>
                <w:sz w:val="21"/>
                <w:szCs w:val="21"/>
                <w:highlight w:val="none"/>
                <w:lang w:val="en-US" w:eastAsia="zh-CN"/>
              </w:rPr>
              <w:t>配置</w:t>
            </w:r>
            <w:r>
              <w:rPr>
                <w:rFonts w:hint="eastAsia" w:ascii="宋体" w:hAnsi="宋体" w:eastAsia="宋体" w:cs="宋体"/>
                <w:b w:val="0"/>
                <w:bCs/>
                <w:color w:val="auto"/>
                <w:kern w:val="2"/>
                <w:sz w:val="21"/>
                <w:szCs w:val="21"/>
                <w:highlight w:val="none"/>
                <w:lang w:val="en-US" w:eastAsia="zh-CN"/>
              </w:rPr>
              <w:t>方案</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内部考核机制</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 xml:space="preserve">方案内容完整、针对性强、无缺项且满足招标文件要求的得 </w:t>
            </w:r>
            <w:r>
              <w:rPr>
                <w:rFonts w:hint="eastAsia" w:hAnsi="宋体" w:cs="宋体"/>
                <w:b w:val="0"/>
                <w:bCs/>
                <w:color w:val="auto"/>
                <w:kern w:val="2"/>
                <w:sz w:val="21"/>
                <w:szCs w:val="21"/>
                <w:highlight w:val="none"/>
                <w:lang w:val="en-US" w:eastAsia="zh-CN"/>
              </w:rPr>
              <w:t>25</w:t>
            </w:r>
            <w:r>
              <w:rPr>
                <w:rFonts w:hint="eastAsia" w:ascii="宋体" w:hAnsi="宋体" w:eastAsia="宋体" w:cs="宋体"/>
                <w:b w:val="0"/>
                <w:bCs/>
                <w:color w:val="auto"/>
                <w:kern w:val="2"/>
                <w:sz w:val="21"/>
                <w:szCs w:val="21"/>
                <w:highlight w:val="none"/>
                <w:lang w:val="en-US" w:eastAsia="zh-CN"/>
              </w:rPr>
              <w:t xml:space="preserve">分；每缺少一项的扣 </w:t>
            </w:r>
            <w:r>
              <w:rPr>
                <w:rFonts w:hint="eastAsia" w:hAnsi="宋体" w:cs="宋体"/>
                <w:b w:val="0"/>
                <w:bCs/>
                <w:color w:val="auto"/>
                <w:kern w:val="2"/>
                <w:sz w:val="21"/>
                <w:szCs w:val="21"/>
                <w:highlight w:val="none"/>
                <w:lang w:val="en-US" w:eastAsia="zh-CN"/>
              </w:rPr>
              <w:t>5</w:t>
            </w:r>
            <w:r>
              <w:rPr>
                <w:rFonts w:hint="eastAsia" w:ascii="宋体" w:hAnsi="宋体" w:eastAsia="宋体" w:cs="宋体"/>
                <w:b w:val="0"/>
                <w:bCs/>
                <w:color w:val="auto"/>
                <w:kern w:val="2"/>
                <w:sz w:val="21"/>
                <w:szCs w:val="21"/>
                <w:highlight w:val="none"/>
                <w:lang w:val="en-US" w:eastAsia="zh-CN"/>
              </w:rPr>
              <w:t>分；每有一处</w:t>
            </w:r>
            <w:r>
              <w:rPr>
                <w:rFonts w:hint="eastAsia" w:hAnsi="宋体" w:cs="宋体"/>
                <w:b w:val="0"/>
                <w:bCs/>
                <w:color w:val="auto"/>
                <w:kern w:val="2"/>
                <w:sz w:val="21"/>
                <w:szCs w:val="21"/>
                <w:highlight w:val="none"/>
                <w:lang w:val="en-US" w:eastAsia="zh-CN"/>
              </w:rPr>
              <w:t>阐述不清</w:t>
            </w:r>
            <w:r>
              <w:rPr>
                <w:rFonts w:hint="eastAsia" w:ascii="宋体" w:hAnsi="宋体" w:eastAsia="宋体" w:cs="宋体"/>
                <w:b w:val="0"/>
                <w:bCs/>
                <w:color w:val="auto"/>
                <w:kern w:val="2"/>
                <w:sz w:val="21"/>
                <w:szCs w:val="21"/>
                <w:highlight w:val="none"/>
                <w:lang w:val="en-US" w:eastAsia="zh-CN"/>
              </w:rPr>
              <w:t>或</w:t>
            </w:r>
            <w:r>
              <w:rPr>
                <w:rFonts w:hint="eastAsia" w:hAnsi="宋体" w:cs="宋体"/>
                <w:b w:val="0"/>
                <w:bCs/>
                <w:color w:val="auto"/>
                <w:kern w:val="2"/>
                <w:sz w:val="21"/>
                <w:szCs w:val="21"/>
                <w:highlight w:val="none"/>
                <w:lang w:val="en-US" w:eastAsia="zh-CN"/>
              </w:rPr>
              <w:t>不贴合实际的</w:t>
            </w:r>
            <w:r>
              <w:rPr>
                <w:rFonts w:hint="eastAsia" w:ascii="宋体" w:hAnsi="宋体" w:eastAsia="宋体" w:cs="宋体"/>
                <w:b w:val="0"/>
                <w:bCs/>
                <w:color w:val="auto"/>
                <w:kern w:val="2"/>
                <w:sz w:val="21"/>
                <w:szCs w:val="21"/>
                <w:highlight w:val="none"/>
                <w:lang w:val="en-US" w:eastAsia="zh-CN"/>
              </w:rPr>
              <w:t>扣</w:t>
            </w:r>
            <w:r>
              <w:rPr>
                <w:rFonts w:hint="eastAsia" w:hAnsi="宋体" w:cs="宋体"/>
                <w:b w:val="0"/>
                <w:bCs/>
                <w:color w:val="auto"/>
                <w:kern w:val="2"/>
                <w:sz w:val="21"/>
                <w:szCs w:val="21"/>
                <w:highlight w:val="none"/>
                <w:lang w:val="en-US" w:eastAsia="zh-CN"/>
              </w:rPr>
              <w:t>2.5</w:t>
            </w:r>
            <w:r>
              <w:rPr>
                <w:rFonts w:hint="eastAsia" w:ascii="宋体" w:hAnsi="宋体" w:eastAsia="宋体" w:cs="宋体"/>
                <w:b w:val="0"/>
                <w:bCs/>
                <w:color w:val="auto"/>
                <w:kern w:val="2"/>
                <w:sz w:val="21"/>
                <w:szCs w:val="21"/>
                <w:highlight w:val="none"/>
                <w:lang w:val="en-US" w:eastAsia="zh-CN"/>
              </w:rPr>
              <w:t>分，直至本项分值扣完为止。</w:t>
            </w: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hAnsi="宋体" w:cs="宋体"/>
                <w:b w:val="0"/>
                <w:bCs/>
                <w:color w:val="auto"/>
                <w:kern w:val="2"/>
                <w:sz w:val="21"/>
                <w:szCs w:val="21"/>
                <w:highlight w:val="none"/>
                <w:lang w:val="en-US" w:eastAsia="zh-CN"/>
              </w:rPr>
            </w:pPr>
          </w:p>
        </w:tc>
        <w:tc>
          <w:tcPr>
            <w:tcW w:w="12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技术服务方案</w:t>
            </w:r>
            <w:r>
              <w:rPr>
                <w:rFonts w:hint="eastAsia" w:hAnsi="宋体" w:cs="宋体"/>
                <w:b w:val="0"/>
                <w:bCs/>
                <w:color w:val="auto"/>
                <w:kern w:val="2"/>
                <w:sz w:val="21"/>
                <w:szCs w:val="21"/>
                <w:highlight w:val="none"/>
                <w:lang w:val="en-US" w:eastAsia="zh-CN"/>
              </w:rPr>
              <w:t>9分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投标人针对本项目提供的技术服务方案</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rPr>
              <w:t>方案内容至少包含</w:t>
            </w:r>
            <w:r>
              <w:rPr>
                <w:rFonts w:hint="eastAsia" w:hAnsi="宋体" w:cs="宋体"/>
                <w:b w:val="0"/>
                <w:bCs/>
                <w:color w:val="auto"/>
                <w:kern w:val="2"/>
                <w:sz w:val="21"/>
                <w:szCs w:val="21"/>
                <w:highlight w:val="none"/>
                <w:lang w:val="en-US" w:eastAsia="zh-CN"/>
              </w:rPr>
              <w:t>：</w:t>
            </w:r>
            <w:r>
              <w:rPr>
                <w:rFonts w:hint="eastAsia" w:ascii="宋体" w:hAnsi="宋体" w:eastAsia="宋体" w:cs="宋体"/>
                <w:color w:val="auto"/>
                <w:sz w:val="21"/>
                <w:szCs w:val="21"/>
                <w:highlight w:val="none"/>
              </w:rPr>
              <w:t>运行管理技术创新、维护管理技术创新、设备管理技术创新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方案内容完整、针对性强、无缺项且满足招标文件要求的得 9分；每缺少一项的扣 3分；每有一处阐述不清或不贴合实际的扣1.5分，直至本项分值扣完为止。</w:t>
            </w: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4</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 xml:space="preserve">综合实力 </w:t>
            </w:r>
            <w:r>
              <w:rPr>
                <w:rFonts w:hint="eastAsia" w:hAnsi="宋体" w:cs="宋体"/>
                <w:b w:val="0"/>
                <w:bCs/>
                <w:color w:val="auto"/>
                <w:kern w:val="2"/>
                <w:sz w:val="21"/>
                <w:szCs w:val="21"/>
                <w:highlight w:val="none"/>
                <w:lang w:val="en-US" w:eastAsia="zh-CN"/>
              </w:rPr>
              <w:t>10</w:t>
            </w:r>
            <w:r>
              <w:rPr>
                <w:rFonts w:hint="eastAsia" w:ascii="宋体" w:hAnsi="宋体" w:eastAsia="宋体" w:cs="宋体"/>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hAnsi="宋体" w:cs="宋体"/>
                <w:b w:val="0"/>
                <w:bCs/>
                <w:color w:val="auto"/>
                <w:kern w:val="2"/>
                <w:sz w:val="21"/>
                <w:szCs w:val="21"/>
                <w:highlight w:val="none"/>
                <w:lang w:val="en-US" w:eastAsia="zh-CN"/>
              </w:rPr>
              <w:t>10</w:t>
            </w:r>
            <w:r>
              <w:rPr>
                <w:rFonts w:hint="eastAsia" w:ascii="宋体" w:hAnsi="宋体" w:eastAsia="宋体" w:cs="宋体"/>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default" w:ascii="宋体" w:hAnsi="宋体" w:eastAsia="宋体" w:cs="宋体"/>
                <w:b w:val="0"/>
                <w:bCs/>
                <w:color w:val="auto"/>
                <w:kern w:val="2"/>
                <w:sz w:val="21"/>
                <w:szCs w:val="21"/>
                <w:highlight w:val="none"/>
                <w:lang w:val="en-US"/>
              </w:rPr>
            </w:pPr>
            <w:r>
              <w:rPr>
                <w:rFonts w:hint="eastAsia" w:hAnsi="宋体" w:cs="宋体"/>
                <w:b w:val="0"/>
                <w:bCs/>
                <w:color w:val="auto"/>
                <w:kern w:val="2"/>
                <w:sz w:val="21"/>
                <w:szCs w:val="21"/>
                <w:highlight w:val="none"/>
                <w:lang w:val="en-US" w:eastAsia="zh-CN"/>
              </w:rPr>
              <w:t>1、投标人具有省级及以上环保相关协会颁发的环境污染防治工程等级确认证书得3分，认证项目包含：环保设备制造、水污染治理，否则不得分。此项最高的3分。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default" w:hAnsi="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en-US"/>
              </w:rPr>
              <w:t>投标人具</w:t>
            </w:r>
            <w:r>
              <w:rPr>
                <w:rFonts w:hint="eastAsia" w:hAnsi="宋体" w:cs="宋体"/>
                <w:b w:val="0"/>
                <w:bCs/>
                <w:color w:val="auto"/>
                <w:kern w:val="2"/>
                <w:sz w:val="21"/>
                <w:szCs w:val="21"/>
                <w:highlight w:val="none"/>
                <w:lang w:val="en-US" w:eastAsia="zh-CN"/>
              </w:rPr>
              <w:t>有</w:t>
            </w:r>
            <w:r>
              <w:rPr>
                <w:rFonts w:hint="eastAsia" w:ascii="宋体" w:hAnsi="宋体" w:eastAsia="宋体" w:cs="宋体"/>
                <w:b w:val="0"/>
                <w:bCs/>
                <w:color w:val="auto"/>
                <w:kern w:val="2"/>
                <w:sz w:val="21"/>
                <w:szCs w:val="21"/>
                <w:highlight w:val="none"/>
                <w:lang w:val="en-US"/>
              </w:rPr>
              <w:t>有效期内的省级及以上</w:t>
            </w:r>
            <w:r>
              <w:rPr>
                <w:rFonts w:hint="eastAsia" w:hAnsi="宋体" w:cs="宋体"/>
                <w:b w:val="0"/>
                <w:bCs/>
                <w:color w:val="auto"/>
                <w:kern w:val="2"/>
                <w:sz w:val="21"/>
                <w:szCs w:val="21"/>
                <w:highlight w:val="none"/>
                <w:lang w:val="en-US" w:eastAsia="zh-CN"/>
              </w:rPr>
              <w:t>环保相关</w:t>
            </w:r>
            <w:r>
              <w:rPr>
                <w:rFonts w:hint="eastAsia" w:ascii="宋体" w:hAnsi="宋体" w:eastAsia="宋体" w:cs="宋体"/>
                <w:b w:val="0"/>
                <w:bCs/>
                <w:color w:val="auto"/>
                <w:kern w:val="2"/>
                <w:sz w:val="21"/>
                <w:szCs w:val="21"/>
                <w:highlight w:val="none"/>
                <w:lang w:val="en-US"/>
              </w:rPr>
              <w:t>协会颁发的</w:t>
            </w:r>
            <w:r>
              <w:rPr>
                <w:rFonts w:hint="eastAsia" w:hAnsi="宋体" w:cs="宋体"/>
                <w:b w:val="0"/>
                <w:bCs/>
                <w:color w:val="auto"/>
                <w:kern w:val="2"/>
                <w:sz w:val="21"/>
                <w:szCs w:val="21"/>
                <w:highlight w:val="none"/>
                <w:lang w:val="en-US" w:eastAsia="zh-CN"/>
              </w:rPr>
              <w:t>工业废水处理三级及以上能力评价证书得2分，</w:t>
            </w:r>
            <w:r>
              <w:rPr>
                <w:rFonts w:hint="eastAsia" w:ascii="宋体" w:hAnsi="宋体" w:eastAsia="宋体" w:cs="宋体"/>
                <w:b w:val="0"/>
                <w:bCs/>
                <w:color w:val="auto"/>
                <w:kern w:val="2"/>
                <w:sz w:val="21"/>
                <w:szCs w:val="21"/>
                <w:highlight w:val="none"/>
                <w:lang w:val="en-US"/>
              </w:rPr>
              <w:t>投标人具</w:t>
            </w:r>
            <w:r>
              <w:rPr>
                <w:rFonts w:hint="eastAsia" w:hAnsi="宋体" w:cs="宋体"/>
                <w:b w:val="0"/>
                <w:bCs/>
                <w:color w:val="auto"/>
                <w:kern w:val="2"/>
                <w:sz w:val="21"/>
                <w:szCs w:val="21"/>
                <w:highlight w:val="none"/>
                <w:lang w:val="en-US" w:eastAsia="zh-CN"/>
              </w:rPr>
              <w:t>有</w:t>
            </w:r>
            <w:r>
              <w:rPr>
                <w:rFonts w:hint="eastAsia" w:ascii="宋体" w:hAnsi="宋体" w:eastAsia="宋体" w:cs="宋体"/>
                <w:b w:val="0"/>
                <w:bCs/>
                <w:color w:val="auto"/>
                <w:kern w:val="2"/>
                <w:sz w:val="21"/>
                <w:szCs w:val="21"/>
                <w:highlight w:val="none"/>
                <w:lang w:val="en-US"/>
              </w:rPr>
              <w:t>有效期内的省级及以上</w:t>
            </w:r>
            <w:r>
              <w:rPr>
                <w:rFonts w:hint="eastAsia" w:hAnsi="宋体" w:cs="宋体"/>
                <w:b w:val="0"/>
                <w:bCs/>
                <w:color w:val="auto"/>
                <w:kern w:val="2"/>
                <w:sz w:val="21"/>
                <w:szCs w:val="21"/>
                <w:highlight w:val="none"/>
                <w:lang w:val="en-US" w:eastAsia="zh-CN"/>
              </w:rPr>
              <w:t>环保相关</w:t>
            </w:r>
            <w:r>
              <w:rPr>
                <w:rFonts w:hint="eastAsia" w:ascii="宋体" w:hAnsi="宋体" w:eastAsia="宋体" w:cs="宋体"/>
                <w:b w:val="0"/>
                <w:bCs/>
                <w:color w:val="auto"/>
                <w:kern w:val="2"/>
                <w:sz w:val="21"/>
                <w:szCs w:val="21"/>
                <w:highlight w:val="none"/>
                <w:lang w:val="en-US"/>
              </w:rPr>
              <w:t>协会颁发的</w:t>
            </w:r>
            <w:r>
              <w:rPr>
                <w:rFonts w:hint="eastAsia" w:hAnsi="宋体" w:cs="宋体"/>
                <w:b w:val="0"/>
                <w:bCs/>
                <w:color w:val="auto"/>
                <w:kern w:val="2"/>
                <w:sz w:val="21"/>
                <w:szCs w:val="21"/>
                <w:highlight w:val="none"/>
                <w:lang w:val="en-US" w:eastAsia="zh-CN"/>
              </w:rPr>
              <w:t>生活污水处理三级及以上能力评价证书得2分。此项最高的4分。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rPr>
              <w:t>、投标人具有有效期内的质量管理体系认证、环境管理体系认证、职业健康安全管理体系认证。证书齐全得</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rPr>
              <w:t>分，缺一项不得分。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（说明：以上1-</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rPr>
              <w:t>项提供证书复印件</w:t>
            </w:r>
            <w:r>
              <w:rPr>
                <w:rFonts w:hint="eastAsia" w:ascii="宋体" w:hAnsi="宋体" w:eastAsia="宋体" w:cs="宋体"/>
                <w:b w:val="0"/>
                <w:bCs/>
                <w:color w:val="auto"/>
                <w:kern w:val="2"/>
                <w:sz w:val="21"/>
                <w:szCs w:val="21"/>
                <w:highlight w:val="none"/>
                <w:lang w:val="en-US" w:eastAsia="zh-CN"/>
              </w:rPr>
              <w:t>，加盖公章</w:t>
            </w:r>
            <w:r>
              <w:rPr>
                <w:rFonts w:hint="eastAsia" w:ascii="宋体" w:hAnsi="宋体" w:eastAsia="宋体" w:cs="宋体"/>
                <w:b w:val="0"/>
                <w:bCs/>
                <w:color w:val="auto"/>
                <w:kern w:val="2"/>
                <w:sz w:val="21"/>
                <w:szCs w:val="21"/>
                <w:highlight w:val="none"/>
                <w:lang w:val="en-US"/>
              </w:rPr>
              <w:t>）</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5</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eastAsia="zh-CN"/>
              </w:rPr>
              <w:t>专业技术人员能力1</w:t>
            </w:r>
            <w:r>
              <w:rPr>
                <w:rFonts w:hint="eastAsia" w:hAnsi="宋体" w:cs="宋体"/>
                <w:b w:val="0"/>
                <w:bCs/>
                <w:color w:val="auto"/>
                <w:kern w:val="2"/>
                <w:sz w:val="21"/>
                <w:szCs w:val="21"/>
                <w:highlight w:val="none"/>
                <w:lang w:val="en-US" w:eastAsia="zh-CN"/>
              </w:rPr>
              <w:t>8</w:t>
            </w:r>
            <w:r>
              <w:rPr>
                <w:rFonts w:hint="eastAsia" w:ascii="宋体" w:hAnsi="宋体" w:eastAsia="宋体" w:cs="宋体"/>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hAnsi="宋体" w:cs="宋体"/>
                <w:b w:val="0"/>
                <w:bCs/>
                <w:color w:val="auto"/>
                <w:kern w:val="2"/>
                <w:sz w:val="18"/>
                <w:szCs w:val="18"/>
                <w:highlight w:val="none"/>
                <w:lang w:val="en-US" w:eastAsia="zh-CN"/>
              </w:rPr>
              <w:t>18</w:t>
            </w:r>
            <w:r>
              <w:rPr>
                <w:rFonts w:hint="eastAsia" w:ascii="宋体" w:hAnsi="宋体" w:eastAsia="宋体" w:cs="宋体"/>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default"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人员配备</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w:t>
            </w:r>
            <w:r>
              <w:rPr>
                <w:rFonts w:hint="eastAsia" w:hAnsi="宋体" w:cs="宋体"/>
                <w:b w:val="0"/>
                <w:bCs/>
                <w:color w:val="auto"/>
                <w:kern w:val="2"/>
                <w:sz w:val="21"/>
                <w:szCs w:val="21"/>
                <w:highlight w:val="none"/>
                <w:lang w:val="en-US" w:eastAsia="zh-CN"/>
              </w:rPr>
              <w:t>项目经理（1人）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本项目配备的</w:t>
            </w:r>
            <w:r>
              <w:rPr>
                <w:rFonts w:hint="eastAsia" w:hAnsi="宋体" w:cs="宋体"/>
                <w:b w:val="0"/>
                <w:bCs/>
                <w:color w:val="auto"/>
                <w:kern w:val="2"/>
                <w:sz w:val="21"/>
                <w:szCs w:val="21"/>
                <w:highlight w:val="none"/>
                <w:lang w:val="en-US" w:eastAsia="zh-CN"/>
              </w:rPr>
              <w:t>项目经理</w:t>
            </w:r>
            <w:r>
              <w:rPr>
                <w:rFonts w:hint="eastAsia" w:ascii="宋体" w:hAnsi="宋体" w:eastAsia="宋体" w:cs="宋体"/>
                <w:b w:val="0"/>
                <w:bCs/>
                <w:color w:val="auto"/>
                <w:kern w:val="2"/>
                <w:sz w:val="21"/>
                <w:szCs w:val="21"/>
                <w:highlight w:val="none"/>
                <w:lang w:val="en-US" w:eastAsia="zh-CN"/>
              </w:rPr>
              <w:t>具有环境类或给排水类中级职称得2分，具有环境类或给排水类高级及以上职称得4分。</w:t>
            </w:r>
            <w:r>
              <w:rPr>
                <w:rFonts w:hint="eastAsia" w:hAnsi="宋体" w:cs="宋体"/>
                <w:b w:val="0"/>
                <w:bCs/>
                <w:color w:val="auto"/>
                <w:kern w:val="2"/>
                <w:sz w:val="21"/>
                <w:szCs w:val="21"/>
                <w:highlight w:val="none"/>
                <w:lang w:val="en-US" w:eastAsia="zh-CN"/>
              </w:rPr>
              <w:t>没有不得分，</w:t>
            </w:r>
            <w:r>
              <w:rPr>
                <w:rFonts w:hint="eastAsia" w:ascii="宋体" w:hAnsi="宋体" w:eastAsia="宋体" w:cs="宋体"/>
                <w:b w:val="0"/>
                <w:bCs/>
                <w:color w:val="auto"/>
                <w:kern w:val="2"/>
                <w:sz w:val="21"/>
                <w:szCs w:val="21"/>
                <w:highlight w:val="none"/>
                <w:lang w:val="en-US" w:eastAsia="zh-CN"/>
              </w:rPr>
              <w:t>本项最高得</w:t>
            </w:r>
            <w:r>
              <w:rPr>
                <w:rFonts w:hint="eastAsia" w:hAnsi="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default"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en-US" w:eastAsia="zh-CN"/>
              </w:rPr>
              <w:t>、</w:t>
            </w:r>
            <w:r>
              <w:rPr>
                <w:rFonts w:hint="eastAsia" w:hAnsi="宋体" w:cs="宋体"/>
                <w:b w:val="0"/>
                <w:bCs/>
                <w:color w:val="auto"/>
                <w:kern w:val="2"/>
                <w:sz w:val="21"/>
                <w:szCs w:val="21"/>
                <w:highlight w:val="none"/>
                <w:lang w:val="en-US" w:eastAsia="zh-CN"/>
              </w:rPr>
              <w:t>技术负责人（1人）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default"/>
                <w:color w:val="auto"/>
                <w:lang w:val="en-US" w:eastAsia="zh-CN"/>
              </w:rPr>
            </w:pPr>
            <w:r>
              <w:rPr>
                <w:rFonts w:hint="eastAsia" w:ascii="宋体" w:hAnsi="宋体" w:eastAsia="宋体" w:cs="宋体"/>
                <w:b w:val="0"/>
                <w:bCs/>
                <w:color w:val="auto"/>
                <w:kern w:val="2"/>
                <w:sz w:val="21"/>
                <w:szCs w:val="21"/>
                <w:highlight w:val="none"/>
                <w:lang w:val="en-US" w:eastAsia="zh-CN"/>
              </w:rPr>
              <w:t>本项目配备的</w:t>
            </w:r>
            <w:r>
              <w:rPr>
                <w:rFonts w:hint="eastAsia" w:hAnsi="宋体" w:cs="宋体"/>
                <w:b w:val="0"/>
                <w:bCs/>
                <w:color w:val="auto"/>
                <w:kern w:val="2"/>
                <w:sz w:val="21"/>
                <w:szCs w:val="21"/>
                <w:highlight w:val="none"/>
                <w:lang w:val="en-US" w:eastAsia="zh-CN"/>
              </w:rPr>
              <w:t>技术负责人</w:t>
            </w:r>
            <w:r>
              <w:rPr>
                <w:rFonts w:hint="eastAsia" w:ascii="宋体" w:hAnsi="宋体" w:eastAsia="宋体" w:cs="宋体"/>
                <w:b w:val="0"/>
                <w:bCs/>
                <w:color w:val="auto"/>
                <w:kern w:val="2"/>
                <w:sz w:val="21"/>
                <w:szCs w:val="21"/>
                <w:highlight w:val="none"/>
                <w:lang w:val="en-US" w:eastAsia="zh-CN"/>
              </w:rPr>
              <w:t>具有环境类或给排水类中级职称得</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分</w:t>
            </w:r>
            <w:r>
              <w:rPr>
                <w:rFonts w:hint="eastAsia" w:hAnsi="宋体" w:cs="宋体"/>
                <w:b w:val="0"/>
                <w:bCs/>
                <w:color w:val="auto"/>
                <w:kern w:val="2"/>
                <w:sz w:val="21"/>
                <w:szCs w:val="21"/>
                <w:highlight w:val="none"/>
                <w:lang w:val="en-US" w:eastAsia="zh-CN"/>
              </w:rPr>
              <w:t>。没有不得分，</w:t>
            </w:r>
            <w:r>
              <w:rPr>
                <w:rFonts w:hint="eastAsia" w:ascii="宋体" w:hAnsi="宋体" w:eastAsia="宋体" w:cs="宋体"/>
                <w:b w:val="0"/>
                <w:bCs/>
                <w:color w:val="auto"/>
                <w:kern w:val="2"/>
                <w:sz w:val="21"/>
                <w:szCs w:val="21"/>
                <w:highlight w:val="none"/>
                <w:lang w:val="en-US" w:eastAsia="zh-CN"/>
              </w:rPr>
              <w:t>本项最高得</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default"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w:t>
            </w:r>
            <w:r>
              <w:rPr>
                <w:rFonts w:hint="eastAsia" w:hAnsi="宋体" w:cs="宋体"/>
                <w:b w:val="0"/>
                <w:bCs/>
                <w:color w:val="auto"/>
                <w:kern w:val="2"/>
                <w:sz w:val="21"/>
                <w:szCs w:val="21"/>
                <w:highlight w:val="none"/>
                <w:lang w:val="en-US" w:eastAsia="zh-CN"/>
              </w:rPr>
              <w:t>运维人员（9人）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本项目拟派运行维护人员污废水处理工证每个得 1 分，</w:t>
            </w:r>
            <w:r>
              <w:rPr>
                <w:rFonts w:hint="eastAsia" w:hAnsi="宋体" w:cs="宋体"/>
                <w:b w:val="0"/>
                <w:bCs/>
                <w:color w:val="auto"/>
                <w:kern w:val="2"/>
                <w:sz w:val="21"/>
                <w:szCs w:val="21"/>
                <w:highlight w:val="none"/>
                <w:lang w:val="en-US" w:eastAsia="zh-CN"/>
              </w:rPr>
              <w:t>没有不得分，</w:t>
            </w:r>
            <w:r>
              <w:rPr>
                <w:rFonts w:hint="eastAsia" w:ascii="宋体" w:hAnsi="宋体" w:eastAsia="宋体" w:cs="宋体"/>
                <w:b w:val="0"/>
                <w:bCs/>
                <w:color w:val="auto"/>
                <w:kern w:val="2"/>
                <w:sz w:val="21"/>
                <w:szCs w:val="21"/>
                <w:highlight w:val="none"/>
                <w:lang w:val="en-US" w:eastAsia="zh-CN"/>
              </w:rPr>
              <w:t>本项最高得</w:t>
            </w:r>
            <w:r>
              <w:rPr>
                <w:rFonts w:hint="eastAsia" w:hAnsi="宋体" w:cs="宋体"/>
                <w:b w:val="0"/>
                <w:bCs/>
                <w:color w:val="auto"/>
                <w:kern w:val="2"/>
                <w:sz w:val="21"/>
                <w:szCs w:val="21"/>
                <w:highlight w:val="none"/>
                <w:lang w:val="en-US" w:eastAsia="zh-CN"/>
              </w:rPr>
              <w:t>9</w:t>
            </w:r>
            <w:r>
              <w:rPr>
                <w:rFonts w:hint="eastAsia" w:ascii="宋体" w:hAnsi="宋体" w:eastAsia="宋体" w:cs="宋体"/>
                <w:b w:val="0"/>
                <w:bCs/>
                <w:color w:val="auto"/>
                <w:kern w:val="2"/>
                <w:sz w:val="21"/>
                <w:szCs w:val="21"/>
                <w:highlight w:val="none"/>
                <w:lang w:val="en-US" w:eastAsia="zh-CN"/>
              </w:rPr>
              <w:t>分。</w:t>
            </w:r>
          </w:p>
          <w:p>
            <w:pPr>
              <w:rPr>
                <w:rFonts w:hint="default"/>
                <w:color w:val="auto"/>
                <w:lang w:val="en-US" w:eastAsia="zh-CN"/>
              </w:rPr>
            </w:pPr>
            <w:r>
              <w:rPr>
                <w:rFonts w:hint="eastAsia" w:hAnsi="宋体" w:cs="宋体"/>
                <w:b w:val="0"/>
                <w:bCs/>
                <w:color w:val="auto"/>
                <w:kern w:val="2"/>
                <w:sz w:val="21"/>
                <w:szCs w:val="21"/>
                <w:highlight w:val="none"/>
                <w:lang w:val="en-US" w:eastAsia="zh-CN"/>
              </w:rPr>
              <w:t>4、电工（1人）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color w:val="auto"/>
                <w:lang w:val="en-US" w:eastAsia="zh-CN"/>
              </w:rPr>
            </w:pPr>
            <w:r>
              <w:rPr>
                <w:rFonts w:hint="eastAsia" w:ascii="宋体" w:hAnsi="宋体" w:eastAsia="宋体" w:cs="宋体"/>
                <w:b w:val="0"/>
                <w:bCs/>
                <w:color w:val="auto"/>
                <w:kern w:val="2"/>
                <w:sz w:val="21"/>
                <w:szCs w:val="21"/>
                <w:highlight w:val="none"/>
                <w:lang w:val="en-US" w:eastAsia="zh-CN"/>
              </w:rPr>
              <w:t>本项目拟派</w:t>
            </w:r>
            <w:r>
              <w:rPr>
                <w:rFonts w:hint="eastAsia" w:hAnsi="宋体" w:cs="宋体"/>
                <w:b w:val="0"/>
                <w:bCs/>
                <w:color w:val="auto"/>
                <w:kern w:val="2"/>
                <w:sz w:val="21"/>
                <w:szCs w:val="21"/>
                <w:highlight w:val="none"/>
                <w:lang w:val="en-US" w:eastAsia="zh-CN"/>
              </w:rPr>
              <w:t>电工，具有特种作业操作证</w:t>
            </w:r>
            <w:r>
              <w:rPr>
                <w:rFonts w:hint="eastAsia" w:ascii="宋体" w:hAnsi="宋体" w:eastAsia="宋体" w:cs="宋体"/>
                <w:b w:val="0"/>
                <w:bCs/>
                <w:color w:val="auto"/>
                <w:kern w:val="2"/>
                <w:sz w:val="21"/>
                <w:szCs w:val="21"/>
                <w:highlight w:val="none"/>
                <w:lang w:val="en-US" w:eastAsia="zh-CN"/>
              </w:rPr>
              <w:t xml:space="preserve">得 </w:t>
            </w: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en-US" w:eastAsia="zh-CN"/>
              </w:rPr>
              <w:t xml:space="preserve"> 分</w:t>
            </w:r>
            <w:r>
              <w:rPr>
                <w:rFonts w:hint="eastAsia" w:hAnsi="宋体" w:cs="宋体"/>
                <w:b w:val="0"/>
                <w:bCs/>
                <w:color w:val="auto"/>
                <w:kern w:val="2"/>
                <w:sz w:val="21"/>
                <w:szCs w:val="21"/>
                <w:highlight w:val="none"/>
                <w:lang w:val="en-US" w:eastAsia="zh-CN"/>
              </w:rPr>
              <w:t>。没有不得分，</w:t>
            </w:r>
            <w:r>
              <w:rPr>
                <w:rFonts w:hint="eastAsia" w:ascii="宋体" w:hAnsi="宋体" w:eastAsia="宋体" w:cs="宋体"/>
                <w:b w:val="0"/>
                <w:bCs/>
                <w:color w:val="auto"/>
                <w:kern w:val="2"/>
                <w:sz w:val="21"/>
                <w:szCs w:val="21"/>
                <w:highlight w:val="none"/>
                <w:lang w:val="en-US" w:eastAsia="zh-CN"/>
              </w:rPr>
              <w:t>本项最高得</w:t>
            </w: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（说明：以上</w:t>
            </w:r>
            <w:r>
              <w:rPr>
                <w:rFonts w:hint="eastAsia" w:hAnsi="宋体" w:cs="宋体"/>
                <w:b w:val="0"/>
                <w:bCs/>
                <w:color w:val="auto"/>
                <w:kern w:val="2"/>
                <w:sz w:val="21"/>
                <w:szCs w:val="21"/>
                <w:highlight w:val="none"/>
                <w:lang w:val="en-US" w:eastAsia="zh-CN"/>
              </w:rPr>
              <w:t>人员</w:t>
            </w:r>
            <w:r>
              <w:rPr>
                <w:rFonts w:hint="eastAsia" w:ascii="宋体" w:hAnsi="宋体" w:eastAsia="宋体" w:cs="宋体"/>
                <w:b w:val="0"/>
                <w:bCs/>
                <w:color w:val="auto"/>
                <w:kern w:val="2"/>
                <w:sz w:val="21"/>
                <w:szCs w:val="21"/>
                <w:highlight w:val="none"/>
                <w:lang w:val="en-US" w:eastAsia="zh-CN"/>
              </w:rPr>
              <w:t>提供相关人员证书复印件、身份证复印件、证明其与投标人存在劳动关系的证明材料复印件）</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default"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6</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4"/>
                <w:szCs w:val="24"/>
                <w:highlight w:val="none"/>
                <w:lang w:val="en-US" w:eastAsia="zh-CN"/>
              </w:rPr>
              <w:t>本地化服务</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rPr>
              <w:t>%</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rPr>
              <w:t>分</w:t>
            </w:r>
          </w:p>
        </w:tc>
        <w:tc>
          <w:tcPr>
            <w:tcW w:w="54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投标人承诺中标后在项目所在地设立该项目运维</w:t>
            </w:r>
            <w:r>
              <w:rPr>
                <w:rFonts w:hint="eastAsia" w:hAnsi="宋体" w:cs="宋体"/>
                <w:b w:val="0"/>
                <w:bCs/>
                <w:color w:val="auto"/>
                <w:kern w:val="2"/>
                <w:sz w:val="21"/>
                <w:szCs w:val="21"/>
                <w:highlight w:val="none"/>
                <w:lang w:val="en-US" w:eastAsia="zh-CN"/>
              </w:rPr>
              <w:t>服务</w:t>
            </w:r>
            <w:r>
              <w:rPr>
                <w:rFonts w:hint="eastAsia" w:ascii="宋体" w:hAnsi="宋体" w:eastAsia="宋体" w:cs="宋体"/>
                <w:b w:val="0"/>
                <w:bCs/>
                <w:color w:val="auto"/>
                <w:kern w:val="2"/>
                <w:sz w:val="21"/>
                <w:szCs w:val="21"/>
                <w:highlight w:val="none"/>
                <w:lang w:val="en-US" w:eastAsia="zh-CN"/>
              </w:rPr>
              <w:t>机构的,得</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分。（说明：提供承诺函及运维</w:t>
            </w:r>
            <w:r>
              <w:rPr>
                <w:rFonts w:hint="eastAsia" w:hAnsi="宋体" w:cs="宋体"/>
                <w:b w:val="0"/>
                <w:bCs/>
                <w:color w:val="auto"/>
                <w:kern w:val="2"/>
                <w:sz w:val="21"/>
                <w:szCs w:val="21"/>
                <w:highlight w:val="none"/>
                <w:lang w:val="en-US" w:eastAsia="zh-CN"/>
              </w:rPr>
              <w:t>服务</w:t>
            </w:r>
            <w:r>
              <w:rPr>
                <w:rFonts w:hint="eastAsia" w:ascii="宋体" w:hAnsi="宋体" w:eastAsia="宋体" w:cs="宋体"/>
                <w:b w:val="0"/>
                <w:bCs/>
                <w:color w:val="auto"/>
                <w:kern w:val="2"/>
                <w:sz w:val="21"/>
                <w:szCs w:val="21"/>
                <w:highlight w:val="none"/>
                <w:lang w:val="en-US" w:eastAsia="zh-CN"/>
              </w:rPr>
              <w:t>机构设置方案）。</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7</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不发达地区和少数民族地区</w:t>
            </w: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rPr>
              <w:t>%</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rPr>
              <w:t>分</w:t>
            </w:r>
          </w:p>
        </w:tc>
        <w:tc>
          <w:tcPr>
            <w:tcW w:w="5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投标人如为不发达地区或少数民族地区的，得</w:t>
            </w: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rPr>
              <w:t>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eastAsia="zh-CN"/>
              </w:rPr>
              <w:t>注：提供声明函或相关证明材料，声明函格式自拟。如有虚假，将依法承担相应责任。</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8</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投标文件的规范性</w:t>
            </w: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rPr>
              <w:t>%</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rPr>
              <w:t>分</w:t>
            </w:r>
          </w:p>
        </w:tc>
        <w:tc>
          <w:tcPr>
            <w:tcW w:w="5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left"/>
              <w:textAlignment w:val="auto"/>
              <w:outlineLvl w:val="9"/>
              <w:rPr>
                <w:rFonts w:hint="eastAsia" w:ascii="宋体" w:hAnsi="宋体" w:eastAsia="宋体" w:cs="宋体"/>
                <w:b w:val="0"/>
                <w:bCs/>
                <w:color w:val="auto"/>
                <w:kern w:val="2"/>
                <w:sz w:val="21"/>
                <w:szCs w:val="21"/>
                <w:highlight w:val="none"/>
                <w:lang w:val="en-US"/>
              </w:rPr>
            </w:pPr>
            <w:r>
              <w:rPr>
                <w:rFonts w:hint="eastAsia" w:ascii="宋体" w:hAnsi="宋体" w:eastAsia="宋体" w:cs="宋体"/>
                <w:b w:val="0"/>
                <w:bCs/>
                <w:color w:val="auto"/>
                <w:kern w:val="2"/>
                <w:sz w:val="21"/>
                <w:szCs w:val="21"/>
                <w:highlight w:val="none"/>
                <w:lang w:val="en-US"/>
              </w:rPr>
              <w:t>投标文件制作规范，没有细微偏差情形的得</w:t>
            </w: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en-US"/>
              </w:rPr>
              <w:t>分</w:t>
            </w:r>
            <w:r>
              <w:rPr>
                <w:rFonts w:hint="eastAsia" w:hAnsi="宋体" w:cs="宋体"/>
                <w:b w:val="0"/>
                <w:bCs/>
                <w:color w:val="auto"/>
                <w:kern w:val="2"/>
                <w:sz w:val="21"/>
                <w:szCs w:val="21"/>
                <w:highlight w:val="none"/>
                <w:lang w:val="en-US" w:eastAsia="zh-CN"/>
              </w:rPr>
              <w:t>，</w:t>
            </w:r>
            <w:r>
              <w:rPr>
                <w:rFonts w:hint="eastAsia" w:ascii="宋体" w:hAnsi="宋体" w:eastAsia="宋体" w:cs="宋体"/>
                <w:b w:val="0"/>
                <w:bCs/>
                <w:color w:val="auto"/>
                <w:kern w:val="2"/>
                <w:sz w:val="21"/>
                <w:szCs w:val="21"/>
                <w:highlight w:val="none"/>
                <w:lang w:val="en-US"/>
              </w:rPr>
              <w:t>有一项细微偏差扣</w:t>
            </w:r>
            <w:r>
              <w:rPr>
                <w:rFonts w:hint="eastAsia" w:hAnsi="宋体" w:cs="宋体"/>
                <w:b w:val="0"/>
                <w:bCs/>
                <w:color w:val="auto"/>
                <w:kern w:val="2"/>
                <w:sz w:val="21"/>
                <w:szCs w:val="21"/>
                <w:highlight w:val="none"/>
                <w:lang w:val="en-US" w:eastAsia="zh-CN"/>
              </w:rPr>
              <w:t>0.5</w:t>
            </w:r>
            <w:r>
              <w:rPr>
                <w:rFonts w:hint="eastAsia" w:ascii="宋体" w:hAnsi="宋体" w:eastAsia="宋体" w:cs="宋体"/>
                <w:b w:val="0"/>
                <w:bCs/>
                <w:color w:val="auto"/>
                <w:kern w:val="2"/>
                <w:sz w:val="21"/>
                <w:szCs w:val="21"/>
                <w:highlight w:val="none"/>
                <w:lang w:val="en-US"/>
              </w:rPr>
              <w:t>分，直至该项分值扣完为止。</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28" w:firstLineChars="0"/>
              <w:jc w:val="center"/>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rPr>
              <w:t>共同评分因素</w:t>
            </w:r>
          </w:p>
        </w:tc>
      </w:tr>
    </w:tbl>
    <w:p>
      <w:pPr>
        <w:rPr>
          <w:color w:val="auto"/>
        </w:rPr>
      </w:pPr>
    </w:p>
    <w:p>
      <w:pPr>
        <w:pStyle w:val="4"/>
        <w:spacing w:before="0" w:after="0" w:line="440" w:lineRule="exact"/>
        <w:ind w:left="680" w:left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五、复核</w:t>
      </w:r>
      <w:bookmarkEnd w:id="1017"/>
      <w:bookmarkStart w:id="1146" w:name="_GoBack"/>
      <w:bookmarkEnd w:id="1146"/>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(一)评标委员会复核</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评分汇总结束后，评标委员会应当进行复核，特别要对拟推荐为中标候选供应商的、报价最低的、投标文件被认定为无效的进行重点复核。</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(二)招标采购单位现场复核评标结果（注：因本项目为不见面开标，以下涉及提供相关书面说明的，以政府采购云平台的实际操作为准）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1.1</w:t>
      </w:r>
      <w:r>
        <w:rPr>
          <w:rFonts w:hint="eastAsia" w:hAnsi="宋体" w:cs="宋体"/>
          <w:color w:val="auto"/>
          <w:sz w:val="24"/>
          <w:szCs w:val="20"/>
          <w:highlight w:val="none"/>
        </w:rPr>
        <w:t>分值汇总计算错误的；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1.2分项评分超出评分标准范围的；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1.3评标委员会成员对客观评审因素评分不一致的；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1.4经评标委员会认定评分畸高、畸低的。</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numPr>
          <w:ilvl w:val="0"/>
          <w:numId w:val="23"/>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招标采购单位复核过程中，评标委员会不得离开评标现场。</w:t>
      </w:r>
    </w:p>
    <w:p>
      <w:pPr>
        <w:pStyle w:val="63"/>
        <w:spacing w:line="440" w:lineRule="exact"/>
        <w:ind w:firstLine="480" w:firstLineChars="200"/>
        <w:jc w:val="both"/>
        <w:rPr>
          <w:color w:val="auto"/>
          <w:highlight w:val="none"/>
        </w:rPr>
      </w:pPr>
      <w:r>
        <w:rPr>
          <w:rFonts w:hint="eastAsia"/>
          <w:color w:val="auto"/>
          <w:highlight w:val="none"/>
        </w:rPr>
        <w:t>3.有下列情形之一的，不得修改评标结果或者重新评标：</w:t>
      </w:r>
    </w:p>
    <w:p>
      <w:pPr>
        <w:pStyle w:val="63"/>
        <w:spacing w:line="440" w:lineRule="exact"/>
        <w:ind w:firstLine="480" w:firstLineChars="200"/>
        <w:jc w:val="both"/>
        <w:rPr>
          <w:color w:val="auto"/>
          <w:highlight w:val="none"/>
        </w:rPr>
      </w:pPr>
      <w:r>
        <w:rPr>
          <w:rFonts w:hint="eastAsia"/>
          <w:color w:val="auto"/>
          <w:highlight w:val="none"/>
        </w:rPr>
        <w:t>3.1评标委员会已经出具评标报告并且离开评标现场的；</w:t>
      </w:r>
    </w:p>
    <w:p>
      <w:pPr>
        <w:pStyle w:val="63"/>
        <w:spacing w:line="440" w:lineRule="exact"/>
        <w:ind w:firstLine="480" w:firstLineChars="200"/>
        <w:jc w:val="both"/>
        <w:rPr>
          <w:color w:val="auto"/>
          <w:highlight w:val="none"/>
        </w:rPr>
      </w:pPr>
      <w:r>
        <w:rPr>
          <w:rFonts w:hint="eastAsia"/>
          <w:color w:val="auto"/>
          <w:highlight w:val="none"/>
        </w:rPr>
        <w:t>3.2招标采购单位现场复核时，复核工作人员数量不足的；</w:t>
      </w:r>
    </w:p>
    <w:p>
      <w:pPr>
        <w:pStyle w:val="63"/>
        <w:spacing w:line="440" w:lineRule="exact"/>
        <w:ind w:firstLine="480" w:firstLineChars="200"/>
        <w:jc w:val="both"/>
        <w:rPr>
          <w:color w:val="auto"/>
          <w:highlight w:val="none"/>
        </w:rPr>
      </w:pPr>
      <w:r>
        <w:rPr>
          <w:rFonts w:hint="eastAsia"/>
          <w:color w:val="auto"/>
          <w:highlight w:val="none"/>
        </w:rPr>
        <w:t>3.3招标采购单位现场复核时，没有采购监督人员现场监督的；</w:t>
      </w:r>
    </w:p>
    <w:p>
      <w:pPr>
        <w:pStyle w:val="63"/>
        <w:spacing w:line="440" w:lineRule="exact"/>
        <w:ind w:firstLine="480" w:firstLineChars="200"/>
        <w:jc w:val="both"/>
        <w:rPr>
          <w:color w:val="auto"/>
          <w:highlight w:val="none"/>
        </w:rPr>
      </w:pPr>
      <w:r>
        <w:rPr>
          <w:rFonts w:hint="eastAsia"/>
          <w:color w:val="auto"/>
          <w:highlight w:val="none"/>
        </w:rPr>
        <w:t>3.4招标采购单位现场复核内容超出规定范围的；</w:t>
      </w:r>
    </w:p>
    <w:p>
      <w:pPr>
        <w:pStyle w:val="2"/>
        <w:spacing w:after="0" w:line="440" w:lineRule="exact"/>
        <w:ind w:firstLine="480" w:firstLineChars="200"/>
        <w:rPr>
          <w:rFonts w:ascii="宋体" w:hAnsi="宋体" w:cs="宋体"/>
          <w:color w:val="auto"/>
          <w:highlight w:val="none"/>
        </w:rPr>
      </w:pPr>
      <w:r>
        <w:rPr>
          <w:rFonts w:hint="eastAsia" w:ascii="宋体" w:hAnsi="宋体" w:cs="宋体"/>
          <w:color w:val="auto"/>
          <w:highlight w:val="none"/>
        </w:rPr>
        <w:t>3.5招标采购单位未提供书面建议的。</w:t>
      </w:r>
    </w:p>
    <w:p>
      <w:pPr>
        <w:pStyle w:val="4"/>
        <w:spacing w:before="0" w:after="0" w:line="440" w:lineRule="exact"/>
        <w:ind w:firstLine="241" w:firstLineChars="100"/>
        <w:rPr>
          <w:rFonts w:ascii="宋体" w:hAnsi="宋体" w:eastAsia="宋体" w:cs="宋体"/>
          <w:bCs w:val="0"/>
          <w:color w:val="auto"/>
          <w:sz w:val="24"/>
          <w:szCs w:val="24"/>
          <w:highlight w:val="none"/>
        </w:rPr>
      </w:pPr>
      <w:bookmarkStart w:id="1022" w:name="_Toc11052"/>
      <w:r>
        <w:rPr>
          <w:rFonts w:hint="eastAsia" w:ascii="宋体" w:hAnsi="宋体" w:eastAsia="宋体" w:cs="宋体"/>
          <w:bCs w:val="0"/>
          <w:color w:val="auto"/>
          <w:sz w:val="24"/>
          <w:szCs w:val="24"/>
          <w:highlight w:val="none"/>
        </w:rPr>
        <w:t>六、推荐中标候选供应商</w:t>
      </w:r>
      <w:bookmarkEnd w:id="1022"/>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中标候选供应商数量应当根据招标文件的规定确定，但必须按顺序排列中标候选供应商。采用最低评标价法的，评标结果按投标报价由低到高顺序排列。投标报价相同的并列。投标文件满足招标文件全部实质性要求且投标报价最低的投标人为排名第一的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Style w:val="4"/>
        <w:spacing w:before="0" w:after="0" w:line="440" w:lineRule="exact"/>
        <w:ind w:firstLine="241" w:firstLineChars="100"/>
        <w:rPr>
          <w:rFonts w:ascii="宋体" w:hAnsi="宋体" w:eastAsia="宋体" w:cs="宋体"/>
          <w:bCs w:val="0"/>
          <w:color w:val="auto"/>
          <w:sz w:val="24"/>
          <w:szCs w:val="24"/>
          <w:highlight w:val="none"/>
        </w:rPr>
      </w:pPr>
      <w:bookmarkStart w:id="1023" w:name="_Toc5799"/>
      <w:r>
        <w:rPr>
          <w:rFonts w:hint="eastAsia" w:ascii="宋体" w:hAnsi="宋体" w:eastAsia="宋体" w:cs="宋体"/>
          <w:bCs w:val="0"/>
          <w:color w:val="auto"/>
          <w:sz w:val="24"/>
          <w:szCs w:val="24"/>
          <w:highlight w:val="none"/>
        </w:rPr>
        <w:t>七、出具评标报告</w:t>
      </w:r>
      <w:bookmarkEnd w:id="1023"/>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评标委员会推荐中标候选供应商后，应当向招标采购单位出具评标报告。评标报告应当包括下列内容：</w:t>
      </w:r>
    </w:p>
    <w:p>
      <w:pPr>
        <w:pStyle w:val="31"/>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1.招标公告刊登的媒体名称、开标日期和地点；</w:t>
      </w:r>
    </w:p>
    <w:p>
      <w:pPr>
        <w:pStyle w:val="31"/>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2.投标人名单和评标委员会成员名单；</w:t>
      </w:r>
    </w:p>
    <w:p>
      <w:pPr>
        <w:pStyle w:val="31"/>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3.评标方法和标准；</w:t>
      </w:r>
    </w:p>
    <w:p>
      <w:pPr>
        <w:pStyle w:val="31"/>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4.开标记录和评标情况及说明，包括无效投标人名单及原因；</w:t>
      </w:r>
    </w:p>
    <w:p>
      <w:pPr>
        <w:pStyle w:val="31"/>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5.评标结果，确定的中标候选人名单或者经采购人委托直接确定的中标人；</w:t>
      </w:r>
    </w:p>
    <w:p>
      <w:pPr>
        <w:spacing w:line="440" w:lineRule="exact"/>
        <w:ind w:firstLine="496" w:firstLineChars="207"/>
        <w:rPr>
          <w:rFonts w:hAnsi="宋体" w:cs="宋体"/>
          <w:color w:val="auto"/>
          <w:sz w:val="24"/>
          <w:szCs w:val="24"/>
          <w:highlight w:val="none"/>
        </w:rPr>
      </w:pPr>
      <w:r>
        <w:rPr>
          <w:rFonts w:hint="eastAsia" w:hAnsi="宋体" w:cs="宋体"/>
          <w:color w:val="auto"/>
          <w:sz w:val="24"/>
          <w:szCs w:val="24"/>
          <w:highlight w:val="none"/>
        </w:rPr>
        <w:t>6.其他需要说明的情况，包括评标过程中投标人根据评标委员会要求进行的澄清、说明或者补正，评标委员会成员的更换等。</w:t>
      </w:r>
    </w:p>
    <w:p>
      <w:pPr>
        <w:keepNext/>
        <w:keepLines/>
        <w:ind w:firstLine="480" w:firstLineChars="200"/>
        <w:rPr>
          <w:rFonts w:hAnsi="宋体" w:cs="宋体"/>
          <w:bCs/>
          <w:color w:val="auto"/>
          <w:sz w:val="24"/>
          <w:szCs w:val="24"/>
          <w:highlight w:val="none"/>
        </w:rPr>
      </w:pPr>
      <w:r>
        <w:rPr>
          <w:rFonts w:hint="eastAsia" w:hAnsi="宋体" w:cs="宋体"/>
          <w:color w:val="auto"/>
          <w:sz w:val="24"/>
          <w:highlight w:val="none"/>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1018"/>
    <w:bookmarkEnd w:id="1019"/>
    <w:bookmarkEnd w:id="1020"/>
    <w:bookmarkEnd w:id="1021"/>
    <w:p>
      <w:pPr>
        <w:pStyle w:val="4"/>
        <w:spacing w:before="0" w:after="0" w:line="440" w:lineRule="exact"/>
        <w:ind w:firstLine="241" w:firstLineChars="1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八、废标</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本次政府采购活动中，出现下列情形之一的，予以废标：</w:t>
      </w:r>
    </w:p>
    <w:p>
      <w:pPr>
        <w:numPr>
          <w:ilvl w:val="0"/>
          <w:numId w:val="24"/>
        </w:numPr>
        <w:spacing w:line="440" w:lineRule="exact"/>
        <w:ind w:firstLine="480" w:firstLineChars="200"/>
        <w:rPr>
          <w:rFonts w:hAnsi="宋体" w:cs="宋体"/>
          <w:color w:val="auto"/>
          <w:sz w:val="24"/>
          <w:highlight w:val="none"/>
        </w:rPr>
      </w:pPr>
      <w:r>
        <w:rPr>
          <w:rFonts w:hint="eastAsia" w:hAnsi="宋体" w:cs="宋体"/>
          <w:color w:val="auto"/>
          <w:sz w:val="24"/>
          <w:highlight w:val="none"/>
        </w:rPr>
        <w:t>符合专业条件的供应商或者对招标文件作实质响应的供应商不足三家的；</w:t>
      </w:r>
    </w:p>
    <w:p>
      <w:pPr>
        <w:numPr>
          <w:ilvl w:val="0"/>
          <w:numId w:val="24"/>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出现影响采购公正的违法、违规行为的；</w:t>
      </w:r>
    </w:p>
    <w:p>
      <w:pPr>
        <w:numPr>
          <w:ilvl w:val="0"/>
          <w:numId w:val="24"/>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投标人的报价均超过了采购预算，采购人不能支付的；</w:t>
      </w:r>
    </w:p>
    <w:p>
      <w:pPr>
        <w:numPr>
          <w:ilvl w:val="0"/>
          <w:numId w:val="24"/>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因重大变故，采购任务取消的。</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废标后，采购代理机构应在四川政府采购网上公告，并公告废标的理由。</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5.对于废标的采购项目，评标委员会应当对招标文件是否存在倾向性和歧视性、是否存在不合理条款进行论证，并出具书面论证意见。</w:t>
      </w:r>
    </w:p>
    <w:p>
      <w:pPr>
        <w:pStyle w:val="4"/>
        <w:spacing w:before="0" w:after="0" w:line="440" w:lineRule="exact"/>
        <w:ind w:firstLine="241" w:firstLineChars="100"/>
        <w:rPr>
          <w:rFonts w:ascii="宋体" w:hAnsi="宋体" w:eastAsia="宋体" w:cs="宋体"/>
          <w:bCs w:val="0"/>
          <w:color w:val="auto"/>
          <w:sz w:val="24"/>
          <w:szCs w:val="24"/>
          <w:highlight w:val="none"/>
        </w:rPr>
      </w:pPr>
      <w:bookmarkStart w:id="1024" w:name="_Toc319439949"/>
      <w:bookmarkStart w:id="1025" w:name="_Toc2453"/>
      <w:bookmarkStart w:id="1026" w:name="_Toc7121"/>
      <w:bookmarkStart w:id="1027" w:name="_Toc31281"/>
      <w:bookmarkStart w:id="1028" w:name="_Toc25875"/>
      <w:bookmarkStart w:id="1029" w:name="_Toc308084649"/>
      <w:bookmarkStart w:id="1030" w:name="_Toc309897567"/>
      <w:bookmarkStart w:id="1031" w:name="_Toc24655"/>
      <w:bookmarkStart w:id="1032" w:name="_Toc307501158"/>
      <w:bookmarkStart w:id="1033" w:name="_Toc327196344"/>
      <w:bookmarkStart w:id="1034" w:name="_Toc308188202"/>
      <w:bookmarkStart w:id="1035" w:name="_Toc4475"/>
      <w:bookmarkStart w:id="1036" w:name="_Toc21352"/>
      <w:bookmarkStart w:id="1037" w:name="_Toc10846"/>
      <w:bookmarkStart w:id="1038" w:name="_Toc307564900"/>
      <w:bookmarkStart w:id="1039" w:name="_Toc319440193"/>
      <w:bookmarkStart w:id="1040" w:name="_Toc1137"/>
      <w:bookmarkStart w:id="1041" w:name="_Toc4794"/>
      <w:bookmarkStart w:id="1042" w:name="_Toc13169"/>
      <w:r>
        <w:rPr>
          <w:rFonts w:hint="eastAsia" w:ascii="宋体" w:hAnsi="宋体" w:eastAsia="宋体" w:cs="宋体"/>
          <w:bCs w:val="0"/>
          <w:color w:val="auto"/>
          <w:sz w:val="24"/>
          <w:szCs w:val="24"/>
          <w:highlight w:val="none"/>
        </w:rPr>
        <w:t>九、定标</w:t>
      </w:r>
      <w:bookmarkEnd w:id="908"/>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Start w:id="1043" w:name="_Toc217446061"/>
    </w:p>
    <w:p>
      <w:pPr>
        <w:numPr>
          <w:ilvl w:val="0"/>
          <w:numId w:val="25"/>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定标原则</w:t>
      </w:r>
      <w:bookmarkEnd w:id="1043"/>
      <w:r>
        <w:rPr>
          <w:rFonts w:hint="eastAsia" w:hAnsi="宋体" w:cs="宋体"/>
          <w:color w:val="auto"/>
          <w:sz w:val="24"/>
          <w:highlight w:val="none"/>
        </w:rPr>
        <w:t>：本项目根据评委会推荐的中标候选人名单，按顺序确定中标人。</w:t>
      </w:r>
    </w:p>
    <w:p>
      <w:pPr>
        <w:numPr>
          <w:ilvl w:val="0"/>
          <w:numId w:val="25"/>
        </w:numPr>
        <w:spacing w:line="440" w:lineRule="exact"/>
        <w:ind w:firstLine="480" w:firstLineChars="200"/>
        <w:rPr>
          <w:rFonts w:hAnsi="宋体" w:cs="宋体"/>
          <w:color w:val="auto"/>
          <w:sz w:val="24"/>
          <w:highlight w:val="none"/>
        </w:rPr>
      </w:pPr>
      <w:bookmarkStart w:id="1044" w:name="_Toc217446062"/>
      <w:r>
        <w:rPr>
          <w:rFonts w:hint="eastAsia" w:hAnsi="宋体" w:cs="宋体"/>
          <w:color w:val="auto"/>
          <w:sz w:val="24"/>
          <w:highlight w:val="none"/>
        </w:rPr>
        <w:t>定标程序</w:t>
      </w:r>
      <w:bookmarkEnd w:id="1044"/>
    </w:p>
    <w:p>
      <w:pPr>
        <w:numPr>
          <w:ilvl w:val="0"/>
          <w:numId w:val="26"/>
        </w:numPr>
        <w:spacing w:line="440" w:lineRule="exact"/>
        <w:ind w:firstLine="480" w:firstLineChars="200"/>
        <w:rPr>
          <w:rFonts w:hAnsi="宋体" w:cs="宋体"/>
          <w:color w:val="auto"/>
          <w:sz w:val="24"/>
          <w:highlight w:val="none"/>
        </w:rPr>
      </w:pPr>
      <w:r>
        <w:rPr>
          <w:rFonts w:hint="eastAsia" w:hAnsi="宋体" w:cs="宋体"/>
          <w:color w:val="auto"/>
          <w:sz w:val="24"/>
          <w:highlight w:val="none"/>
        </w:rPr>
        <w:t>评委会将评标情况写出书面报告，推荐三名中标候选人，并按照综合得分高低标明排列顺序。</w:t>
      </w:r>
    </w:p>
    <w:p>
      <w:pPr>
        <w:numPr>
          <w:ilvl w:val="0"/>
          <w:numId w:val="26"/>
        </w:numPr>
        <w:spacing w:line="440" w:lineRule="exact"/>
        <w:ind w:firstLine="480" w:firstLineChars="200"/>
        <w:rPr>
          <w:rFonts w:hAnsi="宋体" w:cs="宋体"/>
          <w:color w:val="auto"/>
          <w:sz w:val="24"/>
          <w:highlight w:val="none"/>
        </w:rPr>
      </w:pPr>
      <w:r>
        <w:rPr>
          <w:rFonts w:hint="eastAsia" w:hAnsi="宋体" w:cs="宋体"/>
          <w:color w:val="auto"/>
          <w:sz w:val="24"/>
          <w:highlight w:val="none"/>
        </w:rPr>
        <w:t>采购代理机构在评标结束后2个工作日内将评标报告送采购人。</w:t>
      </w:r>
    </w:p>
    <w:p>
      <w:pPr>
        <w:numPr>
          <w:ilvl w:val="0"/>
          <w:numId w:val="26"/>
        </w:numPr>
        <w:spacing w:line="440" w:lineRule="exact"/>
        <w:ind w:firstLine="480" w:firstLineChars="200"/>
        <w:rPr>
          <w:rFonts w:hAnsi="宋体" w:cs="宋体"/>
          <w:color w:val="auto"/>
          <w:sz w:val="24"/>
          <w:szCs w:val="20"/>
          <w:highlight w:val="none"/>
        </w:rPr>
      </w:pPr>
      <w:r>
        <w:rPr>
          <w:rFonts w:hint="eastAsia" w:hAnsi="宋体" w:cs="宋体"/>
          <w:color w:val="auto"/>
          <w:sz w:val="24"/>
          <w:szCs w:val="20"/>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hAnsi="宋体" w:cs="宋体"/>
          <w:color w:val="auto"/>
          <w:sz w:val="24"/>
          <w:highlight w:val="none"/>
        </w:rPr>
        <w:t>。</w:t>
      </w:r>
    </w:p>
    <w:p>
      <w:pPr>
        <w:spacing w:line="440" w:lineRule="exact"/>
        <w:ind w:firstLine="499" w:firstLineChars="208"/>
        <w:rPr>
          <w:rFonts w:hAnsi="宋体" w:cs="宋体"/>
          <w:color w:val="auto"/>
          <w:sz w:val="24"/>
          <w:szCs w:val="20"/>
          <w:highlight w:val="none"/>
        </w:rPr>
      </w:pPr>
      <w:r>
        <w:rPr>
          <w:rFonts w:hint="eastAsia" w:hAnsi="宋体" w:cs="宋体"/>
          <w:color w:val="auto"/>
          <w:sz w:val="24"/>
          <w:szCs w:val="20"/>
          <w:highlight w:val="none"/>
        </w:rPr>
        <w:t>采购人在收到评标报告5个工作日内未按评标报告推荐的中标候选人顺序确定中标人，又不能说明合法理由的，视同按评标报告推荐的顺序确定排名第一的中标候选人为中标人。</w:t>
      </w:r>
    </w:p>
    <w:p>
      <w:pPr>
        <w:numPr>
          <w:ilvl w:val="0"/>
          <w:numId w:val="26"/>
        </w:numPr>
        <w:spacing w:line="440" w:lineRule="exact"/>
        <w:ind w:firstLine="480" w:firstLineChars="200"/>
        <w:rPr>
          <w:rFonts w:hAnsi="宋体" w:cs="宋体"/>
          <w:color w:val="auto"/>
          <w:sz w:val="24"/>
          <w:highlight w:val="none"/>
        </w:rPr>
      </w:pPr>
      <w:r>
        <w:rPr>
          <w:rFonts w:hint="eastAsia" w:hAnsi="宋体" w:cs="宋体"/>
          <w:color w:val="auto"/>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注：采购人按照推荐的中标候选供应商顺序确定中标供应商，不能认为采购人只能确定第一中标候选供应商为中标供应商，采购人有正当理由的，可以确定后一顺序中标候选供应商为中标供应商，依次类推。</w:t>
      </w:r>
    </w:p>
    <w:p>
      <w:pPr>
        <w:numPr>
          <w:ilvl w:val="0"/>
          <w:numId w:val="26"/>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根据采购人确定的中标供应商，采购代理机构在四川政府采购网上发布中标公告，并自采购人确定中标之日起2个工作日内向中标供应商发出中标通知书。</w:t>
      </w:r>
    </w:p>
    <w:p>
      <w:pPr>
        <w:numPr>
          <w:ilvl w:val="0"/>
          <w:numId w:val="26"/>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招标采购单位不退回投标人投标文件和其他投标资料。</w:t>
      </w:r>
    </w:p>
    <w:bookmarkEnd w:id="909"/>
    <w:p>
      <w:pPr>
        <w:pStyle w:val="4"/>
        <w:spacing w:before="0" w:after="0" w:line="440" w:lineRule="exact"/>
        <w:ind w:firstLine="241" w:firstLineChars="100"/>
        <w:rPr>
          <w:rFonts w:ascii="宋体" w:hAnsi="宋体" w:eastAsia="宋体" w:cs="宋体"/>
          <w:bCs w:val="0"/>
          <w:color w:val="auto"/>
          <w:sz w:val="24"/>
          <w:szCs w:val="24"/>
          <w:highlight w:val="none"/>
        </w:rPr>
      </w:pPr>
      <w:bookmarkStart w:id="1045" w:name="_Toc27662"/>
      <w:bookmarkStart w:id="1046" w:name="_Toc8099"/>
      <w:bookmarkStart w:id="1047" w:name="_Toc25084"/>
      <w:bookmarkStart w:id="1048" w:name="_Toc15982"/>
      <w:bookmarkStart w:id="1049" w:name="_Toc319440194"/>
      <w:bookmarkStart w:id="1050" w:name="_Toc307564901"/>
      <w:bookmarkStart w:id="1051" w:name="_Toc32114"/>
      <w:bookmarkStart w:id="1052" w:name="_Toc309897568"/>
      <w:bookmarkStart w:id="1053" w:name="_Toc25198"/>
      <w:bookmarkStart w:id="1054" w:name="_Toc27423"/>
      <w:bookmarkStart w:id="1055" w:name="_Toc319439950"/>
      <w:bookmarkStart w:id="1056" w:name="_Toc308084650"/>
      <w:bookmarkStart w:id="1057" w:name="_Toc307501159"/>
      <w:bookmarkStart w:id="1058" w:name="_Toc16879"/>
      <w:bookmarkStart w:id="1059" w:name="_Toc18632"/>
      <w:bookmarkStart w:id="1060" w:name="_Toc14102"/>
      <w:bookmarkStart w:id="1061" w:name="_Toc327196345"/>
      <w:bookmarkStart w:id="1062" w:name="_Toc308188203"/>
      <w:bookmarkStart w:id="1063" w:name="_Toc10903"/>
      <w:r>
        <w:rPr>
          <w:rFonts w:hint="eastAsia" w:ascii="宋体" w:hAnsi="宋体" w:eastAsia="宋体" w:cs="宋体"/>
          <w:bCs w:val="0"/>
          <w:color w:val="auto"/>
          <w:sz w:val="24"/>
          <w:szCs w:val="24"/>
          <w:highlight w:val="none"/>
        </w:rPr>
        <w:t>十、评标专家在政府采购活动中承担以下义务</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(一)遵守评标工作纪律；</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(二)按照客观、公正、审慎的原则，根据招标文件规定的评标程序、评标方法和评标标准进行独立评标；</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(三)不得泄露评标文件、评标情况和在评标过程中获悉的商业秘密；</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(四)及时向财政部门报告评标过程中发现的采购人、采购代理机构向评标专家做倾向性、误导性的解释或者说明，以及供应商行贿、提供虚假材料或者串通等违法行为；</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(五)发现招标文件内容违反国家有关强制性规定或者采购文件存在歧义、重大缺陷导致评标工作无法进行时，停止评标并向采购人或者采购代理机构书面说明情况；</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(六)及时向财政、监察等部门举报在评标过程中受到的非法干预情况；</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(七)配合答复处理供应商的询问、质疑和投诉等事项；</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(八)法律、法规和规章规定的其他义务。</w:t>
      </w:r>
    </w:p>
    <w:p>
      <w:pPr>
        <w:pStyle w:val="4"/>
        <w:spacing w:before="0" w:after="0" w:line="440" w:lineRule="exact"/>
        <w:ind w:firstLine="241" w:firstLineChars="100"/>
        <w:rPr>
          <w:rFonts w:ascii="宋体" w:hAnsi="宋体" w:eastAsia="宋体" w:cs="宋体"/>
          <w:bCs w:val="0"/>
          <w:color w:val="auto"/>
          <w:sz w:val="24"/>
          <w:szCs w:val="24"/>
          <w:highlight w:val="none"/>
        </w:rPr>
      </w:pPr>
      <w:bookmarkStart w:id="1064" w:name="_Toc28428"/>
      <w:bookmarkStart w:id="1065" w:name="_Toc319440195"/>
      <w:bookmarkStart w:id="1066" w:name="_Toc30872"/>
      <w:bookmarkStart w:id="1067" w:name="_Toc3688"/>
      <w:bookmarkStart w:id="1068" w:name="_Toc1690"/>
      <w:bookmarkStart w:id="1069" w:name="_Toc27047"/>
      <w:bookmarkStart w:id="1070" w:name="_Toc22368"/>
      <w:bookmarkStart w:id="1071" w:name="_Toc3421"/>
      <w:bookmarkStart w:id="1072" w:name="_Toc24913"/>
      <w:bookmarkStart w:id="1073" w:name="_Toc19071"/>
      <w:bookmarkStart w:id="1074" w:name="_Toc4379"/>
      <w:bookmarkStart w:id="1075" w:name="_Toc12088"/>
      <w:bookmarkStart w:id="1076" w:name="_Toc327196346"/>
      <w:r>
        <w:rPr>
          <w:rFonts w:hint="eastAsia" w:ascii="宋体" w:hAnsi="宋体" w:eastAsia="宋体" w:cs="宋体"/>
          <w:bCs w:val="0"/>
          <w:color w:val="auto"/>
          <w:sz w:val="24"/>
          <w:szCs w:val="24"/>
          <w:highlight w:val="none"/>
        </w:rPr>
        <w:t>十一、评标专家在政府采购活动中应当遵守以下工作纪律</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spacing w:line="440" w:lineRule="exact"/>
        <w:ind w:firstLine="480" w:firstLineChars="200"/>
        <w:rPr>
          <w:rFonts w:hAnsi="宋体" w:cs="宋体"/>
          <w:color w:val="auto"/>
          <w:sz w:val="24"/>
          <w:highlight w:val="none"/>
        </w:rPr>
      </w:pPr>
      <w:bookmarkStart w:id="1077" w:name="_Toc28956"/>
      <w:r>
        <w:rPr>
          <w:rFonts w:hint="eastAsia" w:hAnsi="宋体" w:cs="宋体"/>
          <w:color w:val="auto"/>
          <w:sz w:val="24"/>
          <w:highlight w:val="none"/>
        </w:rPr>
        <w:t>(一)遵行《政府采购法》第十二条和《政府采购法实施条例》第九条及财政部关于回避的规定；</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(二)评标前，应当将通讯工具或者相关电子设备交由招标采购单位统一保管；</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(三)评标过程中，不得与外界联系，因发生不可预见情况，确实需要与外界联系的，应当在监督人员监督之下办理；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(五)在评标过程中和评标结束后，不得记录、复制或带走任何评标资料，除因规定的义务外，不得向外界透露评标内容；</w:t>
      </w:r>
    </w:p>
    <w:p>
      <w:pPr>
        <w:widowControl/>
        <w:autoSpaceDE w:val="0"/>
        <w:autoSpaceDN w:val="0"/>
        <w:spacing w:line="440" w:lineRule="exact"/>
        <w:ind w:right="51" w:firstLine="480" w:firstLineChars="200"/>
        <w:textAlignment w:val="bottom"/>
        <w:rPr>
          <w:rFonts w:hAnsi="宋体" w:cs="宋体"/>
          <w:color w:val="auto"/>
          <w:sz w:val="24"/>
          <w:highlight w:val="none"/>
        </w:rPr>
      </w:pPr>
      <w:r>
        <w:rPr>
          <w:rFonts w:hint="eastAsia" w:hAnsi="宋体" w:cs="宋体"/>
          <w:color w:val="auto"/>
          <w:sz w:val="24"/>
          <w:highlight w:val="none"/>
        </w:rPr>
        <w:t>(六)服从评标现场招标采购单位的现场秩序管理，接受评标现场监督人员的合法监督；</w:t>
      </w:r>
    </w:p>
    <w:p>
      <w:pPr>
        <w:widowControl/>
        <w:autoSpaceDE w:val="0"/>
        <w:autoSpaceDN w:val="0"/>
        <w:spacing w:line="440" w:lineRule="exact"/>
        <w:ind w:right="51" w:firstLine="480" w:firstLineChars="200"/>
        <w:textAlignment w:val="bottom"/>
        <w:rPr>
          <w:rFonts w:hAnsi="宋体" w:cs="宋体"/>
          <w:color w:val="auto"/>
          <w:sz w:val="24"/>
          <w:highlight w:val="none"/>
        </w:rPr>
      </w:pPr>
      <w:r>
        <w:rPr>
          <w:rFonts w:hint="eastAsia" w:hAnsi="宋体" w:cs="宋体"/>
          <w:color w:val="auto"/>
          <w:sz w:val="24"/>
          <w:highlight w:val="none"/>
        </w:rPr>
        <w:t>(七)遵守有关廉洁自律规定，不得私下接触供应商，不得收受供应商及有关业务单位和个人的财物或好处，不得接受招标采购单位的请托。</w:t>
      </w:r>
    </w:p>
    <w:p>
      <w:pPr>
        <w:widowControl/>
        <w:autoSpaceDE w:val="0"/>
        <w:autoSpaceDN w:val="0"/>
        <w:spacing w:line="440" w:lineRule="exact"/>
        <w:ind w:right="51" w:firstLine="480" w:firstLineChars="200"/>
        <w:textAlignment w:val="bottom"/>
        <w:rPr>
          <w:rFonts w:hAnsi="宋体" w:cs="宋体"/>
          <w:color w:val="auto"/>
          <w:sz w:val="24"/>
          <w:highlight w:val="none"/>
        </w:rPr>
      </w:pPr>
      <w:r>
        <w:rPr>
          <w:rFonts w:hint="eastAsia" w:hAnsi="宋体" w:cs="宋体"/>
          <w:color w:val="auto"/>
          <w:sz w:val="24"/>
          <w:highlight w:val="none"/>
        </w:rPr>
        <w:t>(八)有关部门(机构)制定的其他评审工作纪律。</w:t>
      </w:r>
    </w:p>
    <w:p>
      <w:pPr>
        <w:pStyle w:val="4"/>
        <w:spacing w:before="0" w:after="0" w:line="440" w:lineRule="exact"/>
        <w:ind w:firstLine="241" w:firstLineChars="100"/>
        <w:rPr>
          <w:rFonts w:ascii="宋体" w:hAnsi="宋体" w:eastAsia="宋体" w:cs="宋体"/>
          <w:bCs w:val="0"/>
          <w:color w:val="auto"/>
          <w:sz w:val="24"/>
          <w:szCs w:val="24"/>
          <w:highlight w:val="none"/>
        </w:rPr>
      </w:pPr>
      <w:bookmarkStart w:id="1078" w:name="_Toc26220"/>
      <w:bookmarkStart w:id="1079" w:name="_Toc18690"/>
      <w:bookmarkStart w:id="1080" w:name="_Toc8256"/>
      <w:r>
        <w:rPr>
          <w:rFonts w:hint="eastAsia" w:ascii="宋体" w:hAnsi="宋体" w:eastAsia="宋体" w:cs="宋体"/>
          <w:bCs w:val="0"/>
          <w:color w:val="auto"/>
          <w:sz w:val="24"/>
          <w:szCs w:val="24"/>
          <w:highlight w:val="none"/>
        </w:rPr>
        <w:t>十二、评标委员会及其成员不得有下列行为：</w:t>
      </w:r>
      <w:bookmarkEnd w:id="1078"/>
      <w:bookmarkEnd w:id="1079"/>
      <w:bookmarkEnd w:id="1080"/>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(一)确定参与评标至评标结束前私自接触投标人；</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(二)接受投标人提出的与投标文件不一致的澄清或者说明，</w:t>
      </w:r>
      <w:r>
        <w:rPr>
          <w:rFonts w:hint="eastAsia" w:hAnsi="宋体" w:cs="宋体"/>
          <w:color w:val="auto"/>
          <w:sz w:val="24"/>
          <w:szCs w:val="24"/>
          <w:highlight w:val="none"/>
        </w:rPr>
        <w:t>《政府采购货物和服务招标投标管理办法》(财政部令第87号)</w:t>
      </w:r>
      <w:r>
        <w:rPr>
          <w:rFonts w:hint="eastAsia" w:hAnsi="宋体" w:cs="宋体"/>
          <w:color w:val="auto"/>
          <w:sz w:val="24"/>
          <w:szCs w:val="20"/>
          <w:highlight w:val="none"/>
        </w:rPr>
        <w:t>第五十一条规定的情形除外；</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(三)违反评标纪律发表倾向性意见或者征询采购人的倾向性意见；</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(四)对需要专业判断的主观评审因素协商评分；</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(五)在评标过程中擅离职守，影响评标程序正常进行的；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(六)记录、复制或者带走任何评标资料；</w:t>
      </w:r>
    </w:p>
    <w:p>
      <w:pPr>
        <w:spacing w:line="440" w:lineRule="exact"/>
        <w:ind w:firstLine="480" w:firstLineChars="200"/>
        <w:rPr>
          <w:rFonts w:hAnsi="宋体" w:cs="宋体"/>
          <w:color w:val="auto"/>
          <w:sz w:val="24"/>
          <w:szCs w:val="20"/>
          <w:highlight w:val="none"/>
        </w:rPr>
      </w:pPr>
      <w:r>
        <w:rPr>
          <w:rFonts w:hint="eastAsia" w:hAnsi="宋体" w:cs="宋体"/>
          <w:color w:val="auto"/>
          <w:sz w:val="24"/>
          <w:szCs w:val="20"/>
          <w:highlight w:val="none"/>
        </w:rPr>
        <w:t>(七)其他不遵守评标纪律的行为。</w:t>
      </w:r>
    </w:p>
    <w:p>
      <w:pPr>
        <w:spacing w:line="440" w:lineRule="exact"/>
        <w:ind w:firstLine="480" w:firstLineChars="200"/>
        <w:rPr>
          <w:rFonts w:hAnsi="宋体" w:cs="宋体"/>
          <w:bCs/>
          <w:color w:val="auto"/>
          <w:sz w:val="24"/>
          <w:szCs w:val="24"/>
          <w:highlight w:val="none"/>
        </w:rPr>
      </w:pPr>
      <w:r>
        <w:rPr>
          <w:rFonts w:hint="eastAsia" w:hAnsi="宋体" w:cs="宋体"/>
          <w:color w:val="auto"/>
          <w:sz w:val="24"/>
          <w:szCs w:val="20"/>
          <w:highlight w:val="none"/>
        </w:rPr>
        <w:t>评标委员会成员有前款第一至五项行为之一的，其评审意见无效，并不得获取评审劳务报酬和</w:t>
      </w:r>
      <w:r>
        <w:rPr>
          <w:rFonts w:hint="eastAsia" w:hAnsi="宋体" w:cs="宋体"/>
          <w:color w:val="auto"/>
          <w:sz w:val="24"/>
          <w:szCs w:val="24"/>
          <w:highlight w:val="none"/>
        </w:rPr>
        <w:t>报销异地评审差旅费。</w:t>
      </w:r>
    </w:p>
    <w:p>
      <w:pPr>
        <w:pStyle w:val="3"/>
        <w:spacing w:before="260" w:after="260" w:line="360" w:lineRule="auto"/>
        <w:jc w:val="center"/>
        <w:rPr>
          <w:rFonts w:hAnsi="宋体" w:cs="宋体"/>
          <w:color w:val="auto"/>
          <w:sz w:val="36"/>
          <w:highlight w:val="none"/>
        </w:rPr>
      </w:pPr>
      <w:r>
        <w:rPr>
          <w:rFonts w:hint="eastAsia" w:hAnsi="宋体" w:cs="宋体"/>
          <w:bCs w:val="0"/>
          <w:color w:val="auto"/>
          <w:sz w:val="36"/>
          <w:highlight w:val="none"/>
        </w:rPr>
        <w:br w:type="page"/>
      </w:r>
      <w:bookmarkEnd w:id="1077"/>
      <w:bookmarkStart w:id="1081" w:name="_Toc19504"/>
      <w:bookmarkStart w:id="1082" w:name="_Toc18908"/>
      <w:bookmarkStart w:id="1083" w:name="_Toc13264"/>
      <w:bookmarkStart w:id="1084" w:name="_Toc23863"/>
      <w:bookmarkStart w:id="1085" w:name="_Toc32602"/>
      <w:r>
        <w:rPr>
          <w:rFonts w:hint="eastAsia" w:hAnsi="宋体" w:cs="宋体"/>
          <w:bCs w:val="0"/>
          <w:color w:val="auto"/>
          <w:sz w:val="36"/>
          <w:highlight w:val="none"/>
        </w:rPr>
        <w:t>第八章</w:t>
      </w:r>
      <w:bookmarkStart w:id="1086" w:name="_Toc327196348"/>
      <w:bookmarkEnd w:id="1086"/>
      <w:bookmarkStart w:id="1087" w:name="_Toc307564903"/>
      <w:bookmarkEnd w:id="1087"/>
      <w:bookmarkStart w:id="1088" w:name="_Toc306956852"/>
      <w:bookmarkEnd w:id="1088"/>
      <w:r>
        <w:rPr>
          <w:rFonts w:hint="eastAsia" w:hAnsi="宋体" w:cs="宋体"/>
          <w:bCs w:val="0"/>
          <w:color w:val="auto"/>
          <w:sz w:val="36"/>
          <w:highlight w:val="none"/>
          <w:lang w:val="en-US" w:eastAsia="zh-CN"/>
        </w:rPr>
        <w:t xml:space="preserve"> </w:t>
      </w:r>
      <w:r>
        <w:rPr>
          <w:rFonts w:hint="eastAsia" w:hAnsi="宋体" w:cs="宋体"/>
          <w:color w:val="auto"/>
          <w:sz w:val="36"/>
          <w:highlight w:val="none"/>
        </w:rPr>
        <w:t>政府采购合同</w:t>
      </w:r>
      <w:bookmarkEnd w:id="1081"/>
      <w:bookmarkEnd w:id="1082"/>
      <w:bookmarkEnd w:id="1083"/>
      <w:bookmarkEnd w:id="1084"/>
      <w:bookmarkEnd w:id="1085"/>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合同编号：</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签订地点：</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签订时间：</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采购人（甲方）：</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供应商（乙方）：</w:t>
      </w:r>
    </w:p>
    <w:p>
      <w:pPr>
        <w:ind w:firstLine="480" w:firstLineChars="200"/>
        <w:jc w:val="left"/>
        <w:rPr>
          <w:rFonts w:hAnsi="宋体" w:cs="宋体"/>
          <w:color w:val="auto"/>
          <w:sz w:val="24"/>
          <w:highlight w:val="none"/>
        </w:rPr>
      </w:pPr>
      <w:r>
        <w:rPr>
          <w:rFonts w:hint="eastAsia" w:hAnsi="宋体" w:cs="宋体"/>
          <w:color w:val="auto"/>
          <w:sz w:val="24"/>
          <w:highlight w:val="none"/>
        </w:rPr>
        <w:t>根据《中华人民共和国政府采购法》、《中华人民共和国民法典》及</w:t>
      </w:r>
      <w:r>
        <w:rPr>
          <w:rFonts w:hint="eastAsia" w:hAnsi="宋体" w:cs="宋体"/>
          <w:color w:val="auto"/>
          <w:sz w:val="24"/>
          <w:highlight w:val="none"/>
          <w:u w:val="single"/>
          <w:lang w:val="zh-CN"/>
        </w:rPr>
        <w:t>项目名称</w:t>
      </w:r>
      <w:r>
        <w:rPr>
          <w:rFonts w:hint="eastAsia" w:hAnsi="宋体" w:cs="宋体"/>
          <w:color w:val="auto"/>
          <w:sz w:val="24"/>
          <w:highlight w:val="none"/>
        </w:rPr>
        <w:t>（项目编号：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1089" w:name="_Toc307501162"/>
      <w:bookmarkStart w:id="1090" w:name="_Toc307823123"/>
      <w:bookmarkStart w:id="1091" w:name="_Toc307565067"/>
      <w:bookmarkStart w:id="1092" w:name="_Toc309113425"/>
      <w:bookmarkStart w:id="1093" w:name="_Toc309113764"/>
    </w:p>
    <w:bookmarkEnd w:id="1089"/>
    <w:bookmarkEnd w:id="1090"/>
    <w:bookmarkEnd w:id="1091"/>
    <w:bookmarkEnd w:id="1092"/>
    <w:bookmarkEnd w:id="1093"/>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项目基本情况</w:t>
      </w:r>
    </w:p>
    <w:p>
      <w:pPr>
        <w:spacing w:line="360" w:lineRule="auto"/>
        <w:ind w:firstLine="480" w:firstLineChars="200"/>
        <w:rPr>
          <w:rFonts w:ascii="宋体" w:hAnsi="宋体" w:cs="仿宋"/>
          <w:color w:val="auto"/>
          <w:sz w:val="24"/>
        </w:rPr>
      </w:pPr>
      <w:r>
        <w:rPr>
          <w:rFonts w:hint="eastAsia" w:ascii="宋体" w:hAnsi="宋体" w:cs="仿宋"/>
          <w:color w:val="auto"/>
          <w:sz w:val="24"/>
        </w:rPr>
        <w:t xml:space="preserve">1.污水处理服务地点： </w:t>
      </w:r>
    </w:p>
    <w:p>
      <w:pPr>
        <w:spacing w:line="360" w:lineRule="auto"/>
        <w:ind w:firstLine="480" w:firstLineChars="200"/>
        <w:rPr>
          <w:rFonts w:ascii="宋体" w:hAnsi="宋体" w:cs="仿宋"/>
          <w:color w:val="auto"/>
          <w:sz w:val="24"/>
          <w:szCs w:val="22"/>
        </w:rPr>
      </w:pPr>
      <w:r>
        <w:rPr>
          <w:rFonts w:hint="eastAsia" w:ascii="宋体" w:hAnsi="宋体" w:cs="仿宋"/>
          <w:color w:val="auto"/>
          <w:sz w:val="24"/>
        </w:rPr>
        <w:t>2.</w:t>
      </w:r>
      <w:r>
        <w:rPr>
          <w:rFonts w:hint="eastAsia" w:ascii="宋体" w:hAnsi="宋体" w:cs="仿宋"/>
          <w:color w:val="auto"/>
          <w:sz w:val="24"/>
          <w:szCs w:val="22"/>
        </w:rPr>
        <w:t>污水应急处理规模：</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合同期限</w:t>
      </w:r>
    </w:p>
    <w:p>
      <w:pPr>
        <w:pStyle w:val="2"/>
        <w:spacing w:before="183" w:line="360" w:lineRule="auto"/>
        <w:ind w:left="0" w:leftChars="0" w:firstLine="480" w:firstLineChars="200"/>
        <w:outlineLvl w:val="9"/>
        <w:rPr>
          <w:rFonts w:hint="eastAsia" w:ascii="宋体" w:hAnsi="宋体" w:cs="仿宋"/>
          <w:color w:val="auto"/>
          <w:sz w:val="24"/>
        </w:rPr>
      </w:pPr>
      <w:r>
        <w:rPr>
          <w:rFonts w:hint="eastAsia" w:ascii="宋体" w:hAnsi="宋体" w:eastAsia="宋体" w:cs="宋体"/>
          <w:color w:val="auto"/>
          <w:sz w:val="24"/>
          <w:szCs w:val="22"/>
          <w:highlight w:val="none"/>
          <w:lang w:val="en-US" w:eastAsia="zh-CN" w:bidi="ar-SA"/>
        </w:rPr>
        <w:t>服务期限：自合同签订后，本项目运营期三年。合同一年一签，如服务期内，甲方因该项目污水已有其他项目可以处置，甲方可单方面终止合同，乙方应无条件对崇州市经开区应急污水处理站进行拆除，并恢复原貌。</w:t>
      </w:r>
    </w:p>
    <w:p>
      <w:pPr>
        <w:numPr>
          <w:ilvl w:val="0"/>
          <w:numId w:val="0"/>
        </w:numPr>
        <w:spacing w:line="360" w:lineRule="auto"/>
        <w:ind w:firstLine="480" w:firstLineChars="200"/>
        <w:jc w:val="left"/>
        <w:rPr>
          <w:color w:val="auto"/>
        </w:rPr>
      </w:pPr>
      <w:r>
        <w:rPr>
          <w:rFonts w:hint="eastAsia" w:ascii="宋体" w:hAnsi="宋体" w:cs="仿宋"/>
          <w:color w:val="auto"/>
          <w:sz w:val="24"/>
        </w:rPr>
        <w:t>服务开始时间：</w:t>
      </w:r>
    </w:p>
    <w:p>
      <w:pPr>
        <w:numPr>
          <w:ilvl w:val="2"/>
          <w:numId w:val="27"/>
        </w:numPr>
        <w:spacing w:line="360" w:lineRule="auto"/>
        <w:rPr>
          <w:rFonts w:ascii="宋体" w:hAnsi="宋体" w:cs="仿宋"/>
          <w:b/>
          <w:bCs/>
          <w:color w:val="auto"/>
          <w:sz w:val="24"/>
        </w:rPr>
      </w:pPr>
      <w:bookmarkStart w:id="1094" w:name="_Toc239233914"/>
      <w:bookmarkStart w:id="1095" w:name="_Toc211854449"/>
      <w:bookmarkStart w:id="1096" w:name="_Toc283019214"/>
      <w:bookmarkStart w:id="1097" w:name="_Toc211911348"/>
      <w:bookmarkStart w:id="1098" w:name="_Toc239568418"/>
      <w:bookmarkStart w:id="1099" w:name="_Toc237145406"/>
      <w:bookmarkStart w:id="1100" w:name="_Toc225654644"/>
      <w:bookmarkStart w:id="1101" w:name="_Toc225670751"/>
      <w:bookmarkStart w:id="1102" w:name="_Toc212019594"/>
      <w:bookmarkStart w:id="1103" w:name="_Toc251768862"/>
      <w:bookmarkStart w:id="1104" w:name="_Toc286993786"/>
      <w:bookmarkStart w:id="1105" w:name="_Toc241833903"/>
      <w:bookmarkStart w:id="1106" w:name="_Toc282696226"/>
      <w:bookmarkStart w:id="1107" w:name="_Toc185395249"/>
      <w:bookmarkStart w:id="1108" w:name="_Toc225244852"/>
      <w:bookmarkStart w:id="1109" w:name="_Toc247334841"/>
      <w:bookmarkStart w:id="1110" w:name="_Toc232492928"/>
      <w:bookmarkStart w:id="1111" w:name="_Toc238984975"/>
      <w:r>
        <w:rPr>
          <w:rFonts w:hint="eastAsia" w:ascii="宋体" w:hAnsi="宋体" w:cs="仿宋"/>
          <w:b/>
          <w:bCs/>
          <w:color w:val="auto"/>
          <w:sz w:val="24"/>
        </w:rPr>
        <w:t>服务内容与质量标准</w:t>
      </w:r>
    </w:p>
    <w:p>
      <w:pPr>
        <w:spacing w:line="360" w:lineRule="auto"/>
        <w:ind w:firstLine="480" w:firstLineChars="200"/>
        <w:rPr>
          <w:rFonts w:ascii="宋体" w:hAnsi="宋体" w:cs="仿宋"/>
          <w:color w:val="auto"/>
          <w:sz w:val="24"/>
        </w:rPr>
      </w:pPr>
      <w:r>
        <w:rPr>
          <w:rFonts w:hint="eastAsia" w:ascii="宋体" w:hAnsi="宋体" w:cs="仿宋"/>
          <w:color w:val="auto"/>
          <w:sz w:val="24"/>
        </w:rPr>
        <w:t>1.乙方提供污水处理设备，并负责</w:t>
      </w:r>
      <w:r>
        <w:rPr>
          <w:rFonts w:hint="eastAsia" w:ascii="宋体" w:hAnsi="宋体" w:cs="仿宋"/>
          <w:color w:val="auto"/>
          <w:sz w:val="24"/>
          <w:lang w:val="en-US" w:eastAsia="zh-CN"/>
        </w:rPr>
        <w:t>维修</w:t>
      </w:r>
      <w:r>
        <w:rPr>
          <w:rFonts w:hint="eastAsia" w:ascii="宋体" w:hAnsi="宋体" w:cs="仿宋"/>
          <w:color w:val="auto"/>
          <w:sz w:val="24"/>
        </w:rPr>
        <w:t>设计、运输、安装、调试、运行、维护等。在服务期间，负责对甲方指定范围内的污水进行处理，出水水质达到《城镇污水处理厂污染物排放标准》（GB18918-2002）的一级A标。在本合同范围内，乙方具有本项目的运营管理权，本项目的一体化污水处理设备所有权归乙方所有。</w:t>
      </w:r>
    </w:p>
    <w:p>
      <w:pPr>
        <w:spacing w:line="360" w:lineRule="auto"/>
        <w:ind w:firstLine="480" w:firstLineChars="200"/>
        <w:rPr>
          <w:rFonts w:ascii="宋体" w:hAnsi="宋体" w:cs="仿宋"/>
          <w:color w:val="auto"/>
          <w:sz w:val="24"/>
        </w:rPr>
      </w:pPr>
      <w:r>
        <w:rPr>
          <w:rFonts w:hint="eastAsia" w:ascii="宋体" w:hAnsi="宋体" w:cs="仿宋"/>
          <w:color w:val="auto"/>
          <w:sz w:val="24"/>
        </w:rPr>
        <w:t>2.污水处理站处理工艺按照实施方案执行，但必须采用保证成熟、可靠稳定、出水效果好、能耗低的处理工艺措施。服务期间，乙方应保证其设施设备运行时产生的噪音和臭气符合国家现行相关规定标准。</w:t>
      </w:r>
    </w:p>
    <w:p>
      <w:pPr>
        <w:spacing w:line="360" w:lineRule="auto"/>
        <w:ind w:firstLine="480" w:firstLineChars="200"/>
        <w:rPr>
          <w:rFonts w:hint="default" w:ascii="宋体" w:hAnsi="宋体" w:eastAsia="宋体" w:cs="仿宋"/>
          <w:color w:val="auto"/>
          <w:sz w:val="24"/>
          <w:lang w:val="en-US" w:eastAsia="zh-CN"/>
        </w:rPr>
      </w:pPr>
      <w:r>
        <w:rPr>
          <w:rFonts w:hint="eastAsia" w:ascii="宋体" w:hAnsi="宋体" w:eastAsia="宋体" w:cs="宋体"/>
          <w:color w:val="auto"/>
          <w:sz w:val="24"/>
          <w:szCs w:val="22"/>
          <w:highlight w:val="none"/>
          <w:lang w:val="en-US" w:eastAsia="zh-CN" w:bidi="ar-SA"/>
        </w:rPr>
        <w:t>3.服务期间，当崇州经开区污水处理厂或附近其他污水处理厂增容扩建，足以处理该部分污水后，对崇州市经开区应急污水处理站进行拆除，并恢复原貌。</w:t>
      </w:r>
    </w:p>
    <w:p>
      <w:pPr>
        <w:numPr>
          <w:ilvl w:val="2"/>
          <w:numId w:val="27"/>
        </w:numPr>
        <w:spacing w:line="360" w:lineRule="auto"/>
        <w:rPr>
          <w:rFonts w:ascii="宋体" w:hAnsi="宋体" w:cs="仿宋"/>
          <w:b/>
          <w:bCs/>
          <w:color w:val="auto"/>
          <w:sz w:val="24"/>
        </w:rPr>
      </w:pPr>
      <w:r>
        <w:rPr>
          <w:rFonts w:hint="eastAsia" w:ascii="宋体" w:hAnsi="宋体" w:cs="仿宋"/>
          <w:color w:val="auto"/>
          <w:sz w:val="24"/>
        </w:rPr>
        <w:t>供电的接入点由甲方负责提供，配电建设和用电费用由乙方负责，并计入水价；处理后的水源排放点由甲方指定。</w:t>
      </w:r>
    </w:p>
    <w:p>
      <w:pPr>
        <w:numPr>
          <w:ilvl w:val="2"/>
          <w:numId w:val="27"/>
        </w:numPr>
        <w:spacing w:line="360" w:lineRule="auto"/>
        <w:rPr>
          <w:rFonts w:hint="eastAsia" w:ascii="宋体" w:hAnsi="宋体" w:cs="仿宋"/>
          <w:b/>
          <w:bCs/>
          <w:color w:val="auto"/>
          <w:sz w:val="24"/>
        </w:rPr>
      </w:pPr>
      <w:r>
        <w:rPr>
          <w:rFonts w:hint="eastAsia" w:ascii="宋体" w:hAnsi="宋体" w:cs="仿宋"/>
          <w:b/>
          <w:bCs/>
          <w:color w:val="auto"/>
          <w:sz w:val="24"/>
        </w:rPr>
        <w:t>水质要求</w:t>
      </w:r>
    </w:p>
    <w:p>
      <w:pPr>
        <w:rPr>
          <w:color w:val="auto"/>
        </w:rPr>
      </w:pPr>
    </w:p>
    <w:tbl>
      <w:tblPr>
        <w:tblStyle w:val="35"/>
        <w:tblpPr w:leftFromText="180" w:rightFromText="180" w:vertAnchor="text" w:horzAnchor="page" w:tblpX="1911" w:tblpY="533"/>
        <w:tblOverlap w:val="never"/>
        <w:tblW w:w="0" w:type="auto"/>
        <w:tblInd w:w="0" w:type="dxa"/>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Layout w:type="fixed"/>
        <w:tblCellMar>
          <w:top w:w="0" w:type="dxa"/>
          <w:left w:w="10" w:type="dxa"/>
          <w:bottom w:w="0" w:type="dxa"/>
          <w:right w:w="10" w:type="dxa"/>
        </w:tblCellMar>
      </w:tblPr>
      <w:tblGrid>
        <w:gridCol w:w="1185"/>
        <w:gridCol w:w="2401"/>
        <w:gridCol w:w="2482"/>
        <w:gridCol w:w="2483"/>
      </w:tblGrid>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12"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序号</w:t>
            </w:r>
          </w:p>
        </w:tc>
        <w:tc>
          <w:tcPr>
            <w:tcW w:w="2401"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项目</w:t>
            </w:r>
          </w:p>
        </w:tc>
        <w:tc>
          <w:tcPr>
            <w:tcW w:w="2482"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设计进水浓度</w:t>
            </w:r>
          </w:p>
        </w:tc>
        <w:tc>
          <w:tcPr>
            <w:tcW w:w="2483" w:type="dxa"/>
            <w:tcBorders>
              <w:top w:val="single" w:color="000000" w:sz="12"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备注</w:t>
            </w: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COD</w:t>
            </w:r>
            <w:r>
              <w:rPr>
                <w:rFonts w:ascii="宋体" w:hAnsi="宋体" w:cs="仿宋"/>
                <w:color w:val="auto"/>
                <w:sz w:val="24"/>
              </w:rPr>
              <w:t>cr</w:t>
            </w:r>
            <w:r>
              <w:rPr>
                <w:rFonts w:hint="eastAsia" w:ascii="宋体" w:hAnsi="宋体" w:cs="仿宋"/>
                <w:color w:val="auto"/>
                <w:sz w:val="24"/>
              </w:rPr>
              <w:t>（mg/L）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≤350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2</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BOD</w:t>
            </w:r>
            <w:r>
              <w:rPr>
                <w:rFonts w:hint="eastAsia" w:ascii="宋体" w:hAnsi="宋体" w:cs="仿宋"/>
                <w:color w:val="auto"/>
                <w:sz w:val="24"/>
                <w:vertAlign w:val="subscript"/>
              </w:rPr>
              <w:t>5</w:t>
            </w:r>
            <w:r>
              <w:rPr>
                <w:rFonts w:hint="eastAsia" w:ascii="宋体" w:hAnsi="宋体" w:cs="仿宋"/>
                <w:color w:val="auto"/>
                <w:sz w:val="24"/>
              </w:rPr>
              <w:t>（mg/L）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≤150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SS（mg/L）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≤180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4</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NH</w:t>
            </w:r>
            <w:r>
              <w:rPr>
                <w:rFonts w:hint="eastAsia" w:ascii="宋体" w:hAnsi="宋体" w:cs="仿宋"/>
                <w:color w:val="auto"/>
                <w:sz w:val="24"/>
                <w:vertAlign w:val="subscript"/>
              </w:rPr>
              <w:t>3</w:t>
            </w:r>
            <w:r>
              <w:rPr>
                <w:rFonts w:hint="eastAsia" w:ascii="宋体" w:hAnsi="宋体" w:cs="仿宋"/>
                <w:color w:val="auto"/>
                <w:sz w:val="24"/>
              </w:rPr>
              <w:t>-N（mg/L）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≤35</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5</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TN（mg/L）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w:t>
            </w:r>
            <w:r>
              <w:rPr>
                <w:rFonts w:ascii="宋体" w:hAnsi="宋体" w:cs="仿宋"/>
                <w:color w:val="auto"/>
                <w:sz w:val="24"/>
              </w:rPr>
              <w:t>40</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ascii="宋体" w:hAnsi="宋体" w:cs="仿宋"/>
                <w:color w:val="auto"/>
                <w:sz w:val="24"/>
              </w:rPr>
              <w:t>6</w:t>
            </w:r>
          </w:p>
        </w:tc>
        <w:tc>
          <w:tcPr>
            <w:tcW w:w="240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TP（mg/L）</w:t>
            </w:r>
          </w:p>
        </w:tc>
        <w:tc>
          <w:tcPr>
            <w:tcW w:w="248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≤4</w:t>
            </w:r>
          </w:p>
        </w:tc>
        <w:tc>
          <w:tcPr>
            <w:tcW w:w="2483" w:type="dxa"/>
            <w:tcBorders>
              <w:top w:val="single" w:color="000000" w:sz="6"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85" w:type="dxa"/>
            <w:tcBorders>
              <w:top w:val="single" w:color="000000" w:sz="6" w:space="0"/>
              <w:left w:val="single" w:color="000000" w:sz="12"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ascii="宋体" w:hAnsi="宋体" w:cs="仿宋"/>
                <w:color w:val="auto"/>
                <w:sz w:val="24"/>
              </w:rPr>
              <w:t>7</w:t>
            </w:r>
          </w:p>
        </w:tc>
        <w:tc>
          <w:tcPr>
            <w:tcW w:w="2401"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pH</w:t>
            </w:r>
          </w:p>
        </w:tc>
        <w:tc>
          <w:tcPr>
            <w:tcW w:w="2482"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6-9</w:t>
            </w:r>
          </w:p>
        </w:tc>
        <w:tc>
          <w:tcPr>
            <w:tcW w:w="2483" w:type="dxa"/>
            <w:tcBorders>
              <w:top w:val="single" w:color="000000" w:sz="6" w:space="0"/>
              <w:left w:val="single" w:color="000000" w:sz="6" w:space="0"/>
              <w:bottom w:val="single" w:color="000000" w:sz="12"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p>
        </w:tc>
      </w:tr>
    </w:tbl>
    <w:p>
      <w:pPr>
        <w:spacing w:line="360" w:lineRule="auto"/>
        <w:ind w:firstLine="480" w:firstLineChars="200"/>
        <w:rPr>
          <w:rFonts w:ascii="宋体" w:hAnsi="宋体" w:cs="仿宋"/>
          <w:color w:val="auto"/>
          <w:sz w:val="24"/>
        </w:rPr>
      </w:pPr>
      <w:r>
        <w:rPr>
          <w:rFonts w:hint="eastAsia" w:ascii="宋体" w:hAnsi="宋体" w:cs="仿宋"/>
          <w:color w:val="auto"/>
          <w:sz w:val="24"/>
        </w:rPr>
        <w:t>1、设计进水水质（主要指标）</w:t>
      </w:r>
    </w:p>
    <w:p>
      <w:pPr>
        <w:spacing w:line="360" w:lineRule="auto"/>
        <w:ind w:firstLine="240" w:firstLineChars="100"/>
        <w:rPr>
          <w:rFonts w:ascii="宋体" w:hAnsi="宋体" w:cs="仿宋"/>
          <w:color w:val="auto"/>
          <w:sz w:val="24"/>
        </w:rPr>
      </w:pPr>
      <w:r>
        <w:rPr>
          <w:rFonts w:hint="eastAsia" w:ascii="宋体" w:hAnsi="宋体" w:cs="仿宋"/>
          <w:color w:val="auto"/>
          <w:sz w:val="24"/>
        </w:rPr>
        <w:t>2、设计出水水质（主要指标）：</w:t>
      </w:r>
    </w:p>
    <w:tbl>
      <w:tblPr>
        <w:tblStyle w:val="35"/>
        <w:tblW w:w="0" w:type="auto"/>
        <w:tblInd w:w="108" w:type="dxa"/>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Layout w:type="fixed"/>
        <w:tblCellMar>
          <w:top w:w="0" w:type="dxa"/>
          <w:left w:w="10" w:type="dxa"/>
          <w:bottom w:w="0" w:type="dxa"/>
          <w:right w:w="10" w:type="dxa"/>
        </w:tblCellMar>
      </w:tblPr>
      <w:tblGrid>
        <w:gridCol w:w="1106"/>
        <w:gridCol w:w="2410"/>
        <w:gridCol w:w="2552"/>
        <w:gridCol w:w="2454"/>
      </w:tblGrid>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PrEx>
        <w:trPr>
          <w:trHeight w:val="454" w:hRule="atLeast"/>
        </w:trPr>
        <w:tc>
          <w:tcPr>
            <w:tcW w:w="1106" w:type="dxa"/>
            <w:tcBorders>
              <w:top w:val="single" w:color="000000" w:sz="12"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序号</w:t>
            </w:r>
          </w:p>
        </w:tc>
        <w:tc>
          <w:tcPr>
            <w:tcW w:w="2410"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项目</w:t>
            </w:r>
          </w:p>
        </w:tc>
        <w:tc>
          <w:tcPr>
            <w:tcW w:w="2552" w:type="dxa"/>
            <w:tcBorders>
              <w:top w:val="single" w:color="000000" w:sz="12"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排放指标</w:t>
            </w:r>
          </w:p>
        </w:tc>
        <w:tc>
          <w:tcPr>
            <w:tcW w:w="2454" w:type="dxa"/>
            <w:tcBorders>
              <w:top w:val="single" w:color="000000" w:sz="12" w:space="0"/>
              <w:left w:val="single" w:color="000000" w:sz="6" w:space="0"/>
              <w:bottom w:val="single" w:color="000000" w:sz="6"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b/>
                <w:color w:val="auto"/>
                <w:sz w:val="24"/>
              </w:rPr>
            </w:pPr>
            <w:r>
              <w:rPr>
                <w:rFonts w:hint="eastAsia" w:ascii="宋体" w:hAnsi="宋体" w:cs="仿宋"/>
                <w:b/>
                <w:color w:val="auto"/>
                <w:sz w:val="24"/>
              </w:rPr>
              <w:t>排放标准</w:t>
            </w: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PrEx>
        <w:trPr>
          <w:trHeight w:val="454" w:hRule="atLeast"/>
        </w:trPr>
        <w:tc>
          <w:tcPr>
            <w:tcW w:w="1106"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w:t>
            </w:r>
          </w:p>
        </w:tc>
        <w:tc>
          <w:tcPr>
            <w:tcW w:w="241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COD</w:t>
            </w:r>
            <w:r>
              <w:rPr>
                <w:rFonts w:ascii="宋体" w:hAnsi="宋体" w:cs="仿宋"/>
                <w:color w:val="auto"/>
                <w:sz w:val="24"/>
              </w:rPr>
              <w:t>cr</w:t>
            </w:r>
            <w:r>
              <w:rPr>
                <w:rFonts w:hint="eastAsia" w:ascii="宋体" w:hAnsi="宋体" w:cs="仿宋"/>
                <w:color w:val="auto"/>
                <w:sz w:val="24"/>
              </w:rPr>
              <w:t>（mg/L）</w:t>
            </w:r>
          </w:p>
        </w:tc>
        <w:tc>
          <w:tcPr>
            <w:tcW w:w="255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≤50</w:t>
            </w:r>
          </w:p>
        </w:tc>
        <w:tc>
          <w:tcPr>
            <w:tcW w:w="2454" w:type="dxa"/>
            <w:vMerge w:val="restart"/>
            <w:tcBorders>
              <w:top w:val="single" w:color="000000" w:sz="6" w:space="0"/>
              <w:left w:val="single" w:color="000000" w:sz="6" w:space="0"/>
              <w:bottom w:val="single" w:color="000000" w:sz="12" w:space="0"/>
              <w:right w:val="single" w:color="000000" w:sz="12"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主要指标参照《城镇污水处理厂污染物排放标准》（GB18918-2002）一级A标</w:t>
            </w: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06"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2</w:t>
            </w:r>
          </w:p>
        </w:tc>
        <w:tc>
          <w:tcPr>
            <w:tcW w:w="241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BOD</w:t>
            </w:r>
            <w:r>
              <w:rPr>
                <w:rFonts w:hint="eastAsia" w:ascii="宋体" w:hAnsi="宋体" w:cs="仿宋"/>
                <w:color w:val="auto"/>
                <w:sz w:val="24"/>
                <w:vertAlign w:val="subscript"/>
              </w:rPr>
              <w:t>5</w:t>
            </w:r>
            <w:r>
              <w:rPr>
                <w:rFonts w:hint="eastAsia" w:ascii="宋体" w:hAnsi="宋体" w:cs="仿宋"/>
                <w:color w:val="auto"/>
                <w:sz w:val="24"/>
              </w:rPr>
              <w:t>（mg/L）</w:t>
            </w:r>
          </w:p>
        </w:tc>
        <w:tc>
          <w:tcPr>
            <w:tcW w:w="255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≤10</w:t>
            </w:r>
          </w:p>
        </w:tc>
        <w:tc>
          <w:tcPr>
            <w:tcW w:w="2454"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06"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3</w:t>
            </w:r>
          </w:p>
        </w:tc>
        <w:tc>
          <w:tcPr>
            <w:tcW w:w="241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SS（mg/L）</w:t>
            </w:r>
          </w:p>
        </w:tc>
        <w:tc>
          <w:tcPr>
            <w:tcW w:w="255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≤10</w:t>
            </w:r>
          </w:p>
        </w:tc>
        <w:tc>
          <w:tcPr>
            <w:tcW w:w="2454"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06"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4</w:t>
            </w:r>
          </w:p>
        </w:tc>
        <w:tc>
          <w:tcPr>
            <w:tcW w:w="241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NH3-N（mg/L）</w:t>
            </w:r>
          </w:p>
        </w:tc>
        <w:tc>
          <w:tcPr>
            <w:tcW w:w="255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≤5（8）</w:t>
            </w:r>
          </w:p>
        </w:tc>
        <w:tc>
          <w:tcPr>
            <w:tcW w:w="2454"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06"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5</w:t>
            </w:r>
          </w:p>
        </w:tc>
        <w:tc>
          <w:tcPr>
            <w:tcW w:w="241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TN（mg/L）</w:t>
            </w:r>
          </w:p>
        </w:tc>
        <w:tc>
          <w:tcPr>
            <w:tcW w:w="255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w:t>
            </w:r>
            <w:r>
              <w:rPr>
                <w:rFonts w:ascii="宋体" w:hAnsi="宋体" w:cs="仿宋"/>
                <w:color w:val="auto"/>
                <w:sz w:val="24"/>
              </w:rPr>
              <w:t>15</w:t>
            </w:r>
          </w:p>
        </w:tc>
        <w:tc>
          <w:tcPr>
            <w:tcW w:w="2454"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06" w:type="dxa"/>
            <w:tcBorders>
              <w:top w:val="single" w:color="000000" w:sz="6" w:space="0"/>
              <w:left w:val="single" w:color="000000" w:sz="12"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ascii="宋体" w:hAnsi="宋体" w:cs="仿宋"/>
                <w:color w:val="auto"/>
                <w:sz w:val="24"/>
              </w:rPr>
              <w:t>6</w:t>
            </w:r>
          </w:p>
        </w:tc>
        <w:tc>
          <w:tcPr>
            <w:tcW w:w="2410"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TP（mg/L）</w:t>
            </w:r>
          </w:p>
        </w:tc>
        <w:tc>
          <w:tcPr>
            <w:tcW w:w="2552"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≤0.5</w:t>
            </w:r>
          </w:p>
        </w:tc>
        <w:tc>
          <w:tcPr>
            <w:tcW w:w="2454"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s="仿宋"/>
                <w:color w:val="auto"/>
                <w:sz w:val="24"/>
              </w:rPr>
            </w:pPr>
          </w:p>
        </w:tc>
      </w:tr>
      <w:tr>
        <w:tblPrEx>
          <w:tblBorders>
            <w:top w:val="single" w:color="C7EDCC" w:sz="8" w:space="0"/>
            <w:left w:val="single" w:color="C7EDCC" w:sz="8" w:space="0"/>
            <w:bottom w:val="single" w:color="C7EDCC" w:sz="8" w:space="0"/>
            <w:right w:val="single" w:color="C7EDCC" w:sz="8" w:space="0"/>
            <w:insideH w:val="single" w:color="C7EDCC" w:sz="8" w:space="0"/>
            <w:insideV w:val="single" w:color="C7EDCC" w:sz="8" w:space="0"/>
          </w:tblBorders>
          <w:tblCellMar>
            <w:top w:w="0" w:type="dxa"/>
            <w:left w:w="10" w:type="dxa"/>
            <w:bottom w:w="0" w:type="dxa"/>
            <w:right w:w="10" w:type="dxa"/>
          </w:tblCellMar>
        </w:tblPrEx>
        <w:trPr>
          <w:trHeight w:val="454" w:hRule="atLeast"/>
        </w:trPr>
        <w:tc>
          <w:tcPr>
            <w:tcW w:w="1106" w:type="dxa"/>
            <w:tcBorders>
              <w:top w:val="single" w:color="000000" w:sz="6" w:space="0"/>
              <w:left w:val="single" w:color="000000" w:sz="12"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ascii="宋体" w:hAnsi="宋体" w:cs="仿宋"/>
                <w:color w:val="auto"/>
                <w:sz w:val="24"/>
              </w:rPr>
              <w:t>7</w:t>
            </w:r>
          </w:p>
        </w:tc>
        <w:tc>
          <w:tcPr>
            <w:tcW w:w="2410"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pH</w:t>
            </w:r>
          </w:p>
        </w:tc>
        <w:tc>
          <w:tcPr>
            <w:tcW w:w="2552" w:type="dxa"/>
            <w:tcBorders>
              <w:top w:val="single" w:color="000000" w:sz="6" w:space="0"/>
              <w:left w:val="single" w:color="000000" w:sz="6" w:space="0"/>
              <w:bottom w:val="single" w:color="000000" w:sz="12" w:space="0"/>
              <w:right w:val="single" w:color="000000" w:sz="6" w:space="0"/>
            </w:tcBorders>
            <w:tcMar>
              <w:top w:w="80" w:type="dxa"/>
              <w:left w:w="80" w:type="dxa"/>
              <w:bottom w:w="80" w:type="dxa"/>
              <w:right w:w="80" w:type="dxa"/>
            </w:tcMar>
            <w:vAlign w:val="center"/>
          </w:tcPr>
          <w:p>
            <w:pPr>
              <w:spacing w:line="360" w:lineRule="auto"/>
              <w:jc w:val="center"/>
              <w:rPr>
                <w:rFonts w:ascii="宋体" w:hAnsi="宋体" w:cs="仿宋"/>
                <w:color w:val="auto"/>
                <w:sz w:val="24"/>
              </w:rPr>
            </w:pPr>
            <w:r>
              <w:rPr>
                <w:rFonts w:hint="eastAsia" w:ascii="宋体" w:hAnsi="宋体" w:cs="仿宋"/>
                <w:color w:val="auto"/>
                <w:sz w:val="24"/>
              </w:rPr>
              <w:t>6-9</w:t>
            </w:r>
          </w:p>
        </w:tc>
        <w:tc>
          <w:tcPr>
            <w:tcW w:w="2454"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cs="仿宋"/>
                <w:color w:val="auto"/>
                <w:sz w:val="24"/>
              </w:rPr>
            </w:pPr>
          </w:p>
        </w:tc>
      </w:tr>
    </w:tbl>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服务费用及支付方式</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pPr>
        <w:pStyle w:val="2"/>
        <w:spacing w:line="360" w:lineRule="auto"/>
        <w:ind w:left="0" w:leftChars="0" w:firstLine="0" w:firstLineChars="0"/>
        <w:rPr>
          <w:rFonts w:hint="eastAsia" w:cs="宋体"/>
          <w:b w:val="0"/>
          <w:bCs w:val="0"/>
          <w:color w:val="auto"/>
          <w:sz w:val="24"/>
          <w:lang w:val="en-US" w:eastAsia="zh-CN"/>
        </w:rPr>
      </w:pPr>
    </w:p>
    <w:p>
      <w:pPr>
        <w:spacing w:line="360" w:lineRule="auto"/>
        <w:rPr>
          <w:rFonts w:ascii="宋体" w:hAnsi="宋体" w:cs="仿宋"/>
          <w:color w:val="auto"/>
          <w:sz w:val="24"/>
        </w:rPr>
      </w:pPr>
      <w:r>
        <w:rPr>
          <w:rFonts w:hint="eastAsia" w:ascii="宋体" w:hAnsi="宋体" w:cs="仿宋"/>
          <w:color w:val="auto"/>
          <w:sz w:val="24"/>
        </w:rPr>
        <w:t>1．本项目服务费用：</w:t>
      </w:r>
    </w:p>
    <w:p>
      <w:pPr>
        <w:spacing w:line="360" w:lineRule="auto"/>
        <w:ind w:firstLine="600" w:firstLineChars="250"/>
        <w:rPr>
          <w:rFonts w:ascii="宋体" w:hAnsi="宋体" w:cs="仿宋"/>
          <w:color w:val="auto"/>
          <w:sz w:val="24"/>
          <w:szCs w:val="22"/>
        </w:rPr>
      </w:pPr>
      <w:r>
        <w:rPr>
          <w:rFonts w:hint="eastAsia" w:ascii="宋体" w:hAnsi="宋体" w:cs="仿宋"/>
          <w:color w:val="auto"/>
          <w:sz w:val="24"/>
          <w:szCs w:val="22"/>
        </w:rPr>
        <w:t xml:space="preserve">污水处理综合单价为 </w:t>
      </w:r>
      <w:r>
        <w:rPr>
          <w:rFonts w:ascii="宋体" w:hAnsi="宋体" w:cs="仿宋"/>
          <w:color w:val="auto"/>
          <w:sz w:val="24"/>
          <w:szCs w:val="22"/>
        </w:rPr>
        <w:t xml:space="preserve">   </w:t>
      </w:r>
      <w:r>
        <w:rPr>
          <w:rFonts w:hint="eastAsia" w:ascii="宋体" w:hAnsi="宋体" w:cs="仿宋"/>
          <w:color w:val="auto"/>
          <w:sz w:val="24"/>
          <w:szCs w:val="22"/>
        </w:rPr>
        <w:t>元/吨，规模为</w:t>
      </w:r>
      <w:r>
        <w:rPr>
          <w:rFonts w:hint="eastAsia" w:ascii="宋体" w:hAnsi="宋体" w:cs="仿宋"/>
          <w:color w:val="auto"/>
          <w:sz w:val="24"/>
          <w:szCs w:val="22"/>
          <w:u w:val="single"/>
          <w:lang w:val="en-US" w:eastAsia="zh-CN"/>
        </w:rPr>
        <w:t xml:space="preserve">        </w:t>
      </w:r>
      <w:r>
        <w:rPr>
          <w:rFonts w:hint="eastAsia" w:ascii="宋体" w:hAnsi="宋体" w:cs="仿宋"/>
          <w:color w:val="auto"/>
          <w:sz w:val="24"/>
          <w:szCs w:val="22"/>
          <w:lang w:val="en-US" w:eastAsia="zh-CN"/>
        </w:rPr>
        <w:t xml:space="preserve"> </w:t>
      </w:r>
      <w:r>
        <w:rPr>
          <w:rFonts w:hint="eastAsia" w:ascii="宋体" w:hAnsi="宋体" w:cs="仿宋"/>
          <w:color w:val="auto"/>
          <w:sz w:val="24"/>
          <w:szCs w:val="22"/>
        </w:rPr>
        <w:t>m</w:t>
      </w:r>
      <w:r>
        <w:rPr>
          <w:rFonts w:hint="eastAsia" w:ascii="宋体" w:hAnsi="宋体" w:cs="仿宋"/>
          <w:color w:val="auto"/>
          <w:sz w:val="24"/>
          <w:szCs w:val="22"/>
          <w:vertAlign w:val="superscript"/>
        </w:rPr>
        <w:t>3</w:t>
      </w:r>
      <w:r>
        <w:rPr>
          <w:rFonts w:hint="eastAsia" w:ascii="宋体" w:hAnsi="宋体" w:cs="仿宋"/>
          <w:color w:val="auto"/>
          <w:sz w:val="24"/>
          <w:szCs w:val="22"/>
        </w:rPr>
        <w:t>/d，综合单价包括</w:t>
      </w:r>
      <w:r>
        <w:rPr>
          <w:rFonts w:hint="eastAsia" w:ascii="宋体" w:hAnsi="宋体" w:cs="仿宋"/>
          <w:color w:val="auto"/>
          <w:sz w:val="24"/>
          <w:szCs w:val="22"/>
          <w:lang w:val="zh-TW"/>
        </w:rPr>
        <w:t>设备</w:t>
      </w:r>
      <w:r>
        <w:rPr>
          <w:rFonts w:hint="eastAsia" w:ascii="宋体" w:hAnsi="宋体" w:cs="仿宋"/>
          <w:color w:val="auto"/>
          <w:sz w:val="24"/>
          <w:szCs w:val="22"/>
        </w:rPr>
        <w:t>运营、</w:t>
      </w:r>
      <w:r>
        <w:rPr>
          <w:rFonts w:hint="eastAsia" w:ascii="宋体" w:hAnsi="宋体" w:cs="仿宋"/>
          <w:color w:val="auto"/>
          <w:sz w:val="24"/>
          <w:szCs w:val="22"/>
          <w:lang w:val="en-US" w:eastAsia="zh-CN"/>
        </w:rPr>
        <w:t>维修</w:t>
      </w:r>
      <w:r>
        <w:rPr>
          <w:rFonts w:hint="eastAsia" w:ascii="宋体" w:hAnsi="宋体" w:cs="仿宋"/>
          <w:color w:val="auto"/>
          <w:sz w:val="24"/>
          <w:szCs w:val="22"/>
          <w:lang w:val="zh-TW"/>
        </w:rPr>
        <w:t>设计、运输、安装、调试、运行、维护</w:t>
      </w:r>
      <w:r>
        <w:rPr>
          <w:rFonts w:hint="eastAsia" w:ascii="宋体" w:hAnsi="宋体" w:cs="仿宋"/>
          <w:color w:val="auto"/>
          <w:sz w:val="24"/>
          <w:szCs w:val="22"/>
        </w:rPr>
        <w:t>等全部费用，不包含污泥转运及处置费。</w:t>
      </w:r>
    </w:p>
    <w:p>
      <w:pPr>
        <w:spacing w:line="360" w:lineRule="auto"/>
        <w:ind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zh-TW"/>
        </w:rPr>
        <w:t xml:space="preserve"> </w:t>
      </w:r>
      <w:r>
        <w:rPr>
          <w:rFonts w:hint="eastAsia" w:ascii="宋体" w:hAnsi="宋体" w:cs="仿宋"/>
          <w:color w:val="auto"/>
          <w:sz w:val="24"/>
        </w:rPr>
        <w:t>服务</w:t>
      </w:r>
      <w:r>
        <w:rPr>
          <w:rFonts w:hint="eastAsia" w:ascii="宋体" w:hAnsi="宋体" w:cs="仿宋"/>
          <w:color w:val="auto"/>
          <w:sz w:val="24"/>
          <w:lang w:val="zh-TW"/>
        </w:rPr>
        <w:t>运营费</w:t>
      </w:r>
      <w:r>
        <w:rPr>
          <w:rFonts w:hint="eastAsia" w:ascii="宋体" w:hAnsi="宋体" w:cs="仿宋"/>
          <w:color w:val="auto"/>
          <w:sz w:val="24"/>
        </w:rPr>
        <w:t>用支付单价及方式：</w:t>
      </w:r>
    </w:p>
    <w:p>
      <w:pPr>
        <w:spacing w:line="360" w:lineRule="auto"/>
        <w:ind w:firstLine="480" w:firstLineChars="200"/>
        <w:rPr>
          <w:rFonts w:ascii="宋体" w:hAnsi="宋体" w:cs="仿宋"/>
          <w:color w:val="auto"/>
          <w:sz w:val="24"/>
        </w:rPr>
      </w:pPr>
      <w:r>
        <w:rPr>
          <w:rFonts w:hint="eastAsia" w:ascii="宋体" w:hAnsi="宋体" w:cs="仿宋"/>
          <w:color w:val="auto"/>
          <w:sz w:val="24"/>
        </w:rPr>
        <w:t>（1）支付方式：服务运营费用按月度支付，每月的服务运营费用=每月实际处理总水量×污水处理综合单价，</w:t>
      </w:r>
      <w:r>
        <w:rPr>
          <w:rFonts w:hint="eastAsia" w:ascii="宋体" w:hAnsi="宋体" w:cs="仿宋"/>
          <w:color w:val="auto"/>
          <w:sz w:val="24"/>
          <w:lang w:val="en-US" w:eastAsia="zh-CN"/>
        </w:rPr>
        <w:t>本项目无</w:t>
      </w:r>
      <w:r>
        <w:rPr>
          <w:rFonts w:hint="eastAsia" w:ascii="宋体" w:hAnsi="宋体" w:cs="仿宋"/>
          <w:color w:val="auto"/>
          <w:sz w:val="24"/>
        </w:rPr>
        <w:t>保底进水量，以实际处理进水计量，甲乙双方共同完成抄表计量，按合同约定水价执行，乙方提供服务费结算单、服务费发票和请款报告。</w:t>
      </w:r>
    </w:p>
    <w:p>
      <w:pPr>
        <w:spacing w:line="360" w:lineRule="auto"/>
        <w:ind w:firstLine="480" w:firstLineChars="200"/>
        <w:rPr>
          <w:rFonts w:ascii="宋体" w:hAnsi="宋体" w:cs="仿宋"/>
          <w:color w:val="auto"/>
          <w:sz w:val="24"/>
        </w:rPr>
      </w:pPr>
      <w:r>
        <w:rPr>
          <w:rFonts w:hint="eastAsia" w:ascii="宋体" w:hAnsi="宋体" w:cs="仿宋"/>
          <w:color w:val="auto"/>
          <w:sz w:val="24"/>
        </w:rPr>
        <w:t xml:space="preserve">（2）支付单价： </w:t>
      </w:r>
      <w:r>
        <w:rPr>
          <w:rFonts w:ascii="宋体" w:hAnsi="宋体" w:cs="仿宋"/>
          <w:color w:val="auto"/>
          <w:sz w:val="24"/>
        </w:rPr>
        <w:t xml:space="preserve">    </w:t>
      </w:r>
      <w:r>
        <w:rPr>
          <w:rFonts w:hint="eastAsia" w:ascii="宋体" w:hAnsi="宋体" w:cs="仿宋"/>
          <w:color w:val="auto"/>
          <w:sz w:val="24"/>
        </w:rPr>
        <w:t>元/吨。</w:t>
      </w:r>
    </w:p>
    <w:p>
      <w:pPr>
        <w:spacing w:line="360" w:lineRule="auto"/>
        <w:ind w:firstLine="480" w:firstLineChars="200"/>
        <w:rPr>
          <w:rFonts w:ascii="宋体" w:hAnsi="宋体" w:cs="仿宋"/>
          <w:color w:val="auto"/>
          <w:sz w:val="24"/>
        </w:rPr>
      </w:pPr>
      <w:r>
        <w:rPr>
          <w:rFonts w:hint="eastAsia" w:ascii="宋体" w:hAnsi="宋体" w:cs="仿宋"/>
          <w:color w:val="auto"/>
          <w:sz w:val="24"/>
          <w:lang w:val="en-US" w:eastAsia="zh-CN"/>
        </w:rPr>
        <w:t>3</w:t>
      </w:r>
      <w:r>
        <w:rPr>
          <w:rFonts w:hint="eastAsia" w:ascii="宋体" w:hAnsi="宋体" w:cs="仿宋"/>
          <w:color w:val="auto"/>
          <w:sz w:val="24"/>
        </w:rPr>
        <w:t>．付款申请资料</w:t>
      </w:r>
    </w:p>
    <w:p>
      <w:pPr>
        <w:spacing w:line="360" w:lineRule="auto"/>
        <w:ind w:firstLine="480" w:firstLineChars="200"/>
        <w:rPr>
          <w:rFonts w:ascii="宋体" w:hAnsi="宋体" w:cs="仿宋"/>
          <w:color w:val="auto"/>
          <w:sz w:val="24"/>
        </w:rPr>
      </w:pPr>
      <w:r>
        <w:rPr>
          <w:rFonts w:hint="eastAsia" w:ascii="宋体" w:hAnsi="宋体" w:cs="仿宋"/>
          <w:color w:val="auto"/>
          <w:sz w:val="24"/>
        </w:rPr>
        <w:t>乙方每月完成运营后，向甲方递交污水处理费用支付请款报告，请款报告应包括以下资料：</w:t>
      </w:r>
    </w:p>
    <w:p>
      <w:pPr>
        <w:spacing w:line="360" w:lineRule="auto"/>
        <w:ind w:firstLine="480" w:firstLineChars="200"/>
        <w:rPr>
          <w:rFonts w:ascii="宋体" w:hAnsi="宋体" w:cs="仿宋"/>
          <w:color w:val="auto"/>
          <w:sz w:val="24"/>
        </w:rPr>
      </w:pPr>
      <w:r>
        <w:rPr>
          <w:rFonts w:hint="eastAsia" w:ascii="宋体" w:hAnsi="宋体" w:cs="仿宋"/>
          <w:color w:val="auto"/>
          <w:sz w:val="24"/>
        </w:rPr>
        <w:t>a、污水处理费请款报告文本；</w:t>
      </w:r>
    </w:p>
    <w:p>
      <w:pPr>
        <w:spacing w:line="360" w:lineRule="auto"/>
        <w:ind w:firstLine="480" w:firstLineChars="200"/>
        <w:rPr>
          <w:rFonts w:ascii="宋体" w:hAnsi="宋体" w:cs="仿宋"/>
          <w:color w:val="auto"/>
          <w:sz w:val="24"/>
        </w:rPr>
      </w:pPr>
      <w:r>
        <w:rPr>
          <w:rFonts w:hint="eastAsia" w:ascii="宋体" w:hAnsi="宋体" w:cs="仿宋"/>
          <w:color w:val="auto"/>
          <w:sz w:val="24"/>
        </w:rPr>
        <w:t>b、相应的运行记录（含水质、水量、设备的运行情况）；</w:t>
      </w:r>
    </w:p>
    <w:p>
      <w:pPr>
        <w:spacing w:line="360" w:lineRule="auto"/>
        <w:ind w:firstLine="480" w:firstLineChars="200"/>
        <w:rPr>
          <w:rFonts w:hint="eastAsia" w:ascii="宋体" w:hAnsi="宋体" w:eastAsia="宋体" w:cs="仿宋"/>
          <w:color w:val="auto"/>
          <w:sz w:val="24"/>
          <w:szCs w:val="24"/>
          <w:lang w:eastAsia="zh-CN"/>
        </w:rPr>
      </w:pPr>
      <w:r>
        <w:rPr>
          <w:rFonts w:hint="eastAsia" w:ascii="宋体" w:hAnsi="宋体" w:cs="仿宋"/>
          <w:color w:val="auto"/>
          <w:sz w:val="24"/>
        </w:rPr>
        <w:t>c、经甲乙双方共同确认的污水处理量</w:t>
      </w:r>
      <w:r>
        <w:rPr>
          <w:rFonts w:hint="eastAsia" w:ascii="宋体" w:hAnsi="宋体" w:cs="仿宋"/>
          <w:color w:val="auto"/>
          <w:sz w:val="24"/>
          <w:lang w:eastAsia="zh-CN"/>
        </w:rPr>
        <w:t>。</w:t>
      </w:r>
    </w:p>
    <w:p>
      <w:pPr>
        <w:spacing w:line="360" w:lineRule="auto"/>
        <w:ind w:firstLine="480" w:firstLineChars="200"/>
        <w:rPr>
          <w:rFonts w:ascii="宋体" w:hAnsi="宋体" w:cs="仿宋"/>
          <w:color w:val="auto"/>
          <w:sz w:val="24"/>
        </w:rPr>
      </w:pPr>
      <w:r>
        <w:rPr>
          <w:rFonts w:hint="eastAsia" w:ascii="宋体" w:hAnsi="宋体" w:cs="仿宋"/>
          <w:color w:val="auto"/>
          <w:sz w:val="24"/>
          <w:lang w:val="en-US" w:eastAsia="zh-CN"/>
        </w:rPr>
        <w:t>4</w:t>
      </w:r>
      <w:r>
        <w:rPr>
          <w:rFonts w:hint="eastAsia" w:ascii="宋体" w:hAnsi="宋体" w:cs="仿宋"/>
          <w:color w:val="auto"/>
          <w:sz w:val="24"/>
        </w:rPr>
        <w:t>．付款时间。</w:t>
      </w:r>
    </w:p>
    <w:p>
      <w:pPr>
        <w:spacing w:line="360" w:lineRule="auto"/>
        <w:ind w:firstLine="480" w:firstLineChars="200"/>
        <w:rPr>
          <w:rFonts w:ascii="宋体" w:hAnsi="宋体" w:cs="仿宋"/>
          <w:color w:val="auto"/>
          <w:sz w:val="24"/>
        </w:rPr>
      </w:pPr>
      <w:r>
        <w:rPr>
          <w:rFonts w:hint="eastAsia" w:ascii="宋体" w:hAnsi="宋体" w:cs="仿宋"/>
          <w:color w:val="auto"/>
          <w:sz w:val="24"/>
        </w:rPr>
        <w:t>每月付款，甲方在收到并确认乙方提交请款报告和处理水量证据后，甲方应30日支付乙方污水处理费。如果甲方在合同约定时间内未足额支付相应污水处理费，自逾期之日起，每天按逾期金额的0.1%的支付乙方资金利息。</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知识产权</w:t>
      </w:r>
    </w:p>
    <w:p>
      <w:pPr>
        <w:spacing w:line="360" w:lineRule="auto"/>
        <w:ind w:firstLine="480" w:firstLineChars="200"/>
        <w:rPr>
          <w:rFonts w:ascii="宋体" w:hAnsi="宋体" w:cs="仿宋"/>
          <w:color w:val="auto"/>
          <w:sz w:val="24"/>
        </w:rPr>
      </w:pPr>
      <w:r>
        <w:rPr>
          <w:rFonts w:hint="eastAsia" w:ascii="宋体" w:hAnsi="宋体" w:cs="仿宋"/>
          <w:color w:val="auto"/>
          <w:sz w:val="24"/>
        </w:rPr>
        <w:t>乙方应保证所提供的服务或其任何一部分均不会侵犯任何第三方的专利权、商标权或著作权。</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甲方的权利和义务</w:t>
      </w:r>
    </w:p>
    <w:p>
      <w:pPr>
        <w:spacing w:line="360" w:lineRule="auto"/>
        <w:ind w:firstLine="480" w:firstLineChars="200"/>
        <w:rPr>
          <w:rFonts w:ascii="宋体" w:hAnsi="宋体" w:cs="仿宋"/>
          <w:color w:val="auto"/>
          <w:sz w:val="24"/>
        </w:rPr>
      </w:pPr>
      <w:r>
        <w:rPr>
          <w:rFonts w:hint="eastAsia" w:ascii="宋体" w:hAnsi="宋体" w:cs="仿宋"/>
          <w:color w:val="auto"/>
          <w:sz w:val="24"/>
        </w:rPr>
        <w:t>1.甲方的权利和义务</w:t>
      </w:r>
    </w:p>
    <w:p>
      <w:pPr>
        <w:spacing w:line="360" w:lineRule="auto"/>
        <w:ind w:firstLine="480" w:firstLineChars="200"/>
        <w:rPr>
          <w:rFonts w:ascii="宋体" w:hAnsi="宋体" w:cs="仿宋"/>
          <w:color w:val="auto"/>
          <w:sz w:val="24"/>
        </w:rPr>
      </w:pPr>
      <w:r>
        <w:rPr>
          <w:rFonts w:hint="eastAsia" w:ascii="宋体" w:hAnsi="宋体" w:cs="仿宋"/>
          <w:color w:val="auto"/>
          <w:sz w:val="24"/>
        </w:rPr>
        <w:t>（1）甲方监督乙方对污水进行有效处理，监督乙方履行本合同。</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ascii="宋体" w:hAnsi="宋体" w:cs="仿宋"/>
          <w:color w:val="auto"/>
          <w:sz w:val="24"/>
        </w:rPr>
        <w:t>2</w:t>
      </w:r>
      <w:r>
        <w:rPr>
          <w:rFonts w:hint="eastAsia" w:ascii="宋体" w:hAnsi="宋体" w:cs="仿宋"/>
          <w:color w:val="auto"/>
          <w:sz w:val="24"/>
        </w:rPr>
        <w:t>）甲方有权要求乙方做好相关工作，迎接上级领导或主管部门的检查、调研和业务指导。</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ascii="宋体" w:hAnsi="宋体" w:cs="仿宋"/>
          <w:color w:val="auto"/>
          <w:sz w:val="24"/>
        </w:rPr>
        <w:t>3</w:t>
      </w:r>
      <w:r>
        <w:rPr>
          <w:rFonts w:hint="eastAsia" w:ascii="宋体" w:hAnsi="宋体" w:cs="仿宋"/>
          <w:color w:val="auto"/>
          <w:sz w:val="24"/>
        </w:rPr>
        <w:t>）甲方有权要求乙方在甲方规定期限内报告设施运行情况，提交相关报表、报告和资料。</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ascii="宋体" w:hAnsi="宋体" w:cs="仿宋"/>
          <w:color w:val="auto"/>
          <w:sz w:val="24"/>
        </w:rPr>
        <w:t>4</w:t>
      </w:r>
      <w:r>
        <w:rPr>
          <w:rFonts w:hint="eastAsia" w:ascii="宋体" w:hAnsi="宋体" w:cs="仿宋"/>
          <w:color w:val="auto"/>
          <w:sz w:val="24"/>
        </w:rPr>
        <w:t>）按本合同约定的支付时间和支付方式，按时足额向乙方支付费用。</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ascii="宋体" w:hAnsi="宋体" w:cs="仿宋"/>
          <w:color w:val="auto"/>
          <w:sz w:val="24"/>
        </w:rPr>
        <w:t>5</w:t>
      </w:r>
      <w:r>
        <w:rPr>
          <w:rFonts w:hint="eastAsia" w:ascii="宋体" w:hAnsi="宋体" w:cs="仿宋"/>
          <w:color w:val="auto"/>
          <w:sz w:val="24"/>
        </w:rPr>
        <w:t>）负责为本项目提供电源、水、足够的场地，可供运输大型货物的道路条件等。</w:t>
      </w:r>
    </w:p>
    <w:p>
      <w:pPr>
        <w:spacing w:line="360" w:lineRule="auto"/>
        <w:ind w:firstLine="480" w:firstLineChars="200"/>
        <w:rPr>
          <w:rFonts w:ascii="宋体" w:hAnsi="宋体" w:cs="仿宋"/>
          <w:color w:val="auto"/>
          <w:sz w:val="24"/>
        </w:rPr>
      </w:pPr>
      <w:r>
        <w:rPr>
          <w:rFonts w:hint="eastAsia" w:ascii="宋体" w:hAnsi="宋体" w:cs="仿宋"/>
          <w:color w:val="auto"/>
          <w:sz w:val="24"/>
        </w:rPr>
        <w:t>（6）在乙方遵守合同的条件下，确保本合同在受托期内运营权不被无故中止，配合乙方在市政、环保及税收等有关享受优惠政策，但执行国家法律、法规和上级部门规定的除外。</w:t>
      </w:r>
    </w:p>
    <w:p>
      <w:pPr>
        <w:spacing w:line="360" w:lineRule="auto"/>
        <w:ind w:firstLine="480" w:firstLineChars="200"/>
        <w:rPr>
          <w:rFonts w:ascii="宋体" w:hAnsi="宋体" w:cs="仿宋"/>
          <w:color w:val="auto"/>
          <w:sz w:val="24"/>
        </w:rPr>
      </w:pPr>
      <w:r>
        <w:rPr>
          <w:rFonts w:hint="eastAsia" w:ascii="宋体" w:hAnsi="宋体" w:cs="仿宋"/>
          <w:color w:val="auto"/>
          <w:sz w:val="24"/>
        </w:rPr>
        <w:t>（7）应急污水厂产生的污泥，在乙方压滤脱水（8</w:t>
      </w:r>
      <w:r>
        <w:rPr>
          <w:rFonts w:ascii="宋体" w:hAnsi="宋体" w:cs="仿宋"/>
          <w:color w:val="auto"/>
          <w:sz w:val="24"/>
        </w:rPr>
        <w:t>0</w:t>
      </w:r>
      <w:r>
        <w:rPr>
          <w:rFonts w:hint="eastAsia" w:ascii="宋体" w:hAnsi="宋体" w:cs="仿宋"/>
          <w:color w:val="auto"/>
          <w:sz w:val="24"/>
        </w:rPr>
        <w:t>%含水率）后72小时内，由甲方负责外运和处置。</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乙方的权利和义务</w:t>
      </w:r>
    </w:p>
    <w:p>
      <w:pPr>
        <w:spacing w:line="360" w:lineRule="auto"/>
        <w:ind w:firstLine="480" w:firstLineChars="200"/>
        <w:rPr>
          <w:rFonts w:ascii="宋体" w:hAnsi="宋体" w:cs="仿宋"/>
          <w:color w:val="auto"/>
          <w:sz w:val="24"/>
        </w:rPr>
      </w:pPr>
      <w:r>
        <w:rPr>
          <w:rFonts w:hint="eastAsia" w:ascii="宋体" w:hAnsi="宋体" w:cs="仿宋"/>
          <w:color w:val="auto"/>
          <w:sz w:val="24"/>
        </w:rPr>
        <w:t>（1）根据本合同的约定向甲方申请服务费用。</w:t>
      </w:r>
    </w:p>
    <w:p>
      <w:pPr>
        <w:spacing w:line="360" w:lineRule="auto"/>
        <w:ind w:firstLine="480" w:firstLineChars="200"/>
        <w:rPr>
          <w:rFonts w:ascii="宋体" w:hAnsi="宋体" w:cs="仿宋"/>
          <w:color w:val="auto"/>
          <w:sz w:val="24"/>
        </w:rPr>
      </w:pPr>
      <w:r>
        <w:rPr>
          <w:rFonts w:hint="eastAsia" w:ascii="宋体" w:hAnsi="宋体" w:cs="仿宋"/>
          <w:color w:val="auto"/>
          <w:sz w:val="24"/>
        </w:rPr>
        <w:t>（2）在国家法律、政策范围内，乙方有权建立以经验者为首的生产经营管理制度，行使生产经营权和经营管理自主权。</w:t>
      </w:r>
    </w:p>
    <w:p>
      <w:pPr>
        <w:spacing w:line="360" w:lineRule="auto"/>
        <w:ind w:firstLine="480" w:firstLineChars="200"/>
        <w:rPr>
          <w:rFonts w:ascii="宋体" w:hAnsi="宋体" w:cs="仿宋"/>
          <w:color w:val="auto"/>
          <w:sz w:val="24"/>
        </w:rPr>
      </w:pPr>
      <w:r>
        <w:rPr>
          <w:rFonts w:hint="eastAsia" w:ascii="宋体" w:hAnsi="宋体" w:cs="仿宋"/>
          <w:color w:val="auto"/>
          <w:sz w:val="24"/>
        </w:rPr>
        <w:t>（3）对临时污水处理设施进行管理维护和维修更换等。</w:t>
      </w:r>
    </w:p>
    <w:p>
      <w:pPr>
        <w:spacing w:line="360" w:lineRule="auto"/>
        <w:ind w:firstLine="480" w:firstLineChars="200"/>
        <w:rPr>
          <w:rFonts w:ascii="宋体" w:hAnsi="宋体" w:cs="仿宋"/>
          <w:color w:val="auto"/>
          <w:sz w:val="24"/>
        </w:rPr>
      </w:pPr>
      <w:r>
        <w:rPr>
          <w:rFonts w:hint="eastAsia" w:ascii="宋体" w:hAnsi="宋体" w:cs="仿宋"/>
          <w:color w:val="auto"/>
          <w:sz w:val="24"/>
        </w:rPr>
        <w:t>（4）负责对临时污水处理系统产生的污泥进行压滤脱水，但不负责脱水污泥的转运和处置。</w:t>
      </w:r>
    </w:p>
    <w:p>
      <w:pPr>
        <w:spacing w:line="360" w:lineRule="auto"/>
        <w:ind w:firstLine="480" w:firstLineChars="200"/>
        <w:rPr>
          <w:rFonts w:ascii="宋体" w:hAnsi="宋体" w:cs="仿宋"/>
          <w:color w:val="auto"/>
          <w:sz w:val="24"/>
        </w:rPr>
      </w:pPr>
      <w:r>
        <w:rPr>
          <w:rFonts w:hint="eastAsia" w:ascii="宋体" w:hAnsi="宋体" w:cs="仿宋"/>
          <w:color w:val="auto"/>
          <w:sz w:val="24"/>
        </w:rPr>
        <w:t>（5）乙方在设备检修或非正常情况需要停运时，应提前24小时以书面形式并加盖公章通知甲方。</w:t>
      </w:r>
    </w:p>
    <w:p>
      <w:pPr>
        <w:spacing w:line="360" w:lineRule="auto"/>
        <w:ind w:firstLine="480" w:firstLineChars="200"/>
        <w:rPr>
          <w:rFonts w:ascii="宋体" w:hAnsi="宋体" w:cs="仿宋"/>
          <w:color w:val="auto"/>
          <w:sz w:val="24"/>
        </w:rPr>
      </w:pPr>
      <w:r>
        <w:rPr>
          <w:rFonts w:hint="eastAsia" w:ascii="宋体" w:hAnsi="宋体" w:cs="仿宋"/>
          <w:color w:val="auto"/>
          <w:sz w:val="24"/>
        </w:rPr>
        <w:t>（6）及时向甲方通告本项目服务范围内有关服务的重大事项，及时配合处理投诉。</w:t>
      </w:r>
    </w:p>
    <w:p>
      <w:pPr>
        <w:spacing w:line="360" w:lineRule="auto"/>
        <w:ind w:firstLine="480" w:firstLineChars="200"/>
        <w:rPr>
          <w:rFonts w:ascii="宋体" w:hAnsi="宋体" w:cs="仿宋"/>
          <w:color w:val="auto"/>
          <w:sz w:val="24"/>
        </w:rPr>
      </w:pPr>
      <w:r>
        <w:rPr>
          <w:rFonts w:hint="eastAsia" w:ascii="宋体" w:hAnsi="宋体" w:cs="仿宋"/>
          <w:color w:val="auto"/>
          <w:sz w:val="24"/>
        </w:rPr>
        <w:t>（7）乙方确保安全生产，在合同期间内，如发生安全事故，均由乙方负责。</w:t>
      </w:r>
    </w:p>
    <w:p>
      <w:pPr>
        <w:spacing w:line="360" w:lineRule="auto"/>
        <w:ind w:firstLine="480" w:firstLineChars="200"/>
        <w:rPr>
          <w:rFonts w:ascii="宋体" w:hAnsi="宋体" w:cs="仿宋"/>
          <w:color w:val="auto"/>
          <w:sz w:val="24"/>
        </w:rPr>
      </w:pPr>
      <w:r>
        <w:rPr>
          <w:rFonts w:hint="eastAsia" w:ascii="宋体" w:hAnsi="宋体" w:cs="仿宋"/>
          <w:color w:val="auto"/>
          <w:sz w:val="24"/>
        </w:rPr>
        <w:t>（8）在运营期间内，乙方确保设备的正常使用，保证达标排放。</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水质</w:t>
      </w:r>
    </w:p>
    <w:p>
      <w:pPr>
        <w:spacing w:line="360" w:lineRule="auto"/>
        <w:ind w:firstLine="480" w:firstLineChars="200"/>
        <w:rPr>
          <w:rFonts w:ascii="宋体" w:hAnsi="宋体" w:cs="仿宋"/>
          <w:color w:val="auto"/>
          <w:sz w:val="24"/>
        </w:rPr>
      </w:pPr>
      <w:r>
        <w:rPr>
          <w:rFonts w:hint="eastAsia" w:ascii="宋体" w:hAnsi="宋体" w:cs="仿宋"/>
          <w:color w:val="auto"/>
          <w:sz w:val="24"/>
        </w:rPr>
        <w:t>（1）在进水水质正常情况下，出水主要指标须达到《城镇污水处理厂污染物排放标准》（GB18918-2002）的一级A标；</w:t>
      </w:r>
    </w:p>
    <w:p>
      <w:pPr>
        <w:spacing w:line="360" w:lineRule="auto"/>
        <w:ind w:firstLine="480" w:firstLineChars="200"/>
        <w:rPr>
          <w:rFonts w:ascii="宋体" w:hAnsi="宋体" w:cs="仿宋"/>
          <w:color w:val="auto"/>
          <w:sz w:val="24"/>
        </w:rPr>
      </w:pPr>
      <w:r>
        <w:rPr>
          <w:rFonts w:hint="eastAsia" w:ascii="宋体" w:hAnsi="宋体" w:cs="仿宋"/>
          <w:color w:val="auto"/>
          <w:sz w:val="24"/>
        </w:rPr>
        <w:t>（2）进水水质超标或异常时，因进水超出设计标准及《污水排入城市下水道水质标准》，导致出水超标的，乙方不承担该部分污水引起本项目超标排放引起的违约责任，同时，甲方应按照合同约定全额支付乙方污水处理费用。</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违约责任</w:t>
      </w:r>
    </w:p>
    <w:p>
      <w:pPr>
        <w:spacing w:line="360" w:lineRule="auto"/>
        <w:ind w:firstLine="468" w:firstLineChars="195"/>
        <w:rPr>
          <w:rFonts w:ascii="宋体" w:hAnsi="宋体" w:cs="仿宋"/>
          <w:color w:val="auto"/>
          <w:sz w:val="24"/>
        </w:rPr>
      </w:pPr>
      <w:r>
        <w:rPr>
          <w:rFonts w:hint="eastAsia" w:ascii="宋体" w:hAnsi="宋体" w:cs="仿宋"/>
          <w:color w:val="auto"/>
          <w:sz w:val="24"/>
        </w:rPr>
        <w:t>1.关于甲方的违约责任</w:t>
      </w:r>
    </w:p>
    <w:p>
      <w:pPr>
        <w:spacing w:line="360" w:lineRule="auto"/>
        <w:ind w:firstLine="480" w:firstLineChars="200"/>
        <w:rPr>
          <w:rFonts w:ascii="宋体" w:hAnsi="宋体" w:cs="仿宋"/>
          <w:color w:val="auto"/>
          <w:sz w:val="24"/>
        </w:rPr>
      </w:pPr>
      <w:r>
        <w:rPr>
          <w:rFonts w:hint="eastAsia" w:ascii="宋体" w:hAnsi="宋体" w:cs="仿宋"/>
          <w:color w:val="auto"/>
          <w:sz w:val="24"/>
        </w:rPr>
        <w:t>（1）甲方如不能按时支付项目服务费用导致项目停止运行的，甲方承担全部责任；</w:t>
      </w:r>
    </w:p>
    <w:p>
      <w:pPr>
        <w:spacing w:line="360" w:lineRule="auto"/>
        <w:ind w:firstLine="480" w:firstLineChars="200"/>
        <w:rPr>
          <w:rFonts w:ascii="宋体" w:hAnsi="宋体" w:cs="仿宋"/>
          <w:color w:val="auto"/>
          <w:sz w:val="24"/>
        </w:rPr>
      </w:pPr>
      <w:r>
        <w:rPr>
          <w:rFonts w:hint="eastAsia" w:ascii="宋体" w:hAnsi="宋体" w:cs="仿宋"/>
          <w:color w:val="auto"/>
          <w:sz w:val="24"/>
        </w:rPr>
        <w:t>（2）甲方如单方面解除合同或提前终止合同，须赔偿乙方由此产生的损失。</w:t>
      </w:r>
      <w:r>
        <w:rPr>
          <w:rFonts w:ascii="宋体" w:hAnsi="宋体" w:cs="仿宋"/>
          <w:color w:val="auto"/>
          <w:sz w:val="24"/>
        </w:rPr>
        <w:t xml:space="preserve"> </w:t>
      </w:r>
    </w:p>
    <w:p>
      <w:pPr>
        <w:spacing w:line="360" w:lineRule="auto"/>
        <w:ind w:firstLine="468" w:firstLineChars="195"/>
        <w:rPr>
          <w:rFonts w:ascii="宋体" w:hAnsi="宋体" w:cs="仿宋"/>
          <w:color w:val="auto"/>
          <w:sz w:val="24"/>
        </w:rPr>
      </w:pPr>
      <w:r>
        <w:rPr>
          <w:rFonts w:hint="eastAsia" w:ascii="宋体" w:hAnsi="宋体" w:cs="仿宋"/>
          <w:color w:val="auto"/>
          <w:sz w:val="24"/>
        </w:rPr>
        <w:t>2. 关于乙方的违约责任</w:t>
      </w:r>
    </w:p>
    <w:p>
      <w:pPr>
        <w:spacing w:line="360" w:lineRule="auto"/>
        <w:ind w:firstLine="480" w:firstLineChars="200"/>
        <w:rPr>
          <w:rFonts w:ascii="宋体" w:hAnsi="宋体" w:cs="仿宋"/>
          <w:color w:val="auto"/>
          <w:sz w:val="24"/>
        </w:rPr>
      </w:pPr>
      <w:r>
        <w:rPr>
          <w:rFonts w:hint="eastAsia" w:ascii="宋体" w:hAnsi="宋体" w:cs="仿宋"/>
          <w:color w:val="auto"/>
          <w:sz w:val="24"/>
        </w:rPr>
        <w:t>（1）乙方负责的水质不能达到本合同约定的出水要求（进水水质超过约定标准情况除外），甲方扣除当日污水处理运营费；</w:t>
      </w:r>
    </w:p>
    <w:p>
      <w:pPr>
        <w:spacing w:line="360" w:lineRule="auto"/>
        <w:ind w:firstLine="480" w:firstLineChars="200"/>
        <w:rPr>
          <w:rFonts w:ascii="宋体" w:hAnsi="宋体" w:cs="仿宋"/>
          <w:color w:val="auto"/>
          <w:sz w:val="24"/>
        </w:rPr>
      </w:pPr>
      <w:r>
        <w:rPr>
          <w:rFonts w:hint="eastAsia" w:ascii="宋体" w:hAnsi="宋体" w:cs="仿宋"/>
          <w:color w:val="auto"/>
          <w:sz w:val="24"/>
        </w:rPr>
        <w:t>（2）乙方如单方面解除合同或提前终止合同，须赔偿甲方由此产生的损失。</w:t>
      </w:r>
      <w:r>
        <w:rPr>
          <w:rFonts w:ascii="宋体" w:hAnsi="宋体" w:cs="仿宋"/>
          <w:color w:val="auto"/>
          <w:sz w:val="24"/>
        </w:rPr>
        <w:t xml:space="preserve"> </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ascii="宋体" w:hAnsi="宋体" w:cs="仿宋"/>
          <w:color w:val="auto"/>
          <w:sz w:val="24"/>
        </w:rPr>
        <w:t>3</w:t>
      </w:r>
      <w:r>
        <w:rPr>
          <w:rFonts w:hint="eastAsia" w:ascii="宋体" w:hAnsi="宋体" w:cs="仿宋"/>
          <w:color w:val="auto"/>
          <w:sz w:val="24"/>
        </w:rPr>
        <w:t>）因乙方在履行合同过程中造成甲乙双方或第三方人身损害和财产损失的，乙方承担全部赔偿责任。</w:t>
      </w:r>
      <w:r>
        <w:rPr>
          <w:rFonts w:ascii="宋体" w:hAnsi="宋体" w:cs="仿宋"/>
          <w:color w:val="auto"/>
          <w:sz w:val="24"/>
        </w:rPr>
        <w:t xml:space="preserve"> </w:t>
      </w:r>
    </w:p>
    <w:p>
      <w:pPr>
        <w:numPr>
          <w:ilvl w:val="2"/>
          <w:numId w:val="27"/>
        </w:numPr>
        <w:spacing w:line="360" w:lineRule="auto"/>
        <w:rPr>
          <w:rFonts w:ascii="宋体" w:hAnsi="宋体" w:cs="仿宋"/>
          <w:b/>
          <w:bCs/>
          <w:color w:val="auto"/>
          <w:sz w:val="24"/>
        </w:rPr>
      </w:pPr>
      <w:r>
        <w:rPr>
          <w:rFonts w:hint="eastAsia" w:ascii="宋体" w:hAnsi="宋体" w:cs="仿宋"/>
          <w:b/>
          <w:bCs/>
          <w:color w:val="auto"/>
          <w:sz w:val="24"/>
        </w:rPr>
        <w:t>不可抗力事件处理</w:t>
      </w:r>
    </w:p>
    <w:p>
      <w:pPr>
        <w:spacing w:line="360" w:lineRule="auto"/>
        <w:ind w:firstLine="480" w:firstLineChars="200"/>
        <w:rPr>
          <w:rFonts w:ascii="宋体" w:hAnsi="宋体" w:cs="仿宋"/>
          <w:color w:val="auto"/>
          <w:sz w:val="24"/>
        </w:rPr>
      </w:pPr>
      <w:r>
        <w:rPr>
          <w:rFonts w:hint="eastAsia" w:ascii="宋体" w:hAnsi="宋体" w:cs="仿宋"/>
          <w:color w:val="auto"/>
          <w:sz w:val="24"/>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cs="仿宋"/>
          <w:color w:val="auto"/>
          <w:sz w:val="24"/>
        </w:rPr>
      </w:pPr>
      <w:r>
        <w:rPr>
          <w:rFonts w:hint="eastAsia" w:ascii="宋体" w:hAnsi="宋体" w:cs="仿宋"/>
          <w:color w:val="auto"/>
          <w:sz w:val="24"/>
        </w:rPr>
        <w:t>2．不可抗力事件发生后，应立即通知对方，并寄送有关权威机构出具的证明。</w:t>
      </w:r>
    </w:p>
    <w:p>
      <w:pPr>
        <w:spacing w:line="360" w:lineRule="auto"/>
        <w:ind w:firstLine="480" w:firstLineChars="200"/>
        <w:rPr>
          <w:rFonts w:ascii="宋体" w:hAnsi="宋体" w:cs="仿宋"/>
          <w:color w:val="auto"/>
          <w:sz w:val="24"/>
        </w:rPr>
      </w:pPr>
      <w:r>
        <w:rPr>
          <w:rFonts w:hint="eastAsia" w:ascii="宋体" w:hAnsi="宋体" w:cs="仿宋"/>
          <w:color w:val="auto"/>
          <w:sz w:val="24"/>
        </w:rPr>
        <w:t>3．不可抗力事件延续30天以上，双方应通过友好协商，确定是否继续履行合同。</w:t>
      </w:r>
    </w:p>
    <w:p>
      <w:pPr>
        <w:numPr>
          <w:ilvl w:val="2"/>
          <w:numId w:val="27"/>
        </w:numPr>
        <w:spacing w:line="360" w:lineRule="auto"/>
        <w:rPr>
          <w:rFonts w:ascii="宋体" w:hAnsi="宋体" w:cs="仿宋"/>
          <w:b/>
          <w:bCs/>
          <w:color w:val="auto"/>
          <w:sz w:val="24"/>
        </w:rPr>
      </w:pPr>
      <w:bookmarkStart w:id="1112" w:name="_Toc247334846"/>
      <w:bookmarkStart w:id="1113" w:name="_Toc211854454"/>
      <w:bookmarkStart w:id="1114" w:name="_Toc238984980"/>
      <w:bookmarkStart w:id="1115" w:name="_Toc212019599"/>
      <w:bookmarkStart w:id="1116" w:name="_Toc251768867"/>
      <w:bookmarkStart w:id="1117" w:name="_Toc237145411"/>
      <w:bookmarkStart w:id="1118" w:name="_Toc239568423"/>
      <w:bookmarkStart w:id="1119" w:name="_Toc239233919"/>
      <w:bookmarkStart w:id="1120" w:name="_Toc185395254"/>
      <w:bookmarkStart w:id="1121" w:name="_Toc232492933"/>
      <w:bookmarkStart w:id="1122" w:name="_Toc225670756"/>
      <w:bookmarkStart w:id="1123" w:name="_Toc241833908"/>
      <w:bookmarkStart w:id="1124" w:name="_Toc225654649"/>
      <w:bookmarkStart w:id="1125" w:name="_Toc211911353"/>
      <w:bookmarkStart w:id="1126" w:name="_Toc286993792"/>
      <w:bookmarkStart w:id="1127" w:name="_Toc225244857"/>
      <w:r>
        <w:rPr>
          <w:rFonts w:hint="eastAsia" w:ascii="宋体" w:hAnsi="宋体" w:cs="仿宋"/>
          <w:b/>
          <w:bCs/>
          <w:color w:val="auto"/>
          <w:sz w:val="24"/>
        </w:rPr>
        <w:t>解决合同纠纷的方式</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pPr>
        <w:spacing w:line="360" w:lineRule="auto"/>
        <w:ind w:firstLine="480" w:firstLineChars="200"/>
        <w:rPr>
          <w:rFonts w:ascii="宋体" w:hAnsi="宋体" w:cs="仿宋"/>
          <w:color w:val="auto"/>
          <w:sz w:val="24"/>
        </w:rPr>
      </w:pPr>
      <w:r>
        <w:rPr>
          <w:rFonts w:hint="eastAsia" w:ascii="宋体" w:hAnsi="宋体" w:cs="仿宋"/>
          <w:color w:val="auto"/>
          <w:sz w:val="24"/>
        </w:rPr>
        <w:t>1.甲乙双方在履行本合同中如发生争议，先应友好协商解决，经协商在30天内仍不能达成一致意见时，任何一方均有权向有管辖权的人民法院提起诉讼解决争议。</w:t>
      </w:r>
    </w:p>
    <w:p>
      <w:pPr>
        <w:numPr>
          <w:ilvl w:val="2"/>
          <w:numId w:val="27"/>
        </w:numPr>
        <w:spacing w:line="360" w:lineRule="auto"/>
        <w:rPr>
          <w:rFonts w:ascii="宋体" w:hAnsi="宋体" w:cs="仿宋"/>
          <w:b/>
          <w:bCs/>
          <w:color w:val="auto"/>
          <w:sz w:val="24"/>
        </w:rPr>
      </w:pPr>
      <w:bookmarkStart w:id="1128" w:name="_Toc225244858"/>
      <w:bookmarkStart w:id="1129" w:name="_Toc212019600"/>
      <w:bookmarkStart w:id="1130" w:name="_Toc225654650"/>
      <w:bookmarkStart w:id="1131" w:name="_Toc239233920"/>
      <w:bookmarkStart w:id="1132" w:name="_Toc286993793"/>
      <w:bookmarkStart w:id="1133" w:name="_Toc225670757"/>
      <w:bookmarkStart w:id="1134" w:name="_Toc238984981"/>
      <w:bookmarkStart w:id="1135" w:name="_Toc185395255"/>
      <w:bookmarkStart w:id="1136" w:name="_Toc282696231"/>
      <w:bookmarkStart w:id="1137" w:name="_Toc232492934"/>
      <w:bookmarkStart w:id="1138" w:name="_Toc211854455"/>
      <w:bookmarkStart w:id="1139" w:name="_Toc241833909"/>
      <w:bookmarkStart w:id="1140" w:name="_Toc251768868"/>
      <w:bookmarkStart w:id="1141" w:name="_Toc239568424"/>
      <w:bookmarkStart w:id="1142" w:name="_Toc211911354"/>
      <w:bookmarkStart w:id="1143" w:name="_Toc283019219"/>
      <w:bookmarkStart w:id="1144" w:name="_Toc237145412"/>
      <w:bookmarkStart w:id="1145" w:name="_Toc247334847"/>
      <w:r>
        <w:rPr>
          <w:rFonts w:hint="eastAsia" w:ascii="宋体" w:hAnsi="宋体" w:cs="仿宋"/>
          <w:b/>
          <w:bCs/>
          <w:color w:val="auto"/>
          <w:sz w:val="24"/>
        </w:rPr>
        <w:t>合同</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Pr>
          <w:rFonts w:hint="eastAsia" w:ascii="宋体" w:hAnsi="宋体" w:cs="仿宋"/>
          <w:b/>
          <w:bCs/>
          <w:color w:val="auto"/>
          <w:sz w:val="24"/>
        </w:rPr>
        <w:t>生效及其他</w:t>
      </w:r>
    </w:p>
    <w:p>
      <w:pPr>
        <w:spacing w:line="360" w:lineRule="auto"/>
        <w:ind w:firstLine="480" w:firstLineChars="200"/>
        <w:rPr>
          <w:rFonts w:ascii="宋体" w:hAnsi="宋体" w:cs="仿宋"/>
          <w:color w:val="auto"/>
          <w:sz w:val="24"/>
        </w:rPr>
      </w:pPr>
      <w:r>
        <w:rPr>
          <w:rFonts w:hint="eastAsia" w:ascii="宋体" w:hAnsi="宋体" w:cs="仿宋"/>
          <w:color w:val="auto"/>
          <w:sz w:val="24"/>
        </w:rPr>
        <w:t>1．合同经双方法定代表人或授权委托代理人签字并加盖单位公章后生效。</w:t>
      </w:r>
    </w:p>
    <w:p>
      <w:pPr>
        <w:spacing w:line="360" w:lineRule="auto"/>
        <w:ind w:firstLine="480" w:firstLineChars="200"/>
        <w:rPr>
          <w:rFonts w:ascii="宋体" w:hAnsi="宋体" w:cs="仿宋"/>
          <w:color w:val="auto"/>
          <w:sz w:val="24"/>
        </w:rPr>
      </w:pPr>
      <w:r>
        <w:rPr>
          <w:rFonts w:hint="eastAsia" w:ascii="宋体" w:hAnsi="宋体" w:cs="仿宋"/>
          <w:color w:val="auto"/>
          <w:sz w:val="24"/>
        </w:rPr>
        <w:t>2．本合同一式</w:t>
      </w:r>
      <w:r>
        <w:rPr>
          <w:rFonts w:hint="eastAsia" w:ascii="宋体" w:hAnsi="宋体" w:cs="仿宋"/>
          <w:color w:val="auto"/>
          <w:sz w:val="24"/>
          <w:lang w:val="en-US" w:eastAsia="zh-CN"/>
        </w:rPr>
        <w:t>捌</w:t>
      </w:r>
      <w:r>
        <w:rPr>
          <w:rFonts w:hint="eastAsia" w:ascii="宋体" w:hAnsi="宋体" w:cs="仿宋"/>
          <w:color w:val="auto"/>
          <w:sz w:val="24"/>
        </w:rPr>
        <w:t>份，自双方签章之日起起效。甲方</w:t>
      </w:r>
      <w:r>
        <w:rPr>
          <w:rFonts w:hint="eastAsia" w:ascii="宋体" w:hAnsi="宋体" w:cs="仿宋"/>
          <w:color w:val="auto"/>
          <w:sz w:val="24"/>
          <w:lang w:val="en-US" w:eastAsia="zh-CN"/>
        </w:rPr>
        <w:t>伍</w:t>
      </w:r>
      <w:r>
        <w:rPr>
          <w:rFonts w:hint="eastAsia" w:ascii="宋体" w:hAnsi="宋体" w:cs="仿宋"/>
          <w:color w:val="auto"/>
          <w:sz w:val="24"/>
        </w:rPr>
        <w:t>份，乙方叁份，具有同等法律效力。</w:t>
      </w:r>
    </w:p>
    <w:p>
      <w:pPr>
        <w:pStyle w:val="2"/>
        <w:spacing w:before="312" w:after="312" w:line="360" w:lineRule="auto"/>
        <w:rPr>
          <w:rFonts w:ascii="宋体" w:hAnsi="宋体" w:eastAsia="宋体"/>
          <w:color w:val="auto"/>
        </w:rPr>
      </w:pPr>
      <w:r>
        <w:rPr>
          <w:rFonts w:ascii="宋体" w:hAnsi="宋体" w:eastAsia="宋体"/>
          <w:color w:val="auto"/>
        </w:rPr>
        <w:br w:type="page"/>
      </w:r>
      <w:r>
        <w:rPr>
          <w:rFonts w:hint="eastAsia" w:ascii="宋体" w:hAnsi="宋体" w:eastAsia="宋体"/>
          <w:color w:val="auto"/>
        </w:rPr>
        <w:t>（以下无正文，为签字盖章栏）</w:t>
      </w:r>
    </w:p>
    <w:p>
      <w:pPr>
        <w:spacing w:line="360" w:lineRule="auto"/>
        <w:ind w:firstLine="480" w:firstLineChars="200"/>
        <w:rPr>
          <w:rFonts w:ascii="宋体" w:hAnsi="宋体" w:cs="仿宋"/>
          <w:color w:val="auto"/>
          <w:sz w:val="24"/>
        </w:rPr>
      </w:pPr>
      <w:r>
        <w:rPr>
          <w:rFonts w:hint="eastAsia" w:ascii="宋体" w:hAnsi="宋体" w:cs="仿宋"/>
          <w:color w:val="auto"/>
          <w:sz w:val="24"/>
        </w:rPr>
        <w:t>甲方：（盖章）                     乙方：（盖章）</w:t>
      </w:r>
    </w:p>
    <w:p>
      <w:pPr>
        <w:spacing w:line="360" w:lineRule="auto"/>
        <w:ind w:firstLine="480" w:firstLineChars="200"/>
        <w:rPr>
          <w:rFonts w:ascii="宋体" w:hAnsi="宋体" w:cs="仿宋"/>
          <w:color w:val="auto"/>
          <w:sz w:val="24"/>
        </w:rPr>
      </w:pPr>
      <w:r>
        <w:rPr>
          <w:rFonts w:hint="eastAsia" w:ascii="宋体" w:hAnsi="宋体" w:cs="仿宋"/>
          <w:color w:val="auto"/>
          <w:sz w:val="24"/>
        </w:rPr>
        <w:t>法定代表人：                      法定代表人：</w:t>
      </w:r>
    </w:p>
    <w:p>
      <w:pPr>
        <w:spacing w:line="360" w:lineRule="auto"/>
        <w:ind w:firstLine="480" w:firstLineChars="200"/>
        <w:rPr>
          <w:rFonts w:ascii="宋体" w:hAnsi="宋体" w:cs="仿宋"/>
          <w:color w:val="auto"/>
          <w:sz w:val="24"/>
        </w:rPr>
      </w:pPr>
      <w:r>
        <w:rPr>
          <w:rFonts w:hint="eastAsia" w:ascii="宋体" w:hAnsi="宋体" w:cs="仿宋"/>
          <w:color w:val="auto"/>
          <w:sz w:val="24"/>
        </w:rPr>
        <w:t>开户银行：                        开户银行：</w:t>
      </w:r>
    </w:p>
    <w:p>
      <w:pPr>
        <w:spacing w:line="360" w:lineRule="auto"/>
        <w:ind w:firstLine="240" w:firstLineChars="100"/>
        <w:rPr>
          <w:rFonts w:ascii="宋体" w:hAnsi="宋体" w:cs="仿宋"/>
          <w:color w:val="auto"/>
          <w:sz w:val="24"/>
        </w:rPr>
      </w:pPr>
      <w:r>
        <w:rPr>
          <w:rFonts w:hint="eastAsia" w:ascii="宋体" w:hAnsi="宋体" w:cs="仿宋"/>
          <w:color w:val="auto"/>
          <w:sz w:val="24"/>
        </w:rPr>
        <w:t>账号：                            账   号：</w:t>
      </w:r>
    </w:p>
    <w:p>
      <w:pPr>
        <w:spacing w:line="360" w:lineRule="auto"/>
        <w:ind w:firstLine="240" w:firstLineChars="100"/>
        <w:rPr>
          <w:rFonts w:ascii="宋体" w:hAnsi="宋体" w:cs="仿宋"/>
          <w:color w:val="auto"/>
          <w:sz w:val="24"/>
        </w:rPr>
      </w:pPr>
      <w:r>
        <w:rPr>
          <w:rFonts w:hint="eastAsia" w:ascii="宋体" w:hAnsi="宋体" w:cs="仿宋"/>
          <w:color w:val="auto"/>
          <w:sz w:val="24"/>
        </w:rPr>
        <w:t>电    话：</w:t>
      </w:r>
      <w:r>
        <w:rPr>
          <w:rFonts w:ascii="宋体" w:hAnsi="宋体" w:cs="仿宋"/>
          <w:color w:val="auto"/>
          <w:sz w:val="24"/>
        </w:rPr>
        <w:t xml:space="preserve">              </w:t>
      </w:r>
      <w:r>
        <w:rPr>
          <w:rFonts w:hint="eastAsia" w:ascii="宋体" w:hAnsi="宋体" w:cs="仿宋"/>
          <w:color w:val="auto"/>
          <w:sz w:val="24"/>
        </w:rPr>
        <w:t xml:space="preserve">          电    话：</w:t>
      </w:r>
    </w:p>
    <w:p>
      <w:pPr>
        <w:spacing w:line="360" w:lineRule="auto"/>
        <w:ind w:firstLine="240" w:firstLineChars="100"/>
        <w:rPr>
          <w:rFonts w:ascii="宋体" w:hAnsi="宋体" w:cs="仿宋"/>
          <w:color w:val="auto"/>
          <w:sz w:val="24"/>
        </w:rPr>
      </w:pPr>
      <w:r>
        <w:rPr>
          <w:rFonts w:hint="eastAsia" w:ascii="宋体" w:hAnsi="宋体" w:cs="仿宋"/>
          <w:color w:val="auto"/>
          <w:sz w:val="24"/>
        </w:rPr>
        <w:t>传    真：                        传    真：</w:t>
      </w:r>
    </w:p>
    <w:p>
      <w:pPr>
        <w:pStyle w:val="2"/>
        <w:spacing w:line="360" w:lineRule="auto"/>
        <w:ind w:firstLine="240" w:firstLineChars="100"/>
        <w:rPr>
          <w:color w:val="auto"/>
        </w:rPr>
      </w:pPr>
      <w:r>
        <w:rPr>
          <w:rFonts w:hint="eastAsia" w:ascii="宋体" w:hAnsi="宋体" w:cs="仿宋"/>
          <w:color w:val="auto"/>
          <w:sz w:val="24"/>
        </w:rPr>
        <w:t>签约日期：      年   月   日</w:t>
      </w:r>
      <w:r>
        <w:rPr>
          <w:rFonts w:hint="eastAsia" w:ascii="宋体" w:hAnsi="宋体" w:cs="仿宋"/>
          <w:color w:val="auto"/>
          <w:sz w:val="24"/>
          <w:lang w:val="en-US" w:eastAsia="zh-CN"/>
        </w:rPr>
        <w:t xml:space="preserve">     </w:t>
      </w:r>
      <w:r>
        <w:rPr>
          <w:rFonts w:hint="eastAsia" w:ascii="宋体" w:hAnsi="宋体" w:cs="仿宋"/>
          <w:color w:val="auto"/>
          <w:sz w:val="24"/>
        </w:rPr>
        <w:t xml:space="preserve"> </w:t>
      </w:r>
      <w:r>
        <w:rPr>
          <w:rFonts w:hint="eastAsia" w:ascii="宋体" w:hAnsi="宋体" w:cs="仿宋"/>
          <w:color w:val="auto"/>
          <w:sz w:val="24"/>
        </w:rPr>
        <w:tab/>
      </w:r>
      <w:r>
        <w:rPr>
          <w:rFonts w:hint="eastAsia" w:ascii="宋体" w:hAnsi="宋体" w:cs="仿宋"/>
          <w:color w:val="auto"/>
          <w:sz w:val="24"/>
        </w:rPr>
        <w:tab/>
      </w:r>
      <w:r>
        <w:rPr>
          <w:rFonts w:hint="eastAsia" w:ascii="宋体" w:hAnsi="宋体" w:cs="仿宋"/>
          <w:color w:val="auto"/>
          <w:sz w:val="24"/>
        </w:rPr>
        <w:t xml:space="preserve">签约日期：    年   月   </w:t>
      </w:r>
    </w:p>
    <w:p>
      <w:pPr>
        <w:rPr>
          <w:color w:val="auto"/>
        </w:rPr>
      </w:pPr>
    </w:p>
    <w:p>
      <w:pPr>
        <w:pStyle w:val="9"/>
        <w:spacing w:line="400" w:lineRule="exact"/>
        <w:ind w:firstLineChars="175"/>
        <w:rPr>
          <w:rFonts w:hAnsi="宋体" w:cs="宋体"/>
          <w:color w:val="auto"/>
          <w:sz w:val="24"/>
          <w:highlight w:val="none"/>
        </w:rPr>
      </w:pPr>
    </w:p>
    <w:p>
      <w:pPr>
        <w:pStyle w:val="9"/>
        <w:spacing w:line="400" w:lineRule="exact"/>
        <w:ind w:firstLineChars="175"/>
        <w:rPr>
          <w:rFonts w:hAnsi="宋体" w:cs="宋体"/>
          <w:color w:val="auto"/>
          <w:sz w:val="24"/>
          <w:highlight w:val="none"/>
        </w:rPr>
      </w:pPr>
    </w:p>
    <w:p>
      <w:pPr>
        <w:rPr>
          <w:rFonts w:hAnsi="宋体" w:cs="宋体"/>
          <w:b/>
          <w:bCs/>
          <w:color w:val="auto"/>
          <w:sz w:val="24"/>
          <w:highlight w:val="none"/>
        </w:rPr>
      </w:pPr>
      <w:r>
        <w:rPr>
          <w:rFonts w:hint="eastAsia" w:hAnsi="宋体" w:cs="宋体"/>
          <w:b/>
          <w:bCs/>
          <w:color w:val="auto"/>
          <w:sz w:val="24"/>
          <w:highlight w:val="none"/>
        </w:rPr>
        <w:t>注：以上合同条款采购人与中标人签订合同时可根据实际情况进行调整、修改或重新起草合同条款。</w:t>
      </w:r>
    </w:p>
    <w:p>
      <w:pPr>
        <w:wordWrap w:val="0"/>
        <w:topLinePunct/>
        <w:spacing w:beforeAutospacing="1" w:afterAutospacing="1"/>
        <w:rPr>
          <w:rFonts w:hAnsi="宋体" w:cs="宋体"/>
          <w:color w:val="auto"/>
          <w:highlight w:val="none"/>
        </w:rPr>
      </w:pPr>
    </w:p>
    <w:sectPr>
      <w:headerReference r:id="rId5" w:type="first"/>
      <w:footerReference r:id="rId7" w:type="first"/>
      <w:headerReference r:id="rId4" w:type="default"/>
      <w:footerReference r:id="rId6" w:type="default"/>
      <w:pgSz w:w="11906" w:h="16838"/>
      <w:pgMar w:top="1440" w:right="1417" w:bottom="1440" w:left="1701"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FFFFFF" w:sz="6"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17659"/>
    <w:multiLevelType w:val="singleLevel"/>
    <w:tmpl w:val="E011765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3">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4">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5">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6">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7">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8">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9">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0">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1">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12">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3">
    <w:nsid w:val="00000010"/>
    <w:multiLevelType w:val="singleLevel"/>
    <w:tmpl w:val="00000010"/>
    <w:lvl w:ilvl="0" w:tentative="0">
      <w:start w:val="1"/>
      <w:numFmt w:val="decimal"/>
      <w:lvlText w:val="%1"/>
      <w:lvlJc w:val="center"/>
      <w:pPr>
        <w:tabs>
          <w:tab w:val="left" w:pos="0"/>
        </w:tabs>
        <w:ind w:left="0" w:firstLine="0"/>
      </w:pPr>
      <w:rPr>
        <w:rFonts w:hint="default"/>
      </w:rPr>
    </w:lvl>
  </w:abstractNum>
  <w:abstractNum w:abstractNumId="14">
    <w:nsid w:val="00000011"/>
    <w:multiLevelType w:val="singleLevel"/>
    <w:tmpl w:val="00000011"/>
    <w:lvl w:ilvl="0" w:tentative="0">
      <w:start w:val="1"/>
      <w:numFmt w:val="decimal"/>
      <w:suff w:val="nothing"/>
      <w:lvlText w:val="%1、"/>
      <w:lvlJc w:val="left"/>
    </w:lvl>
  </w:abstractNum>
  <w:abstractNum w:abstractNumId="15">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6">
    <w:nsid w:val="00000014"/>
    <w:multiLevelType w:val="singleLevel"/>
    <w:tmpl w:val="00000014"/>
    <w:lvl w:ilvl="0" w:tentative="0">
      <w:start w:val="2"/>
      <w:numFmt w:val="decimal"/>
      <w:lvlText w:val="%1."/>
      <w:lvlJc w:val="left"/>
      <w:pPr>
        <w:tabs>
          <w:tab w:val="left" w:pos="312"/>
        </w:tabs>
      </w:pPr>
    </w:lvl>
  </w:abstractNum>
  <w:abstractNum w:abstractNumId="17">
    <w:nsid w:val="00000015"/>
    <w:multiLevelType w:val="singleLevel"/>
    <w:tmpl w:val="00000015"/>
    <w:lvl w:ilvl="0" w:tentative="0">
      <w:start w:val="1"/>
      <w:numFmt w:val="decimal"/>
      <w:lvlText w:val="(%1)"/>
      <w:lvlJc w:val="left"/>
      <w:pPr>
        <w:ind w:left="425" w:hanging="425"/>
      </w:pPr>
      <w:rPr>
        <w:rFonts w:hint="default"/>
      </w:rPr>
    </w:lvl>
  </w:abstractNum>
  <w:abstractNum w:abstractNumId="18">
    <w:nsid w:val="00000016"/>
    <w:multiLevelType w:val="singleLevel"/>
    <w:tmpl w:val="00000016"/>
    <w:lvl w:ilvl="0" w:tentative="0">
      <w:start w:val="1"/>
      <w:numFmt w:val="chineseCounting"/>
      <w:suff w:val="nothing"/>
      <w:lvlText w:val="（%1）"/>
      <w:lvlJc w:val="left"/>
      <w:pPr>
        <w:ind w:left="0" w:firstLine="420"/>
      </w:pPr>
      <w:rPr>
        <w:rFonts w:hint="eastAsia"/>
      </w:rPr>
    </w:lvl>
  </w:abstractNum>
  <w:abstractNum w:abstractNumId="19">
    <w:nsid w:val="00000017"/>
    <w:multiLevelType w:val="singleLevel"/>
    <w:tmpl w:val="00000017"/>
    <w:lvl w:ilvl="0" w:tentative="0">
      <w:start w:val="1"/>
      <w:numFmt w:val="chineseCounting"/>
      <w:suff w:val="nothing"/>
      <w:lvlText w:val="第%1部"/>
      <w:lvlJc w:val="left"/>
    </w:lvl>
  </w:abstractNum>
  <w:abstractNum w:abstractNumId="20">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1">
    <w:nsid w:val="0000001C"/>
    <w:multiLevelType w:val="singleLevel"/>
    <w:tmpl w:val="0000001C"/>
    <w:lvl w:ilvl="0" w:tentative="0">
      <w:start w:val="2"/>
      <w:numFmt w:val="chineseCounting"/>
      <w:suff w:val="nothing"/>
      <w:lvlText w:val="%1、"/>
      <w:lvlJc w:val="left"/>
    </w:lvl>
  </w:abstractNum>
  <w:abstractNum w:abstractNumId="22">
    <w:nsid w:val="0000001F"/>
    <w:multiLevelType w:val="singleLevel"/>
    <w:tmpl w:val="0000001F"/>
    <w:lvl w:ilvl="0" w:tentative="0">
      <w:start w:val="6"/>
      <w:numFmt w:val="chineseCounting"/>
      <w:suff w:val="space"/>
      <w:lvlText w:val="第%1章"/>
      <w:lvlJc w:val="left"/>
      <w:rPr>
        <w:rFonts w:hint="eastAsia"/>
      </w:rPr>
    </w:lvl>
  </w:abstractNum>
  <w:abstractNum w:abstractNumId="23">
    <w:nsid w:val="028D8EDE"/>
    <w:multiLevelType w:val="singleLevel"/>
    <w:tmpl w:val="028D8EDE"/>
    <w:lvl w:ilvl="0" w:tentative="0">
      <w:start w:val="1"/>
      <w:numFmt w:val="decimal"/>
      <w:suff w:val="space"/>
      <w:lvlText w:val="%1."/>
      <w:lvlJc w:val="left"/>
    </w:lvl>
  </w:abstractNum>
  <w:abstractNum w:abstractNumId="24">
    <w:nsid w:val="15EAA743"/>
    <w:multiLevelType w:val="singleLevel"/>
    <w:tmpl w:val="15EAA743"/>
    <w:lvl w:ilvl="0" w:tentative="0">
      <w:start w:val="1"/>
      <w:numFmt w:val="decimal"/>
      <w:suff w:val="nothing"/>
      <w:lvlText w:val="%1、"/>
      <w:lvlJc w:val="left"/>
    </w:lvl>
  </w:abstractNum>
  <w:abstractNum w:abstractNumId="25">
    <w:nsid w:val="4C03CD17"/>
    <w:multiLevelType w:val="singleLevel"/>
    <w:tmpl w:val="4C03CD17"/>
    <w:lvl w:ilvl="0" w:tentative="0">
      <w:start w:val="1"/>
      <w:numFmt w:val="chineseCounting"/>
      <w:suff w:val="nothing"/>
      <w:lvlText w:val="%1、"/>
      <w:lvlJc w:val="left"/>
      <w:rPr>
        <w:rFonts w:hint="eastAsia"/>
      </w:rPr>
    </w:lvl>
  </w:abstractNum>
  <w:abstractNum w:abstractNumId="26">
    <w:nsid w:val="4F2EE52B"/>
    <w:multiLevelType w:val="multilevel"/>
    <w:tmpl w:val="4F2EE52B"/>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nothing"/>
      <w:lvlText w:val="第%3条　"/>
      <w:lvlJc w:val="left"/>
      <w:pPr>
        <w:ind w:left="-118"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21"/>
  </w:num>
  <w:num w:numId="3">
    <w:abstractNumId w:val="13"/>
  </w:num>
  <w:num w:numId="4">
    <w:abstractNumId w:val="0"/>
  </w:num>
  <w:num w:numId="5">
    <w:abstractNumId w:val="14"/>
  </w:num>
  <w:num w:numId="6">
    <w:abstractNumId w:val="17"/>
  </w:num>
  <w:num w:numId="7">
    <w:abstractNumId w:val="19"/>
  </w:num>
  <w:num w:numId="8">
    <w:abstractNumId w:val="18"/>
  </w:num>
  <w:num w:numId="9">
    <w:abstractNumId w:val="20"/>
  </w:num>
  <w:num w:numId="10">
    <w:abstractNumId w:val="24"/>
  </w:num>
  <w:num w:numId="11">
    <w:abstractNumId w:val="23"/>
  </w:num>
  <w:num w:numId="12">
    <w:abstractNumId w:val="22"/>
  </w:num>
  <w:num w:numId="13">
    <w:abstractNumId w:val="25"/>
  </w:num>
  <w:num w:numId="14">
    <w:abstractNumId w:val="2"/>
  </w:num>
  <w:num w:numId="15">
    <w:abstractNumId w:val="3"/>
  </w:num>
  <w:num w:numId="16">
    <w:abstractNumId w:val="15"/>
  </w:num>
  <w:num w:numId="17">
    <w:abstractNumId w:val="4"/>
  </w:num>
  <w:num w:numId="18">
    <w:abstractNumId w:val="7"/>
  </w:num>
  <w:num w:numId="19">
    <w:abstractNumId w:val="8"/>
  </w:num>
  <w:num w:numId="20">
    <w:abstractNumId w:val="5"/>
  </w:num>
  <w:num w:numId="21">
    <w:abstractNumId w:val="9"/>
  </w:num>
  <w:num w:numId="22">
    <w:abstractNumId w:val="10"/>
  </w:num>
  <w:num w:numId="23">
    <w:abstractNumId w:val="16"/>
  </w:num>
  <w:num w:numId="24">
    <w:abstractNumId w:val="11"/>
  </w:num>
  <w:num w:numId="25">
    <w:abstractNumId w:val="6"/>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8C0"/>
    <w:rsid w:val="000253E7"/>
    <w:rsid w:val="000670A4"/>
    <w:rsid w:val="000749CB"/>
    <w:rsid w:val="000A0CAA"/>
    <w:rsid w:val="000A648E"/>
    <w:rsid w:val="00100C29"/>
    <w:rsid w:val="00102D82"/>
    <w:rsid w:val="00104B91"/>
    <w:rsid w:val="00152CDB"/>
    <w:rsid w:val="00172A27"/>
    <w:rsid w:val="00193B6E"/>
    <w:rsid w:val="001C02D7"/>
    <w:rsid w:val="001F0B3F"/>
    <w:rsid w:val="00220C70"/>
    <w:rsid w:val="0028319C"/>
    <w:rsid w:val="0028330E"/>
    <w:rsid w:val="00293B86"/>
    <w:rsid w:val="002A67E8"/>
    <w:rsid w:val="002E610C"/>
    <w:rsid w:val="002F5167"/>
    <w:rsid w:val="00320D93"/>
    <w:rsid w:val="003234A1"/>
    <w:rsid w:val="00386DE9"/>
    <w:rsid w:val="0039740D"/>
    <w:rsid w:val="003C4C0C"/>
    <w:rsid w:val="003F2D7E"/>
    <w:rsid w:val="004107DC"/>
    <w:rsid w:val="00446254"/>
    <w:rsid w:val="00485DD2"/>
    <w:rsid w:val="00493C8A"/>
    <w:rsid w:val="004A4AF9"/>
    <w:rsid w:val="004B0A2B"/>
    <w:rsid w:val="004E1CFB"/>
    <w:rsid w:val="00521581"/>
    <w:rsid w:val="005479A7"/>
    <w:rsid w:val="00551C9C"/>
    <w:rsid w:val="005567EF"/>
    <w:rsid w:val="005712EF"/>
    <w:rsid w:val="005770EA"/>
    <w:rsid w:val="00581FE4"/>
    <w:rsid w:val="005F5408"/>
    <w:rsid w:val="00630180"/>
    <w:rsid w:val="00635C89"/>
    <w:rsid w:val="006678E8"/>
    <w:rsid w:val="006A7B7E"/>
    <w:rsid w:val="006C7E11"/>
    <w:rsid w:val="006D43EB"/>
    <w:rsid w:val="006D4F12"/>
    <w:rsid w:val="00754B51"/>
    <w:rsid w:val="007A228F"/>
    <w:rsid w:val="007B352A"/>
    <w:rsid w:val="0082571D"/>
    <w:rsid w:val="00845E08"/>
    <w:rsid w:val="0085170E"/>
    <w:rsid w:val="00853ED0"/>
    <w:rsid w:val="00882CEA"/>
    <w:rsid w:val="008B16C5"/>
    <w:rsid w:val="00930E12"/>
    <w:rsid w:val="00942098"/>
    <w:rsid w:val="00962A18"/>
    <w:rsid w:val="0098348E"/>
    <w:rsid w:val="009E4F3E"/>
    <w:rsid w:val="009F48CE"/>
    <w:rsid w:val="00A25496"/>
    <w:rsid w:val="00A34D9F"/>
    <w:rsid w:val="00A74416"/>
    <w:rsid w:val="00A910EE"/>
    <w:rsid w:val="00AC2C38"/>
    <w:rsid w:val="00AE6B8C"/>
    <w:rsid w:val="00B05298"/>
    <w:rsid w:val="00B901D7"/>
    <w:rsid w:val="00B9512E"/>
    <w:rsid w:val="00B956E5"/>
    <w:rsid w:val="00C43A37"/>
    <w:rsid w:val="00D178DE"/>
    <w:rsid w:val="00D23A5C"/>
    <w:rsid w:val="00D42A41"/>
    <w:rsid w:val="00DC708C"/>
    <w:rsid w:val="00E40EAA"/>
    <w:rsid w:val="00E50861"/>
    <w:rsid w:val="00E74824"/>
    <w:rsid w:val="00F343C7"/>
    <w:rsid w:val="00FB27AD"/>
    <w:rsid w:val="00FD0543"/>
    <w:rsid w:val="00FE2829"/>
    <w:rsid w:val="01141AB1"/>
    <w:rsid w:val="011A7932"/>
    <w:rsid w:val="012D5BFA"/>
    <w:rsid w:val="0142342E"/>
    <w:rsid w:val="014C1200"/>
    <w:rsid w:val="016952B2"/>
    <w:rsid w:val="01707767"/>
    <w:rsid w:val="01854330"/>
    <w:rsid w:val="01A70FA7"/>
    <w:rsid w:val="01B164AB"/>
    <w:rsid w:val="01C14454"/>
    <w:rsid w:val="01C75927"/>
    <w:rsid w:val="01E43BA8"/>
    <w:rsid w:val="02176A77"/>
    <w:rsid w:val="021A5E5E"/>
    <w:rsid w:val="0225579B"/>
    <w:rsid w:val="022A6F30"/>
    <w:rsid w:val="024543C5"/>
    <w:rsid w:val="02535F09"/>
    <w:rsid w:val="02634803"/>
    <w:rsid w:val="027F5B4E"/>
    <w:rsid w:val="02864626"/>
    <w:rsid w:val="02A1607D"/>
    <w:rsid w:val="02A97601"/>
    <w:rsid w:val="02B929DE"/>
    <w:rsid w:val="02C61A59"/>
    <w:rsid w:val="02CA744A"/>
    <w:rsid w:val="02CF2078"/>
    <w:rsid w:val="02DF1744"/>
    <w:rsid w:val="02ED0601"/>
    <w:rsid w:val="02F8569E"/>
    <w:rsid w:val="0306021C"/>
    <w:rsid w:val="030E71C5"/>
    <w:rsid w:val="031F35B0"/>
    <w:rsid w:val="031F5F20"/>
    <w:rsid w:val="03351724"/>
    <w:rsid w:val="03440940"/>
    <w:rsid w:val="03826041"/>
    <w:rsid w:val="03C26DE9"/>
    <w:rsid w:val="03C44AC4"/>
    <w:rsid w:val="03D1538B"/>
    <w:rsid w:val="03D638E8"/>
    <w:rsid w:val="03D74FFC"/>
    <w:rsid w:val="03DE00A8"/>
    <w:rsid w:val="03DF1544"/>
    <w:rsid w:val="03F06913"/>
    <w:rsid w:val="03FC6963"/>
    <w:rsid w:val="03FC7AF6"/>
    <w:rsid w:val="04177102"/>
    <w:rsid w:val="042B6E0C"/>
    <w:rsid w:val="043C7854"/>
    <w:rsid w:val="04533316"/>
    <w:rsid w:val="045A0E91"/>
    <w:rsid w:val="04640EF1"/>
    <w:rsid w:val="046B61F3"/>
    <w:rsid w:val="04952B7C"/>
    <w:rsid w:val="04AF3164"/>
    <w:rsid w:val="04BC05FD"/>
    <w:rsid w:val="050259DC"/>
    <w:rsid w:val="05163115"/>
    <w:rsid w:val="052F4998"/>
    <w:rsid w:val="05321775"/>
    <w:rsid w:val="053E7BA4"/>
    <w:rsid w:val="059935C7"/>
    <w:rsid w:val="05A00874"/>
    <w:rsid w:val="05A548DA"/>
    <w:rsid w:val="05B06E83"/>
    <w:rsid w:val="05B403DA"/>
    <w:rsid w:val="05B659F8"/>
    <w:rsid w:val="05F97E07"/>
    <w:rsid w:val="0617334A"/>
    <w:rsid w:val="061E541A"/>
    <w:rsid w:val="06301356"/>
    <w:rsid w:val="0637302D"/>
    <w:rsid w:val="064E4182"/>
    <w:rsid w:val="065F17DF"/>
    <w:rsid w:val="06A82AFE"/>
    <w:rsid w:val="06AA71FC"/>
    <w:rsid w:val="06E74B8B"/>
    <w:rsid w:val="06E7532D"/>
    <w:rsid w:val="070371E7"/>
    <w:rsid w:val="07062D22"/>
    <w:rsid w:val="0712789F"/>
    <w:rsid w:val="072D6F17"/>
    <w:rsid w:val="073E414F"/>
    <w:rsid w:val="074671E1"/>
    <w:rsid w:val="074756DC"/>
    <w:rsid w:val="076B2145"/>
    <w:rsid w:val="076C56F6"/>
    <w:rsid w:val="07721E5F"/>
    <w:rsid w:val="077B22B2"/>
    <w:rsid w:val="07B540C0"/>
    <w:rsid w:val="07CD0A19"/>
    <w:rsid w:val="07D02BB9"/>
    <w:rsid w:val="07E75A6B"/>
    <w:rsid w:val="07ED1C8A"/>
    <w:rsid w:val="07F61759"/>
    <w:rsid w:val="080C27CB"/>
    <w:rsid w:val="08271C95"/>
    <w:rsid w:val="083D5414"/>
    <w:rsid w:val="088A51D3"/>
    <w:rsid w:val="089916A9"/>
    <w:rsid w:val="089B4169"/>
    <w:rsid w:val="08A0044B"/>
    <w:rsid w:val="08B7057D"/>
    <w:rsid w:val="08C22788"/>
    <w:rsid w:val="08CD16F1"/>
    <w:rsid w:val="08D1537B"/>
    <w:rsid w:val="08F224FE"/>
    <w:rsid w:val="09015767"/>
    <w:rsid w:val="0904195A"/>
    <w:rsid w:val="090A5A61"/>
    <w:rsid w:val="0927381A"/>
    <w:rsid w:val="09471B94"/>
    <w:rsid w:val="094F404E"/>
    <w:rsid w:val="096D4A11"/>
    <w:rsid w:val="09904877"/>
    <w:rsid w:val="09AD1DB4"/>
    <w:rsid w:val="09C73C18"/>
    <w:rsid w:val="09CE67F1"/>
    <w:rsid w:val="09D650C5"/>
    <w:rsid w:val="09F46026"/>
    <w:rsid w:val="0A0E71F7"/>
    <w:rsid w:val="0A120C64"/>
    <w:rsid w:val="0A252E72"/>
    <w:rsid w:val="0A2B5425"/>
    <w:rsid w:val="0A3B597B"/>
    <w:rsid w:val="0A470CEC"/>
    <w:rsid w:val="0A7110BD"/>
    <w:rsid w:val="0A8877B9"/>
    <w:rsid w:val="0A977CA5"/>
    <w:rsid w:val="0AA433FE"/>
    <w:rsid w:val="0AAC71E1"/>
    <w:rsid w:val="0AC1566D"/>
    <w:rsid w:val="0ADB3E09"/>
    <w:rsid w:val="0B004CDB"/>
    <w:rsid w:val="0B193611"/>
    <w:rsid w:val="0B2D30F4"/>
    <w:rsid w:val="0B3C43AA"/>
    <w:rsid w:val="0B49731F"/>
    <w:rsid w:val="0B81242B"/>
    <w:rsid w:val="0B8A1BDE"/>
    <w:rsid w:val="0B8B3688"/>
    <w:rsid w:val="0B8D456B"/>
    <w:rsid w:val="0B995F2B"/>
    <w:rsid w:val="0BB5360E"/>
    <w:rsid w:val="0BCD576D"/>
    <w:rsid w:val="0BE936CD"/>
    <w:rsid w:val="0BEB64A3"/>
    <w:rsid w:val="0C0730A6"/>
    <w:rsid w:val="0C0E4DD5"/>
    <w:rsid w:val="0C2E5D8E"/>
    <w:rsid w:val="0C774956"/>
    <w:rsid w:val="0C7B6BBF"/>
    <w:rsid w:val="0C951F45"/>
    <w:rsid w:val="0CAE596C"/>
    <w:rsid w:val="0CBF45F5"/>
    <w:rsid w:val="0CC72CBC"/>
    <w:rsid w:val="0CD25E17"/>
    <w:rsid w:val="0CD719EA"/>
    <w:rsid w:val="0D1C302F"/>
    <w:rsid w:val="0D1C43A4"/>
    <w:rsid w:val="0D231870"/>
    <w:rsid w:val="0D256CE5"/>
    <w:rsid w:val="0D29156F"/>
    <w:rsid w:val="0D2E7C9D"/>
    <w:rsid w:val="0D3D6AEE"/>
    <w:rsid w:val="0D3D6E9F"/>
    <w:rsid w:val="0D430584"/>
    <w:rsid w:val="0D4A7ECC"/>
    <w:rsid w:val="0D4B47DC"/>
    <w:rsid w:val="0D647905"/>
    <w:rsid w:val="0D6D305C"/>
    <w:rsid w:val="0D73604E"/>
    <w:rsid w:val="0D854ACA"/>
    <w:rsid w:val="0D9A5D4C"/>
    <w:rsid w:val="0DBA4DB2"/>
    <w:rsid w:val="0DF047ED"/>
    <w:rsid w:val="0E004F82"/>
    <w:rsid w:val="0E1713F9"/>
    <w:rsid w:val="0E405FEE"/>
    <w:rsid w:val="0E5F6B19"/>
    <w:rsid w:val="0E7E3584"/>
    <w:rsid w:val="0E7F21F8"/>
    <w:rsid w:val="0E95414F"/>
    <w:rsid w:val="0E9E01FA"/>
    <w:rsid w:val="0EA106FE"/>
    <w:rsid w:val="0EA766BF"/>
    <w:rsid w:val="0EB8430C"/>
    <w:rsid w:val="0ECC5FEC"/>
    <w:rsid w:val="0EE328A1"/>
    <w:rsid w:val="0EE547E7"/>
    <w:rsid w:val="0F0D66CB"/>
    <w:rsid w:val="0F0E04AB"/>
    <w:rsid w:val="0F0F49DD"/>
    <w:rsid w:val="0F50731B"/>
    <w:rsid w:val="0F6537B4"/>
    <w:rsid w:val="0F9474B7"/>
    <w:rsid w:val="0F9573C2"/>
    <w:rsid w:val="0FCA4648"/>
    <w:rsid w:val="0FD26FC4"/>
    <w:rsid w:val="0FD9081E"/>
    <w:rsid w:val="0FDA5D31"/>
    <w:rsid w:val="0FE45C8F"/>
    <w:rsid w:val="102A63F3"/>
    <w:rsid w:val="10454D85"/>
    <w:rsid w:val="10502C9F"/>
    <w:rsid w:val="107B2025"/>
    <w:rsid w:val="10835BE5"/>
    <w:rsid w:val="10A061E8"/>
    <w:rsid w:val="10A147ED"/>
    <w:rsid w:val="10DA28A4"/>
    <w:rsid w:val="10ED78EC"/>
    <w:rsid w:val="110204DE"/>
    <w:rsid w:val="111E3B66"/>
    <w:rsid w:val="112812B5"/>
    <w:rsid w:val="115D3595"/>
    <w:rsid w:val="11705C0A"/>
    <w:rsid w:val="117148A4"/>
    <w:rsid w:val="117610F0"/>
    <w:rsid w:val="11796047"/>
    <w:rsid w:val="118D4EF9"/>
    <w:rsid w:val="118F7828"/>
    <w:rsid w:val="11931634"/>
    <w:rsid w:val="119463E5"/>
    <w:rsid w:val="119F17EC"/>
    <w:rsid w:val="11AD150E"/>
    <w:rsid w:val="11E365FD"/>
    <w:rsid w:val="11F60E03"/>
    <w:rsid w:val="120252F5"/>
    <w:rsid w:val="122C003C"/>
    <w:rsid w:val="123E2C32"/>
    <w:rsid w:val="125044D5"/>
    <w:rsid w:val="126D52DE"/>
    <w:rsid w:val="128017D3"/>
    <w:rsid w:val="12840C9F"/>
    <w:rsid w:val="128D754F"/>
    <w:rsid w:val="129D1620"/>
    <w:rsid w:val="12CF109B"/>
    <w:rsid w:val="12CF717C"/>
    <w:rsid w:val="12EC64FB"/>
    <w:rsid w:val="132E7528"/>
    <w:rsid w:val="1339746C"/>
    <w:rsid w:val="133D1344"/>
    <w:rsid w:val="134B71C3"/>
    <w:rsid w:val="13513E8F"/>
    <w:rsid w:val="136848EC"/>
    <w:rsid w:val="13737040"/>
    <w:rsid w:val="13B405EE"/>
    <w:rsid w:val="13DE62B9"/>
    <w:rsid w:val="13E431D8"/>
    <w:rsid w:val="13F30BF8"/>
    <w:rsid w:val="13F36BC0"/>
    <w:rsid w:val="140B1310"/>
    <w:rsid w:val="141846E4"/>
    <w:rsid w:val="144A7D33"/>
    <w:rsid w:val="14791DF1"/>
    <w:rsid w:val="14A63191"/>
    <w:rsid w:val="14AD0779"/>
    <w:rsid w:val="14FB3C44"/>
    <w:rsid w:val="151E0209"/>
    <w:rsid w:val="15223CBB"/>
    <w:rsid w:val="15254D69"/>
    <w:rsid w:val="152A47B0"/>
    <w:rsid w:val="152D2B0D"/>
    <w:rsid w:val="1564001D"/>
    <w:rsid w:val="158C1F64"/>
    <w:rsid w:val="15AF56CA"/>
    <w:rsid w:val="15C00A3E"/>
    <w:rsid w:val="15C23BDB"/>
    <w:rsid w:val="15D0158B"/>
    <w:rsid w:val="15D549A1"/>
    <w:rsid w:val="15EB16EE"/>
    <w:rsid w:val="15FA64A5"/>
    <w:rsid w:val="15FB1D94"/>
    <w:rsid w:val="16021D0F"/>
    <w:rsid w:val="16242DF3"/>
    <w:rsid w:val="16271D58"/>
    <w:rsid w:val="162A486A"/>
    <w:rsid w:val="16396E0E"/>
    <w:rsid w:val="164F37A5"/>
    <w:rsid w:val="166A69E9"/>
    <w:rsid w:val="1678448E"/>
    <w:rsid w:val="16925E42"/>
    <w:rsid w:val="16B76E97"/>
    <w:rsid w:val="16BE50DE"/>
    <w:rsid w:val="16E564F5"/>
    <w:rsid w:val="170654D2"/>
    <w:rsid w:val="172652F0"/>
    <w:rsid w:val="172937BF"/>
    <w:rsid w:val="175D2495"/>
    <w:rsid w:val="176645F2"/>
    <w:rsid w:val="1774663F"/>
    <w:rsid w:val="178454BB"/>
    <w:rsid w:val="17A31AF7"/>
    <w:rsid w:val="17A56F6D"/>
    <w:rsid w:val="17D33269"/>
    <w:rsid w:val="17F05211"/>
    <w:rsid w:val="18205C3F"/>
    <w:rsid w:val="18253217"/>
    <w:rsid w:val="1832004A"/>
    <w:rsid w:val="183238D5"/>
    <w:rsid w:val="184A4865"/>
    <w:rsid w:val="185D68CE"/>
    <w:rsid w:val="187D27E0"/>
    <w:rsid w:val="189E6D4A"/>
    <w:rsid w:val="18A234E2"/>
    <w:rsid w:val="18AF21BB"/>
    <w:rsid w:val="18E43AAE"/>
    <w:rsid w:val="18E67F66"/>
    <w:rsid w:val="19072E2C"/>
    <w:rsid w:val="190A6CF0"/>
    <w:rsid w:val="191147B7"/>
    <w:rsid w:val="19262ABB"/>
    <w:rsid w:val="194509FD"/>
    <w:rsid w:val="1960657C"/>
    <w:rsid w:val="19725662"/>
    <w:rsid w:val="199A406F"/>
    <w:rsid w:val="19A43D59"/>
    <w:rsid w:val="19AD59A7"/>
    <w:rsid w:val="19AE7C79"/>
    <w:rsid w:val="19E02D51"/>
    <w:rsid w:val="19F95013"/>
    <w:rsid w:val="1A122C37"/>
    <w:rsid w:val="1A270672"/>
    <w:rsid w:val="1A5007AD"/>
    <w:rsid w:val="1A5B3F26"/>
    <w:rsid w:val="1A8032D9"/>
    <w:rsid w:val="1AB76991"/>
    <w:rsid w:val="1ACF0B78"/>
    <w:rsid w:val="1ADE339D"/>
    <w:rsid w:val="1AE04A19"/>
    <w:rsid w:val="1B061265"/>
    <w:rsid w:val="1B140B4F"/>
    <w:rsid w:val="1B26784B"/>
    <w:rsid w:val="1B2E6992"/>
    <w:rsid w:val="1B7D4727"/>
    <w:rsid w:val="1B8649FC"/>
    <w:rsid w:val="1BB63D37"/>
    <w:rsid w:val="1BCF2B5D"/>
    <w:rsid w:val="1BF05DCF"/>
    <w:rsid w:val="1BFE10F3"/>
    <w:rsid w:val="1C2B39B4"/>
    <w:rsid w:val="1C5C250A"/>
    <w:rsid w:val="1C7567EE"/>
    <w:rsid w:val="1C7C2C3B"/>
    <w:rsid w:val="1C800AD2"/>
    <w:rsid w:val="1C857F7D"/>
    <w:rsid w:val="1C8F5929"/>
    <w:rsid w:val="1C9167EE"/>
    <w:rsid w:val="1CA03307"/>
    <w:rsid w:val="1CA7538F"/>
    <w:rsid w:val="1CB3397F"/>
    <w:rsid w:val="1CCA77DF"/>
    <w:rsid w:val="1CDF5811"/>
    <w:rsid w:val="1CEF16B2"/>
    <w:rsid w:val="1D0D40C9"/>
    <w:rsid w:val="1D1866C7"/>
    <w:rsid w:val="1D3614FA"/>
    <w:rsid w:val="1D504B90"/>
    <w:rsid w:val="1D586720"/>
    <w:rsid w:val="1D5D5B2B"/>
    <w:rsid w:val="1D60388E"/>
    <w:rsid w:val="1D765344"/>
    <w:rsid w:val="1D803DF2"/>
    <w:rsid w:val="1D885525"/>
    <w:rsid w:val="1DB359C4"/>
    <w:rsid w:val="1DF013A0"/>
    <w:rsid w:val="1DF32625"/>
    <w:rsid w:val="1E216A03"/>
    <w:rsid w:val="1E5204D0"/>
    <w:rsid w:val="1E67058B"/>
    <w:rsid w:val="1E723480"/>
    <w:rsid w:val="1E9A299C"/>
    <w:rsid w:val="1EAB48DF"/>
    <w:rsid w:val="1EAF2227"/>
    <w:rsid w:val="1EBD612C"/>
    <w:rsid w:val="1EC55B98"/>
    <w:rsid w:val="1EE66342"/>
    <w:rsid w:val="1EE96616"/>
    <w:rsid w:val="1F060B4B"/>
    <w:rsid w:val="1F367029"/>
    <w:rsid w:val="1F6921AF"/>
    <w:rsid w:val="1F701971"/>
    <w:rsid w:val="1F99492C"/>
    <w:rsid w:val="1FA97C06"/>
    <w:rsid w:val="1FAD2406"/>
    <w:rsid w:val="1FC72853"/>
    <w:rsid w:val="1FE06515"/>
    <w:rsid w:val="1FF66535"/>
    <w:rsid w:val="1FFA667D"/>
    <w:rsid w:val="200441D6"/>
    <w:rsid w:val="20096AE4"/>
    <w:rsid w:val="200D5E2A"/>
    <w:rsid w:val="20326ED2"/>
    <w:rsid w:val="20444A2E"/>
    <w:rsid w:val="204D5C04"/>
    <w:rsid w:val="20721586"/>
    <w:rsid w:val="208D22B8"/>
    <w:rsid w:val="20E463EA"/>
    <w:rsid w:val="20FB092C"/>
    <w:rsid w:val="212B0EE3"/>
    <w:rsid w:val="212F1DDE"/>
    <w:rsid w:val="213327A5"/>
    <w:rsid w:val="213800A4"/>
    <w:rsid w:val="21382140"/>
    <w:rsid w:val="213B6291"/>
    <w:rsid w:val="213E77A1"/>
    <w:rsid w:val="21500B75"/>
    <w:rsid w:val="21561281"/>
    <w:rsid w:val="21575C71"/>
    <w:rsid w:val="215C4F07"/>
    <w:rsid w:val="21603FD9"/>
    <w:rsid w:val="21A86D53"/>
    <w:rsid w:val="21AF0854"/>
    <w:rsid w:val="21B642CF"/>
    <w:rsid w:val="21C100F4"/>
    <w:rsid w:val="21CD75D1"/>
    <w:rsid w:val="21EA0058"/>
    <w:rsid w:val="21F671B1"/>
    <w:rsid w:val="22057EB7"/>
    <w:rsid w:val="220A0AE9"/>
    <w:rsid w:val="222B2C60"/>
    <w:rsid w:val="222C2C0A"/>
    <w:rsid w:val="223575EB"/>
    <w:rsid w:val="224750CA"/>
    <w:rsid w:val="2250283C"/>
    <w:rsid w:val="225526D0"/>
    <w:rsid w:val="225D37A3"/>
    <w:rsid w:val="225E5EEB"/>
    <w:rsid w:val="226240B5"/>
    <w:rsid w:val="228D287C"/>
    <w:rsid w:val="22B72989"/>
    <w:rsid w:val="22C32D6B"/>
    <w:rsid w:val="22CB6A14"/>
    <w:rsid w:val="22F464E8"/>
    <w:rsid w:val="232A3806"/>
    <w:rsid w:val="23303565"/>
    <w:rsid w:val="2337183B"/>
    <w:rsid w:val="23443CE8"/>
    <w:rsid w:val="235540FE"/>
    <w:rsid w:val="235A201F"/>
    <w:rsid w:val="23611419"/>
    <w:rsid w:val="23927373"/>
    <w:rsid w:val="23C34652"/>
    <w:rsid w:val="23CC074A"/>
    <w:rsid w:val="23FA6EB5"/>
    <w:rsid w:val="24131307"/>
    <w:rsid w:val="24212562"/>
    <w:rsid w:val="24251AFD"/>
    <w:rsid w:val="24456605"/>
    <w:rsid w:val="246C7951"/>
    <w:rsid w:val="247347F1"/>
    <w:rsid w:val="24C4733F"/>
    <w:rsid w:val="24EB07D5"/>
    <w:rsid w:val="24EC7724"/>
    <w:rsid w:val="24ED420A"/>
    <w:rsid w:val="2501056E"/>
    <w:rsid w:val="25211C03"/>
    <w:rsid w:val="252A100A"/>
    <w:rsid w:val="253D26D3"/>
    <w:rsid w:val="254C3EA6"/>
    <w:rsid w:val="256E7E54"/>
    <w:rsid w:val="25760607"/>
    <w:rsid w:val="259336DC"/>
    <w:rsid w:val="25BE48C6"/>
    <w:rsid w:val="25D0211A"/>
    <w:rsid w:val="25D0347E"/>
    <w:rsid w:val="25EA6A02"/>
    <w:rsid w:val="25F33EDB"/>
    <w:rsid w:val="262B152D"/>
    <w:rsid w:val="263E64AD"/>
    <w:rsid w:val="26486CCB"/>
    <w:rsid w:val="26561F6D"/>
    <w:rsid w:val="26590D78"/>
    <w:rsid w:val="266D15C9"/>
    <w:rsid w:val="267460E7"/>
    <w:rsid w:val="26811487"/>
    <w:rsid w:val="268B1958"/>
    <w:rsid w:val="268F3440"/>
    <w:rsid w:val="26D44F69"/>
    <w:rsid w:val="26E07425"/>
    <w:rsid w:val="27035205"/>
    <w:rsid w:val="271646CC"/>
    <w:rsid w:val="27336CDB"/>
    <w:rsid w:val="273803E6"/>
    <w:rsid w:val="273F73ED"/>
    <w:rsid w:val="274114B0"/>
    <w:rsid w:val="2746732C"/>
    <w:rsid w:val="27485A40"/>
    <w:rsid w:val="274A28B8"/>
    <w:rsid w:val="274A50BC"/>
    <w:rsid w:val="274C4EEF"/>
    <w:rsid w:val="27522B84"/>
    <w:rsid w:val="275D7321"/>
    <w:rsid w:val="27630565"/>
    <w:rsid w:val="27803F7F"/>
    <w:rsid w:val="278E3373"/>
    <w:rsid w:val="27A751E6"/>
    <w:rsid w:val="27A92393"/>
    <w:rsid w:val="27C1215D"/>
    <w:rsid w:val="2814592D"/>
    <w:rsid w:val="284D2554"/>
    <w:rsid w:val="284E1F1F"/>
    <w:rsid w:val="28683560"/>
    <w:rsid w:val="286A4CD6"/>
    <w:rsid w:val="289B1ECA"/>
    <w:rsid w:val="28B0598B"/>
    <w:rsid w:val="28C17362"/>
    <w:rsid w:val="28C52DBE"/>
    <w:rsid w:val="28C9034F"/>
    <w:rsid w:val="28D34007"/>
    <w:rsid w:val="28DD3BF3"/>
    <w:rsid w:val="28E6342E"/>
    <w:rsid w:val="290A02E1"/>
    <w:rsid w:val="291F32A0"/>
    <w:rsid w:val="29285619"/>
    <w:rsid w:val="292A36DF"/>
    <w:rsid w:val="292F4FEE"/>
    <w:rsid w:val="293E6F0D"/>
    <w:rsid w:val="294145D7"/>
    <w:rsid w:val="29422541"/>
    <w:rsid w:val="29443495"/>
    <w:rsid w:val="294471C1"/>
    <w:rsid w:val="29630A39"/>
    <w:rsid w:val="29692B46"/>
    <w:rsid w:val="296F20E2"/>
    <w:rsid w:val="297279A9"/>
    <w:rsid w:val="297A711C"/>
    <w:rsid w:val="29C32B32"/>
    <w:rsid w:val="29CD18EF"/>
    <w:rsid w:val="29DE4BE6"/>
    <w:rsid w:val="29F557FE"/>
    <w:rsid w:val="2A2555B9"/>
    <w:rsid w:val="2A2967FC"/>
    <w:rsid w:val="2A5E3890"/>
    <w:rsid w:val="2A726EE5"/>
    <w:rsid w:val="2A883722"/>
    <w:rsid w:val="2A940A78"/>
    <w:rsid w:val="2A975219"/>
    <w:rsid w:val="2AA12F72"/>
    <w:rsid w:val="2AC0505C"/>
    <w:rsid w:val="2ADF6190"/>
    <w:rsid w:val="2AFB6686"/>
    <w:rsid w:val="2B1C5189"/>
    <w:rsid w:val="2B28004A"/>
    <w:rsid w:val="2B3353D5"/>
    <w:rsid w:val="2B413DFB"/>
    <w:rsid w:val="2B4E18A7"/>
    <w:rsid w:val="2B5C5ACC"/>
    <w:rsid w:val="2B6543DA"/>
    <w:rsid w:val="2B9142A0"/>
    <w:rsid w:val="2BAE72D0"/>
    <w:rsid w:val="2BBE7CBB"/>
    <w:rsid w:val="2BCE5815"/>
    <w:rsid w:val="2BD06BBD"/>
    <w:rsid w:val="2BF076F4"/>
    <w:rsid w:val="2C064B00"/>
    <w:rsid w:val="2C08354D"/>
    <w:rsid w:val="2C1214B1"/>
    <w:rsid w:val="2C1A2C7F"/>
    <w:rsid w:val="2C327D91"/>
    <w:rsid w:val="2C520E2A"/>
    <w:rsid w:val="2C833C1C"/>
    <w:rsid w:val="2C840918"/>
    <w:rsid w:val="2CAB5E63"/>
    <w:rsid w:val="2CC805E7"/>
    <w:rsid w:val="2CCE04DB"/>
    <w:rsid w:val="2CEB16BB"/>
    <w:rsid w:val="2CF374CB"/>
    <w:rsid w:val="2D02235B"/>
    <w:rsid w:val="2D0C232E"/>
    <w:rsid w:val="2D1C51A2"/>
    <w:rsid w:val="2D610AF3"/>
    <w:rsid w:val="2D644A40"/>
    <w:rsid w:val="2D6B4282"/>
    <w:rsid w:val="2D89452A"/>
    <w:rsid w:val="2D9E4629"/>
    <w:rsid w:val="2DA21088"/>
    <w:rsid w:val="2DAC1B65"/>
    <w:rsid w:val="2DB17FB8"/>
    <w:rsid w:val="2DB421D1"/>
    <w:rsid w:val="2E2831B9"/>
    <w:rsid w:val="2E285745"/>
    <w:rsid w:val="2E2A2E00"/>
    <w:rsid w:val="2E485607"/>
    <w:rsid w:val="2E6C0A55"/>
    <w:rsid w:val="2EB44847"/>
    <w:rsid w:val="2ED45507"/>
    <w:rsid w:val="2EEF4E4A"/>
    <w:rsid w:val="2EF90295"/>
    <w:rsid w:val="2EF92236"/>
    <w:rsid w:val="2F233FC2"/>
    <w:rsid w:val="2F64143D"/>
    <w:rsid w:val="2F667804"/>
    <w:rsid w:val="2F7F4630"/>
    <w:rsid w:val="2F807028"/>
    <w:rsid w:val="2F813FF1"/>
    <w:rsid w:val="2F9C5D61"/>
    <w:rsid w:val="2FAD2F79"/>
    <w:rsid w:val="2FB643E9"/>
    <w:rsid w:val="2FD008F2"/>
    <w:rsid w:val="2FEA6BB6"/>
    <w:rsid w:val="2FF44931"/>
    <w:rsid w:val="2FF76AD0"/>
    <w:rsid w:val="30045530"/>
    <w:rsid w:val="3021746E"/>
    <w:rsid w:val="30254E14"/>
    <w:rsid w:val="302B7036"/>
    <w:rsid w:val="304676EF"/>
    <w:rsid w:val="304B312C"/>
    <w:rsid w:val="305039A6"/>
    <w:rsid w:val="305A0509"/>
    <w:rsid w:val="3069075D"/>
    <w:rsid w:val="306D2871"/>
    <w:rsid w:val="307755D5"/>
    <w:rsid w:val="308E4882"/>
    <w:rsid w:val="308E4F5F"/>
    <w:rsid w:val="30A20314"/>
    <w:rsid w:val="30A5037C"/>
    <w:rsid w:val="30AE1C6C"/>
    <w:rsid w:val="30B40E55"/>
    <w:rsid w:val="30B67DA2"/>
    <w:rsid w:val="30B7097C"/>
    <w:rsid w:val="30C50688"/>
    <w:rsid w:val="30C60499"/>
    <w:rsid w:val="30F40469"/>
    <w:rsid w:val="31030779"/>
    <w:rsid w:val="31255147"/>
    <w:rsid w:val="313545FF"/>
    <w:rsid w:val="31986AF6"/>
    <w:rsid w:val="319967BF"/>
    <w:rsid w:val="31A71CAC"/>
    <w:rsid w:val="31B16A5D"/>
    <w:rsid w:val="31BB689B"/>
    <w:rsid w:val="31D30E9A"/>
    <w:rsid w:val="31F30FB6"/>
    <w:rsid w:val="320F2B63"/>
    <w:rsid w:val="32112DC6"/>
    <w:rsid w:val="323436D7"/>
    <w:rsid w:val="32530945"/>
    <w:rsid w:val="3259662C"/>
    <w:rsid w:val="32672749"/>
    <w:rsid w:val="32695BE7"/>
    <w:rsid w:val="32AD092D"/>
    <w:rsid w:val="32BB6B45"/>
    <w:rsid w:val="32BE27BA"/>
    <w:rsid w:val="32D47060"/>
    <w:rsid w:val="32D83C5E"/>
    <w:rsid w:val="32EA2079"/>
    <w:rsid w:val="32EC1783"/>
    <w:rsid w:val="3322005B"/>
    <w:rsid w:val="334444BE"/>
    <w:rsid w:val="33555839"/>
    <w:rsid w:val="33561BC0"/>
    <w:rsid w:val="3373234D"/>
    <w:rsid w:val="33804283"/>
    <w:rsid w:val="33936DDD"/>
    <w:rsid w:val="33991FE6"/>
    <w:rsid w:val="33A44830"/>
    <w:rsid w:val="33AD598F"/>
    <w:rsid w:val="33B442BF"/>
    <w:rsid w:val="33BA21A1"/>
    <w:rsid w:val="33CC00CA"/>
    <w:rsid w:val="33DD60B4"/>
    <w:rsid w:val="33FD6D1B"/>
    <w:rsid w:val="33FF1AE1"/>
    <w:rsid w:val="34005893"/>
    <w:rsid w:val="343A4DB9"/>
    <w:rsid w:val="344973B9"/>
    <w:rsid w:val="346C6D09"/>
    <w:rsid w:val="348A47C8"/>
    <w:rsid w:val="348F3C15"/>
    <w:rsid w:val="3493654C"/>
    <w:rsid w:val="349D4460"/>
    <w:rsid w:val="349F018F"/>
    <w:rsid w:val="34A05BB1"/>
    <w:rsid w:val="34A7658B"/>
    <w:rsid w:val="34AA3DAB"/>
    <w:rsid w:val="34C05919"/>
    <w:rsid w:val="34C97AD2"/>
    <w:rsid w:val="34D47F19"/>
    <w:rsid w:val="34DD524A"/>
    <w:rsid w:val="34F1381F"/>
    <w:rsid w:val="34FB227B"/>
    <w:rsid w:val="35097D45"/>
    <w:rsid w:val="353A1D60"/>
    <w:rsid w:val="354766ED"/>
    <w:rsid w:val="35516956"/>
    <w:rsid w:val="35700D63"/>
    <w:rsid w:val="357211E9"/>
    <w:rsid w:val="35787646"/>
    <w:rsid w:val="357D5FF2"/>
    <w:rsid w:val="358913AC"/>
    <w:rsid w:val="35A54EF8"/>
    <w:rsid w:val="35DC6DF9"/>
    <w:rsid w:val="35E83001"/>
    <w:rsid w:val="35ED0578"/>
    <w:rsid w:val="35F83418"/>
    <w:rsid w:val="35FA674A"/>
    <w:rsid w:val="35FE0BA4"/>
    <w:rsid w:val="361129FC"/>
    <w:rsid w:val="362572E4"/>
    <w:rsid w:val="36462F85"/>
    <w:rsid w:val="36472094"/>
    <w:rsid w:val="365C4379"/>
    <w:rsid w:val="366D0E58"/>
    <w:rsid w:val="36787273"/>
    <w:rsid w:val="36D03471"/>
    <w:rsid w:val="36F70989"/>
    <w:rsid w:val="370E64D9"/>
    <w:rsid w:val="375E2170"/>
    <w:rsid w:val="376A36A8"/>
    <w:rsid w:val="37D456E9"/>
    <w:rsid w:val="37DB3B4D"/>
    <w:rsid w:val="37EB0903"/>
    <w:rsid w:val="37F06E34"/>
    <w:rsid w:val="38225026"/>
    <w:rsid w:val="38363CC7"/>
    <w:rsid w:val="38380596"/>
    <w:rsid w:val="383F36D8"/>
    <w:rsid w:val="384A2E60"/>
    <w:rsid w:val="384D6D95"/>
    <w:rsid w:val="385953A6"/>
    <w:rsid w:val="38AC0DF4"/>
    <w:rsid w:val="392C59FA"/>
    <w:rsid w:val="3931510F"/>
    <w:rsid w:val="394B3D53"/>
    <w:rsid w:val="397626A1"/>
    <w:rsid w:val="39825188"/>
    <w:rsid w:val="39876201"/>
    <w:rsid w:val="39994E19"/>
    <w:rsid w:val="39A262A5"/>
    <w:rsid w:val="39BD0364"/>
    <w:rsid w:val="39EA34C9"/>
    <w:rsid w:val="39F70FE7"/>
    <w:rsid w:val="39F7730A"/>
    <w:rsid w:val="3A121F53"/>
    <w:rsid w:val="3A147333"/>
    <w:rsid w:val="3A170A8B"/>
    <w:rsid w:val="3A226B22"/>
    <w:rsid w:val="3A4472C4"/>
    <w:rsid w:val="3A571AEB"/>
    <w:rsid w:val="3A6277AD"/>
    <w:rsid w:val="3A6F4A11"/>
    <w:rsid w:val="3A71527E"/>
    <w:rsid w:val="3A841A9A"/>
    <w:rsid w:val="3AB77AB9"/>
    <w:rsid w:val="3ACA27EB"/>
    <w:rsid w:val="3ACF3176"/>
    <w:rsid w:val="3AE251AA"/>
    <w:rsid w:val="3AE845A1"/>
    <w:rsid w:val="3AF6157A"/>
    <w:rsid w:val="3B0B3FCB"/>
    <w:rsid w:val="3B1B7A26"/>
    <w:rsid w:val="3B233BB4"/>
    <w:rsid w:val="3B702FED"/>
    <w:rsid w:val="3B71663B"/>
    <w:rsid w:val="3B847A61"/>
    <w:rsid w:val="3B8C19D8"/>
    <w:rsid w:val="3B8E321A"/>
    <w:rsid w:val="3B8F5DE0"/>
    <w:rsid w:val="3B96684E"/>
    <w:rsid w:val="3BBF0D15"/>
    <w:rsid w:val="3BBF1CBE"/>
    <w:rsid w:val="3BE35F34"/>
    <w:rsid w:val="3BE91E4B"/>
    <w:rsid w:val="3BEB030E"/>
    <w:rsid w:val="3BFE2508"/>
    <w:rsid w:val="3C163092"/>
    <w:rsid w:val="3C313E9E"/>
    <w:rsid w:val="3C97705E"/>
    <w:rsid w:val="3CB40269"/>
    <w:rsid w:val="3CDB2766"/>
    <w:rsid w:val="3D021B9B"/>
    <w:rsid w:val="3D0948E1"/>
    <w:rsid w:val="3D3678FA"/>
    <w:rsid w:val="3D58231E"/>
    <w:rsid w:val="3D623270"/>
    <w:rsid w:val="3D647E7D"/>
    <w:rsid w:val="3D6D5116"/>
    <w:rsid w:val="3D831D33"/>
    <w:rsid w:val="3D8D3F9C"/>
    <w:rsid w:val="3D8F67EA"/>
    <w:rsid w:val="3D9A0956"/>
    <w:rsid w:val="3DAB4537"/>
    <w:rsid w:val="3DAB4758"/>
    <w:rsid w:val="3DB14B5B"/>
    <w:rsid w:val="3DC039E2"/>
    <w:rsid w:val="3DC92331"/>
    <w:rsid w:val="3DE34E0B"/>
    <w:rsid w:val="3DE57F75"/>
    <w:rsid w:val="3DE8193C"/>
    <w:rsid w:val="3DFF6BEC"/>
    <w:rsid w:val="3E052D0B"/>
    <w:rsid w:val="3E1F6F3F"/>
    <w:rsid w:val="3E2326FD"/>
    <w:rsid w:val="3E294E28"/>
    <w:rsid w:val="3E2A3EDC"/>
    <w:rsid w:val="3E2C79DF"/>
    <w:rsid w:val="3E2D19E2"/>
    <w:rsid w:val="3E411C77"/>
    <w:rsid w:val="3E435603"/>
    <w:rsid w:val="3E534AAC"/>
    <w:rsid w:val="3E5B3CF4"/>
    <w:rsid w:val="3E7F7A28"/>
    <w:rsid w:val="3EA069C5"/>
    <w:rsid w:val="3EC014B1"/>
    <w:rsid w:val="3EE66A61"/>
    <w:rsid w:val="3EEC39CB"/>
    <w:rsid w:val="3F0874F8"/>
    <w:rsid w:val="3F0B7949"/>
    <w:rsid w:val="3F0D529E"/>
    <w:rsid w:val="3F170923"/>
    <w:rsid w:val="3F3E66EF"/>
    <w:rsid w:val="3F3E6D77"/>
    <w:rsid w:val="3F5043F0"/>
    <w:rsid w:val="3F6C7347"/>
    <w:rsid w:val="3F6F6E6F"/>
    <w:rsid w:val="3F78365F"/>
    <w:rsid w:val="3F7E6E35"/>
    <w:rsid w:val="3F9B6066"/>
    <w:rsid w:val="3FCB6641"/>
    <w:rsid w:val="3FE435A0"/>
    <w:rsid w:val="3FF05339"/>
    <w:rsid w:val="3FFC733D"/>
    <w:rsid w:val="40077A5E"/>
    <w:rsid w:val="400A5F20"/>
    <w:rsid w:val="40217FC5"/>
    <w:rsid w:val="40261174"/>
    <w:rsid w:val="40437B3E"/>
    <w:rsid w:val="406D0D59"/>
    <w:rsid w:val="408469E4"/>
    <w:rsid w:val="409A403C"/>
    <w:rsid w:val="409C0651"/>
    <w:rsid w:val="409E78E5"/>
    <w:rsid w:val="40AC174E"/>
    <w:rsid w:val="40B114CE"/>
    <w:rsid w:val="40C120CD"/>
    <w:rsid w:val="40D53874"/>
    <w:rsid w:val="40DC50F5"/>
    <w:rsid w:val="40E1456F"/>
    <w:rsid w:val="40EC510F"/>
    <w:rsid w:val="40F44A0B"/>
    <w:rsid w:val="410C5B70"/>
    <w:rsid w:val="411E7BCC"/>
    <w:rsid w:val="41265B7F"/>
    <w:rsid w:val="4131523A"/>
    <w:rsid w:val="41440A01"/>
    <w:rsid w:val="41511E66"/>
    <w:rsid w:val="415A36CC"/>
    <w:rsid w:val="41632184"/>
    <w:rsid w:val="417217C7"/>
    <w:rsid w:val="417703BB"/>
    <w:rsid w:val="41773122"/>
    <w:rsid w:val="41841E0A"/>
    <w:rsid w:val="419E1FEA"/>
    <w:rsid w:val="41CA5FE9"/>
    <w:rsid w:val="41D1759D"/>
    <w:rsid w:val="41D22776"/>
    <w:rsid w:val="41EC6942"/>
    <w:rsid w:val="41F45941"/>
    <w:rsid w:val="42167094"/>
    <w:rsid w:val="421D4587"/>
    <w:rsid w:val="422A4C5B"/>
    <w:rsid w:val="422D5917"/>
    <w:rsid w:val="4239310B"/>
    <w:rsid w:val="425E775A"/>
    <w:rsid w:val="4269513F"/>
    <w:rsid w:val="426B4746"/>
    <w:rsid w:val="427B5205"/>
    <w:rsid w:val="4283510D"/>
    <w:rsid w:val="42A223E2"/>
    <w:rsid w:val="42AD1C72"/>
    <w:rsid w:val="42C13F6E"/>
    <w:rsid w:val="42D3732F"/>
    <w:rsid w:val="42D43C87"/>
    <w:rsid w:val="42DA01BE"/>
    <w:rsid w:val="42FE652D"/>
    <w:rsid w:val="430C1638"/>
    <w:rsid w:val="430C4524"/>
    <w:rsid w:val="43433555"/>
    <w:rsid w:val="438C51EA"/>
    <w:rsid w:val="43A825BB"/>
    <w:rsid w:val="43AD23CD"/>
    <w:rsid w:val="43B51114"/>
    <w:rsid w:val="43BC7101"/>
    <w:rsid w:val="43CF2012"/>
    <w:rsid w:val="43EC05AD"/>
    <w:rsid w:val="43EF76F9"/>
    <w:rsid w:val="43F57662"/>
    <w:rsid w:val="43FF1892"/>
    <w:rsid w:val="441206F6"/>
    <w:rsid w:val="44172049"/>
    <w:rsid w:val="443A0477"/>
    <w:rsid w:val="44420115"/>
    <w:rsid w:val="44596F9C"/>
    <w:rsid w:val="447009D2"/>
    <w:rsid w:val="447D7569"/>
    <w:rsid w:val="44842024"/>
    <w:rsid w:val="4487135F"/>
    <w:rsid w:val="448904E6"/>
    <w:rsid w:val="44A60740"/>
    <w:rsid w:val="44AD32BB"/>
    <w:rsid w:val="44B60635"/>
    <w:rsid w:val="44C064B0"/>
    <w:rsid w:val="44C631A1"/>
    <w:rsid w:val="44DD105E"/>
    <w:rsid w:val="45097AED"/>
    <w:rsid w:val="4512470A"/>
    <w:rsid w:val="45327A2F"/>
    <w:rsid w:val="45551152"/>
    <w:rsid w:val="456168E3"/>
    <w:rsid w:val="45617776"/>
    <w:rsid w:val="457953F4"/>
    <w:rsid w:val="45834455"/>
    <w:rsid w:val="45B87364"/>
    <w:rsid w:val="45C00559"/>
    <w:rsid w:val="45CE48A4"/>
    <w:rsid w:val="45D668A1"/>
    <w:rsid w:val="45D841ED"/>
    <w:rsid w:val="45DA6484"/>
    <w:rsid w:val="45F45E51"/>
    <w:rsid w:val="460D6A3C"/>
    <w:rsid w:val="461A4A7B"/>
    <w:rsid w:val="462907C2"/>
    <w:rsid w:val="466367C0"/>
    <w:rsid w:val="46810837"/>
    <w:rsid w:val="46830A60"/>
    <w:rsid w:val="46990664"/>
    <w:rsid w:val="46A17B5D"/>
    <w:rsid w:val="46DA76D2"/>
    <w:rsid w:val="46E11255"/>
    <w:rsid w:val="46EA74BF"/>
    <w:rsid w:val="46F35490"/>
    <w:rsid w:val="470030C9"/>
    <w:rsid w:val="47021DE2"/>
    <w:rsid w:val="470918F9"/>
    <w:rsid w:val="472B2AE3"/>
    <w:rsid w:val="472D1ECB"/>
    <w:rsid w:val="473070F0"/>
    <w:rsid w:val="4735425F"/>
    <w:rsid w:val="47362935"/>
    <w:rsid w:val="47693AA5"/>
    <w:rsid w:val="478C36E4"/>
    <w:rsid w:val="47A97AA1"/>
    <w:rsid w:val="47AF583C"/>
    <w:rsid w:val="47B56F14"/>
    <w:rsid w:val="47BF1AD8"/>
    <w:rsid w:val="47C64A68"/>
    <w:rsid w:val="47F52036"/>
    <w:rsid w:val="48091C02"/>
    <w:rsid w:val="483E3DEF"/>
    <w:rsid w:val="48423033"/>
    <w:rsid w:val="4857124F"/>
    <w:rsid w:val="485E3FB3"/>
    <w:rsid w:val="48705255"/>
    <w:rsid w:val="48740925"/>
    <w:rsid w:val="48831F2E"/>
    <w:rsid w:val="489B5F0B"/>
    <w:rsid w:val="48A141B1"/>
    <w:rsid w:val="48A260D7"/>
    <w:rsid w:val="48A87BB3"/>
    <w:rsid w:val="48BA01D0"/>
    <w:rsid w:val="48C82190"/>
    <w:rsid w:val="48D806BB"/>
    <w:rsid w:val="48D95BA0"/>
    <w:rsid w:val="493E4C83"/>
    <w:rsid w:val="494B2791"/>
    <w:rsid w:val="49687B58"/>
    <w:rsid w:val="49784D25"/>
    <w:rsid w:val="497E4F49"/>
    <w:rsid w:val="498C26F4"/>
    <w:rsid w:val="49A76225"/>
    <w:rsid w:val="49A81C11"/>
    <w:rsid w:val="49BD5619"/>
    <w:rsid w:val="49C35B92"/>
    <w:rsid w:val="49D56D9D"/>
    <w:rsid w:val="49DB3670"/>
    <w:rsid w:val="49E747A4"/>
    <w:rsid w:val="49FD3CDE"/>
    <w:rsid w:val="4A0F09CA"/>
    <w:rsid w:val="4A56111F"/>
    <w:rsid w:val="4A5E2D60"/>
    <w:rsid w:val="4A992969"/>
    <w:rsid w:val="4AAD1BFE"/>
    <w:rsid w:val="4AB07732"/>
    <w:rsid w:val="4AB5099E"/>
    <w:rsid w:val="4ADC1F8D"/>
    <w:rsid w:val="4AFC0BDF"/>
    <w:rsid w:val="4B283AA7"/>
    <w:rsid w:val="4B722C71"/>
    <w:rsid w:val="4B732F9C"/>
    <w:rsid w:val="4B8D557D"/>
    <w:rsid w:val="4B9B5B37"/>
    <w:rsid w:val="4BD76256"/>
    <w:rsid w:val="4BE920A1"/>
    <w:rsid w:val="4BEC649C"/>
    <w:rsid w:val="4C050910"/>
    <w:rsid w:val="4C1457C4"/>
    <w:rsid w:val="4C2C7FF1"/>
    <w:rsid w:val="4C431C92"/>
    <w:rsid w:val="4C525872"/>
    <w:rsid w:val="4C6C0094"/>
    <w:rsid w:val="4C793AF4"/>
    <w:rsid w:val="4C8660D4"/>
    <w:rsid w:val="4CA91D98"/>
    <w:rsid w:val="4CBC2FD8"/>
    <w:rsid w:val="4D21431B"/>
    <w:rsid w:val="4D2675A8"/>
    <w:rsid w:val="4D9F53AB"/>
    <w:rsid w:val="4DA8599D"/>
    <w:rsid w:val="4DB72E1B"/>
    <w:rsid w:val="4DCA4602"/>
    <w:rsid w:val="4DCF77BD"/>
    <w:rsid w:val="4DD02DC4"/>
    <w:rsid w:val="4DD3019E"/>
    <w:rsid w:val="4DDC6F0E"/>
    <w:rsid w:val="4DE100F0"/>
    <w:rsid w:val="4DE20BE7"/>
    <w:rsid w:val="4DF336FF"/>
    <w:rsid w:val="4DF6749A"/>
    <w:rsid w:val="4DFC2348"/>
    <w:rsid w:val="4E1377AD"/>
    <w:rsid w:val="4E1F380A"/>
    <w:rsid w:val="4E72687A"/>
    <w:rsid w:val="4E9C4B5B"/>
    <w:rsid w:val="4EA656B7"/>
    <w:rsid w:val="4EAE10FA"/>
    <w:rsid w:val="4EB26250"/>
    <w:rsid w:val="4EC70588"/>
    <w:rsid w:val="4ED64B21"/>
    <w:rsid w:val="4EDB11C1"/>
    <w:rsid w:val="4EFD2CD2"/>
    <w:rsid w:val="4F0845C7"/>
    <w:rsid w:val="4F0D5844"/>
    <w:rsid w:val="4F276364"/>
    <w:rsid w:val="4F3007F7"/>
    <w:rsid w:val="4F395E76"/>
    <w:rsid w:val="4F4509C4"/>
    <w:rsid w:val="4F563AE9"/>
    <w:rsid w:val="4F5D02E5"/>
    <w:rsid w:val="4F621920"/>
    <w:rsid w:val="4F6649B4"/>
    <w:rsid w:val="4F71639E"/>
    <w:rsid w:val="4F73655E"/>
    <w:rsid w:val="4F7F27EA"/>
    <w:rsid w:val="4FBD16E0"/>
    <w:rsid w:val="4FC66F4D"/>
    <w:rsid w:val="4FF24139"/>
    <w:rsid w:val="503057EF"/>
    <w:rsid w:val="503751FA"/>
    <w:rsid w:val="50446386"/>
    <w:rsid w:val="50492E11"/>
    <w:rsid w:val="507743F8"/>
    <w:rsid w:val="507C4595"/>
    <w:rsid w:val="508436A7"/>
    <w:rsid w:val="50880F73"/>
    <w:rsid w:val="509B53CB"/>
    <w:rsid w:val="50A3053A"/>
    <w:rsid w:val="50AA183D"/>
    <w:rsid w:val="50AB1369"/>
    <w:rsid w:val="50B814C3"/>
    <w:rsid w:val="50C93112"/>
    <w:rsid w:val="50CB60A7"/>
    <w:rsid w:val="50CF411E"/>
    <w:rsid w:val="50D5309A"/>
    <w:rsid w:val="50E50403"/>
    <w:rsid w:val="50EE4D03"/>
    <w:rsid w:val="51076B5E"/>
    <w:rsid w:val="515E4F35"/>
    <w:rsid w:val="51651D58"/>
    <w:rsid w:val="51666493"/>
    <w:rsid w:val="516D1967"/>
    <w:rsid w:val="51710AA2"/>
    <w:rsid w:val="517578C7"/>
    <w:rsid w:val="518F135E"/>
    <w:rsid w:val="51CD601D"/>
    <w:rsid w:val="51F15DFD"/>
    <w:rsid w:val="52160758"/>
    <w:rsid w:val="523F7635"/>
    <w:rsid w:val="52840BEF"/>
    <w:rsid w:val="528F0D42"/>
    <w:rsid w:val="52A94709"/>
    <w:rsid w:val="52BC2EBB"/>
    <w:rsid w:val="52CA463C"/>
    <w:rsid w:val="52D23A15"/>
    <w:rsid w:val="52E44CE6"/>
    <w:rsid w:val="52F60F75"/>
    <w:rsid w:val="52FC0C90"/>
    <w:rsid w:val="53036F94"/>
    <w:rsid w:val="53061CFB"/>
    <w:rsid w:val="531B436E"/>
    <w:rsid w:val="53477649"/>
    <w:rsid w:val="53797F7D"/>
    <w:rsid w:val="53A02F3D"/>
    <w:rsid w:val="53A23501"/>
    <w:rsid w:val="53C0738D"/>
    <w:rsid w:val="53D1520D"/>
    <w:rsid w:val="53D35990"/>
    <w:rsid w:val="53F6524D"/>
    <w:rsid w:val="542D7E21"/>
    <w:rsid w:val="54566C7B"/>
    <w:rsid w:val="54604151"/>
    <w:rsid w:val="548206B4"/>
    <w:rsid w:val="54861520"/>
    <w:rsid w:val="548D6A45"/>
    <w:rsid w:val="54A10A74"/>
    <w:rsid w:val="54A201BB"/>
    <w:rsid w:val="54A4315D"/>
    <w:rsid w:val="54EC757D"/>
    <w:rsid w:val="5503287F"/>
    <w:rsid w:val="550B45D4"/>
    <w:rsid w:val="550C5327"/>
    <w:rsid w:val="550D17A9"/>
    <w:rsid w:val="551A1B6D"/>
    <w:rsid w:val="55402DB7"/>
    <w:rsid w:val="556B43EC"/>
    <w:rsid w:val="5571253B"/>
    <w:rsid w:val="55781B2F"/>
    <w:rsid w:val="55BE3885"/>
    <w:rsid w:val="55C139DB"/>
    <w:rsid w:val="55F36E73"/>
    <w:rsid w:val="560D23B9"/>
    <w:rsid w:val="5627345F"/>
    <w:rsid w:val="56535FDA"/>
    <w:rsid w:val="565F2F3A"/>
    <w:rsid w:val="567A73CB"/>
    <w:rsid w:val="567C0B5A"/>
    <w:rsid w:val="56882EF2"/>
    <w:rsid w:val="56A732C1"/>
    <w:rsid w:val="56DC178D"/>
    <w:rsid w:val="5703744E"/>
    <w:rsid w:val="570F20EB"/>
    <w:rsid w:val="57171B57"/>
    <w:rsid w:val="572612F4"/>
    <w:rsid w:val="572740D3"/>
    <w:rsid w:val="57524535"/>
    <w:rsid w:val="575666B0"/>
    <w:rsid w:val="57580D1E"/>
    <w:rsid w:val="575D4310"/>
    <w:rsid w:val="57B77653"/>
    <w:rsid w:val="57DB61CF"/>
    <w:rsid w:val="57DC420C"/>
    <w:rsid w:val="57DC631B"/>
    <w:rsid w:val="57FB6237"/>
    <w:rsid w:val="580A4432"/>
    <w:rsid w:val="58241EF3"/>
    <w:rsid w:val="583C47EF"/>
    <w:rsid w:val="585E6763"/>
    <w:rsid w:val="587F1B68"/>
    <w:rsid w:val="588B3E90"/>
    <w:rsid w:val="589237C8"/>
    <w:rsid w:val="58E31DA7"/>
    <w:rsid w:val="58F434E5"/>
    <w:rsid w:val="5919581F"/>
    <w:rsid w:val="59196696"/>
    <w:rsid w:val="59233E8F"/>
    <w:rsid w:val="593876AD"/>
    <w:rsid w:val="59415C3D"/>
    <w:rsid w:val="594D775B"/>
    <w:rsid w:val="5958218D"/>
    <w:rsid w:val="595B4B99"/>
    <w:rsid w:val="595D7BC1"/>
    <w:rsid w:val="597C200F"/>
    <w:rsid w:val="59A13769"/>
    <w:rsid w:val="59B52DB5"/>
    <w:rsid w:val="59B64227"/>
    <w:rsid w:val="59DA1357"/>
    <w:rsid w:val="59F155F1"/>
    <w:rsid w:val="5A0D7E70"/>
    <w:rsid w:val="5A1D4190"/>
    <w:rsid w:val="5A2F13B4"/>
    <w:rsid w:val="5A397FA6"/>
    <w:rsid w:val="5A3D13DB"/>
    <w:rsid w:val="5A462ECA"/>
    <w:rsid w:val="5A833B8D"/>
    <w:rsid w:val="5A92644E"/>
    <w:rsid w:val="5ADB1C18"/>
    <w:rsid w:val="5AE954F3"/>
    <w:rsid w:val="5AFA61D6"/>
    <w:rsid w:val="5AFE34D7"/>
    <w:rsid w:val="5B12483A"/>
    <w:rsid w:val="5B1E349E"/>
    <w:rsid w:val="5B2363B5"/>
    <w:rsid w:val="5B29439F"/>
    <w:rsid w:val="5B354305"/>
    <w:rsid w:val="5B3B431D"/>
    <w:rsid w:val="5B501ED1"/>
    <w:rsid w:val="5B852766"/>
    <w:rsid w:val="5B9A66BD"/>
    <w:rsid w:val="5B9F59FF"/>
    <w:rsid w:val="5BA725C9"/>
    <w:rsid w:val="5BB12BC7"/>
    <w:rsid w:val="5BDB25C0"/>
    <w:rsid w:val="5BF13D64"/>
    <w:rsid w:val="5C0814D3"/>
    <w:rsid w:val="5C347285"/>
    <w:rsid w:val="5C544C18"/>
    <w:rsid w:val="5C5A3D11"/>
    <w:rsid w:val="5C5D63B7"/>
    <w:rsid w:val="5C6454F9"/>
    <w:rsid w:val="5C6E6BB0"/>
    <w:rsid w:val="5C70264C"/>
    <w:rsid w:val="5C7626B9"/>
    <w:rsid w:val="5C9B774F"/>
    <w:rsid w:val="5CA01AB4"/>
    <w:rsid w:val="5CBB1A73"/>
    <w:rsid w:val="5CC26EAE"/>
    <w:rsid w:val="5CC31B3E"/>
    <w:rsid w:val="5CCE078D"/>
    <w:rsid w:val="5CDA53C4"/>
    <w:rsid w:val="5CE70B7E"/>
    <w:rsid w:val="5D114AA0"/>
    <w:rsid w:val="5D1B17D3"/>
    <w:rsid w:val="5D331029"/>
    <w:rsid w:val="5D516D22"/>
    <w:rsid w:val="5D7A1B0B"/>
    <w:rsid w:val="5D8106CE"/>
    <w:rsid w:val="5DB54949"/>
    <w:rsid w:val="5DDB2614"/>
    <w:rsid w:val="5DE249A5"/>
    <w:rsid w:val="5DE84BBC"/>
    <w:rsid w:val="5E0D5EA0"/>
    <w:rsid w:val="5E222D7F"/>
    <w:rsid w:val="5E330F8E"/>
    <w:rsid w:val="5EB04A46"/>
    <w:rsid w:val="5EBB33E4"/>
    <w:rsid w:val="5EE56938"/>
    <w:rsid w:val="5EEE2F05"/>
    <w:rsid w:val="5F203C5A"/>
    <w:rsid w:val="5F24587E"/>
    <w:rsid w:val="5F303147"/>
    <w:rsid w:val="5F332024"/>
    <w:rsid w:val="5F3C7BD0"/>
    <w:rsid w:val="5F3D7309"/>
    <w:rsid w:val="5F450DC3"/>
    <w:rsid w:val="5F4C3F3C"/>
    <w:rsid w:val="5F53351C"/>
    <w:rsid w:val="5F5D5242"/>
    <w:rsid w:val="5F952C60"/>
    <w:rsid w:val="5F9C3139"/>
    <w:rsid w:val="5F9D24E8"/>
    <w:rsid w:val="5FAC0EC3"/>
    <w:rsid w:val="5FC37A2B"/>
    <w:rsid w:val="5FCF21FE"/>
    <w:rsid w:val="5FD76F02"/>
    <w:rsid w:val="5FDF76E5"/>
    <w:rsid w:val="5FE80112"/>
    <w:rsid w:val="5FEA0341"/>
    <w:rsid w:val="5FEE6FD4"/>
    <w:rsid w:val="5FEE7406"/>
    <w:rsid w:val="6004062E"/>
    <w:rsid w:val="60130B1A"/>
    <w:rsid w:val="602455F9"/>
    <w:rsid w:val="6034415F"/>
    <w:rsid w:val="603C4C9C"/>
    <w:rsid w:val="60735901"/>
    <w:rsid w:val="60AB4D13"/>
    <w:rsid w:val="60BB05EF"/>
    <w:rsid w:val="60C5219D"/>
    <w:rsid w:val="60C805BB"/>
    <w:rsid w:val="60E42A5E"/>
    <w:rsid w:val="61065230"/>
    <w:rsid w:val="610A27C2"/>
    <w:rsid w:val="611B7361"/>
    <w:rsid w:val="61336C26"/>
    <w:rsid w:val="613D4C20"/>
    <w:rsid w:val="614120C8"/>
    <w:rsid w:val="6151322E"/>
    <w:rsid w:val="61543319"/>
    <w:rsid w:val="61666115"/>
    <w:rsid w:val="617A6AE5"/>
    <w:rsid w:val="619271E4"/>
    <w:rsid w:val="61B25838"/>
    <w:rsid w:val="61E04EE5"/>
    <w:rsid w:val="620B2026"/>
    <w:rsid w:val="620B5509"/>
    <w:rsid w:val="6227694C"/>
    <w:rsid w:val="624C5881"/>
    <w:rsid w:val="626D432B"/>
    <w:rsid w:val="62AA6084"/>
    <w:rsid w:val="62B318B6"/>
    <w:rsid w:val="62E829A5"/>
    <w:rsid w:val="62EB3AC2"/>
    <w:rsid w:val="631405E8"/>
    <w:rsid w:val="63163E01"/>
    <w:rsid w:val="631E774D"/>
    <w:rsid w:val="631F15D6"/>
    <w:rsid w:val="632844CD"/>
    <w:rsid w:val="63453467"/>
    <w:rsid w:val="63596A37"/>
    <w:rsid w:val="635D2EB4"/>
    <w:rsid w:val="63634209"/>
    <w:rsid w:val="636D582F"/>
    <w:rsid w:val="63703400"/>
    <w:rsid w:val="63792360"/>
    <w:rsid w:val="63852A52"/>
    <w:rsid w:val="6394695F"/>
    <w:rsid w:val="63B71747"/>
    <w:rsid w:val="63D110C5"/>
    <w:rsid w:val="63D96991"/>
    <w:rsid w:val="63F30D47"/>
    <w:rsid w:val="63FA212F"/>
    <w:rsid w:val="64057CDA"/>
    <w:rsid w:val="640A312F"/>
    <w:rsid w:val="64193FF4"/>
    <w:rsid w:val="64325187"/>
    <w:rsid w:val="64382979"/>
    <w:rsid w:val="643D321D"/>
    <w:rsid w:val="64445821"/>
    <w:rsid w:val="646A3461"/>
    <w:rsid w:val="646B2DE3"/>
    <w:rsid w:val="64771229"/>
    <w:rsid w:val="649D6523"/>
    <w:rsid w:val="649F297B"/>
    <w:rsid w:val="64AC503E"/>
    <w:rsid w:val="64AF4F5A"/>
    <w:rsid w:val="64B03FE6"/>
    <w:rsid w:val="64B24842"/>
    <w:rsid w:val="64CC2A7C"/>
    <w:rsid w:val="64DD38D7"/>
    <w:rsid w:val="64E82D05"/>
    <w:rsid w:val="65032DA8"/>
    <w:rsid w:val="65133947"/>
    <w:rsid w:val="65393C0B"/>
    <w:rsid w:val="654C155A"/>
    <w:rsid w:val="65661978"/>
    <w:rsid w:val="6576391F"/>
    <w:rsid w:val="658D29AA"/>
    <w:rsid w:val="65A93895"/>
    <w:rsid w:val="65AD52E9"/>
    <w:rsid w:val="65BF382F"/>
    <w:rsid w:val="65CF2C1F"/>
    <w:rsid w:val="65DA3299"/>
    <w:rsid w:val="65E641FF"/>
    <w:rsid w:val="65EB64D1"/>
    <w:rsid w:val="65F00021"/>
    <w:rsid w:val="65F70ACE"/>
    <w:rsid w:val="65FD76AB"/>
    <w:rsid w:val="66025468"/>
    <w:rsid w:val="660E44B0"/>
    <w:rsid w:val="66147B53"/>
    <w:rsid w:val="66163C97"/>
    <w:rsid w:val="6629331D"/>
    <w:rsid w:val="66394A71"/>
    <w:rsid w:val="664D3126"/>
    <w:rsid w:val="666032DE"/>
    <w:rsid w:val="66693935"/>
    <w:rsid w:val="666D0F8B"/>
    <w:rsid w:val="6671705F"/>
    <w:rsid w:val="66982631"/>
    <w:rsid w:val="66A562F6"/>
    <w:rsid w:val="66A81454"/>
    <w:rsid w:val="66EF7672"/>
    <w:rsid w:val="66F06FEE"/>
    <w:rsid w:val="67117823"/>
    <w:rsid w:val="67180E0A"/>
    <w:rsid w:val="6724097D"/>
    <w:rsid w:val="67261EE5"/>
    <w:rsid w:val="674A64F4"/>
    <w:rsid w:val="674B130A"/>
    <w:rsid w:val="67733CE8"/>
    <w:rsid w:val="6779525F"/>
    <w:rsid w:val="6787528E"/>
    <w:rsid w:val="67A67B39"/>
    <w:rsid w:val="67BC14BF"/>
    <w:rsid w:val="68142F66"/>
    <w:rsid w:val="68151A12"/>
    <w:rsid w:val="681F04F3"/>
    <w:rsid w:val="68324B49"/>
    <w:rsid w:val="68374C22"/>
    <w:rsid w:val="68460B74"/>
    <w:rsid w:val="68525041"/>
    <w:rsid w:val="6858593D"/>
    <w:rsid w:val="68630D65"/>
    <w:rsid w:val="686A3CA5"/>
    <w:rsid w:val="687F5C27"/>
    <w:rsid w:val="688844F1"/>
    <w:rsid w:val="68AF6C8A"/>
    <w:rsid w:val="68B07650"/>
    <w:rsid w:val="68C106F2"/>
    <w:rsid w:val="68D84F91"/>
    <w:rsid w:val="68E452DB"/>
    <w:rsid w:val="690A1540"/>
    <w:rsid w:val="691D6CB6"/>
    <w:rsid w:val="692750D7"/>
    <w:rsid w:val="694F346E"/>
    <w:rsid w:val="69772C3A"/>
    <w:rsid w:val="697878E6"/>
    <w:rsid w:val="699E2C00"/>
    <w:rsid w:val="69B11EAE"/>
    <w:rsid w:val="69B3379C"/>
    <w:rsid w:val="69CA3632"/>
    <w:rsid w:val="69CE1D80"/>
    <w:rsid w:val="69D5033F"/>
    <w:rsid w:val="69D779E6"/>
    <w:rsid w:val="6A0C1288"/>
    <w:rsid w:val="6A11011B"/>
    <w:rsid w:val="6A1D6E3E"/>
    <w:rsid w:val="6A6B6D8F"/>
    <w:rsid w:val="6A741162"/>
    <w:rsid w:val="6A7519AC"/>
    <w:rsid w:val="6A8B59C7"/>
    <w:rsid w:val="6AA34908"/>
    <w:rsid w:val="6AA950E4"/>
    <w:rsid w:val="6ABE01CE"/>
    <w:rsid w:val="6AC569B9"/>
    <w:rsid w:val="6ACC3658"/>
    <w:rsid w:val="6ACD2711"/>
    <w:rsid w:val="6B102A53"/>
    <w:rsid w:val="6B216474"/>
    <w:rsid w:val="6B416685"/>
    <w:rsid w:val="6B477073"/>
    <w:rsid w:val="6B52321E"/>
    <w:rsid w:val="6B543EE1"/>
    <w:rsid w:val="6B6057A3"/>
    <w:rsid w:val="6B70761C"/>
    <w:rsid w:val="6B7F3F61"/>
    <w:rsid w:val="6B8E7525"/>
    <w:rsid w:val="6B9A0125"/>
    <w:rsid w:val="6B9F2FA5"/>
    <w:rsid w:val="6B9F44A0"/>
    <w:rsid w:val="6BA167E0"/>
    <w:rsid w:val="6BA37BBA"/>
    <w:rsid w:val="6BAF194E"/>
    <w:rsid w:val="6BE15521"/>
    <w:rsid w:val="6BED0929"/>
    <w:rsid w:val="6C06520A"/>
    <w:rsid w:val="6C0716EB"/>
    <w:rsid w:val="6C0D056D"/>
    <w:rsid w:val="6C1E01B7"/>
    <w:rsid w:val="6C201471"/>
    <w:rsid w:val="6C3141DD"/>
    <w:rsid w:val="6C343DCD"/>
    <w:rsid w:val="6C471C56"/>
    <w:rsid w:val="6C4F008B"/>
    <w:rsid w:val="6CC60DF5"/>
    <w:rsid w:val="6CC651D6"/>
    <w:rsid w:val="6CD678BC"/>
    <w:rsid w:val="6D0824D6"/>
    <w:rsid w:val="6D147380"/>
    <w:rsid w:val="6D1F24D9"/>
    <w:rsid w:val="6D271045"/>
    <w:rsid w:val="6D2F0736"/>
    <w:rsid w:val="6D40103C"/>
    <w:rsid w:val="6D450C20"/>
    <w:rsid w:val="6D577685"/>
    <w:rsid w:val="6D6560B4"/>
    <w:rsid w:val="6D6F01C3"/>
    <w:rsid w:val="6D7060F8"/>
    <w:rsid w:val="6D80454D"/>
    <w:rsid w:val="6D9100E4"/>
    <w:rsid w:val="6D9953D6"/>
    <w:rsid w:val="6DA76A04"/>
    <w:rsid w:val="6DC84064"/>
    <w:rsid w:val="6DDA3464"/>
    <w:rsid w:val="6DDC0F86"/>
    <w:rsid w:val="6DEC4385"/>
    <w:rsid w:val="6DFB4844"/>
    <w:rsid w:val="6E033A1D"/>
    <w:rsid w:val="6E0C201B"/>
    <w:rsid w:val="6E12292A"/>
    <w:rsid w:val="6E141CB7"/>
    <w:rsid w:val="6E3D79CF"/>
    <w:rsid w:val="6E686399"/>
    <w:rsid w:val="6E6B531E"/>
    <w:rsid w:val="6E72322D"/>
    <w:rsid w:val="6E7253FD"/>
    <w:rsid w:val="6E9F6829"/>
    <w:rsid w:val="6EB77634"/>
    <w:rsid w:val="6EBB7993"/>
    <w:rsid w:val="6EC74C93"/>
    <w:rsid w:val="6ED15734"/>
    <w:rsid w:val="6EEB3649"/>
    <w:rsid w:val="6EF57F49"/>
    <w:rsid w:val="6EF740BC"/>
    <w:rsid w:val="6F181253"/>
    <w:rsid w:val="6F374A58"/>
    <w:rsid w:val="6F5F710B"/>
    <w:rsid w:val="6F622FF6"/>
    <w:rsid w:val="6F667A5B"/>
    <w:rsid w:val="6F6915CE"/>
    <w:rsid w:val="6F6C5B0A"/>
    <w:rsid w:val="6F7103F2"/>
    <w:rsid w:val="6F72480F"/>
    <w:rsid w:val="6F76559C"/>
    <w:rsid w:val="6F884489"/>
    <w:rsid w:val="6FEE2791"/>
    <w:rsid w:val="6FF80821"/>
    <w:rsid w:val="7000644C"/>
    <w:rsid w:val="70244C09"/>
    <w:rsid w:val="70390E52"/>
    <w:rsid w:val="70460702"/>
    <w:rsid w:val="7046243E"/>
    <w:rsid w:val="70467501"/>
    <w:rsid w:val="708804CA"/>
    <w:rsid w:val="70931E39"/>
    <w:rsid w:val="70B1482E"/>
    <w:rsid w:val="70B56664"/>
    <w:rsid w:val="70BF1744"/>
    <w:rsid w:val="70F729E3"/>
    <w:rsid w:val="70F753E0"/>
    <w:rsid w:val="70FE5BF1"/>
    <w:rsid w:val="7103304E"/>
    <w:rsid w:val="71060B66"/>
    <w:rsid w:val="7110722A"/>
    <w:rsid w:val="71170074"/>
    <w:rsid w:val="711D761F"/>
    <w:rsid w:val="71243C7B"/>
    <w:rsid w:val="71625BD8"/>
    <w:rsid w:val="7193616F"/>
    <w:rsid w:val="71CA1CD2"/>
    <w:rsid w:val="71CB46B5"/>
    <w:rsid w:val="71CE2F92"/>
    <w:rsid w:val="71DE3ABC"/>
    <w:rsid w:val="71F5116D"/>
    <w:rsid w:val="72226384"/>
    <w:rsid w:val="7229425A"/>
    <w:rsid w:val="72531AFE"/>
    <w:rsid w:val="725A61A5"/>
    <w:rsid w:val="725B5B2D"/>
    <w:rsid w:val="72633EF2"/>
    <w:rsid w:val="726678C3"/>
    <w:rsid w:val="72A42660"/>
    <w:rsid w:val="72D05631"/>
    <w:rsid w:val="72E44522"/>
    <w:rsid w:val="72E54C2F"/>
    <w:rsid w:val="72F13C64"/>
    <w:rsid w:val="7325438E"/>
    <w:rsid w:val="734A5B3F"/>
    <w:rsid w:val="735E77A2"/>
    <w:rsid w:val="736E1AD4"/>
    <w:rsid w:val="73702411"/>
    <w:rsid w:val="73C94C4B"/>
    <w:rsid w:val="73D31E97"/>
    <w:rsid w:val="73E6752B"/>
    <w:rsid w:val="74031D59"/>
    <w:rsid w:val="740D2893"/>
    <w:rsid w:val="741936BD"/>
    <w:rsid w:val="7433126B"/>
    <w:rsid w:val="745A2B81"/>
    <w:rsid w:val="748C5038"/>
    <w:rsid w:val="74915DC9"/>
    <w:rsid w:val="74C41C9F"/>
    <w:rsid w:val="75016F6F"/>
    <w:rsid w:val="750B1B93"/>
    <w:rsid w:val="750E65A6"/>
    <w:rsid w:val="754729B1"/>
    <w:rsid w:val="754A2F4F"/>
    <w:rsid w:val="756740DB"/>
    <w:rsid w:val="75686D10"/>
    <w:rsid w:val="75A17E43"/>
    <w:rsid w:val="75A41A1D"/>
    <w:rsid w:val="75AB072C"/>
    <w:rsid w:val="75C904E7"/>
    <w:rsid w:val="75D11954"/>
    <w:rsid w:val="75F77149"/>
    <w:rsid w:val="76266EFC"/>
    <w:rsid w:val="762A44DE"/>
    <w:rsid w:val="762E69C0"/>
    <w:rsid w:val="76470776"/>
    <w:rsid w:val="764C6BC5"/>
    <w:rsid w:val="76A16892"/>
    <w:rsid w:val="76A74E38"/>
    <w:rsid w:val="76AD58E4"/>
    <w:rsid w:val="76AD5DC4"/>
    <w:rsid w:val="76CF057A"/>
    <w:rsid w:val="76D965F3"/>
    <w:rsid w:val="76DC036D"/>
    <w:rsid w:val="76E74A2C"/>
    <w:rsid w:val="76FF4C4F"/>
    <w:rsid w:val="771450B6"/>
    <w:rsid w:val="771E69E7"/>
    <w:rsid w:val="77230004"/>
    <w:rsid w:val="772925FF"/>
    <w:rsid w:val="773A7C2A"/>
    <w:rsid w:val="775727E8"/>
    <w:rsid w:val="775D6752"/>
    <w:rsid w:val="775F2CED"/>
    <w:rsid w:val="777457DF"/>
    <w:rsid w:val="7776075E"/>
    <w:rsid w:val="777E4E9B"/>
    <w:rsid w:val="778E0CF0"/>
    <w:rsid w:val="77A2383B"/>
    <w:rsid w:val="77BA5E68"/>
    <w:rsid w:val="77C13C58"/>
    <w:rsid w:val="77C6528F"/>
    <w:rsid w:val="77C82DBB"/>
    <w:rsid w:val="77D1522D"/>
    <w:rsid w:val="77DA64AE"/>
    <w:rsid w:val="77F51103"/>
    <w:rsid w:val="780C4BFA"/>
    <w:rsid w:val="781454DD"/>
    <w:rsid w:val="78173E13"/>
    <w:rsid w:val="781D68B9"/>
    <w:rsid w:val="782B2278"/>
    <w:rsid w:val="7831073B"/>
    <w:rsid w:val="7837510E"/>
    <w:rsid w:val="784107AD"/>
    <w:rsid w:val="78661915"/>
    <w:rsid w:val="786F4AD9"/>
    <w:rsid w:val="78782603"/>
    <w:rsid w:val="7885113E"/>
    <w:rsid w:val="78AB19D7"/>
    <w:rsid w:val="78AF50F6"/>
    <w:rsid w:val="78C76F6A"/>
    <w:rsid w:val="78F00908"/>
    <w:rsid w:val="79081971"/>
    <w:rsid w:val="79260710"/>
    <w:rsid w:val="79341376"/>
    <w:rsid w:val="79502EA8"/>
    <w:rsid w:val="79723636"/>
    <w:rsid w:val="7990772F"/>
    <w:rsid w:val="7999677B"/>
    <w:rsid w:val="79AD361A"/>
    <w:rsid w:val="79D671EF"/>
    <w:rsid w:val="79E13CDF"/>
    <w:rsid w:val="79E352B6"/>
    <w:rsid w:val="79E3721B"/>
    <w:rsid w:val="79E37EEE"/>
    <w:rsid w:val="79E479E4"/>
    <w:rsid w:val="7A2046D7"/>
    <w:rsid w:val="7A35410F"/>
    <w:rsid w:val="7A36630D"/>
    <w:rsid w:val="7A385092"/>
    <w:rsid w:val="7A466E69"/>
    <w:rsid w:val="7A474029"/>
    <w:rsid w:val="7A5B72D1"/>
    <w:rsid w:val="7AB4477D"/>
    <w:rsid w:val="7ADD0F5C"/>
    <w:rsid w:val="7AEB11C4"/>
    <w:rsid w:val="7B022039"/>
    <w:rsid w:val="7B09518B"/>
    <w:rsid w:val="7B1C2AE9"/>
    <w:rsid w:val="7B3A48B6"/>
    <w:rsid w:val="7B4B1B25"/>
    <w:rsid w:val="7B5E7074"/>
    <w:rsid w:val="7BE65294"/>
    <w:rsid w:val="7BE8241A"/>
    <w:rsid w:val="7BEF1723"/>
    <w:rsid w:val="7C003F9F"/>
    <w:rsid w:val="7C3C5268"/>
    <w:rsid w:val="7C3E1F66"/>
    <w:rsid w:val="7C510CBB"/>
    <w:rsid w:val="7C621D9D"/>
    <w:rsid w:val="7C737541"/>
    <w:rsid w:val="7C9E184A"/>
    <w:rsid w:val="7CA26E06"/>
    <w:rsid w:val="7CE13C5D"/>
    <w:rsid w:val="7CF401DF"/>
    <w:rsid w:val="7CFC454A"/>
    <w:rsid w:val="7D1169AF"/>
    <w:rsid w:val="7D157918"/>
    <w:rsid w:val="7D1E68BA"/>
    <w:rsid w:val="7D1F2BE8"/>
    <w:rsid w:val="7D2A0B0E"/>
    <w:rsid w:val="7D38437C"/>
    <w:rsid w:val="7D6A689A"/>
    <w:rsid w:val="7D867CFE"/>
    <w:rsid w:val="7D8D35DF"/>
    <w:rsid w:val="7D925D0F"/>
    <w:rsid w:val="7DA02F22"/>
    <w:rsid w:val="7DAC28E7"/>
    <w:rsid w:val="7DB165C4"/>
    <w:rsid w:val="7DCB716E"/>
    <w:rsid w:val="7DE46134"/>
    <w:rsid w:val="7DF734B5"/>
    <w:rsid w:val="7E0B3DFB"/>
    <w:rsid w:val="7E1415A0"/>
    <w:rsid w:val="7E3A482F"/>
    <w:rsid w:val="7E430B4C"/>
    <w:rsid w:val="7E4401C9"/>
    <w:rsid w:val="7E667F69"/>
    <w:rsid w:val="7E6E17D2"/>
    <w:rsid w:val="7E7056FE"/>
    <w:rsid w:val="7E714BB8"/>
    <w:rsid w:val="7E8B299B"/>
    <w:rsid w:val="7EA80CDA"/>
    <w:rsid w:val="7EB23E77"/>
    <w:rsid w:val="7ECD3D3E"/>
    <w:rsid w:val="7EE35D92"/>
    <w:rsid w:val="7EFC6325"/>
    <w:rsid w:val="7F0E1F82"/>
    <w:rsid w:val="7F2713D6"/>
    <w:rsid w:val="7F816D0A"/>
    <w:rsid w:val="7FB16B47"/>
    <w:rsid w:val="7FBB6B71"/>
    <w:rsid w:val="7FC527AC"/>
    <w:rsid w:val="7FF01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黑体"/>
      <w:sz w:val="34"/>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qFormat/>
    <w:uiPriority w:val="0"/>
    <w:pPr>
      <w:keepNext/>
      <w:keepLines/>
      <w:spacing w:before="260" w:after="260" w:line="416" w:lineRule="auto"/>
      <w:outlineLvl w:val="2"/>
    </w:pPr>
    <w:rPr>
      <w:rFonts w:ascii="Calibri" w:cs="Times New Roman"/>
      <w:b/>
      <w:bCs/>
      <w:sz w:val="32"/>
      <w:szCs w:val="32"/>
    </w:rPr>
  </w:style>
  <w:style w:type="paragraph" w:styleId="6">
    <w:name w:val="heading 4"/>
    <w:basedOn w:val="1"/>
    <w:next w:val="1"/>
    <w:qFormat/>
    <w:uiPriority w:val="0"/>
    <w:pPr>
      <w:keepNext/>
      <w:keepLines/>
      <w:spacing w:line="360" w:lineRule="auto"/>
      <w:jc w:val="left"/>
      <w:outlineLvl w:val="3"/>
    </w:pPr>
    <w:rPr>
      <w:rFonts w:eastAsia="黑体"/>
      <w:bCs/>
      <w:sz w:val="24"/>
      <w:szCs w:val="28"/>
    </w:rPr>
  </w:style>
  <w:style w:type="paragraph" w:styleId="7">
    <w:name w:val="heading 5"/>
    <w:basedOn w:val="1"/>
    <w:next w:val="1"/>
    <w:qFormat/>
    <w:uiPriority w:val="1"/>
    <w:pPr>
      <w:ind w:left="760"/>
      <w:outlineLvl w:val="4"/>
    </w:pPr>
    <w:rPr>
      <w:rFonts w:ascii="黑体" w:hAnsi="黑体" w:eastAsia="黑体"/>
      <w:b/>
      <w:bCs/>
      <w:sz w:val="30"/>
      <w:szCs w:val="30"/>
      <w:lang w:val="zh-CN" w:bidi="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cs="Times New Roman"/>
      <w:sz w:val="24"/>
      <w:szCs w:val="24"/>
    </w:rPr>
  </w:style>
  <w:style w:type="paragraph" w:styleId="8">
    <w:name w:val="toc 7"/>
    <w:basedOn w:val="1"/>
    <w:next w:val="1"/>
    <w:unhideWhenUsed/>
    <w:qFormat/>
    <w:uiPriority w:val="39"/>
    <w:pPr>
      <w:ind w:left="2520" w:leftChars="1200"/>
    </w:pPr>
    <w:rPr>
      <w:rFonts w:ascii="等线" w:hAnsi="等线" w:eastAsia="等线" w:cs="Times New Roman"/>
      <w:kern w:val="2"/>
      <w:sz w:val="21"/>
    </w:rPr>
  </w:style>
  <w:style w:type="paragraph" w:styleId="9">
    <w:name w:val="Normal Indent"/>
    <w:basedOn w:val="1"/>
    <w:link w:val="50"/>
    <w:qFormat/>
    <w:uiPriority w:val="0"/>
    <w:pPr>
      <w:ind w:firstLine="420" w:firstLineChars="200"/>
    </w:pPr>
    <w:rPr>
      <w:rFonts w:ascii="Times New Roman" w:cs="Times New Roman"/>
      <w:kern w:val="2"/>
      <w:sz w:val="21"/>
    </w:rPr>
  </w:style>
  <w:style w:type="paragraph" w:styleId="10">
    <w:name w:val="Document Map"/>
    <w:basedOn w:val="1"/>
    <w:link w:val="76"/>
    <w:semiHidden/>
    <w:unhideWhenUsed/>
    <w:qFormat/>
    <w:uiPriority w:val="99"/>
    <w:rPr>
      <w:sz w:val="18"/>
      <w:szCs w:val="18"/>
    </w:rPr>
  </w:style>
  <w:style w:type="paragraph" w:styleId="11">
    <w:name w:val="annotation text"/>
    <w:basedOn w:val="1"/>
    <w:link w:val="54"/>
    <w:qFormat/>
    <w:uiPriority w:val="0"/>
    <w:pPr>
      <w:jc w:val="left"/>
    </w:pPr>
    <w:rPr>
      <w:rFonts w:ascii="Calibri" w:cs="Times New Roman"/>
    </w:rPr>
  </w:style>
  <w:style w:type="paragraph" w:styleId="12">
    <w:name w:val="Salutation"/>
    <w:basedOn w:val="1"/>
    <w:next w:val="1"/>
    <w:qFormat/>
    <w:uiPriority w:val="0"/>
    <w:rPr>
      <w:rFonts w:ascii="Calibri" w:cs="Times New Roman"/>
    </w:rPr>
  </w:style>
  <w:style w:type="paragraph" w:styleId="13">
    <w:name w:val="Body Text Indent"/>
    <w:basedOn w:val="1"/>
    <w:qFormat/>
    <w:uiPriority w:val="0"/>
    <w:pPr>
      <w:ind w:firstLine="630"/>
    </w:pPr>
    <w:rPr>
      <w:rFonts w:ascii="Times New Roman" w:cs="Times New Roman"/>
      <w:kern w:val="2"/>
      <w:sz w:val="32"/>
    </w:rPr>
  </w:style>
  <w:style w:type="paragraph" w:styleId="14">
    <w:name w:val="toc 5"/>
    <w:basedOn w:val="1"/>
    <w:next w:val="1"/>
    <w:unhideWhenUsed/>
    <w:qFormat/>
    <w:uiPriority w:val="39"/>
    <w:pPr>
      <w:ind w:left="1680" w:leftChars="800"/>
    </w:pPr>
    <w:rPr>
      <w:rFonts w:ascii="等线" w:hAnsi="等线" w:eastAsia="等线" w:cs="Times New Roman"/>
      <w:kern w:val="2"/>
      <w:sz w:val="21"/>
    </w:rPr>
  </w:style>
  <w:style w:type="paragraph" w:styleId="15">
    <w:name w:val="toc 3"/>
    <w:basedOn w:val="1"/>
    <w:next w:val="1"/>
    <w:qFormat/>
    <w:uiPriority w:val="0"/>
    <w:pPr>
      <w:ind w:left="840" w:leftChars="400"/>
    </w:pPr>
    <w:rPr>
      <w:rFonts w:ascii="Calibri" w:cs="Times New Roman"/>
    </w:rPr>
  </w:style>
  <w:style w:type="paragraph" w:styleId="16">
    <w:name w:val="Plain Text"/>
    <w:basedOn w:val="1"/>
    <w:link w:val="55"/>
    <w:qFormat/>
    <w:uiPriority w:val="0"/>
    <w:rPr>
      <w:rFonts w:ascii="Calibri" w:hAnsi="Courier New" w:cs="Times New Roman"/>
      <w:kern w:val="2"/>
      <w:sz w:val="21"/>
    </w:rPr>
  </w:style>
  <w:style w:type="paragraph" w:styleId="17">
    <w:name w:val="toc 8"/>
    <w:basedOn w:val="1"/>
    <w:next w:val="1"/>
    <w:unhideWhenUsed/>
    <w:qFormat/>
    <w:uiPriority w:val="39"/>
    <w:pPr>
      <w:ind w:left="2940" w:leftChars="1400"/>
    </w:pPr>
    <w:rPr>
      <w:rFonts w:ascii="等线" w:hAnsi="等线" w:eastAsia="等线" w:cs="Times New Roman"/>
      <w:kern w:val="2"/>
      <w:sz w:val="21"/>
    </w:rPr>
  </w:style>
  <w:style w:type="paragraph" w:styleId="18">
    <w:name w:val="Body Text Indent 2"/>
    <w:basedOn w:val="1"/>
    <w:qFormat/>
    <w:uiPriority w:val="0"/>
    <w:pPr>
      <w:spacing w:after="120" w:line="480" w:lineRule="auto"/>
      <w:ind w:left="420" w:leftChars="200"/>
    </w:pPr>
    <w:rPr>
      <w:rFonts w:ascii="Calibri" w:cs="Times New Roman"/>
    </w:rPr>
  </w:style>
  <w:style w:type="paragraph" w:styleId="19">
    <w:name w:val="Balloon Text"/>
    <w:basedOn w:val="1"/>
    <w:link w:val="56"/>
    <w:qFormat/>
    <w:uiPriority w:val="0"/>
    <w:rPr>
      <w:rFonts w:ascii="Calibri" w:cs="Times New Roman"/>
      <w:sz w:val="18"/>
      <w:szCs w:val="18"/>
    </w:rPr>
  </w:style>
  <w:style w:type="paragraph" w:styleId="20">
    <w:name w:val="footer"/>
    <w:basedOn w:val="1"/>
    <w:qFormat/>
    <w:uiPriority w:val="0"/>
    <w:pPr>
      <w:tabs>
        <w:tab w:val="center" w:pos="4153"/>
        <w:tab w:val="right" w:pos="8306"/>
      </w:tabs>
      <w:snapToGrid w:val="0"/>
      <w:jc w:val="left"/>
    </w:pPr>
    <w:rPr>
      <w:rFonts w:ascii="Calibri" w:cs="Times New Roman"/>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Calibri" w:cs="Times New Roman"/>
      <w:sz w:val="18"/>
      <w:szCs w:val="20"/>
    </w:rPr>
  </w:style>
  <w:style w:type="paragraph" w:styleId="22">
    <w:name w:val="toc 1"/>
    <w:basedOn w:val="1"/>
    <w:next w:val="1"/>
    <w:qFormat/>
    <w:uiPriority w:val="0"/>
    <w:rPr>
      <w:rFonts w:ascii="Calibri" w:cs="Times New Roman"/>
    </w:rPr>
  </w:style>
  <w:style w:type="paragraph" w:styleId="23">
    <w:name w:val="toc 4"/>
    <w:basedOn w:val="1"/>
    <w:next w:val="1"/>
    <w:unhideWhenUsed/>
    <w:qFormat/>
    <w:uiPriority w:val="39"/>
    <w:pPr>
      <w:ind w:left="1260" w:leftChars="600"/>
    </w:pPr>
    <w:rPr>
      <w:rFonts w:ascii="等线" w:hAnsi="等线" w:eastAsia="等线" w:cs="Times New Roman"/>
      <w:kern w:val="2"/>
      <w:sz w:val="21"/>
    </w:rPr>
  </w:style>
  <w:style w:type="paragraph" w:styleId="24">
    <w:name w:val="Subtitle"/>
    <w:basedOn w:val="1"/>
    <w:next w:val="1"/>
    <w:qFormat/>
    <w:uiPriority w:val="0"/>
    <w:pPr>
      <w:spacing w:before="240" w:beforeLines="0" w:after="60" w:afterLines="0" w:line="312" w:lineRule="auto"/>
      <w:jc w:val="center"/>
      <w:outlineLvl w:val="1"/>
    </w:pPr>
    <w:rPr>
      <w:rFonts w:ascii="Arial" w:hAnsi="Arial"/>
      <w:bCs/>
      <w:color w:val="auto"/>
      <w:kern w:val="28"/>
    </w:rPr>
  </w:style>
  <w:style w:type="paragraph" w:styleId="25">
    <w:name w:val="toc 6"/>
    <w:basedOn w:val="1"/>
    <w:next w:val="1"/>
    <w:unhideWhenUsed/>
    <w:qFormat/>
    <w:uiPriority w:val="39"/>
    <w:pPr>
      <w:ind w:left="2100" w:leftChars="1000"/>
    </w:pPr>
    <w:rPr>
      <w:rFonts w:ascii="等线" w:hAnsi="等线" w:eastAsia="等线" w:cs="Times New Roman"/>
      <w:kern w:val="2"/>
      <w:sz w:val="21"/>
    </w:rPr>
  </w:style>
  <w:style w:type="paragraph" w:styleId="26">
    <w:name w:val="toc 2"/>
    <w:basedOn w:val="1"/>
    <w:next w:val="1"/>
    <w:qFormat/>
    <w:uiPriority w:val="0"/>
    <w:pPr>
      <w:ind w:left="420" w:leftChars="200"/>
    </w:pPr>
    <w:rPr>
      <w:rFonts w:ascii="Calibri" w:cs="Times New Roman"/>
    </w:rPr>
  </w:style>
  <w:style w:type="paragraph" w:styleId="27">
    <w:name w:val="toc 9"/>
    <w:basedOn w:val="1"/>
    <w:next w:val="1"/>
    <w:unhideWhenUsed/>
    <w:qFormat/>
    <w:uiPriority w:val="39"/>
    <w:pPr>
      <w:ind w:left="3360" w:leftChars="1600"/>
    </w:pPr>
    <w:rPr>
      <w:rFonts w:ascii="等线" w:hAnsi="等线" w:eastAsia="等线" w:cs="Times New Roman"/>
      <w:kern w:val="2"/>
      <w:sz w:val="21"/>
    </w:rPr>
  </w:style>
  <w:style w:type="paragraph" w:styleId="28">
    <w:name w:val="Body Text 2"/>
    <w:next w:val="29"/>
    <w:unhideWhenUsed/>
    <w:qFormat/>
    <w:uiPriority w:val="99"/>
    <w:pPr>
      <w:widowControl w:val="0"/>
      <w:spacing w:line="440" w:lineRule="exact"/>
    </w:pPr>
    <w:rPr>
      <w:rFonts w:ascii="Times New Roman" w:hAnsi="Times New Roman" w:eastAsia="宋体" w:cs="Times New Roman"/>
      <w:kern w:val="2"/>
      <w:sz w:val="24"/>
      <w:szCs w:val="22"/>
      <w:lang w:val="en-US" w:eastAsia="zh-CN" w:bidi="ar-SA"/>
    </w:rPr>
  </w:style>
  <w:style w:type="paragraph" w:customStyle="1" w:styleId="29">
    <w:name w:val="0正文"/>
    <w:link w:val="81"/>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仿宋_GB2312"/>
      <w:sz w:val="20"/>
      <w:szCs w:val="20"/>
    </w:rPr>
  </w:style>
  <w:style w:type="paragraph" w:styleId="31">
    <w:name w:val="Normal (Web)"/>
    <w:basedOn w:val="1"/>
    <w:qFormat/>
    <w:uiPriority w:val="0"/>
    <w:pPr>
      <w:widowControl/>
      <w:spacing w:before="100" w:beforeAutospacing="1" w:after="100" w:afterAutospacing="1"/>
      <w:jc w:val="left"/>
    </w:pPr>
    <w:rPr>
      <w:rFonts w:hAnsi="宋体" w:cs="Times New Roman"/>
      <w:sz w:val="18"/>
      <w:szCs w:val="18"/>
    </w:rPr>
  </w:style>
  <w:style w:type="paragraph" w:styleId="32">
    <w:name w:val="annotation subject"/>
    <w:basedOn w:val="11"/>
    <w:next w:val="11"/>
    <w:link w:val="47"/>
    <w:qFormat/>
    <w:uiPriority w:val="0"/>
    <w:rPr>
      <w:b/>
      <w:bCs/>
    </w:rPr>
  </w:style>
  <w:style w:type="paragraph" w:styleId="33">
    <w:name w:val="Body Text First Indent"/>
    <w:basedOn w:val="2"/>
    <w:qFormat/>
    <w:uiPriority w:val="0"/>
    <w:pPr>
      <w:ind w:firstLine="420" w:firstLineChars="100"/>
    </w:pPr>
    <w:rPr>
      <w:rFonts w:hAnsi="Times New Roman"/>
      <w:szCs w:val="21"/>
    </w:rPr>
  </w:style>
  <w:style w:type="paragraph" w:styleId="34">
    <w:name w:val="Body Text First Indent 2"/>
    <w:basedOn w:val="13"/>
    <w:qFormat/>
    <w:uiPriority w:val="0"/>
    <w:pPr>
      <w:ind w:firstLine="420" w:firstLineChars="200"/>
    </w:pPr>
    <w:rPr>
      <w:rFonts w:ascii="Calibri"/>
      <w:szCs w:val="24"/>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Calibri" w:hAnsi="Calibri" w:eastAsia="宋体" w:cs="Times New Roman"/>
      <w:b/>
    </w:rPr>
  </w:style>
  <w:style w:type="character" w:styleId="39">
    <w:name w:val="FollowedHyperlink"/>
    <w:qFormat/>
    <w:uiPriority w:val="0"/>
    <w:rPr>
      <w:rFonts w:ascii="Calibri" w:hAnsi="Calibri" w:eastAsia="宋体" w:cs="Times New Roman"/>
      <w:color w:val="333333"/>
      <w:u w:val="none"/>
    </w:rPr>
  </w:style>
  <w:style w:type="character" w:styleId="40">
    <w:name w:val="Emphasis"/>
    <w:qFormat/>
    <w:uiPriority w:val="0"/>
    <w:rPr>
      <w:rFonts w:ascii="Calibri" w:hAnsi="Calibri" w:eastAsia="宋体" w:cs="Times New Roman"/>
    </w:rPr>
  </w:style>
  <w:style w:type="character" w:styleId="41">
    <w:name w:val="HTML Definition"/>
    <w:qFormat/>
    <w:uiPriority w:val="0"/>
    <w:rPr>
      <w:rFonts w:ascii="Calibri" w:hAnsi="Calibri" w:eastAsia="宋体" w:cs="Times New Roman"/>
    </w:rPr>
  </w:style>
  <w:style w:type="character" w:styleId="42">
    <w:name w:val="HTML Variable"/>
    <w:qFormat/>
    <w:uiPriority w:val="0"/>
    <w:rPr>
      <w:rFonts w:ascii="Calibri" w:hAnsi="Calibri" w:eastAsia="宋体" w:cs="Times New Roman"/>
      <w:shd w:val="clear" w:color="auto" w:fill="FFFFFF"/>
    </w:rPr>
  </w:style>
  <w:style w:type="character" w:styleId="43">
    <w:name w:val="Hyperlink"/>
    <w:basedOn w:val="37"/>
    <w:qFormat/>
    <w:uiPriority w:val="0"/>
    <w:rPr>
      <w:rFonts w:ascii="Calibri" w:hAnsi="Calibri" w:eastAsia="宋体" w:cs="Times New Roman"/>
      <w:color w:val="333333"/>
      <w:u w:val="none"/>
    </w:rPr>
  </w:style>
  <w:style w:type="character" w:styleId="44">
    <w:name w:val="HTML Code"/>
    <w:qFormat/>
    <w:uiPriority w:val="0"/>
    <w:rPr>
      <w:rFonts w:ascii="Courier New" w:hAnsi="Courier New" w:eastAsia="宋体" w:cs="Times New Roman"/>
      <w:sz w:val="20"/>
    </w:rPr>
  </w:style>
  <w:style w:type="character" w:styleId="45">
    <w:name w:val="annotation reference"/>
    <w:qFormat/>
    <w:uiPriority w:val="0"/>
    <w:rPr>
      <w:rFonts w:ascii="Calibri" w:hAnsi="Calibri" w:eastAsia="宋体" w:cs="Times New Roman"/>
      <w:sz w:val="21"/>
      <w:szCs w:val="21"/>
    </w:rPr>
  </w:style>
  <w:style w:type="character" w:styleId="46">
    <w:name w:val="HTML Cite"/>
    <w:qFormat/>
    <w:uiPriority w:val="0"/>
    <w:rPr>
      <w:rFonts w:ascii="Calibri" w:hAnsi="Calibri" w:eastAsia="宋体" w:cs="Times New Roman"/>
    </w:rPr>
  </w:style>
  <w:style w:type="character" w:customStyle="1" w:styleId="47">
    <w:name w:val="批注主题 Char"/>
    <w:link w:val="32"/>
    <w:qFormat/>
    <w:uiPriority w:val="0"/>
    <w:rPr>
      <w:b/>
      <w:bCs/>
      <w:sz w:val="34"/>
      <w:szCs w:val="22"/>
    </w:rPr>
  </w:style>
  <w:style w:type="character" w:customStyle="1" w:styleId="48">
    <w:name w:val="font01"/>
    <w:qFormat/>
    <w:uiPriority w:val="0"/>
    <w:rPr>
      <w:rFonts w:ascii="Calibri" w:hAnsi="Calibri" w:eastAsia="宋体" w:cs="Calibri"/>
      <w:color w:val="000000"/>
      <w:sz w:val="21"/>
      <w:szCs w:val="21"/>
      <w:u w:val="none"/>
    </w:rPr>
  </w:style>
  <w:style w:type="character" w:customStyle="1" w:styleId="49">
    <w:name w:val="modifier"/>
    <w:qFormat/>
    <w:uiPriority w:val="0"/>
    <w:rPr>
      <w:rFonts w:ascii="Calibri" w:hAnsi="Calibri" w:eastAsia="宋体" w:cs="Times New Roman"/>
      <w:color w:val="FF0000"/>
    </w:rPr>
  </w:style>
  <w:style w:type="character" w:customStyle="1" w:styleId="50">
    <w:name w:val="正文缩进 Char"/>
    <w:link w:val="9"/>
    <w:qFormat/>
    <w:uiPriority w:val="0"/>
    <w:rPr>
      <w:rFonts w:ascii="Times New Roman"/>
      <w:kern w:val="2"/>
      <w:sz w:val="21"/>
      <w:szCs w:val="22"/>
    </w:rPr>
  </w:style>
  <w:style w:type="character" w:customStyle="1" w:styleId="51">
    <w:name w:val="font21"/>
    <w:qFormat/>
    <w:uiPriority w:val="0"/>
    <w:rPr>
      <w:rFonts w:hint="eastAsia" w:ascii="宋体" w:hAnsi="宋体" w:eastAsia="宋体" w:cs="宋体"/>
      <w:color w:val="000000"/>
      <w:sz w:val="21"/>
      <w:szCs w:val="21"/>
      <w:u w:val="none"/>
    </w:rPr>
  </w:style>
  <w:style w:type="character" w:customStyle="1" w:styleId="52">
    <w:name w:val="font11"/>
    <w:qFormat/>
    <w:uiPriority w:val="0"/>
    <w:rPr>
      <w:rFonts w:hint="eastAsia" w:ascii="宋体" w:hAnsi="宋体" w:eastAsia="宋体" w:cs="宋体"/>
      <w:color w:val="FF0000"/>
      <w:sz w:val="22"/>
      <w:szCs w:val="22"/>
      <w:u w:val="none"/>
    </w:rPr>
  </w:style>
  <w:style w:type="character" w:customStyle="1" w:styleId="53">
    <w:name w:val="img1"/>
    <w:qFormat/>
    <w:uiPriority w:val="0"/>
    <w:rPr>
      <w:rFonts w:ascii="Calibri" w:hAnsi="Calibri" w:eastAsia="宋体" w:cs="Times New Roman"/>
    </w:rPr>
  </w:style>
  <w:style w:type="character" w:customStyle="1" w:styleId="54">
    <w:name w:val="批注文字 Char"/>
    <w:link w:val="11"/>
    <w:qFormat/>
    <w:uiPriority w:val="0"/>
    <w:rPr>
      <w:sz w:val="34"/>
      <w:szCs w:val="22"/>
    </w:rPr>
  </w:style>
  <w:style w:type="character" w:customStyle="1" w:styleId="55">
    <w:name w:val="纯文本 Char"/>
    <w:link w:val="16"/>
    <w:qFormat/>
    <w:uiPriority w:val="0"/>
    <w:rPr>
      <w:rFonts w:hAnsi="Courier New"/>
      <w:kern w:val="2"/>
      <w:sz w:val="21"/>
      <w:szCs w:val="22"/>
    </w:rPr>
  </w:style>
  <w:style w:type="character" w:customStyle="1" w:styleId="56">
    <w:name w:val="批注框文本 Char"/>
    <w:link w:val="19"/>
    <w:qFormat/>
    <w:uiPriority w:val="0"/>
    <w:rPr>
      <w:sz w:val="18"/>
      <w:szCs w:val="18"/>
    </w:rPr>
  </w:style>
  <w:style w:type="character" w:customStyle="1" w:styleId="57">
    <w:name w:val="label"/>
    <w:qFormat/>
    <w:uiPriority w:val="0"/>
    <w:rPr>
      <w:rFonts w:ascii="Calibri" w:hAnsi="Calibri" w:eastAsia="宋体" w:cs="Times New Roman"/>
      <w:color w:val="555555"/>
    </w:rPr>
  </w:style>
  <w:style w:type="character" w:customStyle="1" w:styleId="58">
    <w:name w:val="img"/>
    <w:qFormat/>
    <w:uiPriority w:val="0"/>
    <w:rPr>
      <w:rFonts w:ascii="Calibri" w:hAnsi="Calibri" w:eastAsia="宋体" w:cs="Times New Roman"/>
    </w:rPr>
  </w:style>
  <w:style w:type="character" w:customStyle="1" w:styleId="59">
    <w:name w:val="Unresolved Mention"/>
    <w:unhideWhenUsed/>
    <w:qFormat/>
    <w:uiPriority w:val="99"/>
    <w:rPr>
      <w:rFonts w:ascii="Calibri" w:hAnsi="Calibri" w:eastAsia="宋体" w:cs="Times New Roman"/>
      <w:color w:val="605E5C"/>
      <w:shd w:val="clear" w:color="auto" w:fill="E1DFDD"/>
    </w:rPr>
  </w:style>
  <w:style w:type="paragraph" w:customStyle="1" w:styleId="60">
    <w:name w:val="正文首行缩进两字符"/>
    <w:basedOn w:val="1"/>
    <w:qFormat/>
    <w:uiPriority w:val="0"/>
    <w:pPr>
      <w:spacing w:line="360" w:lineRule="auto"/>
      <w:ind w:firstLine="200" w:firstLineChars="200"/>
    </w:pPr>
    <w:rPr>
      <w:rFonts w:ascii="Times New Roman" w:cs="Times New Roman"/>
      <w:kern w:val="2"/>
      <w:sz w:val="21"/>
      <w:szCs w:val="24"/>
    </w:rPr>
  </w:style>
  <w:style w:type="paragraph" w:customStyle="1" w:styleId="61">
    <w:name w:val="标题 5（有编号）（绿盟科技）"/>
    <w:basedOn w:val="1"/>
    <w:next w:val="62"/>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6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表格"/>
    <w:basedOn w:val="1"/>
    <w:qFormat/>
    <w:uiPriority w:val="0"/>
    <w:pPr>
      <w:spacing w:line="400" w:lineRule="exact"/>
    </w:pPr>
    <w:rPr>
      <w:rFonts w:ascii="Calibri" w:cs="Times New Roman"/>
      <w:sz w:val="24"/>
    </w:rPr>
  </w:style>
  <w:style w:type="paragraph" w:customStyle="1" w:styleId="65">
    <w:name w:val="样式 首行缩进:  2 字符"/>
    <w:basedOn w:val="1"/>
    <w:qFormat/>
    <w:uiPriority w:val="0"/>
    <w:pPr>
      <w:spacing w:line="400" w:lineRule="exact"/>
      <w:ind w:firstLine="200" w:firstLineChars="200"/>
    </w:pPr>
    <w:rPr>
      <w:rFonts w:ascii="Calibri" w:cs="宋体"/>
      <w:sz w:val="24"/>
    </w:rPr>
  </w:style>
  <w:style w:type="paragraph" w:customStyle="1" w:styleId="66">
    <w:name w:val="列出段落1"/>
    <w:basedOn w:val="1"/>
    <w:qFormat/>
    <w:uiPriority w:val="0"/>
    <w:pPr>
      <w:spacing w:line="360" w:lineRule="auto"/>
      <w:ind w:firstLine="420" w:firstLineChars="200"/>
    </w:pPr>
    <w:rPr>
      <w:rFonts w:ascii="Calibri"/>
    </w:rPr>
  </w:style>
  <w:style w:type="paragraph" w:customStyle="1" w:styleId="6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hAnsi="宋体" w:cs="Times New Roman"/>
      <w:szCs w:val="21"/>
    </w:rPr>
  </w:style>
  <w:style w:type="paragraph" w:customStyle="1" w:styleId="68">
    <w:name w:val="_Style 2"/>
    <w:basedOn w:val="1"/>
    <w:qFormat/>
    <w:uiPriority w:val="34"/>
    <w:pPr>
      <w:ind w:firstLine="420" w:firstLineChars="200"/>
    </w:pPr>
    <w:rPr>
      <w:rFonts w:ascii="Calibri" w:cs="Times New Roman"/>
      <w:szCs w:val="24"/>
    </w:rPr>
  </w:style>
  <w:style w:type="paragraph" w:customStyle="1" w:styleId="69">
    <w:name w:val="Char Char Char Char"/>
    <w:basedOn w:val="1"/>
    <w:qFormat/>
    <w:uiPriority w:val="0"/>
    <w:pPr>
      <w:spacing w:line="360" w:lineRule="auto"/>
      <w:ind w:firstLine="540"/>
      <w:jc w:val="left"/>
    </w:pPr>
    <w:rPr>
      <w:rFonts w:hAnsi="宋体" w:cs="Times New Roman"/>
      <w:color w:val="000000"/>
      <w:sz w:val="24"/>
      <w:lang w:val="en-GB"/>
    </w:rPr>
  </w:style>
  <w:style w:type="paragraph" w:customStyle="1" w:styleId="70">
    <w:name w:val="修订1"/>
    <w:qFormat/>
    <w:uiPriority w:val="99"/>
    <w:rPr>
      <w:rFonts w:ascii="宋体" w:hAnsi="Calibri" w:eastAsia="宋体" w:cs="黑体"/>
      <w:sz w:val="34"/>
      <w:szCs w:val="22"/>
      <w:lang w:val="en-US" w:eastAsia="zh-CN" w:bidi="ar-SA"/>
    </w:rPr>
  </w:style>
  <w:style w:type="paragraph" w:customStyle="1" w:styleId="71">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2">
    <w:name w:val="列表段落1"/>
    <w:basedOn w:val="1"/>
    <w:qFormat/>
    <w:uiPriority w:val="34"/>
    <w:pPr>
      <w:ind w:firstLine="420" w:firstLineChars="200"/>
    </w:pPr>
    <w:rPr>
      <w:rFonts w:ascii="Calibri" w:cs="Times New Roman"/>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_Style 1"/>
    <w:basedOn w:val="1"/>
    <w:qFormat/>
    <w:uiPriority w:val="0"/>
    <w:pPr>
      <w:ind w:firstLine="420" w:firstLineChars="200"/>
    </w:pPr>
    <w:rPr>
      <w:rFonts w:ascii="Calibri" w:cs="Times New Roman"/>
      <w:kern w:val="2"/>
      <w:sz w:val="21"/>
    </w:rPr>
  </w:style>
  <w:style w:type="paragraph" w:customStyle="1" w:styleId="75">
    <w:name w:val="p0"/>
    <w:basedOn w:val="1"/>
    <w:qFormat/>
    <w:uiPriority w:val="0"/>
    <w:pPr>
      <w:widowControl/>
    </w:pPr>
    <w:rPr>
      <w:rFonts w:ascii="Times New Roman" w:hAnsi="Times New Roman" w:eastAsia="方正仿宋" w:cs="Times New Roman"/>
      <w:sz w:val="32"/>
      <w:szCs w:val="21"/>
    </w:rPr>
  </w:style>
  <w:style w:type="character" w:customStyle="1" w:styleId="76">
    <w:name w:val="文档结构图 Char"/>
    <w:basedOn w:val="37"/>
    <w:link w:val="10"/>
    <w:semiHidden/>
    <w:qFormat/>
    <w:uiPriority w:val="99"/>
    <w:rPr>
      <w:rFonts w:ascii="宋体" w:hAnsi="Calibri" w:cs="黑体"/>
      <w:sz w:val="18"/>
      <w:szCs w:val="18"/>
    </w:rPr>
  </w:style>
  <w:style w:type="character" w:customStyle="1" w:styleId="77">
    <w:name w:val="apple-converted-space"/>
    <w:basedOn w:val="37"/>
    <w:qFormat/>
    <w:uiPriority w:val="0"/>
    <w:rPr>
      <w:rFonts w:ascii="Times New Roman" w:hAnsi="Times New Roman" w:eastAsia="宋体" w:cs="Times New Roman"/>
    </w:rPr>
  </w:style>
  <w:style w:type="paragraph" w:customStyle="1" w:styleId="78">
    <w:name w:val="表头图名"/>
    <w:next w:val="1"/>
    <w:qFormat/>
    <w:uiPriority w:val="0"/>
    <w:pPr>
      <w:widowControl w:val="0"/>
      <w:spacing w:line="440" w:lineRule="exact"/>
      <w:jc w:val="center"/>
    </w:pPr>
    <w:rPr>
      <w:rFonts w:ascii="Times New Roman" w:hAnsi="Times New Roman" w:eastAsia="黑体" w:cs="Times New Roman"/>
      <w:kern w:val="2"/>
      <w:sz w:val="21"/>
      <w:lang w:val="en-US" w:eastAsia="zh-CN" w:bidi="ar-SA"/>
    </w:rPr>
  </w:style>
  <w:style w:type="paragraph" w:customStyle="1" w:styleId="79">
    <w:name w:val="图片内容"/>
    <w:next w:val="29"/>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80">
    <w:name w:val="表格内容"/>
    <w:qFormat/>
    <w:uiPriority w:val="0"/>
    <w:pPr>
      <w:spacing w:line="312" w:lineRule="exact"/>
      <w:jc w:val="center"/>
    </w:pPr>
    <w:rPr>
      <w:rFonts w:ascii="Times New Roman" w:hAnsi="Times New Roman" w:eastAsia="宋体" w:cs="Times New Roman"/>
      <w:kern w:val="2"/>
      <w:sz w:val="21"/>
      <w:szCs w:val="24"/>
      <w:lang w:val="en-US" w:eastAsia="zh-CN" w:bidi="ar-SA"/>
    </w:rPr>
  </w:style>
  <w:style w:type="character" w:customStyle="1" w:styleId="81">
    <w:name w:val="0正文 字符"/>
    <w:link w:val="29"/>
    <w:qFormat/>
    <w:uiPriority w:val="0"/>
    <w:rPr>
      <w:rFonts w:ascii="Times New Roman" w:hAnsi="Times New Roman" w:eastAsia="宋体" w:cs="Times New Roman"/>
      <w:kern w:val="2"/>
      <w:sz w:val="24"/>
      <w:szCs w:val="24"/>
      <w:lang w:val="en-US" w:eastAsia="zh-CN" w:bidi="ar-SA"/>
    </w:rPr>
  </w:style>
  <w:style w:type="paragraph" w:customStyle="1" w:styleId="82">
    <w:name w:val="正文文本2"/>
    <w:basedOn w:val="1"/>
    <w:unhideWhenUsed/>
    <w:qFormat/>
    <w:uiPriority w:val="99"/>
    <w:pPr>
      <w:widowControl w:val="0"/>
      <w:shd w:val="clear" w:color="auto" w:fill="FFFFFF"/>
      <w:spacing w:line="240" w:lineRule="atLeast"/>
    </w:pPr>
    <w:rPr>
      <w:rFonts w:hint="eastAsia" w:ascii="黑体" w:hAnsi="黑体" w:eastAsia="黑体"/>
      <w:sz w:val="24"/>
    </w:rPr>
  </w:style>
  <w:style w:type="character" w:customStyle="1" w:styleId="83">
    <w:name w:val="图片标题1"/>
    <w:unhideWhenUsed/>
    <w:qFormat/>
    <w:uiPriority w:val="99"/>
    <w:rPr>
      <w:rFonts w:hint="eastAsia" w:ascii="黑体" w:hAnsi="黑体" w:eastAsia="黑体"/>
      <w:sz w:val="24"/>
    </w:rPr>
  </w:style>
  <w:style w:type="character" w:customStyle="1" w:styleId="84">
    <w:name w:val="font51"/>
    <w:basedOn w:val="37"/>
    <w:qFormat/>
    <w:uiPriority w:val="0"/>
    <w:rPr>
      <w:rFonts w:hint="default" w:ascii="Times New Roman" w:hAnsi="Times New Roman" w:cs="Times New Roman"/>
      <w:b/>
      <w:color w:val="000000"/>
      <w:sz w:val="21"/>
      <w:szCs w:val="21"/>
      <w:u w:val="none"/>
    </w:rPr>
  </w:style>
  <w:style w:type="character" w:customStyle="1" w:styleId="85">
    <w:name w:val="font41"/>
    <w:basedOn w:val="37"/>
    <w:qFormat/>
    <w:uiPriority w:val="0"/>
    <w:rPr>
      <w:rFonts w:hint="default" w:ascii="Times New Roman" w:hAnsi="Times New Roman" w:cs="Times New Roman"/>
      <w:color w:val="000000"/>
      <w:sz w:val="21"/>
      <w:szCs w:val="21"/>
      <w:u w:val="none"/>
    </w:rPr>
  </w:style>
  <w:style w:type="character" w:customStyle="1" w:styleId="86">
    <w:name w:val="font31"/>
    <w:basedOn w:val="37"/>
    <w:qFormat/>
    <w:uiPriority w:val="0"/>
    <w:rPr>
      <w:rFonts w:hint="eastAsia" w:ascii="宋体" w:hAnsi="宋体" w:eastAsia="宋体" w:cs="宋体"/>
      <w:color w:val="000000"/>
      <w:sz w:val="21"/>
      <w:szCs w:val="21"/>
      <w:u w:val="none"/>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paragraph" w:customStyle="1" w:styleId="88">
    <w:name w:val="4"/>
    <w:basedOn w:val="6"/>
    <w:qFormat/>
    <w:uiPriority w:val="0"/>
    <w:pPr>
      <w:spacing w:before="60" w:after="60" w:line="300" w:lineRule="auto"/>
    </w:pPr>
    <w:rPr>
      <w:szCs w:val="20"/>
    </w:rPr>
  </w:style>
  <w:style w:type="paragraph" w:customStyle="1" w:styleId="89">
    <w:name w:val="Table Paragraph"/>
    <w:basedOn w:val="1"/>
    <w:qFormat/>
    <w:uiPriority w:val="1"/>
    <w:rPr>
      <w:rFonts w:ascii="宋体" w:hAnsi="宋体" w:eastAsia="宋体" w:cs="宋体"/>
      <w:lang w:val="zh-CN" w:eastAsia="zh-CN" w:bidi="zh-CN"/>
    </w:rPr>
  </w:style>
  <w:style w:type="paragraph" w:customStyle="1" w:styleId="90">
    <w:name w:val="List Paragraph_a5a4f058-b5ff-46c0-886b-c512bdfe39fb"/>
    <w:basedOn w:val="1"/>
    <w:qFormat/>
    <w:uiPriority w:val="1"/>
    <w:pPr>
      <w:ind w:left="837" w:hanging="60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98282-1D4F-45EA-B1B4-60227128A12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95</Pages>
  <Words>8746</Words>
  <Characters>49856</Characters>
  <Lines>415</Lines>
  <Paragraphs>116</Paragraphs>
  <TotalTime>127</TotalTime>
  <ScaleCrop>false</ScaleCrop>
  <LinksUpToDate>false</LinksUpToDate>
  <CharactersWithSpaces>58486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2019-03-28T06:59:00Z</dcterms:created>
  <dc:creator>teng</dc:creator>
  <cp:lastModifiedBy>Administrator</cp:lastModifiedBy>
  <cp:lastPrinted>2020-12-04T02:45:00Z</cp:lastPrinted>
  <dcterms:modified xsi:type="dcterms:W3CDTF">2021-07-09T08:46:17Z</dcterms:modified>
  <dc:title>项目编号：以四川政府采购网系统生成编号为准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76C743E7546F43D985428263E3A5FD76</vt:lpwstr>
  </property>
</Properties>
</file>