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31" w:beforeLines="10" w:after="31" w:afterLines="10" w:line="360" w:lineRule="auto"/>
        <w:ind w:firstLine="321" w:firstLineChars="100"/>
        <w:rPr>
          <w:rFonts w:ascii="仿宋" w:hAnsi="仿宋" w:eastAsia="仿宋" w:cs="仿宋"/>
          <w:b/>
          <w:bCs/>
          <w:color w:val="auto"/>
          <w:sz w:val="32"/>
          <w:szCs w:val="21"/>
          <w:highlight w:val="none"/>
        </w:rPr>
      </w:pPr>
      <w:bookmarkStart w:id="0" w:name="_Toc578"/>
      <w:bookmarkStart w:id="1" w:name="_Toc5725"/>
      <w:bookmarkStart w:id="1119" w:name="_GoBack"/>
      <w:r>
        <w:rPr>
          <w:rFonts w:hint="eastAsia" w:ascii="仿宋" w:hAnsi="仿宋" w:eastAsia="仿宋" w:cs="仿宋"/>
          <w:b/>
          <w:bCs/>
          <w:color w:val="auto"/>
          <w:sz w:val="32"/>
          <w:szCs w:val="21"/>
          <w:highlight w:val="none"/>
        </w:rPr>
        <w:t>项目编号：</w:t>
      </w:r>
      <w:r>
        <w:rPr>
          <w:rFonts w:hint="eastAsia" w:ascii="仿宋" w:hAnsi="仿宋" w:eastAsia="仿宋" w:cs="仿宋"/>
          <w:b/>
          <w:bCs/>
          <w:color w:val="auto"/>
          <w:sz w:val="24"/>
          <w:szCs w:val="24"/>
          <w:highlight w:val="none"/>
        </w:rPr>
        <w:t>（以政府采购云平台生成的为准）</w:t>
      </w:r>
    </w:p>
    <w:p>
      <w:pPr>
        <w:shd w:val="clear"/>
        <w:spacing w:before="31" w:beforeLines="10" w:after="31" w:afterLines="10" w:line="360" w:lineRule="auto"/>
        <w:ind w:left="1608" w:leftChars="95" w:hanging="1285" w:hangingChars="400"/>
        <w:rPr>
          <w:rFonts w:ascii="仿宋" w:hAnsi="仿宋" w:eastAsia="仿宋" w:cs="仿宋"/>
          <w:b/>
          <w:bCs/>
          <w:color w:val="auto"/>
          <w:sz w:val="32"/>
          <w:szCs w:val="21"/>
          <w:highlight w:val="none"/>
        </w:rPr>
      </w:pPr>
      <w:r>
        <w:rPr>
          <w:rFonts w:hint="eastAsia" w:ascii="仿宋" w:hAnsi="仿宋" w:eastAsia="仿宋" w:cs="仿宋"/>
          <w:b/>
          <w:bCs/>
          <w:color w:val="auto"/>
          <w:sz w:val="32"/>
          <w:szCs w:val="21"/>
          <w:highlight w:val="none"/>
        </w:rPr>
        <w:t>项目名称：崇州市公安局智能交通系统维护维修及网络传输服务采购项目</w:t>
      </w:r>
    </w:p>
    <w:p>
      <w:pPr>
        <w:pStyle w:val="25"/>
        <w:shd w:val="clear"/>
        <w:rPr>
          <w:rFonts w:ascii="仿宋" w:hAnsi="仿宋" w:eastAsia="仿宋" w:cs="仿宋"/>
          <w:b/>
          <w:bCs/>
          <w:color w:val="auto"/>
          <w:sz w:val="52"/>
          <w:szCs w:val="52"/>
          <w:highlight w:val="none"/>
        </w:rPr>
      </w:pPr>
    </w:p>
    <w:p>
      <w:pPr>
        <w:shd w:val="clear"/>
        <w:rPr>
          <w:rFonts w:ascii="仿宋" w:hAnsi="仿宋" w:eastAsia="仿宋" w:cs="仿宋"/>
          <w:color w:val="auto"/>
          <w:highlight w:val="none"/>
        </w:rPr>
      </w:pPr>
    </w:p>
    <w:p>
      <w:pPr>
        <w:shd w:val="clear"/>
        <w:spacing w:line="360" w:lineRule="auto"/>
        <w:jc w:val="center"/>
        <w:rPr>
          <w:rFonts w:ascii="仿宋" w:hAnsi="仿宋" w:eastAsia="仿宋" w:cs="仿宋"/>
          <w:b/>
          <w:bCs/>
          <w:color w:val="auto"/>
          <w:sz w:val="52"/>
          <w:szCs w:val="52"/>
          <w:highlight w:val="none"/>
        </w:rPr>
      </w:pPr>
    </w:p>
    <w:p>
      <w:pPr>
        <w:shd w:val="clear"/>
        <w:jc w:val="center"/>
        <w:rPr>
          <w:rFonts w:ascii="仿宋" w:hAnsi="仿宋" w:eastAsia="仿宋" w:cs="仿宋"/>
          <w:color w:val="auto"/>
          <w:highlight w:val="none"/>
        </w:rPr>
      </w:pPr>
      <w:r>
        <w:rPr>
          <w:rFonts w:hint="eastAsia" w:ascii="仿宋" w:hAnsi="仿宋" w:eastAsia="仿宋" w:cs="仿宋"/>
          <w:b/>
          <w:color w:val="auto"/>
          <w:sz w:val="96"/>
          <w:szCs w:val="21"/>
          <w:highlight w:val="none"/>
        </w:rPr>
        <w:t>招 标 文 件</w:t>
      </w:r>
    </w:p>
    <w:p>
      <w:pPr>
        <w:shd w:val="clear"/>
        <w:rPr>
          <w:rFonts w:ascii="仿宋" w:hAnsi="仿宋" w:eastAsia="仿宋" w:cs="仿宋"/>
          <w:b/>
          <w:color w:val="auto"/>
          <w:sz w:val="52"/>
          <w:highlight w:val="none"/>
        </w:rPr>
      </w:pPr>
    </w:p>
    <w:p>
      <w:pPr>
        <w:shd w:val="clear"/>
        <w:spacing w:before="31" w:beforeLines="10" w:after="31" w:afterLines="10"/>
        <w:jc w:val="center"/>
        <w:rPr>
          <w:rFonts w:ascii="仿宋" w:hAnsi="仿宋" w:eastAsia="仿宋" w:cs="仿宋"/>
          <w:b/>
          <w:bCs/>
          <w:color w:val="auto"/>
          <w:sz w:val="36"/>
          <w:highlight w:val="none"/>
        </w:rPr>
      </w:pPr>
    </w:p>
    <w:p>
      <w:pPr>
        <w:pStyle w:val="25"/>
        <w:shd w:val="clear"/>
        <w:rPr>
          <w:rFonts w:ascii="仿宋" w:hAnsi="仿宋" w:eastAsia="仿宋" w:cs="仿宋"/>
          <w:color w:val="auto"/>
          <w:highlight w:val="none"/>
        </w:rPr>
      </w:pPr>
    </w:p>
    <w:p>
      <w:pPr>
        <w:shd w:val="clear"/>
        <w:rPr>
          <w:rFonts w:ascii="仿宋" w:hAnsi="仿宋" w:eastAsia="仿宋" w:cs="仿宋"/>
          <w:color w:val="auto"/>
          <w:highlight w:val="none"/>
        </w:rPr>
      </w:pPr>
    </w:p>
    <w:p>
      <w:pPr>
        <w:pStyle w:val="25"/>
        <w:shd w:val="clear"/>
        <w:rPr>
          <w:rFonts w:ascii="仿宋" w:hAnsi="仿宋" w:eastAsia="仿宋" w:cs="仿宋"/>
          <w:color w:val="auto"/>
          <w:highlight w:val="none"/>
        </w:rPr>
      </w:pPr>
    </w:p>
    <w:p>
      <w:pPr>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shd w:val="clear"/>
        <w:spacing w:line="360" w:lineRule="auto"/>
        <w:jc w:val="center"/>
        <w:rPr>
          <w:rFonts w:ascii="仿宋" w:hAnsi="仿宋" w:eastAsia="仿宋" w:cs="仿宋"/>
          <w:b/>
          <w:color w:val="auto"/>
          <w:sz w:val="32"/>
          <w:szCs w:val="32"/>
          <w:highlight w:val="none"/>
        </w:rPr>
      </w:pPr>
    </w:p>
    <w:p>
      <w:pPr>
        <w:shd w:val="clea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崇州市公安局</w:t>
      </w:r>
    </w:p>
    <w:p>
      <w:pPr>
        <w:shd w:val="clea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成都倍信达工程管理咨询有限公司</w:t>
      </w:r>
    </w:p>
    <w:p>
      <w:pPr>
        <w:shd w:val="clear"/>
        <w:spacing w:line="360" w:lineRule="auto"/>
        <w:jc w:val="center"/>
        <w:rPr>
          <w:rFonts w:ascii="仿宋" w:hAnsi="仿宋" w:eastAsia="仿宋" w:cs="仿宋"/>
          <w:b/>
          <w:bCs/>
          <w:color w:val="auto"/>
          <w:sz w:val="32"/>
          <w:szCs w:val="32"/>
          <w:highlight w:val="none"/>
          <w:lang w:val="zh-CN"/>
        </w:rPr>
      </w:pPr>
      <w:r>
        <w:rPr>
          <w:rFonts w:hint="eastAsia" w:ascii="仿宋" w:hAnsi="仿宋" w:eastAsia="仿宋" w:cs="仿宋"/>
          <w:b/>
          <w:color w:val="auto"/>
          <w:sz w:val="30"/>
          <w:szCs w:val="30"/>
          <w:highlight w:val="none"/>
        </w:rPr>
        <w:t>2021</w:t>
      </w:r>
      <w:r>
        <w:rPr>
          <w:rFonts w:hint="eastAsia" w:ascii="仿宋" w:hAnsi="仿宋" w:eastAsia="仿宋" w:cs="仿宋"/>
          <w:b/>
          <w:bCs/>
          <w:color w:val="auto"/>
          <w:sz w:val="32"/>
          <w:szCs w:val="32"/>
          <w:highlight w:val="none"/>
          <w:lang w:val="zh-CN"/>
        </w:rPr>
        <w:t>年</w:t>
      </w:r>
      <w:r>
        <w:rPr>
          <w:rFonts w:hint="eastAsia" w:ascii="仿宋" w:hAnsi="仿宋" w:eastAsia="仿宋" w:cs="仿宋"/>
          <w:b/>
          <w:bCs/>
          <w:color w:val="auto"/>
          <w:sz w:val="32"/>
          <w:szCs w:val="32"/>
          <w:highlight w:val="none"/>
        </w:rPr>
        <w:t>11</w:t>
      </w:r>
      <w:r>
        <w:rPr>
          <w:rFonts w:hint="eastAsia" w:ascii="仿宋" w:hAnsi="仿宋" w:eastAsia="仿宋" w:cs="仿宋"/>
          <w:b/>
          <w:bCs/>
          <w:color w:val="auto"/>
          <w:sz w:val="32"/>
          <w:szCs w:val="32"/>
          <w:highlight w:val="none"/>
          <w:lang w:val="zh-CN"/>
        </w:rPr>
        <w:t>月</w:t>
      </w:r>
    </w:p>
    <w:p>
      <w:pPr>
        <w:shd w:val="clear"/>
        <w:spacing w:line="360" w:lineRule="auto"/>
        <w:ind w:firstLine="1285" w:firstLineChars="400"/>
        <w:rPr>
          <w:rFonts w:ascii="仿宋" w:hAnsi="仿宋" w:eastAsia="仿宋" w:cs="仿宋"/>
          <w:b/>
          <w:bCs/>
          <w:color w:val="auto"/>
          <w:sz w:val="32"/>
          <w:szCs w:val="32"/>
          <w:highlight w:val="none"/>
        </w:rPr>
      </w:pPr>
    </w:p>
    <w:p>
      <w:pPr>
        <w:pStyle w:val="25"/>
        <w:shd w:val="clear"/>
        <w:rPr>
          <w:rFonts w:ascii="仿宋" w:hAnsi="仿宋" w:eastAsia="仿宋" w:cs="仿宋"/>
          <w:b/>
          <w:color w:val="auto"/>
          <w:sz w:val="32"/>
          <w:szCs w:val="32"/>
          <w:highlight w:val="none"/>
        </w:rPr>
        <w:sectPr>
          <w:headerReference r:id="rId3" w:type="default"/>
          <w:pgSz w:w="11906" w:h="16838"/>
          <w:pgMar w:top="1191" w:right="1134" w:bottom="1134" w:left="1418" w:header="851" w:footer="992" w:gutter="0"/>
          <w:pgNumType w:start="1"/>
          <w:cols w:space="720" w:num="1"/>
          <w:docGrid w:type="lines" w:linePitch="314" w:charSpace="0"/>
        </w:sectPr>
      </w:pPr>
    </w:p>
    <w:bookmarkEnd w:id="0"/>
    <w:bookmarkEnd w:id="1"/>
    <w:sdt>
      <w:sdtPr>
        <w:rPr>
          <w:rFonts w:hint="eastAsia" w:ascii="仿宋" w:hAnsi="仿宋" w:eastAsia="仿宋" w:cs="仿宋"/>
          <w:b/>
          <w:bCs/>
          <w:color w:val="auto"/>
          <w:sz w:val="32"/>
          <w:szCs w:val="32"/>
          <w:highlight w:val="none"/>
        </w:rPr>
        <w:id w:val="147470088"/>
        <w15:color w:val="DBDBDB"/>
        <w:docPartObj>
          <w:docPartGallery w:val="Table of Contents"/>
          <w:docPartUnique/>
        </w:docPartObj>
      </w:sdtPr>
      <w:sdtEndPr>
        <w:rPr>
          <w:rFonts w:hint="eastAsia" w:ascii="仿宋" w:hAnsi="仿宋" w:eastAsia="仿宋" w:cs="仿宋"/>
          <w:b/>
          <w:bCs/>
          <w:color w:val="auto"/>
          <w:sz w:val="24"/>
          <w:szCs w:val="24"/>
          <w:highlight w:val="none"/>
        </w:rPr>
      </w:sdtEndPr>
      <w:sdtContent>
        <w:p>
          <w:pPr>
            <w:shd w:val="clear"/>
            <w:spacing w:line="48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pPr>
            <w:pStyle w:val="25"/>
            <w:shd w:val="clear"/>
            <w:tabs>
              <w:tab w:val="right" w:leader="dot" w:pos="8788"/>
            </w:tabs>
            <w:spacing w:line="48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color w:val="auto"/>
              <w:highlight w:val="none"/>
            </w:rPr>
            <w:fldChar w:fldCharType="begin"/>
          </w:r>
          <w:r>
            <w:rPr>
              <w:color w:val="auto"/>
              <w:highlight w:val="none"/>
            </w:rPr>
            <w:instrText xml:space="preserve"> HYPERLINK \l "_Toc27440" </w:instrText>
          </w:r>
          <w:r>
            <w:rPr>
              <w:color w:val="auto"/>
              <w:highlight w:val="none"/>
            </w:rPr>
            <w:fldChar w:fldCharType="separate"/>
          </w:r>
          <w:r>
            <w:rPr>
              <w:rFonts w:hint="eastAsia" w:ascii="仿宋" w:hAnsi="仿宋" w:eastAsia="仿宋" w:cs="仿宋"/>
              <w:color w:val="auto"/>
              <w:sz w:val="24"/>
              <w:szCs w:val="24"/>
              <w:highlight w:val="none"/>
            </w:rPr>
            <w:t>第一章 投标邀请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_Toc27440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5"/>
            <w:shd w:val="clear"/>
            <w:tabs>
              <w:tab w:val="right" w:leader="dot" w:pos="8788"/>
            </w:tabs>
            <w:spacing w:line="480" w:lineRule="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"_Toc18419" </w:instrText>
          </w:r>
          <w:r>
            <w:rPr>
              <w:color w:val="auto"/>
              <w:highlight w:val="none"/>
            </w:rPr>
            <w:fldChar w:fldCharType="separate"/>
          </w:r>
          <w:r>
            <w:rPr>
              <w:rFonts w:hint="eastAsia" w:ascii="仿宋" w:hAnsi="仿宋" w:eastAsia="仿宋" w:cs="仿宋"/>
              <w:color w:val="auto"/>
              <w:sz w:val="24"/>
              <w:szCs w:val="24"/>
              <w:highlight w:val="none"/>
            </w:rPr>
            <w:t>第二章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_Toc18419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5"/>
            <w:shd w:val="clear"/>
            <w:tabs>
              <w:tab w:val="right" w:leader="dot" w:pos="8788"/>
            </w:tabs>
            <w:spacing w:line="480" w:lineRule="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"_Toc4196" </w:instrText>
          </w:r>
          <w:r>
            <w:rPr>
              <w:color w:val="auto"/>
              <w:highlight w:val="none"/>
            </w:rPr>
            <w:fldChar w:fldCharType="separate"/>
          </w:r>
          <w:r>
            <w:rPr>
              <w:rFonts w:hint="eastAsia" w:ascii="仿宋" w:hAnsi="仿宋" w:eastAsia="仿宋" w:cs="仿宋"/>
              <w:color w:val="auto"/>
              <w:sz w:val="24"/>
              <w:szCs w:val="24"/>
              <w:highlight w:val="none"/>
            </w:rPr>
            <w:t>第三章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1</w:t>
          </w:r>
        </w:p>
        <w:p>
          <w:pPr>
            <w:pStyle w:val="25"/>
            <w:shd w:val="clear"/>
            <w:tabs>
              <w:tab w:val="right" w:leader="dot" w:pos="8788"/>
            </w:tabs>
            <w:spacing w:line="480" w:lineRule="auto"/>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"_Toc28177" </w:instrText>
          </w:r>
          <w:r>
            <w:rPr>
              <w:color w:val="auto"/>
              <w:highlight w:val="none"/>
            </w:rPr>
            <w:fldChar w:fldCharType="separate"/>
          </w:r>
          <w:r>
            <w:rPr>
              <w:rFonts w:hint="eastAsia" w:ascii="仿宋" w:hAnsi="仿宋" w:eastAsia="仿宋" w:cs="仿宋"/>
              <w:color w:val="auto"/>
              <w:sz w:val="24"/>
              <w:szCs w:val="24"/>
              <w:highlight w:val="none"/>
            </w:rPr>
            <w:t>第四章 投标人</w:t>
          </w:r>
          <w:r>
            <w:rPr>
              <w:rFonts w:hint="eastAsia" w:ascii="仿宋" w:hAnsi="仿宋" w:eastAsia="仿宋" w:cs="仿宋"/>
              <w:color w:val="auto"/>
              <w:sz w:val="24"/>
              <w:szCs w:val="24"/>
              <w:highlight w:val="none"/>
              <w:lang w:val="zh-CN"/>
            </w:rPr>
            <w:t>和投标产品</w:t>
          </w:r>
          <w:r>
            <w:rPr>
              <w:rFonts w:hint="eastAsia" w:ascii="仿宋" w:hAnsi="仿宋" w:eastAsia="仿宋" w:cs="仿宋"/>
              <w:color w:val="auto"/>
              <w:sz w:val="24"/>
              <w:szCs w:val="24"/>
              <w:highlight w:val="none"/>
            </w:rPr>
            <w:t>的资格、资质性及其他类似效力要求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2</w:t>
          </w:r>
        </w:p>
        <w:p>
          <w:pPr>
            <w:pStyle w:val="25"/>
            <w:shd w:val="clear"/>
            <w:tabs>
              <w:tab w:val="right" w:leader="dot" w:pos="8788"/>
            </w:tabs>
            <w:spacing w:line="480" w:lineRule="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"_Toc30333" </w:instrText>
          </w:r>
          <w:r>
            <w:rPr>
              <w:color w:val="auto"/>
              <w:highlight w:val="none"/>
            </w:rPr>
            <w:fldChar w:fldCharType="separate"/>
          </w:r>
          <w:r>
            <w:rPr>
              <w:rFonts w:hint="eastAsia" w:ascii="仿宋" w:hAnsi="仿宋" w:eastAsia="仿宋" w:cs="仿宋"/>
              <w:color w:val="auto"/>
              <w:sz w:val="24"/>
              <w:szCs w:val="24"/>
              <w:highlight w:val="none"/>
            </w:rPr>
            <w:t>第五章 资格性审查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p>
        <w:p>
          <w:pPr>
            <w:pStyle w:val="25"/>
            <w:shd w:val="clear"/>
            <w:tabs>
              <w:tab w:val="right" w:leader="dot" w:pos="8788"/>
            </w:tabs>
            <w:spacing w:line="480" w:lineRule="auto"/>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"_Toc25998" </w:instrText>
          </w:r>
          <w:r>
            <w:rPr>
              <w:color w:val="auto"/>
              <w:highlight w:val="none"/>
            </w:rPr>
            <w:fldChar w:fldCharType="separate"/>
          </w:r>
          <w:r>
            <w:rPr>
              <w:rFonts w:hint="eastAsia" w:ascii="仿宋" w:hAnsi="仿宋" w:eastAsia="仿宋" w:cs="仿宋"/>
              <w:color w:val="auto"/>
              <w:sz w:val="24"/>
              <w:szCs w:val="24"/>
              <w:highlight w:val="none"/>
            </w:rPr>
            <w:t>第六章 招标项目技术、服务及其他要求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7</w:t>
          </w:r>
        </w:p>
        <w:p>
          <w:pPr>
            <w:pStyle w:val="25"/>
            <w:shd w:val="clear"/>
            <w:tabs>
              <w:tab w:val="right" w:leader="dot" w:pos="8788"/>
            </w:tabs>
            <w:spacing w:line="480" w:lineRule="auto"/>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"_Toc28026" </w:instrText>
          </w:r>
          <w:r>
            <w:rPr>
              <w:color w:val="auto"/>
              <w:highlight w:val="none"/>
            </w:rPr>
            <w:fldChar w:fldCharType="separate"/>
          </w:r>
          <w:r>
            <w:rPr>
              <w:rFonts w:hint="eastAsia" w:ascii="仿宋" w:hAnsi="仿宋" w:eastAsia="仿宋" w:cs="仿宋"/>
              <w:color w:val="auto"/>
              <w:sz w:val="24"/>
              <w:szCs w:val="24"/>
              <w:highlight w:val="none"/>
            </w:rPr>
            <w:t>第七章 评标办法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8</w:t>
          </w:r>
        </w:p>
        <w:p>
          <w:pPr>
            <w:pStyle w:val="25"/>
            <w:shd w:val="clear"/>
            <w:tabs>
              <w:tab w:val="right" w:leader="dot" w:pos="8788"/>
            </w:tabs>
            <w:spacing w:line="480" w:lineRule="auto"/>
            <w:rPr>
              <w:rFonts w:hint="default"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"_Toc19504" </w:instrText>
          </w:r>
          <w:r>
            <w:rPr>
              <w:color w:val="auto"/>
              <w:highlight w:val="none"/>
            </w:rPr>
            <w:fldChar w:fldCharType="separate"/>
          </w:r>
          <w:r>
            <w:rPr>
              <w:rFonts w:hint="eastAsia" w:ascii="仿宋" w:hAnsi="仿宋" w:eastAsia="仿宋" w:cs="仿宋"/>
              <w:color w:val="auto"/>
              <w:sz w:val="24"/>
              <w:szCs w:val="24"/>
              <w:highlight w:val="none"/>
            </w:rPr>
            <w:t>第八章 政府采购合同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00</w:t>
          </w:r>
        </w:p>
        <w:p>
          <w:pPr>
            <w:shd w:val="clear"/>
            <w:spacing w:line="480" w:lineRule="auto"/>
            <w:jc w:val="distribut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sdtContent>
    </w:sdt>
    <w:p>
      <w:pPr>
        <w:pStyle w:val="3"/>
        <w:shd w:val="clear"/>
        <w:spacing w:before="0" w:after="0" w:line="360" w:lineRule="auto"/>
        <w:ind w:firstLine="482" w:firstLineChars="200"/>
        <w:jc w:val="distribute"/>
        <w:rPr>
          <w:rFonts w:ascii="仿宋" w:hAnsi="仿宋" w:eastAsia="仿宋" w:cs="仿宋"/>
          <w:bCs w:val="0"/>
          <w:color w:val="auto"/>
          <w:sz w:val="24"/>
          <w:szCs w:val="24"/>
          <w:highlight w:val="none"/>
        </w:rPr>
      </w:pPr>
      <w:bookmarkStart w:id="2" w:name="_Toc15568"/>
      <w:bookmarkStart w:id="3" w:name="_Toc26242"/>
      <w:bookmarkStart w:id="4" w:name="_Toc15794"/>
    </w:p>
    <w:p>
      <w:pPr>
        <w:pStyle w:val="3"/>
        <w:shd w:val="clear"/>
        <w:spacing w:before="0" w:after="0" w:line="360" w:lineRule="auto"/>
        <w:ind w:firstLine="420" w:firstLineChars="200"/>
        <w:jc w:val="center"/>
        <w:rPr>
          <w:rFonts w:ascii="仿宋" w:hAnsi="仿宋" w:eastAsia="仿宋" w:cs="仿宋"/>
          <w:color w:val="auto"/>
          <w:highlight w:val="none"/>
        </w:rPr>
      </w:pPr>
      <w:r>
        <w:rPr>
          <w:rFonts w:hint="eastAsia" w:ascii="仿宋" w:hAnsi="仿宋" w:eastAsia="仿宋" w:cs="仿宋"/>
          <w:b w:val="0"/>
          <w:bCs w:val="0"/>
          <w:color w:val="auto"/>
          <w:sz w:val="21"/>
          <w:szCs w:val="21"/>
          <w:highlight w:val="none"/>
        </w:rPr>
        <w:br w:type="page"/>
      </w:r>
      <w:bookmarkStart w:id="5" w:name="_Toc23616"/>
      <w:bookmarkStart w:id="6" w:name="_Toc27440"/>
      <w:bookmarkStart w:id="7" w:name="_Toc9731"/>
      <w:bookmarkStart w:id="8" w:name="_Toc213396945"/>
      <w:bookmarkStart w:id="9" w:name="_Toc213396759"/>
      <w:bookmarkStart w:id="10" w:name="_Toc217446031"/>
      <w:bookmarkStart w:id="11" w:name="_Toc213496267"/>
      <w:bookmarkStart w:id="12" w:name="_Toc213397009"/>
      <w:r>
        <w:rPr>
          <w:rFonts w:hint="eastAsia" w:ascii="仿宋" w:hAnsi="仿宋" w:eastAsia="仿宋" w:cs="仿宋"/>
          <w:color w:val="auto"/>
          <w:sz w:val="36"/>
          <w:szCs w:val="36"/>
          <w:highlight w:val="none"/>
        </w:rPr>
        <w:t>第一章 投标邀请</w:t>
      </w:r>
      <w:bookmarkEnd w:id="2"/>
      <w:bookmarkEnd w:id="3"/>
      <w:bookmarkEnd w:id="4"/>
      <w:bookmarkEnd w:id="5"/>
      <w:bookmarkEnd w:id="6"/>
      <w:bookmarkEnd w:id="7"/>
    </w:p>
    <w:p>
      <w:pPr>
        <w:shd w:val="clear"/>
        <w:spacing w:line="360" w:lineRule="auto"/>
        <w:ind w:firstLine="482" w:firstLineChars="200"/>
        <w:rPr>
          <w:rFonts w:ascii="仿宋" w:hAnsi="仿宋" w:eastAsia="仿宋" w:cs="仿宋"/>
          <w:color w:val="auto"/>
          <w:sz w:val="24"/>
          <w:highlight w:val="none"/>
          <w:lang w:val="zh-CN"/>
        </w:rPr>
      </w:pPr>
      <w:r>
        <w:rPr>
          <w:rFonts w:hint="eastAsia" w:ascii="仿宋" w:hAnsi="仿宋" w:eastAsia="仿宋" w:cs="仿宋"/>
          <w:b/>
          <w:bCs/>
          <w:color w:val="auto"/>
          <w:sz w:val="24"/>
          <w:highlight w:val="none"/>
          <w:u w:val="single"/>
        </w:rPr>
        <w:t>成都倍信达工程管理咨询有限公司</w:t>
      </w:r>
      <w:r>
        <w:rPr>
          <w:rFonts w:hint="eastAsia" w:ascii="仿宋" w:hAnsi="仿宋" w:eastAsia="仿宋" w:cs="仿宋"/>
          <w:color w:val="auto"/>
          <w:sz w:val="24"/>
          <w:highlight w:val="none"/>
          <w:lang w:val="zh-CN"/>
        </w:rPr>
        <w:t>受</w:t>
      </w:r>
      <w:r>
        <w:rPr>
          <w:rFonts w:hint="eastAsia" w:ascii="仿宋" w:hAnsi="仿宋" w:eastAsia="仿宋" w:cs="仿宋"/>
          <w:b/>
          <w:bCs/>
          <w:color w:val="auto"/>
          <w:sz w:val="24"/>
          <w:highlight w:val="none"/>
          <w:u w:val="single"/>
        </w:rPr>
        <w:t>崇州市公安局</w:t>
      </w:r>
      <w:r>
        <w:rPr>
          <w:rFonts w:hint="eastAsia" w:ascii="仿宋" w:hAnsi="仿宋" w:eastAsia="仿宋" w:cs="仿宋"/>
          <w:color w:val="auto"/>
          <w:sz w:val="24"/>
          <w:highlight w:val="none"/>
          <w:lang w:val="zh-CN"/>
        </w:rPr>
        <w:t>的委托，拟对</w:t>
      </w:r>
      <w:r>
        <w:rPr>
          <w:rFonts w:hint="eastAsia" w:ascii="仿宋" w:hAnsi="仿宋" w:eastAsia="仿宋" w:cs="仿宋"/>
          <w:b/>
          <w:bCs/>
          <w:color w:val="auto"/>
          <w:sz w:val="24"/>
          <w:highlight w:val="none"/>
          <w:u w:val="single"/>
        </w:rPr>
        <w:t>崇州市公安局智能交通系统维护维修及网络传输服务采购项目</w:t>
      </w:r>
      <w:r>
        <w:rPr>
          <w:rFonts w:hint="eastAsia" w:ascii="仿宋" w:hAnsi="仿宋" w:eastAsia="仿宋" w:cs="仿宋"/>
          <w:color w:val="auto"/>
          <w:sz w:val="24"/>
          <w:highlight w:val="none"/>
          <w:lang w:val="zh-CN"/>
        </w:rPr>
        <w:t>进行国内公开招标，兹邀请符合本次招标要求的供应商参加投标。</w:t>
      </w:r>
    </w:p>
    <w:p>
      <w:pPr>
        <w:shd w:val="clear"/>
        <w:wordWrap w:val="0"/>
        <w:topLinePunct/>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一、项目编号：</w:t>
      </w:r>
      <w:r>
        <w:rPr>
          <w:rFonts w:hint="eastAsia" w:ascii="仿宋" w:hAnsi="仿宋" w:eastAsia="仿宋" w:cs="仿宋"/>
          <w:bCs/>
          <w:color w:val="auto"/>
          <w:sz w:val="21"/>
          <w:szCs w:val="21"/>
          <w:highlight w:val="none"/>
        </w:rPr>
        <w:t>（以政府采购云平台生成的为准）</w:t>
      </w:r>
    </w:p>
    <w:p>
      <w:pPr>
        <w:numPr>
          <w:ilvl w:val="0"/>
          <w:numId w:val="2"/>
        </w:numPr>
        <w:shd w:val="clear"/>
        <w:spacing w:line="360" w:lineRule="auto"/>
        <w:ind w:left="1450" w:leftChars="143" w:hanging="964" w:hangingChars="400"/>
        <w:rPr>
          <w:rFonts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崇州市公安局智能交通系统维护维修及网络传输服务采购项目</w:t>
      </w:r>
    </w:p>
    <w:p>
      <w:pPr>
        <w:numPr>
          <w:ilvl w:val="0"/>
          <w:numId w:val="2"/>
        </w:numPr>
        <w:shd w:val="clear"/>
        <w:wordWrap w:val="0"/>
        <w:topLinePunct/>
        <w:spacing w:line="360" w:lineRule="auto"/>
        <w:ind w:left="10" w:right="51" w:rightChars="15" w:firstLine="477" w:firstLineChars="198"/>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资金来源：</w:t>
      </w:r>
      <w:r>
        <w:rPr>
          <w:rFonts w:hint="eastAsia" w:ascii="仿宋" w:hAnsi="仿宋" w:eastAsia="仿宋" w:cs="仿宋"/>
          <w:color w:val="auto"/>
          <w:sz w:val="24"/>
          <w:highlight w:val="none"/>
        </w:rPr>
        <w:t>财政资金，已落实。采购预算2752800元/年；备案号：(2021)0765号。</w:t>
      </w:r>
    </w:p>
    <w:p>
      <w:pPr>
        <w:shd w:val="clear"/>
        <w:spacing w:line="360" w:lineRule="auto"/>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t>四</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招标项目简介：</w:t>
      </w:r>
      <w:r>
        <w:rPr>
          <w:rFonts w:hint="eastAsia" w:ascii="仿宋" w:hAnsi="仿宋" w:eastAsia="仿宋" w:cs="仿宋"/>
          <w:bCs/>
          <w:color w:val="auto"/>
          <w:sz w:val="24"/>
          <w:highlight w:val="none"/>
        </w:rPr>
        <w:t>崇州市公安局拟采用公开招标方式选择一家供应商提供智能交通系统维护维修及网络传输服务，共1个包</w:t>
      </w:r>
      <w:r>
        <w:rPr>
          <w:rFonts w:hint="eastAsia" w:ascii="仿宋" w:hAnsi="仿宋" w:eastAsia="仿宋" w:cs="仿宋"/>
          <w:color w:val="auto"/>
          <w:sz w:val="24"/>
          <w:highlight w:val="none"/>
        </w:rPr>
        <w:t>。</w:t>
      </w:r>
    </w:p>
    <w:p>
      <w:pPr>
        <w:shd w:val="clear"/>
        <w:wordWrap w:val="0"/>
        <w:topLinePunct/>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五、供应商参加本次政府采购活动应具备下列条件：</w:t>
      </w:r>
    </w:p>
    <w:p>
      <w:pPr>
        <w:shd w:val="clear"/>
        <w:spacing w:line="360" w:lineRule="auto"/>
        <w:ind w:firstLine="679" w:firstLineChars="283"/>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1.具有独立承担民事责任的能力；</w:t>
      </w:r>
    </w:p>
    <w:p>
      <w:pPr>
        <w:shd w:val="clear"/>
        <w:spacing w:line="360" w:lineRule="auto"/>
        <w:ind w:firstLine="679" w:firstLineChars="283"/>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2.具有良好的商业信誉和健全的财务会计制度；</w:t>
      </w:r>
    </w:p>
    <w:p>
      <w:pPr>
        <w:shd w:val="clear"/>
        <w:spacing w:line="360" w:lineRule="auto"/>
        <w:ind w:firstLine="679" w:firstLineChars="283"/>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3.具有履行合同所必需的设备和专业技术能力；</w:t>
      </w:r>
    </w:p>
    <w:p>
      <w:pPr>
        <w:shd w:val="clear"/>
        <w:spacing w:line="360" w:lineRule="auto"/>
        <w:ind w:firstLine="679" w:firstLineChars="283"/>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4.有依法缴纳税收和社会保障资金的良好记录；</w:t>
      </w:r>
    </w:p>
    <w:p>
      <w:pPr>
        <w:shd w:val="clear"/>
        <w:spacing w:line="360" w:lineRule="auto"/>
        <w:ind w:firstLine="679" w:firstLineChars="283"/>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5.参加政府采购活动前三年内，在经营活动中没有重大违法记录；</w:t>
      </w:r>
    </w:p>
    <w:p>
      <w:pPr>
        <w:shd w:val="clear"/>
        <w:spacing w:line="360" w:lineRule="auto"/>
        <w:ind w:firstLine="679" w:firstLineChars="283"/>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6.法律、行政法规规定的其他条件；</w:t>
      </w:r>
    </w:p>
    <w:p>
      <w:pPr>
        <w:shd w:val="clear"/>
        <w:spacing w:line="360" w:lineRule="auto"/>
        <w:ind w:firstLine="679" w:firstLineChars="283"/>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7.本项目不接受联合体投标。</w:t>
      </w:r>
    </w:p>
    <w:p>
      <w:pPr>
        <w:pStyle w:val="15"/>
        <w:shd w:val="clear"/>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六、严禁参加本次采购活动的供应商：</w:t>
      </w:r>
    </w:p>
    <w:p>
      <w:pPr>
        <w:pStyle w:val="15"/>
        <w:shd w:val="clear"/>
        <w:spacing w:after="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根据《关于在政府采购活动中查询及使用信用记录有关问题的通知》（财库〔2016〕125 号）的要求，采购人/采购代理机构将通过“信用中国”网站</w:t>
      </w:r>
    </w:p>
    <w:p>
      <w:pPr>
        <w:pStyle w:val="15"/>
        <w:shd w:val="clear"/>
        <w:spacing w:after="0" w:line="360" w:lineRule="auto"/>
        <w:ind w:firstLine="480" w:firstLineChars="200"/>
        <w:rPr>
          <w:rFonts w:ascii="仿宋" w:hAnsi="仿宋" w:eastAsia="仿宋" w:cs="仿宋"/>
          <w:b/>
          <w:bCs/>
          <w:color w:val="auto"/>
          <w:highlight w:val="none"/>
        </w:rPr>
      </w:pP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仿宋" w:hAnsi="仿宋" w:eastAsia="仿宋" w:cs="仿宋"/>
          <w:color w:val="auto"/>
          <w:highlight w:val="none"/>
        </w:rPr>
        <w:t>（www.creditchina.gov.cn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）、“中国政府采购网”网站（</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仿宋" w:hAnsi="仿宋" w:eastAsia="仿宋" w:cs="仿宋"/>
          <w:color w:val="auto"/>
          <w:highlight w:val="none"/>
        </w:rPr>
        <w:t>www.ccgp.gov.cn</w:t>
      </w:r>
      <w:r>
        <w:rPr>
          <w:rFonts w:ascii="仿宋" w:hAnsi="仿宋" w:eastAsia="仿宋" w:cs="仿宋"/>
          <w:color w:val="auto"/>
          <w:highlight w:val="none"/>
        </w:rPr>
        <w:fldChar w:fldCharType="end"/>
      </w:r>
      <w:r>
        <w:rPr>
          <w:rFonts w:hint="eastAsia" w:ascii="仿宋" w:hAnsi="仿宋" w:eastAsia="仿宋" w:cs="仿宋"/>
          <w:color w:val="auto"/>
          <w:highlight w:val="none"/>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hd w:val="clear"/>
        <w:wordWrap w:val="0"/>
        <w:topLinePunct/>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七、</w:t>
      </w:r>
      <w:r>
        <w:rPr>
          <w:rFonts w:hint="eastAsia" w:ascii="仿宋" w:hAnsi="仿宋" w:eastAsia="仿宋" w:cs="仿宋"/>
          <w:b/>
          <w:color w:val="auto"/>
          <w:sz w:val="24"/>
          <w:highlight w:val="none"/>
        </w:rPr>
        <w:t>获取招标文件的时间期限、地点、方式及招标文件售价：</w:t>
      </w:r>
    </w:p>
    <w:p>
      <w:pPr>
        <w:shd w:val="clear"/>
        <w:spacing w:after="50"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招标文件获取期限(报名时间)：自2021年11月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日至2021年11月</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日。</w:t>
      </w:r>
    </w:p>
    <w:p>
      <w:pPr>
        <w:shd w:val="clear"/>
        <w:spacing w:after="50"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招标文件的获取地点：政府采购云平台（网址：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7"/>
          <w:rFonts w:hint="eastAsia" w:ascii="仿宋" w:hAnsi="仿宋" w:eastAsia="仿宋" w:cs="仿宋"/>
          <w:color w:val="auto"/>
          <w:sz w:val="24"/>
          <w:highlight w:val="none"/>
        </w:rPr>
        <w:t>https://www.zcygov.cn）。</w:t>
      </w:r>
      <w:r>
        <w:rPr>
          <w:rStyle w:val="47"/>
          <w:rFonts w:ascii="仿宋" w:hAnsi="仿宋" w:eastAsia="仿宋" w:cs="仿宋"/>
          <w:color w:val="auto"/>
          <w:sz w:val="24"/>
          <w:highlight w:val="none"/>
        </w:rPr>
        <w:fldChar w:fldCharType="end"/>
      </w:r>
    </w:p>
    <w:p>
      <w:pPr>
        <w:shd w:val="clear"/>
        <w:spacing w:after="50"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招标文件的获取方式</w:t>
      </w:r>
    </w:p>
    <w:p>
      <w:pPr>
        <w:shd w:val="clear"/>
        <w:spacing w:after="50"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招标文件获取方式：投标人从“政府采购云平台”获取采购文件（网址：https://www.zcygov.cn）。登录政府采购云平台—项目采购—获取采购文件—申请获取采购文件。</w:t>
      </w:r>
    </w:p>
    <w:p>
      <w:pPr>
        <w:shd w:val="clear"/>
        <w:spacing w:after="50"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本项目招标文件售价人民币0元/份（招标文件免费获取）。</w:t>
      </w:r>
    </w:p>
    <w:p>
      <w:pPr>
        <w:shd w:val="clear"/>
        <w:spacing w:after="50"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注意事项：</w:t>
      </w:r>
    </w:p>
    <w:p>
      <w:pPr>
        <w:shd w:val="clear"/>
        <w:spacing w:after="50"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（1）投标人只有在“政府采购云平台”完成获取招标文件申请并下载招标文件后才视作依法参与本项目。如未在“政府采购云平台”内完成相关流程，引起的投标无效责任自负。</w:t>
      </w:r>
    </w:p>
    <w:p>
      <w:pPr>
        <w:shd w:val="clear"/>
        <w:spacing w:after="50"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项目为电子招标投标项目，投标人参与本项目全过程中凡涉及系统操作请详见《供应商政府采购项目电子交易操作指南》。（操作指南以政府采购云平台网站发布为准，操作指南请登录政府采购云平台后，点击“前台大厅—操作指南—供应商”处下载查看）。</w:t>
      </w:r>
    </w:p>
    <w:p>
      <w:pPr>
        <w:shd w:val="clear"/>
        <w:wordWrap w:val="0"/>
        <w:topLinePunct/>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（3）投标资格不能转让。</w:t>
      </w:r>
    </w:p>
    <w:p>
      <w:pPr>
        <w:shd w:val="clear"/>
        <w:spacing w:after="50" w:line="420" w:lineRule="exact"/>
        <w:ind w:firstLine="472" w:firstLineChars="196"/>
        <w:rPr>
          <w:rFonts w:ascii="仿宋" w:hAnsi="仿宋" w:eastAsia="仿宋" w:cs="仿宋"/>
          <w:b/>
          <w:color w:val="auto"/>
          <w:sz w:val="24"/>
          <w:highlight w:val="none"/>
        </w:rPr>
      </w:pPr>
      <w:r>
        <w:rPr>
          <w:rFonts w:hint="eastAsia" w:ascii="仿宋" w:hAnsi="仿宋" w:eastAsia="仿宋" w:cs="仿宋"/>
          <w:b/>
          <w:color w:val="auto"/>
          <w:sz w:val="24"/>
          <w:szCs w:val="28"/>
          <w:highlight w:val="none"/>
        </w:rPr>
        <w:t>八、</w:t>
      </w:r>
      <w:r>
        <w:rPr>
          <w:rFonts w:hint="eastAsia" w:ascii="仿宋" w:hAnsi="仿宋" w:eastAsia="仿宋" w:cs="仿宋"/>
          <w:b/>
          <w:color w:val="auto"/>
          <w:sz w:val="24"/>
          <w:highlight w:val="none"/>
        </w:rPr>
        <w:t>投标截止时间和开标时间：2021年1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日09时30分 </w:t>
      </w:r>
      <w:r>
        <w:rPr>
          <w:rFonts w:hint="eastAsia" w:ascii="仿宋" w:hAnsi="仿宋" w:eastAsia="仿宋" w:cs="仿宋"/>
          <w:color w:val="auto"/>
          <w:sz w:val="24"/>
          <w:szCs w:val="28"/>
          <w:highlight w:val="none"/>
        </w:rPr>
        <w:t>（北京时间）</w:t>
      </w:r>
      <w:r>
        <w:rPr>
          <w:rFonts w:hint="eastAsia" w:ascii="仿宋" w:hAnsi="仿宋" w:eastAsia="仿宋" w:cs="仿宋"/>
          <w:b/>
          <w:color w:val="auto"/>
          <w:sz w:val="24"/>
          <w:highlight w:val="none"/>
        </w:rPr>
        <w:t>。</w:t>
      </w:r>
    </w:p>
    <w:p>
      <w:pPr>
        <w:pStyle w:val="16"/>
        <w:shd w:val="clear"/>
        <w:wordWrap w:val="0"/>
        <w:topLinePunct/>
        <w:spacing w:line="360" w:lineRule="auto"/>
        <w:ind w:firstLine="48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投标截止时间前，投标人应将加密的电子投标文件递交至“政府采购云平台”对应项目（包件）。本次招标不接受其他方式的投标文件。</w:t>
      </w:r>
    </w:p>
    <w:p>
      <w:pPr>
        <w:shd w:val="clear"/>
        <w:spacing w:after="50" w:line="400" w:lineRule="exact"/>
        <w:ind w:firstLine="489" w:firstLineChars="203"/>
        <w:rPr>
          <w:rFonts w:ascii="仿宋" w:hAnsi="仿宋" w:eastAsia="仿宋" w:cs="仿宋"/>
          <w:b/>
          <w:color w:val="auto"/>
          <w:sz w:val="24"/>
          <w:highlight w:val="none"/>
        </w:rPr>
      </w:pPr>
      <w:r>
        <w:rPr>
          <w:rFonts w:hint="eastAsia" w:ascii="仿宋" w:hAnsi="仿宋" w:eastAsia="仿宋" w:cs="仿宋"/>
          <w:b/>
          <w:color w:val="auto"/>
          <w:sz w:val="24"/>
          <w:highlight w:val="none"/>
        </w:rPr>
        <w:t>九、开标地点：</w:t>
      </w:r>
    </w:p>
    <w:p>
      <w:pPr>
        <w:shd w:val="clear"/>
        <w:spacing w:after="50" w:line="400" w:lineRule="exact"/>
        <w:ind w:firstLine="487" w:firstLineChars="203"/>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1</w:t>
      </w:r>
      <w:r>
        <w:rPr>
          <w:rFonts w:hint="eastAsia" w:ascii="仿宋" w:hAnsi="仿宋" w:eastAsia="仿宋" w:cs="仿宋"/>
          <w:bCs/>
          <w:color w:val="auto"/>
          <w:sz w:val="24"/>
          <w:szCs w:val="28"/>
          <w:highlight w:val="none"/>
          <w:lang w:eastAsia="zh-CN"/>
        </w:rPr>
        <w:t>.</w:t>
      </w:r>
      <w:r>
        <w:rPr>
          <w:rFonts w:hint="eastAsia" w:ascii="仿宋" w:hAnsi="仿宋" w:eastAsia="仿宋" w:cs="仿宋"/>
          <w:bCs/>
          <w:color w:val="auto"/>
          <w:sz w:val="24"/>
          <w:szCs w:val="28"/>
          <w:highlight w:val="none"/>
        </w:rPr>
        <w:t>本项目为不见面开标项目。</w:t>
      </w:r>
    </w:p>
    <w:p>
      <w:pPr>
        <w:shd w:val="clear"/>
        <w:spacing w:after="50" w:line="400" w:lineRule="exact"/>
        <w:ind w:firstLine="487" w:firstLineChars="203"/>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2</w:t>
      </w:r>
      <w:r>
        <w:rPr>
          <w:rFonts w:hint="eastAsia" w:ascii="仿宋" w:hAnsi="仿宋" w:eastAsia="仿宋" w:cs="仿宋"/>
          <w:bCs/>
          <w:color w:val="auto"/>
          <w:sz w:val="24"/>
          <w:szCs w:val="28"/>
          <w:highlight w:val="none"/>
          <w:lang w:eastAsia="zh-CN"/>
        </w:rPr>
        <w:t>.</w:t>
      </w:r>
      <w:r>
        <w:rPr>
          <w:rFonts w:hint="eastAsia" w:ascii="仿宋" w:hAnsi="仿宋" w:eastAsia="仿宋" w:cs="仿宋"/>
          <w:bCs/>
          <w:color w:val="auto"/>
          <w:sz w:val="24"/>
          <w:szCs w:val="28"/>
          <w:highlight w:val="none"/>
        </w:rPr>
        <w:t>开标地点：政府采购云平台(https://www.zcygov.cn)。</w:t>
      </w:r>
    </w:p>
    <w:p>
      <w:pPr>
        <w:shd w:val="clear"/>
        <w:spacing w:after="50" w:line="400" w:lineRule="exact"/>
        <w:ind w:firstLine="487" w:firstLineChars="203"/>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3</w:t>
      </w:r>
      <w:r>
        <w:rPr>
          <w:rFonts w:hint="eastAsia" w:ascii="仿宋" w:hAnsi="仿宋" w:eastAsia="仿宋" w:cs="仿宋"/>
          <w:bCs/>
          <w:color w:val="auto"/>
          <w:sz w:val="24"/>
          <w:szCs w:val="28"/>
          <w:highlight w:val="none"/>
          <w:lang w:eastAsia="zh-CN"/>
        </w:rPr>
        <w:t>.</w:t>
      </w:r>
      <w:r>
        <w:rPr>
          <w:rFonts w:hint="eastAsia" w:ascii="仿宋" w:hAnsi="仿宋" w:eastAsia="仿宋" w:cs="仿宋"/>
          <w:bCs/>
          <w:color w:val="auto"/>
          <w:sz w:val="24"/>
          <w:szCs w:val="28"/>
          <w:highlight w:val="none"/>
        </w:rPr>
        <w:t>本项目只接受投标人加密并递交至“政府采购云平台”的投标文件。</w:t>
      </w:r>
    </w:p>
    <w:p>
      <w:pPr>
        <w:shd w:val="clear"/>
        <w:wordWrap w:val="0"/>
        <w:topLinePunct/>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bCs/>
          <w:color w:val="auto"/>
          <w:sz w:val="24"/>
          <w:szCs w:val="28"/>
          <w:highlight w:val="none"/>
        </w:rPr>
        <w:t>4</w:t>
      </w:r>
      <w:r>
        <w:rPr>
          <w:rFonts w:hint="eastAsia" w:ascii="仿宋" w:hAnsi="仿宋" w:eastAsia="仿宋" w:cs="仿宋"/>
          <w:bCs/>
          <w:color w:val="auto"/>
          <w:sz w:val="24"/>
          <w:szCs w:val="28"/>
          <w:highlight w:val="none"/>
          <w:lang w:eastAsia="zh-CN"/>
        </w:rPr>
        <w:t>.</w:t>
      </w:r>
      <w:r>
        <w:rPr>
          <w:rFonts w:hint="eastAsia" w:ascii="仿宋" w:hAnsi="仿宋" w:eastAsia="仿宋" w:cs="仿宋"/>
          <w:bCs/>
          <w:color w:val="auto"/>
          <w:sz w:val="24"/>
          <w:szCs w:val="28"/>
          <w:highlight w:val="none"/>
        </w:rPr>
        <w:t>投标人在政府采购云平台上传投标文件，系统提示投标文件上传成功后，须在投标截止时间前对上传的投标文件下载核对，投标人应对投标文件是否能解密、文件是否能打开、每页是否都有电子签章等进行核对。</w:t>
      </w:r>
    </w:p>
    <w:p>
      <w:pPr>
        <w:pStyle w:val="66"/>
        <w:shd w:val="clear"/>
        <w:wordWrap w:val="0"/>
        <w:topLinePunct/>
        <w:ind w:firstLine="482"/>
        <w:rPr>
          <w:rFonts w:ascii="仿宋" w:hAnsi="仿宋" w:eastAsia="仿宋" w:cs="仿宋"/>
          <w:color w:val="auto"/>
          <w:sz w:val="24"/>
          <w:highlight w:val="none"/>
        </w:rPr>
      </w:pPr>
      <w:r>
        <w:rPr>
          <w:rFonts w:hint="eastAsia" w:ascii="仿宋" w:hAnsi="仿宋" w:eastAsia="仿宋" w:cs="仿宋"/>
          <w:b/>
          <w:color w:val="auto"/>
          <w:sz w:val="24"/>
          <w:highlight w:val="none"/>
        </w:rPr>
        <w:t>十、采购信息发布媒体：</w:t>
      </w:r>
      <w:r>
        <w:rPr>
          <w:rFonts w:hint="eastAsia" w:ascii="仿宋" w:hAnsi="仿宋" w:eastAsia="仿宋" w:cs="仿宋"/>
          <w:color w:val="auto"/>
          <w:sz w:val="24"/>
          <w:highlight w:val="none"/>
        </w:rPr>
        <w:t>本投标邀请在四川政府采购网（http://www.ccgp-sichuan.gov.cn）上以公告形式发布，公告期限为发布之日起5个工作日。</w:t>
      </w:r>
    </w:p>
    <w:p>
      <w:pPr>
        <w:shd w:val="clear"/>
        <w:tabs>
          <w:tab w:val="left" w:pos="2310"/>
        </w:tabs>
        <w:spacing w:line="360" w:lineRule="auto"/>
        <w:ind w:right="680" w:rightChars="200" w:firstLine="482" w:firstLineChars="200"/>
        <w:rPr>
          <w:rFonts w:ascii="仿宋" w:hAnsi="仿宋" w:eastAsia="仿宋" w:cs="仿宋"/>
          <w:b/>
          <w:bCs/>
          <w:color w:val="auto"/>
          <w:kern w:val="2"/>
          <w:sz w:val="24"/>
          <w:szCs w:val="24"/>
          <w:highlight w:val="none"/>
          <w:lang w:val="zh-CN"/>
        </w:rPr>
      </w:pPr>
      <w:bookmarkStart w:id="13" w:name="OLE_LINK20"/>
      <w:r>
        <w:rPr>
          <w:rFonts w:hint="eastAsia" w:ascii="仿宋" w:hAnsi="仿宋" w:eastAsia="仿宋" w:cs="仿宋"/>
          <w:b/>
          <w:bCs/>
          <w:color w:val="auto"/>
          <w:kern w:val="2"/>
          <w:sz w:val="24"/>
          <w:szCs w:val="24"/>
          <w:highlight w:val="none"/>
          <w:lang w:val="zh-CN"/>
        </w:rPr>
        <w:t>十一、联系方式：</w:t>
      </w:r>
    </w:p>
    <w:p>
      <w:pPr>
        <w:shd w:val="clear"/>
        <w:tabs>
          <w:tab w:val="left" w:pos="2310"/>
        </w:tabs>
        <w:spacing w:line="360" w:lineRule="auto"/>
        <w:ind w:right="680" w:rightChars="200" w:firstLine="482" w:firstLineChars="200"/>
        <w:rPr>
          <w:rFonts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zh-CN"/>
        </w:rPr>
        <w:t>采 购 人：</w:t>
      </w:r>
      <w:bookmarkEnd w:id="13"/>
      <w:r>
        <w:rPr>
          <w:rFonts w:hint="eastAsia" w:ascii="仿宋" w:hAnsi="仿宋" w:eastAsia="仿宋" w:cs="仿宋"/>
          <w:b/>
          <w:bCs/>
          <w:color w:val="auto"/>
          <w:kern w:val="2"/>
          <w:sz w:val="24"/>
          <w:szCs w:val="24"/>
          <w:highlight w:val="none"/>
          <w:lang w:val="zh-CN"/>
        </w:rPr>
        <w:t>崇州市公安局</w:t>
      </w:r>
    </w:p>
    <w:p>
      <w:pPr>
        <w:shd w:val="clear"/>
        <w:tabs>
          <w:tab w:val="left" w:pos="2310"/>
        </w:tabs>
        <w:spacing w:line="360" w:lineRule="auto"/>
        <w:ind w:right="680" w:rightChars="2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址：崇州市西河大道东段28号</w:t>
      </w:r>
    </w:p>
    <w:p>
      <w:pPr>
        <w:shd w:val="clear"/>
        <w:tabs>
          <w:tab w:val="left" w:pos="2310"/>
        </w:tabs>
        <w:spacing w:line="360" w:lineRule="auto"/>
        <w:ind w:right="680" w:rightChars="2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人：李先生</w:t>
      </w:r>
    </w:p>
    <w:p>
      <w:pPr>
        <w:shd w:val="clear"/>
        <w:tabs>
          <w:tab w:val="left" w:pos="2310"/>
        </w:tabs>
        <w:spacing w:line="360" w:lineRule="auto"/>
        <w:ind w:right="680" w:rightChars="2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联系电话：028-82275523</w:t>
      </w:r>
    </w:p>
    <w:p>
      <w:pPr>
        <w:pStyle w:val="66"/>
        <w:shd w:val="clear"/>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采购代理机构：</w:t>
      </w:r>
      <w:r>
        <w:rPr>
          <w:rFonts w:hint="eastAsia" w:ascii="仿宋" w:hAnsi="仿宋" w:eastAsia="仿宋" w:cs="仿宋"/>
          <w:b/>
          <w:bCs/>
          <w:color w:val="auto"/>
          <w:sz w:val="24"/>
          <w:highlight w:val="none"/>
          <w:lang w:val="zh-CN"/>
        </w:rPr>
        <w:t>成都倍信达工程管理咨询有限公司</w:t>
      </w:r>
    </w:p>
    <w:p>
      <w:pPr>
        <w:pStyle w:val="66"/>
        <w:shd w:val="clear"/>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zh-CN"/>
        </w:rPr>
        <w:t>成都市崇州市世纪大道1607号三楼308室</w:t>
      </w:r>
    </w:p>
    <w:p>
      <w:pPr>
        <w:pStyle w:val="66"/>
        <w:shd w:val="clear"/>
        <w:ind w:firstLine="480"/>
        <w:rPr>
          <w:rFonts w:ascii="仿宋" w:hAnsi="仿宋" w:eastAsia="仿宋" w:cs="仿宋"/>
          <w:color w:val="auto"/>
          <w:sz w:val="24"/>
          <w:highlight w:val="none"/>
        </w:rPr>
      </w:pPr>
      <w:r>
        <w:rPr>
          <w:rFonts w:hint="eastAsia" w:ascii="仿宋" w:hAnsi="仿宋" w:eastAsia="仿宋" w:cs="仿宋"/>
          <w:color w:val="auto"/>
          <w:sz w:val="24"/>
          <w:highlight w:val="none"/>
        </w:rPr>
        <w:t>联 系 人：李女士</w:t>
      </w:r>
    </w:p>
    <w:p>
      <w:pPr>
        <w:pStyle w:val="66"/>
        <w:shd w:val="clear"/>
        <w:ind w:firstLine="480"/>
        <w:rPr>
          <w:rFonts w:ascii="仿宋" w:hAnsi="仿宋" w:eastAsia="仿宋" w:cs="仿宋"/>
          <w:b/>
          <w:color w:val="auto"/>
          <w:sz w:val="36"/>
          <w:highlight w:val="none"/>
        </w:rPr>
      </w:pPr>
      <w:r>
        <w:rPr>
          <w:rFonts w:hint="eastAsia" w:ascii="仿宋" w:hAnsi="仿宋" w:eastAsia="仿宋" w:cs="仿宋"/>
          <w:color w:val="auto"/>
          <w:sz w:val="24"/>
          <w:highlight w:val="none"/>
        </w:rPr>
        <w:t>联系电话：028-82235987</w:t>
      </w:r>
    </w:p>
    <w:p>
      <w:pPr>
        <w:shd w:val="clear"/>
        <w:spacing w:after="120" w:afterLines="50" w:line="360" w:lineRule="auto"/>
        <w:jc w:val="center"/>
        <w:outlineLvl w:val="0"/>
        <w:rPr>
          <w:rFonts w:ascii="仿宋" w:hAnsi="仿宋" w:eastAsia="仿宋" w:cs="仿宋"/>
          <w:b/>
          <w:color w:val="auto"/>
          <w:sz w:val="36"/>
          <w:highlight w:val="none"/>
        </w:rPr>
      </w:pPr>
    </w:p>
    <w:p>
      <w:pPr>
        <w:shd w:val="clear"/>
        <w:spacing w:after="120" w:afterLines="50" w:line="360" w:lineRule="auto"/>
        <w:jc w:val="right"/>
        <w:outlineLvl w:val="0"/>
        <w:rPr>
          <w:rFonts w:ascii="仿宋" w:hAnsi="仿宋" w:eastAsia="仿宋" w:cs="仿宋"/>
          <w:bCs/>
          <w:color w:val="auto"/>
          <w:sz w:val="24"/>
          <w:szCs w:val="24"/>
          <w:highlight w:val="none"/>
        </w:rPr>
      </w:pPr>
    </w:p>
    <w:p>
      <w:pPr>
        <w:shd w:val="clear"/>
        <w:spacing w:after="120" w:afterLines="50" w:line="360" w:lineRule="auto"/>
        <w:jc w:val="center"/>
        <w:outlineLvl w:val="0"/>
        <w:rPr>
          <w:rFonts w:ascii="仿宋" w:hAnsi="仿宋" w:eastAsia="仿宋" w:cs="仿宋"/>
          <w:b/>
          <w:color w:val="auto"/>
          <w:sz w:val="36"/>
          <w:highlight w:val="none"/>
        </w:rPr>
      </w:pPr>
      <w:r>
        <w:rPr>
          <w:rFonts w:hint="eastAsia" w:ascii="仿宋" w:hAnsi="仿宋" w:eastAsia="仿宋" w:cs="仿宋"/>
          <w:bCs/>
          <w:color w:val="auto"/>
          <w:sz w:val="24"/>
          <w:szCs w:val="24"/>
          <w:highlight w:val="none"/>
        </w:rPr>
        <w:br w:type="page"/>
      </w:r>
      <w:bookmarkStart w:id="14" w:name="_Toc29899"/>
      <w:bookmarkStart w:id="15" w:name="_Toc18419"/>
      <w:bookmarkStart w:id="16" w:name="_Toc3856"/>
      <w:bookmarkStart w:id="17" w:name="_Toc25668"/>
      <w:bookmarkStart w:id="18" w:name="_Toc7416"/>
      <w:r>
        <w:rPr>
          <w:rFonts w:hint="eastAsia" w:ascii="仿宋" w:hAnsi="仿宋" w:eastAsia="仿宋" w:cs="仿宋"/>
          <w:b/>
          <w:color w:val="auto"/>
          <w:sz w:val="36"/>
          <w:szCs w:val="36"/>
          <w:highlight w:val="none"/>
        </w:rPr>
        <w:t>第二章 投标人须知</w:t>
      </w:r>
      <w:bookmarkEnd w:id="8"/>
      <w:bookmarkEnd w:id="9"/>
      <w:bookmarkEnd w:id="10"/>
      <w:bookmarkEnd w:id="11"/>
      <w:bookmarkEnd w:id="12"/>
      <w:bookmarkEnd w:id="14"/>
      <w:bookmarkEnd w:id="15"/>
      <w:bookmarkEnd w:id="16"/>
      <w:bookmarkEnd w:id="17"/>
      <w:bookmarkEnd w:id="18"/>
    </w:p>
    <w:p>
      <w:pPr>
        <w:pStyle w:val="4"/>
        <w:shd w:val="clear"/>
        <w:spacing w:before="0" w:after="0" w:line="400" w:lineRule="exact"/>
        <w:jc w:val="center"/>
        <w:rPr>
          <w:rFonts w:ascii="仿宋" w:hAnsi="仿宋" w:eastAsia="仿宋" w:cs="仿宋"/>
          <w:bCs w:val="0"/>
          <w:color w:val="auto"/>
          <w:highlight w:val="none"/>
        </w:rPr>
      </w:pPr>
      <w:bookmarkStart w:id="19" w:name="_Toc213396946"/>
      <w:bookmarkStart w:id="20" w:name="_Toc217446032"/>
      <w:bookmarkStart w:id="21" w:name="_Toc213496268"/>
      <w:bookmarkStart w:id="22" w:name="_Toc16580"/>
      <w:bookmarkStart w:id="23" w:name="_Toc14035"/>
      <w:bookmarkStart w:id="24" w:name="_Toc213397010"/>
      <w:bookmarkStart w:id="25" w:name="_Toc28824"/>
      <w:bookmarkStart w:id="26" w:name="_Toc189727030"/>
      <w:bookmarkStart w:id="27" w:name="_Toc213396760"/>
      <w:bookmarkStart w:id="28" w:name="_Toc327196261"/>
      <w:bookmarkStart w:id="29" w:name="_Toc31215"/>
      <w:r>
        <w:rPr>
          <w:rFonts w:hint="eastAsia" w:ascii="仿宋" w:hAnsi="仿宋" w:eastAsia="仿宋" w:cs="仿宋"/>
          <w:bCs w:val="0"/>
          <w:color w:val="auto"/>
          <w:highlight w:val="none"/>
        </w:rPr>
        <w:t>一、投标人须知附表</w:t>
      </w:r>
      <w:bookmarkEnd w:id="19"/>
      <w:bookmarkEnd w:id="20"/>
      <w:bookmarkEnd w:id="21"/>
      <w:bookmarkEnd w:id="22"/>
      <w:bookmarkEnd w:id="23"/>
      <w:bookmarkEnd w:id="24"/>
      <w:bookmarkEnd w:id="25"/>
      <w:bookmarkEnd w:id="26"/>
      <w:bookmarkEnd w:id="27"/>
      <w:bookmarkEnd w:id="28"/>
      <w:bookmarkEnd w:id="29"/>
    </w:p>
    <w:tbl>
      <w:tblPr>
        <w:tblStyle w:val="38"/>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
        <w:gridCol w:w="159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910" w:type="dxa"/>
            <w:vAlign w:val="center"/>
          </w:tcPr>
          <w:p>
            <w:pPr>
              <w:pStyle w:val="67"/>
              <w:shd w:val="clear"/>
              <w:spacing w:line="320" w:lineRule="exact"/>
              <w:ind w:left="9"/>
              <w:jc w:val="center"/>
              <w:rPr>
                <w:rFonts w:ascii="仿宋" w:hAnsi="仿宋" w:eastAsia="仿宋" w:cs="仿宋"/>
                <w:color w:val="auto"/>
                <w:sz w:val="21"/>
                <w:szCs w:val="21"/>
                <w:highlight w:val="none"/>
                <w:lang w:val="zh-CN"/>
              </w:rPr>
            </w:pPr>
            <w:bookmarkStart w:id="30" w:name="_Toc327196262"/>
            <w:r>
              <w:rPr>
                <w:rFonts w:hint="eastAsia" w:ascii="仿宋" w:hAnsi="仿宋" w:eastAsia="仿宋" w:cs="仿宋"/>
                <w:color w:val="auto"/>
                <w:sz w:val="21"/>
                <w:szCs w:val="21"/>
                <w:highlight w:val="none"/>
                <w:lang w:val="zh-CN"/>
              </w:rPr>
              <w:t>序 号</w:t>
            </w:r>
          </w:p>
        </w:tc>
        <w:tc>
          <w:tcPr>
            <w:tcW w:w="1596" w:type="dxa"/>
            <w:vAlign w:val="center"/>
          </w:tcPr>
          <w:p>
            <w:pPr>
              <w:pStyle w:val="67"/>
              <w:shd w:val="clear"/>
              <w:spacing w:line="320" w:lineRule="exact"/>
              <w:ind w:left="38"/>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条款名称</w:t>
            </w:r>
          </w:p>
        </w:tc>
        <w:tc>
          <w:tcPr>
            <w:tcW w:w="7244" w:type="dxa"/>
            <w:vAlign w:val="center"/>
          </w:tcPr>
          <w:p>
            <w:pPr>
              <w:pStyle w:val="67"/>
              <w:shd w:val="clear"/>
              <w:spacing w:line="320" w:lineRule="exact"/>
              <w:ind w:left="78" w:leftChars="23" w:right="51" w:rightChars="15"/>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910" w:type="dxa"/>
            <w:vAlign w:val="center"/>
          </w:tcPr>
          <w:p>
            <w:pPr>
              <w:pStyle w:val="67"/>
              <w:numPr>
                <w:ilvl w:val="0"/>
                <w:numId w:val="3"/>
              </w:numPr>
              <w:shd w:val="clear"/>
              <w:spacing w:line="320" w:lineRule="exact"/>
              <w:ind w:right="-4"/>
              <w:jc w:val="center"/>
              <w:rPr>
                <w:rFonts w:ascii="仿宋" w:hAnsi="仿宋" w:eastAsia="仿宋" w:cs="仿宋"/>
                <w:color w:val="auto"/>
                <w:sz w:val="21"/>
                <w:szCs w:val="21"/>
                <w:highlight w:val="none"/>
                <w:lang w:val="zh-CN"/>
              </w:rPr>
            </w:pPr>
          </w:p>
        </w:tc>
        <w:tc>
          <w:tcPr>
            <w:tcW w:w="1596" w:type="dxa"/>
            <w:vAlign w:val="center"/>
          </w:tcPr>
          <w:p>
            <w:pPr>
              <w:pStyle w:val="67"/>
              <w:shd w:val="clear"/>
              <w:spacing w:line="320" w:lineRule="exact"/>
              <w:ind w:left="3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采购预算和最高限价</w:t>
            </w:r>
          </w:p>
          <w:p>
            <w:pPr>
              <w:pStyle w:val="67"/>
              <w:shd w:val="clear"/>
              <w:spacing w:line="320" w:lineRule="exact"/>
              <w:ind w:left="38"/>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(实质性要求)</w:t>
            </w:r>
          </w:p>
        </w:tc>
        <w:tc>
          <w:tcPr>
            <w:tcW w:w="7244" w:type="dxa"/>
            <w:vAlign w:val="center"/>
          </w:tcPr>
          <w:p>
            <w:pPr>
              <w:pStyle w:val="67"/>
              <w:numPr>
                <w:ilvl w:val="0"/>
                <w:numId w:val="4"/>
              </w:numPr>
              <w:shd w:val="clear"/>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采购预算：2752800元/年。</w:t>
            </w:r>
          </w:p>
          <w:p>
            <w:pPr>
              <w:pStyle w:val="67"/>
              <w:shd w:val="clear"/>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总价</w:t>
            </w:r>
            <w:r>
              <w:rPr>
                <w:rFonts w:hint="eastAsia" w:ascii="仿宋" w:hAnsi="仿宋" w:eastAsia="仿宋" w:cs="仿宋"/>
                <w:color w:val="auto"/>
                <w:sz w:val="21"/>
                <w:szCs w:val="21"/>
                <w:highlight w:val="none"/>
                <w:lang w:val="zh-CN"/>
              </w:rPr>
              <w:t>最高限价：2752800元/年</w:t>
            </w:r>
            <w:r>
              <w:rPr>
                <w:rFonts w:hint="eastAsia" w:ascii="仿宋" w:hAnsi="仿宋" w:eastAsia="仿宋" w:cs="仿宋"/>
                <w:color w:val="auto"/>
                <w:sz w:val="21"/>
                <w:szCs w:val="21"/>
                <w:highlight w:val="none"/>
              </w:rPr>
              <w:t>。</w:t>
            </w:r>
          </w:p>
          <w:p>
            <w:pPr>
              <w:pStyle w:val="67"/>
              <w:shd w:val="clear"/>
              <w:spacing w:line="320" w:lineRule="exact"/>
              <w:ind w:left="78" w:leftChars="23" w:right="51" w:rightChars="15"/>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本项目采用按综合单价进行下浮比例报价，结算价格=最高限价×（1-下浮比例）</w:t>
            </w:r>
          </w:p>
          <w:p>
            <w:pPr>
              <w:pStyle w:val="67"/>
              <w:shd w:val="clear"/>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注：最后报价超过最高限价的，其响应文件按无效处理。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spacing w:line="320" w:lineRule="exact"/>
              <w:ind w:right="-4"/>
              <w:jc w:val="center"/>
              <w:rPr>
                <w:rFonts w:ascii="仿宋" w:hAnsi="仿宋" w:eastAsia="仿宋" w:cs="仿宋"/>
                <w:color w:val="auto"/>
                <w:sz w:val="21"/>
                <w:szCs w:val="21"/>
                <w:highlight w:val="none"/>
                <w:lang w:val="zh-CN"/>
              </w:rPr>
            </w:pPr>
          </w:p>
        </w:tc>
        <w:tc>
          <w:tcPr>
            <w:tcW w:w="1596" w:type="dxa"/>
            <w:vAlign w:val="center"/>
          </w:tcPr>
          <w:p>
            <w:pPr>
              <w:pStyle w:val="67"/>
              <w:shd w:val="clear"/>
              <w:spacing w:line="320" w:lineRule="exact"/>
              <w:ind w:left="38"/>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采购方式</w:t>
            </w:r>
          </w:p>
        </w:tc>
        <w:tc>
          <w:tcPr>
            <w:tcW w:w="7244" w:type="dxa"/>
            <w:vAlign w:val="center"/>
          </w:tcPr>
          <w:p>
            <w:pPr>
              <w:pStyle w:val="67"/>
              <w:shd w:val="clear"/>
              <w:spacing w:line="320" w:lineRule="exact"/>
              <w:ind w:left="78" w:leftChars="23" w:right="51" w:rightChars="15"/>
              <w:jc w:val="both"/>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10" w:type="dxa"/>
            <w:vAlign w:val="center"/>
          </w:tcPr>
          <w:p>
            <w:pPr>
              <w:pStyle w:val="67"/>
              <w:numPr>
                <w:ilvl w:val="0"/>
                <w:numId w:val="3"/>
              </w:numPr>
              <w:shd w:val="clear"/>
              <w:spacing w:line="320" w:lineRule="exact"/>
              <w:ind w:right="-4"/>
              <w:jc w:val="center"/>
              <w:rPr>
                <w:rFonts w:ascii="仿宋" w:hAnsi="仿宋" w:eastAsia="仿宋" w:cs="仿宋"/>
                <w:color w:val="auto"/>
                <w:sz w:val="21"/>
                <w:szCs w:val="21"/>
                <w:highlight w:val="none"/>
                <w:lang w:val="zh-CN"/>
              </w:rPr>
            </w:pPr>
          </w:p>
        </w:tc>
        <w:tc>
          <w:tcPr>
            <w:tcW w:w="1596" w:type="dxa"/>
            <w:vAlign w:val="center"/>
          </w:tcPr>
          <w:p>
            <w:pPr>
              <w:pStyle w:val="67"/>
              <w:shd w:val="clear"/>
              <w:spacing w:line="320" w:lineRule="exact"/>
              <w:ind w:left="96"/>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评标方法</w:t>
            </w:r>
          </w:p>
        </w:tc>
        <w:tc>
          <w:tcPr>
            <w:tcW w:w="7244" w:type="dxa"/>
            <w:vAlign w:val="center"/>
          </w:tcPr>
          <w:p>
            <w:pPr>
              <w:pStyle w:val="67"/>
              <w:shd w:val="clear"/>
              <w:spacing w:line="320" w:lineRule="exact"/>
              <w:ind w:left="78" w:leftChars="23" w:right="51" w:rightChars="15"/>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10" w:type="dxa"/>
            <w:vAlign w:val="center"/>
          </w:tcPr>
          <w:p>
            <w:pPr>
              <w:pStyle w:val="67"/>
              <w:numPr>
                <w:ilvl w:val="0"/>
                <w:numId w:val="3"/>
              </w:numPr>
              <w:shd w:val="clear"/>
              <w:spacing w:line="320" w:lineRule="exact"/>
              <w:ind w:right="-4"/>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96"/>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服务期限</w:t>
            </w:r>
          </w:p>
        </w:tc>
        <w:tc>
          <w:tcPr>
            <w:tcW w:w="7244" w:type="dxa"/>
            <w:vAlign w:val="center"/>
          </w:tcPr>
          <w:p>
            <w:pPr>
              <w:pStyle w:val="67"/>
              <w:shd w:val="clear"/>
              <w:spacing w:line="320" w:lineRule="exact"/>
              <w:ind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spacing w:line="320" w:lineRule="exact"/>
              <w:ind w:right="-4"/>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96"/>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质量要求、验收标准</w:t>
            </w:r>
          </w:p>
        </w:tc>
        <w:tc>
          <w:tcPr>
            <w:tcW w:w="7244" w:type="dxa"/>
            <w:vAlign w:val="center"/>
          </w:tcPr>
          <w:p>
            <w:pPr>
              <w:pStyle w:val="67"/>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质量要求：达到国家相关标准、行业标准、地方标准或者其他标准、规范要求；</w:t>
            </w:r>
          </w:p>
          <w:p>
            <w:pPr>
              <w:pStyle w:val="67"/>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验收标准：中标人与采购人应严格按照《财政部关于进一步加强政府采购需求和履约验收管理的指导意见》(财库〔2016〕205号)的要求进行验收。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spacing w:line="320" w:lineRule="exact"/>
              <w:ind w:right="-4"/>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96"/>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现场考察、标前答疑会</w:t>
            </w:r>
          </w:p>
        </w:tc>
        <w:tc>
          <w:tcPr>
            <w:tcW w:w="7244" w:type="dxa"/>
            <w:vAlign w:val="center"/>
          </w:tcPr>
          <w:p>
            <w:pPr>
              <w:pStyle w:val="67"/>
              <w:shd w:val="clear"/>
              <w:wordWrap w:val="0"/>
              <w:topLinePunct/>
              <w:spacing w:line="320" w:lineRule="exact"/>
              <w:ind w:right="170" w:rightChars="50"/>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67"/>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2.投标人考察现场所发生的一切费用由投标人自己承担。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spacing w:line="320" w:lineRule="exact"/>
              <w:ind w:right="-4"/>
              <w:jc w:val="center"/>
              <w:rPr>
                <w:rFonts w:ascii="仿宋" w:hAnsi="仿宋" w:eastAsia="仿宋" w:cs="仿宋"/>
                <w:color w:val="auto"/>
                <w:sz w:val="21"/>
                <w:highlight w:val="none"/>
                <w:lang w:val="zh-CN"/>
              </w:rPr>
            </w:pPr>
          </w:p>
        </w:tc>
        <w:tc>
          <w:tcPr>
            <w:tcW w:w="1596" w:type="dxa"/>
            <w:vAlign w:val="center"/>
          </w:tcPr>
          <w:p>
            <w:pPr>
              <w:pStyle w:val="67"/>
              <w:shd w:val="clear"/>
              <w:spacing w:line="320" w:lineRule="exact"/>
              <w:ind w:left="96"/>
              <w:jc w:val="center"/>
              <w:rPr>
                <w:rFonts w:ascii="仿宋" w:hAnsi="仿宋" w:eastAsia="仿宋" w:cs="仿宋"/>
                <w:color w:val="auto"/>
                <w:sz w:val="21"/>
                <w:highlight w:val="none"/>
                <w:lang w:val="zh-CN"/>
              </w:rPr>
            </w:pPr>
            <w:r>
              <w:rPr>
                <w:rFonts w:hint="eastAsia" w:ascii="仿宋" w:hAnsi="仿宋" w:eastAsia="仿宋" w:cs="仿宋"/>
                <w:color w:val="auto"/>
                <w:sz w:val="21"/>
                <w:highlight w:val="none"/>
                <w:lang w:val="zh-CN"/>
              </w:rPr>
              <w:t>投标保证金</w:t>
            </w:r>
            <w:r>
              <w:rPr>
                <w:rFonts w:hint="eastAsia" w:ascii="仿宋" w:hAnsi="仿宋" w:eastAsia="仿宋" w:cs="仿宋"/>
                <w:color w:val="auto"/>
                <w:sz w:val="21"/>
                <w:highlight w:val="none"/>
              </w:rPr>
              <w:t>(实质性要求)</w:t>
            </w:r>
          </w:p>
        </w:tc>
        <w:tc>
          <w:tcPr>
            <w:tcW w:w="7244" w:type="dxa"/>
            <w:vAlign w:val="center"/>
          </w:tcPr>
          <w:p>
            <w:pPr>
              <w:shd w:val="clear"/>
              <w:spacing w:line="320" w:lineRule="exact"/>
              <w:ind w:left="78" w:leftChars="23" w:right="51" w:rightChars="15"/>
              <w:rPr>
                <w:rFonts w:ascii="仿宋" w:hAnsi="仿宋" w:eastAsia="仿宋" w:cs="仿宋"/>
                <w:color w:val="auto"/>
                <w:sz w:val="21"/>
                <w:highlight w:val="none"/>
                <w:lang w:val="zh-CN"/>
              </w:rPr>
            </w:pPr>
            <w:r>
              <w:rPr>
                <w:rFonts w:hint="eastAsia" w:ascii="仿宋" w:hAnsi="仿宋" w:eastAsia="仿宋" w:cs="仿宋"/>
                <w:color w:val="auto"/>
                <w:sz w:val="21"/>
                <w:highlight w:val="none"/>
                <w:lang w:val="zh-CN"/>
              </w:rPr>
              <w:t>根据四川省财政厅关于进一步做好疫情防控期间政府采购工作有关事项的通知（川财采【2020】28号），疫情防控期间不收取投标保证金。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spacing w:line="320" w:lineRule="exact"/>
              <w:ind w:right="-4"/>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96"/>
              <w:jc w:val="center"/>
              <w:rPr>
                <w:rFonts w:ascii="仿宋" w:hAnsi="仿宋" w:eastAsia="仿宋" w:cs="仿宋"/>
                <w:color w:val="auto"/>
                <w:sz w:val="21"/>
                <w:highlight w:val="none"/>
              </w:rPr>
            </w:pPr>
            <w:r>
              <w:rPr>
                <w:rFonts w:hint="eastAsia" w:ascii="仿宋" w:hAnsi="仿宋" w:eastAsia="仿宋" w:cs="仿宋"/>
                <w:color w:val="auto"/>
                <w:sz w:val="21"/>
                <w:highlight w:val="none"/>
              </w:rPr>
              <w:t>履约保证金</w:t>
            </w:r>
          </w:p>
          <w:p>
            <w:pPr>
              <w:pStyle w:val="67"/>
              <w:shd w:val="clear"/>
              <w:spacing w:line="320" w:lineRule="exact"/>
              <w:ind w:left="96"/>
              <w:jc w:val="center"/>
              <w:rPr>
                <w:rFonts w:ascii="仿宋" w:hAnsi="仿宋" w:eastAsia="仿宋" w:cs="仿宋"/>
                <w:color w:val="auto"/>
                <w:sz w:val="21"/>
                <w:highlight w:val="none"/>
              </w:rPr>
            </w:pPr>
            <w:r>
              <w:rPr>
                <w:rFonts w:hint="eastAsia" w:ascii="仿宋" w:hAnsi="仿宋" w:eastAsia="仿宋" w:cs="仿宋"/>
                <w:color w:val="auto"/>
                <w:sz w:val="21"/>
                <w:highlight w:val="none"/>
              </w:rPr>
              <w:t>(实质性要求)</w:t>
            </w:r>
          </w:p>
        </w:tc>
        <w:tc>
          <w:tcPr>
            <w:tcW w:w="7244" w:type="dxa"/>
            <w:vAlign w:val="center"/>
          </w:tcPr>
          <w:p>
            <w:pPr>
              <w:shd w:val="clear"/>
              <w:spacing w:line="320" w:lineRule="exact"/>
              <w:ind w:left="78" w:leftChars="23" w:right="51" w:rightChars="15"/>
              <w:rPr>
                <w:rFonts w:ascii="仿宋" w:hAnsi="仿宋" w:eastAsia="仿宋" w:cs="仿宋"/>
                <w:color w:val="auto"/>
                <w:sz w:val="21"/>
                <w:highlight w:val="none"/>
              </w:rPr>
            </w:pPr>
            <w:r>
              <w:rPr>
                <w:rFonts w:hint="eastAsia" w:ascii="仿宋" w:hAnsi="仿宋" w:eastAsia="仿宋" w:cs="仿宋"/>
                <w:color w:val="auto"/>
                <w:sz w:val="21"/>
                <w:highlight w:val="none"/>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9"/>
              <w:numPr>
                <w:ilvl w:val="0"/>
                <w:numId w:val="3"/>
              </w:numPr>
              <w:shd w:val="clear"/>
              <w:spacing w:line="320" w:lineRule="exact"/>
              <w:ind w:firstLineChars="0"/>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96"/>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联合体投标</w:t>
            </w:r>
          </w:p>
          <w:p>
            <w:pPr>
              <w:pStyle w:val="67"/>
              <w:shd w:val="clear"/>
              <w:spacing w:line="320" w:lineRule="exact"/>
              <w:ind w:left="96"/>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(实质性要求)</w:t>
            </w:r>
          </w:p>
        </w:tc>
        <w:tc>
          <w:tcPr>
            <w:tcW w:w="7244" w:type="dxa"/>
            <w:vAlign w:val="center"/>
          </w:tcPr>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9"/>
              <w:numPr>
                <w:ilvl w:val="0"/>
                <w:numId w:val="3"/>
              </w:numPr>
              <w:shd w:val="clear"/>
              <w:spacing w:line="320" w:lineRule="exact"/>
              <w:ind w:firstLineChars="0"/>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96"/>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p>
            <w:pPr>
              <w:pStyle w:val="67"/>
              <w:shd w:val="clear"/>
              <w:spacing w:line="320" w:lineRule="exact"/>
              <w:ind w:left="96"/>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(实质性要求)</w:t>
            </w:r>
          </w:p>
        </w:tc>
        <w:tc>
          <w:tcPr>
            <w:tcW w:w="7244" w:type="dxa"/>
            <w:vAlign w:val="center"/>
          </w:tcPr>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9"/>
              <w:numPr>
                <w:ilvl w:val="0"/>
                <w:numId w:val="3"/>
              </w:numPr>
              <w:shd w:val="clear"/>
              <w:spacing w:line="320" w:lineRule="exact"/>
              <w:ind w:firstLineChars="0"/>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96"/>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备选投标方案和报价</w:t>
            </w:r>
          </w:p>
        </w:tc>
        <w:tc>
          <w:tcPr>
            <w:tcW w:w="7244" w:type="dxa"/>
            <w:vAlign w:val="center"/>
          </w:tcPr>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9"/>
              <w:numPr>
                <w:ilvl w:val="0"/>
                <w:numId w:val="3"/>
              </w:numPr>
              <w:shd w:val="clear"/>
              <w:spacing w:line="320" w:lineRule="exact"/>
              <w:ind w:firstLineChars="0"/>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96"/>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招标</w:t>
            </w:r>
            <w:r>
              <w:rPr>
                <w:rFonts w:hint="eastAsia" w:ascii="仿宋" w:hAnsi="仿宋" w:eastAsia="仿宋" w:cs="仿宋"/>
                <w:color w:val="auto"/>
                <w:sz w:val="21"/>
                <w:szCs w:val="21"/>
                <w:highlight w:val="none"/>
                <w:lang w:val="zh-CN"/>
              </w:rPr>
              <w:t>代理</w:t>
            </w:r>
          </w:p>
          <w:p>
            <w:pPr>
              <w:pStyle w:val="67"/>
              <w:shd w:val="clear"/>
              <w:spacing w:line="320" w:lineRule="exact"/>
              <w:ind w:left="96"/>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服务费</w:t>
            </w:r>
          </w:p>
        </w:tc>
        <w:tc>
          <w:tcPr>
            <w:tcW w:w="7244" w:type="dxa"/>
            <w:vAlign w:val="center"/>
          </w:tcPr>
          <w:p>
            <w:pPr>
              <w:numPr>
                <w:ilvl w:val="0"/>
                <w:numId w:val="5"/>
              </w:num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收取标准：</w:t>
            </w:r>
            <w:r>
              <w:rPr>
                <w:rFonts w:hint="eastAsia" w:ascii="仿宋" w:hAnsi="仿宋" w:eastAsia="仿宋" w:cs="仿宋"/>
                <w:color w:val="auto"/>
                <w:sz w:val="21"/>
                <w:szCs w:val="21"/>
                <w:highlight w:val="none"/>
                <w:lang w:val="zh-CN"/>
              </w:rPr>
              <w:t>该费用参照《招标代理服务收费管理暂行办法》(计价格</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2002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1980号)及《国家发展改革委办公厅关于招标代理服务收费有关问题的通知》(发改办价格</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2003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857号)</w:t>
            </w:r>
            <w:r>
              <w:rPr>
                <w:rFonts w:hint="eastAsia" w:ascii="仿宋" w:hAnsi="仿宋" w:eastAsia="仿宋" w:cs="仿宋"/>
                <w:color w:val="auto"/>
                <w:sz w:val="21"/>
                <w:szCs w:val="21"/>
                <w:highlight w:val="none"/>
              </w:rPr>
              <w:t>的标准</w:t>
            </w:r>
            <w:r>
              <w:rPr>
                <w:rFonts w:hint="eastAsia" w:ascii="仿宋" w:hAnsi="仿宋" w:eastAsia="仿宋" w:cs="仿宋"/>
                <w:color w:val="auto"/>
                <w:sz w:val="21"/>
                <w:szCs w:val="21"/>
                <w:highlight w:val="none"/>
                <w:lang w:val="zh-CN"/>
              </w:rPr>
              <w:t>计取</w:t>
            </w:r>
            <w:r>
              <w:rPr>
                <w:rFonts w:hint="eastAsia" w:ascii="仿宋" w:hAnsi="仿宋" w:eastAsia="仿宋" w:cs="仿宋"/>
                <w:color w:val="auto"/>
                <w:sz w:val="21"/>
                <w:szCs w:val="21"/>
                <w:highlight w:val="none"/>
              </w:rPr>
              <w:t>。</w:t>
            </w:r>
          </w:p>
          <w:p>
            <w:pPr>
              <w:numPr>
                <w:ilvl w:val="0"/>
                <w:numId w:val="5"/>
              </w:numPr>
              <w:shd w:val="clear"/>
              <w:spacing w:line="320" w:lineRule="exact"/>
              <w:ind w:left="78" w:leftChars="23" w:right="51" w:rightChars="15"/>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收取方式：中标通知书发出后二个工作日内由中标人一次性支付。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96"/>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是否</w:t>
            </w:r>
            <w:r>
              <w:rPr>
                <w:rFonts w:hint="eastAsia" w:ascii="仿宋" w:hAnsi="仿宋" w:eastAsia="仿宋" w:cs="仿宋"/>
                <w:color w:val="auto"/>
                <w:sz w:val="21"/>
                <w:szCs w:val="21"/>
                <w:highlight w:val="none"/>
                <w:lang w:val="zh-CN"/>
              </w:rPr>
              <w:t>专门面向中小企业的项目</w:t>
            </w:r>
            <w:r>
              <w:rPr>
                <w:rFonts w:hint="eastAsia" w:ascii="仿宋" w:hAnsi="仿宋" w:eastAsia="仿宋" w:cs="仿宋"/>
                <w:color w:val="auto"/>
                <w:sz w:val="21"/>
                <w:szCs w:val="21"/>
                <w:highlight w:val="none"/>
              </w:rPr>
              <w:t>或专门面向小微企业采购的项目</w:t>
            </w:r>
          </w:p>
        </w:tc>
        <w:tc>
          <w:tcPr>
            <w:tcW w:w="7244" w:type="dxa"/>
            <w:vAlign w:val="center"/>
          </w:tcPr>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本项目为</w:t>
            </w:r>
            <w:r>
              <w:rPr>
                <w:rFonts w:hint="eastAsia" w:ascii="仿宋" w:hAnsi="仿宋" w:eastAsia="仿宋" w:cs="仿宋"/>
                <w:color w:val="auto"/>
                <w:sz w:val="21"/>
                <w:szCs w:val="21"/>
                <w:highlight w:val="none"/>
                <w:lang w:val="zh-CN"/>
              </w:rPr>
              <w:t>非专门面向中小企业</w:t>
            </w: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96"/>
              <w:jc w:val="center"/>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小微企业、监狱企业、</w:t>
            </w:r>
            <w:r>
              <w:rPr>
                <w:rFonts w:hint="eastAsia" w:ascii="仿宋" w:hAnsi="仿宋" w:eastAsia="仿宋" w:cs="仿宋"/>
                <w:color w:val="auto"/>
                <w:sz w:val="21"/>
                <w:szCs w:val="21"/>
                <w:highlight w:val="none"/>
              </w:rPr>
              <w:t>残疾人福利性单位</w:t>
            </w:r>
            <w:r>
              <w:rPr>
                <w:rFonts w:hint="eastAsia" w:ascii="仿宋" w:hAnsi="仿宋" w:eastAsia="仿宋" w:cs="仿宋"/>
                <w:color w:val="auto"/>
                <w:kern w:val="2"/>
                <w:sz w:val="21"/>
                <w:szCs w:val="21"/>
                <w:highlight w:val="none"/>
              </w:rPr>
              <w:t>价格扣除</w:t>
            </w:r>
            <w:r>
              <w:rPr>
                <w:rFonts w:hint="eastAsia" w:ascii="仿宋" w:hAnsi="仿宋" w:eastAsia="仿宋" w:cs="仿宋"/>
                <w:color w:val="auto"/>
                <w:sz w:val="21"/>
                <w:szCs w:val="21"/>
                <w:highlight w:val="none"/>
              </w:rPr>
              <w:t>(实质性要求)</w:t>
            </w:r>
          </w:p>
        </w:tc>
        <w:tc>
          <w:tcPr>
            <w:tcW w:w="7244" w:type="dxa"/>
            <w:vAlign w:val="center"/>
          </w:tcPr>
          <w:p>
            <w:pPr>
              <w:shd w:val="clear" w:color="auto"/>
              <w:spacing w:line="320" w:lineRule="exact"/>
              <w:rPr>
                <w:rFonts w:hint="eastAsia" w:ascii="仿宋" w:hAnsi="仿宋" w:eastAsia="仿宋" w:cs="仿宋"/>
                <w:color w:val="auto"/>
                <w:sz w:val="21"/>
                <w:szCs w:val="21"/>
                <w:highlight w:val="none"/>
              </w:rPr>
            </w:pPr>
            <w:bookmarkStart w:id="31" w:name="PO_默认文件内容_2"/>
            <w:r>
              <w:rPr>
                <w:rFonts w:hint="eastAsia" w:ascii="仿宋" w:hAnsi="仿宋" w:eastAsia="仿宋" w:cs="仿宋"/>
                <w:color w:val="auto"/>
                <w:sz w:val="21"/>
                <w:szCs w:val="21"/>
                <w:highlight w:val="none"/>
                <w:lang w:val="zh-CN" w:eastAsia="zh-CN"/>
              </w:rPr>
              <w:t>所属行业：其他未列明行业。</w:t>
            </w:r>
          </w:p>
          <w:p>
            <w:pPr>
              <w:shd w:val="clear" w:color="auto"/>
              <w:spacing w:line="32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1、根据《政府采购促进中小企业发展管理办法》（财库〔2020〕46号）的规定，对小型和微型企业产品的价格给予10%的价格扣除，用扣除后的价格参与评标。</w:t>
            </w:r>
          </w:p>
          <w:p>
            <w:pPr>
              <w:shd w:val="clear" w:color="auto"/>
              <w:spacing w:line="32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2、参加政府采购活动的中小企业（监狱企业）提供《中小企业（监狱企业）声明函》原件，未提供的，视为放弃享受小微企业价格扣除优惠政策。</w:t>
            </w:r>
          </w:p>
          <w:p>
            <w:pPr>
              <w:shd w:val="clear" w:color="auto"/>
              <w:spacing w:line="32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shd w:val="clear" w:color="auto"/>
              <w:spacing w:line="32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联合体各方均为小型、微型企业的，联合体视同为小型、微型企业享受规定的扶持政策。组成联合体的大中型企业和其他自然人、法人或者其他组织，与小型、微型企业之间不得存在投资关系。</w:t>
            </w:r>
          </w:p>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4、参加政府采购活动的残疾人福利性单位应当提供《残疾人福利性单位声明函》原件，未提供的，视为放弃享受小微企业价格扣除优惠政策。</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ind w:left="38"/>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低于成本价不正当竞争预防措施</w:t>
            </w:r>
          </w:p>
          <w:p>
            <w:pPr>
              <w:pStyle w:val="67"/>
              <w:shd w:val="clear"/>
              <w:spacing w:line="320" w:lineRule="exact"/>
              <w:ind w:left="3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(实质性要求)</w:t>
            </w:r>
          </w:p>
        </w:tc>
        <w:tc>
          <w:tcPr>
            <w:tcW w:w="7244" w:type="dxa"/>
            <w:vAlign w:val="center"/>
          </w:tcPr>
          <w:p>
            <w:pPr>
              <w:pStyle w:val="67"/>
              <w:shd w:val="clear"/>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在评审过程中，评标委员会认为供应商的报价明显低于其他通过资格性、符合性审查供应商的报价，有可能影响产品质量或者不能诚信履约的，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供应商书面说明应当签字确认或者加盖公章，否则无效。</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投标文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w:t>
            </w:r>
            <w:r>
              <w:rPr>
                <w:rFonts w:hint="eastAsia" w:ascii="仿宋" w:hAnsi="仿宋" w:eastAsia="仿宋" w:cs="仿宋"/>
                <w:color w:val="auto"/>
                <w:sz w:val="21"/>
                <w:szCs w:val="21"/>
                <w:highlight w:val="none"/>
              </w:rPr>
              <w:t>审</w:t>
            </w:r>
            <w:r>
              <w:rPr>
                <w:rFonts w:hint="eastAsia" w:ascii="仿宋" w:hAnsi="仿宋" w:eastAsia="仿宋" w:cs="仿宋"/>
                <w:color w:val="auto"/>
                <w:sz w:val="21"/>
                <w:szCs w:val="21"/>
                <w:highlight w:val="none"/>
                <w:lang w:val="zh-CN"/>
              </w:rPr>
              <w:t>情况的公告</w:t>
            </w:r>
          </w:p>
        </w:tc>
        <w:tc>
          <w:tcPr>
            <w:tcW w:w="7244" w:type="dxa"/>
            <w:vAlign w:val="center"/>
          </w:tcPr>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所有供应商投标文件资格性、符合性审查情况、采用综合评分法时的总得分和分项汇总得分情况、评审结果等将在四川政府采购网上采购结果公告附件中予以公告。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jc w:val="center"/>
              <w:rPr>
                <w:rFonts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rPr>
              <w:t>采购文件咨询</w:t>
            </w:r>
          </w:p>
        </w:tc>
        <w:tc>
          <w:tcPr>
            <w:tcW w:w="7244" w:type="dxa"/>
          </w:tcPr>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联系人：李女士    </w:t>
            </w:r>
          </w:p>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jc w:val="center"/>
              <w:rPr>
                <w:rFonts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rPr>
              <w:t>开评标工作咨询</w:t>
            </w:r>
          </w:p>
        </w:tc>
        <w:tc>
          <w:tcPr>
            <w:tcW w:w="7244" w:type="dxa"/>
          </w:tcPr>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联系人：李女士     </w:t>
            </w:r>
          </w:p>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shd w:val="clear"/>
              <w:spacing w:line="320" w:lineRule="exact"/>
              <w:ind w:left="170" w:leftChars="50" w:right="170" w:rightChars="50"/>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中标通知书领取</w:t>
            </w:r>
          </w:p>
        </w:tc>
        <w:tc>
          <w:tcPr>
            <w:tcW w:w="7244" w:type="dxa"/>
            <w:vAlign w:val="center"/>
          </w:tcPr>
          <w:p>
            <w:pPr>
              <w:pStyle w:val="67"/>
              <w:shd w:val="clear"/>
              <w:wordWrap w:val="0"/>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结果公告在四川政府采购网上公告后，请中标供应商凭有效身份证明证件到成都倍信达工程管理咨询有限公司领取中标通知书</w:t>
            </w:r>
          </w:p>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联系人：李女士    </w:t>
            </w:r>
          </w:p>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jc w:val="center"/>
              <w:rPr>
                <w:rFonts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rPr>
              <w:t>供应商询问</w:t>
            </w:r>
          </w:p>
        </w:tc>
        <w:tc>
          <w:tcPr>
            <w:tcW w:w="7244" w:type="dxa"/>
          </w:tcPr>
          <w:p>
            <w:pPr>
              <w:shd w:val="clear"/>
              <w:spacing w:line="320" w:lineRule="exact"/>
              <w:ind w:left="78" w:leftChars="23" w:right="51" w:rightChars="15"/>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根据委托代理协议约定，供应商询问由采购代理机构</w:t>
            </w:r>
            <w:r>
              <w:rPr>
                <w:rFonts w:hint="eastAsia" w:ascii="仿宋" w:hAnsi="仿宋" w:eastAsia="仿宋" w:cs="仿宋"/>
                <w:color w:val="auto"/>
                <w:sz w:val="21"/>
                <w:szCs w:val="21"/>
                <w:highlight w:val="none"/>
                <w:lang w:val="zh-CN"/>
              </w:rPr>
              <w:t>负责答复</w:t>
            </w:r>
          </w:p>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联系人：李女士     </w:t>
            </w:r>
          </w:p>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4"/>
                <w:highlight w:val="none"/>
              </w:rPr>
              <w:t>028-82235987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jc w:val="center"/>
              <w:rPr>
                <w:rFonts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rPr>
              <w:t>供应商质疑</w:t>
            </w:r>
          </w:p>
        </w:tc>
        <w:tc>
          <w:tcPr>
            <w:tcW w:w="7244" w:type="dxa"/>
            <w:vAlign w:val="center"/>
          </w:tcPr>
          <w:p>
            <w:pPr>
              <w:shd w:val="clear"/>
              <w:spacing w:line="320" w:lineRule="exact"/>
              <w:ind w:left="78" w:leftChars="23" w:right="51" w:rightChars="15"/>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根据委托代理协议约定，对于采购文件(招标文件技术条款和除政府采购法第二十二条之外的其他资格条件、专业商务要求)的质疑由采购人</w:t>
            </w:r>
            <w:r>
              <w:rPr>
                <w:rFonts w:hint="eastAsia" w:ascii="仿宋" w:hAnsi="仿宋" w:eastAsia="仿宋" w:cs="仿宋"/>
                <w:color w:val="auto"/>
                <w:sz w:val="21"/>
                <w:szCs w:val="21"/>
                <w:highlight w:val="none"/>
                <w:lang w:val="zh-CN"/>
              </w:rPr>
              <w:t>负责答复；对于采购过程</w:t>
            </w:r>
            <w:r>
              <w:rPr>
                <w:rFonts w:hint="eastAsia" w:ascii="仿宋" w:hAnsi="仿宋" w:eastAsia="仿宋" w:cs="仿宋"/>
                <w:color w:val="auto"/>
                <w:sz w:val="21"/>
                <w:szCs w:val="21"/>
                <w:highlight w:val="none"/>
              </w:rPr>
              <w:t>由采购代理机构</w:t>
            </w:r>
            <w:r>
              <w:rPr>
                <w:rFonts w:hint="eastAsia" w:ascii="仿宋" w:hAnsi="仿宋" w:eastAsia="仿宋" w:cs="仿宋"/>
                <w:color w:val="auto"/>
                <w:sz w:val="21"/>
                <w:szCs w:val="21"/>
                <w:highlight w:val="none"/>
                <w:lang w:val="zh-CN"/>
              </w:rPr>
              <w:t>负责答复；对于采购结果</w:t>
            </w:r>
            <w:r>
              <w:rPr>
                <w:rFonts w:hint="eastAsia" w:ascii="仿宋" w:hAnsi="仿宋" w:eastAsia="仿宋" w:cs="仿宋"/>
                <w:color w:val="auto"/>
                <w:sz w:val="21"/>
                <w:szCs w:val="21"/>
                <w:highlight w:val="none"/>
              </w:rPr>
              <w:t>由采购代理机构</w:t>
            </w:r>
            <w:r>
              <w:rPr>
                <w:rFonts w:hint="eastAsia" w:ascii="仿宋" w:hAnsi="仿宋" w:eastAsia="仿宋" w:cs="仿宋"/>
                <w:color w:val="auto"/>
                <w:sz w:val="21"/>
                <w:szCs w:val="21"/>
                <w:highlight w:val="none"/>
                <w:lang w:val="zh-CN"/>
              </w:rPr>
              <w:t>负责答复</w:t>
            </w:r>
            <w:r>
              <w:rPr>
                <w:rFonts w:hint="eastAsia" w:ascii="仿宋" w:hAnsi="仿宋" w:eastAsia="仿宋" w:cs="仿宋"/>
                <w:color w:val="auto"/>
                <w:sz w:val="21"/>
                <w:szCs w:val="21"/>
                <w:highlight w:val="none"/>
              </w:rPr>
              <w:t>。</w:t>
            </w:r>
          </w:p>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联系人：李女士     </w:t>
            </w:r>
          </w:p>
          <w:p>
            <w:pPr>
              <w:shd w:val="clear"/>
              <w:spacing w:line="320" w:lineRule="exact"/>
              <w:ind w:left="78" w:leftChars="23" w:right="51" w:rightChars="15"/>
              <w:jc w:val="left"/>
              <w:rPr>
                <w:rFonts w:ascii="仿宋" w:hAnsi="仿宋" w:eastAsia="仿宋" w:cs="仿宋"/>
                <w:color w:val="auto"/>
                <w:sz w:val="24"/>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4"/>
                <w:highlight w:val="none"/>
              </w:rPr>
              <w:t>028-82235987</w:t>
            </w:r>
          </w:p>
          <w:p>
            <w:pPr>
              <w:shd w:val="clear"/>
              <w:spacing w:line="320" w:lineRule="exact"/>
              <w:ind w:left="78" w:leftChars="23" w:right="51" w:rightChars="15"/>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注：根据《中华人民共和国政府采购法》</w:t>
            </w:r>
            <w:r>
              <w:rPr>
                <w:rFonts w:hint="eastAsia" w:ascii="仿宋" w:hAnsi="仿宋" w:eastAsia="仿宋" w:cs="仿宋"/>
                <w:color w:val="auto"/>
                <w:sz w:val="21"/>
                <w:szCs w:val="21"/>
                <w:highlight w:val="none"/>
              </w:rPr>
              <w:t>等法律法规</w:t>
            </w:r>
            <w:r>
              <w:rPr>
                <w:rFonts w:hint="eastAsia" w:ascii="仿宋" w:hAnsi="仿宋" w:eastAsia="仿宋" w:cs="仿宋"/>
                <w:color w:val="auto"/>
                <w:sz w:val="21"/>
                <w:szCs w:val="21"/>
                <w:highlight w:val="none"/>
                <w:lang w:val="zh-CN"/>
              </w:rPr>
              <w:t>规定，</w:t>
            </w:r>
            <w:r>
              <w:rPr>
                <w:rFonts w:hint="eastAsia" w:ascii="仿宋" w:hAnsi="仿宋" w:eastAsia="仿宋" w:cs="仿宋"/>
                <w:color w:val="auto"/>
                <w:sz w:val="21"/>
                <w:szCs w:val="21"/>
                <w:highlight w:val="none"/>
              </w:rPr>
              <w:t>供应商质疑应当有明确的请求和必要的证明材料。</w:t>
            </w:r>
          </w:p>
          <w:p>
            <w:pPr>
              <w:shd w:val="clear"/>
              <w:spacing w:line="320" w:lineRule="exact"/>
              <w:ind w:left="78" w:leftChars="23" w:right="51" w:rightChars="15"/>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供应商质疑不得超出采购文件、采购过程、采购结果的范围，不得进行虚假、恶意质疑，不得以质疑为手段获取不当得利、实现非法目的。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jc w:val="center"/>
              <w:rPr>
                <w:rFonts w:ascii="仿宋" w:hAnsi="仿宋" w:eastAsia="仿宋" w:cs="仿宋"/>
                <w:color w:val="auto"/>
                <w:sz w:val="21"/>
                <w:szCs w:val="21"/>
                <w:highlight w:val="none"/>
                <w:lang w:val="zh-CN"/>
              </w:rPr>
            </w:pPr>
            <w:r>
              <w:rPr>
                <w:rFonts w:hint="eastAsia" w:ascii="仿宋" w:hAnsi="仿宋" w:eastAsia="仿宋" w:cs="仿宋"/>
                <w:color w:val="auto"/>
                <w:kern w:val="2"/>
                <w:sz w:val="21"/>
                <w:szCs w:val="21"/>
                <w:highlight w:val="none"/>
              </w:rPr>
              <w:t>供应商投诉</w:t>
            </w:r>
          </w:p>
        </w:tc>
        <w:tc>
          <w:tcPr>
            <w:tcW w:w="7244" w:type="dxa"/>
          </w:tcPr>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投诉受理单位：崇州市财政局（地址：崇州市崇阳街道永安中路1号，电话：028-82313883） </w:t>
            </w:r>
          </w:p>
          <w:p>
            <w:pPr>
              <w:shd w:val="clear"/>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注：供应商投诉应当有明确的请求和必要的证明材料。供应商投诉的事项不得超出已质疑事项的范围。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强制认证产品（如涉及）</w:t>
            </w:r>
          </w:p>
        </w:tc>
        <w:tc>
          <w:tcPr>
            <w:tcW w:w="7244" w:type="dxa"/>
          </w:tcPr>
          <w:p>
            <w:pPr>
              <w:pStyle w:val="67"/>
              <w:shd w:val="clear"/>
              <w:spacing w:line="32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如本项目有涉及 CCC 认证产品参与投标的，应在投标文件中提供 CCC 认证证书（复印件）或提供承诺（招标文件另有要求的除外），承诺供应商在签订合同前将 CCC 认证证书（复印件）提供至采购人，投标时 CCC 认证证书应在有效期内，未提供或不能提供的视为虚假响应。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政府强制/优先采购的节能、环保、无线局域网产品（实质性要求）</w:t>
            </w:r>
          </w:p>
        </w:tc>
        <w:tc>
          <w:tcPr>
            <w:tcW w:w="7244" w:type="dxa"/>
          </w:tcPr>
          <w:p>
            <w:pPr>
              <w:pStyle w:val="67"/>
              <w:shd w:val="clear"/>
              <w:spacing w:line="32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1、根据《财政部 发展改革委 生态环境部 市场监管总局关于调整优化节能产品、环境标志产品政府采购执行机制的通知》 （财库〔2019〕9 号），政府采购节能产品、环境标志产品实施品目清单管理。财政部、发展改革委、生态环境部等部门，确定实施政府优先采购和强制采购的产品类别及所依据的相关标准规范，以品目清单的形式发布并适时调整。</w:t>
            </w:r>
          </w:p>
          <w:p>
            <w:pPr>
              <w:pStyle w:val="67"/>
              <w:shd w:val="clear"/>
              <w:spacing w:line="32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本项目依据品目清单（指投标截止之日前最新一期清单）和认证证书实施政府优先采购和强制采购。投标人的投标产品属于品目清单范围的，投标人应当提供国家确定的认证机构出具的、处于有效期之内的节能产品、环境标志产品认证证书，本项目对获得证书的产品实施政府优先采购或强制采购。</w:t>
            </w:r>
          </w:p>
          <w:p>
            <w:pPr>
              <w:pStyle w:val="67"/>
              <w:shd w:val="clear"/>
              <w:spacing w:line="32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3、列入无线局域网认证产品政府采购清单（指采购文件发布之日前最新一期清单）产品为政府优先采购的无线局域网产品。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国家或行业主管部门强制性规定（实质性要求）</w:t>
            </w:r>
          </w:p>
        </w:tc>
        <w:tc>
          <w:tcPr>
            <w:tcW w:w="7244" w:type="dxa"/>
          </w:tcPr>
          <w:p>
            <w:pPr>
              <w:pStyle w:val="67"/>
              <w:shd w:val="clear"/>
              <w:spacing w:line="32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国家或行业主管部门对投标人和投标产品的技术标准、质量标准和资格资质条件等有强制性规定的，须符合其要求并提供相关证明材料或承诺，否则以符合性审查不通过处理。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numPr>
                <w:ilvl w:val="0"/>
                <w:numId w:val="3"/>
              </w:numPr>
              <w:shd w:val="clear"/>
              <w:wordWrap w:val="0"/>
              <w:spacing w:line="320" w:lineRule="exact"/>
              <w:jc w:val="center"/>
              <w:rPr>
                <w:rFonts w:ascii="仿宋" w:hAnsi="仿宋" w:eastAsia="仿宋" w:cs="仿宋"/>
                <w:color w:val="auto"/>
                <w:sz w:val="21"/>
                <w:szCs w:val="21"/>
                <w:highlight w:val="none"/>
              </w:rPr>
            </w:pPr>
          </w:p>
        </w:tc>
        <w:tc>
          <w:tcPr>
            <w:tcW w:w="1596" w:type="dxa"/>
            <w:vAlign w:val="center"/>
          </w:tcPr>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温馨提示</w:t>
            </w:r>
          </w:p>
        </w:tc>
        <w:tc>
          <w:tcPr>
            <w:tcW w:w="7244" w:type="dxa"/>
            <w:vAlign w:val="center"/>
          </w:tcPr>
          <w:p>
            <w:pPr>
              <w:pStyle w:val="67"/>
              <w:shd w:val="clear"/>
              <w:spacing w:line="276" w:lineRule="auto"/>
              <w:ind w:left="167" w:leftChars="49"/>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67"/>
              <w:shd w:val="clear"/>
              <w:spacing w:line="276" w:lineRule="auto"/>
              <w:ind w:left="167" w:leftChars="49"/>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2.政府采购云平台供应商注册地址：</w:t>
            </w:r>
          </w:p>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https://middle.zcygov.cn/v-settle-front/registry?settleCategory=1&amp;entranceType=119&amp;utm=a0017.b1347.cl50.3.c0de9400b91b11eb870ad7da87d69c97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50" w:type="dxa"/>
            <w:gridSpan w:val="3"/>
            <w:vAlign w:val="center"/>
          </w:tcPr>
          <w:p>
            <w:pPr>
              <w:pStyle w:val="67"/>
              <w:shd w:val="clear"/>
              <w:tabs>
                <w:tab w:val="left" w:pos="2561"/>
              </w:tabs>
              <w:wordWrap w:val="0"/>
              <w:topLinePunct/>
              <w:spacing w:line="320" w:lineRule="exact"/>
              <w:ind w:left="78" w:leftChars="23" w:right="51" w:rightChars="15"/>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50" w:type="dxa"/>
            <w:gridSpan w:val="3"/>
            <w:vAlign w:val="center"/>
          </w:tcPr>
          <w:p>
            <w:pPr>
              <w:pStyle w:val="67"/>
              <w:shd w:val="clear"/>
              <w:wordWrap w:val="0"/>
              <w:topLinePunct/>
              <w:spacing w:line="320" w:lineRule="exact"/>
              <w:ind w:left="78" w:leftChars="23" w:right="51" w:rightChars="15"/>
              <w:jc w:val="both"/>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本项目可采用信用融资政策。 </w:t>
            </w:r>
          </w:p>
          <w:p>
            <w:pPr>
              <w:pStyle w:val="67"/>
              <w:shd w:val="clear"/>
              <w:wordWrap w:val="0"/>
              <w:topLinePunct/>
              <w:spacing w:line="320" w:lineRule="exact"/>
              <w:ind w:left="78" w:leftChars="23" w:right="51" w:rightChars="15"/>
              <w:jc w:val="both"/>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为贯彻落实中央、省、成都市关于支持民营经济健康发展相关精神和政府采购支持中小企业发展政策，有效缓解中小企业融资难、融资贵问题，支持中小企业参与政府采购活动，促进中小企业发展，以下银行开展崇州市本级“政采贷”业务工作。 </w:t>
            </w:r>
          </w:p>
          <w:p>
            <w:pPr>
              <w:pStyle w:val="67"/>
              <w:shd w:val="clear"/>
              <w:wordWrap w:val="0"/>
              <w:topLinePunct/>
              <w:spacing w:line="320" w:lineRule="exact"/>
              <w:ind w:left="78" w:leftChars="23" w:right="51" w:rightChars="15"/>
              <w:jc w:val="both"/>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崇州市级政府采购信用融资信息一览表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shd w:val="clear"/>
              <w:wordWrap w:val="0"/>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银行名称</w:t>
            </w:r>
          </w:p>
        </w:tc>
        <w:tc>
          <w:tcPr>
            <w:tcW w:w="1596" w:type="dxa"/>
            <w:vAlign w:val="center"/>
          </w:tcPr>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联系人及方式</w:t>
            </w:r>
          </w:p>
        </w:tc>
        <w:tc>
          <w:tcPr>
            <w:tcW w:w="7244" w:type="dxa"/>
            <w:vAlign w:val="center"/>
          </w:tcPr>
          <w:p>
            <w:pPr>
              <w:pStyle w:val="67"/>
              <w:shd w:val="clear"/>
              <w:wordWrap w:val="0"/>
              <w:topLinePunct/>
              <w:spacing w:line="320" w:lineRule="exact"/>
              <w:ind w:left="78" w:leftChars="23" w:right="51" w:rightChars="1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融资政策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shd w:val="clear"/>
              <w:wordWrap w:val="0"/>
              <w:spacing w:line="320" w:lineRule="exact"/>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成都农商银行崇州支行</w:t>
            </w:r>
          </w:p>
        </w:tc>
        <w:tc>
          <w:tcPr>
            <w:tcW w:w="1596" w:type="dxa"/>
            <w:vAlign w:val="center"/>
          </w:tcPr>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业务部客户经理  任艳菊 13881851255</w:t>
            </w:r>
          </w:p>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业务部客户经理  骆晓峰 13551850363</w:t>
            </w:r>
          </w:p>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业务部经理  </w:t>
            </w:r>
          </w:p>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陈晓阳 13438190630</w:t>
            </w:r>
          </w:p>
        </w:tc>
        <w:tc>
          <w:tcPr>
            <w:tcW w:w="7244" w:type="dxa"/>
            <w:vAlign w:val="center"/>
          </w:tcPr>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1、授信额度：</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（1）流动资金贷款类：最高不超过政府采购合同中采购总金额的85%；</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（2）承兑汇票及保函类：保证金比例不低于15%。</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2、授信期限：</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（1）流动资金贷款期限原则上不超过18个月，重大项目最高不超过3年，主要根据政府采购合同的付款周期确定。贷款期间可展期1次，可提前还款。</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（2）银行承兑汇票（纸质）不超过6个月；银行承兑汇票（电子）不超过1年。</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（3）保函期限原则上不超过3年，根据政府采购合同的付款周期确定。</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（4）根据采购文件中约定的采购款项支付进度，增加适当宽限期设置还款计划。</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3、利率定价：</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原则上不超过基准利率上浮30%。对地处贫困地区的供应商实行更加优惠的定价。</w:t>
            </w:r>
          </w:p>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4、办结时间：原则上从资料齐备到审批通过在5个工作日内。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shd w:val="clear"/>
              <w:wordWrap w:val="0"/>
              <w:spacing w:line="320" w:lineRule="exact"/>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崇州上银村镇银行</w:t>
            </w:r>
          </w:p>
        </w:tc>
        <w:tc>
          <w:tcPr>
            <w:tcW w:w="1596" w:type="dxa"/>
            <w:vAlign w:val="center"/>
          </w:tcPr>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龚真真 </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副 行 长17740215212</w:t>
            </w:r>
          </w:p>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杨彦铭</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部门总经理13981735391</w:t>
            </w:r>
          </w:p>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黄龙</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副总经理13348884865</w:t>
            </w:r>
          </w:p>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羊孝丽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客户经理15884577260</w:t>
            </w:r>
          </w:p>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尹翔</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客户经理13982166628</w:t>
            </w:r>
          </w:p>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吴翅飞</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客户经理18982275308</w:t>
            </w:r>
          </w:p>
        </w:tc>
        <w:tc>
          <w:tcPr>
            <w:tcW w:w="7244" w:type="dxa"/>
            <w:vAlign w:val="center"/>
          </w:tcPr>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授信政策</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担保方式：信用</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授信期限：不高于采购合同期限，最高不超过三年</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利率水平：基准上浮30%</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放款时限：审批通过后5个工作日内</w:t>
            </w:r>
          </w:p>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授信成数：最高不高于合同总价款的90%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shd w:val="clear"/>
              <w:wordWrap w:val="0"/>
              <w:spacing w:line="320" w:lineRule="exact"/>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农行崇州支行</w:t>
            </w:r>
          </w:p>
        </w:tc>
        <w:tc>
          <w:tcPr>
            <w:tcW w:w="1596" w:type="dxa"/>
            <w:vAlign w:val="center"/>
          </w:tcPr>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陈东江</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副 行 长</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13980843688</w:t>
            </w:r>
          </w:p>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肖毓</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部门经理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13882110585</w:t>
            </w:r>
          </w:p>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何莉</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副 经 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15982110977</w:t>
            </w:r>
          </w:p>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唐雪姣</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客户经理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13689013376</w:t>
            </w:r>
          </w:p>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王羽</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客户经理</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13568936607</w:t>
            </w:r>
          </w:p>
        </w:tc>
        <w:tc>
          <w:tcPr>
            <w:tcW w:w="7244" w:type="dxa"/>
            <w:vAlign w:val="center"/>
          </w:tcPr>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1、授信额度</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根据《政府采购合同》金额测定授信额度理论值，最高可贷合同总金额的70%，原则不超过1000万元。小微企业单户信用贷款额度不超过500万元。</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2、融资期限</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融资到期日不超过《政府采购合同》项下应收账款付款到期日后3个月（含），融资期限原则上不超过1年（含），最长不超过3年。</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3、融资利率 </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原则上不超过人民银行同期基准利率上浮30%。</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4、还款方式</w:t>
            </w:r>
          </w:p>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贷款期限在１年以内的，可采用一次性还本付息方式或一次还本、分期付息方式。贷款期限在１年以上的，采用按月（季）分期还本付息方式。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shd w:val="clear"/>
              <w:wordWrap w:val="0"/>
              <w:spacing w:line="320" w:lineRule="exact"/>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中行崇州支行</w:t>
            </w:r>
          </w:p>
        </w:tc>
        <w:tc>
          <w:tcPr>
            <w:tcW w:w="1596" w:type="dxa"/>
            <w:vAlign w:val="center"/>
          </w:tcPr>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分管行长 王勇 82313560  13980969703</w:t>
            </w:r>
          </w:p>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分管主任龚才兵 82276832  18081054180</w:t>
            </w:r>
          </w:p>
        </w:tc>
        <w:tc>
          <w:tcPr>
            <w:tcW w:w="7244" w:type="dxa"/>
            <w:vAlign w:val="center"/>
          </w:tcPr>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授信额度：单一合同项下信用授信金额不得高于合同标的的70%，最高不超过2000万元，最长不超过一年。</w:t>
            </w:r>
          </w:p>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担保方式：须借款人法定代表人、主要股东、实际控制人或关联企业提供连带责任保证担保；也可采购取房地产抵押或第三方保证等。</w:t>
            </w:r>
          </w:p>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执行利率：按年化4.5675%执行；非普惠金融贷款企业，在一年期基准贷款利率4.35%的基础上上浮10%-40%。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shd w:val="clear"/>
              <w:wordWrap w:val="0"/>
              <w:spacing w:line="320" w:lineRule="exact"/>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重庆银行崇州支行</w:t>
            </w:r>
          </w:p>
        </w:tc>
        <w:tc>
          <w:tcPr>
            <w:tcW w:w="1596" w:type="dxa"/>
            <w:vAlign w:val="center"/>
          </w:tcPr>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业务部经理   </w:t>
            </w:r>
          </w:p>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李盛勇  18108259677</w:t>
            </w:r>
          </w:p>
          <w:p>
            <w:pPr>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小微业务部副经理   余蓥   13550034115</w:t>
            </w:r>
          </w:p>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小微业务部客户经理  陈文韬 13547927235</w:t>
            </w:r>
          </w:p>
        </w:tc>
        <w:tc>
          <w:tcPr>
            <w:tcW w:w="7244" w:type="dxa"/>
            <w:vAlign w:val="center"/>
          </w:tcPr>
          <w:p>
            <w:pPr>
              <w:shd w:val="clea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授信额度：单一合同项下信用授信金额不得高于合同标的的80%，目前暂不超过100万元。</w:t>
            </w:r>
          </w:p>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执行利率：申请人信用评价实施差异化定价，原则上不超过基准利率上浮30%。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7"/>
              <w:shd w:val="clear"/>
              <w:wordWrap w:val="0"/>
              <w:spacing w:line="320" w:lineRule="exact"/>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工商银行崇州支行</w:t>
            </w:r>
          </w:p>
        </w:tc>
        <w:tc>
          <w:tcPr>
            <w:tcW w:w="1596" w:type="dxa"/>
            <w:vAlign w:val="center"/>
          </w:tcPr>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分管行长：张樱川13882296300</w:t>
            </w:r>
          </w:p>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分管科长：曲希17760374425</w:t>
            </w:r>
          </w:p>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客户经理：余波13688482133</w:t>
            </w:r>
          </w:p>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客户经理：华昌庚15828604669</w:t>
            </w:r>
          </w:p>
        </w:tc>
        <w:tc>
          <w:tcPr>
            <w:tcW w:w="7244" w:type="dxa"/>
            <w:vAlign w:val="center"/>
          </w:tcPr>
          <w:p>
            <w:pPr>
              <w:pStyle w:val="67"/>
              <w:shd w:val="clear"/>
              <w:wordWrap w:val="0"/>
              <w:topLinePunct/>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融资额度</w:t>
            </w:r>
          </w:p>
          <w:p>
            <w:pPr>
              <w:pStyle w:val="67"/>
              <w:shd w:val="clear"/>
              <w:wordWrap w:val="0"/>
              <w:topLinePunct/>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1、采用信用方式的，单户贷款金额最高不超过200万元,微型企业单户最高不超过100万元。</w:t>
            </w:r>
          </w:p>
          <w:p>
            <w:pPr>
              <w:pStyle w:val="67"/>
              <w:shd w:val="clear"/>
              <w:wordWrap w:val="0"/>
              <w:topLinePunct/>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追加以政府采购的应收账款质押作为增信（以下统称“增信措施”），有增信措施的，单户贷款金额最高不超过500万元,微型企业单户最高不超过200万元，且一般不超过对应的政府采购合同项下应收账款实有金额的70%，但最高不超过80%。</w:t>
            </w:r>
          </w:p>
          <w:p>
            <w:pPr>
              <w:pStyle w:val="67"/>
              <w:shd w:val="clear"/>
              <w:wordWrap w:val="0"/>
              <w:topLinePunct/>
              <w:spacing w:line="320" w:lineRule="exact"/>
              <w:ind w:left="78" w:leftChars="23" w:right="51" w:rightChars="15"/>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执行利率：“政采贷”业务定价不得低于人民银行基准利率执行，根据不同客户情况合理确定。</w:t>
            </w:r>
          </w:p>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还款方式：“政采贷”贷款根据企业经营特点、应收账款的回款特点确定还款方式，可采用一次性还款或分期还款方式，但须按月付息。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50" w:type="dxa"/>
            <w:gridSpan w:val="3"/>
            <w:vAlign w:val="center"/>
          </w:tcPr>
          <w:p>
            <w:pPr>
              <w:pStyle w:val="67"/>
              <w:shd w:val="clear"/>
              <w:wordWrap w:val="0"/>
              <w:topLinePunct/>
              <w:spacing w:line="320" w:lineRule="exact"/>
              <w:ind w:left="78" w:leftChars="23" w:right="51" w:rightChars="15"/>
              <w:jc w:val="both"/>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按照崇州市级支持中小企业政府采购信息融资实施方案，提供以下单位联系方式： </w:t>
            </w:r>
          </w:p>
          <w:p>
            <w:pPr>
              <w:pStyle w:val="67"/>
              <w:shd w:val="clear"/>
              <w:wordWrap w:val="0"/>
              <w:topLinePunct/>
              <w:spacing w:line="320" w:lineRule="exact"/>
              <w:ind w:left="78" w:leftChars="23" w:right="51" w:rightChars="15"/>
              <w:jc w:val="both"/>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崇州市政府采购信用融资银行联系方式一览表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银行名称</w:t>
            </w:r>
          </w:p>
        </w:tc>
        <w:tc>
          <w:tcPr>
            <w:tcW w:w="7244" w:type="dxa"/>
            <w:vAlign w:val="center"/>
          </w:tcPr>
          <w:p>
            <w:pPr>
              <w:pStyle w:val="67"/>
              <w:shd w:val="clear"/>
              <w:wordWrap w:val="0"/>
              <w:topLinePunct/>
              <w:spacing w:line="320" w:lineRule="exact"/>
              <w:ind w:left="78" w:leftChars="23" w:right="51" w:rightChars="1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成都农商银行崇州支行</w:t>
            </w:r>
          </w:p>
        </w:tc>
        <w:tc>
          <w:tcPr>
            <w:tcW w:w="7244" w:type="dxa"/>
            <w:vAlign w:val="center"/>
          </w:tcPr>
          <w:p>
            <w:pPr>
              <w:pStyle w:val="67"/>
              <w:shd w:val="clear"/>
              <w:wordWrap w:val="0"/>
              <w:topLinePunct/>
              <w:spacing w:line="320" w:lineRule="exact"/>
              <w:ind w:left="78" w:leftChars="23" w:right="51" w:rightChars="1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业务部客户经理  任艳菊 13881851255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崇州上银村镇银行</w:t>
            </w:r>
          </w:p>
        </w:tc>
        <w:tc>
          <w:tcPr>
            <w:tcW w:w="7244" w:type="dxa"/>
            <w:vAlign w:val="center"/>
          </w:tcPr>
          <w:p>
            <w:pPr>
              <w:pStyle w:val="67"/>
              <w:shd w:val="clear"/>
              <w:wordWrap w:val="0"/>
              <w:topLinePunct/>
              <w:spacing w:line="320" w:lineRule="exact"/>
              <w:ind w:left="78" w:leftChars="23" w:right="51" w:rightChars="1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部门总经理      杨彦铭 </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13981735391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中国农业银行崇州支行</w:t>
            </w:r>
          </w:p>
        </w:tc>
        <w:tc>
          <w:tcPr>
            <w:tcW w:w="7244" w:type="dxa"/>
            <w:vAlign w:val="center"/>
          </w:tcPr>
          <w:p>
            <w:pPr>
              <w:pStyle w:val="67"/>
              <w:shd w:val="clear"/>
              <w:wordWrap w:val="0"/>
              <w:topLinePunct/>
              <w:spacing w:line="320" w:lineRule="exact"/>
              <w:ind w:left="78" w:leftChars="23" w:right="51" w:rightChars="1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部门经理        肖  毓 </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13882110585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中国银行崇州支行</w:t>
            </w:r>
          </w:p>
        </w:tc>
        <w:tc>
          <w:tcPr>
            <w:tcW w:w="7244" w:type="dxa"/>
            <w:vAlign w:val="center"/>
          </w:tcPr>
          <w:p>
            <w:pPr>
              <w:pStyle w:val="67"/>
              <w:shd w:val="clear"/>
              <w:wordWrap w:val="0"/>
              <w:topLinePunct/>
              <w:spacing w:line="320" w:lineRule="exact"/>
              <w:ind w:left="78" w:leftChars="23" w:right="51" w:rightChars="1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分管主任        龚才兵  18081054180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重庆银行崇州支行</w:t>
            </w:r>
          </w:p>
        </w:tc>
        <w:tc>
          <w:tcPr>
            <w:tcW w:w="7244" w:type="dxa"/>
            <w:vAlign w:val="center"/>
          </w:tcPr>
          <w:p>
            <w:pPr>
              <w:pStyle w:val="67"/>
              <w:shd w:val="clear"/>
              <w:wordWrap w:val="0"/>
              <w:topLinePunct/>
              <w:spacing w:line="320" w:lineRule="exact"/>
              <w:ind w:left="78" w:leftChars="23" w:right="51" w:rightChars="1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业务部经理      李盛勇  18108259677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7"/>
              <w:shd w:val="clear"/>
              <w:spacing w:line="32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工商银行崇州支行</w:t>
            </w:r>
          </w:p>
        </w:tc>
        <w:tc>
          <w:tcPr>
            <w:tcW w:w="7244" w:type="dxa"/>
            <w:vAlign w:val="center"/>
          </w:tcPr>
          <w:p>
            <w:pPr>
              <w:pStyle w:val="67"/>
              <w:shd w:val="clear"/>
              <w:wordWrap w:val="0"/>
              <w:topLinePunct/>
              <w:spacing w:line="320" w:lineRule="exact"/>
              <w:ind w:left="78" w:leftChars="23" w:right="51" w:rightChars="15"/>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分管科长        曲  希  17760374425</w:t>
            </w:r>
          </w:p>
        </w:tc>
      </w:tr>
    </w:tbl>
    <w:p>
      <w:pPr>
        <w:pStyle w:val="4"/>
        <w:shd w:val="clear"/>
        <w:spacing w:line="400" w:lineRule="exact"/>
        <w:jc w:val="center"/>
        <w:rPr>
          <w:rFonts w:ascii="仿宋" w:hAnsi="仿宋" w:eastAsia="仿宋" w:cs="仿宋"/>
          <w:bCs w:val="0"/>
          <w:color w:val="auto"/>
          <w:highlight w:val="none"/>
        </w:rPr>
      </w:pPr>
      <w:r>
        <w:rPr>
          <w:rFonts w:hint="eastAsia" w:ascii="仿宋" w:hAnsi="仿宋" w:eastAsia="仿宋" w:cs="仿宋"/>
          <w:bCs w:val="0"/>
          <w:color w:val="auto"/>
          <w:highlight w:val="none"/>
        </w:rPr>
        <w:br w:type="page"/>
      </w:r>
      <w:bookmarkStart w:id="32" w:name="_Toc2042"/>
      <w:bookmarkStart w:id="33" w:name="_Toc9222"/>
      <w:bookmarkStart w:id="34" w:name="_Toc23295"/>
      <w:bookmarkStart w:id="35" w:name="_Toc4011"/>
      <w:r>
        <w:rPr>
          <w:rFonts w:hint="eastAsia" w:ascii="仿宋" w:hAnsi="仿宋" w:eastAsia="仿宋" w:cs="仿宋"/>
          <w:bCs w:val="0"/>
          <w:color w:val="auto"/>
          <w:highlight w:val="none"/>
        </w:rPr>
        <w:t>二、总 则</w:t>
      </w:r>
      <w:bookmarkEnd w:id="30"/>
      <w:bookmarkEnd w:id="32"/>
      <w:bookmarkEnd w:id="33"/>
      <w:bookmarkEnd w:id="34"/>
      <w:bookmarkEnd w:id="35"/>
    </w:p>
    <w:p>
      <w:pPr>
        <w:pStyle w:val="5"/>
        <w:shd w:val="clear"/>
        <w:spacing w:line="400" w:lineRule="exact"/>
        <w:ind w:firstLine="482" w:firstLineChars="200"/>
        <w:rPr>
          <w:rFonts w:ascii="仿宋" w:hAnsi="仿宋" w:eastAsia="仿宋" w:cs="仿宋"/>
          <w:color w:val="auto"/>
          <w:sz w:val="24"/>
          <w:szCs w:val="24"/>
          <w:highlight w:val="none"/>
        </w:rPr>
      </w:pPr>
      <w:bookmarkStart w:id="36" w:name="_Toc183682342"/>
      <w:bookmarkStart w:id="37" w:name="_Toc183582205"/>
      <w:bookmarkStart w:id="38" w:name="_Toc308084574"/>
      <w:bookmarkStart w:id="39" w:name="_Toc217446034"/>
      <w:bookmarkStart w:id="40" w:name="_Toc327196263"/>
      <w:bookmarkStart w:id="41" w:name="_Toc31725"/>
      <w:bookmarkStart w:id="42" w:name="_Toc12046"/>
      <w:bookmarkStart w:id="43" w:name="_Toc10311"/>
      <w:bookmarkStart w:id="44" w:name="_Toc32483"/>
      <w:bookmarkStart w:id="45" w:name="_Toc319439877"/>
      <w:bookmarkStart w:id="46" w:name="_Toc28450"/>
      <w:bookmarkStart w:id="47" w:name="_Toc3601"/>
      <w:bookmarkStart w:id="48" w:name="_Toc31870"/>
      <w:bookmarkStart w:id="49" w:name="_Toc20769"/>
      <w:bookmarkStart w:id="50" w:name="_Toc29532"/>
      <w:bookmarkStart w:id="51" w:name="_Toc308188129"/>
      <w:bookmarkStart w:id="52" w:name="_Toc319440119"/>
      <w:bookmarkStart w:id="53" w:name="_Toc309897492"/>
      <w:bookmarkStart w:id="54" w:name="_Toc307564829"/>
      <w:bookmarkStart w:id="55" w:name="_Toc23796"/>
      <w:bookmarkStart w:id="56" w:name="_Toc5790"/>
      <w:bookmarkStart w:id="57" w:name="_Toc307501086"/>
      <w:r>
        <w:rPr>
          <w:rFonts w:hint="eastAsia" w:ascii="仿宋" w:hAnsi="仿宋" w:eastAsia="仿宋" w:cs="仿宋"/>
          <w:color w:val="auto"/>
          <w:sz w:val="24"/>
          <w:szCs w:val="24"/>
          <w:highlight w:val="none"/>
        </w:rPr>
        <w:t>1</w:t>
      </w:r>
      <w:bookmarkEnd w:id="36"/>
      <w:bookmarkEnd w:id="37"/>
      <w:r>
        <w:rPr>
          <w:rFonts w:hint="eastAsia" w:ascii="仿宋" w:hAnsi="仿宋" w:eastAsia="仿宋" w:cs="仿宋"/>
          <w:color w:val="auto"/>
          <w:sz w:val="24"/>
          <w:szCs w:val="24"/>
          <w:highlight w:val="none"/>
        </w:rPr>
        <w:t>.适用范围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shd w:val="clear"/>
        <w:tabs>
          <w:tab w:val="left" w:pos="766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本招标文件仅适用于本次公开招标采购项目。</w:t>
      </w:r>
    </w:p>
    <w:p>
      <w:pPr>
        <w:pStyle w:val="5"/>
        <w:shd w:val="clear"/>
        <w:spacing w:line="400" w:lineRule="exact"/>
        <w:ind w:firstLine="482" w:firstLineChars="200"/>
        <w:rPr>
          <w:rFonts w:ascii="仿宋" w:hAnsi="仿宋" w:eastAsia="仿宋" w:cs="仿宋"/>
          <w:color w:val="auto"/>
          <w:sz w:val="24"/>
          <w:szCs w:val="24"/>
          <w:highlight w:val="none"/>
        </w:rPr>
      </w:pPr>
      <w:bookmarkStart w:id="58" w:name="_Toc183582206"/>
      <w:bookmarkStart w:id="59" w:name="_Toc183682343"/>
      <w:bookmarkStart w:id="60" w:name="_Toc24985"/>
      <w:bookmarkStart w:id="61" w:name="_Toc307564830"/>
      <w:bookmarkStart w:id="62" w:name="_Toc308188130"/>
      <w:bookmarkStart w:id="63" w:name="_Toc307501087"/>
      <w:bookmarkStart w:id="64" w:name="_Toc156"/>
      <w:bookmarkStart w:id="65" w:name="_Toc319439878"/>
      <w:bookmarkStart w:id="66" w:name="_Toc2775"/>
      <w:bookmarkStart w:id="67" w:name="_Toc16858"/>
      <w:bookmarkStart w:id="68" w:name="_Toc319440120"/>
      <w:bookmarkStart w:id="69" w:name="_Toc24751"/>
      <w:bookmarkStart w:id="70" w:name="_Toc19670"/>
      <w:bookmarkStart w:id="71" w:name="_Toc10659"/>
      <w:bookmarkStart w:id="72" w:name="_Toc327196264"/>
      <w:bookmarkStart w:id="73" w:name="_Toc308084575"/>
      <w:bookmarkStart w:id="74" w:name="_Toc13022"/>
      <w:bookmarkStart w:id="75" w:name="_Toc217446035"/>
      <w:bookmarkStart w:id="76" w:name="_Toc309897493"/>
      <w:bookmarkStart w:id="77" w:name="_Toc7942"/>
      <w:bookmarkStart w:id="78" w:name="_Toc19069"/>
      <w:bookmarkStart w:id="79" w:name="_Toc524"/>
      <w:r>
        <w:rPr>
          <w:rFonts w:hint="eastAsia" w:ascii="仿宋" w:hAnsi="仿宋" w:eastAsia="仿宋" w:cs="仿宋"/>
          <w:color w:val="auto"/>
          <w:sz w:val="24"/>
          <w:szCs w:val="24"/>
          <w:highlight w:val="none"/>
        </w:rPr>
        <w:t>2</w:t>
      </w:r>
      <w:bookmarkEnd w:id="58"/>
      <w:bookmarkEnd w:id="59"/>
      <w:r>
        <w:rPr>
          <w:rFonts w:hint="eastAsia" w:ascii="仿宋" w:hAnsi="仿宋" w:eastAsia="仿宋" w:cs="仿宋"/>
          <w:color w:val="auto"/>
          <w:sz w:val="24"/>
          <w:szCs w:val="24"/>
          <w:highlight w:val="none"/>
        </w:rPr>
        <w:t>.有关定义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hd w:val="clear"/>
        <w:tabs>
          <w:tab w:val="left" w:pos="766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“采购人”系指依法进行政府采购的国家机关、事业单位、团体组织。本次招标的采购人是</w:t>
      </w:r>
      <w:r>
        <w:rPr>
          <w:rFonts w:hint="eastAsia" w:ascii="仿宋" w:hAnsi="仿宋" w:eastAsia="仿宋" w:cs="仿宋"/>
          <w:color w:val="auto"/>
          <w:sz w:val="24"/>
          <w:highlight w:val="none"/>
          <w:u w:val="single"/>
        </w:rPr>
        <w:t>崇州市公安局</w:t>
      </w:r>
      <w:r>
        <w:rPr>
          <w:rFonts w:hint="eastAsia" w:ascii="仿宋" w:hAnsi="仿宋" w:eastAsia="仿宋" w:cs="仿宋"/>
          <w:color w:val="auto"/>
          <w:sz w:val="24"/>
          <w:highlight w:val="none"/>
        </w:rPr>
        <w:t>。</w:t>
      </w:r>
    </w:p>
    <w:p>
      <w:pPr>
        <w:pStyle w:val="10"/>
        <w:shd w:val="clear"/>
        <w:ind w:firstLine="48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 系指根据采购人的委托依法办理招标事宜的采购机构。本次招标的采购代理机构是</w:t>
      </w:r>
      <w:r>
        <w:rPr>
          <w:rFonts w:hint="eastAsia" w:ascii="仿宋" w:hAnsi="仿宋" w:eastAsia="仿宋" w:cs="仿宋"/>
          <w:color w:val="auto"/>
          <w:kern w:val="0"/>
          <w:sz w:val="24"/>
          <w:highlight w:val="none"/>
          <w:u w:val="single"/>
        </w:rPr>
        <w:t>成都倍信达工程管理咨询有限公司</w:t>
      </w:r>
      <w:r>
        <w:rPr>
          <w:rFonts w:hint="eastAsia" w:ascii="仿宋" w:hAnsi="仿宋" w:eastAsia="仿宋" w:cs="仿宋"/>
          <w:color w:val="auto"/>
          <w:kern w:val="0"/>
          <w:sz w:val="24"/>
          <w:highlight w:val="none"/>
        </w:rPr>
        <w:t>。</w:t>
      </w:r>
    </w:p>
    <w:p>
      <w:pPr>
        <w:shd w:val="clear"/>
        <w:tabs>
          <w:tab w:val="left" w:pos="766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“招标采购单位”系指“采购人”和“采购代理机构”的统称。</w:t>
      </w:r>
    </w:p>
    <w:p>
      <w:pPr>
        <w:shd w:val="clear"/>
        <w:tabs>
          <w:tab w:val="left" w:pos="766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“投标人”系指购买了招标文件拟参加投标和向采购人提供货物及相应服务的供应商。</w:t>
      </w:r>
    </w:p>
    <w:p>
      <w:pPr>
        <w:shd w:val="clear"/>
        <w:tabs>
          <w:tab w:val="left" w:pos="766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本招标文件各部分规定的期间以时、日、月、年计算。期间开始的时和日，不计算在期间内，而从次日开始计算。期间届满的最后一天是节假日的，以节假日后的第一日为期间届满的日期。</w:t>
      </w:r>
    </w:p>
    <w:p>
      <w:pPr>
        <w:shd w:val="clear"/>
        <w:tabs>
          <w:tab w:val="left" w:pos="766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2.6本招标文件各部分规定的时间均以北京时间为准。</w:t>
      </w:r>
    </w:p>
    <w:p>
      <w:pPr>
        <w:pStyle w:val="5"/>
        <w:shd w:val="clear"/>
        <w:spacing w:line="400" w:lineRule="exact"/>
        <w:ind w:firstLine="482" w:firstLineChars="200"/>
        <w:rPr>
          <w:rFonts w:ascii="仿宋" w:hAnsi="仿宋" w:eastAsia="仿宋" w:cs="仿宋"/>
          <w:color w:val="auto"/>
          <w:sz w:val="24"/>
          <w:szCs w:val="24"/>
          <w:highlight w:val="none"/>
        </w:rPr>
      </w:pPr>
      <w:bookmarkStart w:id="80" w:name="_Toc307564831"/>
      <w:bookmarkStart w:id="81" w:name="_Toc26508"/>
      <w:bookmarkStart w:id="82" w:name="_Toc327196265"/>
      <w:bookmarkStart w:id="83" w:name="_Toc30244"/>
      <w:bookmarkStart w:id="84" w:name="_Toc307501088"/>
      <w:bookmarkStart w:id="85" w:name="_Toc217390843"/>
      <w:bookmarkStart w:id="86" w:name="_Toc308084576"/>
      <w:bookmarkStart w:id="87" w:name="_Toc319440121"/>
      <w:bookmarkStart w:id="88" w:name="_Toc183582207"/>
      <w:bookmarkStart w:id="89" w:name="_Toc3060"/>
      <w:bookmarkStart w:id="90" w:name="_Toc22174"/>
      <w:bookmarkStart w:id="91" w:name="_Toc319439879"/>
      <w:bookmarkStart w:id="92" w:name="_Toc309897494"/>
      <w:bookmarkStart w:id="93" w:name="_Toc7511"/>
      <w:bookmarkStart w:id="94" w:name="_Toc308188131"/>
      <w:bookmarkStart w:id="95" w:name="_Toc29784"/>
      <w:bookmarkStart w:id="96" w:name="_Toc217446036"/>
      <w:bookmarkStart w:id="97" w:name="_Toc23383"/>
      <w:bookmarkStart w:id="98" w:name="_Toc24547"/>
      <w:bookmarkStart w:id="99" w:name="_Toc183682344"/>
      <w:bookmarkStart w:id="100" w:name="_Toc4334"/>
      <w:bookmarkStart w:id="101" w:name="_Toc30689"/>
      <w:bookmarkStart w:id="102" w:name="_Toc31295"/>
      <w:r>
        <w:rPr>
          <w:rFonts w:hint="eastAsia" w:ascii="仿宋" w:hAnsi="仿宋" w:eastAsia="仿宋" w:cs="仿宋"/>
          <w:color w:val="auto"/>
          <w:sz w:val="24"/>
          <w:szCs w:val="24"/>
          <w:highlight w:val="none"/>
        </w:rPr>
        <w:t>3.合格的投标人</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仿宋" w:hAnsi="仿宋" w:eastAsia="仿宋" w:cs="仿宋"/>
          <w:color w:val="auto"/>
          <w:sz w:val="24"/>
          <w:szCs w:val="24"/>
          <w:highlight w:val="none"/>
        </w:rPr>
        <w:t>(实质性要求)</w:t>
      </w:r>
      <w:bookmarkEnd w:id="100"/>
      <w:bookmarkEnd w:id="101"/>
      <w:bookmarkEnd w:id="102"/>
    </w:p>
    <w:p>
      <w:pPr>
        <w:shd w:val="clear"/>
        <w:tabs>
          <w:tab w:val="left" w:pos="766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合格的投标人应具备以下条件：</w:t>
      </w:r>
    </w:p>
    <w:p>
      <w:pPr>
        <w:shd w:val="clear"/>
        <w:tabs>
          <w:tab w:val="left" w:pos="766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(1)本招标文件“投标邀请”第五条规定的条件；</w:t>
      </w:r>
    </w:p>
    <w:p>
      <w:pPr>
        <w:shd w:val="clear"/>
        <w:tabs>
          <w:tab w:val="left" w:pos="766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(2)遵守国家有关的法律、法规、规章和其他政策制度；</w:t>
      </w:r>
    </w:p>
    <w:p>
      <w:pPr>
        <w:shd w:val="clear"/>
        <w:tabs>
          <w:tab w:val="left" w:pos="7665"/>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(3)按照招标文件“投标邀请”中第七条规定获取了招标文件。</w:t>
      </w:r>
    </w:p>
    <w:p>
      <w:pPr>
        <w:pStyle w:val="5"/>
        <w:shd w:val="clear"/>
        <w:spacing w:line="400" w:lineRule="exact"/>
        <w:ind w:firstLine="482" w:firstLineChars="200"/>
        <w:rPr>
          <w:rFonts w:ascii="仿宋" w:hAnsi="仿宋" w:eastAsia="仿宋" w:cs="仿宋"/>
          <w:color w:val="auto"/>
          <w:sz w:val="24"/>
          <w:szCs w:val="24"/>
          <w:highlight w:val="none"/>
        </w:rPr>
      </w:pPr>
      <w:bookmarkStart w:id="103" w:name="_Toc28895"/>
      <w:bookmarkStart w:id="104" w:name="_Toc307501089"/>
      <w:bookmarkStart w:id="105" w:name="_Toc9761"/>
      <w:bookmarkStart w:id="106" w:name="_Toc26952"/>
      <w:bookmarkStart w:id="107" w:name="_Toc183682345"/>
      <w:bookmarkStart w:id="108" w:name="_Toc319439880"/>
      <w:bookmarkStart w:id="109" w:name="_Toc308188132"/>
      <w:bookmarkStart w:id="110" w:name="_Toc183582208"/>
      <w:bookmarkStart w:id="111" w:name="_Toc21649"/>
      <w:bookmarkStart w:id="112" w:name="_Toc309897495"/>
      <w:bookmarkStart w:id="113" w:name="_Toc14323"/>
      <w:bookmarkStart w:id="114" w:name="_Toc307564832"/>
      <w:bookmarkStart w:id="115" w:name="_Toc217446037"/>
      <w:bookmarkStart w:id="116" w:name="_Toc5067"/>
      <w:bookmarkStart w:id="117" w:name="_Toc12293"/>
      <w:bookmarkStart w:id="118" w:name="_Toc327196266"/>
      <w:bookmarkStart w:id="119" w:name="_Toc4414"/>
      <w:bookmarkStart w:id="120" w:name="_Toc308084577"/>
      <w:bookmarkStart w:id="121" w:name="_Toc319440122"/>
      <w:bookmarkStart w:id="122" w:name="_Toc7047"/>
      <w:bookmarkStart w:id="123" w:name="_Toc31729"/>
      <w:bookmarkStart w:id="124" w:name="_Toc6077"/>
      <w:r>
        <w:rPr>
          <w:rFonts w:hint="eastAsia" w:ascii="仿宋" w:hAnsi="仿宋" w:eastAsia="仿宋" w:cs="仿宋"/>
          <w:color w:val="auto"/>
          <w:sz w:val="24"/>
          <w:szCs w:val="24"/>
          <w:highlight w:val="none"/>
        </w:rPr>
        <w:t>4.投标费用</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仿宋" w:hAnsi="仿宋" w:eastAsia="仿宋" w:cs="仿宋"/>
          <w:color w:val="auto"/>
          <w:sz w:val="24"/>
          <w:szCs w:val="24"/>
          <w:highlight w:val="none"/>
        </w:rPr>
        <w:t>(实质性要求)</w:t>
      </w:r>
      <w:bookmarkEnd w:id="122"/>
      <w:bookmarkEnd w:id="123"/>
      <w:bookmarkEnd w:id="124"/>
    </w:p>
    <w:p>
      <w:pPr>
        <w:shd w:val="clear"/>
        <w:tabs>
          <w:tab w:val="left" w:pos="7665"/>
        </w:tabs>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投标人参加投标的有关费用由投标人自行承担。</w:t>
      </w:r>
    </w:p>
    <w:p>
      <w:pPr>
        <w:pStyle w:val="5"/>
        <w:shd w:val="clear"/>
        <w:spacing w:line="400" w:lineRule="exact"/>
        <w:ind w:firstLine="482" w:firstLineChars="200"/>
        <w:rPr>
          <w:rFonts w:ascii="仿宋" w:hAnsi="仿宋" w:eastAsia="仿宋" w:cs="仿宋"/>
          <w:color w:val="auto"/>
          <w:sz w:val="24"/>
          <w:szCs w:val="24"/>
          <w:highlight w:val="none"/>
        </w:rPr>
      </w:pPr>
      <w:bookmarkStart w:id="125" w:name="_Toc319440123"/>
      <w:bookmarkStart w:id="126" w:name="_Toc308188133"/>
      <w:bookmarkStart w:id="127" w:name="_Toc319439881"/>
      <w:bookmarkStart w:id="128" w:name="_Toc307564833"/>
      <w:bookmarkStart w:id="129" w:name="_Toc11996"/>
      <w:bookmarkStart w:id="130" w:name="_Toc18993"/>
      <w:bookmarkStart w:id="131" w:name="_Toc27927"/>
      <w:bookmarkStart w:id="132" w:name="_Toc27604"/>
      <w:bookmarkStart w:id="133" w:name="_Toc309897496"/>
      <w:bookmarkStart w:id="134" w:name="_Toc18984"/>
      <w:bookmarkStart w:id="135" w:name="_Toc11131"/>
      <w:bookmarkStart w:id="136" w:name="_Toc308084578"/>
      <w:bookmarkStart w:id="137" w:name="_Toc307501090"/>
      <w:bookmarkStart w:id="138" w:name="_Toc327196267"/>
      <w:bookmarkStart w:id="139" w:name="_Toc7710"/>
      <w:bookmarkStart w:id="140" w:name="_Toc28490"/>
      <w:bookmarkStart w:id="141" w:name="_Toc25456"/>
      <w:bookmarkStart w:id="142" w:name="_Toc5564"/>
      <w:bookmarkStart w:id="143" w:name="_Toc11923"/>
      <w:r>
        <w:rPr>
          <w:rFonts w:hint="eastAsia" w:ascii="仿宋" w:hAnsi="仿宋" w:eastAsia="仿宋" w:cs="仿宋"/>
          <w:color w:val="auto"/>
          <w:sz w:val="24"/>
          <w:szCs w:val="24"/>
          <w:highlight w:val="none"/>
        </w:rPr>
        <w:t>5.充分、公平竞争保障措施</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仿宋" w:hAnsi="仿宋" w:eastAsia="仿宋" w:cs="仿宋"/>
          <w:color w:val="auto"/>
          <w:sz w:val="24"/>
          <w:szCs w:val="24"/>
          <w:highlight w:val="none"/>
        </w:rPr>
        <w:t>(实质性要求)</w:t>
      </w:r>
      <w:bookmarkEnd w:id="141"/>
      <w:bookmarkEnd w:id="142"/>
      <w:bookmarkEnd w:id="143"/>
    </w:p>
    <w:p>
      <w:pPr>
        <w:shd w:val="clear"/>
        <w:tabs>
          <w:tab w:val="left" w:pos="7665"/>
        </w:tabs>
        <w:spacing w:line="400" w:lineRule="exact"/>
        <w:ind w:firstLine="480"/>
        <w:rPr>
          <w:rFonts w:ascii="仿宋" w:hAnsi="仿宋" w:eastAsia="仿宋" w:cs="仿宋"/>
          <w:color w:val="auto"/>
          <w:sz w:val="24"/>
          <w:highlight w:val="none"/>
        </w:rPr>
      </w:pPr>
      <w:bookmarkStart w:id="144" w:name="_Toc77400779"/>
      <w:bookmarkStart w:id="145" w:name="_Toc183582209"/>
      <w:bookmarkStart w:id="146" w:name="_Toc217446038"/>
      <w:bookmarkStart w:id="147" w:name="_Toc327196268"/>
      <w:bookmarkStart w:id="148" w:name="_Toc89075875"/>
      <w:bookmarkStart w:id="149" w:name="_Toc13891"/>
      <w:bookmarkStart w:id="150" w:name="_Toc183682346"/>
      <w:r>
        <w:rPr>
          <w:rFonts w:hint="eastAsia" w:ascii="仿宋" w:hAnsi="仿宋" w:eastAsia="仿宋" w:cs="仿宋"/>
          <w:b/>
          <w:bCs/>
          <w:color w:val="auto"/>
          <w:sz w:val="24"/>
          <w:highlight w:val="none"/>
        </w:rPr>
        <w:t>5.1利害关系供应商处理。</w:t>
      </w:r>
      <w:r>
        <w:rPr>
          <w:rFonts w:hint="eastAsia" w:ascii="仿宋" w:hAnsi="仿宋" w:eastAsia="仿宋" w:cs="仿宋"/>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shd w:val="clear"/>
        <w:tabs>
          <w:tab w:val="left" w:pos="7665"/>
        </w:tabs>
        <w:spacing w:line="400" w:lineRule="exact"/>
        <w:ind w:firstLine="480"/>
        <w:rPr>
          <w:rFonts w:ascii="仿宋" w:hAnsi="仿宋" w:eastAsia="仿宋" w:cs="仿宋"/>
          <w:color w:val="auto"/>
          <w:sz w:val="24"/>
          <w:highlight w:val="none"/>
        </w:rPr>
      </w:pPr>
      <w:r>
        <w:rPr>
          <w:rFonts w:hint="eastAsia" w:ascii="仿宋" w:hAnsi="仿宋" w:eastAsia="仿宋" w:cs="仿宋"/>
          <w:b/>
          <w:bCs/>
          <w:color w:val="auto"/>
          <w:sz w:val="24"/>
          <w:highlight w:val="none"/>
        </w:rPr>
        <w:t>5.2前期参与供应商处理。</w:t>
      </w:r>
      <w:r>
        <w:rPr>
          <w:rFonts w:hint="eastAsia" w:ascii="仿宋" w:hAnsi="仿宋" w:eastAsia="仿宋" w:cs="仿宋"/>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hd w:val="clear"/>
        <w:tabs>
          <w:tab w:val="left" w:pos="7665"/>
        </w:tabs>
        <w:spacing w:line="400" w:lineRule="exact"/>
        <w:ind w:firstLine="480"/>
        <w:rPr>
          <w:rFonts w:ascii="仿宋" w:hAnsi="仿宋" w:eastAsia="仿宋" w:cs="仿宋"/>
          <w:color w:val="auto"/>
          <w:sz w:val="24"/>
          <w:highlight w:val="none"/>
        </w:rPr>
      </w:pPr>
      <w:r>
        <w:rPr>
          <w:rFonts w:hint="eastAsia" w:ascii="仿宋" w:hAnsi="仿宋" w:eastAsia="仿宋" w:cs="仿宋"/>
          <w:b/>
          <w:bCs/>
          <w:color w:val="auto"/>
          <w:sz w:val="24"/>
          <w:highlight w:val="none"/>
        </w:rPr>
        <w:t>5.3利害关系代理人处理。</w:t>
      </w:r>
      <w:r>
        <w:rPr>
          <w:rFonts w:hint="eastAsia" w:ascii="仿宋" w:hAnsi="仿宋" w:eastAsia="仿宋" w:cs="仿宋"/>
          <w:color w:val="auto"/>
          <w:sz w:val="24"/>
          <w:highlight w:val="none"/>
        </w:rPr>
        <w:t>2家以上的供应商不得在同一合同项下的采购项目中，同时委托同一个自然人、同一家庭的人员、同一单位的人员作为其代理人，否则，其投标文件作为无效处理。</w:t>
      </w:r>
    </w:p>
    <w:p>
      <w:pPr>
        <w:pStyle w:val="4"/>
        <w:shd w:val="clear"/>
        <w:spacing w:before="0" w:after="0" w:line="440" w:lineRule="exact"/>
        <w:jc w:val="center"/>
        <w:rPr>
          <w:rFonts w:ascii="仿宋" w:hAnsi="仿宋" w:eastAsia="仿宋" w:cs="仿宋"/>
          <w:bCs w:val="0"/>
          <w:color w:val="auto"/>
          <w:highlight w:val="none"/>
        </w:rPr>
      </w:pPr>
      <w:bookmarkStart w:id="151" w:name="_Toc27564"/>
      <w:bookmarkStart w:id="152" w:name="_Toc14125"/>
      <w:bookmarkStart w:id="153" w:name="_Toc23907"/>
      <w:r>
        <w:rPr>
          <w:rFonts w:hint="eastAsia" w:ascii="仿宋" w:hAnsi="仿宋" w:eastAsia="仿宋" w:cs="仿宋"/>
          <w:bCs w:val="0"/>
          <w:color w:val="auto"/>
          <w:highlight w:val="none"/>
        </w:rPr>
        <w:t>三、招标文件</w:t>
      </w:r>
      <w:bookmarkEnd w:id="144"/>
      <w:bookmarkEnd w:id="145"/>
      <w:bookmarkEnd w:id="146"/>
      <w:bookmarkEnd w:id="147"/>
      <w:bookmarkEnd w:id="148"/>
      <w:bookmarkEnd w:id="149"/>
      <w:bookmarkEnd w:id="150"/>
      <w:bookmarkEnd w:id="151"/>
      <w:bookmarkEnd w:id="152"/>
      <w:bookmarkEnd w:id="153"/>
    </w:p>
    <w:p>
      <w:pPr>
        <w:pStyle w:val="5"/>
        <w:shd w:val="clear"/>
        <w:spacing w:line="400" w:lineRule="exact"/>
        <w:ind w:firstLine="482" w:firstLineChars="200"/>
        <w:rPr>
          <w:rFonts w:ascii="仿宋" w:hAnsi="仿宋" w:eastAsia="仿宋" w:cs="仿宋"/>
          <w:color w:val="auto"/>
          <w:sz w:val="24"/>
          <w:szCs w:val="24"/>
          <w:highlight w:val="none"/>
        </w:rPr>
      </w:pPr>
      <w:bookmarkStart w:id="154" w:name="_Toc22520"/>
      <w:bookmarkStart w:id="155" w:name="_Toc327196269"/>
      <w:bookmarkStart w:id="156" w:name="_Toc307501092"/>
      <w:bookmarkStart w:id="157" w:name="_Toc319440125"/>
      <w:bookmarkStart w:id="158" w:name="_Toc19030"/>
      <w:bookmarkStart w:id="159" w:name="_Toc8808"/>
      <w:bookmarkStart w:id="160" w:name="_Toc16404"/>
      <w:bookmarkStart w:id="161" w:name="_Toc217446039"/>
      <w:bookmarkStart w:id="162" w:name="_Toc308084580"/>
      <w:bookmarkStart w:id="163" w:name="_Toc319439883"/>
      <w:bookmarkStart w:id="164" w:name="_Toc307564835"/>
      <w:bookmarkStart w:id="165" w:name="_Toc25650"/>
      <w:bookmarkStart w:id="166" w:name="_Toc8208"/>
      <w:bookmarkStart w:id="167" w:name="_Toc5983"/>
      <w:bookmarkStart w:id="168" w:name="_Toc183582210"/>
      <w:bookmarkStart w:id="169" w:name="_Toc21985"/>
      <w:bookmarkStart w:id="170" w:name="_Toc308188135"/>
      <w:bookmarkStart w:id="171" w:name="_Toc183682347"/>
      <w:bookmarkStart w:id="172" w:name="_Toc309897498"/>
      <w:bookmarkStart w:id="173" w:name="_Toc25874"/>
      <w:bookmarkStart w:id="174" w:name="_Toc24565"/>
      <w:bookmarkStart w:id="175" w:name="_Toc29703"/>
      <w:r>
        <w:rPr>
          <w:rFonts w:hint="eastAsia" w:ascii="仿宋" w:hAnsi="仿宋" w:eastAsia="仿宋" w:cs="仿宋"/>
          <w:color w:val="auto"/>
          <w:sz w:val="24"/>
          <w:szCs w:val="24"/>
          <w:highlight w:val="none"/>
        </w:rPr>
        <w:t>6.招标文件的构成</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hd w:val="clear"/>
        <w:tabs>
          <w:tab w:val="left" w:pos="7665"/>
        </w:tabs>
        <w:spacing w:line="440" w:lineRule="exact"/>
        <w:ind w:firstLine="499" w:firstLineChars="208"/>
        <w:rPr>
          <w:rFonts w:ascii="仿宋" w:hAnsi="仿宋" w:eastAsia="仿宋" w:cs="仿宋"/>
          <w:color w:val="auto"/>
          <w:sz w:val="24"/>
          <w:highlight w:val="none"/>
        </w:rPr>
      </w:pPr>
      <w:r>
        <w:rPr>
          <w:rFonts w:hint="eastAsia" w:ascii="仿宋" w:hAnsi="仿宋" w:eastAsia="仿宋" w:cs="仿宋"/>
          <w:color w:val="auto"/>
          <w:sz w:val="24"/>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numPr>
          <w:ilvl w:val="0"/>
          <w:numId w:val="6"/>
        </w:numPr>
        <w:shd w:val="clear"/>
        <w:spacing w:line="440" w:lineRule="exact"/>
        <w:ind w:left="0" w:firstLine="480"/>
        <w:rPr>
          <w:rFonts w:ascii="仿宋" w:hAnsi="仿宋" w:eastAsia="仿宋" w:cs="仿宋"/>
          <w:color w:val="auto"/>
          <w:sz w:val="24"/>
          <w:highlight w:val="none"/>
        </w:rPr>
      </w:pPr>
      <w:r>
        <w:rPr>
          <w:rFonts w:hint="eastAsia" w:ascii="仿宋" w:hAnsi="仿宋" w:eastAsia="仿宋" w:cs="仿宋"/>
          <w:color w:val="auto"/>
          <w:sz w:val="24"/>
          <w:highlight w:val="none"/>
        </w:rPr>
        <w:t>投标邀请；</w:t>
      </w:r>
    </w:p>
    <w:p>
      <w:pPr>
        <w:numPr>
          <w:ilvl w:val="0"/>
          <w:numId w:val="6"/>
        </w:numPr>
        <w:shd w:val="clear"/>
        <w:spacing w:line="440" w:lineRule="exact"/>
        <w:ind w:left="0"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投标人须知；</w:t>
      </w:r>
    </w:p>
    <w:p>
      <w:pPr>
        <w:numPr>
          <w:ilvl w:val="0"/>
          <w:numId w:val="6"/>
        </w:numPr>
        <w:shd w:val="clear"/>
        <w:spacing w:line="440" w:lineRule="exact"/>
        <w:ind w:left="0" w:firstLine="480"/>
        <w:rPr>
          <w:rFonts w:ascii="仿宋" w:hAnsi="仿宋" w:eastAsia="仿宋" w:cs="仿宋"/>
          <w:color w:val="auto"/>
          <w:sz w:val="24"/>
          <w:highlight w:val="none"/>
        </w:rPr>
      </w:pPr>
      <w:r>
        <w:rPr>
          <w:rFonts w:hint="eastAsia" w:ascii="仿宋" w:hAnsi="仿宋" w:eastAsia="仿宋" w:cs="仿宋"/>
          <w:color w:val="auto"/>
          <w:sz w:val="24"/>
          <w:highlight w:val="none"/>
        </w:rPr>
        <w:t>投标文件格式；</w:t>
      </w:r>
    </w:p>
    <w:p>
      <w:pPr>
        <w:numPr>
          <w:ilvl w:val="0"/>
          <w:numId w:val="6"/>
        </w:numPr>
        <w:shd w:val="clear"/>
        <w:spacing w:line="440" w:lineRule="exact"/>
        <w:ind w:left="0" w:firstLine="480"/>
        <w:rPr>
          <w:rFonts w:ascii="仿宋" w:hAnsi="仿宋" w:eastAsia="仿宋" w:cs="仿宋"/>
          <w:color w:val="auto"/>
          <w:sz w:val="24"/>
          <w:highlight w:val="none"/>
        </w:rPr>
      </w:pPr>
      <w:r>
        <w:rPr>
          <w:rFonts w:hint="eastAsia" w:ascii="仿宋" w:hAnsi="仿宋" w:eastAsia="仿宋" w:cs="仿宋"/>
          <w:color w:val="auto"/>
          <w:sz w:val="24"/>
          <w:highlight w:val="none"/>
        </w:rPr>
        <w:t>招标项目技术、服务、政府采购合同内容条款及其他商务要求；</w:t>
      </w:r>
    </w:p>
    <w:p>
      <w:pPr>
        <w:numPr>
          <w:ilvl w:val="0"/>
          <w:numId w:val="6"/>
        </w:numPr>
        <w:shd w:val="clear"/>
        <w:spacing w:line="440" w:lineRule="exact"/>
        <w:ind w:left="0" w:firstLine="480"/>
        <w:rPr>
          <w:rFonts w:ascii="仿宋" w:hAnsi="仿宋" w:eastAsia="仿宋" w:cs="仿宋"/>
          <w:color w:val="auto"/>
          <w:sz w:val="24"/>
          <w:highlight w:val="none"/>
        </w:rPr>
      </w:pPr>
      <w:r>
        <w:rPr>
          <w:rFonts w:hint="eastAsia" w:ascii="仿宋" w:hAnsi="仿宋" w:eastAsia="仿宋" w:cs="仿宋"/>
          <w:color w:val="auto"/>
          <w:sz w:val="24"/>
          <w:highlight w:val="none"/>
        </w:rPr>
        <w:t>资格审查办法；</w:t>
      </w:r>
    </w:p>
    <w:p>
      <w:pPr>
        <w:numPr>
          <w:ilvl w:val="0"/>
          <w:numId w:val="6"/>
        </w:numPr>
        <w:shd w:val="clear"/>
        <w:spacing w:line="440" w:lineRule="exact"/>
        <w:ind w:left="0" w:firstLine="480"/>
        <w:rPr>
          <w:rFonts w:ascii="仿宋" w:hAnsi="仿宋" w:eastAsia="仿宋" w:cs="仿宋"/>
          <w:color w:val="auto"/>
          <w:sz w:val="24"/>
          <w:highlight w:val="none"/>
        </w:rPr>
      </w:pPr>
      <w:r>
        <w:rPr>
          <w:rFonts w:hint="eastAsia" w:ascii="仿宋" w:hAnsi="仿宋" w:eastAsia="仿宋" w:cs="仿宋"/>
          <w:color w:val="auto"/>
          <w:sz w:val="24"/>
          <w:highlight w:val="none"/>
        </w:rPr>
        <w:t>评标办法；</w:t>
      </w:r>
    </w:p>
    <w:p>
      <w:pPr>
        <w:numPr>
          <w:ilvl w:val="0"/>
          <w:numId w:val="6"/>
        </w:numPr>
        <w:shd w:val="clear"/>
        <w:spacing w:line="440" w:lineRule="exact"/>
        <w:ind w:left="0" w:firstLine="480"/>
        <w:rPr>
          <w:rFonts w:ascii="仿宋" w:hAnsi="仿宋" w:eastAsia="仿宋" w:cs="仿宋"/>
          <w:color w:val="auto"/>
          <w:sz w:val="24"/>
          <w:highlight w:val="none"/>
        </w:rPr>
      </w:pPr>
      <w:r>
        <w:rPr>
          <w:rFonts w:hint="eastAsia" w:ascii="仿宋" w:hAnsi="仿宋" w:eastAsia="仿宋" w:cs="仿宋"/>
          <w:color w:val="auto"/>
          <w:sz w:val="24"/>
          <w:highlight w:val="none"/>
        </w:rPr>
        <w:t>合同主要条款（供参考）。</w:t>
      </w:r>
    </w:p>
    <w:p>
      <w:pPr>
        <w:pStyle w:val="5"/>
        <w:shd w:val="clear"/>
        <w:spacing w:line="400" w:lineRule="exact"/>
        <w:ind w:firstLine="482" w:firstLineChars="200"/>
        <w:rPr>
          <w:rFonts w:ascii="仿宋" w:hAnsi="仿宋" w:eastAsia="仿宋" w:cs="仿宋"/>
          <w:color w:val="auto"/>
          <w:sz w:val="24"/>
          <w:szCs w:val="24"/>
          <w:highlight w:val="none"/>
        </w:rPr>
      </w:pPr>
      <w:bookmarkStart w:id="176" w:name="_Toc183682348"/>
      <w:bookmarkStart w:id="177" w:name="_Toc183582211"/>
      <w:bookmarkStart w:id="178" w:name="_Toc17632"/>
      <w:bookmarkStart w:id="179" w:name="_Toc309897499"/>
      <w:bookmarkStart w:id="180" w:name="_Toc13600"/>
      <w:bookmarkStart w:id="181" w:name="_Toc319440126"/>
      <w:bookmarkStart w:id="182" w:name="_Toc327196270"/>
      <w:bookmarkStart w:id="183" w:name="_Toc22085"/>
      <w:bookmarkStart w:id="184" w:name="_Toc26020"/>
      <w:bookmarkStart w:id="185" w:name="_Toc308084581"/>
      <w:bookmarkStart w:id="186" w:name="_Toc27690"/>
      <w:bookmarkStart w:id="187" w:name="_Toc307564836"/>
      <w:bookmarkStart w:id="188" w:name="_Toc319439884"/>
      <w:bookmarkStart w:id="189" w:name="_Toc308188136"/>
      <w:bookmarkStart w:id="190" w:name="_Toc7541"/>
      <w:bookmarkStart w:id="191" w:name="_Toc217446040"/>
      <w:bookmarkStart w:id="192" w:name="_Toc25894"/>
      <w:bookmarkStart w:id="193" w:name="_Toc11995"/>
      <w:bookmarkStart w:id="194" w:name="_Toc307501093"/>
      <w:bookmarkStart w:id="195" w:name="_Toc16291"/>
      <w:bookmarkStart w:id="196" w:name="_Toc19612"/>
      <w:bookmarkStart w:id="197" w:name="_Toc108"/>
      <w:r>
        <w:rPr>
          <w:rFonts w:hint="eastAsia" w:ascii="仿宋" w:hAnsi="仿宋" w:eastAsia="仿宋" w:cs="仿宋"/>
          <w:color w:val="auto"/>
          <w:sz w:val="24"/>
          <w:szCs w:val="24"/>
          <w:highlight w:val="none"/>
        </w:rPr>
        <w:t>7.招标文件的澄清</w:t>
      </w:r>
      <w:bookmarkEnd w:id="176"/>
      <w:bookmarkEnd w:id="177"/>
      <w:r>
        <w:rPr>
          <w:rFonts w:hint="eastAsia" w:ascii="仿宋" w:hAnsi="仿宋" w:eastAsia="仿宋" w:cs="仿宋"/>
          <w:color w:val="auto"/>
          <w:sz w:val="24"/>
          <w:szCs w:val="24"/>
          <w:highlight w:val="none"/>
        </w:rPr>
        <w:t>和修改</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 招标采购单位可以依法对招标文件进行澄清或者修改。</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15日前、提交资格预审申请文件截止时间至少3日前；不足上述时间的，应当顺延提交投标文件、资格预审申请文件的截止时间。</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 投标人认为需要对招标文件进行澄清或者修改的，可以以书面形式向招标采购单位构提出申请，但招标采购单位可以决定是否采纳投标人的申请事项。</w:t>
      </w:r>
      <w:r>
        <w:rPr>
          <w:rFonts w:hint="eastAsia" w:ascii="仿宋" w:hAnsi="仿宋" w:eastAsia="仿宋" w:cs="仿宋"/>
          <w:color w:val="auto"/>
          <w:sz w:val="24"/>
          <w:szCs w:val="20"/>
          <w:highlight w:val="none"/>
        </w:rPr>
        <w:t>　</w:t>
      </w:r>
    </w:p>
    <w:p>
      <w:pPr>
        <w:pStyle w:val="5"/>
        <w:shd w:val="clear"/>
        <w:spacing w:line="400" w:lineRule="exact"/>
        <w:ind w:firstLine="482" w:firstLineChars="200"/>
        <w:rPr>
          <w:rFonts w:ascii="仿宋" w:hAnsi="仿宋" w:eastAsia="仿宋" w:cs="仿宋"/>
          <w:color w:val="auto"/>
          <w:sz w:val="24"/>
          <w:szCs w:val="24"/>
          <w:highlight w:val="none"/>
        </w:rPr>
      </w:pPr>
      <w:bookmarkStart w:id="198" w:name="_Toc319440127"/>
      <w:bookmarkStart w:id="199" w:name="_Toc3361"/>
      <w:bookmarkStart w:id="200" w:name="_Toc307501094"/>
      <w:bookmarkStart w:id="201" w:name="_Toc217446041"/>
      <w:bookmarkStart w:id="202" w:name="_Toc327196271"/>
      <w:bookmarkStart w:id="203" w:name="_Toc24226"/>
      <w:bookmarkStart w:id="204" w:name="_Toc319439885"/>
      <w:bookmarkStart w:id="205" w:name="_Toc17111"/>
      <w:bookmarkStart w:id="206" w:name="_Toc7026"/>
      <w:bookmarkStart w:id="207" w:name="_Toc8838"/>
      <w:bookmarkStart w:id="208" w:name="_Toc307564837"/>
      <w:bookmarkStart w:id="209" w:name="_Toc6811"/>
      <w:bookmarkStart w:id="210" w:name="_Toc22061"/>
      <w:bookmarkStart w:id="211" w:name="_Toc3159"/>
      <w:bookmarkStart w:id="212" w:name="_Toc9735"/>
      <w:bookmarkStart w:id="213" w:name="_Toc208848971"/>
      <w:bookmarkStart w:id="214" w:name="_Toc308188137"/>
      <w:bookmarkStart w:id="215" w:name="_Toc16546"/>
      <w:bookmarkStart w:id="216" w:name="_Toc308084582"/>
      <w:bookmarkStart w:id="217" w:name="_Toc309897500"/>
      <w:bookmarkStart w:id="218" w:name="_Toc2637"/>
      <w:r>
        <w:rPr>
          <w:rFonts w:hint="eastAsia" w:ascii="仿宋" w:hAnsi="仿宋" w:eastAsia="仿宋" w:cs="仿宋"/>
          <w:color w:val="auto"/>
          <w:sz w:val="24"/>
          <w:szCs w:val="24"/>
          <w:highlight w:val="none"/>
        </w:rPr>
        <w:t>8.答疑会和现场考察</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67"/>
        <w:shd w:val="clear"/>
        <w:wordWrap w:val="0"/>
        <w:topLinePunct/>
        <w:spacing w:line="440" w:lineRule="exact"/>
        <w:ind w:right="170" w:rightChars="50" w:firstLine="480" w:firstLineChars="200"/>
        <w:jc w:val="both"/>
        <w:rPr>
          <w:rFonts w:ascii="仿宋" w:hAnsi="仿宋" w:eastAsia="仿宋" w:cs="仿宋"/>
          <w:color w:val="auto"/>
          <w:szCs w:val="22"/>
          <w:highlight w:val="none"/>
        </w:rPr>
      </w:pPr>
      <w:bookmarkStart w:id="219" w:name="_Toc16131"/>
      <w:bookmarkStart w:id="220" w:name="_Toc183682351"/>
      <w:bookmarkStart w:id="221" w:name="_Toc183582214"/>
      <w:bookmarkStart w:id="222" w:name="_Toc327196272"/>
      <w:bookmarkStart w:id="223" w:name="_Toc89075876"/>
      <w:bookmarkStart w:id="224" w:name="_Toc77400780"/>
      <w:bookmarkStart w:id="225" w:name="_Toc217446042"/>
      <w:bookmarkStart w:id="226" w:name="_Toc5372"/>
      <w:bookmarkStart w:id="227" w:name="_Toc27479"/>
      <w:bookmarkStart w:id="228" w:name="_Toc20199"/>
      <w:r>
        <w:rPr>
          <w:rFonts w:hint="eastAsia" w:ascii="仿宋" w:hAnsi="仿宋" w:eastAsia="仿宋" w:cs="仿宋"/>
          <w:color w:val="auto"/>
          <w:szCs w:val="22"/>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r>
        <w:rPr>
          <w:rFonts w:hint="eastAsia" w:ascii="仿宋" w:hAnsi="仿宋" w:eastAsia="仿宋" w:cs="仿宋"/>
          <w:color w:val="auto"/>
          <w:highlight w:val="none"/>
        </w:rPr>
        <w:t>。</w:t>
      </w:r>
    </w:p>
    <w:p>
      <w:pPr>
        <w:pStyle w:val="4"/>
        <w:shd w:val="clear"/>
        <w:spacing w:before="0" w:after="0" w:line="440" w:lineRule="exact"/>
        <w:ind w:firstLine="480"/>
        <w:rPr>
          <w:rFonts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 xml:space="preserve">8.2 供应商考察现场所发生的一切费用由供应商自己承担。 </w:t>
      </w:r>
    </w:p>
    <w:p>
      <w:pPr>
        <w:pStyle w:val="4"/>
        <w:shd w:val="clear"/>
        <w:spacing w:before="0" w:after="0" w:line="440" w:lineRule="exact"/>
        <w:jc w:val="center"/>
        <w:rPr>
          <w:rFonts w:ascii="仿宋" w:hAnsi="仿宋" w:eastAsia="仿宋" w:cs="仿宋"/>
          <w:bCs w:val="0"/>
          <w:color w:val="auto"/>
          <w:highlight w:val="none"/>
        </w:rPr>
      </w:pPr>
      <w:r>
        <w:rPr>
          <w:rFonts w:hint="eastAsia" w:ascii="仿宋" w:hAnsi="仿宋" w:eastAsia="仿宋" w:cs="仿宋"/>
          <w:bCs w:val="0"/>
          <w:color w:val="auto"/>
          <w:highlight w:val="none"/>
        </w:rPr>
        <w:t>四、投标文件</w:t>
      </w:r>
      <w:bookmarkEnd w:id="219"/>
      <w:bookmarkEnd w:id="220"/>
      <w:bookmarkEnd w:id="221"/>
      <w:bookmarkEnd w:id="222"/>
      <w:bookmarkEnd w:id="223"/>
      <w:bookmarkEnd w:id="224"/>
      <w:bookmarkEnd w:id="225"/>
      <w:bookmarkEnd w:id="226"/>
      <w:bookmarkEnd w:id="227"/>
      <w:bookmarkEnd w:id="228"/>
    </w:p>
    <w:p>
      <w:pPr>
        <w:pStyle w:val="5"/>
        <w:shd w:val="clear"/>
        <w:spacing w:line="400" w:lineRule="exact"/>
        <w:ind w:firstLine="482" w:firstLineChars="200"/>
        <w:rPr>
          <w:rFonts w:ascii="仿宋" w:hAnsi="仿宋" w:eastAsia="仿宋" w:cs="仿宋"/>
          <w:color w:val="auto"/>
          <w:sz w:val="24"/>
          <w:szCs w:val="24"/>
          <w:highlight w:val="none"/>
        </w:rPr>
      </w:pPr>
      <w:bookmarkStart w:id="229" w:name="_Toc27053"/>
      <w:bookmarkStart w:id="230" w:name="_Toc307501096"/>
      <w:bookmarkStart w:id="231" w:name="_Toc319439887"/>
      <w:bookmarkStart w:id="232" w:name="_Toc308188139"/>
      <w:bookmarkStart w:id="233" w:name="_Toc1641"/>
      <w:bookmarkStart w:id="234" w:name="_Toc307564839"/>
      <w:bookmarkStart w:id="235" w:name="_Toc183582215"/>
      <w:bookmarkStart w:id="236" w:name="_Toc308084584"/>
      <w:bookmarkStart w:id="237" w:name="_Toc29330"/>
      <w:bookmarkStart w:id="238" w:name="_Toc26076"/>
      <w:bookmarkStart w:id="239" w:name="_Toc217446043"/>
      <w:bookmarkStart w:id="240" w:name="_Toc23564"/>
      <w:bookmarkStart w:id="241" w:name="_Toc21169"/>
      <w:bookmarkStart w:id="242" w:name="_Toc183682352"/>
      <w:bookmarkStart w:id="243" w:name="_Toc327196273"/>
      <w:bookmarkStart w:id="244" w:name="_Toc2601"/>
      <w:bookmarkStart w:id="245" w:name="_Toc3041"/>
      <w:bookmarkStart w:id="246" w:name="_Toc319440129"/>
      <w:bookmarkStart w:id="247" w:name="_Toc309897502"/>
      <w:bookmarkStart w:id="248" w:name="_Toc3307"/>
      <w:bookmarkStart w:id="249" w:name="_Toc8388"/>
      <w:bookmarkStart w:id="250" w:name="_Toc11217"/>
      <w:r>
        <w:rPr>
          <w:rFonts w:hint="eastAsia" w:ascii="仿宋" w:hAnsi="仿宋" w:eastAsia="仿宋" w:cs="仿宋"/>
          <w:color w:val="auto"/>
          <w:sz w:val="24"/>
          <w:szCs w:val="24"/>
          <w:highlight w:val="none"/>
        </w:rPr>
        <w:t>9.投标文件的语言</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仿宋" w:hAnsi="仿宋" w:eastAsia="仿宋" w:cs="仿宋"/>
          <w:color w:val="auto"/>
          <w:sz w:val="24"/>
          <w:szCs w:val="24"/>
          <w:highlight w:val="none"/>
        </w:rPr>
        <w:t>(实质性要求)</w:t>
      </w:r>
      <w:bookmarkEnd w:id="248"/>
      <w:bookmarkEnd w:id="249"/>
      <w:bookmarkEnd w:id="250"/>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 翻译的中文资料与外文资料如果出现差异和矛盾时，以中文为准。涉嫌虚假响应的按照相关法律法规处理。</w:t>
      </w:r>
    </w:p>
    <w:p>
      <w:pPr>
        <w:pStyle w:val="5"/>
        <w:shd w:val="clear"/>
        <w:spacing w:line="400" w:lineRule="exact"/>
        <w:ind w:firstLine="482" w:firstLineChars="200"/>
        <w:rPr>
          <w:rFonts w:ascii="仿宋" w:hAnsi="仿宋" w:eastAsia="仿宋" w:cs="仿宋"/>
          <w:color w:val="auto"/>
          <w:sz w:val="24"/>
          <w:szCs w:val="24"/>
          <w:highlight w:val="none"/>
        </w:rPr>
      </w:pPr>
      <w:bookmarkStart w:id="251" w:name="_Toc183582216"/>
      <w:bookmarkStart w:id="252" w:name="_Toc17444"/>
      <w:bookmarkStart w:id="253" w:name="_Toc307501097"/>
      <w:bookmarkStart w:id="254" w:name="_Toc15145"/>
      <w:bookmarkStart w:id="255" w:name="_Toc15226"/>
      <w:bookmarkStart w:id="256" w:name="_Toc12195"/>
      <w:bookmarkStart w:id="257" w:name="_Toc309897503"/>
      <w:bookmarkStart w:id="258" w:name="_Toc308084585"/>
      <w:bookmarkStart w:id="259" w:name="_Toc11901"/>
      <w:bookmarkStart w:id="260" w:name="_Toc2379"/>
      <w:bookmarkStart w:id="261" w:name="_Toc327196274"/>
      <w:bookmarkStart w:id="262" w:name="_Toc20188"/>
      <w:bookmarkStart w:id="263" w:name="_Toc307564840"/>
      <w:bookmarkStart w:id="264" w:name="_Toc319440130"/>
      <w:bookmarkStart w:id="265" w:name="_Toc20091"/>
      <w:bookmarkStart w:id="266" w:name="_Toc319439888"/>
      <w:bookmarkStart w:id="267" w:name="_Toc308188140"/>
      <w:bookmarkStart w:id="268" w:name="_Toc217446044"/>
      <w:bookmarkStart w:id="269" w:name="_Toc183682353"/>
      <w:bookmarkStart w:id="270" w:name="_Toc18700"/>
      <w:bookmarkStart w:id="271" w:name="_Toc27229"/>
      <w:bookmarkStart w:id="272" w:name="_Toc10594"/>
      <w:r>
        <w:rPr>
          <w:rFonts w:hint="eastAsia" w:ascii="仿宋" w:hAnsi="仿宋" w:eastAsia="仿宋" w:cs="仿宋"/>
          <w:color w:val="auto"/>
          <w:sz w:val="24"/>
          <w:szCs w:val="24"/>
          <w:highlight w:val="none"/>
        </w:rPr>
        <w:t>10.计量单位</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hint="eastAsia" w:ascii="仿宋" w:hAnsi="仿宋" w:eastAsia="仿宋" w:cs="仿宋"/>
          <w:color w:val="auto"/>
          <w:sz w:val="24"/>
          <w:szCs w:val="24"/>
          <w:highlight w:val="none"/>
        </w:rPr>
        <w:t>(实质性要求)</w:t>
      </w:r>
      <w:bookmarkEnd w:id="270"/>
      <w:bookmarkEnd w:id="271"/>
      <w:bookmarkEnd w:id="272"/>
    </w:p>
    <w:p>
      <w:pPr>
        <w:shd w:val="clea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除招标文件中另有规定外，本次采购项目所有合同项下的投标均采用国家法定的计量单位。</w:t>
      </w:r>
    </w:p>
    <w:p>
      <w:pPr>
        <w:pStyle w:val="5"/>
        <w:shd w:val="clear"/>
        <w:spacing w:line="400" w:lineRule="exact"/>
        <w:ind w:firstLine="482" w:firstLineChars="200"/>
        <w:rPr>
          <w:rFonts w:ascii="仿宋" w:hAnsi="仿宋" w:eastAsia="仿宋" w:cs="仿宋"/>
          <w:color w:val="auto"/>
          <w:sz w:val="24"/>
          <w:szCs w:val="24"/>
          <w:highlight w:val="none"/>
        </w:rPr>
      </w:pPr>
      <w:bookmarkStart w:id="273" w:name="_Toc24761"/>
      <w:bookmarkStart w:id="274" w:name="_Toc307564841"/>
      <w:bookmarkStart w:id="275" w:name="_Toc308188141"/>
      <w:bookmarkStart w:id="276" w:name="_Toc8803"/>
      <w:bookmarkStart w:id="277" w:name="_Toc8881"/>
      <w:bookmarkStart w:id="278" w:name="_Toc217446045"/>
      <w:bookmarkStart w:id="279" w:name="_Toc698"/>
      <w:bookmarkStart w:id="280" w:name="_Toc16798"/>
      <w:bookmarkStart w:id="281" w:name="_Toc15435"/>
      <w:bookmarkStart w:id="282" w:name="_Toc319440131"/>
      <w:bookmarkStart w:id="283" w:name="_Toc22739"/>
      <w:bookmarkStart w:id="284" w:name="_Toc307501098"/>
      <w:bookmarkStart w:id="285" w:name="_Toc327196275"/>
      <w:bookmarkStart w:id="286" w:name="_Toc308084586"/>
      <w:bookmarkStart w:id="287" w:name="_Toc319439889"/>
      <w:bookmarkStart w:id="288" w:name="_Toc25216"/>
      <w:bookmarkStart w:id="289" w:name="_Toc309897504"/>
      <w:bookmarkStart w:id="290" w:name="_Toc11633"/>
      <w:bookmarkStart w:id="291" w:name="_Toc19960"/>
      <w:bookmarkStart w:id="292" w:name="_Toc21948"/>
      <w:r>
        <w:rPr>
          <w:rFonts w:hint="eastAsia" w:ascii="仿宋" w:hAnsi="仿宋" w:eastAsia="仿宋" w:cs="仿宋"/>
          <w:color w:val="auto"/>
          <w:sz w:val="24"/>
          <w:szCs w:val="24"/>
          <w:highlight w:val="none"/>
        </w:rPr>
        <w:t>11.投标货币</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hint="eastAsia" w:ascii="仿宋" w:hAnsi="仿宋" w:eastAsia="仿宋" w:cs="仿宋"/>
          <w:color w:val="auto"/>
          <w:sz w:val="24"/>
          <w:szCs w:val="24"/>
          <w:highlight w:val="none"/>
        </w:rPr>
        <w:t>(实质性要求)</w:t>
      </w:r>
      <w:bookmarkEnd w:id="290"/>
      <w:bookmarkEnd w:id="291"/>
      <w:bookmarkEnd w:id="292"/>
    </w:p>
    <w:p>
      <w:pPr>
        <w:shd w:val="clear"/>
        <w:tabs>
          <w:tab w:val="left" w:pos="7665"/>
        </w:tabs>
        <w:spacing w:line="440" w:lineRule="exact"/>
        <w:ind w:left="13" w:hanging="118"/>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本次招标项目的投标均以人民币报价。</w:t>
      </w:r>
    </w:p>
    <w:p>
      <w:pPr>
        <w:pStyle w:val="5"/>
        <w:shd w:val="clear"/>
        <w:spacing w:line="400" w:lineRule="exact"/>
        <w:ind w:firstLine="482" w:firstLineChars="200"/>
        <w:rPr>
          <w:rFonts w:ascii="仿宋" w:hAnsi="仿宋" w:eastAsia="仿宋" w:cs="仿宋"/>
          <w:color w:val="auto"/>
          <w:sz w:val="24"/>
          <w:szCs w:val="24"/>
          <w:highlight w:val="none"/>
        </w:rPr>
      </w:pPr>
      <w:bookmarkStart w:id="293" w:name="_Toc319439890"/>
      <w:bookmarkStart w:id="294" w:name="_Toc309897505"/>
      <w:bookmarkStart w:id="295" w:name="_Toc307564842"/>
      <w:bookmarkStart w:id="296" w:name="_Toc327196276"/>
      <w:bookmarkStart w:id="297" w:name="_Toc308084587"/>
      <w:bookmarkStart w:id="298" w:name="_Toc307501099"/>
      <w:bookmarkStart w:id="299" w:name="_Toc16409"/>
      <w:bookmarkStart w:id="300" w:name="_Toc25266"/>
      <w:bookmarkStart w:id="301" w:name="_Toc217446046"/>
      <w:bookmarkStart w:id="302" w:name="_Toc21894"/>
      <w:bookmarkStart w:id="303" w:name="_Toc15074"/>
      <w:bookmarkStart w:id="304" w:name="_Toc21797"/>
      <w:bookmarkStart w:id="305" w:name="_Toc319440132"/>
      <w:bookmarkStart w:id="306" w:name="_Toc308188142"/>
      <w:bookmarkStart w:id="307" w:name="_Toc24432"/>
      <w:bookmarkStart w:id="308" w:name="_Toc7935"/>
      <w:bookmarkStart w:id="309" w:name="_Toc8550"/>
      <w:bookmarkStart w:id="310" w:name="_Toc20014"/>
      <w:bookmarkStart w:id="311" w:name="_Toc4336"/>
      <w:bookmarkStart w:id="312" w:name="_Toc32667"/>
      <w:r>
        <w:rPr>
          <w:rFonts w:hint="eastAsia" w:ascii="仿宋" w:hAnsi="仿宋" w:eastAsia="仿宋" w:cs="仿宋"/>
          <w:color w:val="auto"/>
          <w:sz w:val="24"/>
          <w:szCs w:val="24"/>
          <w:highlight w:val="none"/>
        </w:rPr>
        <w:t>12.联合体投标</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hint="eastAsia" w:ascii="仿宋" w:hAnsi="仿宋" w:eastAsia="仿宋" w:cs="仿宋"/>
          <w:color w:val="auto"/>
          <w:sz w:val="24"/>
          <w:szCs w:val="24"/>
          <w:highlight w:val="none"/>
        </w:rPr>
        <w:t>(实质性要求)</w:t>
      </w:r>
      <w:bookmarkEnd w:id="310"/>
      <w:bookmarkEnd w:id="311"/>
      <w:bookmarkEnd w:id="312"/>
    </w:p>
    <w:p>
      <w:pPr>
        <w:pStyle w:val="16"/>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本次政府采购活动不接受联合体投标。</w:t>
      </w:r>
    </w:p>
    <w:p>
      <w:pPr>
        <w:pStyle w:val="5"/>
        <w:shd w:val="clear"/>
        <w:spacing w:line="400" w:lineRule="exact"/>
        <w:ind w:firstLine="482" w:firstLineChars="200"/>
        <w:rPr>
          <w:rFonts w:ascii="仿宋" w:hAnsi="仿宋" w:eastAsia="仿宋" w:cs="仿宋"/>
          <w:color w:val="auto"/>
          <w:sz w:val="24"/>
          <w:szCs w:val="24"/>
          <w:highlight w:val="none"/>
        </w:rPr>
      </w:pPr>
      <w:bookmarkStart w:id="313" w:name="_Toc327196277"/>
      <w:bookmarkStart w:id="314" w:name="_Toc307501100"/>
      <w:bookmarkStart w:id="315" w:name="_Toc10974"/>
      <w:bookmarkStart w:id="316" w:name="_Toc309897506"/>
      <w:bookmarkStart w:id="317" w:name="_Toc3781"/>
      <w:bookmarkStart w:id="318" w:name="_Toc319440133"/>
      <w:bookmarkStart w:id="319" w:name="_Toc307564843"/>
      <w:bookmarkStart w:id="320" w:name="_Toc13754"/>
      <w:bookmarkStart w:id="321" w:name="_Toc30958"/>
      <w:bookmarkStart w:id="322" w:name="_Toc308188143"/>
      <w:bookmarkStart w:id="323" w:name="_Toc27877"/>
      <w:bookmarkStart w:id="324" w:name="_Toc308084588"/>
      <w:bookmarkStart w:id="325" w:name="_Toc7819"/>
      <w:bookmarkStart w:id="326" w:name="_Toc217446047"/>
      <w:bookmarkStart w:id="327" w:name="_Toc18912"/>
      <w:bookmarkStart w:id="328" w:name="_Toc319439891"/>
      <w:bookmarkStart w:id="329" w:name="_Toc2050"/>
      <w:bookmarkStart w:id="330" w:name="_Toc22458"/>
      <w:bookmarkStart w:id="331" w:name="_Toc15468"/>
      <w:bookmarkStart w:id="332" w:name="_Toc9626"/>
      <w:r>
        <w:rPr>
          <w:rFonts w:hint="eastAsia" w:ascii="仿宋" w:hAnsi="仿宋" w:eastAsia="仿宋" w:cs="仿宋"/>
          <w:color w:val="auto"/>
          <w:sz w:val="24"/>
          <w:szCs w:val="24"/>
          <w:highlight w:val="none"/>
        </w:rPr>
        <w:t>13.知识产权</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color w:val="auto"/>
          <w:sz w:val="24"/>
          <w:szCs w:val="24"/>
          <w:highlight w:val="none"/>
        </w:rPr>
        <w:t>(实质性要求)</w:t>
      </w:r>
      <w:bookmarkEnd w:id="330"/>
      <w:bookmarkEnd w:id="331"/>
      <w:bookmarkEnd w:id="332"/>
    </w:p>
    <w:p>
      <w:pPr>
        <w:shd w:val="clear"/>
        <w:spacing w:line="44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hd w:val="clear"/>
        <w:spacing w:line="44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13.2 采购人享有本项目实施过程中产生的知识成果及知识产权。</w:t>
      </w:r>
    </w:p>
    <w:p>
      <w:pPr>
        <w:shd w:val="clear"/>
        <w:spacing w:line="44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hd w:val="clear"/>
        <w:spacing w:line="44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 xml:space="preserve">13.4 如采用投标人所不拥有的知识产权，则在投标报价中必须包括合法获取该知识产权的相关费用。 </w:t>
      </w:r>
    </w:p>
    <w:p>
      <w:pPr>
        <w:pStyle w:val="5"/>
        <w:shd w:val="clear"/>
        <w:spacing w:line="400" w:lineRule="exact"/>
        <w:ind w:firstLine="482" w:firstLineChars="200"/>
        <w:rPr>
          <w:rFonts w:ascii="仿宋" w:hAnsi="仿宋" w:eastAsia="仿宋" w:cs="仿宋"/>
          <w:color w:val="auto"/>
          <w:sz w:val="24"/>
          <w:szCs w:val="24"/>
          <w:highlight w:val="none"/>
        </w:rPr>
      </w:pPr>
      <w:bookmarkStart w:id="333" w:name="_Toc308188144"/>
      <w:bookmarkStart w:id="334" w:name="_Toc791"/>
      <w:bookmarkStart w:id="335" w:name="_Toc217446048"/>
      <w:bookmarkStart w:id="336" w:name="_Toc5369"/>
      <w:bookmarkStart w:id="337" w:name="_Toc6143"/>
      <w:bookmarkStart w:id="338" w:name="_Toc319440134"/>
      <w:bookmarkStart w:id="339" w:name="_Toc183682354"/>
      <w:bookmarkStart w:id="340" w:name="_Toc1140"/>
      <w:bookmarkStart w:id="341" w:name="_Toc319439892"/>
      <w:bookmarkStart w:id="342" w:name="_Toc11856"/>
      <w:bookmarkStart w:id="343" w:name="_Toc183582217"/>
      <w:bookmarkStart w:id="344" w:name="_Toc309897507"/>
      <w:bookmarkStart w:id="345" w:name="_Toc8432"/>
      <w:bookmarkStart w:id="346" w:name="_Toc10817"/>
      <w:bookmarkStart w:id="347" w:name="_Toc7660"/>
      <w:bookmarkStart w:id="348" w:name="_Toc30708"/>
      <w:bookmarkStart w:id="349" w:name="_Toc307501101"/>
      <w:bookmarkStart w:id="350" w:name="_Toc307564844"/>
      <w:bookmarkStart w:id="351" w:name="_Toc308084589"/>
      <w:bookmarkStart w:id="352" w:name="_Toc327196278"/>
      <w:bookmarkStart w:id="353" w:name="_Toc2706"/>
      <w:bookmarkStart w:id="354" w:name="_Toc16281"/>
      <w:r>
        <w:rPr>
          <w:rFonts w:hint="eastAsia" w:ascii="仿宋" w:hAnsi="仿宋" w:eastAsia="仿宋" w:cs="仿宋"/>
          <w:color w:val="auto"/>
          <w:sz w:val="24"/>
          <w:szCs w:val="24"/>
          <w:highlight w:val="none"/>
        </w:rPr>
        <w:t>14.投标文件的组成</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hd w:val="clear"/>
        <w:spacing w:line="44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投标人应按照招标文件的规定和要求编制投标文件，否则视为无效投标。投标人拟在中标后将中标项目的非主体、非关键性工作交由他人完成的，应当在投标文件中载明。投标人编写的投标文件应包括下列部分：</w:t>
      </w:r>
    </w:p>
    <w:p>
      <w:pPr>
        <w:widowControl/>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投标人应按照招标文件的规定和要求编制投标文件。投标人编写的投标文件应至少包括下列两部分文件:</w:t>
      </w:r>
      <w:r>
        <w:rPr>
          <w:rFonts w:hint="eastAsia" w:ascii="仿宋" w:hAnsi="仿宋" w:eastAsia="仿宋" w:cs="仿宋"/>
          <w:color w:val="auto"/>
          <w:sz w:val="24"/>
          <w:szCs w:val="24"/>
          <w:highlight w:val="none"/>
        </w:rPr>
        <w:br w:type="textWrapping"/>
      </w:r>
      <w:r>
        <w:rPr>
          <w:rFonts w:hint="eastAsia" w:ascii="仿宋" w:hAnsi="仿宋" w:eastAsia="仿宋" w:cs="仿宋"/>
          <w:b/>
          <w:color w:val="auto"/>
          <w:sz w:val="24"/>
          <w:szCs w:val="32"/>
          <w:highlight w:val="none"/>
        </w:rPr>
        <w:t>文件一:资格性投标文件(用于资格审查和符合性审查)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包括本文件第五章所列内容要求具备的资格证明文件等（部分资料格式见第三章）。</w:t>
      </w:r>
      <w:r>
        <w:rPr>
          <w:rFonts w:hint="eastAsia" w:ascii="仿宋" w:hAnsi="仿宋" w:eastAsia="仿宋" w:cs="仿宋"/>
          <w:color w:val="auto"/>
          <w:sz w:val="24"/>
          <w:szCs w:val="24"/>
          <w:highlight w:val="none"/>
        </w:rPr>
        <w:br w:type="textWrapping"/>
      </w:r>
      <w:r>
        <w:rPr>
          <w:rFonts w:hint="eastAsia" w:ascii="仿宋" w:hAnsi="仿宋" w:eastAsia="仿宋" w:cs="仿宋"/>
          <w:b/>
          <w:color w:val="auto"/>
          <w:sz w:val="24"/>
          <w:szCs w:val="32"/>
          <w:highlight w:val="none"/>
        </w:rPr>
        <w:t>文件二:其他投标文件(用于资格审查以外的评标)</w:t>
      </w:r>
    </w:p>
    <w:p>
      <w:pPr>
        <w:pStyle w:val="25"/>
        <w:shd w:val="clear"/>
        <w:rPr>
          <w:rFonts w:ascii="仿宋" w:hAnsi="仿宋" w:eastAsia="仿宋" w:cs="仿宋"/>
          <w:color w:val="auto"/>
          <w:highlight w:val="none"/>
        </w:rPr>
      </w:pPr>
      <w:r>
        <w:rPr>
          <w:rFonts w:hint="eastAsia" w:ascii="仿宋" w:hAnsi="仿宋" w:eastAsia="仿宋" w:cs="仿宋"/>
          <w:color w:val="auto"/>
          <w:sz w:val="24"/>
          <w:szCs w:val="24"/>
          <w:highlight w:val="none"/>
        </w:rPr>
        <w:t>视采购项目具体情况可以包括以下内容（部分资料格式见第三章）:</w:t>
      </w:r>
    </w:p>
    <w:p>
      <w:pPr>
        <w:shd w:val="clear"/>
        <w:spacing w:line="440" w:lineRule="exact"/>
        <w:ind w:firstLine="472" w:firstLineChars="196"/>
        <w:rPr>
          <w:rFonts w:ascii="仿宋" w:hAnsi="仿宋" w:eastAsia="仿宋" w:cs="仿宋"/>
          <w:color w:val="auto"/>
          <w:sz w:val="24"/>
          <w:highlight w:val="none"/>
        </w:rPr>
      </w:pPr>
      <w:r>
        <w:rPr>
          <w:rFonts w:hint="eastAsia" w:ascii="仿宋" w:hAnsi="仿宋" w:eastAsia="仿宋" w:cs="仿宋"/>
          <w:b/>
          <w:color w:val="auto"/>
          <w:sz w:val="24"/>
          <w:highlight w:val="none"/>
        </w:rPr>
        <w:t>（一） 报价部分。</w:t>
      </w:r>
      <w:r>
        <w:rPr>
          <w:rFonts w:hint="eastAsia" w:ascii="仿宋" w:hAnsi="仿宋" w:eastAsia="仿宋" w:cs="仿宋"/>
          <w:bCs/>
          <w:color w:val="auto"/>
          <w:sz w:val="24"/>
          <w:highlight w:val="none"/>
        </w:rPr>
        <w:t>投标人</w:t>
      </w:r>
      <w:r>
        <w:rPr>
          <w:rFonts w:hint="eastAsia" w:ascii="仿宋" w:hAnsi="仿宋" w:eastAsia="仿宋" w:cs="仿宋"/>
          <w:color w:val="auto"/>
          <w:sz w:val="24"/>
          <w:highlight w:val="none"/>
        </w:rPr>
        <w:t>按照以下要求填写的“报价一览表”、“报价明细表”，否则视为无效投标。本次招标报价要求：</w:t>
      </w:r>
    </w:p>
    <w:p>
      <w:pPr>
        <w:shd w:val="clear"/>
        <w:spacing w:line="440" w:lineRule="exact"/>
        <w:ind w:firstLine="499" w:firstLineChars="208"/>
        <w:rPr>
          <w:rFonts w:ascii="仿宋" w:hAnsi="仿宋" w:eastAsia="仿宋" w:cs="仿宋"/>
          <w:color w:val="auto"/>
          <w:sz w:val="24"/>
          <w:highlight w:val="none"/>
          <w:lang w:val="zh-CN"/>
        </w:rPr>
      </w:pPr>
      <w:r>
        <w:rPr>
          <w:rFonts w:hint="eastAsia" w:ascii="仿宋" w:hAnsi="仿宋" w:eastAsia="仿宋" w:cs="仿宋"/>
          <w:color w:val="auto"/>
          <w:sz w:val="24"/>
          <w:highlight w:val="none"/>
        </w:rPr>
        <w:t>(1)投标人的报价是投标人响应招标项目包要求的全部工作内容的价格体现，包括完成本项目所涉及的一切费用</w:t>
      </w:r>
      <w:r>
        <w:rPr>
          <w:rFonts w:hint="eastAsia" w:ascii="仿宋" w:hAnsi="仿宋" w:eastAsia="仿宋" w:cs="仿宋"/>
          <w:b/>
          <w:bCs/>
          <w:color w:val="auto"/>
          <w:sz w:val="24"/>
          <w:szCs w:val="24"/>
          <w:highlight w:val="none"/>
        </w:rPr>
        <w:t>(实质性要求)</w:t>
      </w:r>
      <w:r>
        <w:rPr>
          <w:rFonts w:hint="eastAsia" w:ascii="仿宋" w:hAnsi="仿宋" w:eastAsia="仿宋" w:cs="仿宋"/>
          <w:color w:val="auto"/>
          <w:sz w:val="24"/>
          <w:highlight w:val="none"/>
        </w:rPr>
        <w:t>。</w:t>
      </w:r>
    </w:p>
    <w:p>
      <w:pPr>
        <w:widowControl/>
        <w:shd w:val="clear"/>
        <w:spacing w:line="360" w:lineRule="auto"/>
        <w:ind w:left="17" w:leftChars="5" w:firstLine="460" w:firstLineChars="191"/>
        <w:jc w:val="left"/>
        <w:rPr>
          <w:rFonts w:ascii="仿宋" w:hAnsi="仿宋" w:eastAsia="仿宋" w:cs="仿宋"/>
          <w:color w:val="auto"/>
          <w:sz w:val="24"/>
          <w:highlight w:val="none"/>
          <w:lang w:val="zh-CN"/>
        </w:rPr>
      </w:pPr>
      <w:r>
        <w:rPr>
          <w:rFonts w:hint="eastAsia" w:ascii="仿宋" w:hAnsi="仿宋" w:eastAsia="仿宋" w:cs="仿宋"/>
          <w:b/>
          <w:color w:val="auto"/>
          <w:sz w:val="24"/>
          <w:highlight w:val="none"/>
        </w:rPr>
        <w:t>（二）服务</w:t>
      </w:r>
      <w:r>
        <w:rPr>
          <w:rFonts w:hint="eastAsia" w:ascii="仿宋" w:hAnsi="仿宋" w:eastAsia="仿宋" w:cs="仿宋"/>
          <w:b/>
          <w:color w:val="auto"/>
          <w:sz w:val="24"/>
          <w:highlight w:val="none"/>
          <w:lang w:val="zh-CN"/>
        </w:rPr>
        <w:t>部分。</w:t>
      </w:r>
      <w:r>
        <w:rPr>
          <w:rFonts w:hint="eastAsia" w:ascii="仿宋" w:hAnsi="仿宋" w:eastAsia="仿宋" w:cs="仿宋"/>
          <w:color w:val="auto"/>
          <w:sz w:val="24"/>
          <w:highlight w:val="none"/>
          <w:lang w:val="zh-CN"/>
        </w:rPr>
        <w:t>投标人按照招标文件要求做出的</w:t>
      </w:r>
      <w:r>
        <w:rPr>
          <w:rFonts w:hint="eastAsia" w:ascii="仿宋" w:hAnsi="仿宋" w:eastAsia="仿宋" w:cs="仿宋"/>
          <w:color w:val="auto"/>
          <w:sz w:val="24"/>
          <w:highlight w:val="none"/>
        </w:rPr>
        <w:t>技术</w:t>
      </w:r>
      <w:r>
        <w:rPr>
          <w:rFonts w:hint="eastAsia" w:ascii="仿宋" w:hAnsi="仿宋" w:eastAsia="仿宋" w:cs="仿宋"/>
          <w:color w:val="auto"/>
          <w:sz w:val="24"/>
          <w:highlight w:val="none"/>
          <w:lang w:val="zh-CN"/>
        </w:rPr>
        <w:t>应答，主要是针对招标项目</w:t>
      </w:r>
      <w:r>
        <w:rPr>
          <w:rFonts w:hint="eastAsia" w:ascii="仿宋" w:hAnsi="仿宋" w:eastAsia="仿宋" w:cs="仿宋"/>
          <w:color w:val="auto"/>
          <w:sz w:val="24"/>
          <w:szCs w:val="24"/>
          <w:highlight w:val="none"/>
        </w:rPr>
        <w:t>的服务指标、参数和服务要求做出的</w:t>
      </w:r>
      <w:r>
        <w:rPr>
          <w:rFonts w:hint="eastAsia" w:ascii="仿宋" w:hAnsi="仿宋" w:eastAsia="仿宋" w:cs="仿宋"/>
          <w:color w:val="auto"/>
          <w:sz w:val="24"/>
          <w:highlight w:val="none"/>
          <w:lang w:val="zh-CN"/>
        </w:rPr>
        <w:t>实质性响应和满足。投标人的</w:t>
      </w:r>
      <w:r>
        <w:rPr>
          <w:rFonts w:hint="eastAsia" w:ascii="仿宋" w:hAnsi="仿宋" w:eastAsia="仿宋" w:cs="仿宋"/>
          <w:color w:val="auto"/>
          <w:sz w:val="24"/>
          <w:highlight w:val="none"/>
        </w:rPr>
        <w:t>技术应答应尽可能</w:t>
      </w:r>
      <w:r>
        <w:rPr>
          <w:rFonts w:hint="eastAsia" w:ascii="仿宋" w:hAnsi="仿宋" w:eastAsia="仿宋" w:cs="仿宋"/>
          <w:color w:val="auto"/>
          <w:sz w:val="24"/>
          <w:highlight w:val="none"/>
          <w:lang w:val="zh-CN"/>
        </w:rPr>
        <w:t>包括下列内容：</w:t>
      </w:r>
    </w:p>
    <w:p>
      <w:pPr>
        <w:widowControl/>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（1）服务应答表；</w:t>
      </w:r>
    </w:p>
    <w:p>
      <w:pPr>
        <w:pStyle w:val="15"/>
        <w:shd w:val="clear"/>
        <w:ind w:firstLine="480" w:firstLineChars="200"/>
        <w:rPr>
          <w:rFonts w:ascii="仿宋" w:hAnsi="仿宋" w:eastAsia="仿宋" w:cs="仿宋"/>
          <w:color w:val="auto"/>
          <w:highlight w:val="none"/>
        </w:rPr>
      </w:pPr>
      <w:r>
        <w:rPr>
          <w:rFonts w:hint="eastAsia" w:ascii="仿宋" w:hAnsi="仿宋" w:eastAsia="仿宋" w:cs="仿宋"/>
          <w:color w:val="auto"/>
          <w:highlight w:val="none"/>
        </w:rPr>
        <w:t>（2）投标人认为需要提供的文件和资料。</w:t>
      </w:r>
    </w:p>
    <w:p>
      <w:pPr>
        <w:shd w:val="clear"/>
        <w:spacing w:line="440" w:lineRule="exact"/>
        <w:ind w:firstLine="472" w:firstLineChars="196"/>
        <w:rPr>
          <w:rFonts w:ascii="仿宋" w:hAnsi="仿宋" w:eastAsia="仿宋" w:cs="仿宋"/>
          <w:color w:val="auto"/>
          <w:sz w:val="24"/>
          <w:highlight w:val="none"/>
        </w:rPr>
      </w:pPr>
      <w:r>
        <w:rPr>
          <w:rFonts w:hint="eastAsia" w:ascii="仿宋" w:hAnsi="仿宋" w:eastAsia="仿宋" w:cs="仿宋"/>
          <w:b/>
          <w:bCs/>
          <w:color w:val="auto"/>
          <w:sz w:val="24"/>
          <w:highlight w:val="none"/>
        </w:rPr>
        <w:t>（三） 商务部分。</w:t>
      </w:r>
      <w:r>
        <w:rPr>
          <w:rFonts w:hint="eastAsia" w:ascii="仿宋" w:hAnsi="仿宋" w:eastAsia="仿宋" w:cs="仿宋"/>
          <w:color w:val="auto"/>
          <w:sz w:val="24"/>
          <w:szCs w:val="24"/>
          <w:highlight w:val="none"/>
        </w:rPr>
        <w:t>投标人按照招标文件要求提供的有关文件及优惠承诺</w:t>
      </w:r>
      <w:r>
        <w:rPr>
          <w:rFonts w:hint="eastAsia" w:ascii="仿宋" w:hAnsi="仿宋" w:eastAsia="仿宋" w:cs="仿宋"/>
          <w:color w:val="auto"/>
          <w:sz w:val="24"/>
          <w:highlight w:val="none"/>
        </w:rPr>
        <w:t>；包括以下内容：</w:t>
      </w:r>
    </w:p>
    <w:p>
      <w:pPr>
        <w:widowControl/>
        <w:shd w:val="clear"/>
        <w:spacing w:line="360" w:lineRule="auto"/>
        <w:ind w:firstLine="720" w:firstLineChars="300"/>
        <w:jc w:val="left"/>
        <w:rPr>
          <w:rFonts w:ascii="仿宋" w:hAnsi="仿宋" w:eastAsia="仿宋" w:cs="仿宋"/>
          <w:color w:val="auto"/>
          <w:sz w:val="24"/>
          <w:szCs w:val="24"/>
          <w:highlight w:val="none"/>
        </w:rPr>
      </w:pPr>
      <w:bookmarkStart w:id="355" w:name="_Toc183682355"/>
      <w:bookmarkStart w:id="356" w:name="_Toc217446049"/>
      <w:bookmarkStart w:id="357" w:name="_Toc183582218"/>
      <w:bookmarkStart w:id="358" w:name="_Toc307501102"/>
      <w:r>
        <w:rPr>
          <w:rFonts w:hint="eastAsia" w:ascii="仿宋" w:hAnsi="仿宋" w:eastAsia="仿宋" w:cs="仿宋"/>
          <w:color w:val="auto"/>
          <w:sz w:val="24"/>
          <w:szCs w:val="24"/>
          <w:highlight w:val="none"/>
        </w:rPr>
        <w:t>(1)投标函；</w:t>
      </w:r>
    </w:p>
    <w:p>
      <w:pPr>
        <w:widowControl/>
        <w:shd w:val="clear"/>
        <w:spacing w:line="360" w:lineRule="auto"/>
        <w:ind w:firstLine="720" w:firstLineChars="3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(2)商务应答表；</w:t>
      </w:r>
    </w:p>
    <w:p>
      <w:pPr>
        <w:widowControl/>
        <w:shd w:val="clea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(3)投标人根据第七章评分细则提供相关的证明材料(复印件)；</w:t>
      </w:r>
    </w:p>
    <w:p>
      <w:pPr>
        <w:widowControl/>
        <w:shd w:val="clear"/>
        <w:spacing w:line="360" w:lineRule="auto"/>
        <w:ind w:firstLine="720" w:firstLineChars="3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(4)投标人认为应当提供的其他证明材料。</w:t>
      </w:r>
    </w:p>
    <w:p>
      <w:pPr>
        <w:pStyle w:val="25"/>
        <w:shd w:val="clear"/>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rPr>
        <w:t>(四)其他部分</w:t>
      </w:r>
      <w:r>
        <w:rPr>
          <w:rFonts w:hint="eastAsia" w:ascii="仿宋" w:hAnsi="仿宋" w:eastAsia="仿宋" w:cs="仿宋"/>
          <w:color w:val="auto"/>
          <w:sz w:val="24"/>
          <w:highlight w:val="none"/>
        </w:rPr>
        <w:t>（如涉及，不涉及的无需提交证明材料）</w:t>
      </w:r>
      <w:r>
        <w:rPr>
          <w:rFonts w:hint="eastAsia" w:ascii="仿宋" w:hAnsi="仿宋" w:eastAsia="仿宋" w:cs="仿宋"/>
          <w:color w:val="auto"/>
          <w:sz w:val="24"/>
          <w:szCs w:val="24"/>
          <w:highlight w:val="none"/>
        </w:rPr>
        <w:t>。投标人按照招标文件要求作出的其他应答和承诺。</w:t>
      </w:r>
    </w:p>
    <w:p>
      <w:pPr>
        <w:pStyle w:val="5"/>
        <w:shd w:val="clear"/>
        <w:spacing w:line="400" w:lineRule="exact"/>
        <w:ind w:firstLine="482" w:firstLineChars="200"/>
        <w:rPr>
          <w:rFonts w:ascii="仿宋" w:hAnsi="仿宋" w:eastAsia="仿宋" w:cs="仿宋"/>
          <w:color w:val="auto"/>
          <w:sz w:val="24"/>
          <w:szCs w:val="24"/>
          <w:highlight w:val="none"/>
        </w:rPr>
      </w:pPr>
      <w:bookmarkStart w:id="359" w:name="_Toc31194"/>
      <w:bookmarkStart w:id="360" w:name="_Toc308084590"/>
      <w:bookmarkStart w:id="361" w:name="_Toc15103"/>
      <w:bookmarkStart w:id="362" w:name="_Toc308188145"/>
      <w:bookmarkStart w:id="363" w:name="_Toc23655"/>
      <w:bookmarkStart w:id="364" w:name="_Toc319440135"/>
      <w:bookmarkStart w:id="365" w:name="_Toc319439893"/>
      <w:bookmarkStart w:id="366" w:name="_Toc32103"/>
      <w:bookmarkStart w:id="367" w:name="_Toc26967"/>
      <w:bookmarkStart w:id="368" w:name="_Toc31136"/>
      <w:bookmarkStart w:id="369" w:name="_Toc309897508"/>
      <w:bookmarkStart w:id="370" w:name="_Toc3096"/>
      <w:bookmarkStart w:id="371" w:name="_Toc4288"/>
      <w:bookmarkStart w:id="372" w:name="_Toc6789"/>
      <w:bookmarkStart w:id="373" w:name="_Toc15763"/>
      <w:bookmarkStart w:id="374" w:name="_Toc307564845"/>
      <w:bookmarkStart w:id="375" w:name="_Toc1874"/>
      <w:bookmarkStart w:id="376" w:name="_Toc327196279"/>
      <w:r>
        <w:rPr>
          <w:rFonts w:hint="eastAsia" w:ascii="仿宋" w:hAnsi="仿宋" w:eastAsia="仿宋" w:cs="仿宋"/>
          <w:color w:val="auto"/>
          <w:sz w:val="24"/>
          <w:szCs w:val="24"/>
          <w:highlight w:val="none"/>
        </w:rPr>
        <w:t>15.投标文件格式</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hint="eastAsia" w:ascii="仿宋" w:hAnsi="仿宋" w:eastAsia="仿宋" w:cs="仿宋"/>
          <w:color w:val="auto"/>
          <w:sz w:val="24"/>
          <w:szCs w:val="24"/>
          <w:highlight w:val="none"/>
        </w:rPr>
        <w:tab/>
      </w:r>
    </w:p>
    <w:p>
      <w:pPr>
        <w:shd w:val="clear"/>
        <w:tabs>
          <w:tab w:val="left" w:pos="7665"/>
        </w:tabs>
        <w:spacing w:line="440" w:lineRule="exact"/>
        <w:ind w:left="20" w:leftChars="6"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 投标人应按照招标文件第三章中提供的“投标文件格式”填写相关内容。</w:t>
      </w:r>
    </w:p>
    <w:p>
      <w:pPr>
        <w:shd w:val="clear"/>
        <w:tabs>
          <w:tab w:val="left" w:pos="7665"/>
        </w:tabs>
        <w:spacing w:line="440" w:lineRule="exact"/>
        <w:ind w:left="20" w:leftChars="6"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 对于没有格式要求的由投标人自行编写。</w:t>
      </w:r>
    </w:p>
    <w:p>
      <w:pPr>
        <w:pStyle w:val="5"/>
        <w:shd w:val="clear"/>
        <w:spacing w:line="400" w:lineRule="exact"/>
        <w:ind w:firstLine="482" w:firstLineChars="200"/>
        <w:rPr>
          <w:rFonts w:ascii="仿宋" w:hAnsi="仿宋" w:eastAsia="仿宋" w:cs="仿宋"/>
          <w:color w:val="auto"/>
          <w:sz w:val="24"/>
          <w:szCs w:val="24"/>
          <w:highlight w:val="none"/>
        </w:rPr>
      </w:pPr>
      <w:bookmarkStart w:id="377" w:name="_Toc307501103"/>
      <w:bookmarkStart w:id="378" w:name="_Toc21967"/>
      <w:bookmarkStart w:id="379" w:name="_Toc20642"/>
      <w:bookmarkStart w:id="380" w:name="_Toc183582223"/>
      <w:bookmarkStart w:id="381" w:name="_Toc309897509"/>
      <w:bookmarkStart w:id="382" w:name="_Toc217446050"/>
      <w:bookmarkStart w:id="383" w:name="_Toc307564846"/>
      <w:bookmarkStart w:id="384" w:name="_Toc27418"/>
      <w:bookmarkStart w:id="385" w:name="_Toc31944"/>
      <w:bookmarkStart w:id="386" w:name="_Toc14382"/>
      <w:bookmarkStart w:id="387" w:name="_Toc308084591"/>
      <w:bookmarkStart w:id="388" w:name="_Toc308188146"/>
      <w:bookmarkStart w:id="389" w:name="_Toc319440136"/>
      <w:bookmarkStart w:id="390" w:name="_Toc183682360"/>
      <w:bookmarkStart w:id="391" w:name="_Toc319439894"/>
      <w:bookmarkStart w:id="392" w:name="_Toc21884"/>
      <w:bookmarkStart w:id="393" w:name="_Toc29891"/>
      <w:bookmarkStart w:id="394" w:name="_Toc4102"/>
      <w:bookmarkStart w:id="395" w:name="_Toc327196280"/>
      <w:bookmarkStart w:id="396" w:name="_Toc14436"/>
      <w:bookmarkStart w:id="397" w:name="_Toc2456"/>
      <w:bookmarkStart w:id="398" w:name="_Toc32574"/>
      <w:r>
        <w:rPr>
          <w:rFonts w:hint="eastAsia" w:ascii="仿宋" w:hAnsi="仿宋" w:eastAsia="仿宋" w:cs="仿宋"/>
          <w:color w:val="auto"/>
          <w:sz w:val="24"/>
          <w:szCs w:val="24"/>
          <w:highlight w:val="none"/>
        </w:rPr>
        <w:t>16.投标保证金</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eastAsia" w:ascii="仿宋" w:hAnsi="仿宋" w:eastAsia="仿宋" w:cs="仿宋"/>
          <w:color w:val="auto"/>
          <w:sz w:val="24"/>
          <w:szCs w:val="24"/>
          <w:highlight w:val="none"/>
        </w:rPr>
        <w:t>(实质性要求</w:t>
      </w:r>
      <w:bookmarkEnd w:id="396"/>
      <w:r>
        <w:rPr>
          <w:rFonts w:hint="eastAsia" w:ascii="仿宋" w:hAnsi="仿宋" w:eastAsia="仿宋" w:cs="仿宋"/>
          <w:color w:val="auto"/>
          <w:sz w:val="24"/>
          <w:szCs w:val="24"/>
          <w:highlight w:val="none"/>
        </w:rPr>
        <w:t>)</w:t>
      </w:r>
      <w:bookmarkEnd w:id="397"/>
      <w:bookmarkEnd w:id="398"/>
    </w:p>
    <w:p>
      <w:pPr>
        <w:shd w:val="clear"/>
        <w:spacing w:line="440" w:lineRule="exact"/>
        <w:ind w:firstLine="470" w:firstLineChars="196"/>
        <w:rPr>
          <w:rFonts w:ascii="仿宋" w:hAnsi="仿宋" w:eastAsia="仿宋" w:cs="仿宋"/>
          <w:color w:val="auto"/>
          <w:sz w:val="24"/>
          <w:highlight w:val="none"/>
        </w:rPr>
      </w:pPr>
      <w:bookmarkStart w:id="399" w:name="_Toc309897510"/>
      <w:bookmarkStart w:id="400" w:name="_Toc319439895"/>
      <w:bookmarkStart w:id="401" w:name="_Toc17857"/>
      <w:bookmarkStart w:id="402" w:name="_Toc183582224"/>
      <w:bookmarkStart w:id="403" w:name="_Toc308188147"/>
      <w:bookmarkStart w:id="404" w:name="_Toc307501104"/>
      <w:bookmarkStart w:id="405" w:name="_Toc217446051"/>
      <w:bookmarkStart w:id="406" w:name="_Toc21338"/>
      <w:bookmarkStart w:id="407" w:name="_Toc327196281"/>
      <w:bookmarkStart w:id="408" w:name="_Toc308084592"/>
      <w:bookmarkStart w:id="409" w:name="_Toc183682361"/>
      <w:bookmarkStart w:id="410" w:name="_Toc307564847"/>
      <w:bookmarkStart w:id="411" w:name="_Toc26011"/>
      <w:bookmarkStart w:id="412" w:name="_Toc9356"/>
      <w:bookmarkStart w:id="413" w:name="_Toc29434"/>
      <w:bookmarkStart w:id="414" w:name="_Toc31284"/>
      <w:bookmarkStart w:id="415" w:name="_Toc319440137"/>
      <w:bookmarkStart w:id="416" w:name="_Toc13956"/>
      <w:bookmarkStart w:id="417" w:name="_Toc27589"/>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根据四川省财政厅关于进一步做好疫情防控期间政府采购工作有关事项的通知（川财采【2020】28号），疫情防控期间不收取投标保证金</w:t>
      </w:r>
      <w:r>
        <w:rPr>
          <w:rFonts w:hint="eastAsia" w:ascii="仿宋" w:hAnsi="仿宋" w:eastAsia="仿宋" w:cs="仿宋"/>
          <w:color w:val="auto"/>
          <w:sz w:val="24"/>
          <w:highlight w:val="none"/>
        </w:rPr>
        <w:t>。</w:t>
      </w:r>
    </w:p>
    <w:p>
      <w:pPr>
        <w:pStyle w:val="5"/>
        <w:shd w:val="clear"/>
        <w:spacing w:line="400" w:lineRule="exact"/>
        <w:ind w:firstLine="482" w:firstLineChars="200"/>
        <w:rPr>
          <w:rFonts w:ascii="仿宋" w:hAnsi="仿宋" w:eastAsia="仿宋" w:cs="仿宋"/>
          <w:color w:val="auto"/>
          <w:sz w:val="24"/>
          <w:szCs w:val="24"/>
          <w:highlight w:val="none"/>
        </w:rPr>
      </w:pPr>
      <w:bookmarkStart w:id="418" w:name="_Toc20243"/>
      <w:bookmarkStart w:id="419" w:name="_Toc19115"/>
      <w:bookmarkStart w:id="420" w:name="_Toc24782"/>
      <w:r>
        <w:rPr>
          <w:rFonts w:hint="eastAsia" w:ascii="仿宋" w:hAnsi="仿宋" w:eastAsia="仿宋" w:cs="仿宋"/>
          <w:color w:val="auto"/>
          <w:sz w:val="24"/>
          <w:szCs w:val="24"/>
          <w:highlight w:val="none"/>
        </w:rPr>
        <w:t>17.投标有效期</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hint="eastAsia" w:ascii="仿宋" w:hAnsi="仿宋" w:eastAsia="仿宋" w:cs="仿宋"/>
          <w:color w:val="auto"/>
          <w:sz w:val="24"/>
          <w:szCs w:val="24"/>
          <w:highlight w:val="none"/>
        </w:rPr>
        <w:t>(实质性要求</w:t>
      </w:r>
      <w:bookmarkEnd w:id="418"/>
      <w:r>
        <w:rPr>
          <w:rFonts w:hint="eastAsia" w:ascii="仿宋" w:hAnsi="仿宋" w:eastAsia="仿宋" w:cs="仿宋"/>
          <w:color w:val="auto"/>
          <w:sz w:val="24"/>
          <w:szCs w:val="24"/>
          <w:highlight w:val="none"/>
        </w:rPr>
        <w:t>)</w:t>
      </w:r>
      <w:bookmarkEnd w:id="419"/>
      <w:bookmarkEnd w:id="420"/>
    </w:p>
    <w:p>
      <w:pPr>
        <w:shd w:val="clear"/>
        <w:tabs>
          <w:tab w:val="left" w:pos="7665"/>
        </w:tabs>
        <w:spacing w:line="400" w:lineRule="exact"/>
        <w:ind w:left="20" w:leftChars="6"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lang w:val="zh-CN"/>
        </w:rPr>
        <w:t>投标有效期为提交投标文件的截止之日起90天。</w:t>
      </w:r>
    </w:p>
    <w:p>
      <w:pPr>
        <w:pStyle w:val="5"/>
        <w:shd w:val="clear"/>
        <w:spacing w:line="400" w:lineRule="exact"/>
        <w:ind w:firstLine="482" w:firstLineChars="200"/>
        <w:rPr>
          <w:rFonts w:ascii="仿宋" w:hAnsi="仿宋" w:eastAsia="仿宋" w:cs="仿宋"/>
          <w:color w:val="auto"/>
          <w:sz w:val="24"/>
          <w:szCs w:val="24"/>
          <w:highlight w:val="none"/>
        </w:rPr>
      </w:pPr>
      <w:bookmarkStart w:id="421" w:name="_Toc327196282"/>
      <w:bookmarkStart w:id="422" w:name="_Toc307564848"/>
      <w:bookmarkStart w:id="423" w:name="_Toc319439896"/>
      <w:bookmarkStart w:id="424" w:name="_Toc308188148"/>
      <w:bookmarkStart w:id="425" w:name="_Toc22593"/>
      <w:bookmarkStart w:id="426" w:name="_Toc217446052"/>
      <w:bookmarkStart w:id="427" w:name="_Toc183682362"/>
      <w:bookmarkStart w:id="428" w:name="_Toc183582225"/>
      <w:bookmarkStart w:id="429" w:name="_Toc307501105"/>
      <w:bookmarkStart w:id="430" w:name="_Toc308084593"/>
      <w:bookmarkStart w:id="431" w:name="_Toc6239"/>
      <w:bookmarkStart w:id="432" w:name="_Toc309897511"/>
      <w:bookmarkStart w:id="433" w:name="_Toc25471"/>
      <w:bookmarkStart w:id="434" w:name="_Toc319440138"/>
      <w:bookmarkStart w:id="435" w:name="_Toc3717"/>
      <w:bookmarkStart w:id="436" w:name="_Toc6827"/>
      <w:bookmarkStart w:id="437" w:name="_Toc27612"/>
      <w:bookmarkStart w:id="438" w:name="_Toc26817"/>
      <w:bookmarkStart w:id="439" w:name="_Toc7213"/>
      <w:bookmarkStart w:id="440" w:name="_Toc12545"/>
      <w:bookmarkStart w:id="441" w:name="_Toc27461"/>
      <w:bookmarkStart w:id="442" w:name="_Toc3077"/>
      <w:r>
        <w:rPr>
          <w:rFonts w:hint="eastAsia" w:ascii="仿宋" w:hAnsi="仿宋" w:eastAsia="仿宋" w:cs="仿宋"/>
          <w:color w:val="auto"/>
          <w:sz w:val="24"/>
          <w:szCs w:val="24"/>
          <w:highlight w:val="none"/>
        </w:rPr>
        <w:t>18.</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Pr>
          <w:rFonts w:hint="eastAsia" w:ascii="仿宋" w:hAnsi="仿宋" w:eastAsia="仿宋" w:cs="仿宋"/>
          <w:color w:val="auto"/>
          <w:sz w:val="24"/>
          <w:szCs w:val="24"/>
          <w:highlight w:val="none"/>
        </w:rPr>
        <w:t>投标文件的制作、签章、加密</w:t>
      </w:r>
    </w:p>
    <w:p>
      <w:pPr>
        <w:shd w:val="clear"/>
        <w:tabs>
          <w:tab w:val="left" w:pos="1080"/>
        </w:tabs>
        <w:spacing w:line="400" w:lineRule="exact"/>
        <w:ind w:firstLine="460" w:firstLineChars="192"/>
        <w:rPr>
          <w:rFonts w:ascii="仿宋" w:hAnsi="仿宋" w:eastAsia="仿宋" w:cs="仿宋"/>
          <w:color w:val="auto"/>
          <w:sz w:val="24"/>
          <w:highlight w:val="none"/>
        </w:rPr>
      </w:pPr>
      <w:bookmarkStart w:id="443" w:name="_Toc307564849"/>
      <w:bookmarkStart w:id="444" w:name="_Toc308084594"/>
      <w:bookmarkStart w:id="445" w:name="_Toc307501106"/>
      <w:bookmarkStart w:id="446" w:name="_Toc319440139"/>
      <w:bookmarkStart w:id="447" w:name="_Toc77400781"/>
      <w:bookmarkStart w:id="448" w:name="_Toc183582226"/>
      <w:bookmarkStart w:id="449" w:name="_Toc13153"/>
      <w:bookmarkStart w:id="450" w:name="_Toc327196283"/>
      <w:bookmarkStart w:id="451" w:name="_Toc19635"/>
      <w:bookmarkStart w:id="452" w:name="_Toc308188149"/>
      <w:bookmarkStart w:id="453" w:name="_Toc10555"/>
      <w:bookmarkStart w:id="454" w:name="_Toc217446053"/>
      <w:bookmarkStart w:id="455" w:name="_Toc23675"/>
      <w:bookmarkStart w:id="456" w:name="_Toc319439897"/>
      <w:bookmarkStart w:id="457" w:name="_Toc5019"/>
      <w:bookmarkStart w:id="458" w:name="_Toc309897512"/>
      <w:bookmarkStart w:id="459" w:name="_Toc183682363"/>
      <w:bookmarkStart w:id="460" w:name="_Toc27443"/>
      <w:bookmarkStart w:id="461" w:name="_Toc89075877"/>
      <w:r>
        <w:rPr>
          <w:rFonts w:hint="eastAsia" w:ascii="仿宋" w:hAnsi="仿宋" w:eastAsia="仿宋" w:cs="仿宋"/>
          <w:color w:val="auto"/>
          <w:sz w:val="24"/>
          <w:highlight w:val="none"/>
        </w:rPr>
        <w:t>18.1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shd w:val="clear"/>
        <w:tabs>
          <w:tab w:val="left" w:pos="1080"/>
        </w:tabs>
        <w:spacing w:line="40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18.2 投标文件每页均应加盖投标人（法定名称）电子签章，不得使用投标人专用章（如经济合同章、投标专用章等）或下属单位印章代替。（实质性要求）</w:t>
      </w:r>
    </w:p>
    <w:p>
      <w:pPr>
        <w:shd w:val="clear"/>
        <w:tabs>
          <w:tab w:val="left" w:pos="1080"/>
        </w:tabs>
        <w:spacing w:line="40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18.3 投标人应使用本企业CA数字证书对投标文件进行加密。（实质性要求）</w:t>
      </w:r>
    </w:p>
    <w:p>
      <w:pPr>
        <w:shd w:val="clear"/>
        <w:tabs>
          <w:tab w:val="left" w:pos="1080"/>
        </w:tabs>
        <w:spacing w:line="40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18.4 招标文件若有修改，投标人根据修改后的招标文件制作或修改并递交投标文件。</w:t>
      </w:r>
    </w:p>
    <w:p>
      <w:pPr>
        <w:shd w:val="clear"/>
        <w:tabs>
          <w:tab w:val="left" w:pos="1080"/>
        </w:tabs>
        <w:spacing w:line="40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18.5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shd w:val="clear"/>
        <w:tabs>
          <w:tab w:val="left" w:pos="108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说明：1、招标文件中要求提供复印件证明材料的，包含原件的影印件或复印件或扫描件。2、本项目如涉及分包段采购的，投标人可对包段进行选择投标，但投标人必须对所投包段中的所有内容进行投标，并响应招标文件的要求和分包段分别编制投标文件。</w:t>
      </w:r>
    </w:p>
    <w:p>
      <w:pPr>
        <w:pStyle w:val="5"/>
        <w:shd w:val="clear"/>
        <w:spacing w:line="400" w:lineRule="exact"/>
        <w:ind w:firstLine="482" w:firstLineChars="200"/>
        <w:rPr>
          <w:rFonts w:ascii="仿宋" w:hAnsi="仿宋" w:eastAsia="仿宋" w:cs="仿宋"/>
          <w:color w:val="auto"/>
          <w:sz w:val="24"/>
          <w:szCs w:val="24"/>
          <w:highlight w:val="none"/>
        </w:rPr>
      </w:pPr>
      <w:bookmarkStart w:id="462" w:name="_Toc16752"/>
      <w:bookmarkStart w:id="463" w:name="_Toc17010"/>
      <w:bookmarkStart w:id="464" w:name="_Toc6805"/>
      <w:bookmarkStart w:id="465" w:name="_Toc21788"/>
      <w:bookmarkStart w:id="466" w:name="_Toc23619"/>
      <w:r>
        <w:rPr>
          <w:rFonts w:hint="eastAsia" w:ascii="仿宋" w:hAnsi="仿宋" w:eastAsia="仿宋" w:cs="仿宋"/>
          <w:color w:val="auto"/>
          <w:sz w:val="24"/>
          <w:szCs w:val="24"/>
          <w:highlight w:val="none"/>
        </w:rPr>
        <w:t>19.</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Start w:id="467" w:name="_Toc183582227"/>
      <w:bookmarkStart w:id="468" w:name="_Toc183682364"/>
      <w:bookmarkStart w:id="469" w:name="_Toc217446054"/>
      <w:bookmarkStart w:id="470" w:name="_Toc54"/>
      <w:bookmarkStart w:id="471" w:name="_Toc307564850"/>
      <w:bookmarkStart w:id="472" w:name="_Toc307501107"/>
      <w:bookmarkStart w:id="473" w:name="_Toc20273"/>
      <w:bookmarkStart w:id="474" w:name="_Toc9965"/>
      <w:bookmarkStart w:id="475" w:name="_Toc19406"/>
      <w:bookmarkStart w:id="476" w:name="_Toc8863"/>
      <w:bookmarkStart w:id="477" w:name="_Toc308188150"/>
      <w:bookmarkStart w:id="478" w:name="_Toc309897513"/>
      <w:bookmarkStart w:id="479" w:name="_Toc27234"/>
      <w:bookmarkStart w:id="480" w:name="_Toc25947"/>
      <w:bookmarkStart w:id="481" w:name="_Toc308084595"/>
      <w:bookmarkStart w:id="482" w:name="_Toc2092"/>
      <w:bookmarkStart w:id="483" w:name="_Toc319439898"/>
      <w:bookmarkStart w:id="484" w:name="_Toc25113"/>
      <w:bookmarkStart w:id="485" w:name="_Toc319440140"/>
      <w:bookmarkStart w:id="486" w:name="_Toc5768"/>
      <w:bookmarkStart w:id="487" w:name="_Toc7231"/>
      <w:bookmarkStart w:id="488" w:name="_Toc327196284"/>
      <w:r>
        <w:rPr>
          <w:rFonts w:hint="eastAsia" w:ascii="仿宋" w:hAnsi="仿宋" w:eastAsia="仿宋" w:cs="仿宋"/>
          <w:color w:val="auto"/>
          <w:sz w:val="24"/>
          <w:szCs w:val="24"/>
          <w:highlight w:val="none"/>
        </w:rPr>
        <w:t>投标文件的</w:t>
      </w:r>
      <w:bookmarkEnd w:id="467"/>
      <w:bookmarkEnd w:id="468"/>
      <w:r>
        <w:rPr>
          <w:rFonts w:hint="eastAsia" w:ascii="仿宋" w:hAnsi="仿宋" w:eastAsia="仿宋" w:cs="仿宋"/>
          <w:color w:val="auto"/>
          <w:sz w:val="24"/>
          <w:szCs w:val="24"/>
          <w:highlight w:val="none"/>
        </w:rPr>
        <w:t>递交</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shd w:val="clear"/>
        <w:tabs>
          <w:tab w:val="left" w:pos="1095"/>
        </w:tabs>
        <w:spacing w:line="40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19.1 投标人应当在投标文件递交截止时间前，将生成的已加密的电子投标文件成功递交至“政府采购云平台”。</w:t>
      </w:r>
    </w:p>
    <w:p>
      <w:pPr>
        <w:shd w:val="clear"/>
        <w:tabs>
          <w:tab w:val="left" w:pos="1095"/>
        </w:tabs>
        <w:spacing w:line="40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19.2投标人应充分考虑递交文件的不可预见因素，在投标截止时间后将无法递交。</w:t>
      </w:r>
    </w:p>
    <w:p>
      <w:pPr>
        <w:shd w:val="clear"/>
        <w:tabs>
          <w:tab w:val="left" w:pos="1095"/>
        </w:tabs>
        <w:spacing w:line="440" w:lineRule="exact"/>
        <w:ind w:firstLine="460" w:firstLineChars="192"/>
        <w:rPr>
          <w:rFonts w:ascii="仿宋" w:hAnsi="仿宋" w:eastAsia="仿宋" w:cs="仿宋"/>
          <w:color w:val="auto"/>
          <w:sz w:val="24"/>
          <w:highlight w:val="none"/>
        </w:rPr>
      </w:pPr>
      <w:r>
        <w:rPr>
          <w:rFonts w:hint="eastAsia" w:ascii="仿宋" w:hAnsi="仿宋" w:eastAsia="仿宋" w:cs="仿宋"/>
          <w:color w:val="auto"/>
          <w:sz w:val="24"/>
          <w:highlight w:val="none"/>
        </w:rPr>
        <w:t>19.3 投标人在政府采购云平台上传投标文件，系统提示投标文件上传成功后，须在投标截止时间前对上传的投标文件下载核对，投标人应对投标文件是否能解密、文件是否能打开、每页是否都有电子签章等进行核对。</w:t>
      </w:r>
    </w:p>
    <w:p>
      <w:pPr>
        <w:pStyle w:val="5"/>
        <w:shd w:val="clear"/>
        <w:spacing w:line="400" w:lineRule="exact"/>
        <w:ind w:firstLine="482" w:firstLineChars="200"/>
        <w:rPr>
          <w:rFonts w:ascii="仿宋" w:hAnsi="仿宋" w:eastAsia="仿宋" w:cs="仿宋"/>
          <w:color w:val="auto"/>
          <w:sz w:val="24"/>
          <w:szCs w:val="24"/>
          <w:highlight w:val="none"/>
        </w:rPr>
      </w:pPr>
      <w:bookmarkStart w:id="489" w:name="_Toc183682365"/>
      <w:bookmarkStart w:id="490" w:name="_Toc183582228"/>
      <w:bookmarkStart w:id="491" w:name="_Toc319439899"/>
      <w:bookmarkStart w:id="492" w:name="_Toc217446055"/>
      <w:bookmarkStart w:id="493" w:name="_Toc308084596"/>
      <w:bookmarkStart w:id="494" w:name="_Toc23816"/>
      <w:bookmarkStart w:id="495" w:name="_Toc6140"/>
      <w:bookmarkStart w:id="496" w:name="_Toc319440141"/>
      <w:bookmarkStart w:id="497" w:name="_Toc309897514"/>
      <w:bookmarkStart w:id="498" w:name="_Toc308188151"/>
      <w:bookmarkStart w:id="499" w:name="_Toc7313"/>
      <w:bookmarkStart w:id="500" w:name="_Toc1451"/>
      <w:bookmarkStart w:id="501" w:name="_Toc4178"/>
      <w:bookmarkStart w:id="502" w:name="_Toc3865"/>
      <w:bookmarkStart w:id="503" w:name="_Toc25795"/>
      <w:bookmarkStart w:id="504" w:name="_Toc22634"/>
      <w:bookmarkStart w:id="505" w:name="_Toc12138"/>
      <w:bookmarkStart w:id="506" w:name="_Toc307501108"/>
      <w:bookmarkStart w:id="507" w:name="_Toc17045"/>
      <w:bookmarkStart w:id="508" w:name="_Toc307564851"/>
      <w:bookmarkStart w:id="509" w:name="_Toc327196285"/>
      <w:bookmarkStart w:id="510" w:name="_Toc15674"/>
      <w:r>
        <w:rPr>
          <w:rFonts w:hint="eastAsia" w:ascii="仿宋" w:hAnsi="仿宋" w:eastAsia="仿宋" w:cs="仿宋"/>
          <w:color w:val="auto"/>
          <w:sz w:val="24"/>
          <w:szCs w:val="24"/>
          <w:highlight w:val="none"/>
        </w:rPr>
        <w:t>20.投标文件的修改和撤</w:t>
      </w:r>
      <w:bookmarkEnd w:id="489"/>
      <w:bookmarkEnd w:id="490"/>
      <w:r>
        <w:rPr>
          <w:rFonts w:hint="eastAsia" w:ascii="仿宋" w:hAnsi="仿宋" w:eastAsia="仿宋" w:cs="仿宋"/>
          <w:color w:val="auto"/>
          <w:sz w:val="24"/>
          <w:szCs w:val="24"/>
          <w:highlight w:val="none"/>
        </w:rPr>
        <w:t>回</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shd w:val="clear"/>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20.1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hd w:val="clear"/>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20.2投标截止时间后，投标人不得对其递交的投标文件做任何补充、修改。</w:t>
      </w:r>
    </w:p>
    <w:p>
      <w:pPr>
        <w:pStyle w:val="5"/>
        <w:shd w:val="clea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21.投标文件的解密</w:t>
      </w:r>
    </w:p>
    <w:p>
      <w:pPr>
        <w:shd w:val="clear"/>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15"/>
        <w:shd w:val="clear"/>
        <w:rPr>
          <w:rFonts w:ascii="仿宋" w:hAnsi="仿宋" w:eastAsia="仿宋" w:cs="仿宋"/>
          <w:color w:val="auto"/>
          <w:highlight w:val="none"/>
        </w:rPr>
      </w:pPr>
    </w:p>
    <w:p>
      <w:pPr>
        <w:pStyle w:val="4"/>
        <w:shd w:val="clear"/>
        <w:spacing w:before="0" w:after="0" w:line="440" w:lineRule="exact"/>
        <w:jc w:val="center"/>
        <w:rPr>
          <w:rFonts w:ascii="仿宋" w:hAnsi="仿宋" w:eastAsia="仿宋" w:cs="仿宋"/>
          <w:bCs w:val="0"/>
          <w:color w:val="auto"/>
          <w:highlight w:val="none"/>
        </w:rPr>
      </w:pPr>
      <w:bookmarkStart w:id="511" w:name="_Toc31425"/>
      <w:bookmarkStart w:id="512" w:name="_Toc21531"/>
      <w:bookmarkStart w:id="513" w:name="_Toc89075878"/>
      <w:bookmarkStart w:id="514" w:name="_Toc183582231"/>
      <w:bookmarkStart w:id="515" w:name="_Toc16817"/>
      <w:bookmarkStart w:id="516" w:name="_Toc77400782"/>
      <w:bookmarkStart w:id="517" w:name="_Toc15691"/>
      <w:bookmarkStart w:id="518" w:name="_Toc183682368"/>
      <w:bookmarkStart w:id="519" w:name="_Toc217446056"/>
      <w:bookmarkStart w:id="520" w:name="_Toc327196286"/>
      <w:r>
        <w:rPr>
          <w:rFonts w:hint="eastAsia" w:ascii="仿宋" w:hAnsi="仿宋" w:eastAsia="仿宋" w:cs="仿宋"/>
          <w:bCs w:val="0"/>
          <w:color w:val="auto"/>
          <w:highlight w:val="none"/>
        </w:rPr>
        <w:t>五、开标和中标</w:t>
      </w:r>
      <w:bookmarkEnd w:id="511"/>
      <w:bookmarkEnd w:id="512"/>
      <w:bookmarkEnd w:id="513"/>
      <w:bookmarkEnd w:id="514"/>
      <w:bookmarkEnd w:id="515"/>
      <w:bookmarkEnd w:id="516"/>
      <w:bookmarkEnd w:id="517"/>
      <w:bookmarkEnd w:id="518"/>
      <w:bookmarkEnd w:id="519"/>
      <w:bookmarkEnd w:id="520"/>
    </w:p>
    <w:p>
      <w:pPr>
        <w:pStyle w:val="5"/>
        <w:shd w:val="clear"/>
        <w:spacing w:line="400" w:lineRule="exact"/>
        <w:ind w:firstLine="482" w:firstLineChars="200"/>
        <w:rPr>
          <w:rFonts w:ascii="仿宋" w:hAnsi="仿宋" w:eastAsia="仿宋" w:cs="仿宋"/>
          <w:color w:val="auto"/>
          <w:sz w:val="24"/>
          <w:szCs w:val="24"/>
          <w:highlight w:val="none"/>
        </w:rPr>
      </w:pPr>
      <w:bookmarkStart w:id="521" w:name="_Toc8915"/>
      <w:bookmarkStart w:id="522" w:name="_Toc15426"/>
      <w:bookmarkStart w:id="523" w:name="_Toc183682369"/>
      <w:bookmarkStart w:id="524" w:name="_Toc20023"/>
      <w:bookmarkStart w:id="525" w:name="_Toc307564853"/>
      <w:bookmarkStart w:id="526" w:name="_Toc183582232"/>
      <w:bookmarkStart w:id="527" w:name="_Toc217446057"/>
      <w:bookmarkStart w:id="528" w:name="_Toc308084598"/>
      <w:bookmarkStart w:id="529" w:name="_Toc13237"/>
      <w:bookmarkStart w:id="530" w:name="_Toc319439901"/>
      <w:bookmarkStart w:id="531" w:name="_Toc307501110"/>
      <w:bookmarkStart w:id="532" w:name="_Toc23998"/>
      <w:bookmarkStart w:id="533" w:name="_Toc19952"/>
      <w:bookmarkStart w:id="534" w:name="_Toc319440143"/>
      <w:bookmarkStart w:id="535" w:name="_Toc11957"/>
      <w:bookmarkStart w:id="536" w:name="_Toc18049"/>
      <w:bookmarkStart w:id="537" w:name="_Toc327196287"/>
      <w:bookmarkStart w:id="538" w:name="_Toc309897516"/>
      <w:bookmarkStart w:id="539" w:name="_Toc308188153"/>
      <w:bookmarkStart w:id="540" w:name="_Toc29493"/>
      <w:bookmarkStart w:id="541" w:name="_Toc6289"/>
      <w:bookmarkStart w:id="542" w:name="_Toc29031"/>
      <w:r>
        <w:rPr>
          <w:rFonts w:hint="eastAsia" w:ascii="仿宋" w:hAnsi="仿宋" w:eastAsia="仿宋" w:cs="仿宋"/>
          <w:color w:val="auto"/>
          <w:sz w:val="24"/>
          <w:szCs w:val="24"/>
          <w:highlight w:val="none"/>
        </w:rPr>
        <w:t>22.开标</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hd w:val="clear"/>
        <w:spacing w:line="400" w:lineRule="exact"/>
        <w:ind w:firstLine="480" w:firstLineChars="200"/>
        <w:rPr>
          <w:rFonts w:ascii="仿宋" w:hAnsi="仿宋" w:eastAsia="仿宋" w:cs="仿宋"/>
          <w:color w:val="auto"/>
          <w:sz w:val="24"/>
          <w:highlight w:val="none"/>
        </w:rPr>
      </w:pPr>
      <w:bookmarkStart w:id="543" w:name="_Toc20885"/>
      <w:bookmarkStart w:id="544" w:name="_Toc827"/>
      <w:bookmarkStart w:id="545" w:name="_Toc26350"/>
      <w:bookmarkStart w:id="546" w:name="_Toc24509"/>
      <w:bookmarkStart w:id="547" w:name="_Toc21367"/>
      <w:bookmarkStart w:id="548" w:name="_Toc319439902"/>
      <w:bookmarkStart w:id="549" w:name="_Toc307564854"/>
      <w:bookmarkStart w:id="550" w:name="_Toc319440144"/>
      <w:bookmarkStart w:id="551" w:name="_Toc10782"/>
      <w:bookmarkStart w:id="552" w:name="_Toc308084599"/>
      <w:bookmarkStart w:id="553" w:name="_Toc307501111"/>
      <w:bookmarkStart w:id="554" w:name="_Toc217446058"/>
      <w:bookmarkStart w:id="555" w:name="_Toc5097"/>
      <w:bookmarkStart w:id="556" w:name="_Toc17927"/>
      <w:bookmarkStart w:id="557" w:name="_Toc309897517"/>
      <w:bookmarkStart w:id="558" w:name="_Toc7168"/>
      <w:bookmarkStart w:id="559" w:name="_Toc15266"/>
      <w:bookmarkStart w:id="560" w:name="_Toc327196288"/>
      <w:bookmarkStart w:id="561" w:name="_Toc12755"/>
      <w:bookmarkStart w:id="562" w:name="_Toc308188154"/>
      <w:r>
        <w:rPr>
          <w:rFonts w:hint="eastAsia" w:ascii="仿宋" w:hAnsi="仿宋" w:eastAsia="仿宋" w:cs="仿宋"/>
          <w:color w:val="auto"/>
          <w:sz w:val="24"/>
          <w:highlight w:val="none"/>
        </w:rPr>
        <w:t>22.1本项目为不见面开标项目。（递交电子投标文件的投标人不足3家的，不予开标。）</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开标准备工作。投标人需在开标当日、投标截止时间前登录“政府采购云平台”，通过本项目“开标大厅”参与不见面开标。登录政府采购云平台—项目采购—开标评标—开标大厅（确保进入本项目开标大厅）。</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提示：投标人未按时登录不见面开标系统，错过开标解密时间的，由投标人自行承担不利后果。</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解密投标文件。等待代理机构开启解密后，投标人进行线上解密。开启解密后，投标人应在60分钟内（具体时限以政府采购云平台系统设定的时间为准），使用加密该投标文件的CA数字证书在线完成投标文件的解密。除因断电、断网、系统故障或其他不可抗力等因素，导致系统无法使用外，投标人在规定的解密时间内，未成功解密的投标文件将视为无效投标文件。</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22.5投标人电脑终端等硬件设备和软件系统配置：投标人电脑终端等硬件设备和软件系统配置应符合电子投标（含不见面开标大厅）投标人电脑终端配置要求并运行正常，投标人承担因未尽职责产生的不利后果。</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22.6因断电、断网、系统故障或其他不可抗力等因素导致不见面开标系统无法正常运行的，开标活动中止或延迟，待系统恢复正常后继续进行开标活动。</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22.7不见面开标过程中，各方主体均应遵守互联网有关规定，不得发表与交易活动无关的言论。</w:t>
      </w:r>
    </w:p>
    <w:p>
      <w:pPr>
        <w:pStyle w:val="5"/>
        <w:shd w:val="clea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rFonts w:hint="eastAsia" w:ascii="仿宋" w:hAnsi="仿宋" w:eastAsia="仿宋" w:cs="仿宋"/>
          <w:color w:val="auto"/>
          <w:sz w:val="24"/>
          <w:szCs w:val="24"/>
          <w:highlight w:val="none"/>
        </w:rPr>
        <w:t>开评标过程存档</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开标和评标过程进行全过程电子监控，并将电子监控资料存储介质留存归档。</w:t>
      </w:r>
    </w:p>
    <w:p>
      <w:pPr>
        <w:pStyle w:val="5"/>
        <w:shd w:val="clear"/>
        <w:spacing w:line="400" w:lineRule="exact"/>
        <w:ind w:firstLine="482" w:firstLineChars="200"/>
        <w:rPr>
          <w:rFonts w:ascii="仿宋" w:hAnsi="仿宋" w:eastAsia="仿宋" w:cs="仿宋"/>
          <w:color w:val="auto"/>
          <w:sz w:val="24"/>
          <w:szCs w:val="24"/>
          <w:highlight w:val="none"/>
        </w:rPr>
      </w:pPr>
      <w:bookmarkStart w:id="563" w:name="_Toc489"/>
      <w:bookmarkStart w:id="564" w:name="_Toc308188155"/>
      <w:bookmarkStart w:id="565" w:name="_Toc307564855"/>
      <w:bookmarkStart w:id="566" w:name="_Toc308084600"/>
      <w:bookmarkStart w:id="567" w:name="_Toc28123"/>
      <w:bookmarkStart w:id="568" w:name="_Toc307501112"/>
      <w:bookmarkStart w:id="569" w:name="_Toc16512"/>
      <w:bookmarkStart w:id="570" w:name="_Toc15967"/>
      <w:bookmarkStart w:id="571" w:name="_Toc28481"/>
      <w:bookmarkStart w:id="572" w:name="_Toc183682375"/>
      <w:bookmarkStart w:id="573" w:name="_Toc319439903"/>
      <w:bookmarkStart w:id="574" w:name="_Toc128"/>
      <w:bookmarkStart w:id="575" w:name="_Toc11258"/>
      <w:bookmarkStart w:id="576" w:name="_Toc217446063"/>
      <w:bookmarkStart w:id="577" w:name="_Toc6332"/>
      <w:bookmarkStart w:id="578" w:name="_Toc327196289"/>
      <w:bookmarkStart w:id="579" w:name="_Toc13751"/>
      <w:bookmarkStart w:id="580" w:name="_Toc9806"/>
      <w:bookmarkStart w:id="581" w:name="_Toc8800"/>
      <w:bookmarkStart w:id="582" w:name="_Toc319440145"/>
      <w:bookmarkStart w:id="583" w:name="_Toc183582238"/>
      <w:bookmarkStart w:id="584" w:name="_Toc309897518"/>
      <w:r>
        <w:rPr>
          <w:rFonts w:hint="eastAsia" w:ascii="仿宋" w:hAnsi="仿宋" w:eastAsia="仿宋" w:cs="仿宋"/>
          <w:color w:val="auto"/>
          <w:sz w:val="24"/>
          <w:szCs w:val="24"/>
          <w:highlight w:val="none"/>
        </w:rPr>
        <w:t>24.</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Pr>
          <w:rFonts w:hint="eastAsia" w:ascii="仿宋" w:hAnsi="仿宋" w:eastAsia="仿宋" w:cs="仿宋"/>
          <w:color w:val="auto"/>
          <w:sz w:val="24"/>
          <w:szCs w:val="24"/>
          <w:highlight w:val="none"/>
        </w:rPr>
        <w:t>评标情况公告</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所有供应商投标文件资格性、符合性检查情况、采用综合评分法时的总得分和分项汇总得分情况、评标结果等将在四川政府采购网上采购结果公告栏中予以公告。</w:t>
      </w:r>
    </w:p>
    <w:p>
      <w:pPr>
        <w:pStyle w:val="5"/>
        <w:shd w:val="clear"/>
        <w:spacing w:line="400" w:lineRule="exact"/>
        <w:ind w:firstLine="482" w:firstLineChars="200"/>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25.中标通知书</w:t>
      </w:r>
    </w:p>
    <w:p>
      <w:pPr>
        <w:shd w:val="clear"/>
        <w:tabs>
          <w:tab w:val="left" w:pos="7665"/>
        </w:tabs>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 中标通知书为签订政府采购合同的依据之一，是合同的有效组成部分。</w:t>
      </w:r>
    </w:p>
    <w:p>
      <w:pPr>
        <w:shd w:val="clear"/>
        <w:tabs>
          <w:tab w:val="left" w:pos="7665"/>
        </w:tabs>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25.2 中标通知书对采购人和中标人均具有法律效力。中标通知书发出后，采购人改变中标结果，或者中标人无正当理由放弃中标的，应当承担相应的法律责任。</w:t>
      </w:r>
    </w:p>
    <w:p>
      <w:pPr>
        <w:shd w:val="clear"/>
        <w:tabs>
          <w:tab w:val="left" w:pos="7665"/>
        </w:tabs>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25.3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shd w:val="clear"/>
        <w:tabs>
          <w:tab w:val="left" w:pos="7665"/>
        </w:tabs>
        <w:spacing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25.4在四川政府采购网公告中标结果同时发出中标通知书，中标供应商自行登录政府采购云平台下载中标通知书。</w:t>
      </w:r>
    </w:p>
    <w:p>
      <w:pPr>
        <w:pStyle w:val="4"/>
        <w:shd w:val="clear"/>
        <w:spacing w:before="0" w:after="0" w:line="440" w:lineRule="exact"/>
        <w:jc w:val="center"/>
        <w:rPr>
          <w:rFonts w:ascii="仿宋" w:hAnsi="仿宋" w:eastAsia="仿宋" w:cs="仿宋"/>
          <w:bCs w:val="0"/>
          <w:color w:val="auto"/>
          <w:highlight w:val="none"/>
        </w:rPr>
      </w:pPr>
      <w:bookmarkStart w:id="585" w:name="_Toc10354"/>
      <w:bookmarkStart w:id="586" w:name="_Toc13383"/>
      <w:bookmarkStart w:id="587" w:name="_Toc2685"/>
      <w:bookmarkStart w:id="588" w:name="_Toc327196290"/>
      <w:bookmarkStart w:id="589" w:name="_Toc217446064"/>
      <w:bookmarkStart w:id="590" w:name="_Toc17916"/>
      <w:bookmarkStart w:id="591" w:name="_Toc183682377"/>
      <w:bookmarkStart w:id="592" w:name="_Toc183582240"/>
      <w:r>
        <w:rPr>
          <w:rFonts w:hint="eastAsia" w:ascii="仿宋" w:hAnsi="仿宋" w:eastAsia="仿宋" w:cs="仿宋"/>
          <w:bCs w:val="0"/>
          <w:color w:val="auto"/>
          <w:highlight w:val="none"/>
        </w:rPr>
        <w:t>六、签订及履行合同和验收</w:t>
      </w:r>
      <w:bookmarkEnd w:id="585"/>
      <w:bookmarkEnd w:id="586"/>
      <w:bookmarkEnd w:id="587"/>
      <w:bookmarkEnd w:id="588"/>
      <w:bookmarkEnd w:id="589"/>
      <w:bookmarkEnd w:id="590"/>
    </w:p>
    <w:p>
      <w:pPr>
        <w:pStyle w:val="5"/>
        <w:shd w:val="clear"/>
        <w:spacing w:line="400" w:lineRule="exact"/>
        <w:ind w:firstLine="482" w:firstLineChars="200"/>
        <w:rPr>
          <w:rFonts w:ascii="仿宋" w:hAnsi="仿宋" w:eastAsia="仿宋" w:cs="仿宋"/>
          <w:bCs w:val="0"/>
          <w:color w:val="auto"/>
          <w:sz w:val="24"/>
          <w:szCs w:val="24"/>
          <w:highlight w:val="none"/>
        </w:rPr>
      </w:pPr>
      <w:bookmarkStart w:id="593" w:name="_Toc27989"/>
      <w:bookmarkStart w:id="594" w:name="_Toc217446065"/>
      <w:bookmarkStart w:id="595" w:name="_Toc327196291"/>
      <w:bookmarkStart w:id="596" w:name="_Toc319439905"/>
      <w:bookmarkStart w:id="597" w:name="_Toc319440147"/>
      <w:bookmarkStart w:id="598" w:name="_Toc307501114"/>
      <w:bookmarkStart w:id="599" w:name="_Toc27214"/>
      <w:bookmarkStart w:id="600" w:name="_Toc5659"/>
      <w:bookmarkStart w:id="601" w:name="_Toc24949"/>
      <w:bookmarkStart w:id="602" w:name="_Toc25992"/>
      <w:bookmarkStart w:id="603" w:name="_Toc515"/>
      <w:bookmarkStart w:id="604" w:name="_Toc309897520"/>
      <w:bookmarkStart w:id="605" w:name="_Toc3130"/>
      <w:bookmarkStart w:id="606" w:name="_Toc17937"/>
      <w:bookmarkStart w:id="607" w:name="_Toc307564857"/>
      <w:bookmarkStart w:id="608" w:name="_Toc16835"/>
      <w:bookmarkStart w:id="609" w:name="_Toc4460"/>
      <w:bookmarkStart w:id="610" w:name="_Toc20427"/>
      <w:bookmarkStart w:id="611" w:name="_Toc308084602"/>
      <w:bookmarkStart w:id="612" w:name="_Toc308188157"/>
      <w:r>
        <w:rPr>
          <w:rFonts w:hint="eastAsia" w:ascii="仿宋" w:hAnsi="仿宋" w:eastAsia="仿宋" w:cs="仿宋"/>
          <w:bCs w:val="0"/>
          <w:color w:val="auto"/>
          <w:sz w:val="24"/>
          <w:szCs w:val="24"/>
          <w:highlight w:val="none"/>
        </w:rPr>
        <w:t>26.签订合同</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中标人在收到采购代理机构发出的《中标通知书》后，应在法律法规规定的时间内与采购人签订采购合同。由于中标人的原因逾期未与采购人签订采购合同的，将视为放弃中标，取消其中标资格并将按相关规定进行处理。</w:t>
      </w:r>
    </w:p>
    <w:p>
      <w:pPr>
        <w:shd w:val="clear"/>
        <w:spacing w:line="44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26.2 采购人不得向中标人提出任何不合理的要求，作为签订合同的条件，不得与中标人私下订立背离合同实质性内容的任何协议，所签订的合同不得对招标文件和中标人投标文件确定的事项进行修改。</w:t>
      </w:r>
    </w:p>
    <w:p>
      <w:pPr>
        <w:shd w:val="clear"/>
        <w:spacing w:line="44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26.3 中标人因不可抗力原因不能履行采购合同或放弃中标的，采购人可以与排在中标人之后第一位的中标候选人签订采购合同，以此类推。</w:t>
      </w:r>
    </w:p>
    <w:p>
      <w:pPr>
        <w:shd w:val="clear"/>
        <w:spacing w:line="44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26.4中标人在合同签订之后2个工作日内，将签订的合同原件1份送至采购代理机构进行登记备案。</w:t>
      </w:r>
    </w:p>
    <w:p>
      <w:pPr>
        <w:pStyle w:val="5"/>
        <w:shd w:val="clear"/>
        <w:spacing w:line="400" w:lineRule="exact"/>
        <w:ind w:firstLine="482" w:firstLineChars="200"/>
        <w:rPr>
          <w:rFonts w:ascii="仿宋" w:hAnsi="仿宋" w:eastAsia="仿宋" w:cs="仿宋"/>
          <w:bCs w:val="0"/>
          <w:color w:val="auto"/>
          <w:sz w:val="24"/>
          <w:szCs w:val="24"/>
          <w:highlight w:val="none"/>
        </w:rPr>
      </w:pPr>
      <w:bookmarkStart w:id="613" w:name="_Toc307564858"/>
      <w:bookmarkStart w:id="614" w:name="_Toc3758"/>
      <w:bookmarkStart w:id="615" w:name="_Toc307501115"/>
      <w:bookmarkStart w:id="616" w:name="_Toc31670"/>
      <w:bookmarkStart w:id="617" w:name="_Toc319439906"/>
      <w:bookmarkStart w:id="618" w:name="_Toc308188158"/>
      <w:bookmarkStart w:id="619" w:name="_Toc20139"/>
      <w:bookmarkStart w:id="620" w:name="_Toc12489"/>
      <w:bookmarkStart w:id="621" w:name="_Toc327196292"/>
      <w:bookmarkStart w:id="622" w:name="_Toc31397"/>
      <w:bookmarkStart w:id="623" w:name="_Toc319440148"/>
      <w:bookmarkStart w:id="624" w:name="_Toc217446066"/>
      <w:bookmarkStart w:id="625" w:name="_Toc308084603"/>
      <w:bookmarkStart w:id="626" w:name="_Toc309897521"/>
      <w:bookmarkStart w:id="627" w:name="_Toc12852"/>
      <w:bookmarkStart w:id="628" w:name="_Toc25756"/>
      <w:bookmarkStart w:id="629" w:name="_Toc24196"/>
      <w:bookmarkStart w:id="630" w:name="_Toc26000"/>
      <w:bookmarkStart w:id="631" w:name="_Toc29795"/>
      <w:bookmarkStart w:id="632" w:name="_Toc27317"/>
      <w:r>
        <w:rPr>
          <w:rFonts w:hint="eastAsia" w:ascii="仿宋" w:hAnsi="仿宋" w:eastAsia="仿宋" w:cs="仿宋"/>
          <w:bCs w:val="0"/>
          <w:color w:val="auto"/>
          <w:sz w:val="24"/>
          <w:szCs w:val="24"/>
          <w:highlight w:val="none"/>
        </w:rPr>
        <w:t>27.合同</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hint="eastAsia" w:ascii="仿宋" w:hAnsi="仿宋" w:eastAsia="仿宋" w:cs="仿宋"/>
          <w:bCs w:val="0"/>
          <w:color w:val="auto"/>
          <w:sz w:val="24"/>
          <w:szCs w:val="24"/>
          <w:highlight w:val="none"/>
        </w:rPr>
        <w:t>分包</w:t>
      </w:r>
      <w:bookmarkEnd w:id="628"/>
      <w:bookmarkEnd w:id="629"/>
      <w:r>
        <w:rPr>
          <w:rFonts w:hint="eastAsia" w:ascii="仿宋" w:hAnsi="仿宋" w:eastAsia="仿宋" w:cs="仿宋"/>
          <w:bCs w:val="0"/>
          <w:color w:val="auto"/>
          <w:sz w:val="24"/>
          <w:szCs w:val="24"/>
          <w:highlight w:val="none"/>
        </w:rPr>
        <w:t>(实质性要求)</w:t>
      </w:r>
      <w:bookmarkEnd w:id="630"/>
      <w:bookmarkEnd w:id="631"/>
      <w:bookmarkEnd w:id="632"/>
    </w:p>
    <w:p>
      <w:pPr>
        <w:shd w:val="clear"/>
        <w:spacing w:line="440" w:lineRule="exact"/>
        <w:ind w:firstLine="540" w:firstLineChars="225"/>
        <w:rPr>
          <w:rFonts w:ascii="仿宋" w:hAnsi="仿宋" w:eastAsia="仿宋" w:cs="仿宋"/>
          <w:color w:val="auto"/>
          <w:sz w:val="24"/>
          <w:highlight w:val="none"/>
        </w:rPr>
      </w:pPr>
      <w:bookmarkStart w:id="633" w:name="_Toc319440149"/>
      <w:bookmarkStart w:id="634" w:name="_Toc308084604"/>
      <w:bookmarkStart w:id="635" w:name="_Toc30954"/>
      <w:bookmarkStart w:id="636" w:name="_Toc217446067"/>
      <w:bookmarkStart w:id="637" w:name="_Toc307564859"/>
      <w:bookmarkStart w:id="638" w:name="_Toc29842"/>
      <w:bookmarkStart w:id="639" w:name="_Toc29332"/>
      <w:bookmarkStart w:id="640" w:name="_Toc30827"/>
      <w:bookmarkStart w:id="641" w:name="_Toc29552"/>
      <w:bookmarkStart w:id="642" w:name="_Toc15644"/>
      <w:bookmarkStart w:id="643" w:name="_Toc327196293"/>
      <w:bookmarkStart w:id="644" w:name="_Toc309897522"/>
      <w:bookmarkStart w:id="645" w:name="_Toc307501116"/>
      <w:bookmarkStart w:id="646" w:name="_Toc308188159"/>
      <w:bookmarkStart w:id="647" w:name="_Toc319439907"/>
      <w:bookmarkStart w:id="648" w:name="_Toc19999"/>
      <w:bookmarkStart w:id="649" w:name="_Toc16143"/>
      <w:r>
        <w:rPr>
          <w:rFonts w:hint="eastAsia" w:ascii="仿宋" w:hAnsi="仿宋" w:eastAsia="仿宋" w:cs="仿宋"/>
          <w:color w:val="auto"/>
          <w:sz w:val="24"/>
          <w:highlight w:val="none"/>
        </w:rPr>
        <w:t>本项目不允许分包。</w:t>
      </w:r>
    </w:p>
    <w:p>
      <w:pPr>
        <w:pStyle w:val="5"/>
        <w:shd w:val="clear"/>
        <w:spacing w:line="400" w:lineRule="exact"/>
        <w:ind w:firstLine="482" w:firstLineChars="200"/>
        <w:rPr>
          <w:rFonts w:ascii="仿宋" w:hAnsi="仿宋" w:eastAsia="仿宋" w:cs="仿宋"/>
          <w:bCs w:val="0"/>
          <w:color w:val="auto"/>
          <w:sz w:val="24"/>
          <w:szCs w:val="24"/>
          <w:highlight w:val="none"/>
        </w:rPr>
      </w:pPr>
      <w:bookmarkStart w:id="650" w:name="_Toc8340"/>
      <w:bookmarkStart w:id="651" w:name="_Toc5242"/>
      <w:bookmarkStart w:id="652" w:name="_Toc28937"/>
      <w:r>
        <w:rPr>
          <w:rFonts w:hint="eastAsia" w:ascii="仿宋" w:hAnsi="仿宋" w:eastAsia="仿宋" w:cs="仿宋"/>
          <w:bCs w:val="0"/>
          <w:color w:val="auto"/>
          <w:sz w:val="24"/>
          <w:szCs w:val="24"/>
          <w:highlight w:val="none"/>
        </w:rPr>
        <w:t>28. 合同转包(实质性要求)</w:t>
      </w:r>
      <w:bookmarkEnd w:id="650"/>
      <w:bookmarkEnd w:id="651"/>
      <w:bookmarkEnd w:id="652"/>
    </w:p>
    <w:p>
      <w:pPr>
        <w:shd w:val="clear"/>
        <w:spacing w:line="440" w:lineRule="exact"/>
        <w:ind w:firstLine="540" w:firstLineChars="225"/>
        <w:rPr>
          <w:rFonts w:ascii="仿宋" w:hAnsi="仿宋" w:eastAsia="仿宋" w:cs="仿宋"/>
          <w:color w:val="auto"/>
          <w:sz w:val="24"/>
          <w:highlight w:val="none"/>
        </w:rPr>
      </w:pPr>
      <w:r>
        <w:rPr>
          <w:rFonts w:hint="eastAsia" w:ascii="仿宋" w:hAnsi="仿宋" w:eastAsia="仿宋" w:cs="仿宋"/>
          <w:color w:val="auto"/>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hd w:val="clear"/>
        <w:spacing w:line="440" w:lineRule="exact"/>
        <w:ind w:firstLine="540" w:firstLineChars="225"/>
        <w:rPr>
          <w:rFonts w:ascii="仿宋" w:hAnsi="仿宋" w:eastAsia="仿宋" w:cs="仿宋"/>
          <w:color w:val="auto"/>
          <w:sz w:val="24"/>
          <w:highlight w:val="none"/>
        </w:rPr>
      </w:pPr>
      <w:r>
        <w:rPr>
          <w:rFonts w:hint="eastAsia" w:ascii="仿宋" w:hAnsi="仿宋" w:eastAsia="仿宋" w:cs="仿宋"/>
          <w:color w:val="auto"/>
          <w:sz w:val="24"/>
          <w:highlight w:val="none"/>
        </w:rPr>
        <w:t>中标人转包的，视同拒绝履行政府采购合同义务，将依法追究法律责任。</w:t>
      </w:r>
    </w:p>
    <w:p>
      <w:pPr>
        <w:pStyle w:val="5"/>
        <w:shd w:val="clear"/>
        <w:spacing w:line="400" w:lineRule="exact"/>
        <w:ind w:firstLine="482" w:firstLineChars="200"/>
        <w:rPr>
          <w:rFonts w:ascii="仿宋" w:hAnsi="仿宋" w:eastAsia="仿宋" w:cs="仿宋"/>
          <w:bCs w:val="0"/>
          <w:color w:val="auto"/>
          <w:sz w:val="24"/>
          <w:szCs w:val="24"/>
          <w:highlight w:val="none"/>
        </w:rPr>
      </w:pPr>
      <w:bookmarkStart w:id="653" w:name="_Toc7239"/>
      <w:bookmarkStart w:id="654" w:name="_Toc11992"/>
      <w:bookmarkStart w:id="655" w:name="_Toc12603"/>
      <w:r>
        <w:rPr>
          <w:rFonts w:hint="eastAsia" w:ascii="仿宋" w:hAnsi="仿宋" w:eastAsia="仿宋" w:cs="仿宋"/>
          <w:bCs w:val="0"/>
          <w:color w:val="auto"/>
          <w:sz w:val="24"/>
          <w:szCs w:val="24"/>
          <w:highlight w:val="none"/>
        </w:rPr>
        <w:t>29. 补充合同</w:t>
      </w:r>
      <w:bookmarkEnd w:id="653"/>
      <w:bookmarkEnd w:id="654"/>
      <w:bookmarkEnd w:id="655"/>
    </w:p>
    <w:p>
      <w:pPr>
        <w:shd w:val="clear"/>
        <w:spacing w:line="440" w:lineRule="exact"/>
        <w:ind w:firstLine="493"/>
        <w:rPr>
          <w:rFonts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Pr>
        <w:pStyle w:val="5"/>
        <w:shd w:val="clear"/>
        <w:spacing w:line="400" w:lineRule="exact"/>
        <w:ind w:firstLine="482" w:firstLineChars="200"/>
        <w:rPr>
          <w:rFonts w:ascii="仿宋" w:hAnsi="仿宋" w:eastAsia="仿宋" w:cs="仿宋"/>
          <w:bCs w:val="0"/>
          <w:color w:val="auto"/>
          <w:sz w:val="24"/>
          <w:szCs w:val="24"/>
          <w:highlight w:val="none"/>
        </w:rPr>
      </w:pPr>
      <w:bookmarkStart w:id="656" w:name="_Toc308164812"/>
      <w:bookmarkStart w:id="657" w:name="_Toc31704"/>
      <w:bookmarkStart w:id="658" w:name="_Toc30508"/>
      <w:bookmarkStart w:id="659" w:name="_Toc24237"/>
      <w:bookmarkStart w:id="660" w:name="_Toc28404"/>
      <w:bookmarkStart w:id="661" w:name="_Toc217446068"/>
      <w:bookmarkStart w:id="662" w:name="_Toc307501117"/>
      <w:bookmarkStart w:id="663" w:name="_Toc27331"/>
      <w:bookmarkStart w:id="664" w:name="_Toc309897523"/>
      <w:bookmarkStart w:id="665" w:name="_Toc27686"/>
      <w:bookmarkStart w:id="666" w:name="_Toc319439908"/>
      <w:bookmarkStart w:id="667" w:name="_Toc327196294"/>
      <w:bookmarkStart w:id="668" w:name="_Toc19537"/>
      <w:bookmarkStart w:id="669" w:name="_Toc319440150"/>
      <w:bookmarkStart w:id="670" w:name="_Toc22746"/>
      <w:bookmarkStart w:id="671" w:name="_Toc30856"/>
      <w:bookmarkStart w:id="672" w:name="_Toc307564860"/>
      <w:bookmarkStart w:id="673" w:name="_Toc308084605"/>
      <w:bookmarkStart w:id="674" w:name="_Toc11533"/>
      <w:bookmarkStart w:id="675" w:name="_Toc16034"/>
      <w:bookmarkStart w:id="676" w:name="_Toc308188160"/>
      <w:r>
        <w:rPr>
          <w:rFonts w:hint="eastAsia" w:ascii="仿宋" w:hAnsi="仿宋" w:eastAsia="仿宋" w:cs="仿宋"/>
          <w:bCs w:val="0"/>
          <w:color w:val="auto"/>
          <w:sz w:val="24"/>
          <w:szCs w:val="24"/>
          <w:highlight w:val="none"/>
        </w:rPr>
        <w:t>30. 履约保证金</w:t>
      </w:r>
      <w:bookmarkEnd w:id="656"/>
      <w:r>
        <w:rPr>
          <w:rFonts w:hint="eastAsia" w:ascii="仿宋" w:hAnsi="仿宋" w:eastAsia="仿宋" w:cs="仿宋"/>
          <w:bCs w:val="0"/>
          <w:color w:val="auto"/>
          <w:sz w:val="24"/>
          <w:szCs w:val="24"/>
          <w:highlight w:val="none"/>
        </w:rPr>
        <w:t>(本项目不作要求)</w:t>
      </w:r>
      <w:bookmarkEnd w:id="657"/>
      <w:bookmarkEnd w:id="658"/>
      <w:bookmarkEnd w:id="659"/>
    </w:p>
    <w:p>
      <w:pPr>
        <w:pStyle w:val="5"/>
        <w:shd w:val="clear"/>
        <w:spacing w:line="400" w:lineRule="exact"/>
        <w:ind w:firstLine="482" w:firstLineChars="200"/>
        <w:rPr>
          <w:rFonts w:ascii="仿宋" w:hAnsi="仿宋" w:eastAsia="仿宋" w:cs="仿宋"/>
          <w:bCs w:val="0"/>
          <w:color w:val="auto"/>
          <w:sz w:val="24"/>
          <w:szCs w:val="24"/>
          <w:highlight w:val="none"/>
        </w:rPr>
      </w:pPr>
      <w:bookmarkStart w:id="677" w:name="_Toc19123"/>
      <w:bookmarkStart w:id="678" w:name="_Toc13715"/>
      <w:bookmarkStart w:id="679" w:name="_Toc12689"/>
      <w:r>
        <w:rPr>
          <w:rFonts w:hint="eastAsia" w:ascii="仿宋" w:hAnsi="仿宋" w:eastAsia="仿宋" w:cs="仿宋"/>
          <w:bCs w:val="0"/>
          <w:color w:val="auto"/>
          <w:sz w:val="24"/>
          <w:szCs w:val="24"/>
          <w:highlight w:val="none"/>
        </w:rPr>
        <w:t>31. 合同公告</w:t>
      </w:r>
      <w:bookmarkEnd w:id="677"/>
      <w:bookmarkEnd w:id="678"/>
      <w:bookmarkEnd w:id="679"/>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Pr>
        <w:pStyle w:val="5"/>
        <w:shd w:val="clear"/>
        <w:spacing w:line="400" w:lineRule="exact"/>
        <w:ind w:firstLine="482" w:firstLineChars="200"/>
        <w:rPr>
          <w:rFonts w:ascii="仿宋" w:hAnsi="仿宋" w:eastAsia="仿宋" w:cs="仿宋"/>
          <w:bCs w:val="0"/>
          <w:color w:val="auto"/>
          <w:sz w:val="24"/>
          <w:szCs w:val="24"/>
          <w:highlight w:val="none"/>
        </w:rPr>
      </w:pPr>
      <w:bookmarkStart w:id="680" w:name="_Toc22299"/>
      <w:bookmarkStart w:id="681" w:name="_Toc10023"/>
      <w:bookmarkStart w:id="682" w:name="_Toc30953"/>
      <w:bookmarkStart w:id="683" w:name="_Toc18278"/>
      <w:bookmarkStart w:id="684" w:name="_Toc7893"/>
      <w:bookmarkStart w:id="685" w:name="_Toc319439909"/>
      <w:bookmarkStart w:id="686" w:name="_Toc307501118"/>
      <w:bookmarkStart w:id="687" w:name="_Toc217446069"/>
      <w:bookmarkStart w:id="688" w:name="_Toc308188161"/>
      <w:bookmarkStart w:id="689" w:name="_Toc360"/>
      <w:bookmarkStart w:id="690" w:name="_Toc13392"/>
      <w:bookmarkStart w:id="691" w:name="_Toc14211"/>
      <w:bookmarkStart w:id="692" w:name="_Toc308084606"/>
      <w:bookmarkStart w:id="693" w:name="_Toc4961"/>
      <w:bookmarkStart w:id="694" w:name="_Toc309897524"/>
      <w:bookmarkStart w:id="695" w:name="_Toc319440151"/>
      <w:bookmarkStart w:id="696" w:name="_Toc327196295"/>
      <w:bookmarkStart w:id="697" w:name="_Toc16494"/>
      <w:bookmarkStart w:id="698" w:name="_Toc307564861"/>
      <w:bookmarkStart w:id="699" w:name="_Toc20855"/>
      <w:r>
        <w:rPr>
          <w:rFonts w:hint="eastAsia" w:ascii="仿宋" w:hAnsi="仿宋" w:eastAsia="仿宋" w:cs="仿宋"/>
          <w:bCs w:val="0"/>
          <w:color w:val="auto"/>
          <w:sz w:val="24"/>
          <w:szCs w:val="24"/>
          <w:highlight w:val="none"/>
        </w:rPr>
        <w:t>32. 合同备案</w:t>
      </w:r>
      <w:bookmarkEnd w:id="680"/>
      <w:bookmarkEnd w:id="681"/>
      <w:bookmarkEnd w:id="682"/>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采购人应当将政府采购合同副本自签订(双方当事人均已签字盖章)之日起七个工作日内通过四川政府采购网报同级财政部门备案。</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Pr>
        <w:pStyle w:val="5"/>
        <w:shd w:val="clear"/>
        <w:spacing w:line="400" w:lineRule="exact"/>
        <w:ind w:firstLine="482" w:firstLineChars="200"/>
        <w:rPr>
          <w:rFonts w:ascii="仿宋" w:hAnsi="仿宋" w:eastAsia="仿宋" w:cs="仿宋"/>
          <w:bCs w:val="0"/>
          <w:color w:val="auto"/>
          <w:sz w:val="24"/>
          <w:szCs w:val="24"/>
          <w:highlight w:val="none"/>
        </w:rPr>
      </w:pPr>
      <w:bookmarkStart w:id="700" w:name="_Toc13204"/>
      <w:bookmarkStart w:id="701" w:name="_Toc15310"/>
      <w:bookmarkStart w:id="702" w:name="_Toc13194"/>
      <w:bookmarkStart w:id="703" w:name="_Toc327196296"/>
      <w:bookmarkStart w:id="704" w:name="_Toc9815"/>
      <w:bookmarkStart w:id="705" w:name="_Toc27872"/>
      <w:bookmarkStart w:id="706" w:name="_Toc308084607"/>
      <w:bookmarkStart w:id="707" w:name="_Toc5754"/>
      <w:bookmarkStart w:id="708" w:name="_Toc307564862"/>
      <w:bookmarkStart w:id="709" w:name="_Toc17018"/>
      <w:bookmarkStart w:id="710" w:name="_Toc307501119"/>
      <w:bookmarkStart w:id="711" w:name="_Toc27114"/>
      <w:bookmarkStart w:id="712" w:name="_Toc18547"/>
      <w:bookmarkStart w:id="713" w:name="_Toc319440152"/>
      <w:bookmarkStart w:id="714" w:name="_Toc319439910"/>
      <w:bookmarkStart w:id="715" w:name="_Toc217446070"/>
      <w:bookmarkStart w:id="716" w:name="_Toc15219"/>
      <w:bookmarkStart w:id="717" w:name="_Toc308188162"/>
      <w:bookmarkStart w:id="718" w:name="_Toc309897525"/>
      <w:bookmarkStart w:id="719" w:name="_Toc9916"/>
      <w:r>
        <w:rPr>
          <w:rFonts w:hint="eastAsia" w:ascii="仿宋" w:hAnsi="仿宋" w:eastAsia="仿宋" w:cs="仿宋"/>
          <w:bCs w:val="0"/>
          <w:color w:val="auto"/>
          <w:sz w:val="24"/>
          <w:szCs w:val="24"/>
          <w:highlight w:val="none"/>
        </w:rPr>
        <w:t>33. 履行合同</w:t>
      </w:r>
      <w:bookmarkEnd w:id="700"/>
      <w:bookmarkEnd w:id="701"/>
      <w:bookmarkEnd w:id="702"/>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 中标人与采购人签订合同后，合同双方应严格执行合同条款，履行合同规定的义务，保证合同的顺利完成。</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33.2 在合同履行过程中，如发生合同纠纷，合同双方应按照《中华人民共和国民法典》的有关规定进行处理。</w:t>
      </w:r>
    </w:p>
    <w:p>
      <w:pPr>
        <w:pStyle w:val="5"/>
        <w:shd w:val="clear"/>
        <w:spacing w:line="400" w:lineRule="exact"/>
        <w:ind w:firstLine="482" w:firstLineChars="200"/>
        <w:rPr>
          <w:rFonts w:ascii="仿宋" w:hAnsi="仿宋" w:eastAsia="仿宋" w:cs="仿宋"/>
          <w:bCs w:val="0"/>
          <w:color w:val="auto"/>
          <w:sz w:val="24"/>
          <w:szCs w:val="24"/>
          <w:highlight w:val="none"/>
        </w:rPr>
      </w:pPr>
      <w:bookmarkStart w:id="720" w:name="_Toc12435"/>
      <w:bookmarkStart w:id="721" w:name="_Toc13473"/>
      <w:bookmarkStart w:id="722" w:name="_Toc31"/>
      <w:r>
        <w:rPr>
          <w:rFonts w:hint="eastAsia" w:ascii="仿宋" w:hAnsi="仿宋" w:eastAsia="仿宋" w:cs="仿宋"/>
          <w:bCs w:val="0"/>
          <w:color w:val="auto"/>
          <w:sz w:val="24"/>
          <w:szCs w:val="24"/>
          <w:highlight w:val="none"/>
        </w:rPr>
        <w:t>34.验收</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shd w:val="clear"/>
        <w:spacing w:line="440" w:lineRule="exact"/>
        <w:ind w:firstLine="480" w:firstLineChars="200"/>
        <w:rPr>
          <w:rFonts w:ascii="仿宋" w:hAnsi="仿宋" w:eastAsia="仿宋" w:cs="仿宋"/>
          <w:color w:val="auto"/>
          <w:sz w:val="24"/>
          <w:highlight w:val="none"/>
        </w:rPr>
      </w:pPr>
      <w:bookmarkStart w:id="723" w:name="_Toc217446071"/>
      <w:r>
        <w:rPr>
          <w:rFonts w:hint="eastAsia" w:ascii="仿宋" w:hAnsi="仿宋" w:eastAsia="仿宋" w:cs="仿宋"/>
          <w:color w:val="auto"/>
          <w:sz w:val="24"/>
          <w:highlight w:val="none"/>
        </w:rPr>
        <w:t>34.1本项目采购人及其委托的采购代理机构将严格按照《财政部关于进一步加强政府采购需求和履约验收管理的指导意见》(财库〔2016〕205号)的要求进行验收。相关信息涉密和权限限定要求、知识产权归采购人使用。</w:t>
      </w:r>
    </w:p>
    <w:bookmarkEnd w:id="591"/>
    <w:bookmarkEnd w:id="592"/>
    <w:bookmarkEnd w:id="723"/>
    <w:p>
      <w:pPr>
        <w:pStyle w:val="5"/>
        <w:shd w:val="clear"/>
        <w:spacing w:line="400" w:lineRule="exact"/>
        <w:ind w:firstLine="482" w:firstLineChars="200"/>
        <w:rPr>
          <w:rFonts w:ascii="仿宋" w:hAnsi="仿宋" w:eastAsia="仿宋" w:cs="仿宋"/>
          <w:bCs w:val="0"/>
          <w:color w:val="auto"/>
          <w:sz w:val="24"/>
          <w:szCs w:val="24"/>
          <w:highlight w:val="none"/>
        </w:rPr>
      </w:pPr>
      <w:bookmarkStart w:id="724" w:name="_Toc308164818"/>
      <w:bookmarkStart w:id="725" w:name="_Toc17896"/>
      <w:bookmarkStart w:id="726" w:name="_Toc16716"/>
      <w:bookmarkStart w:id="727" w:name="_Toc23426"/>
      <w:bookmarkStart w:id="728" w:name="_Toc327196297"/>
      <w:bookmarkStart w:id="729" w:name="_Toc217446074"/>
      <w:bookmarkStart w:id="730" w:name="_Toc16219"/>
      <w:bookmarkStart w:id="731" w:name="_Toc183582243"/>
      <w:bookmarkStart w:id="732" w:name="_Toc183682380"/>
      <w:r>
        <w:rPr>
          <w:rFonts w:hint="eastAsia" w:ascii="仿宋" w:hAnsi="仿宋" w:eastAsia="仿宋" w:cs="仿宋"/>
          <w:bCs w:val="0"/>
          <w:color w:val="auto"/>
          <w:sz w:val="24"/>
          <w:szCs w:val="24"/>
          <w:highlight w:val="none"/>
        </w:rPr>
        <w:t>35.资金支付</w:t>
      </w:r>
      <w:bookmarkEnd w:id="724"/>
      <w:r>
        <w:rPr>
          <w:rFonts w:hint="eastAsia" w:ascii="仿宋" w:hAnsi="仿宋" w:eastAsia="仿宋" w:cs="仿宋"/>
          <w:bCs w:val="0"/>
          <w:color w:val="auto"/>
          <w:sz w:val="24"/>
          <w:szCs w:val="24"/>
          <w:highlight w:val="none"/>
        </w:rPr>
        <w:t>方式</w:t>
      </w:r>
      <w:bookmarkEnd w:id="725"/>
      <w:bookmarkEnd w:id="726"/>
      <w:bookmarkEnd w:id="727"/>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采购人将按照政府采购合同规定，及时向成交供应商支付采购资金</w:t>
      </w:r>
      <w:r>
        <w:rPr>
          <w:rFonts w:hint="eastAsia" w:ascii="仿宋" w:hAnsi="仿宋" w:eastAsia="仿宋" w:cs="仿宋"/>
          <w:color w:val="auto"/>
          <w:sz w:val="24"/>
          <w:highlight w:val="none"/>
        </w:rPr>
        <w:t>。</w:t>
      </w:r>
    </w:p>
    <w:p>
      <w:pPr>
        <w:pStyle w:val="4"/>
        <w:shd w:val="clear"/>
        <w:spacing w:before="0" w:after="0" w:line="440" w:lineRule="exact"/>
        <w:jc w:val="center"/>
        <w:rPr>
          <w:rFonts w:ascii="仿宋" w:hAnsi="仿宋" w:eastAsia="仿宋" w:cs="仿宋"/>
          <w:bCs w:val="0"/>
          <w:color w:val="auto"/>
          <w:highlight w:val="none"/>
        </w:rPr>
      </w:pPr>
      <w:bookmarkStart w:id="733" w:name="_Toc28984"/>
      <w:bookmarkStart w:id="734" w:name="_Toc15972"/>
      <w:bookmarkStart w:id="735" w:name="_Toc27770"/>
      <w:r>
        <w:rPr>
          <w:rFonts w:hint="eastAsia" w:ascii="仿宋" w:hAnsi="仿宋" w:eastAsia="仿宋" w:cs="仿宋"/>
          <w:bCs w:val="0"/>
          <w:color w:val="auto"/>
          <w:highlight w:val="none"/>
        </w:rPr>
        <w:t>七、投标纪律要求</w:t>
      </w:r>
      <w:bookmarkEnd w:id="728"/>
      <w:bookmarkEnd w:id="729"/>
      <w:bookmarkEnd w:id="730"/>
      <w:bookmarkEnd w:id="733"/>
      <w:bookmarkEnd w:id="734"/>
      <w:bookmarkEnd w:id="735"/>
    </w:p>
    <w:p>
      <w:pPr>
        <w:pStyle w:val="5"/>
        <w:shd w:val="clear"/>
        <w:spacing w:line="400" w:lineRule="exact"/>
        <w:ind w:firstLine="482" w:firstLineChars="200"/>
        <w:rPr>
          <w:rFonts w:ascii="仿宋" w:hAnsi="仿宋" w:eastAsia="仿宋" w:cs="仿宋"/>
          <w:bCs w:val="0"/>
          <w:color w:val="auto"/>
          <w:sz w:val="24"/>
          <w:szCs w:val="24"/>
          <w:highlight w:val="none"/>
        </w:rPr>
      </w:pPr>
      <w:bookmarkStart w:id="736" w:name="_Toc319439912"/>
      <w:bookmarkStart w:id="737" w:name="_Toc308188164"/>
      <w:bookmarkStart w:id="738" w:name="_Toc6284"/>
      <w:bookmarkStart w:id="739" w:name="_Toc27399"/>
      <w:bookmarkStart w:id="740" w:name="_Toc17887"/>
      <w:bookmarkStart w:id="741" w:name="_Toc11074"/>
      <w:bookmarkStart w:id="742" w:name="_Toc31498"/>
      <w:bookmarkStart w:id="743" w:name="_Toc21018"/>
      <w:bookmarkStart w:id="744" w:name="_Toc10754"/>
      <w:bookmarkStart w:id="745" w:name="_Toc309897527"/>
      <w:bookmarkStart w:id="746" w:name="_Toc308084609"/>
      <w:bookmarkStart w:id="747" w:name="_Toc319440154"/>
      <w:bookmarkStart w:id="748" w:name="_Toc14263"/>
      <w:bookmarkStart w:id="749" w:name="_Toc217446075"/>
      <w:bookmarkStart w:id="750" w:name="_Toc307564864"/>
      <w:bookmarkStart w:id="751" w:name="_Toc307501121"/>
      <w:bookmarkStart w:id="752" w:name="_Toc1828"/>
      <w:bookmarkStart w:id="753" w:name="_Toc30964"/>
      <w:bookmarkStart w:id="754" w:name="_Toc327196298"/>
      <w:bookmarkStart w:id="755" w:name="_Toc5014"/>
      <w:r>
        <w:rPr>
          <w:rFonts w:hint="eastAsia" w:ascii="仿宋" w:hAnsi="仿宋" w:eastAsia="仿宋" w:cs="仿宋"/>
          <w:bCs w:val="0"/>
          <w:color w:val="auto"/>
          <w:sz w:val="24"/>
          <w:szCs w:val="24"/>
          <w:highlight w:val="none"/>
        </w:rPr>
        <w:t>36.投标人不得具有的情形</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(1)提供虚假材料谋取中标；</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(2)采取不正当手段诋毁、排挤其他投标人；</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(3)与招标采购单位、其他投标人恶意串通；</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(4)向招标采购单位、评标委员会成员行贿或者提供其他不正当利益；</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(5)在招标过程中与招标采购单位进行协商谈判；</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(6)中标或者成交后无正当理由拒不与采购人签订政府采购合同；</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(7)未按照采购文件确定的事项签订政府采购合同；</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(11)拒绝有关部门的监督检查或者向监督检查部门提供虚假情况；</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(12)法律法规规定的其他情形。</w:t>
      </w:r>
    </w:p>
    <w:p>
      <w:pPr>
        <w:pStyle w:val="10"/>
        <w:shd w:val="clear"/>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投标人有上述情形的，按照规定追究法律责任，具备(1)-(10)条情形之一的，同时将取消中标资格或者认定中标无效。</w:t>
      </w:r>
    </w:p>
    <w:p>
      <w:pPr>
        <w:pStyle w:val="4"/>
        <w:shd w:val="clear"/>
        <w:spacing w:before="0" w:after="0" w:line="440" w:lineRule="exact"/>
        <w:jc w:val="center"/>
        <w:rPr>
          <w:rFonts w:ascii="仿宋" w:hAnsi="仿宋" w:eastAsia="仿宋" w:cs="仿宋"/>
          <w:bCs w:val="0"/>
          <w:color w:val="auto"/>
          <w:highlight w:val="none"/>
        </w:rPr>
      </w:pPr>
      <w:bookmarkStart w:id="756" w:name="_Toc6469"/>
      <w:bookmarkStart w:id="757" w:name="_Toc8765"/>
      <w:bookmarkStart w:id="758" w:name="_Toc20327"/>
      <w:bookmarkStart w:id="759" w:name="_Toc217446078"/>
      <w:r>
        <w:rPr>
          <w:rFonts w:hint="eastAsia" w:ascii="仿宋" w:hAnsi="仿宋" w:eastAsia="仿宋" w:cs="仿宋"/>
          <w:bCs w:val="0"/>
          <w:color w:val="auto"/>
          <w:highlight w:val="none"/>
        </w:rPr>
        <w:t>八、询问</w:t>
      </w:r>
      <w:bookmarkEnd w:id="756"/>
      <w:bookmarkEnd w:id="757"/>
      <w:bookmarkEnd w:id="758"/>
      <w:r>
        <w:rPr>
          <w:rFonts w:hint="eastAsia" w:ascii="仿宋" w:hAnsi="仿宋" w:eastAsia="仿宋" w:cs="仿宋"/>
          <w:bCs w:val="0"/>
          <w:color w:val="auto"/>
          <w:highlight w:val="none"/>
        </w:rPr>
        <w:t>、质疑和投诉</w:t>
      </w:r>
    </w:p>
    <w:p>
      <w:pPr>
        <w:pStyle w:val="5"/>
        <w:shd w:val="clear"/>
        <w:spacing w:line="400" w:lineRule="exact"/>
        <w:ind w:firstLine="482" w:firstLineChars="200"/>
        <w:rPr>
          <w:rFonts w:ascii="仿宋" w:hAnsi="仿宋" w:eastAsia="仿宋" w:cs="仿宋"/>
          <w:bCs w:val="0"/>
          <w:color w:val="auto"/>
          <w:sz w:val="24"/>
          <w:szCs w:val="24"/>
          <w:highlight w:val="none"/>
        </w:rPr>
      </w:pPr>
      <w:bookmarkStart w:id="760" w:name="_Toc12421"/>
      <w:bookmarkStart w:id="761" w:name="_Toc12717"/>
      <w:bookmarkStart w:id="762" w:name="_Toc24165"/>
      <w:bookmarkStart w:id="763" w:name="_Toc21424"/>
      <w:bookmarkStart w:id="764" w:name="_Toc327196301"/>
      <w:r>
        <w:rPr>
          <w:rFonts w:hint="eastAsia" w:ascii="仿宋" w:hAnsi="仿宋" w:eastAsia="仿宋" w:cs="仿宋"/>
          <w:bCs w:val="0"/>
          <w:color w:val="auto"/>
          <w:sz w:val="24"/>
          <w:szCs w:val="24"/>
          <w:highlight w:val="none"/>
        </w:rPr>
        <w:t xml:space="preserve">37. </w:t>
      </w:r>
      <w:bookmarkEnd w:id="760"/>
      <w:bookmarkEnd w:id="761"/>
      <w:bookmarkEnd w:id="762"/>
      <w:r>
        <w:rPr>
          <w:rFonts w:hint="eastAsia" w:ascii="仿宋" w:hAnsi="仿宋" w:eastAsia="仿宋" w:cs="仿宋"/>
          <w:bCs w:val="0"/>
          <w:color w:val="auto"/>
          <w:sz w:val="24"/>
          <w:szCs w:val="24"/>
          <w:highlight w:val="none"/>
        </w:rPr>
        <w:t>询问、质疑、投诉</w:t>
      </w:r>
    </w:p>
    <w:p>
      <w:pPr>
        <w:shd w:val="clear"/>
        <w:tabs>
          <w:tab w:val="left" w:pos="7665"/>
        </w:tabs>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等相关规定办理。</w:t>
      </w:r>
    </w:p>
    <w:p>
      <w:pPr>
        <w:shd w:val="clear"/>
        <w:tabs>
          <w:tab w:val="left" w:pos="7665"/>
        </w:tabs>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供应商提出质疑应当提交质疑函和必要的证明材料。质疑函应当包括下列内容：</w:t>
      </w:r>
    </w:p>
    <w:p>
      <w:pPr>
        <w:shd w:val="clear"/>
        <w:tabs>
          <w:tab w:val="left" w:pos="7665"/>
        </w:tabs>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shd w:val="clear"/>
        <w:tabs>
          <w:tab w:val="left" w:pos="7665"/>
        </w:tabs>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shd w:val="clear"/>
        <w:tabs>
          <w:tab w:val="left" w:pos="7665"/>
        </w:tabs>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shd w:val="clear"/>
        <w:tabs>
          <w:tab w:val="left" w:pos="7665"/>
        </w:tabs>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（4）事实依据；</w:t>
      </w:r>
    </w:p>
    <w:p>
      <w:pPr>
        <w:shd w:val="clear"/>
        <w:tabs>
          <w:tab w:val="left" w:pos="7665"/>
        </w:tabs>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shd w:val="clear"/>
        <w:tabs>
          <w:tab w:val="left" w:pos="7665"/>
        </w:tabs>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shd w:val="clear"/>
        <w:tabs>
          <w:tab w:val="left" w:pos="7665"/>
        </w:tabs>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供应商为自然人的，应当由本人签字；供应商为法人或者其他组织的，应当由法定代表人、主要负责人，或者其授权代表签字或者盖章，并加盖公章。</w:t>
      </w:r>
    </w:p>
    <w:bookmarkEnd w:id="731"/>
    <w:bookmarkEnd w:id="732"/>
    <w:bookmarkEnd w:id="759"/>
    <w:bookmarkEnd w:id="763"/>
    <w:bookmarkEnd w:id="764"/>
    <w:p>
      <w:pPr>
        <w:pStyle w:val="21"/>
        <w:shd w:val="clear"/>
        <w:spacing w:after="0" w:line="440" w:lineRule="exact"/>
        <w:ind w:left="0" w:leftChars="0"/>
        <w:rPr>
          <w:rFonts w:ascii="仿宋" w:hAnsi="仿宋" w:eastAsia="仿宋" w:cs="仿宋"/>
          <w:color w:val="auto"/>
          <w:sz w:val="24"/>
          <w:highlight w:val="none"/>
        </w:rPr>
      </w:pPr>
    </w:p>
    <w:p>
      <w:pPr>
        <w:pStyle w:val="4"/>
        <w:shd w:val="clear"/>
        <w:spacing w:before="0" w:after="0" w:line="440" w:lineRule="exact"/>
        <w:jc w:val="center"/>
        <w:rPr>
          <w:rFonts w:ascii="仿宋" w:hAnsi="仿宋" w:eastAsia="仿宋" w:cs="仿宋"/>
          <w:color w:val="auto"/>
          <w:highlight w:val="none"/>
        </w:rPr>
      </w:pPr>
      <w:bookmarkStart w:id="765" w:name="_Toc13921"/>
      <w:bookmarkStart w:id="766" w:name="_Toc4850"/>
      <w:bookmarkStart w:id="767" w:name="_Toc14470"/>
      <w:bookmarkStart w:id="768" w:name="_Toc5589"/>
      <w:r>
        <w:rPr>
          <w:rFonts w:hint="eastAsia" w:ascii="仿宋" w:hAnsi="仿宋" w:eastAsia="仿宋" w:cs="仿宋"/>
          <w:color w:val="auto"/>
          <w:highlight w:val="none"/>
        </w:rPr>
        <w:t>九、串通投标的情形</w:t>
      </w:r>
      <w:bookmarkEnd w:id="765"/>
      <w:bookmarkEnd w:id="766"/>
      <w:bookmarkEnd w:id="767"/>
    </w:p>
    <w:p>
      <w:pPr>
        <w:pStyle w:val="21"/>
        <w:shd w:val="clear"/>
        <w:wordWrap w:val="0"/>
        <w:spacing w:after="0" w:line="440" w:lineRule="exact"/>
        <w:ind w:left="0" w:leftChars="0" w:firstLine="540" w:firstLineChars="225"/>
        <w:jc w:val="left"/>
        <w:rPr>
          <w:rFonts w:ascii="仿宋" w:hAnsi="仿宋" w:eastAsia="仿宋" w:cs="仿宋"/>
          <w:color w:val="auto"/>
          <w:sz w:val="24"/>
          <w:highlight w:val="none"/>
        </w:rPr>
      </w:pPr>
      <w:r>
        <w:rPr>
          <w:rFonts w:hint="eastAsia" w:ascii="仿宋" w:hAnsi="仿宋" w:eastAsia="仿宋" w:cs="仿宋"/>
          <w:color w:val="auto"/>
          <w:sz w:val="24"/>
          <w:highlight w:val="none"/>
        </w:rPr>
        <w:t>有下列情形之一的，视为投标人串通投标，其投标无效。</w:t>
      </w:r>
    </w:p>
    <w:p>
      <w:pPr>
        <w:pStyle w:val="21"/>
        <w:shd w:val="clear"/>
        <w:wordWrap w:val="0"/>
        <w:spacing w:after="0" w:line="440" w:lineRule="exact"/>
        <w:ind w:left="0" w:leftChars="0" w:firstLine="540" w:firstLineChars="225"/>
        <w:jc w:val="left"/>
        <w:rPr>
          <w:rFonts w:ascii="仿宋" w:hAnsi="仿宋" w:eastAsia="仿宋" w:cs="仿宋"/>
          <w:color w:val="auto"/>
          <w:sz w:val="24"/>
          <w:highlight w:val="none"/>
        </w:rPr>
      </w:pPr>
      <w:r>
        <w:rPr>
          <w:rFonts w:hint="eastAsia" w:ascii="仿宋" w:hAnsi="仿宋" w:eastAsia="仿宋" w:cs="仿宋"/>
          <w:color w:val="auto"/>
          <w:sz w:val="24"/>
          <w:highlight w:val="none"/>
        </w:rPr>
        <w:t>(一)不同投标人的投标文件由同一单位或者个人编制；</w:t>
      </w:r>
    </w:p>
    <w:p>
      <w:pPr>
        <w:pStyle w:val="21"/>
        <w:shd w:val="clear"/>
        <w:wordWrap w:val="0"/>
        <w:spacing w:after="0" w:line="440" w:lineRule="exact"/>
        <w:ind w:left="0" w:leftChars="0" w:firstLine="540" w:firstLineChars="225"/>
        <w:jc w:val="left"/>
        <w:rPr>
          <w:rFonts w:ascii="仿宋" w:hAnsi="仿宋" w:eastAsia="仿宋" w:cs="仿宋"/>
          <w:color w:val="auto"/>
          <w:sz w:val="24"/>
          <w:highlight w:val="none"/>
        </w:rPr>
      </w:pPr>
      <w:r>
        <w:rPr>
          <w:rFonts w:hint="eastAsia" w:ascii="仿宋" w:hAnsi="仿宋" w:eastAsia="仿宋" w:cs="仿宋"/>
          <w:color w:val="auto"/>
          <w:sz w:val="24"/>
          <w:highlight w:val="none"/>
        </w:rPr>
        <w:t>(二)不同投标人委托同一单位或者个人办理投标事宜；</w:t>
      </w:r>
    </w:p>
    <w:p>
      <w:pPr>
        <w:pStyle w:val="21"/>
        <w:shd w:val="clear"/>
        <w:wordWrap w:val="0"/>
        <w:spacing w:after="0" w:line="440" w:lineRule="exact"/>
        <w:ind w:left="0" w:leftChars="0" w:firstLine="540" w:firstLineChars="225"/>
        <w:jc w:val="left"/>
        <w:rPr>
          <w:rFonts w:ascii="仿宋" w:hAnsi="仿宋" w:eastAsia="仿宋" w:cs="仿宋"/>
          <w:color w:val="auto"/>
          <w:sz w:val="24"/>
          <w:highlight w:val="none"/>
        </w:rPr>
      </w:pPr>
      <w:r>
        <w:rPr>
          <w:rFonts w:hint="eastAsia" w:ascii="仿宋" w:hAnsi="仿宋" w:eastAsia="仿宋" w:cs="仿宋"/>
          <w:color w:val="auto"/>
          <w:sz w:val="24"/>
          <w:highlight w:val="none"/>
        </w:rPr>
        <w:t>(三)不同投标人的投标文件载明的项目管理成员或者联系人员为同一人；</w:t>
      </w:r>
    </w:p>
    <w:p>
      <w:pPr>
        <w:pStyle w:val="21"/>
        <w:shd w:val="clear"/>
        <w:wordWrap w:val="0"/>
        <w:spacing w:after="0" w:line="440" w:lineRule="exact"/>
        <w:ind w:left="0" w:leftChars="0" w:firstLine="540" w:firstLineChars="225"/>
        <w:jc w:val="left"/>
        <w:rPr>
          <w:rFonts w:ascii="仿宋" w:hAnsi="仿宋" w:eastAsia="仿宋" w:cs="仿宋"/>
          <w:color w:val="auto"/>
          <w:sz w:val="24"/>
          <w:highlight w:val="none"/>
        </w:rPr>
      </w:pPr>
      <w:r>
        <w:rPr>
          <w:rFonts w:hint="eastAsia" w:ascii="仿宋" w:hAnsi="仿宋" w:eastAsia="仿宋" w:cs="仿宋"/>
          <w:color w:val="auto"/>
          <w:sz w:val="24"/>
          <w:highlight w:val="none"/>
        </w:rPr>
        <w:t>(四)不同投标人的投标文件异常一致或者投标报价呈规律性差异；</w:t>
      </w:r>
    </w:p>
    <w:p>
      <w:pPr>
        <w:pStyle w:val="21"/>
        <w:shd w:val="clear"/>
        <w:wordWrap w:val="0"/>
        <w:spacing w:after="0" w:line="440" w:lineRule="exact"/>
        <w:ind w:left="0" w:leftChars="0" w:firstLine="540" w:firstLineChars="225"/>
        <w:jc w:val="left"/>
        <w:rPr>
          <w:rFonts w:ascii="仿宋" w:hAnsi="仿宋" w:eastAsia="仿宋" w:cs="仿宋"/>
          <w:color w:val="auto"/>
          <w:sz w:val="24"/>
          <w:highlight w:val="none"/>
        </w:rPr>
      </w:pPr>
      <w:r>
        <w:rPr>
          <w:rFonts w:hint="eastAsia" w:ascii="仿宋" w:hAnsi="仿宋" w:eastAsia="仿宋" w:cs="仿宋"/>
          <w:color w:val="auto"/>
          <w:sz w:val="24"/>
          <w:highlight w:val="none"/>
        </w:rPr>
        <w:t>(五)不同投标人的投标文件相互混装；</w:t>
      </w:r>
    </w:p>
    <w:p>
      <w:pPr>
        <w:pStyle w:val="21"/>
        <w:shd w:val="clear"/>
        <w:wordWrap w:val="0"/>
        <w:spacing w:after="0" w:line="440" w:lineRule="exact"/>
        <w:ind w:left="0" w:leftChars="0" w:firstLine="540" w:firstLineChars="225"/>
        <w:jc w:val="left"/>
        <w:rPr>
          <w:rFonts w:ascii="仿宋" w:hAnsi="仿宋" w:eastAsia="仿宋" w:cs="仿宋"/>
          <w:color w:val="auto"/>
          <w:sz w:val="24"/>
          <w:highlight w:val="none"/>
        </w:rPr>
      </w:pPr>
      <w:r>
        <w:rPr>
          <w:rFonts w:hint="eastAsia" w:ascii="仿宋" w:hAnsi="仿宋" w:eastAsia="仿宋" w:cs="仿宋"/>
          <w:color w:val="auto"/>
          <w:sz w:val="24"/>
          <w:highlight w:val="none"/>
        </w:rPr>
        <w:t>(六)不同投标人的投标保证金从同一单位或者个人的账户转出。</w:t>
      </w:r>
    </w:p>
    <w:p>
      <w:pPr>
        <w:pStyle w:val="4"/>
        <w:shd w:val="clear"/>
        <w:spacing w:before="0" w:after="0" w:line="440" w:lineRule="exact"/>
        <w:jc w:val="center"/>
        <w:rPr>
          <w:rFonts w:ascii="仿宋" w:hAnsi="仿宋" w:eastAsia="仿宋" w:cs="仿宋"/>
          <w:color w:val="auto"/>
          <w:highlight w:val="none"/>
        </w:rPr>
      </w:pPr>
      <w:bookmarkStart w:id="769" w:name="_Toc27206"/>
      <w:bookmarkStart w:id="770" w:name="_Toc8827"/>
      <w:bookmarkStart w:id="771" w:name="_Toc19058"/>
      <w:r>
        <w:rPr>
          <w:rFonts w:hint="eastAsia" w:ascii="仿宋" w:hAnsi="仿宋" w:eastAsia="仿宋" w:cs="仿宋"/>
          <w:color w:val="auto"/>
          <w:highlight w:val="none"/>
        </w:rPr>
        <w:t>十、其他</w:t>
      </w:r>
      <w:bookmarkEnd w:id="769"/>
      <w:bookmarkEnd w:id="770"/>
      <w:bookmarkEnd w:id="771"/>
    </w:p>
    <w:p>
      <w:pPr>
        <w:pStyle w:val="21"/>
        <w:shd w:val="clear"/>
        <w:spacing w:after="0" w:line="440" w:lineRule="exact"/>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21"/>
        <w:shd w:val="clear"/>
        <w:spacing w:after="0" w:line="360" w:lineRule="auto"/>
        <w:ind w:left="0" w:leftChars="0" w:firstLine="480" w:firstLineChars="200"/>
        <w:jc w:val="center"/>
        <w:outlineLvl w:val="0"/>
        <w:rPr>
          <w:rFonts w:ascii="仿宋" w:hAnsi="仿宋" w:eastAsia="仿宋" w:cs="仿宋"/>
          <w:b/>
          <w:color w:val="auto"/>
          <w:sz w:val="36"/>
          <w:highlight w:val="none"/>
        </w:rPr>
      </w:pPr>
      <w:r>
        <w:rPr>
          <w:rFonts w:hint="eastAsia" w:ascii="仿宋" w:hAnsi="仿宋" w:eastAsia="仿宋" w:cs="仿宋"/>
          <w:color w:val="auto"/>
          <w:sz w:val="24"/>
          <w:highlight w:val="none"/>
        </w:rPr>
        <w:br w:type="page"/>
      </w:r>
      <w:bookmarkEnd w:id="768"/>
      <w:bookmarkStart w:id="772" w:name="_Toc4196"/>
      <w:bookmarkStart w:id="773" w:name="_Toc5197"/>
      <w:bookmarkStart w:id="774" w:name="_Toc25961"/>
      <w:bookmarkStart w:id="775" w:name="_Toc12928"/>
      <w:bookmarkStart w:id="776" w:name="_Toc29575"/>
      <w:bookmarkStart w:id="777" w:name="_Toc18724"/>
      <w:bookmarkStart w:id="778" w:name="_Toc881"/>
      <w:r>
        <w:rPr>
          <w:rFonts w:hint="eastAsia" w:ascii="仿宋" w:hAnsi="仿宋" w:eastAsia="仿宋" w:cs="仿宋"/>
          <w:b/>
          <w:color w:val="auto"/>
          <w:sz w:val="36"/>
          <w:highlight w:val="none"/>
        </w:rPr>
        <w:t>第三章 投标文件格式</w:t>
      </w:r>
      <w:bookmarkEnd w:id="772"/>
      <w:bookmarkEnd w:id="773"/>
      <w:bookmarkEnd w:id="774"/>
      <w:bookmarkEnd w:id="775"/>
      <w:bookmarkEnd w:id="776"/>
    </w:p>
    <w:p>
      <w:pPr>
        <w:widowControl/>
        <w:shd w:val="clear" w:color="auto"/>
        <w:spacing w:line="360" w:lineRule="atLeast"/>
        <w:rPr>
          <w:rFonts w:ascii="仿宋" w:hAnsi="仿宋" w:eastAsia="仿宋" w:cs="仿宋"/>
          <w:color w:val="auto"/>
          <w:sz w:val="24"/>
          <w:highlight w:val="none"/>
        </w:rPr>
      </w:pPr>
      <w:bookmarkStart w:id="779" w:name="_Toc16460"/>
      <w:bookmarkStart w:id="780" w:name="_Toc182759327"/>
      <w:bookmarkStart w:id="781" w:name="_Toc295978802"/>
      <w:bookmarkStart w:id="782" w:name="_Toc294701519"/>
      <w:bookmarkStart w:id="783" w:name="_Toc287367101"/>
      <w:bookmarkStart w:id="784" w:name="_Toc182629023"/>
      <w:bookmarkStart w:id="785" w:name="_Toc439161746"/>
      <w:bookmarkStart w:id="786" w:name="_Toc294688711"/>
      <w:bookmarkStart w:id="787" w:name="_Toc316462354"/>
      <w:bookmarkStart w:id="788" w:name="_Toc211218954"/>
    </w:p>
    <w:bookmarkEnd w:id="779"/>
    <w:bookmarkEnd w:id="780"/>
    <w:bookmarkEnd w:id="781"/>
    <w:bookmarkEnd w:id="782"/>
    <w:bookmarkEnd w:id="783"/>
    <w:bookmarkEnd w:id="784"/>
    <w:bookmarkEnd w:id="785"/>
    <w:bookmarkEnd w:id="786"/>
    <w:bookmarkEnd w:id="787"/>
    <w:bookmarkEnd w:id="788"/>
    <w:p>
      <w:pPr>
        <w:widowControl/>
        <w:shd w:val="clear"/>
        <w:spacing w:line="360" w:lineRule="atLeast"/>
        <w:ind w:firstLine="470" w:firstLineChars="196"/>
        <w:outlineLvl w:val="1"/>
        <w:rPr>
          <w:rFonts w:ascii="仿宋" w:hAnsi="仿宋" w:eastAsia="仿宋" w:cs="仿宋"/>
          <w:color w:val="auto"/>
          <w:sz w:val="24"/>
          <w:highlight w:val="none"/>
        </w:rPr>
      </w:pPr>
      <w:r>
        <w:rPr>
          <w:rFonts w:hint="eastAsia" w:ascii="仿宋" w:hAnsi="仿宋" w:eastAsia="仿宋" w:cs="仿宋"/>
          <w:color w:val="auto"/>
          <w:sz w:val="24"/>
          <w:highlight w:val="none"/>
        </w:rPr>
        <w:t>一、本章所制投标文件格式，除格式中明确将该格式作为实质性要求的，一律不具有强制性。</w:t>
      </w:r>
    </w:p>
    <w:p>
      <w:pPr>
        <w:widowControl/>
        <w:shd w:val="clear"/>
        <w:spacing w:line="360" w:lineRule="atLeast"/>
        <w:ind w:firstLine="470" w:firstLineChars="196"/>
        <w:outlineLvl w:val="1"/>
        <w:rPr>
          <w:rFonts w:ascii="仿宋" w:hAnsi="仿宋" w:eastAsia="仿宋" w:cs="仿宋"/>
          <w:color w:val="auto"/>
          <w:sz w:val="24"/>
          <w:highlight w:val="none"/>
        </w:rPr>
      </w:pPr>
      <w:r>
        <w:rPr>
          <w:rFonts w:hint="eastAsia" w:ascii="仿宋" w:hAnsi="仿宋" w:eastAsia="仿宋" w:cs="仿宋"/>
          <w:color w:val="auto"/>
          <w:sz w:val="24"/>
          <w:highlight w:val="none"/>
        </w:rPr>
        <w:t>二、本章所制投标文件格式有关表格中的备注栏，由投标人根据自身投标情况作解释性说明，不作为必填项。</w:t>
      </w:r>
    </w:p>
    <w:p>
      <w:pPr>
        <w:widowControl/>
        <w:shd w:val="clear" w:color="auto"/>
        <w:spacing w:line="360" w:lineRule="atLeas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三、本章所制投标文件格式中需要填写的相关内容事项，可能会与本采购项目无关，在不改变投标文件原义、不影响本项目采购需求的情况下，投标人可以不予填写，但应当注明。</w:t>
      </w:r>
    </w:p>
    <w:p>
      <w:pPr>
        <w:shd w:val="clear"/>
        <w:tabs>
          <w:tab w:val="left" w:pos="7665"/>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keepNext/>
        <w:keepLines/>
        <w:shd w:val="clear"/>
        <w:spacing w:before="240" w:beforeLines="100" w:after="240" w:afterLines="100"/>
        <w:rPr>
          <w:rFonts w:ascii="仿宋" w:hAnsi="仿宋" w:eastAsia="仿宋" w:cs="仿宋"/>
          <w:b/>
          <w:bCs/>
          <w:color w:val="auto"/>
          <w:kern w:val="2"/>
          <w:sz w:val="32"/>
          <w:szCs w:val="28"/>
          <w:highlight w:val="none"/>
        </w:rPr>
      </w:pPr>
      <w:bookmarkStart w:id="789" w:name="_Toc11581"/>
      <w:bookmarkStart w:id="790" w:name="_Toc6994"/>
    </w:p>
    <w:p>
      <w:pPr>
        <w:shd w:val="clear"/>
        <w:tabs>
          <w:tab w:val="left" w:pos="7665"/>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封面</w:t>
      </w:r>
      <w:bookmarkEnd w:id="789"/>
      <w:bookmarkEnd w:id="790"/>
    </w:p>
    <w:p>
      <w:pPr>
        <w:shd w:val="clear"/>
        <w:spacing w:line="360" w:lineRule="auto"/>
        <w:rPr>
          <w:rFonts w:ascii="仿宋" w:hAnsi="仿宋" w:eastAsia="仿宋" w:cs="仿宋"/>
          <w:bCs/>
          <w:color w:val="auto"/>
          <w:szCs w:val="21"/>
          <w:highlight w:val="none"/>
        </w:rPr>
      </w:pPr>
    </w:p>
    <w:p>
      <w:pPr>
        <w:shd w:val="clear"/>
        <w:spacing w:line="360" w:lineRule="auto"/>
        <w:rPr>
          <w:rFonts w:ascii="仿宋" w:hAnsi="仿宋" w:eastAsia="仿宋" w:cs="仿宋"/>
          <w:bCs/>
          <w:color w:val="auto"/>
          <w:szCs w:val="21"/>
          <w:highlight w:val="none"/>
        </w:rPr>
      </w:pPr>
    </w:p>
    <w:p>
      <w:pPr>
        <w:shd w:val="clear"/>
        <w:spacing w:line="360" w:lineRule="auto"/>
        <w:rPr>
          <w:rFonts w:ascii="仿宋" w:hAnsi="仿宋" w:eastAsia="仿宋" w:cs="仿宋"/>
          <w:bCs/>
          <w:color w:val="auto"/>
          <w:szCs w:val="21"/>
          <w:highlight w:val="none"/>
        </w:rPr>
      </w:pPr>
    </w:p>
    <w:p>
      <w:pPr>
        <w:shd w:val="clear"/>
        <w:spacing w:line="360" w:lineRule="auto"/>
        <w:jc w:val="right"/>
        <w:rPr>
          <w:rFonts w:ascii="仿宋" w:hAnsi="仿宋" w:eastAsia="仿宋" w:cs="仿宋"/>
          <w:color w:val="auto"/>
          <w:sz w:val="24"/>
          <w:highlight w:val="none"/>
        </w:rPr>
      </w:pPr>
    </w:p>
    <w:p>
      <w:pPr>
        <w:shd w:val="clear"/>
        <w:tabs>
          <w:tab w:val="left" w:pos="7665"/>
        </w:tabs>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资格性投标文件/其他响应性投标文件</w:t>
      </w:r>
    </w:p>
    <w:p>
      <w:pPr>
        <w:shd w:val="clear"/>
        <w:spacing w:line="360" w:lineRule="auto"/>
        <w:jc w:val="center"/>
        <w:rPr>
          <w:rFonts w:ascii="仿宋" w:hAnsi="仿宋" w:eastAsia="仿宋" w:cs="仿宋"/>
          <w:color w:val="auto"/>
          <w:spacing w:val="78"/>
          <w:sz w:val="120"/>
          <w:szCs w:val="120"/>
          <w:highlight w:val="none"/>
        </w:rPr>
      </w:pPr>
    </w:p>
    <w:p>
      <w:pPr>
        <w:shd w:val="clear"/>
        <w:spacing w:line="480" w:lineRule="auto"/>
        <w:ind w:firstLine="2168" w:firstLineChars="675"/>
        <w:jc w:val="left"/>
        <w:rPr>
          <w:rFonts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项目名称：</w:t>
      </w:r>
    </w:p>
    <w:p>
      <w:pPr>
        <w:shd w:val="clear"/>
        <w:spacing w:line="480" w:lineRule="auto"/>
        <w:ind w:firstLine="2168" w:firstLineChars="675"/>
        <w:jc w:val="left"/>
        <w:rPr>
          <w:rFonts w:ascii="仿宋" w:hAnsi="仿宋" w:eastAsia="仿宋" w:cs="仿宋"/>
          <w:b/>
          <w:color w:val="auto"/>
          <w:sz w:val="32"/>
          <w:szCs w:val="32"/>
          <w:highlight w:val="none"/>
          <w:u w:val="single"/>
        </w:rPr>
      </w:pPr>
      <w:r>
        <w:rPr>
          <w:rFonts w:hint="eastAsia" w:ascii="仿宋" w:hAnsi="仿宋" w:eastAsia="仿宋" w:cs="仿宋"/>
          <w:b/>
          <w:bCs/>
          <w:color w:val="auto"/>
          <w:sz w:val="32"/>
          <w:szCs w:val="32"/>
          <w:highlight w:val="none"/>
        </w:rPr>
        <w:t>项目编号：</w:t>
      </w:r>
    </w:p>
    <w:p>
      <w:pPr>
        <w:shd w:val="clear"/>
        <w:spacing w:line="480" w:lineRule="auto"/>
        <w:ind w:firstLine="2188" w:firstLineChars="681"/>
        <w:jc w:val="left"/>
        <w:rPr>
          <w:rFonts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投标人名称：</w:t>
      </w:r>
    </w:p>
    <w:p>
      <w:pPr>
        <w:shd w:val="clear"/>
        <w:spacing w:line="480" w:lineRule="auto"/>
        <w:ind w:firstLine="2188" w:firstLineChars="68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投标日期：  年  月  日</w:t>
      </w:r>
    </w:p>
    <w:p>
      <w:pPr>
        <w:shd w:val="clear"/>
        <w:tabs>
          <w:tab w:val="left" w:pos="900"/>
        </w:tabs>
        <w:spacing w:line="360" w:lineRule="auto"/>
        <w:jc w:val="center"/>
        <w:rPr>
          <w:rFonts w:ascii="仿宋" w:hAnsi="仿宋" w:eastAsia="仿宋" w:cs="仿宋"/>
          <w:b/>
          <w:color w:val="auto"/>
          <w:sz w:val="32"/>
          <w:highlight w:val="none"/>
        </w:rPr>
      </w:pPr>
      <w:bookmarkStart w:id="791" w:name="_Toc5306"/>
      <w:bookmarkStart w:id="792" w:name="_Toc31011"/>
      <w:bookmarkStart w:id="793" w:name="_Toc5565"/>
      <w:bookmarkStart w:id="794" w:name="_Toc11556"/>
      <w:r>
        <w:rPr>
          <w:rFonts w:hint="eastAsia" w:ascii="仿宋" w:hAnsi="仿宋" w:eastAsia="仿宋" w:cs="仿宋"/>
          <w:b/>
          <w:color w:val="auto"/>
          <w:sz w:val="32"/>
          <w:highlight w:val="none"/>
        </w:rPr>
        <w:br w:type="page"/>
      </w:r>
    </w:p>
    <w:bookmarkEnd w:id="791"/>
    <w:bookmarkEnd w:id="792"/>
    <w:bookmarkEnd w:id="793"/>
    <w:bookmarkEnd w:id="794"/>
    <w:p>
      <w:pPr>
        <w:shd w:val="clear"/>
        <w:tabs>
          <w:tab w:val="left" w:pos="900"/>
        </w:tabs>
        <w:spacing w:line="360" w:lineRule="auto"/>
        <w:jc w:val="center"/>
        <w:rPr>
          <w:rFonts w:ascii="仿宋" w:hAnsi="仿宋" w:eastAsia="仿宋" w:cs="仿宋"/>
          <w:b/>
          <w:color w:val="auto"/>
          <w:sz w:val="32"/>
          <w:highlight w:val="none"/>
        </w:rPr>
      </w:pPr>
      <w:bookmarkStart w:id="795" w:name="_Toc15611"/>
    </w:p>
    <w:p>
      <w:pPr>
        <w:shd w:val="clear"/>
        <w:tabs>
          <w:tab w:val="left" w:pos="900"/>
        </w:tabs>
        <w:spacing w:line="360" w:lineRule="auto"/>
        <w:jc w:val="center"/>
        <w:rPr>
          <w:rFonts w:ascii="仿宋" w:hAnsi="仿宋" w:eastAsia="仿宋" w:cs="仿宋"/>
          <w:b/>
          <w:color w:val="auto"/>
          <w:sz w:val="32"/>
          <w:highlight w:val="none"/>
        </w:rPr>
      </w:pPr>
    </w:p>
    <w:p>
      <w:pPr>
        <w:shd w:val="clear"/>
        <w:tabs>
          <w:tab w:val="left" w:pos="900"/>
        </w:tabs>
        <w:spacing w:line="360" w:lineRule="auto"/>
        <w:jc w:val="center"/>
        <w:rPr>
          <w:rFonts w:ascii="仿宋" w:hAnsi="仿宋" w:eastAsia="仿宋" w:cs="仿宋"/>
          <w:b/>
          <w:color w:val="auto"/>
          <w:sz w:val="32"/>
          <w:highlight w:val="none"/>
        </w:rPr>
      </w:pPr>
    </w:p>
    <w:p>
      <w:pPr>
        <w:shd w:val="clear"/>
        <w:tabs>
          <w:tab w:val="left" w:pos="900"/>
        </w:tabs>
        <w:spacing w:line="360" w:lineRule="auto"/>
        <w:jc w:val="center"/>
        <w:rPr>
          <w:rFonts w:ascii="仿宋" w:hAnsi="仿宋" w:eastAsia="仿宋" w:cs="仿宋"/>
          <w:b/>
          <w:color w:val="auto"/>
          <w:sz w:val="32"/>
          <w:highlight w:val="none"/>
        </w:rPr>
      </w:pPr>
    </w:p>
    <w:p>
      <w:pPr>
        <w:shd w:val="clear"/>
        <w:tabs>
          <w:tab w:val="left" w:pos="900"/>
        </w:tabs>
        <w:spacing w:line="360" w:lineRule="auto"/>
        <w:jc w:val="center"/>
        <w:rPr>
          <w:rFonts w:ascii="仿宋" w:hAnsi="仿宋" w:eastAsia="仿宋" w:cs="仿宋"/>
          <w:b/>
          <w:color w:val="auto"/>
          <w:sz w:val="32"/>
          <w:highlight w:val="none"/>
        </w:rPr>
      </w:pPr>
    </w:p>
    <w:p>
      <w:pPr>
        <w:shd w:val="clear"/>
        <w:tabs>
          <w:tab w:val="left" w:pos="900"/>
        </w:tabs>
        <w:spacing w:line="360" w:lineRule="auto"/>
        <w:jc w:val="center"/>
        <w:rPr>
          <w:rFonts w:ascii="仿宋" w:hAnsi="仿宋" w:eastAsia="仿宋" w:cs="仿宋"/>
          <w:b/>
          <w:color w:val="auto"/>
          <w:sz w:val="32"/>
          <w:highlight w:val="none"/>
        </w:rPr>
      </w:pPr>
    </w:p>
    <w:p>
      <w:pPr>
        <w:shd w:val="clear"/>
        <w:tabs>
          <w:tab w:val="left" w:pos="900"/>
        </w:tabs>
        <w:spacing w:line="360" w:lineRule="auto"/>
        <w:jc w:val="center"/>
        <w:rPr>
          <w:rFonts w:ascii="仿宋" w:hAnsi="仿宋" w:eastAsia="仿宋" w:cs="仿宋"/>
          <w:b/>
          <w:color w:val="auto"/>
          <w:sz w:val="32"/>
          <w:highlight w:val="none"/>
        </w:rPr>
      </w:pPr>
    </w:p>
    <w:p>
      <w:pPr>
        <w:shd w:val="clear"/>
        <w:tabs>
          <w:tab w:val="left" w:pos="900"/>
        </w:tabs>
        <w:spacing w:line="360" w:lineRule="auto"/>
        <w:jc w:val="center"/>
        <w:rPr>
          <w:rFonts w:ascii="仿宋" w:hAnsi="仿宋" w:eastAsia="仿宋" w:cs="仿宋"/>
          <w:b/>
          <w:color w:val="auto"/>
          <w:sz w:val="32"/>
          <w:highlight w:val="none"/>
        </w:rPr>
      </w:pPr>
    </w:p>
    <w:p>
      <w:pPr>
        <w:numPr>
          <w:ilvl w:val="0"/>
          <w:numId w:val="7"/>
        </w:numPr>
        <w:shd w:val="clear"/>
        <w:tabs>
          <w:tab w:val="left" w:pos="900"/>
          <w:tab w:val="left" w:pos="3740"/>
        </w:tabs>
        <w:spacing w:line="360" w:lineRule="auto"/>
        <w:jc w:val="center"/>
        <w:outlineLvl w:val="1"/>
        <w:rPr>
          <w:rFonts w:ascii="仿宋" w:hAnsi="仿宋" w:eastAsia="仿宋" w:cs="仿宋"/>
          <w:b/>
          <w:color w:val="auto"/>
          <w:sz w:val="32"/>
          <w:highlight w:val="none"/>
        </w:rPr>
      </w:pPr>
      <w:bookmarkStart w:id="796" w:name="_Toc11318"/>
      <w:r>
        <w:rPr>
          <w:rFonts w:hint="eastAsia" w:ascii="仿宋" w:hAnsi="仿宋" w:eastAsia="仿宋" w:cs="仿宋"/>
          <w:b/>
          <w:color w:val="auto"/>
          <w:sz w:val="32"/>
          <w:highlight w:val="none"/>
        </w:rPr>
        <w:t>分 资格性投标文件(格式)</w:t>
      </w:r>
      <w:bookmarkEnd w:id="795"/>
      <w:bookmarkEnd w:id="796"/>
      <w:bookmarkStart w:id="797" w:name="_Toc23537"/>
      <w:bookmarkStart w:id="798" w:name="_Toc16168"/>
    </w:p>
    <w:p>
      <w:pPr>
        <w:shd w:val="clear"/>
        <w:wordWrap w:val="0"/>
        <w:spacing w:line="400" w:lineRule="exact"/>
        <w:ind w:left="931" w:leftChars="129" w:hanging="492" w:hangingChars="175"/>
        <w:rPr>
          <w:rFonts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br w:type="page"/>
      </w:r>
      <w:bookmarkEnd w:id="797"/>
      <w:bookmarkEnd w:id="798"/>
      <w:bookmarkStart w:id="799" w:name="_Toc18702"/>
    </w:p>
    <w:p>
      <w:pPr>
        <w:pStyle w:val="4"/>
        <w:numPr>
          <w:ilvl w:val="0"/>
          <w:numId w:val="8"/>
        </w:numPr>
        <w:shd w:val="clear"/>
        <w:spacing w:line="400" w:lineRule="exact"/>
        <w:ind w:firstLine="0"/>
        <w:jc w:val="center"/>
        <w:rPr>
          <w:rFonts w:ascii="仿宋" w:hAnsi="仿宋" w:eastAsia="仿宋" w:cs="仿宋"/>
          <w:color w:val="auto"/>
          <w:sz w:val="28"/>
          <w:szCs w:val="28"/>
          <w:highlight w:val="none"/>
        </w:rPr>
      </w:pPr>
      <w:bookmarkStart w:id="800" w:name="_Toc10036"/>
      <w:bookmarkStart w:id="801" w:name="_Toc9243"/>
      <w:bookmarkStart w:id="802" w:name="_Toc9688"/>
      <w:r>
        <w:rPr>
          <w:rFonts w:hint="eastAsia" w:ascii="仿宋" w:hAnsi="仿宋" w:eastAsia="仿宋" w:cs="仿宋"/>
          <w:color w:val="auto"/>
          <w:sz w:val="28"/>
          <w:szCs w:val="28"/>
          <w:highlight w:val="none"/>
        </w:rPr>
        <w:t>法定代表人证明书</w:t>
      </w:r>
      <w:bookmarkEnd w:id="800"/>
      <w:bookmarkEnd w:id="801"/>
      <w:bookmarkEnd w:id="802"/>
    </w:p>
    <w:p>
      <w:pPr>
        <w:shd w:val="clear"/>
        <w:wordWrap w:val="0"/>
        <w:topLinePunct/>
        <w:spacing w:line="440" w:lineRule="exac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 xml:space="preserve">                  </w:t>
      </w:r>
    </w:p>
    <w:p>
      <w:pPr>
        <w:shd w:val="clear"/>
        <w:wordWrap w:val="0"/>
        <w:topLinePunct/>
        <w:spacing w:line="440" w:lineRule="exac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pPr>
        <w:shd w:val="clear"/>
        <w:wordWrap w:val="0"/>
        <w:topLinePunct/>
        <w:spacing w:line="440" w:lineRule="exac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shd w:val="clear"/>
        <w:wordWrap w:val="0"/>
        <w:topLinePunct/>
        <w:spacing w:line="440" w:lineRule="exact"/>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本人系(投标人名称)的法定代表人。就参加你单位组织的“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highlight w:val="none"/>
        </w:rPr>
        <w:t>投标</w:t>
      </w:r>
      <w:r>
        <w:rPr>
          <w:rFonts w:hint="eastAsia" w:ascii="仿宋" w:hAnsi="仿宋" w:eastAsia="仿宋" w:cs="仿宋"/>
          <w:color w:val="auto"/>
          <w:sz w:val="24"/>
          <w:szCs w:val="24"/>
          <w:highlight w:val="none"/>
        </w:rPr>
        <w:t>活动、并参与项目的投标、签订合同以及执行合同等一切事宜，我单位均予承认，所产生的法律后果均由我单位承担。</w:t>
      </w:r>
    </w:p>
    <w:p>
      <w:pPr>
        <w:shd w:val="clear"/>
        <w:topLinePunct/>
        <w:spacing w:line="440" w:lineRule="exact"/>
        <w:ind w:firstLine="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hd w:val="clear"/>
        <w:wordWrap w:val="0"/>
        <w:topLinePunct/>
        <w:spacing w:line="440" w:lineRule="exact"/>
        <w:ind w:firstLine="482" w:firstLineChars="200"/>
        <w:rPr>
          <w:rFonts w:ascii="仿宋" w:hAnsi="仿宋" w:eastAsia="仿宋" w:cs="仿宋"/>
          <w:b/>
          <w:color w:val="auto"/>
          <w:sz w:val="24"/>
          <w:szCs w:val="24"/>
          <w:highlight w:val="none"/>
        </w:rPr>
      </w:pPr>
    </w:p>
    <w:p>
      <w:pPr>
        <w:shd w:val="clear"/>
        <w:wordWrap w:val="0"/>
        <w:topLinePunct/>
        <w:spacing w:line="440" w:lineRule="exact"/>
        <w:ind w:firstLine="482" w:firstLineChars="200"/>
        <w:rPr>
          <w:rFonts w:ascii="仿宋" w:hAnsi="仿宋" w:eastAsia="仿宋" w:cs="仿宋"/>
          <w:b/>
          <w:color w:val="auto"/>
          <w:sz w:val="24"/>
          <w:szCs w:val="24"/>
          <w:highlight w:val="none"/>
        </w:rPr>
      </w:pPr>
    </w:p>
    <w:p>
      <w:pPr>
        <w:shd w:val="clear"/>
        <w:wordWrap w:val="0"/>
        <w:topLinePunct/>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附：法定代表人身份证复印件正反面</w:t>
      </w:r>
      <w:r>
        <w:rPr>
          <w:rFonts w:hint="eastAsia" w:ascii="仿宋" w:hAnsi="仿宋" w:eastAsia="仿宋" w:cs="仿宋"/>
          <w:b/>
          <w:bCs/>
          <w:color w:val="auto"/>
          <w:sz w:val="24"/>
          <w:szCs w:val="24"/>
          <w:highlight w:val="none"/>
        </w:rPr>
        <w:t>(供应商的法定代表人为外籍人士的，则提供护照复印件)</w:t>
      </w:r>
    </w:p>
    <w:p>
      <w:pPr>
        <w:shd w:val="clear"/>
        <w:wordWrap w:val="0"/>
        <w:topLinePunct/>
        <w:spacing w:line="400" w:lineRule="exact"/>
        <w:ind w:firstLine="482" w:firstLineChars="200"/>
        <w:rPr>
          <w:rFonts w:ascii="仿宋" w:hAnsi="仿宋" w:eastAsia="仿宋" w:cs="仿宋"/>
          <w:b/>
          <w:color w:val="auto"/>
          <w:sz w:val="24"/>
          <w:szCs w:val="24"/>
          <w:highlight w:val="none"/>
        </w:rPr>
      </w:pPr>
    </w:p>
    <w:p>
      <w:pPr>
        <w:shd w:val="clear"/>
        <w:wordWrap w:val="0"/>
        <w:topLinePunct/>
        <w:spacing w:line="600" w:lineRule="atLeast"/>
        <w:ind w:left="-617" w:firstLine="617"/>
        <w:jc w:val="center"/>
        <w:rPr>
          <w:rFonts w:ascii="仿宋" w:hAnsi="仿宋" w:eastAsia="仿宋" w:cs="仿宋"/>
          <w:b/>
          <w:bCs/>
          <w:color w:val="auto"/>
          <w:sz w:val="24"/>
          <w:szCs w:val="24"/>
          <w:highlight w:val="none"/>
        </w:rPr>
      </w:pPr>
    </w:p>
    <w:p>
      <w:pPr>
        <w:shd w:val="clear"/>
        <w:wordWrap w:val="0"/>
        <w:topLinePunct/>
        <w:spacing w:line="360" w:lineRule="auto"/>
        <w:ind w:left="-617" w:firstLine="617"/>
        <w:jc w:val="center"/>
        <w:rPr>
          <w:rFonts w:ascii="仿宋" w:hAnsi="仿宋" w:eastAsia="仿宋" w:cs="仿宋"/>
          <w:b/>
          <w:bCs/>
          <w:color w:val="auto"/>
          <w:sz w:val="24"/>
          <w:szCs w:val="24"/>
          <w:highlight w:val="none"/>
        </w:rPr>
      </w:pPr>
    </w:p>
    <w:p>
      <w:pPr>
        <w:shd w:val="clear"/>
        <w:wordWrap w:val="0"/>
        <w:topLinePunct/>
        <w:spacing w:line="440" w:lineRule="exact"/>
        <w:ind w:firstLine="496" w:firstLineChars="20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 (盖章) </w:t>
      </w:r>
    </w:p>
    <w:p>
      <w:pPr>
        <w:shd w:val="clear"/>
        <w:wordWrap w:val="0"/>
        <w:topLinePunct/>
        <w:spacing w:line="440" w:lineRule="exact"/>
        <w:ind w:firstLine="496" w:firstLineChars="20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p>
    <w:p>
      <w:pPr>
        <w:shd w:val="clear"/>
        <w:wordWrap w:val="0"/>
        <w:topLinePunct/>
        <w:spacing w:line="600" w:lineRule="atLeast"/>
        <w:ind w:firstLine="826" w:firstLineChars="343"/>
        <w:rPr>
          <w:rFonts w:ascii="仿宋" w:hAnsi="仿宋" w:eastAsia="仿宋" w:cs="仿宋"/>
          <w:b/>
          <w:bCs/>
          <w:color w:val="auto"/>
          <w:sz w:val="24"/>
          <w:szCs w:val="24"/>
          <w:highlight w:val="none"/>
        </w:rPr>
      </w:pPr>
    </w:p>
    <w:p>
      <w:pPr>
        <w:shd w:val="clear"/>
        <w:wordWrap w:val="0"/>
        <w:spacing w:line="400" w:lineRule="exact"/>
        <w:ind w:left="17" w:leftChars="5" w:firstLine="482" w:firstLineChars="200"/>
        <w:rPr>
          <w:rFonts w:ascii="仿宋" w:hAnsi="仿宋" w:eastAsia="仿宋" w:cs="仿宋"/>
          <w:b/>
          <w:color w:val="auto"/>
          <w:sz w:val="24"/>
          <w:szCs w:val="24"/>
          <w:highlight w:val="none"/>
        </w:rPr>
      </w:pPr>
    </w:p>
    <w:p>
      <w:pPr>
        <w:pStyle w:val="4"/>
        <w:numPr>
          <w:ilvl w:val="0"/>
          <w:numId w:val="8"/>
        </w:numPr>
        <w:shd w:val="clear"/>
        <w:spacing w:line="400" w:lineRule="exact"/>
        <w:ind w:firstLine="0"/>
        <w:jc w:val="center"/>
        <w:rPr>
          <w:rFonts w:ascii="仿宋" w:hAnsi="仿宋" w:eastAsia="仿宋" w:cs="仿宋"/>
          <w:color w:val="auto"/>
          <w:sz w:val="28"/>
          <w:szCs w:val="28"/>
          <w:highlight w:val="none"/>
        </w:rPr>
      </w:pPr>
      <w:bookmarkStart w:id="803" w:name="_Toc28397"/>
      <w:bookmarkStart w:id="804" w:name="_Toc3822"/>
      <w:r>
        <w:rPr>
          <w:rFonts w:hint="eastAsia" w:ascii="仿宋" w:hAnsi="仿宋" w:eastAsia="仿宋" w:cs="仿宋"/>
          <w:color w:val="auto"/>
          <w:sz w:val="28"/>
          <w:szCs w:val="28"/>
          <w:highlight w:val="none"/>
        </w:rPr>
        <w:br w:type="page"/>
      </w:r>
      <w:bookmarkStart w:id="805" w:name="_Toc22073"/>
      <w:r>
        <w:rPr>
          <w:rFonts w:hint="eastAsia" w:ascii="仿宋" w:hAnsi="仿宋" w:eastAsia="仿宋" w:cs="仿宋"/>
          <w:color w:val="auto"/>
          <w:sz w:val="28"/>
          <w:szCs w:val="28"/>
          <w:highlight w:val="none"/>
        </w:rPr>
        <w:t>具有独立承担民事责任的能力的证明材料</w:t>
      </w:r>
      <w:bookmarkEnd w:id="805"/>
    </w:p>
    <w:bookmarkEnd w:id="803"/>
    <w:bookmarkEnd w:id="804"/>
    <w:p>
      <w:pPr>
        <w:pStyle w:val="4"/>
        <w:numPr>
          <w:ilvl w:val="0"/>
          <w:numId w:val="8"/>
        </w:numPr>
        <w:shd w:val="clear"/>
        <w:spacing w:line="400" w:lineRule="exact"/>
        <w:ind w:firstLine="0"/>
        <w:jc w:val="center"/>
        <w:rPr>
          <w:rFonts w:ascii="仿宋" w:hAnsi="仿宋" w:eastAsia="仿宋" w:cs="仿宋"/>
          <w:color w:val="auto"/>
          <w:sz w:val="28"/>
          <w:szCs w:val="28"/>
          <w:highlight w:val="none"/>
        </w:rPr>
      </w:pPr>
      <w:bookmarkStart w:id="806" w:name="_Toc14566"/>
      <w:r>
        <w:rPr>
          <w:rFonts w:hint="eastAsia" w:ascii="仿宋" w:hAnsi="仿宋" w:eastAsia="仿宋" w:cs="仿宋"/>
          <w:color w:val="auto"/>
          <w:sz w:val="28"/>
          <w:szCs w:val="28"/>
          <w:highlight w:val="none"/>
        </w:rPr>
        <w:br w:type="page"/>
      </w:r>
      <w:bookmarkStart w:id="807" w:name="_Toc30285"/>
      <w:r>
        <w:rPr>
          <w:rFonts w:hint="eastAsia" w:ascii="仿宋" w:hAnsi="仿宋" w:eastAsia="仿宋" w:cs="仿宋"/>
          <w:color w:val="auto"/>
          <w:sz w:val="28"/>
          <w:szCs w:val="28"/>
          <w:highlight w:val="none"/>
        </w:rPr>
        <w:t>具有健全的财务会计制度的证明材料</w:t>
      </w:r>
      <w:bookmarkEnd w:id="807"/>
    </w:p>
    <w:bookmarkEnd w:id="806"/>
    <w:p>
      <w:pPr>
        <w:shd w:val="clear"/>
        <w:wordWrap w:val="0"/>
        <w:spacing w:line="400" w:lineRule="exact"/>
        <w:ind w:left="17" w:leftChars="5" w:firstLine="562" w:firstLineChars="200"/>
        <w:rPr>
          <w:rFonts w:ascii="仿宋" w:hAnsi="仿宋" w:eastAsia="仿宋" w:cs="仿宋"/>
          <w:b/>
          <w:bCs/>
          <w:color w:val="auto"/>
          <w:sz w:val="28"/>
          <w:szCs w:val="28"/>
          <w:highlight w:val="none"/>
        </w:rPr>
      </w:pPr>
      <w:bookmarkStart w:id="808" w:name="_Toc5443"/>
      <w:r>
        <w:rPr>
          <w:rFonts w:hint="eastAsia" w:ascii="仿宋" w:hAnsi="仿宋" w:eastAsia="仿宋" w:cs="仿宋"/>
          <w:b/>
          <w:bCs/>
          <w:color w:val="auto"/>
          <w:sz w:val="28"/>
          <w:szCs w:val="28"/>
          <w:highlight w:val="none"/>
        </w:rPr>
        <w:br w:type="page"/>
      </w:r>
      <w:bookmarkEnd w:id="808"/>
      <w:bookmarkStart w:id="809" w:name="_Toc5011"/>
      <w:bookmarkStart w:id="810" w:name="_Toc12311"/>
    </w:p>
    <w:p>
      <w:pPr>
        <w:shd w:val="clear"/>
        <w:rPr>
          <w:rFonts w:ascii="仿宋" w:hAnsi="仿宋" w:eastAsia="仿宋" w:cs="仿宋"/>
          <w:b/>
          <w:bCs/>
          <w:color w:val="auto"/>
          <w:sz w:val="28"/>
          <w:szCs w:val="28"/>
          <w:highlight w:val="none"/>
        </w:rPr>
      </w:pPr>
    </w:p>
    <w:p>
      <w:pPr>
        <w:shd w:val="clea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（四）承诺及声明函</w:t>
      </w:r>
      <w:bookmarkEnd w:id="809"/>
      <w:bookmarkEnd w:id="810"/>
    </w:p>
    <w:p>
      <w:pPr>
        <w:widowControl/>
        <w:shd w:val="clear"/>
        <w:spacing w:line="4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bookmarkStart w:id="811" w:name="_Toc9591"/>
      <w:bookmarkStart w:id="812" w:name="_Toc14299"/>
      <w:r>
        <w:rPr>
          <w:rFonts w:hint="eastAsia" w:ascii="仿宋" w:hAnsi="仿宋" w:eastAsia="仿宋" w:cs="仿宋"/>
          <w:color w:val="auto"/>
          <w:sz w:val="24"/>
          <w:szCs w:val="24"/>
          <w:highlight w:val="none"/>
          <w:lang w:val="zh-CN"/>
        </w:rPr>
        <w:t>　</w:t>
      </w:r>
    </w:p>
    <w:p>
      <w:pPr>
        <w:shd w:val="clear"/>
        <w:wordWrap w:val="0"/>
        <w:adjustRightInd w:val="0"/>
        <w:spacing w:line="400" w:lineRule="exact"/>
        <w:ind w:firstLine="420" w:firstLineChars="175"/>
        <w:jc w:val="left"/>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本公司(公司名称)参加(项目名称)(项目编号：)的投标活动，现我公司承诺</w:t>
      </w:r>
      <w:r>
        <w:rPr>
          <w:rFonts w:hint="eastAsia" w:ascii="仿宋" w:hAnsi="仿宋" w:eastAsia="仿宋" w:cs="仿宋"/>
          <w:bCs/>
          <w:color w:val="auto"/>
          <w:sz w:val="24"/>
          <w:szCs w:val="24"/>
          <w:highlight w:val="none"/>
        </w:rPr>
        <w:t>及声明如下</w:t>
      </w:r>
      <w:r>
        <w:rPr>
          <w:rFonts w:hint="eastAsia" w:ascii="仿宋" w:hAnsi="仿宋" w:eastAsia="仿宋" w:cs="仿宋"/>
          <w:bCs/>
          <w:color w:val="auto"/>
          <w:sz w:val="24"/>
          <w:szCs w:val="24"/>
          <w:highlight w:val="none"/>
          <w:lang w:val="zh-CN"/>
        </w:rPr>
        <w:t>：</w:t>
      </w:r>
    </w:p>
    <w:p>
      <w:pPr>
        <w:widowControl/>
        <w:shd w:val="clear" w:color="auto"/>
        <w:spacing w:line="360" w:lineRule="atLeas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一、具备《中华人民共和国政府采购法》第二十二条第一款和本项目规定的条件：</w:t>
      </w:r>
    </w:p>
    <w:p>
      <w:pPr>
        <w:widowControl/>
        <w:shd w:val="clear" w:color="auto"/>
        <w:spacing w:line="360" w:lineRule="atLeas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(一)具有独立承担民事责任的能力；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　　(二)具有良好的商业信誉和健全的财务会计制度；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　　(三)具有履行合同所必需的设备和专业技术能力；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　　(四)有依法缴纳税收和社会保障资金的良好记录；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(五)参加本次政府采购活动前三年内，在经营活动中没有重大违法记录(成立不足三年的从成立之日起计算)；</w:t>
      </w:r>
    </w:p>
    <w:p>
      <w:pPr>
        <w:widowControl/>
        <w:shd w:val="clear" w:color="auto"/>
        <w:spacing w:line="360" w:lineRule="atLeas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pPr>
        <w:widowControl/>
        <w:shd w:val="clear" w:color="auto"/>
        <w:spacing w:line="360" w:lineRule="atLeas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hd w:val="clear" w:color="auto"/>
        <w:spacing w:line="360" w:lineRule="atLeas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三、参加本次招标采购活动，不存在与单位负责人为同一人或者存在直接控股、管理关系的其他供应商参与同一合同项下的政府采购活动的行为。</w:t>
      </w:r>
    </w:p>
    <w:p>
      <w:pPr>
        <w:widowControl/>
        <w:shd w:val="clear" w:color="auto"/>
        <w:spacing w:line="360" w:lineRule="atLeas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四、参加本次招标采购活动，不存在和其他供应商在同一合同项下的采购项目中，同时委托同一个自然人、同一家庭的人员、同一单位的人员作为代理人的行为。</w:t>
      </w:r>
    </w:p>
    <w:p>
      <w:pPr>
        <w:widowControl/>
        <w:shd w:val="clear" w:color="auto"/>
        <w:spacing w:line="360" w:lineRule="atLeas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五、我单位未对本次采购项目提供过整体设计、规范编制或者项目管理、监理、检测等服务。</w:t>
      </w:r>
    </w:p>
    <w:p>
      <w:pPr>
        <w:widowControl/>
        <w:shd w:val="clear" w:color="auto"/>
        <w:spacing w:line="360" w:lineRule="atLeas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六、截至响应文件递交截止日未被列入失信被执行人、重大税收违法案件当事人名单、政府采购严重违法失信行为记录名单。</w:t>
      </w:r>
    </w:p>
    <w:p>
      <w:pPr>
        <w:widowControl/>
        <w:shd w:val="clear" w:color="auto"/>
        <w:spacing w:line="360" w:lineRule="atLeas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七、投标文件中提供的能够给予我公司带来优惠、好处的任何材料资料和技术、服务、商务等响应承诺情况都是真实的、有效的、合法的。</w:t>
      </w:r>
    </w:p>
    <w:p>
      <w:pPr>
        <w:pStyle w:val="25"/>
        <w:shd w:val="clear"/>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八、参加本次招标采购活动，本单位及其现任法定代表人/主要负责人无行贿犯罪记录；</w:t>
      </w:r>
    </w:p>
    <w:p>
      <w:pPr>
        <w:shd w:val="clear"/>
        <w:adjustRightInd w:val="0"/>
        <w:spacing w:line="400" w:lineRule="exact"/>
        <w:ind w:firstLine="420" w:firstLineChars="175"/>
        <w:jc w:val="left"/>
        <w:rPr>
          <w:rFonts w:ascii="仿宋" w:hAnsi="仿宋" w:eastAsia="仿宋" w:cs="仿宋"/>
          <w:bCs/>
          <w:color w:val="auto"/>
          <w:sz w:val="24"/>
          <w:szCs w:val="24"/>
          <w:highlight w:val="none"/>
          <w:lang w:val="zh-CN"/>
        </w:rPr>
      </w:pPr>
      <w:r>
        <w:rPr>
          <w:rFonts w:hint="eastAsia" w:ascii="仿宋" w:hAnsi="仿宋" w:eastAsia="仿宋" w:cs="仿宋"/>
          <w:color w:val="auto"/>
          <w:sz w:val="24"/>
          <w:highlight w:val="none"/>
        </w:rPr>
        <w:t>本公司对上述承诺的内容事项真实性负责。如经查实上述承诺的内容事项存在虚假，我公司愿意接受以提供虚假材料谋取中标追究法律责任。</w:t>
      </w:r>
    </w:p>
    <w:p>
      <w:pPr>
        <w:shd w:val="clear"/>
        <w:adjustRightInd w:val="0"/>
        <w:spacing w:line="400" w:lineRule="exact"/>
        <w:jc w:val="left"/>
        <w:rPr>
          <w:rFonts w:ascii="仿宋" w:hAnsi="仿宋" w:eastAsia="仿宋" w:cs="仿宋"/>
          <w:bCs/>
          <w:color w:val="auto"/>
          <w:sz w:val="24"/>
          <w:szCs w:val="24"/>
          <w:highlight w:val="none"/>
        </w:rPr>
      </w:pPr>
    </w:p>
    <w:p>
      <w:pPr>
        <w:shd w:val="clear"/>
        <w:adjustRightInd w:val="0"/>
        <w:spacing w:line="400" w:lineRule="exact"/>
        <w:ind w:firstLine="420" w:firstLineChars="175"/>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         (盖章)</w:t>
      </w:r>
    </w:p>
    <w:p>
      <w:pPr>
        <w:widowControl/>
        <w:shd w:val="clear"/>
        <w:tabs>
          <w:tab w:val="left" w:pos="900"/>
        </w:tabs>
        <w:spacing w:line="440" w:lineRule="exact"/>
        <w:ind w:firstLine="460" w:firstLineChars="192"/>
        <w:jc w:val="left"/>
        <w:rPr>
          <w:rFonts w:ascii="仿宋" w:hAnsi="仿宋" w:eastAsia="仿宋" w:cs="仿宋"/>
          <w:color w:val="auto"/>
          <w:sz w:val="28"/>
          <w:szCs w:val="28"/>
          <w:highlight w:val="none"/>
        </w:rPr>
      </w:pPr>
      <w:r>
        <w:rPr>
          <w:rFonts w:hint="eastAsia" w:ascii="仿宋" w:hAnsi="仿宋" w:eastAsia="仿宋" w:cs="仿宋"/>
          <w:bCs/>
          <w:color w:val="auto"/>
          <w:sz w:val="24"/>
          <w:szCs w:val="24"/>
          <w:highlight w:val="none"/>
        </w:rPr>
        <w:t xml:space="preserve">日  期：  </w:t>
      </w:r>
      <w:r>
        <w:rPr>
          <w:rFonts w:hint="eastAsia" w:ascii="仿宋" w:hAnsi="仿宋" w:eastAsia="仿宋" w:cs="仿宋"/>
          <w:b/>
          <w:bCs/>
          <w:color w:val="auto"/>
          <w:sz w:val="28"/>
          <w:szCs w:val="28"/>
          <w:highlight w:val="none"/>
        </w:rPr>
        <w:br w:type="page"/>
      </w:r>
      <w:bookmarkEnd w:id="811"/>
      <w:bookmarkEnd w:id="812"/>
    </w:p>
    <w:p>
      <w:pPr>
        <w:widowControl/>
        <w:shd w:val="clear" w:color="auto"/>
        <w:spacing w:line="440" w:lineRule="exact"/>
        <w:jc w:val="center"/>
        <w:rPr>
          <w:rFonts w:ascii="仿宋" w:hAnsi="仿宋" w:eastAsia="仿宋" w:cs="仿宋"/>
          <w:color w:val="auto"/>
          <w:highlight w:val="none"/>
        </w:rPr>
      </w:pPr>
      <w:bookmarkStart w:id="813" w:name="_Toc25575"/>
      <w:bookmarkStart w:id="814" w:name="_Toc18982"/>
      <w:r>
        <w:rPr>
          <w:rFonts w:hint="eastAsia" w:ascii="仿宋" w:hAnsi="仿宋" w:eastAsia="仿宋" w:cs="仿宋"/>
          <w:b/>
          <w:bCs/>
          <w:color w:val="auto"/>
          <w:sz w:val="28"/>
          <w:szCs w:val="28"/>
          <w:highlight w:val="none"/>
        </w:rPr>
        <w:t>(五）招标文件要求提供的其他资格证明文件(若有则填写)</w:t>
      </w:r>
      <w:bookmarkEnd w:id="813"/>
      <w:bookmarkEnd w:id="814"/>
    </w:p>
    <w:p>
      <w:pPr>
        <w:shd w:val="clear"/>
        <w:tabs>
          <w:tab w:val="left" w:pos="900"/>
        </w:tabs>
        <w:spacing w:line="360" w:lineRule="auto"/>
        <w:jc w:val="center"/>
        <w:rPr>
          <w:rFonts w:ascii="仿宋" w:hAnsi="仿宋" w:eastAsia="仿宋" w:cs="仿宋"/>
          <w:color w:val="auto"/>
          <w:highlight w:val="none"/>
        </w:rPr>
      </w:pPr>
    </w:p>
    <w:p>
      <w:pPr>
        <w:shd w:val="clear"/>
        <w:tabs>
          <w:tab w:val="left" w:pos="900"/>
        </w:tabs>
        <w:spacing w:line="360" w:lineRule="auto"/>
        <w:jc w:val="center"/>
        <w:rPr>
          <w:rFonts w:ascii="仿宋" w:hAnsi="仿宋" w:eastAsia="仿宋" w:cs="仿宋"/>
          <w:color w:val="auto"/>
          <w:highlight w:val="none"/>
        </w:rPr>
      </w:pPr>
    </w:p>
    <w:p>
      <w:pPr>
        <w:shd w:val="clear"/>
        <w:tabs>
          <w:tab w:val="left" w:pos="900"/>
        </w:tabs>
        <w:spacing w:line="360" w:lineRule="auto"/>
        <w:jc w:val="center"/>
        <w:rPr>
          <w:rFonts w:ascii="仿宋" w:hAnsi="仿宋" w:eastAsia="仿宋" w:cs="仿宋"/>
          <w:color w:val="auto"/>
          <w:highlight w:val="none"/>
        </w:rPr>
      </w:pPr>
    </w:p>
    <w:p>
      <w:pPr>
        <w:shd w:val="clear"/>
        <w:tabs>
          <w:tab w:val="left" w:pos="900"/>
        </w:tabs>
        <w:spacing w:line="360" w:lineRule="auto"/>
        <w:jc w:val="center"/>
        <w:rPr>
          <w:rFonts w:ascii="仿宋" w:hAnsi="仿宋" w:eastAsia="仿宋" w:cs="仿宋"/>
          <w:color w:val="auto"/>
          <w:highlight w:val="none"/>
        </w:rPr>
      </w:pPr>
    </w:p>
    <w:p>
      <w:pPr>
        <w:shd w:val="clear"/>
        <w:tabs>
          <w:tab w:val="left" w:pos="900"/>
        </w:tabs>
        <w:spacing w:line="360" w:lineRule="auto"/>
        <w:jc w:val="center"/>
        <w:rPr>
          <w:rFonts w:ascii="仿宋" w:hAnsi="仿宋" w:eastAsia="仿宋" w:cs="仿宋"/>
          <w:color w:val="auto"/>
          <w:highlight w:val="none"/>
        </w:rPr>
      </w:pPr>
    </w:p>
    <w:p>
      <w:pPr>
        <w:shd w:val="clear"/>
        <w:tabs>
          <w:tab w:val="left" w:pos="900"/>
        </w:tabs>
        <w:spacing w:line="360" w:lineRule="auto"/>
        <w:jc w:val="center"/>
        <w:rPr>
          <w:rFonts w:ascii="仿宋" w:hAnsi="仿宋" w:eastAsia="仿宋" w:cs="仿宋"/>
          <w:color w:val="auto"/>
          <w:highlight w:val="none"/>
        </w:rPr>
      </w:pPr>
    </w:p>
    <w:p>
      <w:pPr>
        <w:pStyle w:val="51"/>
        <w:numPr>
          <w:ilvl w:val="4"/>
          <w:numId w:val="0"/>
        </w:numPr>
        <w:shd w:val="clear"/>
        <w:outlineLvl w:val="9"/>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shd w:val="clear"/>
        <w:tabs>
          <w:tab w:val="left" w:pos="900"/>
        </w:tabs>
        <w:spacing w:line="360" w:lineRule="auto"/>
        <w:jc w:val="center"/>
        <w:rPr>
          <w:rFonts w:ascii="仿宋" w:hAnsi="仿宋" w:eastAsia="仿宋" w:cs="仿宋"/>
          <w:color w:val="auto"/>
          <w:highlight w:val="none"/>
        </w:rPr>
      </w:pPr>
    </w:p>
    <w:p>
      <w:pPr>
        <w:shd w:val="clear"/>
        <w:tabs>
          <w:tab w:val="left" w:pos="900"/>
        </w:tabs>
        <w:spacing w:line="360" w:lineRule="auto"/>
        <w:jc w:val="center"/>
        <w:rPr>
          <w:rFonts w:ascii="仿宋" w:hAnsi="仿宋" w:eastAsia="仿宋" w:cs="仿宋"/>
          <w:color w:val="auto"/>
          <w:highlight w:val="none"/>
        </w:rPr>
      </w:pPr>
    </w:p>
    <w:p>
      <w:pPr>
        <w:shd w:val="clear"/>
        <w:tabs>
          <w:tab w:val="left" w:pos="900"/>
        </w:tabs>
        <w:spacing w:line="360" w:lineRule="auto"/>
        <w:jc w:val="center"/>
        <w:outlineLvl w:val="1"/>
        <w:rPr>
          <w:rFonts w:ascii="仿宋" w:hAnsi="仿宋" w:eastAsia="仿宋" w:cs="仿宋"/>
          <w:b/>
          <w:color w:val="auto"/>
          <w:sz w:val="32"/>
          <w:highlight w:val="none"/>
        </w:rPr>
      </w:pPr>
      <w:bookmarkStart w:id="815" w:name="_Toc2428"/>
      <w:r>
        <w:rPr>
          <w:rFonts w:hint="eastAsia" w:ascii="仿宋" w:hAnsi="仿宋" w:eastAsia="仿宋" w:cs="仿宋"/>
          <w:b/>
          <w:color w:val="auto"/>
          <w:sz w:val="32"/>
          <w:highlight w:val="none"/>
        </w:rPr>
        <w:t>第二部分 其他响应性投标文件(格式)</w:t>
      </w:r>
      <w:bookmarkEnd w:id="815"/>
    </w:p>
    <w:p>
      <w:pPr>
        <w:keepNext/>
        <w:keepLines/>
        <w:shd w:val="clear"/>
        <w:spacing w:before="240" w:beforeLines="100" w:after="240" w:afterLines="100"/>
        <w:rPr>
          <w:rFonts w:ascii="仿宋" w:hAnsi="仿宋" w:eastAsia="仿宋" w:cs="仿宋"/>
          <w:color w:val="auto"/>
          <w:highlight w:val="none"/>
        </w:rPr>
      </w:pPr>
      <w:bookmarkStart w:id="816" w:name="_Toc26038"/>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shd w:val="clear"/>
        <w:rPr>
          <w:rFonts w:ascii="仿宋" w:hAnsi="仿宋" w:eastAsia="仿宋" w:cs="仿宋"/>
          <w:color w:val="auto"/>
          <w:highlight w:val="none"/>
        </w:rPr>
      </w:pPr>
      <w:r>
        <w:rPr>
          <w:rFonts w:hint="eastAsia" w:ascii="仿宋" w:hAnsi="仿宋" w:eastAsia="仿宋" w:cs="仿宋"/>
          <w:color w:val="auto"/>
          <w:highlight w:val="none"/>
        </w:rPr>
        <w:br w:type="page"/>
      </w:r>
    </w:p>
    <w:p>
      <w:pPr>
        <w:shd w:val="clear"/>
        <w:rPr>
          <w:rFonts w:ascii="仿宋" w:hAnsi="仿宋" w:eastAsia="仿宋" w:cs="仿宋"/>
          <w:color w:val="auto"/>
          <w:highlight w:val="none"/>
        </w:rPr>
      </w:pPr>
    </w:p>
    <w:p>
      <w:pPr>
        <w:pStyle w:val="15"/>
        <w:shd w:val="clear"/>
        <w:rPr>
          <w:rFonts w:ascii="仿宋" w:hAnsi="仿宋" w:eastAsia="仿宋" w:cs="仿宋"/>
          <w:color w:val="auto"/>
          <w:highlight w:val="none"/>
        </w:rPr>
      </w:pPr>
    </w:p>
    <w:p>
      <w:pPr>
        <w:pStyle w:val="4"/>
        <w:numPr>
          <w:ilvl w:val="0"/>
          <w:numId w:val="9"/>
        </w:numPr>
        <w:shd w:val="clear"/>
        <w:spacing w:before="240" w:beforeLines="100" w:after="240" w:afterLines="100" w:line="240" w:lineRule="auto"/>
        <w:ind w:firstLine="0"/>
        <w:jc w:val="center"/>
        <w:rPr>
          <w:rFonts w:ascii="仿宋" w:hAnsi="仿宋" w:eastAsia="仿宋" w:cs="仿宋"/>
          <w:color w:val="auto"/>
          <w:szCs w:val="28"/>
          <w:highlight w:val="none"/>
        </w:rPr>
      </w:pPr>
      <w:bookmarkStart w:id="817" w:name="_Toc388"/>
      <w:r>
        <w:rPr>
          <w:rFonts w:hint="eastAsia" w:ascii="仿宋" w:hAnsi="仿宋" w:eastAsia="仿宋" w:cs="仿宋"/>
          <w:color w:val="auto"/>
          <w:szCs w:val="28"/>
          <w:highlight w:val="none"/>
        </w:rPr>
        <w:t xml:space="preserve"> 投标函</w:t>
      </w:r>
      <w:bookmarkEnd w:id="799"/>
      <w:bookmarkEnd w:id="816"/>
      <w:bookmarkEnd w:id="817"/>
    </w:p>
    <w:p>
      <w:pPr>
        <w:shd w:val="clear"/>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致：</w:t>
      </w:r>
      <w:r>
        <w:rPr>
          <w:rFonts w:hint="eastAsia" w:ascii="仿宋" w:hAnsi="仿宋" w:eastAsia="仿宋" w:cs="仿宋"/>
          <w:color w:val="auto"/>
          <w:sz w:val="24"/>
          <w:szCs w:val="24"/>
          <w:highlight w:val="none"/>
          <w:u w:val="single"/>
        </w:rPr>
        <w:t xml:space="preserve">           采购代理机构  </w:t>
      </w:r>
    </w:p>
    <w:p>
      <w:pPr>
        <w:pStyle w:val="21"/>
        <w:shd w:val="clear"/>
        <w:wordWrap w:val="0"/>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我方全面研究了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”项目招标文件(项目编号：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)，决定参加贵单位组织的本项目投标。我方授权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(姓名、职务)代表我</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(投标单位的名称)全权处理本项目投标的有关事宜。</w:t>
      </w:r>
    </w:p>
    <w:p>
      <w:pPr>
        <w:pStyle w:val="21"/>
        <w:numPr>
          <w:ilvl w:val="0"/>
          <w:numId w:val="10"/>
        </w:numPr>
        <w:shd w:val="clear"/>
        <w:wordWrap w:val="0"/>
        <w:spacing w:after="0" w:line="400" w:lineRule="exact"/>
        <w:ind w:left="16" w:leftChars="0" w:firstLine="458" w:firstLineChars="191"/>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我方自愿按照招标文件规定的各项要求向采购人提供所需服务。</w:t>
      </w:r>
    </w:p>
    <w:p>
      <w:pPr>
        <w:pStyle w:val="21"/>
        <w:shd w:val="clear"/>
        <w:wordWrap w:val="0"/>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2、一旦我方中标，我方将严格履行合同规定的责任和义务，</w:t>
      </w:r>
      <w:r>
        <w:rPr>
          <w:rFonts w:hint="eastAsia" w:ascii="仿宋" w:hAnsi="仿宋" w:eastAsia="仿宋" w:cs="仿宋"/>
          <w:bCs/>
          <w:color w:val="auto"/>
          <w:sz w:val="24"/>
          <w:highlight w:val="none"/>
        </w:rPr>
        <w:t>按采购人要求时间完成项目规定的所有服务内容</w:t>
      </w:r>
      <w:r>
        <w:rPr>
          <w:rFonts w:hint="eastAsia" w:ascii="仿宋" w:hAnsi="仿宋" w:eastAsia="仿宋" w:cs="仿宋"/>
          <w:bCs/>
          <w:color w:val="auto"/>
          <w:sz w:val="24"/>
          <w:szCs w:val="24"/>
          <w:highlight w:val="none"/>
        </w:rPr>
        <w:t xml:space="preserve">。   </w:t>
      </w: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3、我方承诺：投标有效期为提交投标文件的截止之日起90天。</w:t>
      </w: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我方承诺在投标文件响应以外，包括采购过程中和合同履约、项目验收等过程中完全接受和满足本项目招标文件明确规定了为实质性内容，但在符合性审查事项表格中未列明的实质性要求事项（如采购预算、最高限价、无偿或低于成本价不正当竞争预防措施、进口产品（如涉及）、合格的投标人、投标费用、充分、公平竞争保障措施、投标文件的语言、计量单位、投标货币、知识产权、投标有效期、合同分包、合同转包、履约保证金等实质性要求等）。</w:t>
      </w: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5、我方愿意提供贵公司可能另外要求的，与投标有关的文件资料，并保证我方已提供和将要提供的文件资料是真实、准确的。</w:t>
      </w: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6、我方完全理解采购人不一定将合同授予最低报价的投标人的行为。</w:t>
      </w: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rPr>
      </w:pP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通讯地址：</w:t>
      </w: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邮政编码：</w:t>
      </w: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传    真：</w:t>
      </w:r>
    </w:p>
    <w:p>
      <w:pPr>
        <w:pStyle w:val="21"/>
        <w:shd w:val="clear"/>
        <w:spacing w:after="0" w:line="400" w:lineRule="exact"/>
        <w:ind w:left="0" w:leftChars="0"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    期：</w:t>
      </w:r>
    </w:p>
    <w:p>
      <w:pPr>
        <w:pStyle w:val="4"/>
        <w:numPr>
          <w:ilvl w:val="0"/>
          <w:numId w:val="9"/>
        </w:numPr>
        <w:shd w:val="clear"/>
        <w:ind w:firstLine="0"/>
        <w:jc w:val="center"/>
        <w:rPr>
          <w:rFonts w:ascii="仿宋" w:hAnsi="仿宋" w:eastAsia="仿宋" w:cs="仿宋"/>
          <w:color w:val="auto"/>
          <w:highlight w:val="none"/>
        </w:rPr>
      </w:pPr>
      <w:bookmarkStart w:id="818" w:name="_Toc1650"/>
      <w:r>
        <w:rPr>
          <w:rFonts w:hint="eastAsia" w:ascii="仿宋" w:hAnsi="仿宋" w:eastAsia="仿宋" w:cs="仿宋"/>
          <w:color w:val="auto"/>
          <w:highlight w:val="none"/>
        </w:rPr>
        <w:br w:type="page"/>
      </w:r>
      <w:bookmarkEnd w:id="818"/>
      <w:r>
        <w:rPr>
          <w:rFonts w:hint="eastAsia" w:ascii="仿宋" w:hAnsi="仿宋" w:eastAsia="仿宋" w:cs="仿宋"/>
          <w:color w:val="auto"/>
          <w:highlight w:val="none"/>
        </w:rPr>
        <w:t>报价一览表</w:t>
      </w:r>
    </w:p>
    <w:p>
      <w:pPr>
        <w:shd w:val="clear"/>
        <w:rPr>
          <w:rFonts w:ascii="仿宋" w:hAnsi="仿宋" w:eastAsia="仿宋" w:cs="仿宋"/>
          <w:b/>
          <w:bCs/>
          <w:color w:val="auto"/>
          <w:kern w:val="2"/>
          <w:sz w:val="21"/>
          <w:szCs w:val="21"/>
          <w:highlight w:val="none"/>
          <w:u w:val="single"/>
        </w:rPr>
      </w:pPr>
      <w:r>
        <w:rPr>
          <w:rFonts w:hint="eastAsia" w:ascii="仿宋" w:hAnsi="仿宋" w:eastAsia="仿宋" w:cs="仿宋"/>
          <w:b/>
          <w:bCs/>
          <w:color w:val="auto"/>
          <w:kern w:val="2"/>
          <w:sz w:val="21"/>
          <w:szCs w:val="21"/>
          <w:highlight w:val="none"/>
        </w:rPr>
        <w:t>项目名称：</w:t>
      </w:r>
      <w:r>
        <w:rPr>
          <w:rFonts w:hint="eastAsia" w:ascii="仿宋" w:hAnsi="仿宋" w:eastAsia="仿宋" w:cs="仿宋"/>
          <w:b/>
          <w:bCs/>
          <w:color w:val="auto"/>
          <w:kern w:val="2"/>
          <w:sz w:val="21"/>
          <w:szCs w:val="21"/>
          <w:highlight w:val="none"/>
          <w:u w:val="single"/>
        </w:rPr>
        <w:t xml:space="preserve">                </w:t>
      </w:r>
    </w:p>
    <w:p>
      <w:pPr>
        <w:shd w:val="clear"/>
        <w:rPr>
          <w:color w:val="auto"/>
          <w:highlight w:val="none"/>
        </w:rPr>
      </w:pPr>
      <w:r>
        <w:rPr>
          <w:rFonts w:hint="eastAsia" w:ascii="仿宋" w:hAnsi="仿宋" w:eastAsia="仿宋" w:cs="仿宋"/>
          <w:b/>
          <w:bCs/>
          <w:color w:val="auto"/>
          <w:kern w:val="2"/>
          <w:sz w:val="21"/>
          <w:szCs w:val="21"/>
          <w:highlight w:val="none"/>
        </w:rPr>
        <w:t>项目编号：</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 xml:space="preserve">    </w:t>
      </w:r>
    </w:p>
    <w:tbl>
      <w:tblPr>
        <w:tblStyle w:val="38"/>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691"/>
        <w:gridCol w:w="2512"/>
        <w:gridCol w:w="2112"/>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6" w:type="dxa"/>
            <w:vAlign w:val="center"/>
          </w:tcPr>
          <w:p>
            <w:pPr>
              <w:widowControl/>
              <w:shd w:val="clear"/>
              <w:spacing w:line="360" w:lineRule="atLeast"/>
              <w:jc w:val="center"/>
              <w:outlineLvl w:val="1"/>
              <w:rPr>
                <w:rFonts w:ascii="仿宋" w:hAnsi="仿宋" w:eastAsia="仿宋" w:cs="仿宋"/>
                <w:color w:val="auto"/>
                <w:sz w:val="21"/>
                <w:szCs w:val="21"/>
                <w:highlight w:val="none"/>
              </w:rPr>
            </w:pPr>
            <w:bookmarkStart w:id="819" w:name="_Toc26795"/>
            <w:bookmarkStart w:id="820" w:name="_Toc23742"/>
            <w:bookmarkStart w:id="821" w:name="_Toc7728"/>
            <w:r>
              <w:rPr>
                <w:rFonts w:hint="eastAsia" w:ascii="仿宋" w:hAnsi="仿宋" w:eastAsia="仿宋" w:cs="仿宋"/>
                <w:color w:val="auto"/>
                <w:sz w:val="21"/>
                <w:szCs w:val="21"/>
                <w:highlight w:val="none"/>
              </w:rPr>
              <w:t>序号</w:t>
            </w:r>
          </w:p>
        </w:tc>
        <w:tc>
          <w:tcPr>
            <w:tcW w:w="2691" w:type="dxa"/>
            <w:vAlign w:val="center"/>
          </w:tcPr>
          <w:p>
            <w:pPr>
              <w:widowControl/>
              <w:shd w:val="clear"/>
              <w:spacing w:line="360" w:lineRule="atLeast"/>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分项名称</w:t>
            </w:r>
          </w:p>
        </w:tc>
        <w:tc>
          <w:tcPr>
            <w:tcW w:w="2512" w:type="dxa"/>
            <w:vAlign w:val="center"/>
          </w:tcPr>
          <w:p>
            <w:pPr>
              <w:widowControl/>
              <w:shd w:val="clear"/>
              <w:spacing w:line="360" w:lineRule="atLeast"/>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综合单价投标报价</w:t>
            </w:r>
          </w:p>
        </w:tc>
        <w:tc>
          <w:tcPr>
            <w:tcW w:w="2112" w:type="dxa"/>
            <w:vAlign w:val="center"/>
          </w:tcPr>
          <w:p>
            <w:pPr>
              <w:widowControl/>
              <w:shd w:val="clear"/>
              <w:spacing w:line="360" w:lineRule="atLeast"/>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服务期</w:t>
            </w:r>
          </w:p>
        </w:tc>
        <w:tc>
          <w:tcPr>
            <w:tcW w:w="1438" w:type="dxa"/>
            <w:vAlign w:val="center"/>
          </w:tcPr>
          <w:p>
            <w:pPr>
              <w:widowControl/>
              <w:shd w:val="clear"/>
              <w:spacing w:line="360" w:lineRule="atLeast"/>
              <w:ind w:left="-14" w:leftChars="-4" w:firstLine="73" w:firstLineChars="35"/>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56" w:type="dxa"/>
            <w:vAlign w:val="center"/>
          </w:tcPr>
          <w:p>
            <w:pPr>
              <w:widowControl/>
              <w:shd w:val="clear"/>
              <w:spacing w:line="360" w:lineRule="atLeast"/>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691" w:type="dxa"/>
            <w:vAlign w:val="center"/>
          </w:tcPr>
          <w:p>
            <w:pPr>
              <w:widowControl/>
              <w:shd w:val="clear"/>
              <w:spacing w:line="360" w:lineRule="atLeast"/>
              <w:jc w:val="center"/>
              <w:outlineLvl w:val="1"/>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外部传输链路服务费</w:t>
            </w:r>
          </w:p>
        </w:tc>
        <w:tc>
          <w:tcPr>
            <w:tcW w:w="2512" w:type="dxa"/>
            <w:vAlign w:val="center"/>
          </w:tcPr>
          <w:p>
            <w:pPr>
              <w:widowControl/>
              <w:shd w:val="clear"/>
              <w:ind w:firstLine="210" w:firstLineChars="100"/>
              <w:jc w:val="center"/>
              <w:textAlignment w:val="center"/>
              <w:rPr>
                <w:rFonts w:ascii="仿宋" w:hAnsi="仿宋" w:eastAsia="仿宋" w:cs="仿宋"/>
                <w:color w:val="auto"/>
                <w:sz w:val="21"/>
                <w:szCs w:val="21"/>
                <w:highlight w:val="none"/>
                <w:lang w:bidi="ar"/>
              </w:rPr>
            </w:pPr>
          </w:p>
          <w:p>
            <w:pPr>
              <w:widowControl/>
              <w:shd w:val="clear"/>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下浮</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shd w:val="clear"/>
              <w:jc w:val="center"/>
              <w:rPr>
                <w:rFonts w:ascii="仿宋" w:hAnsi="仿宋" w:eastAsia="仿宋" w:cs="仿宋"/>
                <w:color w:val="auto"/>
                <w:sz w:val="21"/>
                <w:szCs w:val="21"/>
                <w:highlight w:val="none"/>
              </w:rPr>
            </w:pPr>
          </w:p>
        </w:tc>
        <w:tc>
          <w:tcPr>
            <w:tcW w:w="2112" w:type="dxa"/>
            <w:vAlign w:val="center"/>
          </w:tcPr>
          <w:p>
            <w:pPr>
              <w:widowControl/>
              <w:shd w:val="clear"/>
              <w:spacing w:line="360" w:lineRule="atLeast"/>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三年，合同一年一签。</w:t>
            </w:r>
          </w:p>
        </w:tc>
        <w:tc>
          <w:tcPr>
            <w:tcW w:w="1438" w:type="dxa"/>
            <w:vAlign w:val="center"/>
          </w:tcPr>
          <w:p>
            <w:pPr>
              <w:widowControl/>
              <w:shd w:val="clear"/>
              <w:spacing w:line="360" w:lineRule="atLeast"/>
              <w:jc w:val="center"/>
              <w:outlineLvl w:val="1"/>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6" w:type="dxa"/>
            <w:vAlign w:val="center"/>
          </w:tcPr>
          <w:p>
            <w:pPr>
              <w:widowControl/>
              <w:shd w:val="clear"/>
              <w:spacing w:line="360" w:lineRule="atLeast"/>
              <w:jc w:val="center"/>
              <w:outlineLvl w:val="1"/>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2691" w:type="dxa"/>
            <w:vAlign w:val="center"/>
          </w:tcPr>
          <w:p>
            <w:pPr>
              <w:widowControl/>
              <w:shd w:val="clear"/>
              <w:spacing w:line="360" w:lineRule="atLeast"/>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系统维护维修费</w:t>
            </w:r>
          </w:p>
        </w:tc>
        <w:tc>
          <w:tcPr>
            <w:tcW w:w="2512" w:type="dxa"/>
            <w:vAlign w:val="center"/>
          </w:tcPr>
          <w:p>
            <w:pPr>
              <w:widowControl/>
              <w:shd w:val="clear"/>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下浮</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c>
          <w:tcPr>
            <w:tcW w:w="2112" w:type="dxa"/>
            <w:vAlign w:val="center"/>
          </w:tcPr>
          <w:p>
            <w:pPr>
              <w:widowControl/>
              <w:shd w:val="clear"/>
              <w:spacing w:line="360" w:lineRule="atLeast"/>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三年，合同一年一签。</w:t>
            </w:r>
          </w:p>
        </w:tc>
        <w:tc>
          <w:tcPr>
            <w:tcW w:w="1438" w:type="dxa"/>
            <w:vAlign w:val="center"/>
          </w:tcPr>
          <w:p>
            <w:pPr>
              <w:widowControl/>
              <w:shd w:val="clear"/>
              <w:spacing w:line="360" w:lineRule="atLeast"/>
              <w:jc w:val="center"/>
              <w:outlineLvl w:val="1"/>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6" w:type="dxa"/>
            <w:vAlign w:val="center"/>
          </w:tcPr>
          <w:p>
            <w:pPr>
              <w:widowControl/>
              <w:shd w:val="clear"/>
              <w:spacing w:line="360" w:lineRule="atLeast"/>
              <w:jc w:val="center"/>
              <w:outlineLvl w:val="1"/>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91" w:type="dxa"/>
            <w:vAlign w:val="center"/>
          </w:tcPr>
          <w:p>
            <w:pPr>
              <w:widowControl/>
              <w:shd w:val="clear"/>
              <w:spacing w:line="360" w:lineRule="atLeast"/>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更换或更新材料设备费</w:t>
            </w:r>
          </w:p>
        </w:tc>
        <w:tc>
          <w:tcPr>
            <w:tcW w:w="2512" w:type="dxa"/>
            <w:vAlign w:val="center"/>
          </w:tcPr>
          <w:p>
            <w:pPr>
              <w:widowControl/>
              <w:shd w:val="clear"/>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下浮</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c>
          <w:tcPr>
            <w:tcW w:w="2112" w:type="dxa"/>
            <w:vAlign w:val="center"/>
          </w:tcPr>
          <w:p>
            <w:pPr>
              <w:widowControl/>
              <w:shd w:val="clear"/>
              <w:spacing w:line="360" w:lineRule="atLeast"/>
              <w:jc w:val="center"/>
              <w:outlineLvl w:val="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三年，合同一年一签。</w:t>
            </w:r>
          </w:p>
        </w:tc>
        <w:tc>
          <w:tcPr>
            <w:tcW w:w="1438" w:type="dxa"/>
            <w:vAlign w:val="center"/>
          </w:tcPr>
          <w:p>
            <w:pPr>
              <w:widowControl/>
              <w:shd w:val="clear"/>
              <w:spacing w:line="360" w:lineRule="atLeast"/>
              <w:jc w:val="center"/>
              <w:outlineLvl w:val="1"/>
              <w:rPr>
                <w:rFonts w:ascii="仿宋" w:hAnsi="仿宋" w:eastAsia="仿宋" w:cs="仿宋"/>
                <w:color w:val="auto"/>
                <w:sz w:val="21"/>
                <w:szCs w:val="21"/>
                <w:highlight w:val="none"/>
              </w:rPr>
            </w:pPr>
          </w:p>
        </w:tc>
      </w:tr>
    </w:tbl>
    <w:p>
      <w:pPr>
        <w:shd w:val="clea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zh-CN"/>
        </w:rPr>
        <w:t>本项目采用按综合单价进行下浮比例报价，结算价格=最高限价×（1-下浮比例）</w:t>
      </w:r>
      <w:r>
        <w:rPr>
          <w:rFonts w:hint="eastAsia" w:ascii="仿宋" w:hAnsi="仿宋" w:eastAsia="仿宋" w:cs="仿宋"/>
          <w:color w:val="auto"/>
          <w:sz w:val="24"/>
          <w:highlight w:val="none"/>
        </w:rPr>
        <w:t>，结算价格是最终用户验收合格后的总价，其总价即为履行合同的固定价格。人员工资、差旅、培训、税金和保险等费用以及采购文件规定的其他费用均应包含在报价中。</w:t>
      </w:r>
    </w:p>
    <w:p>
      <w:pPr>
        <w:shd w:val="clear"/>
        <w:adjustRightInd w:val="0"/>
        <w:spacing w:line="360" w:lineRule="auto"/>
        <w:ind w:firstLine="480" w:firstLineChars="200"/>
        <w:jc w:val="left"/>
        <w:rPr>
          <w:rFonts w:ascii="仿宋" w:hAnsi="仿宋" w:eastAsia="仿宋" w:cs="仿宋"/>
          <w:color w:val="auto"/>
          <w:sz w:val="24"/>
          <w:highlight w:val="none"/>
        </w:rPr>
      </w:pPr>
    </w:p>
    <w:p>
      <w:pPr>
        <w:shd w:val="clear"/>
        <w:adjustRightInd w:val="0"/>
        <w:spacing w:line="360" w:lineRule="auto"/>
        <w:ind w:firstLine="480" w:firstLineChars="200"/>
        <w:jc w:val="left"/>
        <w:rPr>
          <w:rFonts w:ascii="仿宋" w:hAnsi="仿宋" w:eastAsia="仿宋" w:cs="仿宋"/>
          <w:color w:val="auto"/>
          <w:sz w:val="24"/>
          <w:highlight w:val="none"/>
        </w:rPr>
      </w:pPr>
    </w:p>
    <w:p>
      <w:pPr>
        <w:shd w:val="clear"/>
        <w:adjustRightIn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        （盖章）</w:t>
      </w:r>
    </w:p>
    <w:p>
      <w:pPr>
        <w:widowControl/>
        <w:shd w:val="clear"/>
        <w:spacing w:line="360" w:lineRule="atLeast"/>
        <w:ind w:firstLine="470" w:firstLineChars="196"/>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日    期：      年   月   日</w:t>
      </w:r>
    </w:p>
    <w:bookmarkEnd w:id="819"/>
    <w:bookmarkEnd w:id="820"/>
    <w:bookmarkEnd w:id="821"/>
    <w:p>
      <w:pPr>
        <w:shd w:val="clear"/>
        <w:jc w:val="center"/>
        <w:rPr>
          <w:rFonts w:ascii="仿宋" w:hAnsi="仿宋" w:eastAsia="仿宋" w:cs="仿宋"/>
          <w:b/>
          <w:bCs/>
          <w:color w:val="auto"/>
          <w:kern w:val="2"/>
          <w:sz w:val="32"/>
          <w:szCs w:val="32"/>
          <w:highlight w:val="none"/>
        </w:rPr>
      </w:pPr>
      <w:bookmarkStart w:id="822" w:name="_Toc439161752"/>
      <w:bookmarkStart w:id="823" w:name="_Toc302997926"/>
      <w:r>
        <w:rPr>
          <w:rFonts w:hint="eastAsia" w:ascii="仿宋" w:hAnsi="仿宋" w:eastAsia="仿宋" w:cs="仿宋"/>
          <w:color w:val="auto"/>
          <w:sz w:val="28"/>
          <w:szCs w:val="28"/>
          <w:highlight w:val="none"/>
        </w:rPr>
        <w:br w:type="page"/>
      </w:r>
      <w:bookmarkStart w:id="824" w:name="_Toc6982"/>
      <w:bookmarkStart w:id="825" w:name="_Toc3690"/>
      <w:bookmarkStart w:id="826" w:name="_Toc5912"/>
      <w:bookmarkStart w:id="827" w:name="_Toc20845"/>
      <w:r>
        <w:rPr>
          <w:rFonts w:hint="eastAsia" w:ascii="仿宋" w:hAnsi="仿宋" w:eastAsia="仿宋" w:cs="仿宋"/>
          <w:b/>
          <w:bCs/>
          <w:color w:val="auto"/>
          <w:kern w:val="2"/>
          <w:sz w:val="32"/>
          <w:szCs w:val="32"/>
          <w:highlight w:val="none"/>
        </w:rPr>
        <w:t>（三）投标人基本情况表</w:t>
      </w:r>
      <w:bookmarkEnd w:id="822"/>
      <w:bookmarkEnd w:id="823"/>
      <w:bookmarkEnd w:id="824"/>
      <w:bookmarkEnd w:id="825"/>
      <w:bookmarkEnd w:id="826"/>
      <w:bookmarkEnd w:id="827"/>
    </w:p>
    <w:tbl>
      <w:tblPr>
        <w:tblStyle w:val="3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228"/>
        <w:gridCol w:w="334"/>
        <w:gridCol w:w="433"/>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7524" w:type="dxa"/>
            <w:gridSpan w:val="7"/>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4012" w:type="dxa"/>
            <w:gridSpan w:val="3"/>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228"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2284" w:type="dxa"/>
            <w:gridSpan w:val="3"/>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1125"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2887"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228"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284" w:type="dxa"/>
            <w:gridSpan w:val="3"/>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125"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2887"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228"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网址</w:t>
            </w:r>
          </w:p>
        </w:tc>
        <w:tc>
          <w:tcPr>
            <w:tcW w:w="2284" w:type="dxa"/>
            <w:gridSpan w:val="3"/>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组织结构</w:t>
            </w:r>
          </w:p>
        </w:tc>
        <w:tc>
          <w:tcPr>
            <w:tcW w:w="7524" w:type="dxa"/>
            <w:gridSpan w:val="7"/>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1125"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432"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455"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228"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767"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1517" w:type="dxa"/>
            <w:vAlign w:val="center"/>
          </w:tcPr>
          <w:p>
            <w:pPr>
              <w:shd w:val="clear"/>
              <w:autoSpaceDE w:val="0"/>
              <w:autoSpaceDN w:val="0"/>
              <w:adjustRightInd w:val="0"/>
              <w:spacing w:line="400" w:lineRule="exact"/>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w:t>
            </w:r>
          </w:p>
        </w:tc>
        <w:tc>
          <w:tcPr>
            <w:tcW w:w="1125"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432"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455"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228"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767"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1517" w:type="dxa"/>
            <w:vAlign w:val="center"/>
          </w:tcPr>
          <w:p>
            <w:pPr>
              <w:shd w:val="clear"/>
              <w:autoSpaceDE w:val="0"/>
              <w:autoSpaceDN w:val="0"/>
              <w:adjustRightInd w:val="0"/>
              <w:spacing w:line="400" w:lineRule="exact"/>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2557"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4967" w:type="dxa"/>
            <w:gridSpan w:val="5"/>
            <w:vAlign w:val="center"/>
          </w:tcPr>
          <w:p>
            <w:pPr>
              <w:shd w:val="clear"/>
              <w:autoSpaceDE w:val="0"/>
              <w:autoSpaceDN w:val="0"/>
              <w:adjustRightInd w:val="0"/>
              <w:spacing w:line="400" w:lineRule="exact"/>
              <w:ind w:firstLine="1470" w:firstLineChars="7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企业资质等级</w:t>
            </w:r>
          </w:p>
        </w:tc>
        <w:tc>
          <w:tcPr>
            <w:tcW w:w="2557"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455" w:type="dxa"/>
            <w:vMerge w:val="restart"/>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其中</w:t>
            </w:r>
          </w:p>
        </w:tc>
        <w:tc>
          <w:tcPr>
            <w:tcW w:w="1562"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项目经理</w:t>
            </w:r>
          </w:p>
        </w:tc>
        <w:tc>
          <w:tcPr>
            <w:tcW w:w="1950" w:type="dxa"/>
            <w:gridSpan w:val="2"/>
            <w:vAlign w:val="center"/>
          </w:tcPr>
          <w:p>
            <w:pPr>
              <w:shd w:val="clear"/>
              <w:autoSpaceDE w:val="0"/>
              <w:autoSpaceDN w:val="0"/>
              <w:adjustRightInd w:val="0"/>
              <w:spacing w:line="400" w:lineRule="exact"/>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营业执照号/统一社会信用代码</w:t>
            </w:r>
          </w:p>
        </w:tc>
        <w:tc>
          <w:tcPr>
            <w:tcW w:w="2557"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455" w:type="dxa"/>
            <w:vMerge w:val="continue"/>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562"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高级职称人员</w:t>
            </w:r>
          </w:p>
        </w:tc>
        <w:tc>
          <w:tcPr>
            <w:tcW w:w="1950" w:type="dxa"/>
            <w:gridSpan w:val="2"/>
            <w:vAlign w:val="center"/>
          </w:tcPr>
          <w:p>
            <w:pPr>
              <w:shd w:val="clear"/>
              <w:autoSpaceDE w:val="0"/>
              <w:autoSpaceDN w:val="0"/>
              <w:adjustRightInd w:val="0"/>
              <w:spacing w:line="400" w:lineRule="exact"/>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2557"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455" w:type="dxa"/>
            <w:vMerge w:val="continue"/>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562"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中级职称人员</w:t>
            </w:r>
          </w:p>
        </w:tc>
        <w:tc>
          <w:tcPr>
            <w:tcW w:w="1950" w:type="dxa"/>
            <w:gridSpan w:val="2"/>
            <w:vAlign w:val="center"/>
          </w:tcPr>
          <w:p>
            <w:pPr>
              <w:shd w:val="clear"/>
              <w:autoSpaceDE w:val="0"/>
              <w:autoSpaceDN w:val="0"/>
              <w:adjustRightInd w:val="0"/>
              <w:spacing w:line="400" w:lineRule="exact"/>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2557"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455" w:type="dxa"/>
            <w:vMerge w:val="continue"/>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562"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初级职称人员</w:t>
            </w:r>
          </w:p>
        </w:tc>
        <w:tc>
          <w:tcPr>
            <w:tcW w:w="1950" w:type="dxa"/>
            <w:gridSpan w:val="2"/>
            <w:vAlign w:val="center"/>
          </w:tcPr>
          <w:p>
            <w:pPr>
              <w:shd w:val="clear"/>
              <w:autoSpaceDE w:val="0"/>
              <w:autoSpaceDN w:val="0"/>
              <w:adjustRightInd w:val="0"/>
              <w:spacing w:line="400" w:lineRule="exact"/>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tc>
        <w:tc>
          <w:tcPr>
            <w:tcW w:w="2557"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455" w:type="dxa"/>
            <w:vMerge w:val="continue"/>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p>
        </w:tc>
        <w:tc>
          <w:tcPr>
            <w:tcW w:w="1562" w:type="dxa"/>
            <w:gridSpan w:val="2"/>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技工</w:t>
            </w:r>
          </w:p>
        </w:tc>
        <w:tc>
          <w:tcPr>
            <w:tcW w:w="1950" w:type="dxa"/>
            <w:gridSpan w:val="2"/>
            <w:vAlign w:val="center"/>
          </w:tcPr>
          <w:p>
            <w:pPr>
              <w:shd w:val="clear"/>
              <w:autoSpaceDE w:val="0"/>
              <w:autoSpaceDN w:val="0"/>
              <w:adjustRightInd w:val="0"/>
              <w:spacing w:line="400" w:lineRule="exact"/>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7524" w:type="dxa"/>
            <w:gridSpan w:val="7"/>
            <w:vAlign w:val="center"/>
          </w:tcPr>
          <w:p>
            <w:pPr>
              <w:shd w:val="clear"/>
              <w:autoSpaceDE w:val="0"/>
              <w:autoSpaceDN w:val="0"/>
              <w:adjustRightInd w:val="0"/>
              <w:spacing w:line="400" w:lineRule="exact"/>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shd w:val="clear"/>
              <w:autoSpaceDE w:val="0"/>
              <w:autoSpaceDN w:val="0"/>
              <w:adjustRightInd w:val="0"/>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524" w:type="dxa"/>
            <w:gridSpan w:val="7"/>
          </w:tcPr>
          <w:p>
            <w:pPr>
              <w:shd w:val="clear"/>
              <w:autoSpaceDE w:val="0"/>
              <w:autoSpaceDN w:val="0"/>
              <w:adjustRightInd w:val="0"/>
              <w:spacing w:line="400" w:lineRule="exact"/>
              <w:jc w:val="left"/>
              <w:rPr>
                <w:rFonts w:ascii="仿宋" w:hAnsi="仿宋" w:eastAsia="仿宋" w:cs="仿宋"/>
                <w:color w:val="auto"/>
                <w:sz w:val="21"/>
                <w:szCs w:val="21"/>
                <w:highlight w:val="none"/>
              </w:rPr>
            </w:pPr>
          </w:p>
        </w:tc>
      </w:tr>
    </w:tbl>
    <w:p>
      <w:pPr>
        <w:shd w:val="clear"/>
        <w:adjustRightInd w:val="0"/>
        <w:spacing w:line="400" w:lineRule="exact"/>
        <w:ind w:firstLine="482" w:firstLineChars="200"/>
        <w:jc w:val="left"/>
        <w:rPr>
          <w:rFonts w:ascii="仿宋" w:hAnsi="仿宋" w:eastAsia="仿宋" w:cs="仿宋"/>
          <w:b/>
          <w:color w:val="auto"/>
          <w:kern w:val="2"/>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kern w:val="2"/>
          <w:sz w:val="24"/>
          <w:szCs w:val="24"/>
          <w:highlight w:val="none"/>
        </w:rPr>
        <w:t>投标人根据自身实际情况填写，对不涉及的内容可填写“/”，不影响投标资质及效力。</w:t>
      </w:r>
    </w:p>
    <w:p>
      <w:pPr>
        <w:pStyle w:val="10"/>
        <w:shd w:val="clear"/>
        <w:ind w:firstLine="487" w:firstLineChars="202"/>
        <w:rPr>
          <w:rFonts w:ascii="仿宋" w:hAnsi="仿宋" w:eastAsia="仿宋" w:cs="仿宋"/>
          <w:b/>
          <w:color w:val="auto"/>
          <w:sz w:val="24"/>
          <w:szCs w:val="24"/>
          <w:highlight w:val="none"/>
        </w:rPr>
      </w:pPr>
    </w:p>
    <w:p>
      <w:pPr>
        <w:pStyle w:val="10"/>
        <w:shd w:val="clear"/>
        <w:ind w:firstLine="487" w:firstLineChars="202"/>
        <w:rPr>
          <w:rFonts w:ascii="仿宋" w:hAnsi="仿宋" w:eastAsia="仿宋" w:cs="仿宋"/>
          <w:b/>
          <w:color w:val="auto"/>
          <w:sz w:val="24"/>
          <w:szCs w:val="24"/>
          <w:highlight w:val="none"/>
        </w:rPr>
      </w:pPr>
    </w:p>
    <w:p>
      <w:pPr>
        <w:pStyle w:val="10"/>
        <w:shd w:val="clear"/>
        <w:ind w:firstLine="487" w:firstLineChars="202"/>
        <w:rPr>
          <w:rFonts w:ascii="仿宋" w:hAnsi="仿宋" w:eastAsia="仿宋" w:cs="仿宋"/>
          <w:b/>
          <w:color w:val="auto"/>
          <w:sz w:val="24"/>
          <w:szCs w:val="24"/>
          <w:highlight w:val="none"/>
        </w:rPr>
      </w:pPr>
    </w:p>
    <w:p>
      <w:pPr>
        <w:pStyle w:val="10"/>
        <w:shd w:val="clear"/>
        <w:ind w:firstLine="487" w:firstLineChars="202"/>
        <w:rPr>
          <w:rFonts w:ascii="仿宋" w:hAnsi="仿宋" w:eastAsia="仿宋" w:cs="仿宋"/>
          <w:b/>
          <w:color w:val="auto"/>
          <w:sz w:val="24"/>
          <w:szCs w:val="24"/>
          <w:highlight w:val="none"/>
        </w:rPr>
      </w:pPr>
    </w:p>
    <w:p>
      <w:pPr>
        <w:pStyle w:val="10"/>
        <w:shd w:val="clear"/>
        <w:ind w:firstLine="487" w:firstLineChars="202"/>
        <w:rPr>
          <w:rFonts w:ascii="仿宋" w:hAnsi="仿宋" w:eastAsia="仿宋" w:cs="仿宋"/>
          <w:b/>
          <w:color w:val="auto"/>
          <w:sz w:val="24"/>
          <w:szCs w:val="24"/>
          <w:highlight w:val="none"/>
        </w:rPr>
      </w:pPr>
    </w:p>
    <w:p>
      <w:pPr>
        <w:pStyle w:val="10"/>
        <w:shd w:val="clear"/>
        <w:ind w:firstLine="487" w:firstLineChars="202"/>
        <w:rPr>
          <w:rFonts w:ascii="仿宋" w:hAnsi="仿宋" w:eastAsia="仿宋" w:cs="仿宋"/>
          <w:b/>
          <w:color w:val="auto"/>
          <w:sz w:val="24"/>
          <w:szCs w:val="24"/>
          <w:highlight w:val="none"/>
        </w:rPr>
      </w:pPr>
    </w:p>
    <w:p>
      <w:pPr>
        <w:pStyle w:val="10"/>
        <w:shd w:val="clear"/>
        <w:ind w:firstLine="487" w:firstLineChars="202"/>
        <w:rPr>
          <w:rFonts w:ascii="仿宋" w:hAnsi="仿宋" w:eastAsia="仿宋" w:cs="仿宋"/>
          <w:b/>
          <w:color w:val="auto"/>
          <w:sz w:val="24"/>
          <w:szCs w:val="24"/>
          <w:highlight w:val="none"/>
        </w:rPr>
      </w:pPr>
    </w:p>
    <w:p>
      <w:pPr>
        <w:pStyle w:val="10"/>
        <w:shd w:val="clear"/>
        <w:ind w:firstLine="487" w:firstLineChars="202"/>
        <w:rPr>
          <w:rFonts w:ascii="仿宋" w:hAnsi="仿宋" w:eastAsia="仿宋" w:cs="仿宋"/>
          <w:b/>
          <w:color w:val="auto"/>
          <w:sz w:val="24"/>
          <w:szCs w:val="24"/>
          <w:highlight w:val="none"/>
        </w:rPr>
      </w:pPr>
    </w:p>
    <w:p>
      <w:pPr>
        <w:pStyle w:val="4"/>
        <w:shd w:val="clear"/>
        <w:spacing w:before="240" w:beforeLines="100" w:after="240" w:afterLines="100" w:line="240" w:lineRule="auto"/>
        <w:jc w:val="center"/>
        <w:rPr>
          <w:rFonts w:ascii="仿宋" w:hAnsi="仿宋" w:eastAsia="仿宋" w:cs="仿宋"/>
          <w:color w:val="auto"/>
          <w:szCs w:val="28"/>
          <w:highlight w:val="none"/>
        </w:rPr>
      </w:pPr>
      <w:bookmarkStart w:id="828" w:name="_Toc307564875"/>
      <w:bookmarkStart w:id="829" w:name="_Toc25577"/>
      <w:bookmarkStart w:id="830" w:name="_Toc372"/>
      <w:bookmarkStart w:id="831" w:name="_Toc327196310"/>
      <w:bookmarkStart w:id="832" w:name="_Toc217446087"/>
      <w:bookmarkStart w:id="833" w:name="_Toc21006"/>
      <w:bookmarkStart w:id="834" w:name="_Toc319440166"/>
      <w:bookmarkStart w:id="835" w:name="_Toc7835"/>
      <w:bookmarkStart w:id="836" w:name="_Toc307501130"/>
      <w:bookmarkStart w:id="837" w:name="_Toc26124"/>
      <w:bookmarkStart w:id="838" w:name="_Toc327196312"/>
      <w:bookmarkStart w:id="839" w:name="_Toc24507"/>
      <w:bookmarkStart w:id="840" w:name="_Toc319440168"/>
      <w:r>
        <w:rPr>
          <w:rFonts w:hint="eastAsia" w:ascii="仿宋" w:hAnsi="仿宋" w:eastAsia="仿宋" w:cs="仿宋"/>
          <w:color w:val="auto"/>
          <w:szCs w:val="28"/>
          <w:highlight w:val="none"/>
        </w:rPr>
        <w:t>（四）商务应答表</w:t>
      </w:r>
      <w:bookmarkEnd w:id="828"/>
      <w:bookmarkEnd w:id="829"/>
      <w:bookmarkEnd w:id="830"/>
      <w:bookmarkEnd w:id="831"/>
      <w:bookmarkEnd w:id="832"/>
      <w:bookmarkEnd w:id="833"/>
      <w:bookmarkEnd w:id="834"/>
      <w:bookmarkEnd w:id="835"/>
      <w:bookmarkEnd w:id="836"/>
    </w:p>
    <w:p>
      <w:pPr>
        <w:shd w:val="clear"/>
        <w:wordWrap w:val="0"/>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p>
      <w:pPr>
        <w:pStyle w:val="24"/>
        <w:pBdr>
          <w:bottom w:val="none" w:color="auto" w:sz="0" w:space="0"/>
        </w:pBdr>
        <w:shd w:val="clear"/>
        <w:tabs>
          <w:tab w:val="clear" w:pos="4153"/>
          <w:tab w:val="clear" w:pos="8306"/>
        </w:tabs>
        <w:wordWrap w:val="0"/>
        <w:snapToGrid/>
        <w:spacing w:line="400" w:lineRule="exact"/>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38"/>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256"/>
        <w:gridCol w:w="355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shd w:val="clear"/>
              <w:spacing w:line="4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256"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招标要求</w:t>
            </w:r>
          </w:p>
        </w:tc>
        <w:tc>
          <w:tcPr>
            <w:tcW w:w="3550"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投标应答</w:t>
            </w:r>
          </w:p>
        </w:tc>
        <w:tc>
          <w:tcPr>
            <w:tcW w:w="1567"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hd w:val="clear"/>
              <w:spacing w:line="400" w:lineRule="exact"/>
              <w:jc w:val="center"/>
              <w:rPr>
                <w:rFonts w:ascii="仿宋" w:hAnsi="仿宋" w:eastAsia="仿宋" w:cs="仿宋"/>
                <w:color w:val="auto"/>
                <w:sz w:val="21"/>
                <w:szCs w:val="21"/>
                <w:highlight w:val="none"/>
              </w:rPr>
            </w:pPr>
          </w:p>
        </w:tc>
        <w:tc>
          <w:tcPr>
            <w:tcW w:w="3256" w:type="dxa"/>
          </w:tcPr>
          <w:p>
            <w:pPr>
              <w:shd w:val="clear"/>
              <w:spacing w:line="400" w:lineRule="exact"/>
              <w:jc w:val="center"/>
              <w:rPr>
                <w:rFonts w:ascii="仿宋" w:hAnsi="仿宋" w:eastAsia="仿宋" w:cs="仿宋"/>
                <w:color w:val="auto"/>
                <w:sz w:val="21"/>
                <w:szCs w:val="21"/>
                <w:highlight w:val="none"/>
              </w:rPr>
            </w:pPr>
          </w:p>
        </w:tc>
        <w:tc>
          <w:tcPr>
            <w:tcW w:w="3550" w:type="dxa"/>
          </w:tcPr>
          <w:p>
            <w:pPr>
              <w:shd w:val="clear"/>
              <w:spacing w:line="400" w:lineRule="exact"/>
              <w:ind w:left="277" w:hanging="277" w:hangingChars="132"/>
              <w:jc w:val="center"/>
              <w:rPr>
                <w:rFonts w:ascii="仿宋" w:hAnsi="仿宋" w:eastAsia="仿宋" w:cs="仿宋"/>
                <w:color w:val="auto"/>
                <w:sz w:val="21"/>
                <w:szCs w:val="21"/>
                <w:highlight w:val="none"/>
              </w:rPr>
            </w:pPr>
          </w:p>
        </w:tc>
        <w:tc>
          <w:tcPr>
            <w:tcW w:w="1567" w:type="dxa"/>
          </w:tcPr>
          <w:p>
            <w:pPr>
              <w:shd w:val="clear"/>
              <w:spacing w:line="400" w:lineRule="exact"/>
              <w:ind w:left="277" w:hanging="277" w:hangingChars="132"/>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hd w:val="clear"/>
              <w:spacing w:line="400" w:lineRule="exact"/>
              <w:jc w:val="center"/>
              <w:rPr>
                <w:rFonts w:ascii="仿宋" w:hAnsi="仿宋" w:eastAsia="仿宋" w:cs="仿宋"/>
                <w:color w:val="auto"/>
                <w:sz w:val="21"/>
                <w:szCs w:val="21"/>
                <w:highlight w:val="none"/>
              </w:rPr>
            </w:pPr>
          </w:p>
        </w:tc>
        <w:tc>
          <w:tcPr>
            <w:tcW w:w="3256" w:type="dxa"/>
          </w:tcPr>
          <w:p>
            <w:pPr>
              <w:shd w:val="clear"/>
              <w:spacing w:line="400" w:lineRule="exact"/>
              <w:jc w:val="center"/>
              <w:rPr>
                <w:rFonts w:ascii="仿宋" w:hAnsi="仿宋" w:eastAsia="仿宋" w:cs="仿宋"/>
                <w:color w:val="auto"/>
                <w:sz w:val="21"/>
                <w:szCs w:val="21"/>
                <w:highlight w:val="none"/>
              </w:rPr>
            </w:pPr>
          </w:p>
        </w:tc>
        <w:tc>
          <w:tcPr>
            <w:tcW w:w="3550" w:type="dxa"/>
          </w:tcPr>
          <w:p>
            <w:pPr>
              <w:shd w:val="clear"/>
              <w:spacing w:line="400" w:lineRule="exact"/>
              <w:jc w:val="center"/>
              <w:rPr>
                <w:rFonts w:ascii="仿宋" w:hAnsi="仿宋" w:eastAsia="仿宋" w:cs="仿宋"/>
                <w:color w:val="auto"/>
                <w:sz w:val="21"/>
                <w:szCs w:val="21"/>
                <w:highlight w:val="none"/>
              </w:rPr>
            </w:pPr>
          </w:p>
        </w:tc>
        <w:tc>
          <w:tcPr>
            <w:tcW w:w="1567"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hd w:val="clear"/>
              <w:spacing w:line="400" w:lineRule="exact"/>
              <w:jc w:val="center"/>
              <w:rPr>
                <w:rFonts w:ascii="仿宋" w:hAnsi="仿宋" w:eastAsia="仿宋" w:cs="仿宋"/>
                <w:color w:val="auto"/>
                <w:sz w:val="21"/>
                <w:szCs w:val="21"/>
                <w:highlight w:val="none"/>
              </w:rPr>
            </w:pPr>
          </w:p>
        </w:tc>
        <w:tc>
          <w:tcPr>
            <w:tcW w:w="3256" w:type="dxa"/>
          </w:tcPr>
          <w:p>
            <w:pPr>
              <w:shd w:val="clear"/>
              <w:spacing w:line="400" w:lineRule="exact"/>
              <w:jc w:val="center"/>
              <w:rPr>
                <w:rFonts w:ascii="仿宋" w:hAnsi="仿宋" w:eastAsia="仿宋" w:cs="仿宋"/>
                <w:color w:val="auto"/>
                <w:sz w:val="21"/>
                <w:szCs w:val="21"/>
                <w:highlight w:val="none"/>
              </w:rPr>
            </w:pPr>
          </w:p>
        </w:tc>
        <w:tc>
          <w:tcPr>
            <w:tcW w:w="3550" w:type="dxa"/>
          </w:tcPr>
          <w:p>
            <w:pPr>
              <w:shd w:val="clear"/>
              <w:spacing w:line="400" w:lineRule="exact"/>
              <w:jc w:val="center"/>
              <w:rPr>
                <w:rFonts w:ascii="仿宋" w:hAnsi="仿宋" w:eastAsia="仿宋" w:cs="仿宋"/>
                <w:color w:val="auto"/>
                <w:sz w:val="21"/>
                <w:szCs w:val="21"/>
                <w:highlight w:val="none"/>
              </w:rPr>
            </w:pPr>
          </w:p>
        </w:tc>
        <w:tc>
          <w:tcPr>
            <w:tcW w:w="1567"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hd w:val="clear"/>
              <w:spacing w:line="400" w:lineRule="exact"/>
              <w:jc w:val="center"/>
              <w:rPr>
                <w:rFonts w:ascii="仿宋" w:hAnsi="仿宋" w:eastAsia="仿宋" w:cs="仿宋"/>
                <w:color w:val="auto"/>
                <w:sz w:val="21"/>
                <w:szCs w:val="21"/>
                <w:highlight w:val="none"/>
              </w:rPr>
            </w:pPr>
          </w:p>
        </w:tc>
        <w:tc>
          <w:tcPr>
            <w:tcW w:w="3256" w:type="dxa"/>
          </w:tcPr>
          <w:p>
            <w:pPr>
              <w:shd w:val="clear"/>
              <w:spacing w:line="400" w:lineRule="exact"/>
              <w:jc w:val="center"/>
              <w:rPr>
                <w:rFonts w:ascii="仿宋" w:hAnsi="仿宋" w:eastAsia="仿宋" w:cs="仿宋"/>
                <w:color w:val="auto"/>
                <w:sz w:val="21"/>
                <w:szCs w:val="21"/>
                <w:highlight w:val="none"/>
              </w:rPr>
            </w:pPr>
          </w:p>
        </w:tc>
        <w:tc>
          <w:tcPr>
            <w:tcW w:w="3550" w:type="dxa"/>
          </w:tcPr>
          <w:p>
            <w:pPr>
              <w:shd w:val="clear"/>
              <w:spacing w:line="400" w:lineRule="exact"/>
              <w:jc w:val="center"/>
              <w:rPr>
                <w:rFonts w:ascii="仿宋" w:hAnsi="仿宋" w:eastAsia="仿宋" w:cs="仿宋"/>
                <w:color w:val="auto"/>
                <w:sz w:val="21"/>
                <w:szCs w:val="21"/>
                <w:highlight w:val="none"/>
              </w:rPr>
            </w:pPr>
          </w:p>
        </w:tc>
        <w:tc>
          <w:tcPr>
            <w:tcW w:w="1567" w:type="dxa"/>
          </w:tcPr>
          <w:p>
            <w:pPr>
              <w:shd w:val="clear"/>
              <w:spacing w:line="400" w:lineRule="exact"/>
              <w:jc w:val="center"/>
              <w:rPr>
                <w:rFonts w:ascii="仿宋" w:hAnsi="仿宋" w:eastAsia="仿宋" w:cs="仿宋"/>
                <w:color w:val="auto"/>
                <w:sz w:val="21"/>
                <w:szCs w:val="21"/>
                <w:highlight w:val="none"/>
              </w:rPr>
            </w:pPr>
          </w:p>
        </w:tc>
      </w:tr>
    </w:tbl>
    <w:p>
      <w:pPr>
        <w:shd w:val="clear"/>
        <w:spacing w:line="400" w:lineRule="exact"/>
        <w:ind w:firstLine="501" w:firstLineChars="208"/>
        <w:rPr>
          <w:rFonts w:ascii="仿宋" w:hAnsi="仿宋" w:eastAsia="仿宋" w:cs="仿宋"/>
          <w:b/>
          <w:bCs/>
          <w:color w:val="auto"/>
          <w:sz w:val="24"/>
          <w:szCs w:val="24"/>
          <w:highlight w:val="none"/>
        </w:rPr>
      </w:pPr>
    </w:p>
    <w:p>
      <w:pPr>
        <w:shd w:val="clear"/>
        <w:spacing w:line="400" w:lineRule="exact"/>
        <w:ind w:firstLine="501" w:firstLineChars="208"/>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注：投标人必须据实填写，不得虚假应答，否则将取消其投标或中标资格。</w:t>
      </w:r>
    </w:p>
    <w:p>
      <w:pPr>
        <w:shd w:val="clear"/>
        <w:spacing w:line="400" w:lineRule="exact"/>
        <w:rPr>
          <w:rFonts w:ascii="仿宋" w:hAnsi="仿宋" w:eastAsia="仿宋" w:cs="仿宋"/>
          <w:color w:val="auto"/>
          <w:sz w:val="24"/>
          <w:szCs w:val="24"/>
          <w:highlight w:val="none"/>
        </w:rPr>
      </w:pPr>
    </w:p>
    <w:p>
      <w:pPr>
        <w:shd w:val="clear"/>
        <w:spacing w:line="400" w:lineRule="exact"/>
        <w:rPr>
          <w:rFonts w:ascii="仿宋" w:hAnsi="仿宋" w:eastAsia="仿宋" w:cs="仿宋"/>
          <w:color w:val="auto"/>
          <w:sz w:val="24"/>
          <w:szCs w:val="24"/>
          <w:highlight w:val="none"/>
        </w:rPr>
      </w:pPr>
    </w:p>
    <w:p>
      <w:pPr>
        <w:shd w:val="clear"/>
        <w:adjustRightInd w:val="0"/>
        <w:spacing w:line="400" w:lineRule="exact"/>
        <w:ind w:firstLine="398" w:firstLineChars="16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pPr>
        <w:shd w:val="clear"/>
        <w:adjustRightInd w:val="0"/>
        <w:spacing w:line="400" w:lineRule="exact"/>
        <w:ind w:firstLine="420" w:firstLineChars="175"/>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p>
    <w:p>
      <w:pPr>
        <w:keepNext/>
        <w:keepLines/>
        <w:shd w:val="clear"/>
        <w:spacing w:before="240" w:beforeLines="100" w:after="240" w:afterLines="100"/>
        <w:rPr>
          <w:rFonts w:ascii="仿宋" w:hAnsi="仿宋" w:eastAsia="仿宋" w:cs="仿宋"/>
          <w:color w:val="auto"/>
          <w:szCs w:val="28"/>
          <w:highlight w:val="none"/>
        </w:rPr>
      </w:pPr>
      <w:r>
        <w:rPr>
          <w:rFonts w:hint="eastAsia" w:ascii="仿宋" w:hAnsi="仿宋" w:eastAsia="仿宋" w:cs="仿宋"/>
          <w:color w:val="auto"/>
          <w:szCs w:val="28"/>
          <w:highlight w:val="none"/>
        </w:rPr>
        <w:br w:type="page"/>
      </w:r>
    </w:p>
    <w:bookmarkEnd w:id="837"/>
    <w:bookmarkEnd w:id="838"/>
    <w:bookmarkEnd w:id="839"/>
    <w:bookmarkEnd w:id="840"/>
    <w:p>
      <w:pPr>
        <w:pStyle w:val="4"/>
        <w:shd w:val="clear"/>
        <w:spacing w:before="240" w:beforeLines="100" w:after="240" w:afterLines="100" w:line="240" w:lineRule="auto"/>
        <w:jc w:val="center"/>
        <w:rPr>
          <w:rFonts w:ascii="仿宋" w:hAnsi="仿宋" w:eastAsia="仿宋" w:cs="仿宋"/>
          <w:color w:val="auto"/>
          <w:szCs w:val="28"/>
          <w:highlight w:val="none"/>
        </w:rPr>
      </w:pPr>
      <w:bookmarkStart w:id="841" w:name="_Toc3995"/>
      <w:bookmarkStart w:id="842" w:name="_Toc14508"/>
      <w:bookmarkStart w:id="843" w:name="_Toc23376"/>
      <w:r>
        <w:rPr>
          <w:rFonts w:hint="eastAsia" w:ascii="仿宋" w:hAnsi="仿宋" w:eastAsia="仿宋" w:cs="仿宋"/>
          <w:color w:val="auto"/>
          <w:szCs w:val="28"/>
          <w:highlight w:val="none"/>
        </w:rPr>
        <w:t>（五）</w:t>
      </w:r>
      <w:bookmarkEnd w:id="841"/>
      <w:bookmarkEnd w:id="842"/>
      <w:bookmarkEnd w:id="843"/>
      <w:r>
        <w:rPr>
          <w:rFonts w:hint="eastAsia" w:ascii="仿宋" w:hAnsi="仿宋" w:eastAsia="仿宋" w:cs="仿宋"/>
          <w:color w:val="auto"/>
          <w:szCs w:val="28"/>
          <w:highlight w:val="none"/>
          <w:lang w:eastAsia="zh-CN"/>
        </w:rPr>
        <w:t>技术、</w:t>
      </w:r>
      <w:r>
        <w:rPr>
          <w:rFonts w:hint="eastAsia" w:ascii="仿宋" w:hAnsi="仿宋" w:eastAsia="仿宋" w:cs="仿宋"/>
          <w:color w:val="auto"/>
          <w:highlight w:val="none"/>
        </w:rPr>
        <w:t>服务应答表</w:t>
      </w:r>
    </w:p>
    <w:p>
      <w:pPr>
        <w:shd w:val="clear"/>
        <w:wordWrap w:val="0"/>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p>
      <w:pPr>
        <w:pStyle w:val="24"/>
        <w:pBdr>
          <w:bottom w:val="none" w:color="auto" w:sz="0" w:space="0"/>
        </w:pBdr>
        <w:shd w:val="clear"/>
        <w:tabs>
          <w:tab w:val="clear" w:pos="4153"/>
          <w:tab w:val="clear" w:pos="8306"/>
        </w:tabs>
        <w:wordWrap w:val="0"/>
        <w:snapToGrid/>
        <w:spacing w:line="400" w:lineRule="exact"/>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38"/>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1" w:type="dxa"/>
            <w:vAlign w:val="center"/>
          </w:tcPr>
          <w:p>
            <w:pPr>
              <w:shd w:val="clear"/>
              <w:spacing w:line="4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880"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招标要求</w:t>
            </w:r>
          </w:p>
        </w:tc>
        <w:tc>
          <w:tcPr>
            <w:tcW w:w="3673"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投标应答</w:t>
            </w:r>
          </w:p>
        </w:tc>
        <w:tc>
          <w:tcPr>
            <w:tcW w:w="1631"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hd w:val="clear"/>
              <w:spacing w:line="400" w:lineRule="exact"/>
              <w:jc w:val="center"/>
              <w:rPr>
                <w:rFonts w:ascii="仿宋" w:hAnsi="仿宋" w:eastAsia="仿宋" w:cs="仿宋"/>
                <w:color w:val="auto"/>
                <w:sz w:val="21"/>
                <w:szCs w:val="21"/>
                <w:highlight w:val="none"/>
              </w:rPr>
            </w:pPr>
          </w:p>
        </w:tc>
        <w:tc>
          <w:tcPr>
            <w:tcW w:w="3880" w:type="dxa"/>
          </w:tcPr>
          <w:p>
            <w:pPr>
              <w:shd w:val="clear"/>
              <w:spacing w:line="400" w:lineRule="exact"/>
              <w:jc w:val="center"/>
              <w:rPr>
                <w:rFonts w:ascii="仿宋" w:hAnsi="仿宋" w:eastAsia="仿宋" w:cs="仿宋"/>
                <w:color w:val="auto"/>
                <w:sz w:val="21"/>
                <w:szCs w:val="21"/>
                <w:highlight w:val="none"/>
              </w:rPr>
            </w:pPr>
          </w:p>
        </w:tc>
        <w:tc>
          <w:tcPr>
            <w:tcW w:w="3673" w:type="dxa"/>
          </w:tcPr>
          <w:p>
            <w:pPr>
              <w:shd w:val="clear"/>
              <w:spacing w:line="400" w:lineRule="exact"/>
              <w:ind w:left="277" w:hanging="277" w:hangingChars="132"/>
              <w:jc w:val="center"/>
              <w:rPr>
                <w:rFonts w:ascii="仿宋" w:hAnsi="仿宋" w:eastAsia="仿宋" w:cs="仿宋"/>
                <w:color w:val="auto"/>
                <w:sz w:val="21"/>
                <w:szCs w:val="21"/>
                <w:highlight w:val="none"/>
              </w:rPr>
            </w:pPr>
          </w:p>
        </w:tc>
        <w:tc>
          <w:tcPr>
            <w:tcW w:w="1631" w:type="dxa"/>
          </w:tcPr>
          <w:p>
            <w:pPr>
              <w:shd w:val="clear"/>
              <w:spacing w:line="400" w:lineRule="exact"/>
              <w:ind w:left="277" w:hanging="277" w:hangingChars="132"/>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hd w:val="clear"/>
              <w:spacing w:line="400" w:lineRule="exact"/>
              <w:jc w:val="center"/>
              <w:rPr>
                <w:rFonts w:ascii="仿宋" w:hAnsi="仿宋" w:eastAsia="仿宋" w:cs="仿宋"/>
                <w:color w:val="auto"/>
                <w:sz w:val="21"/>
                <w:szCs w:val="21"/>
                <w:highlight w:val="none"/>
              </w:rPr>
            </w:pPr>
          </w:p>
        </w:tc>
        <w:tc>
          <w:tcPr>
            <w:tcW w:w="3880" w:type="dxa"/>
          </w:tcPr>
          <w:p>
            <w:pPr>
              <w:shd w:val="clear"/>
              <w:spacing w:line="400" w:lineRule="exact"/>
              <w:jc w:val="center"/>
              <w:rPr>
                <w:rFonts w:ascii="仿宋" w:hAnsi="仿宋" w:eastAsia="仿宋" w:cs="仿宋"/>
                <w:color w:val="auto"/>
                <w:sz w:val="21"/>
                <w:szCs w:val="21"/>
                <w:highlight w:val="none"/>
              </w:rPr>
            </w:pPr>
          </w:p>
        </w:tc>
        <w:tc>
          <w:tcPr>
            <w:tcW w:w="3673" w:type="dxa"/>
          </w:tcPr>
          <w:p>
            <w:pPr>
              <w:shd w:val="clear"/>
              <w:spacing w:line="400" w:lineRule="exact"/>
              <w:jc w:val="center"/>
              <w:rPr>
                <w:rFonts w:ascii="仿宋" w:hAnsi="仿宋" w:eastAsia="仿宋" w:cs="仿宋"/>
                <w:color w:val="auto"/>
                <w:sz w:val="21"/>
                <w:szCs w:val="21"/>
                <w:highlight w:val="none"/>
              </w:rPr>
            </w:pPr>
          </w:p>
        </w:tc>
        <w:tc>
          <w:tcPr>
            <w:tcW w:w="1631"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hd w:val="clear"/>
              <w:spacing w:line="400" w:lineRule="exact"/>
              <w:jc w:val="center"/>
              <w:rPr>
                <w:rFonts w:ascii="仿宋" w:hAnsi="仿宋" w:eastAsia="仿宋" w:cs="仿宋"/>
                <w:color w:val="auto"/>
                <w:sz w:val="21"/>
                <w:szCs w:val="21"/>
                <w:highlight w:val="none"/>
              </w:rPr>
            </w:pPr>
          </w:p>
        </w:tc>
        <w:tc>
          <w:tcPr>
            <w:tcW w:w="3880" w:type="dxa"/>
          </w:tcPr>
          <w:p>
            <w:pPr>
              <w:shd w:val="clear"/>
              <w:spacing w:line="400" w:lineRule="exact"/>
              <w:jc w:val="center"/>
              <w:rPr>
                <w:rFonts w:ascii="仿宋" w:hAnsi="仿宋" w:eastAsia="仿宋" w:cs="仿宋"/>
                <w:color w:val="auto"/>
                <w:sz w:val="21"/>
                <w:szCs w:val="21"/>
                <w:highlight w:val="none"/>
              </w:rPr>
            </w:pPr>
          </w:p>
        </w:tc>
        <w:tc>
          <w:tcPr>
            <w:tcW w:w="3673" w:type="dxa"/>
          </w:tcPr>
          <w:p>
            <w:pPr>
              <w:shd w:val="clear"/>
              <w:spacing w:line="400" w:lineRule="exact"/>
              <w:jc w:val="center"/>
              <w:rPr>
                <w:rFonts w:ascii="仿宋" w:hAnsi="仿宋" w:eastAsia="仿宋" w:cs="仿宋"/>
                <w:color w:val="auto"/>
                <w:sz w:val="21"/>
                <w:szCs w:val="21"/>
                <w:highlight w:val="none"/>
              </w:rPr>
            </w:pPr>
          </w:p>
        </w:tc>
        <w:tc>
          <w:tcPr>
            <w:tcW w:w="1631"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hd w:val="clear"/>
              <w:spacing w:line="400" w:lineRule="exact"/>
              <w:jc w:val="center"/>
              <w:rPr>
                <w:rFonts w:ascii="仿宋" w:hAnsi="仿宋" w:eastAsia="仿宋" w:cs="仿宋"/>
                <w:color w:val="auto"/>
                <w:sz w:val="21"/>
                <w:szCs w:val="21"/>
                <w:highlight w:val="none"/>
              </w:rPr>
            </w:pPr>
          </w:p>
        </w:tc>
        <w:tc>
          <w:tcPr>
            <w:tcW w:w="3880" w:type="dxa"/>
          </w:tcPr>
          <w:p>
            <w:pPr>
              <w:shd w:val="clear"/>
              <w:spacing w:line="400" w:lineRule="exact"/>
              <w:jc w:val="center"/>
              <w:rPr>
                <w:rFonts w:ascii="仿宋" w:hAnsi="仿宋" w:eastAsia="仿宋" w:cs="仿宋"/>
                <w:color w:val="auto"/>
                <w:sz w:val="21"/>
                <w:szCs w:val="21"/>
                <w:highlight w:val="none"/>
              </w:rPr>
            </w:pPr>
          </w:p>
        </w:tc>
        <w:tc>
          <w:tcPr>
            <w:tcW w:w="3673" w:type="dxa"/>
          </w:tcPr>
          <w:p>
            <w:pPr>
              <w:shd w:val="clear"/>
              <w:spacing w:line="400" w:lineRule="exact"/>
              <w:jc w:val="center"/>
              <w:rPr>
                <w:rFonts w:ascii="仿宋" w:hAnsi="仿宋" w:eastAsia="仿宋" w:cs="仿宋"/>
                <w:color w:val="auto"/>
                <w:sz w:val="21"/>
                <w:szCs w:val="21"/>
                <w:highlight w:val="none"/>
              </w:rPr>
            </w:pPr>
          </w:p>
        </w:tc>
        <w:tc>
          <w:tcPr>
            <w:tcW w:w="1631" w:type="dxa"/>
          </w:tcPr>
          <w:p>
            <w:pPr>
              <w:shd w:val="clear"/>
              <w:spacing w:line="400" w:lineRule="exact"/>
              <w:jc w:val="center"/>
              <w:rPr>
                <w:rFonts w:ascii="仿宋" w:hAnsi="仿宋" w:eastAsia="仿宋" w:cs="仿宋"/>
                <w:color w:val="auto"/>
                <w:sz w:val="21"/>
                <w:szCs w:val="21"/>
                <w:highlight w:val="none"/>
              </w:rPr>
            </w:pPr>
          </w:p>
        </w:tc>
      </w:tr>
    </w:tbl>
    <w:p>
      <w:pPr>
        <w:widowControl/>
        <w:shd w:val="clear" w:color="auto"/>
        <w:spacing w:line="360" w:lineRule="atLeast"/>
        <w:ind w:firstLine="420"/>
        <w:jc w:val="left"/>
        <w:rPr>
          <w:rFonts w:ascii="仿宋" w:hAnsi="仿宋" w:eastAsia="仿宋" w:cs="仿宋"/>
          <w:b/>
          <w:bCs/>
          <w:color w:val="auto"/>
          <w:sz w:val="24"/>
          <w:highlight w:val="none"/>
        </w:rPr>
      </w:pPr>
    </w:p>
    <w:p>
      <w:pPr>
        <w:widowControl/>
        <w:shd w:val="clear" w:color="auto"/>
        <w:spacing w:line="360" w:lineRule="atLeast"/>
        <w:ind w:firstLine="472" w:firstLineChars="196"/>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szCs w:val="24"/>
          <w:highlight w:val="none"/>
        </w:rPr>
        <w:t>投标人</w:t>
      </w:r>
      <w:r>
        <w:rPr>
          <w:rFonts w:hint="eastAsia" w:ascii="仿宋" w:hAnsi="仿宋" w:eastAsia="仿宋" w:cs="仿宋"/>
          <w:b/>
          <w:bCs/>
          <w:color w:val="auto"/>
          <w:sz w:val="24"/>
          <w:highlight w:val="none"/>
        </w:rPr>
        <w:t>必须据实填写，不得虚假填写，否则将取消其投标或中标资格。</w:t>
      </w:r>
    </w:p>
    <w:p>
      <w:pPr>
        <w:widowControl/>
        <w:shd w:val="clear" w:color="auto"/>
        <w:spacing w:line="360" w:lineRule="atLeast"/>
        <w:ind w:firstLine="470" w:firstLineChars="196"/>
        <w:jc w:val="left"/>
        <w:rPr>
          <w:rFonts w:ascii="仿宋" w:hAnsi="仿宋" w:eastAsia="仿宋" w:cs="仿宋"/>
          <w:color w:val="auto"/>
          <w:sz w:val="24"/>
          <w:highlight w:val="none"/>
        </w:rPr>
      </w:pPr>
    </w:p>
    <w:p>
      <w:pPr>
        <w:widowControl/>
        <w:shd w:val="clear" w:color="auto"/>
        <w:spacing w:line="360" w:lineRule="atLeast"/>
        <w:ind w:firstLine="470" w:firstLineChars="196"/>
        <w:jc w:val="left"/>
        <w:rPr>
          <w:rFonts w:ascii="仿宋" w:hAnsi="仿宋" w:eastAsia="仿宋" w:cs="仿宋"/>
          <w:color w:val="auto"/>
          <w:sz w:val="24"/>
          <w:highlight w:val="none"/>
        </w:rPr>
      </w:pPr>
    </w:p>
    <w:p>
      <w:pPr>
        <w:widowControl/>
        <w:shd w:val="clear" w:color="auto"/>
        <w:spacing w:line="360" w:lineRule="atLeast"/>
        <w:ind w:firstLine="470" w:firstLineChars="196"/>
        <w:jc w:val="left"/>
        <w:rPr>
          <w:rFonts w:ascii="仿宋" w:hAnsi="仿宋" w:eastAsia="仿宋" w:cs="仿宋"/>
          <w:color w:val="auto"/>
          <w:sz w:val="24"/>
          <w:highlight w:val="none"/>
        </w:rPr>
      </w:pPr>
    </w:p>
    <w:p>
      <w:pPr>
        <w:shd w:val="clear"/>
        <w:adjustRightIn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szCs w:val="24"/>
          <w:highlight w:val="none"/>
        </w:rPr>
        <w:t>日期:</w:t>
      </w:r>
    </w:p>
    <w:p>
      <w:pPr>
        <w:pStyle w:val="51"/>
        <w:numPr>
          <w:ilvl w:val="4"/>
          <w:numId w:val="0"/>
        </w:numPr>
        <w:shd w:val="clear"/>
        <w:outlineLvl w:val="9"/>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pStyle w:val="52"/>
        <w:shd w:val="clear"/>
        <w:rPr>
          <w:rFonts w:ascii="仿宋" w:hAnsi="仿宋" w:eastAsia="仿宋" w:cs="仿宋"/>
          <w:color w:val="auto"/>
          <w:highlight w:val="none"/>
        </w:rPr>
      </w:pPr>
    </w:p>
    <w:p>
      <w:pPr>
        <w:shd w:val="clear"/>
        <w:rPr>
          <w:rFonts w:ascii="仿宋" w:hAnsi="仿宋" w:eastAsia="仿宋" w:cs="仿宋"/>
          <w:color w:val="auto"/>
          <w:szCs w:val="28"/>
          <w:highlight w:val="none"/>
        </w:rPr>
      </w:pPr>
      <w:bookmarkStart w:id="844" w:name="_Toc15935"/>
      <w:r>
        <w:rPr>
          <w:rFonts w:hint="eastAsia" w:ascii="仿宋" w:hAnsi="仿宋" w:eastAsia="仿宋" w:cs="仿宋"/>
          <w:color w:val="auto"/>
          <w:szCs w:val="28"/>
          <w:highlight w:val="none"/>
        </w:rPr>
        <w:br w:type="page"/>
      </w:r>
    </w:p>
    <w:p>
      <w:pPr>
        <w:pStyle w:val="4"/>
        <w:shd w:val="clear"/>
        <w:spacing w:before="240" w:beforeLines="100" w:after="240" w:afterLines="100" w:line="24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（六）</w:t>
      </w:r>
      <w:bookmarkEnd w:id="844"/>
      <w:bookmarkStart w:id="845" w:name="_Toc32145"/>
      <w:r>
        <w:rPr>
          <w:rFonts w:hint="eastAsia" w:ascii="仿宋" w:hAnsi="仿宋" w:eastAsia="仿宋" w:cs="仿宋"/>
          <w:color w:val="auto"/>
          <w:szCs w:val="28"/>
          <w:highlight w:val="none"/>
        </w:rPr>
        <w:t>类似项目业绩一览表</w:t>
      </w:r>
      <w:bookmarkEnd w:id="845"/>
    </w:p>
    <w:p>
      <w:pPr>
        <w:shd w:val="clear"/>
        <w:spacing w:line="400" w:lineRule="exact"/>
        <w:ind w:firstLine="46" w:firstLineChars="19"/>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p>
      <w:pPr>
        <w:shd w:val="clear"/>
        <w:spacing w:line="400" w:lineRule="exact"/>
        <w:ind w:firstLine="46" w:firstLineChars="19"/>
        <w:rPr>
          <w:rFonts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项目编号：</w:t>
      </w:r>
    </w:p>
    <w:p>
      <w:pPr>
        <w:shd w:val="clear"/>
        <w:spacing w:line="400" w:lineRule="exact"/>
        <w:ind w:firstLine="46" w:firstLineChars="19"/>
        <w:rPr>
          <w:rFonts w:ascii="仿宋" w:hAnsi="仿宋" w:eastAsia="仿宋" w:cs="仿宋"/>
          <w:b/>
          <w:bCs/>
          <w:color w:val="auto"/>
          <w:sz w:val="24"/>
          <w:szCs w:val="24"/>
          <w:highlight w:val="none"/>
        </w:rPr>
      </w:pPr>
    </w:p>
    <w:tbl>
      <w:tblPr>
        <w:tblStyle w:val="38"/>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695"/>
        <w:gridCol w:w="2556"/>
        <w:gridCol w:w="1194"/>
        <w:gridCol w:w="126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年份</w:t>
            </w:r>
          </w:p>
        </w:tc>
        <w:tc>
          <w:tcPr>
            <w:tcW w:w="1695"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用户名称</w:t>
            </w:r>
          </w:p>
        </w:tc>
        <w:tc>
          <w:tcPr>
            <w:tcW w:w="2556"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194"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完成时间</w:t>
            </w:r>
          </w:p>
        </w:tc>
        <w:tc>
          <w:tcPr>
            <w:tcW w:w="1260"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合同金额</w:t>
            </w:r>
          </w:p>
        </w:tc>
        <w:tc>
          <w:tcPr>
            <w:tcW w:w="945"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hd w:val="clear"/>
              <w:spacing w:line="400" w:lineRule="exact"/>
              <w:jc w:val="center"/>
              <w:rPr>
                <w:rFonts w:ascii="仿宋" w:hAnsi="仿宋" w:eastAsia="仿宋" w:cs="仿宋"/>
                <w:color w:val="auto"/>
                <w:sz w:val="21"/>
                <w:szCs w:val="21"/>
                <w:highlight w:val="none"/>
              </w:rPr>
            </w:pPr>
          </w:p>
        </w:tc>
        <w:tc>
          <w:tcPr>
            <w:tcW w:w="1695" w:type="dxa"/>
            <w:vAlign w:val="center"/>
          </w:tcPr>
          <w:p>
            <w:pPr>
              <w:shd w:val="clear"/>
              <w:spacing w:line="400" w:lineRule="exact"/>
              <w:jc w:val="center"/>
              <w:rPr>
                <w:rFonts w:ascii="仿宋" w:hAnsi="仿宋" w:eastAsia="仿宋" w:cs="仿宋"/>
                <w:color w:val="auto"/>
                <w:sz w:val="21"/>
                <w:szCs w:val="21"/>
                <w:highlight w:val="none"/>
              </w:rPr>
            </w:pPr>
          </w:p>
        </w:tc>
        <w:tc>
          <w:tcPr>
            <w:tcW w:w="2556" w:type="dxa"/>
            <w:vAlign w:val="center"/>
          </w:tcPr>
          <w:p>
            <w:pPr>
              <w:shd w:val="clear"/>
              <w:spacing w:line="400" w:lineRule="exact"/>
              <w:jc w:val="center"/>
              <w:rPr>
                <w:rFonts w:ascii="仿宋" w:hAnsi="仿宋" w:eastAsia="仿宋" w:cs="仿宋"/>
                <w:color w:val="auto"/>
                <w:sz w:val="21"/>
                <w:szCs w:val="21"/>
                <w:highlight w:val="none"/>
              </w:rPr>
            </w:pPr>
          </w:p>
        </w:tc>
        <w:tc>
          <w:tcPr>
            <w:tcW w:w="1194" w:type="dxa"/>
            <w:vAlign w:val="center"/>
          </w:tcPr>
          <w:p>
            <w:pPr>
              <w:shd w:val="clear"/>
              <w:spacing w:line="400" w:lineRule="exact"/>
              <w:jc w:val="center"/>
              <w:rPr>
                <w:rFonts w:ascii="仿宋" w:hAnsi="仿宋" w:eastAsia="仿宋" w:cs="仿宋"/>
                <w:color w:val="auto"/>
                <w:sz w:val="21"/>
                <w:szCs w:val="21"/>
                <w:highlight w:val="none"/>
              </w:rPr>
            </w:pPr>
          </w:p>
        </w:tc>
        <w:tc>
          <w:tcPr>
            <w:tcW w:w="1260" w:type="dxa"/>
            <w:vAlign w:val="center"/>
          </w:tcPr>
          <w:p>
            <w:pPr>
              <w:shd w:val="clear"/>
              <w:spacing w:line="400" w:lineRule="exact"/>
              <w:jc w:val="center"/>
              <w:rPr>
                <w:rFonts w:ascii="仿宋" w:hAnsi="仿宋" w:eastAsia="仿宋" w:cs="仿宋"/>
                <w:color w:val="auto"/>
                <w:sz w:val="21"/>
                <w:szCs w:val="21"/>
                <w:highlight w:val="none"/>
              </w:rPr>
            </w:pPr>
          </w:p>
        </w:tc>
        <w:tc>
          <w:tcPr>
            <w:tcW w:w="945" w:type="dxa"/>
            <w:vAlign w:val="center"/>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hd w:val="clear"/>
              <w:spacing w:line="400" w:lineRule="exact"/>
              <w:jc w:val="center"/>
              <w:rPr>
                <w:rFonts w:ascii="仿宋" w:hAnsi="仿宋" w:eastAsia="仿宋" w:cs="仿宋"/>
                <w:color w:val="auto"/>
                <w:sz w:val="21"/>
                <w:szCs w:val="21"/>
                <w:highlight w:val="none"/>
              </w:rPr>
            </w:pPr>
          </w:p>
        </w:tc>
        <w:tc>
          <w:tcPr>
            <w:tcW w:w="1695" w:type="dxa"/>
            <w:vAlign w:val="center"/>
          </w:tcPr>
          <w:p>
            <w:pPr>
              <w:shd w:val="clear"/>
              <w:spacing w:line="400" w:lineRule="exact"/>
              <w:jc w:val="center"/>
              <w:rPr>
                <w:rFonts w:ascii="仿宋" w:hAnsi="仿宋" w:eastAsia="仿宋" w:cs="仿宋"/>
                <w:color w:val="auto"/>
                <w:sz w:val="21"/>
                <w:szCs w:val="21"/>
                <w:highlight w:val="none"/>
              </w:rPr>
            </w:pPr>
          </w:p>
        </w:tc>
        <w:tc>
          <w:tcPr>
            <w:tcW w:w="2556" w:type="dxa"/>
            <w:vAlign w:val="center"/>
          </w:tcPr>
          <w:p>
            <w:pPr>
              <w:shd w:val="clear"/>
              <w:spacing w:line="400" w:lineRule="exact"/>
              <w:jc w:val="center"/>
              <w:rPr>
                <w:rFonts w:ascii="仿宋" w:hAnsi="仿宋" w:eastAsia="仿宋" w:cs="仿宋"/>
                <w:color w:val="auto"/>
                <w:sz w:val="21"/>
                <w:szCs w:val="21"/>
                <w:highlight w:val="none"/>
              </w:rPr>
            </w:pPr>
          </w:p>
        </w:tc>
        <w:tc>
          <w:tcPr>
            <w:tcW w:w="1194" w:type="dxa"/>
            <w:vAlign w:val="center"/>
          </w:tcPr>
          <w:p>
            <w:pPr>
              <w:shd w:val="clear"/>
              <w:spacing w:line="400" w:lineRule="exact"/>
              <w:jc w:val="center"/>
              <w:rPr>
                <w:rFonts w:ascii="仿宋" w:hAnsi="仿宋" w:eastAsia="仿宋" w:cs="仿宋"/>
                <w:color w:val="auto"/>
                <w:sz w:val="21"/>
                <w:szCs w:val="21"/>
                <w:highlight w:val="none"/>
              </w:rPr>
            </w:pPr>
          </w:p>
        </w:tc>
        <w:tc>
          <w:tcPr>
            <w:tcW w:w="1260" w:type="dxa"/>
            <w:vAlign w:val="center"/>
          </w:tcPr>
          <w:p>
            <w:pPr>
              <w:shd w:val="clear"/>
              <w:spacing w:line="400" w:lineRule="exact"/>
              <w:jc w:val="center"/>
              <w:rPr>
                <w:rFonts w:ascii="仿宋" w:hAnsi="仿宋" w:eastAsia="仿宋" w:cs="仿宋"/>
                <w:color w:val="auto"/>
                <w:sz w:val="21"/>
                <w:szCs w:val="21"/>
                <w:highlight w:val="none"/>
              </w:rPr>
            </w:pPr>
          </w:p>
        </w:tc>
        <w:tc>
          <w:tcPr>
            <w:tcW w:w="945" w:type="dxa"/>
            <w:vAlign w:val="center"/>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hd w:val="clear"/>
              <w:spacing w:line="400" w:lineRule="exact"/>
              <w:jc w:val="center"/>
              <w:rPr>
                <w:rFonts w:ascii="仿宋" w:hAnsi="仿宋" w:eastAsia="仿宋" w:cs="仿宋"/>
                <w:color w:val="auto"/>
                <w:sz w:val="21"/>
                <w:szCs w:val="21"/>
                <w:highlight w:val="none"/>
              </w:rPr>
            </w:pPr>
          </w:p>
        </w:tc>
        <w:tc>
          <w:tcPr>
            <w:tcW w:w="1695" w:type="dxa"/>
            <w:vAlign w:val="center"/>
          </w:tcPr>
          <w:p>
            <w:pPr>
              <w:shd w:val="clear"/>
              <w:spacing w:line="400" w:lineRule="exact"/>
              <w:jc w:val="center"/>
              <w:rPr>
                <w:rFonts w:ascii="仿宋" w:hAnsi="仿宋" w:eastAsia="仿宋" w:cs="仿宋"/>
                <w:color w:val="auto"/>
                <w:sz w:val="21"/>
                <w:szCs w:val="21"/>
                <w:highlight w:val="none"/>
              </w:rPr>
            </w:pPr>
          </w:p>
        </w:tc>
        <w:tc>
          <w:tcPr>
            <w:tcW w:w="2556" w:type="dxa"/>
            <w:vAlign w:val="center"/>
          </w:tcPr>
          <w:p>
            <w:pPr>
              <w:shd w:val="clear"/>
              <w:spacing w:line="400" w:lineRule="exact"/>
              <w:jc w:val="center"/>
              <w:rPr>
                <w:rFonts w:ascii="仿宋" w:hAnsi="仿宋" w:eastAsia="仿宋" w:cs="仿宋"/>
                <w:color w:val="auto"/>
                <w:sz w:val="21"/>
                <w:szCs w:val="21"/>
                <w:highlight w:val="none"/>
              </w:rPr>
            </w:pPr>
          </w:p>
        </w:tc>
        <w:tc>
          <w:tcPr>
            <w:tcW w:w="1194" w:type="dxa"/>
            <w:vAlign w:val="center"/>
          </w:tcPr>
          <w:p>
            <w:pPr>
              <w:shd w:val="clear"/>
              <w:spacing w:line="400" w:lineRule="exact"/>
              <w:jc w:val="center"/>
              <w:rPr>
                <w:rFonts w:ascii="仿宋" w:hAnsi="仿宋" w:eastAsia="仿宋" w:cs="仿宋"/>
                <w:color w:val="auto"/>
                <w:sz w:val="21"/>
                <w:szCs w:val="21"/>
                <w:highlight w:val="none"/>
              </w:rPr>
            </w:pPr>
          </w:p>
        </w:tc>
        <w:tc>
          <w:tcPr>
            <w:tcW w:w="1260" w:type="dxa"/>
            <w:vAlign w:val="center"/>
          </w:tcPr>
          <w:p>
            <w:pPr>
              <w:shd w:val="clear"/>
              <w:spacing w:line="400" w:lineRule="exact"/>
              <w:jc w:val="center"/>
              <w:rPr>
                <w:rFonts w:ascii="仿宋" w:hAnsi="仿宋" w:eastAsia="仿宋" w:cs="仿宋"/>
                <w:color w:val="auto"/>
                <w:sz w:val="21"/>
                <w:szCs w:val="21"/>
                <w:highlight w:val="none"/>
              </w:rPr>
            </w:pPr>
          </w:p>
        </w:tc>
        <w:tc>
          <w:tcPr>
            <w:tcW w:w="945" w:type="dxa"/>
            <w:vAlign w:val="center"/>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hd w:val="clear"/>
              <w:spacing w:line="400" w:lineRule="exact"/>
              <w:jc w:val="center"/>
              <w:rPr>
                <w:rFonts w:ascii="仿宋" w:hAnsi="仿宋" w:eastAsia="仿宋" w:cs="仿宋"/>
                <w:color w:val="auto"/>
                <w:sz w:val="21"/>
                <w:szCs w:val="21"/>
                <w:highlight w:val="none"/>
              </w:rPr>
            </w:pPr>
          </w:p>
        </w:tc>
        <w:tc>
          <w:tcPr>
            <w:tcW w:w="1695" w:type="dxa"/>
            <w:vAlign w:val="center"/>
          </w:tcPr>
          <w:p>
            <w:pPr>
              <w:shd w:val="clear"/>
              <w:spacing w:line="400" w:lineRule="exact"/>
              <w:jc w:val="center"/>
              <w:rPr>
                <w:rFonts w:ascii="仿宋" w:hAnsi="仿宋" w:eastAsia="仿宋" w:cs="仿宋"/>
                <w:color w:val="auto"/>
                <w:sz w:val="21"/>
                <w:szCs w:val="21"/>
                <w:highlight w:val="none"/>
              </w:rPr>
            </w:pPr>
          </w:p>
        </w:tc>
        <w:tc>
          <w:tcPr>
            <w:tcW w:w="2556" w:type="dxa"/>
            <w:vAlign w:val="center"/>
          </w:tcPr>
          <w:p>
            <w:pPr>
              <w:shd w:val="clear"/>
              <w:spacing w:line="400" w:lineRule="exact"/>
              <w:jc w:val="center"/>
              <w:rPr>
                <w:rFonts w:ascii="仿宋" w:hAnsi="仿宋" w:eastAsia="仿宋" w:cs="仿宋"/>
                <w:color w:val="auto"/>
                <w:sz w:val="21"/>
                <w:szCs w:val="21"/>
                <w:highlight w:val="none"/>
              </w:rPr>
            </w:pPr>
          </w:p>
        </w:tc>
        <w:tc>
          <w:tcPr>
            <w:tcW w:w="1194" w:type="dxa"/>
            <w:vAlign w:val="center"/>
          </w:tcPr>
          <w:p>
            <w:pPr>
              <w:shd w:val="clear"/>
              <w:spacing w:line="400" w:lineRule="exact"/>
              <w:jc w:val="center"/>
              <w:rPr>
                <w:rFonts w:ascii="仿宋" w:hAnsi="仿宋" w:eastAsia="仿宋" w:cs="仿宋"/>
                <w:color w:val="auto"/>
                <w:sz w:val="21"/>
                <w:szCs w:val="21"/>
                <w:highlight w:val="none"/>
              </w:rPr>
            </w:pPr>
          </w:p>
        </w:tc>
        <w:tc>
          <w:tcPr>
            <w:tcW w:w="1260" w:type="dxa"/>
            <w:vAlign w:val="center"/>
          </w:tcPr>
          <w:p>
            <w:pPr>
              <w:shd w:val="clear"/>
              <w:spacing w:line="400" w:lineRule="exact"/>
              <w:jc w:val="center"/>
              <w:rPr>
                <w:rFonts w:ascii="仿宋" w:hAnsi="仿宋" w:eastAsia="仿宋" w:cs="仿宋"/>
                <w:color w:val="auto"/>
                <w:sz w:val="21"/>
                <w:szCs w:val="21"/>
                <w:highlight w:val="none"/>
              </w:rPr>
            </w:pPr>
          </w:p>
        </w:tc>
        <w:tc>
          <w:tcPr>
            <w:tcW w:w="945" w:type="dxa"/>
            <w:vAlign w:val="center"/>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hd w:val="clear"/>
              <w:spacing w:line="400" w:lineRule="exact"/>
              <w:jc w:val="center"/>
              <w:rPr>
                <w:rFonts w:ascii="仿宋" w:hAnsi="仿宋" w:eastAsia="仿宋" w:cs="仿宋"/>
                <w:color w:val="auto"/>
                <w:sz w:val="21"/>
                <w:szCs w:val="21"/>
                <w:highlight w:val="none"/>
              </w:rPr>
            </w:pPr>
          </w:p>
        </w:tc>
        <w:tc>
          <w:tcPr>
            <w:tcW w:w="1695" w:type="dxa"/>
            <w:vAlign w:val="center"/>
          </w:tcPr>
          <w:p>
            <w:pPr>
              <w:shd w:val="clear"/>
              <w:spacing w:line="400" w:lineRule="exact"/>
              <w:jc w:val="center"/>
              <w:rPr>
                <w:rFonts w:ascii="仿宋" w:hAnsi="仿宋" w:eastAsia="仿宋" w:cs="仿宋"/>
                <w:color w:val="auto"/>
                <w:sz w:val="21"/>
                <w:szCs w:val="21"/>
                <w:highlight w:val="none"/>
              </w:rPr>
            </w:pPr>
          </w:p>
        </w:tc>
        <w:tc>
          <w:tcPr>
            <w:tcW w:w="2556" w:type="dxa"/>
            <w:vAlign w:val="center"/>
          </w:tcPr>
          <w:p>
            <w:pPr>
              <w:shd w:val="clear"/>
              <w:spacing w:line="400" w:lineRule="exact"/>
              <w:jc w:val="center"/>
              <w:rPr>
                <w:rFonts w:ascii="仿宋" w:hAnsi="仿宋" w:eastAsia="仿宋" w:cs="仿宋"/>
                <w:color w:val="auto"/>
                <w:sz w:val="21"/>
                <w:szCs w:val="21"/>
                <w:highlight w:val="none"/>
              </w:rPr>
            </w:pPr>
          </w:p>
        </w:tc>
        <w:tc>
          <w:tcPr>
            <w:tcW w:w="1194" w:type="dxa"/>
            <w:vAlign w:val="center"/>
          </w:tcPr>
          <w:p>
            <w:pPr>
              <w:shd w:val="clear"/>
              <w:spacing w:line="400" w:lineRule="exact"/>
              <w:jc w:val="center"/>
              <w:rPr>
                <w:rFonts w:ascii="仿宋" w:hAnsi="仿宋" w:eastAsia="仿宋" w:cs="仿宋"/>
                <w:color w:val="auto"/>
                <w:sz w:val="21"/>
                <w:szCs w:val="21"/>
                <w:highlight w:val="none"/>
              </w:rPr>
            </w:pPr>
          </w:p>
        </w:tc>
        <w:tc>
          <w:tcPr>
            <w:tcW w:w="1260" w:type="dxa"/>
            <w:vAlign w:val="center"/>
          </w:tcPr>
          <w:p>
            <w:pPr>
              <w:shd w:val="clear"/>
              <w:spacing w:line="400" w:lineRule="exact"/>
              <w:jc w:val="center"/>
              <w:rPr>
                <w:rFonts w:ascii="仿宋" w:hAnsi="仿宋" w:eastAsia="仿宋" w:cs="仿宋"/>
                <w:color w:val="auto"/>
                <w:sz w:val="21"/>
                <w:szCs w:val="21"/>
                <w:highlight w:val="none"/>
              </w:rPr>
            </w:pPr>
          </w:p>
        </w:tc>
        <w:tc>
          <w:tcPr>
            <w:tcW w:w="945" w:type="dxa"/>
            <w:vAlign w:val="center"/>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hd w:val="clear"/>
              <w:spacing w:line="400" w:lineRule="exact"/>
              <w:jc w:val="center"/>
              <w:rPr>
                <w:rFonts w:ascii="仿宋" w:hAnsi="仿宋" w:eastAsia="仿宋" w:cs="仿宋"/>
                <w:color w:val="auto"/>
                <w:sz w:val="21"/>
                <w:szCs w:val="21"/>
                <w:highlight w:val="none"/>
              </w:rPr>
            </w:pPr>
          </w:p>
        </w:tc>
        <w:tc>
          <w:tcPr>
            <w:tcW w:w="1695" w:type="dxa"/>
            <w:vAlign w:val="center"/>
          </w:tcPr>
          <w:p>
            <w:pPr>
              <w:shd w:val="clear"/>
              <w:spacing w:line="400" w:lineRule="exact"/>
              <w:jc w:val="center"/>
              <w:rPr>
                <w:rFonts w:ascii="仿宋" w:hAnsi="仿宋" w:eastAsia="仿宋" w:cs="仿宋"/>
                <w:color w:val="auto"/>
                <w:sz w:val="21"/>
                <w:szCs w:val="21"/>
                <w:highlight w:val="none"/>
              </w:rPr>
            </w:pPr>
          </w:p>
        </w:tc>
        <w:tc>
          <w:tcPr>
            <w:tcW w:w="2556" w:type="dxa"/>
            <w:vAlign w:val="center"/>
          </w:tcPr>
          <w:p>
            <w:pPr>
              <w:shd w:val="clear"/>
              <w:spacing w:line="400" w:lineRule="exact"/>
              <w:jc w:val="center"/>
              <w:rPr>
                <w:rFonts w:ascii="仿宋" w:hAnsi="仿宋" w:eastAsia="仿宋" w:cs="仿宋"/>
                <w:color w:val="auto"/>
                <w:sz w:val="21"/>
                <w:szCs w:val="21"/>
                <w:highlight w:val="none"/>
              </w:rPr>
            </w:pPr>
          </w:p>
        </w:tc>
        <w:tc>
          <w:tcPr>
            <w:tcW w:w="1194" w:type="dxa"/>
            <w:vAlign w:val="center"/>
          </w:tcPr>
          <w:p>
            <w:pPr>
              <w:shd w:val="clear"/>
              <w:spacing w:line="400" w:lineRule="exact"/>
              <w:jc w:val="center"/>
              <w:rPr>
                <w:rFonts w:ascii="仿宋" w:hAnsi="仿宋" w:eastAsia="仿宋" w:cs="仿宋"/>
                <w:color w:val="auto"/>
                <w:sz w:val="21"/>
                <w:szCs w:val="21"/>
                <w:highlight w:val="none"/>
              </w:rPr>
            </w:pPr>
          </w:p>
        </w:tc>
        <w:tc>
          <w:tcPr>
            <w:tcW w:w="1260" w:type="dxa"/>
            <w:vAlign w:val="center"/>
          </w:tcPr>
          <w:p>
            <w:pPr>
              <w:shd w:val="clear"/>
              <w:spacing w:line="400" w:lineRule="exact"/>
              <w:jc w:val="center"/>
              <w:rPr>
                <w:rFonts w:ascii="仿宋" w:hAnsi="仿宋" w:eastAsia="仿宋" w:cs="仿宋"/>
                <w:color w:val="auto"/>
                <w:sz w:val="21"/>
                <w:szCs w:val="21"/>
                <w:highlight w:val="none"/>
              </w:rPr>
            </w:pPr>
          </w:p>
        </w:tc>
        <w:tc>
          <w:tcPr>
            <w:tcW w:w="945" w:type="dxa"/>
            <w:vAlign w:val="center"/>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hd w:val="clear"/>
              <w:spacing w:line="400" w:lineRule="exact"/>
              <w:jc w:val="center"/>
              <w:rPr>
                <w:rFonts w:ascii="仿宋" w:hAnsi="仿宋" w:eastAsia="仿宋" w:cs="仿宋"/>
                <w:color w:val="auto"/>
                <w:sz w:val="21"/>
                <w:szCs w:val="21"/>
                <w:highlight w:val="none"/>
              </w:rPr>
            </w:pPr>
          </w:p>
        </w:tc>
        <w:tc>
          <w:tcPr>
            <w:tcW w:w="1695" w:type="dxa"/>
            <w:vAlign w:val="center"/>
          </w:tcPr>
          <w:p>
            <w:pPr>
              <w:shd w:val="clear"/>
              <w:spacing w:line="400" w:lineRule="exact"/>
              <w:jc w:val="center"/>
              <w:rPr>
                <w:rFonts w:ascii="仿宋" w:hAnsi="仿宋" w:eastAsia="仿宋" w:cs="仿宋"/>
                <w:color w:val="auto"/>
                <w:sz w:val="21"/>
                <w:szCs w:val="21"/>
                <w:highlight w:val="none"/>
              </w:rPr>
            </w:pPr>
          </w:p>
        </w:tc>
        <w:tc>
          <w:tcPr>
            <w:tcW w:w="2556" w:type="dxa"/>
            <w:vAlign w:val="center"/>
          </w:tcPr>
          <w:p>
            <w:pPr>
              <w:shd w:val="clear"/>
              <w:spacing w:line="400" w:lineRule="exact"/>
              <w:jc w:val="center"/>
              <w:rPr>
                <w:rFonts w:ascii="仿宋" w:hAnsi="仿宋" w:eastAsia="仿宋" w:cs="仿宋"/>
                <w:color w:val="auto"/>
                <w:sz w:val="21"/>
                <w:szCs w:val="21"/>
                <w:highlight w:val="none"/>
              </w:rPr>
            </w:pPr>
          </w:p>
        </w:tc>
        <w:tc>
          <w:tcPr>
            <w:tcW w:w="1194" w:type="dxa"/>
            <w:vAlign w:val="center"/>
          </w:tcPr>
          <w:p>
            <w:pPr>
              <w:shd w:val="clear"/>
              <w:spacing w:line="400" w:lineRule="exact"/>
              <w:jc w:val="center"/>
              <w:rPr>
                <w:rFonts w:ascii="仿宋" w:hAnsi="仿宋" w:eastAsia="仿宋" w:cs="仿宋"/>
                <w:color w:val="auto"/>
                <w:sz w:val="21"/>
                <w:szCs w:val="21"/>
                <w:highlight w:val="none"/>
              </w:rPr>
            </w:pPr>
          </w:p>
        </w:tc>
        <w:tc>
          <w:tcPr>
            <w:tcW w:w="1260" w:type="dxa"/>
            <w:vAlign w:val="center"/>
          </w:tcPr>
          <w:p>
            <w:pPr>
              <w:shd w:val="clear"/>
              <w:spacing w:line="400" w:lineRule="exact"/>
              <w:jc w:val="center"/>
              <w:rPr>
                <w:rFonts w:ascii="仿宋" w:hAnsi="仿宋" w:eastAsia="仿宋" w:cs="仿宋"/>
                <w:color w:val="auto"/>
                <w:sz w:val="21"/>
                <w:szCs w:val="21"/>
                <w:highlight w:val="none"/>
              </w:rPr>
            </w:pPr>
          </w:p>
        </w:tc>
        <w:tc>
          <w:tcPr>
            <w:tcW w:w="945" w:type="dxa"/>
            <w:vAlign w:val="center"/>
          </w:tcPr>
          <w:p>
            <w:pPr>
              <w:shd w:val="clear"/>
              <w:spacing w:line="400" w:lineRule="exact"/>
              <w:jc w:val="center"/>
              <w:rPr>
                <w:rFonts w:ascii="仿宋" w:hAnsi="仿宋" w:eastAsia="仿宋" w:cs="仿宋"/>
                <w:color w:val="auto"/>
                <w:sz w:val="21"/>
                <w:szCs w:val="21"/>
                <w:highlight w:val="none"/>
              </w:rPr>
            </w:pPr>
          </w:p>
        </w:tc>
      </w:tr>
    </w:tbl>
    <w:p>
      <w:pPr>
        <w:shd w:val="clear"/>
        <w:adjustRightInd w:val="0"/>
        <w:spacing w:line="400" w:lineRule="exact"/>
        <w:ind w:firstLine="482" w:firstLineChars="200"/>
        <w:jc w:val="left"/>
        <w:rPr>
          <w:rFonts w:ascii="仿宋" w:hAnsi="仿宋" w:eastAsia="仿宋" w:cs="仿宋"/>
          <w:b/>
          <w:color w:val="auto"/>
          <w:kern w:val="2"/>
          <w:sz w:val="24"/>
          <w:szCs w:val="24"/>
          <w:highlight w:val="none"/>
        </w:rPr>
      </w:pPr>
      <w:r>
        <w:rPr>
          <w:rFonts w:hint="eastAsia" w:ascii="仿宋" w:hAnsi="仿宋" w:eastAsia="仿宋" w:cs="仿宋"/>
          <w:b/>
          <w:color w:val="auto"/>
          <w:sz w:val="24"/>
          <w:szCs w:val="24"/>
          <w:highlight w:val="none"/>
        </w:rPr>
        <w:t>注：以上业绩需提供招标文件要求的有关书面证明材料</w:t>
      </w:r>
      <w:r>
        <w:rPr>
          <w:rFonts w:hint="eastAsia" w:ascii="仿宋" w:hAnsi="仿宋" w:eastAsia="仿宋" w:cs="仿宋"/>
          <w:b/>
          <w:color w:val="auto"/>
          <w:kern w:val="2"/>
          <w:sz w:val="24"/>
          <w:szCs w:val="24"/>
          <w:highlight w:val="none"/>
        </w:rPr>
        <w:t>。</w:t>
      </w:r>
    </w:p>
    <w:p>
      <w:pPr>
        <w:shd w:val="clear"/>
        <w:spacing w:line="400" w:lineRule="exact"/>
        <w:rPr>
          <w:rFonts w:ascii="仿宋" w:hAnsi="仿宋" w:eastAsia="仿宋" w:cs="仿宋"/>
          <w:bCs/>
          <w:color w:val="auto"/>
          <w:sz w:val="24"/>
          <w:szCs w:val="24"/>
          <w:highlight w:val="none"/>
        </w:rPr>
      </w:pPr>
    </w:p>
    <w:p>
      <w:pPr>
        <w:shd w:val="clear"/>
        <w:spacing w:line="400" w:lineRule="exact"/>
        <w:jc w:val="center"/>
        <w:rPr>
          <w:rFonts w:ascii="仿宋" w:hAnsi="仿宋" w:eastAsia="仿宋" w:cs="仿宋"/>
          <w:bCs/>
          <w:color w:val="auto"/>
          <w:sz w:val="24"/>
          <w:szCs w:val="24"/>
          <w:highlight w:val="none"/>
        </w:rPr>
      </w:pPr>
    </w:p>
    <w:p>
      <w:pPr>
        <w:shd w:val="clear"/>
        <w:adjustRightIn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szCs w:val="24"/>
          <w:highlight w:val="none"/>
        </w:rPr>
        <w:t>日期:</w:t>
      </w:r>
    </w:p>
    <w:p>
      <w:pPr>
        <w:shd w:val="clear"/>
        <w:adjustRightInd w:val="0"/>
        <w:spacing w:line="400" w:lineRule="exact"/>
        <w:ind w:firstLine="480" w:firstLineChars="200"/>
        <w:jc w:val="left"/>
        <w:rPr>
          <w:rFonts w:ascii="仿宋" w:hAnsi="仿宋" w:eastAsia="仿宋" w:cs="仿宋"/>
          <w:color w:val="auto"/>
          <w:sz w:val="24"/>
          <w:szCs w:val="24"/>
          <w:highlight w:val="none"/>
        </w:rPr>
      </w:pPr>
    </w:p>
    <w:p>
      <w:pPr>
        <w:keepNext/>
        <w:keepLines/>
        <w:shd w:val="clear"/>
        <w:spacing w:before="240" w:beforeLines="100" w:after="240" w:afterLines="100"/>
        <w:rPr>
          <w:rFonts w:ascii="仿宋" w:hAnsi="仿宋" w:eastAsia="仿宋" w:cs="仿宋"/>
          <w:color w:val="auto"/>
          <w:szCs w:val="28"/>
          <w:highlight w:val="none"/>
        </w:rPr>
      </w:pPr>
    </w:p>
    <w:p>
      <w:pPr>
        <w:shd w:val="clear"/>
        <w:rPr>
          <w:rFonts w:ascii="仿宋" w:hAnsi="仿宋" w:eastAsia="仿宋" w:cs="仿宋"/>
          <w:color w:val="auto"/>
          <w:szCs w:val="28"/>
          <w:highlight w:val="none"/>
        </w:rPr>
      </w:pPr>
      <w:bookmarkStart w:id="846" w:name="_Toc22133"/>
      <w:bookmarkStart w:id="847" w:name="_Toc3745"/>
      <w:bookmarkStart w:id="848" w:name="_Toc17015"/>
      <w:bookmarkStart w:id="849" w:name="_Toc19240"/>
      <w:r>
        <w:rPr>
          <w:rFonts w:hint="eastAsia" w:ascii="仿宋" w:hAnsi="仿宋" w:eastAsia="仿宋" w:cs="仿宋"/>
          <w:color w:val="auto"/>
          <w:szCs w:val="28"/>
          <w:highlight w:val="none"/>
        </w:rPr>
        <w:br w:type="page"/>
      </w:r>
    </w:p>
    <w:p>
      <w:pPr>
        <w:pStyle w:val="4"/>
        <w:shd w:val="clear"/>
        <w:spacing w:before="240" w:beforeLines="100" w:after="240" w:afterLines="100" w:line="240" w:lineRule="auto"/>
        <w:jc w:val="center"/>
        <w:rPr>
          <w:rFonts w:ascii="仿宋" w:hAnsi="仿宋" w:eastAsia="仿宋" w:cs="仿宋"/>
          <w:color w:val="auto"/>
          <w:highlight w:val="none"/>
        </w:rPr>
      </w:pPr>
      <w:r>
        <w:rPr>
          <w:rFonts w:hint="eastAsia" w:ascii="仿宋" w:hAnsi="仿宋" w:eastAsia="仿宋" w:cs="仿宋"/>
          <w:color w:val="auto"/>
          <w:szCs w:val="28"/>
          <w:highlight w:val="none"/>
        </w:rPr>
        <w:t>（七）拟任本项目人员配置情况</w:t>
      </w:r>
      <w:bookmarkEnd w:id="846"/>
      <w:bookmarkEnd w:id="847"/>
      <w:bookmarkEnd w:id="848"/>
    </w:p>
    <w:p>
      <w:pPr>
        <w:shd w:val="clear"/>
        <w:spacing w:line="400" w:lineRule="exact"/>
        <w:ind w:firstLine="46" w:firstLineChars="19"/>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p>
      <w:pPr>
        <w:shd w:val="clear"/>
        <w:spacing w:line="400" w:lineRule="exact"/>
        <w:ind w:firstLine="46" w:firstLineChars="19"/>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3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类别</w:t>
            </w:r>
          </w:p>
        </w:tc>
        <w:tc>
          <w:tcPr>
            <w:tcW w:w="923" w:type="dxa"/>
            <w:vMerge w:val="restart"/>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职务</w:t>
            </w:r>
          </w:p>
        </w:tc>
        <w:tc>
          <w:tcPr>
            <w:tcW w:w="921" w:type="dxa"/>
            <w:vMerge w:val="restart"/>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923" w:type="dxa"/>
            <w:vMerge w:val="restart"/>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922" w:type="dxa"/>
            <w:vMerge w:val="restart"/>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常住地</w:t>
            </w:r>
          </w:p>
        </w:tc>
        <w:tc>
          <w:tcPr>
            <w:tcW w:w="4919" w:type="dxa"/>
            <w:gridSpan w:val="4"/>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shd w:val="clear"/>
              <w:spacing w:line="400" w:lineRule="exact"/>
              <w:jc w:val="center"/>
              <w:rPr>
                <w:rFonts w:ascii="仿宋" w:hAnsi="仿宋" w:eastAsia="仿宋" w:cs="仿宋"/>
                <w:color w:val="auto"/>
                <w:sz w:val="21"/>
                <w:szCs w:val="21"/>
                <w:highlight w:val="none"/>
              </w:rPr>
            </w:pPr>
          </w:p>
        </w:tc>
        <w:tc>
          <w:tcPr>
            <w:tcW w:w="923" w:type="dxa"/>
            <w:vMerge w:val="continue"/>
            <w:vAlign w:val="center"/>
          </w:tcPr>
          <w:p>
            <w:pPr>
              <w:shd w:val="clear"/>
              <w:spacing w:line="400" w:lineRule="exact"/>
              <w:jc w:val="center"/>
              <w:rPr>
                <w:rFonts w:ascii="仿宋" w:hAnsi="仿宋" w:eastAsia="仿宋" w:cs="仿宋"/>
                <w:color w:val="auto"/>
                <w:sz w:val="21"/>
                <w:szCs w:val="21"/>
                <w:highlight w:val="none"/>
              </w:rPr>
            </w:pPr>
          </w:p>
        </w:tc>
        <w:tc>
          <w:tcPr>
            <w:tcW w:w="921" w:type="dxa"/>
            <w:vMerge w:val="continue"/>
            <w:vAlign w:val="center"/>
          </w:tcPr>
          <w:p>
            <w:pPr>
              <w:shd w:val="clear"/>
              <w:spacing w:line="400" w:lineRule="exact"/>
              <w:jc w:val="center"/>
              <w:rPr>
                <w:rFonts w:ascii="仿宋" w:hAnsi="仿宋" w:eastAsia="仿宋" w:cs="仿宋"/>
                <w:color w:val="auto"/>
                <w:sz w:val="21"/>
                <w:szCs w:val="21"/>
                <w:highlight w:val="none"/>
              </w:rPr>
            </w:pPr>
          </w:p>
        </w:tc>
        <w:tc>
          <w:tcPr>
            <w:tcW w:w="923" w:type="dxa"/>
            <w:vMerge w:val="continue"/>
            <w:vAlign w:val="center"/>
          </w:tcPr>
          <w:p>
            <w:pPr>
              <w:shd w:val="clear"/>
              <w:spacing w:line="400" w:lineRule="exact"/>
              <w:jc w:val="center"/>
              <w:rPr>
                <w:rFonts w:ascii="仿宋" w:hAnsi="仿宋" w:eastAsia="仿宋" w:cs="仿宋"/>
                <w:color w:val="auto"/>
                <w:sz w:val="21"/>
                <w:szCs w:val="21"/>
                <w:highlight w:val="none"/>
              </w:rPr>
            </w:pPr>
          </w:p>
        </w:tc>
        <w:tc>
          <w:tcPr>
            <w:tcW w:w="922" w:type="dxa"/>
            <w:vMerge w:val="continue"/>
            <w:vAlign w:val="center"/>
          </w:tcPr>
          <w:p>
            <w:pPr>
              <w:shd w:val="clear"/>
              <w:spacing w:line="400" w:lineRule="exact"/>
              <w:jc w:val="center"/>
              <w:rPr>
                <w:rFonts w:ascii="仿宋" w:hAnsi="仿宋" w:eastAsia="仿宋" w:cs="仿宋"/>
                <w:color w:val="auto"/>
                <w:sz w:val="21"/>
                <w:szCs w:val="21"/>
                <w:highlight w:val="none"/>
              </w:rPr>
            </w:pPr>
          </w:p>
        </w:tc>
        <w:tc>
          <w:tcPr>
            <w:tcW w:w="1436"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证书名称</w:t>
            </w:r>
          </w:p>
        </w:tc>
        <w:tc>
          <w:tcPr>
            <w:tcW w:w="1022"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级别</w:t>
            </w:r>
          </w:p>
        </w:tc>
        <w:tc>
          <w:tcPr>
            <w:tcW w:w="1232"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证号</w:t>
            </w:r>
          </w:p>
        </w:tc>
        <w:tc>
          <w:tcPr>
            <w:tcW w:w="1229" w:type="dxa"/>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48" w:type="dxa"/>
            <w:vMerge w:val="restart"/>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管</w:t>
            </w:r>
          </w:p>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理</w:t>
            </w:r>
          </w:p>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人</w:t>
            </w:r>
          </w:p>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员</w:t>
            </w:r>
          </w:p>
        </w:tc>
        <w:tc>
          <w:tcPr>
            <w:tcW w:w="923" w:type="dxa"/>
          </w:tcPr>
          <w:p>
            <w:pPr>
              <w:shd w:val="clear"/>
              <w:spacing w:line="400" w:lineRule="exact"/>
              <w:jc w:val="center"/>
              <w:rPr>
                <w:rFonts w:ascii="仿宋" w:hAnsi="仿宋" w:eastAsia="仿宋" w:cs="仿宋"/>
                <w:color w:val="auto"/>
                <w:sz w:val="21"/>
                <w:szCs w:val="21"/>
                <w:highlight w:val="none"/>
              </w:rPr>
            </w:pPr>
          </w:p>
        </w:tc>
        <w:tc>
          <w:tcPr>
            <w:tcW w:w="921" w:type="dxa"/>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2" w:type="dxa"/>
          </w:tcPr>
          <w:p>
            <w:pPr>
              <w:shd w:val="clear"/>
              <w:spacing w:line="400" w:lineRule="exact"/>
              <w:jc w:val="center"/>
              <w:rPr>
                <w:rFonts w:ascii="仿宋" w:hAnsi="仿宋" w:eastAsia="仿宋" w:cs="仿宋"/>
                <w:color w:val="auto"/>
                <w:sz w:val="21"/>
                <w:szCs w:val="21"/>
                <w:highlight w:val="none"/>
              </w:rPr>
            </w:pPr>
          </w:p>
        </w:tc>
        <w:tc>
          <w:tcPr>
            <w:tcW w:w="1436" w:type="dxa"/>
          </w:tcPr>
          <w:p>
            <w:pPr>
              <w:shd w:val="clear"/>
              <w:spacing w:line="400" w:lineRule="exact"/>
              <w:jc w:val="center"/>
              <w:rPr>
                <w:rFonts w:ascii="仿宋" w:hAnsi="仿宋" w:eastAsia="仿宋" w:cs="仿宋"/>
                <w:color w:val="auto"/>
                <w:sz w:val="21"/>
                <w:szCs w:val="21"/>
                <w:highlight w:val="none"/>
              </w:rPr>
            </w:pPr>
          </w:p>
        </w:tc>
        <w:tc>
          <w:tcPr>
            <w:tcW w:w="1022" w:type="dxa"/>
          </w:tcPr>
          <w:p>
            <w:pPr>
              <w:shd w:val="clear"/>
              <w:spacing w:line="400" w:lineRule="exact"/>
              <w:jc w:val="center"/>
              <w:rPr>
                <w:rFonts w:ascii="仿宋" w:hAnsi="仿宋" w:eastAsia="仿宋" w:cs="仿宋"/>
                <w:color w:val="auto"/>
                <w:sz w:val="21"/>
                <w:szCs w:val="21"/>
                <w:highlight w:val="none"/>
              </w:rPr>
            </w:pPr>
          </w:p>
        </w:tc>
        <w:tc>
          <w:tcPr>
            <w:tcW w:w="1232" w:type="dxa"/>
          </w:tcPr>
          <w:p>
            <w:pPr>
              <w:shd w:val="clear"/>
              <w:spacing w:line="400" w:lineRule="exact"/>
              <w:jc w:val="center"/>
              <w:rPr>
                <w:rFonts w:ascii="仿宋" w:hAnsi="仿宋" w:eastAsia="仿宋" w:cs="仿宋"/>
                <w:color w:val="auto"/>
                <w:sz w:val="21"/>
                <w:szCs w:val="21"/>
                <w:highlight w:val="none"/>
              </w:rPr>
            </w:pPr>
          </w:p>
        </w:tc>
        <w:tc>
          <w:tcPr>
            <w:tcW w:w="1229"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348" w:type="dxa"/>
            <w:vMerge w:val="continue"/>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1" w:type="dxa"/>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2" w:type="dxa"/>
          </w:tcPr>
          <w:p>
            <w:pPr>
              <w:shd w:val="clear"/>
              <w:spacing w:line="400" w:lineRule="exact"/>
              <w:jc w:val="center"/>
              <w:rPr>
                <w:rFonts w:ascii="仿宋" w:hAnsi="仿宋" w:eastAsia="仿宋" w:cs="仿宋"/>
                <w:color w:val="auto"/>
                <w:sz w:val="21"/>
                <w:szCs w:val="21"/>
                <w:highlight w:val="none"/>
              </w:rPr>
            </w:pPr>
          </w:p>
        </w:tc>
        <w:tc>
          <w:tcPr>
            <w:tcW w:w="1436" w:type="dxa"/>
          </w:tcPr>
          <w:p>
            <w:pPr>
              <w:shd w:val="clear"/>
              <w:spacing w:line="400" w:lineRule="exact"/>
              <w:jc w:val="center"/>
              <w:rPr>
                <w:rFonts w:ascii="仿宋" w:hAnsi="仿宋" w:eastAsia="仿宋" w:cs="仿宋"/>
                <w:color w:val="auto"/>
                <w:sz w:val="21"/>
                <w:szCs w:val="21"/>
                <w:highlight w:val="none"/>
              </w:rPr>
            </w:pPr>
          </w:p>
        </w:tc>
        <w:tc>
          <w:tcPr>
            <w:tcW w:w="1022" w:type="dxa"/>
          </w:tcPr>
          <w:p>
            <w:pPr>
              <w:shd w:val="clear"/>
              <w:spacing w:line="400" w:lineRule="exact"/>
              <w:jc w:val="center"/>
              <w:rPr>
                <w:rFonts w:ascii="仿宋" w:hAnsi="仿宋" w:eastAsia="仿宋" w:cs="仿宋"/>
                <w:color w:val="auto"/>
                <w:sz w:val="21"/>
                <w:szCs w:val="21"/>
                <w:highlight w:val="none"/>
              </w:rPr>
            </w:pPr>
          </w:p>
        </w:tc>
        <w:tc>
          <w:tcPr>
            <w:tcW w:w="1232" w:type="dxa"/>
          </w:tcPr>
          <w:p>
            <w:pPr>
              <w:shd w:val="clear"/>
              <w:spacing w:line="400" w:lineRule="exact"/>
              <w:jc w:val="center"/>
              <w:rPr>
                <w:rFonts w:ascii="仿宋" w:hAnsi="仿宋" w:eastAsia="仿宋" w:cs="仿宋"/>
                <w:color w:val="auto"/>
                <w:sz w:val="21"/>
                <w:szCs w:val="21"/>
                <w:highlight w:val="none"/>
              </w:rPr>
            </w:pPr>
          </w:p>
        </w:tc>
        <w:tc>
          <w:tcPr>
            <w:tcW w:w="1229"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1" w:type="dxa"/>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2" w:type="dxa"/>
          </w:tcPr>
          <w:p>
            <w:pPr>
              <w:shd w:val="clear"/>
              <w:spacing w:line="400" w:lineRule="exact"/>
              <w:jc w:val="center"/>
              <w:rPr>
                <w:rFonts w:ascii="仿宋" w:hAnsi="仿宋" w:eastAsia="仿宋" w:cs="仿宋"/>
                <w:color w:val="auto"/>
                <w:sz w:val="21"/>
                <w:szCs w:val="21"/>
                <w:highlight w:val="none"/>
              </w:rPr>
            </w:pPr>
          </w:p>
        </w:tc>
        <w:tc>
          <w:tcPr>
            <w:tcW w:w="1436" w:type="dxa"/>
          </w:tcPr>
          <w:p>
            <w:pPr>
              <w:shd w:val="clear"/>
              <w:spacing w:line="400" w:lineRule="exact"/>
              <w:jc w:val="center"/>
              <w:rPr>
                <w:rFonts w:ascii="仿宋" w:hAnsi="仿宋" w:eastAsia="仿宋" w:cs="仿宋"/>
                <w:color w:val="auto"/>
                <w:sz w:val="21"/>
                <w:szCs w:val="21"/>
                <w:highlight w:val="none"/>
              </w:rPr>
            </w:pPr>
          </w:p>
        </w:tc>
        <w:tc>
          <w:tcPr>
            <w:tcW w:w="1022" w:type="dxa"/>
          </w:tcPr>
          <w:p>
            <w:pPr>
              <w:shd w:val="clear"/>
              <w:spacing w:line="400" w:lineRule="exact"/>
              <w:jc w:val="center"/>
              <w:rPr>
                <w:rFonts w:ascii="仿宋" w:hAnsi="仿宋" w:eastAsia="仿宋" w:cs="仿宋"/>
                <w:color w:val="auto"/>
                <w:sz w:val="21"/>
                <w:szCs w:val="21"/>
                <w:highlight w:val="none"/>
              </w:rPr>
            </w:pPr>
          </w:p>
        </w:tc>
        <w:tc>
          <w:tcPr>
            <w:tcW w:w="1232" w:type="dxa"/>
          </w:tcPr>
          <w:p>
            <w:pPr>
              <w:shd w:val="clear"/>
              <w:spacing w:line="400" w:lineRule="exact"/>
              <w:jc w:val="center"/>
              <w:rPr>
                <w:rFonts w:ascii="仿宋" w:hAnsi="仿宋" w:eastAsia="仿宋" w:cs="仿宋"/>
                <w:color w:val="auto"/>
                <w:sz w:val="21"/>
                <w:szCs w:val="21"/>
                <w:highlight w:val="none"/>
              </w:rPr>
            </w:pPr>
          </w:p>
        </w:tc>
        <w:tc>
          <w:tcPr>
            <w:tcW w:w="1229"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348" w:type="dxa"/>
            <w:vMerge w:val="restart"/>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技</w:t>
            </w:r>
          </w:p>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术</w:t>
            </w:r>
          </w:p>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人</w:t>
            </w:r>
          </w:p>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员</w:t>
            </w:r>
          </w:p>
        </w:tc>
        <w:tc>
          <w:tcPr>
            <w:tcW w:w="923" w:type="dxa"/>
          </w:tcPr>
          <w:p>
            <w:pPr>
              <w:shd w:val="clear"/>
              <w:spacing w:line="400" w:lineRule="exact"/>
              <w:jc w:val="center"/>
              <w:rPr>
                <w:rFonts w:ascii="仿宋" w:hAnsi="仿宋" w:eastAsia="仿宋" w:cs="仿宋"/>
                <w:color w:val="auto"/>
                <w:sz w:val="21"/>
                <w:szCs w:val="21"/>
                <w:highlight w:val="none"/>
              </w:rPr>
            </w:pPr>
          </w:p>
        </w:tc>
        <w:tc>
          <w:tcPr>
            <w:tcW w:w="921" w:type="dxa"/>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2" w:type="dxa"/>
          </w:tcPr>
          <w:p>
            <w:pPr>
              <w:shd w:val="clear"/>
              <w:spacing w:line="400" w:lineRule="exact"/>
              <w:jc w:val="center"/>
              <w:rPr>
                <w:rFonts w:ascii="仿宋" w:hAnsi="仿宋" w:eastAsia="仿宋" w:cs="仿宋"/>
                <w:color w:val="auto"/>
                <w:sz w:val="21"/>
                <w:szCs w:val="21"/>
                <w:highlight w:val="none"/>
              </w:rPr>
            </w:pPr>
          </w:p>
        </w:tc>
        <w:tc>
          <w:tcPr>
            <w:tcW w:w="1436" w:type="dxa"/>
          </w:tcPr>
          <w:p>
            <w:pPr>
              <w:shd w:val="clear"/>
              <w:spacing w:line="400" w:lineRule="exact"/>
              <w:jc w:val="center"/>
              <w:rPr>
                <w:rFonts w:ascii="仿宋" w:hAnsi="仿宋" w:eastAsia="仿宋" w:cs="仿宋"/>
                <w:color w:val="auto"/>
                <w:sz w:val="21"/>
                <w:szCs w:val="21"/>
                <w:highlight w:val="none"/>
              </w:rPr>
            </w:pPr>
          </w:p>
        </w:tc>
        <w:tc>
          <w:tcPr>
            <w:tcW w:w="1022" w:type="dxa"/>
          </w:tcPr>
          <w:p>
            <w:pPr>
              <w:shd w:val="clear"/>
              <w:spacing w:line="400" w:lineRule="exact"/>
              <w:jc w:val="center"/>
              <w:rPr>
                <w:rFonts w:ascii="仿宋" w:hAnsi="仿宋" w:eastAsia="仿宋" w:cs="仿宋"/>
                <w:color w:val="auto"/>
                <w:sz w:val="21"/>
                <w:szCs w:val="21"/>
                <w:highlight w:val="none"/>
              </w:rPr>
            </w:pPr>
          </w:p>
        </w:tc>
        <w:tc>
          <w:tcPr>
            <w:tcW w:w="1232" w:type="dxa"/>
          </w:tcPr>
          <w:p>
            <w:pPr>
              <w:shd w:val="clear"/>
              <w:spacing w:line="400" w:lineRule="exact"/>
              <w:jc w:val="center"/>
              <w:rPr>
                <w:rFonts w:ascii="仿宋" w:hAnsi="仿宋" w:eastAsia="仿宋" w:cs="仿宋"/>
                <w:color w:val="auto"/>
                <w:sz w:val="21"/>
                <w:szCs w:val="21"/>
                <w:highlight w:val="none"/>
              </w:rPr>
            </w:pPr>
          </w:p>
        </w:tc>
        <w:tc>
          <w:tcPr>
            <w:tcW w:w="1229"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348" w:type="dxa"/>
            <w:vMerge w:val="continue"/>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1" w:type="dxa"/>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2" w:type="dxa"/>
          </w:tcPr>
          <w:p>
            <w:pPr>
              <w:shd w:val="clear"/>
              <w:spacing w:line="400" w:lineRule="exact"/>
              <w:jc w:val="center"/>
              <w:rPr>
                <w:rFonts w:ascii="仿宋" w:hAnsi="仿宋" w:eastAsia="仿宋" w:cs="仿宋"/>
                <w:color w:val="auto"/>
                <w:sz w:val="21"/>
                <w:szCs w:val="21"/>
                <w:highlight w:val="none"/>
              </w:rPr>
            </w:pPr>
          </w:p>
        </w:tc>
        <w:tc>
          <w:tcPr>
            <w:tcW w:w="1436" w:type="dxa"/>
          </w:tcPr>
          <w:p>
            <w:pPr>
              <w:shd w:val="clear"/>
              <w:spacing w:line="400" w:lineRule="exact"/>
              <w:jc w:val="center"/>
              <w:rPr>
                <w:rFonts w:ascii="仿宋" w:hAnsi="仿宋" w:eastAsia="仿宋" w:cs="仿宋"/>
                <w:color w:val="auto"/>
                <w:sz w:val="21"/>
                <w:szCs w:val="21"/>
                <w:highlight w:val="none"/>
              </w:rPr>
            </w:pPr>
          </w:p>
        </w:tc>
        <w:tc>
          <w:tcPr>
            <w:tcW w:w="1022" w:type="dxa"/>
          </w:tcPr>
          <w:p>
            <w:pPr>
              <w:shd w:val="clear"/>
              <w:spacing w:line="400" w:lineRule="exact"/>
              <w:jc w:val="center"/>
              <w:rPr>
                <w:rFonts w:ascii="仿宋" w:hAnsi="仿宋" w:eastAsia="仿宋" w:cs="仿宋"/>
                <w:color w:val="auto"/>
                <w:sz w:val="21"/>
                <w:szCs w:val="21"/>
                <w:highlight w:val="none"/>
              </w:rPr>
            </w:pPr>
          </w:p>
        </w:tc>
        <w:tc>
          <w:tcPr>
            <w:tcW w:w="1232" w:type="dxa"/>
          </w:tcPr>
          <w:p>
            <w:pPr>
              <w:shd w:val="clear"/>
              <w:spacing w:line="400" w:lineRule="exact"/>
              <w:jc w:val="center"/>
              <w:rPr>
                <w:rFonts w:ascii="仿宋" w:hAnsi="仿宋" w:eastAsia="仿宋" w:cs="仿宋"/>
                <w:color w:val="auto"/>
                <w:sz w:val="21"/>
                <w:szCs w:val="21"/>
                <w:highlight w:val="none"/>
              </w:rPr>
            </w:pPr>
          </w:p>
        </w:tc>
        <w:tc>
          <w:tcPr>
            <w:tcW w:w="1229"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348" w:type="dxa"/>
            <w:vMerge w:val="continue"/>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1" w:type="dxa"/>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2" w:type="dxa"/>
          </w:tcPr>
          <w:p>
            <w:pPr>
              <w:shd w:val="clear"/>
              <w:spacing w:line="400" w:lineRule="exact"/>
              <w:jc w:val="center"/>
              <w:rPr>
                <w:rFonts w:ascii="仿宋" w:hAnsi="仿宋" w:eastAsia="仿宋" w:cs="仿宋"/>
                <w:color w:val="auto"/>
                <w:sz w:val="21"/>
                <w:szCs w:val="21"/>
                <w:highlight w:val="none"/>
              </w:rPr>
            </w:pPr>
          </w:p>
        </w:tc>
        <w:tc>
          <w:tcPr>
            <w:tcW w:w="1436" w:type="dxa"/>
          </w:tcPr>
          <w:p>
            <w:pPr>
              <w:shd w:val="clear"/>
              <w:spacing w:line="400" w:lineRule="exact"/>
              <w:jc w:val="center"/>
              <w:rPr>
                <w:rFonts w:ascii="仿宋" w:hAnsi="仿宋" w:eastAsia="仿宋" w:cs="仿宋"/>
                <w:color w:val="auto"/>
                <w:sz w:val="21"/>
                <w:szCs w:val="21"/>
                <w:highlight w:val="none"/>
              </w:rPr>
            </w:pPr>
          </w:p>
        </w:tc>
        <w:tc>
          <w:tcPr>
            <w:tcW w:w="1022" w:type="dxa"/>
          </w:tcPr>
          <w:p>
            <w:pPr>
              <w:shd w:val="clear"/>
              <w:spacing w:line="400" w:lineRule="exact"/>
              <w:jc w:val="center"/>
              <w:rPr>
                <w:rFonts w:ascii="仿宋" w:hAnsi="仿宋" w:eastAsia="仿宋" w:cs="仿宋"/>
                <w:color w:val="auto"/>
                <w:sz w:val="21"/>
                <w:szCs w:val="21"/>
                <w:highlight w:val="none"/>
              </w:rPr>
            </w:pPr>
          </w:p>
        </w:tc>
        <w:tc>
          <w:tcPr>
            <w:tcW w:w="1232" w:type="dxa"/>
          </w:tcPr>
          <w:p>
            <w:pPr>
              <w:shd w:val="clear"/>
              <w:spacing w:line="400" w:lineRule="exact"/>
              <w:jc w:val="center"/>
              <w:rPr>
                <w:rFonts w:ascii="仿宋" w:hAnsi="仿宋" w:eastAsia="仿宋" w:cs="仿宋"/>
                <w:color w:val="auto"/>
                <w:sz w:val="21"/>
                <w:szCs w:val="21"/>
                <w:highlight w:val="none"/>
              </w:rPr>
            </w:pPr>
          </w:p>
        </w:tc>
        <w:tc>
          <w:tcPr>
            <w:tcW w:w="1229"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售后</w:t>
            </w:r>
          </w:p>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w:t>
            </w:r>
          </w:p>
          <w:p>
            <w:pPr>
              <w:shd w:val="clea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人员</w:t>
            </w:r>
          </w:p>
        </w:tc>
        <w:tc>
          <w:tcPr>
            <w:tcW w:w="923" w:type="dxa"/>
          </w:tcPr>
          <w:p>
            <w:pPr>
              <w:shd w:val="clear"/>
              <w:spacing w:line="400" w:lineRule="exact"/>
              <w:jc w:val="center"/>
              <w:rPr>
                <w:rFonts w:ascii="仿宋" w:hAnsi="仿宋" w:eastAsia="仿宋" w:cs="仿宋"/>
                <w:color w:val="auto"/>
                <w:sz w:val="21"/>
                <w:szCs w:val="21"/>
                <w:highlight w:val="none"/>
              </w:rPr>
            </w:pPr>
          </w:p>
        </w:tc>
        <w:tc>
          <w:tcPr>
            <w:tcW w:w="921" w:type="dxa"/>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2" w:type="dxa"/>
          </w:tcPr>
          <w:p>
            <w:pPr>
              <w:shd w:val="clear"/>
              <w:spacing w:line="400" w:lineRule="exact"/>
              <w:jc w:val="center"/>
              <w:rPr>
                <w:rFonts w:ascii="仿宋" w:hAnsi="仿宋" w:eastAsia="仿宋" w:cs="仿宋"/>
                <w:color w:val="auto"/>
                <w:sz w:val="21"/>
                <w:szCs w:val="21"/>
                <w:highlight w:val="none"/>
              </w:rPr>
            </w:pPr>
          </w:p>
        </w:tc>
        <w:tc>
          <w:tcPr>
            <w:tcW w:w="1436" w:type="dxa"/>
          </w:tcPr>
          <w:p>
            <w:pPr>
              <w:shd w:val="clear"/>
              <w:spacing w:line="400" w:lineRule="exact"/>
              <w:jc w:val="center"/>
              <w:rPr>
                <w:rFonts w:ascii="仿宋" w:hAnsi="仿宋" w:eastAsia="仿宋" w:cs="仿宋"/>
                <w:color w:val="auto"/>
                <w:sz w:val="21"/>
                <w:szCs w:val="21"/>
                <w:highlight w:val="none"/>
              </w:rPr>
            </w:pPr>
          </w:p>
        </w:tc>
        <w:tc>
          <w:tcPr>
            <w:tcW w:w="1022" w:type="dxa"/>
          </w:tcPr>
          <w:p>
            <w:pPr>
              <w:shd w:val="clear"/>
              <w:spacing w:line="400" w:lineRule="exact"/>
              <w:jc w:val="center"/>
              <w:rPr>
                <w:rFonts w:ascii="仿宋" w:hAnsi="仿宋" w:eastAsia="仿宋" w:cs="仿宋"/>
                <w:color w:val="auto"/>
                <w:sz w:val="21"/>
                <w:szCs w:val="21"/>
                <w:highlight w:val="none"/>
              </w:rPr>
            </w:pPr>
          </w:p>
        </w:tc>
        <w:tc>
          <w:tcPr>
            <w:tcW w:w="1232" w:type="dxa"/>
          </w:tcPr>
          <w:p>
            <w:pPr>
              <w:shd w:val="clear"/>
              <w:spacing w:line="400" w:lineRule="exact"/>
              <w:jc w:val="center"/>
              <w:rPr>
                <w:rFonts w:ascii="仿宋" w:hAnsi="仿宋" w:eastAsia="仿宋" w:cs="仿宋"/>
                <w:color w:val="auto"/>
                <w:sz w:val="21"/>
                <w:szCs w:val="21"/>
                <w:highlight w:val="none"/>
              </w:rPr>
            </w:pPr>
          </w:p>
        </w:tc>
        <w:tc>
          <w:tcPr>
            <w:tcW w:w="1229" w:type="dxa"/>
          </w:tcPr>
          <w:p>
            <w:pPr>
              <w:shd w:val="clear"/>
              <w:spacing w:line="400" w:lineRule="exac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1" w:type="dxa"/>
          </w:tcPr>
          <w:p>
            <w:pPr>
              <w:shd w:val="clear"/>
              <w:spacing w:line="400" w:lineRule="exact"/>
              <w:jc w:val="center"/>
              <w:rPr>
                <w:rFonts w:ascii="仿宋" w:hAnsi="仿宋" w:eastAsia="仿宋" w:cs="仿宋"/>
                <w:bCs/>
                <w:color w:val="auto"/>
                <w:sz w:val="21"/>
                <w:szCs w:val="21"/>
                <w:highlight w:val="none"/>
              </w:rPr>
            </w:pPr>
          </w:p>
        </w:tc>
        <w:tc>
          <w:tcPr>
            <w:tcW w:w="923" w:type="dxa"/>
          </w:tcPr>
          <w:p>
            <w:pPr>
              <w:shd w:val="clear"/>
              <w:spacing w:line="400" w:lineRule="exact"/>
              <w:jc w:val="center"/>
              <w:rPr>
                <w:rFonts w:ascii="仿宋" w:hAnsi="仿宋" w:eastAsia="仿宋" w:cs="仿宋"/>
                <w:bCs/>
                <w:color w:val="auto"/>
                <w:sz w:val="21"/>
                <w:szCs w:val="21"/>
                <w:highlight w:val="none"/>
              </w:rPr>
            </w:pPr>
          </w:p>
        </w:tc>
        <w:tc>
          <w:tcPr>
            <w:tcW w:w="922" w:type="dxa"/>
          </w:tcPr>
          <w:p>
            <w:pPr>
              <w:shd w:val="clear"/>
              <w:spacing w:line="400" w:lineRule="exact"/>
              <w:jc w:val="center"/>
              <w:rPr>
                <w:rFonts w:ascii="仿宋" w:hAnsi="仿宋" w:eastAsia="仿宋" w:cs="仿宋"/>
                <w:bCs/>
                <w:color w:val="auto"/>
                <w:sz w:val="21"/>
                <w:szCs w:val="21"/>
                <w:highlight w:val="none"/>
              </w:rPr>
            </w:pPr>
          </w:p>
        </w:tc>
        <w:tc>
          <w:tcPr>
            <w:tcW w:w="1436" w:type="dxa"/>
          </w:tcPr>
          <w:p>
            <w:pPr>
              <w:shd w:val="clear"/>
              <w:spacing w:line="400" w:lineRule="exact"/>
              <w:jc w:val="center"/>
              <w:rPr>
                <w:rFonts w:ascii="仿宋" w:hAnsi="仿宋" w:eastAsia="仿宋" w:cs="仿宋"/>
                <w:bCs/>
                <w:color w:val="auto"/>
                <w:sz w:val="21"/>
                <w:szCs w:val="21"/>
                <w:highlight w:val="none"/>
              </w:rPr>
            </w:pPr>
          </w:p>
        </w:tc>
        <w:tc>
          <w:tcPr>
            <w:tcW w:w="1022" w:type="dxa"/>
          </w:tcPr>
          <w:p>
            <w:pPr>
              <w:shd w:val="clear"/>
              <w:spacing w:line="400" w:lineRule="exact"/>
              <w:jc w:val="center"/>
              <w:rPr>
                <w:rFonts w:ascii="仿宋" w:hAnsi="仿宋" w:eastAsia="仿宋" w:cs="仿宋"/>
                <w:bCs/>
                <w:color w:val="auto"/>
                <w:sz w:val="21"/>
                <w:szCs w:val="21"/>
                <w:highlight w:val="none"/>
              </w:rPr>
            </w:pPr>
          </w:p>
        </w:tc>
        <w:tc>
          <w:tcPr>
            <w:tcW w:w="1232" w:type="dxa"/>
          </w:tcPr>
          <w:p>
            <w:pPr>
              <w:shd w:val="clear"/>
              <w:spacing w:line="400" w:lineRule="exact"/>
              <w:jc w:val="center"/>
              <w:rPr>
                <w:rFonts w:ascii="仿宋" w:hAnsi="仿宋" w:eastAsia="仿宋" w:cs="仿宋"/>
                <w:bCs/>
                <w:color w:val="auto"/>
                <w:sz w:val="21"/>
                <w:szCs w:val="21"/>
                <w:highlight w:val="none"/>
              </w:rPr>
            </w:pPr>
          </w:p>
        </w:tc>
        <w:tc>
          <w:tcPr>
            <w:tcW w:w="1229" w:type="dxa"/>
          </w:tcPr>
          <w:p>
            <w:pPr>
              <w:shd w:val="clear"/>
              <w:spacing w:line="400" w:lineRule="exact"/>
              <w:jc w:val="center"/>
              <w:rPr>
                <w:rFonts w:ascii="仿宋" w:hAnsi="仿宋" w:eastAsia="仿宋" w:cs="仿宋"/>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348" w:type="dxa"/>
            <w:vMerge w:val="continue"/>
          </w:tcPr>
          <w:p>
            <w:pPr>
              <w:shd w:val="clear"/>
              <w:spacing w:line="400" w:lineRule="exact"/>
              <w:jc w:val="center"/>
              <w:rPr>
                <w:rFonts w:ascii="仿宋" w:hAnsi="仿宋" w:eastAsia="仿宋" w:cs="仿宋"/>
                <w:color w:val="auto"/>
                <w:sz w:val="21"/>
                <w:szCs w:val="21"/>
                <w:highlight w:val="none"/>
              </w:rPr>
            </w:pPr>
          </w:p>
        </w:tc>
        <w:tc>
          <w:tcPr>
            <w:tcW w:w="923" w:type="dxa"/>
          </w:tcPr>
          <w:p>
            <w:pPr>
              <w:shd w:val="clear"/>
              <w:spacing w:line="400" w:lineRule="exact"/>
              <w:jc w:val="center"/>
              <w:rPr>
                <w:rFonts w:ascii="仿宋" w:hAnsi="仿宋" w:eastAsia="仿宋" w:cs="仿宋"/>
                <w:color w:val="auto"/>
                <w:sz w:val="21"/>
                <w:szCs w:val="21"/>
                <w:highlight w:val="none"/>
              </w:rPr>
            </w:pPr>
          </w:p>
        </w:tc>
        <w:tc>
          <w:tcPr>
            <w:tcW w:w="921" w:type="dxa"/>
          </w:tcPr>
          <w:p>
            <w:pPr>
              <w:shd w:val="clear"/>
              <w:spacing w:line="400" w:lineRule="exact"/>
              <w:jc w:val="center"/>
              <w:rPr>
                <w:rFonts w:ascii="仿宋" w:hAnsi="仿宋" w:eastAsia="仿宋" w:cs="仿宋"/>
                <w:bCs/>
                <w:color w:val="auto"/>
                <w:sz w:val="21"/>
                <w:szCs w:val="21"/>
                <w:highlight w:val="none"/>
              </w:rPr>
            </w:pPr>
          </w:p>
        </w:tc>
        <w:tc>
          <w:tcPr>
            <w:tcW w:w="923" w:type="dxa"/>
          </w:tcPr>
          <w:p>
            <w:pPr>
              <w:shd w:val="clear"/>
              <w:spacing w:line="400" w:lineRule="exact"/>
              <w:jc w:val="center"/>
              <w:rPr>
                <w:rFonts w:ascii="仿宋" w:hAnsi="仿宋" w:eastAsia="仿宋" w:cs="仿宋"/>
                <w:bCs/>
                <w:color w:val="auto"/>
                <w:sz w:val="21"/>
                <w:szCs w:val="21"/>
                <w:highlight w:val="none"/>
              </w:rPr>
            </w:pPr>
          </w:p>
        </w:tc>
        <w:tc>
          <w:tcPr>
            <w:tcW w:w="922" w:type="dxa"/>
          </w:tcPr>
          <w:p>
            <w:pPr>
              <w:shd w:val="clear"/>
              <w:spacing w:line="400" w:lineRule="exact"/>
              <w:jc w:val="center"/>
              <w:rPr>
                <w:rFonts w:ascii="仿宋" w:hAnsi="仿宋" w:eastAsia="仿宋" w:cs="仿宋"/>
                <w:bCs/>
                <w:color w:val="auto"/>
                <w:sz w:val="21"/>
                <w:szCs w:val="21"/>
                <w:highlight w:val="none"/>
              </w:rPr>
            </w:pPr>
          </w:p>
        </w:tc>
        <w:tc>
          <w:tcPr>
            <w:tcW w:w="1436" w:type="dxa"/>
          </w:tcPr>
          <w:p>
            <w:pPr>
              <w:shd w:val="clear"/>
              <w:spacing w:line="400" w:lineRule="exact"/>
              <w:jc w:val="center"/>
              <w:rPr>
                <w:rFonts w:ascii="仿宋" w:hAnsi="仿宋" w:eastAsia="仿宋" w:cs="仿宋"/>
                <w:bCs/>
                <w:color w:val="auto"/>
                <w:sz w:val="21"/>
                <w:szCs w:val="21"/>
                <w:highlight w:val="none"/>
              </w:rPr>
            </w:pPr>
          </w:p>
        </w:tc>
        <w:tc>
          <w:tcPr>
            <w:tcW w:w="1022" w:type="dxa"/>
          </w:tcPr>
          <w:p>
            <w:pPr>
              <w:shd w:val="clear"/>
              <w:spacing w:line="400" w:lineRule="exact"/>
              <w:jc w:val="center"/>
              <w:rPr>
                <w:rFonts w:ascii="仿宋" w:hAnsi="仿宋" w:eastAsia="仿宋" w:cs="仿宋"/>
                <w:bCs/>
                <w:color w:val="auto"/>
                <w:sz w:val="21"/>
                <w:szCs w:val="21"/>
                <w:highlight w:val="none"/>
              </w:rPr>
            </w:pPr>
          </w:p>
        </w:tc>
        <w:tc>
          <w:tcPr>
            <w:tcW w:w="1232" w:type="dxa"/>
          </w:tcPr>
          <w:p>
            <w:pPr>
              <w:shd w:val="clear"/>
              <w:spacing w:line="400" w:lineRule="exact"/>
              <w:jc w:val="center"/>
              <w:rPr>
                <w:rFonts w:ascii="仿宋" w:hAnsi="仿宋" w:eastAsia="仿宋" w:cs="仿宋"/>
                <w:bCs/>
                <w:color w:val="auto"/>
                <w:sz w:val="21"/>
                <w:szCs w:val="21"/>
                <w:highlight w:val="none"/>
              </w:rPr>
            </w:pPr>
          </w:p>
        </w:tc>
        <w:tc>
          <w:tcPr>
            <w:tcW w:w="1229" w:type="dxa"/>
          </w:tcPr>
          <w:p>
            <w:pPr>
              <w:shd w:val="clear"/>
              <w:spacing w:line="400" w:lineRule="exact"/>
              <w:jc w:val="center"/>
              <w:rPr>
                <w:rFonts w:ascii="仿宋" w:hAnsi="仿宋" w:eastAsia="仿宋" w:cs="仿宋"/>
                <w:bCs/>
                <w:color w:val="auto"/>
                <w:sz w:val="21"/>
                <w:szCs w:val="21"/>
                <w:highlight w:val="none"/>
              </w:rPr>
            </w:pPr>
          </w:p>
        </w:tc>
      </w:tr>
    </w:tbl>
    <w:p>
      <w:pPr>
        <w:shd w:val="clear"/>
        <w:adjustRightInd w:val="0"/>
        <w:spacing w:line="400" w:lineRule="exact"/>
        <w:ind w:firstLine="482" w:firstLineChars="200"/>
        <w:jc w:val="left"/>
        <w:rPr>
          <w:rFonts w:ascii="仿宋" w:hAnsi="仿宋" w:eastAsia="仿宋" w:cs="仿宋"/>
          <w:b/>
          <w:color w:val="auto"/>
          <w:kern w:val="2"/>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kern w:val="2"/>
          <w:sz w:val="24"/>
          <w:szCs w:val="24"/>
          <w:highlight w:val="none"/>
        </w:rPr>
        <w:t>投标人根据自身实际情况填写，对不涉及的内容可填写“/”。</w:t>
      </w:r>
    </w:p>
    <w:p>
      <w:pPr>
        <w:shd w:val="clear"/>
        <w:spacing w:line="400" w:lineRule="exact"/>
        <w:rPr>
          <w:rFonts w:ascii="仿宋" w:hAnsi="仿宋" w:eastAsia="仿宋" w:cs="仿宋"/>
          <w:bCs/>
          <w:color w:val="auto"/>
          <w:sz w:val="24"/>
          <w:szCs w:val="24"/>
          <w:highlight w:val="none"/>
        </w:rPr>
      </w:pPr>
    </w:p>
    <w:p>
      <w:pPr>
        <w:shd w:val="clear"/>
        <w:spacing w:line="400" w:lineRule="exact"/>
        <w:jc w:val="center"/>
        <w:rPr>
          <w:rFonts w:ascii="仿宋" w:hAnsi="仿宋" w:eastAsia="仿宋" w:cs="仿宋"/>
          <w:bCs/>
          <w:color w:val="auto"/>
          <w:sz w:val="24"/>
          <w:szCs w:val="24"/>
          <w:highlight w:val="none"/>
        </w:rPr>
      </w:pPr>
    </w:p>
    <w:p>
      <w:pPr>
        <w:shd w:val="clear"/>
        <w:adjustRightIn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szCs w:val="24"/>
          <w:highlight w:val="none"/>
        </w:rPr>
        <w:t>日期:</w:t>
      </w:r>
    </w:p>
    <w:p>
      <w:pPr>
        <w:keepNext/>
        <w:keepLines/>
        <w:shd w:val="clear"/>
        <w:spacing w:before="240" w:beforeLines="100" w:after="240" w:afterLines="100"/>
        <w:rPr>
          <w:rFonts w:ascii="仿宋" w:hAnsi="仿宋" w:eastAsia="仿宋" w:cs="仿宋"/>
          <w:color w:val="auto"/>
          <w:szCs w:val="28"/>
          <w:highlight w:val="none"/>
        </w:rPr>
      </w:pPr>
      <w:r>
        <w:rPr>
          <w:rFonts w:hint="eastAsia" w:ascii="仿宋" w:hAnsi="仿宋" w:eastAsia="仿宋" w:cs="仿宋"/>
          <w:color w:val="auto"/>
          <w:szCs w:val="28"/>
          <w:highlight w:val="none"/>
        </w:rPr>
        <w:br w:type="page"/>
      </w:r>
      <w:bookmarkEnd w:id="849"/>
    </w:p>
    <w:p>
      <w:pPr>
        <w:pStyle w:val="4"/>
        <w:shd w:val="clear"/>
        <w:spacing w:before="240" w:beforeLines="100" w:after="240" w:afterLines="100" w:line="240" w:lineRule="auto"/>
        <w:jc w:val="center"/>
        <w:rPr>
          <w:rFonts w:ascii="仿宋" w:hAnsi="仿宋" w:eastAsia="仿宋" w:cs="仿宋"/>
          <w:color w:val="auto"/>
          <w:szCs w:val="28"/>
          <w:highlight w:val="none"/>
        </w:rPr>
      </w:pPr>
      <w:bookmarkStart w:id="850" w:name="_Toc2450"/>
      <w:bookmarkStart w:id="851" w:name="_Toc122"/>
      <w:bookmarkStart w:id="852" w:name="_Toc22215"/>
      <w:r>
        <w:rPr>
          <w:rFonts w:hint="eastAsia" w:ascii="仿宋" w:hAnsi="仿宋" w:eastAsia="仿宋" w:cs="仿宋"/>
          <w:color w:val="auto"/>
          <w:szCs w:val="28"/>
          <w:highlight w:val="none"/>
        </w:rPr>
        <w:t>（八）中小企业声明函(如涉及</w:t>
      </w:r>
      <w:bookmarkEnd w:id="850"/>
      <w:r>
        <w:rPr>
          <w:rFonts w:hint="eastAsia" w:ascii="仿宋" w:hAnsi="仿宋" w:eastAsia="仿宋" w:cs="仿宋"/>
          <w:color w:val="auto"/>
          <w:szCs w:val="28"/>
          <w:highlight w:val="none"/>
        </w:rPr>
        <w:t>)</w:t>
      </w:r>
      <w:bookmarkEnd w:id="851"/>
      <w:bookmarkEnd w:id="852"/>
    </w:p>
    <w:p>
      <w:pPr>
        <w:shd w:val="clear"/>
        <w:spacing w:line="588" w:lineRule="exact"/>
        <w:ind w:firstLine="480" w:firstLineChars="200"/>
        <w:rPr>
          <w:rFonts w:ascii="仿宋" w:hAnsi="仿宋" w:eastAsia="仿宋" w:cs="仿宋"/>
          <w:color w:val="auto"/>
          <w:sz w:val="24"/>
          <w:szCs w:val="24"/>
          <w:highlight w:val="none"/>
        </w:rPr>
      </w:pPr>
      <w:bookmarkStart w:id="853" w:name="_Toc8055"/>
      <w:bookmarkStart w:id="854" w:name="_Toc387658050"/>
      <w:bookmarkStart w:id="855" w:name="_Toc419811733"/>
      <w:bookmarkStart w:id="856" w:name="_Toc413748654"/>
      <w:bookmarkStart w:id="857" w:name="_Toc417911732"/>
      <w:bookmarkStart w:id="858" w:name="_Toc387147344"/>
      <w:r>
        <w:rPr>
          <w:rFonts w:hint="eastAsia" w:ascii="仿宋" w:hAnsi="仿宋" w:eastAsia="仿宋" w:cs="仿宋"/>
          <w:color w:val="auto"/>
          <w:sz w:val="24"/>
          <w:szCs w:val="24"/>
          <w:highlight w:val="none"/>
        </w:rPr>
        <w:t>本公司郑重声明，根据《政府采购促进中小企业发展管理办法》（财库﹝2020﹞46 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pPr>
        <w:shd w:val="clear"/>
        <w:spacing w:line="588"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崇州市公安局智能交通系统维护维修及网络传输服务采购项目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pPr>
        <w:shd w:val="clear"/>
        <w:spacing w:line="588"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shd w:val="clear"/>
        <w:spacing w:line="588"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hd w:val="clear"/>
        <w:spacing w:line="588"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以上企业，不属于大企业的分支机构，不存在控股股东为大企业的情形，也不存在与大企业的负责人为同一人的情形。 </w:t>
      </w:r>
    </w:p>
    <w:p>
      <w:pPr>
        <w:shd w:val="clear"/>
        <w:spacing w:line="588"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本企业对上述声明内容的真实性负责。如有虚假，将依法承担相应责任。 </w:t>
      </w:r>
    </w:p>
    <w:p>
      <w:pPr>
        <w:shd w:val="clear"/>
        <w:spacing w:line="588" w:lineRule="exact"/>
        <w:ind w:firstLine="480" w:firstLineChars="200"/>
        <w:rPr>
          <w:rFonts w:ascii="仿宋" w:hAnsi="仿宋" w:eastAsia="仿宋" w:cs="仿宋"/>
          <w:color w:val="auto"/>
          <w:sz w:val="24"/>
          <w:szCs w:val="24"/>
          <w:highlight w:val="none"/>
        </w:rPr>
      </w:pPr>
    </w:p>
    <w:p>
      <w:pPr>
        <w:shd w:val="clear"/>
        <w:spacing w:line="588"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pPr>
        <w:shd w:val="clear"/>
        <w:spacing w:line="588"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p>
    <w:p>
      <w:pPr>
        <w:pStyle w:val="15"/>
        <w:shd w:val="clear"/>
        <w:rPr>
          <w:color w:val="auto"/>
          <w:highlight w:val="none"/>
        </w:rPr>
      </w:pPr>
    </w:p>
    <w:p>
      <w:pPr>
        <w:pStyle w:val="92"/>
        <w:keepNext w:val="0"/>
        <w:keepLines w:val="0"/>
        <w:shd w:val="clear"/>
        <w:spacing w:before="0" w:after="0" w:line="240" w:lineRule="auto"/>
        <w:ind w:firstLine="480"/>
        <w:outlineLvl w:val="9"/>
        <w:rPr>
          <w:rFonts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注：1、从业人员、营业收入、资产总额填报上一年度数据，无上一年度数据的新成立企业可不填报。</w:t>
      </w:r>
    </w:p>
    <w:p>
      <w:pPr>
        <w:pStyle w:val="92"/>
        <w:keepNext w:val="0"/>
        <w:keepLines w:val="0"/>
        <w:shd w:val="clear"/>
        <w:spacing w:before="0" w:after="0" w:line="240" w:lineRule="auto"/>
        <w:ind w:firstLine="480"/>
        <w:outlineLvl w:val="9"/>
        <w:rPr>
          <w:rFonts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pStyle w:val="92"/>
        <w:keepNext w:val="0"/>
        <w:keepLines w:val="0"/>
        <w:shd w:val="clear"/>
        <w:spacing w:before="0" w:after="0" w:line="240" w:lineRule="auto"/>
        <w:ind w:firstLine="480"/>
        <w:outlineLvl w:val="9"/>
        <w:rPr>
          <w:rFonts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keepNext/>
        <w:keepLines/>
        <w:shd w:val="clear"/>
        <w:spacing w:before="240" w:beforeLines="100" w:after="240" w:afterLines="100"/>
        <w:rPr>
          <w:rFonts w:ascii="仿宋" w:hAnsi="仿宋" w:eastAsia="仿宋" w:cs="仿宋"/>
          <w:color w:val="auto"/>
          <w:szCs w:val="28"/>
          <w:highlight w:val="none"/>
        </w:rPr>
      </w:pPr>
      <w:r>
        <w:rPr>
          <w:rFonts w:hint="eastAsia" w:ascii="仿宋" w:hAnsi="仿宋" w:eastAsia="仿宋" w:cs="仿宋"/>
          <w:color w:val="auto"/>
          <w:szCs w:val="28"/>
          <w:highlight w:val="none"/>
        </w:rPr>
        <w:br w:type="page"/>
      </w:r>
    </w:p>
    <w:p>
      <w:pPr>
        <w:pStyle w:val="4"/>
        <w:shd w:val="clear"/>
        <w:spacing w:before="240" w:beforeLines="100" w:after="240" w:afterLines="100" w:line="240" w:lineRule="auto"/>
        <w:jc w:val="center"/>
        <w:rPr>
          <w:rFonts w:ascii="仿宋" w:hAnsi="仿宋" w:eastAsia="仿宋" w:cs="仿宋"/>
          <w:color w:val="auto"/>
          <w:szCs w:val="28"/>
          <w:highlight w:val="none"/>
        </w:rPr>
      </w:pPr>
      <w:bookmarkStart w:id="859" w:name="_Toc11278"/>
      <w:bookmarkStart w:id="860" w:name="_Toc27232"/>
      <w:bookmarkStart w:id="861" w:name="_Toc26771"/>
      <w:r>
        <w:rPr>
          <w:rFonts w:hint="eastAsia" w:ascii="仿宋" w:hAnsi="仿宋" w:eastAsia="仿宋" w:cs="仿宋"/>
          <w:color w:val="auto"/>
          <w:szCs w:val="28"/>
          <w:highlight w:val="none"/>
        </w:rPr>
        <w:t>（九）监狱企业相关证明材料</w:t>
      </w:r>
      <w:bookmarkEnd w:id="853"/>
      <w:r>
        <w:rPr>
          <w:rFonts w:hint="eastAsia" w:ascii="仿宋" w:hAnsi="仿宋" w:eastAsia="仿宋" w:cs="仿宋"/>
          <w:color w:val="auto"/>
          <w:szCs w:val="28"/>
          <w:highlight w:val="none"/>
        </w:rPr>
        <w:t>(如涉及</w:t>
      </w:r>
      <w:bookmarkEnd w:id="859"/>
      <w:r>
        <w:rPr>
          <w:rFonts w:hint="eastAsia" w:ascii="仿宋" w:hAnsi="仿宋" w:eastAsia="仿宋" w:cs="仿宋"/>
          <w:color w:val="auto"/>
          <w:szCs w:val="28"/>
          <w:highlight w:val="none"/>
        </w:rPr>
        <w:t>)</w:t>
      </w:r>
      <w:bookmarkEnd w:id="860"/>
      <w:bookmarkEnd w:id="861"/>
    </w:p>
    <w:p>
      <w:pPr>
        <w:shd w:val="clear"/>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p>
      <w:pPr>
        <w:shd w:val="clear"/>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①监狱企业参加政府采购活动时，应当提供由省级以上监狱管理局、戒毒管理局(含新疆生产建设兵团)出具的属于监狱企业的证明文件。</w:t>
      </w:r>
    </w:p>
    <w:p>
      <w:pPr>
        <w:shd w:val="clear"/>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②如未提供监狱企业相关证明材料的，则其评审中的监狱企业不能享受招标文件规定的价格扣除，但不影响供应投标文件的有效性。</w:t>
      </w:r>
    </w:p>
    <w:p>
      <w:pPr>
        <w:shd w:val="clea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③非监狱企业无需提供证明材料。</w:t>
      </w:r>
    </w:p>
    <w:p>
      <w:pPr>
        <w:keepNext/>
        <w:keepLines/>
        <w:shd w:val="clear"/>
        <w:spacing w:before="240" w:beforeLines="100" w:after="240" w:afterLines="100"/>
        <w:rPr>
          <w:rFonts w:ascii="仿宋" w:hAnsi="仿宋" w:eastAsia="仿宋" w:cs="仿宋"/>
          <w:color w:val="auto"/>
          <w:szCs w:val="28"/>
          <w:highlight w:val="none"/>
        </w:rPr>
      </w:pPr>
    </w:p>
    <w:p>
      <w:pPr>
        <w:keepNext/>
        <w:keepLines/>
        <w:shd w:val="clear"/>
        <w:spacing w:before="240" w:beforeLines="100" w:after="240" w:afterLines="100"/>
        <w:rPr>
          <w:rFonts w:ascii="仿宋" w:hAnsi="仿宋" w:eastAsia="仿宋" w:cs="仿宋"/>
          <w:color w:val="auto"/>
          <w:szCs w:val="28"/>
          <w:highlight w:val="none"/>
        </w:rPr>
      </w:pPr>
    </w:p>
    <w:p>
      <w:pPr>
        <w:keepNext/>
        <w:keepLines/>
        <w:shd w:val="clear"/>
        <w:spacing w:before="240" w:beforeLines="100" w:after="240" w:afterLines="100"/>
        <w:rPr>
          <w:rFonts w:ascii="仿宋" w:hAnsi="仿宋" w:eastAsia="仿宋" w:cs="仿宋"/>
          <w:color w:val="auto"/>
          <w:szCs w:val="28"/>
          <w:highlight w:val="none"/>
        </w:rPr>
      </w:pPr>
      <w:r>
        <w:rPr>
          <w:rFonts w:hint="eastAsia" w:ascii="仿宋" w:hAnsi="仿宋" w:eastAsia="仿宋" w:cs="仿宋"/>
          <w:color w:val="auto"/>
          <w:szCs w:val="28"/>
          <w:highlight w:val="none"/>
        </w:rPr>
        <w:br w:type="page"/>
      </w:r>
    </w:p>
    <w:p>
      <w:pPr>
        <w:pStyle w:val="4"/>
        <w:shd w:val="clear"/>
        <w:spacing w:before="240" w:beforeLines="100" w:after="240" w:afterLines="100" w:line="240" w:lineRule="auto"/>
        <w:jc w:val="center"/>
        <w:rPr>
          <w:rFonts w:ascii="仿宋" w:hAnsi="仿宋" w:eastAsia="仿宋" w:cs="仿宋"/>
          <w:color w:val="auto"/>
          <w:szCs w:val="28"/>
          <w:highlight w:val="none"/>
        </w:rPr>
      </w:pPr>
      <w:bookmarkStart w:id="862" w:name="_Toc7140"/>
      <w:bookmarkStart w:id="863" w:name="_Toc27384"/>
      <w:bookmarkStart w:id="864" w:name="_Toc25492"/>
      <w:r>
        <w:rPr>
          <w:rFonts w:hint="eastAsia" w:ascii="仿宋" w:hAnsi="仿宋" w:eastAsia="仿宋" w:cs="仿宋"/>
          <w:color w:val="auto"/>
          <w:szCs w:val="28"/>
          <w:highlight w:val="none"/>
        </w:rPr>
        <w:t>（十）残疾人福利性单位声明函(如涉及</w:t>
      </w:r>
      <w:bookmarkEnd w:id="862"/>
      <w:r>
        <w:rPr>
          <w:rFonts w:hint="eastAsia" w:ascii="仿宋" w:hAnsi="仿宋" w:eastAsia="仿宋" w:cs="仿宋"/>
          <w:color w:val="auto"/>
          <w:szCs w:val="28"/>
          <w:highlight w:val="none"/>
        </w:rPr>
        <w:t>)</w:t>
      </w:r>
      <w:bookmarkEnd w:id="863"/>
      <w:bookmarkEnd w:id="864"/>
    </w:p>
    <w:p>
      <w:pPr>
        <w:shd w:val="clear"/>
        <w:spacing w:line="588" w:lineRule="exact"/>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hd w:val="clear"/>
        <w:spacing w:line="588" w:lineRule="exact"/>
        <w:ind w:firstLine="504" w:firstLineChars="200"/>
        <w:rPr>
          <w:rFonts w:ascii="仿宋" w:hAnsi="仿宋" w:eastAsia="仿宋" w:cs="仿宋"/>
          <w:color w:val="auto"/>
          <w:spacing w:val="6"/>
          <w:sz w:val="24"/>
          <w:szCs w:val="24"/>
          <w:highlight w:val="none"/>
        </w:rPr>
      </w:pPr>
    </w:p>
    <w:p>
      <w:pPr>
        <w:shd w:val="clear"/>
        <w:spacing w:line="588" w:lineRule="exact"/>
        <w:ind w:firstLine="504" w:firstLineChars="200"/>
        <w:rPr>
          <w:rFonts w:ascii="仿宋" w:hAnsi="仿宋" w:eastAsia="仿宋" w:cs="仿宋"/>
          <w:color w:val="auto"/>
          <w:spacing w:val="6"/>
          <w:sz w:val="24"/>
          <w:szCs w:val="24"/>
          <w:highlight w:val="none"/>
        </w:rPr>
      </w:pPr>
    </w:p>
    <w:p>
      <w:pPr>
        <w:shd w:val="clear"/>
        <w:tabs>
          <w:tab w:val="left" w:pos="4860"/>
        </w:tabs>
        <w:spacing w:line="588" w:lineRule="exact"/>
        <w:ind w:right="1560" w:firstLine="504" w:firstLineChars="200"/>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pPr>
        <w:shd w:val="clear"/>
        <w:tabs>
          <w:tab w:val="left" w:pos="4860"/>
        </w:tabs>
        <w:spacing w:line="588" w:lineRule="exact"/>
        <w:ind w:right="1560" w:firstLine="504" w:firstLineChars="200"/>
        <w:jc w:val="center"/>
        <w:rPr>
          <w:rFonts w:ascii="仿宋" w:hAnsi="仿宋" w:eastAsia="仿宋" w:cs="仿宋"/>
          <w:color w:val="auto"/>
          <w:highlight w:val="none"/>
        </w:rPr>
      </w:pPr>
      <w:r>
        <w:rPr>
          <w:rFonts w:hint="eastAsia" w:ascii="仿宋" w:hAnsi="仿宋" w:eastAsia="仿宋" w:cs="仿宋"/>
          <w:color w:val="auto"/>
          <w:spacing w:val="6"/>
          <w:sz w:val="24"/>
          <w:szCs w:val="24"/>
          <w:highlight w:val="none"/>
        </w:rPr>
        <w:t xml:space="preserve">       日  期：</w:t>
      </w:r>
    </w:p>
    <w:bookmarkEnd w:id="854"/>
    <w:bookmarkEnd w:id="855"/>
    <w:bookmarkEnd w:id="856"/>
    <w:bookmarkEnd w:id="857"/>
    <w:bookmarkEnd w:id="858"/>
    <w:p>
      <w:pPr>
        <w:shd w:val="clear"/>
        <w:spacing w:line="400" w:lineRule="exact"/>
        <w:jc w:val="left"/>
        <w:rPr>
          <w:rFonts w:ascii="仿宋" w:hAnsi="仿宋" w:eastAsia="仿宋" w:cs="仿宋"/>
          <w:color w:val="auto"/>
          <w:sz w:val="24"/>
          <w:szCs w:val="24"/>
          <w:highlight w:val="none"/>
        </w:rPr>
      </w:pPr>
    </w:p>
    <w:p>
      <w:pPr>
        <w:shd w:val="clear"/>
        <w:adjustRightInd w:val="0"/>
        <w:spacing w:line="360" w:lineRule="auto"/>
        <w:jc w:val="center"/>
        <w:rPr>
          <w:rFonts w:ascii="仿宋" w:hAnsi="仿宋" w:eastAsia="仿宋" w:cs="仿宋"/>
          <w:b/>
          <w:bCs/>
          <w:color w:val="auto"/>
          <w:kern w:val="2"/>
          <w:sz w:val="32"/>
          <w:szCs w:val="28"/>
          <w:highlight w:val="none"/>
        </w:rPr>
      </w:pPr>
      <w:r>
        <w:rPr>
          <w:rFonts w:hint="eastAsia" w:ascii="仿宋" w:hAnsi="仿宋" w:eastAsia="仿宋" w:cs="仿宋"/>
          <w:b/>
          <w:bCs/>
          <w:color w:val="auto"/>
          <w:kern w:val="2"/>
          <w:sz w:val="32"/>
          <w:szCs w:val="28"/>
          <w:highlight w:val="none"/>
        </w:rPr>
        <w:br w:type="page"/>
      </w:r>
    </w:p>
    <w:p>
      <w:pPr>
        <w:pStyle w:val="4"/>
        <w:shd w:val="clear"/>
        <w:spacing w:before="240" w:beforeLines="100" w:after="240" w:afterLines="100" w:line="240" w:lineRule="auto"/>
        <w:jc w:val="center"/>
        <w:rPr>
          <w:rFonts w:ascii="仿宋" w:hAnsi="仿宋" w:eastAsia="仿宋" w:cs="仿宋"/>
          <w:color w:val="auto"/>
          <w:szCs w:val="28"/>
          <w:highlight w:val="none"/>
        </w:rPr>
      </w:pPr>
      <w:bookmarkStart w:id="865" w:name="_Toc18157"/>
      <w:r>
        <w:rPr>
          <w:rFonts w:hint="eastAsia" w:ascii="仿宋" w:hAnsi="仿宋" w:eastAsia="仿宋" w:cs="仿宋"/>
          <w:color w:val="auto"/>
          <w:szCs w:val="28"/>
          <w:highlight w:val="none"/>
        </w:rPr>
        <w:t>（十一）项目实施方案</w:t>
      </w:r>
      <w:bookmarkEnd w:id="865"/>
    </w:p>
    <w:p>
      <w:pPr>
        <w:shd w:val="clea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szCs w:val="24"/>
          <w:highlight w:val="none"/>
        </w:rPr>
        <w:t>注：格式自拟。</w:t>
      </w:r>
    </w:p>
    <w:p>
      <w:pPr>
        <w:pStyle w:val="4"/>
        <w:shd w:val="clear"/>
        <w:spacing w:before="240" w:beforeLines="100" w:after="240" w:afterLines="100" w:line="240" w:lineRule="auto"/>
        <w:rPr>
          <w:rFonts w:ascii="仿宋" w:hAnsi="仿宋" w:eastAsia="仿宋" w:cs="仿宋"/>
          <w:color w:val="auto"/>
          <w:szCs w:val="28"/>
          <w:highlight w:val="none"/>
        </w:rPr>
      </w:pPr>
      <w:r>
        <w:rPr>
          <w:rFonts w:hint="eastAsia" w:ascii="仿宋" w:hAnsi="仿宋" w:eastAsia="仿宋" w:cs="仿宋"/>
          <w:color w:val="auto"/>
          <w:szCs w:val="28"/>
          <w:highlight w:val="none"/>
        </w:rPr>
        <w:br w:type="page"/>
      </w:r>
      <w:bookmarkStart w:id="866" w:name="_Toc26174"/>
    </w:p>
    <w:p>
      <w:pPr>
        <w:pStyle w:val="4"/>
        <w:shd w:val="clear"/>
        <w:spacing w:before="240" w:beforeLines="100" w:after="240" w:afterLines="100" w:line="24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（十二）招标代理服务费承诺函</w:t>
      </w:r>
      <w:bookmarkEnd w:id="866"/>
    </w:p>
    <w:p>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成都倍信达工程管理咨询有限公司：</w:t>
      </w:r>
    </w:p>
    <w:p>
      <w:pPr>
        <w:shd w:val="clear"/>
        <w:wordWrap w:val="0"/>
        <w:spacing w:line="360" w:lineRule="auto"/>
        <w:ind w:firstLine="489" w:firstLineChars="204"/>
        <w:rPr>
          <w:rFonts w:ascii="仿宋" w:hAnsi="仿宋" w:eastAsia="仿宋" w:cs="仿宋"/>
          <w:color w:val="auto"/>
          <w:sz w:val="24"/>
          <w:highlight w:val="none"/>
        </w:rPr>
      </w:pPr>
      <w:r>
        <w:rPr>
          <w:rFonts w:hint="eastAsia" w:ascii="仿宋" w:hAnsi="仿宋" w:eastAsia="仿宋" w:cs="仿宋"/>
          <w:color w:val="auto"/>
          <w:sz w:val="24"/>
          <w:highlight w:val="none"/>
        </w:rPr>
        <w:t>我公司在贵公司代理的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公开招标中若获中标，我们保证在收到中标通知后2个工作日内按</w:t>
      </w:r>
      <w:r>
        <w:rPr>
          <w:rFonts w:hint="eastAsia" w:ascii="仿宋" w:hAnsi="仿宋" w:eastAsia="仿宋" w:cs="仿宋"/>
          <w:color w:val="auto"/>
          <w:sz w:val="24"/>
          <w:highlight w:val="none"/>
          <w:lang w:val="zh-CN"/>
        </w:rPr>
        <w:t>招标文件</w:t>
      </w:r>
      <w:r>
        <w:rPr>
          <w:rFonts w:hint="eastAsia" w:ascii="仿宋" w:hAnsi="仿宋" w:eastAsia="仿宋" w:cs="仿宋"/>
          <w:color w:val="auto"/>
          <w:sz w:val="24"/>
          <w:highlight w:val="none"/>
        </w:rPr>
        <w:t>的规定，以支票、银行汇票、电汇、现金或经贵公司认可的一种方式，向贵公司即</w:t>
      </w:r>
      <w:r>
        <w:rPr>
          <w:rFonts w:hint="eastAsia" w:ascii="仿宋" w:hAnsi="仿宋" w:eastAsia="仿宋" w:cs="仿宋"/>
          <w:color w:val="auto"/>
          <w:sz w:val="24"/>
          <w:highlight w:val="none"/>
          <w:lang w:val="zh-CN"/>
        </w:rPr>
        <w:t>成都倍信达工程管理咨询有限公司</w:t>
      </w:r>
      <w:r>
        <w:rPr>
          <w:rFonts w:hint="eastAsia" w:ascii="仿宋" w:hAnsi="仿宋" w:eastAsia="仿宋" w:cs="仿宋"/>
          <w:color w:val="auto"/>
          <w:sz w:val="24"/>
          <w:highlight w:val="none"/>
        </w:rPr>
        <w:t>指定的银行帐号，按照</w:t>
      </w:r>
      <w:r>
        <w:rPr>
          <w:rFonts w:hint="eastAsia" w:ascii="仿宋" w:hAnsi="仿宋" w:eastAsia="仿宋" w:cs="仿宋"/>
          <w:color w:val="auto"/>
          <w:sz w:val="24"/>
          <w:highlight w:val="none"/>
          <w:lang w:val="zh-CN"/>
        </w:rPr>
        <w:t>招标文件中</w:t>
      </w:r>
      <w:r>
        <w:rPr>
          <w:rFonts w:hint="eastAsia" w:ascii="仿宋" w:hAnsi="仿宋" w:eastAsia="仿宋" w:cs="仿宋"/>
          <w:color w:val="auto"/>
          <w:sz w:val="24"/>
          <w:highlight w:val="none"/>
        </w:rPr>
        <w:t>招标代理服务费收取标准一次性支付招标代理服务费。</w:t>
      </w:r>
    </w:p>
    <w:p>
      <w:pPr>
        <w:shd w:val="clear"/>
        <w:spacing w:line="360" w:lineRule="auto"/>
        <w:ind w:firstLine="435"/>
        <w:rPr>
          <w:rFonts w:ascii="仿宋" w:hAnsi="仿宋" w:eastAsia="仿宋" w:cs="仿宋"/>
          <w:color w:val="auto"/>
          <w:sz w:val="24"/>
          <w:highlight w:val="none"/>
        </w:rPr>
      </w:pP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pPr>
        <w:shd w:val="clear"/>
        <w:spacing w:line="360" w:lineRule="auto"/>
        <w:ind w:firstLine="435"/>
        <w:rPr>
          <w:rFonts w:ascii="仿宋" w:hAnsi="仿宋" w:eastAsia="仿宋" w:cs="仿宋"/>
          <w:color w:val="auto"/>
          <w:sz w:val="24"/>
          <w:highlight w:val="none"/>
        </w:rPr>
      </w:pPr>
    </w:p>
    <w:p>
      <w:pPr>
        <w:shd w:val="clear"/>
        <w:spacing w:line="360" w:lineRule="auto"/>
        <w:ind w:firstLine="435"/>
        <w:rPr>
          <w:rFonts w:ascii="仿宋" w:hAnsi="仿宋" w:eastAsia="仿宋" w:cs="仿宋"/>
          <w:color w:val="auto"/>
          <w:sz w:val="24"/>
          <w:highlight w:val="none"/>
        </w:rPr>
      </w:pPr>
    </w:p>
    <w:p>
      <w:pPr>
        <w:shd w:val="clea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承诺方法定名称(承诺方盖章)：</w:t>
      </w:r>
    </w:p>
    <w:p>
      <w:pPr>
        <w:shd w:val="clea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承诺日期：</w:t>
      </w:r>
    </w:p>
    <w:p>
      <w:pPr>
        <w:shd w:val="clear"/>
        <w:adjustRightInd w:val="0"/>
        <w:spacing w:line="360" w:lineRule="auto"/>
        <w:rPr>
          <w:rFonts w:ascii="仿宋" w:hAnsi="仿宋" w:eastAsia="仿宋" w:cs="仿宋"/>
          <w:b/>
          <w:color w:val="auto"/>
          <w:szCs w:val="34"/>
          <w:highlight w:val="none"/>
        </w:rPr>
      </w:pPr>
    </w:p>
    <w:p>
      <w:pPr>
        <w:shd w:val="clear"/>
        <w:adjustRightInd w:val="0"/>
        <w:spacing w:line="360" w:lineRule="auto"/>
        <w:rPr>
          <w:rFonts w:ascii="仿宋" w:hAnsi="仿宋" w:eastAsia="仿宋" w:cs="仿宋"/>
          <w:b/>
          <w:color w:val="auto"/>
          <w:szCs w:val="34"/>
          <w:highlight w:val="none"/>
        </w:rPr>
      </w:pPr>
    </w:p>
    <w:p>
      <w:pPr>
        <w:shd w:val="clear"/>
        <w:adjustRightInd w:val="0"/>
        <w:spacing w:line="360" w:lineRule="auto"/>
        <w:rPr>
          <w:rFonts w:ascii="仿宋" w:hAnsi="仿宋" w:eastAsia="仿宋" w:cs="仿宋"/>
          <w:b/>
          <w:color w:val="auto"/>
          <w:szCs w:val="34"/>
          <w:highlight w:val="none"/>
        </w:rPr>
      </w:pPr>
    </w:p>
    <w:p>
      <w:pPr>
        <w:shd w:val="clear"/>
        <w:adjustRightInd w:val="0"/>
        <w:spacing w:line="360" w:lineRule="auto"/>
        <w:rPr>
          <w:rFonts w:ascii="仿宋" w:hAnsi="仿宋" w:eastAsia="仿宋" w:cs="仿宋"/>
          <w:b/>
          <w:color w:val="auto"/>
          <w:szCs w:val="34"/>
          <w:highlight w:val="none"/>
        </w:rPr>
      </w:pPr>
    </w:p>
    <w:p>
      <w:pPr>
        <w:shd w:val="clear"/>
        <w:adjustRightInd w:val="0"/>
        <w:spacing w:line="360" w:lineRule="auto"/>
        <w:rPr>
          <w:rFonts w:ascii="仿宋" w:hAnsi="仿宋" w:eastAsia="仿宋" w:cs="仿宋"/>
          <w:b/>
          <w:color w:val="auto"/>
          <w:szCs w:val="34"/>
          <w:highlight w:val="none"/>
        </w:rPr>
      </w:pPr>
    </w:p>
    <w:p>
      <w:pPr>
        <w:shd w:val="clear"/>
        <w:adjustRightInd w:val="0"/>
        <w:spacing w:line="360" w:lineRule="auto"/>
        <w:rPr>
          <w:rFonts w:ascii="仿宋" w:hAnsi="仿宋" w:eastAsia="仿宋" w:cs="仿宋"/>
          <w:b/>
          <w:color w:val="auto"/>
          <w:szCs w:val="34"/>
          <w:highlight w:val="none"/>
        </w:rPr>
      </w:pPr>
    </w:p>
    <w:p>
      <w:pPr>
        <w:shd w:val="clear"/>
        <w:rPr>
          <w:rFonts w:ascii="仿宋" w:hAnsi="仿宋" w:eastAsia="仿宋" w:cs="仿宋"/>
          <w:b/>
          <w:bCs/>
          <w:color w:val="auto"/>
          <w:kern w:val="2"/>
          <w:sz w:val="32"/>
          <w:szCs w:val="28"/>
          <w:highlight w:val="none"/>
        </w:rPr>
      </w:pPr>
      <w:r>
        <w:rPr>
          <w:rFonts w:hint="eastAsia" w:ascii="仿宋" w:hAnsi="仿宋" w:eastAsia="仿宋" w:cs="仿宋"/>
          <w:b/>
          <w:bCs/>
          <w:color w:val="auto"/>
          <w:kern w:val="2"/>
          <w:sz w:val="32"/>
          <w:szCs w:val="28"/>
          <w:highlight w:val="none"/>
        </w:rPr>
        <w:br w:type="page"/>
      </w:r>
    </w:p>
    <w:p>
      <w:pPr>
        <w:shd w:val="clear"/>
        <w:adjustRightInd w:val="0"/>
        <w:spacing w:line="360" w:lineRule="auto"/>
        <w:jc w:val="center"/>
        <w:outlineLvl w:val="0"/>
        <w:rPr>
          <w:rFonts w:ascii="仿宋" w:hAnsi="仿宋" w:eastAsia="仿宋" w:cs="仿宋"/>
          <w:b/>
          <w:color w:val="auto"/>
          <w:sz w:val="36"/>
          <w:szCs w:val="36"/>
          <w:highlight w:val="none"/>
        </w:rPr>
      </w:pPr>
      <w:bookmarkStart w:id="867" w:name="_Toc11798"/>
      <w:bookmarkStart w:id="868" w:name="_Toc17786"/>
      <w:bookmarkStart w:id="869" w:name="_Toc28177"/>
      <w:bookmarkStart w:id="870" w:name="_Toc24126"/>
      <w:r>
        <w:rPr>
          <w:rFonts w:hint="eastAsia" w:ascii="仿宋" w:hAnsi="仿宋" w:eastAsia="仿宋" w:cs="仿宋"/>
          <w:b/>
          <w:color w:val="auto"/>
          <w:sz w:val="36"/>
          <w:szCs w:val="36"/>
          <w:highlight w:val="none"/>
        </w:rPr>
        <w:t>第四章 投标人</w:t>
      </w:r>
      <w:r>
        <w:rPr>
          <w:rFonts w:hint="eastAsia" w:ascii="仿宋" w:hAnsi="仿宋" w:eastAsia="仿宋" w:cs="仿宋"/>
          <w:b/>
          <w:color w:val="auto"/>
          <w:sz w:val="36"/>
          <w:szCs w:val="36"/>
          <w:highlight w:val="none"/>
          <w:lang w:val="zh-CN"/>
        </w:rPr>
        <w:t>和投标产品</w:t>
      </w:r>
      <w:r>
        <w:rPr>
          <w:rFonts w:hint="eastAsia" w:ascii="仿宋" w:hAnsi="仿宋" w:eastAsia="仿宋" w:cs="仿宋"/>
          <w:b/>
          <w:color w:val="auto"/>
          <w:sz w:val="36"/>
          <w:szCs w:val="36"/>
          <w:highlight w:val="none"/>
        </w:rPr>
        <w:t>的资格、资质性</w:t>
      </w:r>
      <w:bookmarkStart w:id="871" w:name="_Toc17884"/>
      <w:bookmarkStart w:id="872" w:name="_Toc21759"/>
      <w:bookmarkStart w:id="873" w:name="_Toc307501136"/>
      <w:bookmarkStart w:id="874" w:name="_Toc307564882"/>
      <w:bookmarkStart w:id="875" w:name="_Toc327196317"/>
      <w:bookmarkStart w:id="876" w:name="_Toc319439931"/>
      <w:r>
        <w:rPr>
          <w:rFonts w:hint="eastAsia" w:ascii="仿宋" w:hAnsi="仿宋" w:eastAsia="仿宋" w:cs="仿宋"/>
          <w:b/>
          <w:color w:val="auto"/>
          <w:sz w:val="36"/>
          <w:szCs w:val="36"/>
          <w:highlight w:val="none"/>
        </w:rPr>
        <w:t>及其他类似效力要求</w:t>
      </w:r>
      <w:bookmarkEnd w:id="777"/>
      <w:bookmarkEnd w:id="778"/>
      <w:bookmarkEnd w:id="867"/>
      <w:bookmarkEnd w:id="868"/>
      <w:bookmarkEnd w:id="869"/>
      <w:bookmarkEnd w:id="870"/>
      <w:bookmarkEnd w:id="871"/>
      <w:bookmarkEnd w:id="872"/>
      <w:bookmarkEnd w:id="873"/>
      <w:bookmarkEnd w:id="874"/>
      <w:bookmarkEnd w:id="875"/>
      <w:bookmarkEnd w:id="876"/>
    </w:p>
    <w:p>
      <w:pPr>
        <w:pStyle w:val="15"/>
        <w:shd w:val="clear"/>
        <w:spacing w:line="360" w:lineRule="auto"/>
        <w:rPr>
          <w:rFonts w:ascii="仿宋" w:hAnsi="仿宋" w:eastAsia="仿宋" w:cs="仿宋"/>
          <w:color w:val="auto"/>
          <w:highlight w:val="none"/>
          <w:lang w:val="zh-CN"/>
        </w:rPr>
      </w:pPr>
      <w:bookmarkStart w:id="877" w:name="_Toc14656"/>
      <w:bookmarkStart w:id="878" w:name="_Toc18335"/>
      <w:r>
        <w:rPr>
          <w:rFonts w:hint="eastAsia" w:ascii="仿宋" w:hAnsi="仿宋" w:eastAsia="仿宋" w:cs="仿宋"/>
          <w:color w:val="auto"/>
          <w:highlight w:val="none"/>
          <w:lang w:val="zh-CN"/>
        </w:rPr>
        <w:t>一、投标人的资格、资质性要求</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（一）《中华人民共和国政府采购法》第二十二条第一款第（一）至（五）规定的条件：</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1、具有独立承担民事责任的能力；</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2、具有良好的商业信誉和健全的财务会计制度；</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3、具有履行合同所必需的设备和专业技术能力；</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4、具有依法缴纳税收和社会保障资金的良好记录；</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5、参加本次政府采购活动前三年内，在经营活动中没有重大违法记录。</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（二）法律、行政法规规定的其他条件：</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1、投标人单位及其现任法定代表人/主要负责人不得具有行贿犯罪记录。</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2、单位负责人为同一人或者存在控股、管理关系的不同投标人，不得参加同一合同项下的政府采购活动。</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3、投标人未对本次采购项目提供过整体设计、规范编制或者项目管理、监理、检测等服务。</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（三）本项目不接受联合体投标。</w:t>
      </w:r>
    </w:p>
    <w:p>
      <w:pPr>
        <w:pStyle w:val="15"/>
        <w:shd w:val="clear"/>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二、投标产品的资格、资质性要求：</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无。</w:t>
      </w:r>
    </w:p>
    <w:p>
      <w:pPr>
        <w:pStyle w:val="15"/>
        <w:shd w:val="clear"/>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三、其他类似效力要求：</w:t>
      </w:r>
    </w:p>
    <w:p>
      <w:pPr>
        <w:pStyle w:val="15"/>
        <w:shd w:val="clear"/>
        <w:spacing w:line="360" w:lineRule="auto"/>
        <w:ind w:firstLine="679" w:firstLineChars="283"/>
        <w:rPr>
          <w:rFonts w:ascii="仿宋" w:hAnsi="仿宋" w:eastAsia="仿宋" w:cs="仿宋"/>
          <w:color w:val="auto"/>
          <w:highlight w:val="none"/>
          <w:lang w:val="zh-CN"/>
        </w:rPr>
      </w:pPr>
      <w:r>
        <w:rPr>
          <w:rFonts w:hint="eastAsia" w:ascii="仿宋" w:hAnsi="仿宋" w:eastAsia="仿宋" w:cs="仿宋"/>
          <w:color w:val="auto"/>
          <w:highlight w:val="none"/>
          <w:lang w:val="zh-CN"/>
        </w:rPr>
        <w:t>授权参加本次投标活动的投标人代表。</w:t>
      </w:r>
    </w:p>
    <w:p>
      <w:pPr>
        <w:pStyle w:val="66"/>
        <w:shd w:val="clear"/>
        <w:spacing w:line="420" w:lineRule="exact"/>
        <w:ind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szCs w:val="22"/>
          <w:highlight w:val="none"/>
        </w:rPr>
        <w:t>：1、本项目确定供应商重大违法记录中较大数额罚款的金额标准为：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标准金额为准：对非经营活动中公民的违法行为处以罚款或者没收财产2000元以上、法人或者其他组织的违法行为处以罚款或者没收财产2万元以上；对在经营活动中的违法行</w:t>
      </w:r>
      <w:r>
        <w:rPr>
          <w:rFonts w:hint="eastAsia" w:ascii="仿宋" w:hAnsi="仿宋" w:eastAsia="仿宋" w:cs="仿宋"/>
          <w:b/>
          <w:color w:val="auto"/>
          <w:sz w:val="24"/>
          <w:highlight w:val="none"/>
        </w:rPr>
        <w:t>为处以罚款或者没收财产5万元以上。</w:t>
      </w:r>
    </w:p>
    <w:p>
      <w:pPr>
        <w:pStyle w:val="66"/>
        <w:shd w:val="clear"/>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bookmarkEnd w:id="877"/>
    <w:bookmarkEnd w:id="878"/>
    <w:p>
      <w:pPr>
        <w:shd w:val="clear"/>
        <w:rPr>
          <w:rFonts w:ascii="仿宋" w:hAnsi="仿宋" w:eastAsia="仿宋" w:cs="仿宋"/>
          <w:color w:val="auto"/>
          <w:sz w:val="36"/>
          <w:szCs w:val="36"/>
          <w:highlight w:val="none"/>
        </w:rPr>
      </w:pPr>
      <w:bookmarkStart w:id="879" w:name="_Toc32032"/>
      <w:bookmarkStart w:id="880" w:name="_Toc22956"/>
      <w:bookmarkStart w:id="881" w:name="_Toc24888"/>
      <w:bookmarkStart w:id="882" w:name="_Toc7008"/>
      <w:bookmarkStart w:id="883" w:name="_Toc29476"/>
      <w:bookmarkStart w:id="884" w:name="_Toc30333"/>
      <w:r>
        <w:rPr>
          <w:rFonts w:hint="eastAsia" w:ascii="仿宋" w:hAnsi="仿宋" w:eastAsia="仿宋" w:cs="仿宋"/>
          <w:color w:val="auto"/>
          <w:sz w:val="36"/>
          <w:szCs w:val="36"/>
          <w:highlight w:val="none"/>
        </w:rPr>
        <w:br w:type="page"/>
      </w:r>
    </w:p>
    <w:p>
      <w:pPr>
        <w:pStyle w:val="3"/>
        <w:shd w:val="clear"/>
        <w:spacing w:before="260" w:after="260" w:line="360" w:lineRule="auto"/>
        <w:jc w:val="center"/>
        <w:rPr>
          <w:rFonts w:ascii="仿宋" w:hAnsi="仿宋" w:eastAsia="仿宋" w:cs="仿宋"/>
          <w:bCs w:val="0"/>
          <w:color w:val="auto"/>
          <w:sz w:val="36"/>
          <w:highlight w:val="none"/>
        </w:rPr>
      </w:pPr>
      <w:r>
        <w:rPr>
          <w:rFonts w:hint="eastAsia" w:ascii="仿宋" w:hAnsi="仿宋" w:eastAsia="仿宋" w:cs="仿宋"/>
          <w:bCs w:val="0"/>
          <w:color w:val="auto"/>
          <w:sz w:val="36"/>
          <w:szCs w:val="36"/>
          <w:highlight w:val="none"/>
        </w:rPr>
        <w:t xml:space="preserve">第五章 </w:t>
      </w:r>
      <w:bookmarkEnd w:id="879"/>
      <w:bookmarkEnd w:id="880"/>
      <w:bookmarkEnd w:id="881"/>
      <w:r>
        <w:rPr>
          <w:rFonts w:hint="eastAsia" w:ascii="仿宋" w:hAnsi="仿宋" w:eastAsia="仿宋" w:cs="仿宋"/>
          <w:bCs w:val="0"/>
          <w:color w:val="auto"/>
          <w:sz w:val="36"/>
          <w:szCs w:val="36"/>
          <w:highlight w:val="none"/>
        </w:rPr>
        <w:t>资格性审查</w:t>
      </w:r>
      <w:bookmarkEnd w:id="882"/>
      <w:bookmarkEnd w:id="883"/>
      <w:bookmarkEnd w:id="884"/>
    </w:p>
    <w:p>
      <w:pPr>
        <w:shd w:val="clear"/>
        <w:wordWrap w:val="0"/>
        <w:topLinePunct/>
        <w:spacing w:after="50" w:line="360" w:lineRule="auto"/>
        <w:ind w:firstLine="480" w:firstLineChars="200"/>
        <w:rPr>
          <w:rFonts w:ascii="仿宋" w:hAnsi="仿宋" w:eastAsia="仿宋" w:cs="仿宋"/>
          <w:bCs/>
          <w:color w:val="auto"/>
          <w:sz w:val="24"/>
          <w:szCs w:val="24"/>
          <w:highlight w:val="none"/>
        </w:rPr>
      </w:pPr>
      <w:bookmarkStart w:id="885" w:name="_Toc327196332"/>
      <w:bookmarkStart w:id="886" w:name="_Toc32482"/>
      <w:r>
        <w:rPr>
          <w:rFonts w:hint="eastAsia" w:ascii="仿宋" w:hAnsi="仿宋" w:eastAsia="仿宋" w:cs="仿宋"/>
          <w:bCs/>
          <w:color w:val="auto"/>
          <w:sz w:val="24"/>
          <w:szCs w:val="24"/>
          <w:highlight w:val="none"/>
        </w:rPr>
        <w:t>一、投标人的资格、资质性要求相关证明材料：</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（一）具有独立承担民事责任能力的证明材料复印件：</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企业法人：提供“统一社会信用代码营业执照”；</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事业法人：提供“统一社会信用代码法人登记证书”；</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其他组织：提供“对应主管部门颁发的准许执业证明文件”或“统一社会信用代码的社会团体法人登记证书”或“统一社会信用代码的民办非企业单位登记证书”或“统一社会信用代码的基金会法人登记证书”；</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4、个体工商户</w:t>
      </w:r>
      <w:r>
        <w:rPr>
          <w:rFonts w:hint="eastAsia" w:ascii="仿宋" w:hAnsi="仿宋" w:eastAsia="仿宋" w:cs="仿宋"/>
          <w:bCs/>
          <w:color w:val="auto"/>
          <w:sz w:val="24"/>
          <w:szCs w:val="24"/>
          <w:highlight w:val="none"/>
          <w:lang w:val="zh-CN"/>
        </w:rPr>
        <w:t>：提供“统一社会信用代码营业执照”；</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val="zh-CN"/>
        </w:rPr>
        <w:t>自然人：提供“身份证明材料”。</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（二）具有良好的商业信誉的承诺函原件。</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（三）</w:t>
      </w:r>
      <w:r>
        <w:rPr>
          <w:rFonts w:hint="eastAsia" w:ascii="仿宋" w:hAnsi="仿宋" w:eastAsia="仿宋" w:cs="仿宋"/>
          <w:bCs/>
          <w:color w:val="auto"/>
          <w:sz w:val="24"/>
          <w:szCs w:val="24"/>
          <w:highlight w:val="none"/>
        </w:rPr>
        <w:t>具备健全的财务会计制度证明材料复印件：</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成立满一年的</w:t>
      </w:r>
      <w:r>
        <w:rPr>
          <w:rFonts w:hint="eastAsia" w:ascii="仿宋" w:hAnsi="仿宋" w:eastAsia="仿宋" w:cs="仿宋"/>
          <w:bCs/>
          <w:color w:val="auto"/>
          <w:sz w:val="24"/>
          <w:szCs w:val="24"/>
          <w:highlight w:val="none"/>
          <w:lang w:val="zh-CN"/>
        </w:rPr>
        <w:t>企业法人（</w:t>
      </w:r>
      <w:r>
        <w:rPr>
          <w:rFonts w:hint="eastAsia" w:ascii="仿宋" w:hAnsi="仿宋" w:eastAsia="仿宋" w:cs="仿宋"/>
          <w:bCs/>
          <w:color w:val="auto"/>
          <w:sz w:val="24"/>
          <w:szCs w:val="24"/>
          <w:highlight w:val="none"/>
        </w:rPr>
        <w:t>以下三项内容任选一项即可</w:t>
      </w:r>
      <w:r>
        <w:rPr>
          <w:rFonts w:hint="eastAsia" w:ascii="仿宋" w:hAnsi="仿宋" w:eastAsia="仿宋" w:cs="仿宋"/>
          <w:bCs/>
          <w:color w:val="auto"/>
          <w:sz w:val="24"/>
          <w:szCs w:val="24"/>
          <w:highlight w:val="none"/>
          <w:lang w:val="zh-CN"/>
        </w:rPr>
        <w:t>）：</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①可提供</w:t>
      </w:r>
      <w:r>
        <w:rPr>
          <w:rFonts w:hint="eastAsia" w:ascii="仿宋" w:hAnsi="仿宋" w:eastAsia="仿宋" w:cs="仿宋"/>
          <w:bCs/>
          <w:color w:val="auto"/>
          <w:sz w:val="24"/>
          <w:szCs w:val="24"/>
          <w:highlight w:val="none"/>
        </w:rPr>
        <w:t>2019年度或2020年度</w:t>
      </w:r>
      <w:r>
        <w:rPr>
          <w:rFonts w:hint="eastAsia" w:ascii="仿宋" w:hAnsi="仿宋" w:eastAsia="仿宋" w:cs="仿宋"/>
          <w:bCs/>
          <w:color w:val="auto"/>
          <w:sz w:val="24"/>
          <w:szCs w:val="24"/>
          <w:highlight w:val="none"/>
          <w:lang w:val="zh-CN"/>
        </w:rPr>
        <w:t>会计师事务所</w:t>
      </w:r>
      <w:r>
        <w:rPr>
          <w:rFonts w:hint="eastAsia" w:ascii="仿宋" w:hAnsi="仿宋" w:eastAsia="仿宋" w:cs="仿宋"/>
          <w:bCs/>
          <w:color w:val="auto"/>
          <w:sz w:val="24"/>
          <w:szCs w:val="24"/>
          <w:highlight w:val="none"/>
        </w:rPr>
        <w:t>出具的</w:t>
      </w:r>
      <w:r>
        <w:rPr>
          <w:rFonts w:hint="eastAsia" w:ascii="仿宋" w:hAnsi="仿宋" w:eastAsia="仿宋" w:cs="仿宋"/>
          <w:bCs/>
          <w:color w:val="auto"/>
          <w:sz w:val="24"/>
          <w:szCs w:val="24"/>
          <w:highlight w:val="none"/>
          <w:lang w:val="zh-CN"/>
        </w:rPr>
        <w:t>审计报告复印件。</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注：会计师事务所出具的审计报告应</w:t>
      </w:r>
      <w:r>
        <w:rPr>
          <w:rFonts w:hint="eastAsia" w:ascii="仿宋" w:hAnsi="仿宋" w:eastAsia="仿宋" w:cs="仿宋"/>
          <w:bCs/>
          <w:color w:val="auto"/>
          <w:sz w:val="24"/>
          <w:szCs w:val="24"/>
          <w:highlight w:val="none"/>
          <w:lang w:val="zh-CN"/>
        </w:rPr>
        <w:t>包含审计报告、所涉及的财务报表、报表附注、</w:t>
      </w:r>
      <w:r>
        <w:rPr>
          <w:rFonts w:hint="eastAsia" w:ascii="仿宋" w:hAnsi="仿宋" w:eastAsia="仿宋" w:cs="仿宋"/>
          <w:bCs/>
          <w:color w:val="auto"/>
          <w:sz w:val="24"/>
          <w:szCs w:val="24"/>
          <w:highlight w:val="none"/>
        </w:rPr>
        <w:t>会计师事务所营业执照、会计师事务所执业证书、</w:t>
      </w:r>
      <w:r>
        <w:rPr>
          <w:rFonts w:hint="eastAsia" w:ascii="仿宋" w:hAnsi="仿宋" w:eastAsia="仿宋" w:cs="仿宋"/>
          <w:bCs/>
          <w:color w:val="auto"/>
          <w:sz w:val="24"/>
          <w:szCs w:val="24"/>
          <w:highlight w:val="none"/>
          <w:lang w:val="zh-CN"/>
        </w:rPr>
        <w:t>签署审计报告的注册会计师</w:t>
      </w:r>
      <w:r>
        <w:rPr>
          <w:rFonts w:hint="eastAsia" w:ascii="仿宋" w:hAnsi="仿宋" w:eastAsia="仿宋" w:cs="仿宋"/>
          <w:bCs/>
          <w:color w:val="auto"/>
          <w:sz w:val="24"/>
          <w:szCs w:val="24"/>
          <w:highlight w:val="none"/>
        </w:rPr>
        <w:t>执业</w:t>
      </w:r>
      <w:r>
        <w:rPr>
          <w:rFonts w:hint="eastAsia" w:ascii="仿宋" w:hAnsi="仿宋" w:eastAsia="仿宋" w:cs="仿宋"/>
          <w:bCs/>
          <w:color w:val="auto"/>
          <w:sz w:val="24"/>
          <w:szCs w:val="24"/>
          <w:highlight w:val="none"/>
          <w:lang w:val="zh-CN"/>
        </w:rPr>
        <w:t>证明</w:t>
      </w:r>
      <w:r>
        <w:rPr>
          <w:rFonts w:hint="eastAsia" w:ascii="仿宋" w:hAnsi="仿宋" w:eastAsia="仿宋" w:cs="仿宋"/>
          <w:bCs/>
          <w:color w:val="auto"/>
          <w:sz w:val="24"/>
          <w:szCs w:val="24"/>
          <w:highlight w:val="none"/>
        </w:rPr>
        <w:t>。</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若是由</w:t>
      </w:r>
      <w:r>
        <w:rPr>
          <w:color w:val="auto"/>
          <w:highlight w:val="none"/>
        </w:rPr>
        <w:fldChar w:fldCharType="begin"/>
      </w:r>
      <w:r>
        <w:rPr>
          <w:color w:val="auto"/>
          <w:highlight w:val="none"/>
        </w:rPr>
        <w:instrText xml:space="preserve"> HYPERLINK "https://www.baidu.com/s?wd=%E6%9C%89%E9%99%90%E8%B4%A3%E4%BB%BB&amp;tn=SE_PcZhidaonwhc_ngpagmjz&amp;rsv_dl=gh_pc_zhidao" \t "https://zhidao.baidu.com/question/_blank" </w:instrText>
      </w:r>
      <w:r>
        <w:rPr>
          <w:color w:val="auto"/>
          <w:highlight w:val="none"/>
        </w:rPr>
        <w:fldChar w:fldCharType="separate"/>
      </w:r>
      <w:r>
        <w:rPr>
          <w:rFonts w:hint="eastAsia" w:ascii="仿宋" w:hAnsi="仿宋" w:eastAsia="仿宋" w:cs="仿宋"/>
          <w:bCs/>
          <w:color w:val="auto"/>
          <w:sz w:val="24"/>
          <w:szCs w:val="24"/>
          <w:highlight w:val="none"/>
          <w:lang w:val="zh-CN"/>
        </w:rPr>
        <w:t>有限责任</w:t>
      </w:r>
      <w:r>
        <w:rPr>
          <w:rFonts w:ascii="仿宋" w:hAnsi="仿宋" w:eastAsia="仿宋" w:cs="仿宋"/>
          <w:bCs/>
          <w:color w:val="auto"/>
          <w:sz w:val="24"/>
          <w:szCs w:val="24"/>
          <w:highlight w:val="none"/>
          <w:lang w:val="zh-CN"/>
        </w:rPr>
        <w:fldChar w:fldCharType="end"/>
      </w:r>
      <w:r>
        <w:rPr>
          <w:rFonts w:hint="eastAsia" w:ascii="仿宋" w:hAnsi="仿宋" w:eastAsia="仿宋" w:cs="仿宋"/>
          <w:bCs/>
          <w:color w:val="auto"/>
          <w:sz w:val="24"/>
          <w:szCs w:val="24"/>
          <w:highlight w:val="none"/>
          <w:lang w:val="zh-CN"/>
        </w:rPr>
        <w:t>会计师事务所出具的审计报告，</w:t>
      </w:r>
      <w:r>
        <w:rPr>
          <w:rFonts w:hint="eastAsia" w:ascii="仿宋" w:hAnsi="仿宋" w:eastAsia="仿宋" w:cs="仿宋"/>
          <w:bCs/>
          <w:color w:val="auto"/>
          <w:sz w:val="24"/>
          <w:szCs w:val="24"/>
          <w:highlight w:val="none"/>
        </w:rPr>
        <w:t>主任会计师未签署审计报告的，</w:t>
      </w:r>
      <w:r>
        <w:rPr>
          <w:rFonts w:hint="eastAsia" w:ascii="仿宋" w:hAnsi="仿宋" w:eastAsia="仿宋" w:cs="仿宋"/>
          <w:bCs/>
          <w:color w:val="auto"/>
          <w:sz w:val="24"/>
          <w:szCs w:val="24"/>
          <w:highlight w:val="none"/>
          <w:lang w:val="zh-CN"/>
        </w:rPr>
        <w:t>应当</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zh-CN"/>
        </w:rPr>
        <w:t>会计师事务所授权会计师</w:t>
      </w:r>
      <w:r>
        <w:rPr>
          <w:rFonts w:hint="eastAsia" w:ascii="仿宋" w:hAnsi="仿宋" w:eastAsia="仿宋" w:cs="仿宋"/>
          <w:bCs/>
          <w:color w:val="auto"/>
          <w:sz w:val="24"/>
          <w:szCs w:val="24"/>
          <w:highlight w:val="none"/>
        </w:rPr>
        <w:t>签署审计报告的授权书复印件。</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②也可提供自行编制的</w:t>
      </w:r>
      <w:r>
        <w:rPr>
          <w:rFonts w:hint="eastAsia" w:ascii="仿宋" w:hAnsi="仿宋" w:eastAsia="仿宋" w:cs="仿宋"/>
          <w:bCs/>
          <w:color w:val="auto"/>
          <w:sz w:val="24"/>
          <w:szCs w:val="24"/>
          <w:highlight w:val="none"/>
        </w:rPr>
        <w:t>2019年度或2020年度</w:t>
      </w:r>
      <w:r>
        <w:rPr>
          <w:rFonts w:hint="eastAsia" w:ascii="仿宋" w:hAnsi="仿宋" w:eastAsia="仿宋" w:cs="仿宋"/>
          <w:bCs/>
          <w:color w:val="auto"/>
          <w:sz w:val="24"/>
          <w:szCs w:val="24"/>
          <w:highlight w:val="none"/>
          <w:lang w:val="zh-CN"/>
        </w:rPr>
        <w:t>财务状况复印件。</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注：财务报告应</w:t>
      </w:r>
      <w:r>
        <w:rPr>
          <w:rFonts w:hint="eastAsia" w:ascii="仿宋" w:hAnsi="仿宋" w:eastAsia="仿宋" w:cs="仿宋"/>
          <w:bCs/>
          <w:color w:val="auto"/>
          <w:sz w:val="24"/>
          <w:szCs w:val="24"/>
          <w:highlight w:val="none"/>
          <w:lang w:val="zh-CN"/>
        </w:rPr>
        <w:t>包含资产负债表、</w:t>
      </w:r>
      <w:r>
        <w:rPr>
          <w:rFonts w:hint="eastAsia" w:ascii="仿宋" w:hAnsi="仿宋" w:eastAsia="仿宋" w:cs="仿宋"/>
          <w:bCs/>
          <w:color w:val="auto"/>
          <w:sz w:val="24"/>
          <w:szCs w:val="24"/>
          <w:highlight w:val="none"/>
        </w:rPr>
        <w:t>利润表（或称损益表）、现金流量表。以上三表均需具有单位负责人、主管会计工作负责人、财务（会计）机构负责人的签字或签章。</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③也可提供开户银行出具的资信证明复印件。</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注：资信证明出具时间需在投标截止时间前3个月内。</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成立时间至递交响应文件截止时间为止不足一年的</w:t>
      </w:r>
      <w:r>
        <w:rPr>
          <w:rFonts w:hint="eastAsia" w:ascii="仿宋" w:hAnsi="仿宋" w:eastAsia="仿宋" w:cs="仿宋"/>
          <w:bCs/>
          <w:color w:val="auto"/>
          <w:sz w:val="24"/>
          <w:szCs w:val="24"/>
          <w:highlight w:val="none"/>
        </w:rPr>
        <w:t xml:space="preserve">企业法人： </w:t>
      </w:r>
      <w:r>
        <w:rPr>
          <w:rFonts w:hint="eastAsia" w:ascii="仿宋" w:hAnsi="仿宋" w:eastAsia="仿宋" w:cs="仿宋"/>
          <w:bCs/>
          <w:color w:val="auto"/>
          <w:sz w:val="24"/>
          <w:szCs w:val="24"/>
          <w:highlight w:val="none"/>
          <w:lang w:val="zh-CN"/>
        </w:rPr>
        <w:t>提供在工商备案的公司章程复印件。</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事业单位或其他组织</w:t>
      </w:r>
      <w:r>
        <w:rPr>
          <w:rFonts w:hint="eastAsia" w:ascii="仿宋" w:hAnsi="仿宋" w:eastAsia="仿宋" w:cs="仿宋"/>
          <w:bCs/>
          <w:color w:val="auto"/>
          <w:sz w:val="24"/>
          <w:szCs w:val="24"/>
          <w:highlight w:val="none"/>
        </w:rPr>
        <w:t>或个体工商户或自然人：</w:t>
      </w:r>
      <w:r>
        <w:rPr>
          <w:rFonts w:hint="eastAsia" w:ascii="仿宋" w:hAnsi="仿宋" w:eastAsia="仿宋" w:cs="仿宋"/>
          <w:bCs/>
          <w:color w:val="auto"/>
          <w:sz w:val="24"/>
          <w:szCs w:val="24"/>
          <w:highlight w:val="none"/>
          <w:lang w:val="zh-CN"/>
        </w:rPr>
        <w:t>提供其具有健全的财务会计制度的承诺函原件。</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（四）</w:t>
      </w:r>
      <w:r>
        <w:rPr>
          <w:rFonts w:hint="eastAsia" w:ascii="仿宋" w:hAnsi="仿宋" w:eastAsia="仿宋" w:cs="仿宋"/>
          <w:bCs/>
          <w:color w:val="auto"/>
          <w:sz w:val="24"/>
          <w:szCs w:val="24"/>
          <w:highlight w:val="none"/>
        </w:rPr>
        <w:t>依法缴纳税收的承诺函原件。</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（五）依法缴纳社保的承诺函原件。</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（六）具备履行合同所必需的设备和专业技术能力的承诺函原件。</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（七）参加政府采购活动前3年内在经营活动中没有重大违法记录的承诺函原件</w:t>
      </w:r>
      <w:r>
        <w:rPr>
          <w:rFonts w:hint="eastAsia" w:ascii="仿宋" w:hAnsi="仿宋" w:eastAsia="仿宋" w:cs="仿宋"/>
          <w:bCs/>
          <w:color w:val="auto"/>
          <w:sz w:val="24"/>
          <w:szCs w:val="24"/>
          <w:highlight w:val="none"/>
        </w:rPr>
        <w:t>。</w:t>
      </w:r>
    </w:p>
    <w:p>
      <w:pPr>
        <w:shd w:val="clear"/>
        <w:wordWrap w:val="0"/>
        <w:topLinePunct/>
        <w:spacing w:after="50" w:line="360" w:lineRule="auto"/>
        <w:ind w:firstLine="480" w:firstLineChars="200"/>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（八）</w:t>
      </w:r>
      <w:r>
        <w:rPr>
          <w:rFonts w:hint="eastAsia" w:ascii="仿宋" w:hAnsi="仿宋" w:eastAsia="仿宋" w:cs="仿宋"/>
          <w:bCs/>
          <w:color w:val="auto"/>
          <w:sz w:val="24"/>
          <w:szCs w:val="24"/>
          <w:highlight w:val="none"/>
          <w:lang w:val="zh-CN"/>
        </w:rPr>
        <w:t>具备法律、行政法规规定的其他条件的</w:t>
      </w:r>
      <w:r>
        <w:rPr>
          <w:rFonts w:hint="eastAsia" w:ascii="仿宋" w:hAnsi="仿宋" w:eastAsia="仿宋" w:cs="仿宋"/>
          <w:bCs/>
          <w:color w:val="auto"/>
          <w:sz w:val="24"/>
          <w:szCs w:val="24"/>
          <w:highlight w:val="none"/>
        </w:rPr>
        <w:t>相关</w:t>
      </w:r>
      <w:r>
        <w:rPr>
          <w:rFonts w:hint="eastAsia" w:ascii="仿宋" w:hAnsi="仿宋" w:eastAsia="仿宋" w:cs="仿宋"/>
          <w:bCs/>
          <w:color w:val="auto"/>
          <w:sz w:val="24"/>
          <w:szCs w:val="24"/>
          <w:highlight w:val="none"/>
          <w:lang w:val="zh-CN"/>
        </w:rPr>
        <w:t>材料：</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1、投标人单位及其现任法定代表人/主要负责人不具有行贿犯罪记录的承诺函原件。</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2、单位负责人为同一人或者存在控股、管理关系的不同投标人，不会参加同一合同项下的政府采购活动的承诺函原件。</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3、未对本次采购项目提供过整体设计、规范编制或者项目管理、监理、检测等服务的承诺函原件。</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4、符合其它法律、</w:t>
      </w:r>
      <w:r>
        <w:rPr>
          <w:rFonts w:hint="eastAsia" w:ascii="仿宋" w:hAnsi="仿宋" w:eastAsia="仿宋" w:cs="仿宋"/>
          <w:bCs/>
          <w:color w:val="auto"/>
          <w:sz w:val="24"/>
          <w:szCs w:val="24"/>
          <w:highlight w:val="none"/>
          <w:lang w:val="zh-CN"/>
        </w:rPr>
        <w:t>行政法规规定的</w:t>
      </w:r>
      <w:r>
        <w:rPr>
          <w:rFonts w:hint="eastAsia" w:ascii="仿宋" w:hAnsi="仿宋" w:eastAsia="仿宋" w:cs="仿宋"/>
          <w:bCs/>
          <w:color w:val="auto"/>
          <w:sz w:val="24"/>
          <w:szCs w:val="24"/>
          <w:highlight w:val="none"/>
        </w:rPr>
        <w:t>承诺函原件。</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二、投标产品的资格、资质性要求相关证明材料：</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无。</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三、其他类似效力要求相关证明材料：</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法定代表人证明书。</w:t>
      </w:r>
    </w:p>
    <w:p>
      <w:pPr>
        <w:shd w:val="clear"/>
        <w:wordWrap w:val="0"/>
        <w:topLinePunct/>
        <w:spacing w:after="50" w:line="360" w:lineRule="auto"/>
        <w:rPr>
          <w:rFonts w:ascii="仿宋" w:hAnsi="仿宋" w:eastAsia="仿宋" w:cs="仿宋"/>
          <w:bCs/>
          <w:color w:val="auto"/>
          <w:sz w:val="24"/>
          <w:szCs w:val="24"/>
          <w:highlight w:val="none"/>
        </w:rPr>
      </w:pP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p>
    <w:p>
      <w:pPr>
        <w:numPr>
          <w:ilvl w:val="0"/>
          <w:numId w:val="11"/>
        </w:num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相关证明材料为复印件的，复印件必须加盖相关投标人公章。</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上述内容中涉及承诺函的，投标人可以单独提供，也可以在相关资格承诺函中一并进行承诺。</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投标人若未将用于资格审查的证明材料装订入投标文件（资格性部分）的，视为未提供相应资格证明材料，资格审查将不予通过。</w:t>
      </w:r>
      <w:bookmarkEnd w:id="885"/>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根据《政府采购货物和服务招标投标管理办法》(财政部令第87号)第四十四条对投标人的资格进行审查。</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本项目由采购人或者采购代理机构依法对投标人的资格进行审查，并出具书面的资格性审查结果。</w:t>
      </w:r>
    </w:p>
    <w:p>
      <w:pPr>
        <w:shd w:val="clear"/>
        <w:wordWrap w:val="0"/>
        <w:topLinePunct/>
        <w:spacing w:after="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合格投标人不足3家的，不得评标。</w:t>
      </w:r>
    </w:p>
    <w:p>
      <w:pPr>
        <w:pStyle w:val="3"/>
        <w:numPr>
          <w:ilvl w:val="0"/>
          <w:numId w:val="12"/>
        </w:numPr>
        <w:shd w:val="clear"/>
        <w:spacing w:before="260" w:after="260" w:line="360" w:lineRule="auto"/>
        <w:jc w:val="center"/>
        <w:rPr>
          <w:rFonts w:ascii="仿宋" w:hAnsi="仿宋" w:eastAsia="仿宋" w:cs="仿宋"/>
          <w:bCs w:val="0"/>
          <w:color w:val="auto"/>
          <w:kern w:val="0"/>
          <w:sz w:val="36"/>
          <w:szCs w:val="22"/>
          <w:highlight w:val="none"/>
        </w:rPr>
      </w:pPr>
      <w:r>
        <w:rPr>
          <w:rFonts w:hint="eastAsia" w:ascii="仿宋" w:hAnsi="仿宋" w:eastAsia="仿宋" w:cs="仿宋"/>
          <w:bCs w:val="0"/>
          <w:color w:val="auto"/>
          <w:sz w:val="36"/>
          <w:highlight w:val="none"/>
        </w:rPr>
        <w:br w:type="page"/>
      </w:r>
      <w:bookmarkStart w:id="887" w:name="_Toc24960"/>
      <w:bookmarkStart w:id="888" w:name="_Toc19791"/>
      <w:bookmarkStart w:id="889" w:name="_Toc23373"/>
      <w:bookmarkStart w:id="890" w:name="_Toc12698"/>
      <w:bookmarkStart w:id="891" w:name="_Toc25998"/>
      <w:bookmarkStart w:id="892" w:name="OLE_LINK4"/>
      <w:r>
        <w:rPr>
          <w:rFonts w:hint="eastAsia" w:ascii="仿宋" w:hAnsi="仿宋" w:eastAsia="仿宋" w:cs="仿宋"/>
          <w:bCs w:val="0"/>
          <w:color w:val="auto"/>
          <w:kern w:val="0"/>
          <w:sz w:val="36"/>
          <w:szCs w:val="22"/>
          <w:highlight w:val="none"/>
        </w:rPr>
        <w:t>招标项目技术、服务及其他要求</w:t>
      </w:r>
      <w:bookmarkEnd w:id="886"/>
      <w:bookmarkEnd w:id="887"/>
      <w:bookmarkEnd w:id="888"/>
      <w:bookmarkEnd w:id="889"/>
      <w:bookmarkEnd w:id="890"/>
      <w:bookmarkEnd w:id="891"/>
      <w:bookmarkEnd w:id="892"/>
      <w:bookmarkStart w:id="893" w:name="_Toc27469"/>
      <w:bookmarkStart w:id="894" w:name="_Toc1541"/>
      <w:bookmarkStart w:id="895" w:name="_Toc319439948"/>
      <w:bookmarkStart w:id="896" w:name="_Toc307501157"/>
      <w:bookmarkStart w:id="897" w:name="_Toc307564899"/>
      <w:bookmarkStart w:id="898" w:name="_Toc308188201"/>
      <w:bookmarkStart w:id="899" w:name="_Toc319440192"/>
      <w:bookmarkStart w:id="900" w:name="_Toc29864"/>
      <w:bookmarkStart w:id="901" w:name="_Toc12025"/>
      <w:bookmarkStart w:id="902" w:name="_Toc309897566"/>
      <w:bookmarkStart w:id="903" w:name="_Toc1839"/>
      <w:bookmarkStart w:id="904" w:name="_Toc308084648"/>
      <w:bookmarkStart w:id="905" w:name="_Toc23360"/>
      <w:bookmarkStart w:id="906" w:name="_Toc32159"/>
      <w:bookmarkStart w:id="907" w:name="_Toc327196343"/>
      <w:bookmarkStart w:id="908" w:name="_Toc217446060"/>
      <w:bookmarkStart w:id="909" w:name="_Toc217446099"/>
    </w:p>
    <w:p>
      <w:pPr>
        <w:shd w:val="clear"/>
        <w:adjustRightInd w:val="0"/>
        <w:snapToGrid w:val="0"/>
        <w:spacing w:before="120" w:after="120" w:line="520" w:lineRule="exact"/>
        <w:ind w:firstLine="482" w:firstLineChars="200"/>
        <w:outlineLvl w:val="1"/>
        <w:rPr>
          <w:rFonts w:ascii="仿宋" w:hAnsi="仿宋" w:eastAsia="仿宋" w:cs="仿宋"/>
          <w:b/>
          <w:bCs/>
          <w:color w:val="auto"/>
          <w:sz w:val="24"/>
          <w:szCs w:val="24"/>
          <w:highlight w:val="none"/>
        </w:rPr>
      </w:pPr>
      <w:bookmarkStart w:id="910" w:name="_Toc217446095"/>
      <w:bookmarkStart w:id="911" w:name="_Toc1684"/>
      <w:bookmarkStart w:id="912" w:name="_Toc7421"/>
      <w:bookmarkStart w:id="913" w:name="_Toc28932"/>
      <w:bookmarkStart w:id="914" w:name="_Toc24977"/>
      <w:bookmarkStart w:id="915" w:name="_Toc28026"/>
      <w:r>
        <w:rPr>
          <w:rFonts w:hint="eastAsia" w:ascii="仿宋" w:hAnsi="仿宋" w:eastAsia="仿宋" w:cs="仿宋"/>
          <w:b/>
          <w:bCs/>
          <w:color w:val="auto"/>
          <w:sz w:val="24"/>
          <w:szCs w:val="24"/>
          <w:highlight w:val="none"/>
        </w:rPr>
        <w:t>一、项目概况</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本次采购项目为</w:t>
      </w:r>
      <w:r>
        <w:rPr>
          <w:rFonts w:hint="eastAsia" w:ascii="仿宋" w:hAnsi="仿宋" w:eastAsia="仿宋" w:cs="仿宋"/>
          <w:color w:val="auto"/>
          <w:sz w:val="24"/>
          <w:szCs w:val="24"/>
          <w:highlight w:val="none"/>
          <w:lang w:val="zh-CN"/>
        </w:rPr>
        <w:t>崇州市</w:t>
      </w:r>
      <w:r>
        <w:rPr>
          <w:rFonts w:hint="eastAsia" w:ascii="仿宋" w:hAnsi="仿宋" w:eastAsia="仿宋" w:cs="仿宋"/>
          <w:color w:val="auto"/>
          <w:sz w:val="24"/>
          <w:szCs w:val="24"/>
          <w:highlight w:val="none"/>
        </w:rPr>
        <w:t>公安局智能交通系统维护维修及网络传输服务</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包括：电子警察系统、测速卡口系统、视频监控系统、限行系统、违停抓拍系统、流量监测系统、高点监控系统、交通诱导屏、指挥中心系统、数据机房等外场点位设备至中心的网络链路和上述设备及集成指挥调度平台软件等的运行保障及维护服务。</w:t>
      </w:r>
    </w:p>
    <w:p>
      <w:pPr>
        <w:shd w:val="clear"/>
        <w:adjustRightInd w:val="0"/>
        <w:snapToGrid w:val="0"/>
        <w:spacing w:before="120" w:after="120" w:line="520" w:lineRule="exact"/>
        <w:ind w:firstLine="482" w:firstLineChars="200"/>
        <w:outlineLvl w:val="1"/>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二、本次采购内容及参数</w:t>
      </w:r>
    </w:p>
    <w:bookmarkEnd w:id="910"/>
    <w:p>
      <w:pPr>
        <w:shd w:val="clear"/>
        <w:tabs>
          <w:tab w:val="left" w:pos="8820"/>
        </w:tabs>
        <w:spacing w:line="360" w:lineRule="auto"/>
        <w:ind w:firstLine="482" w:firstLineChars="200"/>
        <w:rPr>
          <w:rFonts w:ascii="仿宋" w:hAnsi="仿宋" w:eastAsia="仿宋" w:cs="仿宋"/>
          <w:b/>
          <w:bCs/>
          <w:color w:val="auto"/>
          <w:sz w:val="24"/>
          <w:szCs w:val="24"/>
          <w:highlight w:val="none"/>
        </w:rPr>
      </w:pPr>
      <w:bookmarkStart w:id="916" w:name="_Toc14491"/>
      <w:r>
        <w:rPr>
          <w:rFonts w:hint="eastAsia" w:ascii="仿宋" w:hAnsi="仿宋" w:eastAsia="仿宋" w:cs="仿宋"/>
          <w:b/>
          <w:bCs/>
          <w:color w:val="auto"/>
          <w:sz w:val="24"/>
          <w:szCs w:val="24"/>
          <w:highlight w:val="none"/>
        </w:rPr>
        <w:t>A、网络传输链路服务内容及要求</w:t>
      </w:r>
    </w:p>
    <w:p>
      <w:pPr>
        <w:pStyle w:val="96"/>
        <w:shd w:val="clear"/>
        <w:ind w:firstLine="48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（一）服务范围及服务内容</w:t>
      </w:r>
    </w:p>
    <w:p>
      <w:pPr>
        <w:shd w:val="clear"/>
        <w:spacing w:line="360" w:lineRule="auto"/>
        <w:ind w:firstLine="482"/>
        <w:rPr>
          <w:color w:val="auto"/>
          <w:highlight w:val="none"/>
        </w:rPr>
      </w:pPr>
      <w:r>
        <w:rPr>
          <w:rFonts w:hint="eastAsia" w:ascii="仿宋" w:hAnsi="仿宋" w:eastAsia="仿宋" w:cs="仿宋"/>
          <w:bCs/>
          <w:color w:val="auto"/>
          <w:sz w:val="24"/>
          <w:szCs w:val="24"/>
          <w:highlight w:val="none"/>
        </w:rPr>
        <w:t>网络传输服务区域包含但不限于以下区域（路段）：S106沿线7个点位、明日大道沿线14个点位、成温邛高速3个点位、街安路沿线1个点位、崇双货运大道沿线14个点位、崇阳大道沿线7个点位、光华大道沿线2个点位、重庆路沿线2个点位、双怀路沿线4个点位、崇州市城区48个点位、崇州市工业园区6个点位等108个点位（108条线路），中标人产生后，按点位线路单价与甲方签订合同，根据实际服务点位结算。</w:t>
      </w:r>
    </w:p>
    <w:p>
      <w:pPr>
        <w:shd w:val="clear"/>
        <w:spacing w:line="360" w:lineRule="auto"/>
        <w:ind w:firstLine="48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本次外部传输链路服务类型及综合单价投标最高限价分别为：</w:t>
      </w:r>
    </w:p>
    <w:tbl>
      <w:tblPr>
        <w:tblStyle w:val="3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666"/>
        <w:gridCol w:w="2606"/>
        <w:gridCol w:w="1515"/>
        <w:gridCol w:w="1365"/>
        <w:gridCol w:w="2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服务内容</w:t>
            </w:r>
          </w:p>
        </w:tc>
        <w:tc>
          <w:tcPr>
            <w:tcW w:w="2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特征描述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综合单价最高限价（元）</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1</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有线网络服务</w:t>
            </w: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保障电警、卡口、视频监控、交通信号机、LED显示屏等外场设备数据稳定可靠传输至中心机房。</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jc w:val="center"/>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100M/月/条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430</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报价包含网络链路服务费用、及日常运维服务费用，提供日常网络运行服务，定期出具运行分析报告，人员巡检和定期驻场服务。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1"/>
                <w:szCs w:val="21"/>
                <w:highlight w:val="none"/>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1"/>
                <w:szCs w:val="21"/>
                <w:highlight w:val="none"/>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1"/>
                <w:szCs w:val="21"/>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200M/月/条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720</w:t>
            </w: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1"/>
                <w:szCs w:val="21"/>
                <w:highlight w:val="none"/>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1"/>
                <w:szCs w:val="21"/>
                <w:highlight w:val="none"/>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21"/>
                <w:szCs w:val="21"/>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400M/月/条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textAlignment w:val="center"/>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1090</w:t>
            </w: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无线网络服务</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通过移动流量保障非有线网络覆盖区域的数据回传至平台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100G/月/点位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textAlignment w:val="center"/>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89</w:t>
            </w: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6"/>
                <w:szCs w:val="16"/>
                <w:highlight w:val="none"/>
                <w:u w:val="none"/>
              </w:rPr>
            </w:pPr>
          </w:p>
        </w:tc>
      </w:tr>
    </w:tbl>
    <w:p>
      <w:pPr>
        <w:shd w:val="clear"/>
        <w:spacing w:line="360" w:lineRule="auto"/>
        <w:ind w:firstLine="482"/>
        <w:rPr>
          <w:rFonts w:hint="eastAsia" w:ascii="仿宋" w:hAnsi="仿宋" w:eastAsia="仿宋" w:cs="仿宋"/>
          <w:bCs/>
          <w:color w:val="auto"/>
          <w:sz w:val="24"/>
          <w:szCs w:val="24"/>
          <w:highlight w:val="none"/>
        </w:rPr>
      </w:pPr>
    </w:p>
    <w:p>
      <w:pPr>
        <w:shd w:val="clear"/>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投标报价以给定的综合单价最高限价为基数填报综合单价的投标下浮比例，最终综合单价报价保留小数点后两位。结算时按每月实际使用线路</w:t>
      </w:r>
      <w:r>
        <w:rPr>
          <w:rFonts w:hint="eastAsia" w:ascii="仿宋" w:hAnsi="仿宋" w:eastAsia="仿宋" w:cs="仿宋"/>
          <w:bCs/>
          <w:color w:val="auto"/>
          <w:sz w:val="24"/>
          <w:szCs w:val="24"/>
          <w:highlight w:val="none"/>
          <w:lang w:val="en-US" w:eastAsia="zh-CN"/>
        </w:rPr>
        <w:t>数量、</w:t>
      </w:r>
      <w:r>
        <w:rPr>
          <w:rFonts w:hint="eastAsia" w:ascii="仿宋" w:hAnsi="仿宋" w:eastAsia="仿宋" w:cs="仿宋"/>
          <w:bCs/>
          <w:color w:val="auto"/>
          <w:sz w:val="24"/>
          <w:szCs w:val="24"/>
          <w:highlight w:val="none"/>
        </w:rPr>
        <w:t>类别分别计算</w:t>
      </w:r>
      <w:r>
        <w:rPr>
          <w:rFonts w:hint="eastAsia" w:ascii="仿宋" w:hAnsi="仿宋" w:eastAsia="仿宋" w:cs="仿宋"/>
          <w:bCs/>
          <w:color w:val="auto"/>
          <w:sz w:val="24"/>
          <w:szCs w:val="24"/>
          <w:highlight w:val="none"/>
          <w:lang w:val="en-US" w:eastAsia="zh-CN"/>
        </w:rPr>
        <w:t>后形成结算价格</w:t>
      </w:r>
      <w:r>
        <w:rPr>
          <w:rFonts w:hint="eastAsia" w:ascii="仿宋" w:hAnsi="仿宋" w:eastAsia="仿宋" w:cs="仿宋"/>
          <w:bCs/>
          <w:color w:val="auto"/>
          <w:sz w:val="24"/>
          <w:szCs w:val="24"/>
          <w:highlight w:val="none"/>
        </w:rPr>
        <w:t>。</w:t>
      </w:r>
    </w:p>
    <w:p>
      <w:pPr>
        <w:pStyle w:val="96"/>
        <w:numPr>
          <w:ilvl w:val="0"/>
          <w:numId w:val="13"/>
        </w:numPr>
        <w:shd w:val="clear"/>
        <w:ind w:firstLine="48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具体服务要求</w:t>
      </w:r>
    </w:p>
    <w:p>
      <w:pPr>
        <w:pStyle w:val="96"/>
        <w:numPr>
          <w:ilvl w:val="0"/>
          <w:numId w:val="14"/>
        </w:numPr>
        <w:shd w:val="clear"/>
        <w:ind w:firstLine="48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传输技术设计原则</w:t>
      </w:r>
    </w:p>
    <w:p>
      <w:pPr>
        <w:pStyle w:val="96"/>
        <w:shd w:val="clear"/>
        <w:ind w:firstLine="600" w:firstLineChars="250"/>
        <w:rPr>
          <w:rFonts w:ascii="仿宋" w:hAnsi="仿宋" w:eastAsia="仿宋" w:cs="仿宋"/>
          <w:bCs/>
          <w:color w:val="auto"/>
          <w:szCs w:val="24"/>
          <w:highlight w:val="none"/>
        </w:rPr>
      </w:pPr>
      <w:r>
        <w:rPr>
          <w:rFonts w:hint="eastAsia" w:ascii="仿宋" w:hAnsi="仿宋" w:eastAsia="仿宋" w:cs="仿宋"/>
          <w:bCs/>
          <w:color w:val="auto"/>
          <w:szCs w:val="24"/>
          <w:highlight w:val="none"/>
        </w:rPr>
        <w:t>结合崇州市智能交通的外场设备实际的实际应用和发展要求，主要应遵循以下原则：</w:t>
      </w:r>
    </w:p>
    <w:p>
      <w:pPr>
        <w:pStyle w:val="95"/>
        <w:numPr>
          <w:ilvl w:val="0"/>
          <w:numId w:val="15"/>
        </w:numPr>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实用性原则：以现行需求为基础，充分考虑发展的需要来确定系统规模。</w:t>
      </w:r>
    </w:p>
    <w:p>
      <w:pPr>
        <w:pStyle w:val="95"/>
        <w:numPr>
          <w:ilvl w:val="0"/>
          <w:numId w:val="15"/>
        </w:numPr>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性原则：网络传输服务于外场设备传输专网系统需要，网络安全严格执行相关安全标准和采购人特别要求。网络传输服务应能提供网络层的安全手段防止系统外部非法侵入以及操作人员的越级操作，保护网络建设者的合法利益。</w:t>
      </w:r>
    </w:p>
    <w:p>
      <w:pPr>
        <w:pStyle w:val="95"/>
        <w:numPr>
          <w:ilvl w:val="0"/>
          <w:numId w:val="15"/>
        </w:numPr>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可靠性原则：系统设计要求有效的避免单点失败，在设备的选择和关键设备的互联时，应提供充分的冗余备份，一方面最大限度地减少故障的可能性，另一方面要保证网络能在最短时间内修复。</w:t>
      </w:r>
    </w:p>
    <w:p>
      <w:pPr>
        <w:pStyle w:val="95"/>
        <w:numPr>
          <w:ilvl w:val="0"/>
          <w:numId w:val="15"/>
        </w:numPr>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成熟和先进性原则：系统结构设计、系统配置、系统管理方式等方面应采用国际上先进、成熟、实用的技术。设备厂商和供应商应有相关领域的丰富经验。</w:t>
      </w:r>
    </w:p>
    <w:p>
      <w:pPr>
        <w:pStyle w:val="95"/>
        <w:numPr>
          <w:ilvl w:val="0"/>
          <w:numId w:val="15"/>
        </w:numPr>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规范性原则：系统设计所采用的技术和设备应符合国际标准、国家标准和业界标准，为系统的扩展升级、与其他系统的互联提供良好的基础。</w:t>
      </w:r>
    </w:p>
    <w:p>
      <w:pPr>
        <w:pStyle w:val="95"/>
        <w:numPr>
          <w:ilvl w:val="0"/>
          <w:numId w:val="15"/>
        </w:numPr>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开放性和标准化原则：在设计时，要求提供开放性好、标准化程度高的技术方案；设备的各种接口满足开放和标准化原则。</w:t>
      </w:r>
    </w:p>
    <w:p>
      <w:pPr>
        <w:pStyle w:val="95"/>
        <w:numPr>
          <w:ilvl w:val="0"/>
          <w:numId w:val="15"/>
        </w:numPr>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扩充和扩展化原则：所有系统设备不但满足当前需要，并在扩充模块后满足可预见将来需求，如带宽和设备的扩展，应用的扩展和办公地点的扩展等。保证建设完成后的系统在向新的技术升级时，能保护现有的设备价值。</w:t>
      </w:r>
    </w:p>
    <w:p>
      <w:pPr>
        <w:pStyle w:val="95"/>
        <w:numPr>
          <w:ilvl w:val="0"/>
          <w:numId w:val="15"/>
        </w:numPr>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可管理性原则：整个系统的设备应易于管理，易于维护，操作简单，易学，易用，便于进行系统配置，在设备、安全性、数据流量、性能等方面得到很好的监视和控制，并可以进行远程管理和故障诊断。</w:t>
      </w:r>
    </w:p>
    <w:p>
      <w:pPr>
        <w:numPr>
          <w:ilvl w:val="0"/>
          <w:numId w:val="14"/>
        </w:numPr>
        <w:shd w:val="clear"/>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网络传输要求</w:t>
      </w:r>
    </w:p>
    <w:p>
      <w:pPr>
        <w:shd w:val="clear"/>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（1）供应商提供光纤链路中间不可接入外部网络；</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（2）供应商所提供主城区骨干光纤链路需双路由保护，</w:t>
      </w:r>
      <w:r>
        <w:rPr>
          <w:rFonts w:hint="eastAsia" w:ascii="仿宋" w:hAnsi="仿宋" w:eastAsia="仿宋" w:cs="仿宋"/>
          <w:color w:val="auto"/>
          <w:sz w:val="24"/>
          <w:szCs w:val="24"/>
          <w:highlight w:val="none"/>
        </w:rPr>
        <w:t>网络传输关键设备或重要部件有冗余备份，网络架构及带宽根据前端点位带宽需求可灵活拓展，确保多点位24小时大流量的数据传输。</w:t>
      </w:r>
    </w:p>
    <w:p>
      <w:pPr>
        <w:shd w:val="clear"/>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（3）供应商提供的任意一条光纤传输平均损耗1550窗口每公里应小于0.3dB，1310窗口每公里应小于0.4dB。</w:t>
      </w:r>
    </w:p>
    <w:p>
      <w:pPr>
        <w:shd w:val="clear"/>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（4）供应商提供的主干光缆链路需支持2G带宽的数据传输需求，任意一条光纤链路需支持100M带宽的数据传输要求，并且均可实现业务平滑扩容。</w:t>
      </w:r>
    </w:p>
    <w:p>
      <w:pPr>
        <w:shd w:val="clear"/>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（5）供应商提供的任意一条区间骨干光纤链路需全程采用管道布放。</w:t>
      </w:r>
    </w:p>
    <w:p>
      <w:pPr>
        <w:shd w:val="clear"/>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（6）供应商提供的任意一条光纤链路有效传输速率不低于带宽的95%，传输时延&lt;2ms,线路丢包率小于0.5%。</w:t>
      </w:r>
    </w:p>
    <w:p>
      <w:pPr>
        <w:shd w:val="clear"/>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（7）供应商应保证每条光纤链路的物理安全，并保障用户方网络以外的用户不能通过该线路进行任何访问。</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（8）为保证图像响应的实时性，承载网络必须有足够的网络传输带宽，在系统设计时要充分考虑图像视频编码压缩比例、数据流量、接入的系统规模等各种因素，进行合理的计算。</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（9）租用链路符合安全性要求，实现与其他网络的物理隔离，总端至分端各条传输线路为点对点透传或端到端方式，并提供相应的传输设备。</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（10）提供的网络通信服务满足7×24小时网络连接需求，具有稳定的数据传送速率，用于传送前端系统产生的各类数据流，包括文本、数据、图片、视频、压缩文件等。</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（11）前端系统采集的图片数据，应在24小时内传输至数据接收平台。</w:t>
      </w:r>
    </w:p>
    <w:p>
      <w:pPr>
        <w:shd w:val="clear"/>
        <w:spacing w:line="360" w:lineRule="auto"/>
        <w:ind w:firstLine="482"/>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（12）供应商应保证所使用的无线网络在项目发生地(崇州）</w:t>
      </w:r>
      <w:r>
        <w:rPr>
          <w:rFonts w:hint="eastAsia" w:ascii="仿宋" w:hAnsi="仿宋" w:eastAsia="仿宋" w:cs="仿宋"/>
          <w:bCs/>
          <w:color w:val="auto"/>
          <w:sz w:val="24"/>
          <w:szCs w:val="24"/>
          <w:highlight w:val="none"/>
          <w:lang w:val="zh-CN"/>
        </w:rPr>
        <w:t>宏基站（</w:t>
      </w:r>
      <w:r>
        <w:rPr>
          <w:rFonts w:hint="eastAsia" w:ascii="仿宋" w:hAnsi="仿宋" w:eastAsia="仿宋" w:cs="仿宋"/>
          <w:bCs/>
          <w:color w:val="auto"/>
          <w:sz w:val="24"/>
          <w:szCs w:val="24"/>
          <w:highlight w:val="none"/>
        </w:rPr>
        <w:t>物理站址</w:t>
      </w:r>
      <w:r>
        <w:rPr>
          <w:rFonts w:hint="eastAsia" w:ascii="仿宋" w:hAnsi="仿宋" w:eastAsia="仿宋" w:cs="仿宋"/>
          <w:bCs/>
          <w:color w:val="auto"/>
          <w:sz w:val="24"/>
          <w:szCs w:val="24"/>
          <w:highlight w:val="none"/>
          <w:lang w:val="zh-CN"/>
        </w:rPr>
        <w:t>不含室分）分布数量</w:t>
      </w:r>
      <w:r>
        <w:rPr>
          <w:rFonts w:hint="eastAsia" w:ascii="仿宋" w:hAnsi="仿宋" w:eastAsia="仿宋" w:cs="仿宋"/>
          <w:bCs/>
          <w:color w:val="auto"/>
          <w:sz w:val="24"/>
          <w:szCs w:val="24"/>
          <w:highlight w:val="none"/>
        </w:rPr>
        <w:t>至少满足500个，保障智能交通系统项目无线网络服务的可用性。</w:t>
      </w:r>
    </w:p>
    <w:p>
      <w:pPr>
        <w:shd w:val="clear"/>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（13）供应商须对采购人租用的骨干光纤链路管道进行及时的安全维护和定时的巡检，并每季月提供相应安全措施和巡检报告。</w:t>
      </w:r>
    </w:p>
    <w:p>
      <w:pPr>
        <w:shd w:val="clear"/>
        <w:spacing w:line="360" w:lineRule="auto"/>
        <w:ind w:firstLine="482"/>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（14）供应商须具有并提供成熟完善的应急处理机制和应急处理办法。</w:t>
      </w:r>
    </w:p>
    <w:p>
      <w:pPr>
        <w:pStyle w:val="95"/>
        <w:shd w:val="clear"/>
        <w:ind w:firstLine="48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3. </w:t>
      </w:r>
      <w:r>
        <w:rPr>
          <w:rFonts w:hint="eastAsia" w:ascii="仿宋" w:hAnsi="仿宋" w:eastAsia="仿宋" w:cs="仿宋"/>
          <w:b/>
          <w:bCs/>
          <w:color w:val="auto"/>
          <w:sz w:val="24"/>
          <w:szCs w:val="24"/>
          <w:highlight w:val="none"/>
        </w:rPr>
        <w:t>传输服务内容</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（1）负责提供智能系统前端设备与后台数据接收平台间的数据网络传输服务及相关通行端口的全部部件设备；</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（2）每日开展对各前端设备至后台数据中心间的网络传输通行情况检查和网络安全情况检查，并提交书面检查报告；</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（3）负责对数据传输故障的分析处理，并及时解决故障；</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（4）负责前端设备采集的数据每日完整地按要求传输至数据接收平台；</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（5）负责提供前端设备的迁改服务；</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（6）配合完成特定要求的数据传输服务；</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（7）负责根据业务工作需求，配合完成网络传输服务内容的调整工作（包括传输方式、传输带宽等）</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（8）服务点位网络要求（包含但不限于以下要求）：</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1）光纤接入的，网络传输带宽上下行一致，每条线路有一个固定IP地址。其中：</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a、中心机房2条上传、下传带宽2G（可结合采购人需求实施调整）。</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b、南街与学府街路口等3条端口400M。</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c、世纪大道与金盆地大道路口等11条端口200M。</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d、其余为100M。</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2）无线网络接入的，具有稳定的数据传送速率，用于传送前端系统产生的图片、视频等数据流，具体流量根据采购人实际使用量提供。</w:t>
      </w:r>
    </w:p>
    <w:p>
      <w:pPr>
        <w:shd w:val="clear"/>
        <w:spacing w:line="360" w:lineRule="auto"/>
        <w:ind w:firstLine="482"/>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实施方案要求</w:t>
      </w:r>
    </w:p>
    <w:p>
      <w:pPr>
        <w:shd w:val="clea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供应商应制定详细的项目实施方案。具体要求如下：</w:t>
      </w:r>
    </w:p>
    <w:p>
      <w:pPr>
        <w:pStyle w:val="96"/>
        <w:shd w:val="clear"/>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（1）供应商应配备专门的技术服务支持人员，在实施前与用户配合，了解设备接口情况，协商和交流相关配置，制定详细的工程进度表，明确线路敷设、调试和开通的具体时间。</w:t>
      </w:r>
    </w:p>
    <w:p>
      <w:pPr>
        <w:pStyle w:val="96"/>
        <w:shd w:val="clear"/>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（2）供应商应制定线路开通测试方案并提供相应的测试手段，同采购人技术人员一起进行开通运行测试及性能测试，解决出现的问题。</w:t>
      </w:r>
    </w:p>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（3）供应商应提供售后服务方案，在方案中明确完善的服务体系，线路租用期间提供以下（但不限于）服务：</w:t>
      </w:r>
    </w:p>
    <w:p>
      <w:pPr>
        <w:pStyle w:val="95"/>
        <w:shd w:val="clear"/>
        <w:ind w:firstLine="48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w:t>
      </w:r>
      <w:r>
        <w:rPr>
          <w:rFonts w:hint="eastAsia" w:ascii="仿宋" w:hAnsi="仿宋" w:eastAsia="仿宋" w:cs="仿宋"/>
          <w:color w:val="auto"/>
          <w:sz w:val="24"/>
          <w:szCs w:val="24"/>
          <w:highlight w:val="none"/>
        </w:rPr>
        <w:t>成立网络传输服务维护队伍，有专门的网络工程师等人员承担维护工作，提供现场服务和7×24小时响应服务，</w:t>
      </w:r>
      <w:r>
        <w:rPr>
          <w:rFonts w:hint="eastAsia" w:ascii="仿宋" w:hAnsi="仿宋" w:eastAsia="仿宋" w:cs="仿宋"/>
          <w:bCs/>
          <w:color w:val="auto"/>
          <w:sz w:val="24"/>
          <w:szCs w:val="24"/>
          <w:highlight w:val="none"/>
        </w:rPr>
        <w:t>配合采购人进行线路故障的诊断和排除。</w:t>
      </w:r>
      <w:r>
        <w:rPr>
          <w:rFonts w:hint="eastAsia" w:ascii="仿宋" w:hAnsi="仿宋" w:eastAsia="仿宋" w:cs="仿宋"/>
          <w:color w:val="auto"/>
          <w:sz w:val="24"/>
          <w:szCs w:val="24"/>
          <w:highlight w:val="none"/>
        </w:rPr>
        <w:t>对于故障信息必须在24小时内反馈处理结果及意见。</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线路故障，10分钟内响应，1小时内到达现场，1.5小时内修复，严重故障修复时间不超过24小时，保证线路通畅，可以正常使用。</w:t>
      </w:r>
    </w:p>
    <w:p>
      <w:pPr>
        <w:pStyle w:val="95"/>
        <w:shd w:val="clear"/>
        <w:tabs>
          <w:tab w:val="left" w:pos="480"/>
        </w:tabs>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视频监控系统线路故障，10分钟内响应，1小时内到达现场，一般故障1.5小时内修复，严重故障修复时间不超过24小时。</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电子警察系统线路故障，10分钟内响应，1小时内到达现场，一般故障1.5小时内修复，严重故障修复时间不超过24小时。</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测速卡口系统线路故障，10分钟内响应，1小时内到达现场，一般故障1.5小时内修复，严重故障修复时间不超过24小时。</w:t>
      </w:r>
    </w:p>
    <w:p>
      <w:pPr>
        <w:pStyle w:val="95"/>
        <w:shd w:val="clea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指挥中心及数据机房线路故障，一般故障1小时内修复，严重故障修复时间不超过24小时。</w:t>
      </w:r>
    </w:p>
    <w:tbl>
      <w:tblPr>
        <w:tblStyle w:val="38"/>
        <w:tblW w:w="86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719"/>
        <w:gridCol w:w="6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故障级别定义</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故障现象描述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一般故障</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tabs>
                <w:tab w:val="left" w:pos="627"/>
              </w:tabs>
              <w:jc w:val="left"/>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eastAsia="zh-CN"/>
              </w:rPr>
              <w:tab/>
            </w:r>
            <w:r>
              <w:rPr>
                <w:rFonts w:hint="eastAsia" w:ascii="仿宋" w:hAnsi="仿宋" w:eastAsia="仿宋" w:cs="仿宋"/>
                <w:i w:val="0"/>
                <w:iCs w:val="0"/>
                <w:color w:val="auto"/>
                <w:sz w:val="24"/>
                <w:szCs w:val="24"/>
                <w:highlight w:val="none"/>
                <w:u w:val="none"/>
                <w:lang w:val="en-US" w:eastAsia="zh-CN"/>
              </w:rPr>
              <w:t>系统所有功能模块可用，但个别功能点线路不可用。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严重故障</w:t>
            </w:r>
          </w:p>
        </w:tc>
        <w:tc>
          <w:tcPr>
            <w:tcW w:w="6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系统其它功能模块可用，但系统可以继续运行，系统性能下降、延时严重，超10个功能点线路不可用。</w:t>
            </w:r>
          </w:p>
        </w:tc>
      </w:tr>
    </w:tbl>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（4）一站式客户服务体系</w:t>
      </w:r>
    </w:p>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供应商提供端到端全过程一站式服务；享受24小时×365天的质量保证。一站式服务包括：一点业务咨询、一点业务受理、一点故障申告、一点计费结算、一点技术支持。</w:t>
      </w:r>
    </w:p>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供应商应提供公司技术支持通讯录以及7×24小时电话技术支持和故障申告服务。</w:t>
      </w:r>
    </w:p>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客户在使用租用线路的过程中发现的任何问题均可向供应商申告，供应商负责故障的全程处理，并建立“首问负责制”。</w:t>
      </w:r>
    </w:p>
    <w:p>
      <w:pPr>
        <w:pStyle w:val="96"/>
        <w:shd w:val="clear"/>
        <w:ind w:left="680" w:leftChars="200" w:firstLine="0" w:firstLineChars="0"/>
        <w:rPr>
          <w:rFonts w:ascii="仿宋" w:hAnsi="仿宋" w:eastAsia="仿宋" w:cs="仿宋"/>
          <w:bCs/>
          <w:color w:val="auto"/>
          <w:szCs w:val="24"/>
          <w:highlight w:val="none"/>
        </w:rPr>
      </w:pPr>
      <w:r>
        <w:rPr>
          <w:rFonts w:hint="eastAsia" w:ascii="仿宋" w:hAnsi="仿宋" w:eastAsia="仿宋" w:cs="仿宋"/>
          <w:bCs/>
          <w:color w:val="auto"/>
          <w:szCs w:val="24"/>
          <w:highlight w:val="none"/>
        </w:rPr>
        <w:t>（5）日常电路运维体系</w:t>
      </w:r>
    </w:p>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供应商按原信息产业部颁布的《电信服务标准（试行）》的电路质量要求，保证线路畅通。</w:t>
      </w:r>
    </w:p>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若合同执行期间出台新的法律法规和服务标准，需与用户协商修改服务协议或按照新的法律法规和服务标准执行。</w:t>
      </w:r>
    </w:p>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供应商应对电路通信质量提供长期、不间断的监测，一旦发现问题应及时解决并告知客户。</w:t>
      </w:r>
    </w:p>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供应商每月向采购人提交线路运行质量分析报告，提出网络优化建议。</w:t>
      </w:r>
    </w:p>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供应商如需中断客户线路，应提前48小时通知客户，经协商同意后实施，并不能影响客户的正常业务。</w:t>
      </w:r>
    </w:p>
    <w:p>
      <w:pPr>
        <w:pStyle w:val="96"/>
        <w:shd w:val="clear"/>
        <w:ind w:firstLine="480"/>
        <w:rPr>
          <w:rFonts w:ascii="仿宋" w:hAnsi="仿宋" w:eastAsia="仿宋" w:cs="仿宋"/>
          <w:bCs/>
          <w:color w:val="auto"/>
          <w:szCs w:val="24"/>
          <w:highlight w:val="none"/>
        </w:rPr>
      </w:pPr>
      <w:r>
        <w:rPr>
          <w:rFonts w:hint="eastAsia" w:ascii="仿宋" w:hAnsi="仿宋" w:eastAsia="仿宋" w:cs="仿宋"/>
          <w:bCs/>
          <w:color w:val="auto"/>
          <w:szCs w:val="24"/>
          <w:highlight w:val="none"/>
        </w:rPr>
        <w:t>供应商按用户要求免费提供重要时段的特殊保障。</w:t>
      </w:r>
    </w:p>
    <w:p>
      <w:pPr>
        <w:pStyle w:val="96"/>
        <w:numPr>
          <w:ilvl w:val="0"/>
          <w:numId w:val="16"/>
        </w:numPr>
        <w:shd w:val="clear"/>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其他服务要求</w:t>
      </w:r>
    </w:p>
    <w:p>
      <w:pPr>
        <w:pStyle w:val="96"/>
        <w:shd w:val="clear"/>
        <w:ind w:firstLine="480"/>
        <w:rPr>
          <w:rFonts w:ascii="仿宋" w:hAnsi="仿宋" w:eastAsia="仿宋" w:cs="仿宋"/>
          <w:bCs/>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bCs/>
          <w:color w:val="auto"/>
          <w:szCs w:val="24"/>
          <w:highlight w:val="none"/>
        </w:rPr>
        <w:t>免费提供线路迁移服务（包含跨行政区域迁移），线路迁移时长不超过7个日历日。</w:t>
      </w:r>
    </w:p>
    <w:p>
      <w:pPr>
        <w:pStyle w:val="96"/>
        <w:shd w:val="clear"/>
        <w:ind w:firstLine="480"/>
        <w:rPr>
          <w:rFonts w:ascii="仿宋" w:hAnsi="仿宋" w:eastAsia="仿宋" w:cs="仿宋"/>
          <w:color w:val="auto"/>
          <w:szCs w:val="24"/>
          <w:highlight w:val="none"/>
        </w:rPr>
      </w:pPr>
      <w:r>
        <w:rPr>
          <w:rFonts w:hint="eastAsia" w:ascii="仿宋" w:hAnsi="仿宋" w:eastAsia="仿宋" w:cs="仿宋"/>
          <w:bCs/>
          <w:color w:val="auto"/>
          <w:szCs w:val="24"/>
          <w:highlight w:val="none"/>
        </w:rPr>
        <w:t>（2）</w:t>
      </w:r>
      <w:r>
        <w:rPr>
          <w:rFonts w:hint="eastAsia" w:ascii="仿宋" w:hAnsi="仿宋" w:eastAsia="仿宋" w:cs="仿宋"/>
          <w:color w:val="auto"/>
          <w:szCs w:val="24"/>
          <w:highlight w:val="none"/>
        </w:rPr>
        <w:t>服务内容中涉及的接入设备（不包含终端设备，局域网内路由器和交换机）由中标方提供。</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（3）5G专网接入平台建设，由中标供应商承担。</w:t>
      </w:r>
    </w:p>
    <w:p>
      <w:pPr>
        <w:pStyle w:val="96"/>
        <w:numPr>
          <w:ilvl w:val="0"/>
          <w:numId w:val="13"/>
        </w:numPr>
        <w:shd w:val="clear"/>
        <w:ind w:firstLine="48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传输服务考核方式</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为确保智能系统传输服务高效、稳定、可靠运行，按照专业化、精细化管理的要求，由网络供应商提供技术支撑和运行保障。并根据网络维护、运行保障及管理服务工作效果进行每月考核。具体如下：</w:t>
      </w:r>
    </w:p>
    <w:p>
      <w:pPr>
        <w:pStyle w:val="95"/>
        <w:numPr>
          <w:ilvl w:val="0"/>
          <w:numId w:val="17"/>
        </w:numPr>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维护服务（70分）</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(1)故障处理（20分）</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检查网络故障处理是否排除，对1小时不到场，24小时未排除故障，以及较大故障是否报告进行考评。处理措施不合理每处扣1分，造成故障升级每次扣2分，造成重大故障扣5分，扣完为止。</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(2)紧急维护（10分）</w:t>
      </w:r>
    </w:p>
    <w:p>
      <w:pPr>
        <w:pStyle w:val="95"/>
        <w:shd w:val="clear"/>
        <w:ind w:firstLine="48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一般故障是指接入终端部分的线路无法正常使用，非全局性的故障。</w:t>
      </w:r>
    </w:p>
    <w:p>
      <w:pPr>
        <w:pStyle w:val="95"/>
        <w:shd w:val="clear"/>
        <w:ind w:firstLine="48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重大故障是指所有线路同时中断，全局性的故障。</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电话保修或特殊情况随时待命，10分钟内响应，1小时内到达现场，一般故障1.5小时内修复，严重故障修复时间不超过24小时未按规定时间到场或报告的，每次扣3分，每增加半个小时扣1分，扣完为止。</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(3)网络问题（10分）</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每断网一次0.5分，扣完为止。</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(4)时限情况（10分）</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检查故障处理是否及时，每发现未及时处理一处扣1分。</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(5)巡检实施（10分）</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网络巡检计划是否按要求完成，每检查出一处不合格扣1分，扣完为止。</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(6)单点位故障（10）</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单点位故障超当月10%以上服务小时的扣5分，对单点位故障超当月20%以上服务小时的扣10分。</w:t>
      </w:r>
    </w:p>
    <w:p>
      <w:pPr>
        <w:pStyle w:val="95"/>
        <w:numPr>
          <w:ilvl w:val="0"/>
          <w:numId w:val="17"/>
        </w:numPr>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其它（30分）</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(1)临时配合情况（10分）</w:t>
      </w:r>
      <w:r>
        <w:rPr>
          <w:rFonts w:hint="eastAsia" w:ascii="仿宋" w:hAnsi="仿宋" w:eastAsia="仿宋" w:cs="仿宋"/>
          <w:color w:val="auto"/>
          <w:sz w:val="24"/>
          <w:szCs w:val="24"/>
          <w:highlight w:val="none"/>
        </w:rPr>
        <w:tab/>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对临时安排的技术服务配合是否及时、周到，每不合格一次扣2分，扣完为止。</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(2)信息安全（20分）</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日常信息安全问题整改，若未按要求进行及时整改，每次扣5分；造成影响的，此项为0分。</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3.考核运用</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每月考核的及格分为60分；每月考核得分的平均分作为年度考核得分。60分为及格分，分数60分以下为考核不合格，连续三个月考核不合格，服务合同终止；年度考核不合格的，服务合同也会终止，供应商承担重新寻求解决服务问题所产生的所有费用。</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(2)年度得分在80分~89（含）分别的，每扣一分，扣2000元；年度得分在70分~79（含）分别的，每扣一分，扣3000元；年度得分在60分~69（含）分别的，每扣一分，扣5000元；</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(3)单点位故障超当月30%以上服务小时的，按当月传输费的50%支付该条线路传输服务费；对单点位故障超当月50%以上服务小时的，当月不支付该条线路的传输服务费。</w:t>
      </w:r>
    </w:p>
    <w:p>
      <w:pPr>
        <w:shd w:val="clear"/>
        <w:tabs>
          <w:tab w:val="left" w:pos="8820"/>
        </w:tabs>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B、本次采购的</w:t>
      </w:r>
      <w:r>
        <w:rPr>
          <w:rFonts w:hint="eastAsia" w:ascii="仿宋" w:hAnsi="仿宋" w:eastAsia="仿宋" w:cs="仿宋"/>
          <w:b/>
          <w:bCs/>
          <w:color w:val="auto"/>
          <w:sz w:val="24"/>
          <w:szCs w:val="24"/>
          <w:highlight w:val="none"/>
          <w:lang w:val="zh-CN"/>
        </w:rPr>
        <w:t>智能交通</w:t>
      </w:r>
      <w:r>
        <w:rPr>
          <w:rFonts w:hint="eastAsia" w:ascii="仿宋" w:hAnsi="仿宋" w:eastAsia="仿宋" w:cs="仿宋"/>
          <w:b/>
          <w:bCs/>
          <w:color w:val="auto"/>
          <w:sz w:val="24"/>
          <w:szCs w:val="24"/>
          <w:highlight w:val="none"/>
        </w:rPr>
        <w:t xml:space="preserve">系统维护维修服务内容、限价及要求： </w:t>
      </w:r>
    </w:p>
    <w:p>
      <w:pPr>
        <w:shd w:val="clear"/>
        <w:spacing w:line="360" w:lineRule="auto"/>
        <w:ind w:firstLine="480" w:firstLineChars="200"/>
        <w:rPr>
          <w:rFonts w:ascii="仿宋" w:hAnsi="仿宋" w:eastAsia="仿宋" w:cs="仿宋"/>
          <w:color w:val="auto"/>
          <w:sz w:val="24"/>
          <w:szCs w:val="24"/>
          <w:highlight w:val="none"/>
        </w:rPr>
      </w:pPr>
      <w:bookmarkStart w:id="917" w:name="_Hlk81843070"/>
      <w:r>
        <w:rPr>
          <w:rFonts w:hint="eastAsia" w:ascii="仿宋" w:hAnsi="仿宋" w:eastAsia="仿宋" w:cs="仿宋"/>
          <w:color w:val="auto"/>
          <w:sz w:val="24"/>
          <w:szCs w:val="24"/>
          <w:highlight w:val="none"/>
        </w:rPr>
        <w:t>系统维护维修费</w:t>
      </w:r>
      <w:bookmarkEnd w:id="917"/>
      <w:r>
        <w:rPr>
          <w:rFonts w:hint="eastAsia" w:ascii="仿宋" w:hAnsi="仿宋" w:eastAsia="仿宋" w:cs="仿宋"/>
          <w:color w:val="auto"/>
          <w:sz w:val="24"/>
          <w:szCs w:val="24"/>
          <w:highlight w:val="none"/>
        </w:rPr>
        <w:t>综合单价投标最高限价：8万元/月。</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投标报价以给定的综合单价最高限价为基数填报综合单价的投标下浮比例，其最终综合单价报价保留小数点后两位。结算时按每月运维考核后计算。</w:t>
      </w:r>
    </w:p>
    <w:p>
      <w:pPr>
        <w:shd w:val="clear"/>
        <w:autoSpaceDE w:val="0"/>
        <w:autoSpaceDN w:val="0"/>
        <w:adjustRightIn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供应</w:t>
      </w:r>
      <w:r>
        <w:rPr>
          <w:rFonts w:hint="eastAsia" w:ascii="仿宋" w:hAnsi="仿宋" w:eastAsia="仿宋" w:cs="仿宋"/>
          <w:bCs/>
          <w:color w:val="auto"/>
          <w:sz w:val="24"/>
          <w:szCs w:val="24"/>
          <w:highlight w:val="none"/>
        </w:rPr>
        <w:t>商负责前端设备的定期巡查、维护保养、设备调试、故障送修、线路修复、清洗和遮挡排除，设备配套交通安全设施的规范性检查及维护，测速设备年度标定；负责后台系统（平台）的运维、升级、调试，机房设备的日常巡查、保养；负责配合开展系统运行值守；负责维护后抓拍设备的违法开通；负责配合勤务保障过程中的设备调试。系统维护维修费包含本项目产生的全部人工费和机具费用，</w:t>
      </w:r>
      <w:r>
        <w:rPr>
          <w:rFonts w:hint="eastAsia" w:ascii="仿宋" w:hAnsi="仿宋" w:eastAsia="仿宋" w:cs="仿宋"/>
          <w:color w:val="auto"/>
          <w:sz w:val="24"/>
          <w:szCs w:val="24"/>
          <w:highlight w:val="none"/>
        </w:rPr>
        <w:t>更换或更新材料设备</w:t>
      </w:r>
      <w:r>
        <w:rPr>
          <w:rFonts w:hint="eastAsia" w:ascii="仿宋" w:hAnsi="仿宋" w:eastAsia="仿宋" w:cs="仿宋"/>
          <w:bCs/>
          <w:color w:val="auto"/>
          <w:sz w:val="24"/>
          <w:szCs w:val="24"/>
          <w:highlight w:val="none"/>
        </w:rPr>
        <w:t>部分按“C、</w:t>
      </w:r>
      <w:r>
        <w:rPr>
          <w:rFonts w:hint="eastAsia" w:ascii="仿宋" w:hAnsi="仿宋" w:eastAsia="仿宋" w:cs="仿宋"/>
          <w:color w:val="auto"/>
          <w:sz w:val="24"/>
          <w:szCs w:val="24"/>
          <w:highlight w:val="none"/>
        </w:rPr>
        <w:t>更换或更新材料设备服务</w:t>
      </w:r>
      <w:r>
        <w:rPr>
          <w:rFonts w:hint="eastAsia" w:ascii="仿宋" w:hAnsi="仿宋" w:eastAsia="仿宋" w:cs="仿宋"/>
          <w:bCs/>
          <w:color w:val="auto"/>
          <w:sz w:val="24"/>
          <w:szCs w:val="24"/>
          <w:highlight w:val="none"/>
        </w:rPr>
        <w:t>”部分的投标报价据实结算</w:t>
      </w:r>
      <w:r>
        <w:rPr>
          <w:rFonts w:hint="eastAsia" w:ascii="仿宋" w:hAnsi="仿宋" w:eastAsia="仿宋" w:cs="仿宋"/>
          <w:color w:val="auto"/>
          <w:sz w:val="24"/>
          <w:szCs w:val="24"/>
          <w:highlight w:val="none"/>
        </w:rPr>
        <w:t>，具体内容如下：</w:t>
      </w:r>
    </w:p>
    <w:tbl>
      <w:tblPr>
        <w:tblStyle w:val="38"/>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417"/>
        <w:gridCol w:w="1050"/>
        <w:gridCol w:w="1050"/>
        <w:gridCol w:w="196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417"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运维服务内容</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96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c>
          <w:tcPr>
            <w:tcW w:w="92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417" w:type="dxa"/>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电子警察系统</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路口</w:t>
            </w:r>
          </w:p>
        </w:tc>
        <w:tc>
          <w:tcPr>
            <w:tcW w:w="1050" w:type="dxa"/>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34</w:t>
            </w:r>
          </w:p>
        </w:tc>
        <w:tc>
          <w:tcPr>
            <w:tcW w:w="1965" w:type="dxa"/>
            <w:vMerge w:val="restart"/>
            <w:vAlign w:val="center"/>
          </w:tcPr>
          <w:p>
            <w:pPr>
              <w:widowControl/>
              <w:shd w:val="clea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数量包含但不限于表格数量，服务具体内容见“（一）系统维护技术指标及要求”</w:t>
            </w:r>
          </w:p>
        </w:tc>
        <w:tc>
          <w:tcPr>
            <w:tcW w:w="920" w:type="dxa"/>
            <w:vAlign w:val="center"/>
          </w:tcPr>
          <w:p>
            <w:pPr>
              <w:widowControl/>
              <w:shd w:val="clea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417" w:type="dxa"/>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测速卡口系统</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点位</w:t>
            </w:r>
          </w:p>
        </w:tc>
        <w:tc>
          <w:tcPr>
            <w:tcW w:w="1050" w:type="dxa"/>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28</w:t>
            </w:r>
          </w:p>
        </w:tc>
        <w:tc>
          <w:tcPr>
            <w:tcW w:w="1965" w:type="dxa"/>
            <w:vMerge w:val="continue"/>
            <w:vAlign w:val="center"/>
          </w:tcPr>
          <w:p>
            <w:pPr>
              <w:widowControl/>
              <w:shd w:val="clear"/>
              <w:jc w:val="left"/>
              <w:rPr>
                <w:rFonts w:ascii="仿宋" w:hAnsi="仿宋" w:eastAsia="仿宋" w:cs="仿宋"/>
                <w:color w:val="auto"/>
                <w:sz w:val="21"/>
                <w:szCs w:val="21"/>
                <w:highlight w:val="none"/>
              </w:rPr>
            </w:pPr>
          </w:p>
        </w:tc>
        <w:tc>
          <w:tcPr>
            <w:tcW w:w="920" w:type="dxa"/>
            <w:vAlign w:val="center"/>
          </w:tcPr>
          <w:p>
            <w:pPr>
              <w:widowControl/>
              <w:shd w:val="clea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3417" w:type="dxa"/>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限行及逆行抓拍系统</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点位</w:t>
            </w:r>
          </w:p>
        </w:tc>
        <w:tc>
          <w:tcPr>
            <w:tcW w:w="1050" w:type="dxa"/>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11</w:t>
            </w:r>
          </w:p>
        </w:tc>
        <w:tc>
          <w:tcPr>
            <w:tcW w:w="1965" w:type="dxa"/>
            <w:vMerge w:val="continue"/>
            <w:vAlign w:val="center"/>
          </w:tcPr>
          <w:p>
            <w:pPr>
              <w:widowControl/>
              <w:shd w:val="clear"/>
              <w:jc w:val="left"/>
              <w:rPr>
                <w:rFonts w:ascii="仿宋" w:hAnsi="仿宋" w:eastAsia="仿宋" w:cs="仿宋"/>
                <w:color w:val="auto"/>
                <w:sz w:val="21"/>
                <w:szCs w:val="21"/>
                <w:highlight w:val="none"/>
              </w:rPr>
            </w:pPr>
          </w:p>
        </w:tc>
        <w:tc>
          <w:tcPr>
            <w:tcW w:w="920" w:type="dxa"/>
            <w:vAlign w:val="center"/>
          </w:tcPr>
          <w:p>
            <w:pPr>
              <w:widowControl/>
              <w:shd w:val="clea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3417" w:type="dxa"/>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视频监控系统</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点位</w:t>
            </w:r>
          </w:p>
        </w:tc>
        <w:tc>
          <w:tcPr>
            <w:tcW w:w="1050" w:type="dxa"/>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27</w:t>
            </w:r>
          </w:p>
        </w:tc>
        <w:tc>
          <w:tcPr>
            <w:tcW w:w="1965" w:type="dxa"/>
            <w:vMerge w:val="continue"/>
            <w:vAlign w:val="center"/>
          </w:tcPr>
          <w:p>
            <w:pPr>
              <w:widowControl/>
              <w:shd w:val="clear"/>
              <w:jc w:val="left"/>
              <w:rPr>
                <w:rFonts w:ascii="仿宋" w:hAnsi="仿宋" w:eastAsia="仿宋" w:cs="仿宋"/>
                <w:color w:val="auto"/>
                <w:sz w:val="21"/>
                <w:szCs w:val="21"/>
                <w:highlight w:val="none"/>
              </w:rPr>
            </w:pPr>
          </w:p>
        </w:tc>
        <w:tc>
          <w:tcPr>
            <w:tcW w:w="920" w:type="dxa"/>
            <w:vAlign w:val="center"/>
          </w:tcPr>
          <w:p>
            <w:pPr>
              <w:widowControl/>
              <w:shd w:val="clea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3417" w:type="dxa"/>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违停抓拍系统</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点位</w:t>
            </w:r>
          </w:p>
        </w:tc>
        <w:tc>
          <w:tcPr>
            <w:tcW w:w="1050" w:type="dxa"/>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2</w:t>
            </w:r>
          </w:p>
        </w:tc>
        <w:tc>
          <w:tcPr>
            <w:tcW w:w="1965" w:type="dxa"/>
            <w:vMerge w:val="continue"/>
            <w:vAlign w:val="center"/>
          </w:tcPr>
          <w:p>
            <w:pPr>
              <w:widowControl/>
              <w:shd w:val="clear"/>
              <w:jc w:val="left"/>
              <w:rPr>
                <w:rFonts w:ascii="仿宋" w:hAnsi="仿宋" w:eastAsia="仿宋" w:cs="仿宋"/>
                <w:color w:val="auto"/>
                <w:sz w:val="21"/>
                <w:szCs w:val="21"/>
                <w:highlight w:val="none"/>
              </w:rPr>
            </w:pPr>
          </w:p>
        </w:tc>
        <w:tc>
          <w:tcPr>
            <w:tcW w:w="920" w:type="dxa"/>
            <w:vAlign w:val="center"/>
          </w:tcPr>
          <w:p>
            <w:pPr>
              <w:widowControl/>
              <w:shd w:val="clea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3417" w:type="dxa"/>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LED诱导屏系统</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点位</w:t>
            </w:r>
          </w:p>
        </w:tc>
        <w:tc>
          <w:tcPr>
            <w:tcW w:w="1050" w:type="dxa"/>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1</w:t>
            </w:r>
          </w:p>
        </w:tc>
        <w:tc>
          <w:tcPr>
            <w:tcW w:w="1965" w:type="dxa"/>
            <w:vMerge w:val="continue"/>
            <w:vAlign w:val="center"/>
          </w:tcPr>
          <w:p>
            <w:pPr>
              <w:widowControl/>
              <w:shd w:val="clear"/>
              <w:jc w:val="left"/>
              <w:rPr>
                <w:rFonts w:ascii="仿宋" w:hAnsi="仿宋" w:eastAsia="仿宋" w:cs="仿宋"/>
                <w:color w:val="auto"/>
                <w:sz w:val="21"/>
                <w:szCs w:val="21"/>
                <w:highlight w:val="none"/>
              </w:rPr>
            </w:pPr>
          </w:p>
        </w:tc>
        <w:tc>
          <w:tcPr>
            <w:tcW w:w="920" w:type="dxa"/>
            <w:vAlign w:val="center"/>
          </w:tcPr>
          <w:p>
            <w:pPr>
              <w:widowControl/>
              <w:shd w:val="clea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3417" w:type="dxa"/>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指挥中心软硬件系统</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65" w:type="dxa"/>
            <w:vMerge w:val="continue"/>
            <w:vAlign w:val="center"/>
          </w:tcPr>
          <w:p>
            <w:pPr>
              <w:widowControl/>
              <w:shd w:val="clear"/>
              <w:jc w:val="left"/>
              <w:rPr>
                <w:rFonts w:ascii="仿宋" w:hAnsi="仿宋" w:eastAsia="仿宋" w:cs="仿宋"/>
                <w:color w:val="auto"/>
                <w:sz w:val="21"/>
                <w:szCs w:val="21"/>
                <w:highlight w:val="none"/>
              </w:rPr>
            </w:pPr>
          </w:p>
        </w:tc>
        <w:tc>
          <w:tcPr>
            <w:tcW w:w="920" w:type="dxa"/>
            <w:vAlign w:val="center"/>
          </w:tcPr>
          <w:p>
            <w:pPr>
              <w:widowControl/>
              <w:shd w:val="clea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3417" w:type="dxa"/>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数据机房</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65" w:type="dxa"/>
            <w:vMerge w:val="continue"/>
            <w:vAlign w:val="center"/>
          </w:tcPr>
          <w:p>
            <w:pPr>
              <w:widowControl/>
              <w:shd w:val="clear"/>
              <w:jc w:val="left"/>
              <w:rPr>
                <w:rFonts w:ascii="仿宋" w:hAnsi="仿宋" w:eastAsia="仿宋" w:cs="仿宋"/>
                <w:color w:val="auto"/>
                <w:sz w:val="21"/>
                <w:szCs w:val="21"/>
                <w:highlight w:val="none"/>
              </w:rPr>
            </w:pPr>
          </w:p>
        </w:tc>
        <w:tc>
          <w:tcPr>
            <w:tcW w:w="920" w:type="dxa"/>
            <w:vAlign w:val="center"/>
          </w:tcPr>
          <w:p>
            <w:pPr>
              <w:widowControl/>
              <w:shd w:val="clea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3417" w:type="dxa"/>
            <w:vAlign w:val="center"/>
          </w:tcPr>
          <w:p>
            <w:pPr>
              <w:widowControl/>
              <w:shd w:val="clear"/>
              <w:jc w:val="left"/>
              <w:rPr>
                <w:rFonts w:ascii="仿宋" w:hAnsi="仿宋" w:eastAsia="仿宋" w:cs="仿宋"/>
                <w:color w:val="auto"/>
                <w:sz w:val="21"/>
                <w:szCs w:val="21"/>
                <w:highlight w:val="none"/>
              </w:rPr>
            </w:pPr>
            <w:bookmarkStart w:id="918" w:name="_Hlk81843329"/>
            <w:r>
              <w:rPr>
                <w:rFonts w:hint="eastAsia" w:ascii="仿宋" w:hAnsi="仿宋" w:eastAsia="仿宋" w:cs="仿宋"/>
                <w:color w:val="auto"/>
                <w:sz w:val="21"/>
                <w:szCs w:val="21"/>
                <w:highlight w:val="none"/>
              </w:rPr>
              <w:t>专家咨询服务</w:t>
            </w:r>
            <w:bookmarkEnd w:id="918"/>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w:t>
            </w:r>
          </w:p>
        </w:tc>
        <w:tc>
          <w:tcPr>
            <w:tcW w:w="1050" w:type="dxa"/>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65" w:type="dxa"/>
            <w:vMerge w:val="continue"/>
            <w:vAlign w:val="center"/>
          </w:tcPr>
          <w:p>
            <w:pPr>
              <w:widowControl/>
              <w:shd w:val="clear"/>
              <w:jc w:val="left"/>
              <w:rPr>
                <w:rFonts w:ascii="仿宋" w:hAnsi="仿宋" w:eastAsia="仿宋" w:cs="仿宋"/>
                <w:color w:val="auto"/>
                <w:sz w:val="21"/>
                <w:szCs w:val="21"/>
                <w:highlight w:val="none"/>
              </w:rPr>
            </w:pPr>
          </w:p>
        </w:tc>
        <w:tc>
          <w:tcPr>
            <w:tcW w:w="920" w:type="dxa"/>
            <w:vAlign w:val="center"/>
          </w:tcPr>
          <w:p>
            <w:pPr>
              <w:widowControl/>
              <w:shd w:val="clear"/>
              <w:jc w:val="center"/>
              <w:rPr>
                <w:rFonts w:ascii="仿宋" w:hAnsi="仿宋" w:eastAsia="仿宋" w:cs="仿宋"/>
                <w:color w:val="auto"/>
                <w:sz w:val="21"/>
                <w:szCs w:val="21"/>
                <w:highlight w:val="none"/>
              </w:rPr>
            </w:pPr>
          </w:p>
        </w:tc>
      </w:tr>
    </w:tbl>
    <w:p>
      <w:pPr>
        <w:shd w:val="clear"/>
        <w:spacing w:line="360" w:lineRule="auto"/>
        <w:rPr>
          <w:rFonts w:ascii="仿宋" w:hAnsi="仿宋" w:eastAsia="仿宋" w:cs="仿宋"/>
          <w:b/>
          <w:bCs/>
          <w:color w:val="auto"/>
          <w:sz w:val="24"/>
          <w:highlight w:val="none"/>
        </w:rPr>
      </w:pPr>
    </w:p>
    <w:p>
      <w:pPr>
        <w:pStyle w:val="2"/>
        <w:shd w:val="clear"/>
        <w:rPr>
          <w:color w:val="auto"/>
          <w:highlight w:val="none"/>
        </w:rPr>
      </w:pPr>
    </w:p>
    <w:p>
      <w:pPr>
        <w:shd w:val="clea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（一）系统维护技术指标及要求</w:t>
      </w:r>
    </w:p>
    <w:p>
      <w:pPr>
        <w:shd w:val="clea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1.电子警察系统</w:t>
      </w:r>
    </w:p>
    <w:tbl>
      <w:tblPr>
        <w:tblStyle w:val="38"/>
        <w:tblW w:w="0" w:type="auto"/>
        <w:jc w:val="center"/>
        <w:tblLayout w:type="fixed"/>
        <w:tblCellMar>
          <w:top w:w="0" w:type="dxa"/>
          <w:left w:w="108" w:type="dxa"/>
          <w:bottom w:w="0" w:type="dxa"/>
          <w:right w:w="108" w:type="dxa"/>
        </w:tblCellMar>
      </w:tblPr>
      <w:tblGrid>
        <w:gridCol w:w="822"/>
        <w:gridCol w:w="1976"/>
        <w:gridCol w:w="6284"/>
      </w:tblGrid>
      <w:tr>
        <w:tblPrEx>
          <w:tblCellMar>
            <w:top w:w="0" w:type="dxa"/>
            <w:left w:w="108" w:type="dxa"/>
            <w:bottom w:w="0" w:type="dxa"/>
            <w:right w:w="108" w:type="dxa"/>
          </w:tblCellMar>
        </w:tblPrEx>
        <w:trPr>
          <w:trHeight w:val="476" w:hRule="atLeast"/>
          <w:jc w:val="center"/>
        </w:trPr>
        <w:tc>
          <w:tcPr>
            <w:tcW w:w="822" w:type="dxa"/>
            <w:tcBorders>
              <w:top w:val="single" w:color="auto" w:sz="4"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976" w:type="dxa"/>
            <w:tcBorders>
              <w:top w:val="single" w:color="auto" w:sz="4" w:space="0"/>
              <w:left w:val="single" w:color="auto" w:sz="6" w:space="0"/>
              <w:bottom w:val="single" w:color="auto" w:sz="6" w:space="0"/>
              <w:right w:val="single" w:color="auto" w:sz="6" w:space="0"/>
            </w:tcBorders>
            <w:vAlign w:val="center"/>
          </w:tcPr>
          <w:p>
            <w:pPr>
              <w:widowControl/>
              <w:shd w:val="clear"/>
              <w:ind w:firstLine="189" w:firstLineChars="9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运维工作项</w:t>
            </w:r>
          </w:p>
        </w:tc>
        <w:tc>
          <w:tcPr>
            <w:tcW w:w="6284" w:type="dxa"/>
            <w:tcBorders>
              <w:top w:val="single" w:color="auto" w:sz="4" w:space="0"/>
              <w:left w:val="single" w:color="auto" w:sz="6" w:space="0"/>
              <w:bottom w:val="single" w:color="auto" w:sz="6" w:space="0"/>
              <w:right w:val="single" w:color="auto" w:sz="4" w:space="0"/>
            </w:tcBorders>
            <w:vAlign w:val="center"/>
          </w:tcPr>
          <w:p>
            <w:pPr>
              <w:widowControl/>
              <w:shd w:val="clear"/>
              <w:ind w:firstLine="44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运维实施具体工作内容</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76"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抓拍摄像机维护</w:t>
            </w:r>
          </w:p>
        </w:tc>
        <w:tc>
          <w:tcPr>
            <w:tcW w:w="6284"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远程巡检：1）通过摄像机WEB程序远程巡检摄像机视场方向是否正常、视场是否清晰、时间校准是否正常；2）通过摄像机WEB程序检查过车抓拍图片是否正常（白天和夜间）、违法取证图片是否正常（白天和夜间）；</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2、现场维护：摄像机参数设置维护、摄像机视场角度调整、线路检修、护罩清洗、设备维护。</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976"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补光灯维护</w:t>
            </w:r>
          </w:p>
        </w:tc>
        <w:tc>
          <w:tcPr>
            <w:tcW w:w="6284"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1、远程巡检：1）通过摄像机WEB程序远程巡检抓拍图片补光效果是否正常（夜间）2）通过摄像机WEB程序远程巡检补光灯参数设置是否正常；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2、现场维护：补光灯参数设置维护、补光灯角度调整、线路检修、护罩清洗、设备维护。</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976"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杆件维护</w:t>
            </w:r>
          </w:p>
        </w:tc>
        <w:tc>
          <w:tcPr>
            <w:tcW w:w="6284"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1、现场巡检：1）杆件外观有无破损；</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2、现场维护：杆体除锈刷漆。</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976"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管线维护</w:t>
            </w:r>
          </w:p>
        </w:tc>
        <w:tc>
          <w:tcPr>
            <w:tcW w:w="6284"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1、现场巡检：1）网络及电源线路检查；2）管道检查；3）窨井内线路检查；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2、现场维护：线路检修、线路更换、管道维护。</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976"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供电维护</w:t>
            </w:r>
          </w:p>
        </w:tc>
        <w:tc>
          <w:tcPr>
            <w:tcW w:w="6284"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1、现场巡检：1）电表工作是否正常；2）供电线路是否正常；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2、现场维护：线路检修、联系供电部门解决供电问题；</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976"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通信维护</w:t>
            </w:r>
          </w:p>
        </w:tc>
        <w:tc>
          <w:tcPr>
            <w:tcW w:w="6284"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1、现场巡检：1）路口内部通信网络链路及设备工作是否正常；2）运营商网络链路及设备工作是否正常、网络性能及带宽是否满足应用要求；</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2、现场维护：线路检修、线路更换、设备更换、通知运营商维护。</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976"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防雷接地维护</w:t>
            </w:r>
          </w:p>
        </w:tc>
        <w:tc>
          <w:tcPr>
            <w:tcW w:w="6284"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1、现场巡检：1）防雷设备检查；2）接地电阻检查；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2、现场维护：防雷设备检修、防雷设备更换。</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976"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窨井维护</w:t>
            </w:r>
          </w:p>
        </w:tc>
        <w:tc>
          <w:tcPr>
            <w:tcW w:w="6284"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1、现场巡检：1）窨井及井盖是否破损；2）窨井内是否有积水；3）窨井内孔洞是否封堵完好；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2、现场维护：窨井及井盖检修、井盖更换、积水排空。</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4"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976" w:type="dxa"/>
            <w:tcBorders>
              <w:top w:val="single" w:color="auto" w:sz="6" w:space="0"/>
              <w:left w:val="single" w:color="auto" w:sz="6" w:space="0"/>
              <w:bottom w:val="single" w:color="auto" w:sz="4"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中心系统维护</w:t>
            </w:r>
          </w:p>
        </w:tc>
        <w:tc>
          <w:tcPr>
            <w:tcW w:w="6284" w:type="dxa"/>
            <w:tcBorders>
              <w:top w:val="single" w:color="auto" w:sz="6" w:space="0"/>
              <w:left w:val="single" w:color="auto" w:sz="6" w:space="0"/>
              <w:bottom w:val="single" w:color="auto" w:sz="4"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1、现场巡检：1）服务器硬件工作是否正常、时间校准是否正常；2）指挥调度平台与大队非现场执法管理平台数据接收转发功能是否正常、数据图片存储功能是否正常、查询显示等应用功能是否正常；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2、现场维护：服务器软硬件检修（含硬盘）、指挥调度平台维护、时钟校准功能维护。</w:t>
            </w:r>
          </w:p>
        </w:tc>
      </w:tr>
    </w:tbl>
    <w:p>
      <w:pPr>
        <w:shd w:val="clea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shd w:val="clea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2.测速卡口系统</w:t>
      </w:r>
    </w:p>
    <w:tbl>
      <w:tblPr>
        <w:tblStyle w:val="38"/>
        <w:tblW w:w="9089" w:type="dxa"/>
        <w:jc w:val="center"/>
        <w:tblLayout w:type="fixed"/>
        <w:tblCellMar>
          <w:top w:w="0" w:type="dxa"/>
          <w:left w:w="108" w:type="dxa"/>
          <w:bottom w:w="0" w:type="dxa"/>
          <w:right w:w="108" w:type="dxa"/>
        </w:tblCellMar>
      </w:tblPr>
      <w:tblGrid>
        <w:gridCol w:w="822"/>
        <w:gridCol w:w="1978"/>
        <w:gridCol w:w="6289"/>
      </w:tblGrid>
      <w:tr>
        <w:tblPrEx>
          <w:tblCellMar>
            <w:top w:w="0" w:type="dxa"/>
            <w:left w:w="108" w:type="dxa"/>
            <w:bottom w:w="0" w:type="dxa"/>
            <w:right w:w="108" w:type="dxa"/>
          </w:tblCellMar>
        </w:tblPrEx>
        <w:trPr>
          <w:trHeight w:val="476" w:hRule="atLeast"/>
          <w:jc w:val="center"/>
        </w:trPr>
        <w:tc>
          <w:tcPr>
            <w:tcW w:w="822" w:type="dxa"/>
            <w:tcBorders>
              <w:top w:val="single" w:color="auto" w:sz="4"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978" w:type="dxa"/>
            <w:tcBorders>
              <w:top w:val="single" w:color="auto" w:sz="4" w:space="0"/>
              <w:left w:val="single" w:color="auto" w:sz="6" w:space="0"/>
              <w:bottom w:val="single" w:color="auto" w:sz="6" w:space="0"/>
              <w:right w:val="single" w:color="auto" w:sz="6" w:space="0"/>
            </w:tcBorders>
            <w:vAlign w:val="center"/>
          </w:tcPr>
          <w:p>
            <w:pPr>
              <w:widowControl/>
              <w:shd w:val="clear"/>
              <w:ind w:firstLine="189" w:firstLineChars="9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运维工作项</w:t>
            </w:r>
          </w:p>
        </w:tc>
        <w:tc>
          <w:tcPr>
            <w:tcW w:w="6289" w:type="dxa"/>
            <w:tcBorders>
              <w:top w:val="single" w:color="auto" w:sz="4" w:space="0"/>
              <w:left w:val="single" w:color="auto" w:sz="6" w:space="0"/>
              <w:bottom w:val="single" w:color="auto" w:sz="6" w:space="0"/>
              <w:right w:val="single" w:color="auto" w:sz="4" w:space="0"/>
            </w:tcBorders>
            <w:vAlign w:val="center"/>
          </w:tcPr>
          <w:p>
            <w:pPr>
              <w:widowControl/>
              <w:shd w:val="clear"/>
              <w:ind w:firstLine="44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运维实施具体工作内容</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78"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抓拍摄像机维护</w:t>
            </w:r>
          </w:p>
          <w:p>
            <w:pPr>
              <w:widowControl/>
              <w:shd w:val="clear"/>
              <w:jc w:val="left"/>
              <w:rPr>
                <w:rFonts w:ascii="仿宋" w:hAnsi="仿宋" w:eastAsia="仿宋" w:cs="仿宋"/>
                <w:color w:val="auto"/>
                <w:sz w:val="21"/>
                <w:szCs w:val="21"/>
                <w:highlight w:val="none"/>
              </w:rPr>
            </w:pPr>
          </w:p>
        </w:tc>
        <w:tc>
          <w:tcPr>
            <w:tcW w:w="628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远程巡检：1）通过摄像机WEB程序远程巡检摄像机视场方向是否正常、视场是否清晰、时间校准是否正常；2）通过摄像机WEB程序检查过车抓拍图片是否正常（白天和夜间）、违法取证图片是否正常（白天和夜间）；</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2、现场维护：摄像机参数设置维护、摄像机视场角度调整、线路检修、护罩清洗、设备维护。</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978"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线圈维护</w:t>
            </w:r>
          </w:p>
        </w:tc>
        <w:tc>
          <w:tcPr>
            <w:tcW w:w="628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1、现场巡检：1）线圈是否暴露于路面；2）线圈切缝是否变形；3）线圈与车检器工作状态是否正常；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2、现场维护：检查线路、线圈切割敷设、环氧树脂封堵切缝。</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978"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补光灯维护</w:t>
            </w:r>
          </w:p>
        </w:tc>
        <w:tc>
          <w:tcPr>
            <w:tcW w:w="628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1、远程巡检：1）通过摄像机WEB程序远程巡检抓拍图片补光效果是否正常（夜间）2）通过摄像机WEB程序远程巡检补光灯参数设置是否正常；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2、现场维护：补光灯参数设置维护、补光灯角度调整、线路检修、护罩清洗、设备维护。</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978"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杆件维护</w:t>
            </w:r>
          </w:p>
        </w:tc>
        <w:tc>
          <w:tcPr>
            <w:tcW w:w="628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1、现场巡检：1）杆件外观有无破损；</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2、现场维护：杆体除锈刷漆。</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978"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管线维护</w:t>
            </w:r>
          </w:p>
        </w:tc>
        <w:tc>
          <w:tcPr>
            <w:tcW w:w="628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1、现场巡检：1）网络及电源线路检查；2）管道检查；3）窨井内线路检查；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2、现场维护：线路检修、线路更换、管道维护。</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978"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供电维护</w:t>
            </w:r>
          </w:p>
        </w:tc>
        <w:tc>
          <w:tcPr>
            <w:tcW w:w="628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1、现场巡检：1）电表工作是否正常；2）供电线路是否正常。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2、现场维护：线路检修、联系供电部门解决供电问题。</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978"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通信维护</w:t>
            </w:r>
          </w:p>
        </w:tc>
        <w:tc>
          <w:tcPr>
            <w:tcW w:w="628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1、现场巡检：1）路口内部通信网络链路及设备工作是否正常；2）运营商网络链路及设备工作是否正常、网络性能及带宽是否满足应用要求；</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2、现场维护：线路检修、线路更换、设备更换、通知运营商维护。</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978"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防雷接地维护</w:t>
            </w:r>
          </w:p>
        </w:tc>
        <w:tc>
          <w:tcPr>
            <w:tcW w:w="628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1、现场巡检：1）防雷设备检查；2）接地电阻检查；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2、现场维护：防雷设备检修、防雷设备更换。</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978"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窨井维护</w:t>
            </w:r>
          </w:p>
        </w:tc>
        <w:tc>
          <w:tcPr>
            <w:tcW w:w="628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1、现场巡检：1）窨井及井盖是否破损；2）窨井内是否有积水；3）窨井内孔洞是否封堵完好；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2、现场维护：窨井及井盖检修、井盖更换、积水排空。</w:t>
            </w:r>
          </w:p>
        </w:tc>
      </w:tr>
      <w:tr>
        <w:tblPrEx>
          <w:tblCellMar>
            <w:top w:w="0" w:type="dxa"/>
            <w:left w:w="108" w:type="dxa"/>
            <w:bottom w:w="0" w:type="dxa"/>
            <w:right w:w="108" w:type="dxa"/>
          </w:tblCellMar>
        </w:tblPrEx>
        <w:trPr>
          <w:trHeight w:val="476" w:hRule="atLeast"/>
          <w:jc w:val="center"/>
        </w:trPr>
        <w:tc>
          <w:tcPr>
            <w:tcW w:w="822" w:type="dxa"/>
            <w:tcBorders>
              <w:top w:val="single" w:color="auto" w:sz="6" w:space="0"/>
              <w:left w:val="single" w:color="auto" w:sz="4" w:space="0"/>
              <w:bottom w:val="single" w:color="auto" w:sz="4"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978" w:type="dxa"/>
            <w:tcBorders>
              <w:top w:val="single" w:color="auto" w:sz="6" w:space="0"/>
              <w:left w:val="single" w:color="auto" w:sz="6" w:space="0"/>
              <w:bottom w:val="single" w:color="auto" w:sz="4"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中心系统维护</w:t>
            </w:r>
          </w:p>
        </w:tc>
        <w:tc>
          <w:tcPr>
            <w:tcW w:w="6289" w:type="dxa"/>
            <w:tcBorders>
              <w:top w:val="single" w:color="auto" w:sz="6" w:space="0"/>
              <w:left w:val="single" w:color="auto" w:sz="6" w:space="0"/>
              <w:bottom w:val="single" w:color="auto" w:sz="4"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1、现场巡检：1）服务器硬件工作是否正常、时间校准是否正常；2）指挥调度平台与大队非现场执法管理平台数据接收转发功能是否正常、数据图片存储功能是否正常、查询显示等应用功能是否正常；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2、现场维护：服务器软硬件检修（含硬盘）、指挥调度平台维护、时钟校准功能维护。</w:t>
            </w:r>
          </w:p>
        </w:tc>
      </w:tr>
    </w:tbl>
    <w:p>
      <w:pPr>
        <w:shd w:val="clear"/>
        <w:spacing w:line="360" w:lineRule="auto"/>
        <w:rPr>
          <w:rFonts w:ascii="仿宋" w:hAnsi="仿宋" w:eastAsia="仿宋" w:cs="仿宋"/>
          <w:b/>
          <w:bCs/>
          <w:color w:val="auto"/>
          <w:sz w:val="24"/>
          <w:highlight w:val="none"/>
        </w:rPr>
      </w:pPr>
    </w:p>
    <w:p>
      <w:pPr>
        <w:shd w:val="clea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3.限行及逆行抓拍系统系统</w:t>
      </w:r>
    </w:p>
    <w:tbl>
      <w:tblPr>
        <w:tblStyle w:val="38"/>
        <w:tblW w:w="0" w:type="auto"/>
        <w:jc w:val="center"/>
        <w:tblLayout w:type="fixed"/>
        <w:tblCellMar>
          <w:top w:w="0" w:type="dxa"/>
          <w:left w:w="108" w:type="dxa"/>
          <w:bottom w:w="0" w:type="dxa"/>
          <w:right w:w="108" w:type="dxa"/>
        </w:tblCellMar>
      </w:tblPr>
      <w:tblGrid>
        <w:gridCol w:w="802"/>
        <w:gridCol w:w="1929"/>
        <w:gridCol w:w="6351"/>
      </w:tblGrid>
      <w:tr>
        <w:tblPrEx>
          <w:tblCellMar>
            <w:top w:w="0" w:type="dxa"/>
            <w:left w:w="108" w:type="dxa"/>
            <w:bottom w:w="0" w:type="dxa"/>
            <w:right w:w="108" w:type="dxa"/>
          </w:tblCellMar>
        </w:tblPrEx>
        <w:trPr>
          <w:trHeight w:val="476" w:hRule="atLeast"/>
          <w:jc w:val="center"/>
        </w:trPr>
        <w:tc>
          <w:tcPr>
            <w:tcW w:w="802" w:type="dxa"/>
            <w:tcBorders>
              <w:top w:val="single" w:color="auto" w:sz="4"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929" w:type="dxa"/>
            <w:tcBorders>
              <w:top w:val="single" w:color="auto" w:sz="4" w:space="0"/>
              <w:left w:val="single" w:color="auto" w:sz="6"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运维工作项</w:t>
            </w:r>
          </w:p>
        </w:tc>
        <w:tc>
          <w:tcPr>
            <w:tcW w:w="6351" w:type="dxa"/>
            <w:tcBorders>
              <w:top w:val="single" w:color="auto" w:sz="4" w:space="0"/>
              <w:left w:val="single" w:color="auto" w:sz="6" w:space="0"/>
              <w:bottom w:val="single" w:color="auto" w:sz="6" w:space="0"/>
              <w:right w:val="single" w:color="auto" w:sz="4" w:space="0"/>
            </w:tcBorders>
            <w:vAlign w:val="center"/>
          </w:tcPr>
          <w:p>
            <w:pPr>
              <w:widowControl/>
              <w:shd w:val="clear"/>
              <w:spacing w:line="2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运维实施具体工作内容</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抓拍系统维护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远程巡检：1）通过摄像机WEB程序远程巡检摄像机视场方向是否正常、视场是否清晰、时间校准是否正常；2）通过摄像机WEB程序检查过车抓拍图片是否正常（白天和夜间）、违法取证图片是否正常（白天和夜间）；</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2、现场维护：摄像机参数设置维护、摄像机视场角度调整、线路检修、护罩清洗、设备维护。</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机柜及设备维护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1、现场巡检：1）机柜外观有无破损；2）机柜锁具是否正常；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3）柜体内管洞封堵是否完好；4）柜体内设备是否工作正常；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2、现场维护：柜体除锈刷漆、管洞封堵、设备检修；</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杆件维护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1、现场巡检：1）杆件外观有无破损；</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2、现场维护：杆体除锈刷漆；</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管线维护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1、现场巡检：1）红绿灯线路检查；2）管道检查；3）窨井内线路检查；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2、现场维护：线路检修、线路更换、管道维护；</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供电维护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1、现场巡检：1）电表工作是否正常；2）供电线路是否正常；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2、现场维护：线路检修、联系供电部门解决供电问题；</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通信维护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1、现场巡检：1、现场巡检：1）路口内部通信网络链路及设备工作是否正常；2）运营商网络链路及设备工作是否正常、网络性能及带宽是否满足应用要求；</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2、现场维护：线路检修、线路更换、设备更换、通知运营商维护；</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2、现场维护：线路检修、线路更换、设备更换、通知运营商维护；</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防雷接地维护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1、现场巡检：1）防雷设备检查；2）接地电阻检查；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2、现场维护：防雷设备检修、防雷设备更换；</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窨井维护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1、现场巡检：1）窨井及井盖是否破损；2）窨井内是否有积水；3）窨井内孔洞是否封堵完好；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2、现场维护：窨井及井盖检修、井盖更换、积水排空；</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4"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929" w:type="dxa"/>
            <w:tcBorders>
              <w:top w:val="single" w:color="auto" w:sz="6" w:space="0"/>
              <w:left w:val="single" w:color="auto" w:sz="6" w:space="0"/>
              <w:bottom w:val="single" w:color="auto" w:sz="4"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中心系统维护</w:t>
            </w:r>
          </w:p>
        </w:tc>
        <w:tc>
          <w:tcPr>
            <w:tcW w:w="6351" w:type="dxa"/>
            <w:tcBorders>
              <w:top w:val="single" w:color="auto" w:sz="6" w:space="0"/>
              <w:left w:val="single" w:color="auto" w:sz="6" w:space="0"/>
              <w:bottom w:val="single" w:color="auto" w:sz="4"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1、现场巡检：1）前端信号控制机与中心工控机及平台时间校准是否正常；2）前端信号在中心平台显示是否正常；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2、现场维护：软件平台维护；</w:t>
            </w:r>
          </w:p>
        </w:tc>
      </w:tr>
    </w:tbl>
    <w:p>
      <w:pPr>
        <w:shd w:val="clear"/>
        <w:spacing w:line="360" w:lineRule="auto"/>
        <w:rPr>
          <w:rFonts w:ascii="仿宋" w:hAnsi="仿宋" w:eastAsia="仿宋" w:cs="仿宋"/>
          <w:b/>
          <w:bCs/>
          <w:color w:val="auto"/>
          <w:sz w:val="24"/>
          <w:highlight w:val="none"/>
        </w:rPr>
      </w:pPr>
    </w:p>
    <w:p>
      <w:pPr>
        <w:shd w:val="clea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4.视频监控系统</w:t>
      </w:r>
    </w:p>
    <w:tbl>
      <w:tblPr>
        <w:tblStyle w:val="38"/>
        <w:tblW w:w="0" w:type="auto"/>
        <w:jc w:val="center"/>
        <w:tblLayout w:type="fixed"/>
        <w:tblCellMar>
          <w:top w:w="0" w:type="dxa"/>
          <w:left w:w="108" w:type="dxa"/>
          <w:bottom w:w="0" w:type="dxa"/>
          <w:right w:w="108" w:type="dxa"/>
        </w:tblCellMar>
      </w:tblPr>
      <w:tblGrid>
        <w:gridCol w:w="805"/>
        <w:gridCol w:w="2025"/>
        <w:gridCol w:w="6269"/>
      </w:tblGrid>
      <w:tr>
        <w:tblPrEx>
          <w:tblCellMar>
            <w:top w:w="0" w:type="dxa"/>
            <w:left w:w="108" w:type="dxa"/>
            <w:bottom w:w="0" w:type="dxa"/>
            <w:right w:w="108" w:type="dxa"/>
          </w:tblCellMar>
        </w:tblPrEx>
        <w:trPr>
          <w:trHeight w:val="476" w:hRule="atLeast"/>
          <w:jc w:val="center"/>
        </w:trPr>
        <w:tc>
          <w:tcPr>
            <w:tcW w:w="805" w:type="dxa"/>
            <w:tcBorders>
              <w:top w:val="single" w:color="auto" w:sz="4"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025" w:type="dxa"/>
            <w:tcBorders>
              <w:top w:val="single" w:color="auto" w:sz="4" w:space="0"/>
              <w:left w:val="single" w:color="auto" w:sz="6"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运维工作项</w:t>
            </w:r>
          </w:p>
        </w:tc>
        <w:tc>
          <w:tcPr>
            <w:tcW w:w="6269" w:type="dxa"/>
            <w:tcBorders>
              <w:top w:val="single" w:color="auto" w:sz="4" w:space="0"/>
              <w:left w:val="single" w:color="auto" w:sz="6" w:space="0"/>
              <w:bottom w:val="single" w:color="auto" w:sz="6" w:space="0"/>
              <w:right w:val="single" w:color="auto" w:sz="4"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运维实施具体工作内容</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监控球机维护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1、远程巡检：1）通过视频监控平台远程巡检视频监控画面是否清晰、视场方向是否正常、时间校准是否正常；2）通过视频监控平台检查历史视频查询、回放是否正常；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2、现场维护：摄像机参数设置维护、线路检修、设备检修、护罩清洗；</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杆件维护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1、现场巡检：1）杆件外观有无破损；</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2、现场维护：杆体除锈刷漆；</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管线维护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1、现场巡检：1）网络及电源线路检查；2）管道检查；3）窨井内线路检查；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2、现场维护：线路检修、线路更换、管道维护；</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供电维护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1、现场巡检：1）电表工作是否正常；2）供电线路是否正常；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2、现场维护：线路检修、联系供电部门解决供电问题；</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通信维护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1、现场巡检：1）路口内部通信网络链路及设备工作是否正常；2）运营商网络链路及设备工作是否正常、网络性能及带宽是否满足应用要求；</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2、现场维护：线路检修、线路更换、设备更换、通知运营商维护；</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防雷接地维护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1、现场巡检：1）防雷设备检查；2）接地电阻检查；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2、现场维护：防雷设备检修、防雷设备更换；</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窨井维护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1、现场巡检：1）窨井及井盖是否破损；2）窨井内是否有积水；3）窨井内孔洞是否封堵完好；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2、现场维护：窨井及井盖检修、井盖更换、积水排空；</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4"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025" w:type="dxa"/>
            <w:tcBorders>
              <w:top w:val="single" w:color="auto" w:sz="6" w:space="0"/>
              <w:left w:val="single" w:color="auto" w:sz="6" w:space="0"/>
              <w:bottom w:val="single" w:color="auto" w:sz="4"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中心系统维护</w:t>
            </w:r>
          </w:p>
        </w:tc>
        <w:tc>
          <w:tcPr>
            <w:tcW w:w="6269" w:type="dxa"/>
            <w:tcBorders>
              <w:top w:val="single" w:color="auto" w:sz="6" w:space="0"/>
              <w:left w:val="single" w:color="auto" w:sz="6" w:space="0"/>
              <w:bottom w:val="single" w:color="auto" w:sz="4"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1、现场巡检：1）工控主机工作是否正常、视频分析功能是否正常、时间校准是否正常；2）视频存储服务器是否正常、历史视频检索和回放功能是否正常；3）指挥调度平台视频集成功能是否正常；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2、现场维护：工控机软硬件检修（含硬盘）、服务器软硬件检修（含硬盘）、指挥调度平台维护、时钟校准功能维护；</w:t>
            </w:r>
            <w:r>
              <w:rPr>
                <w:rFonts w:hint="eastAsia" w:ascii="仿宋" w:hAnsi="仿宋" w:eastAsia="仿宋" w:cs="仿宋"/>
                <w:color w:val="auto"/>
                <w:sz w:val="21"/>
                <w:szCs w:val="21"/>
                <w:highlight w:val="none"/>
              </w:rPr>
              <w:tab/>
            </w:r>
          </w:p>
        </w:tc>
      </w:tr>
    </w:tbl>
    <w:p>
      <w:pPr>
        <w:shd w:val="clea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pStyle w:val="2"/>
        <w:shd w:val="clear"/>
        <w:rPr>
          <w:color w:val="auto"/>
          <w:highlight w:val="none"/>
        </w:rPr>
      </w:pPr>
    </w:p>
    <w:p>
      <w:pPr>
        <w:shd w:val="clear"/>
        <w:rPr>
          <w:color w:val="auto"/>
          <w:highlight w:val="none"/>
        </w:rPr>
      </w:pPr>
    </w:p>
    <w:p>
      <w:pPr>
        <w:shd w:val="clea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5.违停抓拍系统</w:t>
      </w:r>
    </w:p>
    <w:tbl>
      <w:tblPr>
        <w:tblStyle w:val="38"/>
        <w:tblW w:w="0" w:type="auto"/>
        <w:jc w:val="center"/>
        <w:tblLayout w:type="fixed"/>
        <w:tblCellMar>
          <w:top w:w="0" w:type="dxa"/>
          <w:left w:w="108" w:type="dxa"/>
          <w:bottom w:w="0" w:type="dxa"/>
          <w:right w:w="108" w:type="dxa"/>
        </w:tblCellMar>
      </w:tblPr>
      <w:tblGrid>
        <w:gridCol w:w="805"/>
        <w:gridCol w:w="2025"/>
        <w:gridCol w:w="6269"/>
      </w:tblGrid>
      <w:tr>
        <w:tblPrEx>
          <w:tblCellMar>
            <w:top w:w="0" w:type="dxa"/>
            <w:left w:w="108" w:type="dxa"/>
            <w:bottom w:w="0" w:type="dxa"/>
            <w:right w:w="108" w:type="dxa"/>
          </w:tblCellMar>
        </w:tblPrEx>
        <w:trPr>
          <w:trHeight w:val="476" w:hRule="atLeast"/>
          <w:jc w:val="center"/>
        </w:trPr>
        <w:tc>
          <w:tcPr>
            <w:tcW w:w="805" w:type="dxa"/>
            <w:tcBorders>
              <w:top w:val="single" w:color="auto" w:sz="4"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025" w:type="dxa"/>
            <w:tcBorders>
              <w:top w:val="single" w:color="auto" w:sz="4" w:space="0"/>
              <w:left w:val="single" w:color="auto" w:sz="6"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运维工作项</w:t>
            </w:r>
          </w:p>
        </w:tc>
        <w:tc>
          <w:tcPr>
            <w:tcW w:w="6269" w:type="dxa"/>
            <w:tcBorders>
              <w:top w:val="single" w:color="auto" w:sz="4" w:space="0"/>
              <w:left w:val="single" w:color="auto" w:sz="6" w:space="0"/>
              <w:bottom w:val="single" w:color="auto" w:sz="6" w:space="0"/>
              <w:right w:val="single" w:color="auto" w:sz="4"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运维实施具体工作内容</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抓拍球机维护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1、远程巡检：1）通过视频监控平台远程巡检视频监控画面是否清晰、视场方向是否正常、时间校准是否正常；2）通过视频监控平台检查历史视频查询、回放是否正常；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2、现场维护：摄像机参数设置维护、线路检修、设备检修、护罩清洗；</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杆件维护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1、现场巡检：1）杆件外观有无破损；</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2、现场维护：杆体除锈刷漆；</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管线维护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1、现场巡检：1）网络及电源线路检查；2）管道检查；3）窨井内线路检查；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2、现场维护：线路检修、线路更换、管道维护；</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供电维护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1、现场巡检：1）电表工作是否正常；2）供电线路是否正常；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2、现场维护：线路检修、联系供电部门解决供电问题；</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通信维护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1、现场巡检：1）路口内部通信网络链路及设备工作是否正常；2）运营商网络链路及设备工作是否正常、网络性能及带宽是否满足应用要求；</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2、现场维护：线路检修、线路更换、设备更换、通知运营商维护；</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防雷接地维护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1、现场巡检：1）防雷设备检查；2）接地电阻检查；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2、现场维护：防雷设备检修、防雷设备更换；</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025"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窨井维护</w:t>
            </w:r>
          </w:p>
        </w:tc>
        <w:tc>
          <w:tcPr>
            <w:tcW w:w="6269"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1、现场巡检：1）窨井及井盖是否破损；2）窨井内是否有积水；3）窨井内孔洞是否封堵完好；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2、现场维护：窨井及井盖检修、井盖更换、积水排空；</w:t>
            </w:r>
          </w:p>
        </w:tc>
      </w:tr>
      <w:tr>
        <w:tblPrEx>
          <w:tblCellMar>
            <w:top w:w="0" w:type="dxa"/>
            <w:left w:w="108" w:type="dxa"/>
            <w:bottom w:w="0" w:type="dxa"/>
            <w:right w:w="108" w:type="dxa"/>
          </w:tblCellMar>
        </w:tblPrEx>
        <w:trPr>
          <w:trHeight w:val="476" w:hRule="atLeast"/>
          <w:jc w:val="center"/>
        </w:trPr>
        <w:tc>
          <w:tcPr>
            <w:tcW w:w="805" w:type="dxa"/>
            <w:tcBorders>
              <w:top w:val="single" w:color="auto" w:sz="6" w:space="0"/>
              <w:left w:val="single" w:color="auto" w:sz="4" w:space="0"/>
              <w:bottom w:val="single" w:color="auto" w:sz="4"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025" w:type="dxa"/>
            <w:tcBorders>
              <w:top w:val="single" w:color="auto" w:sz="6" w:space="0"/>
              <w:left w:val="single" w:color="auto" w:sz="6" w:space="0"/>
              <w:bottom w:val="single" w:color="auto" w:sz="4"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中心系统维护</w:t>
            </w:r>
          </w:p>
        </w:tc>
        <w:tc>
          <w:tcPr>
            <w:tcW w:w="6269" w:type="dxa"/>
            <w:tcBorders>
              <w:top w:val="single" w:color="auto" w:sz="6" w:space="0"/>
              <w:left w:val="single" w:color="auto" w:sz="6" w:space="0"/>
              <w:bottom w:val="single" w:color="auto" w:sz="4"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1、现场巡检：1）工控主机工作是否正常、视频分析功能是否正常、时间校准是否正常；2）视频存储服务器是否正常、历史视频检索和回放功能是否正常；3）指挥调度平台视频集成功能是否正常；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2、现场维护：工控机软硬件检修（含硬盘）、服务器软硬件检修（含硬盘）、指挥调度平台维护、时钟校准功能维护；</w:t>
            </w:r>
            <w:r>
              <w:rPr>
                <w:rFonts w:hint="eastAsia" w:ascii="仿宋" w:hAnsi="仿宋" w:eastAsia="仿宋" w:cs="仿宋"/>
                <w:color w:val="auto"/>
                <w:sz w:val="21"/>
                <w:szCs w:val="21"/>
                <w:highlight w:val="none"/>
              </w:rPr>
              <w:tab/>
            </w:r>
          </w:p>
        </w:tc>
      </w:tr>
    </w:tbl>
    <w:p>
      <w:pPr>
        <w:pStyle w:val="77"/>
        <w:shd w:val="clear"/>
        <w:rPr>
          <w:rFonts w:ascii="仿宋" w:hAnsi="仿宋" w:eastAsia="仿宋" w:cs="仿宋"/>
          <w:color w:val="auto"/>
          <w:highlight w:val="none"/>
        </w:rPr>
      </w:pPr>
    </w:p>
    <w:p>
      <w:pPr>
        <w:shd w:val="clear"/>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rPr>
        <w:t>.LED诱导屏系统</w:t>
      </w:r>
    </w:p>
    <w:tbl>
      <w:tblPr>
        <w:tblStyle w:val="38"/>
        <w:tblW w:w="0" w:type="auto"/>
        <w:jc w:val="center"/>
        <w:tblLayout w:type="fixed"/>
        <w:tblCellMar>
          <w:top w:w="0" w:type="dxa"/>
          <w:left w:w="108" w:type="dxa"/>
          <w:bottom w:w="0" w:type="dxa"/>
          <w:right w:w="108" w:type="dxa"/>
        </w:tblCellMar>
      </w:tblPr>
      <w:tblGrid>
        <w:gridCol w:w="802"/>
        <w:gridCol w:w="1929"/>
        <w:gridCol w:w="6351"/>
      </w:tblGrid>
      <w:tr>
        <w:tblPrEx>
          <w:tblCellMar>
            <w:top w:w="0" w:type="dxa"/>
            <w:left w:w="108" w:type="dxa"/>
            <w:bottom w:w="0" w:type="dxa"/>
            <w:right w:w="108" w:type="dxa"/>
          </w:tblCellMar>
        </w:tblPrEx>
        <w:trPr>
          <w:trHeight w:val="476" w:hRule="atLeast"/>
          <w:jc w:val="center"/>
        </w:trPr>
        <w:tc>
          <w:tcPr>
            <w:tcW w:w="802" w:type="dxa"/>
            <w:tcBorders>
              <w:top w:val="single" w:color="auto" w:sz="4"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929" w:type="dxa"/>
            <w:tcBorders>
              <w:top w:val="single" w:color="auto" w:sz="4" w:space="0"/>
              <w:left w:val="single" w:color="auto" w:sz="6"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运维工作项</w:t>
            </w:r>
          </w:p>
        </w:tc>
        <w:tc>
          <w:tcPr>
            <w:tcW w:w="6351" w:type="dxa"/>
            <w:tcBorders>
              <w:top w:val="single" w:color="auto" w:sz="4" w:space="0"/>
              <w:left w:val="single" w:color="auto" w:sz="6" w:space="0"/>
              <w:bottom w:val="single" w:color="auto" w:sz="6" w:space="0"/>
              <w:right w:val="single" w:color="auto" w:sz="4" w:space="0"/>
            </w:tcBorders>
            <w:vAlign w:val="center"/>
          </w:tcPr>
          <w:p>
            <w:pPr>
              <w:widowControl/>
              <w:shd w:val="clear"/>
              <w:spacing w:line="2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运维实施具体工作内容</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LED诱导屏维护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1、远程巡检：1）系统工作日志检查；2）方案运行状态检查；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2、现场巡检：系统显示状态检查；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3、现场维护：配时方案调整、更换板卡、检查线路；</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机柜及设备维护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1、现场巡检：1）机柜外观有无破损；2）机柜锁具是否正常；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3）柜体内管洞封堵是否完好；4）柜体内设备是否工作正常；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2、现场维护：柜体除锈刷漆、管洞封堵、设备检修；</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杆件维护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1、现场巡检：1）杆件外观有无破损；</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2、现场维护：杆体除锈刷漆；</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管线维护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1、现场巡检：1）红绿灯线路检查；2）管道检查；3）窨井内线路检查；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2、现场维护：线路检修、线路更换、管道维护；</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供电维护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1、现场巡检：1）电表工作是否正常；2）供电线路是否正常；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2、现场维护：线路检修、联系供电部门解决供电问题；</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通信维护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1、现场巡检：1、现场巡检：1）路口内部通信网络链路及设备工作是否正常；2）运营商网络链路及设备工作是否正常、网络性能及带宽是否满足应用要求；</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2、现场维护：线路检修、线路更换、设备更换、通知运营商维护；</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2、现场维护：线路检修、线路更换、设备更换、通知运营商维护；</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929"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防雷接地维护</w:t>
            </w:r>
          </w:p>
        </w:tc>
        <w:tc>
          <w:tcPr>
            <w:tcW w:w="6351"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1、现场巡检：1）防雷设备检查；2）接地电阻检查；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2、现场维护：防雷设备检修、防雷设备更换；</w:t>
            </w:r>
          </w:p>
        </w:tc>
      </w:tr>
      <w:tr>
        <w:tblPrEx>
          <w:tblCellMar>
            <w:top w:w="0" w:type="dxa"/>
            <w:left w:w="108" w:type="dxa"/>
            <w:bottom w:w="0" w:type="dxa"/>
            <w:right w:w="108" w:type="dxa"/>
          </w:tblCellMar>
        </w:tblPrEx>
        <w:trPr>
          <w:trHeight w:val="476" w:hRule="atLeast"/>
          <w:jc w:val="center"/>
        </w:trPr>
        <w:tc>
          <w:tcPr>
            <w:tcW w:w="802" w:type="dxa"/>
            <w:tcBorders>
              <w:top w:val="single" w:color="auto" w:sz="6" w:space="0"/>
              <w:left w:val="single" w:color="auto" w:sz="4" w:space="0"/>
              <w:bottom w:val="single" w:color="auto" w:sz="4"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929" w:type="dxa"/>
            <w:tcBorders>
              <w:top w:val="single" w:color="auto" w:sz="6" w:space="0"/>
              <w:left w:val="single" w:color="auto" w:sz="6" w:space="0"/>
              <w:bottom w:val="single" w:color="auto" w:sz="4"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窨井维护</w:t>
            </w:r>
          </w:p>
        </w:tc>
        <w:tc>
          <w:tcPr>
            <w:tcW w:w="6351" w:type="dxa"/>
            <w:tcBorders>
              <w:top w:val="single" w:color="auto" w:sz="6" w:space="0"/>
              <w:left w:val="single" w:color="auto" w:sz="6" w:space="0"/>
              <w:bottom w:val="single" w:color="auto" w:sz="4"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1、现场巡检：1）窨井及井盖是否破损；2）窨井内是否有积水；3）窨井内孔洞是否封堵完好；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2、现场维护：窨井及井盖检修、井盖更换、积水排空；</w:t>
            </w:r>
          </w:p>
        </w:tc>
      </w:tr>
    </w:tbl>
    <w:p>
      <w:pPr>
        <w:shd w:val="clea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shd w:val="clear"/>
        <w:spacing w:line="360" w:lineRule="auto"/>
        <w:rPr>
          <w:rFonts w:ascii="仿宋" w:hAnsi="仿宋" w:eastAsia="仿宋" w:cs="仿宋"/>
          <w:b/>
          <w:bCs/>
          <w:color w:val="auto"/>
          <w:sz w:val="24"/>
          <w:highlight w:val="none"/>
        </w:rPr>
      </w:pPr>
      <w:r>
        <w:rPr>
          <w:rFonts w:ascii="仿宋" w:hAnsi="仿宋" w:eastAsia="仿宋" w:cs="仿宋"/>
          <w:b/>
          <w:bCs/>
          <w:color w:val="auto"/>
          <w:sz w:val="24"/>
          <w:highlight w:val="none"/>
        </w:rPr>
        <w:t>7</w:t>
      </w:r>
      <w:r>
        <w:rPr>
          <w:rFonts w:hint="eastAsia" w:ascii="仿宋" w:hAnsi="仿宋" w:eastAsia="仿宋" w:cs="仿宋"/>
          <w:b/>
          <w:bCs/>
          <w:color w:val="auto"/>
          <w:sz w:val="24"/>
          <w:highlight w:val="none"/>
        </w:rPr>
        <w:t>.指挥中心软硬件系统</w:t>
      </w:r>
    </w:p>
    <w:tbl>
      <w:tblPr>
        <w:tblStyle w:val="38"/>
        <w:tblW w:w="0" w:type="auto"/>
        <w:jc w:val="center"/>
        <w:tblLayout w:type="fixed"/>
        <w:tblCellMar>
          <w:top w:w="0" w:type="dxa"/>
          <w:left w:w="108" w:type="dxa"/>
          <w:bottom w:w="0" w:type="dxa"/>
          <w:right w:w="108" w:type="dxa"/>
        </w:tblCellMar>
      </w:tblPr>
      <w:tblGrid>
        <w:gridCol w:w="815"/>
        <w:gridCol w:w="2322"/>
        <w:gridCol w:w="5928"/>
      </w:tblGrid>
      <w:tr>
        <w:tblPrEx>
          <w:tblCellMar>
            <w:top w:w="0" w:type="dxa"/>
            <w:left w:w="108" w:type="dxa"/>
            <w:bottom w:w="0" w:type="dxa"/>
            <w:right w:w="108" w:type="dxa"/>
          </w:tblCellMar>
        </w:tblPrEx>
        <w:trPr>
          <w:trHeight w:val="476" w:hRule="atLeast"/>
          <w:jc w:val="center"/>
        </w:trPr>
        <w:tc>
          <w:tcPr>
            <w:tcW w:w="815" w:type="dxa"/>
            <w:tcBorders>
              <w:top w:val="single" w:color="auto" w:sz="4"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322" w:type="dxa"/>
            <w:tcBorders>
              <w:top w:val="single" w:color="auto" w:sz="4" w:space="0"/>
              <w:left w:val="single" w:color="auto" w:sz="6"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运维工作项</w:t>
            </w:r>
          </w:p>
        </w:tc>
        <w:tc>
          <w:tcPr>
            <w:tcW w:w="5928" w:type="dxa"/>
            <w:tcBorders>
              <w:top w:val="single" w:color="auto" w:sz="4" w:space="0"/>
              <w:left w:val="single" w:color="auto" w:sz="6" w:space="0"/>
              <w:bottom w:val="single" w:color="auto" w:sz="6" w:space="0"/>
              <w:right w:val="single" w:color="auto" w:sz="4"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运维实施具体工作内容</w:t>
            </w:r>
          </w:p>
        </w:tc>
      </w:tr>
      <w:tr>
        <w:tblPrEx>
          <w:tblCellMar>
            <w:top w:w="0" w:type="dxa"/>
            <w:left w:w="108" w:type="dxa"/>
            <w:bottom w:w="0" w:type="dxa"/>
            <w:right w:w="108" w:type="dxa"/>
          </w:tblCellMar>
        </w:tblPrEx>
        <w:trPr>
          <w:trHeight w:val="476" w:hRule="atLeast"/>
          <w:jc w:val="center"/>
        </w:trPr>
        <w:tc>
          <w:tcPr>
            <w:tcW w:w="81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322"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大屏系统维护</w:t>
            </w:r>
          </w:p>
        </w:tc>
        <w:tc>
          <w:tcPr>
            <w:tcW w:w="5928"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1、大屏显示是否正常；</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2、矩阵切换是否正常；</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3、视频解码是否正常。</w:t>
            </w:r>
          </w:p>
        </w:tc>
      </w:tr>
      <w:tr>
        <w:tblPrEx>
          <w:tblCellMar>
            <w:top w:w="0" w:type="dxa"/>
            <w:left w:w="108" w:type="dxa"/>
            <w:bottom w:w="0" w:type="dxa"/>
            <w:right w:w="108" w:type="dxa"/>
          </w:tblCellMar>
        </w:tblPrEx>
        <w:trPr>
          <w:trHeight w:val="476" w:hRule="atLeast"/>
          <w:jc w:val="center"/>
        </w:trPr>
        <w:tc>
          <w:tcPr>
            <w:tcW w:w="81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322"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座席系统维护</w:t>
            </w:r>
          </w:p>
        </w:tc>
        <w:tc>
          <w:tcPr>
            <w:tcW w:w="5928"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1、座席电脑是否正常；</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2、座席语音系统是否正常；</w:t>
            </w:r>
          </w:p>
        </w:tc>
      </w:tr>
      <w:tr>
        <w:tblPrEx>
          <w:tblCellMar>
            <w:top w:w="0" w:type="dxa"/>
            <w:left w:w="108" w:type="dxa"/>
            <w:bottom w:w="0" w:type="dxa"/>
            <w:right w:w="108" w:type="dxa"/>
          </w:tblCellMar>
        </w:tblPrEx>
        <w:trPr>
          <w:trHeight w:val="476" w:hRule="atLeast"/>
          <w:jc w:val="center"/>
        </w:trPr>
        <w:tc>
          <w:tcPr>
            <w:tcW w:w="815"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322"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应用软件平台维护</w:t>
            </w:r>
          </w:p>
        </w:tc>
        <w:tc>
          <w:tcPr>
            <w:tcW w:w="5928" w:type="dxa"/>
            <w:tcBorders>
              <w:top w:val="single" w:color="auto" w:sz="6" w:space="0"/>
              <w:left w:val="single" w:color="auto" w:sz="6" w:space="0"/>
              <w:bottom w:val="single" w:color="auto" w:sz="6"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1、指挥调度平台基础检查项：检查系统日志、数据接口；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2、指挥调度平台实时数据处理检查项：检查数据回传、数据囤积、数据共享；</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3、指挥调度平台地图服务检查项：检查地图服务接口、地图缓存、地图发布服务；</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4、指挥调度平台流媒体服务检查项：服务转发日志；</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5、供应商须具备该类应用软件的开发能力，保证该平台软件维护及升级（提供承诺函）。</w:t>
            </w:r>
          </w:p>
        </w:tc>
      </w:tr>
      <w:tr>
        <w:tblPrEx>
          <w:tblCellMar>
            <w:top w:w="0" w:type="dxa"/>
            <w:left w:w="108" w:type="dxa"/>
            <w:bottom w:w="0" w:type="dxa"/>
            <w:right w:w="108" w:type="dxa"/>
          </w:tblCellMar>
        </w:tblPrEx>
        <w:trPr>
          <w:trHeight w:val="476" w:hRule="atLeast"/>
          <w:jc w:val="center"/>
        </w:trPr>
        <w:tc>
          <w:tcPr>
            <w:tcW w:w="815" w:type="dxa"/>
            <w:tcBorders>
              <w:top w:val="single" w:color="auto" w:sz="6" w:space="0"/>
              <w:left w:val="single" w:color="auto" w:sz="4" w:space="0"/>
              <w:bottom w:val="single" w:color="auto" w:sz="4"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322" w:type="dxa"/>
            <w:tcBorders>
              <w:top w:val="single" w:color="auto" w:sz="6" w:space="0"/>
              <w:left w:val="single" w:color="auto" w:sz="6" w:space="0"/>
              <w:bottom w:val="single" w:color="auto" w:sz="4"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数据库维护</w:t>
            </w:r>
          </w:p>
        </w:tc>
        <w:tc>
          <w:tcPr>
            <w:tcW w:w="5928" w:type="dxa"/>
            <w:tcBorders>
              <w:top w:val="single" w:color="auto" w:sz="6" w:space="0"/>
              <w:left w:val="single" w:color="auto" w:sz="6" w:space="0"/>
              <w:bottom w:val="single" w:color="auto" w:sz="4" w:space="0"/>
              <w:right w:val="single" w:color="auto" w:sz="4"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1、Oracle警告日志文件监控：检查日志文件，根据日志问题及时进行处理；</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2、数据库表空间使用情况监控：检查表空间的碎片和可用空间情况，并及时对碎片进行整理或为表空间增加数据文件；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3、数据库备份：根据数据库使用情况定期备份控制文件、数据库基础数据、过车数据、违法数据。</w:t>
            </w:r>
          </w:p>
        </w:tc>
      </w:tr>
    </w:tbl>
    <w:p>
      <w:pPr>
        <w:shd w:val="clea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shd w:val="clear"/>
        <w:spacing w:line="360" w:lineRule="auto"/>
        <w:rPr>
          <w:rFonts w:ascii="仿宋" w:hAnsi="仿宋" w:eastAsia="仿宋" w:cs="仿宋"/>
          <w:b/>
          <w:bCs/>
          <w:color w:val="auto"/>
          <w:sz w:val="24"/>
          <w:highlight w:val="none"/>
        </w:rPr>
      </w:pPr>
      <w:r>
        <w:rPr>
          <w:rFonts w:ascii="仿宋" w:hAnsi="仿宋" w:eastAsia="仿宋" w:cs="仿宋"/>
          <w:b/>
          <w:bCs/>
          <w:color w:val="auto"/>
          <w:sz w:val="24"/>
          <w:highlight w:val="none"/>
        </w:rPr>
        <w:t>8</w:t>
      </w:r>
      <w:r>
        <w:rPr>
          <w:rFonts w:hint="eastAsia" w:ascii="仿宋" w:hAnsi="仿宋" w:eastAsia="仿宋" w:cs="仿宋"/>
          <w:b/>
          <w:bCs/>
          <w:color w:val="auto"/>
          <w:sz w:val="24"/>
          <w:highlight w:val="none"/>
        </w:rPr>
        <w:t>.数据机房</w:t>
      </w:r>
    </w:p>
    <w:tbl>
      <w:tblPr>
        <w:tblStyle w:val="38"/>
        <w:tblW w:w="0" w:type="auto"/>
        <w:jc w:val="center"/>
        <w:tblLayout w:type="fixed"/>
        <w:tblCellMar>
          <w:top w:w="0" w:type="dxa"/>
          <w:left w:w="108" w:type="dxa"/>
          <w:bottom w:w="0" w:type="dxa"/>
          <w:right w:w="108" w:type="dxa"/>
        </w:tblCellMar>
      </w:tblPr>
      <w:tblGrid>
        <w:gridCol w:w="749"/>
        <w:gridCol w:w="1851"/>
        <w:gridCol w:w="6460"/>
      </w:tblGrid>
      <w:tr>
        <w:tblPrEx>
          <w:tblCellMar>
            <w:top w:w="0" w:type="dxa"/>
            <w:left w:w="108" w:type="dxa"/>
            <w:bottom w:w="0" w:type="dxa"/>
            <w:right w:w="108" w:type="dxa"/>
          </w:tblCellMar>
        </w:tblPrEx>
        <w:trPr>
          <w:trHeight w:val="476" w:hRule="atLeast"/>
          <w:jc w:val="center"/>
        </w:trPr>
        <w:tc>
          <w:tcPr>
            <w:tcW w:w="749" w:type="dxa"/>
            <w:tcBorders>
              <w:top w:val="single" w:color="auto" w:sz="4"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851" w:type="dxa"/>
            <w:tcBorders>
              <w:top w:val="single" w:color="auto" w:sz="4" w:space="0"/>
              <w:left w:val="single" w:color="auto" w:sz="6"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运维工作项</w:t>
            </w:r>
          </w:p>
        </w:tc>
        <w:tc>
          <w:tcPr>
            <w:tcW w:w="6460" w:type="dxa"/>
            <w:tcBorders>
              <w:top w:val="single" w:color="auto" w:sz="4" w:space="0"/>
              <w:left w:val="single" w:color="auto" w:sz="6" w:space="0"/>
              <w:bottom w:val="single" w:color="auto" w:sz="6" w:space="0"/>
              <w:right w:val="single" w:color="auto" w:sz="4"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运维实施具体工作内容</w:t>
            </w:r>
          </w:p>
        </w:tc>
      </w:tr>
      <w:tr>
        <w:tblPrEx>
          <w:tblCellMar>
            <w:top w:w="0" w:type="dxa"/>
            <w:left w:w="108" w:type="dxa"/>
            <w:bottom w:w="0" w:type="dxa"/>
            <w:right w:w="108" w:type="dxa"/>
          </w:tblCellMar>
        </w:tblPrEx>
        <w:trPr>
          <w:trHeight w:val="476" w:hRule="atLeast"/>
          <w:jc w:val="center"/>
        </w:trPr>
        <w:tc>
          <w:tcPr>
            <w:tcW w:w="749" w:type="dxa"/>
            <w:tcBorders>
              <w:top w:val="single" w:color="auto" w:sz="6" w:space="0"/>
              <w:left w:val="single" w:color="auto" w:sz="4" w:space="0"/>
              <w:bottom w:val="single" w:color="auto" w:sz="6"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51" w:type="dxa"/>
            <w:tcBorders>
              <w:top w:val="single" w:color="auto" w:sz="6" w:space="0"/>
              <w:left w:val="single" w:color="auto" w:sz="6" w:space="0"/>
              <w:bottom w:val="single" w:color="auto" w:sz="6"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机房环境维护</w:t>
            </w:r>
          </w:p>
        </w:tc>
        <w:tc>
          <w:tcPr>
            <w:tcW w:w="6460" w:type="dxa"/>
            <w:tcBorders>
              <w:top w:val="single" w:color="auto" w:sz="6" w:space="0"/>
              <w:left w:val="single" w:color="auto" w:sz="6" w:space="0"/>
              <w:bottom w:val="single" w:color="auto" w:sz="6"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1、机房温湿度检查；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2、空调工作状态检查；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3、供电及UPS机头工作状态检；</w:t>
            </w:r>
          </w:p>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4、消防设备工作状态。</w:t>
            </w:r>
          </w:p>
        </w:tc>
      </w:tr>
      <w:tr>
        <w:tblPrEx>
          <w:tblCellMar>
            <w:top w:w="0" w:type="dxa"/>
            <w:left w:w="108" w:type="dxa"/>
            <w:bottom w:w="0" w:type="dxa"/>
            <w:right w:w="108" w:type="dxa"/>
          </w:tblCellMar>
        </w:tblPrEx>
        <w:trPr>
          <w:trHeight w:val="476" w:hRule="atLeast"/>
          <w:jc w:val="center"/>
        </w:trPr>
        <w:tc>
          <w:tcPr>
            <w:tcW w:w="749" w:type="dxa"/>
            <w:tcBorders>
              <w:top w:val="single" w:color="auto" w:sz="6" w:space="0"/>
              <w:left w:val="single" w:color="auto" w:sz="4" w:space="0"/>
              <w:bottom w:val="single" w:color="auto" w:sz="4" w:space="0"/>
              <w:right w:val="single" w:color="auto" w:sz="6" w:space="0"/>
            </w:tcBorders>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51" w:type="dxa"/>
            <w:tcBorders>
              <w:top w:val="single" w:color="auto" w:sz="6" w:space="0"/>
              <w:left w:val="single" w:color="auto" w:sz="6" w:space="0"/>
              <w:bottom w:val="single" w:color="auto" w:sz="4" w:space="0"/>
              <w:right w:val="single" w:color="auto" w:sz="6" w:space="0"/>
            </w:tcBorders>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服务器及网络设备维护</w:t>
            </w:r>
          </w:p>
        </w:tc>
        <w:tc>
          <w:tcPr>
            <w:tcW w:w="6460" w:type="dxa"/>
            <w:tcBorders>
              <w:top w:val="single" w:color="auto" w:sz="6" w:space="0"/>
              <w:left w:val="single" w:color="auto" w:sz="6" w:space="0"/>
              <w:bottom w:val="single" w:color="auto" w:sz="4" w:space="0"/>
              <w:right w:val="single" w:color="auto" w:sz="4" w:space="0"/>
            </w:tcBorders>
            <w:vAlign w:val="center"/>
          </w:tcPr>
          <w:p>
            <w:pPr>
              <w:widowControl/>
              <w:shd w:val="clear"/>
              <w:spacing w:line="260" w:lineRule="exac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1、主机和磁盘阵列的物理状态检查：包含电源、风扇状态、LED状态灯等；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2、服务器主要部件状态检查： 适配卡状态（包括SCSI卡、网卡等）、内存状态、CPU状态、硬盘状态；</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3、磁盘空间使用情况检查：将已经使用空间控制在80%以下；</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4、检查系统错误日志：是否存在永久性不可恢复的硬件错误；</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5、系统性能情况检查：系统内存使用和cpu使用的性能情况、磁盘I/O的性能情况。、检查系统交换空间的使用情况；</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6、网络链路检查：检查路由器、交换机、网闸指示灯状态和系统日志；</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7、定期查杀病毒。</w:t>
            </w:r>
          </w:p>
        </w:tc>
      </w:tr>
    </w:tbl>
    <w:p>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（二）外场运维点位</w:t>
      </w:r>
    </w:p>
    <w:p>
      <w:pPr>
        <w:shd w:val="clea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1.电子警察系统点位</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5676"/>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0" w:type="pct"/>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电警编号</w:t>
            </w:r>
          </w:p>
        </w:tc>
        <w:tc>
          <w:tcPr>
            <w:tcW w:w="3152" w:type="pct"/>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路段点位</w:t>
            </w:r>
          </w:p>
        </w:tc>
        <w:tc>
          <w:tcPr>
            <w:tcW w:w="1008" w:type="pct"/>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方向数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崇州市世纪大道与金盆地大道交叉路口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崇州市唐安东路与世纪大道交叉路口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DJ-3</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崇州市世纪大道与永康东路交叉路口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DJ-4</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崇州市崇庆北路与唐安西路交叉路口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DJ-5</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崇州市崇庆中路与永康西路交叉路口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DJ-6</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崇州市唐安西路与三元街交叉路口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DJ-7</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崇州市上南街与永康西路交叉路口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DJ-8</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崇州市下南街与滨江路南三段交叉路口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DJ-9</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崇州市明日大道与金盆地大道交叉路口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DJ-10</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崇州市蜀州北路与唐安西路交叉路口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DJ-11</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崇州市崇庆北路与金盆地大道交叉路口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DJ-12</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崇州市蜀州中路与永康西路交叉路口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DJ-13</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崇州市西河大道东段与滨江路北一段交叉路口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DJ-14</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崇州市滨江路南一段与永安西路交叉路口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DJ-15</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崇州市崇阳大道与宏业大道北段交叉路口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DJ-16</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崇州市崇阳大道与晨曦大道北段交叉路口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DJ-17</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崇州市崇阳大道与永和大道交叉路口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DJ-18</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崇州市明日大道与花果山路交叉路口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DJ-19</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崇州市明日大道与天民路交叉路口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DJ-20</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崇州市明日大道与世平街交叉路口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DJ-21</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106省道（成都-天全）与明日大道交叉路口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DJ-22</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106省道（成都-天全）与重庆路交叉路口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DJ-23</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崇州市崇双大道二段与画江大道北一段交叉路口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DJ-24</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崇州市永和大道四川省水利职业技术学院路口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DJ-25</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崇州市晨曦大道中段与飞云路交叉路口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DJ-26</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崇州市晨曦大道中段与崇双大道一段交叉路口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DJ-27</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崇州市晨曦大道南段与创新路二段交叉路口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DJ-28</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崇州市创新路二段与泗维路交叉路口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DJ-29</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崇州市创新路三段与灰窑路交叉路口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DJ-30</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崇州市崇双大道二段与泗维路交叉路口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DJ-31</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崇州市崇双大道一段与宏业大道南段交叉路口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DJ-32</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崇州市晨曦大道中段与崇安路交叉路口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DJ-33</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崇州市双怀路与三新路交叉路口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0"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DJ-34</w:t>
            </w:r>
          </w:p>
        </w:tc>
        <w:tc>
          <w:tcPr>
            <w:tcW w:w="3152" w:type="pct"/>
            <w:noWrap/>
            <w:vAlign w:val="bottom"/>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崇州市崇阳大道与成都市第二绕城高速崇州收费站交叉路口</w:t>
            </w:r>
          </w:p>
        </w:tc>
        <w:tc>
          <w:tcPr>
            <w:tcW w:w="1008" w:type="pct"/>
            <w:noWrap/>
            <w:vAlign w:val="bottom"/>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2</w:t>
            </w:r>
          </w:p>
        </w:tc>
      </w:tr>
    </w:tbl>
    <w:p>
      <w:pPr>
        <w:shd w:val="clear"/>
        <w:spacing w:line="360" w:lineRule="auto"/>
        <w:rPr>
          <w:rFonts w:ascii="仿宋" w:hAnsi="仿宋" w:eastAsia="仿宋" w:cs="仿宋"/>
          <w:b/>
          <w:bCs/>
          <w:color w:val="auto"/>
          <w:sz w:val="24"/>
          <w:highlight w:val="none"/>
        </w:rPr>
      </w:pPr>
    </w:p>
    <w:p>
      <w:pPr>
        <w:shd w:val="clea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测速卡口系统点位</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513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7" w:type="pct"/>
            <w:vAlign w:val="center"/>
          </w:tcPr>
          <w:p>
            <w:pPr>
              <w:widowControl/>
              <w:shd w:val="clea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卡口编号</w:t>
            </w:r>
          </w:p>
        </w:tc>
        <w:tc>
          <w:tcPr>
            <w:tcW w:w="2853" w:type="pct"/>
            <w:vAlign w:val="center"/>
          </w:tcPr>
          <w:p>
            <w:pPr>
              <w:widowControl/>
              <w:shd w:val="clea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路段点位</w:t>
            </w:r>
          </w:p>
        </w:tc>
        <w:tc>
          <w:tcPr>
            <w:tcW w:w="1120" w:type="pct"/>
            <w:vAlign w:val="center"/>
          </w:tcPr>
          <w:p>
            <w:pPr>
              <w:widowControl/>
              <w:shd w:val="clea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方向数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w:t>
            </w:r>
          </w:p>
        </w:tc>
        <w:tc>
          <w:tcPr>
            <w:tcW w:w="2853"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崇州市世纪大道成温邛高速跨线桥处</w:t>
            </w:r>
          </w:p>
        </w:tc>
        <w:tc>
          <w:tcPr>
            <w:tcW w:w="1120"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KK-2</w:t>
            </w:r>
          </w:p>
        </w:tc>
        <w:tc>
          <w:tcPr>
            <w:tcW w:w="2853"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崇州市滨江路太阳岛南向250M</w:t>
            </w:r>
          </w:p>
        </w:tc>
        <w:tc>
          <w:tcPr>
            <w:tcW w:w="1120"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KK-3</w:t>
            </w:r>
          </w:p>
        </w:tc>
        <w:tc>
          <w:tcPr>
            <w:tcW w:w="2853"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崇州市九龙路569号</w:t>
            </w:r>
          </w:p>
        </w:tc>
        <w:tc>
          <w:tcPr>
            <w:tcW w:w="1120"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KK-4</w:t>
            </w:r>
          </w:p>
        </w:tc>
        <w:tc>
          <w:tcPr>
            <w:tcW w:w="2853"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崇州市泰安路1km</w:t>
            </w:r>
          </w:p>
        </w:tc>
        <w:tc>
          <w:tcPr>
            <w:tcW w:w="1120"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KK-5</w:t>
            </w:r>
          </w:p>
        </w:tc>
        <w:tc>
          <w:tcPr>
            <w:tcW w:w="2853"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光华大道崇州段0km+500m</w:t>
            </w:r>
          </w:p>
        </w:tc>
        <w:tc>
          <w:tcPr>
            <w:tcW w:w="1120"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KK-6</w:t>
            </w:r>
          </w:p>
        </w:tc>
        <w:tc>
          <w:tcPr>
            <w:tcW w:w="2853"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崇州市永康东路551号</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KK-7</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成名高速公路（川高速S8）20公里+490米</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ascii="仿宋" w:hAnsi="仿宋" w:eastAsia="仿宋" w:cs="仿宋"/>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KK-8</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成名高速公路（川高速S8）19公里+530米</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KK-9</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成名高速公路（川高速S8）39公里+260米</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ascii="仿宋" w:hAnsi="仿宋" w:eastAsia="仿宋" w:cs="仿宋"/>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KK-10</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成名高速公路（川高速S8）39公里+270米</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KK-11</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崇州市第二快速通道（全友家私）</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ascii="仿宋" w:hAnsi="仿宋" w:eastAsia="仿宋" w:cs="仿宋"/>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KK-12</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崇州市崇阳大道（世纪大道路口至宏业大道路口）</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KK-13</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光华大道崇州段9KM+80M</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KK-14</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崇州市崇阳大道（羊安路路口至永和大道路口）</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KK-15</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br w:type="textWrapping"/>
            </w:r>
            <w:r>
              <w:rPr>
                <w:rFonts w:hint="eastAsia" w:ascii="仿宋" w:hAnsi="仿宋" w:eastAsia="仿宋" w:cs="仿宋"/>
                <w:color w:val="auto"/>
                <w:sz w:val="18"/>
                <w:szCs w:val="18"/>
                <w:highlight w:val="none"/>
              </w:rPr>
              <w:t>崇州市崇双大道二段0KM+850M</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KK-16</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崇州市崇双大道二段3KM+0M</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KK-17</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崇州市崇双大道三段8KM+500M</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KK-18</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崇州市安仁连接线7KM+50M</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KK-19</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崇州市明日大道41公里+320米</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KK-20</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崇州市明日大道49公里+50米</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KK-21</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崇州市明日大道54公里+550米</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KK-22</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106省道（成都-天全）92公里+500米</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KK-23</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106省道（成都-天全）95公里+150米</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KK-24</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省道106线崇州市段79km+740m</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KK-2</w:t>
            </w:r>
            <w:r>
              <w:rPr>
                <w:rFonts w:ascii="仿宋" w:hAnsi="仿宋" w:eastAsia="仿宋" w:cs="仿宋"/>
                <w:color w:val="auto"/>
                <w:sz w:val="18"/>
                <w:szCs w:val="18"/>
                <w:highlight w:val="none"/>
              </w:rPr>
              <w:t>5</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崇州市崇双旧线10KM+300M</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KK-2</w:t>
            </w:r>
            <w:r>
              <w:rPr>
                <w:rFonts w:ascii="仿宋" w:hAnsi="仿宋" w:eastAsia="仿宋" w:cs="仿宋"/>
                <w:color w:val="auto"/>
                <w:sz w:val="18"/>
                <w:szCs w:val="18"/>
                <w:highlight w:val="none"/>
              </w:rPr>
              <w:t>6</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XN64线8KM+700M</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KK-2</w:t>
            </w:r>
            <w:r>
              <w:rPr>
                <w:rFonts w:ascii="仿宋" w:hAnsi="仿宋" w:eastAsia="仿宋" w:cs="仿宋"/>
                <w:color w:val="auto"/>
                <w:sz w:val="18"/>
                <w:szCs w:val="18"/>
                <w:highlight w:val="none"/>
              </w:rPr>
              <w:t>7</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崇州市晨曦大道中段（飞云路路口至崇双大道一段路口）</w:t>
            </w:r>
          </w:p>
        </w:tc>
        <w:tc>
          <w:tcPr>
            <w:tcW w:w="1120"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27" w:type="pct"/>
            <w:noWrap/>
            <w:vAlign w:val="center"/>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KK-28</w:t>
            </w:r>
          </w:p>
        </w:tc>
        <w:tc>
          <w:tcPr>
            <w:tcW w:w="2853" w:type="pct"/>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徐家林稽查布控卡口</w:t>
            </w:r>
          </w:p>
        </w:tc>
        <w:tc>
          <w:tcPr>
            <w:tcW w:w="1120" w:type="pct"/>
            <w:noWrap/>
            <w:vAlign w:val="bottom"/>
          </w:tcPr>
          <w:p>
            <w:pPr>
              <w:widowControl/>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r>
    </w:tbl>
    <w:p>
      <w:pPr>
        <w:pStyle w:val="77"/>
        <w:shd w:val="clear"/>
        <w:rPr>
          <w:rFonts w:ascii="仿宋" w:hAnsi="仿宋" w:eastAsia="仿宋" w:cs="仿宋"/>
          <w:color w:val="auto"/>
          <w:highlight w:val="none"/>
        </w:rPr>
      </w:pPr>
    </w:p>
    <w:p>
      <w:pPr>
        <w:shd w:val="clea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3.逆行系统</w:t>
      </w:r>
    </w:p>
    <w:tbl>
      <w:tblPr>
        <w:tblStyle w:val="38"/>
        <w:tblW w:w="5000" w:type="pct"/>
        <w:tblInd w:w="0" w:type="dxa"/>
        <w:tblLayout w:type="fixed"/>
        <w:tblCellMar>
          <w:top w:w="0" w:type="dxa"/>
          <w:left w:w="108" w:type="dxa"/>
          <w:bottom w:w="0" w:type="dxa"/>
          <w:right w:w="108" w:type="dxa"/>
        </w:tblCellMar>
      </w:tblPr>
      <w:tblGrid>
        <w:gridCol w:w="1249"/>
        <w:gridCol w:w="6186"/>
        <w:gridCol w:w="897"/>
        <w:gridCol w:w="672"/>
      </w:tblGrid>
      <w:tr>
        <w:tblPrEx>
          <w:tblCellMar>
            <w:top w:w="0" w:type="dxa"/>
            <w:left w:w="108" w:type="dxa"/>
            <w:bottom w:w="0" w:type="dxa"/>
            <w:right w:w="108" w:type="dxa"/>
          </w:tblCellMar>
        </w:tblPrEx>
        <w:trPr>
          <w:trHeight w:val="280" w:hRule="atLeast"/>
        </w:trPr>
        <w:tc>
          <w:tcPr>
            <w:tcW w:w="694" w:type="pct"/>
            <w:tcBorders>
              <w:top w:val="single" w:color="auto" w:sz="4" w:space="0"/>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设备编号</w:t>
            </w:r>
          </w:p>
        </w:tc>
        <w:tc>
          <w:tcPr>
            <w:tcW w:w="3435" w:type="pct"/>
            <w:tcBorders>
              <w:top w:val="single" w:color="auto" w:sz="4" w:space="0"/>
              <w:left w:val="nil"/>
              <w:bottom w:val="single" w:color="auto" w:sz="4" w:space="0"/>
              <w:right w:val="single" w:color="auto" w:sz="4" w:space="0"/>
            </w:tcBorders>
            <w:noWrap/>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点位名称</w:t>
            </w:r>
          </w:p>
        </w:tc>
        <w:tc>
          <w:tcPr>
            <w:tcW w:w="498" w:type="pct"/>
            <w:tcBorders>
              <w:top w:val="single" w:color="auto" w:sz="4" w:space="0"/>
              <w:left w:val="nil"/>
              <w:bottom w:val="single" w:color="auto" w:sz="4" w:space="0"/>
              <w:right w:val="single" w:color="auto" w:sz="4" w:space="0"/>
            </w:tcBorders>
            <w:noWrap/>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方向数</w:t>
            </w:r>
          </w:p>
        </w:tc>
        <w:tc>
          <w:tcPr>
            <w:tcW w:w="373" w:type="pct"/>
            <w:tcBorders>
              <w:top w:val="single" w:color="auto" w:sz="4" w:space="0"/>
              <w:left w:val="nil"/>
              <w:bottom w:val="single" w:color="auto" w:sz="4" w:space="0"/>
              <w:right w:val="single" w:color="auto" w:sz="4" w:space="0"/>
            </w:tcBorders>
            <w:noWrap/>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方向</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NX-01</w:t>
            </w:r>
          </w:p>
        </w:tc>
        <w:tc>
          <w:tcPr>
            <w:tcW w:w="3435"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崇州市泰安路1km</w:t>
            </w:r>
          </w:p>
        </w:tc>
        <w:tc>
          <w:tcPr>
            <w:tcW w:w="498"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东</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NX-02</w:t>
            </w:r>
          </w:p>
        </w:tc>
        <w:tc>
          <w:tcPr>
            <w:tcW w:w="3435"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崇州市双怀路与三新路交叉路口右转辅道（双怀路至三新路）</w:t>
            </w:r>
          </w:p>
        </w:tc>
        <w:tc>
          <w:tcPr>
            <w:tcW w:w="498"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西</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NX-03</w:t>
            </w:r>
          </w:p>
        </w:tc>
        <w:tc>
          <w:tcPr>
            <w:tcW w:w="3435"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崇州市世平街（明日大道路口至永渠南街路口）</w:t>
            </w:r>
          </w:p>
        </w:tc>
        <w:tc>
          <w:tcPr>
            <w:tcW w:w="498"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北</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NX-04</w:t>
            </w:r>
          </w:p>
        </w:tc>
        <w:tc>
          <w:tcPr>
            <w:tcW w:w="3435"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崇州市锦江路（明日大道路口至永渠南街路口）</w:t>
            </w:r>
          </w:p>
        </w:tc>
        <w:tc>
          <w:tcPr>
            <w:tcW w:w="498"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北</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NX-05</w:t>
            </w:r>
          </w:p>
        </w:tc>
        <w:tc>
          <w:tcPr>
            <w:tcW w:w="3435"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崇州市永渠南街（锦江路路口至世平街路口）</w:t>
            </w:r>
          </w:p>
        </w:tc>
        <w:tc>
          <w:tcPr>
            <w:tcW w:w="498"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西</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NX-06</w:t>
            </w:r>
          </w:p>
        </w:tc>
        <w:tc>
          <w:tcPr>
            <w:tcW w:w="3435"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崇州市红瓦横街（明日大道路口至红瓦路路口）</w:t>
            </w:r>
          </w:p>
        </w:tc>
        <w:tc>
          <w:tcPr>
            <w:tcW w:w="498"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东</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NX-07</w:t>
            </w:r>
          </w:p>
        </w:tc>
        <w:tc>
          <w:tcPr>
            <w:tcW w:w="3435"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崇州市兴荣路（友谊街路口至永渠南街路口）</w:t>
            </w:r>
          </w:p>
        </w:tc>
        <w:tc>
          <w:tcPr>
            <w:tcW w:w="498"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西</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NX-0</w:t>
            </w:r>
            <w:r>
              <w:rPr>
                <w:rFonts w:ascii="仿宋" w:hAnsi="仿宋" w:eastAsia="仿宋" w:cs="仿宋"/>
                <w:color w:val="auto"/>
                <w:sz w:val="21"/>
                <w:szCs w:val="21"/>
                <w:highlight w:val="none"/>
              </w:rPr>
              <w:t>8</w:t>
            </w:r>
          </w:p>
        </w:tc>
        <w:tc>
          <w:tcPr>
            <w:tcW w:w="3435"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崇州市永渠北街（半边街路口至文华街路口）</w:t>
            </w:r>
          </w:p>
        </w:tc>
        <w:tc>
          <w:tcPr>
            <w:tcW w:w="498"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西</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NX-0</w:t>
            </w:r>
            <w:r>
              <w:rPr>
                <w:rFonts w:ascii="仿宋" w:hAnsi="仿宋" w:eastAsia="仿宋" w:cs="仿宋"/>
                <w:color w:val="auto"/>
                <w:sz w:val="21"/>
                <w:szCs w:val="21"/>
                <w:highlight w:val="none"/>
              </w:rPr>
              <w:t>9</w:t>
            </w:r>
          </w:p>
        </w:tc>
        <w:tc>
          <w:tcPr>
            <w:tcW w:w="3435"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锦江车管所逆行</w:t>
            </w:r>
          </w:p>
        </w:tc>
        <w:tc>
          <w:tcPr>
            <w:tcW w:w="498"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南</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w:t>
            </w:r>
            <w:r>
              <w:rPr>
                <w:rFonts w:ascii="仿宋" w:hAnsi="仿宋" w:eastAsia="仿宋" w:cs="仿宋"/>
                <w:color w:val="auto"/>
                <w:sz w:val="21"/>
                <w:szCs w:val="21"/>
                <w:highlight w:val="none"/>
              </w:rPr>
              <w:t>10</w:t>
            </w:r>
          </w:p>
        </w:tc>
        <w:tc>
          <w:tcPr>
            <w:tcW w:w="3435"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老西江桥东桥头逆行</w:t>
            </w:r>
          </w:p>
        </w:tc>
        <w:tc>
          <w:tcPr>
            <w:tcW w:w="498"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西</w:t>
            </w:r>
          </w:p>
        </w:tc>
      </w:tr>
      <w:tr>
        <w:tblPrEx>
          <w:tblCellMar>
            <w:top w:w="0" w:type="dxa"/>
            <w:left w:w="108" w:type="dxa"/>
            <w:bottom w:w="0" w:type="dxa"/>
            <w:right w:w="108" w:type="dxa"/>
          </w:tblCellMar>
        </w:tblPrEx>
        <w:trPr>
          <w:trHeight w:val="280" w:hRule="atLeast"/>
        </w:trPr>
        <w:tc>
          <w:tcPr>
            <w:tcW w:w="694"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NX-</w:t>
            </w:r>
            <w:r>
              <w:rPr>
                <w:rFonts w:ascii="仿宋" w:hAnsi="仿宋" w:eastAsia="仿宋" w:cs="仿宋"/>
                <w:color w:val="auto"/>
                <w:sz w:val="21"/>
                <w:szCs w:val="21"/>
                <w:highlight w:val="none"/>
              </w:rPr>
              <w:t>11</w:t>
            </w:r>
          </w:p>
        </w:tc>
        <w:tc>
          <w:tcPr>
            <w:tcW w:w="3435"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老西江桥西桥头逆行</w:t>
            </w:r>
          </w:p>
        </w:tc>
        <w:tc>
          <w:tcPr>
            <w:tcW w:w="498"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3"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东</w:t>
            </w:r>
          </w:p>
        </w:tc>
      </w:tr>
    </w:tbl>
    <w:p>
      <w:pPr>
        <w:pStyle w:val="77"/>
        <w:shd w:val="clear"/>
        <w:rPr>
          <w:rFonts w:ascii="仿宋" w:hAnsi="仿宋" w:eastAsia="仿宋" w:cs="仿宋"/>
          <w:color w:val="auto"/>
          <w:highlight w:val="none"/>
        </w:rPr>
      </w:pPr>
    </w:p>
    <w:p>
      <w:pPr>
        <w:shd w:val="clea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4.视频监控系统点位</w:t>
      </w:r>
    </w:p>
    <w:tbl>
      <w:tblPr>
        <w:tblStyle w:val="38"/>
        <w:tblW w:w="5000" w:type="pct"/>
        <w:tblInd w:w="0" w:type="dxa"/>
        <w:tblLayout w:type="autofit"/>
        <w:tblCellMar>
          <w:top w:w="0" w:type="dxa"/>
          <w:left w:w="108" w:type="dxa"/>
          <w:bottom w:w="0" w:type="dxa"/>
          <w:right w:w="108" w:type="dxa"/>
        </w:tblCellMar>
      </w:tblPr>
      <w:tblGrid>
        <w:gridCol w:w="2105"/>
        <w:gridCol w:w="6899"/>
      </w:tblGrid>
      <w:tr>
        <w:tblPrEx>
          <w:tblCellMar>
            <w:top w:w="0" w:type="dxa"/>
            <w:left w:w="108" w:type="dxa"/>
            <w:bottom w:w="0" w:type="dxa"/>
            <w:right w:w="108" w:type="dxa"/>
          </w:tblCellMar>
        </w:tblPrEx>
        <w:trPr>
          <w:trHeight w:val="280" w:hRule="atLeast"/>
        </w:trPr>
        <w:tc>
          <w:tcPr>
            <w:tcW w:w="1169" w:type="pct"/>
            <w:tcBorders>
              <w:top w:val="single" w:color="auto" w:sz="4" w:space="0"/>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编号</w:t>
            </w:r>
          </w:p>
        </w:tc>
        <w:tc>
          <w:tcPr>
            <w:tcW w:w="3831" w:type="pct"/>
            <w:tcBorders>
              <w:top w:val="single" w:color="auto" w:sz="4" w:space="0"/>
              <w:left w:val="nil"/>
              <w:bottom w:val="single" w:color="auto" w:sz="4" w:space="0"/>
              <w:right w:val="single" w:color="auto" w:sz="4" w:space="0"/>
            </w:tcBorders>
            <w:noWrap/>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路段点位</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JK-1</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蜀州中路九龙商场</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w:t>
            </w:r>
            <w:r>
              <w:rPr>
                <w:rFonts w:ascii="仿宋" w:hAnsi="仿宋" w:eastAsia="仿宋" w:cs="仿宋"/>
                <w:color w:val="auto"/>
                <w:sz w:val="21"/>
                <w:szCs w:val="21"/>
                <w:highlight w:val="none"/>
              </w:rPr>
              <w:t>2</w:t>
            </w:r>
          </w:p>
        </w:tc>
        <w:tc>
          <w:tcPr>
            <w:tcW w:w="3831" w:type="pct"/>
            <w:tcBorders>
              <w:top w:val="nil"/>
              <w:left w:val="nil"/>
              <w:bottom w:val="single" w:color="auto" w:sz="4" w:space="0"/>
              <w:right w:val="single" w:color="auto" w:sz="4" w:space="0"/>
            </w:tcBorders>
            <w:shd w:val="clear" w:color="000000" w:fill="FFFFFF"/>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实验小学</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w:t>
            </w:r>
            <w:r>
              <w:rPr>
                <w:rFonts w:ascii="仿宋" w:hAnsi="仿宋" w:eastAsia="仿宋" w:cs="仿宋"/>
                <w:color w:val="auto"/>
                <w:sz w:val="21"/>
                <w:szCs w:val="21"/>
                <w:highlight w:val="none"/>
              </w:rPr>
              <w:t>3</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实验中学高中部</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w:t>
            </w:r>
            <w:r>
              <w:rPr>
                <w:rFonts w:ascii="仿宋" w:hAnsi="仿宋" w:eastAsia="仿宋" w:cs="仿宋"/>
                <w:color w:val="auto"/>
                <w:sz w:val="21"/>
                <w:szCs w:val="21"/>
                <w:highlight w:val="none"/>
              </w:rPr>
              <w:t>4</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蜀南小学</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w:t>
            </w:r>
            <w:r>
              <w:rPr>
                <w:rFonts w:ascii="仿宋" w:hAnsi="仿宋" w:eastAsia="仿宋" w:cs="仿宋"/>
                <w:color w:val="auto"/>
                <w:sz w:val="21"/>
                <w:szCs w:val="21"/>
                <w:highlight w:val="none"/>
              </w:rPr>
              <w:t>5</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辰居路小学</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w:t>
            </w:r>
            <w:r>
              <w:rPr>
                <w:rFonts w:ascii="仿宋" w:hAnsi="仿宋" w:eastAsia="仿宋" w:cs="仿宋"/>
                <w:color w:val="auto"/>
                <w:sz w:val="21"/>
                <w:szCs w:val="21"/>
                <w:highlight w:val="none"/>
              </w:rPr>
              <w:t>6</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客运中心站</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w:t>
            </w:r>
            <w:r>
              <w:rPr>
                <w:rFonts w:ascii="仿宋" w:hAnsi="仿宋" w:eastAsia="仿宋" w:cs="仿宋"/>
                <w:color w:val="auto"/>
                <w:sz w:val="21"/>
                <w:szCs w:val="21"/>
                <w:highlight w:val="none"/>
              </w:rPr>
              <w:t>7</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世纪大道与金盆地交叉口</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w:t>
            </w:r>
            <w:r>
              <w:rPr>
                <w:rFonts w:ascii="仿宋" w:hAnsi="仿宋" w:eastAsia="仿宋" w:cs="仿宋"/>
                <w:color w:val="auto"/>
                <w:sz w:val="21"/>
                <w:szCs w:val="21"/>
                <w:highlight w:val="none"/>
              </w:rPr>
              <w:t>8</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世纪广场</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w:t>
            </w:r>
            <w:r>
              <w:rPr>
                <w:rFonts w:ascii="仿宋" w:hAnsi="仿宋" w:eastAsia="仿宋" w:cs="仿宋"/>
                <w:color w:val="auto"/>
                <w:sz w:val="21"/>
                <w:szCs w:val="21"/>
                <w:highlight w:val="none"/>
              </w:rPr>
              <w:t>9</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人民医院门口</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JK-1</w:t>
            </w:r>
            <w:r>
              <w:rPr>
                <w:rFonts w:ascii="仿宋" w:hAnsi="仿宋" w:eastAsia="仿宋" w:cs="仿宋"/>
                <w:color w:val="auto"/>
                <w:sz w:val="21"/>
                <w:szCs w:val="21"/>
                <w:highlight w:val="none"/>
              </w:rPr>
              <w:t>0</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西川第一天</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JK-1</w:t>
            </w:r>
            <w:r>
              <w:rPr>
                <w:rFonts w:ascii="仿宋" w:hAnsi="仿宋" w:eastAsia="仿宋" w:cs="仿宋"/>
                <w:color w:val="auto"/>
                <w:sz w:val="21"/>
                <w:szCs w:val="21"/>
                <w:highlight w:val="none"/>
              </w:rPr>
              <w:t>1</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常璩广场</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JK-1</w:t>
            </w:r>
            <w:r>
              <w:rPr>
                <w:rFonts w:ascii="仿宋" w:hAnsi="仿宋" w:eastAsia="仿宋" w:cs="仿宋"/>
                <w:color w:val="auto"/>
                <w:sz w:val="21"/>
                <w:szCs w:val="21"/>
                <w:highlight w:val="none"/>
              </w:rPr>
              <w:t>2</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蜀州广场</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JK-1</w:t>
            </w:r>
            <w:r>
              <w:rPr>
                <w:rFonts w:ascii="仿宋" w:hAnsi="仿宋" w:eastAsia="仿宋" w:cs="仿宋"/>
                <w:color w:val="auto"/>
                <w:sz w:val="21"/>
                <w:szCs w:val="21"/>
                <w:highlight w:val="none"/>
              </w:rPr>
              <w:t>3</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崇州市省道106线95km+150m</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JK-1</w:t>
            </w:r>
            <w:r>
              <w:rPr>
                <w:rFonts w:ascii="仿宋" w:hAnsi="仿宋" w:eastAsia="仿宋" w:cs="仿宋"/>
                <w:color w:val="auto"/>
                <w:sz w:val="21"/>
                <w:szCs w:val="21"/>
                <w:highlight w:val="none"/>
              </w:rPr>
              <w:t>4</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全友3号门监控</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JK-1</w:t>
            </w:r>
            <w:r>
              <w:rPr>
                <w:rFonts w:ascii="仿宋" w:hAnsi="仿宋" w:eastAsia="仿宋" w:cs="仿宋"/>
                <w:color w:val="auto"/>
                <w:sz w:val="21"/>
                <w:szCs w:val="21"/>
                <w:highlight w:val="none"/>
              </w:rPr>
              <w:t>5</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崇州市街安路7km+50m</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JK-1</w:t>
            </w:r>
            <w:r>
              <w:rPr>
                <w:rFonts w:ascii="仿宋" w:hAnsi="仿宋" w:eastAsia="仿宋" w:cs="仿宋"/>
                <w:color w:val="auto"/>
                <w:sz w:val="21"/>
                <w:szCs w:val="21"/>
                <w:highlight w:val="none"/>
              </w:rPr>
              <w:t>6</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崇州市省道106线79km+740m</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JK-1</w:t>
            </w:r>
            <w:r>
              <w:rPr>
                <w:rFonts w:ascii="仿宋" w:hAnsi="仿宋" w:eastAsia="仿宋" w:cs="仿宋"/>
                <w:color w:val="auto"/>
                <w:sz w:val="21"/>
                <w:szCs w:val="21"/>
                <w:highlight w:val="none"/>
              </w:rPr>
              <w:t>7</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崇州市崇双路8km+500m</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w:t>
            </w:r>
            <w:r>
              <w:rPr>
                <w:rFonts w:ascii="仿宋" w:hAnsi="仿宋" w:eastAsia="仿宋" w:cs="仿宋"/>
                <w:color w:val="auto"/>
                <w:sz w:val="21"/>
                <w:szCs w:val="21"/>
                <w:highlight w:val="none"/>
              </w:rPr>
              <w:t>18</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生资市场LED监控</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w:t>
            </w:r>
            <w:r>
              <w:rPr>
                <w:rFonts w:ascii="仿宋" w:hAnsi="仿宋" w:eastAsia="仿宋" w:cs="仿宋"/>
                <w:color w:val="auto"/>
                <w:sz w:val="21"/>
                <w:szCs w:val="21"/>
                <w:highlight w:val="none"/>
              </w:rPr>
              <w:t>19</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崇州市西街与昌明路交叉路口 东向</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JK-2</w:t>
            </w:r>
            <w:r>
              <w:rPr>
                <w:rFonts w:ascii="仿宋" w:hAnsi="仿宋" w:eastAsia="仿宋" w:cs="仿宋"/>
                <w:color w:val="auto"/>
                <w:sz w:val="21"/>
                <w:szCs w:val="21"/>
                <w:highlight w:val="none"/>
              </w:rPr>
              <w:t>0</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崇州市西街与昌明路交叉路口 南向</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JK-2</w:t>
            </w:r>
            <w:r>
              <w:rPr>
                <w:rFonts w:ascii="仿宋" w:hAnsi="仿宋" w:eastAsia="仿宋" w:cs="仿宋"/>
                <w:color w:val="auto"/>
                <w:sz w:val="21"/>
                <w:szCs w:val="21"/>
                <w:highlight w:val="none"/>
              </w:rPr>
              <w:t>1</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崇州市蜀州北路与唐兴街交叉路口 北向</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JK-2</w:t>
            </w:r>
            <w:r>
              <w:rPr>
                <w:rFonts w:ascii="仿宋" w:hAnsi="仿宋" w:eastAsia="仿宋" w:cs="仿宋"/>
                <w:color w:val="auto"/>
                <w:sz w:val="21"/>
                <w:szCs w:val="21"/>
                <w:highlight w:val="none"/>
              </w:rPr>
              <w:t>2</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崇州市唐安西路与三元街交叉路口  西向</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JK-2</w:t>
            </w:r>
            <w:r>
              <w:rPr>
                <w:rFonts w:ascii="仿宋" w:hAnsi="仿宋" w:eastAsia="仿宋" w:cs="仿宋"/>
                <w:color w:val="auto"/>
                <w:sz w:val="21"/>
                <w:szCs w:val="21"/>
                <w:highlight w:val="none"/>
              </w:rPr>
              <w:t>3</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成名高速羊马段下站口监控</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JK-2</w:t>
            </w:r>
            <w:r>
              <w:rPr>
                <w:rFonts w:ascii="仿宋" w:hAnsi="仿宋" w:eastAsia="仿宋" w:cs="仿宋"/>
                <w:color w:val="auto"/>
                <w:sz w:val="21"/>
                <w:szCs w:val="21"/>
                <w:highlight w:val="none"/>
              </w:rPr>
              <w:t>4</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世纪大道跨线桥监控</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JK-2</w:t>
            </w:r>
            <w:r>
              <w:rPr>
                <w:rFonts w:ascii="仿宋" w:hAnsi="仿宋" w:eastAsia="仿宋" w:cs="仿宋"/>
                <w:color w:val="auto"/>
                <w:sz w:val="21"/>
                <w:szCs w:val="21"/>
                <w:highlight w:val="none"/>
              </w:rPr>
              <w:t>5</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琴鹤大桥监控</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JK-2</w:t>
            </w:r>
            <w:r>
              <w:rPr>
                <w:rFonts w:ascii="仿宋" w:hAnsi="仿宋" w:eastAsia="仿宋" w:cs="仿宋"/>
                <w:color w:val="auto"/>
                <w:sz w:val="21"/>
                <w:szCs w:val="21"/>
                <w:highlight w:val="none"/>
              </w:rPr>
              <w:t>6</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明珠大桥监控</w:t>
            </w:r>
          </w:p>
        </w:tc>
      </w:tr>
      <w:tr>
        <w:tblPrEx>
          <w:tblCellMar>
            <w:top w:w="0" w:type="dxa"/>
            <w:left w:w="108" w:type="dxa"/>
            <w:bottom w:w="0" w:type="dxa"/>
            <w:right w:w="108" w:type="dxa"/>
          </w:tblCellMar>
        </w:tblPrEx>
        <w:trPr>
          <w:trHeight w:val="290" w:hRule="atLeast"/>
        </w:trPr>
        <w:tc>
          <w:tcPr>
            <w:tcW w:w="1169"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JK-2</w:t>
            </w:r>
            <w:r>
              <w:rPr>
                <w:rFonts w:ascii="仿宋" w:hAnsi="仿宋" w:eastAsia="仿宋" w:cs="仿宋"/>
                <w:color w:val="auto"/>
                <w:sz w:val="21"/>
                <w:szCs w:val="21"/>
                <w:highlight w:val="none"/>
              </w:rPr>
              <w:t>7</w:t>
            </w:r>
          </w:p>
        </w:tc>
        <w:tc>
          <w:tcPr>
            <w:tcW w:w="3831" w:type="pct"/>
            <w:tcBorders>
              <w:top w:val="nil"/>
              <w:left w:val="nil"/>
              <w:bottom w:val="single" w:color="auto" w:sz="4" w:space="0"/>
              <w:right w:val="single" w:color="auto" w:sz="4" w:space="0"/>
            </w:tcBorders>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中南街监控</w:t>
            </w:r>
          </w:p>
        </w:tc>
      </w:tr>
    </w:tbl>
    <w:p>
      <w:pPr>
        <w:pStyle w:val="77"/>
        <w:shd w:val="clear"/>
        <w:rPr>
          <w:rFonts w:ascii="仿宋" w:hAnsi="仿宋" w:eastAsia="仿宋" w:cs="仿宋"/>
          <w:color w:val="auto"/>
          <w:sz w:val="21"/>
          <w:szCs w:val="21"/>
          <w:highlight w:val="none"/>
        </w:rPr>
      </w:pPr>
    </w:p>
    <w:p>
      <w:pPr>
        <w:shd w:val="clear"/>
        <w:spacing w:line="360" w:lineRule="auto"/>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rPr>
        <w:t>.违停抓拍系统</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4202"/>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333" w:type="pct"/>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路段点位</w:t>
            </w:r>
          </w:p>
        </w:tc>
        <w:tc>
          <w:tcPr>
            <w:tcW w:w="1754" w:type="pct"/>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点位地址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333"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崇州市创新路三段</w:t>
            </w:r>
          </w:p>
        </w:tc>
        <w:tc>
          <w:tcPr>
            <w:tcW w:w="1754"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2" w:type="pct"/>
            <w:noWrap/>
            <w:vAlign w:val="bottom"/>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333"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崇州市创新路三段</w:t>
            </w:r>
          </w:p>
        </w:tc>
        <w:tc>
          <w:tcPr>
            <w:tcW w:w="1754"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路口</w:t>
            </w:r>
          </w:p>
        </w:tc>
      </w:tr>
    </w:tbl>
    <w:p>
      <w:pPr>
        <w:pStyle w:val="77"/>
        <w:shd w:val="clear"/>
        <w:rPr>
          <w:rFonts w:ascii="仿宋" w:hAnsi="仿宋" w:eastAsia="仿宋" w:cs="仿宋"/>
          <w:color w:val="auto"/>
          <w:sz w:val="21"/>
          <w:szCs w:val="21"/>
          <w:highlight w:val="none"/>
        </w:rPr>
      </w:pPr>
    </w:p>
    <w:p>
      <w:pPr>
        <w:shd w:val="clear"/>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rPr>
        <w:t>.LED诱导屏系统点位</w:t>
      </w:r>
    </w:p>
    <w:tbl>
      <w:tblPr>
        <w:tblStyle w:val="38"/>
        <w:tblW w:w="5000" w:type="pct"/>
        <w:tblInd w:w="0" w:type="dxa"/>
        <w:tblLayout w:type="autofit"/>
        <w:tblCellMar>
          <w:top w:w="0" w:type="dxa"/>
          <w:left w:w="108" w:type="dxa"/>
          <w:bottom w:w="0" w:type="dxa"/>
          <w:right w:w="108" w:type="dxa"/>
        </w:tblCellMar>
      </w:tblPr>
      <w:tblGrid>
        <w:gridCol w:w="2676"/>
        <w:gridCol w:w="6328"/>
      </w:tblGrid>
      <w:tr>
        <w:tblPrEx>
          <w:tblCellMar>
            <w:top w:w="0" w:type="dxa"/>
            <w:left w:w="108" w:type="dxa"/>
            <w:bottom w:w="0" w:type="dxa"/>
            <w:right w:w="108" w:type="dxa"/>
          </w:tblCellMar>
        </w:tblPrEx>
        <w:trPr>
          <w:trHeight w:val="290" w:hRule="atLeast"/>
        </w:trPr>
        <w:tc>
          <w:tcPr>
            <w:tcW w:w="1486" w:type="pct"/>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514" w:type="pct"/>
            <w:tcBorders>
              <w:top w:val="single" w:color="auto" w:sz="4" w:space="0"/>
              <w:left w:val="nil"/>
              <w:bottom w:val="single" w:color="auto" w:sz="4" w:space="0"/>
              <w:right w:val="single" w:color="auto" w:sz="4" w:space="0"/>
            </w:tcBorders>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路段点位</w:t>
            </w:r>
          </w:p>
        </w:tc>
      </w:tr>
      <w:tr>
        <w:tblPrEx>
          <w:tblCellMar>
            <w:top w:w="0" w:type="dxa"/>
            <w:left w:w="108" w:type="dxa"/>
            <w:bottom w:w="0" w:type="dxa"/>
            <w:right w:w="108" w:type="dxa"/>
          </w:tblCellMar>
        </w:tblPrEx>
        <w:trPr>
          <w:trHeight w:val="280" w:hRule="atLeast"/>
        </w:trPr>
        <w:tc>
          <w:tcPr>
            <w:tcW w:w="1486" w:type="pct"/>
            <w:tcBorders>
              <w:top w:val="nil"/>
              <w:left w:val="single" w:color="auto" w:sz="4" w:space="0"/>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514" w:type="pct"/>
            <w:tcBorders>
              <w:top w:val="nil"/>
              <w:left w:val="nil"/>
              <w:bottom w:val="single" w:color="auto" w:sz="4" w:space="0"/>
              <w:right w:val="single" w:color="auto" w:sz="4" w:space="0"/>
            </w:tcBorders>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跨线桥LED</w:t>
            </w:r>
          </w:p>
        </w:tc>
      </w:tr>
    </w:tbl>
    <w:p>
      <w:pPr>
        <w:shd w:val="clea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shd w:val="clear"/>
        <w:tabs>
          <w:tab w:val="left" w:pos="8820"/>
        </w:tabs>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（三）系统维护服务要求：</w:t>
      </w:r>
    </w:p>
    <w:p>
      <w:pPr>
        <w:shd w:val="clea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 系统维护服务方式</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（1）每日开展外场巡视工作，包括：各监控点位的设备运行情况及完好性进行检查，前端设备校时情况检查，信号灯、标志标线等交通安全设施情况检查，配套交通安全设施的规范性检查，并提交巡查报告.</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前端系统的日常维护与保养，包括主机设备、抓拍设备、补光灯、设备杆、设备箱、线缆、管道等的清洁、检修、调试、维护等内容，并提交设备维护与保养报告；每月开展不低于2次的前端系统清洁、检修等保养工作；</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（3）负责对前端系统故障的分析处理，并及时解决故障；</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（4）负责故障设备的检修，对于更换部件的，负责故障诊断、送修、更换和安装调试；</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（5）配合完成前端系统迁改工程；</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（6）配合完成特定要求的设备检查和标定工作；</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（7）配合完成特定要求的设备功能调试和优化工作；</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（8）配合完成特定要求的采集数据和下载工作；</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配合对于前端系统采集机动车违法行为有关的设备维护。包括交通标志标线等在内的配套交安设施出现破损、遮挡、遗失的，按现行规范规定进行修缮，以及按电子警察系统采集违法行为的图片标志的有关要求进行完善设置；</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（10）负责提供对因道路改造及其他原因拆除暂未使用的前端系统设备及附属设施等进行规范保管；</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（11）负责配合因业务工作调整对前端系统的升级改造，对升级改造后的前端（后台）系统开展相关维护维修、升级工作。</w:t>
      </w:r>
    </w:p>
    <w:p>
      <w:pPr>
        <w:shd w:val="clea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（12）对指挥调度软件平台进行功能升级，已满足最近的业务需求。</w:t>
      </w:r>
    </w:p>
    <w:p>
      <w:pPr>
        <w:shd w:val="clea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系统维护服务要求</w:t>
      </w:r>
    </w:p>
    <w:p>
      <w:pPr>
        <w:shd w:val="clea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服务保障总体原则：“主动预防、稳定高效、客户至上”。</w:t>
      </w:r>
    </w:p>
    <w:p>
      <w:pPr>
        <w:numPr>
          <w:ilvl w:val="0"/>
          <w:numId w:val="17"/>
        </w:numPr>
        <w:shd w:val="clea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运维保障服务目标</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（1）红绿灯控制系统、视频监控系统、电子警察系统故障、测速卡口系统故障等故障，10分钟内响应，1小时内到达现场，一般故障4小时内修复，严重故障修复时间不超过24小时。</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（2）指挥中心及数据机房故障，一般故障4小时内修复，严重故障修复时间不超过24小时。</w:t>
      </w:r>
    </w:p>
    <w:p>
      <w:pPr>
        <w:pStyle w:val="95"/>
        <w:shd w:val="clear"/>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（3）数据传输网络故障，10分钟内响应，1小时内到达现场，1.5小时内修复，严重故障修复时间不超过24小时，保证线路通畅，可以正常使用。</w:t>
      </w:r>
    </w:p>
    <w:p>
      <w:pPr>
        <w:shd w:val="clea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运维质量管理流程</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运维质量管理流程按照ISO9001质量管理体系要求，所有维护活动从产生到结束都必须为一个完整的可追溯闭环。具体流程：</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（1）每日巡检：由中心维护人员进行中心机房及外场设备的远程巡检，发现故障或可能存在的故障并进行登记记录，填写《维护日志》。</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（2）故障接单：对用户电话申报的故障进行远程核实，并进行登记记录，填写《维护日志》。</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（3）故障派单：现场维护负责人填写《维护派单》，并安排相应人员处理故障。</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（4）故障解决：维护接单人员根据《维护派单》内容到现场处理问题，问题处理结果在《维护派单》中详细填写，并返还给维护负责人。</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（5）登记确认：现场维护负责人根据返还的《维护派单》内容进行故障是否解决的确认，并填写《维护日志》进行登记，由用户电话报修的当日电话通知用户故障解决情况。</w:t>
      </w:r>
    </w:p>
    <w:p>
      <w:pPr>
        <w:shd w:val="clea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 运维质量管理要求</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（1）现场维护团队上班时间为：每周一至周日，维护团队成员必须保持手机24小时开机待命状态。</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（2）现场维护团队分为中心维护组和外场维护组，每小组设组长一名，组长负责小组工作的日常管理和工作汇报。</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（3）维护工作分为：每日中心远程巡检、每周外场例行巡检1次、中心及外场故障及维护处理三类，每类工作均在《维护日志》或《维护派单》中详细记录。</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（4）每周维护负责人对当周《维护日志》进行统计，按轻微故障、一般故障、较大故障、严重故障、意外故障和其他故障进行分类汇总，并按月/季/年汇总上报交警大队备案。</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（5）每周维护负责人对维护备品备件库进行一次核查、并跟踪厂商返修品返修进度。</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（6）维护工作相关技术文件、资料等必须进行规范管理，对重要文件资料需复印备份。</w:t>
      </w:r>
    </w:p>
    <w:p>
      <w:pPr>
        <w:pStyle w:val="97"/>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（7）每月维护负责人组织维护团队人员进行一次业务水平学习，强化故障隐患排查方法、故障处理流程和操作规范。</w:t>
      </w:r>
    </w:p>
    <w:p>
      <w:pPr>
        <w:shd w:val="clea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（四）系统运维考核</w:t>
      </w:r>
    </w:p>
    <w:p>
      <w:pPr>
        <w:shd w:val="clea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1.考评内容及要求</w:t>
      </w:r>
    </w:p>
    <w:p>
      <w:pPr>
        <w:shd w:val="clear"/>
        <w:spacing w:line="360" w:lineRule="auto"/>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故障考评按系统故障类型进行分别考评，故障类型分为一般故障和严重故障，定义如下：</w:t>
      </w:r>
    </w:p>
    <w:p>
      <w:pPr>
        <w:shd w:val="clear"/>
        <w:spacing w:line="360" w:lineRule="auto"/>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（1）一般故障：一般故障是指单台设备无法达到其正常的使用功能（功能以乙方投标文件为准），且不会因此导致其它设备或整个系统无法正常运行的故障，如：某监控摄像机无画面，某卡口测速功能失效等。</w:t>
      </w:r>
    </w:p>
    <w:p>
      <w:pPr>
        <w:shd w:val="clear"/>
        <w:spacing w:line="360" w:lineRule="auto"/>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严重故障：重大故障是指网络、供电（供电局停电不包含在内）、中心系统硬件或软件故障导致整个系统功能无法正常使用或系统部分功能无法正常使用，如：服务器崩溃导致平台软件无法登录和使用，磁盘阵列故障导致历史数据不能查询等。</w:t>
      </w:r>
    </w:p>
    <w:p>
      <w:pPr>
        <w:shd w:val="clea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考评要求：</w:t>
      </w:r>
    </w:p>
    <w:p>
      <w:pPr>
        <w:pStyle w:val="98"/>
        <w:shd w:val="clear"/>
        <w:adjustRightInd w:val="0"/>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当发生一般故障时，维护方在接到用户报障请求（或自身发现故障）后4小时内解决故障，若因用户方要求和客观条件（如天气或道路管制等）不允许马上进行设备现场检修，维护方应在条件允许后4小时内解决故障。</w:t>
      </w:r>
    </w:p>
    <w:p>
      <w:pPr>
        <w:pStyle w:val="98"/>
        <w:shd w:val="clear"/>
        <w:adjustRightInd w:val="0"/>
        <w:snapToGrid w:val="0"/>
        <w:spacing w:before="0" w:beforeAutospacing="0" w:after="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（2）当发生严重故障时，维护方在接到用户报障请求（或自身发现故障）后1小时内响应，24小时内解决故障，若因用户方要求和客观条件不允许马上进行设备现场检修，维护方应在条件允许后24小时内解决故障。</w:t>
      </w:r>
    </w:p>
    <w:p>
      <w:pPr>
        <w:shd w:val="clea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 考评办法</w:t>
      </w:r>
    </w:p>
    <w:p>
      <w:pPr>
        <w:shd w:val="clear"/>
        <w:spacing w:line="360" w:lineRule="auto"/>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以1个月为一考评周期，考评周期内：</w:t>
      </w:r>
    </w:p>
    <w:p>
      <w:pPr>
        <w:shd w:val="clear"/>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一般故障维护不达要求超过3次（该3次故障是指：一般故障发生4小时内未能解决但在后续12小时内解决的故障），从第4次开始每增加一次在当月费用中扣除500元，故障持续时间每增加1天（不足1天按1天计算），当月内再扣除1000元，按此累加【涉及预埋基础、定制设备等制作周期较长的项目，以商定完成时间为限，每增加24小时记1次不达标，按此累加。】。</w:t>
      </w:r>
    </w:p>
    <w:p>
      <w:pPr>
        <w:shd w:val="clear"/>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严重故障维护不达要求超过1次（该1次故障是指：严重故障发生24小时内未能解决但在后续48小时内解决的故障），从第2次开始每增加一次在当季费用中扣除1000元，故障持续时间每增加1天（不足1天按1天计算），当月内再扣除2000元，按此累加【涉及预埋基础、定制设备等制作周期较长的项目，以商定完成时间为限，每增加24小时记1次不达标，按此累加。】。</w:t>
      </w:r>
    </w:p>
    <w:p>
      <w:pPr>
        <w:shd w:val="clear"/>
        <w:spacing w:line="360" w:lineRule="auto"/>
        <w:ind w:firstLine="60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若外场维护差错率（包括故障上报及时和维护维修及时）=【（未及时上报数+未及时维护数）/当月故障总数】×100%&gt;40%，则为当月考核不合格，取消服务资格，服务合同终止，并承担重新寻求解决服务问题所产生的所有费用。</w:t>
      </w:r>
    </w:p>
    <w:p>
      <w:pPr>
        <w:shd w:val="clea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4.考评流程</w:t>
      </w:r>
    </w:p>
    <w:p>
      <w:pPr>
        <w:shd w:val="clear"/>
        <w:spacing w:line="360" w:lineRule="auto"/>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（1）服务期内，每次维护产生或完成由维护方提交纸质《维护确认单》一式两份交由用户签字确认。</w:t>
      </w:r>
    </w:p>
    <w:p>
      <w:pPr>
        <w:shd w:val="clear"/>
        <w:spacing w:line="360" w:lineRule="auto"/>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（2）月度末，由维护方统计汇总维护不达要求情况和次数，提交纸质《月度维护报告》一式两份交由用户签字确认。</w:t>
      </w:r>
    </w:p>
    <w:p>
      <w:pPr>
        <w:shd w:val="clear"/>
        <w:spacing w:line="360" w:lineRule="auto"/>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（3）维护方将以用户签字确认的《月度维护报告》作为付款依据提请付款。</w:t>
      </w:r>
    </w:p>
    <w:p>
      <w:pPr>
        <w:shd w:val="clear"/>
        <w:tabs>
          <w:tab w:val="left" w:pos="8820"/>
        </w:tabs>
        <w:spacing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（五）系统运维其他事项</w:t>
      </w:r>
    </w:p>
    <w:p>
      <w:pPr>
        <w:shd w:val="clea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1.系统维护费及设备更换费用结算方式</w:t>
      </w:r>
    </w:p>
    <w:p>
      <w:pPr>
        <w:shd w:val="clear"/>
        <w:spacing w:line="360" w:lineRule="auto"/>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（1）系统维护费按月支付。供应商在每月月末报送维护费用报表，经双方审核同意后签字存档，于次月支付。</w:t>
      </w:r>
    </w:p>
    <w:p>
      <w:pPr>
        <w:shd w:val="clear"/>
        <w:spacing w:line="360" w:lineRule="auto"/>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（2）更换或更新设备费用按实结算。须更换或更新设备经采购人确认并经审核同意实施后，供应商在每月月末报送更换或更新设备费用报表，经双方审核签字存档，于次月支付。</w:t>
      </w:r>
    </w:p>
    <w:p>
      <w:pPr>
        <w:shd w:val="clear"/>
        <w:spacing w:line="360" w:lineRule="auto"/>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若因第三方原因对设备造成损坏的，供应商按规定时间进行修复。采购人与供应商共同对第三方进行追偿。如无法追偿的，产生的材料设备费属于《分项报价明细表》范围内的更换或更新材料、设备费由采购人承担，并于当月与维护费一并支付。</w:t>
      </w:r>
    </w:p>
    <w:p>
      <w:pPr>
        <w:shd w:val="clear"/>
        <w:spacing w:line="360" w:lineRule="auto"/>
        <w:ind w:firstLine="60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2.履约能力考察</w:t>
      </w:r>
    </w:p>
    <w:p>
      <w:pPr>
        <w:shd w:val="clear"/>
        <w:spacing w:line="360" w:lineRule="auto"/>
        <w:ind w:firstLine="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按照《中华人民共和国政府采购法》等法律法规的规定，对供应商履约能力进行考查。如经核实，不具备履行合同能力的，取消中标资格，并按照法律法规追究相关法律责任。</w:t>
      </w:r>
    </w:p>
    <w:p>
      <w:pPr>
        <w:pStyle w:val="77"/>
        <w:shd w:val="clear"/>
        <w:rPr>
          <w:rFonts w:ascii="仿宋" w:hAnsi="仿宋" w:eastAsia="仿宋" w:cs="仿宋"/>
          <w:color w:val="auto"/>
          <w:highlight w:val="none"/>
        </w:rPr>
      </w:pPr>
    </w:p>
    <w:p>
      <w:pPr>
        <w:shd w:val="clear"/>
        <w:tabs>
          <w:tab w:val="left" w:pos="8820"/>
        </w:tabs>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C、更换或更新材料设备服务</w:t>
      </w:r>
    </w:p>
    <w:p>
      <w:pPr>
        <w:shd w:val="clear"/>
        <w:tabs>
          <w:tab w:val="left" w:pos="882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更换或更新材料设备服务综合单价投标最高限价：详见下表。</w:t>
      </w:r>
    </w:p>
    <w:p>
      <w:pPr>
        <w:shd w:val="clear"/>
        <w:tabs>
          <w:tab w:val="left" w:pos="8820"/>
        </w:tabs>
        <w:spacing w:line="44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报价以给定的综合单价最高限价为基数填报综合单价的投标下浮比例，各项材料设备综合单价报价按该下浮比例计算，最终单价报价保留小数点后两位。填报各项材料设备综合单价报价。结算时按每月实际发生更新或更换材料设备经验收及运维考核后计算。</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7"/>
        <w:gridCol w:w="4976"/>
        <w:gridCol w:w="96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设备参数</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高清视频电警子系统</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tc>
        <w:tc>
          <w:tcPr>
            <w:tcW w:w="538" w:type="pct"/>
            <w:vAlign w:val="center"/>
          </w:tcPr>
          <w:p>
            <w:pPr>
              <w:widowControl/>
              <w:shd w:val="clear"/>
              <w:jc w:val="center"/>
              <w:rPr>
                <w:rFonts w:ascii="仿宋" w:hAnsi="仿宋" w:eastAsia="仿宋" w:cs="仿宋"/>
                <w:color w:val="auto"/>
                <w:sz w:val="21"/>
                <w:szCs w:val="21"/>
                <w:highlight w:val="none"/>
              </w:rPr>
            </w:pP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高清电子警察抓拍单元</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1.摄像机像素：900万，采用深度学习算法，内置深度学习芯片；支持≥4096×2160@25fps（不含OSD叠加）视频图像输出；视频压缩支持H.265、H.264、M-JPEG；</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车辆捕获率应≥99%，车牌识别准确率应≥ 95%；支持闯红灯抓拍功能，闯红灯捕获率≥95％，记录有效率≥90％；支持车型、车身颜色、车标、车辆子品牌等车辆特征识别，支持压线、逆行、不按导向行驶、绿灯停车、违法变道等违法检测功能；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▲支持信号机对接功能，采集的数据支持和信号机对接，可提供车型、车流量、速度等数据，采样周期可设置1秒-7200秒；（需提供公安部所属检验机构出具的检测报告复印件并加盖供应商鲜章证明）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在环形路口内，支持对不礼让已在路口的机动车先行的行为进行检测并抓拍;在无灯控路口，支持对机动车不礼让右方道路来车先行的行为进行检测并抓拍；（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支持车辆借道违章抓拍功能，车辆在转弯不让直行，会车，超车，掉头不让直行，停车时借道驶入其他道路，包括机动车变更车道、驶入非机动车道或人行道、非机动车驶入机动车道或人行道等车辆妨碍正常行驶车辆或行人的行为进行抓拍；支持对支干车辆合进主干道路时不礼让主干道通行的车辆违章进行抓拍；（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支持≥42种车型显示，至少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▲支持车辆子品牌识别功能，通过车头可识别≥7000种，通过车尾可识别≥3800种；（需提供公安部所属检验机构出具的检测报告复印件并加盖供应商鲜章证明）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 ≥2个RJ45 100M/1000M自适应网口，≥3个RS485接口，≥5路补光灯控制接口，≥1个信号灯电源同步输入接口，≥1个存储卡接口，工作温度满足﹣30℃～70℃，防护等级≥IP66。</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4</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.0</w:t>
            </w:r>
            <w:r>
              <w:rPr>
                <w:rFonts w:ascii="仿宋" w:hAnsi="仿宋" w:eastAsia="仿宋" w:cs="仿宋"/>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终端服务器</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设备采用嵌入式linux实时操作系统，内存容量≥2GB，全机身散热，内部无风扇；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支持≥4块3.5成2.5英寸硬盘接入，最大兼容6TB硬盘，支持硬盘自动切换，当块硬盘损坏后，能自动切换至其它硬盘进行存储，内置≥4T监控级硬盘；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▲≥16个10M/100M/1000M 自适应RJ45接口，≥2个1000M SFP光口，≥1个USB3.0接口；（需提供公安部所属检验机构出具的检测报告复印件并加盖供应商鲜章证明）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设备内的录像、图片文件无法直接删除或者修改，只能通过循环覆盖和硬盘格式化操作；</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支持不少于12路抓拍机接入，支持接入12路抓拍机进行违章图片合成；</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▲支持套牌车检测，可将抓拍图片与本地历史数据进行车辆特征比对分析，检测出套牌车辆，同时给出告警提示；（需提供公安部所属检验机构出具的检测报告复印件并加盖供应商鲜章证明）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 ▲对于在记录过程中出现的系统死机或意外故障，设备能够在规定的时间内自动恢复其正常工作状态并使故障前的信息不丢失；（需提供公安部所属检验机构出具的检测报告复印件并加盖供应商鲜章证明）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 工作环境温度：-40℃-+70℃。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32</w:t>
            </w:r>
            <w:r>
              <w:rPr>
                <w:rFonts w:hint="eastAsia" w:ascii="仿宋" w:hAnsi="仿宋" w:eastAsia="仿宋" w:cs="仿宋"/>
                <w:color w:val="auto"/>
                <w:sz w:val="21"/>
                <w:szCs w:val="21"/>
                <w:highlight w:val="none"/>
              </w:rPr>
              <w:t>15.</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常亮补光灯</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1.光源类型：原装进口大功率LED，三车道补光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2.可通过RS485实现可调亮度</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3.LED灯珠数量：16颗</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4.发光角度：40°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5.最佳补光距离：16米-25米</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6.触发方式：光敏控制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7.防护等级：IP66</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8.外形尺寸：128mm(D)×216mm(H)×159mm(W)</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9.整体重量：2.72Kg</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10.功率：最大功率36W(实际功率与控制方式有关)</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2352.00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交通信号灯检测器</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红绿灯信号检测器，采用工业级嵌入式微控制器；</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▲具有≥6路RS485、≥16路AC220V信号灯输入接口、≥16路信号状态指示灯，≥1路RS485数据收发状态指示灯；（需提供公安部所属检验机构出具的检测报告复印件并加盖供应商鲜章证明）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w:t>
            </w:r>
            <w:r>
              <w:rPr>
                <w:rFonts w:hint="eastAsia"/>
                <w:color w:val="auto"/>
                <w:highlight w:val="none"/>
              </w:rPr>
              <w:t xml:space="preserve"> </w:t>
            </w:r>
            <w:r>
              <w:rPr>
                <w:rFonts w:hint="eastAsia" w:ascii="仿宋" w:hAnsi="仿宋" w:eastAsia="仿宋" w:cs="仿宋"/>
                <w:color w:val="auto"/>
                <w:sz w:val="21"/>
                <w:szCs w:val="21"/>
                <w:highlight w:val="none"/>
              </w:rPr>
              <w:t>▲检测信号灯电压范围AC110V~274V，信号灯输入端口有信号输入时，RS485端口会上传该端口的状态信息；（需提供公安部所属检验机构出具的检测报告复印件并加盖供应商鲜章证明）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工作温度：-30℃～+70℃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rPr>
              <w:t>97.0</w:t>
            </w:r>
            <w:r>
              <w:rPr>
                <w:rFonts w:ascii="仿宋" w:hAnsi="仿宋" w:eastAsia="仿宋" w:cs="仿宋"/>
                <w:color w:val="auto"/>
                <w:sz w:val="21"/>
                <w:szCs w:val="21"/>
                <w:highlight w:val="none"/>
              </w:rPr>
              <w:t>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高清测速卡口子系统</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tc>
        <w:tc>
          <w:tcPr>
            <w:tcW w:w="538" w:type="pct"/>
            <w:vAlign w:val="center"/>
          </w:tcPr>
          <w:p>
            <w:pPr>
              <w:widowControl/>
              <w:shd w:val="clear"/>
              <w:jc w:val="center"/>
              <w:rPr>
                <w:rFonts w:ascii="仿宋" w:hAnsi="仿宋" w:eastAsia="仿宋" w:cs="仿宋"/>
                <w:color w:val="auto"/>
                <w:sz w:val="21"/>
                <w:szCs w:val="21"/>
                <w:highlight w:val="none"/>
              </w:rPr>
            </w:pP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高清测速卡口抓拍单元</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摄像机像素：900万，采用深度学习算法，内置深度学习芯片；支持≥4096×2160@25fps（不含OSD叠加）视频图像输出；视频压缩支持H.265、H.264、M-JPEG；</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镜头焦距≥50mm，可覆盖2车道，支持抓拍驾驶室、非机动车、行人人脸并可用于后端人脸识别，支持行人人体特征识别如性别、戴口罩、衣服颜色等；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支持设定以位置、车速、车型、行驶方向和车牌类型等为触发条件进行抓拍，支持对闯禁令的大小货车、土方车、挂车、混凝土搅拌车和大型客车进行检测抓拍，包括黄牌和蓝牌；（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▲支持正向/背向行驶车辆抓拍，车辆检测绿框可跟随移动；支持抓拍优选功能，优选状态下上报最优抓图；（需提供公安部所属检验机构出具的检测报告复印件并加盖供应商鲜章证明）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具有场景自适应功能，支持识别背光、高速运动、雾（雨）天等场景，并能在开启状态下自动对背光及高速运动自适应调整相应的图像参数，对雾（雨）天场景可在20s内识别并调整参数；（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支持≥42种车型显示，至少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 ▲支持车辆子品牌识别功能，通过车头可识别≥7000种，通过车尾可识别≥3800种；（需提供公安部所属检验机构出具的检测报告复印件并加盖供应商鲜章证明）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 ≥2个RJ45 100M/1000M自适应网口，≥3个RS485接口，≥5路补光灯控制接口，≥1个存储卡接口；工作温度满足﹣30℃～70℃，防护等级≥IP66。</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417.</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抓拍单元镜头</w:t>
            </w:r>
          </w:p>
        </w:tc>
        <w:tc>
          <w:tcPr>
            <w:tcW w:w="2763" w:type="pct"/>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12mm，16mm，20mm，25mm等</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平板窄波雷达测速仪</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单车道窄波测速雷达，测速距离范围≥18～35m；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支持高精度定点抓拍，拍照位置误差≤1米，抓拍率达≥99%；</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测速范围不小于20km/h-400km/h，且车辆远离时显示反向“-”，车辆接近时显示为正向“+”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测速误差：车速20km/h-180km/h，误差不超过-2km/h-0km/h；车速180km/h-400km/h，误差不超过-4km/h-0km/h；</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支持WIFI升级及参数配置，可通过WIFI连接进行升级，升级后功能正常，可进行雷达触发位置设置和雷达灵敏度进行配置；</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工作功耗≤3W，工作温度范围不低于-40℃～+80℃，防护等级≥IP66。</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rPr>
              <w:t xml:space="preserve">766.82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终端服务器</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设备采用嵌入式linux实时操作系统，内存容量≥2GB，全机身散热，内部无风扇；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支持≥4块3.5成2.5英寸硬盘接入，最大兼容6TB硬盘，支持硬盘自动切换，当块硬盘损坏后，能自动切换至其它硬盘进行存储，内置≥4T监控级硬盘；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▲≥16个10M/100M/1000M 自适应RJ45接口，≥2个1000M SFP光口，≥1个USB3.0接口；（需提供公安部所属检验机构出具的检测报告复印件并加盖供应商鲜章证明）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设备内的录像、图片文件无法直接删除或者修改，只能通过循环覆盖和硬盘格式化操作；</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支持不少于12路抓拍机接入，支持接入12路抓拍机进行违章图片合成；</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▲支持套牌车检测，可将抓拍图片与本地历史数据进行车辆特征比对分析，检测出套牌车辆，同时给出告警提示；（需提供公安部所属检验机构出具的检测报告复印件并加盖供应商鲜章证明）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 ▲对于在记录过程中出现的系统死机或意外故障，设备能够在规定的时间内自动恢复其正常工作状态并使故障前的信息不丢失；（需提供公安部所属检验机构出具的检测报告复印件并加盖供应商鲜章证明）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 工作环境温度：-40℃-+70℃。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815.</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4" w:type="pct"/>
            <w:shd w:val="clear" w:color="auto" w:fill="auto"/>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9" w:type="pct"/>
            <w:shd w:val="clear" w:color="000000" w:fill="FFFFFF"/>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环保卡口抓拍单元</w:t>
            </w:r>
          </w:p>
        </w:tc>
        <w:tc>
          <w:tcPr>
            <w:tcW w:w="2763" w:type="pct"/>
            <w:shd w:val="clear" w:color="000000" w:fill="FFFFFF"/>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包含高清一体化嵌入式摄像机、高清镜头、室外防护罩、LED补光灯、风扇、电源适配器等；摄像机具有≥2个1英寸CCD或全局曝光CMOS传感器，环境照度≥20 lux时，无需外接补光灯；采用深度学习算法，内置深度学习芯片；支持≥4096×2160@25fps（不含OSD叠加）视频图像输出；视频压缩支持H.265、H.264、M-JPEG；</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镜头焦距≥50mm，可覆盖2车道，支持抓拍驾驶室、非机动车、行人人脸并可用于后端人脸识别，支持行人人体特征识别如性别、戴口罩、衣服颜色等；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镜头和两个sensor一体化设计，具有独立三角分光棱镜分光结构装置，分别接收可见光和红外光；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抓拍支持输出三张同时刻目标图片，包括可见光路图片（全彩），红外路图片（黑白）和融合图片（全彩），三张图片抓拍时间为同一时刻，抓拍运动目标，三张图片中目标位置相同无位移；</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支持设定以位置、车速、车型、行驶方向和车牌类型等为触发条件进行抓拍，支持对闯禁令的大小货车、土方车、挂车、混凝土搅拌车和大型客车进行检测抓拍，包括黄牌和蓝牌；</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支持正向/背向行驶车辆抓拍，车辆检测绿框可跟随移动；支持抓拍优选功能，优选状态下上报最优抓图；</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 具有场景自适应功能，支持识别背光、高速运动、雾（雨）天等场景，并能在开启状态下自动对背光及高速运动自适应调整相应的图像参数，对雾（雨）天场景可在20s内识别并调整参数；</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 支持≥42种车型显示，至少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 支持车辆子品牌识别功能，通过车头可识别≥7000种，通过车尾可识别≥3800种；</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11. ≥2个RJ45 100M/1000M自适应网口，≥3个RS485接口，≥5路补光灯控制接口，≥1个存储卡接口；工作温度满足﹣30℃～70℃，防护等级≥IP66。</w:t>
            </w:r>
          </w:p>
        </w:tc>
        <w:tc>
          <w:tcPr>
            <w:tcW w:w="538" w:type="pct"/>
            <w:shd w:val="clear" w:color="000000" w:fill="FFFFFF"/>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18500.00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4" w:type="pct"/>
            <w:shd w:val="clear" w:color="auto" w:fill="auto"/>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709" w:type="pct"/>
            <w:shd w:val="clear" w:color="000000" w:fill="FFFFFF"/>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环保卡口补光灯</w:t>
            </w:r>
          </w:p>
        </w:tc>
        <w:tc>
          <w:tcPr>
            <w:tcW w:w="2763" w:type="pct"/>
            <w:shd w:val="clear" w:color="000000" w:fill="FFFFFF"/>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补光灯具有LED和气体灯管两种光源，支持可见光和红外补光，支持气体脉冲补光、LED频闪补光闪方式，支持通过远程控制切换补光方式；（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LED频闪支持及占空比保护功能，气体爆闪具有防误触发功能，回电时间≤70ms，支持白天和夜晚用光转换（白光和红外）；</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支持通过485接口对补光灯亮度进行调节，可设置为1－255级，支持通过RS485进行远程升级，支持通过软件记录补光灯闪光次数；（需提供公安部所属检验机构出具的检测报告复印件并加盖供应商鲜章证明）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具有≥1路RS485接口、≥1路爆闪输入接口、≥1路光源切换接口、≥1路频闪输入接口，工作温度范围不低于-40℃～+70℃，防护等级≥IP65。</w:t>
            </w:r>
          </w:p>
        </w:tc>
        <w:tc>
          <w:tcPr>
            <w:tcW w:w="538" w:type="pct"/>
            <w:shd w:val="clear" w:color="000000" w:fill="FFFFFF"/>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shd w:val="clear" w:color="000000"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车辆检测器1</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1、自动调谐电感范围：20μH～1000μH；</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2、灵敏度：7级可调；</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3、频率：20-140kHzPCB上四级可选(频率取决于线圈形状)；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4、响应时间：16ms±1.6ms；</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5、单线圈触发，支持4车道；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6、双线圈测速，支持2车道；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7、1个RS232、2个RS485接口；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8、测速范围：5km/h～200km/h；</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9、测速误差：车速小于100km/h时，-4km/h～0km/h；车速大于或等于100km/h时，-4%～0%；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10、可提供车流量、车长等交通参数；</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11、可检测逆向行驶、超速行驶等交通事件；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12、具有正常工作心跳输出；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13、具有线圈故障及设备运行状态检测功能；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14、支持对各类功能的选择配置和参数保存；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15、工作电压：220VAC@50Hz/60Hz；100VAC～240VAC能够正常工作；</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16、功耗：≤20W；</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17、工作环境温度：-20℃～+60℃；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18、工作环境湿度：5%~90%@40℃，无凝结；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19、外形尺寸：483mm(W)×132mm(H)×185mm(D)±5mm</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 xml:space="preserve">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车辆检测器2</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1、自动调谐电感范围：20μH～1000μH；</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2、灵敏度：7级可调；</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3、频率：20-140kHzPCB上四级可选(频率取决于线圈形状)；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4、响应时间：16ms±1.6ms；</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5、单线圈触发，支持8车道；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6、双线圈测速，支持4车道；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7、1个RS232、2个RS485接口；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8、测速范围：5km/h～200km/h；</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9、测速误差：车速小于100km/h时，-4km/h～0km/h；车速大于或等于100km/h</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时，-4%～0%；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10、可提供车流量、车长等交通参数；</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11、可检测逆向行驶、超速行驶等交通事件；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12、具有正常工作心跳输出；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13、具有线圈故障及设备运行状态检测功能；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14、支持对各类功能的选择配置和参数保存；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15、工作电压：220VAC@50Hz/60Hz；100VAC～240VAC能够正常工作；</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16、功耗：≤20W；</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17、工作环境温度：-20℃～+60℃；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18、工作环境湿度：5%~90%@40℃，无凝结；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19、外形尺寸：483mm(W)×132mm(H)×185mm(D)±5mm</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7938.00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车辆检测器3</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1、自动调谐电感范围：20μH～1000μH；</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2、灵敏度：7级可调；</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3、频率：20-140kHzPCB上四级可选(频率取决于线圈形状)；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4、响应时间：16ms±1.6ms；</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5、单线圈触发，支持12车道；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6、双线圈测速，支持6车道；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7、1个RS232、2个RS485接口；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8、测速范围：5km/h～200km/h；</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9、测速误差：车速小于100km/h时，-4km/h～0km/h；车速大于或等于100km/h时，-4%～0%；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10、可提供车流量、车长等交通参数；</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11、可检测逆向行驶、超速行驶等交通事件；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12、具有正常工作心跳输出；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13、具有线圈故障及设备运行状态检测功能；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14、支持对各类功能的选择配置和参数保存；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15、工作电压：220VAC@50Hz/60Hz；100VAC～240VAC能够正常工作；</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16、功耗：≤20W；</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17、工作环境温度：-20℃～+60℃；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18、工作环境湿度：5%~90%@40℃，无凝结；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19、外形尺寸：483mm(W)×132mm(H)×185mm(D) ±5mm</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9690.24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高清道路监控子系统</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tc>
        <w:tc>
          <w:tcPr>
            <w:tcW w:w="538" w:type="pct"/>
            <w:vAlign w:val="center"/>
          </w:tcPr>
          <w:p>
            <w:pPr>
              <w:widowControl/>
              <w:shd w:val="clear"/>
              <w:jc w:val="center"/>
              <w:rPr>
                <w:rFonts w:ascii="仿宋" w:hAnsi="仿宋" w:eastAsia="仿宋" w:cs="仿宋"/>
                <w:color w:val="auto"/>
                <w:sz w:val="21"/>
                <w:szCs w:val="21"/>
                <w:highlight w:val="none"/>
              </w:rPr>
            </w:pP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高清网络枪型摄像机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1.最大分辨率和帧率≥2560×1440@25fps，支持H.265/H.264编码，内置电动变焦镜头，电动变焦范围≥3-12mm，最低照度需满足彩色≤0.005  lx，黑白≤0.001  lx；</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2.需支持≥3种智能资源切换，至少包括：人脸抓拍、道路监控、智能事件，道路监控模式需支持检测正向或逆向行驶的车辆以及行人和非机动车，自动对车辆牌照进行识别，可以抓拍无车牌的车辆图片；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3.内置CPU、GPU、NPU芯片或者集CPU、GPU、NPU于一体的深度学习算法芯片；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4.网络直连情况下，分辨率和帧率设置为1920x1080@25fps，最短延时等设置下，视频图像传榆至客户端的延时时间可≤70ms；支持侧脸过滤功能，可过滤上下、左右角度达到预设值的人脸；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5.具有低温低气压适应性，设备处于工作状态，在气温≤-45℃、气压≤70kPa环境下，持续≥2小时，设备状态应无变化、功能应正常；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6.支持PoE供电，具有DC12V电源输出接口，具有≥1个存储卡插槽、≥2个音频输入接口、≥1个音频输出接口、≥3个报警输入接口、≥2个报警输出接口；内置红外补光灯，红外补光距离需≥30米；防护等级≥IP67</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81</w:t>
            </w:r>
            <w:r>
              <w:rPr>
                <w:rFonts w:hint="eastAsia" w:ascii="仿宋" w:hAnsi="仿宋" w:eastAsia="仿宋" w:cs="仿宋"/>
                <w:color w:val="auto"/>
                <w:sz w:val="21"/>
                <w:szCs w:val="21"/>
                <w:highlight w:val="none"/>
              </w:rPr>
              <w:t>30.</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高清镜头</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1）16倍DC自动光圈电动变焦；</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2）f8-128mm；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3）F1.6</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5105.80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云台</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1）产品类型：网络型室外中型云台；</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2）主要性能：32个预置位,并具备预置位扩展功能;具备自动扫描与自动巡航功能；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3）支持摄像机反控云台；</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4）支持定制协议；</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5）通讯接口：RJ45网络接口，485接口；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6）水平速度：9°/s；</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7）垂直速度：4°/s；</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8）旋转范围：水平0～355°（可调），垂直+6～-90°；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9）最大负载：≥17Kg；</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10）承载方式：顶载、双侧可加装红外射灯；</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11）防护等级：≥IP66；</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12）材料：压铸铝；</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13）电源：AC24V</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3929.80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防护罩</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1）护罩外型尺寸：(mm)：585(L)×189(W)×194(H)±5；</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2）最大摄像机/镜头尺寸(mm)：280(L)×125(W)×104(H) ±2；</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3）视窗面积（mm）不小于：102(W)×89(H)±2；</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4）带雨刷、风扇、加热、遮阳罩；</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5）防护等级：≥IP66；</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6）材料：压铸铝；</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7）电源：AC24V</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784.00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高清网络智能球机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网络高清智能球机，最大分辨率和帧率≥2560×1440@25fps，支持H.265、H.264编码，支持≥22倍光学变倍，最大焦距≥110mm，低照度需满足彩色≤0.005lx，黑白≤0.0001lx；支持水平及垂直电动旋转，支持水平360°连续旋转，垂直旋转范围≥-15°-90°，支持自动翻转；</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需支持深度学习算法，支持人车分类侦测、报警、联动跟踪；支持报警联动暖光闪烁报警和声音报警，声音内容可选；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支持对镜头前盖玻璃加热，去除玻璃上的冰状和水状附着物；</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应支持智能分析抗干扰功能，当篮球、小狗、树叶等非人或车辆目标经过检测区域时，不会触发报警；</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应支持快捷配置功能，可在预览画面开启/关闭“快捷配置”页面，对曝光参数、OSD、智能资源分配模式等参数进行配置，并可一键恢复为默认设置；</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应支持像素显示功能，可实时显示监控画面上选定区域的水平像素大小和垂直像素大小；</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需具有≥1个RJ4510M/100M自适应以太网口、≥1对音频输入/输出接口、≥2路报警输入、≥1路报警输出；内置扬声器，功率≥3.5w，距离30m处声音强度≥58分贝；内置红外补光灯，红外补光距离≥150m，白光报警灯距离≥30m；工作温度≥-30℃-65℃，防护等级≥IP66。</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85</w:t>
            </w:r>
            <w:r>
              <w:rPr>
                <w:rFonts w:hint="eastAsia" w:ascii="仿宋" w:hAnsi="仿宋" w:eastAsia="仿宋" w:cs="仿宋"/>
                <w:color w:val="auto"/>
                <w:sz w:val="21"/>
                <w:szCs w:val="21"/>
                <w:highlight w:val="none"/>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shd w:val="clear" w:color="auto" w:fill="auto"/>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9" w:type="pct"/>
            <w:shd w:val="clear" w:color="000000" w:fill="FFFFFF"/>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高点监控摄像机</w:t>
            </w:r>
          </w:p>
        </w:tc>
        <w:tc>
          <w:tcPr>
            <w:tcW w:w="2763" w:type="pct"/>
            <w:shd w:val="clear" w:color="000000" w:fill="FFFFFF"/>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一体化全景联动智能球机，可同时提供全景和细节画面，支持H.265、H.264编码，传感器靶面尺寸均≥1/1.8英寸，全景画面由≥6个图像采集模块组成，全景图像拼接后水平视场角≥270°，垂直视场角≥85°；</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细节图像分辨率和帧率≥2560×1440@25fps，≥40倍光学变倍，最大焦距≥240mm；转动范围支持水平≥360°、垂直≥-5°~90°，最低照度彩色≤0.0005lx，黑白≤0.0001lx；</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全景图像分辨率和帧率≥8000×2400@25fps，支持三码流输出，最低照度彩色≤0.0005lx，黑白≤0.0001lx；</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摄像机全景镜头光圈均不小于F1.0±5%，内置除湿器，可对设备内部进行除湿，除去玻璃罩上的水状附着物；</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支持倍率自动调整功能，可检测当前镜头指向方向与地平面夹角，并可根据夹角变化自动调整倍率；支持撞击报警功能，当设备外壳受到外力撞击时，可给出语音报警提示；；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支持远距离跟踪功能，在全景通道中，可对距离≥500米处的不大于1.7米x0.5米的移动目标进行检测并联动细节通道进行跟踪；</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 支持偏色矫正功能，可通过手动或自动方式对视频采集模块进行偏色矫正；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 需具有≥1个千兆网口、≥1个千兆光口（单纤单模、≥20km传输距离）、≥1对音频输入/输出接口、≥5路报警输入、≥2路报警输出、≥1个存储卡接口；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 内置LED红外补光灯，红外照射距离≥240米，具有防补光过曝功能，红外灯亮度、角度根据场景智能调整，工作温度≥-40℃-70℃，防护等级需≥IP66。</w:t>
            </w:r>
          </w:p>
        </w:tc>
        <w:tc>
          <w:tcPr>
            <w:tcW w:w="538" w:type="pct"/>
            <w:shd w:val="clear" w:color="000000" w:fill="FFFFFF"/>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shd w:val="clear" w:color="000000" w:fill="FFFFFF"/>
            <w:noWrap/>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32</w:t>
            </w:r>
            <w:r>
              <w:rPr>
                <w:rFonts w:hint="eastAsia" w:ascii="仿宋" w:hAnsi="仿宋" w:eastAsia="仿宋" w:cs="仿宋"/>
                <w:color w:val="auto"/>
                <w:sz w:val="21"/>
                <w:szCs w:val="21"/>
                <w:highlight w:val="none"/>
              </w:rPr>
              <w:t xml:space="preserve">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高点监控定制支架</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定制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高清解码器</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解码设备采用嵌入式架构，专用Linux系统，机架式设计，高度≤2U；具有≥10个HDMI输出接口、≥1个VGA输入接口、≥1个DVI-I输入接口、≥2个千兆网口、≥2个光口、≥1路语音输入、≥1路语音输出接口，≥1个RS232接口，≥1个RS485接口，≥6路报警输入、≥6路报警输出接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输出分辨率支持1920×1080、3840×2160；支持画面分割、拼接、开窗漫游功能，支持1、2、4、6、8、9、10、12、16、25、36等画面分割显示，支持将显示窗口在多个显示屏间进行拖动或跨屏显示，支持调节显示窗口大小；</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支持ONVIF、GB28181协议接入设备，支持RTP\RTSP协议进行预览；支持H.265、H.264、MPEG4、MJPEG等视频编码格式，支持TS、PS、RTPTS等封装格式，支持AAC、G.722、G.711A、G.726、G.711U等音频格式；</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解码能力支持≥10路4000×3000（20fps）、或≥20路4096×2160（25fps）、或≥20路3840×2160（25fps）、或≥30路为2592×1944（30fps）、或≥80路1920×1080（30fps）、或≥160路1280×720（30fps）分辨率的H.264、H.265、MPEG4视频图像解码输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支持通过设备抓屏软件，将远程电脑桌面实时解码上墙显示，画面帧率应支持≥30fps，支持同时抓取≥8个任务上墙、≥8个4K信号，不消耗CPU性能，支持在电视墙进行8画面分割同时显示，支持对桌面进行整屏、单窗口、自定义区域抓屏上墙；</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支持黑白名单功能，可设置≥256个黑白名单；当设置白名单时，只允许白名单IP访问设备；当设置黑名单时，黑名单内IP无法访问设备；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支持对输入的视频画面进行90°、180°、270°旋转显示；支持回字形拼接，支持对解码的IPC输出的画面进行旋转，支持90°、180°左旋和90°、180°右旋；</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 支持前端接入智能摄像机，直连前端人脸检测设备，可实时展示人脸检测结果，包括年龄、性别、是否戴眼镜等人脸属性信息，属性可直接叠加画面显示；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 支持PC软件客户端、WEB 浏览器客户端、平台客户端、IPAD、可视化触控平台方式访问管理；</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9338.</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网络控制键盘</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四维摇杆触控网络键盘，Android操作系统，具有≥1个100M/1000M自适应以太网口、≥2个USB接口、≥1个HDMI接口、≥1个DVI接口、≥1对3.5mm音频输入输出接口，支持WiFi、支持POE供电；</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支持在触摸屏幕上预览前端图像，支持4路1080P视频解码显示，最大16画面分割显示；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支持上下、左右、变倍和抓图四维控制功能，支持接入DVR、DVS、NVR、网络摄像机、球机设备；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支持通过摇杆或触控屏实现云台设备控制功能，支持预置位、自动巡航、模式路径、光圈调节、变焦、雨刷、灯光等功能；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屏幕尺寸＞10英寸，分辨率≥1280*720，支持DVI和HDMI接口外接显示设备实现图像预览；</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屏幕区和摇杆区采用可拆分结构，摇杆和触控屏可分离使用；</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支持添加设备数量≥8000，≥两级用户权限，支持≥32个用户；</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 支持切换前端输入通道或输入组到解码器、视频综合平台等设备，支持画面分割、场景切换、轮巡显示、开/关显示窗口、窗口漫游、放到/缩小等功能；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 支持在键盘显示屏上显示电视墙当前整体布局；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 工作温度≥10℃--＋55℃，功耗≤15W</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6076.00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（四）</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违停抓拍子系统</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tc>
        <w:tc>
          <w:tcPr>
            <w:tcW w:w="538" w:type="pct"/>
            <w:vAlign w:val="center"/>
          </w:tcPr>
          <w:p>
            <w:pPr>
              <w:widowControl/>
              <w:shd w:val="clear"/>
              <w:jc w:val="center"/>
              <w:rPr>
                <w:rFonts w:ascii="仿宋" w:hAnsi="仿宋" w:eastAsia="仿宋" w:cs="仿宋"/>
                <w:color w:val="auto"/>
                <w:sz w:val="21"/>
                <w:szCs w:val="21"/>
                <w:highlight w:val="none"/>
              </w:rPr>
            </w:pP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违停抓拍单元</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违停自动抓拍智能球机，最大分辨率和帧率≥2560×1440@25fps，支持H.265、H.264编码，低照度满足彩色≤0.0005lx，黑白≤0.0001lx；传感器靶面尺寸需≥1/1.9英寸，内置深度学习GPU芯片，支持≥30倍光学变倍，最大焦距不小于190mm；需支持水平及垂直电动旋转，支持水平360°连续旋转，垂直旋转范围≥-15°-90°，支持自动翻转；</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采用深度学习算法，支持违法停车抓拍功能，且白天和晚上违法停车捕获率、捕获有效率均≥95%，支持快速聚焦，支持逆行、压线、变道、机占非、掉头等道路违法自动抓拍；</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设备运动结束静止在某个位置，当水平和垂直方向受到外力发生偏移时，设备能够检测角度改变并产生报警信息，并个在OSD上叠加报警信息，水平和垂直角度均可自动恢复到偏移前的位置；（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设备运动结束静止在某个位置，当水平和垂直方向受到外力发生偏移时，设备进行偏移自动校正后停止位置与原位置之间偏差角度应不大于0.05°；（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▲支持识别不低于300种车辆品牌、5000种车辆子品牌、15种车辆颜色；（需提供公安部所属检验机构出具的检测报告复印件并加盖供应商鲜章证明）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设备接收到布控命令后，区域内出现悬挂布控车牌的车辆时，可触发报警并进行水平360°跟踪，可通过布控预置位进行车辆布控操作，支持≥8个布控预置位；（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需具有≥1个RJ4510M/100M自适应以太网口、≥1对音频输入/输出接口、≥6路报警输入、≥2路报警输出；内置LED红外补光灯，红外照射距离≥240米，具有防补光过曝功能；工作温度≥-40℃-70℃，防护等级需≥IP67。</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695.</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终端服务器</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设备采用嵌入式linux实时操作系统，内存容量≥2GB，全机身散热，内部无风扇；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支持≥4块3.5成2.5英寸硬盘接入，最大兼容6TB硬盘，支持硬盘自动切换，当块硬盘损坏后，能自动切换至其它硬盘进行存储，内置≥4T监控级硬盘；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▲≥16个10M/100M/1000M 自适应RJ45接口，≥2个1000M SFP光口，≥1个USB3.0接口；（需提供公安部所属检验机构出具的检测报告复印件并加盖供应商鲜章证明）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设备内的录像、图片文件无法直接删除或者修改，只能通过循环覆盖和硬盘格式化操作；</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支持不少于12路抓拍机接入，支持接入12路抓拍机进行违章图片合成；</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▲支持套牌车检测，可将抓拍图片与本地历史数据进行车辆特征比对分析，检测出套牌车辆，同时给出告警提示；（需提供公安部所属检验机构出具的检测报告复印件并加盖供应商鲜章证明）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 ▲对于在记录过程中出现的系统死机或意外故障，设备能够在规定的时间内自动恢复其正常工作状态并使故障前的信息不丢失；（需提供公安部所属检验机构出具的检测报告复印件并加盖供应商鲜章证明）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 工作环境温度：-40℃-+70℃。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815.</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（五）</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流量检测系统</w:t>
            </w:r>
          </w:p>
        </w:tc>
        <w:tc>
          <w:tcPr>
            <w:tcW w:w="2763" w:type="pct"/>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tc>
        <w:tc>
          <w:tcPr>
            <w:tcW w:w="538" w:type="pct"/>
            <w:vAlign w:val="center"/>
          </w:tcPr>
          <w:p>
            <w:pPr>
              <w:widowControl/>
              <w:shd w:val="clear"/>
              <w:jc w:val="center"/>
              <w:rPr>
                <w:rFonts w:ascii="仿宋" w:hAnsi="仿宋" w:eastAsia="仿宋" w:cs="仿宋"/>
                <w:color w:val="auto"/>
                <w:sz w:val="21"/>
                <w:szCs w:val="21"/>
                <w:highlight w:val="none"/>
              </w:rPr>
            </w:pP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视频车检器</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雷达+视频复合型交通信息采集设备，支持双向10车道的多个移动目标进行检测跟踪，可检测≥100米处的机动车；不小于1/1.8 星光级传感器，支持H.265、H.264、M-JPEG，支持2688×1520@25fps视频图像输出；采用高频段毫米波雷达，频率≥70 GHz，支持全天候环境下工作，不受雨雪、雾、大风、灰尘、光照等影响；</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 内置深度学习算法，支持智能识别功能，支持车牌识别及目标全结构化，支持雷达检测与视频分析融合处理；</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支持五码流并发输出，主码流分辨率≥2688×1520，子码流、第三码流、第四码流和第五码流最大支持分辨率均≥1920×1080；支持查看实时视频图像、查看抓拍参数信息，并可对网络配置、视频参数、图像参数、串口参数、报警参数等进行设置和修改；图像参数包括饱和度、亮度、对比度、锐度、增益、白平衡、灰度范围等；（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 ▲支持≥8个检测断面的交通信息（速度、流量、时间占有率等）进行检测并显示，支持显示排队区域内一定统计时间内的排队长度、各车道车辆数、平均排队时间、周期停车次数等信息；（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 ▲雷达和视频可同时检测到目标，通过雷达坐标标定（标定方式可设置为自动/手动），实现雷达检测数据和视频检测数据的融合，支持查看雷达检测目标、视频检测目标，以及同一个目标ID关联的雷达检测速度、位置和视频检测的车牌、车型、车身颜色等信息；（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 ▲支持通过雷达数据列表显示编号、位置坐标、车道号、速度、航向角、经纬度、角度等；支持对雷达参数进行设置，包括：检测速度、原点坐标、车道数、车道宽度、方向、架设高度、距离修正参数、角度修正参数等；（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 ▲支持目标轨迹跟踪和显示，可在监控界面显示目标的实时轨迹，视频预览画面内可叠加车辆跟踪框，实时显示每个目标的运行情况，包含车牌号码、速度、车型、位置坐标等；（需提供公安部所属检验机构出具的检测报告复印件并加盖供应商鲜章证明）</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 具有≥2个1000M网口，≥1个RS-485接口，≥1路补光灯控制接口，≥1个存储卡接口；防护等级不低于IP66，工作温度范围不低于-30℃~70℃。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587.</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IO扩展盒</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1、视频车检器接入网络接入，最大支持8路</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2、IO输出16路，开关量</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3、串行接口1个RS-232接口，1个RS-485接口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4、网口1个10M/100M自适应网络接口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5、电源输入AC220V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6、功耗≤10W</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7、工作温度-30℃--＋70℃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8、工作湿度10％--90％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9、尺寸440×195×44.5mm±2mm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10、重量≤3.5Kg</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智能补光灯</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1.光源类型：原装进口大功率LED，三车道补光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2.可通过RS485实现可调亮度</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3.LED灯珠数量：16颗</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4.发光角度：40°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5.最佳补光距离：16米-25米</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6.触发方式：光敏控制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7.防护等级：≥IP66</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8.外形尺寸：128mm(D)×216mm(H)×159mm(W) ±2mm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9.整体重量：≤2.72Kg</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10.功率：最大功率36W(实际功率与控制方式有关)</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67.</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（六）</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交通信号灯联网控制子系统</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tc>
        <w:tc>
          <w:tcPr>
            <w:tcW w:w="538" w:type="pct"/>
            <w:vAlign w:val="center"/>
          </w:tcPr>
          <w:p>
            <w:pPr>
              <w:widowControl/>
              <w:shd w:val="clear"/>
              <w:jc w:val="center"/>
              <w:rPr>
                <w:rFonts w:ascii="仿宋" w:hAnsi="仿宋" w:eastAsia="仿宋" w:cs="仿宋"/>
                <w:color w:val="auto"/>
                <w:sz w:val="21"/>
                <w:szCs w:val="21"/>
                <w:highlight w:val="none"/>
              </w:rPr>
            </w:pP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联网式智能交通信号控制机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1.最大相位数：16</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2.最大跟随相位数：8</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3.最大机动车检测器数：32</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4.时间误差：GPS授时，可变授时频率</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5.工作温度：-30℃-+70℃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rPr>
              <w:t>650.</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（七）</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LED诱导屏子系统</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tc>
        <w:tc>
          <w:tcPr>
            <w:tcW w:w="538" w:type="pct"/>
            <w:vAlign w:val="center"/>
          </w:tcPr>
          <w:p>
            <w:pPr>
              <w:widowControl/>
              <w:shd w:val="clear"/>
              <w:jc w:val="center"/>
              <w:rPr>
                <w:rFonts w:ascii="仿宋" w:hAnsi="仿宋" w:eastAsia="仿宋" w:cs="仿宋"/>
                <w:color w:val="auto"/>
                <w:sz w:val="21"/>
                <w:szCs w:val="21"/>
                <w:highlight w:val="none"/>
              </w:rPr>
            </w:pP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显示屏体</w:t>
            </w:r>
          </w:p>
        </w:tc>
        <w:tc>
          <w:tcPr>
            <w:tcW w:w="2763" w:type="pct"/>
            <w:vAlign w:val="center"/>
          </w:tcPr>
          <w:p>
            <w:pPr>
              <w:widowControl/>
              <w:shd w:val="clear"/>
              <w:jc w:val="left"/>
              <w:rPr>
                <w:rFonts w:ascii="仿宋" w:hAnsi="仿宋" w:eastAsia="仿宋" w:cs="仿宋"/>
                <w:color w:val="auto"/>
                <w:sz w:val="21"/>
                <w:szCs w:val="21"/>
                <w:highlight w:val="none"/>
              </w:rPr>
            </w:pP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、视角：水平120°，垂直120°</w:t>
            </w:r>
            <w:r>
              <w:rPr>
                <w:rFonts w:hint="eastAsia" w:ascii="仿宋" w:hAnsi="仿宋" w:eastAsia="仿宋" w:cs="仿宋"/>
                <w:color w:val="auto"/>
                <w:sz w:val="21"/>
                <w:szCs w:val="21"/>
                <w:highlight w:val="none"/>
              </w:rPr>
              <w:br w:type="textWrapping"/>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、可视距离：10m～100m</w:t>
            </w:r>
            <w:r>
              <w:rPr>
                <w:rFonts w:hint="eastAsia" w:ascii="仿宋" w:hAnsi="仿宋" w:eastAsia="仿宋" w:cs="仿宋"/>
                <w:color w:val="auto"/>
                <w:sz w:val="21"/>
                <w:szCs w:val="21"/>
                <w:highlight w:val="none"/>
              </w:rPr>
              <w:br w:type="textWrapping"/>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、工作温度：-10℃～+50℃</w:t>
            </w:r>
            <w:r>
              <w:rPr>
                <w:rFonts w:hint="eastAsia" w:ascii="仿宋" w:hAnsi="仿宋" w:eastAsia="仿宋" w:cs="仿宋"/>
                <w:color w:val="auto"/>
                <w:sz w:val="21"/>
                <w:szCs w:val="21"/>
                <w:highlight w:val="none"/>
              </w:rPr>
              <w:br w:type="textWrapping"/>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、驱动方式：恒流驱动</w:t>
            </w:r>
            <w:r>
              <w:rPr>
                <w:rFonts w:hint="eastAsia" w:ascii="仿宋" w:hAnsi="仿宋" w:eastAsia="仿宋" w:cs="仿宋"/>
                <w:color w:val="auto"/>
                <w:sz w:val="21"/>
                <w:szCs w:val="21"/>
                <w:highlight w:val="none"/>
              </w:rPr>
              <w:br w:type="textWrapping"/>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、色温：3200K~9300K可调</w:t>
            </w:r>
            <w:r>
              <w:rPr>
                <w:rFonts w:hint="eastAsia" w:ascii="仿宋" w:hAnsi="仿宋" w:eastAsia="仿宋" w:cs="仿宋"/>
                <w:color w:val="auto"/>
                <w:sz w:val="21"/>
                <w:szCs w:val="21"/>
                <w:highlight w:val="none"/>
              </w:rPr>
              <w:br w:type="textWrapping"/>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rPr>
              <w:t>、校正前亮度：≥6500cd</w:t>
            </w:r>
            <w:r>
              <w:rPr>
                <w:rFonts w:hint="eastAsia" w:ascii="仿宋" w:hAnsi="仿宋" w:eastAsia="仿宋" w:cs="仿宋"/>
                <w:color w:val="auto"/>
                <w:sz w:val="21"/>
                <w:szCs w:val="21"/>
                <w:highlight w:val="none"/>
              </w:rPr>
              <w:br w:type="textWrapping"/>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、发光点中心距：偏差＜3﹪</w:t>
            </w:r>
            <w:r>
              <w:rPr>
                <w:rFonts w:hint="eastAsia" w:ascii="仿宋" w:hAnsi="仿宋" w:eastAsia="仿宋" w:cs="仿宋"/>
                <w:color w:val="auto"/>
                <w:sz w:val="21"/>
                <w:szCs w:val="21"/>
                <w:highlight w:val="none"/>
              </w:rPr>
              <w:br w:type="textWrapping"/>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rPr>
              <w:t>、亮度均匀性：≤5﹪</w:t>
            </w:r>
            <w:r>
              <w:rPr>
                <w:rFonts w:hint="eastAsia" w:ascii="仿宋" w:hAnsi="仿宋" w:eastAsia="仿宋" w:cs="仿宋"/>
                <w:color w:val="auto"/>
                <w:sz w:val="21"/>
                <w:szCs w:val="21"/>
                <w:highlight w:val="none"/>
              </w:rPr>
              <w:br w:type="textWrapping"/>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rPr>
              <w:t>、颜色均匀性：＜±0.003</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0</w:t>
            </w:r>
            <w:r>
              <w:rPr>
                <w:rFonts w:hint="eastAsia" w:ascii="仿宋" w:hAnsi="仿宋" w:eastAsia="仿宋" w:cs="仿宋"/>
                <w:color w:val="auto"/>
                <w:sz w:val="21"/>
                <w:szCs w:val="21"/>
                <w:highlight w:val="none"/>
              </w:rPr>
              <w:t>、色度处理：16Bit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、灰度：10Bit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、刷新率：2400HZ</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、对比度：6500：1</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、色彩：280万亿色</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、使用环境温度：-20~40℃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平方</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8200.00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LED专业控制卡</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1、发送卡</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张</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LED专业控制卡</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1、接收卡</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张</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工控机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i5/16G DDR4*1/1T 7.2K SATA/GTX 10</w:t>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rPr>
              <w:t>0Ti_4G/1GbE×2</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07.</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空气开关</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1、极数：2P；</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2、额定电流：60A</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个</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65</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F型立杆</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1、F型立杆；</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2、八棱杆，热镀锌，喷塑；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3、含地锚、法兰盘、避雷针及安装配件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676.</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（八）</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指挥中心子系统</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　</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磁盘存储1</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1、双控制器结构，每控制器配置：≥1颗64位多核处理器，≥8GB内存，内存支持扩展到≥256GB，≥4个千兆网口，内置128GSSD固态硬盘（可以扩展到2个SSD作为缓存盘）。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2、可接入2T/3T/4T/6T/8T/10TSATA/SAS磁盘，支持磁盘交错启动和漫游，并支持在线热插拔</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3、每个控制器具有：3个PCIE3.0插槽、3个12GB SAS3.0接口、2个USB3.0、1个USB2.0接口（以公安部检测报告为准）</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4、可接入硬盘≥24块，支持SATA和SAS混插，并支持≥12级扩展柜级联扩展；</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5、应能对视音频、图片及智能分析录像的混合直存，节省存储服务器和图片服务器；</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6、录像报表生成功能检验，可生成EXCEL录像报表文件，文件信息包括录像读/写状态，起始、结束时间。</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7、可在操作界面查看数据重构状态，样机的磁盘或节点离线并重新插回后，可在界面显示离线磁盘或节点的数据重构过程，离线前数据不丢失</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 xml:space="preserve">295.00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磁盘护展柜</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1）冗余双控制器机型；</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2）2U高，含2个控制器模块互为冗余，每控制器1Gb数据缓存；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3）12个3.5寸热插拔磁盘槽位，配置扩展柜当前配置存储容量40T；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4）标配4个6GbpsSAS主机接口；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5）标配8个8GB光纤主机接口，4个分区许可，动态容量扩展、动态RAID级别</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迁移、支持RAID0，1，3，5，6，10；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6）热插拔冗余电源及风扇</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30</w:t>
            </w:r>
            <w:r>
              <w:rPr>
                <w:rFonts w:hint="eastAsia" w:ascii="仿宋" w:hAnsi="仿宋" w:eastAsia="仿宋" w:cs="仿宋"/>
                <w:color w:val="auto"/>
                <w:sz w:val="21"/>
                <w:szCs w:val="21"/>
                <w:highlight w:val="none"/>
              </w:rPr>
              <w:t>613.</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大数据节点</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1、CPU：2个至强可扩展金牌5318H处理器，每CPU主频2.5GHz，每CPU核数18核；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2、内存：配置256GBDDR4内存及以上，最大可扩展到1.5TB，支持NV-DIMM,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可实现内存数据掉电保护功能；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3、RAID：配置2G缓存RAID卡，支持RAID0,1,5；</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4、硬盘：配置4块600G2.5吋SAS硬盘，最大支持28个2.5寸热插拔硬盘，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5、网卡：配置2个千兆电口，支持网络唤醒，网络冗余，负载均衡等网络特性，</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千兆网卡能升级为集成千兆和万兆以太网的复合型网卡；</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6、光驱：配置DVD_RW光驱；</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7、电源：1+1冗余电源，电源功率≤550W；</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rPr>
              <w:t>823.</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流媒体节点</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1、标准2U机架式；</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2、CPU：2个至强可扩展银牌4210R处理器，每CPU主频2.4GHz，每CPU核数10核；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3、内存：配置128DDR4GB内存及以上，最大可扩展到1.5TB，支持NV-DIMM,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可实现内存数据掉电保护功能；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4、RAID：配置2G缓存RAID卡，支持RAID0,1,5；</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5、硬盘：配置2块600G2.5吋SAS硬盘，最大支持28个2.5寸热插拔硬盘，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6、网卡：配置2个千兆电口，支持网络唤醒，网络冗余，负载均衡等网络特性，</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千兆网卡能升级为集成千兆和万兆以太网的复合型网卡；</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7、光驱：配置DVD_RW光驱；</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626.</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消息服务节点</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1、标准2U机架式；</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2、CPU：2个Intel至强可扩展银牌4210R处理器，每CPU主频2.4GHz，每CPU核数10核；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3、内存：配置128DDR4GB内存及以上，最大可扩展到1.5TB，支持NV-DIMM,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可实现内存数据掉电保护功能；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4、RAID：配置2G缓存RAID卡，支持RAID0,1,5；</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5、硬盘：配置2块600G2.5吋SAS硬盘，最大支持28个2.5寸热插拔硬盘，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6、网卡：配置2个千兆电口，支持网络唤醒，网络冗余，负载均衡等网络特性，千兆网卡能升级为集成千兆和万兆以太网的复合型网卡；</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7、光驱：配置DVD_RW光驱；</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626.</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光纤交换机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1.交换能力590Gbps，包转发速率220Mpps；</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2.接口类型：28个10/100/1000BASE-T自适应以太网端口（其中4个是combo口），4个万兆SFP+接口，2个40GQSFP+口；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3.配置VXLAN功能,支持VXLAN二三层网关；</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4.配置内置图形化网管软件功能，对下属接入网络设备的统一管理，实现命令的批量下发、拓扑展示等运维功能；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5.支持10KV端口防雷能力；</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615.</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接入交换机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端口：24个10/100/1000M以太网电接口，4个千兆光接口；交换容量：256Gbps，包转发速率51Mpps；MAC表8K；支持基于端口的VLAN（4K），支持MACVLAN，基于协议的VLAN，基于VLAN端口隔离，支持QinQ，灵活QinQ，支持VLANMapping，支持VoiceVLAN，支持GuestVLAN，支持最多支持32台设备堆叠；支持双向端口限速、流限速，限速粒度≥16kbps；</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rPr>
              <w:t>289.</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核心交换机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端口：24个10/100/1000M以太网电接口，4个万兆光接口；交换容量：256Gbps，包转发速率96Mpps；MAC表8K；支持基于端口的VLAN（4K），支持MACVLAN，基于协议的VLAN，基于VLAN端口隔离，支持QinQ，灵活QinQ，支持VLANMapping，支持VoiceVLAN，支持GuestVLAN，支持GE/10GE端口聚合，最多8个端口聚合，支持动态聚合支持跨设备聚合；支持双向端口限速、流限速，限速粒度≥16kbps；</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020.</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KVM一体机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1）17"LCD；</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2）104KB；</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3）8口USB接口</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0</w:t>
            </w:r>
            <w:r>
              <w:rPr>
                <w:rFonts w:ascii="仿宋" w:hAnsi="仿宋" w:eastAsia="仿宋" w:cs="仿宋"/>
                <w:color w:val="auto"/>
                <w:sz w:val="21"/>
                <w:szCs w:val="21"/>
                <w:highlight w:val="none"/>
              </w:rPr>
              <w:t>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w:t>
            </w:r>
            <w:r>
              <w:rPr>
                <w:rFonts w:hint="eastAsia" w:ascii="仿宋" w:hAnsi="仿宋" w:eastAsia="仿宋" w:cs="仿宋"/>
                <w:color w:val="auto"/>
                <w:sz w:val="21"/>
                <w:szCs w:val="21"/>
                <w:highlight w:val="non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液晶拼接屏</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1）46寸液晶；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2）1080P；</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3）分辨率1920*1080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7800.00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VGA矩阵</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16路VGA信号输入,8路VGA信号输出</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ascii="仿宋" w:hAnsi="仿宋" w:eastAsia="仿宋" w:cs="仿宋"/>
                <w:color w:val="auto"/>
                <w:sz w:val="21"/>
                <w:szCs w:val="21"/>
                <w:highlight w:val="none"/>
              </w:rPr>
              <w:t>700</w:t>
            </w:r>
            <w:r>
              <w:rPr>
                <w:rFonts w:hint="eastAsia" w:ascii="仿宋" w:hAnsi="仿宋" w:eastAsia="仿宋" w:cs="仿宋"/>
                <w:color w:val="auto"/>
                <w:sz w:val="21"/>
                <w:szCs w:val="21"/>
                <w:highlight w:val="none"/>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数字矩阵</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1）24路数字信号输入，6路输出，每路可手动/自动/程序/同步/群组切换输出；</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2）4个VGA液晶屏/等离子屏/DLP屏输出，单屏最高分辨率达280*1024；</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3）实时监看/回放分辩率720P、1080P;远程群组切换、同步切换、程序切换；</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4）支持8个分控点电视墙进行同步切换,1000路以上视频，并同时进行云镜等控制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906.</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调音台</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1）12路单声道；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2）2组立体声输入，带+48V幻像电源；</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3）3路辅助输出，2编组；</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4）内置式静噪开关电源器；</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5）中频扫频的三段均衡，频率响应(20HZ-20KHz)+1dB/-3dB</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 xml:space="preserve">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音箱</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1）定功率(RMS):连续120W,于8Ω；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2）峰值功率(PEAK):240W,于8Ω；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3）灵敏度dB/(1M/1W):91dB-SPL@1W,1m；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4）频率响应负3dB:90Hz至16kHz；</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5）辐射角H*V:120°×60°；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6）额定阻抗:8Ω；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7）输出声压:111dB-SPL平均值；</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8）单元:4×41/2寸；</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9）连接器:2×speakeNL4(+1-1)</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46.</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双声道功放</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1）8Ω二通道输出：2x300W(20hz-20khz)；</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2）4Ω二通道输出：2x360W(20hz-20khz)；</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3）8Ω桥接单通道输出：1x600W；</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4）频率响应：0db,+0.5dB,-1dBf=20hz-20khz；</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5）输入阻抗：20KΩ(平衡式）10KΩ（非平衡式）；</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6）信噪比：20hz-20khz，&gt;95dB；</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7）闲置功率消耗：35w</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61.</w:t>
            </w:r>
            <w:r>
              <w:rPr>
                <w:rFonts w:ascii="仿宋" w:hAnsi="仿宋" w:eastAsia="仿宋" w:cs="仿宋"/>
                <w:color w:val="auto"/>
                <w:sz w:val="21"/>
                <w:szCs w:val="21"/>
                <w:highlight w:val="none"/>
              </w:rPr>
              <w:t>0</w:t>
            </w:r>
            <w:r>
              <w:rPr>
                <w:rFonts w:hint="eastAsia" w:ascii="仿宋" w:hAnsi="仿宋" w:eastAsia="仿宋" w:cs="仿宋"/>
                <w:color w:val="auto"/>
                <w:sz w:val="21"/>
                <w:szCs w:val="21"/>
                <w:highlight w:val="non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无线话筒主机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1）底座材质：塑料灌注成型（四套）；</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2）振荡模式：PLL相位锁定频率合成；</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3）载波频段：UHF500-950MHz（标准740-790）；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4）频率宽度：50MHz；</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5）频率调整：红外线自动对频；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6）输出功率：30mW/3mW（或依照电波法规）；</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7）谐波辐射：＜-55dBC；</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8）最大偏移度：±68KHz；</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9）预设频道：200；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10）频率响应：50~16,000Hz；</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11）指向性：高心型指向性；</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12）感度：-80±3dB</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ascii="仿宋" w:hAnsi="仿宋" w:eastAsia="仿宋" w:cs="仿宋"/>
                <w:color w:val="auto"/>
                <w:sz w:val="21"/>
                <w:szCs w:val="21"/>
                <w:highlight w:val="none"/>
              </w:rPr>
              <w:t>800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无线话筒</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1、匹配无线话筒主机</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950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DVD影碟机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1）画面浏览D/A转换器:12比特，108兆赫；</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2）画面效果增强:逐行扫描,视频提升采样；</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3）播放媒介:DVD+R/+RW,DVD-R/-RW,CD-R/RW,PictureCD,KodakPictureCD</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r>
              <w:rPr>
                <w:rFonts w:ascii="仿宋" w:hAnsi="仿宋" w:eastAsia="仿宋" w:cs="仿宋"/>
                <w:color w:val="auto"/>
                <w:sz w:val="21"/>
                <w:szCs w:val="21"/>
                <w:highlight w:val="none"/>
              </w:rPr>
              <w:t>60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UPS电源</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1）10KVA，延时2小时；</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xml:space="preserve">2）在线式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3）输入电压范围：120-280VAC（半载），280-480VAC（满载）；</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4）输入频率范围：40-70HZ；</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5）输入功率因数：≥0.99；</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6）UPS输出：正弦波；</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7）输出电压范围：220V±1%VAC；</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20</w:t>
            </w:r>
            <w:r>
              <w:rPr>
                <w:rFonts w:hint="eastAsia" w:ascii="仿宋" w:hAnsi="仿宋" w:eastAsia="仿宋" w:cs="仿宋"/>
                <w:color w:val="auto"/>
                <w:sz w:val="21"/>
                <w:szCs w:val="21"/>
                <w:highlight w:val="none"/>
              </w:rPr>
              <w:t xml:space="preserve">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电池</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100AH</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个</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指挥中心LED屏</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1、视角：水平120°，垂直120°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2、可视距离：10m～100m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3、工作温度：-10℃～+50℃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4、相对湿度：10%～95%</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5、驱动方式：恒流驱动</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6、色温：3200K~9300K可调</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7、校正前亮度：≥6500cd</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8、发光点中心距：偏差＜3﹪</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9、亮度均匀性：≤5﹪</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10、颜色均匀性：＜±0.003</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平方</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ascii="仿宋" w:hAnsi="仿宋" w:eastAsia="仿宋" w:cs="仿宋"/>
                <w:color w:val="auto"/>
                <w:sz w:val="21"/>
                <w:szCs w:val="21"/>
                <w:highlight w:val="none"/>
              </w:rPr>
              <w:t>980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w:t>
            </w:r>
            <w:r>
              <w:rPr>
                <w:rFonts w:hint="eastAsia" w:ascii="仿宋" w:hAnsi="仿宋" w:eastAsia="仿宋" w:cs="仿宋"/>
                <w:color w:val="auto"/>
                <w:sz w:val="21"/>
                <w:szCs w:val="21"/>
                <w:highlight w:val="non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（九）</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通用设备材料及土建</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tc>
        <w:tc>
          <w:tcPr>
            <w:tcW w:w="538" w:type="pct"/>
            <w:vAlign w:val="center"/>
          </w:tcPr>
          <w:p>
            <w:pPr>
              <w:widowControl/>
              <w:shd w:val="clear"/>
              <w:jc w:val="center"/>
              <w:rPr>
                <w:rFonts w:ascii="仿宋" w:hAnsi="仿宋" w:eastAsia="仿宋" w:cs="仿宋"/>
                <w:color w:val="auto"/>
                <w:sz w:val="21"/>
                <w:szCs w:val="21"/>
                <w:highlight w:val="none"/>
              </w:rPr>
            </w:pP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摄像机电源</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1）工作级电源模块；</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2）DC12V/2A</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企业级硬盘</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1、企业级硬盘；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2、接口类型：SATA；</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3、容量：4TB；</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4、转速：7200转；</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5、缓存：128M</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820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工业交换机1</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1、接口类型：10/100Base-T端，100BaseFX端口（SC/ST接头）；</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2、接口数目：8口；</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3、传输速率：10M/100Mbps自适应；</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4、支持网络标准：IEEE802.3，802.3u，802.3x；</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5、流控：IEEE802.3x流控，背</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620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光端机</w:t>
            </w:r>
          </w:p>
        </w:tc>
        <w:tc>
          <w:tcPr>
            <w:tcW w:w="2763" w:type="pct"/>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485信号传输</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对</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光纤收发器</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1、10/100Mbps自适应，全双工/半双工自动协商；</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2、支持100Base-FX光纤传输标准、IEEE802.3以太网标准和IEEE802.3dSpanning</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Tree标准；</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3、最远传输距离可达到25公里；</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4、接口类型：以太网接口RJ45，光接口SC（或FC，ST）</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对</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46.</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光纤终端盒</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1、固定、熔接光纤使用</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个</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ascii="仿宋" w:hAnsi="仿宋" w:eastAsia="仿宋" w:cs="仿宋"/>
                <w:color w:val="auto"/>
                <w:sz w:val="21"/>
                <w:szCs w:val="21"/>
                <w:highlight w:val="none"/>
              </w:rPr>
              <w:t>15</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光纤跳线</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1、接口：SC-SC；</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2、其他特性：陶瓷插针，环保PVC材料</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根</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光纤熔接</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1、熔接法连接单模光纤；</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2、熔接损耗小于0.05个dB。</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芯</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8孔位插座</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1、额定电压：250V；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2、额定电流：10A；</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3、额定功率：2500W;</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4、输出线长度：3米；</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5、插孔数量：8位</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个</w:t>
            </w:r>
          </w:p>
        </w:tc>
        <w:tc>
          <w:tcPr>
            <w:tcW w:w="536" w:type="pct"/>
            <w:noWrap/>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自动重合闸</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1、工作电压：85-300V；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2、额定负载电流：32A；</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3、漏电动作时间：30ms；</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4、重合闸复位时间：5s</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个</w:t>
            </w:r>
          </w:p>
        </w:tc>
        <w:tc>
          <w:tcPr>
            <w:tcW w:w="536"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6</w:t>
            </w:r>
            <w:r>
              <w:rPr>
                <w:rFonts w:hint="eastAsia" w:ascii="仿宋" w:hAnsi="仿宋" w:eastAsia="仿宋" w:cs="仿宋"/>
                <w:color w:val="auto"/>
                <w:sz w:val="21"/>
                <w:szCs w:val="21"/>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稳压电源1</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1、标称容量：3KVA；</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2、输入电压范围：160V~250V；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3、输出电压：220V；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4、稳压精度：≤±3%；</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5、过压保护值：输出相电压250V±5V；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6、欠压保护值：输出相电压183V±5V；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7、效率：≥96%；</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8、响应时间：±10%变化＜1s；</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9、无附加波形失真</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台</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电源防雷器</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1、额定电压：220V；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2、最大持续工作电压：385V；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3、标准放电电流：20KA（8/20us）；</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4、最大放电电流：40KA（8/20us）；</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5、响应时间：≤25ns</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个</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0.</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网络防雷器</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1、10/100M自适应以太网的电涌保护；</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2、标准RJ45接口，8芯线路全保护；</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3、标称放电电流In：5KA；</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4、最大放电电流Imax：10KA</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个</w:t>
            </w:r>
          </w:p>
        </w:tc>
        <w:tc>
          <w:tcPr>
            <w:tcW w:w="536" w:type="pct"/>
            <w:noWrap/>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22</w:t>
            </w:r>
            <w:r>
              <w:rPr>
                <w:rFonts w:hint="eastAsia" w:ascii="仿宋" w:hAnsi="仿宋" w:eastAsia="仿宋" w:cs="仿宋"/>
                <w:color w:val="auto"/>
                <w:sz w:val="21"/>
                <w:szCs w:val="21"/>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空气开关32A/2P</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32A/2P</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个</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65</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空气开关10A/2P</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1、极数：2P；</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2、额定电流：10A</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个</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52</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导轨式插座</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1、额定电压：250V；</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2、额定电流：16A；</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3、安装方式：导轨固定；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4、符合标准：GB2099.1；</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5、插孔数量：2孔+3孔</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个</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电源线RVV3*1.5m㎡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1、用于设备供电传输；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2、RVV3*1.5mm2</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电源线RVV6*1.0m㎡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1、用于信号灯信号传输；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2、RVV6*1.0mm2</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90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电源线YJV3*2.5m㎡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1、用于分支线路主电传输；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2、YJV3*2.5mm2</w:t>
            </w:r>
          </w:p>
        </w:tc>
        <w:tc>
          <w:tcPr>
            <w:tcW w:w="538" w:type="pct"/>
            <w:vAlign w:val="center"/>
          </w:tcPr>
          <w:p>
            <w:pPr>
              <w:widowControl/>
              <w:shd w:val="clear"/>
              <w:jc w:val="center"/>
              <w:rPr>
                <w:color w:val="auto"/>
                <w:sz w:val="15"/>
                <w:szCs w:val="15"/>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电源线YJV3*4.0m㎡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1、用于取电主电传输；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2、YJV3*4.0mm2</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控制线RVVP2*1.0m㎡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1、用于485信号传输；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2、RVVSP2*1.0mm2</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室外网线UTP-31-5E-4P</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1、用于网络传输；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2、超五类室外网线UTP-31-5E-4P</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90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接地线BVR6.0mm2</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1、用于接地连接；</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2、BVR6.0mm2</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50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室外光纤GYXTWJ-2B1</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1、用于长距离网络传输；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2、单模四芯光纤GYXTW-4B1</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40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25</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地感线圈FVN1.5m㎡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型号：MDFVN10501</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FVN1.5m㎡，满足设计及规范要求</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70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26</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电源线YJV3*10.0m㎡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1、用显示屏取电线路供电传输；</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2、YJV3*10mm2</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rPr>
              <w:t>.8</w:t>
            </w:r>
            <w:r>
              <w:rPr>
                <w:rFonts w:ascii="仿宋" w:hAnsi="仿宋" w:eastAsia="仿宋" w:cs="仿宋"/>
                <w:color w:val="auto"/>
                <w:sz w:val="21"/>
                <w:szCs w:val="21"/>
                <w:highlight w:val="none"/>
              </w:rPr>
              <w:t>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27</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电气配管PVC40</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1、强弱电缆光缆过街走线保护管，PVCΦ40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28</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碳素波纹管</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碳素波纹管</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1、强弱电缆光缆非过街走线保护管，碳素波纹管Φ50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29</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过街管道SCΦ50</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1、强弱电缆光缆过街走线保护管，镀锌钢管Φ50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ascii="仿宋" w:hAnsi="仿宋" w:eastAsia="仿宋" w:cs="仿宋"/>
                <w:color w:val="auto"/>
                <w:sz w:val="21"/>
                <w:szCs w:val="21"/>
                <w:highlight w:val="none"/>
              </w:rPr>
              <w:t>4</w:t>
            </w:r>
            <w:r>
              <w:rPr>
                <w:rFonts w:hint="eastAsia" w:ascii="仿宋" w:hAnsi="仿宋" w:eastAsia="仿宋" w:cs="仿宋"/>
                <w:color w:val="auto"/>
                <w:sz w:val="21"/>
                <w:szCs w:val="21"/>
                <w:highlight w:val="none"/>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电气配管PVC32</w:t>
            </w:r>
          </w:p>
        </w:tc>
        <w:tc>
          <w:tcPr>
            <w:tcW w:w="2763" w:type="pct"/>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PVCφ32</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noWrap/>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13</w:t>
            </w:r>
            <w:r>
              <w:rPr>
                <w:rFonts w:hint="eastAsia" w:ascii="仿宋" w:hAnsi="仿宋" w:eastAsia="仿宋" w:cs="仿宋"/>
                <w:color w:val="auto"/>
                <w:sz w:val="21"/>
                <w:szCs w:val="21"/>
                <w:highlight w:val="none"/>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电气配管PVC75</w:t>
            </w:r>
          </w:p>
        </w:tc>
        <w:tc>
          <w:tcPr>
            <w:tcW w:w="2763" w:type="pct"/>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PVCφ75</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过街管道SCΦ80</w:t>
            </w:r>
          </w:p>
        </w:tc>
        <w:tc>
          <w:tcPr>
            <w:tcW w:w="2763" w:type="pct"/>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1、强弱电缆光缆过街走线保护管，镀锌钢管Φ80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PE管Φ50</w:t>
            </w:r>
          </w:p>
        </w:tc>
        <w:tc>
          <w:tcPr>
            <w:tcW w:w="2763" w:type="pct"/>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PEΦ50</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noWrap/>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20</w:t>
            </w:r>
            <w:r>
              <w:rPr>
                <w:rFonts w:hint="eastAsia" w:ascii="仿宋" w:hAnsi="仿宋" w:eastAsia="仿宋" w:cs="仿宋"/>
                <w:color w:val="auto"/>
                <w:sz w:val="21"/>
                <w:szCs w:val="21"/>
                <w:highlight w:val="none"/>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PE管Φ32</w:t>
            </w:r>
          </w:p>
        </w:tc>
        <w:tc>
          <w:tcPr>
            <w:tcW w:w="2763" w:type="pct"/>
            <w:noWrap/>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PEΦ32</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35</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设备支架</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1、用于安装抓拍单元、补光灯等；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2、镀锌，喷塑</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410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shd w:val="clear" w:color="auto" w:fill="auto"/>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36</w:t>
            </w:r>
          </w:p>
        </w:tc>
        <w:tc>
          <w:tcPr>
            <w:tcW w:w="709" w:type="pct"/>
            <w:shd w:val="clear" w:color="auto" w:fill="auto"/>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侧挂设备箱</w:t>
            </w:r>
          </w:p>
        </w:tc>
        <w:tc>
          <w:tcPr>
            <w:tcW w:w="2763" w:type="pct"/>
            <w:shd w:val="clear" w:color="000000" w:fill="FFFFFF"/>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1、箱体大小：500mm*400mm*600mm；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2、箱体使用1.0mm冷轧钢板焊接成型；</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3、整体镀锌、喷塑；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4、机箱锁采用防盗式设计</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rPr>
              <w:t>30.</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37</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落地机柜</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1、箱体大小：600mm*750mm*1500mm；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2、箱体使用1.5mm冷轧钢板焊接成型；</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3、整体镀锌、喷塑；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4、机箱锁采用防盗式设计；</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5500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38</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违停抓拍立杆横臂5m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1、高6.5m，横臂5m；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2、Q235低碳钢，主杆采用热轧板加工，横杆采用焊管加工，横杆采用60/48焊管；</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3、立杆为纵向焊缝，无横向焊缝，采用埋弧焊接，焊缝表面均匀</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23</w:t>
            </w:r>
            <w:r>
              <w:rPr>
                <w:rFonts w:ascii="仿宋" w:hAnsi="仿宋" w:eastAsia="仿宋" w:cs="仿宋"/>
                <w:color w:val="auto"/>
                <w:sz w:val="21"/>
                <w:szCs w:val="21"/>
                <w:highlight w:val="none"/>
              </w:rPr>
              <w:t>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39</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倒L型立杆横臂6m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1、高6.5m，横臂6m；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2、八棱杆，热镀锌，喷塑；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3、含地锚、法兰盘、避雷针及安装配件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8</w:t>
            </w:r>
            <w:r>
              <w:rPr>
                <w:rFonts w:hint="eastAsia" w:ascii="仿宋" w:hAnsi="仿宋" w:eastAsia="仿宋" w:cs="仿宋"/>
                <w:color w:val="auto"/>
                <w:sz w:val="21"/>
                <w:szCs w:val="21"/>
                <w:highlight w:val="none"/>
              </w:rPr>
              <w:t>7</w:t>
            </w:r>
            <w:r>
              <w:rPr>
                <w:rFonts w:ascii="仿宋" w:hAnsi="仿宋" w:eastAsia="仿宋" w:cs="仿宋"/>
                <w:color w:val="auto"/>
                <w:sz w:val="21"/>
                <w:szCs w:val="21"/>
                <w:highlight w:val="none"/>
              </w:rPr>
              <w:t>50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40</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倒L型立杆横臂8m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1、高6.5m，横臂8m；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2、八棱杆，热镀锌，喷塑；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3、含地锚、法兰盘、避雷针及安装配件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9100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倒L型立杆横臂10m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1、高6m，横臂10m；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2、八棱杆，热镀锌，喷塑；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3、含地锚、法兰盘、避雷针及安装配件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rPr>
              <w:t>9</w:t>
            </w:r>
            <w:r>
              <w:rPr>
                <w:rFonts w:ascii="仿宋" w:hAnsi="仿宋" w:eastAsia="仿宋" w:cs="仿宋"/>
                <w:color w:val="auto"/>
                <w:sz w:val="21"/>
                <w:szCs w:val="21"/>
                <w:highlight w:val="none"/>
              </w:rPr>
              <w:t>20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倒L型立杆横臂12m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1、高6.5m，横臂12m；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2、八棱杆，热镀锌，喷塑；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3、含地锚、法兰盘、避雷针及安装配件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110</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倒L型立杆横臂14m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1、高6.5m，横臂14m；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2、八棱杆，热镀锌，喷塑；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3、含地锚、法兰盘、避雷针及安装配件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44</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倒L型立杆横臂16m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1、高6.5m，横臂16m；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2、八棱杆，热镀锌，喷塑；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3、含地锚、法兰盘、避雷针及安装配件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20</w:t>
            </w:r>
            <w:r>
              <w:rPr>
                <w:rFonts w:hint="eastAsia" w:ascii="仿宋" w:hAnsi="仿宋" w:eastAsia="仿宋" w:cs="仿宋"/>
                <w:color w:val="auto"/>
                <w:sz w:val="21"/>
                <w:szCs w:val="21"/>
                <w:highlight w:val="none"/>
              </w:rPr>
              <w:t>560.0</w:t>
            </w:r>
            <w:r>
              <w:rPr>
                <w:rFonts w:ascii="仿宋" w:hAnsi="仿宋" w:eastAsia="仿宋" w:cs="仿宋"/>
                <w:color w:val="auto"/>
                <w:sz w:val="21"/>
                <w:szCs w:val="21"/>
                <w:highlight w:val="none"/>
              </w:rPr>
              <w:t>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45</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倒L型立杆横臂18m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1、高6.5m，横臂18m；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2、八棱杆，热镀锌，喷塑；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3、含地锚、法兰盘、避雷针及安装配件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 xml:space="preserve">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46</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倒L型立杆横臂20m</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1、高6.5m，横臂20m；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2、八棱杆，热镀锌，喷塑；</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3、含地锚、法兰盘、避雷针及安装配件</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9</w:t>
            </w: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47</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机柜基础</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1、基坑大小：800mm*950mm*500mm（深）；</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2、含开挖、回填、机械费、人工费、土方外运</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ascii="仿宋" w:hAnsi="仿宋" w:eastAsia="仿宋" w:cs="仿宋"/>
                <w:color w:val="auto"/>
                <w:sz w:val="21"/>
                <w:szCs w:val="21"/>
                <w:highlight w:val="none"/>
              </w:rPr>
              <w:t>810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48</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倒L杆基础A</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1、横臂6m、8m、10m倒L型立杆基础；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2、基坑大小：1300mm*1300mm*1500mm（深）；</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3、商混：C25；</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4、含开挖、回填、机械费、人工费、土方外运</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ascii="仿宋" w:hAnsi="仿宋" w:eastAsia="仿宋" w:cs="仿宋"/>
                <w:color w:val="auto"/>
                <w:sz w:val="21"/>
                <w:szCs w:val="21"/>
                <w:highlight w:val="none"/>
              </w:rPr>
              <w:t>10</w:t>
            </w:r>
            <w:r>
              <w:rPr>
                <w:rFonts w:hint="eastAsia" w:ascii="仿宋" w:hAnsi="仿宋" w:eastAsia="仿宋" w:cs="仿宋"/>
                <w:color w:val="auto"/>
                <w:sz w:val="21"/>
                <w:szCs w:val="21"/>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4" w:type="pct"/>
            <w:vAlign w:val="center"/>
          </w:tcPr>
          <w:p>
            <w:pPr>
              <w:widowControl/>
              <w:shd w:val="clear"/>
              <w:jc w:val="center"/>
              <w:rPr>
                <w:rFonts w:ascii="仿宋" w:hAnsi="仿宋" w:eastAsia="仿宋" w:cs="仿宋"/>
                <w:color w:val="auto"/>
                <w:sz w:val="21"/>
                <w:szCs w:val="21"/>
                <w:highlight w:val="none"/>
              </w:rPr>
            </w:pP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倒L杆基础B</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1、横臂12m、14m、16m倒L型立杆基础；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2、基坑大小：</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1500mm*1500mm*1700mm（深）；</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3、商混：C25；</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4、含开挖、回填、机械费、人工费、土方外运</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4398</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49</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倒L杆基础C</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1、横臂18m、20m倒L型立杆基础；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2、基坑大小：1700mm*1700mm*1900mm（深）；</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3、商混：C25；</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4、含开挖、回填、机械费、人工费、土方外运</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5903</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50</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手孔井</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1、基坑大小：700mm*900mm*500mm（深）；</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2、井盖大小：400*600；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3、含高分子井盖井座、砖砌浇筑</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750</w:t>
            </w:r>
            <w:r>
              <w:rPr>
                <w:rFonts w:ascii="仿宋" w:hAnsi="仿宋" w:eastAsia="仿宋" w:cs="仿宋"/>
                <w:color w:val="auto"/>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51</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窨井</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1、基坑大小：1000mm*1000mm*700mm（深）；</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2、井盖大小：Φ700mm；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3、含高分子井盖井座，砖砌浇筑</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1550</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52</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接地制做</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1、立杆、机柜接地制作；</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2、接地极：镀锌角钢50mm*50mm*5mm；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3、杆件电阻小于10欧姆，设备小于4欧姆</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套</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90</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53</w:t>
            </w:r>
          </w:p>
        </w:tc>
        <w:tc>
          <w:tcPr>
            <w:tcW w:w="709"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非过街路面开挖及恢复</w:t>
            </w:r>
          </w:p>
        </w:tc>
        <w:tc>
          <w:tcPr>
            <w:tcW w:w="2763" w:type="pct"/>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1、绿化带、人行道路面开挖；</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2、300mm宽，300mm深；按原样恢复</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00</w:t>
            </w:r>
            <w:r>
              <w:rPr>
                <w:rFonts w:hint="eastAsia" w:ascii="仿宋" w:hAnsi="仿宋" w:eastAsia="仿宋" w:cs="仿宋"/>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4" w:type="pct"/>
            <w:shd w:val="clear" w:color="auto" w:fill="auto"/>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ascii="仿宋" w:hAnsi="仿宋" w:eastAsia="仿宋" w:cs="仿宋"/>
                <w:color w:val="auto"/>
                <w:sz w:val="21"/>
                <w:szCs w:val="21"/>
                <w:highlight w:val="none"/>
              </w:rPr>
              <w:t>4</w:t>
            </w:r>
          </w:p>
        </w:tc>
        <w:tc>
          <w:tcPr>
            <w:tcW w:w="709" w:type="pct"/>
            <w:shd w:val="clear" w:color="auto" w:fill="auto"/>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过街路面开挖及恢复</w:t>
            </w:r>
          </w:p>
        </w:tc>
        <w:tc>
          <w:tcPr>
            <w:tcW w:w="2763" w:type="pct"/>
            <w:shd w:val="clear" w:color="auto" w:fill="auto"/>
            <w:vAlign w:val="center"/>
          </w:tcPr>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1、路面切缝。</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2、拆除原有路面面层、基层。</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3、沟槽开挖。</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4、路床（槽）整形。</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5、级配碎石底基层 20cm厚。</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6、6%水泥稳定碎石基层 20cm厚。</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7、C30水泥混凝土路面 20cm厚。</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8、沥青混凝土AC-20C 10cm厚。</w:t>
            </w:r>
          </w:p>
          <w:p>
            <w:pPr>
              <w:widowControl/>
              <w:shd w:val="clea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9、含建渣清运、施工打围等内容</w:t>
            </w:r>
          </w:p>
        </w:tc>
        <w:tc>
          <w:tcPr>
            <w:tcW w:w="538" w:type="pct"/>
            <w:vAlign w:val="center"/>
          </w:tcPr>
          <w:p>
            <w:pPr>
              <w:widowControl/>
              <w:shd w:val="clear"/>
              <w:jc w:val="center"/>
              <w:rPr>
                <w:rFonts w:ascii="仿宋" w:hAnsi="仿宋" w:eastAsia="仿宋" w:cs="仿宋"/>
                <w:color w:val="auto"/>
                <w:sz w:val="21"/>
                <w:szCs w:val="21"/>
                <w:highlight w:val="none"/>
              </w:rPr>
            </w:pPr>
            <w:r>
              <w:rPr>
                <w:rFonts w:hint="eastAsia"/>
                <w:color w:val="auto"/>
                <w:sz w:val="15"/>
                <w:szCs w:val="15"/>
                <w:highlight w:val="none"/>
              </w:rPr>
              <w:t>米</w:t>
            </w:r>
          </w:p>
        </w:tc>
        <w:tc>
          <w:tcPr>
            <w:tcW w:w="536" w:type="pct"/>
            <w:shd w:val="clear" w:color="auto" w:fill="FFFFFF"/>
            <w:noWrap/>
            <w:vAlign w:val="center"/>
          </w:tcPr>
          <w:p>
            <w:pPr>
              <w:widowControl/>
              <w:shd w:val="clea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ascii="仿宋" w:hAnsi="仿宋" w:eastAsia="仿宋" w:cs="仿宋"/>
                <w:color w:val="auto"/>
                <w:sz w:val="21"/>
                <w:szCs w:val="21"/>
                <w:highlight w:val="none"/>
              </w:rPr>
              <w:t>7</w:t>
            </w:r>
            <w:r>
              <w:rPr>
                <w:rFonts w:hint="eastAsia" w:ascii="仿宋" w:hAnsi="仿宋" w:eastAsia="仿宋" w:cs="仿宋"/>
                <w:color w:val="auto"/>
                <w:sz w:val="21"/>
                <w:szCs w:val="21"/>
                <w:highlight w:val="none"/>
              </w:rPr>
              <w:t xml:space="preserve">00.00 </w:t>
            </w:r>
          </w:p>
        </w:tc>
      </w:tr>
    </w:tbl>
    <w:p>
      <w:pPr>
        <w:pStyle w:val="77"/>
        <w:shd w:val="clear"/>
        <w:rPr>
          <w:rFonts w:ascii="仿宋" w:hAnsi="仿宋" w:eastAsia="仿宋" w:cs="仿宋"/>
          <w:color w:val="auto"/>
          <w:sz w:val="21"/>
          <w:szCs w:val="21"/>
          <w:highlight w:val="none"/>
        </w:rPr>
      </w:pPr>
    </w:p>
    <w:bookmarkEnd w:id="916"/>
    <w:p>
      <w:pPr>
        <w:shd w:val="clear"/>
        <w:adjustRightInd w:val="0"/>
        <w:snapToGrid w:val="0"/>
        <w:spacing w:before="120" w:after="120" w:line="520" w:lineRule="exact"/>
        <w:ind w:firstLine="482" w:firstLineChars="200"/>
        <w:outlineLvl w:val="1"/>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三、商务要求</w:t>
      </w:r>
    </w:p>
    <w:p>
      <w:pPr>
        <w:shd w:val="clear"/>
        <w:tabs>
          <w:tab w:val="left" w:pos="8820"/>
        </w:tabs>
        <w:spacing w:line="44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 服务期限：</w:t>
      </w:r>
      <w:r>
        <w:rPr>
          <w:rFonts w:hint="eastAsia" w:ascii="仿宋" w:hAnsi="仿宋" w:eastAsia="仿宋" w:cs="仿宋"/>
          <w:color w:val="auto"/>
          <w:sz w:val="24"/>
          <w:szCs w:val="24"/>
          <w:highlight w:val="none"/>
        </w:rPr>
        <w:t>三年，合同一年一签。合同签订后3日内按合同履约。</w:t>
      </w:r>
    </w:p>
    <w:p>
      <w:pPr>
        <w:shd w:val="clear"/>
        <w:tabs>
          <w:tab w:val="left" w:pos="8820"/>
        </w:tabs>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服务地点：</w:t>
      </w:r>
      <w:r>
        <w:rPr>
          <w:rFonts w:hint="eastAsia" w:ascii="仿宋" w:hAnsi="仿宋" w:eastAsia="仿宋" w:cs="仿宋"/>
          <w:color w:val="auto"/>
          <w:sz w:val="24"/>
          <w:szCs w:val="24"/>
          <w:highlight w:val="none"/>
        </w:rPr>
        <w:t>采购人指定地点。</w:t>
      </w:r>
    </w:p>
    <w:p>
      <w:pPr>
        <w:shd w:val="clear"/>
        <w:tabs>
          <w:tab w:val="left" w:pos="8820"/>
        </w:tabs>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 付款方式</w:t>
      </w:r>
    </w:p>
    <w:p>
      <w:pPr>
        <w:shd w:val="clear"/>
        <w:tabs>
          <w:tab w:val="left" w:pos="882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（1）采购人结合考核办法按月度进行支付；</w:t>
      </w:r>
    </w:p>
    <w:p>
      <w:pPr>
        <w:shd w:val="clear"/>
        <w:tabs>
          <w:tab w:val="left" w:pos="882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（2）具体支付细节由采购人和中标人在合同中约定。</w:t>
      </w:r>
    </w:p>
    <w:p>
      <w:pPr>
        <w:shd w:val="clear"/>
        <w:tabs>
          <w:tab w:val="left" w:pos="8820"/>
        </w:tabs>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验收办法</w:t>
      </w:r>
    </w:p>
    <w:p>
      <w:pPr>
        <w:shd w:val="clear"/>
        <w:tabs>
          <w:tab w:val="left" w:pos="882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由采购人组织，严格按照政府采购相关法律法规以及《财政部关于进一步加强政府采购需求和履约验收管理的指导意见》(财库〔2016〕205号)文件的相关要求，结合月度考核标准进行验收。本次项目是智能交通系统维护维修及网络传输服务采购项目，所有的设备安装调试完毕且系统正常运行，视为验收合格。</w:t>
      </w:r>
    </w:p>
    <w:p>
      <w:pPr>
        <w:shd w:val="clear"/>
        <w:tabs>
          <w:tab w:val="left" w:pos="8820"/>
        </w:tabs>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 其他相关要求（实质性要求）</w:t>
      </w:r>
    </w:p>
    <w:p>
      <w:pPr>
        <w:shd w:val="clear"/>
        <w:tabs>
          <w:tab w:val="left" w:pos="882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（1）本次非▲项参数为基础参数必须满足，以应答为准。▲项为评分项，按要求提供证明材料。</w:t>
      </w:r>
    </w:p>
    <w:p>
      <w:pPr>
        <w:shd w:val="clear"/>
        <w:tabs>
          <w:tab w:val="left" w:pos="882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（2）投标产品如涉及信息安全产品强制认证、入网许可的，提供证书复印件或承诺中标后签订合同前向采购人提供证书复印件。</w:t>
      </w:r>
    </w:p>
    <w:p>
      <w:pPr>
        <w:pStyle w:val="95"/>
        <w:shd w:val="clear"/>
        <w:ind w:firstLine="0" w:firstLineChars="0"/>
        <w:rPr>
          <w:rFonts w:hint="eastAsia"/>
          <w:color w:val="auto"/>
          <w:highlight w:val="none"/>
        </w:rPr>
      </w:pPr>
    </w:p>
    <w:p>
      <w:pPr>
        <w:pStyle w:val="95"/>
        <w:shd w:val="clear"/>
        <w:ind w:firstLine="440"/>
        <w:rPr>
          <w:color w:val="auto"/>
          <w:highlight w:val="none"/>
        </w:rPr>
      </w:pPr>
    </w:p>
    <w:p>
      <w:pPr>
        <w:shd w:val="clear"/>
        <w:rPr>
          <w:rFonts w:ascii="仿宋" w:hAnsi="仿宋" w:eastAsia="仿宋" w:cs="仿宋"/>
          <w:b/>
          <w:color w:val="auto"/>
          <w:sz w:val="36"/>
          <w:highlight w:val="none"/>
        </w:rPr>
      </w:pPr>
      <w:r>
        <w:rPr>
          <w:rFonts w:hint="eastAsia" w:ascii="仿宋" w:hAnsi="仿宋" w:eastAsia="仿宋" w:cs="仿宋"/>
          <w:b/>
          <w:color w:val="auto"/>
          <w:sz w:val="36"/>
          <w:highlight w:val="none"/>
        </w:rPr>
        <w:br w:type="page"/>
      </w:r>
    </w:p>
    <w:p>
      <w:pPr>
        <w:widowControl/>
        <w:shd w:val="clear"/>
        <w:adjustRightInd w:val="0"/>
        <w:snapToGrid w:val="0"/>
        <w:spacing w:line="360" w:lineRule="auto"/>
        <w:ind w:firstLine="2891" w:firstLineChars="800"/>
        <w:outlineLvl w:val="0"/>
        <w:rPr>
          <w:rFonts w:ascii="仿宋" w:hAnsi="仿宋" w:eastAsia="仿宋" w:cs="仿宋"/>
          <w:b/>
          <w:color w:val="auto"/>
          <w:sz w:val="36"/>
          <w:highlight w:val="none"/>
        </w:rPr>
      </w:pPr>
      <w:r>
        <w:rPr>
          <w:rFonts w:hint="eastAsia" w:ascii="仿宋" w:hAnsi="仿宋" w:eastAsia="仿宋" w:cs="仿宋"/>
          <w:b/>
          <w:color w:val="auto"/>
          <w:sz w:val="36"/>
          <w:highlight w:val="none"/>
        </w:rPr>
        <w:t>第七章 评标办法</w:t>
      </w:r>
      <w:bookmarkEnd w:id="893"/>
      <w:bookmarkEnd w:id="911"/>
      <w:bookmarkEnd w:id="912"/>
      <w:bookmarkEnd w:id="913"/>
      <w:bookmarkEnd w:id="914"/>
      <w:bookmarkEnd w:id="915"/>
      <w:bookmarkStart w:id="919" w:name="_Hlt101846155"/>
      <w:bookmarkEnd w:id="919"/>
      <w:bookmarkStart w:id="920" w:name="_Toc183582280"/>
      <w:bookmarkStart w:id="921" w:name="_Toc208849007"/>
      <w:bookmarkStart w:id="922" w:name="_Toc183682415"/>
      <w:bookmarkStart w:id="923" w:name="_Toc217446097"/>
    </w:p>
    <w:p>
      <w:pPr>
        <w:pStyle w:val="4"/>
        <w:numPr>
          <w:ilvl w:val="0"/>
          <w:numId w:val="18"/>
        </w:numPr>
        <w:shd w:val="clear"/>
        <w:spacing w:before="0" w:after="0" w:line="440" w:lineRule="exact"/>
        <w:ind w:firstLine="482" w:firstLineChars="200"/>
        <w:rPr>
          <w:rFonts w:ascii="仿宋" w:hAnsi="仿宋" w:eastAsia="仿宋" w:cs="仿宋"/>
          <w:bCs w:val="0"/>
          <w:color w:val="auto"/>
          <w:sz w:val="24"/>
          <w:szCs w:val="24"/>
          <w:highlight w:val="none"/>
        </w:rPr>
      </w:pPr>
      <w:bookmarkStart w:id="924" w:name="_Toc25435"/>
      <w:bookmarkStart w:id="925" w:name="_Toc21302"/>
      <w:bookmarkStart w:id="926" w:name="_Toc309897563"/>
      <w:bookmarkStart w:id="927" w:name="_Toc319440188"/>
      <w:bookmarkStart w:id="928" w:name="_Toc308188198"/>
      <w:bookmarkStart w:id="929" w:name="_Toc307564896"/>
      <w:bookmarkStart w:id="930" w:name="_Toc23517"/>
      <w:bookmarkStart w:id="931" w:name="_Toc327196339"/>
      <w:bookmarkStart w:id="932" w:name="_Toc3881"/>
      <w:bookmarkStart w:id="933" w:name="_Toc1543"/>
      <w:bookmarkStart w:id="934" w:name="_Toc2232"/>
      <w:bookmarkStart w:id="935" w:name="_Toc11039"/>
      <w:bookmarkStart w:id="936" w:name="_Toc483"/>
      <w:bookmarkStart w:id="937" w:name="_Toc4553"/>
      <w:bookmarkStart w:id="938" w:name="_Toc308084645"/>
      <w:bookmarkStart w:id="939" w:name="_Toc307501154"/>
      <w:bookmarkStart w:id="940" w:name="_Toc25959"/>
      <w:bookmarkStart w:id="941" w:name="_Toc26923"/>
      <w:bookmarkStart w:id="942" w:name="_Toc319439946"/>
      <w:r>
        <w:rPr>
          <w:rFonts w:hint="eastAsia" w:ascii="仿宋" w:hAnsi="仿宋" w:eastAsia="仿宋" w:cs="仿宋"/>
          <w:bCs w:val="0"/>
          <w:color w:val="auto"/>
          <w:sz w:val="24"/>
          <w:szCs w:val="24"/>
          <w:highlight w:val="none"/>
        </w:rPr>
        <w:t>总则</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numPr>
          <w:ilvl w:val="0"/>
          <w:numId w:val="19"/>
        </w:numPr>
        <w:shd w:val="clea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根据《中华人民共和国政府采购法》、《中华人民共和国政府采购法实施条例》和《政府采购货物和服务招标投标管理办法》(财政部令第87号)等法律规章，结合采购项目特点制定本评标办法。</w:t>
      </w:r>
    </w:p>
    <w:p>
      <w:pPr>
        <w:numPr>
          <w:ilvl w:val="0"/>
          <w:numId w:val="19"/>
        </w:numPr>
        <w:shd w:val="clea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评标工作由采购代理机构负责组织，具体评标事务由采购代理机构依法组建的评标委员会负责。评标委员会由采购人代表和有关技术、经济等方面的专家组成。</w:t>
      </w:r>
    </w:p>
    <w:p>
      <w:pPr>
        <w:numPr>
          <w:ilvl w:val="0"/>
          <w:numId w:val="19"/>
        </w:numPr>
        <w:shd w:val="clea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评标工作应遵循公平、公正、科学及择优的原则，并以相同的评标程序和标准对待所有的投标人。</w:t>
      </w:r>
    </w:p>
    <w:p>
      <w:pPr>
        <w:numPr>
          <w:ilvl w:val="0"/>
          <w:numId w:val="19"/>
        </w:numPr>
        <w:shd w:val="clea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评标委员会按照招标文件规定的评标方法和标准进行评标，并独立履行下列职责：</w:t>
      </w:r>
    </w:p>
    <w:p>
      <w:pPr>
        <w:pStyle w:val="34"/>
        <w:numPr>
          <w:ilvl w:val="0"/>
          <w:numId w:val="20"/>
        </w:numPr>
        <w:shd w:val="clear"/>
        <w:wordWrap w:val="0"/>
        <w:spacing w:before="0" w:beforeAutospacing="0" w:after="0" w:afterAutospacing="0" w:line="440" w:lineRule="exact"/>
        <w:ind w:firstLine="480" w:firstLineChars="200"/>
        <w:rPr>
          <w:rFonts w:ascii="仿宋" w:hAnsi="仿宋" w:eastAsia="仿宋" w:cs="仿宋"/>
          <w:color w:val="auto"/>
          <w:sz w:val="24"/>
          <w:szCs w:val="24"/>
          <w:highlight w:val="none"/>
        </w:rPr>
      </w:pPr>
      <w:bookmarkStart w:id="943" w:name="_Toc217446098"/>
      <w:r>
        <w:rPr>
          <w:rFonts w:hint="eastAsia" w:ascii="仿宋" w:hAnsi="仿宋" w:eastAsia="仿宋" w:cs="仿宋"/>
          <w:color w:val="auto"/>
          <w:sz w:val="24"/>
          <w:szCs w:val="24"/>
          <w:highlight w:val="none"/>
        </w:rPr>
        <w:t>审查、评价投标文件是否符合招标文件的商务、技术等实质性要求；</w:t>
      </w:r>
    </w:p>
    <w:p>
      <w:pPr>
        <w:pStyle w:val="34"/>
        <w:numPr>
          <w:ilvl w:val="0"/>
          <w:numId w:val="20"/>
        </w:numPr>
        <w:shd w:val="clear"/>
        <w:wordWrap w:val="0"/>
        <w:spacing w:before="0" w:beforeAutospacing="0" w:after="0" w:afterAutospacing="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要求投标人对投标文件有关事项作出澄清或者说明；</w:t>
      </w:r>
    </w:p>
    <w:p>
      <w:pPr>
        <w:pStyle w:val="34"/>
        <w:numPr>
          <w:ilvl w:val="0"/>
          <w:numId w:val="20"/>
        </w:numPr>
        <w:shd w:val="clear"/>
        <w:wordWrap w:val="0"/>
        <w:spacing w:before="0" w:beforeAutospacing="0" w:after="0" w:afterAutospacing="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对投标文件进行比较和评价；</w:t>
      </w:r>
    </w:p>
    <w:p>
      <w:pPr>
        <w:pStyle w:val="34"/>
        <w:numPr>
          <w:ilvl w:val="0"/>
          <w:numId w:val="20"/>
        </w:numPr>
        <w:shd w:val="clear"/>
        <w:wordWrap w:val="0"/>
        <w:spacing w:before="0" w:beforeAutospacing="0" w:after="0" w:afterAutospacing="0"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确定中标候选人名单；</w:t>
      </w:r>
    </w:p>
    <w:p>
      <w:pPr>
        <w:numPr>
          <w:ilvl w:val="0"/>
          <w:numId w:val="20"/>
        </w:numPr>
        <w:shd w:val="clea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向采购人、采购代理机构或者有关部门报告评标中发现的违法行为。</w:t>
      </w:r>
    </w:p>
    <w:p>
      <w:pPr>
        <w:numPr>
          <w:ilvl w:val="0"/>
          <w:numId w:val="19"/>
        </w:numPr>
        <w:shd w:val="clea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评标过程独立、保密。投标人非法干预评标评标过程的行为将导致其投标文件作为无效处理。</w:t>
      </w:r>
    </w:p>
    <w:p>
      <w:pPr>
        <w:numPr>
          <w:ilvl w:val="0"/>
          <w:numId w:val="19"/>
        </w:numPr>
        <w:shd w:val="clea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评标委员会评价投标文件的响应性，对于投标人而言，除评标委员会要求其澄清、说明或者纠正而提供的资料外，仅依据投标文件本身的内容，不寻求其他外部证据。</w:t>
      </w:r>
    </w:p>
    <w:p>
      <w:pPr>
        <w:numPr>
          <w:ilvl w:val="0"/>
          <w:numId w:val="19"/>
        </w:numPr>
        <w:shd w:val="clea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评委会发现招标文件表述不明确或需要说明的事项，可提请招标采购单位书面解释说明。发现招标文件违反有关法律、法规和规章的，可以拒绝评标，并向招标采购单位书面说明情况。</w:t>
      </w:r>
    </w:p>
    <w:p>
      <w:pPr>
        <w:pStyle w:val="4"/>
        <w:numPr>
          <w:ilvl w:val="0"/>
          <w:numId w:val="18"/>
        </w:numPr>
        <w:shd w:val="clear"/>
        <w:spacing w:before="0" w:after="0" w:line="440" w:lineRule="exact"/>
        <w:ind w:firstLine="482" w:firstLineChars="200"/>
        <w:rPr>
          <w:rFonts w:ascii="仿宋" w:hAnsi="仿宋" w:eastAsia="仿宋" w:cs="仿宋"/>
          <w:bCs w:val="0"/>
          <w:color w:val="auto"/>
          <w:sz w:val="24"/>
          <w:szCs w:val="24"/>
          <w:highlight w:val="none"/>
        </w:rPr>
      </w:pPr>
      <w:bookmarkStart w:id="944" w:name="_Toc23669"/>
      <w:bookmarkStart w:id="945" w:name="_Toc3371"/>
      <w:bookmarkStart w:id="946" w:name="_Toc25612"/>
      <w:bookmarkStart w:id="947" w:name="_Toc12975"/>
      <w:bookmarkStart w:id="948" w:name="_Toc10398"/>
      <w:bookmarkStart w:id="949" w:name="_Toc8496"/>
      <w:bookmarkStart w:id="950" w:name="_Toc26792"/>
      <w:bookmarkStart w:id="951" w:name="_Toc276"/>
      <w:bookmarkStart w:id="952" w:name="_Toc3915"/>
      <w:bookmarkStart w:id="953" w:name="_Toc319440189"/>
      <w:bookmarkStart w:id="954" w:name="_Toc327196340"/>
      <w:bookmarkStart w:id="955" w:name="_Toc5152"/>
      <w:bookmarkStart w:id="956" w:name="_Toc14100"/>
      <w:r>
        <w:rPr>
          <w:rFonts w:hint="eastAsia" w:ascii="仿宋" w:hAnsi="仿宋" w:eastAsia="仿宋" w:cs="仿宋"/>
          <w:bCs w:val="0"/>
          <w:color w:val="auto"/>
          <w:sz w:val="24"/>
          <w:szCs w:val="24"/>
          <w:highlight w:val="none"/>
        </w:rPr>
        <w:t>评标方法</w:t>
      </w:r>
      <w:bookmarkEnd w:id="944"/>
      <w:bookmarkEnd w:id="945"/>
      <w:bookmarkEnd w:id="946"/>
      <w:bookmarkEnd w:id="947"/>
      <w:bookmarkEnd w:id="948"/>
      <w:bookmarkEnd w:id="949"/>
      <w:bookmarkEnd w:id="950"/>
      <w:bookmarkEnd w:id="951"/>
      <w:bookmarkEnd w:id="952"/>
      <w:bookmarkEnd w:id="953"/>
      <w:bookmarkEnd w:id="954"/>
      <w:bookmarkEnd w:id="955"/>
      <w:bookmarkEnd w:id="956"/>
    </w:p>
    <w:p>
      <w:pPr>
        <w:shd w:val="clea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本项目评标方法为：综合评分法。</w:t>
      </w:r>
    </w:p>
    <w:p>
      <w:pPr>
        <w:pStyle w:val="4"/>
        <w:numPr>
          <w:ilvl w:val="0"/>
          <w:numId w:val="18"/>
        </w:numPr>
        <w:shd w:val="clear"/>
        <w:spacing w:before="0" w:after="0" w:line="440" w:lineRule="exact"/>
        <w:ind w:firstLine="482" w:firstLineChars="200"/>
        <w:rPr>
          <w:rFonts w:ascii="仿宋" w:hAnsi="仿宋" w:eastAsia="仿宋" w:cs="仿宋"/>
          <w:bCs w:val="0"/>
          <w:color w:val="auto"/>
          <w:sz w:val="24"/>
          <w:szCs w:val="24"/>
          <w:highlight w:val="none"/>
        </w:rPr>
      </w:pPr>
      <w:bookmarkStart w:id="957" w:name="_Toc319440190"/>
      <w:bookmarkStart w:id="958" w:name="_Toc12883"/>
      <w:bookmarkStart w:id="959" w:name="_Toc5897"/>
      <w:bookmarkStart w:id="960" w:name="_Toc23322"/>
      <w:bookmarkStart w:id="961" w:name="_Toc19196"/>
      <w:bookmarkStart w:id="962" w:name="_Toc17374"/>
      <w:bookmarkStart w:id="963" w:name="_Toc11380"/>
      <w:bookmarkStart w:id="964" w:name="_Toc5906"/>
      <w:bookmarkStart w:id="965" w:name="_Toc7390"/>
      <w:bookmarkStart w:id="966" w:name="_Toc327196341"/>
      <w:bookmarkStart w:id="967" w:name="_Toc17613"/>
      <w:bookmarkStart w:id="968" w:name="_Toc9969"/>
      <w:bookmarkStart w:id="969" w:name="_Toc27103"/>
      <w:r>
        <w:rPr>
          <w:rFonts w:hint="eastAsia" w:ascii="仿宋" w:hAnsi="仿宋" w:eastAsia="仿宋" w:cs="仿宋"/>
          <w:bCs w:val="0"/>
          <w:color w:val="auto"/>
          <w:sz w:val="24"/>
          <w:szCs w:val="24"/>
          <w:highlight w:val="none"/>
        </w:rPr>
        <w:t>评标程序</w:t>
      </w:r>
      <w:bookmarkEnd w:id="943"/>
      <w:bookmarkEnd w:id="957"/>
      <w:bookmarkEnd w:id="958"/>
      <w:bookmarkEnd w:id="959"/>
      <w:bookmarkEnd w:id="960"/>
      <w:bookmarkEnd w:id="961"/>
      <w:bookmarkEnd w:id="962"/>
      <w:bookmarkEnd w:id="963"/>
      <w:bookmarkEnd w:id="964"/>
      <w:bookmarkEnd w:id="965"/>
      <w:bookmarkEnd w:id="966"/>
      <w:bookmarkEnd w:id="967"/>
      <w:bookmarkEnd w:id="968"/>
      <w:bookmarkEnd w:id="969"/>
    </w:p>
    <w:p>
      <w:pPr>
        <w:numPr>
          <w:ilvl w:val="0"/>
          <w:numId w:val="21"/>
        </w:numPr>
        <w:shd w:val="clea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熟悉招标文件和停止评标</w:t>
      </w:r>
    </w:p>
    <w:p>
      <w:pPr>
        <w:numPr>
          <w:ilvl w:val="0"/>
          <w:numId w:val="22"/>
        </w:numPr>
        <w:shd w:val="clear"/>
        <w:tabs>
          <w:tab w:val="left" w:pos="0"/>
        </w:tabs>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评标委员会正式评标前，应当熟悉招标文件，主要包括招标文件中符合性审查内容、采购项目技术、服务和商务要求、评标方法和标准以及政府采购合同主要条款等。</w:t>
      </w:r>
    </w:p>
    <w:p>
      <w:pPr>
        <w:numPr>
          <w:ilvl w:val="0"/>
          <w:numId w:val="22"/>
        </w:numPr>
        <w:shd w:val="clear"/>
        <w:tabs>
          <w:tab w:val="left" w:pos="0"/>
        </w:tabs>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招标文件有下列情形之一的，评标委员会应当停止评标：</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(1)招标文件的规定存在歧义、重大缺陷的；</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(2)招标文件明显以不合理条件对供应商实行差别待遇或者歧视待遇的；</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(3)采购项目属于国家规定的优先、强制采购范围，但是招标文件未依法体现优先、强制采购相关规定的；</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(4)采购项目属于政府采购促进中小企业发展的范围，但是招标文件未依法体现促进中小企业发展相关规定的；</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(5)招标文件规定的评标方法是综合评分法、最低评标价法之外的评标方法，或者虽然名称为综合评分法、最低评标价法，但实际上不符合国家规定；</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(6)招标文件将投标人的资格条件列为评分因素的；</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(7)招标文件有违反国家其他有关强制性规定的情形。</w:t>
      </w:r>
    </w:p>
    <w:p>
      <w:pPr>
        <w:numPr>
          <w:ilvl w:val="0"/>
          <w:numId w:val="22"/>
        </w:numPr>
        <w:shd w:val="clear"/>
        <w:tabs>
          <w:tab w:val="left" w:pos="0"/>
        </w:tabs>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评标过程中有下列情形之一的，评标委员会成员可以停止评标：</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(1)招标采购单位未提供必要的与采购项目有关的政策制度文件或者采购文件，继续评标将导致违法或者错误评标的；</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(2)有关单位和个人非法干预评标委员会依法独立评标的；</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(3)其他导致评标委员会无法正常履职的情形。</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4、出现本条规定应当停止评标或者可以停止评标情形的，评标委员会成员应当向招标采购单位书面说明情况。除本条规定的情形外，评标委员会成员不得以任何方式和理由停止评标。</w:t>
      </w:r>
    </w:p>
    <w:p>
      <w:pPr>
        <w:shd w:val="clear"/>
        <w:spacing w:line="44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b/>
          <w:bCs/>
          <w:color w:val="auto"/>
          <w:sz w:val="24"/>
          <w:highlight w:val="none"/>
        </w:rPr>
        <w:t>符合性审查</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2.投标文件有其他不影响采购项目实质性要求的情形，本项目不作为实质性要求进行规定，即不作为符合性审查事项，不得作为无效投标处理。</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3.依据招标文件的规定，从投标文件（资格性响应文件除外）的有效性、完整性和对招标文件的响应程度进行审查，以确定是否对招标文件的实质性要求作出响应。符合性审查标准见下表：</w:t>
      </w:r>
    </w:p>
    <w:p>
      <w:pPr>
        <w:pStyle w:val="51"/>
        <w:shd w:val="clear"/>
        <w:rPr>
          <w:color w:val="auto"/>
          <w:highlight w:val="none"/>
        </w:rPr>
      </w:pPr>
    </w:p>
    <w:tbl>
      <w:tblPr>
        <w:tblStyle w:val="3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58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2268" w:type="dxa"/>
            <w:vAlign w:val="center"/>
          </w:tcPr>
          <w:p>
            <w:pPr>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符合性审查项</w:t>
            </w:r>
          </w:p>
        </w:tc>
        <w:tc>
          <w:tcPr>
            <w:tcW w:w="5812" w:type="dxa"/>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通过条件</w:t>
            </w:r>
          </w:p>
        </w:tc>
        <w:tc>
          <w:tcPr>
            <w:tcW w:w="851" w:type="dxa"/>
            <w:vAlign w:val="center"/>
          </w:tcPr>
          <w:p>
            <w:pPr>
              <w:widowControl/>
              <w:shd w:val="clea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vAlign w:val="center"/>
          </w:tcPr>
          <w:p>
            <w:pPr>
              <w:shd w:val="clea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2268" w:type="dxa"/>
            <w:vAlign w:val="center"/>
          </w:tcPr>
          <w:p>
            <w:pPr>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采购预算、最高限价</w:t>
            </w:r>
          </w:p>
        </w:tc>
        <w:tc>
          <w:tcPr>
            <w:tcW w:w="5812" w:type="dxa"/>
            <w:vAlign w:val="center"/>
          </w:tcPr>
          <w:p>
            <w:pPr>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投标人投标文件中的报价均未超过采购预算和最高限价要求</w:t>
            </w:r>
          </w:p>
        </w:tc>
        <w:tc>
          <w:tcPr>
            <w:tcW w:w="851" w:type="dxa"/>
            <w:vAlign w:val="center"/>
          </w:tcPr>
          <w:p>
            <w:pPr>
              <w:widowControl/>
              <w:shd w:val="clear"/>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vAlign w:val="center"/>
          </w:tcPr>
          <w:p>
            <w:pPr>
              <w:shd w:val="clea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p>
        </w:tc>
        <w:tc>
          <w:tcPr>
            <w:tcW w:w="2268" w:type="dxa"/>
            <w:vAlign w:val="center"/>
          </w:tcPr>
          <w:p>
            <w:pPr>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投标文件的语言、计量单位、报价货币、投标有效期</w:t>
            </w:r>
          </w:p>
        </w:tc>
        <w:tc>
          <w:tcPr>
            <w:tcW w:w="5812" w:type="dxa"/>
            <w:vAlign w:val="center"/>
          </w:tcPr>
          <w:p>
            <w:pPr>
              <w:shd w:val="clear"/>
              <w:spacing w:line="360" w:lineRule="auto"/>
              <w:ind w:left="33"/>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计量单位、语言、报价货币、投标有效期均符合招标文件的要求。</w:t>
            </w:r>
          </w:p>
        </w:tc>
        <w:tc>
          <w:tcPr>
            <w:tcW w:w="851" w:type="dxa"/>
            <w:vAlign w:val="center"/>
          </w:tcPr>
          <w:p>
            <w:pPr>
              <w:widowControl/>
              <w:shd w:val="clear"/>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vAlign w:val="center"/>
          </w:tcPr>
          <w:p>
            <w:pPr>
              <w:shd w:val="clea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w:t>
            </w:r>
          </w:p>
        </w:tc>
        <w:tc>
          <w:tcPr>
            <w:tcW w:w="2268" w:type="dxa"/>
            <w:vAlign w:val="center"/>
          </w:tcPr>
          <w:p>
            <w:pPr>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投标文件报价</w:t>
            </w:r>
          </w:p>
        </w:tc>
        <w:tc>
          <w:tcPr>
            <w:tcW w:w="5812" w:type="dxa"/>
            <w:vAlign w:val="center"/>
          </w:tcPr>
          <w:p>
            <w:pPr>
              <w:widowControl/>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报价唯一（说明：报价出现下列情况的，按以下原则处理，并以修正后的价格作为投标人的投标报价：①投标文件中的大写金额和小写金额不一致的，以大写金额为准，但大写金额出现文字错误，导致金额无法判断的除外；单价金额小数点或者百分比有明显错位的，以总价为准，并修改单价；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w:t>
            </w:r>
          </w:p>
          <w:p>
            <w:pPr>
              <w:widowControl/>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（2）投标人的报价是投标人响应招标项目要求的全部工作内容的价格体现，包括投标人完成本项目所需的一切费用；</w:t>
            </w:r>
          </w:p>
          <w:p>
            <w:pPr>
              <w:widowControl/>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的投标文件、响应文件涉嫌无偿或明显低于成本价报价的（明显低于成本的参考标准建议为：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 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widowControl/>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因本项目为不见面开标，涉及提供相关书面说明的，以政府采购云平台的实际操作为准。如因断电、断网、系统故障或其他不可抗力等因素，导致系统无法使用的，由投标人按评标委员会的要求进行澄清或者说明。</w:t>
            </w:r>
          </w:p>
        </w:tc>
        <w:tc>
          <w:tcPr>
            <w:tcW w:w="851" w:type="dxa"/>
            <w:vAlign w:val="center"/>
          </w:tcPr>
          <w:p>
            <w:pPr>
              <w:widowControl/>
              <w:shd w:val="clear"/>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vAlign w:val="center"/>
          </w:tcPr>
          <w:p>
            <w:pPr>
              <w:shd w:val="clea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w:t>
            </w:r>
          </w:p>
        </w:tc>
        <w:tc>
          <w:tcPr>
            <w:tcW w:w="2268" w:type="dxa"/>
            <w:vAlign w:val="center"/>
          </w:tcPr>
          <w:p>
            <w:pPr>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投标文件的制作、签章、加密</w:t>
            </w:r>
          </w:p>
        </w:tc>
        <w:tc>
          <w:tcPr>
            <w:tcW w:w="5812" w:type="dxa"/>
            <w:vAlign w:val="center"/>
          </w:tcPr>
          <w:p>
            <w:pPr>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投标文件按照招标文件的要求制作、签章、加密（招标文件第二章第18条的要求）</w:t>
            </w:r>
          </w:p>
        </w:tc>
        <w:tc>
          <w:tcPr>
            <w:tcW w:w="851" w:type="dxa"/>
            <w:vAlign w:val="center"/>
          </w:tcPr>
          <w:p>
            <w:pPr>
              <w:widowControl/>
              <w:shd w:val="clear"/>
              <w:jc w:val="center"/>
              <w:rPr>
                <w:rFonts w:ascii="仿宋" w:hAnsi="仿宋" w:eastAsia="仿宋" w:cs="仿宋"/>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pPr>
              <w:shd w:val="clea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w:t>
            </w:r>
          </w:p>
        </w:tc>
        <w:tc>
          <w:tcPr>
            <w:tcW w:w="2268" w:type="dxa"/>
            <w:vAlign w:val="center"/>
          </w:tcPr>
          <w:p>
            <w:pPr>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实质性要求</w:t>
            </w:r>
          </w:p>
        </w:tc>
        <w:tc>
          <w:tcPr>
            <w:tcW w:w="5812" w:type="dxa"/>
            <w:vAlign w:val="center"/>
          </w:tcPr>
          <w:p>
            <w:pPr>
              <w:shd w:val="clear"/>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投标文件均实质性响应招标文件中标注“实质性要求”的内容。</w:t>
            </w:r>
          </w:p>
        </w:tc>
        <w:tc>
          <w:tcPr>
            <w:tcW w:w="851" w:type="dxa"/>
            <w:vAlign w:val="center"/>
          </w:tcPr>
          <w:p>
            <w:pPr>
              <w:widowControl/>
              <w:shd w:val="clear"/>
              <w:jc w:val="center"/>
              <w:rPr>
                <w:rFonts w:ascii="仿宋" w:hAnsi="仿宋" w:eastAsia="仿宋" w:cs="仿宋"/>
                <w:b/>
                <w:bCs/>
                <w:color w:val="auto"/>
                <w:sz w:val="21"/>
                <w:szCs w:val="21"/>
                <w:highlight w:val="none"/>
              </w:rPr>
            </w:pPr>
          </w:p>
        </w:tc>
      </w:tr>
    </w:tbl>
    <w:p>
      <w:pPr>
        <w:pStyle w:val="15"/>
        <w:shd w:val="clear"/>
        <w:ind w:firstLine="480" w:firstLineChars="200"/>
        <w:rPr>
          <w:rFonts w:ascii="仿宋" w:hAnsi="仿宋" w:eastAsia="仿宋" w:cs="仿宋"/>
          <w:color w:val="auto"/>
          <w:szCs w:val="22"/>
          <w:highlight w:val="none"/>
        </w:rPr>
      </w:pPr>
      <w:r>
        <w:rPr>
          <w:rFonts w:hint="eastAsia" w:ascii="仿宋" w:hAnsi="仿宋" w:eastAsia="仿宋" w:cs="仿宋"/>
          <w:color w:val="auto"/>
          <w:szCs w:val="22"/>
          <w:highlight w:val="none"/>
        </w:rPr>
        <w:t>注：1.评标委员会对投标文件（资格性响应文件除外）的符合性审查事项仅限于招标文件的明确规定同时在上表中列明的事项。招标文件没有明确规定为实质性内容的不得作为符合性审查评审事项；招标文件明确规定了为实质性内容，但在上表中未列明的事项也不得作为符合性审查评审事项（此类实质性要求为招标文件告知投标人的内容，无法以投标文件响应的形式体现）。</w:t>
      </w:r>
    </w:p>
    <w:p>
      <w:pPr>
        <w:pStyle w:val="15"/>
        <w:numPr>
          <w:ilvl w:val="0"/>
          <w:numId w:val="11"/>
        </w:numPr>
        <w:shd w:val="clear"/>
        <w:ind w:firstLine="480" w:firstLineChars="200"/>
        <w:rPr>
          <w:rFonts w:ascii="仿宋" w:hAnsi="仿宋" w:eastAsia="仿宋" w:cs="仿宋"/>
          <w:color w:val="auto"/>
          <w:szCs w:val="22"/>
          <w:highlight w:val="none"/>
        </w:rPr>
      </w:pPr>
      <w:r>
        <w:rPr>
          <w:rFonts w:hint="eastAsia" w:ascii="仿宋" w:hAnsi="仿宋" w:eastAsia="仿宋" w:cs="仿宋"/>
          <w:color w:val="auto"/>
          <w:szCs w:val="22"/>
          <w:highlight w:val="none"/>
        </w:rPr>
        <w:t>以上每一项结论均为“通过”的，则投标人的投标文件通过符合性审查；如有任意一项结论为“不通过”的，则投标人的投标文件按无效投标文件处理。如果评标委员会认为供应商有任意一项不通过的，应在评审报告中载明不通过的具体原因。</w:t>
      </w:r>
    </w:p>
    <w:p>
      <w:pPr>
        <w:pStyle w:val="15"/>
        <w:numPr>
          <w:ilvl w:val="0"/>
          <w:numId w:val="11"/>
        </w:numPr>
        <w:shd w:val="clear"/>
        <w:ind w:firstLine="480" w:firstLineChars="200"/>
        <w:rPr>
          <w:rFonts w:ascii="仿宋" w:hAnsi="仿宋" w:eastAsia="仿宋" w:cs="仿宋"/>
          <w:color w:val="auto"/>
          <w:szCs w:val="22"/>
          <w:highlight w:val="none"/>
        </w:rPr>
      </w:pPr>
      <w:r>
        <w:rPr>
          <w:rFonts w:hint="eastAsia" w:ascii="仿宋" w:hAnsi="仿宋" w:eastAsia="仿宋" w:cs="仿宋"/>
          <w:color w:val="auto"/>
          <w:szCs w:val="22"/>
          <w:highlight w:val="none"/>
        </w:rPr>
        <w:t>符合采购需求、质量和服务相等前提下优先采购经济不发达地区或少数民族地区供应商提供的产品和服务（供应商提供国家行政管理部门出具的有效证明文件或自行作出承诺为经济不发达地区或少数民族地区供应商），即同等条件下经济不发达地区或少数民族地区供应商排序优先。</w:t>
      </w:r>
    </w:p>
    <w:p>
      <w:pPr>
        <w:shd w:val="clear"/>
        <w:spacing w:line="440" w:lineRule="exact"/>
        <w:ind w:left="680" w:left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（三）评标争议处理规则</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成员在评标过程中，对于符合性审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shd w:val="clear"/>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（四）供应商应当书面澄清、说明或者更正</w:t>
      </w:r>
      <w:r>
        <w:rPr>
          <w:rFonts w:hint="eastAsia" w:ascii="仿宋" w:hAnsi="仿宋" w:eastAsia="仿宋" w:cs="仿宋"/>
          <w:color w:val="auto"/>
          <w:sz w:val="24"/>
          <w:highlight w:val="none"/>
        </w:rPr>
        <w:t>（注：因本项目为不见面开标，以下涉及提供相关书面说明的，以政府采购云平台的实际操作为准。如因断电、断网、系统故障或其他不可抗力等因素，导致系统无法使用的，由投标人按评标委员会的要求进行澄清或者说明）。</w:t>
      </w:r>
    </w:p>
    <w:p>
      <w:pPr>
        <w:numPr>
          <w:ilvl w:val="0"/>
          <w:numId w:val="23"/>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numPr>
          <w:ilvl w:val="0"/>
          <w:numId w:val="23"/>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numPr>
          <w:ilvl w:val="0"/>
          <w:numId w:val="23"/>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评标委员会要求供应商澄清、说明或者更正，不得超出招标文件的范围，不得以此让供应商实质改变投标文件的内容，不得影响供应商公平竞争。本项目下列内容不得澄清：</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3.1按财政部规定应当在评标时不予承认的投标文件内容事项；</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3.2投标文件中已经明确的内容事项；</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3.3投标文件未提供的材料。</w:t>
      </w:r>
    </w:p>
    <w:p>
      <w:pPr>
        <w:numPr>
          <w:ilvl w:val="0"/>
          <w:numId w:val="23"/>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本项目采购过程中，投标文件出现下列情况的，不需要供应商澄清、说明或者更正，按照以下原则处理：</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4.1投标文件的大写金额和小写金额不一致的，以大写金额为准，但大写金额出现文字错误，导致金额无法判断的除外；</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4.2总价金额与按单价汇总金额不一致的，以单价汇总金额计算结果为准，但是单价金额出现计算错误、明显人为工作失误的除外；</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4.3单价金额小数点有明显错位的，应以总价为准，并修改单价；</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4.4对不同语言文本投标文件的解释发生异议的，以中文文本为准。</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出现本条第4.2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hd w:val="clea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注：评标委员会成员应当积极履行澄清、说明或者纠正的职责，不得将应当澄清、说明或者纠正的投标文件作无效投标处理。</w:t>
      </w:r>
    </w:p>
    <w:p>
      <w:pPr>
        <w:shd w:val="clear"/>
        <w:spacing w:line="440" w:lineRule="exact"/>
        <w:ind w:firstLine="682" w:firstLineChars="283"/>
        <w:rPr>
          <w:rFonts w:ascii="仿宋" w:hAnsi="仿宋" w:eastAsia="仿宋" w:cs="仿宋"/>
          <w:color w:val="auto"/>
          <w:sz w:val="24"/>
          <w:highlight w:val="none"/>
        </w:rPr>
      </w:pPr>
      <w:r>
        <w:rPr>
          <w:rFonts w:hint="eastAsia" w:ascii="仿宋" w:hAnsi="仿宋" w:eastAsia="仿宋" w:cs="仿宋"/>
          <w:b/>
          <w:bCs/>
          <w:color w:val="auto"/>
          <w:sz w:val="24"/>
          <w:highlight w:val="none"/>
        </w:rPr>
        <w:t>（五）低于成本价投标处理。</w:t>
      </w:r>
      <w:r>
        <w:rPr>
          <w:rFonts w:hint="eastAsia" w:ascii="仿宋" w:hAnsi="仿宋" w:eastAsia="仿宋" w:cs="仿宋"/>
          <w:color w:val="auto"/>
          <w:sz w:val="24"/>
          <w:highlight w:val="none"/>
        </w:rPr>
        <w:t>（注：因本项目为不见面开标，以下涉及提供相关书面说明的，以政府采购云平台的实际操作为准。如因断电、断网、系统故障或其他不可抗力等因素，导致系统无法使用的，由投标人按评标委员会的要求进行澄清或者说明）。在评标过程中，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hd w:val="clear"/>
        <w:spacing w:line="440" w:lineRule="exact"/>
        <w:ind w:firstLine="679" w:firstLineChars="283"/>
        <w:rPr>
          <w:rFonts w:ascii="仿宋" w:hAnsi="仿宋" w:eastAsia="仿宋" w:cs="仿宋"/>
          <w:color w:val="auto"/>
          <w:sz w:val="24"/>
          <w:highlight w:val="none"/>
        </w:rPr>
      </w:pPr>
      <w:r>
        <w:rPr>
          <w:rFonts w:hint="eastAsia" w:ascii="仿宋" w:hAnsi="仿宋" w:eastAsia="仿宋" w:cs="仿宋"/>
          <w:color w:val="auto"/>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hd w:val="clear"/>
        <w:spacing w:line="440" w:lineRule="exact"/>
        <w:ind w:firstLine="679" w:firstLineChars="283"/>
        <w:rPr>
          <w:rFonts w:ascii="仿宋" w:hAnsi="仿宋" w:eastAsia="仿宋" w:cs="仿宋"/>
          <w:color w:val="auto"/>
          <w:sz w:val="24"/>
          <w:highlight w:val="none"/>
        </w:rPr>
      </w:pPr>
      <w:r>
        <w:rPr>
          <w:rFonts w:hint="eastAsia" w:ascii="仿宋" w:hAnsi="仿宋" w:eastAsia="仿宋" w:cs="仿宋"/>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投标文件作为无效处理。</w:t>
      </w:r>
    </w:p>
    <w:p>
      <w:pPr>
        <w:pStyle w:val="4"/>
        <w:numPr>
          <w:ilvl w:val="0"/>
          <w:numId w:val="18"/>
        </w:numPr>
        <w:shd w:val="clear"/>
        <w:spacing w:before="0" w:after="0" w:line="440" w:lineRule="exact"/>
        <w:ind w:firstLine="482" w:firstLineChars="200"/>
        <w:rPr>
          <w:rFonts w:ascii="仿宋" w:hAnsi="仿宋" w:eastAsia="仿宋" w:cs="仿宋"/>
          <w:bCs w:val="0"/>
          <w:color w:val="auto"/>
          <w:sz w:val="24"/>
          <w:szCs w:val="24"/>
          <w:highlight w:val="none"/>
        </w:rPr>
      </w:pPr>
      <w:bookmarkStart w:id="970" w:name="_Toc217446103"/>
      <w:bookmarkStart w:id="971" w:name="_Toc327196342"/>
      <w:bookmarkStart w:id="972" w:name="_Toc307564897"/>
      <w:bookmarkStart w:id="973" w:name="_Toc23187"/>
      <w:bookmarkStart w:id="974" w:name="_Toc308084646"/>
      <w:bookmarkStart w:id="975" w:name="_Toc1756"/>
      <w:bookmarkStart w:id="976" w:name="_Toc307501155"/>
      <w:bookmarkStart w:id="977" w:name="_Toc31050"/>
      <w:bookmarkStart w:id="978" w:name="_Toc2106"/>
      <w:bookmarkStart w:id="979" w:name="_Toc21397"/>
      <w:bookmarkStart w:id="980" w:name="_Toc26213"/>
      <w:bookmarkStart w:id="981" w:name="_Toc30417"/>
      <w:bookmarkStart w:id="982" w:name="_Toc308188199"/>
      <w:bookmarkStart w:id="983" w:name="_Toc22389"/>
      <w:bookmarkStart w:id="984" w:name="_Toc319439947"/>
      <w:bookmarkStart w:id="985" w:name="_Toc24902"/>
      <w:bookmarkStart w:id="986" w:name="_Toc319440191"/>
      <w:bookmarkStart w:id="987" w:name="_Toc309897564"/>
      <w:bookmarkStart w:id="988" w:name="_Toc27402"/>
      <w:bookmarkStart w:id="989" w:name="_Toc25587"/>
      <w:r>
        <w:rPr>
          <w:rFonts w:hint="eastAsia" w:ascii="仿宋" w:hAnsi="仿宋" w:eastAsia="仿宋" w:cs="仿宋"/>
          <w:bCs w:val="0"/>
          <w:color w:val="auto"/>
          <w:sz w:val="24"/>
          <w:szCs w:val="24"/>
          <w:highlight w:val="none"/>
        </w:rPr>
        <w:t>评标细则及标准</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pPr>
        <w:numPr>
          <w:ilvl w:val="0"/>
          <w:numId w:val="24"/>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评委会只对通过符合性检查的投标文件，根据招标文件的要求采用相同的评标程序、评分办法及标准进行评价和比较。</w:t>
      </w:r>
    </w:p>
    <w:p>
      <w:pPr>
        <w:numPr>
          <w:ilvl w:val="0"/>
          <w:numId w:val="24"/>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本次综合评分的因素是：详见“综合评分明细表中的评分因素及权重”。</w:t>
      </w:r>
    </w:p>
    <w:p>
      <w:pPr>
        <w:numPr>
          <w:ilvl w:val="0"/>
          <w:numId w:val="24"/>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价格因素外，评标委员会成员应当根据自身专业情况独立对每个有效投标人的投标文件进行评价、打分。技术、与技术有关的服务及其他技术类评分因素由抽取的技术方面评标委员会成员独立评分。财务状况及其他经济类评分因素由抽取的经济方面评标委员会成员独立评分。政府采购政策功能、政府采购合同主要条款及其他政策合同类的评分因素由抽取的法律方面评标委员会成员独立评分。采购人代表原则上对技术、与技术有关的服务及其他技术类评分因素独立评分。价格及其他不能明确区分的评分因素由评标委员会成员共同评分。</w:t>
      </w:r>
    </w:p>
    <w:p>
      <w:pPr>
        <w:numPr>
          <w:ilvl w:val="0"/>
          <w:numId w:val="24"/>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在评标过程中，投标文件有下列情况之一，评标委员会成员应当按照招标文件规定的非实质性偏离进行扣分：</w:t>
      </w:r>
    </w:p>
    <w:p>
      <w:pPr>
        <w:numPr>
          <w:ilvl w:val="0"/>
          <w:numId w:val="25"/>
        </w:numPr>
        <w:shd w:val="clea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文字表述的内容含义不明确，或者同类问题表述不一致，或者有明显文字和计算错误，或者提供的技术信息和数据资料不完整，投标人拒绝澄清或在规定的时间内没有进行澄清、说明或补正或澄清、说明、补正的内容也不能说明问题的；</w:t>
      </w:r>
    </w:p>
    <w:p>
      <w:pPr>
        <w:numPr>
          <w:ilvl w:val="0"/>
          <w:numId w:val="25"/>
        </w:numPr>
        <w:shd w:val="clear"/>
        <w:spacing w:line="440" w:lineRule="exact"/>
        <w:rPr>
          <w:rFonts w:ascii="仿宋" w:hAnsi="仿宋" w:eastAsia="仿宋" w:cs="仿宋"/>
          <w:color w:val="auto"/>
          <w:sz w:val="24"/>
          <w:highlight w:val="none"/>
        </w:rPr>
      </w:pPr>
      <w:r>
        <w:rPr>
          <w:rFonts w:hint="eastAsia" w:ascii="仿宋" w:hAnsi="仿宋" w:eastAsia="仿宋" w:cs="仿宋"/>
          <w:color w:val="auto"/>
          <w:sz w:val="24"/>
          <w:szCs w:val="24"/>
          <w:highlight w:val="none"/>
        </w:rPr>
        <w:t>投标文件制作不规范，响应不全面，格式不规范，内容不整齐</w:t>
      </w:r>
      <w:r>
        <w:rPr>
          <w:rFonts w:hint="eastAsia" w:ascii="仿宋" w:hAnsi="仿宋" w:eastAsia="仿宋" w:cs="仿宋"/>
          <w:color w:val="auto"/>
          <w:sz w:val="24"/>
          <w:highlight w:val="none"/>
        </w:rPr>
        <w:t>；</w:t>
      </w:r>
    </w:p>
    <w:p>
      <w:pPr>
        <w:numPr>
          <w:ilvl w:val="0"/>
          <w:numId w:val="25"/>
        </w:numPr>
        <w:shd w:val="clea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认定的与招标文件规定的技术、商务和其他规定要求不符的非实质性偏离；</w:t>
      </w:r>
    </w:p>
    <w:p>
      <w:pPr>
        <w:numPr>
          <w:ilvl w:val="0"/>
          <w:numId w:val="25"/>
        </w:numPr>
        <w:shd w:val="clea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符合四川省财政厅关于《四川省政府采购评审工作规程(修订)》(川财采〔2016〕53号)第三十八条第二款符合性审查第二项情形的。</w:t>
      </w:r>
    </w:p>
    <w:p>
      <w:pPr>
        <w:numPr>
          <w:ilvl w:val="0"/>
          <w:numId w:val="24"/>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综合评分明细表</w:t>
      </w:r>
    </w:p>
    <w:p>
      <w:pPr>
        <w:pStyle w:val="16"/>
        <w:numPr>
          <w:ilvl w:val="0"/>
          <w:numId w:val="26"/>
        </w:numPr>
        <w:shd w:val="clear"/>
        <w:tabs>
          <w:tab w:val="left" w:pos="60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综合评分明细表的制定以科学合理、降低评委会自由裁量权为原则。</w:t>
      </w:r>
    </w:p>
    <w:p>
      <w:pPr>
        <w:pStyle w:val="16"/>
        <w:numPr>
          <w:ilvl w:val="0"/>
          <w:numId w:val="26"/>
        </w:numPr>
        <w:shd w:val="clear"/>
        <w:tabs>
          <w:tab w:val="left" w:pos="600"/>
        </w:tabs>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综合评分明细表：</w:t>
      </w:r>
      <w:bookmarkStart w:id="990" w:name="_Toc5464"/>
      <w:bookmarkStart w:id="991" w:name="_Toc4648"/>
      <w:bookmarkStart w:id="992" w:name="_Toc21363"/>
      <w:bookmarkStart w:id="993" w:name="_Toc21671"/>
      <w:bookmarkStart w:id="994" w:name="_Toc13513"/>
    </w:p>
    <w:tbl>
      <w:tblPr>
        <w:tblStyle w:val="38"/>
        <w:tblW w:w="8731" w:type="dxa"/>
        <w:tblInd w:w="0" w:type="dxa"/>
        <w:tblLayout w:type="autofit"/>
        <w:tblCellMar>
          <w:top w:w="0" w:type="dxa"/>
          <w:left w:w="0" w:type="dxa"/>
          <w:bottom w:w="0" w:type="dxa"/>
          <w:right w:w="0" w:type="dxa"/>
        </w:tblCellMar>
      </w:tblPr>
      <w:tblGrid>
        <w:gridCol w:w="576"/>
        <w:gridCol w:w="1104"/>
        <w:gridCol w:w="912"/>
        <w:gridCol w:w="4867"/>
        <w:gridCol w:w="1272"/>
      </w:tblGrid>
      <w:tr>
        <w:tblPrEx>
          <w:tblCellMar>
            <w:top w:w="0" w:type="dxa"/>
            <w:left w:w="0" w:type="dxa"/>
            <w:bottom w:w="0" w:type="dxa"/>
            <w:right w:w="0" w:type="dxa"/>
          </w:tblCellMar>
        </w:tblPrEx>
        <w:trPr>
          <w:trHeight w:val="66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序号</w:t>
            </w:r>
          </w:p>
        </w:tc>
        <w:tc>
          <w:tcPr>
            <w:tcW w:w="11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bidi="ar"/>
              </w:rPr>
              <w:t>评分因素</w:t>
            </w:r>
            <w:r>
              <w:rPr>
                <w:rFonts w:hint="eastAsia" w:ascii="仿宋" w:hAnsi="仿宋" w:eastAsia="仿宋" w:cs="仿宋"/>
                <w:color w:val="auto"/>
                <w:sz w:val="21"/>
                <w:szCs w:val="21"/>
                <w:highlight w:val="none"/>
                <w:lang w:eastAsia="zh-CN" w:bidi="ar"/>
              </w:rPr>
              <w:t>及分值</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权重（%）</w:t>
            </w:r>
          </w:p>
        </w:tc>
        <w:tc>
          <w:tcPr>
            <w:tcW w:w="4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评分标准</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说明</w:t>
            </w:r>
          </w:p>
        </w:tc>
      </w:tr>
      <w:tr>
        <w:tblPrEx>
          <w:tblCellMar>
            <w:top w:w="0" w:type="dxa"/>
            <w:left w:w="0" w:type="dxa"/>
            <w:bottom w:w="0" w:type="dxa"/>
            <w:right w:w="0" w:type="dxa"/>
          </w:tblCellMar>
        </w:tblPrEx>
        <w:trPr>
          <w:trHeight w:val="440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1</w:t>
            </w:r>
          </w:p>
        </w:tc>
        <w:tc>
          <w:tcPr>
            <w:tcW w:w="11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lang w:bidi="ar"/>
              </w:rPr>
            </w:pPr>
            <w:r>
              <w:rPr>
                <w:rFonts w:hint="eastAsia" w:ascii="仿宋" w:hAnsi="仿宋" w:eastAsia="仿宋" w:cs="仿宋"/>
                <w:color w:val="auto"/>
                <w:sz w:val="18"/>
                <w:szCs w:val="18"/>
                <w:highlight w:val="none"/>
                <w:lang w:bidi="ar"/>
              </w:rPr>
              <w:t>报价</w:t>
            </w:r>
          </w:p>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（12分）</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12%</w:t>
            </w:r>
          </w:p>
        </w:tc>
        <w:tc>
          <w:tcPr>
            <w:tcW w:w="4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1、外部传输链路服务费用报价评审：</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（1）投标报价=1-下浮率</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（2）以通过评审的最低报价为评审基准价。</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（3）供应商投标报价得分=评审基准价／投标报价 ×</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%×100。</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2、系统维护维修费报价评审：</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（1）投标报价=1-下浮率</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（2）以通过评审的最低报价为评审基准价。</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（3）供应商投标报价得分=评审基准价／投标报价 ×</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%×100。</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、更换或更新材料设备费报价评审：</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（1）投标报价=1-下浮率</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（2）以通过评审的最低报价为评审基准价。</w:t>
            </w:r>
          </w:p>
          <w:p>
            <w:pPr>
              <w:widowControl/>
              <w:shd w:val="clear"/>
              <w:jc w:val="left"/>
              <w:textAlignment w:val="center"/>
              <w:rPr>
                <w:color w:val="auto"/>
                <w:highlight w:val="none"/>
              </w:rPr>
            </w:pPr>
            <w:r>
              <w:rPr>
                <w:rFonts w:hint="eastAsia" w:ascii="仿宋" w:hAnsi="仿宋" w:eastAsia="仿宋" w:cs="仿宋"/>
                <w:color w:val="auto"/>
                <w:sz w:val="18"/>
                <w:szCs w:val="18"/>
                <w:highlight w:val="none"/>
              </w:rPr>
              <w:t>（3）供应商投标报价得分=评审基准价／投标报价 ×</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%×100。</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注：小微企业（监狱企业、残疾人福利性单位视同小微企业）价格扣除按照招标文件须知附表规定执行。</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共同评审因素</w:t>
            </w:r>
          </w:p>
        </w:tc>
      </w:tr>
      <w:tr>
        <w:tblPrEx>
          <w:tblCellMar>
            <w:top w:w="0" w:type="dxa"/>
            <w:left w:w="0" w:type="dxa"/>
            <w:bottom w:w="0" w:type="dxa"/>
            <w:right w:w="0" w:type="dxa"/>
          </w:tblCellMar>
        </w:tblPrEx>
        <w:trPr>
          <w:trHeight w:val="1605"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2</w:t>
            </w:r>
          </w:p>
        </w:tc>
        <w:tc>
          <w:tcPr>
            <w:tcW w:w="11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技术及其他要求（35分）</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35%</w:t>
            </w:r>
          </w:p>
        </w:tc>
        <w:tc>
          <w:tcPr>
            <w:tcW w:w="4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left"/>
              <w:textAlignment w:val="center"/>
              <w:rPr>
                <w:rFonts w:ascii="仿宋" w:hAnsi="仿宋" w:eastAsia="仿宋" w:cs="仿宋"/>
                <w:color w:val="auto"/>
                <w:sz w:val="18"/>
                <w:szCs w:val="18"/>
                <w:highlight w:val="none"/>
                <w:lang w:bidi="ar"/>
              </w:rPr>
            </w:pPr>
            <w:r>
              <w:rPr>
                <w:rFonts w:hint="eastAsia" w:ascii="仿宋" w:hAnsi="仿宋" w:eastAsia="仿宋" w:cs="仿宋"/>
                <w:color w:val="auto"/>
                <w:sz w:val="18"/>
                <w:szCs w:val="18"/>
                <w:highlight w:val="none"/>
              </w:rPr>
              <w:t>技术参数</w:t>
            </w:r>
            <w:r>
              <w:rPr>
                <w:rFonts w:hint="eastAsia" w:ascii="仿宋" w:hAnsi="仿宋" w:eastAsia="仿宋" w:cs="仿宋"/>
                <w:bCs/>
                <w:color w:val="auto"/>
                <w:sz w:val="18"/>
                <w:szCs w:val="18"/>
                <w:highlight w:val="none"/>
                <w:lang w:bidi="ar"/>
              </w:rPr>
              <w:t>完</w:t>
            </w:r>
            <w:r>
              <w:rPr>
                <w:rFonts w:hint="eastAsia" w:ascii="仿宋" w:hAnsi="仿宋" w:eastAsia="仿宋" w:cs="仿宋"/>
                <w:color w:val="auto"/>
                <w:sz w:val="18"/>
                <w:szCs w:val="18"/>
                <w:highlight w:val="none"/>
                <w:lang w:bidi="ar"/>
              </w:rPr>
              <w:t>全满足磋商文件要求没有负偏离得35分，每有一个▲项参数不能满足的扣1分，扣完为止。</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注：非“▲”项参数以应答为准，“▲”项参数按要求提供证明材料，没有提供、部分提供、错误提供或没有在证明材料中体现的视为不满足。“▲”项证明材料复印件需加盖投标人公章，否则视为未提供。</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技术评审因素</w:t>
            </w:r>
          </w:p>
        </w:tc>
      </w:tr>
      <w:tr>
        <w:tblPrEx>
          <w:tblCellMar>
            <w:top w:w="0" w:type="dxa"/>
            <w:left w:w="0" w:type="dxa"/>
            <w:bottom w:w="0" w:type="dxa"/>
            <w:right w:w="0" w:type="dxa"/>
          </w:tblCellMar>
        </w:tblPrEx>
        <w:trPr>
          <w:trHeight w:val="3436"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3</w:t>
            </w:r>
          </w:p>
        </w:tc>
        <w:tc>
          <w:tcPr>
            <w:tcW w:w="11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lang w:bidi="ar"/>
              </w:rPr>
            </w:pPr>
            <w:r>
              <w:rPr>
                <w:rFonts w:hint="eastAsia" w:ascii="仿宋" w:hAnsi="仿宋" w:eastAsia="仿宋" w:cs="仿宋"/>
                <w:color w:val="auto"/>
                <w:sz w:val="18"/>
                <w:szCs w:val="18"/>
                <w:highlight w:val="none"/>
                <w:lang w:bidi="ar"/>
              </w:rPr>
              <w:t>服务能力</w:t>
            </w:r>
          </w:p>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（8分）</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8%</w:t>
            </w:r>
          </w:p>
        </w:tc>
        <w:tc>
          <w:tcPr>
            <w:tcW w:w="4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left"/>
              <w:textAlignment w:val="center"/>
              <w:rPr>
                <w:rFonts w:ascii="仿宋" w:hAnsi="仿宋" w:eastAsia="仿宋" w:cs="仿宋"/>
                <w:color w:val="auto"/>
                <w:sz w:val="18"/>
                <w:szCs w:val="18"/>
                <w:highlight w:val="none"/>
                <w:lang w:bidi="ar"/>
              </w:rPr>
            </w:pPr>
            <w:r>
              <w:rPr>
                <w:rFonts w:hint="eastAsia" w:ascii="仿宋" w:hAnsi="仿宋" w:eastAsia="仿宋" w:cs="仿宋"/>
                <w:color w:val="auto"/>
                <w:sz w:val="18"/>
                <w:szCs w:val="18"/>
                <w:highlight w:val="none"/>
                <w:lang w:bidi="ar"/>
              </w:rPr>
              <w:t>1、拟派驻本项目的运维人员具有（网络或通信专业）中级或以上职称，每提供一个得2分，最高得4分。</w:t>
            </w:r>
          </w:p>
          <w:p>
            <w:pPr>
              <w:widowControl/>
              <w:shd w:val="clear"/>
              <w:jc w:val="left"/>
              <w:textAlignment w:val="center"/>
              <w:rPr>
                <w:rFonts w:ascii="仿宋" w:hAnsi="仿宋" w:eastAsia="仿宋" w:cs="仿宋"/>
                <w:color w:val="auto"/>
                <w:sz w:val="18"/>
                <w:szCs w:val="18"/>
                <w:highlight w:val="none"/>
                <w:lang w:bidi="ar"/>
              </w:rPr>
            </w:pPr>
            <w:r>
              <w:rPr>
                <w:rFonts w:hint="eastAsia" w:ascii="仿宋" w:hAnsi="仿宋" w:eastAsia="仿宋" w:cs="仿宋"/>
                <w:color w:val="auto"/>
                <w:sz w:val="18"/>
                <w:szCs w:val="18"/>
                <w:highlight w:val="none"/>
                <w:lang w:bidi="ar"/>
              </w:rPr>
              <w:t>注：拟派本项目人员需为本单位人员并提供劳务合同和职称证书及身份证复印件加盖投标人公章。</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2、为保障提高智能交通系统运维效果，以及保障应急情况下针对卡口监控无线网络可用性，投标人所使用的无线网络在项目发生地宏基站（不含室分）分布数量大于等于700个得4分，小于700大于等于600个得2分，小于600大于等于500个得1分，其余不得分。（投标人需提供相关证明材料。）</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共同评审因素</w:t>
            </w:r>
          </w:p>
        </w:tc>
      </w:tr>
      <w:tr>
        <w:tblPrEx>
          <w:tblCellMar>
            <w:top w:w="0" w:type="dxa"/>
            <w:left w:w="0" w:type="dxa"/>
            <w:bottom w:w="0" w:type="dxa"/>
            <w:right w:w="0"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4</w:t>
            </w:r>
          </w:p>
        </w:tc>
        <w:tc>
          <w:tcPr>
            <w:tcW w:w="11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lang w:bidi="ar"/>
              </w:rPr>
            </w:pPr>
            <w:r>
              <w:rPr>
                <w:rFonts w:hint="eastAsia" w:ascii="仿宋" w:hAnsi="仿宋" w:eastAsia="仿宋" w:cs="仿宋"/>
                <w:color w:val="auto"/>
                <w:sz w:val="18"/>
                <w:szCs w:val="18"/>
                <w:highlight w:val="none"/>
                <w:lang w:bidi="ar"/>
              </w:rPr>
              <w:t>实施方案</w:t>
            </w:r>
          </w:p>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（30分）</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30%</w:t>
            </w:r>
          </w:p>
        </w:tc>
        <w:tc>
          <w:tcPr>
            <w:tcW w:w="4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根据供应商提供的项目实施方案进行综合评审，包含：①维护管理机构、②工作职能划分、③日常管理制度、④考核办法、⑤应急响应时间、⑥运维质量保障措施，方案阐述清晰、内容完整，贴合项目实际得30分；每有一个缺项扣5分，每有一处只能部分满足或不能完全贴合项目实际的扣2.5分，本项分值扣完为止。</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技术评审因素</w:t>
            </w:r>
          </w:p>
        </w:tc>
      </w:tr>
      <w:tr>
        <w:tblPrEx>
          <w:tblCellMar>
            <w:top w:w="0" w:type="dxa"/>
            <w:left w:w="0" w:type="dxa"/>
            <w:bottom w:w="0" w:type="dxa"/>
            <w:right w:w="0" w:type="dxa"/>
          </w:tblCellMar>
        </w:tblPrEx>
        <w:trPr>
          <w:trHeight w:val="1077"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5</w:t>
            </w:r>
          </w:p>
        </w:tc>
        <w:tc>
          <w:tcPr>
            <w:tcW w:w="11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lang w:bidi="ar"/>
              </w:rPr>
            </w:pPr>
            <w:r>
              <w:rPr>
                <w:rFonts w:hint="eastAsia" w:ascii="仿宋" w:hAnsi="仿宋" w:eastAsia="仿宋" w:cs="仿宋"/>
                <w:color w:val="auto"/>
                <w:sz w:val="18"/>
                <w:szCs w:val="18"/>
                <w:highlight w:val="none"/>
                <w:lang w:bidi="ar"/>
              </w:rPr>
              <w:t>类似业绩</w:t>
            </w:r>
          </w:p>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（9分）</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9%</w:t>
            </w:r>
          </w:p>
        </w:tc>
        <w:tc>
          <w:tcPr>
            <w:tcW w:w="4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自2018年1月1日来，供应商具有类似项目业绩的，每具有一个得3分，最多得9分。（须提供合同复印件并加盖</w:t>
            </w:r>
            <w:r>
              <w:rPr>
                <w:rFonts w:hint="eastAsia" w:ascii="仿宋" w:hAnsi="仿宋" w:eastAsia="仿宋" w:cs="仿宋"/>
                <w:color w:val="auto"/>
                <w:sz w:val="18"/>
                <w:szCs w:val="18"/>
                <w:highlight w:val="none"/>
                <w:lang w:eastAsia="zh-CN" w:bidi="ar"/>
              </w:rPr>
              <w:t>投标人</w:t>
            </w:r>
            <w:r>
              <w:rPr>
                <w:rFonts w:hint="eastAsia" w:ascii="仿宋" w:hAnsi="仿宋" w:eastAsia="仿宋" w:cs="仿宋"/>
                <w:color w:val="auto"/>
                <w:sz w:val="18"/>
                <w:szCs w:val="18"/>
                <w:highlight w:val="none"/>
                <w:lang w:bidi="ar"/>
              </w:rPr>
              <w:t>公章）</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hd w:val="clea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共同评审因素</w:t>
            </w:r>
          </w:p>
        </w:tc>
      </w:tr>
      <w:tr>
        <w:tblPrEx>
          <w:tblCellMar>
            <w:top w:w="0" w:type="dxa"/>
            <w:left w:w="0" w:type="dxa"/>
            <w:bottom w:w="0" w:type="dxa"/>
            <w:right w:w="0" w:type="dxa"/>
          </w:tblCellMar>
        </w:tblPrEx>
        <w:trPr>
          <w:trHeight w:val="931"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6</w:t>
            </w:r>
          </w:p>
        </w:tc>
        <w:tc>
          <w:tcPr>
            <w:tcW w:w="11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lang w:bidi="ar"/>
              </w:rPr>
            </w:pPr>
            <w:r>
              <w:rPr>
                <w:rFonts w:hint="eastAsia" w:ascii="仿宋" w:hAnsi="仿宋" w:eastAsia="仿宋" w:cs="仿宋"/>
                <w:color w:val="auto"/>
                <w:sz w:val="18"/>
                <w:szCs w:val="18"/>
                <w:highlight w:val="none"/>
                <w:lang w:bidi="ar"/>
              </w:rPr>
              <w:t>供应商实力</w:t>
            </w:r>
          </w:p>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（6分）</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6%</w:t>
            </w:r>
          </w:p>
        </w:tc>
        <w:tc>
          <w:tcPr>
            <w:tcW w:w="4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left"/>
              <w:textAlignment w:val="center"/>
              <w:rPr>
                <w:rFonts w:ascii="仿宋" w:hAnsi="仿宋" w:eastAsia="仿宋" w:cs="仿宋"/>
                <w:color w:val="auto"/>
                <w:sz w:val="18"/>
                <w:szCs w:val="18"/>
                <w:highlight w:val="none"/>
                <w:lang w:bidi="ar"/>
              </w:rPr>
            </w:pPr>
            <w:r>
              <w:rPr>
                <w:rFonts w:hint="eastAsia" w:ascii="仿宋" w:hAnsi="仿宋" w:eastAsia="仿宋" w:cs="仿宋"/>
                <w:color w:val="auto"/>
                <w:sz w:val="18"/>
                <w:szCs w:val="18"/>
                <w:highlight w:val="none"/>
                <w:lang w:bidi="ar"/>
              </w:rPr>
              <w:t>1、供应商具有信息安全管理体系认证，得2分。（说明：提供有效的证书复印件并加盖</w:t>
            </w:r>
            <w:r>
              <w:rPr>
                <w:rFonts w:hint="eastAsia" w:ascii="仿宋" w:hAnsi="仿宋" w:eastAsia="仿宋" w:cs="仿宋"/>
                <w:color w:val="auto"/>
                <w:sz w:val="18"/>
                <w:szCs w:val="18"/>
                <w:highlight w:val="none"/>
                <w:lang w:eastAsia="zh-CN" w:bidi="ar"/>
              </w:rPr>
              <w:t>投标人</w:t>
            </w:r>
            <w:r>
              <w:rPr>
                <w:rFonts w:hint="eastAsia" w:ascii="仿宋" w:hAnsi="仿宋" w:eastAsia="仿宋" w:cs="仿宋"/>
                <w:color w:val="auto"/>
                <w:sz w:val="18"/>
                <w:szCs w:val="18"/>
                <w:highlight w:val="none"/>
                <w:lang w:bidi="ar"/>
              </w:rPr>
              <w:t>公章。）</w:t>
            </w:r>
          </w:p>
          <w:p>
            <w:pPr>
              <w:widowControl/>
              <w:shd w:val="clear"/>
              <w:jc w:val="left"/>
              <w:textAlignment w:val="center"/>
              <w:rPr>
                <w:rFonts w:ascii="仿宋" w:hAnsi="仿宋" w:eastAsia="仿宋" w:cs="仿宋"/>
                <w:color w:val="auto"/>
                <w:sz w:val="18"/>
                <w:szCs w:val="18"/>
                <w:highlight w:val="none"/>
                <w:lang w:bidi="ar"/>
              </w:rPr>
            </w:pPr>
            <w:r>
              <w:rPr>
                <w:rFonts w:hint="eastAsia" w:ascii="仿宋" w:hAnsi="仿宋" w:eastAsia="仿宋" w:cs="仿宋"/>
                <w:color w:val="auto"/>
                <w:sz w:val="18"/>
                <w:szCs w:val="18"/>
                <w:highlight w:val="none"/>
                <w:lang w:bidi="ar"/>
              </w:rPr>
              <w:t>2、供应商具有信息技术服务管理体系认证，得2分。（说明：提供有效的证书复印件并加盖</w:t>
            </w:r>
            <w:r>
              <w:rPr>
                <w:rFonts w:hint="eastAsia" w:ascii="仿宋" w:hAnsi="仿宋" w:eastAsia="仿宋" w:cs="仿宋"/>
                <w:color w:val="auto"/>
                <w:sz w:val="18"/>
                <w:szCs w:val="18"/>
                <w:highlight w:val="none"/>
                <w:lang w:eastAsia="zh-CN" w:bidi="ar"/>
              </w:rPr>
              <w:t>投标人</w:t>
            </w:r>
            <w:r>
              <w:rPr>
                <w:rFonts w:hint="eastAsia" w:ascii="仿宋" w:hAnsi="仿宋" w:eastAsia="仿宋" w:cs="仿宋"/>
                <w:color w:val="auto"/>
                <w:sz w:val="18"/>
                <w:szCs w:val="18"/>
                <w:highlight w:val="none"/>
                <w:lang w:bidi="ar"/>
              </w:rPr>
              <w:t>公章。）</w:t>
            </w:r>
          </w:p>
          <w:p>
            <w:pPr>
              <w:widowControl/>
              <w:shd w:val="clear"/>
              <w:jc w:val="left"/>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3、供应商具有质量管理体系认证的，得2分。（说明：提供有效的证书复印件并加盖</w:t>
            </w:r>
            <w:r>
              <w:rPr>
                <w:rFonts w:hint="eastAsia" w:ascii="仿宋" w:hAnsi="仿宋" w:eastAsia="仿宋" w:cs="仿宋"/>
                <w:color w:val="auto"/>
                <w:sz w:val="18"/>
                <w:szCs w:val="18"/>
                <w:highlight w:val="none"/>
                <w:lang w:eastAsia="zh-CN" w:bidi="ar"/>
              </w:rPr>
              <w:t>投标人</w:t>
            </w:r>
            <w:r>
              <w:rPr>
                <w:rFonts w:hint="eastAsia" w:ascii="仿宋" w:hAnsi="仿宋" w:eastAsia="仿宋" w:cs="仿宋"/>
                <w:color w:val="auto"/>
                <w:sz w:val="18"/>
                <w:szCs w:val="18"/>
                <w:highlight w:val="none"/>
                <w:lang w:bidi="ar"/>
              </w:rPr>
              <w:t>公章。）</w:t>
            </w:r>
          </w:p>
        </w:tc>
        <w:tc>
          <w:tcPr>
            <w:tcW w:w="12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hd w:val="clear"/>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bidi="ar"/>
              </w:rPr>
              <w:t>共同评审因素</w:t>
            </w:r>
          </w:p>
        </w:tc>
      </w:tr>
    </w:tbl>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符合采购需求、质量和服务相等前提下优先采购经济不发达地区或少数民族地区供应商提供的产品和服务（供应商提供国家行政管理部门出具的有效证明文件或自行作出承诺为经济不发达地区或少数民族地区供应商），即同等条件下经济不发达地区或少数民族地区供应商排序优先。</w:t>
      </w:r>
    </w:p>
    <w:p>
      <w:pPr>
        <w:pStyle w:val="4"/>
        <w:shd w:val="clear"/>
        <w:spacing w:before="0" w:after="0" w:line="440" w:lineRule="exact"/>
        <w:ind w:left="680" w:leftChars="200"/>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五、复核</w:t>
      </w:r>
      <w:bookmarkEnd w:id="990"/>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(一)评标委员会复核</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评分汇总结束后，评标委员会应当进行复核，特别要对拟推荐为中标候选供应商的、报价最低的、投标文件被认定为无效的进行重点复核。</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(二)招标采购单位现场复核评标结果（注：因本项目为不见面开标，以下涉及提供相关书面说明的，以政府采购云平台的实际操作为准）</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szCs w:val="20"/>
          <w:highlight w:val="none"/>
        </w:rPr>
        <w:t>分值汇总计算错误的；</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1.2分项评分超出评分标准范围的；</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1.3评标委员会成员对客观评审因素评分不一致的；</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1.4经评标委员会认定评分畸高、畸低的。</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numPr>
          <w:ilvl w:val="0"/>
          <w:numId w:val="27"/>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招标采购单位复核过程中，评标委员会不得离开评标现场。</w:t>
      </w:r>
    </w:p>
    <w:p>
      <w:pPr>
        <w:pStyle w:val="67"/>
        <w:shd w:val="clear"/>
        <w:spacing w:line="44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3.有下列情形之一的，不得修改评标结果或者重新评标：</w:t>
      </w:r>
    </w:p>
    <w:p>
      <w:pPr>
        <w:pStyle w:val="67"/>
        <w:shd w:val="clear"/>
        <w:spacing w:line="44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3.1评标委员会已经出具评标报告并且离开评标现场的；</w:t>
      </w:r>
    </w:p>
    <w:p>
      <w:pPr>
        <w:pStyle w:val="67"/>
        <w:shd w:val="clear"/>
        <w:spacing w:line="44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3.2招标采购单位现场复核时，复核工作人员数量不足的；</w:t>
      </w:r>
    </w:p>
    <w:p>
      <w:pPr>
        <w:pStyle w:val="67"/>
        <w:shd w:val="clear"/>
        <w:spacing w:line="44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3.3招标采购单位现场复核时，没有采购监督人员现场监督的；</w:t>
      </w:r>
    </w:p>
    <w:p>
      <w:pPr>
        <w:pStyle w:val="67"/>
        <w:shd w:val="clear"/>
        <w:spacing w:line="44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3.4招标采购单位现场复核内容超出规定范围的；</w:t>
      </w:r>
    </w:p>
    <w:p>
      <w:pPr>
        <w:pStyle w:val="15"/>
        <w:shd w:val="clear"/>
        <w:spacing w:after="0"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3.5招标采购单位未提供书面建议的。</w:t>
      </w:r>
    </w:p>
    <w:p>
      <w:pPr>
        <w:pStyle w:val="4"/>
        <w:shd w:val="clear"/>
        <w:spacing w:before="0" w:after="0" w:line="440" w:lineRule="exact"/>
        <w:ind w:firstLine="241" w:firstLineChars="100"/>
        <w:rPr>
          <w:rFonts w:ascii="仿宋" w:hAnsi="仿宋" w:eastAsia="仿宋" w:cs="仿宋"/>
          <w:bCs w:val="0"/>
          <w:color w:val="auto"/>
          <w:sz w:val="24"/>
          <w:szCs w:val="24"/>
          <w:highlight w:val="none"/>
        </w:rPr>
      </w:pPr>
      <w:bookmarkStart w:id="995" w:name="_Toc11052"/>
      <w:r>
        <w:rPr>
          <w:rFonts w:hint="eastAsia" w:ascii="仿宋" w:hAnsi="仿宋" w:eastAsia="仿宋" w:cs="仿宋"/>
          <w:bCs w:val="0"/>
          <w:color w:val="auto"/>
          <w:sz w:val="24"/>
          <w:szCs w:val="24"/>
          <w:highlight w:val="none"/>
        </w:rPr>
        <w:t>六、推荐中标候选供应商</w:t>
      </w:r>
      <w:bookmarkEnd w:id="995"/>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候选供应商数量应当根据招标文件的规定确定，但必须按顺序排列中标候选供应商。采用最低评标价法的，评标结果按投标报价由低到高顺序排列。投标报价相同的并列。投标文件满足招标文件全部实质性要求且投标报价最低的投标人为排名第一的中标候选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pStyle w:val="4"/>
        <w:shd w:val="clear"/>
        <w:spacing w:before="0" w:after="0" w:line="440" w:lineRule="exact"/>
        <w:ind w:firstLine="241" w:firstLineChars="100"/>
        <w:rPr>
          <w:rFonts w:ascii="仿宋" w:hAnsi="仿宋" w:eastAsia="仿宋" w:cs="仿宋"/>
          <w:bCs w:val="0"/>
          <w:color w:val="auto"/>
          <w:sz w:val="24"/>
          <w:szCs w:val="24"/>
          <w:highlight w:val="none"/>
        </w:rPr>
      </w:pPr>
      <w:bookmarkStart w:id="996" w:name="_Toc5799"/>
      <w:r>
        <w:rPr>
          <w:rFonts w:hint="eastAsia" w:ascii="仿宋" w:hAnsi="仿宋" w:eastAsia="仿宋" w:cs="仿宋"/>
          <w:bCs w:val="0"/>
          <w:color w:val="auto"/>
          <w:sz w:val="24"/>
          <w:szCs w:val="24"/>
          <w:highlight w:val="none"/>
        </w:rPr>
        <w:t>七、出具评标报告</w:t>
      </w:r>
      <w:bookmarkEnd w:id="996"/>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评标委员会推荐中标候选供应商后，应当向招标采购单位出具评标报告。评标报告应当包括下列内容：</w:t>
      </w:r>
    </w:p>
    <w:p>
      <w:pPr>
        <w:pStyle w:val="34"/>
        <w:shd w:val="clear"/>
        <w:wordWrap w:val="0"/>
        <w:spacing w:before="0" w:beforeAutospacing="0" w:after="0" w:afterAutospacing="0" w:line="440" w:lineRule="exact"/>
        <w:ind w:firstLine="496" w:firstLineChars="20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1.招标公告刊登的媒体名称、开标日期和地点；</w:t>
      </w:r>
    </w:p>
    <w:p>
      <w:pPr>
        <w:pStyle w:val="34"/>
        <w:shd w:val="clear"/>
        <w:wordWrap w:val="0"/>
        <w:spacing w:before="0" w:beforeAutospacing="0" w:after="0" w:afterAutospacing="0" w:line="440" w:lineRule="exact"/>
        <w:ind w:firstLine="496" w:firstLineChars="20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2.投标人名单和评标委员会成员名单；</w:t>
      </w:r>
    </w:p>
    <w:p>
      <w:pPr>
        <w:pStyle w:val="34"/>
        <w:shd w:val="clear"/>
        <w:wordWrap w:val="0"/>
        <w:spacing w:before="0" w:beforeAutospacing="0" w:after="0" w:afterAutospacing="0" w:line="440" w:lineRule="exact"/>
        <w:ind w:firstLine="496" w:firstLineChars="20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3.评标方法和标准；</w:t>
      </w:r>
    </w:p>
    <w:p>
      <w:pPr>
        <w:pStyle w:val="34"/>
        <w:shd w:val="clear"/>
        <w:wordWrap w:val="0"/>
        <w:spacing w:before="0" w:beforeAutospacing="0" w:after="0" w:afterAutospacing="0" w:line="440" w:lineRule="exact"/>
        <w:ind w:firstLine="496" w:firstLineChars="20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4.开标记录和评标情况及说明，包括无效投标人名单及原因；</w:t>
      </w:r>
    </w:p>
    <w:p>
      <w:pPr>
        <w:pStyle w:val="34"/>
        <w:shd w:val="clear"/>
        <w:wordWrap w:val="0"/>
        <w:spacing w:before="0" w:beforeAutospacing="0" w:after="0" w:afterAutospacing="0" w:line="440" w:lineRule="exact"/>
        <w:ind w:firstLine="496" w:firstLineChars="20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5.评标结果，确定的中标候选人名单或者经采购人委托直接确定的中标人；</w:t>
      </w:r>
    </w:p>
    <w:p>
      <w:pPr>
        <w:shd w:val="clear"/>
        <w:spacing w:line="440" w:lineRule="exact"/>
        <w:ind w:firstLine="496" w:firstLineChars="20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6.其他需要说明的情况，包括评标过程中投标人根据评标委员会要求进行的澄清、说明或者补正，评标委员会成员的更换等。</w:t>
      </w:r>
    </w:p>
    <w:p>
      <w:pPr>
        <w:keepNext/>
        <w:keepLines/>
        <w:shd w:val="clear"/>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highlight w:val="none"/>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同同意评标结果。</w:t>
      </w:r>
    </w:p>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91"/>
    <w:bookmarkEnd w:id="992"/>
    <w:bookmarkEnd w:id="993"/>
    <w:bookmarkEnd w:id="994"/>
    <w:p>
      <w:pPr>
        <w:pStyle w:val="4"/>
        <w:shd w:val="clear"/>
        <w:spacing w:before="0" w:after="0" w:line="440" w:lineRule="exact"/>
        <w:ind w:firstLine="241" w:firstLineChars="100"/>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八、废标</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本次政府采购活动中，出现下列情形之一的，予以废标：</w:t>
      </w:r>
    </w:p>
    <w:p>
      <w:pPr>
        <w:numPr>
          <w:ilvl w:val="0"/>
          <w:numId w:val="28"/>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符合专业条件的供应商或者对招标文件作实质响应的供应商不足三家的；</w:t>
      </w:r>
    </w:p>
    <w:p>
      <w:pPr>
        <w:numPr>
          <w:ilvl w:val="0"/>
          <w:numId w:val="28"/>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出现影响采购公正的违法、违规行为的；</w:t>
      </w:r>
    </w:p>
    <w:p>
      <w:pPr>
        <w:numPr>
          <w:ilvl w:val="0"/>
          <w:numId w:val="28"/>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投标人的报价均超过了采购预算，采购人不能支付的；</w:t>
      </w:r>
    </w:p>
    <w:p>
      <w:pPr>
        <w:numPr>
          <w:ilvl w:val="0"/>
          <w:numId w:val="28"/>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因重大变故，采购任务取消的。</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废标后，采购代理机构应在四川政府采购网上公告，并公告废标的理由。</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5.对于废标的采购项目，评标委员会应当对招标文件是否存在倾向性和歧视性、是否存在不合理条款进行论证，并出具书面论证意见。</w:t>
      </w:r>
    </w:p>
    <w:p>
      <w:pPr>
        <w:pStyle w:val="4"/>
        <w:shd w:val="clear"/>
        <w:spacing w:before="0" w:after="0" w:line="440" w:lineRule="exact"/>
        <w:ind w:firstLine="241" w:firstLineChars="100"/>
        <w:rPr>
          <w:rFonts w:ascii="仿宋" w:hAnsi="仿宋" w:eastAsia="仿宋" w:cs="仿宋"/>
          <w:bCs w:val="0"/>
          <w:color w:val="auto"/>
          <w:sz w:val="24"/>
          <w:szCs w:val="24"/>
          <w:highlight w:val="none"/>
        </w:rPr>
      </w:pPr>
      <w:bookmarkStart w:id="997" w:name="_Toc10846"/>
      <w:bookmarkStart w:id="998" w:name="_Toc319440193"/>
      <w:bookmarkStart w:id="999" w:name="_Toc327196344"/>
      <w:bookmarkStart w:id="1000" w:name="_Toc307564900"/>
      <w:bookmarkStart w:id="1001" w:name="_Toc7121"/>
      <w:bookmarkStart w:id="1002" w:name="_Toc308188202"/>
      <w:bookmarkStart w:id="1003" w:name="_Toc31281"/>
      <w:bookmarkStart w:id="1004" w:name="_Toc2453"/>
      <w:bookmarkStart w:id="1005" w:name="_Toc24655"/>
      <w:bookmarkStart w:id="1006" w:name="_Toc13169"/>
      <w:bookmarkStart w:id="1007" w:name="_Toc308084649"/>
      <w:bookmarkStart w:id="1008" w:name="_Toc21352"/>
      <w:bookmarkStart w:id="1009" w:name="_Toc25875"/>
      <w:bookmarkStart w:id="1010" w:name="_Toc4475"/>
      <w:bookmarkStart w:id="1011" w:name="_Toc309897567"/>
      <w:bookmarkStart w:id="1012" w:name="_Toc307501158"/>
      <w:bookmarkStart w:id="1013" w:name="_Toc4794"/>
      <w:bookmarkStart w:id="1014" w:name="_Toc319439949"/>
      <w:bookmarkStart w:id="1015" w:name="_Toc1137"/>
      <w:r>
        <w:rPr>
          <w:rFonts w:hint="eastAsia" w:ascii="仿宋" w:hAnsi="仿宋" w:eastAsia="仿宋" w:cs="仿宋"/>
          <w:bCs w:val="0"/>
          <w:color w:val="auto"/>
          <w:sz w:val="24"/>
          <w:szCs w:val="24"/>
          <w:highlight w:val="none"/>
        </w:rPr>
        <w:t>九、定标</w:t>
      </w:r>
      <w:bookmarkEnd w:id="908"/>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Start w:id="1016" w:name="_Toc217446061"/>
    </w:p>
    <w:p>
      <w:pPr>
        <w:numPr>
          <w:ilvl w:val="0"/>
          <w:numId w:val="29"/>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定标原则</w:t>
      </w:r>
      <w:bookmarkEnd w:id="1016"/>
      <w:r>
        <w:rPr>
          <w:rFonts w:hint="eastAsia" w:ascii="仿宋" w:hAnsi="仿宋" w:eastAsia="仿宋" w:cs="仿宋"/>
          <w:color w:val="auto"/>
          <w:sz w:val="24"/>
          <w:highlight w:val="none"/>
        </w:rPr>
        <w:t>：本项目根据评委会推荐的中标候选人名单，按顺序确定中标人。</w:t>
      </w:r>
    </w:p>
    <w:p>
      <w:pPr>
        <w:numPr>
          <w:ilvl w:val="0"/>
          <w:numId w:val="29"/>
        </w:numPr>
        <w:shd w:val="clear"/>
        <w:spacing w:line="440" w:lineRule="exact"/>
        <w:ind w:firstLine="480" w:firstLineChars="200"/>
        <w:rPr>
          <w:rFonts w:ascii="仿宋" w:hAnsi="仿宋" w:eastAsia="仿宋" w:cs="仿宋"/>
          <w:color w:val="auto"/>
          <w:sz w:val="24"/>
          <w:highlight w:val="none"/>
        </w:rPr>
      </w:pPr>
      <w:bookmarkStart w:id="1017" w:name="_Toc217446062"/>
      <w:r>
        <w:rPr>
          <w:rFonts w:hint="eastAsia" w:ascii="仿宋" w:hAnsi="仿宋" w:eastAsia="仿宋" w:cs="仿宋"/>
          <w:color w:val="auto"/>
          <w:sz w:val="24"/>
          <w:highlight w:val="none"/>
        </w:rPr>
        <w:t>定标程序</w:t>
      </w:r>
      <w:bookmarkEnd w:id="1017"/>
    </w:p>
    <w:p>
      <w:pPr>
        <w:numPr>
          <w:ilvl w:val="0"/>
          <w:numId w:val="30"/>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评委会将评标情况写出书面报告，推荐三名中标候选人，并按照综合得分高低标明排列顺序。</w:t>
      </w:r>
    </w:p>
    <w:p>
      <w:pPr>
        <w:numPr>
          <w:ilvl w:val="0"/>
          <w:numId w:val="30"/>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采购代理机构在评标结束后2个工作日内将评标报告送采购人。</w:t>
      </w:r>
    </w:p>
    <w:p>
      <w:pPr>
        <w:numPr>
          <w:ilvl w:val="0"/>
          <w:numId w:val="30"/>
        </w:numPr>
        <w:shd w:val="clear"/>
        <w:spacing w:line="44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仿宋" w:hAnsi="仿宋" w:eastAsia="仿宋" w:cs="仿宋"/>
          <w:color w:val="auto"/>
          <w:sz w:val="24"/>
          <w:highlight w:val="none"/>
        </w:rPr>
        <w:t>。</w:t>
      </w:r>
    </w:p>
    <w:p>
      <w:pPr>
        <w:shd w:val="clear"/>
        <w:spacing w:line="440" w:lineRule="exact"/>
        <w:ind w:firstLine="499" w:firstLineChars="208"/>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采购人在收到评标报告5个工作日内未按评标报告推荐的中标候选人顺序确定中标人，又不能说明合法理由的，视同按评标报告推荐的顺序确定排名第一的中标候选人为中标人。</w:t>
      </w:r>
    </w:p>
    <w:p>
      <w:pPr>
        <w:numPr>
          <w:ilvl w:val="0"/>
          <w:numId w:val="30"/>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注：采购人按照推荐的中标候选供应商顺序确定中标供应商，不能认为采购人只能确定第一中标候选供应商为中标供应商，采购人有正当理由的，可以确定后一顺序中标候选供应商为中标供应商，依次类推。</w:t>
      </w:r>
    </w:p>
    <w:p>
      <w:pPr>
        <w:numPr>
          <w:ilvl w:val="0"/>
          <w:numId w:val="30"/>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根据采购人确定的中标供应商，采购代理机构在四川政府采购网上发布中标公告，并自采购人确定中标之日起2个工作日内向中标供应商发出中标通知书。</w:t>
      </w:r>
    </w:p>
    <w:p>
      <w:pPr>
        <w:numPr>
          <w:ilvl w:val="0"/>
          <w:numId w:val="30"/>
        </w:num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招标采购单位不退回投标人投标文件和其他投标资料。</w:t>
      </w:r>
    </w:p>
    <w:bookmarkEnd w:id="909"/>
    <w:p>
      <w:pPr>
        <w:pStyle w:val="4"/>
        <w:shd w:val="clear"/>
        <w:spacing w:before="0" w:after="0" w:line="440" w:lineRule="exact"/>
        <w:ind w:firstLine="241" w:firstLineChars="100"/>
        <w:rPr>
          <w:rFonts w:ascii="仿宋" w:hAnsi="仿宋" w:eastAsia="仿宋" w:cs="仿宋"/>
          <w:bCs w:val="0"/>
          <w:color w:val="auto"/>
          <w:sz w:val="24"/>
          <w:szCs w:val="24"/>
          <w:highlight w:val="none"/>
        </w:rPr>
      </w:pPr>
      <w:bookmarkStart w:id="1018" w:name="_Toc307564901"/>
      <w:bookmarkStart w:id="1019" w:name="_Toc32114"/>
      <w:bookmarkStart w:id="1020" w:name="_Toc309897568"/>
      <w:bookmarkStart w:id="1021" w:name="_Toc308188203"/>
      <w:bookmarkStart w:id="1022" w:name="_Toc327196345"/>
      <w:bookmarkStart w:id="1023" w:name="_Toc25084"/>
      <w:bookmarkStart w:id="1024" w:name="_Toc319439950"/>
      <w:bookmarkStart w:id="1025" w:name="_Toc25198"/>
      <w:bookmarkStart w:id="1026" w:name="_Toc308084650"/>
      <w:bookmarkStart w:id="1027" w:name="_Toc8099"/>
      <w:bookmarkStart w:id="1028" w:name="_Toc15982"/>
      <w:bookmarkStart w:id="1029" w:name="_Toc27423"/>
      <w:bookmarkStart w:id="1030" w:name="_Toc16879"/>
      <w:bookmarkStart w:id="1031" w:name="_Toc307501159"/>
      <w:bookmarkStart w:id="1032" w:name="_Toc10903"/>
      <w:bookmarkStart w:id="1033" w:name="_Toc18632"/>
      <w:bookmarkStart w:id="1034" w:name="_Toc319440194"/>
      <w:bookmarkStart w:id="1035" w:name="_Toc27662"/>
      <w:bookmarkStart w:id="1036" w:name="_Toc14102"/>
      <w:r>
        <w:rPr>
          <w:rFonts w:hint="eastAsia" w:ascii="仿宋" w:hAnsi="仿宋" w:eastAsia="仿宋" w:cs="仿宋"/>
          <w:bCs w:val="0"/>
          <w:color w:val="auto"/>
          <w:sz w:val="24"/>
          <w:szCs w:val="24"/>
          <w:highlight w:val="none"/>
        </w:rPr>
        <w:t>十、评标专家在政府采购活动中承担以下义务</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pPr>
        <w:widowControl/>
        <w:shd w:val="clear"/>
        <w:autoSpaceDE w:val="0"/>
        <w:autoSpaceDN w:val="0"/>
        <w:spacing w:line="440" w:lineRule="exact"/>
        <w:ind w:right="53"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(一)遵守评标工作纪律；</w:t>
      </w:r>
    </w:p>
    <w:p>
      <w:pPr>
        <w:widowControl/>
        <w:shd w:val="clear"/>
        <w:autoSpaceDE w:val="0"/>
        <w:autoSpaceDN w:val="0"/>
        <w:spacing w:line="440" w:lineRule="exact"/>
        <w:ind w:right="53"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(二)按照客观、公正、审慎的原则，根据招标文件规定的评标程序、评标方法和评标标准进行独立评标；</w:t>
      </w:r>
    </w:p>
    <w:p>
      <w:pPr>
        <w:widowControl/>
        <w:shd w:val="clear"/>
        <w:autoSpaceDE w:val="0"/>
        <w:autoSpaceDN w:val="0"/>
        <w:spacing w:line="440" w:lineRule="exact"/>
        <w:ind w:right="53"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(三)不得泄露评标文件、评标情况和在评标过程中获悉的商业秘密；</w:t>
      </w:r>
    </w:p>
    <w:p>
      <w:pPr>
        <w:widowControl/>
        <w:shd w:val="clear"/>
        <w:autoSpaceDE w:val="0"/>
        <w:autoSpaceDN w:val="0"/>
        <w:spacing w:line="440" w:lineRule="exact"/>
        <w:ind w:right="53"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(四)及时向财政部门报告评标过程中发现的采购人、采购代理机构向评标专家做倾向性、误导性的解释或者说明，以及供应商行贿、提供虚假材料或者串通等违法行为；</w:t>
      </w:r>
    </w:p>
    <w:p>
      <w:pPr>
        <w:widowControl/>
        <w:shd w:val="clear"/>
        <w:autoSpaceDE w:val="0"/>
        <w:autoSpaceDN w:val="0"/>
        <w:spacing w:line="440" w:lineRule="exact"/>
        <w:ind w:right="53"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(五)发现招标文件内容违反国家有关强制性规定或者采购文件存在歧义、重大缺陷导致评标工作无法进行时，停止评标并向采购人或者采购代理机构书面说明情况；</w:t>
      </w:r>
    </w:p>
    <w:p>
      <w:pPr>
        <w:widowControl/>
        <w:shd w:val="clear"/>
        <w:autoSpaceDE w:val="0"/>
        <w:autoSpaceDN w:val="0"/>
        <w:spacing w:line="440" w:lineRule="exact"/>
        <w:ind w:right="53"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(六)及时向财政、监察等部门举报在评标过程中受到的非法干预情况；</w:t>
      </w:r>
    </w:p>
    <w:p>
      <w:pPr>
        <w:widowControl/>
        <w:shd w:val="clear"/>
        <w:autoSpaceDE w:val="0"/>
        <w:autoSpaceDN w:val="0"/>
        <w:spacing w:line="440" w:lineRule="exact"/>
        <w:ind w:right="53"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(七)配合答复处理供应商的询问、质疑和投诉等事项；</w:t>
      </w:r>
    </w:p>
    <w:p>
      <w:pPr>
        <w:widowControl/>
        <w:shd w:val="clear"/>
        <w:autoSpaceDE w:val="0"/>
        <w:autoSpaceDN w:val="0"/>
        <w:spacing w:line="440" w:lineRule="exact"/>
        <w:ind w:right="53"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(八)法律、法规和规章规定的其他义务。</w:t>
      </w:r>
    </w:p>
    <w:p>
      <w:pPr>
        <w:pStyle w:val="4"/>
        <w:shd w:val="clear"/>
        <w:spacing w:before="0" w:after="0" w:line="440" w:lineRule="exact"/>
        <w:ind w:firstLine="241" w:firstLineChars="100"/>
        <w:rPr>
          <w:rFonts w:ascii="仿宋" w:hAnsi="仿宋" w:eastAsia="仿宋" w:cs="仿宋"/>
          <w:bCs w:val="0"/>
          <w:color w:val="auto"/>
          <w:sz w:val="24"/>
          <w:szCs w:val="24"/>
          <w:highlight w:val="none"/>
        </w:rPr>
      </w:pPr>
      <w:bookmarkStart w:id="1037" w:name="_Toc19071"/>
      <w:bookmarkStart w:id="1038" w:name="_Toc3688"/>
      <w:bookmarkStart w:id="1039" w:name="_Toc24913"/>
      <w:bookmarkStart w:id="1040" w:name="_Toc1690"/>
      <w:bookmarkStart w:id="1041" w:name="_Toc12088"/>
      <w:bookmarkStart w:id="1042" w:name="_Toc28428"/>
      <w:bookmarkStart w:id="1043" w:name="_Toc4379"/>
      <w:bookmarkStart w:id="1044" w:name="_Toc3421"/>
      <w:bookmarkStart w:id="1045" w:name="_Toc319440195"/>
      <w:bookmarkStart w:id="1046" w:name="_Toc327196346"/>
      <w:bookmarkStart w:id="1047" w:name="_Toc27047"/>
      <w:bookmarkStart w:id="1048" w:name="_Toc30872"/>
      <w:bookmarkStart w:id="1049" w:name="_Toc22368"/>
      <w:r>
        <w:rPr>
          <w:rFonts w:hint="eastAsia" w:ascii="仿宋" w:hAnsi="仿宋" w:eastAsia="仿宋" w:cs="仿宋"/>
          <w:bCs w:val="0"/>
          <w:color w:val="auto"/>
          <w:sz w:val="24"/>
          <w:szCs w:val="24"/>
          <w:highlight w:val="none"/>
        </w:rPr>
        <w:t>十一、评标专家在政府采购活动中应当遵守以下工作纪律</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shd w:val="clear"/>
        <w:spacing w:line="440" w:lineRule="exact"/>
        <w:ind w:firstLine="480" w:firstLineChars="200"/>
        <w:rPr>
          <w:rFonts w:ascii="仿宋" w:hAnsi="仿宋" w:eastAsia="仿宋" w:cs="仿宋"/>
          <w:color w:val="auto"/>
          <w:sz w:val="24"/>
          <w:highlight w:val="none"/>
        </w:rPr>
      </w:pPr>
      <w:bookmarkStart w:id="1050" w:name="_Toc28956"/>
      <w:r>
        <w:rPr>
          <w:rFonts w:hint="eastAsia" w:ascii="仿宋" w:hAnsi="仿宋" w:eastAsia="仿宋" w:cs="仿宋"/>
          <w:color w:val="auto"/>
          <w:sz w:val="24"/>
          <w:highlight w:val="none"/>
        </w:rPr>
        <w:t>(一)遵行《政府采购法》第十二条和《政府采购法实施条例》第九条及财政部关于回避的规定；</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(二)评标前，应当将通讯工具或者相关电子设备交由招标采购单位统一保管；</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(三)评标过程中，不得与外界联系，因发生不可预见情况，确实需要与外界联系的，应当在监督人员监督之下办理；</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(五)在评标过程中和评标结束后，不得记录、复制或带走任何评标资料，除因规定的义务外，不得向外界透露评标内容；</w:t>
      </w:r>
    </w:p>
    <w:p>
      <w:pPr>
        <w:widowControl/>
        <w:shd w:val="clear"/>
        <w:autoSpaceDE w:val="0"/>
        <w:autoSpaceDN w:val="0"/>
        <w:spacing w:line="440" w:lineRule="exact"/>
        <w:ind w:right="51"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(六)服从评标现场招标采购单位的现场秩序管理，接受评标现场监督人员的合法监督；</w:t>
      </w:r>
    </w:p>
    <w:p>
      <w:pPr>
        <w:widowControl/>
        <w:shd w:val="clear"/>
        <w:autoSpaceDE w:val="0"/>
        <w:autoSpaceDN w:val="0"/>
        <w:spacing w:line="440" w:lineRule="exact"/>
        <w:ind w:right="51"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(七)遵守有关廉洁自律规定，不得私下接触供应商，不得收受供应商及有关业务单位和个人的财物或好处，不得接受招标采购单位的请托。</w:t>
      </w:r>
    </w:p>
    <w:p>
      <w:pPr>
        <w:widowControl/>
        <w:shd w:val="clear"/>
        <w:autoSpaceDE w:val="0"/>
        <w:autoSpaceDN w:val="0"/>
        <w:spacing w:line="440" w:lineRule="exact"/>
        <w:ind w:right="51"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(八)有关部门(机构)制定的其他评审工作纪律。</w:t>
      </w:r>
    </w:p>
    <w:p>
      <w:pPr>
        <w:pStyle w:val="4"/>
        <w:shd w:val="clear"/>
        <w:spacing w:before="0" w:after="0" w:line="440" w:lineRule="exact"/>
        <w:ind w:firstLine="241" w:firstLineChars="100"/>
        <w:rPr>
          <w:rFonts w:ascii="仿宋" w:hAnsi="仿宋" w:eastAsia="仿宋" w:cs="仿宋"/>
          <w:bCs w:val="0"/>
          <w:color w:val="auto"/>
          <w:sz w:val="24"/>
          <w:szCs w:val="24"/>
          <w:highlight w:val="none"/>
        </w:rPr>
      </w:pPr>
      <w:bookmarkStart w:id="1051" w:name="_Toc8256"/>
      <w:bookmarkStart w:id="1052" w:name="_Toc26220"/>
      <w:bookmarkStart w:id="1053" w:name="_Toc18690"/>
      <w:r>
        <w:rPr>
          <w:rFonts w:hint="eastAsia" w:ascii="仿宋" w:hAnsi="仿宋" w:eastAsia="仿宋" w:cs="仿宋"/>
          <w:bCs w:val="0"/>
          <w:color w:val="auto"/>
          <w:sz w:val="24"/>
          <w:szCs w:val="24"/>
          <w:highlight w:val="none"/>
        </w:rPr>
        <w:t>十二、评标委员会及其成员不得有下列行为：</w:t>
      </w:r>
      <w:bookmarkEnd w:id="1051"/>
      <w:bookmarkEnd w:id="1052"/>
      <w:bookmarkEnd w:id="1053"/>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(一)确定参与评标至评标结束前私自接触投标人；</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(二)接受投标人提出的与投标文件不一致的澄清或者说明，</w:t>
      </w:r>
      <w:r>
        <w:rPr>
          <w:rFonts w:hint="eastAsia" w:ascii="仿宋" w:hAnsi="仿宋" w:eastAsia="仿宋" w:cs="仿宋"/>
          <w:color w:val="auto"/>
          <w:sz w:val="24"/>
          <w:szCs w:val="24"/>
          <w:highlight w:val="none"/>
        </w:rPr>
        <w:t>《政府采购货物和服务招标投标管理办法》(财政部令第87号)</w:t>
      </w:r>
      <w:r>
        <w:rPr>
          <w:rFonts w:hint="eastAsia" w:ascii="仿宋" w:hAnsi="仿宋" w:eastAsia="仿宋" w:cs="仿宋"/>
          <w:color w:val="auto"/>
          <w:sz w:val="24"/>
          <w:szCs w:val="20"/>
          <w:highlight w:val="none"/>
        </w:rPr>
        <w:t>第五十一条规定的情形除外；</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(三)违反评标纪律发表倾向性意见或者征询采购人的倾向性意见；</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(四)对需要专业判断的主观评审因素协商评分；</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(五)在评标过程中擅离职守，影响评标程序正常进行的；</w:t>
      </w:r>
    </w:p>
    <w:p>
      <w:pPr>
        <w:shd w:val="clea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(六)记录、复制或者带走任何评标资料；</w:t>
      </w:r>
    </w:p>
    <w:p>
      <w:pPr>
        <w:shd w:val="clear"/>
        <w:spacing w:line="44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(七)其他不遵守评标纪律的行为。</w:t>
      </w:r>
    </w:p>
    <w:p>
      <w:pPr>
        <w:shd w:val="clear"/>
        <w:spacing w:line="440" w:lineRule="exact"/>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0"/>
          <w:highlight w:val="none"/>
        </w:rPr>
        <w:t>评标委员会成员有前款第一至五项行为之一的，其评审意见无效，并不得获取评审劳务报酬和</w:t>
      </w:r>
      <w:r>
        <w:rPr>
          <w:rFonts w:hint="eastAsia" w:ascii="仿宋" w:hAnsi="仿宋" w:eastAsia="仿宋" w:cs="仿宋"/>
          <w:color w:val="auto"/>
          <w:sz w:val="24"/>
          <w:szCs w:val="24"/>
          <w:highlight w:val="none"/>
        </w:rPr>
        <w:t>报销异地评审差旅费。</w:t>
      </w:r>
    </w:p>
    <w:p>
      <w:pPr>
        <w:pStyle w:val="3"/>
        <w:shd w:val="clear"/>
        <w:spacing w:before="260" w:after="260" w:line="360" w:lineRule="auto"/>
        <w:jc w:val="center"/>
        <w:rPr>
          <w:rFonts w:ascii="仿宋" w:hAnsi="仿宋" w:eastAsia="仿宋" w:cs="仿宋"/>
          <w:color w:val="auto"/>
          <w:sz w:val="36"/>
          <w:highlight w:val="none"/>
        </w:rPr>
      </w:pPr>
      <w:r>
        <w:rPr>
          <w:rFonts w:hint="eastAsia" w:ascii="仿宋" w:hAnsi="仿宋" w:eastAsia="仿宋" w:cs="仿宋"/>
          <w:bCs w:val="0"/>
          <w:color w:val="auto"/>
          <w:sz w:val="36"/>
          <w:highlight w:val="none"/>
        </w:rPr>
        <w:br w:type="page"/>
      </w:r>
      <w:bookmarkEnd w:id="1050"/>
      <w:bookmarkStart w:id="1054" w:name="_Toc19504"/>
      <w:bookmarkStart w:id="1055" w:name="_Toc13264"/>
      <w:bookmarkStart w:id="1056" w:name="_Toc32602"/>
      <w:bookmarkStart w:id="1057" w:name="_Toc23863"/>
      <w:bookmarkStart w:id="1058" w:name="_Toc18908"/>
      <w:r>
        <w:rPr>
          <w:rFonts w:hint="eastAsia" w:ascii="仿宋" w:hAnsi="仿宋" w:eastAsia="仿宋" w:cs="仿宋"/>
          <w:bCs w:val="0"/>
          <w:color w:val="auto"/>
          <w:sz w:val="36"/>
          <w:highlight w:val="none"/>
        </w:rPr>
        <w:t>第八章</w:t>
      </w:r>
      <w:bookmarkStart w:id="1059" w:name="_Toc327196348"/>
      <w:bookmarkEnd w:id="1059"/>
      <w:bookmarkStart w:id="1060" w:name="_Toc306956852"/>
      <w:bookmarkEnd w:id="1060"/>
      <w:bookmarkStart w:id="1061" w:name="_Toc307564903"/>
      <w:bookmarkEnd w:id="1061"/>
      <w:r>
        <w:rPr>
          <w:rFonts w:hint="eastAsia" w:ascii="仿宋" w:hAnsi="仿宋" w:eastAsia="仿宋" w:cs="仿宋"/>
          <w:bCs w:val="0"/>
          <w:color w:val="auto"/>
          <w:sz w:val="36"/>
          <w:highlight w:val="none"/>
        </w:rPr>
        <w:t xml:space="preserve"> </w:t>
      </w:r>
      <w:r>
        <w:rPr>
          <w:rFonts w:hint="eastAsia" w:ascii="仿宋" w:hAnsi="仿宋" w:eastAsia="仿宋" w:cs="仿宋"/>
          <w:color w:val="auto"/>
          <w:sz w:val="36"/>
          <w:highlight w:val="none"/>
        </w:rPr>
        <w:t>政府采购合同</w:t>
      </w:r>
      <w:bookmarkEnd w:id="1054"/>
      <w:bookmarkEnd w:id="1055"/>
      <w:bookmarkEnd w:id="1056"/>
      <w:bookmarkEnd w:id="1057"/>
      <w:bookmarkEnd w:id="1058"/>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合同编号：</w:t>
      </w: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签订地点：</w:t>
      </w: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签订时间：    年  月  日。</w:t>
      </w: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采购人（甲方）：</w:t>
      </w: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供应商（乙方）：</w:t>
      </w:r>
    </w:p>
    <w:p>
      <w:pPr>
        <w:shd w:val="clear"/>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根据《中华人民共和国政府采购法》、《中华人民共和国民法典》及</w:t>
      </w:r>
      <w:r>
        <w:rPr>
          <w:rFonts w:hint="eastAsia" w:ascii="仿宋" w:hAnsi="仿宋" w:eastAsia="仿宋" w:cs="仿宋"/>
          <w:color w:val="auto"/>
          <w:sz w:val="24"/>
          <w:highlight w:val="none"/>
          <w:u w:val="single"/>
          <w:lang w:val="zh-CN"/>
        </w:rPr>
        <w:t>项目名称</w:t>
      </w:r>
      <w:r>
        <w:rPr>
          <w:rFonts w:hint="eastAsia" w:ascii="仿宋" w:hAnsi="仿宋" w:eastAsia="仿宋" w:cs="仿宋"/>
          <w:color w:val="auto"/>
          <w:sz w:val="24"/>
          <w:highlight w:val="none"/>
        </w:rPr>
        <w:t>（项目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bookmarkStart w:id="1062" w:name="_Toc307565067"/>
      <w:bookmarkStart w:id="1063" w:name="_Toc309113764"/>
      <w:bookmarkStart w:id="1064" w:name="_Toc307823123"/>
      <w:bookmarkStart w:id="1065" w:name="_Toc307501162"/>
      <w:bookmarkStart w:id="1066" w:name="_Toc309113425"/>
    </w:p>
    <w:bookmarkEnd w:id="1062"/>
    <w:bookmarkEnd w:id="1063"/>
    <w:bookmarkEnd w:id="1064"/>
    <w:bookmarkEnd w:id="1065"/>
    <w:bookmarkEnd w:id="1066"/>
    <w:p>
      <w:pPr>
        <w:shd w:val="clea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hd w:val="clear"/>
        <w:spacing w:line="360" w:lineRule="auto"/>
        <w:ind w:firstLine="630"/>
        <w:rPr>
          <w:rFonts w:ascii="仿宋" w:hAnsi="仿宋" w:eastAsia="仿宋" w:cs="仿宋"/>
          <w:b/>
          <w:color w:val="auto"/>
          <w:sz w:val="24"/>
          <w:highlight w:val="none"/>
        </w:rPr>
      </w:pPr>
    </w:p>
    <w:p>
      <w:pPr>
        <w:shd w:val="clea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二、合同期限</w:t>
      </w:r>
    </w:p>
    <w:p>
      <w:pPr>
        <w:shd w:val="clear"/>
        <w:spacing w:line="360" w:lineRule="auto"/>
        <w:ind w:firstLine="480" w:firstLineChars="200"/>
        <w:rPr>
          <w:rFonts w:ascii="仿宋" w:hAnsi="仿宋" w:eastAsia="仿宋" w:cs="仿宋"/>
          <w:color w:val="auto"/>
          <w:sz w:val="24"/>
          <w:highlight w:val="none"/>
        </w:rPr>
      </w:pPr>
    </w:p>
    <w:p>
      <w:pPr>
        <w:shd w:val="clear"/>
        <w:spacing w:line="360" w:lineRule="auto"/>
        <w:rPr>
          <w:rFonts w:ascii="仿宋" w:hAnsi="仿宋" w:eastAsia="仿宋" w:cs="仿宋"/>
          <w:b/>
          <w:color w:val="auto"/>
          <w:sz w:val="24"/>
          <w:highlight w:val="none"/>
        </w:rPr>
      </w:pPr>
      <w:bookmarkStart w:id="1067" w:name="_Toc251768862"/>
      <w:bookmarkStart w:id="1068" w:name="_Toc239233914"/>
      <w:bookmarkStart w:id="1069" w:name="_Toc286993786"/>
      <w:bookmarkStart w:id="1070" w:name="_Toc225654644"/>
      <w:bookmarkStart w:id="1071" w:name="_Toc282696226"/>
      <w:bookmarkStart w:id="1072" w:name="_Toc212019594"/>
      <w:bookmarkStart w:id="1073" w:name="_Toc247334841"/>
      <w:bookmarkStart w:id="1074" w:name="_Toc185395249"/>
      <w:bookmarkStart w:id="1075" w:name="_Toc232492928"/>
      <w:bookmarkStart w:id="1076" w:name="_Toc237145406"/>
      <w:bookmarkStart w:id="1077" w:name="_Toc239568418"/>
      <w:bookmarkStart w:id="1078" w:name="_Toc211911348"/>
      <w:bookmarkStart w:id="1079" w:name="_Toc283019214"/>
      <w:bookmarkStart w:id="1080" w:name="_Toc225244852"/>
      <w:bookmarkStart w:id="1081" w:name="_Toc225670751"/>
      <w:bookmarkStart w:id="1082" w:name="_Toc238984975"/>
      <w:bookmarkStart w:id="1083" w:name="_Toc211854449"/>
      <w:bookmarkStart w:id="1084" w:name="_Toc241833903"/>
      <w:r>
        <w:rPr>
          <w:rFonts w:hint="eastAsia" w:ascii="仿宋" w:hAnsi="仿宋" w:eastAsia="仿宋" w:cs="仿宋"/>
          <w:b/>
          <w:color w:val="auto"/>
          <w:sz w:val="24"/>
          <w:highlight w:val="none"/>
        </w:rPr>
        <w:t>三、服务内容与质量标准</w:t>
      </w:r>
    </w:p>
    <w:p>
      <w:pPr>
        <w:shd w:val="clear"/>
        <w:spacing w:line="360" w:lineRule="auto"/>
        <w:ind w:left="567"/>
        <w:rPr>
          <w:rFonts w:ascii="仿宋" w:hAnsi="仿宋" w:eastAsia="仿宋" w:cs="仿宋"/>
          <w:color w:val="auto"/>
          <w:sz w:val="24"/>
          <w:highlight w:val="none"/>
        </w:rPr>
      </w:pPr>
      <w:r>
        <w:rPr>
          <w:rFonts w:hint="eastAsia" w:ascii="仿宋" w:hAnsi="仿宋" w:eastAsia="仿宋" w:cs="仿宋"/>
          <w:color w:val="auto"/>
          <w:sz w:val="24"/>
          <w:highlight w:val="none"/>
        </w:rPr>
        <w:t>1、XXXX；</w:t>
      </w:r>
    </w:p>
    <w:p>
      <w:pPr>
        <w:shd w:val="clear"/>
        <w:spacing w:line="360" w:lineRule="auto"/>
        <w:ind w:left="567"/>
        <w:rPr>
          <w:rFonts w:ascii="仿宋" w:hAnsi="仿宋" w:eastAsia="仿宋" w:cs="仿宋"/>
          <w:color w:val="auto"/>
          <w:sz w:val="24"/>
          <w:highlight w:val="none"/>
        </w:rPr>
      </w:pPr>
      <w:r>
        <w:rPr>
          <w:rFonts w:hint="eastAsia" w:ascii="仿宋" w:hAnsi="仿宋" w:eastAsia="仿宋" w:cs="仿宋"/>
          <w:color w:val="auto"/>
          <w:sz w:val="24"/>
          <w:highlight w:val="none"/>
        </w:rPr>
        <w:t>2、XXXX；</w:t>
      </w:r>
    </w:p>
    <w:p>
      <w:pPr>
        <w:shd w:val="clear"/>
        <w:spacing w:line="360" w:lineRule="auto"/>
        <w:ind w:left="567"/>
        <w:rPr>
          <w:rFonts w:ascii="仿宋" w:hAnsi="仿宋" w:eastAsia="仿宋" w:cs="仿宋"/>
          <w:color w:val="auto"/>
          <w:sz w:val="24"/>
          <w:highlight w:val="none"/>
        </w:rPr>
      </w:pPr>
      <w:r>
        <w:rPr>
          <w:rFonts w:hint="eastAsia" w:ascii="仿宋" w:hAnsi="仿宋" w:eastAsia="仿宋" w:cs="仿宋"/>
          <w:color w:val="auto"/>
          <w:sz w:val="24"/>
          <w:highlight w:val="none"/>
        </w:rPr>
        <w:t>3、XXXX．</w:t>
      </w:r>
    </w:p>
    <w:p>
      <w:pPr>
        <w:shd w:val="clea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四、服务费用及支付方式</w:t>
      </w:r>
    </w:p>
    <w:p>
      <w:pPr>
        <w:shd w:val="clea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（一）本项目服务费用由以下组成：</w:t>
      </w: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1、XX万元；</w:t>
      </w: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2、XX万元；</w:t>
      </w: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3、XX万元。</w:t>
      </w: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shd w:val="clear"/>
        <w:tabs>
          <w:tab w:val="left" w:pos="780"/>
        </w:tabs>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（二）服务费支付方式：</w:t>
      </w:r>
    </w:p>
    <w:p>
      <w:pPr>
        <w:shd w:val="clea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五、知识产权</w:t>
      </w:r>
    </w:p>
    <w:p>
      <w:pPr>
        <w:shd w:val="clear"/>
        <w:tabs>
          <w:tab w:val="left" w:pos="144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乙方应保证所提供的服务或其任何一部分均不会侵犯任何第三方的专利权、商标权或著作权。</w:t>
      </w:r>
    </w:p>
    <w:p>
      <w:pPr>
        <w:shd w:val="clea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六、无产权瑕疵条款</w:t>
      </w:r>
    </w:p>
    <w:p>
      <w:pPr>
        <w:shd w:val="clear"/>
        <w:tabs>
          <w:tab w:val="left" w:pos="144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乙方保证所提供的服务的所有权完全属于乙方且无任何抵押、查封等产权瑕疵。如有产权瑕疵的，视为乙方违约。乙方应负担由此而产生的一切损失。</w:t>
      </w:r>
    </w:p>
    <w:p>
      <w:pPr>
        <w:shd w:val="clea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七、甲方的权利和义务</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2、甲方有权依据双方签订的考评办法对乙方提供的服务进行定期考评。当考评结果未达到标准时，有权依据相关办法对乙方进行管理。</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3、负责检查监督乙方管理工作的实施及制度的执行情况。</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4、根据本合同规定，按时向乙方支付应付服务费用。</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5、国家法律、法规所规定由甲方承担的其它责任。</w:t>
      </w:r>
    </w:p>
    <w:p>
      <w:pPr>
        <w:shd w:val="clea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八、乙方的权利和义务</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1、对本合同规定的委托服务范围内的项目享有管理权及服务义务。</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2、根据本合同的规定向甲方收取相关服务费用，并有权在本项目管理范围内管理及合理使用。</w:t>
      </w:r>
    </w:p>
    <w:p>
      <w:pPr>
        <w:shd w:val="clear"/>
        <w:adjustRightInd w:val="0"/>
        <w:spacing w:line="360" w:lineRule="auto"/>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3、及时向甲方通告本项目服务范围内有关服务的重大事项，及时配合处理投诉。</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接受项目行业管理部门及政府有关部门的指导，接受甲方的监督。</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5、国家法律、法规所规定由乙方承担的其它责任。</w:t>
      </w:r>
    </w:p>
    <w:p>
      <w:pPr>
        <w:shd w:val="clear"/>
        <w:adjustRightInd w:val="0"/>
        <w:spacing w:line="360" w:lineRule="auto"/>
        <w:ind w:firstLine="482" w:firstLineChars="200"/>
        <w:jc w:val="left"/>
        <w:textAlignment w:val="baseline"/>
        <w:rPr>
          <w:rFonts w:ascii="仿宋" w:hAnsi="仿宋" w:eastAsia="仿宋" w:cs="仿宋"/>
          <w:bCs/>
          <w:color w:val="auto"/>
          <w:sz w:val="24"/>
          <w:highlight w:val="none"/>
        </w:rPr>
      </w:pPr>
      <w:r>
        <w:rPr>
          <w:rFonts w:hint="eastAsia" w:ascii="仿宋" w:hAnsi="仿宋" w:eastAsia="仿宋" w:cs="仿宋"/>
          <w:b/>
          <w:color w:val="auto"/>
          <w:sz w:val="24"/>
          <w:highlight w:val="none"/>
        </w:rPr>
        <w:t>九、分包的约定：</w:t>
      </w:r>
      <w:r>
        <w:rPr>
          <w:rFonts w:hint="eastAsia" w:ascii="仿宋" w:hAnsi="仿宋" w:eastAsia="仿宋" w:cs="仿宋"/>
          <w:bCs/>
          <w:color w:val="auto"/>
          <w:sz w:val="24"/>
          <w:highlight w:val="none"/>
        </w:rPr>
        <w:t>未经甲方同意乙方不得将合同部分或者全部分包或者转包。</w:t>
      </w:r>
    </w:p>
    <w:p>
      <w:pPr>
        <w:shd w:val="clear"/>
        <w:adjustRightInd w:val="0"/>
        <w:spacing w:line="360" w:lineRule="auto"/>
        <w:ind w:firstLine="482" w:firstLineChars="200"/>
        <w:jc w:val="left"/>
        <w:textAlignment w:val="baseline"/>
        <w:rPr>
          <w:rFonts w:ascii="仿宋" w:hAnsi="仿宋" w:eastAsia="仿宋" w:cs="仿宋"/>
          <w:b/>
          <w:color w:val="auto"/>
          <w:sz w:val="24"/>
          <w:highlight w:val="none"/>
        </w:rPr>
      </w:pPr>
      <w:r>
        <w:rPr>
          <w:rFonts w:hint="eastAsia" w:ascii="仿宋" w:hAnsi="仿宋" w:eastAsia="仿宋" w:cs="仿宋"/>
          <w:b/>
          <w:color w:val="auto"/>
          <w:sz w:val="24"/>
          <w:highlight w:val="none"/>
        </w:rPr>
        <w:t>十、违约责任</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1、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hd w:val="clear"/>
        <w:adjustRightInd w:val="0"/>
        <w:spacing w:line="360" w:lineRule="auto"/>
        <w:ind w:firstLine="480" w:firstLineChars="200"/>
        <w:jc w:val="left"/>
        <w:textAlignment w:val="baseline"/>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2、除已有违约责任约定外，任何一方违反本合同约定，应当承担违约责任，赔偿守约方的损失。</w:t>
      </w:r>
    </w:p>
    <w:p>
      <w:pPr>
        <w:shd w:val="clea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十一、不可抗力事件处理</w:t>
      </w:r>
    </w:p>
    <w:p>
      <w:pPr>
        <w:shd w:val="clea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pPr>
        <w:shd w:val="clea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pPr>
        <w:shd w:val="clea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3、不可抗力事件延续XX天以上，双方应通过友好协商，确定是否继续履行合同。</w:t>
      </w:r>
    </w:p>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Pr>
        <w:shd w:val="clear"/>
        <w:spacing w:line="360" w:lineRule="auto"/>
        <w:rPr>
          <w:rFonts w:ascii="仿宋" w:hAnsi="仿宋" w:eastAsia="仿宋" w:cs="仿宋"/>
          <w:b/>
          <w:color w:val="auto"/>
          <w:sz w:val="24"/>
          <w:highlight w:val="none"/>
        </w:rPr>
      </w:pPr>
      <w:bookmarkStart w:id="1085" w:name="_Toc185395254"/>
      <w:bookmarkStart w:id="1086" w:name="_Toc239233919"/>
      <w:bookmarkStart w:id="1087" w:name="_Toc232492933"/>
      <w:bookmarkStart w:id="1088" w:name="_Toc225654649"/>
      <w:bookmarkStart w:id="1089" w:name="_Toc286993792"/>
      <w:bookmarkStart w:id="1090" w:name="_Toc237145411"/>
      <w:bookmarkStart w:id="1091" w:name="_Toc225244857"/>
      <w:bookmarkStart w:id="1092" w:name="_Toc241833908"/>
      <w:bookmarkStart w:id="1093" w:name="_Toc238984980"/>
      <w:bookmarkStart w:id="1094" w:name="_Toc239568423"/>
      <w:bookmarkStart w:id="1095" w:name="_Toc251768867"/>
      <w:bookmarkStart w:id="1096" w:name="_Toc211911353"/>
      <w:bookmarkStart w:id="1097" w:name="_Toc225670756"/>
      <w:bookmarkStart w:id="1098" w:name="_Toc212019599"/>
      <w:bookmarkStart w:id="1099" w:name="_Toc247334846"/>
      <w:bookmarkStart w:id="1100" w:name="_Toc211854454"/>
      <w:r>
        <w:rPr>
          <w:rFonts w:hint="eastAsia" w:ascii="仿宋" w:hAnsi="仿宋" w:eastAsia="仿宋" w:cs="仿宋"/>
          <w:b/>
          <w:color w:val="auto"/>
          <w:sz w:val="24"/>
          <w:highlight w:val="none"/>
        </w:rPr>
        <w:t>十二、解决合同纠纷的方式</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pPr>
        <w:shd w:val="clear"/>
        <w:tabs>
          <w:tab w:val="left" w:pos="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在执行本合同中发生的或与本合同有关的争端，双方应通过友好协商解决，经协商在XX天内不能达成协议时，应提交法院裁决。</w:t>
      </w:r>
    </w:p>
    <w:p>
      <w:pPr>
        <w:shd w:val="clear"/>
        <w:spacing w:line="360" w:lineRule="auto"/>
        <w:rPr>
          <w:rFonts w:ascii="仿宋" w:hAnsi="仿宋" w:eastAsia="仿宋" w:cs="仿宋"/>
          <w:b/>
          <w:color w:val="auto"/>
          <w:sz w:val="24"/>
          <w:highlight w:val="none"/>
        </w:rPr>
      </w:pPr>
      <w:bookmarkStart w:id="1101" w:name="_Toc232492934"/>
      <w:bookmarkStart w:id="1102" w:name="_Toc225244858"/>
      <w:bookmarkStart w:id="1103" w:name="_Toc237145412"/>
      <w:bookmarkStart w:id="1104" w:name="_Toc185395255"/>
      <w:bookmarkStart w:id="1105" w:name="_Toc211854455"/>
      <w:bookmarkStart w:id="1106" w:name="_Toc225654650"/>
      <w:bookmarkStart w:id="1107" w:name="_Toc282696231"/>
      <w:bookmarkStart w:id="1108" w:name="_Toc251768868"/>
      <w:bookmarkStart w:id="1109" w:name="_Toc286993793"/>
      <w:bookmarkStart w:id="1110" w:name="_Toc238984981"/>
      <w:bookmarkStart w:id="1111" w:name="_Toc239568424"/>
      <w:bookmarkStart w:id="1112" w:name="_Toc225670757"/>
      <w:bookmarkStart w:id="1113" w:name="_Toc283019219"/>
      <w:bookmarkStart w:id="1114" w:name="_Toc241833909"/>
      <w:bookmarkStart w:id="1115" w:name="_Toc212019600"/>
      <w:bookmarkStart w:id="1116" w:name="_Toc239233920"/>
      <w:bookmarkStart w:id="1117" w:name="_Toc247334847"/>
      <w:bookmarkStart w:id="1118" w:name="_Toc211911354"/>
      <w:r>
        <w:rPr>
          <w:rFonts w:hint="eastAsia" w:ascii="仿宋" w:hAnsi="仿宋" w:eastAsia="仿宋" w:cs="仿宋"/>
          <w:b/>
          <w:color w:val="auto"/>
          <w:sz w:val="24"/>
          <w:highlight w:val="none"/>
        </w:rPr>
        <w:t>十三、合同</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Pr>
          <w:rFonts w:hint="eastAsia" w:ascii="仿宋" w:hAnsi="仿宋" w:eastAsia="仿宋" w:cs="仿宋"/>
          <w:b/>
          <w:color w:val="auto"/>
          <w:sz w:val="24"/>
          <w:highlight w:val="none"/>
        </w:rPr>
        <w:t>生效及其他</w:t>
      </w:r>
    </w:p>
    <w:p>
      <w:pPr>
        <w:pStyle w:val="72"/>
        <w:shd w:val="clea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1、合同经双方法定代表人或授权委托代理人签字并加盖单位公章后生效。</w:t>
      </w:r>
    </w:p>
    <w:p>
      <w:pPr>
        <w:pStyle w:val="72"/>
        <w:shd w:val="clea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pStyle w:val="72"/>
        <w:shd w:val="clea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3、本合同一式XX份，自双方签章之日起起效。甲方XX份，乙方XX份，政府采购代理机构XX份，同级财政部门备案XX份，具有同等法律效力。</w:t>
      </w:r>
    </w:p>
    <w:p>
      <w:pPr>
        <w:shd w:val="clea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十四、附件</w:t>
      </w:r>
    </w:p>
    <w:p>
      <w:pPr>
        <w:pStyle w:val="72"/>
        <w:numPr>
          <w:ilvl w:val="0"/>
          <w:numId w:val="31"/>
        </w:numPr>
        <w:shd w:val="clea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项目竞争性磋商文件</w:t>
      </w:r>
    </w:p>
    <w:p>
      <w:pPr>
        <w:pStyle w:val="72"/>
        <w:shd w:val="clea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2、项目修改澄清文件</w:t>
      </w:r>
    </w:p>
    <w:p>
      <w:pPr>
        <w:pStyle w:val="72"/>
        <w:shd w:val="clea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3、项目投标文件</w:t>
      </w:r>
    </w:p>
    <w:p>
      <w:pPr>
        <w:pStyle w:val="72"/>
        <w:shd w:val="clea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4、成交通知书</w:t>
      </w:r>
    </w:p>
    <w:p>
      <w:pPr>
        <w:pStyle w:val="72"/>
        <w:shd w:val="clea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5、其他</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   (盖章)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乙方：   (盖章)</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法定代表人(授权代表)：法定代表人(授权代表)：</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地址：地址：</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开户银行：开户银行：</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账号：账号：</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电话：电话：</w:t>
      </w:r>
    </w:p>
    <w:p>
      <w:pPr>
        <w:shd w:val="clea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传真：传真：</w:t>
      </w:r>
    </w:p>
    <w:p>
      <w:pPr>
        <w:pStyle w:val="10"/>
        <w:shd w:val="clear"/>
        <w:spacing w:line="400" w:lineRule="exact"/>
        <w:ind w:firstLine="367" w:firstLineChars="175"/>
        <w:rPr>
          <w:rFonts w:ascii="仿宋" w:hAnsi="仿宋" w:eastAsia="仿宋" w:cs="仿宋"/>
          <w:color w:val="auto"/>
          <w:highlight w:val="none"/>
        </w:rPr>
      </w:pPr>
      <w:r>
        <w:rPr>
          <w:rFonts w:hint="eastAsia" w:ascii="仿宋" w:hAnsi="仿宋" w:eastAsia="仿宋" w:cs="仿宋"/>
          <w:color w:val="auto"/>
          <w:highlight w:val="none"/>
        </w:rPr>
        <w:t>签约日期：XX年XX月XX日</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签约日期：XX年XX月XX日</w:t>
      </w:r>
    </w:p>
    <w:p>
      <w:pPr>
        <w:pStyle w:val="10"/>
        <w:shd w:val="clear"/>
        <w:spacing w:line="400" w:lineRule="exact"/>
        <w:ind w:firstLine="367" w:firstLineChars="175"/>
        <w:rPr>
          <w:rFonts w:ascii="仿宋" w:hAnsi="仿宋" w:eastAsia="仿宋" w:cs="仿宋"/>
          <w:color w:val="auto"/>
          <w:highlight w:val="none"/>
        </w:rPr>
      </w:pPr>
    </w:p>
    <w:p>
      <w:pPr>
        <w:pStyle w:val="10"/>
        <w:shd w:val="clear"/>
        <w:spacing w:line="400" w:lineRule="exact"/>
        <w:ind w:firstLine="367" w:firstLineChars="175"/>
        <w:rPr>
          <w:rFonts w:ascii="仿宋" w:hAnsi="仿宋" w:eastAsia="仿宋" w:cs="仿宋"/>
          <w:color w:val="auto"/>
          <w:highlight w:val="none"/>
        </w:rPr>
      </w:pPr>
    </w:p>
    <w:p>
      <w:pPr>
        <w:shd w:val="clear"/>
        <w:rPr>
          <w:rFonts w:ascii="仿宋" w:hAnsi="仿宋" w:eastAsia="仿宋" w:cs="仿宋"/>
          <w:color w:val="auto"/>
          <w:szCs w:val="21"/>
          <w:highlight w:val="none"/>
        </w:rPr>
      </w:pPr>
      <w:r>
        <w:rPr>
          <w:rFonts w:hint="eastAsia" w:ascii="仿宋" w:hAnsi="仿宋" w:eastAsia="仿宋" w:cs="仿宋"/>
          <w:b/>
          <w:bCs/>
          <w:color w:val="auto"/>
          <w:sz w:val="24"/>
          <w:highlight w:val="none"/>
        </w:rPr>
        <w:t>注：以上合同条款采购人与中标人签订合同时可根据实际情况进行调整、修改或重新起草合同条款。</w:t>
      </w:r>
    </w:p>
    <w:p>
      <w:pPr>
        <w:shd w:val="clear"/>
        <w:wordWrap w:val="0"/>
        <w:topLinePunct/>
        <w:spacing w:beforeAutospacing="1" w:afterAutospacing="1"/>
        <w:rPr>
          <w:rFonts w:ascii="仿宋" w:hAnsi="仿宋" w:eastAsia="仿宋" w:cs="仿宋"/>
          <w:color w:val="auto"/>
          <w:highlight w:val="none"/>
        </w:rPr>
      </w:pPr>
    </w:p>
    <w:bookmarkEnd w:id="1119"/>
    <w:sectPr>
      <w:headerReference r:id="rId5" w:type="first"/>
      <w:footerReference r:id="rId7" w:type="first"/>
      <w:headerReference r:id="rId4" w:type="default"/>
      <w:footerReference r:id="rId6" w:type="default"/>
      <w:pgSz w:w="11906" w:h="16838"/>
      <w:pgMar w:top="1440" w:right="1417" w:bottom="1440" w:left="1701"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FFFFFF" w:sz="6"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F2B95"/>
    <w:multiLevelType w:val="singleLevel"/>
    <w:tmpl w:val="CE0F2B95"/>
    <w:lvl w:ilvl="0" w:tentative="0">
      <w:start w:val="1"/>
      <w:numFmt w:val="decimal"/>
      <w:suff w:val="space"/>
      <w:lvlText w:val="%1."/>
      <w:lvlJc w:val="left"/>
    </w:lvl>
  </w:abstractNum>
  <w:abstractNum w:abstractNumId="1">
    <w:nsid w:val="E0117659"/>
    <w:multiLevelType w:val="singleLevel"/>
    <w:tmpl w:val="E0117659"/>
    <w:lvl w:ilvl="0" w:tentative="0">
      <w:start w:val="1"/>
      <w:numFmt w:val="decimal"/>
      <w:lvlText w:val="%1."/>
      <w:lvlJc w:val="left"/>
      <w:pPr>
        <w:tabs>
          <w:tab w:val="left" w:pos="312"/>
        </w:tabs>
      </w:pPr>
    </w:lvl>
  </w:abstractNum>
  <w:abstractNum w:abstractNumId="2">
    <w:nsid w:val="ED66F390"/>
    <w:multiLevelType w:val="singleLevel"/>
    <w:tmpl w:val="ED66F390"/>
    <w:lvl w:ilvl="0" w:tentative="0">
      <w:start w:val="1"/>
      <w:numFmt w:val="decimal"/>
      <w:suff w:val="nothing"/>
      <w:lvlText w:val="%1、"/>
      <w:lvlJc w:val="left"/>
    </w:lvl>
  </w:abstractNum>
  <w:abstractNum w:abstractNumId="3">
    <w:nsid w:val="F4D7E939"/>
    <w:multiLevelType w:val="singleLevel"/>
    <w:tmpl w:val="F4D7E939"/>
    <w:lvl w:ilvl="0" w:tentative="0">
      <w:start w:val="5"/>
      <w:numFmt w:val="decimal"/>
      <w:suff w:val="space"/>
      <w:lvlText w:val="%1."/>
      <w:lvlJc w:val="left"/>
    </w:lvl>
  </w:abstractNum>
  <w:abstractNum w:abstractNumId="4">
    <w:nsid w:val="00000001"/>
    <w:multiLevelType w:val="multilevel"/>
    <w:tmpl w:val="0000000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3"/>
    <w:multiLevelType w:val="singleLevel"/>
    <w:tmpl w:val="00000003"/>
    <w:lvl w:ilvl="0" w:tentative="0">
      <w:start w:val="1"/>
      <w:numFmt w:val="chineseCounting"/>
      <w:suff w:val="nothing"/>
      <w:lvlText w:val="%1、"/>
      <w:lvlJc w:val="left"/>
      <w:pPr>
        <w:ind w:left="0" w:firstLine="420"/>
      </w:pPr>
      <w:rPr>
        <w:rFonts w:hint="eastAsia"/>
      </w:rPr>
    </w:lvl>
  </w:abstractNum>
  <w:abstractNum w:abstractNumId="6">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7">
    <w:nsid w:val="00000005"/>
    <w:multiLevelType w:val="singleLevel"/>
    <w:tmpl w:val="00000005"/>
    <w:lvl w:ilvl="0" w:tentative="0">
      <w:start w:val="1"/>
      <w:numFmt w:val="chineseCounting"/>
      <w:suff w:val="nothing"/>
      <w:lvlText w:val="（%1）"/>
      <w:lvlJc w:val="left"/>
      <w:pPr>
        <w:ind w:left="0" w:firstLine="420"/>
      </w:pPr>
      <w:rPr>
        <w:rFonts w:hint="eastAsia"/>
      </w:rPr>
    </w:lvl>
  </w:abstractNum>
  <w:abstractNum w:abstractNumId="8">
    <w:nsid w:val="00000006"/>
    <w:multiLevelType w:val="singleLevel"/>
    <w:tmpl w:val="00000006"/>
    <w:lvl w:ilvl="0" w:tentative="0">
      <w:start w:val="1"/>
      <w:numFmt w:val="chineseCounting"/>
      <w:suff w:val="nothing"/>
      <w:lvlText w:val="（%1）"/>
      <w:lvlJc w:val="left"/>
      <w:pPr>
        <w:ind w:left="0" w:firstLine="420"/>
      </w:pPr>
      <w:rPr>
        <w:rFonts w:hint="eastAsia"/>
      </w:rPr>
    </w:lvl>
  </w:abstractNum>
  <w:abstractNum w:abstractNumId="9">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10">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11">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2">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13">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4">
    <w:nsid w:val="0000000E"/>
    <w:multiLevelType w:val="singleLevel"/>
    <w:tmpl w:val="0000000E"/>
    <w:lvl w:ilvl="0" w:tentative="0">
      <w:start w:val="1"/>
      <w:numFmt w:val="decimal"/>
      <w:suff w:val="nothing"/>
      <w:lvlText w:val="%1．"/>
      <w:lvlJc w:val="left"/>
      <w:pPr>
        <w:ind w:left="0" w:firstLine="400"/>
      </w:pPr>
      <w:rPr>
        <w:rFonts w:hint="default"/>
      </w:rPr>
    </w:lvl>
  </w:abstractNum>
  <w:abstractNum w:abstractNumId="15">
    <w:nsid w:val="0000000F"/>
    <w:multiLevelType w:val="singleLevel"/>
    <w:tmpl w:val="0000000F"/>
    <w:lvl w:ilvl="0" w:tentative="0">
      <w:start w:val="1"/>
      <w:numFmt w:val="decimal"/>
      <w:suff w:val="nothing"/>
      <w:lvlText w:val="%1．"/>
      <w:lvlJc w:val="left"/>
      <w:pPr>
        <w:ind w:left="0" w:firstLine="400"/>
      </w:pPr>
      <w:rPr>
        <w:rFonts w:hint="default"/>
      </w:rPr>
    </w:lvl>
  </w:abstractNum>
  <w:abstractNum w:abstractNumId="16">
    <w:nsid w:val="00000010"/>
    <w:multiLevelType w:val="singleLevel"/>
    <w:tmpl w:val="00000010"/>
    <w:lvl w:ilvl="0" w:tentative="0">
      <w:start w:val="1"/>
      <w:numFmt w:val="decimal"/>
      <w:lvlText w:val="%1"/>
      <w:lvlJc w:val="center"/>
      <w:pPr>
        <w:tabs>
          <w:tab w:val="left" w:pos="0"/>
        </w:tabs>
        <w:ind w:left="0" w:firstLine="0"/>
      </w:pPr>
      <w:rPr>
        <w:rFonts w:hint="default"/>
      </w:rPr>
    </w:lvl>
  </w:abstractNum>
  <w:abstractNum w:abstractNumId="17">
    <w:nsid w:val="00000011"/>
    <w:multiLevelType w:val="singleLevel"/>
    <w:tmpl w:val="00000011"/>
    <w:lvl w:ilvl="0" w:tentative="0">
      <w:start w:val="1"/>
      <w:numFmt w:val="decimal"/>
      <w:suff w:val="nothing"/>
      <w:lvlText w:val="%1、"/>
      <w:lvlJc w:val="left"/>
    </w:lvl>
  </w:abstractNum>
  <w:abstractNum w:abstractNumId="18">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19">
    <w:nsid w:val="00000014"/>
    <w:multiLevelType w:val="singleLevel"/>
    <w:tmpl w:val="00000014"/>
    <w:lvl w:ilvl="0" w:tentative="0">
      <w:start w:val="2"/>
      <w:numFmt w:val="decimal"/>
      <w:lvlText w:val="%1."/>
      <w:lvlJc w:val="left"/>
      <w:pPr>
        <w:tabs>
          <w:tab w:val="left" w:pos="312"/>
        </w:tabs>
      </w:pPr>
    </w:lvl>
  </w:abstractNum>
  <w:abstractNum w:abstractNumId="20">
    <w:nsid w:val="00000015"/>
    <w:multiLevelType w:val="singleLevel"/>
    <w:tmpl w:val="00000015"/>
    <w:lvl w:ilvl="0" w:tentative="0">
      <w:start w:val="1"/>
      <w:numFmt w:val="decimal"/>
      <w:lvlText w:val="(%1)"/>
      <w:lvlJc w:val="left"/>
      <w:pPr>
        <w:ind w:left="425" w:hanging="425"/>
      </w:pPr>
      <w:rPr>
        <w:rFonts w:hint="default"/>
      </w:rPr>
    </w:lvl>
  </w:abstractNum>
  <w:abstractNum w:abstractNumId="21">
    <w:nsid w:val="00000016"/>
    <w:multiLevelType w:val="singleLevel"/>
    <w:tmpl w:val="00000016"/>
    <w:lvl w:ilvl="0" w:tentative="0">
      <w:start w:val="1"/>
      <w:numFmt w:val="chineseCounting"/>
      <w:suff w:val="nothing"/>
      <w:lvlText w:val="（%1）"/>
      <w:lvlJc w:val="left"/>
      <w:pPr>
        <w:ind w:left="0" w:firstLine="420"/>
      </w:pPr>
      <w:rPr>
        <w:rFonts w:hint="eastAsia"/>
      </w:rPr>
    </w:lvl>
  </w:abstractNum>
  <w:abstractNum w:abstractNumId="22">
    <w:nsid w:val="00000017"/>
    <w:multiLevelType w:val="singleLevel"/>
    <w:tmpl w:val="00000017"/>
    <w:lvl w:ilvl="0" w:tentative="0">
      <w:start w:val="1"/>
      <w:numFmt w:val="chineseCounting"/>
      <w:suff w:val="nothing"/>
      <w:lvlText w:val="第%1部"/>
      <w:lvlJc w:val="left"/>
    </w:lvl>
  </w:abstractNum>
  <w:abstractNum w:abstractNumId="23">
    <w:nsid w:val="00000019"/>
    <w:multiLevelType w:val="singleLevel"/>
    <w:tmpl w:val="00000019"/>
    <w:lvl w:ilvl="0" w:tentative="0">
      <w:start w:val="1"/>
      <w:numFmt w:val="chineseCounting"/>
      <w:suff w:val="nothing"/>
      <w:lvlText w:val="（%1）"/>
      <w:lvlJc w:val="left"/>
      <w:pPr>
        <w:ind w:left="0" w:firstLine="420"/>
      </w:pPr>
      <w:rPr>
        <w:rFonts w:hint="eastAsia"/>
      </w:rPr>
    </w:lvl>
  </w:abstractNum>
  <w:abstractNum w:abstractNumId="24">
    <w:nsid w:val="0000001C"/>
    <w:multiLevelType w:val="singleLevel"/>
    <w:tmpl w:val="0000001C"/>
    <w:lvl w:ilvl="0" w:tentative="0">
      <w:start w:val="2"/>
      <w:numFmt w:val="chineseCounting"/>
      <w:suff w:val="nothing"/>
      <w:lvlText w:val="%1、"/>
      <w:lvlJc w:val="left"/>
    </w:lvl>
  </w:abstractNum>
  <w:abstractNum w:abstractNumId="25">
    <w:nsid w:val="0000001F"/>
    <w:multiLevelType w:val="singleLevel"/>
    <w:tmpl w:val="0000001F"/>
    <w:lvl w:ilvl="0" w:tentative="0">
      <w:start w:val="6"/>
      <w:numFmt w:val="chineseCounting"/>
      <w:suff w:val="space"/>
      <w:lvlText w:val="第%1章"/>
      <w:lvlJc w:val="left"/>
      <w:rPr>
        <w:rFonts w:hint="eastAsia"/>
      </w:rPr>
    </w:lvl>
  </w:abstractNum>
  <w:abstractNum w:abstractNumId="26">
    <w:nsid w:val="028D8EDE"/>
    <w:multiLevelType w:val="singleLevel"/>
    <w:tmpl w:val="028D8EDE"/>
    <w:lvl w:ilvl="0" w:tentative="0">
      <w:start w:val="1"/>
      <w:numFmt w:val="decimal"/>
      <w:suff w:val="space"/>
      <w:lvlText w:val="%1."/>
      <w:lvlJc w:val="left"/>
    </w:lvl>
  </w:abstractNum>
  <w:abstractNum w:abstractNumId="27">
    <w:nsid w:val="15EAA743"/>
    <w:multiLevelType w:val="singleLevel"/>
    <w:tmpl w:val="15EAA743"/>
    <w:lvl w:ilvl="0" w:tentative="0">
      <w:start w:val="1"/>
      <w:numFmt w:val="decimal"/>
      <w:suff w:val="nothing"/>
      <w:lvlText w:val="%1、"/>
      <w:lvlJc w:val="left"/>
    </w:lvl>
  </w:abstractNum>
  <w:abstractNum w:abstractNumId="28">
    <w:nsid w:val="227A58F3"/>
    <w:multiLevelType w:val="singleLevel"/>
    <w:tmpl w:val="227A58F3"/>
    <w:lvl w:ilvl="0" w:tentative="0">
      <w:start w:val="1"/>
      <w:numFmt w:val="decimal"/>
      <w:suff w:val="nothing"/>
      <w:lvlText w:val="（%1）"/>
      <w:lvlJc w:val="left"/>
    </w:lvl>
  </w:abstractNum>
  <w:abstractNum w:abstractNumId="29">
    <w:nsid w:val="3A2934E1"/>
    <w:multiLevelType w:val="singleLevel"/>
    <w:tmpl w:val="3A2934E1"/>
    <w:lvl w:ilvl="0" w:tentative="0">
      <w:start w:val="1"/>
      <w:numFmt w:val="decimal"/>
      <w:suff w:val="space"/>
      <w:lvlText w:val="%1."/>
      <w:lvlJc w:val="left"/>
    </w:lvl>
  </w:abstractNum>
  <w:abstractNum w:abstractNumId="30">
    <w:nsid w:val="4BB106A5"/>
    <w:multiLevelType w:val="singleLevel"/>
    <w:tmpl w:val="4BB106A5"/>
    <w:lvl w:ilvl="0" w:tentative="0">
      <w:start w:val="2"/>
      <w:numFmt w:val="chineseCounting"/>
      <w:suff w:val="nothing"/>
      <w:lvlText w:val="（%1）"/>
      <w:lvlJc w:val="left"/>
      <w:rPr>
        <w:rFonts w:hint="eastAsia"/>
      </w:rPr>
    </w:lvl>
  </w:abstractNum>
  <w:num w:numId="1">
    <w:abstractNumId w:val="4"/>
  </w:num>
  <w:num w:numId="2">
    <w:abstractNumId w:val="24"/>
  </w:num>
  <w:num w:numId="3">
    <w:abstractNumId w:val="16"/>
  </w:num>
  <w:num w:numId="4">
    <w:abstractNumId w:val="1"/>
  </w:num>
  <w:num w:numId="5">
    <w:abstractNumId w:val="17"/>
  </w:num>
  <w:num w:numId="6">
    <w:abstractNumId w:val="20"/>
  </w:num>
  <w:num w:numId="7">
    <w:abstractNumId w:val="22"/>
  </w:num>
  <w:num w:numId="8">
    <w:abstractNumId w:val="21"/>
  </w:num>
  <w:num w:numId="9">
    <w:abstractNumId w:val="23"/>
  </w:num>
  <w:num w:numId="10">
    <w:abstractNumId w:val="27"/>
  </w:num>
  <w:num w:numId="11">
    <w:abstractNumId w:val="26"/>
  </w:num>
  <w:num w:numId="12">
    <w:abstractNumId w:val="25"/>
  </w:num>
  <w:num w:numId="13">
    <w:abstractNumId w:val="30"/>
  </w:num>
  <w:num w:numId="14">
    <w:abstractNumId w:val="0"/>
  </w:num>
  <w:num w:numId="15">
    <w:abstractNumId w:val="28"/>
  </w:num>
  <w:num w:numId="16">
    <w:abstractNumId w:val="3"/>
  </w:num>
  <w:num w:numId="17">
    <w:abstractNumId w:val="29"/>
  </w:num>
  <w:num w:numId="18">
    <w:abstractNumId w:val="5"/>
  </w:num>
  <w:num w:numId="19">
    <w:abstractNumId w:val="6"/>
  </w:num>
  <w:num w:numId="20">
    <w:abstractNumId w:val="18"/>
  </w:num>
  <w:num w:numId="21">
    <w:abstractNumId w:val="7"/>
  </w:num>
  <w:num w:numId="22">
    <w:abstractNumId w:val="10"/>
  </w:num>
  <w:num w:numId="23">
    <w:abstractNumId w:val="11"/>
  </w:num>
  <w:num w:numId="24">
    <w:abstractNumId w:val="8"/>
  </w:num>
  <w:num w:numId="25">
    <w:abstractNumId w:val="12"/>
  </w:num>
  <w:num w:numId="26">
    <w:abstractNumId w:val="13"/>
  </w:num>
  <w:num w:numId="27">
    <w:abstractNumId w:val="19"/>
  </w:num>
  <w:num w:numId="28">
    <w:abstractNumId w:val="14"/>
  </w:num>
  <w:num w:numId="29">
    <w:abstractNumId w:val="9"/>
  </w:num>
  <w:num w:numId="30">
    <w:abstractNumId w:val="1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8C0"/>
    <w:rsid w:val="0002267E"/>
    <w:rsid w:val="000253E7"/>
    <w:rsid w:val="0003041E"/>
    <w:rsid w:val="00051001"/>
    <w:rsid w:val="000670A4"/>
    <w:rsid w:val="000749CB"/>
    <w:rsid w:val="0008160B"/>
    <w:rsid w:val="0009574D"/>
    <w:rsid w:val="000A0CAA"/>
    <w:rsid w:val="000A4CB6"/>
    <w:rsid w:val="000A648E"/>
    <w:rsid w:val="00100C29"/>
    <w:rsid w:val="00102D82"/>
    <w:rsid w:val="00104B91"/>
    <w:rsid w:val="00136F3B"/>
    <w:rsid w:val="00152CDB"/>
    <w:rsid w:val="00164B2F"/>
    <w:rsid w:val="00172A27"/>
    <w:rsid w:val="00191C86"/>
    <w:rsid w:val="00193B6E"/>
    <w:rsid w:val="00196807"/>
    <w:rsid w:val="001C02D7"/>
    <w:rsid w:val="001F0B3F"/>
    <w:rsid w:val="00220C70"/>
    <w:rsid w:val="00254F2F"/>
    <w:rsid w:val="0028319C"/>
    <w:rsid w:val="0028330E"/>
    <w:rsid w:val="00291308"/>
    <w:rsid w:val="0029191D"/>
    <w:rsid w:val="00293B86"/>
    <w:rsid w:val="002A67E8"/>
    <w:rsid w:val="002D35AD"/>
    <w:rsid w:val="002E2F19"/>
    <w:rsid w:val="002E610C"/>
    <w:rsid w:val="002F3905"/>
    <w:rsid w:val="002F5167"/>
    <w:rsid w:val="00302F59"/>
    <w:rsid w:val="003061DC"/>
    <w:rsid w:val="00320D93"/>
    <w:rsid w:val="003234A1"/>
    <w:rsid w:val="00346DB4"/>
    <w:rsid w:val="00386DE9"/>
    <w:rsid w:val="0039740D"/>
    <w:rsid w:val="003B60B9"/>
    <w:rsid w:val="003C4C0C"/>
    <w:rsid w:val="003F2D7E"/>
    <w:rsid w:val="003F7DBF"/>
    <w:rsid w:val="00401566"/>
    <w:rsid w:val="004107DC"/>
    <w:rsid w:val="00424ECA"/>
    <w:rsid w:val="004400B3"/>
    <w:rsid w:val="00446254"/>
    <w:rsid w:val="004653E8"/>
    <w:rsid w:val="004741A6"/>
    <w:rsid w:val="00482DAD"/>
    <w:rsid w:val="00485DD2"/>
    <w:rsid w:val="00493C8A"/>
    <w:rsid w:val="004A4AF9"/>
    <w:rsid w:val="004B0A2B"/>
    <w:rsid w:val="004E1CFB"/>
    <w:rsid w:val="004E41A2"/>
    <w:rsid w:val="004E72F8"/>
    <w:rsid w:val="005038B0"/>
    <w:rsid w:val="0050734C"/>
    <w:rsid w:val="00516124"/>
    <w:rsid w:val="00520F1F"/>
    <w:rsid w:val="00521581"/>
    <w:rsid w:val="005479A7"/>
    <w:rsid w:val="00551C9C"/>
    <w:rsid w:val="005567EF"/>
    <w:rsid w:val="005712EF"/>
    <w:rsid w:val="005770EA"/>
    <w:rsid w:val="00581FE4"/>
    <w:rsid w:val="005A4B6D"/>
    <w:rsid w:val="005B52E2"/>
    <w:rsid w:val="005F5408"/>
    <w:rsid w:val="00630180"/>
    <w:rsid w:val="00635C89"/>
    <w:rsid w:val="00655CB1"/>
    <w:rsid w:val="006601DF"/>
    <w:rsid w:val="00662CA1"/>
    <w:rsid w:val="006678E8"/>
    <w:rsid w:val="006A59B3"/>
    <w:rsid w:val="006A7B7E"/>
    <w:rsid w:val="006C7E11"/>
    <w:rsid w:val="006D43EB"/>
    <w:rsid w:val="006D4F12"/>
    <w:rsid w:val="006D74FB"/>
    <w:rsid w:val="006E7DA8"/>
    <w:rsid w:val="006F1C23"/>
    <w:rsid w:val="00752830"/>
    <w:rsid w:val="00754B51"/>
    <w:rsid w:val="00762CA1"/>
    <w:rsid w:val="007A228F"/>
    <w:rsid w:val="007A6674"/>
    <w:rsid w:val="007B12BA"/>
    <w:rsid w:val="007B352A"/>
    <w:rsid w:val="0082571D"/>
    <w:rsid w:val="00845E08"/>
    <w:rsid w:val="0085170E"/>
    <w:rsid w:val="00853ED0"/>
    <w:rsid w:val="00882CEA"/>
    <w:rsid w:val="008865E0"/>
    <w:rsid w:val="0088725B"/>
    <w:rsid w:val="00897F9D"/>
    <w:rsid w:val="008B16C5"/>
    <w:rsid w:val="00930E12"/>
    <w:rsid w:val="00942098"/>
    <w:rsid w:val="00962A18"/>
    <w:rsid w:val="0098348E"/>
    <w:rsid w:val="009A36BA"/>
    <w:rsid w:val="009B66F1"/>
    <w:rsid w:val="009E4F3E"/>
    <w:rsid w:val="009F48CE"/>
    <w:rsid w:val="00A215BB"/>
    <w:rsid w:val="00A25496"/>
    <w:rsid w:val="00A34804"/>
    <w:rsid w:val="00A34D9F"/>
    <w:rsid w:val="00A74416"/>
    <w:rsid w:val="00A910EE"/>
    <w:rsid w:val="00AC24F9"/>
    <w:rsid w:val="00AC2C38"/>
    <w:rsid w:val="00AE6B8C"/>
    <w:rsid w:val="00AF41B6"/>
    <w:rsid w:val="00B05298"/>
    <w:rsid w:val="00B60EC6"/>
    <w:rsid w:val="00B901D7"/>
    <w:rsid w:val="00B9512E"/>
    <w:rsid w:val="00B956E5"/>
    <w:rsid w:val="00BE0BE7"/>
    <w:rsid w:val="00BF4B8A"/>
    <w:rsid w:val="00C02DC7"/>
    <w:rsid w:val="00C43A37"/>
    <w:rsid w:val="00C64DCC"/>
    <w:rsid w:val="00CA52A5"/>
    <w:rsid w:val="00D178DE"/>
    <w:rsid w:val="00D23A5C"/>
    <w:rsid w:val="00D41B9C"/>
    <w:rsid w:val="00D42A41"/>
    <w:rsid w:val="00DC33C6"/>
    <w:rsid w:val="00DC708C"/>
    <w:rsid w:val="00DD06D4"/>
    <w:rsid w:val="00DD235F"/>
    <w:rsid w:val="00DD606B"/>
    <w:rsid w:val="00DF2B9E"/>
    <w:rsid w:val="00E40EAA"/>
    <w:rsid w:val="00E50861"/>
    <w:rsid w:val="00E74824"/>
    <w:rsid w:val="00EA41CB"/>
    <w:rsid w:val="00ED6D3D"/>
    <w:rsid w:val="00EE5DA1"/>
    <w:rsid w:val="00F31C00"/>
    <w:rsid w:val="00F343C7"/>
    <w:rsid w:val="00F6280E"/>
    <w:rsid w:val="00F67AA8"/>
    <w:rsid w:val="00F77E8F"/>
    <w:rsid w:val="00F83F58"/>
    <w:rsid w:val="00FB27AD"/>
    <w:rsid w:val="00FD0543"/>
    <w:rsid w:val="00FD79B1"/>
    <w:rsid w:val="00FE2829"/>
    <w:rsid w:val="01141AB1"/>
    <w:rsid w:val="011A7932"/>
    <w:rsid w:val="012D5BFA"/>
    <w:rsid w:val="0142342E"/>
    <w:rsid w:val="014C1200"/>
    <w:rsid w:val="016952B2"/>
    <w:rsid w:val="01707767"/>
    <w:rsid w:val="01854330"/>
    <w:rsid w:val="01A70FA7"/>
    <w:rsid w:val="01B164AB"/>
    <w:rsid w:val="01C14454"/>
    <w:rsid w:val="01C75927"/>
    <w:rsid w:val="01E43BA8"/>
    <w:rsid w:val="02176A77"/>
    <w:rsid w:val="021A5E5E"/>
    <w:rsid w:val="0225579B"/>
    <w:rsid w:val="022A6F30"/>
    <w:rsid w:val="024543C5"/>
    <w:rsid w:val="02535F09"/>
    <w:rsid w:val="02634803"/>
    <w:rsid w:val="027F5B4E"/>
    <w:rsid w:val="02864626"/>
    <w:rsid w:val="02A1607D"/>
    <w:rsid w:val="02A97601"/>
    <w:rsid w:val="02B929DE"/>
    <w:rsid w:val="02C61A59"/>
    <w:rsid w:val="02CA744A"/>
    <w:rsid w:val="02CF2078"/>
    <w:rsid w:val="02DF1744"/>
    <w:rsid w:val="02ED0601"/>
    <w:rsid w:val="02F8569E"/>
    <w:rsid w:val="0306021C"/>
    <w:rsid w:val="030E71C5"/>
    <w:rsid w:val="031F35B0"/>
    <w:rsid w:val="031F5F20"/>
    <w:rsid w:val="03351724"/>
    <w:rsid w:val="03440940"/>
    <w:rsid w:val="03826041"/>
    <w:rsid w:val="03C26DE9"/>
    <w:rsid w:val="03C44AC4"/>
    <w:rsid w:val="03D1538B"/>
    <w:rsid w:val="03D638E8"/>
    <w:rsid w:val="03D74FFC"/>
    <w:rsid w:val="03DE00A8"/>
    <w:rsid w:val="03DF1544"/>
    <w:rsid w:val="03F06913"/>
    <w:rsid w:val="03FC6963"/>
    <w:rsid w:val="03FC7AF6"/>
    <w:rsid w:val="04177102"/>
    <w:rsid w:val="042B6E0C"/>
    <w:rsid w:val="043C7854"/>
    <w:rsid w:val="04533316"/>
    <w:rsid w:val="045A0E91"/>
    <w:rsid w:val="04640EF1"/>
    <w:rsid w:val="046B61F3"/>
    <w:rsid w:val="04952B7C"/>
    <w:rsid w:val="04AF3164"/>
    <w:rsid w:val="04BC05FD"/>
    <w:rsid w:val="050259DC"/>
    <w:rsid w:val="05163115"/>
    <w:rsid w:val="052F4998"/>
    <w:rsid w:val="05321775"/>
    <w:rsid w:val="053E7BA4"/>
    <w:rsid w:val="059935C7"/>
    <w:rsid w:val="05A00874"/>
    <w:rsid w:val="05A548DA"/>
    <w:rsid w:val="05B06E83"/>
    <w:rsid w:val="05B403DA"/>
    <w:rsid w:val="05B659F8"/>
    <w:rsid w:val="05F97E07"/>
    <w:rsid w:val="0617334A"/>
    <w:rsid w:val="061E541A"/>
    <w:rsid w:val="06301356"/>
    <w:rsid w:val="0637302D"/>
    <w:rsid w:val="064E4182"/>
    <w:rsid w:val="065F17DF"/>
    <w:rsid w:val="068344A7"/>
    <w:rsid w:val="06A82AFE"/>
    <w:rsid w:val="06AA71FC"/>
    <w:rsid w:val="06E74B8B"/>
    <w:rsid w:val="06E7532D"/>
    <w:rsid w:val="070371E7"/>
    <w:rsid w:val="07062D22"/>
    <w:rsid w:val="0712789F"/>
    <w:rsid w:val="072D6F17"/>
    <w:rsid w:val="073E414F"/>
    <w:rsid w:val="074671E1"/>
    <w:rsid w:val="074756DC"/>
    <w:rsid w:val="076B2145"/>
    <w:rsid w:val="076C56F6"/>
    <w:rsid w:val="07721E5F"/>
    <w:rsid w:val="077B22B2"/>
    <w:rsid w:val="07B540C0"/>
    <w:rsid w:val="07CD0A19"/>
    <w:rsid w:val="07D02BB9"/>
    <w:rsid w:val="07E75A6B"/>
    <w:rsid w:val="07ED1C8A"/>
    <w:rsid w:val="07F61759"/>
    <w:rsid w:val="080C27CB"/>
    <w:rsid w:val="08271C95"/>
    <w:rsid w:val="083D5414"/>
    <w:rsid w:val="088A51D3"/>
    <w:rsid w:val="089916A9"/>
    <w:rsid w:val="089B4169"/>
    <w:rsid w:val="08A0044B"/>
    <w:rsid w:val="08B7057D"/>
    <w:rsid w:val="08C22788"/>
    <w:rsid w:val="08CD16F1"/>
    <w:rsid w:val="08D1537B"/>
    <w:rsid w:val="08F224FE"/>
    <w:rsid w:val="09015767"/>
    <w:rsid w:val="0904195A"/>
    <w:rsid w:val="090A5A61"/>
    <w:rsid w:val="0927381A"/>
    <w:rsid w:val="09471B94"/>
    <w:rsid w:val="094F404E"/>
    <w:rsid w:val="096D4A11"/>
    <w:rsid w:val="09904877"/>
    <w:rsid w:val="09AD1DB4"/>
    <w:rsid w:val="09C73C18"/>
    <w:rsid w:val="09CE67F1"/>
    <w:rsid w:val="09D650C5"/>
    <w:rsid w:val="09F46026"/>
    <w:rsid w:val="0A0E71F7"/>
    <w:rsid w:val="0A120C64"/>
    <w:rsid w:val="0A252E72"/>
    <w:rsid w:val="0A2B5425"/>
    <w:rsid w:val="0A3B597B"/>
    <w:rsid w:val="0A470CEC"/>
    <w:rsid w:val="0A7110BD"/>
    <w:rsid w:val="0A8877B9"/>
    <w:rsid w:val="0A977CA5"/>
    <w:rsid w:val="0AA433FE"/>
    <w:rsid w:val="0AAC71E1"/>
    <w:rsid w:val="0AC1566D"/>
    <w:rsid w:val="0ADB3E09"/>
    <w:rsid w:val="0B004CDB"/>
    <w:rsid w:val="0B193611"/>
    <w:rsid w:val="0B2D30F4"/>
    <w:rsid w:val="0B3C43AA"/>
    <w:rsid w:val="0B49731F"/>
    <w:rsid w:val="0B81242B"/>
    <w:rsid w:val="0B8A1BDE"/>
    <w:rsid w:val="0B8B3688"/>
    <w:rsid w:val="0B8D456B"/>
    <w:rsid w:val="0B995F2B"/>
    <w:rsid w:val="0BB5360E"/>
    <w:rsid w:val="0BCD576D"/>
    <w:rsid w:val="0BE936CD"/>
    <w:rsid w:val="0BEB64A3"/>
    <w:rsid w:val="0C0730A6"/>
    <w:rsid w:val="0C0E4DD5"/>
    <w:rsid w:val="0C2E5D8E"/>
    <w:rsid w:val="0C774956"/>
    <w:rsid w:val="0C7B6BBF"/>
    <w:rsid w:val="0C951F45"/>
    <w:rsid w:val="0CAE596C"/>
    <w:rsid w:val="0CBF45F5"/>
    <w:rsid w:val="0CC72CBC"/>
    <w:rsid w:val="0CD25E17"/>
    <w:rsid w:val="0CD719EA"/>
    <w:rsid w:val="0D1C302F"/>
    <w:rsid w:val="0D1C43A4"/>
    <w:rsid w:val="0D231870"/>
    <w:rsid w:val="0D256CE5"/>
    <w:rsid w:val="0D29156F"/>
    <w:rsid w:val="0D2E7C9D"/>
    <w:rsid w:val="0D3D6AEE"/>
    <w:rsid w:val="0D3D6E9F"/>
    <w:rsid w:val="0D430584"/>
    <w:rsid w:val="0D4A7ECC"/>
    <w:rsid w:val="0D4B47DC"/>
    <w:rsid w:val="0D4B6B69"/>
    <w:rsid w:val="0D647905"/>
    <w:rsid w:val="0D6D305C"/>
    <w:rsid w:val="0D73604E"/>
    <w:rsid w:val="0D854ACA"/>
    <w:rsid w:val="0D9A5D4C"/>
    <w:rsid w:val="0DBA4DB2"/>
    <w:rsid w:val="0DF047ED"/>
    <w:rsid w:val="0E004F82"/>
    <w:rsid w:val="0E1713F9"/>
    <w:rsid w:val="0E405FEE"/>
    <w:rsid w:val="0E5F6B19"/>
    <w:rsid w:val="0E7E3584"/>
    <w:rsid w:val="0E7F21F8"/>
    <w:rsid w:val="0E95414F"/>
    <w:rsid w:val="0E9E01FA"/>
    <w:rsid w:val="0EA106FE"/>
    <w:rsid w:val="0EA766BF"/>
    <w:rsid w:val="0EB8430C"/>
    <w:rsid w:val="0ECC5FEC"/>
    <w:rsid w:val="0EE328A1"/>
    <w:rsid w:val="0EE547E7"/>
    <w:rsid w:val="0F0D66CB"/>
    <w:rsid w:val="0F0E04AB"/>
    <w:rsid w:val="0F0F49DD"/>
    <w:rsid w:val="0F50731B"/>
    <w:rsid w:val="0F6537B4"/>
    <w:rsid w:val="0F9474B7"/>
    <w:rsid w:val="0F9573C2"/>
    <w:rsid w:val="0FCA4648"/>
    <w:rsid w:val="0FD26FC4"/>
    <w:rsid w:val="0FD9081E"/>
    <w:rsid w:val="0FDA5D31"/>
    <w:rsid w:val="0FE45C8F"/>
    <w:rsid w:val="102A63F3"/>
    <w:rsid w:val="10454D85"/>
    <w:rsid w:val="10502C9F"/>
    <w:rsid w:val="107B2025"/>
    <w:rsid w:val="10835BE5"/>
    <w:rsid w:val="10A061E8"/>
    <w:rsid w:val="10A147ED"/>
    <w:rsid w:val="10DA28A4"/>
    <w:rsid w:val="10ED78EC"/>
    <w:rsid w:val="110204DE"/>
    <w:rsid w:val="111E3B66"/>
    <w:rsid w:val="112812B5"/>
    <w:rsid w:val="115D3595"/>
    <w:rsid w:val="11705C0A"/>
    <w:rsid w:val="117148A4"/>
    <w:rsid w:val="117610F0"/>
    <w:rsid w:val="11796047"/>
    <w:rsid w:val="118D4EF9"/>
    <w:rsid w:val="118F7828"/>
    <w:rsid w:val="11931634"/>
    <w:rsid w:val="119463E5"/>
    <w:rsid w:val="119F17EC"/>
    <w:rsid w:val="11AD150E"/>
    <w:rsid w:val="11E365FD"/>
    <w:rsid w:val="11F60E03"/>
    <w:rsid w:val="120252F5"/>
    <w:rsid w:val="122C003C"/>
    <w:rsid w:val="123E2C32"/>
    <w:rsid w:val="125044D5"/>
    <w:rsid w:val="126D52DE"/>
    <w:rsid w:val="128017D3"/>
    <w:rsid w:val="12840C9F"/>
    <w:rsid w:val="128D754F"/>
    <w:rsid w:val="129D1620"/>
    <w:rsid w:val="12CF109B"/>
    <w:rsid w:val="12CF717C"/>
    <w:rsid w:val="12EC64FB"/>
    <w:rsid w:val="132E7528"/>
    <w:rsid w:val="1339746C"/>
    <w:rsid w:val="133D1344"/>
    <w:rsid w:val="134B71C3"/>
    <w:rsid w:val="13513E8F"/>
    <w:rsid w:val="136848EC"/>
    <w:rsid w:val="13737040"/>
    <w:rsid w:val="13B405EE"/>
    <w:rsid w:val="13DE62B9"/>
    <w:rsid w:val="13E431D8"/>
    <w:rsid w:val="13F30BF8"/>
    <w:rsid w:val="13F36BC0"/>
    <w:rsid w:val="140B1310"/>
    <w:rsid w:val="141846E4"/>
    <w:rsid w:val="144A7D33"/>
    <w:rsid w:val="14791DF1"/>
    <w:rsid w:val="14A63191"/>
    <w:rsid w:val="14AD0779"/>
    <w:rsid w:val="14FB3C44"/>
    <w:rsid w:val="151E0209"/>
    <w:rsid w:val="15223CBB"/>
    <w:rsid w:val="15254D69"/>
    <w:rsid w:val="152A47B0"/>
    <w:rsid w:val="152D2B0D"/>
    <w:rsid w:val="1564001D"/>
    <w:rsid w:val="158C1F64"/>
    <w:rsid w:val="15AF56CA"/>
    <w:rsid w:val="15C00A3E"/>
    <w:rsid w:val="15C23BDB"/>
    <w:rsid w:val="15D0158B"/>
    <w:rsid w:val="15D549A1"/>
    <w:rsid w:val="15EB16EE"/>
    <w:rsid w:val="15FA64A5"/>
    <w:rsid w:val="15FB1D94"/>
    <w:rsid w:val="16021D0F"/>
    <w:rsid w:val="16242DF3"/>
    <w:rsid w:val="16271D58"/>
    <w:rsid w:val="162A486A"/>
    <w:rsid w:val="16396E0E"/>
    <w:rsid w:val="164F37A5"/>
    <w:rsid w:val="166A69E9"/>
    <w:rsid w:val="1678448E"/>
    <w:rsid w:val="16925E42"/>
    <w:rsid w:val="16B76E97"/>
    <w:rsid w:val="16BE50DE"/>
    <w:rsid w:val="16E564F5"/>
    <w:rsid w:val="170654D2"/>
    <w:rsid w:val="172652F0"/>
    <w:rsid w:val="172937BF"/>
    <w:rsid w:val="175D2495"/>
    <w:rsid w:val="176645F2"/>
    <w:rsid w:val="1774663F"/>
    <w:rsid w:val="178454BB"/>
    <w:rsid w:val="17A31AF7"/>
    <w:rsid w:val="17A56F6D"/>
    <w:rsid w:val="17D33269"/>
    <w:rsid w:val="17F05211"/>
    <w:rsid w:val="18205C3F"/>
    <w:rsid w:val="18253217"/>
    <w:rsid w:val="1832004A"/>
    <w:rsid w:val="183238D5"/>
    <w:rsid w:val="184A4865"/>
    <w:rsid w:val="185D68CE"/>
    <w:rsid w:val="187D27E0"/>
    <w:rsid w:val="189E6D4A"/>
    <w:rsid w:val="18A234E2"/>
    <w:rsid w:val="18AF21BB"/>
    <w:rsid w:val="18E43AAE"/>
    <w:rsid w:val="18E67F66"/>
    <w:rsid w:val="19072E2C"/>
    <w:rsid w:val="190A6CF0"/>
    <w:rsid w:val="191147B7"/>
    <w:rsid w:val="19262ABB"/>
    <w:rsid w:val="194509FD"/>
    <w:rsid w:val="1960657C"/>
    <w:rsid w:val="19725662"/>
    <w:rsid w:val="199A406F"/>
    <w:rsid w:val="19A43D59"/>
    <w:rsid w:val="19AD59A7"/>
    <w:rsid w:val="19AE7C79"/>
    <w:rsid w:val="19E02D51"/>
    <w:rsid w:val="19F95013"/>
    <w:rsid w:val="1A122C37"/>
    <w:rsid w:val="1A270672"/>
    <w:rsid w:val="1A5007AD"/>
    <w:rsid w:val="1A5B3F26"/>
    <w:rsid w:val="1A8032D9"/>
    <w:rsid w:val="1AB76991"/>
    <w:rsid w:val="1ACF0B78"/>
    <w:rsid w:val="1ADE339D"/>
    <w:rsid w:val="1AE04A19"/>
    <w:rsid w:val="1B061265"/>
    <w:rsid w:val="1B140B4F"/>
    <w:rsid w:val="1B26784B"/>
    <w:rsid w:val="1B2E6992"/>
    <w:rsid w:val="1B541AF9"/>
    <w:rsid w:val="1B7D4727"/>
    <w:rsid w:val="1B8649FC"/>
    <w:rsid w:val="1BB63D37"/>
    <w:rsid w:val="1BCF2B5D"/>
    <w:rsid w:val="1BF05DCF"/>
    <w:rsid w:val="1BFE10F3"/>
    <w:rsid w:val="1C2B39B4"/>
    <w:rsid w:val="1C5C250A"/>
    <w:rsid w:val="1C7567EE"/>
    <w:rsid w:val="1C7C2C3B"/>
    <w:rsid w:val="1C800AD2"/>
    <w:rsid w:val="1C857F7D"/>
    <w:rsid w:val="1C8F5929"/>
    <w:rsid w:val="1C9167EE"/>
    <w:rsid w:val="1CA03307"/>
    <w:rsid w:val="1CA7538F"/>
    <w:rsid w:val="1CB3397F"/>
    <w:rsid w:val="1CCA77DF"/>
    <w:rsid w:val="1CDF5811"/>
    <w:rsid w:val="1CEF16B2"/>
    <w:rsid w:val="1D0D40C9"/>
    <w:rsid w:val="1D1866C7"/>
    <w:rsid w:val="1D3614FA"/>
    <w:rsid w:val="1D504B90"/>
    <w:rsid w:val="1D586720"/>
    <w:rsid w:val="1D5D5B2B"/>
    <w:rsid w:val="1D60388E"/>
    <w:rsid w:val="1D765344"/>
    <w:rsid w:val="1D803DF2"/>
    <w:rsid w:val="1D885525"/>
    <w:rsid w:val="1DB359C4"/>
    <w:rsid w:val="1DF013A0"/>
    <w:rsid w:val="1DF32625"/>
    <w:rsid w:val="1E216A03"/>
    <w:rsid w:val="1E5204D0"/>
    <w:rsid w:val="1E67058B"/>
    <w:rsid w:val="1E723480"/>
    <w:rsid w:val="1E9A299C"/>
    <w:rsid w:val="1EAB48DF"/>
    <w:rsid w:val="1EAF2227"/>
    <w:rsid w:val="1EBD612C"/>
    <w:rsid w:val="1EC55B98"/>
    <w:rsid w:val="1EE66342"/>
    <w:rsid w:val="1EE96616"/>
    <w:rsid w:val="1F060B4B"/>
    <w:rsid w:val="1F367029"/>
    <w:rsid w:val="1F6921AF"/>
    <w:rsid w:val="1F701971"/>
    <w:rsid w:val="1F99492C"/>
    <w:rsid w:val="1FA97C06"/>
    <w:rsid w:val="1FAD2406"/>
    <w:rsid w:val="1FC72853"/>
    <w:rsid w:val="1FE06515"/>
    <w:rsid w:val="1FF66535"/>
    <w:rsid w:val="1FFA667D"/>
    <w:rsid w:val="200441D6"/>
    <w:rsid w:val="20096AE4"/>
    <w:rsid w:val="200D5E2A"/>
    <w:rsid w:val="20326ED2"/>
    <w:rsid w:val="20444A2E"/>
    <w:rsid w:val="204D5C04"/>
    <w:rsid w:val="20721586"/>
    <w:rsid w:val="208D22B8"/>
    <w:rsid w:val="20E463EA"/>
    <w:rsid w:val="20FB092C"/>
    <w:rsid w:val="212B0EE3"/>
    <w:rsid w:val="212F1DDE"/>
    <w:rsid w:val="213327A5"/>
    <w:rsid w:val="213800A4"/>
    <w:rsid w:val="21382140"/>
    <w:rsid w:val="213B6291"/>
    <w:rsid w:val="213E77A1"/>
    <w:rsid w:val="21500B75"/>
    <w:rsid w:val="21561281"/>
    <w:rsid w:val="21575C71"/>
    <w:rsid w:val="215C4F07"/>
    <w:rsid w:val="21603FD9"/>
    <w:rsid w:val="21A86D53"/>
    <w:rsid w:val="21AF0854"/>
    <w:rsid w:val="21B642CF"/>
    <w:rsid w:val="21C100F4"/>
    <w:rsid w:val="21CD75D1"/>
    <w:rsid w:val="21EA0058"/>
    <w:rsid w:val="21F671B1"/>
    <w:rsid w:val="22057EB7"/>
    <w:rsid w:val="220A0AE9"/>
    <w:rsid w:val="222B2C60"/>
    <w:rsid w:val="222C2C0A"/>
    <w:rsid w:val="223575EB"/>
    <w:rsid w:val="224750CA"/>
    <w:rsid w:val="2250283C"/>
    <w:rsid w:val="225526D0"/>
    <w:rsid w:val="225D37A3"/>
    <w:rsid w:val="225E5EEB"/>
    <w:rsid w:val="226240B5"/>
    <w:rsid w:val="228D287C"/>
    <w:rsid w:val="22B72989"/>
    <w:rsid w:val="22C32D6B"/>
    <w:rsid w:val="22CB6A14"/>
    <w:rsid w:val="22F464E8"/>
    <w:rsid w:val="232A3806"/>
    <w:rsid w:val="23303565"/>
    <w:rsid w:val="2337183B"/>
    <w:rsid w:val="23443CE8"/>
    <w:rsid w:val="235540FE"/>
    <w:rsid w:val="235A201F"/>
    <w:rsid w:val="23611419"/>
    <w:rsid w:val="23927373"/>
    <w:rsid w:val="23C34652"/>
    <w:rsid w:val="23CC074A"/>
    <w:rsid w:val="23FA6EB5"/>
    <w:rsid w:val="24131307"/>
    <w:rsid w:val="24212562"/>
    <w:rsid w:val="24251AFD"/>
    <w:rsid w:val="24456605"/>
    <w:rsid w:val="246C7951"/>
    <w:rsid w:val="247347F1"/>
    <w:rsid w:val="24C4733F"/>
    <w:rsid w:val="24EB07D5"/>
    <w:rsid w:val="24EC7724"/>
    <w:rsid w:val="24ED420A"/>
    <w:rsid w:val="2501056E"/>
    <w:rsid w:val="25211C03"/>
    <w:rsid w:val="252A100A"/>
    <w:rsid w:val="253D26D3"/>
    <w:rsid w:val="254C3EA6"/>
    <w:rsid w:val="256E7E54"/>
    <w:rsid w:val="25760607"/>
    <w:rsid w:val="259336DC"/>
    <w:rsid w:val="25BE48C6"/>
    <w:rsid w:val="25D0211A"/>
    <w:rsid w:val="25D0347E"/>
    <w:rsid w:val="25EA6A02"/>
    <w:rsid w:val="25F33EDB"/>
    <w:rsid w:val="262B152D"/>
    <w:rsid w:val="263E64AD"/>
    <w:rsid w:val="26486CCB"/>
    <w:rsid w:val="26561F6D"/>
    <w:rsid w:val="26590D78"/>
    <w:rsid w:val="266D15C9"/>
    <w:rsid w:val="267460E7"/>
    <w:rsid w:val="26811487"/>
    <w:rsid w:val="268B1958"/>
    <w:rsid w:val="268F3440"/>
    <w:rsid w:val="26BB6AB2"/>
    <w:rsid w:val="26D44F69"/>
    <w:rsid w:val="26E07425"/>
    <w:rsid w:val="27035205"/>
    <w:rsid w:val="271646CC"/>
    <w:rsid w:val="27336CDB"/>
    <w:rsid w:val="273803E6"/>
    <w:rsid w:val="273F73ED"/>
    <w:rsid w:val="274114B0"/>
    <w:rsid w:val="2746732C"/>
    <w:rsid w:val="27485A40"/>
    <w:rsid w:val="274A28B8"/>
    <w:rsid w:val="274A50BC"/>
    <w:rsid w:val="274C4EEF"/>
    <w:rsid w:val="27522B84"/>
    <w:rsid w:val="275D7321"/>
    <w:rsid w:val="27630565"/>
    <w:rsid w:val="27803F7F"/>
    <w:rsid w:val="278E3373"/>
    <w:rsid w:val="27A751E6"/>
    <w:rsid w:val="27A92393"/>
    <w:rsid w:val="27C1215D"/>
    <w:rsid w:val="2814592D"/>
    <w:rsid w:val="284D2554"/>
    <w:rsid w:val="284E1F1F"/>
    <w:rsid w:val="28683560"/>
    <w:rsid w:val="286A4CD6"/>
    <w:rsid w:val="289B1ECA"/>
    <w:rsid w:val="28B0598B"/>
    <w:rsid w:val="28C17362"/>
    <w:rsid w:val="28C52DBE"/>
    <w:rsid w:val="28C9034F"/>
    <w:rsid w:val="28D34007"/>
    <w:rsid w:val="28DD3BF3"/>
    <w:rsid w:val="28E6342E"/>
    <w:rsid w:val="290A02E1"/>
    <w:rsid w:val="291F32A0"/>
    <w:rsid w:val="29285619"/>
    <w:rsid w:val="292A36DF"/>
    <w:rsid w:val="292F4FEE"/>
    <w:rsid w:val="293E6F0D"/>
    <w:rsid w:val="294145D7"/>
    <w:rsid w:val="29422541"/>
    <w:rsid w:val="29443495"/>
    <w:rsid w:val="294471C1"/>
    <w:rsid w:val="29630A39"/>
    <w:rsid w:val="29692B46"/>
    <w:rsid w:val="296F20E2"/>
    <w:rsid w:val="297279A9"/>
    <w:rsid w:val="297A711C"/>
    <w:rsid w:val="29C32B32"/>
    <w:rsid w:val="29CD18EF"/>
    <w:rsid w:val="29DE4BE6"/>
    <w:rsid w:val="29F557FE"/>
    <w:rsid w:val="2A2555B9"/>
    <w:rsid w:val="2A2967FC"/>
    <w:rsid w:val="2A5E3890"/>
    <w:rsid w:val="2A726EE5"/>
    <w:rsid w:val="2A883722"/>
    <w:rsid w:val="2A940A78"/>
    <w:rsid w:val="2A975219"/>
    <w:rsid w:val="2AA12F72"/>
    <w:rsid w:val="2AC0505C"/>
    <w:rsid w:val="2ADF6190"/>
    <w:rsid w:val="2AFB6686"/>
    <w:rsid w:val="2B1C5189"/>
    <w:rsid w:val="2B28004A"/>
    <w:rsid w:val="2B3353D5"/>
    <w:rsid w:val="2B413DFB"/>
    <w:rsid w:val="2B4E18A7"/>
    <w:rsid w:val="2B5C5ACC"/>
    <w:rsid w:val="2B6543DA"/>
    <w:rsid w:val="2B9142A0"/>
    <w:rsid w:val="2BAE72D0"/>
    <w:rsid w:val="2BBE7CBB"/>
    <w:rsid w:val="2BCE5815"/>
    <w:rsid w:val="2BD06BBD"/>
    <w:rsid w:val="2BF076F4"/>
    <w:rsid w:val="2C0460FF"/>
    <w:rsid w:val="2C064B00"/>
    <w:rsid w:val="2C08354D"/>
    <w:rsid w:val="2C1214B1"/>
    <w:rsid w:val="2C1A2C7F"/>
    <w:rsid w:val="2C327D91"/>
    <w:rsid w:val="2C520E2A"/>
    <w:rsid w:val="2C833C1C"/>
    <w:rsid w:val="2C840918"/>
    <w:rsid w:val="2CAB5E63"/>
    <w:rsid w:val="2CC805E7"/>
    <w:rsid w:val="2CCE04DB"/>
    <w:rsid w:val="2CEB16BB"/>
    <w:rsid w:val="2CF374CB"/>
    <w:rsid w:val="2D02235B"/>
    <w:rsid w:val="2D0C232E"/>
    <w:rsid w:val="2D1C51A2"/>
    <w:rsid w:val="2D610AF3"/>
    <w:rsid w:val="2D644A40"/>
    <w:rsid w:val="2D6B4282"/>
    <w:rsid w:val="2D89452A"/>
    <w:rsid w:val="2D9E4629"/>
    <w:rsid w:val="2DA21088"/>
    <w:rsid w:val="2DAC1B65"/>
    <w:rsid w:val="2DB17FB8"/>
    <w:rsid w:val="2DB37245"/>
    <w:rsid w:val="2DB421D1"/>
    <w:rsid w:val="2E2831B9"/>
    <w:rsid w:val="2E285745"/>
    <w:rsid w:val="2E2A2E00"/>
    <w:rsid w:val="2E485607"/>
    <w:rsid w:val="2E6C0A55"/>
    <w:rsid w:val="2E810933"/>
    <w:rsid w:val="2EB44847"/>
    <w:rsid w:val="2ED45507"/>
    <w:rsid w:val="2EEF4E4A"/>
    <w:rsid w:val="2EF90295"/>
    <w:rsid w:val="2EF92236"/>
    <w:rsid w:val="2F233FC2"/>
    <w:rsid w:val="2F64143D"/>
    <w:rsid w:val="2F667804"/>
    <w:rsid w:val="2F7F4630"/>
    <w:rsid w:val="2F807028"/>
    <w:rsid w:val="2F813FF1"/>
    <w:rsid w:val="2F9C5D61"/>
    <w:rsid w:val="2FAD2F79"/>
    <w:rsid w:val="2FB643E9"/>
    <w:rsid w:val="2FD008F2"/>
    <w:rsid w:val="2FEA6BB6"/>
    <w:rsid w:val="2FF44931"/>
    <w:rsid w:val="2FF76AD0"/>
    <w:rsid w:val="30045530"/>
    <w:rsid w:val="3021746E"/>
    <w:rsid w:val="30254E14"/>
    <w:rsid w:val="302B7036"/>
    <w:rsid w:val="304676EF"/>
    <w:rsid w:val="304878FD"/>
    <w:rsid w:val="304B312C"/>
    <w:rsid w:val="305039A6"/>
    <w:rsid w:val="305A0509"/>
    <w:rsid w:val="3069075D"/>
    <w:rsid w:val="306D2871"/>
    <w:rsid w:val="307755D5"/>
    <w:rsid w:val="308E4882"/>
    <w:rsid w:val="308E4F5F"/>
    <w:rsid w:val="30A20314"/>
    <w:rsid w:val="30A5037C"/>
    <w:rsid w:val="30AE1C6C"/>
    <w:rsid w:val="30B40E55"/>
    <w:rsid w:val="30B67DA2"/>
    <w:rsid w:val="30B7097C"/>
    <w:rsid w:val="30C50688"/>
    <w:rsid w:val="30C60499"/>
    <w:rsid w:val="30F40469"/>
    <w:rsid w:val="31030779"/>
    <w:rsid w:val="31255147"/>
    <w:rsid w:val="313545FF"/>
    <w:rsid w:val="31986AF6"/>
    <w:rsid w:val="319967BF"/>
    <w:rsid w:val="319C0817"/>
    <w:rsid w:val="319C7E38"/>
    <w:rsid w:val="31A71CAC"/>
    <w:rsid w:val="31B16A5D"/>
    <w:rsid w:val="31BB689B"/>
    <w:rsid w:val="31D30E9A"/>
    <w:rsid w:val="31F30FB6"/>
    <w:rsid w:val="320F2B63"/>
    <w:rsid w:val="32112DC6"/>
    <w:rsid w:val="323436D7"/>
    <w:rsid w:val="32530945"/>
    <w:rsid w:val="3259662C"/>
    <w:rsid w:val="32672749"/>
    <w:rsid w:val="32695BE7"/>
    <w:rsid w:val="32AD092D"/>
    <w:rsid w:val="32BB6B45"/>
    <w:rsid w:val="32BE27BA"/>
    <w:rsid w:val="32D47060"/>
    <w:rsid w:val="32D83C5E"/>
    <w:rsid w:val="32EA2079"/>
    <w:rsid w:val="32EC1783"/>
    <w:rsid w:val="3322005B"/>
    <w:rsid w:val="334444BE"/>
    <w:rsid w:val="33555839"/>
    <w:rsid w:val="33561BC0"/>
    <w:rsid w:val="3373234D"/>
    <w:rsid w:val="33804283"/>
    <w:rsid w:val="33936DDD"/>
    <w:rsid w:val="33991FE6"/>
    <w:rsid w:val="33A44830"/>
    <w:rsid w:val="33AD598F"/>
    <w:rsid w:val="33B442BF"/>
    <w:rsid w:val="33BA21A1"/>
    <w:rsid w:val="33CC00CA"/>
    <w:rsid w:val="33DD60B4"/>
    <w:rsid w:val="33FD6D1B"/>
    <w:rsid w:val="33FF1AE1"/>
    <w:rsid w:val="34005893"/>
    <w:rsid w:val="34092757"/>
    <w:rsid w:val="343A4DB9"/>
    <w:rsid w:val="344973B9"/>
    <w:rsid w:val="346C6D09"/>
    <w:rsid w:val="348A47C8"/>
    <w:rsid w:val="348F3C15"/>
    <w:rsid w:val="3493654C"/>
    <w:rsid w:val="349D4460"/>
    <w:rsid w:val="349F018F"/>
    <w:rsid w:val="34A05BB1"/>
    <w:rsid w:val="34A7658B"/>
    <w:rsid w:val="34AA3DAB"/>
    <w:rsid w:val="34C05919"/>
    <w:rsid w:val="34C97AD2"/>
    <w:rsid w:val="34D47F19"/>
    <w:rsid w:val="34DD524A"/>
    <w:rsid w:val="34F1381F"/>
    <w:rsid w:val="34FB227B"/>
    <w:rsid w:val="35097D45"/>
    <w:rsid w:val="35376FDB"/>
    <w:rsid w:val="353A1D60"/>
    <w:rsid w:val="354766ED"/>
    <w:rsid w:val="35516956"/>
    <w:rsid w:val="35700D63"/>
    <w:rsid w:val="357211E9"/>
    <w:rsid w:val="35787646"/>
    <w:rsid w:val="357D5FF2"/>
    <w:rsid w:val="358913AC"/>
    <w:rsid w:val="35A54EF8"/>
    <w:rsid w:val="35DC6DF9"/>
    <w:rsid w:val="35E83001"/>
    <w:rsid w:val="35ED0578"/>
    <w:rsid w:val="35F83418"/>
    <w:rsid w:val="35FA674A"/>
    <w:rsid w:val="35FE0BA4"/>
    <w:rsid w:val="361129FC"/>
    <w:rsid w:val="362572E4"/>
    <w:rsid w:val="36395376"/>
    <w:rsid w:val="36462F85"/>
    <w:rsid w:val="36472094"/>
    <w:rsid w:val="365C4379"/>
    <w:rsid w:val="366D0E58"/>
    <w:rsid w:val="36787273"/>
    <w:rsid w:val="36D03471"/>
    <w:rsid w:val="36F70989"/>
    <w:rsid w:val="370E64D9"/>
    <w:rsid w:val="375E2170"/>
    <w:rsid w:val="376A36A8"/>
    <w:rsid w:val="37D456E9"/>
    <w:rsid w:val="37DB3B4D"/>
    <w:rsid w:val="37EB0903"/>
    <w:rsid w:val="37F06E34"/>
    <w:rsid w:val="38225026"/>
    <w:rsid w:val="38363CC7"/>
    <w:rsid w:val="38380596"/>
    <w:rsid w:val="383F36D8"/>
    <w:rsid w:val="384A2E60"/>
    <w:rsid w:val="384D6D95"/>
    <w:rsid w:val="385953A6"/>
    <w:rsid w:val="38AC0DF4"/>
    <w:rsid w:val="392C59FA"/>
    <w:rsid w:val="3931510F"/>
    <w:rsid w:val="394B3D53"/>
    <w:rsid w:val="397626A1"/>
    <w:rsid w:val="39825188"/>
    <w:rsid w:val="39876201"/>
    <w:rsid w:val="39994E19"/>
    <w:rsid w:val="399A504A"/>
    <w:rsid w:val="39A262A5"/>
    <w:rsid w:val="39BD0364"/>
    <w:rsid w:val="39EA34C9"/>
    <w:rsid w:val="39F70FE7"/>
    <w:rsid w:val="39F7730A"/>
    <w:rsid w:val="3A121F53"/>
    <w:rsid w:val="3A147333"/>
    <w:rsid w:val="3A170A8B"/>
    <w:rsid w:val="3A226B22"/>
    <w:rsid w:val="3A4472C4"/>
    <w:rsid w:val="3A571AEB"/>
    <w:rsid w:val="3A6277AD"/>
    <w:rsid w:val="3A6F4A11"/>
    <w:rsid w:val="3A71527E"/>
    <w:rsid w:val="3A841A9A"/>
    <w:rsid w:val="3AB77AB9"/>
    <w:rsid w:val="3ACA27EB"/>
    <w:rsid w:val="3ACF3176"/>
    <w:rsid w:val="3AE251AA"/>
    <w:rsid w:val="3AE845A1"/>
    <w:rsid w:val="3AF6157A"/>
    <w:rsid w:val="3B0B3FCB"/>
    <w:rsid w:val="3B1B7A26"/>
    <w:rsid w:val="3B233BB4"/>
    <w:rsid w:val="3B702FED"/>
    <w:rsid w:val="3B71663B"/>
    <w:rsid w:val="3B847A61"/>
    <w:rsid w:val="3B8C19D8"/>
    <w:rsid w:val="3B8E321A"/>
    <w:rsid w:val="3B8F5DE0"/>
    <w:rsid w:val="3B96684E"/>
    <w:rsid w:val="3BBF0D15"/>
    <w:rsid w:val="3BBF1CBE"/>
    <w:rsid w:val="3BE35F34"/>
    <w:rsid w:val="3BE91E4B"/>
    <w:rsid w:val="3BEB030E"/>
    <w:rsid w:val="3BFE2508"/>
    <w:rsid w:val="3C163092"/>
    <w:rsid w:val="3C313E9E"/>
    <w:rsid w:val="3C97705E"/>
    <w:rsid w:val="3CB40269"/>
    <w:rsid w:val="3CDB2766"/>
    <w:rsid w:val="3D021B9B"/>
    <w:rsid w:val="3D0948E1"/>
    <w:rsid w:val="3D3678FA"/>
    <w:rsid w:val="3D58231E"/>
    <w:rsid w:val="3D623270"/>
    <w:rsid w:val="3D647E7D"/>
    <w:rsid w:val="3D6D5116"/>
    <w:rsid w:val="3D831D33"/>
    <w:rsid w:val="3D8D3F9C"/>
    <w:rsid w:val="3D8F67EA"/>
    <w:rsid w:val="3D9A0956"/>
    <w:rsid w:val="3DAB4537"/>
    <w:rsid w:val="3DAB4758"/>
    <w:rsid w:val="3DB14B5B"/>
    <w:rsid w:val="3DC039E2"/>
    <w:rsid w:val="3DC92331"/>
    <w:rsid w:val="3DE34E0B"/>
    <w:rsid w:val="3DE57F75"/>
    <w:rsid w:val="3DE8193C"/>
    <w:rsid w:val="3DFF6BEC"/>
    <w:rsid w:val="3E052D0B"/>
    <w:rsid w:val="3E1F6F3F"/>
    <w:rsid w:val="3E2326FD"/>
    <w:rsid w:val="3E294E28"/>
    <w:rsid w:val="3E2A3EDC"/>
    <w:rsid w:val="3E2C79DF"/>
    <w:rsid w:val="3E2D19E2"/>
    <w:rsid w:val="3E411C77"/>
    <w:rsid w:val="3E435603"/>
    <w:rsid w:val="3E534AAC"/>
    <w:rsid w:val="3E5B3CF4"/>
    <w:rsid w:val="3E7F7A28"/>
    <w:rsid w:val="3EA069C5"/>
    <w:rsid w:val="3EC014B1"/>
    <w:rsid w:val="3EE66A61"/>
    <w:rsid w:val="3EEC39CB"/>
    <w:rsid w:val="3F0874F8"/>
    <w:rsid w:val="3F0B7949"/>
    <w:rsid w:val="3F0D529E"/>
    <w:rsid w:val="3F170923"/>
    <w:rsid w:val="3F3E66EF"/>
    <w:rsid w:val="3F3E6D77"/>
    <w:rsid w:val="3F5043F0"/>
    <w:rsid w:val="3F6C7347"/>
    <w:rsid w:val="3F6F6E6F"/>
    <w:rsid w:val="3F78365F"/>
    <w:rsid w:val="3F7E6E35"/>
    <w:rsid w:val="3F9B6066"/>
    <w:rsid w:val="3FCB6641"/>
    <w:rsid w:val="3FE435A0"/>
    <w:rsid w:val="3FF05339"/>
    <w:rsid w:val="3FFC733D"/>
    <w:rsid w:val="40077A5E"/>
    <w:rsid w:val="400A5F20"/>
    <w:rsid w:val="40217FC5"/>
    <w:rsid w:val="40261174"/>
    <w:rsid w:val="40437B3E"/>
    <w:rsid w:val="406D0D59"/>
    <w:rsid w:val="408469E4"/>
    <w:rsid w:val="409A403C"/>
    <w:rsid w:val="409C0651"/>
    <w:rsid w:val="409E78E5"/>
    <w:rsid w:val="40AC174E"/>
    <w:rsid w:val="40B114CE"/>
    <w:rsid w:val="40C120CD"/>
    <w:rsid w:val="40D53874"/>
    <w:rsid w:val="40DC50F5"/>
    <w:rsid w:val="40E1456F"/>
    <w:rsid w:val="40EC510F"/>
    <w:rsid w:val="40F44A0B"/>
    <w:rsid w:val="410C5B70"/>
    <w:rsid w:val="411E7BCC"/>
    <w:rsid w:val="41265B7F"/>
    <w:rsid w:val="4131523A"/>
    <w:rsid w:val="41440A01"/>
    <w:rsid w:val="41511E66"/>
    <w:rsid w:val="415A36CC"/>
    <w:rsid w:val="41632184"/>
    <w:rsid w:val="417217C7"/>
    <w:rsid w:val="417703BB"/>
    <w:rsid w:val="41773122"/>
    <w:rsid w:val="41841E0A"/>
    <w:rsid w:val="419E1FEA"/>
    <w:rsid w:val="41CA5FE9"/>
    <w:rsid w:val="41D1759D"/>
    <w:rsid w:val="41D22776"/>
    <w:rsid w:val="41D35C11"/>
    <w:rsid w:val="41EC6942"/>
    <w:rsid w:val="41F45941"/>
    <w:rsid w:val="42167094"/>
    <w:rsid w:val="421D4587"/>
    <w:rsid w:val="422A4C5B"/>
    <w:rsid w:val="422D5917"/>
    <w:rsid w:val="4239310B"/>
    <w:rsid w:val="425E775A"/>
    <w:rsid w:val="4269513F"/>
    <w:rsid w:val="426B4746"/>
    <w:rsid w:val="427B5205"/>
    <w:rsid w:val="4283510D"/>
    <w:rsid w:val="42A223E2"/>
    <w:rsid w:val="42AD1C72"/>
    <w:rsid w:val="42C13F6E"/>
    <w:rsid w:val="42D3732F"/>
    <w:rsid w:val="42D43C87"/>
    <w:rsid w:val="42DA01BE"/>
    <w:rsid w:val="42FE652D"/>
    <w:rsid w:val="430C1638"/>
    <w:rsid w:val="430C4524"/>
    <w:rsid w:val="43433555"/>
    <w:rsid w:val="438C51EA"/>
    <w:rsid w:val="43A825BB"/>
    <w:rsid w:val="43AD23CD"/>
    <w:rsid w:val="43B51114"/>
    <w:rsid w:val="43BC7101"/>
    <w:rsid w:val="43CF2012"/>
    <w:rsid w:val="43EC05AD"/>
    <w:rsid w:val="43EF76F9"/>
    <w:rsid w:val="43F57662"/>
    <w:rsid w:val="43FF1892"/>
    <w:rsid w:val="441206F6"/>
    <w:rsid w:val="44172049"/>
    <w:rsid w:val="443A0477"/>
    <w:rsid w:val="44420115"/>
    <w:rsid w:val="44596F9C"/>
    <w:rsid w:val="446861F6"/>
    <w:rsid w:val="447009D2"/>
    <w:rsid w:val="447D7569"/>
    <w:rsid w:val="44842024"/>
    <w:rsid w:val="4487135F"/>
    <w:rsid w:val="448904E6"/>
    <w:rsid w:val="44A60740"/>
    <w:rsid w:val="44AD32BB"/>
    <w:rsid w:val="44B60635"/>
    <w:rsid w:val="44C064B0"/>
    <w:rsid w:val="44C631A1"/>
    <w:rsid w:val="44DD105E"/>
    <w:rsid w:val="45097AED"/>
    <w:rsid w:val="4512470A"/>
    <w:rsid w:val="45327A2F"/>
    <w:rsid w:val="45551152"/>
    <w:rsid w:val="456168E3"/>
    <w:rsid w:val="45617776"/>
    <w:rsid w:val="457953F4"/>
    <w:rsid w:val="45834455"/>
    <w:rsid w:val="45B87364"/>
    <w:rsid w:val="45C00559"/>
    <w:rsid w:val="45CE48A4"/>
    <w:rsid w:val="45D668A1"/>
    <w:rsid w:val="45D841ED"/>
    <w:rsid w:val="45DA6484"/>
    <w:rsid w:val="45F45E51"/>
    <w:rsid w:val="460D6A3C"/>
    <w:rsid w:val="461A4A7B"/>
    <w:rsid w:val="462907C2"/>
    <w:rsid w:val="466367C0"/>
    <w:rsid w:val="46810837"/>
    <w:rsid w:val="46830A60"/>
    <w:rsid w:val="46990664"/>
    <w:rsid w:val="46A17B5D"/>
    <w:rsid w:val="46C907B5"/>
    <w:rsid w:val="46DA76D2"/>
    <w:rsid w:val="46E11255"/>
    <w:rsid w:val="46EA74BF"/>
    <w:rsid w:val="46F35490"/>
    <w:rsid w:val="470030C9"/>
    <w:rsid w:val="47021DE2"/>
    <w:rsid w:val="470918F9"/>
    <w:rsid w:val="472B2AE3"/>
    <w:rsid w:val="472D1ECB"/>
    <w:rsid w:val="473070F0"/>
    <w:rsid w:val="4735425F"/>
    <w:rsid w:val="47362935"/>
    <w:rsid w:val="47693AA5"/>
    <w:rsid w:val="478C36E4"/>
    <w:rsid w:val="47A97AA1"/>
    <w:rsid w:val="47AF583C"/>
    <w:rsid w:val="47B56F14"/>
    <w:rsid w:val="47BF1AD8"/>
    <w:rsid w:val="47C64A68"/>
    <w:rsid w:val="47F52036"/>
    <w:rsid w:val="48091C02"/>
    <w:rsid w:val="483E3DEF"/>
    <w:rsid w:val="48423033"/>
    <w:rsid w:val="4857124F"/>
    <w:rsid w:val="485E3FB3"/>
    <w:rsid w:val="48705255"/>
    <w:rsid w:val="48740925"/>
    <w:rsid w:val="48831F2E"/>
    <w:rsid w:val="489B5F0B"/>
    <w:rsid w:val="48A141B1"/>
    <w:rsid w:val="48A260D7"/>
    <w:rsid w:val="48A87BB3"/>
    <w:rsid w:val="48BA01D0"/>
    <w:rsid w:val="48C82190"/>
    <w:rsid w:val="48D806BB"/>
    <w:rsid w:val="48D95BA0"/>
    <w:rsid w:val="493E4C83"/>
    <w:rsid w:val="494B2791"/>
    <w:rsid w:val="49687B58"/>
    <w:rsid w:val="49784D25"/>
    <w:rsid w:val="497E4F49"/>
    <w:rsid w:val="498C26F4"/>
    <w:rsid w:val="49A76225"/>
    <w:rsid w:val="49A81C11"/>
    <w:rsid w:val="49BD5619"/>
    <w:rsid w:val="49C35B92"/>
    <w:rsid w:val="49D56D9D"/>
    <w:rsid w:val="49DB3670"/>
    <w:rsid w:val="49E747A4"/>
    <w:rsid w:val="49FD3CDE"/>
    <w:rsid w:val="4A0F09CA"/>
    <w:rsid w:val="4A56111F"/>
    <w:rsid w:val="4A5E2D60"/>
    <w:rsid w:val="4A992969"/>
    <w:rsid w:val="4AAD1BFE"/>
    <w:rsid w:val="4AB07732"/>
    <w:rsid w:val="4AB5099E"/>
    <w:rsid w:val="4AC77105"/>
    <w:rsid w:val="4ADC1F8D"/>
    <w:rsid w:val="4AFC0BDF"/>
    <w:rsid w:val="4B283AA7"/>
    <w:rsid w:val="4B722C71"/>
    <w:rsid w:val="4B732F9C"/>
    <w:rsid w:val="4B8D557D"/>
    <w:rsid w:val="4B9B5B37"/>
    <w:rsid w:val="4BD76256"/>
    <w:rsid w:val="4BE920A1"/>
    <w:rsid w:val="4BEC649C"/>
    <w:rsid w:val="4C050910"/>
    <w:rsid w:val="4C1457C4"/>
    <w:rsid w:val="4C2C7FF1"/>
    <w:rsid w:val="4C431C92"/>
    <w:rsid w:val="4C5011A8"/>
    <w:rsid w:val="4C525872"/>
    <w:rsid w:val="4C6C0094"/>
    <w:rsid w:val="4C793AF4"/>
    <w:rsid w:val="4C8660D4"/>
    <w:rsid w:val="4CA91D98"/>
    <w:rsid w:val="4CB45BEE"/>
    <w:rsid w:val="4CBC2FD8"/>
    <w:rsid w:val="4D21431B"/>
    <w:rsid w:val="4D2675A8"/>
    <w:rsid w:val="4D9F53AB"/>
    <w:rsid w:val="4DA8599D"/>
    <w:rsid w:val="4DB72E1B"/>
    <w:rsid w:val="4DCA4602"/>
    <w:rsid w:val="4DCF77BD"/>
    <w:rsid w:val="4DD02DC4"/>
    <w:rsid w:val="4DD3019E"/>
    <w:rsid w:val="4DDC6F0E"/>
    <w:rsid w:val="4DE100F0"/>
    <w:rsid w:val="4DE20BE7"/>
    <w:rsid w:val="4DF336FF"/>
    <w:rsid w:val="4DF6749A"/>
    <w:rsid w:val="4DFC2348"/>
    <w:rsid w:val="4E1377AD"/>
    <w:rsid w:val="4E1F380A"/>
    <w:rsid w:val="4E72687A"/>
    <w:rsid w:val="4E9C4B5B"/>
    <w:rsid w:val="4EA656B7"/>
    <w:rsid w:val="4EAE10FA"/>
    <w:rsid w:val="4EB26250"/>
    <w:rsid w:val="4EC70588"/>
    <w:rsid w:val="4ED64B21"/>
    <w:rsid w:val="4EDB11C1"/>
    <w:rsid w:val="4EFD2CD2"/>
    <w:rsid w:val="4F0845C7"/>
    <w:rsid w:val="4F0D5844"/>
    <w:rsid w:val="4F276364"/>
    <w:rsid w:val="4F3007F7"/>
    <w:rsid w:val="4F395E76"/>
    <w:rsid w:val="4F4509C4"/>
    <w:rsid w:val="4F563AE9"/>
    <w:rsid w:val="4F5D02E5"/>
    <w:rsid w:val="4F621920"/>
    <w:rsid w:val="4F6649B4"/>
    <w:rsid w:val="4F71639E"/>
    <w:rsid w:val="4F73655E"/>
    <w:rsid w:val="4F7F27EA"/>
    <w:rsid w:val="4FBD16E0"/>
    <w:rsid w:val="4FC66F4D"/>
    <w:rsid w:val="4FF24139"/>
    <w:rsid w:val="503057EF"/>
    <w:rsid w:val="503751FA"/>
    <w:rsid w:val="50446386"/>
    <w:rsid w:val="50492E11"/>
    <w:rsid w:val="507743F8"/>
    <w:rsid w:val="507C4595"/>
    <w:rsid w:val="508436A7"/>
    <w:rsid w:val="50880F73"/>
    <w:rsid w:val="509B53CB"/>
    <w:rsid w:val="50A3053A"/>
    <w:rsid w:val="50AA183D"/>
    <w:rsid w:val="50AB1369"/>
    <w:rsid w:val="50B814C3"/>
    <w:rsid w:val="50C93112"/>
    <w:rsid w:val="50CB60A7"/>
    <w:rsid w:val="50CF411E"/>
    <w:rsid w:val="50D5309A"/>
    <w:rsid w:val="50E50403"/>
    <w:rsid w:val="50EA3CCB"/>
    <w:rsid w:val="50EE4D03"/>
    <w:rsid w:val="51076B5E"/>
    <w:rsid w:val="515E4F35"/>
    <w:rsid w:val="51651D58"/>
    <w:rsid w:val="51666493"/>
    <w:rsid w:val="516D1967"/>
    <w:rsid w:val="51710AA2"/>
    <w:rsid w:val="517578C7"/>
    <w:rsid w:val="518F135E"/>
    <w:rsid w:val="51CD601D"/>
    <w:rsid w:val="51F15DFD"/>
    <w:rsid w:val="51F840FA"/>
    <w:rsid w:val="52160758"/>
    <w:rsid w:val="523F7635"/>
    <w:rsid w:val="52465EC2"/>
    <w:rsid w:val="52840BEF"/>
    <w:rsid w:val="528F0D42"/>
    <w:rsid w:val="52A94709"/>
    <w:rsid w:val="52BC2EBB"/>
    <w:rsid w:val="52CA463C"/>
    <w:rsid w:val="52D23A15"/>
    <w:rsid w:val="52E44CE6"/>
    <w:rsid w:val="52F60F75"/>
    <w:rsid w:val="52FC0C90"/>
    <w:rsid w:val="53036F94"/>
    <w:rsid w:val="53061CFB"/>
    <w:rsid w:val="531B436E"/>
    <w:rsid w:val="53477649"/>
    <w:rsid w:val="53797F7D"/>
    <w:rsid w:val="53A02F3D"/>
    <w:rsid w:val="53A23501"/>
    <w:rsid w:val="53C0738D"/>
    <w:rsid w:val="53D1520D"/>
    <w:rsid w:val="53D35990"/>
    <w:rsid w:val="53F6524D"/>
    <w:rsid w:val="542D7E21"/>
    <w:rsid w:val="54566C7B"/>
    <w:rsid w:val="54604151"/>
    <w:rsid w:val="548206B4"/>
    <w:rsid w:val="54861520"/>
    <w:rsid w:val="548D6A45"/>
    <w:rsid w:val="54A10A74"/>
    <w:rsid w:val="54A201BB"/>
    <w:rsid w:val="54A4315D"/>
    <w:rsid w:val="54EC757D"/>
    <w:rsid w:val="5503287F"/>
    <w:rsid w:val="550B45D4"/>
    <w:rsid w:val="550C5327"/>
    <w:rsid w:val="550D17A9"/>
    <w:rsid w:val="551A1B6D"/>
    <w:rsid w:val="55402DB7"/>
    <w:rsid w:val="556B43EC"/>
    <w:rsid w:val="5571253B"/>
    <w:rsid w:val="55781B2F"/>
    <w:rsid w:val="55BE3885"/>
    <w:rsid w:val="55C139DB"/>
    <w:rsid w:val="55F36E73"/>
    <w:rsid w:val="560D23B9"/>
    <w:rsid w:val="5627345F"/>
    <w:rsid w:val="56535FDA"/>
    <w:rsid w:val="565F2F3A"/>
    <w:rsid w:val="567A73CB"/>
    <w:rsid w:val="567C0B5A"/>
    <w:rsid w:val="56882EF2"/>
    <w:rsid w:val="56A732C1"/>
    <w:rsid w:val="56DC178D"/>
    <w:rsid w:val="56E511FE"/>
    <w:rsid w:val="5703744E"/>
    <w:rsid w:val="570F20EB"/>
    <w:rsid w:val="57171B57"/>
    <w:rsid w:val="572612F4"/>
    <w:rsid w:val="572740D3"/>
    <w:rsid w:val="57524535"/>
    <w:rsid w:val="575666B0"/>
    <w:rsid w:val="57580D1E"/>
    <w:rsid w:val="575D4310"/>
    <w:rsid w:val="57B77653"/>
    <w:rsid w:val="57DB61CF"/>
    <w:rsid w:val="57DC420C"/>
    <w:rsid w:val="57DC631B"/>
    <w:rsid w:val="57FB6237"/>
    <w:rsid w:val="580A4432"/>
    <w:rsid w:val="58241EF3"/>
    <w:rsid w:val="583C47EF"/>
    <w:rsid w:val="585E6763"/>
    <w:rsid w:val="587F1B68"/>
    <w:rsid w:val="588B3E90"/>
    <w:rsid w:val="589237C8"/>
    <w:rsid w:val="58E31DA7"/>
    <w:rsid w:val="58F434E5"/>
    <w:rsid w:val="58FC4DEC"/>
    <w:rsid w:val="5919581F"/>
    <w:rsid w:val="59196696"/>
    <w:rsid w:val="59233E8F"/>
    <w:rsid w:val="593876AD"/>
    <w:rsid w:val="59415C3D"/>
    <w:rsid w:val="594D775B"/>
    <w:rsid w:val="5958218D"/>
    <w:rsid w:val="595B4B99"/>
    <w:rsid w:val="595D7BC1"/>
    <w:rsid w:val="597C200F"/>
    <w:rsid w:val="59A13769"/>
    <w:rsid w:val="59B52DB5"/>
    <w:rsid w:val="59B64227"/>
    <w:rsid w:val="59DA1357"/>
    <w:rsid w:val="59F155F1"/>
    <w:rsid w:val="5A0D7E70"/>
    <w:rsid w:val="5A1D4190"/>
    <w:rsid w:val="5A2F13B4"/>
    <w:rsid w:val="5A397FA6"/>
    <w:rsid w:val="5A3D13DB"/>
    <w:rsid w:val="5A462ECA"/>
    <w:rsid w:val="5A833B8D"/>
    <w:rsid w:val="5A92644E"/>
    <w:rsid w:val="5ADB1C18"/>
    <w:rsid w:val="5AE954F3"/>
    <w:rsid w:val="5AFA61D6"/>
    <w:rsid w:val="5AFE34D7"/>
    <w:rsid w:val="5B12483A"/>
    <w:rsid w:val="5B1E349E"/>
    <w:rsid w:val="5B2363B5"/>
    <w:rsid w:val="5B29439F"/>
    <w:rsid w:val="5B354305"/>
    <w:rsid w:val="5B3B431D"/>
    <w:rsid w:val="5B501ED1"/>
    <w:rsid w:val="5B852766"/>
    <w:rsid w:val="5B9A66BD"/>
    <w:rsid w:val="5B9F59FF"/>
    <w:rsid w:val="5BA35C3F"/>
    <w:rsid w:val="5BA725C9"/>
    <w:rsid w:val="5BB12BC7"/>
    <w:rsid w:val="5BDB25C0"/>
    <w:rsid w:val="5BF13D64"/>
    <w:rsid w:val="5C0814D3"/>
    <w:rsid w:val="5C347285"/>
    <w:rsid w:val="5C544C18"/>
    <w:rsid w:val="5C5A3D11"/>
    <w:rsid w:val="5C5D63B7"/>
    <w:rsid w:val="5C6454F9"/>
    <w:rsid w:val="5C6E6BB0"/>
    <w:rsid w:val="5C70264C"/>
    <w:rsid w:val="5C7626B9"/>
    <w:rsid w:val="5C9B774F"/>
    <w:rsid w:val="5CA01AB4"/>
    <w:rsid w:val="5CBB1A73"/>
    <w:rsid w:val="5CC26EAE"/>
    <w:rsid w:val="5CC31B3E"/>
    <w:rsid w:val="5CCE078D"/>
    <w:rsid w:val="5CDA53C4"/>
    <w:rsid w:val="5CE70B7E"/>
    <w:rsid w:val="5D114AA0"/>
    <w:rsid w:val="5D1B17D3"/>
    <w:rsid w:val="5D331029"/>
    <w:rsid w:val="5D516D22"/>
    <w:rsid w:val="5D7A1B0B"/>
    <w:rsid w:val="5D8106CE"/>
    <w:rsid w:val="5DB54949"/>
    <w:rsid w:val="5DDB2614"/>
    <w:rsid w:val="5DE249A5"/>
    <w:rsid w:val="5DE84BBC"/>
    <w:rsid w:val="5E0D5EA0"/>
    <w:rsid w:val="5E222D7F"/>
    <w:rsid w:val="5E330F8E"/>
    <w:rsid w:val="5EB04A46"/>
    <w:rsid w:val="5EBB33E4"/>
    <w:rsid w:val="5EE56938"/>
    <w:rsid w:val="5EEE2F05"/>
    <w:rsid w:val="5F203C5A"/>
    <w:rsid w:val="5F24587E"/>
    <w:rsid w:val="5F303147"/>
    <w:rsid w:val="5F332024"/>
    <w:rsid w:val="5F3C7BD0"/>
    <w:rsid w:val="5F3D7309"/>
    <w:rsid w:val="5F450DC3"/>
    <w:rsid w:val="5F4C3F3C"/>
    <w:rsid w:val="5F53351C"/>
    <w:rsid w:val="5F5D5242"/>
    <w:rsid w:val="5F952C60"/>
    <w:rsid w:val="5F9C3139"/>
    <w:rsid w:val="5F9D24E8"/>
    <w:rsid w:val="5FAC0EC3"/>
    <w:rsid w:val="5FC37A2B"/>
    <w:rsid w:val="5FCF21FE"/>
    <w:rsid w:val="5FD76F02"/>
    <w:rsid w:val="5FDF76E5"/>
    <w:rsid w:val="5FE80112"/>
    <w:rsid w:val="5FEA0341"/>
    <w:rsid w:val="5FEE6FD4"/>
    <w:rsid w:val="5FEE7406"/>
    <w:rsid w:val="60021F6B"/>
    <w:rsid w:val="6004062E"/>
    <w:rsid w:val="60130B1A"/>
    <w:rsid w:val="602455F9"/>
    <w:rsid w:val="6034415F"/>
    <w:rsid w:val="603C4C9C"/>
    <w:rsid w:val="60735901"/>
    <w:rsid w:val="60AB4D13"/>
    <w:rsid w:val="60BB05EF"/>
    <w:rsid w:val="60C5219D"/>
    <w:rsid w:val="60C805BB"/>
    <w:rsid w:val="60E42A5E"/>
    <w:rsid w:val="61065230"/>
    <w:rsid w:val="610A27C2"/>
    <w:rsid w:val="611B7361"/>
    <w:rsid w:val="61336C26"/>
    <w:rsid w:val="613D4C20"/>
    <w:rsid w:val="614120C8"/>
    <w:rsid w:val="6151322E"/>
    <w:rsid w:val="61543319"/>
    <w:rsid w:val="61666115"/>
    <w:rsid w:val="617A6AE5"/>
    <w:rsid w:val="619271E4"/>
    <w:rsid w:val="61B25838"/>
    <w:rsid w:val="61E04EE5"/>
    <w:rsid w:val="620B2026"/>
    <w:rsid w:val="620B5509"/>
    <w:rsid w:val="6227694C"/>
    <w:rsid w:val="624C5881"/>
    <w:rsid w:val="626D432B"/>
    <w:rsid w:val="62AA6084"/>
    <w:rsid w:val="62B318B6"/>
    <w:rsid w:val="62E829A5"/>
    <w:rsid w:val="62EB3AC2"/>
    <w:rsid w:val="631405E8"/>
    <w:rsid w:val="63163E01"/>
    <w:rsid w:val="631E774D"/>
    <w:rsid w:val="631F15D6"/>
    <w:rsid w:val="632844CD"/>
    <w:rsid w:val="63453467"/>
    <w:rsid w:val="63596A37"/>
    <w:rsid w:val="635D2EB4"/>
    <w:rsid w:val="63634209"/>
    <w:rsid w:val="636D582F"/>
    <w:rsid w:val="63703400"/>
    <w:rsid w:val="63792360"/>
    <w:rsid w:val="63852A52"/>
    <w:rsid w:val="6394695F"/>
    <w:rsid w:val="63B71747"/>
    <w:rsid w:val="63D110C5"/>
    <w:rsid w:val="63D96991"/>
    <w:rsid w:val="63F30D47"/>
    <w:rsid w:val="63FA212F"/>
    <w:rsid w:val="64057CDA"/>
    <w:rsid w:val="640A312F"/>
    <w:rsid w:val="64193FF4"/>
    <w:rsid w:val="64325187"/>
    <w:rsid w:val="64372041"/>
    <w:rsid w:val="64382979"/>
    <w:rsid w:val="643D321D"/>
    <w:rsid w:val="64445821"/>
    <w:rsid w:val="645044FB"/>
    <w:rsid w:val="646A3461"/>
    <w:rsid w:val="646B2DE3"/>
    <w:rsid w:val="64771229"/>
    <w:rsid w:val="649D6523"/>
    <w:rsid w:val="649F297B"/>
    <w:rsid w:val="64AC503E"/>
    <w:rsid w:val="64AF4F5A"/>
    <w:rsid w:val="64B03FE6"/>
    <w:rsid w:val="64B24842"/>
    <w:rsid w:val="64CC2A7C"/>
    <w:rsid w:val="64DD38D7"/>
    <w:rsid w:val="64E82D05"/>
    <w:rsid w:val="65032DA8"/>
    <w:rsid w:val="65133947"/>
    <w:rsid w:val="65393C0B"/>
    <w:rsid w:val="654C155A"/>
    <w:rsid w:val="65661978"/>
    <w:rsid w:val="6576391F"/>
    <w:rsid w:val="658016EB"/>
    <w:rsid w:val="658D29AA"/>
    <w:rsid w:val="65A93895"/>
    <w:rsid w:val="65AD52E9"/>
    <w:rsid w:val="65BF382F"/>
    <w:rsid w:val="65CF2C1F"/>
    <w:rsid w:val="65DA3299"/>
    <w:rsid w:val="65E641FF"/>
    <w:rsid w:val="65EB64D1"/>
    <w:rsid w:val="65F00021"/>
    <w:rsid w:val="65F70ACE"/>
    <w:rsid w:val="65FD76AB"/>
    <w:rsid w:val="66025468"/>
    <w:rsid w:val="660E44B0"/>
    <w:rsid w:val="66147B53"/>
    <w:rsid w:val="66163C97"/>
    <w:rsid w:val="6629331D"/>
    <w:rsid w:val="66394A71"/>
    <w:rsid w:val="664D3126"/>
    <w:rsid w:val="666032DE"/>
    <w:rsid w:val="66693935"/>
    <w:rsid w:val="666D0F8B"/>
    <w:rsid w:val="6671705F"/>
    <w:rsid w:val="66982631"/>
    <w:rsid w:val="66A562F6"/>
    <w:rsid w:val="66A81454"/>
    <w:rsid w:val="66EF7672"/>
    <w:rsid w:val="66F06FEE"/>
    <w:rsid w:val="67117823"/>
    <w:rsid w:val="67180E0A"/>
    <w:rsid w:val="6724097D"/>
    <w:rsid w:val="67261EE5"/>
    <w:rsid w:val="674A64F4"/>
    <w:rsid w:val="674B130A"/>
    <w:rsid w:val="67733CE8"/>
    <w:rsid w:val="6779525F"/>
    <w:rsid w:val="6787528E"/>
    <w:rsid w:val="67A67B39"/>
    <w:rsid w:val="67BC14BF"/>
    <w:rsid w:val="68142F66"/>
    <w:rsid w:val="68151A12"/>
    <w:rsid w:val="681F04F3"/>
    <w:rsid w:val="68324B49"/>
    <w:rsid w:val="68374C22"/>
    <w:rsid w:val="68460B74"/>
    <w:rsid w:val="68525041"/>
    <w:rsid w:val="6858593D"/>
    <w:rsid w:val="68630D65"/>
    <w:rsid w:val="686A3CA5"/>
    <w:rsid w:val="687F5C27"/>
    <w:rsid w:val="688844F1"/>
    <w:rsid w:val="68AF6C8A"/>
    <w:rsid w:val="68B07650"/>
    <w:rsid w:val="68C106F2"/>
    <w:rsid w:val="68D84F91"/>
    <w:rsid w:val="68E452DB"/>
    <w:rsid w:val="690A1540"/>
    <w:rsid w:val="691D6CB6"/>
    <w:rsid w:val="692750D7"/>
    <w:rsid w:val="694F346E"/>
    <w:rsid w:val="69772C3A"/>
    <w:rsid w:val="697878E6"/>
    <w:rsid w:val="699E2C00"/>
    <w:rsid w:val="69B11EAE"/>
    <w:rsid w:val="69B3379C"/>
    <w:rsid w:val="69CA3632"/>
    <w:rsid w:val="69CE1D80"/>
    <w:rsid w:val="69D5033F"/>
    <w:rsid w:val="69D779E6"/>
    <w:rsid w:val="6A0C1288"/>
    <w:rsid w:val="6A11011B"/>
    <w:rsid w:val="6A1D6E3E"/>
    <w:rsid w:val="6A4E3EB7"/>
    <w:rsid w:val="6A6B6D8F"/>
    <w:rsid w:val="6A741162"/>
    <w:rsid w:val="6A7519AC"/>
    <w:rsid w:val="6A8B59C7"/>
    <w:rsid w:val="6AA34908"/>
    <w:rsid w:val="6AA950E4"/>
    <w:rsid w:val="6ABE01CE"/>
    <w:rsid w:val="6AC569B9"/>
    <w:rsid w:val="6ACC3658"/>
    <w:rsid w:val="6ACD2711"/>
    <w:rsid w:val="6B102A53"/>
    <w:rsid w:val="6B216474"/>
    <w:rsid w:val="6B416685"/>
    <w:rsid w:val="6B477073"/>
    <w:rsid w:val="6B52321E"/>
    <w:rsid w:val="6B543EE1"/>
    <w:rsid w:val="6B6057A3"/>
    <w:rsid w:val="6B70761C"/>
    <w:rsid w:val="6B7F3F61"/>
    <w:rsid w:val="6B8E7525"/>
    <w:rsid w:val="6B9A0125"/>
    <w:rsid w:val="6B9F2FA5"/>
    <w:rsid w:val="6B9F44A0"/>
    <w:rsid w:val="6BA167E0"/>
    <w:rsid w:val="6BA37BBA"/>
    <w:rsid w:val="6BAF194E"/>
    <w:rsid w:val="6BE15521"/>
    <w:rsid w:val="6BED0929"/>
    <w:rsid w:val="6C06520A"/>
    <w:rsid w:val="6C0716EB"/>
    <w:rsid w:val="6C0D056D"/>
    <w:rsid w:val="6C1E01B7"/>
    <w:rsid w:val="6C201471"/>
    <w:rsid w:val="6C3141DD"/>
    <w:rsid w:val="6C343DCD"/>
    <w:rsid w:val="6C471C56"/>
    <w:rsid w:val="6C4F008B"/>
    <w:rsid w:val="6CC60DF5"/>
    <w:rsid w:val="6CC651D6"/>
    <w:rsid w:val="6CD678BC"/>
    <w:rsid w:val="6D0824D6"/>
    <w:rsid w:val="6D147380"/>
    <w:rsid w:val="6D1F24D9"/>
    <w:rsid w:val="6D271045"/>
    <w:rsid w:val="6D2F0736"/>
    <w:rsid w:val="6D40103C"/>
    <w:rsid w:val="6D450C20"/>
    <w:rsid w:val="6D577685"/>
    <w:rsid w:val="6D6560B4"/>
    <w:rsid w:val="6D6F01C3"/>
    <w:rsid w:val="6D7060F8"/>
    <w:rsid w:val="6D80454D"/>
    <w:rsid w:val="6D9100E4"/>
    <w:rsid w:val="6D9953D6"/>
    <w:rsid w:val="6DA76A04"/>
    <w:rsid w:val="6DC84064"/>
    <w:rsid w:val="6DDA3464"/>
    <w:rsid w:val="6DDC0F86"/>
    <w:rsid w:val="6DEC4385"/>
    <w:rsid w:val="6DFB4844"/>
    <w:rsid w:val="6E033A1D"/>
    <w:rsid w:val="6E0C201B"/>
    <w:rsid w:val="6E12292A"/>
    <w:rsid w:val="6E141CB7"/>
    <w:rsid w:val="6E3D79CF"/>
    <w:rsid w:val="6E686399"/>
    <w:rsid w:val="6E6B531E"/>
    <w:rsid w:val="6E72322D"/>
    <w:rsid w:val="6E7253FD"/>
    <w:rsid w:val="6E9F6829"/>
    <w:rsid w:val="6EB77634"/>
    <w:rsid w:val="6EBB7993"/>
    <w:rsid w:val="6EC74C93"/>
    <w:rsid w:val="6ED15734"/>
    <w:rsid w:val="6EEB3649"/>
    <w:rsid w:val="6EF57F49"/>
    <w:rsid w:val="6EF740BC"/>
    <w:rsid w:val="6F181253"/>
    <w:rsid w:val="6F374A58"/>
    <w:rsid w:val="6F5F710B"/>
    <w:rsid w:val="6F622FF6"/>
    <w:rsid w:val="6F667A5B"/>
    <w:rsid w:val="6F6915CE"/>
    <w:rsid w:val="6F6C5B0A"/>
    <w:rsid w:val="6F7103F2"/>
    <w:rsid w:val="6F72480F"/>
    <w:rsid w:val="6F76559C"/>
    <w:rsid w:val="6F884489"/>
    <w:rsid w:val="6FEE2791"/>
    <w:rsid w:val="6FF80821"/>
    <w:rsid w:val="7000644C"/>
    <w:rsid w:val="70244C09"/>
    <w:rsid w:val="70390E52"/>
    <w:rsid w:val="70460702"/>
    <w:rsid w:val="7046243E"/>
    <w:rsid w:val="70467501"/>
    <w:rsid w:val="708804CA"/>
    <w:rsid w:val="70931E39"/>
    <w:rsid w:val="70B1482E"/>
    <w:rsid w:val="70B56664"/>
    <w:rsid w:val="70BF1744"/>
    <w:rsid w:val="70F729E3"/>
    <w:rsid w:val="70F753E0"/>
    <w:rsid w:val="70FE5BF1"/>
    <w:rsid w:val="7103304E"/>
    <w:rsid w:val="71060B66"/>
    <w:rsid w:val="7110722A"/>
    <w:rsid w:val="71170074"/>
    <w:rsid w:val="711D761F"/>
    <w:rsid w:val="71243C7B"/>
    <w:rsid w:val="715C71A8"/>
    <w:rsid w:val="71625BD8"/>
    <w:rsid w:val="7193616F"/>
    <w:rsid w:val="71CA1CD2"/>
    <w:rsid w:val="71CB46B5"/>
    <w:rsid w:val="71CE2F92"/>
    <w:rsid w:val="71DE3ABC"/>
    <w:rsid w:val="71F5116D"/>
    <w:rsid w:val="72226384"/>
    <w:rsid w:val="7229425A"/>
    <w:rsid w:val="72531AFE"/>
    <w:rsid w:val="725A61A5"/>
    <w:rsid w:val="725B5B2D"/>
    <w:rsid w:val="72633EF2"/>
    <w:rsid w:val="726678C3"/>
    <w:rsid w:val="72A42660"/>
    <w:rsid w:val="72D05631"/>
    <w:rsid w:val="72E44522"/>
    <w:rsid w:val="72E54C2F"/>
    <w:rsid w:val="72F13C64"/>
    <w:rsid w:val="7325438E"/>
    <w:rsid w:val="734A5B3F"/>
    <w:rsid w:val="735E77A2"/>
    <w:rsid w:val="736E1AD4"/>
    <w:rsid w:val="73702411"/>
    <w:rsid w:val="737D68F5"/>
    <w:rsid w:val="73C94C4B"/>
    <w:rsid w:val="73D31E97"/>
    <w:rsid w:val="73E6752B"/>
    <w:rsid w:val="74031D59"/>
    <w:rsid w:val="740D2893"/>
    <w:rsid w:val="741936BD"/>
    <w:rsid w:val="7433126B"/>
    <w:rsid w:val="745A2B81"/>
    <w:rsid w:val="748C5038"/>
    <w:rsid w:val="74915DC9"/>
    <w:rsid w:val="74C41C9F"/>
    <w:rsid w:val="75016F6F"/>
    <w:rsid w:val="750B1B93"/>
    <w:rsid w:val="750E65A6"/>
    <w:rsid w:val="754729B1"/>
    <w:rsid w:val="754A2F4F"/>
    <w:rsid w:val="756740DB"/>
    <w:rsid w:val="75686D10"/>
    <w:rsid w:val="75A17E43"/>
    <w:rsid w:val="75A41A1D"/>
    <w:rsid w:val="75AB072C"/>
    <w:rsid w:val="75C904E7"/>
    <w:rsid w:val="75D11954"/>
    <w:rsid w:val="75F77149"/>
    <w:rsid w:val="76266EFC"/>
    <w:rsid w:val="762A44DE"/>
    <w:rsid w:val="762E69C0"/>
    <w:rsid w:val="76470776"/>
    <w:rsid w:val="764C6BC5"/>
    <w:rsid w:val="76A16892"/>
    <w:rsid w:val="76A74E38"/>
    <w:rsid w:val="76AD58E4"/>
    <w:rsid w:val="76AD5DC4"/>
    <w:rsid w:val="76CF057A"/>
    <w:rsid w:val="76D965F3"/>
    <w:rsid w:val="76DC036D"/>
    <w:rsid w:val="76E74A2C"/>
    <w:rsid w:val="76FF4C4F"/>
    <w:rsid w:val="771450B6"/>
    <w:rsid w:val="771E69E7"/>
    <w:rsid w:val="77230004"/>
    <w:rsid w:val="772925FF"/>
    <w:rsid w:val="773A7C2A"/>
    <w:rsid w:val="775727E8"/>
    <w:rsid w:val="775D6752"/>
    <w:rsid w:val="775F2CED"/>
    <w:rsid w:val="777457DF"/>
    <w:rsid w:val="7776075E"/>
    <w:rsid w:val="777E4E9B"/>
    <w:rsid w:val="778E0CF0"/>
    <w:rsid w:val="77A2383B"/>
    <w:rsid w:val="77BA5E68"/>
    <w:rsid w:val="77C13C58"/>
    <w:rsid w:val="77C6528F"/>
    <w:rsid w:val="77C82DBB"/>
    <w:rsid w:val="77D1522D"/>
    <w:rsid w:val="77DA64AE"/>
    <w:rsid w:val="77F51103"/>
    <w:rsid w:val="780C4BFA"/>
    <w:rsid w:val="781454DD"/>
    <w:rsid w:val="78173E13"/>
    <w:rsid w:val="781D68B9"/>
    <w:rsid w:val="782B2278"/>
    <w:rsid w:val="7831073B"/>
    <w:rsid w:val="7837510E"/>
    <w:rsid w:val="784107AD"/>
    <w:rsid w:val="78661915"/>
    <w:rsid w:val="786F4AD9"/>
    <w:rsid w:val="78782603"/>
    <w:rsid w:val="7882347B"/>
    <w:rsid w:val="7885113E"/>
    <w:rsid w:val="78AB19D7"/>
    <w:rsid w:val="78AF50F6"/>
    <w:rsid w:val="78C76F6A"/>
    <w:rsid w:val="78F00908"/>
    <w:rsid w:val="79081971"/>
    <w:rsid w:val="79260710"/>
    <w:rsid w:val="79341376"/>
    <w:rsid w:val="79502EA8"/>
    <w:rsid w:val="79723636"/>
    <w:rsid w:val="7990772F"/>
    <w:rsid w:val="7999677B"/>
    <w:rsid w:val="79AD361A"/>
    <w:rsid w:val="79D671EF"/>
    <w:rsid w:val="79E13CDF"/>
    <w:rsid w:val="79E352B6"/>
    <w:rsid w:val="79E3721B"/>
    <w:rsid w:val="79E37EEE"/>
    <w:rsid w:val="79E479E4"/>
    <w:rsid w:val="7A2046D7"/>
    <w:rsid w:val="7A35410F"/>
    <w:rsid w:val="7A36630D"/>
    <w:rsid w:val="7A385092"/>
    <w:rsid w:val="7A466E69"/>
    <w:rsid w:val="7A474029"/>
    <w:rsid w:val="7A5B72D1"/>
    <w:rsid w:val="7AB4477D"/>
    <w:rsid w:val="7ADD0F5C"/>
    <w:rsid w:val="7AEB11C4"/>
    <w:rsid w:val="7B022039"/>
    <w:rsid w:val="7B09518B"/>
    <w:rsid w:val="7B1C2AE9"/>
    <w:rsid w:val="7B3A48B6"/>
    <w:rsid w:val="7B4B1B25"/>
    <w:rsid w:val="7B5E7074"/>
    <w:rsid w:val="7BE65294"/>
    <w:rsid w:val="7BE8241A"/>
    <w:rsid w:val="7BEF1723"/>
    <w:rsid w:val="7C003F9F"/>
    <w:rsid w:val="7C3C5268"/>
    <w:rsid w:val="7C3E1F66"/>
    <w:rsid w:val="7C510CBB"/>
    <w:rsid w:val="7C621D9D"/>
    <w:rsid w:val="7C737541"/>
    <w:rsid w:val="7C9E184A"/>
    <w:rsid w:val="7CA26E06"/>
    <w:rsid w:val="7CE13C5D"/>
    <w:rsid w:val="7CF401DF"/>
    <w:rsid w:val="7CFC454A"/>
    <w:rsid w:val="7D1169AF"/>
    <w:rsid w:val="7D157918"/>
    <w:rsid w:val="7D1E68BA"/>
    <w:rsid w:val="7D1F2BE8"/>
    <w:rsid w:val="7D2A0B0E"/>
    <w:rsid w:val="7D38437C"/>
    <w:rsid w:val="7D6A689A"/>
    <w:rsid w:val="7D867CFE"/>
    <w:rsid w:val="7D8D35DF"/>
    <w:rsid w:val="7D925D0F"/>
    <w:rsid w:val="7DA02F22"/>
    <w:rsid w:val="7DAC28E7"/>
    <w:rsid w:val="7DB165C4"/>
    <w:rsid w:val="7DCB716E"/>
    <w:rsid w:val="7DE46134"/>
    <w:rsid w:val="7DF734B5"/>
    <w:rsid w:val="7E0B3DFB"/>
    <w:rsid w:val="7E1415A0"/>
    <w:rsid w:val="7E3A482F"/>
    <w:rsid w:val="7E430B4C"/>
    <w:rsid w:val="7E4401C9"/>
    <w:rsid w:val="7E667F69"/>
    <w:rsid w:val="7E6E17D2"/>
    <w:rsid w:val="7E7056FE"/>
    <w:rsid w:val="7E714BB8"/>
    <w:rsid w:val="7E8B299B"/>
    <w:rsid w:val="7EA80CDA"/>
    <w:rsid w:val="7EB23E77"/>
    <w:rsid w:val="7ECD3D3E"/>
    <w:rsid w:val="7ED12089"/>
    <w:rsid w:val="7EE35D92"/>
    <w:rsid w:val="7EFC6325"/>
    <w:rsid w:val="7F0E1F82"/>
    <w:rsid w:val="7F2713D6"/>
    <w:rsid w:val="7F2B4D9F"/>
    <w:rsid w:val="7F816D0A"/>
    <w:rsid w:val="7FB16B47"/>
    <w:rsid w:val="7FBB6B71"/>
    <w:rsid w:val="7FC527AC"/>
    <w:rsid w:val="7FF01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黑体"/>
      <w:sz w:val="34"/>
      <w:szCs w:val="22"/>
      <w:lang w:val="en-US" w:eastAsia="zh-CN" w:bidi="ar-SA"/>
    </w:rPr>
  </w:style>
  <w:style w:type="paragraph" w:styleId="3">
    <w:name w:val="heading 1"/>
    <w:basedOn w:val="1"/>
    <w:next w:val="1"/>
    <w:link w:val="100"/>
    <w:qFormat/>
    <w:uiPriority w:val="0"/>
    <w:pPr>
      <w:keepNext/>
      <w:keepLines/>
      <w:spacing w:before="340" w:after="330" w:line="578" w:lineRule="auto"/>
      <w:outlineLvl w:val="0"/>
    </w:pPr>
    <w:rPr>
      <w:rFonts w:ascii="Calibri" w:cs="Times New Roman"/>
      <w:b/>
      <w:bCs/>
      <w:kern w:val="44"/>
      <w:sz w:val="44"/>
      <w:szCs w:val="44"/>
    </w:rPr>
  </w:style>
  <w:style w:type="paragraph" w:styleId="4">
    <w:name w:val="heading 2"/>
    <w:basedOn w:val="1"/>
    <w:next w:val="1"/>
    <w:link w:val="101"/>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5">
    <w:name w:val="heading 3"/>
    <w:basedOn w:val="1"/>
    <w:next w:val="1"/>
    <w:link w:val="102"/>
    <w:qFormat/>
    <w:uiPriority w:val="0"/>
    <w:pPr>
      <w:keepNext/>
      <w:keepLines/>
      <w:spacing w:before="260" w:after="260" w:line="416" w:lineRule="auto"/>
      <w:outlineLvl w:val="2"/>
    </w:pPr>
    <w:rPr>
      <w:rFonts w:ascii="Calibri" w:cs="Times New Roman"/>
      <w:b/>
      <w:bCs/>
      <w:sz w:val="32"/>
      <w:szCs w:val="32"/>
    </w:rPr>
  </w:style>
  <w:style w:type="paragraph" w:styleId="6">
    <w:name w:val="heading 4"/>
    <w:basedOn w:val="1"/>
    <w:next w:val="1"/>
    <w:link w:val="103"/>
    <w:qFormat/>
    <w:uiPriority w:val="0"/>
    <w:pPr>
      <w:keepNext/>
      <w:keepLines/>
      <w:spacing w:line="360" w:lineRule="auto"/>
      <w:jc w:val="left"/>
      <w:outlineLvl w:val="3"/>
    </w:pPr>
    <w:rPr>
      <w:rFonts w:eastAsia="黑体"/>
      <w:bCs/>
      <w:sz w:val="24"/>
      <w:szCs w:val="28"/>
    </w:rPr>
  </w:style>
  <w:style w:type="paragraph" w:styleId="7">
    <w:name w:val="heading 5"/>
    <w:basedOn w:val="1"/>
    <w:next w:val="1"/>
    <w:qFormat/>
    <w:uiPriority w:val="1"/>
    <w:pPr>
      <w:ind w:left="760"/>
      <w:outlineLvl w:val="4"/>
    </w:pPr>
    <w:rPr>
      <w:rFonts w:ascii="黑体" w:hAnsi="黑体" w:eastAsia="黑体"/>
      <w:b/>
      <w:bCs/>
      <w:sz w:val="30"/>
      <w:szCs w:val="30"/>
      <w:lang w:val="zh-CN" w:bidi="zh-CN"/>
    </w:rPr>
  </w:style>
  <w:style w:type="paragraph" w:styleId="8">
    <w:name w:val="heading 6"/>
    <w:basedOn w:val="1"/>
    <w:next w:val="1"/>
    <w:link w:val="104"/>
    <w:qFormat/>
    <w:uiPriority w:val="9"/>
    <w:pPr>
      <w:keepNext/>
      <w:keepLines/>
      <w:spacing w:before="240" w:after="64" w:line="320" w:lineRule="auto"/>
      <w:outlineLvl w:val="5"/>
    </w:pPr>
    <w:rPr>
      <w:rFonts w:ascii="Cambria" w:hAnsi="Cambria" w:cs="Times New Roman"/>
      <w:b/>
      <w:bCs/>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06"/>
    <w:qFormat/>
    <w:uiPriority w:val="0"/>
    <w:rPr>
      <w:rFonts w:ascii="Calibri" w:cs="Times New Roman"/>
    </w:rPr>
  </w:style>
  <w:style w:type="paragraph" w:styleId="9">
    <w:name w:val="toc 7"/>
    <w:basedOn w:val="1"/>
    <w:next w:val="1"/>
    <w:unhideWhenUsed/>
    <w:qFormat/>
    <w:uiPriority w:val="39"/>
    <w:pPr>
      <w:ind w:left="2520" w:leftChars="1200"/>
    </w:pPr>
    <w:rPr>
      <w:rFonts w:ascii="等线" w:hAnsi="等线" w:eastAsia="等线" w:cs="Times New Roman"/>
      <w:kern w:val="2"/>
      <w:sz w:val="21"/>
    </w:rPr>
  </w:style>
  <w:style w:type="paragraph" w:styleId="10">
    <w:name w:val="Normal Indent"/>
    <w:basedOn w:val="1"/>
    <w:next w:val="11"/>
    <w:link w:val="56"/>
    <w:qFormat/>
    <w:uiPriority w:val="0"/>
    <w:pPr>
      <w:ind w:firstLine="420" w:firstLineChars="200"/>
    </w:pPr>
    <w:rPr>
      <w:rFonts w:ascii="Times New Roman" w:cs="Times New Roman"/>
      <w:kern w:val="2"/>
      <w:sz w:val="21"/>
    </w:rPr>
  </w:style>
  <w:style w:type="paragraph" w:customStyle="1" w:styleId="11">
    <w:name w:val="样式1"/>
    <w:basedOn w:val="8"/>
    <w:qFormat/>
    <w:uiPriority w:val="0"/>
    <w:pPr>
      <w:spacing w:beforeLines="50" w:afterLines="50"/>
      <w:ind w:left="3069" w:hanging="420"/>
    </w:pPr>
    <w:rPr>
      <w:rFonts w:ascii="Arial" w:hAnsi="Arial" w:eastAsia="黑体"/>
    </w:rPr>
  </w:style>
  <w:style w:type="paragraph" w:styleId="12">
    <w:name w:val="index 5"/>
    <w:basedOn w:val="1"/>
    <w:next w:val="1"/>
    <w:qFormat/>
    <w:uiPriority w:val="0"/>
    <w:pPr>
      <w:tabs>
        <w:tab w:val="left" w:pos="0"/>
      </w:tabs>
      <w:jc w:val="center"/>
    </w:pPr>
    <w:rPr>
      <w:rFonts w:ascii="Calibri" w:cs="Times New Roman"/>
      <w:color w:val="FF0000"/>
      <w:kern w:val="2"/>
      <w:sz w:val="21"/>
      <w:szCs w:val="24"/>
    </w:rPr>
  </w:style>
  <w:style w:type="paragraph" w:styleId="13">
    <w:name w:val="Document Map"/>
    <w:basedOn w:val="1"/>
    <w:link w:val="80"/>
    <w:semiHidden/>
    <w:unhideWhenUsed/>
    <w:qFormat/>
    <w:uiPriority w:val="99"/>
    <w:rPr>
      <w:sz w:val="18"/>
      <w:szCs w:val="18"/>
    </w:rPr>
  </w:style>
  <w:style w:type="paragraph" w:styleId="14">
    <w:name w:val="annotation text"/>
    <w:basedOn w:val="1"/>
    <w:link w:val="60"/>
    <w:qFormat/>
    <w:uiPriority w:val="0"/>
    <w:pPr>
      <w:jc w:val="left"/>
    </w:pPr>
    <w:rPr>
      <w:rFonts w:ascii="Calibri" w:cs="Times New Roman"/>
    </w:rPr>
  </w:style>
  <w:style w:type="paragraph" w:styleId="15">
    <w:name w:val="Body Text"/>
    <w:basedOn w:val="1"/>
    <w:next w:val="1"/>
    <w:link w:val="99"/>
    <w:qFormat/>
    <w:uiPriority w:val="0"/>
    <w:pPr>
      <w:spacing w:after="120"/>
    </w:pPr>
    <w:rPr>
      <w:rFonts w:ascii="Times New Roman" w:cs="Times New Roman"/>
      <w:sz w:val="24"/>
      <w:szCs w:val="24"/>
    </w:rPr>
  </w:style>
  <w:style w:type="paragraph" w:styleId="16">
    <w:name w:val="Body Text Indent"/>
    <w:basedOn w:val="1"/>
    <w:link w:val="107"/>
    <w:qFormat/>
    <w:uiPriority w:val="0"/>
    <w:pPr>
      <w:ind w:firstLine="630"/>
    </w:pPr>
    <w:rPr>
      <w:rFonts w:ascii="Times New Roman" w:cs="Times New Roman"/>
      <w:kern w:val="2"/>
      <w:sz w:val="32"/>
    </w:rPr>
  </w:style>
  <w:style w:type="paragraph" w:styleId="17">
    <w:name w:val="toc 5"/>
    <w:basedOn w:val="1"/>
    <w:next w:val="1"/>
    <w:unhideWhenUsed/>
    <w:qFormat/>
    <w:uiPriority w:val="39"/>
    <w:pPr>
      <w:ind w:left="1680" w:leftChars="800"/>
    </w:pPr>
    <w:rPr>
      <w:rFonts w:ascii="等线" w:hAnsi="等线" w:eastAsia="等线" w:cs="Times New Roman"/>
      <w:kern w:val="2"/>
      <w:sz w:val="21"/>
    </w:rPr>
  </w:style>
  <w:style w:type="paragraph" w:styleId="18">
    <w:name w:val="toc 3"/>
    <w:basedOn w:val="1"/>
    <w:next w:val="1"/>
    <w:qFormat/>
    <w:uiPriority w:val="0"/>
    <w:pPr>
      <w:ind w:left="840" w:leftChars="400"/>
    </w:pPr>
    <w:rPr>
      <w:rFonts w:ascii="Calibri" w:cs="Times New Roman"/>
    </w:rPr>
  </w:style>
  <w:style w:type="paragraph" w:styleId="19">
    <w:name w:val="Plain Text"/>
    <w:basedOn w:val="1"/>
    <w:link w:val="61"/>
    <w:qFormat/>
    <w:uiPriority w:val="0"/>
    <w:rPr>
      <w:rFonts w:ascii="Calibri" w:hAnsi="Courier New" w:cs="Times New Roman"/>
      <w:kern w:val="2"/>
      <w:sz w:val="21"/>
    </w:rPr>
  </w:style>
  <w:style w:type="paragraph" w:styleId="20">
    <w:name w:val="toc 8"/>
    <w:basedOn w:val="1"/>
    <w:next w:val="1"/>
    <w:unhideWhenUsed/>
    <w:qFormat/>
    <w:uiPriority w:val="39"/>
    <w:pPr>
      <w:ind w:left="2940" w:leftChars="1400"/>
    </w:pPr>
    <w:rPr>
      <w:rFonts w:ascii="等线" w:hAnsi="等线" w:eastAsia="等线" w:cs="Times New Roman"/>
      <w:kern w:val="2"/>
      <w:sz w:val="21"/>
    </w:rPr>
  </w:style>
  <w:style w:type="paragraph" w:styleId="21">
    <w:name w:val="Body Text Indent 2"/>
    <w:basedOn w:val="1"/>
    <w:link w:val="108"/>
    <w:qFormat/>
    <w:uiPriority w:val="0"/>
    <w:pPr>
      <w:spacing w:after="120" w:line="480" w:lineRule="auto"/>
      <w:ind w:left="420" w:leftChars="200"/>
    </w:pPr>
    <w:rPr>
      <w:rFonts w:ascii="Calibri" w:cs="Times New Roman"/>
    </w:rPr>
  </w:style>
  <w:style w:type="paragraph" w:styleId="22">
    <w:name w:val="Balloon Text"/>
    <w:basedOn w:val="1"/>
    <w:link w:val="62"/>
    <w:qFormat/>
    <w:uiPriority w:val="0"/>
    <w:rPr>
      <w:rFonts w:ascii="Calibri" w:cs="Times New Roman"/>
      <w:sz w:val="18"/>
      <w:szCs w:val="18"/>
    </w:rPr>
  </w:style>
  <w:style w:type="paragraph" w:styleId="23">
    <w:name w:val="footer"/>
    <w:basedOn w:val="1"/>
    <w:link w:val="109"/>
    <w:qFormat/>
    <w:uiPriority w:val="99"/>
    <w:pPr>
      <w:tabs>
        <w:tab w:val="center" w:pos="4153"/>
        <w:tab w:val="right" w:pos="8306"/>
      </w:tabs>
      <w:snapToGrid w:val="0"/>
      <w:jc w:val="left"/>
    </w:pPr>
    <w:rPr>
      <w:rFonts w:ascii="Calibri" w:cs="Times New Roman"/>
      <w:sz w:val="18"/>
      <w:szCs w:val="20"/>
    </w:rPr>
  </w:style>
  <w:style w:type="paragraph" w:styleId="24">
    <w:name w:val="header"/>
    <w:basedOn w:val="1"/>
    <w:link w:val="110"/>
    <w:qFormat/>
    <w:uiPriority w:val="99"/>
    <w:pPr>
      <w:pBdr>
        <w:bottom w:val="single" w:color="auto" w:sz="6" w:space="1"/>
      </w:pBdr>
      <w:tabs>
        <w:tab w:val="center" w:pos="4153"/>
        <w:tab w:val="right" w:pos="8306"/>
      </w:tabs>
      <w:snapToGrid w:val="0"/>
      <w:jc w:val="center"/>
    </w:pPr>
    <w:rPr>
      <w:rFonts w:ascii="Calibri" w:cs="Times New Roman"/>
      <w:sz w:val="18"/>
      <w:szCs w:val="20"/>
    </w:rPr>
  </w:style>
  <w:style w:type="paragraph" w:styleId="25">
    <w:name w:val="toc 1"/>
    <w:basedOn w:val="1"/>
    <w:next w:val="1"/>
    <w:qFormat/>
    <w:uiPriority w:val="0"/>
    <w:rPr>
      <w:rFonts w:ascii="Calibri" w:cs="Times New Roman"/>
    </w:rPr>
  </w:style>
  <w:style w:type="paragraph" w:styleId="26">
    <w:name w:val="toc 4"/>
    <w:basedOn w:val="1"/>
    <w:next w:val="1"/>
    <w:unhideWhenUsed/>
    <w:qFormat/>
    <w:uiPriority w:val="39"/>
    <w:pPr>
      <w:ind w:left="1260" w:leftChars="600"/>
    </w:pPr>
    <w:rPr>
      <w:rFonts w:ascii="等线" w:hAnsi="等线" w:eastAsia="等线" w:cs="Times New Roman"/>
      <w:kern w:val="2"/>
      <w:sz w:val="21"/>
    </w:rPr>
  </w:style>
  <w:style w:type="paragraph" w:styleId="27">
    <w:name w:val="Subtitle"/>
    <w:basedOn w:val="1"/>
    <w:next w:val="1"/>
    <w:link w:val="111"/>
    <w:qFormat/>
    <w:uiPriority w:val="0"/>
    <w:pPr>
      <w:spacing w:before="240" w:after="60" w:line="312" w:lineRule="auto"/>
      <w:jc w:val="center"/>
      <w:outlineLvl w:val="1"/>
    </w:pPr>
    <w:rPr>
      <w:rFonts w:ascii="Arial" w:hAnsi="Arial"/>
      <w:bCs/>
      <w:kern w:val="28"/>
    </w:rPr>
  </w:style>
  <w:style w:type="paragraph" w:styleId="28">
    <w:name w:val="toc 6"/>
    <w:basedOn w:val="1"/>
    <w:next w:val="1"/>
    <w:unhideWhenUsed/>
    <w:qFormat/>
    <w:uiPriority w:val="39"/>
    <w:pPr>
      <w:ind w:left="2100" w:leftChars="1000"/>
    </w:pPr>
    <w:rPr>
      <w:rFonts w:ascii="等线" w:hAnsi="等线" w:eastAsia="等线" w:cs="Times New Roman"/>
      <w:kern w:val="2"/>
      <w:sz w:val="21"/>
    </w:rPr>
  </w:style>
  <w:style w:type="paragraph" w:styleId="29">
    <w:name w:val="toc 2"/>
    <w:basedOn w:val="1"/>
    <w:next w:val="1"/>
    <w:qFormat/>
    <w:uiPriority w:val="0"/>
    <w:pPr>
      <w:ind w:left="420" w:leftChars="200"/>
    </w:pPr>
    <w:rPr>
      <w:rFonts w:ascii="Calibri" w:cs="Times New Roman"/>
    </w:rPr>
  </w:style>
  <w:style w:type="paragraph" w:styleId="30">
    <w:name w:val="toc 9"/>
    <w:basedOn w:val="1"/>
    <w:next w:val="1"/>
    <w:unhideWhenUsed/>
    <w:qFormat/>
    <w:uiPriority w:val="39"/>
    <w:pPr>
      <w:ind w:left="3360" w:leftChars="1600"/>
    </w:pPr>
    <w:rPr>
      <w:rFonts w:ascii="等线" w:hAnsi="等线" w:eastAsia="等线" w:cs="Times New Roman"/>
      <w:kern w:val="2"/>
      <w:sz w:val="21"/>
    </w:rPr>
  </w:style>
  <w:style w:type="paragraph" w:styleId="31">
    <w:name w:val="Body Text 2"/>
    <w:next w:val="32"/>
    <w:unhideWhenUsed/>
    <w:qFormat/>
    <w:uiPriority w:val="99"/>
    <w:pPr>
      <w:widowControl w:val="0"/>
      <w:spacing w:line="440" w:lineRule="exact"/>
    </w:pPr>
    <w:rPr>
      <w:rFonts w:ascii="Times New Roman" w:hAnsi="Times New Roman" w:eastAsia="宋体" w:cs="Times New Roman"/>
      <w:kern w:val="2"/>
      <w:sz w:val="24"/>
      <w:szCs w:val="22"/>
      <w:lang w:val="en-US" w:eastAsia="zh-CN" w:bidi="ar-SA"/>
    </w:rPr>
  </w:style>
  <w:style w:type="paragraph" w:customStyle="1" w:styleId="32">
    <w:name w:val="0正文"/>
    <w:link w:val="85"/>
    <w:qFormat/>
    <w:uiPriority w:val="0"/>
    <w:pPr>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仿宋_GB2312"/>
      <w:sz w:val="20"/>
      <w:szCs w:val="20"/>
    </w:rPr>
  </w:style>
  <w:style w:type="paragraph" w:styleId="34">
    <w:name w:val="Normal (Web)"/>
    <w:basedOn w:val="1"/>
    <w:qFormat/>
    <w:uiPriority w:val="0"/>
    <w:pPr>
      <w:widowControl/>
      <w:spacing w:before="100" w:beforeAutospacing="1" w:after="100" w:afterAutospacing="1"/>
      <w:jc w:val="left"/>
    </w:pPr>
    <w:rPr>
      <w:rFonts w:hAnsi="宋体" w:cs="Times New Roman"/>
      <w:sz w:val="18"/>
      <w:szCs w:val="18"/>
    </w:rPr>
  </w:style>
  <w:style w:type="paragraph" w:styleId="35">
    <w:name w:val="annotation subject"/>
    <w:basedOn w:val="14"/>
    <w:next w:val="14"/>
    <w:link w:val="53"/>
    <w:qFormat/>
    <w:uiPriority w:val="0"/>
    <w:rPr>
      <w:b/>
      <w:bCs/>
    </w:rPr>
  </w:style>
  <w:style w:type="paragraph" w:styleId="36">
    <w:name w:val="Body Text First Indent"/>
    <w:basedOn w:val="15"/>
    <w:qFormat/>
    <w:uiPriority w:val="0"/>
    <w:pPr>
      <w:ind w:firstLine="420" w:firstLineChars="100"/>
    </w:pPr>
    <w:rPr>
      <w:rFonts w:hAnsi="Times New Roman"/>
      <w:szCs w:val="21"/>
    </w:rPr>
  </w:style>
  <w:style w:type="paragraph" w:styleId="37">
    <w:name w:val="Body Text First Indent 2"/>
    <w:basedOn w:val="16"/>
    <w:qFormat/>
    <w:uiPriority w:val="0"/>
    <w:pPr>
      <w:ind w:firstLine="420" w:firstLineChars="200"/>
    </w:pPr>
    <w:rPr>
      <w:rFonts w:ascii="Calibri"/>
      <w:szCs w:val="24"/>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Calibri" w:hAnsi="Calibri" w:eastAsia="宋体" w:cs="Times New Roman"/>
      <w:b/>
    </w:rPr>
  </w:style>
  <w:style w:type="character" w:styleId="42">
    <w:name w:val="page number"/>
    <w:qFormat/>
    <w:uiPriority w:val="0"/>
  </w:style>
  <w:style w:type="character" w:styleId="43">
    <w:name w:val="FollowedHyperlink"/>
    <w:qFormat/>
    <w:uiPriority w:val="99"/>
    <w:rPr>
      <w:rFonts w:ascii="Calibri" w:hAnsi="Calibri" w:eastAsia="宋体" w:cs="Times New Roman"/>
      <w:color w:val="333333"/>
      <w:u w:val="none"/>
    </w:rPr>
  </w:style>
  <w:style w:type="character" w:styleId="44">
    <w:name w:val="Emphasis"/>
    <w:qFormat/>
    <w:uiPriority w:val="0"/>
    <w:rPr>
      <w:rFonts w:ascii="Calibri" w:hAnsi="Calibri" w:eastAsia="宋体" w:cs="Times New Roman"/>
    </w:rPr>
  </w:style>
  <w:style w:type="character" w:styleId="45">
    <w:name w:val="HTML Definition"/>
    <w:qFormat/>
    <w:uiPriority w:val="0"/>
    <w:rPr>
      <w:rFonts w:ascii="Calibri" w:hAnsi="Calibri" w:eastAsia="宋体" w:cs="Times New Roman"/>
    </w:rPr>
  </w:style>
  <w:style w:type="character" w:styleId="46">
    <w:name w:val="HTML Variable"/>
    <w:qFormat/>
    <w:uiPriority w:val="0"/>
    <w:rPr>
      <w:rFonts w:ascii="Calibri" w:hAnsi="Calibri" w:eastAsia="宋体" w:cs="Times New Roman"/>
      <w:shd w:val="clear" w:color="auto" w:fill="FFFFFF"/>
    </w:rPr>
  </w:style>
  <w:style w:type="character" w:styleId="47">
    <w:name w:val="Hyperlink"/>
    <w:basedOn w:val="40"/>
    <w:qFormat/>
    <w:uiPriority w:val="99"/>
    <w:rPr>
      <w:rFonts w:ascii="Calibri" w:hAnsi="Calibri" w:eastAsia="宋体" w:cs="Times New Roman"/>
      <w:color w:val="333333"/>
      <w:u w:val="none"/>
    </w:rPr>
  </w:style>
  <w:style w:type="character" w:styleId="48">
    <w:name w:val="HTML Code"/>
    <w:qFormat/>
    <w:uiPriority w:val="0"/>
    <w:rPr>
      <w:rFonts w:ascii="Courier New" w:hAnsi="Courier New" w:eastAsia="宋体" w:cs="Times New Roman"/>
      <w:sz w:val="20"/>
    </w:rPr>
  </w:style>
  <w:style w:type="character" w:styleId="49">
    <w:name w:val="annotation reference"/>
    <w:qFormat/>
    <w:uiPriority w:val="0"/>
    <w:rPr>
      <w:rFonts w:ascii="Calibri" w:hAnsi="Calibri" w:eastAsia="宋体" w:cs="Times New Roman"/>
      <w:sz w:val="21"/>
      <w:szCs w:val="21"/>
    </w:rPr>
  </w:style>
  <w:style w:type="character" w:styleId="50">
    <w:name w:val="HTML Cite"/>
    <w:qFormat/>
    <w:uiPriority w:val="0"/>
    <w:rPr>
      <w:rFonts w:ascii="Calibri" w:hAnsi="Calibri" w:eastAsia="宋体" w:cs="Times New Roman"/>
    </w:rPr>
  </w:style>
  <w:style w:type="paragraph" w:customStyle="1" w:styleId="51">
    <w:name w:val="标题 5（有编号）（绿盟科技）"/>
    <w:basedOn w:val="1"/>
    <w:next w:val="52"/>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5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3">
    <w:name w:val="批注主题 字符"/>
    <w:link w:val="35"/>
    <w:qFormat/>
    <w:uiPriority w:val="0"/>
    <w:rPr>
      <w:b/>
      <w:bCs/>
      <w:sz w:val="34"/>
      <w:szCs w:val="22"/>
    </w:rPr>
  </w:style>
  <w:style w:type="character" w:customStyle="1" w:styleId="54">
    <w:name w:val="font01"/>
    <w:qFormat/>
    <w:uiPriority w:val="0"/>
    <w:rPr>
      <w:rFonts w:ascii="Calibri" w:hAnsi="Calibri" w:eastAsia="宋体" w:cs="Calibri"/>
      <w:color w:val="000000"/>
      <w:sz w:val="21"/>
      <w:szCs w:val="21"/>
      <w:u w:val="none"/>
    </w:rPr>
  </w:style>
  <w:style w:type="character" w:customStyle="1" w:styleId="55">
    <w:name w:val="modifier"/>
    <w:qFormat/>
    <w:uiPriority w:val="0"/>
    <w:rPr>
      <w:rFonts w:ascii="Calibri" w:hAnsi="Calibri" w:eastAsia="宋体" w:cs="Times New Roman"/>
      <w:color w:val="FF0000"/>
    </w:rPr>
  </w:style>
  <w:style w:type="character" w:customStyle="1" w:styleId="56">
    <w:name w:val="正文缩进 字符"/>
    <w:link w:val="10"/>
    <w:qFormat/>
    <w:uiPriority w:val="0"/>
    <w:rPr>
      <w:rFonts w:ascii="Times New Roman"/>
      <w:kern w:val="2"/>
      <w:sz w:val="21"/>
      <w:szCs w:val="22"/>
    </w:rPr>
  </w:style>
  <w:style w:type="character" w:customStyle="1" w:styleId="57">
    <w:name w:val="font21"/>
    <w:qFormat/>
    <w:uiPriority w:val="0"/>
    <w:rPr>
      <w:rFonts w:hint="eastAsia" w:ascii="宋体" w:hAnsi="宋体" w:eastAsia="宋体" w:cs="宋体"/>
      <w:color w:val="000000"/>
      <w:sz w:val="21"/>
      <w:szCs w:val="21"/>
      <w:u w:val="none"/>
    </w:rPr>
  </w:style>
  <w:style w:type="character" w:customStyle="1" w:styleId="58">
    <w:name w:val="font11"/>
    <w:qFormat/>
    <w:uiPriority w:val="0"/>
    <w:rPr>
      <w:rFonts w:hint="eastAsia" w:ascii="宋体" w:hAnsi="宋体" w:eastAsia="宋体" w:cs="宋体"/>
      <w:color w:val="FF0000"/>
      <w:sz w:val="22"/>
      <w:szCs w:val="22"/>
      <w:u w:val="none"/>
    </w:rPr>
  </w:style>
  <w:style w:type="character" w:customStyle="1" w:styleId="59">
    <w:name w:val="img1"/>
    <w:qFormat/>
    <w:uiPriority w:val="0"/>
    <w:rPr>
      <w:rFonts w:ascii="Calibri" w:hAnsi="Calibri" w:eastAsia="宋体" w:cs="Times New Roman"/>
    </w:rPr>
  </w:style>
  <w:style w:type="character" w:customStyle="1" w:styleId="60">
    <w:name w:val="批注文字 字符"/>
    <w:link w:val="14"/>
    <w:qFormat/>
    <w:uiPriority w:val="0"/>
    <w:rPr>
      <w:sz w:val="34"/>
      <w:szCs w:val="22"/>
    </w:rPr>
  </w:style>
  <w:style w:type="character" w:customStyle="1" w:styleId="61">
    <w:name w:val="纯文本 字符"/>
    <w:link w:val="19"/>
    <w:qFormat/>
    <w:uiPriority w:val="0"/>
    <w:rPr>
      <w:rFonts w:hAnsi="Courier New"/>
      <w:kern w:val="2"/>
      <w:sz w:val="21"/>
      <w:szCs w:val="22"/>
    </w:rPr>
  </w:style>
  <w:style w:type="character" w:customStyle="1" w:styleId="62">
    <w:name w:val="批注框文本 字符"/>
    <w:link w:val="22"/>
    <w:qFormat/>
    <w:uiPriority w:val="0"/>
    <w:rPr>
      <w:sz w:val="18"/>
      <w:szCs w:val="18"/>
    </w:rPr>
  </w:style>
  <w:style w:type="character" w:customStyle="1" w:styleId="63">
    <w:name w:val="label"/>
    <w:qFormat/>
    <w:uiPriority w:val="0"/>
    <w:rPr>
      <w:rFonts w:ascii="Calibri" w:hAnsi="Calibri" w:eastAsia="宋体" w:cs="Times New Roman"/>
      <w:color w:val="555555"/>
    </w:rPr>
  </w:style>
  <w:style w:type="character" w:customStyle="1" w:styleId="64">
    <w:name w:val="img"/>
    <w:qFormat/>
    <w:uiPriority w:val="0"/>
    <w:rPr>
      <w:rFonts w:ascii="Calibri" w:hAnsi="Calibri" w:eastAsia="宋体" w:cs="Times New Roman"/>
    </w:rPr>
  </w:style>
  <w:style w:type="character" w:customStyle="1" w:styleId="65">
    <w:name w:val="未处理的提及1"/>
    <w:unhideWhenUsed/>
    <w:qFormat/>
    <w:uiPriority w:val="99"/>
    <w:rPr>
      <w:rFonts w:ascii="Calibri" w:hAnsi="Calibri" w:eastAsia="宋体" w:cs="Times New Roman"/>
      <w:color w:val="605E5C"/>
      <w:shd w:val="clear" w:color="auto" w:fill="E1DFDD"/>
    </w:rPr>
  </w:style>
  <w:style w:type="paragraph" w:customStyle="1" w:styleId="66">
    <w:name w:val="正文首行缩进两字符"/>
    <w:basedOn w:val="1"/>
    <w:qFormat/>
    <w:uiPriority w:val="0"/>
    <w:pPr>
      <w:spacing w:line="360" w:lineRule="auto"/>
      <w:ind w:firstLine="200" w:firstLineChars="200"/>
    </w:pPr>
    <w:rPr>
      <w:rFonts w:ascii="Times New Roman" w:cs="Times New Roman"/>
      <w:kern w:val="2"/>
      <w:sz w:val="21"/>
      <w:szCs w:val="24"/>
    </w:rPr>
  </w:style>
  <w:style w:type="paragraph" w:customStyle="1" w:styleId="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8">
    <w:name w:val="表格"/>
    <w:basedOn w:val="1"/>
    <w:qFormat/>
    <w:uiPriority w:val="0"/>
    <w:pPr>
      <w:spacing w:line="400" w:lineRule="exact"/>
    </w:pPr>
    <w:rPr>
      <w:rFonts w:ascii="Calibri" w:cs="Times New Roman"/>
      <w:sz w:val="24"/>
    </w:rPr>
  </w:style>
  <w:style w:type="paragraph" w:customStyle="1" w:styleId="69">
    <w:name w:val="样式 首行缩进:  2 字符"/>
    <w:basedOn w:val="1"/>
    <w:qFormat/>
    <w:uiPriority w:val="0"/>
    <w:pPr>
      <w:spacing w:line="400" w:lineRule="exact"/>
      <w:ind w:firstLine="200" w:firstLineChars="200"/>
    </w:pPr>
    <w:rPr>
      <w:rFonts w:ascii="Calibri" w:cs="宋体"/>
      <w:sz w:val="24"/>
    </w:rPr>
  </w:style>
  <w:style w:type="paragraph" w:customStyle="1" w:styleId="70">
    <w:name w:val="列出段落1"/>
    <w:basedOn w:val="1"/>
    <w:qFormat/>
    <w:uiPriority w:val="0"/>
    <w:pPr>
      <w:spacing w:line="360" w:lineRule="auto"/>
      <w:ind w:firstLine="420" w:firstLineChars="200"/>
    </w:pPr>
    <w:rPr>
      <w:rFonts w:ascii="Calibri"/>
    </w:rPr>
  </w:style>
  <w:style w:type="paragraph" w:customStyle="1" w:styleId="71">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hAnsi="宋体" w:cs="Times New Roman"/>
      <w:szCs w:val="21"/>
    </w:rPr>
  </w:style>
  <w:style w:type="paragraph" w:customStyle="1" w:styleId="72">
    <w:name w:val="_Style 2"/>
    <w:basedOn w:val="1"/>
    <w:qFormat/>
    <w:uiPriority w:val="34"/>
    <w:pPr>
      <w:ind w:firstLine="420" w:firstLineChars="200"/>
    </w:pPr>
    <w:rPr>
      <w:rFonts w:ascii="Calibri" w:cs="Times New Roman"/>
      <w:szCs w:val="24"/>
    </w:rPr>
  </w:style>
  <w:style w:type="paragraph" w:customStyle="1" w:styleId="73">
    <w:name w:val="Char Char Char Char"/>
    <w:basedOn w:val="1"/>
    <w:qFormat/>
    <w:uiPriority w:val="0"/>
    <w:pPr>
      <w:spacing w:line="360" w:lineRule="auto"/>
      <w:ind w:firstLine="540"/>
      <w:jc w:val="left"/>
    </w:pPr>
    <w:rPr>
      <w:rFonts w:hAnsi="宋体" w:cs="Times New Roman"/>
      <w:color w:val="000000"/>
      <w:sz w:val="24"/>
      <w:lang w:val="en-GB"/>
    </w:rPr>
  </w:style>
  <w:style w:type="paragraph" w:customStyle="1" w:styleId="74">
    <w:name w:val="修订1"/>
    <w:qFormat/>
    <w:uiPriority w:val="99"/>
    <w:rPr>
      <w:rFonts w:ascii="宋体" w:hAnsi="Calibri" w:eastAsia="宋体" w:cs="黑体"/>
      <w:sz w:val="34"/>
      <w:szCs w:val="22"/>
      <w:lang w:val="en-US" w:eastAsia="zh-CN" w:bidi="ar-SA"/>
    </w:rPr>
  </w:style>
  <w:style w:type="paragraph" w:customStyle="1" w:styleId="75">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76">
    <w:name w:val="列表段落1"/>
    <w:basedOn w:val="1"/>
    <w:qFormat/>
    <w:uiPriority w:val="34"/>
    <w:pPr>
      <w:ind w:firstLine="420" w:firstLineChars="200"/>
    </w:pPr>
    <w:rPr>
      <w:rFonts w:ascii="Calibri" w:cs="Times New Roman"/>
    </w:rPr>
  </w:style>
  <w:style w:type="paragraph" w:customStyle="1" w:styleId="7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8">
    <w:name w:val="_Style 1"/>
    <w:basedOn w:val="1"/>
    <w:qFormat/>
    <w:uiPriority w:val="34"/>
    <w:pPr>
      <w:ind w:firstLine="420" w:firstLineChars="200"/>
    </w:pPr>
    <w:rPr>
      <w:rFonts w:ascii="Calibri" w:cs="Times New Roman"/>
      <w:kern w:val="2"/>
      <w:sz w:val="21"/>
    </w:rPr>
  </w:style>
  <w:style w:type="paragraph" w:customStyle="1" w:styleId="79">
    <w:name w:val="p0"/>
    <w:basedOn w:val="1"/>
    <w:qFormat/>
    <w:uiPriority w:val="0"/>
    <w:pPr>
      <w:widowControl/>
    </w:pPr>
    <w:rPr>
      <w:rFonts w:ascii="Times New Roman" w:hAnsi="Times New Roman" w:eastAsia="方正仿宋" w:cs="Times New Roman"/>
      <w:sz w:val="32"/>
      <w:szCs w:val="21"/>
    </w:rPr>
  </w:style>
  <w:style w:type="character" w:customStyle="1" w:styleId="80">
    <w:name w:val="文档结构图 字符"/>
    <w:basedOn w:val="40"/>
    <w:link w:val="13"/>
    <w:semiHidden/>
    <w:qFormat/>
    <w:uiPriority w:val="99"/>
    <w:rPr>
      <w:rFonts w:ascii="宋体" w:hAnsi="Calibri" w:cs="黑体"/>
      <w:sz w:val="18"/>
      <w:szCs w:val="18"/>
    </w:rPr>
  </w:style>
  <w:style w:type="character" w:customStyle="1" w:styleId="81">
    <w:name w:val="apple-converted-space"/>
    <w:basedOn w:val="40"/>
    <w:qFormat/>
    <w:uiPriority w:val="0"/>
    <w:rPr>
      <w:rFonts w:ascii="Times New Roman" w:hAnsi="Times New Roman" w:eastAsia="宋体" w:cs="Times New Roman"/>
    </w:rPr>
  </w:style>
  <w:style w:type="paragraph" w:customStyle="1" w:styleId="82">
    <w:name w:val="表头图名"/>
    <w:next w:val="1"/>
    <w:qFormat/>
    <w:uiPriority w:val="0"/>
    <w:pPr>
      <w:widowControl w:val="0"/>
      <w:spacing w:line="440" w:lineRule="exact"/>
      <w:jc w:val="center"/>
    </w:pPr>
    <w:rPr>
      <w:rFonts w:ascii="Times New Roman" w:hAnsi="Times New Roman" w:eastAsia="黑体" w:cs="Times New Roman"/>
      <w:kern w:val="2"/>
      <w:sz w:val="21"/>
      <w:lang w:val="en-US" w:eastAsia="zh-CN" w:bidi="ar-SA"/>
    </w:rPr>
  </w:style>
  <w:style w:type="paragraph" w:customStyle="1" w:styleId="83">
    <w:name w:val="图片内容"/>
    <w:next w:val="32"/>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84">
    <w:name w:val="表格内容"/>
    <w:qFormat/>
    <w:uiPriority w:val="0"/>
    <w:pPr>
      <w:spacing w:line="312" w:lineRule="exact"/>
      <w:jc w:val="center"/>
    </w:pPr>
    <w:rPr>
      <w:rFonts w:ascii="Times New Roman" w:hAnsi="Times New Roman" w:eastAsia="宋体" w:cs="Times New Roman"/>
      <w:kern w:val="2"/>
      <w:sz w:val="21"/>
      <w:szCs w:val="24"/>
      <w:lang w:val="en-US" w:eastAsia="zh-CN" w:bidi="ar-SA"/>
    </w:rPr>
  </w:style>
  <w:style w:type="character" w:customStyle="1" w:styleId="85">
    <w:name w:val="0正文 字符"/>
    <w:link w:val="32"/>
    <w:qFormat/>
    <w:uiPriority w:val="0"/>
    <w:rPr>
      <w:rFonts w:ascii="Times New Roman" w:hAnsi="Times New Roman" w:eastAsia="宋体" w:cs="Times New Roman"/>
      <w:kern w:val="2"/>
      <w:sz w:val="24"/>
      <w:szCs w:val="24"/>
      <w:lang w:val="en-US" w:eastAsia="zh-CN" w:bidi="ar-SA"/>
    </w:rPr>
  </w:style>
  <w:style w:type="paragraph" w:customStyle="1" w:styleId="86">
    <w:name w:val="正文文本2"/>
    <w:basedOn w:val="1"/>
    <w:unhideWhenUsed/>
    <w:qFormat/>
    <w:uiPriority w:val="99"/>
    <w:pPr>
      <w:shd w:val="clear" w:color="auto" w:fill="FFFFFF"/>
      <w:spacing w:line="240" w:lineRule="atLeast"/>
    </w:pPr>
    <w:rPr>
      <w:rFonts w:hint="eastAsia" w:ascii="黑体" w:hAnsi="黑体" w:eastAsia="黑体"/>
      <w:sz w:val="24"/>
    </w:rPr>
  </w:style>
  <w:style w:type="character" w:customStyle="1" w:styleId="87">
    <w:name w:val="图片标题1"/>
    <w:unhideWhenUsed/>
    <w:qFormat/>
    <w:uiPriority w:val="99"/>
    <w:rPr>
      <w:rFonts w:hint="eastAsia" w:ascii="黑体" w:hAnsi="黑体" w:eastAsia="黑体"/>
      <w:sz w:val="24"/>
    </w:rPr>
  </w:style>
  <w:style w:type="character" w:customStyle="1" w:styleId="88">
    <w:name w:val="font51"/>
    <w:basedOn w:val="40"/>
    <w:qFormat/>
    <w:uiPriority w:val="0"/>
    <w:rPr>
      <w:rFonts w:hint="default" w:ascii="Times New Roman" w:hAnsi="Times New Roman" w:cs="Times New Roman"/>
      <w:b/>
      <w:color w:val="000000"/>
      <w:sz w:val="21"/>
      <w:szCs w:val="21"/>
      <w:u w:val="none"/>
    </w:rPr>
  </w:style>
  <w:style w:type="character" w:customStyle="1" w:styleId="89">
    <w:name w:val="font41"/>
    <w:basedOn w:val="40"/>
    <w:qFormat/>
    <w:uiPriority w:val="0"/>
    <w:rPr>
      <w:rFonts w:hint="default" w:ascii="Times New Roman" w:hAnsi="Times New Roman" w:cs="Times New Roman"/>
      <w:color w:val="000000"/>
      <w:sz w:val="21"/>
      <w:szCs w:val="21"/>
      <w:u w:val="none"/>
    </w:rPr>
  </w:style>
  <w:style w:type="character" w:customStyle="1" w:styleId="90">
    <w:name w:val="font31"/>
    <w:basedOn w:val="40"/>
    <w:qFormat/>
    <w:uiPriority w:val="0"/>
    <w:rPr>
      <w:rFonts w:hint="eastAsia" w:ascii="宋体" w:hAnsi="宋体" w:eastAsia="宋体" w:cs="宋体"/>
      <w:color w:val="000000"/>
      <w:sz w:val="21"/>
      <w:szCs w:val="21"/>
      <w:u w:val="none"/>
    </w:rPr>
  </w:style>
  <w:style w:type="paragraph" w:customStyle="1" w:styleId="91">
    <w:name w:val="WPSOffice手动目录 1"/>
    <w:qFormat/>
    <w:uiPriority w:val="0"/>
    <w:rPr>
      <w:rFonts w:ascii="Times New Roman" w:hAnsi="Times New Roman" w:eastAsia="宋体" w:cs="Times New Roman"/>
      <w:lang w:val="en-US" w:eastAsia="zh-CN" w:bidi="ar-SA"/>
    </w:rPr>
  </w:style>
  <w:style w:type="paragraph" w:customStyle="1" w:styleId="92">
    <w:name w:val="4"/>
    <w:basedOn w:val="6"/>
    <w:qFormat/>
    <w:uiPriority w:val="0"/>
    <w:pPr>
      <w:spacing w:before="60" w:after="60" w:line="300" w:lineRule="auto"/>
    </w:pPr>
    <w:rPr>
      <w:szCs w:val="20"/>
    </w:rPr>
  </w:style>
  <w:style w:type="paragraph" w:customStyle="1" w:styleId="93">
    <w:name w:val="Table Paragraph"/>
    <w:basedOn w:val="1"/>
    <w:qFormat/>
    <w:uiPriority w:val="1"/>
    <w:rPr>
      <w:rFonts w:hAnsi="宋体" w:cs="宋体"/>
      <w:lang w:val="zh-CN" w:bidi="zh-CN"/>
    </w:rPr>
  </w:style>
  <w:style w:type="paragraph" w:customStyle="1" w:styleId="94">
    <w:name w:val="List Paragraph_a5a4f058-b5ff-46c0-886b-c512bdfe39fb"/>
    <w:basedOn w:val="1"/>
    <w:qFormat/>
    <w:uiPriority w:val="1"/>
    <w:pPr>
      <w:ind w:left="837" w:hanging="601"/>
    </w:pPr>
    <w:rPr>
      <w:rFonts w:hAnsi="宋体" w:cs="宋体"/>
      <w:lang w:val="zh-CN" w:bidi="zh-CN"/>
    </w:rPr>
  </w:style>
  <w:style w:type="paragraph" w:customStyle="1" w:styleId="95">
    <w:name w:val="*正文"/>
    <w:basedOn w:val="1"/>
    <w:qFormat/>
    <w:uiPriority w:val="0"/>
    <w:pPr>
      <w:spacing w:line="360" w:lineRule="auto"/>
      <w:ind w:firstLine="200" w:firstLineChars="200"/>
    </w:pPr>
    <w:rPr>
      <w:sz w:val="22"/>
    </w:rPr>
  </w:style>
  <w:style w:type="paragraph" w:customStyle="1" w:styleId="96">
    <w:name w:val="文章正文"/>
    <w:basedOn w:val="1"/>
    <w:qFormat/>
    <w:uiPriority w:val="0"/>
    <w:pPr>
      <w:spacing w:line="360" w:lineRule="auto"/>
      <w:ind w:firstLine="420" w:firstLineChars="200"/>
    </w:pPr>
    <w:rPr>
      <w:sz w:val="24"/>
    </w:rPr>
  </w:style>
  <w:style w:type="paragraph" w:customStyle="1" w:styleId="97">
    <w:name w:val="标准正文"/>
    <w:basedOn w:val="1"/>
    <w:qFormat/>
    <w:uiPriority w:val="0"/>
    <w:pPr>
      <w:ind w:firstLine="480"/>
      <w:jc w:val="left"/>
    </w:pPr>
    <w:rPr>
      <w:rFonts w:hAnsi="宋体"/>
    </w:rPr>
  </w:style>
  <w:style w:type="paragraph" w:customStyle="1" w:styleId="98">
    <w:name w:val="font8"/>
    <w:basedOn w:val="1"/>
    <w:qFormat/>
    <w:uiPriority w:val="0"/>
    <w:pPr>
      <w:widowControl/>
      <w:spacing w:before="100" w:beforeAutospacing="1" w:after="100" w:afterAutospacing="1"/>
      <w:jc w:val="left"/>
    </w:pPr>
    <w:rPr>
      <w:rFonts w:hAnsi="宋体" w:cs="宋体"/>
      <w:color w:val="FF0000"/>
      <w:szCs w:val="21"/>
    </w:rPr>
  </w:style>
  <w:style w:type="character" w:customStyle="1" w:styleId="99">
    <w:name w:val="正文文本 字符"/>
    <w:basedOn w:val="40"/>
    <w:link w:val="15"/>
    <w:qFormat/>
    <w:uiPriority w:val="0"/>
    <w:rPr>
      <w:rFonts w:hAnsi="Calibri"/>
      <w:sz w:val="24"/>
      <w:szCs w:val="24"/>
    </w:rPr>
  </w:style>
  <w:style w:type="character" w:customStyle="1" w:styleId="100">
    <w:name w:val="标题 1 字符"/>
    <w:basedOn w:val="40"/>
    <w:link w:val="3"/>
    <w:qFormat/>
    <w:uiPriority w:val="0"/>
    <w:rPr>
      <w:rFonts w:ascii="Calibri" w:hAnsi="Calibri"/>
      <w:b/>
      <w:bCs/>
      <w:kern w:val="44"/>
      <w:sz w:val="44"/>
      <w:szCs w:val="44"/>
    </w:rPr>
  </w:style>
  <w:style w:type="character" w:customStyle="1" w:styleId="101">
    <w:name w:val="标题 2 字符"/>
    <w:basedOn w:val="40"/>
    <w:link w:val="4"/>
    <w:qFormat/>
    <w:uiPriority w:val="0"/>
    <w:rPr>
      <w:rFonts w:ascii="Arial" w:hAnsi="Arial" w:eastAsia="黑体"/>
      <w:b/>
      <w:bCs/>
      <w:kern w:val="2"/>
      <w:sz w:val="32"/>
      <w:szCs w:val="32"/>
    </w:rPr>
  </w:style>
  <w:style w:type="character" w:customStyle="1" w:styleId="102">
    <w:name w:val="标题 3 字符"/>
    <w:basedOn w:val="40"/>
    <w:link w:val="5"/>
    <w:qFormat/>
    <w:uiPriority w:val="0"/>
    <w:rPr>
      <w:rFonts w:ascii="Calibri" w:hAnsi="Calibri"/>
      <w:b/>
      <w:bCs/>
      <w:sz w:val="32"/>
      <w:szCs w:val="32"/>
    </w:rPr>
  </w:style>
  <w:style w:type="character" w:customStyle="1" w:styleId="103">
    <w:name w:val="标题 4 字符"/>
    <w:basedOn w:val="40"/>
    <w:link w:val="6"/>
    <w:qFormat/>
    <w:uiPriority w:val="0"/>
    <w:rPr>
      <w:rFonts w:ascii="宋体" w:hAnsi="Calibri" w:eastAsia="黑体" w:cs="黑体"/>
      <w:bCs/>
      <w:sz w:val="24"/>
      <w:szCs w:val="28"/>
    </w:rPr>
  </w:style>
  <w:style w:type="character" w:customStyle="1" w:styleId="104">
    <w:name w:val="标题 6 字符"/>
    <w:basedOn w:val="40"/>
    <w:link w:val="8"/>
    <w:qFormat/>
    <w:uiPriority w:val="9"/>
    <w:rPr>
      <w:rFonts w:ascii="Cambria" w:hAnsi="Cambria"/>
      <w:b/>
      <w:bCs/>
      <w:sz w:val="24"/>
      <w:szCs w:val="22"/>
    </w:rPr>
  </w:style>
  <w:style w:type="character" w:customStyle="1" w:styleId="105">
    <w:name w:val="批注文字 字符1"/>
    <w:qFormat/>
    <w:uiPriority w:val="0"/>
    <w:rPr>
      <w:rFonts w:ascii="Calibri" w:hAnsi="Calibri"/>
      <w:kern w:val="2"/>
      <w:sz w:val="21"/>
      <w:szCs w:val="24"/>
    </w:rPr>
  </w:style>
  <w:style w:type="character" w:customStyle="1" w:styleId="106">
    <w:name w:val="称呼 字符"/>
    <w:basedOn w:val="40"/>
    <w:link w:val="2"/>
    <w:qFormat/>
    <w:uiPriority w:val="0"/>
    <w:rPr>
      <w:rFonts w:ascii="Calibri" w:hAnsi="Calibri"/>
      <w:sz w:val="34"/>
      <w:szCs w:val="22"/>
    </w:rPr>
  </w:style>
  <w:style w:type="character" w:customStyle="1" w:styleId="107">
    <w:name w:val="正文文本缩进 字符"/>
    <w:basedOn w:val="40"/>
    <w:link w:val="16"/>
    <w:qFormat/>
    <w:uiPriority w:val="0"/>
    <w:rPr>
      <w:rFonts w:hAnsi="Calibri"/>
      <w:kern w:val="2"/>
      <w:sz w:val="32"/>
      <w:szCs w:val="22"/>
    </w:rPr>
  </w:style>
  <w:style w:type="character" w:customStyle="1" w:styleId="108">
    <w:name w:val="正文文本缩进 2 字符"/>
    <w:basedOn w:val="40"/>
    <w:link w:val="21"/>
    <w:qFormat/>
    <w:uiPriority w:val="0"/>
    <w:rPr>
      <w:rFonts w:ascii="Calibri" w:hAnsi="Calibri"/>
      <w:sz w:val="34"/>
      <w:szCs w:val="22"/>
    </w:rPr>
  </w:style>
  <w:style w:type="character" w:customStyle="1" w:styleId="109">
    <w:name w:val="页脚 字符"/>
    <w:basedOn w:val="40"/>
    <w:link w:val="23"/>
    <w:qFormat/>
    <w:uiPriority w:val="99"/>
    <w:rPr>
      <w:rFonts w:ascii="Calibri" w:hAnsi="Calibri"/>
      <w:sz w:val="18"/>
    </w:rPr>
  </w:style>
  <w:style w:type="character" w:customStyle="1" w:styleId="110">
    <w:name w:val="页眉 字符"/>
    <w:basedOn w:val="40"/>
    <w:link w:val="24"/>
    <w:qFormat/>
    <w:uiPriority w:val="99"/>
    <w:rPr>
      <w:rFonts w:ascii="Calibri" w:hAnsi="Calibri"/>
      <w:sz w:val="18"/>
    </w:rPr>
  </w:style>
  <w:style w:type="character" w:customStyle="1" w:styleId="111">
    <w:name w:val="副标题 字符"/>
    <w:basedOn w:val="40"/>
    <w:link w:val="27"/>
    <w:qFormat/>
    <w:uiPriority w:val="0"/>
    <w:rPr>
      <w:rFonts w:ascii="Arial" w:hAnsi="Arial" w:cs="黑体"/>
      <w:bCs/>
      <w:kern w:val="28"/>
      <w:sz w:val="34"/>
      <w:szCs w:val="22"/>
    </w:rPr>
  </w:style>
  <w:style w:type="table" w:customStyle="1" w:styleId="112">
    <w:name w:val="网格型1"/>
    <w:basedOn w:val="3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3">
    <w:name w:val="font61"/>
    <w:qFormat/>
    <w:uiPriority w:val="0"/>
    <w:rPr>
      <w:rFonts w:hint="eastAsia" w:ascii="宋体" w:hAnsi="宋体" w:eastAsia="宋体" w:cs="宋体"/>
      <w:color w:val="000000"/>
      <w:sz w:val="20"/>
      <w:szCs w:val="20"/>
      <w:u w:val="none"/>
    </w:rPr>
  </w:style>
  <w:style w:type="character" w:customStyle="1" w:styleId="114">
    <w:name w:val="hover"/>
    <w:qFormat/>
    <w:uiPriority w:val="0"/>
    <w:rPr>
      <w:color w:val="5FB878"/>
    </w:rPr>
  </w:style>
  <w:style w:type="character" w:customStyle="1" w:styleId="115">
    <w:name w:val="font71"/>
    <w:qFormat/>
    <w:uiPriority w:val="0"/>
    <w:rPr>
      <w:rFonts w:hint="eastAsia" w:ascii="宋体" w:hAnsi="宋体" w:eastAsia="宋体" w:cs="宋体"/>
      <w:color w:val="000000"/>
      <w:sz w:val="20"/>
      <w:szCs w:val="20"/>
      <w:u w:val="none"/>
    </w:rPr>
  </w:style>
  <w:style w:type="character" w:customStyle="1" w:styleId="116">
    <w:name w:val="hover3"/>
    <w:qFormat/>
    <w:uiPriority w:val="0"/>
    <w:rPr>
      <w:color w:val="5FB878"/>
    </w:rPr>
  </w:style>
  <w:style w:type="character" w:customStyle="1" w:styleId="117">
    <w:name w:val="批注主题 字符1"/>
    <w:qFormat/>
    <w:uiPriority w:val="0"/>
    <w:rPr>
      <w:rFonts w:ascii="Calibri" w:hAnsi="Calibri"/>
      <w:b/>
      <w:bCs/>
      <w:kern w:val="2"/>
      <w:sz w:val="21"/>
      <w:szCs w:val="24"/>
    </w:rPr>
  </w:style>
  <w:style w:type="character" w:customStyle="1" w:styleId="118">
    <w:name w:val="hover1"/>
    <w:qFormat/>
    <w:uiPriority w:val="0"/>
    <w:rPr>
      <w:color w:val="5FB878"/>
    </w:rPr>
  </w:style>
  <w:style w:type="character" w:customStyle="1" w:styleId="119">
    <w:name w:val="批注框文本 字符1"/>
    <w:qFormat/>
    <w:uiPriority w:val="0"/>
    <w:rPr>
      <w:rFonts w:ascii="Calibri" w:hAnsi="Calibri"/>
      <w:kern w:val="2"/>
      <w:sz w:val="18"/>
      <w:szCs w:val="18"/>
    </w:rPr>
  </w:style>
  <w:style w:type="character" w:customStyle="1" w:styleId="120">
    <w:name w:val="op_dict_text22"/>
    <w:qFormat/>
    <w:uiPriority w:val="0"/>
  </w:style>
  <w:style w:type="character" w:customStyle="1" w:styleId="121">
    <w:name w:val="hover2"/>
    <w:qFormat/>
    <w:uiPriority w:val="0"/>
    <w:rPr>
      <w:color w:val="FFFFFF"/>
    </w:rPr>
  </w:style>
  <w:style w:type="character" w:customStyle="1" w:styleId="122">
    <w:name w:val="ca-18"/>
    <w:qFormat/>
    <w:uiPriority w:val="0"/>
  </w:style>
  <w:style w:type="paragraph" w:customStyle="1" w:styleId="123">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Times New Roman"/>
      <w:sz w:val="24"/>
      <w:szCs w:val="20"/>
    </w:rPr>
  </w:style>
  <w:style w:type="paragraph" w:customStyle="1" w:styleId="124">
    <w:name w:val="xl83"/>
    <w:basedOn w:val="1"/>
    <w:qFormat/>
    <w:uiPriority w:val="0"/>
    <w:pPr>
      <w:widowControl/>
      <w:shd w:val="clear" w:color="000000" w:fill="FFFF00"/>
      <w:spacing w:before="100" w:beforeAutospacing="1" w:after="100" w:afterAutospacing="1"/>
      <w:jc w:val="left"/>
    </w:pPr>
    <w:rPr>
      <w:rFonts w:hAnsi="宋体" w:cs="宋体"/>
      <w:sz w:val="24"/>
      <w:szCs w:val="24"/>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szCs w:val="24"/>
    </w:rPr>
  </w:style>
  <w:style w:type="paragraph" w:customStyle="1" w:styleId="126">
    <w:name w:val="xl92"/>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pPr>
    <w:rPr>
      <w:rFonts w:hAnsi="宋体" w:cs="宋体"/>
      <w:sz w:val="24"/>
      <w:szCs w:val="24"/>
    </w:rPr>
  </w:style>
  <w:style w:type="paragraph" w:customStyle="1" w:styleId="127">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28">
    <w:name w:val="样式 正文文本缩进 + 仿宋_GB2312 小四 首行缩进:  0 厘米 行距: 1.5 倍行距"/>
    <w:basedOn w:val="1"/>
    <w:qFormat/>
    <w:uiPriority w:val="0"/>
    <w:pPr>
      <w:spacing w:line="360" w:lineRule="auto"/>
    </w:pPr>
    <w:rPr>
      <w:rFonts w:ascii="仿宋_GB2312" w:hAnsi="Times New Roman" w:eastAsia="新宋体" w:cs="Times New Roman"/>
      <w:kern w:val="2"/>
      <w:sz w:val="24"/>
      <w:szCs w:val="20"/>
    </w:rPr>
  </w:style>
  <w:style w:type="paragraph" w:customStyle="1" w:styleId="129">
    <w:name w:val="xl96"/>
    <w:basedOn w:val="1"/>
    <w:qFormat/>
    <w:uiPriority w:val="0"/>
    <w:pPr>
      <w:widowControl/>
      <w:spacing w:before="100" w:beforeAutospacing="1" w:after="100" w:afterAutospacing="1"/>
      <w:jc w:val="left"/>
    </w:pPr>
    <w:rPr>
      <w:rFonts w:hAnsi="宋体" w:cs="宋体"/>
      <w:color w:val="000000"/>
      <w:sz w:val="21"/>
      <w:szCs w:val="21"/>
    </w:rPr>
  </w:style>
  <w:style w:type="paragraph" w:customStyle="1" w:styleId="13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hAnsi="宋体" w:cs="宋体"/>
      <w:sz w:val="24"/>
      <w:szCs w:val="24"/>
    </w:rPr>
  </w:style>
  <w:style w:type="paragraph" w:customStyle="1" w:styleId="131">
    <w:name w:val="02、首行缩进2字符正文"/>
    <w:basedOn w:val="1"/>
    <w:qFormat/>
    <w:uiPriority w:val="0"/>
    <w:pPr>
      <w:tabs>
        <w:tab w:val="left" w:pos="0"/>
      </w:tabs>
      <w:wordWrap w:val="0"/>
      <w:topLinePunct/>
      <w:ind w:firstLine="480" w:firstLineChars="200"/>
    </w:pPr>
    <w:rPr>
      <w:rFonts w:ascii="Calibri" w:cs="Times New Roman"/>
      <w:sz w:val="20"/>
      <w:szCs w:val="20"/>
    </w:rPr>
  </w:style>
  <w:style w:type="paragraph" w:customStyle="1" w:styleId="132">
    <w:name w:val="xl9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right"/>
    </w:pPr>
    <w:rPr>
      <w:rFonts w:hAnsi="宋体" w:cs="宋体"/>
      <w:color w:val="000000"/>
      <w:sz w:val="21"/>
      <w:szCs w:val="21"/>
    </w:rPr>
  </w:style>
  <w:style w:type="paragraph" w:customStyle="1" w:styleId="13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hAnsi="宋体" w:cs="宋体"/>
      <w:sz w:val="24"/>
      <w:szCs w:val="24"/>
    </w:rPr>
  </w:style>
  <w:style w:type="paragraph" w:customStyle="1" w:styleId="134">
    <w:name w:val="font12"/>
    <w:basedOn w:val="1"/>
    <w:qFormat/>
    <w:uiPriority w:val="0"/>
    <w:pPr>
      <w:widowControl/>
      <w:spacing w:before="100" w:beforeAutospacing="1" w:after="100" w:afterAutospacing="1"/>
      <w:jc w:val="left"/>
    </w:pPr>
    <w:rPr>
      <w:rFonts w:hAnsi="宋体" w:cs="宋体"/>
      <w:sz w:val="18"/>
      <w:szCs w:val="18"/>
    </w:rPr>
  </w:style>
  <w:style w:type="paragraph" w:customStyle="1" w:styleId="1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szCs w:val="24"/>
    </w:rPr>
  </w:style>
  <w:style w:type="paragraph" w:customStyle="1" w:styleId="136">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hAnsi="宋体" w:cs="宋体"/>
      <w:color w:val="000000"/>
      <w:sz w:val="21"/>
      <w:szCs w:val="21"/>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hAnsi="宋体" w:cs="宋体"/>
      <w:sz w:val="24"/>
      <w:szCs w:val="24"/>
    </w:rPr>
  </w:style>
  <w:style w:type="paragraph" w:customStyle="1" w:styleId="13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000000"/>
      <w:sz w:val="20"/>
      <w:szCs w:val="20"/>
    </w:rPr>
  </w:style>
  <w:style w:type="paragraph" w:customStyle="1" w:styleId="140">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41">
    <w:name w:val="xl77"/>
    <w:basedOn w:val="1"/>
    <w:qFormat/>
    <w:uiPriority w:val="0"/>
    <w:pPr>
      <w:widowControl/>
      <w:spacing w:before="100" w:beforeAutospacing="1" w:after="100" w:afterAutospacing="1"/>
      <w:jc w:val="left"/>
    </w:pPr>
    <w:rPr>
      <w:rFonts w:hAnsi="宋体" w:cs="宋体"/>
      <w:b/>
      <w:bCs/>
      <w:sz w:val="24"/>
      <w:szCs w:val="24"/>
    </w:rPr>
  </w:style>
  <w:style w:type="paragraph" w:styleId="142">
    <w:name w:val="List Paragraph"/>
    <w:basedOn w:val="1"/>
    <w:qFormat/>
    <w:uiPriority w:val="99"/>
    <w:pPr>
      <w:ind w:firstLine="420" w:firstLineChars="200"/>
    </w:pPr>
    <w:rPr>
      <w:rFonts w:ascii="Calibri" w:cs="Times New Roman"/>
      <w:kern w:val="2"/>
      <w:sz w:val="21"/>
      <w:szCs w:val="24"/>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bCs/>
      <w:color w:val="FF0000"/>
      <w:sz w:val="21"/>
      <w:szCs w:val="21"/>
    </w:rPr>
  </w:style>
  <w:style w:type="paragraph" w:customStyle="1" w:styleId="14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24"/>
      <w:szCs w:val="24"/>
    </w:rPr>
  </w:style>
  <w:style w:type="paragraph" w:customStyle="1" w:styleId="14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color w:val="000000"/>
      <w:sz w:val="21"/>
      <w:szCs w:val="21"/>
    </w:rPr>
  </w:style>
  <w:style w:type="paragraph" w:customStyle="1" w:styleId="146">
    <w:name w:val="msolistparagraph"/>
    <w:basedOn w:val="1"/>
    <w:qFormat/>
    <w:uiPriority w:val="0"/>
    <w:pPr>
      <w:ind w:firstLine="420" w:firstLineChars="200"/>
    </w:pPr>
    <w:rPr>
      <w:rFonts w:ascii="Calibri" w:cs="Times New Roman"/>
      <w:kern w:val="2"/>
      <w:sz w:val="21"/>
      <w:szCs w:val="24"/>
    </w:rPr>
  </w:style>
  <w:style w:type="paragraph" w:customStyle="1" w:styleId="147">
    <w:name w:val="12、表格内左对齐正文"/>
    <w:basedOn w:val="1"/>
    <w:qFormat/>
    <w:uiPriority w:val="0"/>
    <w:pPr>
      <w:tabs>
        <w:tab w:val="left" w:pos="0"/>
      </w:tabs>
      <w:wordWrap w:val="0"/>
      <w:topLinePunct/>
      <w:spacing w:line="360" w:lineRule="exact"/>
      <w:ind w:left="48" w:leftChars="20"/>
    </w:pPr>
    <w:rPr>
      <w:rFonts w:ascii="Calibri" w:cs="Times New Roman"/>
      <w:snapToGrid w:val="0"/>
      <w:sz w:val="21"/>
      <w:szCs w:val="20"/>
    </w:rPr>
  </w:style>
  <w:style w:type="paragraph" w:customStyle="1" w:styleId="148">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szCs w:val="24"/>
    </w:rPr>
  </w:style>
  <w:style w:type="paragraph" w:customStyle="1" w:styleId="149">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b/>
      <w:bCs/>
      <w:sz w:val="24"/>
      <w:szCs w:val="24"/>
    </w:rPr>
  </w:style>
  <w:style w:type="paragraph" w:customStyle="1" w:styleId="150">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color w:val="000000"/>
      <w:sz w:val="21"/>
      <w:szCs w:val="21"/>
    </w:rPr>
  </w:style>
  <w:style w:type="paragraph" w:customStyle="1" w:styleId="151">
    <w:name w:val="要求正文"/>
    <w:basedOn w:val="1"/>
    <w:qFormat/>
    <w:uiPriority w:val="0"/>
    <w:pPr>
      <w:spacing w:line="400" w:lineRule="exact"/>
      <w:ind w:firstLine="420" w:firstLineChars="200"/>
    </w:pPr>
    <w:rPr>
      <w:rFonts w:ascii="Times New Roman" w:hAnsi="Times New Roman" w:cs="Times New Roman"/>
      <w:kern w:val="2"/>
      <w:sz w:val="24"/>
      <w:szCs w:val="24"/>
    </w:rPr>
  </w:style>
  <w:style w:type="paragraph" w:customStyle="1" w:styleId="152">
    <w:name w:val="Normal_1"/>
    <w:qFormat/>
    <w:uiPriority w:val="0"/>
    <w:pPr>
      <w:widowControl w:val="0"/>
      <w:jc w:val="both"/>
    </w:pPr>
    <w:rPr>
      <w:rFonts w:ascii="Times New Roman" w:hAnsi="Times New Roman" w:eastAsia="宋体" w:cs="Times New Roman"/>
      <w:szCs w:val="24"/>
      <w:lang w:val="en-US" w:eastAsia="zh-CN" w:bidi="ar-SA"/>
    </w:rPr>
  </w:style>
  <w:style w:type="paragraph" w:customStyle="1" w:styleId="15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b/>
      <w:bCs/>
      <w:color w:val="000000"/>
      <w:sz w:val="21"/>
      <w:szCs w:val="21"/>
    </w:rPr>
  </w:style>
  <w:style w:type="paragraph" w:customStyle="1" w:styleId="154">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Ansi="宋体" w:cs="宋体"/>
      <w:sz w:val="24"/>
      <w:szCs w:val="24"/>
    </w:rPr>
  </w:style>
  <w:style w:type="paragraph" w:customStyle="1" w:styleId="155">
    <w:name w:val="列出段落2"/>
    <w:basedOn w:val="1"/>
    <w:qFormat/>
    <w:uiPriority w:val="0"/>
    <w:pPr>
      <w:ind w:firstLine="420" w:firstLineChars="200"/>
    </w:pPr>
    <w:rPr>
      <w:rFonts w:ascii="Calibri" w:cs="Times New Roman"/>
      <w:kern w:val="2"/>
      <w:sz w:val="21"/>
      <w:szCs w:val="20"/>
    </w:rPr>
  </w:style>
  <w:style w:type="paragraph" w:customStyle="1" w:styleId="156">
    <w:name w:val="xl6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right"/>
    </w:pPr>
    <w:rPr>
      <w:rFonts w:hAnsi="宋体" w:cs="宋体"/>
      <w:color w:val="000000"/>
      <w:sz w:val="21"/>
      <w:szCs w:val="21"/>
    </w:rPr>
  </w:style>
  <w:style w:type="paragraph" w:customStyle="1" w:styleId="15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4"/>
      <w:szCs w:val="24"/>
    </w:rPr>
  </w:style>
  <w:style w:type="paragraph" w:customStyle="1" w:styleId="15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pPr>
    <w:rPr>
      <w:rFonts w:hAnsi="宋体" w:cs="宋体"/>
      <w:sz w:val="24"/>
      <w:szCs w:val="24"/>
    </w:rPr>
  </w:style>
  <w:style w:type="paragraph" w:customStyle="1" w:styleId="159">
    <w:name w:val="font7"/>
    <w:basedOn w:val="1"/>
    <w:qFormat/>
    <w:uiPriority w:val="0"/>
    <w:pPr>
      <w:widowControl/>
      <w:spacing w:before="100" w:beforeAutospacing="1" w:after="100" w:afterAutospacing="1"/>
      <w:jc w:val="left"/>
    </w:pPr>
    <w:rPr>
      <w:rFonts w:hAnsi="宋体" w:cs="宋体"/>
      <w:color w:val="000000"/>
      <w:sz w:val="21"/>
      <w:szCs w:val="21"/>
    </w:rPr>
  </w:style>
  <w:style w:type="paragraph" w:customStyle="1" w:styleId="160">
    <w:name w:val="_Style 5"/>
    <w:basedOn w:val="1"/>
    <w:qFormat/>
    <w:uiPriority w:val="34"/>
    <w:pPr>
      <w:ind w:firstLine="420" w:firstLineChars="200"/>
    </w:pPr>
    <w:rPr>
      <w:rFonts w:ascii="Calibri" w:cs="Times New Roman"/>
      <w:kern w:val="2"/>
      <w:sz w:val="21"/>
      <w:szCs w:val="24"/>
    </w:rPr>
  </w:style>
  <w:style w:type="paragraph" w:customStyle="1" w:styleId="161">
    <w:name w:val="xl93"/>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pPr>
    <w:rPr>
      <w:rFonts w:hAnsi="宋体" w:cs="宋体"/>
      <w:sz w:val="24"/>
      <w:szCs w:val="24"/>
    </w:rPr>
  </w:style>
  <w:style w:type="paragraph" w:customStyle="1" w:styleId="1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FF0000"/>
      <w:sz w:val="21"/>
      <w:szCs w:val="21"/>
    </w:rPr>
  </w:style>
  <w:style w:type="paragraph" w:customStyle="1" w:styleId="163">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cs="宋体"/>
      <w:sz w:val="24"/>
      <w:szCs w:val="24"/>
    </w:rPr>
  </w:style>
  <w:style w:type="paragraph" w:customStyle="1" w:styleId="1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000000"/>
      <w:sz w:val="21"/>
      <w:szCs w:val="21"/>
    </w:rPr>
  </w:style>
  <w:style w:type="paragraph" w:customStyle="1" w:styleId="165">
    <w:name w:val="（符号）三标题1.1"/>
    <w:basedOn w:val="1"/>
    <w:qFormat/>
    <w:uiPriority w:val="99"/>
    <w:pPr>
      <w:tabs>
        <w:tab w:val="left" w:pos="700"/>
      </w:tabs>
      <w:spacing w:line="500" w:lineRule="exact"/>
      <w:ind w:left="700" w:hanging="700"/>
    </w:pPr>
    <w:rPr>
      <w:rFonts w:hAnsi="宋体" w:cs="Times New Roman"/>
      <w:sz w:val="24"/>
      <w:szCs w:val="20"/>
    </w:rPr>
  </w:style>
  <w:style w:type="paragraph" w:customStyle="1" w:styleId="166">
    <w:name w:val="font6"/>
    <w:basedOn w:val="1"/>
    <w:qFormat/>
    <w:uiPriority w:val="0"/>
    <w:pPr>
      <w:widowControl/>
      <w:spacing w:before="100" w:beforeAutospacing="1" w:after="100" w:afterAutospacing="1"/>
      <w:jc w:val="left"/>
    </w:pPr>
    <w:rPr>
      <w:rFonts w:ascii="Times New Roman" w:hAnsi="Times New Roman" w:cs="Times New Roman"/>
      <w:color w:val="000000"/>
      <w:sz w:val="21"/>
      <w:szCs w:val="21"/>
    </w:rPr>
  </w:style>
  <w:style w:type="paragraph" w:customStyle="1" w:styleId="16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sz w:val="21"/>
      <w:szCs w:val="21"/>
    </w:rPr>
  </w:style>
  <w:style w:type="paragraph" w:customStyle="1" w:styleId="168">
    <w:name w:val="xl68"/>
    <w:basedOn w:val="1"/>
    <w:qFormat/>
    <w:uiPriority w:val="0"/>
    <w:pPr>
      <w:widowControl/>
      <w:spacing w:before="100" w:beforeAutospacing="1" w:after="100" w:afterAutospacing="1"/>
      <w:jc w:val="center"/>
    </w:pPr>
    <w:rPr>
      <w:rFonts w:ascii="黑体" w:hAnsi="黑体" w:eastAsia="黑体" w:cs="宋体"/>
      <w:b/>
      <w:bCs/>
      <w:sz w:val="32"/>
      <w:szCs w:val="32"/>
    </w:rPr>
  </w:style>
  <w:style w:type="paragraph" w:customStyle="1" w:styleId="169">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hAnsi="宋体" w:cs="宋体"/>
      <w:color w:val="000000"/>
      <w:sz w:val="21"/>
      <w:szCs w:val="21"/>
    </w:rPr>
  </w:style>
  <w:style w:type="paragraph" w:customStyle="1" w:styleId="170">
    <w:name w:val="font10"/>
    <w:basedOn w:val="1"/>
    <w:qFormat/>
    <w:uiPriority w:val="0"/>
    <w:pPr>
      <w:widowControl/>
      <w:spacing w:before="100" w:beforeAutospacing="1" w:after="100" w:afterAutospacing="1"/>
      <w:jc w:val="left"/>
    </w:pPr>
    <w:rPr>
      <w:rFonts w:hAnsi="宋体" w:cs="宋体"/>
      <w:color w:val="000000"/>
      <w:sz w:val="22"/>
    </w:rPr>
  </w:style>
  <w:style w:type="paragraph" w:customStyle="1" w:styleId="171">
    <w:name w:val="xl91"/>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left"/>
    </w:pPr>
    <w:rPr>
      <w:rFonts w:hAnsi="宋体" w:cs="宋体"/>
      <w:sz w:val="24"/>
      <w:szCs w:val="24"/>
    </w:rPr>
  </w:style>
  <w:style w:type="paragraph" w:customStyle="1" w:styleId="17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hAnsi="宋体" w:cs="宋体"/>
      <w:sz w:val="24"/>
      <w:szCs w:val="24"/>
    </w:rPr>
  </w:style>
  <w:style w:type="paragraph" w:customStyle="1" w:styleId="17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hAnsi="宋体" w:cs="宋体"/>
      <w:color w:val="000000"/>
      <w:sz w:val="21"/>
      <w:szCs w:val="21"/>
    </w:rPr>
  </w:style>
  <w:style w:type="paragraph" w:customStyle="1" w:styleId="174">
    <w:name w:val="font9"/>
    <w:basedOn w:val="1"/>
    <w:qFormat/>
    <w:uiPriority w:val="0"/>
    <w:pPr>
      <w:widowControl/>
      <w:spacing w:before="100" w:beforeAutospacing="1" w:after="100" w:afterAutospacing="1"/>
      <w:jc w:val="left"/>
    </w:pPr>
    <w:rPr>
      <w:rFonts w:hAnsi="宋体" w:cs="宋体"/>
      <w:sz w:val="18"/>
      <w:szCs w:val="18"/>
    </w:rPr>
  </w:style>
  <w:style w:type="paragraph" w:customStyle="1" w:styleId="175">
    <w:name w:val="font5"/>
    <w:basedOn w:val="1"/>
    <w:qFormat/>
    <w:uiPriority w:val="0"/>
    <w:pPr>
      <w:widowControl/>
      <w:spacing w:before="100" w:beforeAutospacing="1" w:after="100" w:afterAutospacing="1"/>
      <w:jc w:val="left"/>
    </w:pPr>
    <w:rPr>
      <w:rFonts w:hAnsi="宋体" w:cs="宋体"/>
      <w:sz w:val="18"/>
      <w:szCs w:val="18"/>
    </w:rPr>
  </w:style>
  <w:style w:type="paragraph" w:customStyle="1" w:styleId="1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color w:val="FF0000"/>
      <w:sz w:val="21"/>
      <w:szCs w:val="21"/>
    </w:rPr>
  </w:style>
  <w:style w:type="paragraph" w:customStyle="1" w:styleId="177">
    <w:name w:val="msonormal"/>
    <w:basedOn w:val="1"/>
    <w:qFormat/>
    <w:uiPriority w:val="0"/>
    <w:pPr>
      <w:widowControl/>
      <w:spacing w:before="100" w:beforeAutospacing="1" w:after="100" w:afterAutospacing="1"/>
      <w:jc w:val="left"/>
    </w:pPr>
    <w:rPr>
      <w:rFonts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98282-1D4F-45EA-B1B4-60227128A12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109</Pages>
  <Words>11735</Words>
  <Characters>66894</Characters>
  <Lines>557</Lines>
  <Paragraphs>156</Paragraphs>
  <TotalTime>41</TotalTime>
  <ScaleCrop>false</ScaleCrop>
  <LinksUpToDate>false</LinksUpToDate>
  <CharactersWithSpaces>78473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2019-03-28T06:59:00Z</dcterms:created>
  <dc:creator>teng</dc:creator>
  <cp:lastModifiedBy>保持微笑</cp:lastModifiedBy>
  <cp:lastPrinted>2021-11-02T07:09:00Z</cp:lastPrinted>
  <dcterms:modified xsi:type="dcterms:W3CDTF">2021-11-12T06:09:59Z</dcterms:modified>
  <dc:title>项目编号：以四川政府采购网系统生成编号为准 </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A9E91276E7714EA98459EF765623EC3B</vt:lpwstr>
  </property>
</Properties>
</file>