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olor w:val="000000"/>
        </w:rPr>
      </w:pPr>
      <w:bookmarkStart w:id="0" w:name="_Toc56170377"/>
      <w:bookmarkStart w:id="1" w:name="_Toc55990499"/>
      <w:bookmarkStart w:id="2" w:name="_Toc61184620"/>
      <w:bookmarkStart w:id="3" w:name="_Toc56170378"/>
      <w:bookmarkStart w:id="4" w:name="_Toc61184621"/>
      <w:bookmarkStart w:id="5" w:name="_Toc55990500"/>
      <w:bookmarkStart w:id="6" w:name="_Toc5896489"/>
      <w:bookmarkStart w:id="7" w:name="_Toc399523005"/>
    </w:p>
    <w:p>
      <w:pPr>
        <w:spacing w:beforeLines="500" w:line="360" w:lineRule="auto"/>
        <w:jc w:val="center"/>
        <w:rPr>
          <w:rFonts w:ascii="仿宋" w:hAnsi="仿宋" w:eastAsia="仿宋"/>
          <w:color w:val="000000"/>
          <w:sz w:val="48"/>
        </w:rPr>
      </w:pPr>
      <w:r>
        <w:rPr>
          <w:rFonts w:hint="eastAsia" w:ascii="仿宋" w:hAnsi="仿宋" w:eastAsia="仿宋"/>
          <w:color w:val="000000"/>
          <w:sz w:val="120"/>
          <w:szCs w:val="120"/>
        </w:rPr>
        <w:t>招 标 文 件</w:t>
      </w:r>
    </w:p>
    <w:p>
      <w:pPr>
        <w:pStyle w:val="23"/>
        <w:spacing w:beforeLines="550" w:line="360" w:lineRule="auto"/>
        <w:ind w:firstLine="720"/>
        <w:rPr>
          <w:rFonts w:ascii="仿宋" w:hAnsi="仿宋" w:eastAsia="仿宋"/>
          <w:sz w:val="36"/>
          <w:szCs w:val="36"/>
          <w:highlight w:val="none"/>
        </w:rPr>
      </w:pPr>
      <w:r>
        <w:rPr>
          <w:rFonts w:hint="eastAsia" w:ascii="仿宋" w:hAnsi="仿宋" w:eastAsia="仿宋"/>
          <w:sz w:val="36"/>
          <w:szCs w:val="36"/>
          <w:highlight w:val="none"/>
        </w:rPr>
        <w:t xml:space="preserve">项目编号：ZKGSF(ZB)-20223125 </w:t>
      </w:r>
    </w:p>
    <w:p>
      <w:pPr>
        <w:pStyle w:val="23"/>
        <w:spacing w:line="360" w:lineRule="auto"/>
        <w:ind w:left="2518" w:leftChars="342" w:hanging="1800" w:hangingChars="500"/>
        <w:rPr>
          <w:rFonts w:hint="eastAsia" w:ascii="仿宋" w:hAnsi="仿宋" w:eastAsia="仿宋" w:cs="仿宋"/>
          <w:sz w:val="36"/>
          <w:szCs w:val="36"/>
          <w:lang w:eastAsia="zh-CN"/>
        </w:rPr>
      </w:pPr>
      <w:r>
        <w:rPr>
          <w:rFonts w:hint="eastAsia" w:ascii="仿宋" w:hAnsi="仿宋" w:eastAsia="仿宋" w:cs="仿宋"/>
          <w:sz w:val="36"/>
          <w:szCs w:val="36"/>
        </w:rPr>
        <w:t>项目名称：</w:t>
      </w:r>
      <w:r>
        <w:rPr>
          <w:rFonts w:hint="eastAsia" w:ascii="仿宋" w:hAnsi="仿宋" w:eastAsia="仿宋" w:cs="仿宋"/>
          <w:sz w:val="36"/>
          <w:szCs w:val="36"/>
          <w:lang w:eastAsia="zh-CN"/>
        </w:rPr>
        <w:t>新疆医科大学附属肿瘤医院高能医用直线加速器采购项目</w:t>
      </w:r>
    </w:p>
    <w:p>
      <w:pPr>
        <w:pStyle w:val="23"/>
        <w:spacing w:line="360" w:lineRule="auto"/>
        <w:ind w:firstLine="720"/>
        <w:rPr>
          <w:rFonts w:ascii="仿宋" w:hAnsi="仿宋" w:eastAsia="仿宋" w:cs="仿宋"/>
          <w:sz w:val="36"/>
          <w:szCs w:val="36"/>
        </w:rPr>
      </w:pPr>
      <w:r>
        <w:rPr>
          <w:rFonts w:hint="eastAsia" w:ascii="仿宋" w:hAnsi="仿宋" w:eastAsia="仿宋" w:cs="仿宋"/>
          <w:sz w:val="36"/>
          <w:szCs w:val="36"/>
        </w:rPr>
        <w:t>采 购 人：新疆医科大学附属肿瘤医院</w:t>
      </w:r>
    </w:p>
    <w:p>
      <w:pPr>
        <w:pStyle w:val="23"/>
        <w:spacing w:line="360" w:lineRule="auto"/>
        <w:ind w:firstLine="720"/>
        <w:rPr>
          <w:rFonts w:ascii="仿宋" w:hAnsi="仿宋" w:eastAsia="仿宋" w:cs="仿宋"/>
          <w:sz w:val="36"/>
          <w:szCs w:val="36"/>
        </w:rPr>
      </w:pPr>
      <w:r>
        <w:rPr>
          <w:rFonts w:hint="eastAsia" w:ascii="仿宋" w:hAnsi="仿宋" w:eastAsia="仿宋" w:cs="仿宋"/>
          <w:sz w:val="36"/>
          <w:szCs w:val="36"/>
        </w:rPr>
        <w:t>地    址：乌鲁木齐市新市区苏州东街789号</w:t>
      </w:r>
    </w:p>
    <w:p>
      <w:pPr>
        <w:pStyle w:val="23"/>
        <w:spacing w:line="360" w:lineRule="auto"/>
        <w:ind w:firstLine="720"/>
        <w:rPr>
          <w:rFonts w:ascii="仿宋" w:hAnsi="仿宋" w:eastAsia="仿宋" w:cs="仿宋"/>
          <w:sz w:val="36"/>
          <w:szCs w:val="36"/>
        </w:rPr>
      </w:pPr>
      <w:r>
        <w:rPr>
          <w:rFonts w:hint="eastAsia" w:ascii="仿宋" w:hAnsi="仿宋" w:eastAsia="仿宋" w:cs="仿宋"/>
          <w:sz w:val="36"/>
          <w:szCs w:val="36"/>
        </w:rPr>
        <w:t>联 系 人：向征</w:t>
      </w:r>
    </w:p>
    <w:p>
      <w:pPr>
        <w:pStyle w:val="23"/>
        <w:spacing w:line="360" w:lineRule="auto"/>
        <w:ind w:firstLine="720"/>
        <w:rPr>
          <w:rFonts w:ascii="仿宋" w:hAnsi="仿宋" w:eastAsia="仿宋" w:cs="仿宋"/>
          <w:sz w:val="36"/>
          <w:szCs w:val="36"/>
        </w:rPr>
      </w:pPr>
      <w:r>
        <w:rPr>
          <w:rFonts w:hint="eastAsia" w:ascii="仿宋" w:hAnsi="仿宋" w:eastAsia="仿宋" w:cs="仿宋"/>
          <w:sz w:val="36"/>
          <w:szCs w:val="36"/>
        </w:rPr>
        <w:t>联系电话：0991-7819055</w:t>
      </w:r>
    </w:p>
    <w:p>
      <w:pPr>
        <w:pStyle w:val="23"/>
        <w:spacing w:line="360" w:lineRule="auto"/>
        <w:ind w:firstLine="720"/>
        <w:rPr>
          <w:rFonts w:ascii="仿宋" w:hAnsi="仿宋" w:eastAsia="仿宋" w:cs="仿宋"/>
          <w:sz w:val="36"/>
          <w:szCs w:val="36"/>
        </w:rPr>
      </w:pPr>
    </w:p>
    <w:p>
      <w:pPr>
        <w:pStyle w:val="23"/>
        <w:spacing w:line="360" w:lineRule="auto"/>
        <w:ind w:firstLine="720"/>
        <w:rPr>
          <w:rFonts w:ascii="仿宋" w:hAnsi="仿宋" w:eastAsia="仿宋" w:cs="仿宋"/>
          <w:sz w:val="36"/>
          <w:szCs w:val="36"/>
        </w:rPr>
      </w:pPr>
      <w:r>
        <w:rPr>
          <w:rFonts w:hint="eastAsia" w:ascii="仿宋" w:hAnsi="仿宋" w:eastAsia="仿宋" w:cs="仿宋"/>
          <w:sz w:val="36"/>
          <w:szCs w:val="36"/>
        </w:rPr>
        <w:t>采购代理：中科高盛咨询集团有限公司</w:t>
      </w:r>
    </w:p>
    <w:p>
      <w:pPr>
        <w:pStyle w:val="23"/>
        <w:spacing w:line="360" w:lineRule="auto"/>
        <w:ind w:left="2534" w:leftChars="341" w:hanging="1818" w:hangingChars="505"/>
        <w:rPr>
          <w:rFonts w:ascii="仿宋" w:hAnsi="仿宋" w:eastAsia="仿宋" w:cs="仿宋"/>
          <w:sz w:val="36"/>
          <w:szCs w:val="36"/>
        </w:rPr>
      </w:pPr>
      <w:r>
        <w:rPr>
          <w:rFonts w:hint="eastAsia" w:ascii="仿宋" w:hAnsi="仿宋" w:eastAsia="仿宋" w:cs="仿宋"/>
          <w:sz w:val="36"/>
          <w:szCs w:val="36"/>
        </w:rPr>
        <w:t>地    址：新疆乌鲁木齐市水磨沟区绿地中心写字楼智海2008</w:t>
      </w:r>
    </w:p>
    <w:p>
      <w:pPr>
        <w:pStyle w:val="23"/>
        <w:spacing w:line="360" w:lineRule="auto"/>
        <w:ind w:firstLine="720"/>
        <w:rPr>
          <w:rFonts w:ascii="仿宋" w:hAnsi="仿宋" w:eastAsia="仿宋" w:cs="仿宋"/>
          <w:sz w:val="36"/>
          <w:szCs w:val="36"/>
        </w:rPr>
      </w:pPr>
      <w:r>
        <w:rPr>
          <w:rFonts w:hint="eastAsia" w:ascii="仿宋" w:hAnsi="仿宋" w:eastAsia="仿宋" w:cs="仿宋"/>
          <w:sz w:val="36"/>
          <w:szCs w:val="36"/>
        </w:rPr>
        <w:t>联 系 人：付文、何勋</w:t>
      </w:r>
    </w:p>
    <w:p>
      <w:pPr>
        <w:ind w:firstLine="720" w:firstLineChars="200"/>
        <w:rPr>
          <w:rFonts w:ascii="仿宋" w:hAnsi="仿宋" w:eastAsia="仿宋" w:cs="仿宋"/>
          <w:sz w:val="36"/>
          <w:szCs w:val="36"/>
        </w:rPr>
      </w:pPr>
      <w:r>
        <w:rPr>
          <w:rFonts w:hint="eastAsia" w:ascii="仿宋" w:hAnsi="仿宋" w:eastAsia="仿宋" w:cs="仿宋"/>
          <w:sz w:val="36"/>
          <w:szCs w:val="36"/>
        </w:rPr>
        <w:t>联系电话：13999191325、13659965991</w:t>
      </w:r>
    </w:p>
    <w:p>
      <w:pPr>
        <w:rPr>
          <w:rFonts w:ascii="仿宋" w:hAnsi="仿宋" w:eastAsia="仿宋"/>
          <w:color w:val="000000"/>
          <w:sz w:val="44"/>
          <w:szCs w:val="44"/>
        </w:rPr>
      </w:pPr>
      <w:r>
        <w:rPr>
          <w:rFonts w:hint="eastAsia" w:ascii="仿宋" w:hAnsi="仿宋" w:eastAsia="仿宋"/>
          <w:color w:val="000000"/>
          <w:sz w:val="44"/>
          <w:szCs w:val="44"/>
        </w:rPr>
        <w:br w:type="page"/>
      </w:r>
    </w:p>
    <w:p>
      <w:pPr>
        <w:tabs>
          <w:tab w:val="left" w:pos="2700"/>
        </w:tabs>
        <w:spacing w:line="360" w:lineRule="auto"/>
        <w:jc w:val="center"/>
        <w:rPr>
          <w:rFonts w:ascii="仿宋" w:hAnsi="仿宋" w:eastAsia="仿宋"/>
          <w:color w:val="000000"/>
          <w:sz w:val="44"/>
          <w:szCs w:val="44"/>
        </w:rPr>
      </w:pPr>
      <w:r>
        <w:rPr>
          <w:rFonts w:hint="eastAsia" w:ascii="仿宋" w:hAnsi="仿宋" w:eastAsia="仿宋"/>
          <w:color w:val="000000"/>
          <w:sz w:val="44"/>
          <w:szCs w:val="44"/>
        </w:rPr>
        <w:t>目    录</w:t>
      </w:r>
    </w:p>
    <w:p>
      <w:pPr>
        <w:pStyle w:val="14"/>
        <w:tabs>
          <w:tab w:val="right" w:leader="dot" w:pos="8296"/>
        </w:tabs>
        <w:spacing w:before="0" w:after="0"/>
        <w:ind w:firstLine="0" w:firstLineChars="0"/>
        <w:jc w:val="center"/>
        <w:rPr>
          <w:rFonts w:ascii="仿宋" w:hAnsi="仿宋" w:eastAsia="仿宋"/>
          <w:b w:val="0"/>
          <w:bCs w:val="0"/>
          <w:caps w:val="0"/>
          <w:sz w:val="24"/>
          <w:szCs w:val="24"/>
        </w:rPr>
      </w:pP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TOC \o "1-2" \h \z \u</w:instrText>
      </w:r>
      <w:r>
        <w:rPr>
          <w:rFonts w:ascii="仿宋" w:hAnsi="仿宋" w:eastAsia="仿宋"/>
          <w:sz w:val="24"/>
          <w:szCs w:val="24"/>
        </w:rPr>
        <w:instrText xml:space="preserve"> </w:instrText>
      </w:r>
      <w:r>
        <w:rPr>
          <w:rFonts w:ascii="仿宋" w:hAnsi="仿宋" w:eastAsia="仿宋"/>
          <w:sz w:val="24"/>
          <w:szCs w:val="24"/>
        </w:rPr>
        <w:fldChar w:fldCharType="separate"/>
      </w:r>
      <w:r>
        <w:fldChar w:fldCharType="begin"/>
      </w:r>
      <w:r>
        <w:instrText xml:space="preserve"> HYPERLINK \l "_Toc61184620" </w:instrText>
      </w:r>
      <w:r>
        <w:fldChar w:fldCharType="separate"/>
      </w:r>
      <w:r>
        <w:rPr>
          <w:rStyle w:val="22"/>
          <w:rFonts w:ascii="仿宋" w:hAnsi="仿宋" w:eastAsia="仿宋"/>
          <w:sz w:val="24"/>
          <w:szCs w:val="24"/>
        </w:rPr>
        <w:t>第一章、招标公告</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_Toc61184620 \h </w:instrText>
      </w:r>
      <w:r>
        <w:rPr>
          <w:rFonts w:ascii="仿宋" w:hAnsi="仿宋" w:eastAsia="仿宋"/>
          <w:sz w:val="24"/>
          <w:szCs w:val="24"/>
        </w:rPr>
        <w:fldChar w:fldCharType="separate"/>
      </w:r>
      <w:r>
        <w:rPr>
          <w:rFonts w:ascii="仿宋" w:hAnsi="仿宋" w:eastAsia="仿宋"/>
          <w:sz w:val="24"/>
          <w:szCs w:val="24"/>
        </w:rPr>
        <w:t>1</w:t>
      </w:r>
      <w:r>
        <w:rPr>
          <w:rFonts w:ascii="仿宋" w:hAnsi="仿宋" w:eastAsia="仿宋"/>
          <w:sz w:val="24"/>
          <w:szCs w:val="24"/>
        </w:rPr>
        <w:fldChar w:fldCharType="end"/>
      </w:r>
      <w:r>
        <w:rPr>
          <w:rFonts w:ascii="仿宋" w:hAnsi="仿宋" w:eastAsia="仿宋"/>
          <w:sz w:val="24"/>
          <w:szCs w:val="24"/>
        </w:rPr>
        <w:fldChar w:fldCharType="end"/>
      </w:r>
    </w:p>
    <w:p>
      <w:pPr>
        <w:pStyle w:val="14"/>
        <w:tabs>
          <w:tab w:val="right" w:leader="dot" w:pos="8296"/>
        </w:tabs>
        <w:spacing w:before="0" w:after="0"/>
        <w:ind w:firstLine="0" w:firstLineChars="0"/>
        <w:jc w:val="center"/>
        <w:rPr>
          <w:rFonts w:ascii="仿宋" w:hAnsi="仿宋" w:eastAsia="仿宋"/>
          <w:b w:val="0"/>
          <w:bCs w:val="0"/>
          <w:caps w:val="0"/>
          <w:sz w:val="24"/>
          <w:szCs w:val="24"/>
        </w:rPr>
      </w:pPr>
      <w:r>
        <w:fldChar w:fldCharType="begin"/>
      </w:r>
      <w:r>
        <w:instrText xml:space="preserve"> HYPERLINK \l "_Toc61184621" </w:instrText>
      </w:r>
      <w:r>
        <w:fldChar w:fldCharType="separate"/>
      </w:r>
      <w:r>
        <w:rPr>
          <w:rStyle w:val="22"/>
          <w:rFonts w:ascii="仿宋" w:hAnsi="仿宋" w:eastAsia="仿宋"/>
          <w:sz w:val="24"/>
          <w:szCs w:val="24"/>
        </w:rPr>
        <w:t>第二章、招标须知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_Toc61184621 \h </w:instrText>
      </w:r>
      <w:r>
        <w:rPr>
          <w:rFonts w:ascii="仿宋" w:hAnsi="仿宋" w:eastAsia="仿宋"/>
          <w:sz w:val="24"/>
          <w:szCs w:val="24"/>
        </w:rPr>
        <w:fldChar w:fldCharType="separate"/>
      </w:r>
      <w:r>
        <w:rPr>
          <w:rFonts w:ascii="仿宋" w:hAnsi="仿宋" w:eastAsia="仿宋"/>
          <w:sz w:val="24"/>
          <w:szCs w:val="24"/>
        </w:rPr>
        <w:t>1</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"_Toc61184622" </w:instrText>
      </w:r>
      <w:r>
        <w:fldChar w:fldCharType="separate"/>
      </w:r>
      <w:r>
        <w:rPr>
          <w:rStyle w:val="22"/>
          <w:rFonts w:ascii="仿宋" w:hAnsi="仿宋" w:eastAsia="仿宋"/>
          <w:sz w:val="24"/>
          <w:szCs w:val="24"/>
        </w:rPr>
        <w:t>招标须知前附表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_Toc61184622 \h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"_Toc61184623" </w:instrText>
      </w:r>
      <w:r>
        <w:fldChar w:fldCharType="separate"/>
      </w:r>
      <w:r>
        <w:rPr>
          <w:rStyle w:val="22"/>
          <w:rFonts w:ascii="仿宋" w:hAnsi="仿宋" w:eastAsia="仿宋"/>
          <w:sz w:val="24"/>
          <w:szCs w:val="24"/>
        </w:rPr>
        <w:t>一、总 则</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_Toc61184623 \h </w:instrText>
      </w:r>
      <w:r>
        <w:rPr>
          <w:rFonts w:ascii="仿宋" w:hAnsi="仿宋" w:eastAsia="仿宋"/>
          <w:sz w:val="24"/>
          <w:szCs w:val="24"/>
        </w:rPr>
        <w:fldChar w:fldCharType="separate"/>
      </w:r>
      <w:r>
        <w:rPr>
          <w:rFonts w:ascii="仿宋" w:hAnsi="仿宋" w:eastAsia="仿宋"/>
          <w:sz w:val="24"/>
          <w:szCs w:val="24"/>
        </w:rPr>
        <w:t>9</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"_Toc61184624" </w:instrText>
      </w:r>
      <w:r>
        <w:fldChar w:fldCharType="separate"/>
      </w:r>
      <w:r>
        <w:rPr>
          <w:rStyle w:val="22"/>
          <w:rFonts w:ascii="仿宋" w:hAnsi="仿宋" w:eastAsia="仿宋"/>
          <w:sz w:val="24"/>
          <w:szCs w:val="24"/>
        </w:rPr>
        <w:t>二、招标文件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_Toc61184624 \h </w:instrText>
      </w:r>
      <w:r>
        <w:rPr>
          <w:rFonts w:ascii="仿宋" w:hAnsi="仿宋" w:eastAsia="仿宋"/>
          <w:sz w:val="24"/>
          <w:szCs w:val="24"/>
        </w:rPr>
        <w:fldChar w:fldCharType="separate"/>
      </w:r>
      <w:r>
        <w:rPr>
          <w:rFonts w:ascii="仿宋" w:hAnsi="仿宋" w:eastAsia="仿宋"/>
          <w:sz w:val="24"/>
          <w:szCs w:val="24"/>
        </w:rPr>
        <w:t>11</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"_Toc61184625" </w:instrText>
      </w:r>
      <w:r>
        <w:fldChar w:fldCharType="separate"/>
      </w:r>
      <w:r>
        <w:rPr>
          <w:rStyle w:val="22"/>
          <w:rFonts w:ascii="仿宋" w:hAnsi="仿宋" w:eastAsia="仿宋"/>
          <w:sz w:val="24"/>
          <w:szCs w:val="24"/>
        </w:rPr>
        <w:t>三、投标文件的编制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_Toc61184625 \h </w:instrText>
      </w:r>
      <w:r>
        <w:rPr>
          <w:rFonts w:ascii="仿宋" w:hAnsi="仿宋" w:eastAsia="仿宋"/>
          <w:sz w:val="24"/>
          <w:szCs w:val="24"/>
        </w:rPr>
        <w:fldChar w:fldCharType="separate"/>
      </w:r>
      <w:r>
        <w:rPr>
          <w:rFonts w:ascii="仿宋" w:hAnsi="仿宋" w:eastAsia="仿宋"/>
          <w:sz w:val="24"/>
          <w:szCs w:val="24"/>
        </w:rPr>
        <w:t>11</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"_Toc61184626" </w:instrText>
      </w:r>
      <w:r>
        <w:fldChar w:fldCharType="separate"/>
      </w:r>
      <w:r>
        <w:rPr>
          <w:rStyle w:val="22"/>
          <w:rFonts w:ascii="仿宋" w:hAnsi="仿宋" w:eastAsia="仿宋"/>
          <w:sz w:val="24"/>
          <w:szCs w:val="24"/>
        </w:rPr>
        <w:t>四、投标文件的递交</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_Toc61184626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"_Toc61184627" </w:instrText>
      </w:r>
      <w:r>
        <w:fldChar w:fldCharType="separate"/>
      </w:r>
      <w:r>
        <w:rPr>
          <w:rStyle w:val="22"/>
          <w:rFonts w:ascii="仿宋" w:hAnsi="仿宋" w:eastAsia="仿宋"/>
          <w:sz w:val="24"/>
          <w:szCs w:val="24"/>
        </w:rPr>
        <w:t>五、招标</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_Toc61184627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"_Toc61184628" </w:instrText>
      </w:r>
      <w:r>
        <w:fldChar w:fldCharType="separate"/>
      </w:r>
      <w:r>
        <w:rPr>
          <w:rStyle w:val="22"/>
          <w:rFonts w:ascii="仿宋" w:hAnsi="仿宋" w:eastAsia="仿宋"/>
          <w:sz w:val="24"/>
          <w:szCs w:val="24"/>
        </w:rPr>
        <w:t>六、资格审查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_Toc61184628 \h </w:instrText>
      </w:r>
      <w:r>
        <w:rPr>
          <w:rFonts w:ascii="仿宋" w:hAnsi="仿宋" w:eastAsia="仿宋"/>
          <w:sz w:val="24"/>
          <w:szCs w:val="24"/>
        </w:rPr>
        <w:fldChar w:fldCharType="separate"/>
      </w:r>
      <w:r>
        <w:rPr>
          <w:rFonts w:ascii="仿宋" w:hAnsi="仿宋" w:eastAsia="仿宋"/>
          <w:sz w:val="24"/>
          <w:szCs w:val="24"/>
        </w:rPr>
        <w:t>19</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"_Toc61184629" </w:instrText>
      </w:r>
      <w:r>
        <w:fldChar w:fldCharType="separate"/>
      </w:r>
      <w:r>
        <w:rPr>
          <w:rStyle w:val="22"/>
          <w:rFonts w:ascii="仿宋" w:hAnsi="仿宋" w:eastAsia="仿宋"/>
          <w:sz w:val="24"/>
          <w:szCs w:val="24"/>
        </w:rPr>
        <w:t>七、招标和定标</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_Toc61184629 \h </w:instrText>
      </w:r>
      <w:r>
        <w:rPr>
          <w:rFonts w:ascii="仿宋" w:hAnsi="仿宋" w:eastAsia="仿宋"/>
          <w:sz w:val="24"/>
          <w:szCs w:val="24"/>
        </w:rPr>
        <w:fldChar w:fldCharType="separate"/>
      </w:r>
      <w:r>
        <w:rPr>
          <w:rFonts w:ascii="仿宋" w:hAnsi="仿宋" w:eastAsia="仿宋"/>
          <w:sz w:val="24"/>
          <w:szCs w:val="24"/>
        </w:rPr>
        <w:t>19</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"_Toc61184630" </w:instrText>
      </w:r>
      <w:r>
        <w:fldChar w:fldCharType="separate"/>
      </w:r>
      <w:r>
        <w:rPr>
          <w:rStyle w:val="22"/>
          <w:rFonts w:ascii="仿宋" w:hAnsi="仿宋" w:eastAsia="仿宋"/>
          <w:sz w:val="24"/>
          <w:szCs w:val="24"/>
        </w:rPr>
        <w:t>七、授予合同</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_Toc61184630 \h </w:instrText>
      </w:r>
      <w:r>
        <w:rPr>
          <w:rFonts w:ascii="仿宋" w:hAnsi="仿宋" w:eastAsia="仿宋"/>
          <w:sz w:val="24"/>
          <w:szCs w:val="24"/>
        </w:rPr>
        <w:fldChar w:fldCharType="separate"/>
      </w:r>
      <w:r>
        <w:rPr>
          <w:rFonts w:ascii="仿宋" w:hAnsi="仿宋" w:eastAsia="仿宋"/>
          <w:sz w:val="24"/>
          <w:szCs w:val="24"/>
        </w:rPr>
        <w:t>28</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"_Toc61184631" </w:instrText>
      </w:r>
      <w:r>
        <w:fldChar w:fldCharType="separate"/>
      </w:r>
      <w:r>
        <w:rPr>
          <w:rStyle w:val="22"/>
          <w:rFonts w:ascii="仿宋" w:hAnsi="仿宋" w:eastAsia="仿宋"/>
          <w:sz w:val="24"/>
          <w:szCs w:val="24"/>
        </w:rPr>
        <w:t>八、买方授标时更改采购货物数量的权利</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_Toc61184631 \h </w:instrText>
      </w:r>
      <w:r>
        <w:rPr>
          <w:rFonts w:ascii="仿宋" w:hAnsi="仿宋" w:eastAsia="仿宋"/>
          <w:sz w:val="24"/>
          <w:szCs w:val="24"/>
        </w:rPr>
        <w:fldChar w:fldCharType="separate"/>
      </w:r>
      <w:r>
        <w:rPr>
          <w:rFonts w:ascii="仿宋" w:hAnsi="仿宋" w:eastAsia="仿宋"/>
          <w:sz w:val="24"/>
          <w:szCs w:val="24"/>
        </w:rPr>
        <w:t>29</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"_Toc61184632" </w:instrText>
      </w:r>
      <w:r>
        <w:fldChar w:fldCharType="separate"/>
      </w:r>
      <w:r>
        <w:rPr>
          <w:rStyle w:val="22"/>
          <w:rFonts w:ascii="仿宋" w:hAnsi="仿宋" w:eastAsia="仿宋"/>
          <w:sz w:val="24"/>
          <w:szCs w:val="24"/>
        </w:rPr>
        <w:t>九、其他事项</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_Toc61184632 \h </w:instrText>
      </w:r>
      <w:r>
        <w:rPr>
          <w:rFonts w:ascii="仿宋" w:hAnsi="仿宋" w:eastAsia="仿宋"/>
          <w:sz w:val="24"/>
          <w:szCs w:val="24"/>
        </w:rPr>
        <w:fldChar w:fldCharType="separate"/>
      </w:r>
      <w:r>
        <w:rPr>
          <w:rFonts w:ascii="仿宋" w:hAnsi="仿宋" w:eastAsia="仿宋"/>
          <w:sz w:val="24"/>
          <w:szCs w:val="24"/>
        </w:rPr>
        <w:t>29</w:t>
      </w:r>
      <w:r>
        <w:rPr>
          <w:rFonts w:ascii="仿宋" w:hAnsi="仿宋" w:eastAsia="仿宋"/>
          <w:sz w:val="24"/>
          <w:szCs w:val="24"/>
        </w:rPr>
        <w:fldChar w:fldCharType="end"/>
      </w:r>
      <w:r>
        <w:rPr>
          <w:rFonts w:ascii="仿宋" w:hAnsi="仿宋" w:eastAsia="仿宋"/>
          <w:sz w:val="24"/>
          <w:szCs w:val="24"/>
        </w:rPr>
        <w:fldChar w:fldCharType="end"/>
      </w:r>
    </w:p>
    <w:p>
      <w:pPr>
        <w:pStyle w:val="14"/>
        <w:tabs>
          <w:tab w:val="right" w:leader="dot" w:pos="8296"/>
        </w:tabs>
        <w:spacing w:before="0" w:after="0"/>
        <w:ind w:firstLine="0" w:firstLineChars="0"/>
        <w:jc w:val="center"/>
        <w:rPr>
          <w:rFonts w:ascii="仿宋" w:hAnsi="仿宋" w:eastAsia="仿宋"/>
          <w:b w:val="0"/>
          <w:bCs w:val="0"/>
          <w:caps w:val="0"/>
          <w:sz w:val="24"/>
          <w:szCs w:val="24"/>
        </w:rPr>
      </w:pPr>
      <w:r>
        <w:fldChar w:fldCharType="begin"/>
      </w:r>
      <w:r>
        <w:instrText xml:space="preserve"> HYPERLINK \l "_Toc61184633" </w:instrText>
      </w:r>
      <w:r>
        <w:fldChar w:fldCharType="separate"/>
      </w:r>
      <w:r>
        <w:rPr>
          <w:rStyle w:val="22"/>
          <w:rFonts w:ascii="仿宋" w:hAnsi="仿宋" w:eastAsia="仿宋"/>
          <w:sz w:val="24"/>
          <w:szCs w:val="24"/>
        </w:rPr>
        <w:t>第三章、招标内容及技术要求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_Toc61184633 \h </w:instrText>
      </w:r>
      <w:r>
        <w:rPr>
          <w:rFonts w:ascii="仿宋" w:hAnsi="仿宋" w:eastAsia="仿宋"/>
          <w:sz w:val="24"/>
          <w:szCs w:val="24"/>
        </w:rPr>
        <w:fldChar w:fldCharType="separate"/>
      </w:r>
      <w:r>
        <w:rPr>
          <w:rFonts w:ascii="仿宋" w:hAnsi="仿宋" w:eastAsia="仿宋"/>
          <w:sz w:val="24"/>
          <w:szCs w:val="24"/>
        </w:rPr>
        <w:t>30</w:t>
      </w:r>
      <w:r>
        <w:rPr>
          <w:rFonts w:ascii="仿宋" w:hAnsi="仿宋" w:eastAsia="仿宋"/>
          <w:sz w:val="24"/>
          <w:szCs w:val="24"/>
        </w:rPr>
        <w:fldChar w:fldCharType="end"/>
      </w:r>
      <w:r>
        <w:rPr>
          <w:rFonts w:ascii="仿宋" w:hAnsi="仿宋" w:eastAsia="仿宋"/>
          <w:sz w:val="24"/>
          <w:szCs w:val="24"/>
        </w:rPr>
        <w:fldChar w:fldCharType="end"/>
      </w:r>
    </w:p>
    <w:p>
      <w:pPr>
        <w:pStyle w:val="14"/>
        <w:tabs>
          <w:tab w:val="right" w:leader="dot" w:pos="8296"/>
        </w:tabs>
        <w:spacing w:before="0" w:after="0"/>
        <w:ind w:firstLine="0" w:firstLineChars="0"/>
        <w:jc w:val="center"/>
        <w:rPr>
          <w:rFonts w:ascii="仿宋" w:hAnsi="仿宋" w:eastAsia="仿宋"/>
          <w:b w:val="0"/>
          <w:bCs w:val="0"/>
          <w:caps w:val="0"/>
          <w:sz w:val="24"/>
          <w:szCs w:val="24"/>
        </w:rPr>
      </w:pPr>
      <w:r>
        <w:fldChar w:fldCharType="begin"/>
      </w:r>
      <w:r>
        <w:instrText xml:space="preserve"> HYPERLINK \l "_Toc61184634" </w:instrText>
      </w:r>
      <w:r>
        <w:fldChar w:fldCharType="separate"/>
      </w:r>
      <w:r>
        <w:rPr>
          <w:rStyle w:val="22"/>
          <w:rFonts w:ascii="仿宋" w:hAnsi="仿宋" w:eastAsia="仿宋"/>
          <w:sz w:val="24"/>
          <w:szCs w:val="24"/>
        </w:rPr>
        <w:t>第四章、合同</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_Toc61184634 \h </w:instrText>
      </w:r>
      <w:r>
        <w:rPr>
          <w:rFonts w:ascii="仿宋" w:hAnsi="仿宋" w:eastAsia="仿宋"/>
          <w:sz w:val="24"/>
          <w:szCs w:val="24"/>
        </w:rPr>
        <w:fldChar w:fldCharType="separate"/>
      </w:r>
      <w:r>
        <w:rPr>
          <w:rFonts w:ascii="仿宋" w:hAnsi="仿宋" w:eastAsia="仿宋"/>
          <w:sz w:val="24"/>
          <w:szCs w:val="24"/>
        </w:rPr>
        <w:t>35</w:t>
      </w:r>
      <w:r>
        <w:rPr>
          <w:rFonts w:ascii="仿宋" w:hAnsi="仿宋" w:eastAsia="仿宋"/>
          <w:sz w:val="24"/>
          <w:szCs w:val="24"/>
        </w:rPr>
        <w:fldChar w:fldCharType="end"/>
      </w:r>
      <w:r>
        <w:rPr>
          <w:rFonts w:ascii="仿宋" w:hAnsi="仿宋" w:eastAsia="仿宋"/>
          <w:sz w:val="24"/>
          <w:szCs w:val="24"/>
        </w:rPr>
        <w:fldChar w:fldCharType="end"/>
      </w:r>
    </w:p>
    <w:p>
      <w:pPr>
        <w:pStyle w:val="14"/>
        <w:tabs>
          <w:tab w:val="right" w:leader="dot" w:pos="8296"/>
        </w:tabs>
        <w:spacing w:before="0" w:after="0"/>
        <w:ind w:firstLine="0" w:firstLineChars="0"/>
        <w:jc w:val="center"/>
        <w:rPr>
          <w:rFonts w:ascii="仿宋" w:hAnsi="仿宋" w:eastAsia="仿宋"/>
          <w:b w:val="0"/>
          <w:bCs w:val="0"/>
          <w:caps w:val="0"/>
          <w:sz w:val="24"/>
          <w:szCs w:val="24"/>
        </w:rPr>
      </w:pPr>
      <w:r>
        <w:fldChar w:fldCharType="begin"/>
      </w:r>
      <w:r>
        <w:instrText xml:space="preserve"> HYPERLINK \l "_Toc61184635" </w:instrText>
      </w:r>
      <w:r>
        <w:fldChar w:fldCharType="separate"/>
      </w:r>
      <w:r>
        <w:rPr>
          <w:rStyle w:val="22"/>
          <w:rFonts w:ascii="仿宋" w:hAnsi="仿宋" w:eastAsia="仿宋"/>
          <w:sz w:val="24"/>
          <w:szCs w:val="24"/>
        </w:rPr>
        <w:t>第五章、投标文件格式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_Toc61184635 \h </w:instrText>
      </w:r>
      <w:r>
        <w:rPr>
          <w:rFonts w:ascii="仿宋" w:hAnsi="仿宋" w:eastAsia="仿宋"/>
          <w:sz w:val="24"/>
          <w:szCs w:val="24"/>
        </w:rPr>
        <w:fldChar w:fldCharType="separate"/>
      </w:r>
      <w:r>
        <w:rPr>
          <w:rFonts w:ascii="仿宋" w:hAnsi="仿宋" w:eastAsia="仿宋"/>
          <w:sz w:val="24"/>
          <w:szCs w:val="24"/>
        </w:rPr>
        <w:t>47</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"_Toc61184636" </w:instrText>
      </w:r>
      <w:r>
        <w:fldChar w:fldCharType="separate"/>
      </w:r>
      <w:r>
        <w:rPr>
          <w:rStyle w:val="22"/>
          <w:rFonts w:ascii="仿宋" w:hAnsi="仿宋" w:eastAsia="仿宋"/>
          <w:sz w:val="24"/>
          <w:szCs w:val="24"/>
        </w:rPr>
        <w:t>附件一、投标书</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_Toc61184636 \h </w:instrText>
      </w:r>
      <w:r>
        <w:rPr>
          <w:rFonts w:ascii="仿宋" w:hAnsi="仿宋" w:eastAsia="仿宋"/>
          <w:sz w:val="24"/>
          <w:szCs w:val="24"/>
        </w:rPr>
        <w:fldChar w:fldCharType="separate"/>
      </w:r>
      <w:r>
        <w:rPr>
          <w:rFonts w:ascii="仿宋" w:hAnsi="仿宋" w:eastAsia="仿宋"/>
          <w:sz w:val="24"/>
          <w:szCs w:val="24"/>
        </w:rPr>
        <w:t>48</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"_Toc61184637" </w:instrText>
      </w:r>
      <w:r>
        <w:fldChar w:fldCharType="separate"/>
      </w:r>
      <w:r>
        <w:rPr>
          <w:rStyle w:val="22"/>
          <w:rFonts w:ascii="仿宋" w:hAnsi="仿宋" w:eastAsia="仿宋"/>
          <w:sz w:val="24"/>
          <w:szCs w:val="24"/>
        </w:rPr>
        <w:t>附件二、法定代表人资格证明书</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_Toc61184637 \h </w:instrText>
      </w:r>
      <w:r>
        <w:rPr>
          <w:rFonts w:ascii="仿宋" w:hAnsi="仿宋" w:eastAsia="仿宋"/>
          <w:sz w:val="24"/>
          <w:szCs w:val="24"/>
        </w:rPr>
        <w:fldChar w:fldCharType="separate"/>
      </w:r>
      <w:r>
        <w:rPr>
          <w:rFonts w:ascii="仿宋" w:hAnsi="仿宋" w:eastAsia="仿宋"/>
          <w:sz w:val="24"/>
          <w:szCs w:val="24"/>
        </w:rPr>
        <w:t>50</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"_Toc61184638" </w:instrText>
      </w:r>
      <w:r>
        <w:fldChar w:fldCharType="separate"/>
      </w:r>
      <w:r>
        <w:rPr>
          <w:rStyle w:val="22"/>
          <w:rFonts w:ascii="仿宋" w:hAnsi="仿宋" w:eastAsia="仿宋"/>
          <w:sz w:val="24"/>
          <w:szCs w:val="24"/>
        </w:rPr>
        <w:t>附件三、法定代表人授权委托书</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_Toc61184638 \h </w:instrText>
      </w:r>
      <w:r>
        <w:rPr>
          <w:rFonts w:ascii="仿宋" w:hAnsi="仿宋" w:eastAsia="仿宋"/>
          <w:sz w:val="24"/>
          <w:szCs w:val="24"/>
        </w:rPr>
        <w:fldChar w:fldCharType="separate"/>
      </w:r>
      <w:r>
        <w:rPr>
          <w:rFonts w:ascii="仿宋" w:hAnsi="仿宋" w:eastAsia="仿宋"/>
          <w:sz w:val="24"/>
          <w:szCs w:val="24"/>
        </w:rPr>
        <w:t>51</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"_Toc61184639" </w:instrText>
      </w:r>
      <w:r>
        <w:fldChar w:fldCharType="separate"/>
      </w:r>
      <w:r>
        <w:rPr>
          <w:rStyle w:val="22"/>
          <w:rFonts w:ascii="仿宋" w:hAnsi="仿宋" w:eastAsia="仿宋"/>
          <w:sz w:val="24"/>
          <w:szCs w:val="24"/>
        </w:rPr>
        <w:t>附件四、关于招标文件的声明函</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_Toc61184639 \h </w:instrText>
      </w:r>
      <w:r>
        <w:rPr>
          <w:rFonts w:ascii="仿宋" w:hAnsi="仿宋" w:eastAsia="仿宋"/>
          <w:sz w:val="24"/>
          <w:szCs w:val="24"/>
        </w:rPr>
        <w:fldChar w:fldCharType="separate"/>
      </w:r>
      <w:r>
        <w:rPr>
          <w:rFonts w:ascii="仿宋" w:hAnsi="仿宋" w:eastAsia="仿宋"/>
          <w:sz w:val="24"/>
          <w:szCs w:val="24"/>
        </w:rPr>
        <w:t>52</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"_Toc61184640" </w:instrText>
      </w:r>
      <w:r>
        <w:fldChar w:fldCharType="separate"/>
      </w:r>
      <w:r>
        <w:rPr>
          <w:rStyle w:val="22"/>
          <w:rFonts w:ascii="仿宋" w:hAnsi="仿宋" w:eastAsia="仿宋"/>
          <w:sz w:val="24"/>
          <w:szCs w:val="24"/>
        </w:rPr>
        <w:t>附件五、诚信招标承诺书</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_Toc61184640 \h </w:instrText>
      </w:r>
      <w:r>
        <w:rPr>
          <w:rFonts w:ascii="仿宋" w:hAnsi="仿宋" w:eastAsia="仿宋"/>
          <w:sz w:val="24"/>
          <w:szCs w:val="24"/>
        </w:rPr>
        <w:fldChar w:fldCharType="separate"/>
      </w:r>
      <w:r>
        <w:rPr>
          <w:rFonts w:ascii="仿宋" w:hAnsi="仿宋" w:eastAsia="仿宋"/>
          <w:sz w:val="24"/>
          <w:szCs w:val="24"/>
        </w:rPr>
        <w:t>53</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"_Toc61184641" </w:instrText>
      </w:r>
      <w:r>
        <w:fldChar w:fldCharType="separate"/>
      </w:r>
      <w:r>
        <w:rPr>
          <w:rStyle w:val="22"/>
          <w:rFonts w:ascii="仿宋" w:hAnsi="仿宋" w:eastAsia="仿宋"/>
          <w:sz w:val="24"/>
          <w:szCs w:val="24"/>
        </w:rPr>
        <w:t>附件六、供应商反商业贿赂承诺书</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_Toc61184641 \h </w:instrText>
      </w:r>
      <w:r>
        <w:rPr>
          <w:rFonts w:ascii="仿宋" w:hAnsi="仿宋" w:eastAsia="仿宋"/>
          <w:sz w:val="24"/>
          <w:szCs w:val="24"/>
        </w:rPr>
        <w:fldChar w:fldCharType="separate"/>
      </w:r>
      <w:r>
        <w:rPr>
          <w:rFonts w:ascii="仿宋" w:hAnsi="仿宋" w:eastAsia="仿宋"/>
          <w:sz w:val="24"/>
          <w:szCs w:val="24"/>
        </w:rPr>
        <w:t>54</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"_Toc61184642" </w:instrText>
      </w:r>
      <w:r>
        <w:fldChar w:fldCharType="separate"/>
      </w:r>
      <w:r>
        <w:rPr>
          <w:rStyle w:val="22"/>
          <w:rFonts w:ascii="仿宋" w:hAnsi="仿宋" w:eastAsia="仿宋"/>
          <w:sz w:val="24"/>
          <w:szCs w:val="24"/>
        </w:rPr>
        <w:t>附件七、招标一览表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_Toc61184642 \h </w:instrText>
      </w:r>
      <w:r>
        <w:rPr>
          <w:rFonts w:ascii="仿宋" w:hAnsi="仿宋" w:eastAsia="仿宋"/>
          <w:sz w:val="24"/>
          <w:szCs w:val="24"/>
        </w:rPr>
        <w:fldChar w:fldCharType="separate"/>
      </w:r>
      <w:r>
        <w:rPr>
          <w:rFonts w:ascii="仿宋" w:hAnsi="仿宋" w:eastAsia="仿宋"/>
          <w:sz w:val="24"/>
          <w:szCs w:val="24"/>
        </w:rPr>
        <w:t>56</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"_Toc61184643" </w:instrText>
      </w:r>
      <w:r>
        <w:fldChar w:fldCharType="separate"/>
      </w:r>
      <w:r>
        <w:rPr>
          <w:rStyle w:val="22"/>
          <w:rFonts w:ascii="仿宋" w:hAnsi="仿宋" w:eastAsia="仿宋"/>
          <w:sz w:val="24"/>
          <w:szCs w:val="24"/>
        </w:rPr>
        <w:t>附件八、招标产品名称、数量、规格分项报价表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_Toc61184643 \h </w:instrText>
      </w:r>
      <w:r>
        <w:rPr>
          <w:rFonts w:ascii="仿宋" w:hAnsi="仿宋" w:eastAsia="仿宋"/>
          <w:sz w:val="24"/>
          <w:szCs w:val="24"/>
        </w:rPr>
        <w:fldChar w:fldCharType="separate"/>
      </w:r>
      <w:r>
        <w:rPr>
          <w:rFonts w:ascii="仿宋" w:hAnsi="仿宋" w:eastAsia="仿宋"/>
          <w:sz w:val="24"/>
          <w:szCs w:val="24"/>
        </w:rPr>
        <w:t>57</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"_Toc61184644" </w:instrText>
      </w:r>
      <w:r>
        <w:fldChar w:fldCharType="separate"/>
      </w:r>
      <w:r>
        <w:rPr>
          <w:rStyle w:val="22"/>
          <w:rFonts w:ascii="仿宋" w:hAnsi="仿宋" w:eastAsia="仿宋"/>
          <w:sz w:val="24"/>
          <w:szCs w:val="24"/>
        </w:rPr>
        <w:t>附件九、技术规格偏离表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_Toc61184644 \h </w:instrText>
      </w:r>
      <w:r>
        <w:rPr>
          <w:rFonts w:ascii="仿宋" w:hAnsi="仿宋" w:eastAsia="仿宋"/>
          <w:sz w:val="24"/>
          <w:szCs w:val="24"/>
        </w:rPr>
        <w:fldChar w:fldCharType="separate"/>
      </w:r>
      <w:r>
        <w:rPr>
          <w:rFonts w:ascii="仿宋" w:hAnsi="仿宋" w:eastAsia="仿宋"/>
          <w:sz w:val="24"/>
          <w:szCs w:val="24"/>
        </w:rPr>
        <w:t>59</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"_Toc61184645" </w:instrText>
      </w:r>
      <w:r>
        <w:fldChar w:fldCharType="separate"/>
      </w:r>
      <w:r>
        <w:rPr>
          <w:rStyle w:val="22"/>
          <w:rFonts w:ascii="仿宋" w:hAnsi="仿宋" w:eastAsia="仿宋"/>
          <w:sz w:val="24"/>
          <w:szCs w:val="24"/>
        </w:rPr>
        <w:t>附件十、商务条款偏离表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_Toc61184645 \h </w:instrText>
      </w:r>
      <w:r>
        <w:rPr>
          <w:rFonts w:ascii="仿宋" w:hAnsi="仿宋" w:eastAsia="仿宋"/>
          <w:sz w:val="24"/>
          <w:szCs w:val="24"/>
        </w:rPr>
        <w:fldChar w:fldCharType="separate"/>
      </w:r>
      <w:r>
        <w:rPr>
          <w:rFonts w:ascii="仿宋" w:hAnsi="仿宋" w:eastAsia="仿宋"/>
          <w:sz w:val="24"/>
          <w:szCs w:val="24"/>
        </w:rPr>
        <w:t>60</w:t>
      </w:r>
      <w:r>
        <w:rPr>
          <w:rFonts w:ascii="仿宋" w:hAnsi="仿宋" w:eastAsia="仿宋"/>
          <w:sz w:val="24"/>
          <w:szCs w:val="24"/>
        </w:rPr>
        <w:fldChar w:fldCharType="end"/>
      </w:r>
      <w:r>
        <w:rPr>
          <w:rFonts w:ascii="仿宋" w:hAnsi="仿宋" w:eastAsia="仿宋"/>
          <w:sz w:val="24"/>
          <w:szCs w:val="24"/>
        </w:rPr>
        <w:fldChar w:fldCharType="end"/>
      </w:r>
    </w:p>
    <w:p>
      <w:pPr>
        <w:pStyle w:val="16"/>
        <w:tabs>
          <w:tab w:val="right" w:leader="dot" w:pos="8296"/>
        </w:tabs>
        <w:spacing w:line="360" w:lineRule="auto"/>
        <w:ind w:left="0" w:leftChars="0"/>
        <w:jc w:val="center"/>
        <w:rPr>
          <w:rFonts w:ascii="仿宋" w:hAnsi="仿宋" w:eastAsia="仿宋"/>
          <w:sz w:val="24"/>
          <w:szCs w:val="24"/>
        </w:rPr>
      </w:pPr>
      <w:r>
        <w:fldChar w:fldCharType="begin"/>
      </w:r>
      <w:r>
        <w:instrText xml:space="preserve"> HYPERLINK \l "_Toc61184646" </w:instrText>
      </w:r>
      <w:r>
        <w:fldChar w:fldCharType="separate"/>
      </w:r>
      <w:r>
        <w:rPr>
          <w:rStyle w:val="22"/>
          <w:rFonts w:ascii="仿宋" w:hAnsi="仿宋" w:eastAsia="仿宋"/>
          <w:sz w:val="24"/>
          <w:szCs w:val="24"/>
        </w:rPr>
        <w:t>附件十一、招标产品近三年相同产品销售业绩表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_Toc61184646 \h </w:instrText>
      </w:r>
      <w:r>
        <w:rPr>
          <w:rFonts w:ascii="仿宋" w:hAnsi="仿宋" w:eastAsia="仿宋"/>
          <w:sz w:val="24"/>
          <w:szCs w:val="24"/>
        </w:rPr>
        <w:fldChar w:fldCharType="separate"/>
      </w:r>
      <w:r>
        <w:rPr>
          <w:rFonts w:ascii="仿宋" w:hAnsi="仿宋" w:eastAsia="仿宋"/>
          <w:sz w:val="24"/>
          <w:szCs w:val="24"/>
        </w:rPr>
        <w:t>61</w:t>
      </w:r>
      <w:r>
        <w:rPr>
          <w:rFonts w:ascii="仿宋" w:hAnsi="仿宋" w:eastAsia="仿宋"/>
          <w:sz w:val="24"/>
          <w:szCs w:val="24"/>
        </w:rPr>
        <w:fldChar w:fldCharType="end"/>
      </w:r>
      <w:r>
        <w:rPr>
          <w:rFonts w:ascii="仿宋" w:hAnsi="仿宋" w:eastAsia="仿宋"/>
          <w:sz w:val="24"/>
          <w:szCs w:val="24"/>
        </w:rPr>
        <w:fldChar w:fldCharType="end"/>
      </w:r>
    </w:p>
    <w:p>
      <w:pPr>
        <w:jc w:val="center"/>
        <w:rPr>
          <w:rFonts w:ascii="仿宋" w:hAnsi="仿宋" w:eastAsia="仿宋"/>
        </w:rPr>
      </w:pPr>
      <w:r>
        <w:rPr>
          <w:rFonts w:ascii="仿宋" w:hAnsi="仿宋" w:eastAsia="仿宋"/>
        </w:rPr>
        <w:fldChar w:fldCharType="end"/>
      </w:r>
      <w:r>
        <w:rPr>
          <w:rFonts w:hint="eastAsia" w:ascii="仿宋" w:hAnsi="仿宋" w:eastAsia="仿宋"/>
        </w:rPr>
        <w:br w:type="page"/>
      </w:r>
    </w:p>
    <w:p>
      <w:pPr>
        <w:pStyle w:val="4"/>
        <w:rPr>
          <w:highlight w:val="none"/>
        </w:rPr>
      </w:pPr>
      <w:r>
        <w:rPr>
          <w:rFonts w:hint="eastAsia"/>
          <w:highlight w:val="none"/>
        </w:rPr>
        <w:t>第一章、招标公告</w:t>
      </w:r>
      <w:bookmarkEnd w:id="0"/>
      <w:bookmarkEnd w:id="1"/>
      <w:bookmarkEnd w:id="2"/>
    </w:p>
    <w:p>
      <w:pPr>
        <w:pStyle w:val="24"/>
        <w:snapToGrid w:val="0"/>
        <w:spacing w:line="360" w:lineRule="auto"/>
        <w:ind w:firstLine="560" w:firstLineChars="200"/>
        <w:jc w:val="both"/>
        <w:rPr>
          <w:rFonts w:ascii="仿宋" w:hAnsi="仿宋" w:eastAsia="仿宋"/>
          <w:sz w:val="28"/>
          <w:highlight w:val="none"/>
        </w:rPr>
      </w:pPr>
      <w:r>
        <w:rPr>
          <w:rFonts w:ascii="仿宋" w:hAnsi="仿宋" w:eastAsia="仿宋"/>
          <w:sz w:val="28"/>
          <w:highlight w:val="none"/>
        </w:rPr>
        <w:t>一、</w:t>
      </w:r>
      <w:r>
        <w:rPr>
          <w:rFonts w:hint="eastAsia" w:ascii="仿宋" w:hAnsi="仿宋" w:eastAsia="仿宋"/>
          <w:sz w:val="28"/>
          <w:highlight w:val="none"/>
        </w:rPr>
        <w:t>招标</w:t>
      </w:r>
      <w:r>
        <w:rPr>
          <w:rFonts w:ascii="仿宋" w:hAnsi="仿宋" w:eastAsia="仿宋"/>
          <w:sz w:val="28"/>
          <w:highlight w:val="none"/>
        </w:rPr>
        <w:t>项目编号：</w:t>
      </w:r>
      <w:r>
        <w:rPr>
          <w:rFonts w:hint="eastAsia" w:ascii="仿宋" w:hAnsi="仿宋" w:eastAsia="仿宋"/>
          <w:sz w:val="28"/>
          <w:highlight w:val="none"/>
        </w:rPr>
        <w:t xml:space="preserve">ZKGSF(ZB)-20223125 </w:t>
      </w:r>
    </w:p>
    <w:p>
      <w:pPr>
        <w:pStyle w:val="24"/>
        <w:snapToGrid w:val="0"/>
        <w:spacing w:line="360" w:lineRule="auto"/>
        <w:ind w:firstLine="560" w:firstLineChars="200"/>
        <w:jc w:val="both"/>
        <w:rPr>
          <w:rFonts w:ascii="仿宋" w:hAnsi="仿宋" w:eastAsia="仿宋"/>
          <w:sz w:val="28"/>
        </w:rPr>
      </w:pPr>
      <w:r>
        <w:rPr>
          <w:rFonts w:ascii="仿宋" w:hAnsi="仿宋" w:eastAsia="仿宋"/>
          <w:sz w:val="28"/>
        </w:rPr>
        <w:t>二、采购组织类型：</w:t>
      </w:r>
      <w:r>
        <w:rPr>
          <w:rFonts w:hint="eastAsia" w:ascii="仿宋" w:hAnsi="仿宋" w:eastAsia="仿宋"/>
          <w:sz w:val="28"/>
        </w:rPr>
        <w:t>部门集中采购-委托中介机构</w:t>
      </w:r>
    </w:p>
    <w:p>
      <w:pPr>
        <w:pStyle w:val="24"/>
        <w:snapToGrid w:val="0"/>
        <w:spacing w:line="360" w:lineRule="auto"/>
        <w:ind w:firstLine="560" w:firstLineChars="200"/>
        <w:jc w:val="both"/>
        <w:rPr>
          <w:rFonts w:ascii="仿宋" w:hAnsi="仿宋" w:eastAsia="仿宋"/>
          <w:sz w:val="28"/>
        </w:rPr>
      </w:pPr>
      <w:r>
        <w:rPr>
          <w:rFonts w:ascii="仿宋" w:hAnsi="仿宋" w:eastAsia="仿宋"/>
          <w:sz w:val="28"/>
        </w:rPr>
        <w:t>三、</w:t>
      </w:r>
      <w:r>
        <w:rPr>
          <w:rFonts w:hint="eastAsia" w:ascii="仿宋" w:hAnsi="仿宋" w:eastAsia="仿宋"/>
          <w:sz w:val="28"/>
        </w:rPr>
        <w:t>招标</w:t>
      </w:r>
      <w:r>
        <w:rPr>
          <w:rFonts w:ascii="仿宋" w:hAnsi="仿宋" w:eastAsia="仿宋"/>
          <w:sz w:val="28"/>
        </w:rPr>
        <w:t>项目概况</w:t>
      </w:r>
      <w:r>
        <w:rPr>
          <w:rFonts w:hint="eastAsia" w:ascii="仿宋" w:hAnsi="仿宋" w:eastAsia="仿宋"/>
          <w:sz w:val="28"/>
        </w:rPr>
        <w:t>：采购医院高能医用直线加速器1套</w:t>
      </w:r>
      <w:r>
        <w:rPr>
          <w:rFonts w:ascii="仿宋" w:hAnsi="仿宋" w:eastAsia="仿宋"/>
          <w:sz w:val="28"/>
        </w:rPr>
        <w:t>，预算</w:t>
      </w:r>
      <w:r>
        <w:rPr>
          <w:rFonts w:hint="eastAsia" w:ascii="仿宋" w:hAnsi="仿宋" w:eastAsia="仿宋"/>
          <w:sz w:val="28"/>
        </w:rPr>
        <w:t>3000</w:t>
      </w:r>
      <w:r>
        <w:rPr>
          <w:rFonts w:ascii="仿宋" w:hAnsi="仿宋" w:eastAsia="仿宋"/>
          <w:sz w:val="28"/>
        </w:rPr>
        <w:t>万元，最高限价</w:t>
      </w:r>
      <w:r>
        <w:rPr>
          <w:rFonts w:hint="eastAsia" w:ascii="仿宋" w:hAnsi="仿宋" w:eastAsia="仿宋"/>
          <w:sz w:val="28"/>
        </w:rPr>
        <w:t>300</w:t>
      </w:r>
      <w:r>
        <w:rPr>
          <w:rFonts w:ascii="仿宋" w:hAnsi="仿宋" w:eastAsia="仿宋"/>
          <w:sz w:val="28"/>
        </w:rPr>
        <w:t>0万元。</w:t>
      </w:r>
    </w:p>
    <w:p>
      <w:pPr>
        <w:pStyle w:val="24"/>
        <w:snapToGrid w:val="0"/>
        <w:spacing w:line="360" w:lineRule="auto"/>
        <w:ind w:firstLine="560" w:firstLineChars="200"/>
        <w:jc w:val="both"/>
        <w:rPr>
          <w:rFonts w:ascii="仿宋" w:hAnsi="仿宋" w:eastAsia="仿宋"/>
          <w:sz w:val="28"/>
        </w:rPr>
      </w:pPr>
      <w:r>
        <w:rPr>
          <w:rFonts w:ascii="仿宋" w:hAnsi="仿宋" w:eastAsia="仿宋"/>
          <w:sz w:val="28"/>
        </w:rPr>
        <w:t>四、供应商资格要求：</w:t>
      </w:r>
    </w:p>
    <w:p>
      <w:pPr>
        <w:widowControl/>
        <w:shd w:val="clear" w:color="auto" w:fill="FFFFFF"/>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1.满足《中华人民共和国政府采购法》第二十二条规定；</w:t>
      </w:r>
    </w:p>
    <w:p>
      <w:pPr>
        <w:widowControl/>
        <w:shd w:val="clear" w:color="auto" w:fill="FFFFFF"/>
        <w:snapToGrid w:val="0"/>
        <w:spacing w:line="312" w:lineRule="auto"/>
        <w:ind w:firstLine="560" w:firstLineChars="200"/>
        <w:jc w:val="left"/>
        <w:rPr>
          <w:rFonts w:ascii="仿宋" w:hAnsi="仿宋" w:eastAsia="仿宋"/>
          <w:sz w:val="28"/>
          <w:szCs w:val="28"/>
          <w:highlight w:val="yellow"/>
        </w:rPr>
      </w:pPr>
      <w:r>
        <w:rPr>
          <w:rFonts w:hint="eastAsia" w:ascii="仿宋" w:hAnsi="仿宋" w:eastAsia="仿宋"/>
          <w:sz w:val="28"/>
          <w:szCs w:val="28"/>
        </w:rPr>
        <w:t xml:space="preserve">2.落实政府采购政策需满足的资格要求：本项目为非专门面向中小企业（含中型、小型、微型企业）采购项目，根据《政府采购促进中小企业发展管理办法》（财库[2020]46号）的规定，评标时将给予此类企业进行价格10%的优惠，用优惠后的价格参与评审。 </w:t>
      </w:r>
    </w:p>
    <w:p>
      <w:pPr>
        <w:widowControl/>
        <w:shd w:val="clear" w:color="auto" w:fill="FFFFFF"/>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3.本项目的特定资格要求：</w:t>
      </w:r>
    </w:p>
    <w:p>
      <w:pPr>
        <w:widowControl/>
        <w:shd w:val="clear" w:color="auto" w:fill="FFFFFF"/>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（1）具备有效的营业执照；</w:t>
      </w:r>
    </w:p>
    <w:p>
      <w:pPr>
        <w:widowControl/>
        <w:shd w:val="clear" w:color="auto" w:fill="FFFFFF"/>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2）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原件；</w:t>
      </w:r>
    </w:p>
    <w:p>
      <w:pPr>
        <w:widowControl/>
        <w:shd w:val="clear" w:color="auto" w:fill="FFFFFF"/>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（3）法定代表人投标需提供法定代表人资格证明书，委托代理人投标需提供法定代表人授权委托书；</w:t>
      </w:r>
    </w:p>
    <w:p>
      <w:pPr>
        <w:widowControl/>
        <w:shd w:val="clear" w:color="auto" w:fill="FFFFFF"/>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（4）供应商不得为“信用中国”网站（www.creditchina.gov.cn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）政府采购严重违法失信行为记录名单中被财政部门禁止参加政府采购活动的供应商（处罚决定规定的时间和地域范围内）。信用信息截止时点为报名期限内；</w:t>
      </w:r>
    </w:p>
    <w:p>
      <w:pPr>
        <w:widowControl/>
        <w:shd w:val="clear" w:color="auto" w:fill="FFFFFF"/>
        <w:snapToGrid w:val="0"/>
        <w:spacing w:line="312" w:lineRule="auto"/>
        <w:ind w:firstLine="560" w:firstLineChars="200"/>
        <w:jc w:val="left"/>
        <w:rPr>
          <w:rFonts w:ascii="仿宋" w:hAnsi="仿宋" w:eastAsia="仿宋"/>
          <w:sz w:val="28"/>
          <w:szCs w:val="28"/>
        </w:rPr>
      </w:pPr>
      <w:r>
        <w:rPr>
          <w:rFonts w:hint="eastAsia" w:ascii="仿宋" w:hAnsi="仿宋" w:eastAsia="仿宋"/>
          <w:sz w:val="28"/>
          <w:szCs w:val="28"/>
        </w:rPr>
        <w:t>（5）本项目不接受联合体投标。</w:t>
      </w:r>
    </w:p>
    <w:p>
      <w:pPr>
        <w:pStyle w:val="24"/>
        <w:snapToGrid w:val="0"/>
        <w:spacing w:line="360" w:lineRule="auto"/>
        <w:ind w:firstLine="560" w:firstLineChars="200"/>
        <w:jc w:val="both"/>
        <w:rPr>
          <w:rFonts w:ascii="仿宋" w:hAnsi="仿宋" w:eastAsia="仿宋"/>
          <w:sz w:val="28"/>
        </w:rPr>
      </w:pPr>
      <w:r>
        <w:rPr>
          <w:rFonts w:ascii="仿宋" w:hAnsi="仿宋" w:eastAsia="仿宋"/>
          <w:sz w:val="28"/>
        </w:rPr>
        <w:t>五、</w:t>
      </w:r>
      <w:r>
        <w:rPr>
          <w:rFonts w:hint="eastAsia" w:ascii="仿宋" w:hAnsi="仿宋" w:eastAsia="仿宋"/>
          <w:sz w:val="28"/>
        </w:rPr>
        <w:t>招标文件</w:t>
      </w:r>
      <w:r>
        <w:rPr>
          <w:rFonts w:ascii="仿宋" w:hAnsi="仿宋" w:eastAsia="仿宋"/>
          <w:sz w:val="28"/>
        </w:rPr>
        <w:t>的报名/发售时间、地址、售价：</w:t>
      </w:r>
    </w:p>
    <w:p>
      <w:pPr>
        <w:pStyle w:val="24"/>
        <w:snapToGrid w:val="0"/>
        <w:spacing w:line="360" w:lineRule="auto"/>
        <w:ind w:firstLine="560" w:firstLineChars="200"/>
        <w:jc w:val="both"/>
        <w:rPr>
          <w:rFonts w:ascii="仿宋" w:hAnsi="仿宋" w:eastAsia="仿宋"/>
          <w:sz w:val="28"/>
        </w:rPr>
      </w:pPr>
      <w:r>
        <w:rPr>
          <w:rFonts w:ascii="仿宋" w:hAnsi="仿宋" w:eastAsia="仿宋"/>
          <w:sz w:val="28"/>
        </w:rPr>
        <w:t>1．报名（发售／获取）时间：</w:t>
      </w:r>
      <w:r>
        <w:rPr>
          <w:rFonts w:hint="eastAsia" w:ascii="仿宋" w:hAnsi="仿宋" w:eastAsia="仿宋"/>
          <w:sz w:val="28"/>
          <w:highlight w:val="none"/>
          <w:u w:val="single"/>
        </w:rPr>
        <w:t>2022年11月29日-2022年12月6日</w:t>
      </w:r>
    </w:p>
    <w:p>
      <w:pPr>
        <w:pStyle w:val="24"/>
        <w:snapToGrid w:val="0"/>
        <w:spacing w:line="360" w:lineRule="auto"/>
        <w:ind w:firstLine="560" w:firstLineChars="200"/>
        <w:jc w:val="both"/>
        <w:rPr>
          <w:rFonts w:ascii="仿宋" w:hAnsi="仿宋" w:eastAsia="仿宋"/>
          <w:sz w:val="28"/>
        </w:rPr>
      </w:pPr>
      <w:r>
        <w:rPr>
          <w:rFonts w:ascii="仿宋" w:hAnsi="仿宋" w:eastAsia="仿宋"/>
          <w:sz w:val="28"/>
        </w:rPr>
        <w:t>上午：10：00-1</w:t>
      </w:r>
      <w:r>
        <w:rPr>
          <w:rFonts w:hint="eastAsia" w:ascii="仿宋" w:hAnsi="仿宋" w:eastAsia="仿宋"/>
          <w:sz w:val="28"/>
        </w:rPr>
        <w:t>4</w:t>
      </w:r>
      <w:r>
        <w:rPr>
          <w:rFonts w:ascii="仿宋" w:hAnsi="仿宋" w:eastAsia="仿宋"/>
          <w:sz w:val="28"/>
        </w:rPr>
        <w:t>：00，下午：1</w:t>
      </w:r>
      <w:r>
        <w:rPr>
          <w:rFonts w:hint="eastAsia" w:ascii="仿宋" w:hAnsi="仿宋" w:eastAsia="仿宋"/>
          <w:sz w:val="28"/>
        </w:rPr>
        <w:t>6</w:t>
      </w:r>
      <w:r>
        <w:rPr>
          <w:rFonts w:ascii="仿宋" w:hAnsi="仿宋" w:eastAsia="仿宋"/>
          <w:sz w:val="28"/>
        </w:rPr>
        <w:t>：00-19：00</w:t>
      </w:r>
    </w:p>
    <w:p>
      <w:pPr>
        <w:pStyle w:val="24"/>
        <w:snapToGrid w:val="0"/>
        <w:spacing w:line="360" w:lineRule="auto"/>
        <w:ind w:firstLine="560" w:firstLineChars="200"/>
        <w:jc w:val="both"/>
        <w:rPr>
          <w:rFonts w:hint="default" w:ascii="仿宋" w:hAnsi="仿宋" w:eastAsia="仿宋"/>
          <w:sz w:val="28"/>
          <w:lang w:val="en-US" w:eastAsia="zh-CN"/>
        </w:rPr>
      </w:pPr>
      <w:r>
        <w:rPr>
          <w:rFonts w:ascii="仿宋" w:hAnsi="仿宋" w:eastAsia="仿宋"/>
          <w:b/>
          <w:bCs/>
          <w:sz w:val="28"/>
        </w:rPr>
        <w:t>2．报名（发售／获取）地址：</w:t>
      </w:r>
      <w:r>
        <w:rPr>
          <w:rFonts w:hint="eastAsia" w:ascii="仿宋" w:hAnsi="仿宋" w:eastAsia="仿宋"/>
          <w:b/>
          <w:bCs/>
          <w:sz w:val="28"/>
          <w:lang w:val="en-US" w:eastAsia="zh-CN"/>
        </w:rPr>
        <w:t>政采云平台线上获取</w:t>
      </w:r>
    </w:p>
    <w:p>
      <w:pPr>
        <w:pStyle w:val="24"/>
        <w:snapToGrid w:val="0"/>
        <w:spacing w:line="360" w:lineRule="auto"/>
        <w:ind w:firstLine="560" w:firstLineChars="200"/>
        <w:jc w:val="both"/>
        <w:rPr>
          <w:rFonts w:hint="eastAsia" w:ascii="仿宋" w:hAnsi="仿宋" w:eastAsia="仿宋"/>
          <w:sz w:val="28"/>
          <w:lang w:eastAsia="zh-CN"/>
        </w:rPr>
      </w:pPr>
      <w:r>
        <w:rPr>
          <w:rFonts w:ascii="仿宋" w:hAnsi="仿宋" w:eastAsia="仿宋"/>
          <w:sz w:val="28"/>
        </w:rPr>
        <w:t>3．标书售价（元）：</w:t>
      </w:r>
      <w:r>
        <w:rPr>
          <w:rFonts w:hint="eastAsia" w:ascii="仿宋" w:hAnsi="仿宋" w:eastAsia="仿宋"/>
          <w:sz w:val="28"/>
          <w:lang w:val="en-US" w:eastAsia="zh-CN"/>
        </w:rPr>
        <w:t>0</w:t>
      </w:r>
    </w:p>
    <w:p>
      <w:pPr>
        <w:pStyle w:val="24"/>
        <w:snapToGrid w:val="0"/>
        <w:spacing w:line="360" w:lineRule="auto"/>
        <w:ind w:firstLine="560" w:firstLineChars="200"/>
        <w:jc w:val="both"/>
        <w:rPr>
          <w:rFonts w:hint="eastAsia" w:ascii="仿宋" w:hAnsi="仿宋" w:eastAsia="仿宋"/>
          <w:sz w:val="28"/>
          <w:highlight w:val="none"/>
          <w:lang w:val="en-US" w:eastAsia="zh-CN"/>
        </w:rPr>
      </w:pPr>
      <w:r>
        <w:rPr>
          <w:rFonts w:ascii="仿宋" w:hAnsi="仿宋" w:eastAsia="仿宋"/>
          <w:sz w:val="28"/>
        </w:rPr>
        <w:t>4．</w:t>
      </w:r>
      <w:r>
        <w:rPr>
          <w:rFonts w:hint="eastAsia" w:ascii="仿宋" w:hAnsi="仿宋" w:eastAsia="仿宋"/>
          <w:sz w:val="28"/>
          <w:lang w:val="en-US" w:eastAsia="zh-CN"/>
        </w:rPr>
        <w:t>方式</w:t>
      </w:r>
      <w:r>
        <w:rPr>
          <w:rFonts w:ascii="仿宋" w:hAnsi="仿宋" w:eastAsia="仿宋"/>
          <w:sz w:val="28"/>
        </w:rPr>
        <w:t>：</w:t>
      </w:r>
      <w:r>
        <w:rPr>
          <w:rFonts w:hint="eastAsia" w:ascii="仿宋" w:hAnsi="仿宋" w:eastAsia="仿宋"/>
          <w:sz w:val="28"/>
        </w:rPr>
        <w:t>供应商登录政采云平台https://www.zcygov.cn/在线申请获取采购文件（进入“项目采购”应用，在获取采购文件菜单中选择项目，申请获取采购文件）</w:t>
      </w:r>
      <w:r>
        <w:rPr>
          <w:rFonts w:hint="eastAsia" w:ascii="仿宋" w:hAnsi="仿宋" w:eastAsia="仿宋"/>
          <w:sz w:val="28"/>
          <w:lang w:eastAsia="zh-CN"/>
        </w:rPr>
        <w:t>。</w:t>
      </w:r>
    </w:p>
    <w:p>
      <w:pPr>
        <w:pStyle w:val="24"/>
        <w:snapToGrid w:val="0"/>
        <w:spacing w:line="360" w:lineRule="auto"/>
        <w:ind w:firstLine="560" w:firstLineChars="200"/>
        <w:jc w:val="both"/>
        <w:rPr>
          <w:rStyle w:val="33"/>
        </w:rPr>
      </w:pPr>
      <w:bookmarkStart w:id="77" w:name="_GoBack"/>
      <w:bookmarkEnd w:id="77"/>
      <w:r>
        <w:rPr>
          <w:rFonts w:ascii="仿宋" w:hAnsi="仿宋" w:eastAsia="仿宋"/>
          <w:sz w:val="28"/>
        </w:rPr>
        <w:t>六、</w:t>
      </w:r>
      <w:r>
        <w:rPr>
          <w:rFonts w:hint="eastAsia" w:ascii="仿宋" w:hAnsi="仿宋" w:eastAsia="仿宋"/>
          <w:sz w:val="28"/>
        </w:rPr>
        <w:t>响应文件递交</w:t>
      </w:r>
      <w:r>
        <w:rPr>
          <w:rFonts w:ascii="仿宋" w:hAnsi="仿宋" w:eastAsia="仿宋"/>
          <w:sz w:val="28"/>
        </w:rPr>
        <w:t>截止时间：</w:t>
      </w:r>
      <w:bookmarkStart w:id="8" w:name="_Hlk56775416"/>
      <w:r>
        <w:rPr>
          <w:rFonts w:hint="eastAsia" w:ascii="仿宋" w:hAnsi="仿宋" w:eastAsia="仿宋"/>
          <w:sz w:val="28"/>
          <w:highlight w:val="none"/>
          <w:u w:val="single"/>
          <w:lang w:val="en-US" w:eastAsia="zh-CN"/>
        </w:rPr>
        <w:t>2022年12月21日11时00分（北京时间）</w:t>
      </w:r>
      <w:bookmarkEnd w:id="8"/>
    </w:p>
    <w:p>
      <w:pPr>
        <w:pStyle w:val="24"/>
        <w:snapToGrid w:val="0"/>
        <w:spacing w:line="360" w:lineRule="auto"/>
        <w:ind w:firstLine="560" w:firstLineChars="200"/>
        <w:jc w:val="both"/>
        <w:rPr>
          <w:rFonts w:ascii="仿宋" w:hAnsi="仿宋" w:eastAsia="仿宋"/>
          <w:sz w:val="28"/>
          <w:highlight w:val="none"/>
        </w:rPr>
      </w:pPr>
      <w:r>
        <w:rPr>
          <w:rFonts w:ascii="仿宋" w:hAnsi="仿宋" w:eastAsia="仿宋"/>
          <w:sz w:val="28"/>
        </w:rPr>
        <w:t>七、</w:t>
      </w:r>
      <w:r>
        <w:rPr>
          <w:rFonts w:hint="eastAsia" w:ascii="仿宋" w:hAnsi="仿宋" w:eastAsia="仿宋"/>
          <w:sz w:val="28"/>
        </w:rPr>
        <w:t>响应文件</w:t>
      </w:r>
      <w:r>
        <w:rPr>
          <w:rFonts w:hint="eastAsia" w:ascii="仿宋" w:hAnsi="仿宋" w:eastAsia="仿宋"/>
          <w:sz w:val="28"/>
          <w:highlight w:val="none"/>
        </w:rPr>
        <w:t>递交</w:t>
      </w:r>
      <w:r>
        <w:rPr>
          <w:rFonts w:ascii="仿宋" w:hAnsi="仿宋" w:eastAsia="仿宋"/>
          <w:sz w:val="28"/>
          <w:highlight w:val="none"/>
        </w:rPr>
        <w:t>地址：</w:t>
      </w:r>
      <w:r>
        <w:rPr>
          <w:rFonts w:hint="eastAsia" w:ascii="仿宋" w:hAnsi="仿宋" w:eastAsia="仿宋"/>
          <w:sz w:val="28"/>
          <w:highlight w:val="none"/>
        </w:rPr>
        <w:t>新疆乌鲁木齐市水磨沟区绿地中心写字楼智海2008</w:t>
      </w:r>
    </w:p>
    <w:p>
      <w:pPr>
        <w:pStyle w:val="24"/>
        <w:snapToGrid w:val="0"/>
        <w:spacing w:line="360" w:lineRule="auto"/>
        <w:ind w:firstLine="560" w:firstLineChars="200"/>
        <w:jc w:val="both"/>
        <w:rPr>
          <w:rFonts w:ascii="仿宋" w:hAnsi="仿宋" w:eastAsia="仿宋"/>
          <w:sz w:val="28"/>
          <w:highlight w:val="none"/>
        </w:rPr>
      </w:pPr>
      <w:r>
        <w:rPr>
          <w:rFonts w:ascii="仿宋" w:hAnsi="仿宋" w:eastAsia="仿宋"/>
          <w:sz w:val="28"/>
          <w:highlight w:val="none"/>
        </w:rPr>
        <w:t>八、</w:t>
      </w:r>
      <w:r>
        <w:rPr>
          <w:rFonts w:hint="eastAsia" w:ascii="仿宋" w:hAnsi="仿宋" w:eastAsia="仿宋"/>
          <w:sz w:val="28"/>
          <w:highlight w:val="none"/>
        </w:rPr>
        <w:t>开标</w:t>
      </w:r>
      <w:r>
        <w:rPr>
          <w:rFonts w:ascii="仿宋" w:hAnsi="仿宋" w:eastAsia="仿宋"/>
          <w:sz w:val="28"/>
          <w:highlight w:val="none"/>
        </w:rPr>
        <w:t>时间：</w:t>
      </w:r>
      <w:r>
        <w:rPr>
          <w:rFonts w:hint="eastAsia" w:ascii="仿宋" w:hAnsi="仿宋" w:eastAsia="仿宋"/>
          <w:sz w:val="28"/>
          <w:highlight w:val="none"/>
          <w:u w:val="single"/>
        </w:rPr>
        <w:t>2022年</w:t>
      </w:r>
      <w:r>
        <w:rPr>
          <w:rFonts w:hint="eastAsia" w:ascii="仿宋" w:hAnsi="仿宋" w:eastAsia="仿宋"/>
          <w:sz w:val="28"/>
          <w:highlight w:val="none"/>
          <w:u w:val="single"/>
          <w:lang w:val="en-US" w:eastAsia="zh-CN"/>
        </w:rPr>
        <w:t>12</w:t>
      </w:r>
      <w:r>
        <w:rPr>
          <w:rFonts w:hint="eastAsia" w:ascii="仿宋" w:hAnsi="仿宋" w:eastAsia="仿宋"/>
          <w:sz w:val="28"/>
          <w:highlight w:val="none"/>
          <w:u w:val="single"/>
        </w:rPr>
        <w:t>月</w:t>
      </w:r>
      <w:r>
        <w:rPr>
          <w:rFonts w:hint="eastAsia" w:ascii="仿宋" w:hAnsi="仿宋" w:eastAsia="仿宋"/>
          <w:sz w:val="28"/>
          <w:highlight w:val="none"/>
          <w:u w:val="single"/>
          <w:lang w:val="en-US" w:eastAsia="zh-CN"/>
        </w:rPr>
        <w:t>21</w:t>
      </w:r>
      <w:r>
        <w:rPr>
          <w:rFonts w:hint="eastAsia" w:ascii="仿宋" w:hAnsi="仿宋" w:eastAsia="仿宋"/>
          <w:sz w:val="28"/>
          <w:highlight w:val="none"/>
          <w:u w:val="single"/>
        </w:rPr>
        <w:t>日11时00分</w:t>
      </w:r>
      <w:r>
        <w:rPr>
          <w:rFonts w:hint="eastAsia" w:ascii="仿宋" w:hAnsi="仿宋" w:eastAsia="仿宋"/>
          <w:sz w:val="28"/>
          <w:highlight w:val="none"/>
        </w:rPr>
        <w:t>（北京时间）</w:t>
      </w:r>
    </w:p>
    <w:p>
      <w:pPr>
        <w:pStyle w:val="24"/>
        <w:snapToGrid w:val="0"/>
        <w:spacing w:line="360" w:lineRule="auto"/>
        <w:ind w:firstLine="560" w:firstLineChars="200"/>
        <w:jc w:val="both"/>
        <w:rPr>
          <w:rFonts w:ascii="仿宋" w:hAnsi="仿宋" w:eastAsia="仿宋"/>
          <w:sz w:val="28"/>
        </w:rPr>
      </w:pPr>
      <w:r>
        <w:rPr>
          <w:rFonts w:ascii="仿宋" w:hAnsi="仿宋" w:eastAsia="仿宋"/>
          <w:sz w:val="28"/>
        </w:rPr>
        <w:t>九、</w:t>
      </w:r>
      <w:r>
        <w:rPr>
          <w:rFonts w:hint="eastAsia" w:ascii="仿宋" w:hAnsi="仿宋" w:eastAsia="仿宋"/>
          <w:sz w:val="28"/>
        </w:rPr>
        <w:t>开标</w:t>
      </w:r>
      <w:r>
        <w:rPr>
          <w:rFonts w:ascii="仿宋" w:hAnsi="仿宋" w:eastAsia="仿宋"/>
          <w:sz w:val="28"/>
        </w:rPr>
        <w:t>地址：</w:t>
      </w:r>
      <w:r>
        <w:rPr>
          <w:rFonts w:hint="eastAsia" w:ascii="仿宋" w:hAnsi="仿宋" w:eastAsia="仿宋"/>
          <w:sz w:val="28"/>
        </w:rPr>
        <w:t>新疆乌鲁木齐市水磨沟区绿地中心写字楼智海2008</w:t>
      </w:r>
    </w:p>
    <w:p>
      <w:pPr>
        <w:pStyle w:val="24"/>
        <w:snapToGrid w:val="0"/>
        <w:spacing w:line="360" w:lineRule="auto"/>
        <w:ind w:firstLine="560"/>
        <w:jc w:val="both"/>
        <w:rPr>
          <w:rFonts w:ascii="仿宋" w:hAnsi="仿宋" w:eastAsia="仿宋"/>
          <w:sz w:val="28"/>
        </w:rPr>
      </w:pPr>
      <w:r>
        <w:rPr>
          <w:rFonts w:ascii="仿宋" w:hAnsi="仿宋" w:eastAsia="仿宋"/>
          <w:sz w:val="28"/>
        </w:rPr>
        <w:t>十、联系方式</w:t>
      </w:r>
    </w:p>
    <w:p>
      <w:pPr>
        <w:pStyle w:val="24"/>
        <w:snapToGrid w:val="0"/>
        <w:spacing w:line="360" w:lineRule="auto"/>
        <w:ind w:firstLine="560"/>
        <w:jc w:val="both"/>
        <w:rPr>
          <w:rFonts w:ascii="仿宋" w:hAnsi="仿宋" w:eastAsia="仿宋"/>
          <w:sz w:val="28"/>
          <w:szCs w:val="22"/>
        </w:rPr>
      </w:pPr>
      <w:r>
        <w:rPr>
          <w:rFonts w:hint="eastAsia" w:ascii="仿宋" w:hAnsi="仿宋" w:eastAsia="仿宋"/>
          <w:sz w:val="28"/>
          <w:szCs w:val="22"/>
        </w:rPr>
        <w:t>1.采购人信息</w:t>
      </w:r>
    </w:p>
    <w:p>
      <w:pPr>
        <w:pStyle w:val="24"/>
        <w:snapToGrid w:val="0"/>
        <w:spacing w:line="360" w:lineRule="auto"/>
        <w:ind w:firstLine="560"/>
        <w:jc w:val="both"/>
        <w:rPr>
          <w:rFonts w:ascii="仿宋" w:hAnsi="仿宋" w:eastAsia="仿宋"/>
          <w:sz w:val="28"/>
          <w:szCs w:val="22"/>
        </w:rPr>
      </w:pPr>
      <w:r>
        <w:rPr>
          <w:rFonts w:hint="eastAsia" w:ascii="仿宋" w:hAnsi="仿宋" w:eastAsia="仿宋"/>
          <w:sz w:val="28"/>
          <w:szCs w:val="22"/>
        </w:rPr>
        <w:t>名 称：新疆医科大学附属肿瘤医院</w:t>
      </w:r>
    </w:p>
    <w:p>
      <w:pPr>
        <w:pStyle w:val="24"/>
        <w:snapToGrid w:val="0"/>
        <w:spacing w:line="360" w:lineRule="auto"/>
        <w:ind w:firstLine="560"/>
        <w:rPr>
          <w:rFonts w:ascii="仿宋" w:hAnsi="仿宋" w:eastAsia="仿宋"/>
          <w:sz w:val="28"/>
          <w:szCs w:val="22"/>
        </w:rPr>
      </w:pPr>
      <w:r>
        <w:rPr>
          <w:rFonts w:hint="eastAsia" w:ascii="仿宋" w:hAnsi="仿宋" w:eastAsia="仿宋"/>
          <w:sz w:val="28"/>
          <w:szCs w:val="22"/>
        </w:rPr>
        <w:t>地 址：乌鲁木齐市苏州东街789号</w:t>
      </w:r>
    </w:p>
    <w:p>
      <w:pPr>
        <w:pStyle w:val="24"/>
        <w:snapToGrid w:val="0"/>
        <w:spacing w:line="360" w:lineRule="auto"/>
        <w:ind w:firstLine="560"/>
        <w:jc w:val="both"/>
        <w:rPr>
          <w:rFonts w:ascii="仿宋" w:hAnsi="仿宋" w:eastAsia="仿宋"/>
          <w:sz w:val="28"/>
          <w:szCs w:val="22"/>
        </w:rPr>
      </w:pPr>
      <w:r>
        <w:rPr>
          <w:rFonts w:hint="eastAsia" w:ascii="仿宋" w:hAnsi="仿宋" w:eastAsia="仿宋"/>
          <w:sz w:val="28"/>
          <w:szCs w:val="22"/>
        </w:rPr>
        <w:t>联系方式：0991-7819055</w:t>
      </w:r>
    </w:p>
    <w:p>
      <w:pPr>
        <w:pStyle w:val="24"/>
        <w:snapToGrid w:val="0"/>
        <w:spacing w:line="360" w:lineRule="auto"/>
        <w:ind w:firstLine="560"/>
        <w:jc w:val="both"/>
        <w:rPr>
          <w:rFonts w:ascii="仿宋" w:hAnsi="仿宋" w:eastAsia="仿宋"/>
          <w:sz w:val="28"/>
          <w:szCs w:val="22"/>
        </w:rPr>
      </w:pPr>
      <w:r>
        <w:rPr>
          <w:rFonts w:hint="eastAsia" w:ascii="仿宋" w:hAnsi="仿宋" w:eastAsia="仿宋"/>
          <w:sz w:val="28"/>
          <w:szCs w:val="22"/>
        </w:rPr>
        <w:t>2.采购代理机构信息</w:t>
      </w:r>
    </w:p>
    <w:p>
      <w:pPr>
        <w:pStyle w:val="24"/>
        <w:snapToGrid w:val="0"/>
        <w:spacing w:line="360" w:lineRule="auto"/>
        <w:ind w:firstLine="560"/>
        <w:jc w:val="both"/>
        <w:rPr>
          <w:rFonts w:ascii="仿宋" w:hAnsi="仿宋" w:eastAsia="仿宋"/>
          <w:sz w:val="28"/>
          <w:szCs w:val="22"/>
        </w:rPr>
      </w:pPr>
      <w:r>
        <w:rPr>
          <w:rFonts w:hint="eastAsia" w:ascii="仿宋" w:hAnsi="仿宋" w:eastAsia="仿宋"/>
          <w:sz w:val="28"/>
          <w:szCs w:val="22"/>
        </w:rPr>
        <w:t>名 称：中科高盛咨询集团有限公司</w:t>
      </w:r>
    </w:p>
    <w:p>
      <w:pPr>
        <w:pStyle w:val="24"/>
        <w:snapToGrid w:val="0"/>
        <w:spacing w:line="360" w:lineRule="auto"/>
        <w:ind w:firstLine="560"/>
        <w:jc w:val="both"/>
        <w:rPr>
          <w:rFonts w:ascii="仿宋" w:hAnsi="仿宋" w:eastAsia="仿宋"/>
          <w:sz w:val="28"/>
          <w:szCs w:val="22"/>
        </w:rPr>
      </w:pPr>
      <w:r>
        <w:rPr>
          <w:rFonts w:hint="eastAsia" w:ascii="仿宋" w:hAnsi="仿宋" w:eastAsia="仿宋"/>
          <w:sz w:val="28"/>
          <w:szCs w:val="22"/>
        </w:rPr>
        <w:t>地 址：新疆乌鲁木齐市水磨沟区绿地中心写字楼智海2008</w:t>
      </w:r>
    </w:p>
    <w:p>
      <w:pPr>
        <w:pStyle w:val="24"/>
        <w:snapToGrid w:val="0"/>
        <w:spacing w:line="360" w:lineRule="auto"/>
        <w:ind w:firstLine="560"/>
        <w:jc w:val="both"/>
        <w:rPr>
          <w:rFonts w:ascii="仿宋" w:hAnsi="仿宋" w:eastAsia="仿宋"/>
          <w:sz w:val="28"/>
          <w:szCs w:val="22"/>
        </w:rPr>
      </w:pPr>
      <w:r>
        <w:rPr>
          <w:rFonts w:hint="eastAsia" w:ascii="仿宋" w:hAnsi="仿宋" w:eastAsia="仿宋"/>
          <w:sz w:val="28"/>
          <w:szCs w:val="22"/>
        </w:rPr>
        <w:t>3.项目联系方式</w:t>
      </w:r>
    </w:p>
    <w:p>
      <w:pPr>
        <w:pStyle w:val="24"/>
        <w:snapToGrid w:val="0"/>
        <w:spacing w:line="360" w:lineRule="auto"/>
        <w:ind w:firstLine="560"/>
        <w:jc w:val="both"/>
        <w:rPr>
          <w:rFonts w:ascii="仿宋" w:hAnsi="仿宋" w:eastAsia="仿宋"/>
          <w:sz w:val="28"/>
          <w:szCs w:val="22"/>
        </w:rPr>
      </w:pPr>
      <w:r>
        <w:rPr>
          <w:rFonts w:hint="eastAsia" w:ascii="仿宋" w:hAnsi="仿宋" w:eastAsia="仿宋"/>
          <w:sz w:val="28"/>
          <w:szCs w:val="22"/>
        </w:rPr>
        <w:t>项目联系人：付文、何勋</w:t>
      </w:r>
    </w:p>
    <w:p>
      <w:pPr>
        <w:pStyle w:val="24"/>
        <w:snapToGrid w:val="0"/>
        <w:spacing w:line="360" w:lineRule="auto"/>
        <w:ind w:firstLine="560"/>
        <w:jc w:val="both"/>
        <w:rPr>
          <w:rFonts w:ascii="仿宋" w:hAnsi="仿宋" w:eastAsia="仿宋"/>
          <w:sz w:val="28"/>
          <w:szCs w:val="22"/>
        </w:rPr>
      </w:pPr>
      <w:r>
        <w:rPr>
          <w:rFonts w:hint="eastAsia" w:ascii="仿宋" w:hAnsi="仿宋" w:eastAsia="仿宋"/>
          <w:sz w:val="28"/>
          <w:szCs w:val="22"/>
        </w:rPr>
        <w:t>电 话：13999191325、13659965991</w:t>
      </w:r>
    </w:p>
    <w:p>
      <w:pPr>
        <w:rPr>
          <w:rFonts w:ascii="仿宋" w:hAnsi="仿宋" w:eastAsia="仿宋"/>
        </w:rPr>
      </w:pPr>
      <w:r>
        <w:rPr>
          <w:rFonts w:hint="eastAsia" w:ascii="仿宋" w:hAnsi="仿宋" w:eastAsia="仿宋"/>
        </w:rPr>
        <w:br w:type="page"/>
      </w:r>
    </w:p>
    <w:p>
      <w:pPr>
        <w:pStyle w:val="4"/>
      </w:pPr>
      <w:r>
        <w:rPr>
          <w:rFonts w:hint="eastAsia"/>
        </w:rPr>
        <w:t>第二章、招标须知</w:t>
      </w:r>
      <w:bookmarkEnd w:id="3"/>
      <w:bookmarkEnd w:id="4"/>
      <w:bookmarkEnd w:id="5"/>
      <w:bookmarkEnd w:id="6"/>
    </w:p>
    <w:p>
      <w:pPr>
        <w:pStyle w:val="6"/>
      </w:pPr>
      <w:bookmarkStart w:id="9" w:name="_Toc61184622"/>
      <w:bookmarkStart w:id="10" w:name="_Toc56170379"/>
      <w:r>
        <w:rPr>
          <w:rFonts w:hint="eastAsia"/>
        </w:rPr>
        <w:t>招标须知前附表</w:t>
      </w:r>
      <w:bookmarkEnd w:id="9"/>
      <w:bookmarkEnd w:id="10"/>
    </w:p>
    <w:tbl>
      <w:tblPr>
        <w:tblStyle w:val="19"/>
        <w:tblW w:w="964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8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jc w:val="center"/>
        </w:trPr>
        <w:tc>
          <w:tcPr>
            <w:tcW w:w="824" w:type="dxa"/>
            <w:vAlign w:val="center"/>
          </w:tcPr>
          <w:p>
            <w:pPr>
              <w:pStyle w:val="23"/>
              <w:snapToGrid w:val="0"/>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8820" w:type="dxa"/>
            <w:vAlign w:val="center"/>
          </w:tcPr>
          <w:p>
            <w:pPr>
              <w:pStyle w:val="23"/>
              <w:snapToGrid w:val="0"/>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jc w:val="center"/>
        </w:trPr>
        <w:tc>
          <w:tcPr>
            <w:tcW w:w="824" w:type="dxa"/>
            <w:vAlign w:val="center"/>
          </w:tcPr>
          <w:p>
            <w:pPr>
              <w:pStyle w:val="23"/>
              <w:spacing w:line="360" w:lineRule="auto"/>
              <w:ind w:firstLine="0" w:firstLineChars="0"/>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1</w:t>
            </w:r>
          </w:p>
        </w:tc>
        <w:tc>
          <w:tcPr>
            <w:tcW w:w="8820" w:type="dxa"/>
            <w:tcBorders>
              <w:bottom w:val="single" w:color="auto" w:sz="4" w:space="0"/>
            </w:tcBorders>
            <w:vAlign w:val="center"/>
          </w:tcPr>
          <w:p>
            <w:pPr>
              <w:pStyle w:val="23"/>
              <w:spacing w:line="360" w:lineRule="auto"/>
              <w:ind w:firstLine="0" w:firstLineChars="0"/>
              <w:jc w:val="left"/>
              <w:rPr>
                <w:rFonts w:hint="eastAsia" w:ascii="仿宋" w:hAnsi="仿宋" w:eastAsia="仿宋" w:cs="仿宋"/>
                <w:color w:val="000000"/>
                <w:kern w:val="0"/>
                <w:sz w:val="24"/>
                <w:szCs w:val="24"/>
                <w:highlight w:val="none"/>
                <w:lang w:eastAsia="zh-CN"/>
              </w:rPr>
            </w:pPr>
            <w:r>
              <w:rPr>
                <w:rFonts w:hint="eastAsia" w:ascii="仿宋" w:hAnsi="仿宋" w:eastAsia="仿宋"/>
                <w:color w:val="000000"/>
                <w:sz w:val="24"/>
                <w:szCs w:val="24"/>
                <w:highlight w:val="none"/>
              </w:rPr>
              <w:t>项目名称：</w:t>
            </w:r>
            <w:r>
              <w:rPr>
                <w:rFonts w:hint="eastAsia" w:ascii="仿宋" w:hAnsi="仿宋" w:eastAsia="仿宋"/>
                <w:color w:val="000000"/>
                <w:sz w:val="24"/>
                <w:szCs w:val="24"/>
                <w:highlight w:val="none"/>
                <w:lang w:eastAsia="zh-CN"/>
              </w:rPr>
              <w:t>新疆医科大学附属肿瘤医院高能医用直线加速器采购项目</w:t>
            </w:r>
          </w:p>
          <w:p>
            <w:pPr>
              <w:pStyle w:val="23"/>
              <w:spacing w:line="360" w:lineRule="auto"/>
              <w:ind w:firstLine="0" w:firstLineChars="0"/>
              <w:jc w:val="left"/>
              <w:rPr>
                <w:rFonts w:ascii="仿宋" w:hAnsi="仿宋" w:eastAsia="仿宋"/>
                <w:color w:val="000000"/>
                <w:sz w:val="24"/>
                <w:szCs w:val="24"/>
                <w:highlight w:val="none"/>
              </w:rPr>
            </w:pPr>
            <w:r>
              <w:rPr>
                <w:rFonts w:hint="eastAsia" w:ascii="仿宋" w:hAnsi="仿宋" w:eastAsia="仿宋"/>
                <w:color w:val="000000"/>
                <w:sz w:val="24"/>
                <w:szCs w:val="24"/>
                <w:highlight w:val="none"/>
              </w:rPr>
              <w:t xml:space="preserve">项目编号：ZKGSF(ZB)-20223125 </w:t>
            </w:r>
          </w:p>
          <w:p>
            <w:pPr>
              <w:pStyle w:val="23"/>
              <w:spacing w:line="360" w:lineRule="auto"/>
              <w:ind w:firstLine="0" w:firstLineChars="0"/>
              <w:jc w:val="left"/>
              <w:rPr>
                <w:rFonts w:ascii="仿宋" w:hAnsi="仿宋" w:eastAsia="仿宋"/>
                <w:sz w:val="24"/>
                <w:szCs w:val="24"/>
                <w:highlight w:val="none"/>
              </w:rPr>
            </w:pPr>
            <w:r>
              <w:rPr>
                <w:rFonts w:hint="eastAsia" w:ascii="仿宋" w:hAnsi="仿宋" w:eastAsia="仿宋"/>
                <w:color w:val="000000"/>
                <w:sz w:val="24"/>
                <w:szCs w:val="24"/>
                <w:highlight w:val="none"/>
              </w:rPr>
              <w:t>招标内容：采购医院高能医用直线加速器1套。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vAlign w:val="center"/>
          </w:tcPr>
          <w:p>
            <w:pPr>
              <w:pStyle w:val="23"/>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2</w:t>
            </w:r>
          </w:p>
        </w:tc>
        <w:tc>
          <w:tcPr>
            <w:tcW w:w="8820" w:type="dxa"/>
            <w:vAlign w:val="center"/>
          </w:tcPr>
          <w:p>
            <w:pPr>
              <w:pStyle w:val="23"/>
              <w:spacing w:line="360" w:lineRule="auto"/>
              <w:ind w:firstLine="0" w:firstLineChars="0"/>
              <w:jc w:val="left"/>
              <w:rPr>
                <w:rFonts w:ascii="仿宋" w:hAnsi="仿宋" w:eastAsia="仿宋"/>
                <w:color w:val="000000"/>
                <w:sz w:val="24"/>
                <w:szCs w:val="24"/>
              </w:rPr>
            </w:pPr>
            <w:r>
              <w:rPr>
                <w:rFonts w:hint="eastAsia" w:ascii="仿宋" w:hAnsi="仿宋" w:eastAsia="仿宋"/>
                <w:color w:val="000000"/>
                <w:sz w:val="24"/>
                <w:szCs w:val="24"/>
              </w:rPr>
              <w:t>项目预算金额：3000万元；最高限价：3000万元。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vAlign w:val="center"/>
          </w:tcPr>
          <w:p>
            <w:pPr>
              <w:pStyle w:val="23"/>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3</w:t>
            </w:r>
          </w:p>
        </w:tc>
        <w:tc>
          <w:tcPr>
            <w:tcW w:w="8820" w:type="dxa"/>
            <w:vAlign w:val="center"/>
          </w:tcPr>
          <w:p>
            <w:pPr>
              <w:pStyle w:val="23"/>
              <w:spacing w:line="360" w:lineRule="auto"/>
              <w:ind w:firstLine="0" w:firstLineChars="0"/>
              <w:jc w:val="left"/>
              <w:rPr>
                <w:rFonts w:ascii="仿宋" w:hAnsi="仿宋" w:eastAsia="仿宋"/>
                <w:color w:val="000000"/>
                <w:sz w:val="24"/>
                <w:szCs w:val="24"/>
              </w:rPr>
            </w:pPr>
            <w:r>
              <w:rPr>
                <w:rFonts w:hint="eastAsia" w:ascii="仿宋" w:hAnsi="仿宋" w:eastAsia="仿宋"/>
                <w:color w:val="000000"/>
                <w:sz w:val="24"/>
                <w:szCs w:val="24"/>
              </w:rPr>
              <w:t>采购人：新疆医科大学附属肿瘤医院</w:t>
            </w:r>
          </w:p>
          <w:p>
            <w:pPr>
              <w:pStyle w:val="23"/>
              <w:spacing w:line="360" w:lineRule="auto"/>
              <w:ind w:firstLine="0" w:firstLineChars="0"/>
              <w:jc w:val="left"/>
              <w:rPr>
                <w:rFonts w:ascii="仿宋" w:hAnsi="仿宋" w:eastAsia="仿宋"/>
                <w:color w:val="000000"/>
                <w:sz w:val="24"/>
                <w:szCs w:val="24"/>
              </w:rPr>
            </w:pPr>
            <w:r>
              <w:rPr>
                <w:rFonts w:hint="eastAsia" w:ascii="仿宋" w:hAnsi="仿宋" w:eastAsia="仿宋"/>
                <w:color w:val="000000"/>
                <w:sz w:val="24"/>
                <w:szCs w:val="24"/>
              </w:rPr>
              <w:t>联系人：向征</w:t>
            </w:r>
          </w:p>
          <w:p>
            <w:pPr>
              <w:pStyle w:val="23"/>
              <w:spacing w:line="360" w:lineRule="auto"/>
              <w:ind w:firstLine="0" w:firstLineChars="0"/>
              <w:jc w:val="left"/>
              <w:rPr>
                <w:rFonts w:ascii="仿宋" w:hAnsi="仿宋" w:eastAsia="仿宋"/>
                <w:color w:val="000000"/>
                <w:sz w:val="24"/>
                <w:szCs w:val="24"/>
              </w:rPr>
            </w:pPr>
            <w:r>
              <w:rPr>
                <w:rFonts w:hint="eastAsia" w:ascii="仿宋" w:hAnsi="仿宋" w:eastAsia="仿宋"/>
                <w:color w:val="000000"/>
                <w:sz w:val="24"/>
                <w:szCs w:val="24"/>
              </w:rPr>
              <w:t>联系电话：0991-7819055</w:t>
            </w:r>
          </w:p>
          <w:p>
            <w:pPr>
              <w:pStyle w:val="23"/>
              <w:spacing w:line="360" w:lineRule="auto"/>
              <w:ind w:firstLine="0" w:firstLineChars="0"/>
              <w:jc w:val="left"/>
              <w:rPr>
                <w:rFonts w:ascii="仿宋" w:hAnsi="仿宋" w:eastAsia="仿宋" w:cs="宋体"/>
                <w:color w:val="000000"/>
                <w:kern w:val="0"/>
                <w:sz w:val="24"/>
                <w:szCs w:val="24"/>
              </w:rPr>
            </w:pPr>
            <w:r>
              <w:rPr>
                <w:rFonts w:hint="eastAsia" w:ascii="仿宋" w:hAnsi="仿宋" w:eastAsia="仿宋"/>
                <w:color w:val="000000"/>
                <w:sz w:val="24"/>
                <w:szCs w:val="24"/>
              </w:rPr>
              <w:t>地址：乌鲁木齐市新市区苏州东街789号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4" w:hRule="atLeast"/>
          <w:jc w:val="center"/>
        </w:trPr>
        <w:tc>
          <w:tcPr>
            <w:tcW w:w="824" w:type="dxa"/>
            <w:vAlign w:val="center"/>
          </w:tcPr>
          <w:p>
            <w:pPr>
              <w:pStyle w:val="23"/>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4</w:t>
            </w:r>
          </w:p>
        </w:tc>
        <w:tc>
          <w:tcPr>
            <w:tcW w:w="8820" w:type="dxa"/>
            <w:vAlign w:val="center"/>
          </w:tcPr>
          <w:p>
            <w:pPr>
              <w:pStyle w:val="23"/>
              <w:spacing w:line="360" w:lineRule="auto"/>
              <w:ind w:firstLine="0" w:firstLineChars="0"/>
              <w:jc w:val="left"/>
              <w:rPr>
                <w:rFonts w:ascii="仿宋" w:hAnsi="仿宋" w:eastAsia="仿宋"/>
                <w:color w:val="000000"/>
                <w:sz w:val="24"/>
                <w:szCs w:val="24"/>
              </w:rPr>
            </w:pPr>
            <w:r>
              <w:rPr>
                <w:rFonts w:hint="eastAsia" w:ascii="仿宋" w:hAnsi="仿宋" w:eastAsia="仿宋"/>
                <w:color w:val="000000"/>
                <w:sz w:val="24"/>
                <w:szCs w:val="24"/>
              </w:rPr>
              <w:t>采购代理机构：中科高盛咨询集团有限公司</w:t>
            </w:r>
          </w:p>
          <w:p>
            <w:pPr>
              <w:pStyle w:val="23"/>
              <w:spacing w:line="360" w:lineRule="auto"/>
              <w:ind w:firstLine="0" w:firstLineChars="0"/>
              <w:jc w:val="left"/>
              <w:rPr>
                <w:rFonts w:ascii="仿宋" w:hAnsi="仿宋" w:eastAsia="仿宋" w:cs="宋体"/>
                <w:color w:val="000000"/>
                <w:kern w:val="0"/>
                <w:sz w:val="24"/>
                <w:szCs w:val="24"/>
              </w:rPr>
            </w:pPr>
            <w:r>
              <w:rPr>
                <w:rFonts w:hint="eastAsia" w:ascii="仿宋" w:hAnsi="仿宋" w:eastAsia="仿宋"/>
                <w:color w:val="000000"/>
                <w:sz w:val="24"/>
                <w:szCs w:val="24"/>
              </w:rPr>
              <w:t>地址：新疆乌鲁木齐市水磨沟区绿地中心写字楼智海2008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24" w:type="dxa"/>
            <w:vAlign w:val="center"/>
          </w:tcPr>
          <w:p>
            <w:pPr>
              <w:pStyle w:val="23"/>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5</w:t>
            </w:r>
          </w:p>
        </w:tc>
        <w:tc>
          <w:tcPr>
            <w:tcW w:w="8820" w:type="dxa"/>
            <w:vAlign w:val="center"/>
          </w:tcPr>
          <w:p>
            <w:pPr>
              <w:pStyle w:val="23"/>
              <w:spacing w:line="360" w:lineRule="auto"/>
              <w:ind w:firstLine="0" w:firstLineChars="0"/>
              <w:jc w:val="left"/>
              <w:rPr>
                <w:rFonts w:ascii="仿宋" w:hAnsi="仿宋" w:eastAsia="仿宋"/>
                <w:color w:val="000000"/>
                <w:sz w:val="24"/>
                <w:szCs w:val="24"/>
              </w:rPr>
            </w:pPr>
            <w:r>
              <w:rPr>
                <w:rFonts w:hint="eastAsia" w:ascii="仿宋" w:hAnsi="仿宋" w:eastAsia="仿宋"/>
                <w:color w:val="000000"/>
                <w:sz w:val="24"/>
                <w:szCs w:val="24"/>
              </w:rPr>
              <w:t>保证金金额：</w:t>
            </w:r>
            <w:r>
              <w:rPr>
                <w:rFonts w:hint="eastAsia" w:ascii="仿宋" w:hAnsi="仿宋" w:eastAsia="仿宋"/>
                <w:b/>
                <w:bCs/>
                <w:color w:val="000000"/>
                <w:sz w:val="24"/>
                <w:szCs w:val="24"/>
              </w:rPr>
              <w:t>人民币</w:t>
            </w:r>
            <w:r>
              <w:rPr>
                <w:rFonts w:hint="eastAsia" w:ascii="仿宋" w:hAnsi="仿宋" w:eastAsia="仿宋"/>
                <w:b/>
                <w:bCs/>
                <w:color w:val="000000"/>
                <w:sz w:val="24"/>
                <w:szCs w:val="24"/>
                <w:u w:val="single"/>
              </w:rPr>
              <w:t>300000</w:t>
            </w:r>
            <w:r>
              <w:rPr>
                <w:rFonts w:hint="eastAsia" w:ascii="仿宋" w:hAnsi="仿宋" w:eastAsia="仿宋"/>
                <w:b/>
                <w:bCs/>
                <w:color w:val="000000"/>
                <w:sz w:val="24"/>
                <w:szCs w:val="24"/>
              </w:rPr>
              <w:t>元（大写：叁拾万元整）；</w:t>
            </w:r>
            <w:r>
              <w:rPr>
                <w:rFonts w:hint="eastAsia" w:ascii="仿宋" w:hAnsi="仿宋" w:eastAsia="仿宋"/>
                <w:color w:val="000000"/>
                <w:sz w:val="24"/>
                <w:szCs w:val="24"/>
              </w:rPr>
              <w:t>须以网银转账的形式由供应商的基本账户账户汇出</w:t>
            </w:r>
            <w:r>
              <w:rPr>
                <w:rFonts w:hint="eastAsia" w:ascii="仿宋" w:hAnsi="仿宋" w:eastAsia="仿宋"/>
                <w:b/>
                <w:bCs/>
                <w:color w:val="000000"/>
                <w:sz w:val="24"/>
                <w:szCs w:val="24"/>
              </w:rPr>
              <w:t>（备注项目名称及标项）</w:t>
            </w:r>
            <w:r>
              <w:rPr>
                <w:rFonts w:hint="eastAsia" w:ascii="仿宋" w:hAnsi="仿宋" w:eastAsia="仿宋"/>
                <w:color w:val="000000"/>
                <w:sz w:val="24"/>
                <w:szCs w:val="24"/>
              </w:rPr>
              <w:t>，须于投标文件递交截止时间前交至招标代理机构指定账户（以到账时间为准），公示期结束后予以退还。</w:t>
            </w:r>
          </w:p>
          <w:p>
            <w:pPr>
              <w:pStyle w:val="23"/>
              <w:spacing w:line="360" w:lineRule="auto"/>
              <w:ind w:firstLine="0" w:firstLineChars="0"/>
              <w:jc w:val="left"/>
              <w:rPr>
                <w:rFonts w:ascii="仿宋" w:hAnsi="仿宋" w:eastAsia="仿宋"/>
                <w:color w:val="000000"/>
                <w:sz w:val="24"/>
                <w:szCs w:val="24"/>
                <w:shd w:val="clear" w:color="auto" w:fill="FFFFFF"/>
              </w:rPr>
            </w:pPr>
            <w:r>
              <w:rPr>
                <w:rFonts w:hint="eastAsia" w:ascii="仿宋" w:hAnsi="仿宋" w:eastAsia="仿宋"/>
                <w:color w:val="000000"/>
                <w:sz w:val="24"/>
                <w:szCs w:val="24"/>
                <w:shd w:val="clear" w:color="auto" w:fill="FFFFFF"/>
              </w:rPr>
              <w:t>账户名：中科高盛咨询集团有限公司</w:t>
            </w:r>
          </w:p>
          <w:p>
            <w:pPr>
              <w:pStyle w:val="23"/>
              <w:spacing w:line="360" w:lineRule="auto"/>
              <w:ind w:firstLine="0" w:firstLineChars="0"/>
              <w:jc w:val="left"/>
              <w:rPr>
                <w:rFonts w:ascii="仿宋" w:hAnsi="仿宋" w:eastAsia="仿宋"/>
                <w:color w:val="000000"/>
                <w:sz w:val="24"/>
                <w:szCs w:val="24"/>
                <w:shd w:val="clear" w:color="auto" w:fill="FFFFFF"/>
              </w:rPr>
            </w:pPr>
            <w:r>
              <w:rPr>
                <w:rFonts w:hint="eastAsia" w:ascii="仿宋" w:hAnsi="仿宋" w:eastAsia="仿宋"/>
                <w:color w:val="000000"/>
                <w:sz w:val="24"/>
                <w:szCs w:val="24"/>
                <w:shd w:val="clear" w:color="auto" w:fill="FFFFFF"/>
              </w:rPr>
              <w:t xml:space="preserve">账 </w:t>
            </w:r>
            <w:r>
              <w:rPr>
                <w:rFonts w:ascii="仿宋" w:hAnsi="仿宋" w:eastAsia="仿宋"/>
                <w:color w:val="000000"/>
                <w:sz w:val="24"/>
                <w:szCs w:val="24"/>
                <w:shd w:val="clear" w:color="auto" w:fill="FFFFFF"/>
              </w:rPr>
              <w:t xml:space="preserve"> </w:t>
            </w:r>
            <w:r>
              <w:rPr>
                <w:rFonts w:hint="eastAsia" w:ascii="仿宋" w:hAnsi="仿宋" w:eastAsia="仿宋"/>
                <w:color w:val="000000"/>
                <w:sz w:val="24"/>
                <w:szCs w:val="24"/>
                <w:shd w:val="clear" w:color="auto" w:fill="FFFFFF"/>
              </w:rPr>
              <w:t>号：9902 0002 7109 3627</w:t>
            </w:r>
          </w:p>
          <w:p>
            <w:pPr>
              <w:pStyle w:val="23"/>
              <w:spacing w:line="360" w:lineRule="auto"/>
              <w:ind w:firstLine="0" w:firstLineChars="0"/>
              <w:jc w:val="left"/>
              <w:rPr>
                <w:rFonts w:ascii="仿宋" w:hAnsi="仿宋" w:eastAsia="仿宋"/>
                <w:color w:val="000000"/>
                <w:sz w:val="24"/>
                <w:szCs w:val="24"/>
                <w:shd w:val="clear" w:color="auto" w:fill="FFFFFF"/>
              </w:rPr>
            </w:pPr>
            <w:r>
              <w:rPr>
                <w:rFonts w:hint="eastAsia" w:ascii="仿宋" w:hAnsi="仿宋" w:eastAsia="仿宋"/>
                <w:color w:val="000000"/>
                <w:sz w:val="24"/>
                <w:szCs w:val="24"/>
                <w:shd w:val="clear" w:color="auto" w:fill="FFFFFF"/>
              </w:rPr>
              <w:t>开户行：民生银行长沙芙蓉广场支行</w:t>
            </w:r>
          </w:p>
          <w:p>
            <w:pPr>
              <w:pStyle w:val="23"/>
              <w:spacing w:line="360" w:lineRule="auto"/>
              <w:ind w:firstLine="0" w:firstLineChars="0"/>
              <w:jc w:val="left"/>
              <w:rPr>
                <w:rFonts w:ascii="仿宋" w:hAnsi="仿宋" w:eastAsia="仿宋"/>
                <w:color w:val="000000"/>
                <w:sz w:val="24"/>
                <w:szCs w:val="24"/>
              </w:rPr>
            </w:pPr>
            <w:r>
              <w:rPr>
                <w:rFonts w:hint="eastAsia" w:ascii="仿宋" w:hAnsi="仿宋" w:eastAsia="仿宋"/>
                <w:color w:val="000000"/>
                <w:sz w:val="24"/>
                <w:szCs w:val="24"/>
                <w:shd w:val="clear" w:color="auto" w:fill="FFFFFF"/>
              </w:rPr>
              <w:t xml:space="preserve">行 </w:t>
            </w:r>
            <w:r>
              <w:rPr>
                <w:rFonts w:ascii="仿宋" w:hAnsi="仿宋" w:eastAsia="仿宋"/>
                <w:color w:val="000000"/>
                <w:sz w:val="24"/>
                <w:szCs w:val="24"/>
                <w:shd w:val="clear" w:color="auto" w:fill="FFFFFF"/>
              </w:rPr>
              <w:t xml:space="preserve"> </w:t>
            </w:r>
            <w:r>
              <w:rPr>
                <w:rFonts w:hint="eastAsia" w:ascii="仿宋" w:hAnsi="仿宋" w:eastAsia="仿宋"/>
                <w:color w:val="000000"/>
                <w:sz w:val="24"/>
                <w:szCs w:val="24"/>
                <w:shd w:val="clear" w:color="auto" w:fill="FFFFFF"/>
              </w:rPr>
              <w:t>号：3055 5103 1105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1" w:hRule="atLeast"/>
          <w:jc w:val="center"/>
        </w:trPr>
        <w:tc>
          <w:tcPr>
            <w:tcW w:w="824" w:type="dxa"/>
            <w:vAlign w:val="center"/>
          </w:tcPr>
          <w:p>
            <w:pPr>
              <w:pStyle w:val="23"/>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6</w:t>
            </w:r>
          </w:p>
        </w:tc>
        <w:tc>
          <w:tcPr>
            <w:tcW w:w="8820" w:type="dxa"/>
            <w:vAlign w:val="center"/>
          </w:tcPr>
          <w:p>
            <w:pPr>
              <w:pStyle w:val="24"/>
              <w:snapToGrid w:val="0"/>
              <w:spacing w:line="360" w:lineRule="auto"/>
              <w:rPr>
                <w:rFonts w:ascii="仿宋" w:hAnsi="仿宋" w:eastAsia="仿宋"/>
                <w:szCs w:val="24"/>
              </w:rPr>
            </w:pPr>
            <w:r>
              <w:rPr>
                <w:rFonts w:hint="eastAsia" w:ascii="仿宋" w:hAnsi="仿宋" w:eastAsia="仿宋"/>
                <w:szCs w:val="24"/>
              </w:rPr>
              <w:t>供应商资格要求：</w:t>
            </w:r>
          </w:p>
          <w:p>
            <w:pPr>
              <w:pStyle w:val="24"/>
              <w:snapToGrid w:val="0"/>
              <w:spacing w:line="360" w:lineRule="auto"/>
              <w:ind w:firstLine="560"/>
              <w:rPr>
                <w:rFonts w:ascii="仿宋" w:hAnsi="仿宋" w:eastAsia="仿宋"/>
                <w:szCs w:val="24"/>
              </w:rPr>
            </w:pPr>
            <w:r>
              <w:rPr>
                <w:rFonts w:hint="eastAsia" w:ascii="仿宋" w:hAnsi="仿宋" w:eastAsia="仿宋"/>
                <w:szCs w:val="24"/>
              </w:rPr>
              <w:t>1、符合《中华人民共和国政府采购法》第二十二条款规定；</w:t>
            </w:r>
          </w:p>
          <w:p>
            <w:pPr>
              <w:pStyle w:val="24"/>
              <w:snapToGrid w:val="0"/>
              <w:spacing w:line="360" w:lineRule="auto"/>
              <w:ind w:firstLine="560"/>
              <w:rPr>
                <w:rFonts w:ascii="仿宋" w:hAnsi="仿宋" w:eastAsia="仿宋"/>
                <w:szCs w:val="24"/>
              </w:rPr>
            </w:pPr>
            <w:r>
              <w:rPr>
                <w:rFonts w:hint="eastAsia" w:ascii="仿宋" w:hAnsi="仿宋" w:eastAsia="仿宋"/>
                <w:szCs w:val="24"/>
              </w:rPr>
              <w:t>2、具有有效的营业执照；</w:t>
            </w:r>
          </w:p>
          <w:p>
            <w:pPr>
              <w:pStyle w:val="24"/>
              <w:snapToGrid w:val="0"/>
              <w:spacing w:line="360" w:lineRule="auto"/>
              <w:ind w:firstLine="560"/>
              <w:rPr>
                <w:rFonts w:ascii="仿宋" w:hAnsi="仿宋" w:eastAsia="仿宋"/>
                <w:szCs w:val="24"/>
              </w:rPr>
            </w:pPr>
            <w:r>
              <w:rPr>
                <w:rFonts w:hint="eastAsia" w:ascii="仿宋" w:hAnsi="仿宋" w:eastAsia="仿宋"/>
                <w:szCs w:val="24"/>
              </w:rPr>
              <w:t>3、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原件；</w:t>
            </w:r>
          </w:p>
          <w:p>
            <w:pPr>
              <w:pStyle w:val="24"/>
              <w:snapToGrid w:val="0"/>
              <w:spacing w:line="360" w:lineRule="auto"/>
              <w:ind w:firstLine="560"/>
              <w:rPr>
                <w:rFonts w:ascii="仿宋" w:hAnsi="仿宋" w:eastAsia="仿宋"/>
                <w:szCs w:val="24"/>
              </w:rPr>
            </w:pPr>
            <w:r>
              <w:rPr>
                <w:rFonts w:hint="eastAsia" w:ascii="仿宋" w:hAnsi="仿宋" w:eastAsia="仿宋"/>
                <w:szCs w:val="24"/>
              </w:rPr>
              <w:t>4、法定代表人投标需携带法定代表人证明书（原件）及法定代表人身份证（原件），委托代理人投标需携带法定代表人授权委托书（原件）及委托代理人身份证（原件）；</w:t>
            </w:r>
          </w:p>
          <w:p>
            <w:pPr>
              <w:pStyle w:val="24"/>
              <w:snapToGrid w:val="0"/>
              <w:spacing w:line="360" w:lineRule="auto"/>
              <w:ind w:firstLine="560"/>
              <w:rPr>
                <w:rFonts w:ascii="仿宋" w:hAnsi="仿宋" w:eastAsia="仿宋"/>
                <w:szCs w:val="24"/>
              </w:rPr>
            </w:pPr>
            <w:r>
              <w:rPr>
                <w:rFonts w:hint="eastAsia" w:ascii="仿宋" w:hAnsi="仿宋" w:eastAsia="仿宋"/>
                <w:szCs w:val="24"/>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4"/>
              <w:snapToGrid w:val="0"/>
              <w:spacing w:line="360" w:lineRule="auto"/>
              <w:ind w:firstLine="560"/>
              <w:rPr>
                <w:rFonts w:ascii="仿宋" w:hAnsi="仿宋" w:eastAsia="仿宋"/>
                <w:szCs w:val="24"/>
              </w:rPr>
            </w:pPr>
            <w:r>
              <w:rPr>
                <w:rFonts w:hint="eastAsia" w:ascii="仿宋" w:hAnsi="仿宋" w:eastAsia="仿宋"/>
                <w:szCs w:val="24"/>
              </w:rPr>
              <w:t>6、本项目不接受联合体投标。</w:t>
            </w:r>
          </w:p>
          <w:p>
            <w:pPr>
              <w:pStyle w:val="24"/>
              <w:snapToGrid w:val="0"/>
              <w:spacing w:line="360" w:lineRule="auto"/>
              <w:ind w:firstLine="560"/>
              <w:rPr>
                <w:rFonts w:ascii="仿宋" w:hAnsi="仿宋" w:eastAsia="仿宋"/>
                <w:szCs w:val="24"/>
              </w:rPr>
            </w:pPr>
            <w:r>
              <w:rPr>
                <w:rFonts w:hint="eastAsia" w:ascii="仿宋" w:hAnsi="仿宋" w:eastAsia="仿宋"/>
                <w:szCs w:val="24"/>
              </w:rPr>
              <w:t>7、供应商不得为“信用中国”网站（www.creditchina.gov.cn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）政府采购严重违法失信行为记录名单中被财政部门禁止参加政府采购活动的供应商（处罚决定规定的时间和地域范围内）。信用信息截止时点为报名期限内。和地域范围内）。信用信息截止时点为报名期限内。</w:t>
            </w:r>
          </w:p>
          <w:p>
            <w:pPr>
              <w:pStyle w:val="24"/>
              <w:snapToGrid w:val="0"/>
              <w:spacing w:line="360" w:lineRule="auto"/>
              <w:rPr>
                <w:rFonts w:ascii="仿宋" w:hAnsi="仿宋" w:eastAsia="仿宋"/>
                <w:b/>
                <w:bCs/>
                <w:szCs w:val="24"/>
              </w:rPr>
            </w:pPr>
            <w:r>
              <w:rPr>
                <w:rFonts w:hint="eastAsia" w:ascii="仿宋" w:hAnsi="仿宋" w:eastAsia="仿宋"/>
                <w:b/>
                <w:bCs/>
                <w:szCs w:val="24"/>
              </w:rPr>
              <w:t>以下资格证明文件开标时单独提供一份，以备招标人查验：</w:t>
            </w:r>
          </w:p>
          <w:p>
            <w:pPr>
              <w:pStyle w:val="24"/>
              <w:snapToGrid w:val="0"/>
              <w:spacing w:line="360" w:lineRule="auto"/>
              <w:ind w:firstLine="560"/>
              <w:rPr>
                <w:rFonts w:ascii="仿宋" w:hAnsi="仿宋" w:eastAsia="仿宋"/>
                <w:b/>
                <w:bCs/>
                <w:szCs w:val="24"/>
              </w:rPr>
            </w:pPr>
            <w:r>
              <w:rPr>
                <w:rFonts w:hint="eastAsia" w:ascii="仿宋" w:hAnsi="仿宋" w:eastAsia="仿宋"/>
                <w:b/>
                <w:bCs/>
                <w:szCs w:val="24"/>
              </w:rPr>
              <w:t>（1） 企业营业执照（原件或者针对复印件开具的公证书原件投标时携带）。</w:t>
            </w:r>
          </w:p>
          <w:p>
            <w:pPr>
              <w:pStyle w:val="24"/>
              <w:snapToGrid w:val="0"/>
              <w:spacing w:line="360" w:lineRule="auto"/>
              <w:ind w:firstLine="560"/>
              <w:rPr>
                <w:rFonts w:ascii="仿宋" w:hAnsi="仿宋" w:eastAsia="仿宋"/>
                <w:b/>
                <w:bCs/>
                <w:szCs w:val="24"/>
              </w:rPr>
            </w:pPr>
            <w:r>
              <w:rPr>
                <w:rFonts w:hint="eastAsia" w:ascii="仿宋" w:hAnsi="仿宋" w:eastAsia="仿宋"/>
                <w:b/>
                <w:bCs/>
                <w:szCs w:val="24"/>
              </w:rPr>
              <w:t>（2） 法人授权委托书（原件）及被授权人身份证复印件（身份证原件磋商时携带）。授权委托书应由法定代表签名并加盖企业公章，私章无效。</w:t>
            </w:r>
          </w:p>
          <w:p>
            <w:pPr>
              <w:pStyle w:val="24"/>
              <w:snapToGrid w:val="0"/>
              <w:spacing w:line="360" w:lineRule="auto"/>
              <w:ind w:firstLine="560"/>
              <w:rPr>
                <w:rFonts w:ascii="仿宋" w:hAnsi="仿宋" w:eastAsia="仿宋"/>
                <w:b/>
                <w:bCs/>
                <w:szCs w:val="24"/>
              </w:rPr>
            </w:pPr>
            <w:r>
              <w:rPr>
                <w:rFonts w:hint="eastAsia" w:ascii="仿宋" w:hAnsi="仿宋" w:eastAsia="仿宋"/>
                <w:b/>
                <w:bCs/>
                <w:szCs w:val="24"/>
              </w:rPr>
              <w:t>（3） 医疗器械经营（生产）许可证原件。</w:t>
            </w:r>
          </w:p>
          <w:p>
            <w:pPr>
              <w:pStyle w:val="24"/>
              <w:snapToGrid w:val="0"/>
              <w:spacing w:line="360" w:lineRule="auto"/>
              <w:ind w:firstLine="560"/>
              <w:rPr>
                <w:rFonts w:ascii="仿宋" w:hAnsi="仿宋" w:eastAsia="仿宋"/>
                <w:b/>
                <w:bCs/>
                <w:szCs w:val="24"/>
              </w:rPr>
            </w:pPr>
            <w:r>
              <w:rPr>
                <w:rFonts w:hint="eastAsia" w:ascii="仿宋" w:hAnsi="仿宋" w:eastAsia="仿宋"/>
                <w:b/>
                <w:bCs/>
                <w:szCs w:val="24"/>
              </w:rPr>
              <w:t>（4） 保证金缴纳凭证。（加盖公章的复印件）</w:t>
            </w:r>
          </w:p>
          <w:p>
            <w:pPr>
              <w:pStyle w:val="24"/>
              <w:snapToGrid w:val="0"/>
              <w:spacing w:line="360" w:lineRule="auto"/>
              <w:ind w:firstLine="560"/>
              <w:rPr>
                <w:rFonts w:ascii="仿宋" w:hAnsi="仿宋" w:eastAsia="仿宋"/>
                <w:b/>
                <w:bCs/>
                <w:szCs w:val="24"/>
              </w:rPr>
            </w:pPr>
            <w:r>
              <w:rPr>
                <w:rFonts w:hint="eastAsia" w:ascii="仿宋" w:hAnsi="仿宋" w:eastAsia="仿宋"/>
                <w:b/>
                <w:bCs/>
                <w:szCs w:val="24"/>
              </w:rPr>
              <w:t>（5） 参加政府采购活动近三年内在经营活动中没有重大违法记录的书面声明。（原件）</w:t>
            </w:r>
          </w:p>
          <w:p>
            <w:pPr>
              <w:pStyle w:val="24"/>
              <w:snapToGrid w:val="0"/>
              <w:spacing w:line="360" w:lineRule="auto"/>
              <w:ind w:firstLine="560"/>
              <w:rPr>
                <w:rFonts w:ascii="仿宋" w:hAnsi="仿宋" w:eastAsia="仿宋"/>
                <w:szCs w:val="24"/>
              </w:rPr>
            </w:pPr>
            <w:r>
              <w:rPr>
                <w:rFonts w:hint="eastAsia" w:ascii="仿宋" w:hAnsi="仿宋" w:eastAsia="仿宋"/>
                <w:b/>
                <w:bCs/>
                <w:szCs w:val="24"/>
              </w:rPr>
              <w:t>（6） 中小企业声明函。（原件）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vAlign w:val="center"/>
          </w:tcPr>
          <w:p>
            <w:pPr>
              <w:pStyle w:val="23"/>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7</w:t>
            </w:r>
          </w:p>
        </w:tc>
        <w:tc>
          <w:tcPr>
            <w:tcW w:w="8820" w:type="dxa"/>
            <w:vAlign w:val="center"/>
          </w:tcPr>
          <w:p>
            <w:pPr>
              <w:pStyle w:val="23"/>
              <w:spacing w:line="360" w:lineRule="auto"/>
              <w:ind w:firstLine="0" w:firstLineChars="0"/>
              <w:jc w:val="left"/>
              <w:rPr>
                <w:rFonts w:ascii="仿宋" w:hAnsi="仿宋" w:eastAsia="仿宋"/>
                <w:color w:val="000000"/>
                <w:sz w:val="24"/>
                <w:szCs w:val="24"/>
              </w:rPr>
            </w:pPr>
            <w:r>
              <w:rPr>
                <w:rFonts w:hint="eastAsia" w:ascii="仿宋" w:hAnsi="仿宋" w:eastAsia="仿宋"/>
                <w:color w:val="000000"/>
                <w:sz w:val="24"/>
                <w:szCs w:val="24"/>
              </w:rPr>
              <w:t>招标文件有效期：供应商同意投标文件在招标文件规定的投标截止日期届满后立即对供应商产生法律约束力，招标有效期截至招标日后90日历天。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vAlign w:val="center"/>
          </w:tcPr>
          <w:p>
            <w:pPr>
              <w:pStyle w:val="23"/>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8</w:t>
            </w:r>
          </w:p>
        </w:tc>
        <w:tc>
          <w:tcPr>
            <w:tcW w:w="8820" w:type="dxa"/>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招标报价：供应商应在招标一览表中标明其提供的所有货物及相关工作范围内所有费用的总价。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jc w:val="center"/>
        </w:trPr>
        <w:tc>
          <w:tcPr>
            <w:tcW w:w="824"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9</w:t>
            </w:r>
          </w:p>
        </w:tc>
        <w:tc>
          <w:tcPr>
            <w:tcW w:w="8820" w:type="dxa"/>
            <w:vAlign w:val="center"/>
          </w:tcPr>
          <w:p>
            <w:pPr>
              <w:spacing w:line="360" w:lineRule="auto"/>
              <w:jc w:val="left"/>
              <w:rPr>
                <w:rFonts w:ascii="仿宋" w:hAnsi="仿宋" w:eastAsia="仿宋"/>
                <w:color w:val="000000"/>
                <w:sz w:val="24"/>
                <w:szCs w:val="24"/>
                <w:highlight w:val="none"/>
              </w:rPr>
            </w:pPr>
            <w:r>
              <w:rPr>
                <w:rFonts w:hint="eastAsia" w:ascii="仿宋" w:hAnsi="仿宋" w:eastAsia="仿宋"/>
                <w:color w:val="000000"/>
                <w:sz w:val="24"/>
                <w:szCs w:val="24"/>
                <w:highlight w:val="none"/>
              </w:rPr>
              <w:t>招标截止时间：</w:t>
            </w:r>
            <w:r>
              <w:rPr>
                <w:rFonts w:hint="eastAsia" w:ascii="仿宋" w:hAnsi="仿宋" w:eastAsia="仿宋"/>
                <w:color w:val="000000"/>
                <w:sz w:val="24"/>
                <w:szCs w:val="24"/>
                <w:highlight w:val="none"/>
                <w:u w:val="single"/>
              </w:rPr>
              <w:t>2022年</w:t>
            </w:r>
            <w:r>
              <w:rPr>
                <w:rFonts w:hint="eastAsia" w:ascii="仿宋" w:hAnsi="仿宋" w:eastAsia="仿宋"/>
                <w:color w:val="000000"/>
                <w:sz w:val="24"/>
                <w:szCs w:val="24"/>
                <w:highlight w:val="none"/>
                <w:u w:val="single"/>
                <w:lang w:val="en-US" w:eastAsia="zh-CN"/>
              </w:rPr>
              <w:t>12</w:t>
            </w:r>
            <w:r>
              <w:rPr>
                <w:rFonts w:hint="eastAsia" w:ascii="仿宋" w:hAnsi="仿宋" w:eastAsia="仿宋"/>
                <w:color w:val="000000"/>
                <w:sz w:val="24"/>
                <w:szCs w:val="24"/>
                <w:highlight w:val="none"/>
                <w:u w:val="single"/>
              </w:rPr>
              <w:t>月</w:t>
            </w:r>
            <w:r>
              <w:rPr>
                <w:rFonts w:hint="eastAsia" w:ascii="仿宋" w:hAnsi="仿宋" w:eastAsia="仿宋"/>
                <w:color w:val="000000"/>
                <w:sz w:val="24"/>
                <w:szCs w:val="24"/>
                <w:highlight w:val="none"/>
                <w:u w:val="single"/>
                <w:lang w:val="en-US" w:eastAsia="zh-CN"/>
              </w:rPr>
              <w:t>21</w:t>
            </w:r>
            <w:r>
              <w:rPr>
                <w:rFonts w:hint="eastAsia" w:ascii="仿宋" w:hAnsi="仿宋" w:eastAsia="仿宋"/>
                <w:color w:val="000000"/>
                <w:sz w:val="24"/>
                <w:szCs w:val="24"/>
                <w:highlight w:val="none"/>
                <w:u w:val="single"/>
              </w:rPr>
              <w:t>日上午11时00分（北京时间）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10</w:t>
            </w:r>
          </w:p>
        </w:tc>
        <w:tc>
          <w:tcPr>
            <w:tcW w:w="8820" w:type="dxa"/>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投标文件的数目：正本</w:t>
            </w:r>
            <w:r>
              <w:rPr>
                <w:rFonts w:hint="eastAsia" w:ascii="仿宋" w:hAnsi="仿宋" w:eastAsia="仿宋"/>
                <w:color w:val="000000"/>
                <w:sz w:val="24"/>
                <w:szCs w:val="24"/>
                <w:u w:val="single"/>
              </w:rPr>
              <w:t>壹</w:t>
            </w:r>
            <w:r>
              <w:rPr>
                <w:rFonts w:hint="eastAsia" w:ascii="仿宋" w:hAnsi="仿宋" w:eastAsia="仿宋"/>
                <w:color w:val="000000"/>
                <w:sz w:val="24"/>
                <w:szCs w:val="24"/>
              </w:rPr>
              <w:t>份、副本</w:t>
            </w:r>
            <w:r>
              <w:rPr>
                <w:rFonts w:hint="eastAsia" w:ascii="仿宋" w:hAnsi="仿宋" w:eastAsia="仿宋"/>
                <w:color w:val="000000"/>
                <w:sz w:val="24"/>
                <w:szCs w:val="24"/>
                <w:u w:val="single"/>
              </w:rPr>
              <w:t>肆</w:t>
            </w:r>
            <w:r>
              <w:rPr>
                <w:rFonts w:hint="eastAsia" w:ascii="仿宋" w:hAnsi="仿宋" w:eastAsia="仿宋"/>
                <w:color w:val="000000"/>
                <w:sz w:val="24"/>
                <w:szCs w:val="24"/>
              </w:rPr>
              <w:t>份。</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（需提供以U盘为介质的电子版投标文件一份）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824"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11</w:t>
            </w:r>
          </w:p>
        </w:tc>
        <w:tc>
          <w:tcPr>
            <w:tcW w:w="8820" w:type="dxa"/>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投标文件递交至：新疆乌鲁木齐市水磨沟区绿地中心写字楼智海2008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12</w:t>
            </w:r>
          </w:p>
        </w:tc>
        <w:tc>
          <w:tcPr>
            <w:tcW w:w="8820" w:type="dxa"/>
            <w:vAlign w:val="center"/>
          </w:tcPr>
          <w:p>
            <w:pPr>
              <w:spacing w:line="360" w:lineRule="auto"/>
              <w:jc w:val="left"/>
              <w:rPr>
                <w:rFonts w:ascii="仿宋" w:hAnsi="仿宋" w:eastAsia="仿宋"/>
                <w:color w:val="000000"/>
                <w:sz w:val="24"/>
                <w:szCs w:val="24"/>
                <w:highlight w:val="none"/>
              </w:rPr>
            </w:pPr>
            <w:r>
              <w:rPr>
                <w:rFonts w:hint="eastAsia" w:ascii="仿宋" w:hAnsi="仿宋" w:eastAsia="仿宋"/>
                <w:color w:val="000000"/>
                <w:sz w:val="24"/>
                <w:szCs w:val="24"/>
                <w:highlight w:val="none"/>
              </w:rPr>
              <w:t>招标时间：</w:t>
            </w:r>
            <w:r>
              <w:rPr>
                <w:rFonts w:hint="eastAsia" w:ascii="仿宋" w:hAnsi="仿宋" w:eastAsia="仿宋"/>
                <w:color w:val="000000"/>
                <w:sz w:val="24"/>
                <w:szCs w:val="24"/>
                <w:highlight w:val="none"/>
                <w:u w:val="single"/>
              </w:rPr>
              <w:t>2022年</w:t>
            </w:r>
            <w:r>
              <w:rPr>
                <w:rFonts w:hint="eastAsia" w:ascii="仿宋" w:hAnsi="仿宋" w:eastAsia="仿宋"/>
                <w:color w:val="000000"/>
                <w:sz w:val="24"/>
                <w:szCs w:val="24"/>
                <w:highlight w:val="none"/>
                <w:u w:val="single"/>
                <w:lang w:val="en-US" w:eastAsia="zh-CN"/>
              </w:rPr>
              <w:t>12</w:t>
            </w:r>
            <w:r>
              <w:rPr>
                <w:rFonts w:hint="eastAsia" w:ascii="仿宋" w:hAnsi="仿宋" w:eastAsia="仿宋"/>
                <w:color w:val="000000"/>
                <w:sz w:val="24"/>
                <w:szCs w:val="24"/>
                <w:highlight w:val="none"/>
                <w:u w:val="single"/>
              </w:rPr>
              <w:t>月</w:t>
            </w:r>
            <w:r>
              <w:rPr>
                <w:rFonts w:hint="eastAsia" w:ascii="仿宋" w:hAnsi="仿宋" w:eastAsia="仿宋"/>
                <w:color w:val="000000"/>
                <w:sz w:val="24"/>
                <w:szCs w:val="24"/>
                <w:highlight w:val="none"/>
                <w:u w:val="single"/>
                <w:lang w:val="en-US" w:eastAsia="zh-CN"/>
              </w:rPr>
              <w:t>21</w:t>
            </w:r>
            <w:r>
              <w:rPr>
                <w:rFonts w:hint="eastAsia" w:ascii="仿宋" w:hAnsi="仿宋" w:eastAsia="仿宋"/>
                <w:color w:val="000000"/>
                <w:sz w:val="24"/>
                <w:szCs w:val="24"/>
                <w:highlight w:val="none"/>
                <w:u w:val="single"/>
              </w:rPr>
              <w:t>日上午11时00分（北京时间）</w:t>
            </w:r>
            <w:r>
              <w:rPr>
                <w:rFonts w:hint="eastAsia" w:ascii="仿宋" w:hAnsi="仿宋" w:eastAsia="仿宋"/>
                <w:color w:val="000000"/>
                <w:sz w:val="24"/>
                <w:szCs w:val="24"/>
                <w:highlight w:val="none"/>
              </w:rPr>
              <w:t>，逾期送达的投标文件将被拒收。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824"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13</w:t>
            </w:r>
          </w:p>
        </w:tc>
        <w:tc>
          <w:tcPr>
            <w:tcW w:w="8820" w:type="dxa"/>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招标地点：新疆乌鲁木齐市水磨沟区绿地中心写字楼智海2008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jc w:val="center"/>
        </w:trPr>
        <w:tc>
          <w:tcPr>
            <w:tcW w:w="824"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14</w:t>
            </w:r>
          </w:p>
        </w:tc>
        <w:tc>
          <w:tcPr>
            <w:tcW w:w="8820" w:type="dxa"/>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数量调整：招标总价的±10%，详见第二章招标须知第31条。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2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15</w:t>
            </w:r>
          </w:p>
        </w:tc>
        <w:tc>
          <w:tcPr>
            <w:tcW w:w="8820" w:type="dxa"/>
            <w:vAlign w:val="center"/>
          </w:tcPr>
          <w:p>
            <w:pPr>
              <w:snapToGrid w:val="0"/>
              <w:spacing w:line="360" w:lineRule="auto"/>
              <w:jc w:val="left"/>
              <w:rPr>
                <w:rFonts w:ascii="仿宋" w:hAnsi="仿宋" w:eastAsia="仿宋"/>
                <w:sz w:val="24"/>
                <w:szCs w:val="24"/>
                <w:highlight w:val="none"/>
              </w:rPr>
            </w:pPr>
            <w:r>
              <w:rPr>
                <w:rFonts w:hint="eastAsia" w:ascii="仿宋" w:hAnsi="仿宋" w:eastAsia="仿宋"/>
                <w:b/>
                <w:bCs/>
                <w:sz w:val="24"/>
                <w:szCs w:val="24"/>
                <w:highlight w:val="none"/>
              </w:rPr>
              <w:t>交货期：30日历日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6" w:hRule="atLeast"/>
          <w:jc w:val="center"/>
        </w:trPr>
        <w:tc>
          <w:tcPr>
            <w:tcW w:w="824"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16</w:t>
            </w:r>
          </w:p>
        </w:tc>
        <w:tc>
          <w:tcPr>
            <w:tcW w:w="8820" w:type="dxa"/>
            <w:vAlign w:val="center"/>
          </w:tcPr>
          <w:p>
            <w:pPr>
              <w:snapToGrid w:val="0"/>
              <w:spacing w:line="360" w:lineRule="auto"/>
              <w:jc w:val="left"/>
              <w:rPr>
                <w:rFonts w:ascii="仿宋" w:hAnsi="仿宋" w:eastAsia="仿宋"/>
                <w:color w:val="FF0000"/>
                <w:sz w:val="24"/>
                <w:szCs w:val="24"/>
                <w:highlight w:val="none"/>
              </w:rPr>
            </w:pPr>
            <w:r>
              <w:rPr>
                <w:rFonts w:hint="eastAsia" w:ascii="仿宋" w:hAnsi="仿宋" w:eastAsia="仿宋"/>
                <w:b/>
                <w:bCs/>
                <w:color w:val="000000"/>
                <w:sz w:val="24"/>
                <w:szCs w:val="24"/>
                <w:highlight w:val="none"/>
              </w:rPr>
              <w:t>付款方式：合同签订后付合同总额（人民币）的95％，付款至全额的95％时供货方应提供设备真实、合法、有效的全额发票，合同余额5％质保期满后付清。（如设备验收不合格医院有权拒绝付款并要求退货）。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24" w:type="dxa"/>
            <w:vAlign w:val="center"/>
          </w:tcPr>
          <w:p>
            <w:pPr>
              <w:spacing w:line="360" w:lineRule="auto"/>
              <w:ind w:firstLine="120" w:firstLineChars="50"/>
              <w:jc w:val="center"/>
              <w:rPr>
                <w:rFonts w:ascii="仿宋" w:hAnsi="仿宋" w:eastAsia="仿宋"/>
                <w:sz w:val="24"/>
                <w:szCs w:val="24"/>
              </w:rPr>
            </w:pPr>
            <w:r>
              <w:rPr>
                <w:rFonts w:hint="eastAsia" w:ascii="仿宋" w:hAnsi="仿宋" w:eastAsia="仿宋"/>
                <w:sz w:val="24"/>
                <w:szCs w:val="24"/>
              </w:rPr>
              <w:t>17</w:t>
            </w:r>
          </w:p>
        </w:tc>
        <w:tc>
          <w:tcPr>
            <w:tcW w:w="8820" w:type="dxa"/>
            <w:vAlign w:val="center"/>
          </w:tcPr>
          <w:p>
            <w:pPr>
              <w:snapToGrid w:val="0"/>
              <w:spacing w:line="360" w:lineRule="auto"/>
              <w:jc w:val="left"/>
              <w:rPr>
                <w:rFonts w:ascii="仿宋" w:hAnsi="仿宋" w:eastAsia="仿宋"/>
                <w:sz w:val="24"/>
                <w:szCs w:val="24"/>
                <w:highlight w:val="none"/>
              </w:rPr>
            </w:pPr>
            <w:r>
              <w:rPr>
                <w:rFonts w:hint="eastAsia" w:ascii="仿宋" w:hAnsi="仿宋" w:eastAsia="仿宋"/>
                <w:b/>
                <w:bCs/>
                <w:sz w:val="24"/>
                <w:szCs w:val="24"/>
                <w:highlight w:val="none"/>
              </w:rPr>
              <w:t>保修期≥1年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824" w:type="dxa"/>
            <w:vAlign w:val="center"/>
          </w:tcPr>
          <w:p>
            <w:pPr>
              <w:spacing w:line="360" w:lineRule="auto"/>
              <w:ind w:firstLine="120" w:firstLineChars="50"/>
              <w:jc w:val="center"/>
              <w:rPr>
                <w:rFonts w:ascii="仿宋" w:hAnsi="仿宋" w:eastAsia="仿宋"/>
                <w:color w:val="000000"/>
                <w:sz w:val="24"/>
                <w:szCs w:val="24"/>
              </w:rPr>
            </w:pPr>
            <w:r>
              <w:rPr>
                <w:rFonts w:hint="eastAsia" w:ascii="仿宋" w:hAnsi="仿宋" w:eastAsia="仿宋"/>
                <w:color w:val="000000"/>
                <w:sz w:val="24"/>
                <w:szCs w:val="24"/>
              </w:rPr>
              <w:t>18</w:t>
            </w:r>
          </w:p>
        </w:tc>
        <w:tc>
          <w:tcPr>
            <w:tcW w:w="8820" w:type="dxa"/>
            <w:vAlign w:val="center"/>
          </w:tcPr>
          <w:p>
            <w:pPr>
              <w:snapToGrid w:val="0"/>
              <w:spacing w:line="360" w:lineRule="auto"/>
              <w:jc w:val="left"/>
              <w:rPr>
                <w:rFonts w:ascii="仿宋" w:hAnsi="仿宋" w:eastAsia="仿宋" w:cs="仿宋_GB2312"/>
                <w:sz w:val="24"/>
                <w:szCs w:val="24"/>
              </w:rPr>
            </w:pPr>
            <w:r>
              <w:rPr>
                <w:rFonts w:hint="eastAsia" w:ascii="仿宋" w:hAnsi="仿宋" w:eastAsia="仿宋" w:cs="仿宋_GB2312"/>
                <w:sz w:val="24"/>
                <w:szCs w:val="24"/>
              </w:rPr>
              <w:t>政府采购强制采购：（1）标记*符号的节能产品；（2）其他。</w:t>
            </w:r>
          </w:p>
          <w:p>
            <w:pPr>
              <w:snapToGrid w:val="0"/>
              <w:spacing w:line="360" w:lineRule="auto"/>
              <w:jc w:val="left"/>
              <w:rPr>
                <w:rFonts w:ascii="仿宋" w:hAnsi="仿宋" w:eastAsia="仿宋" w:cs="仿宋_GB2312"/>
                <w:sz w:val="24"/>
                <w:szCs w:val="24"/>
              </w:rPr>
            </w:pPr>
            <w:r>
              <w:rPr>
                <w:rFonts w:hint="eastAsia" w:ascii="仿宋" w:hAnsi="仿宋" w:eastAsia="仿宋" w:cs="仿宋_GB2312"/>
                <w:sz w:val="24"/>
                <w:szCs w:val="24"/>
              </w:rPr>
              <w:t>采购最新一期《节能产品政府采购清单》的产品。</w:t>
            </w:r>
          </w:p>
          <w:p>
            <w:pPr>
              <w:snapToGrid w:val="0"/>
              <w:spacing w:line="360" w:lineRule="auto"/>
              <w:jc w:val="left"/>
              <w:rPr>
                <w:rFonts w:ascii="仿宋" w:hAnsi="仿宋" w:eastAsia="仿宋" w:cs="仿宋_GB2312"/>
                <w:sz w:val="24"/>
                <w:szCs w:val="24"/>
              </w:rPr>
            </w:pPr>
            <w:r>
              <w:rPr>
                <w:rFonts w:hint="eastAsia" w:ascii="仿宋" w:hAnsi="仿宋" w:eastAsia="仿宋" w:cs="仿宋_GB2312"/>
                <w:sz w:val="24"/>
                <w:szCs w:val="24"/>
              </w:rPr>
              <w:t>政府采购优先采购：（1）非标记*符号的节能产品；（2）环境标志产品；</w:t>
            </w:r>
          </w:p>
          <w:p>
            <w:pPr>
              <w:snapToGrid w:val="0"/>
              <w:spacing w:line="360" w:lineRule="auto"/>
              <w:jc w:val="left"/>
              <w:rPr>
                <w:rFonts w:ascii="仿宋" w:hAnsi="仿宋" w:eastAsia="仿宋" w:cs="仿宋_GB2312"/>
                <w:sz w:val="24"/>
                <w:szCs w:val="24"/>
              </w:rPr>
            </w:pPr>
            <w:r>
              <w:rPr>
                <w:rFonts w:hint="eastAsia" w:ascii="仿宋" w:hAnsi="仿宋" w:eastAsia="仿宋" w:cs="仿宋_GB2312"/>
                <w:sz w:val="24"/>
                <w:szCs w:val="24"/>
              </w:rPr>
              <w:t>采购产品为《节能产品政府采购清单》（最新期）内非标记*符号的节能产品及《环境标志产品政府采购清单》（最新期）内的产品：</w:t>
            </w:r>
          </w:p>
          <w:p>
            <w:pPr>
              <w:snapToGrid w:val="0"/>
              <w:spacing w:line="360" w:lineRule="auto"/>
              <w:jc w:val="left"/>
              <w:rPr>
                <w:rFonts w:ascii="仿宋" w:hAnsi="仿宋" w:eastAsia="仿宋" w:cs="仿宋_GB2312"/>
                <w:sz w:val="24"/>
                <w:szCs w:val="24"/>
              </w:rPr>
            </w:pPr>
            <w:r>
              <w:rPr>
                <w:rFonts w:hint="eastAsia" w:ascii="仿宋" w:hAnsi="仿宋" w:eastAsia="仿宋"/>
                <w:color w:val="000000"/>
                <w:sz w:val="24"/>
                <w:szCs w:val="24"/>
              </w:rPr>
              <w:t>投标文件</w:t>
            </w:r>
            <w:r>
              <w:rPr>
                <w:rFonts w:hint="eastAsia" w:ascii="仿宋" w:hAnsi="仿宋" w:eastAsia="仿宋" w:cs="仿宋_GB2312"/>
                <w:sz w:val="24"/>
                <w:szCs w:val="24"/>
              </w:rPr>
              <w:t>中对所招标产品为节能、环境标志产品清单中的产品，在招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 w:hRule="atLeast"/>
          <w:jc w:val="center"/>
        </w:trPr>
        <w:tc>
          <w:tcPr>
            <w:tcW w:w="824" w:type="dxa"/>
            <w:vAlign w:val="center"/>
          </w:tcPr>
          <w:p>
            <w:pPr>
              <w:spacing w:line="360" w:lineRule="auto"/>
              <w:ind w:firstLine="120" w:firstLineChars="50"/>
              <w:jc w:val="center"/>
              <w:rPr>
                <w:rFonts w:ascii="仿宋" w:hAnsi="仿宋" w:eastAsia="仿宋"/>
                <w:color w:val="000000"/>
                <w:sz w:val="24"/>
                <w:szCs w:val="24"/>
              </w:rPr>
            </w:pPr>
            <w:r>
              <w:rPr>
                <w:rFonts w:hint="eastAsia" w:ascii="仿宋" w:hAnsi="仿宋" w:eastAsia="仿宋"/>
                <w:color w:val="000000"/>
                <w:sz w:val="24"/>
                <w:szCs w:val="24"/>
              </w:rPr>
              <w:t>19</w:t>
            </w:r>
          </w:p>
        </w:tc>
        <w:tc>
          <w:tcPr>
            <w:tcW w:w="8820" w:type="dxa"/>
            <w:vAlign w:val="center"/>
          </w:tcPr>
          <w:p>
            <w:pPr>
              <w:snapToGrid w:val="0"/>
              <w:spacing w:line="360" w:lineRule="auto"/>
              <w:jc w:val="left"/>
              <w:rPr>
                <w:rFonts w:ascii="仿宋" w:hAnsi="仿宋" w:eastAsia="仿宋" w:cs="仿宋_GB2312"/>
                <w:sz w:val="24"/>
                <w:szCs w:val="24"/>
              </w:rPr>
            </w:pPr>
            <w:r>
              <w:rPr>
                <w:rFonts w:hint="eastAsia" w:ascii="仿宋" w:hAnsi="仿宋" w:eastAsia="仿宋" w:cs="仿宋_GB2312"/>
                <w:sz w:val="24"/>
                <w:szCs w:val="24"/>
              </w:rPr>
              <w:t>支持中小企业发展：给予小型、微型企业的价格给予10%-20%的扣除，用扣除后的价格参与评审，本项目具体扣除比例为10%。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2" w:hRule="atLeast"/>
          <w:jc w:val="center"/>
        </w:trPr>
        <w:tc>
          <w:tcPr>
            <w:tcW w:w="824" w:type="dxa"/>
            <w:vAlign w:val="center"/>
          </w:tcPr>
          <w:p>
            <w:pPr>
              <w:spacing w:line="360" w:lineRule="auto"/>
              <w:ind w:firstLine="120" w:firstLineChars="50"/>
              <w:jc w:val="center"/>
              <w:rPr>
                <w:rFonts w:ascii="仿宋" w:hAnsi="仿宋" w:eastAsia="仿宋"/>
                <w:color w:val="000000"/>
                <w:sz w:val="24"/>
                <w:szCs w:val="24"/>
              </w:rPr>
            </w:pPr>
            <w:r>
              <w:rPr>
                <w:rFonts w:hint="eastAsia" w:ascii="仿宋" w:hAnsi="仿宋" w:eastAsia="仿宋"/>
                <w:color w:val="000000"/>
                <w:sz w:val="24"/>
                <w:szCs w:val="24"/>
              </w:rPr>
              <w:t>20</w:t>
            </w:r>
          </w:p>
        </w:tc>
        <w:tc>
          <w:tcPr>
            <w:tcW w:w="8820" w:type="dxa"/>
            <w:vAlign w:val="center"/>
          </w:tcPr>
          <w:p>
            <w:pPr>
              <w:spacing w:line="360" w:lineRule="auto"/>
              <w:jc w:val="left"/>
              <w:rPr>
                <w:rFonts w:ascii="仿宋" w:hAnsi="仿宋" w:eastAsia="仿宋"/>
                <w:sz w:val="24"/>
                <w:szCs w:val="24"/>
              </w:rPr>
            </w:pPr>
            <w:r>
              <w:rPr>
                <w:rFonts w:hint="eastAsia" w:ascii="仿宋" w:hAnsi="仿宋" w:eastAsia="仿宋"/>
                <w:sz w:val="24"/>
                <w:szCs w:val="24"/>
              </w:rPr>
              <w:t>供应商须仔细阅读本招标文件的所有条款。如果在商务、技术等方面有偏离，供应商须在</w:t>
            </w:r>
            <w:r>
              <w:rPr>
                <w:rFonts w:hint="eastAsia" w:ascii="仿宋" w:hAnsi="仿宋" w:eastAsia="仿宋"/>
                <w:color w:val="000000"/>
                <w:sz w:val="24"/>
                <w:szCs w:val="24"/>
              </w:rPr>
              <w:t>投标文件</w:t>
            </w:r>
            <w:r>
              <w:rPr>
                <w:rFonts w:hint="eastAsia" w:ascii="仿宋" w:hAnsi="仿宋" w:eastAsia="仿宋"/>
                <w:sz w:val="24"/>
                <w:szCs w:val="24"/>
              </w:rPr>
              <w:t>“商务偏离表”、“技术规格偏离表”中一一列出。另外，供应商应对字体置黑的条款、注有 “招标无效”字样的条款、以及加注“*”号的条款引起重视，如不满足此类条款的规定，其后果由供应商自行承担。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9" w:hRule="atLeast"/>
          <w:jc w:val="center"/>
        </w:trPr>
        <w:tc>
          <w:tcPr>
            <w:tcW w:w="824" w:type="dxa"/>
            <w:vAlign w:val="center"/>
          </w:tcPr>
          <w:p>
            <w:pPr>
              <w:spacing w:line="360" w:lineRule="auto"/>
              <w:ind w:firstLine="120" w:firstLineChars="50"/>
              <w:jc w:val="center"/>
              <w:rPr>
                <w:rFonts w:ascii="仿宋" w:hAnsi="仿宋" w:eastAsia="仿宋"/>
                <w:color w:val="000000"/>
                <w:sz w:val="24"/>
                <w:szCs w:val="24"/>
              </w:rPr>
            </w:pPr>
            <w:r>
              <w:rPr>
                <w:rFonts w:hint="eastAsia" w:ascii="仿宋" w:hAnsi="仿宋" w:eastAsia="仿宋"/>
                <w:color w:val="000000"/>
                <w:sz w:val="24"/>
                <w:szCs w:val="24"/>
              </w:rPr>
              <w:t>21</w:t>
            </w:r>
          </w:p>
        </w:tc>
        <w:tc>
          <w:tcPr>
            <w:tcW w:w="8820" w:type="dxa"/>
            <w:vAlign w:val="center"/>
          </w:tcPr>
          <w:p>
            <w:pPr>
              <w:spacing w:line="360" w:lineRule="auto"/>
              <w:jc w:val="left"/>
              <w:rPr>
                <w:rFonts w:ascii="仿宋" w:hAnsi="仿宋" w:eastAsia="仿宋"/>
                <w:sz w:val="24"/>
                <w:szCs w:val="24"/>
              </w:rPr>
            </w:pPr>
            <w:r>
              <w:rPr>
                <w:rFonts w:hint="eastAsia" w:ascii="仿宋" w:hAnsi="仿宋" w:eastAsia="仿宋"/>
                <w:sz w:val="24"/>
                <w:szCs w:val="24"/>
              </w:rPr>
              <w:t>在招标过程直至签订合同前的任何时间，如经证实发现供应商提供虚假招标资料或信息骗取成交的，或者未按本招标文件要求提交履约保证金的（如有要求），将取消其成交供应商资格，没收其招标保证金，并报主管部门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37" w:hRule="atLeast"/>
          <w:jc w:val="center"/>
        </w:trPr>
        <w:tc>
          <w:tcPr>
            <w:tcW w:w="824" w:type="dxa"/>
            <w:vAlign w:val="center"/>
          </w:tcPr>
          <w:p>
            <w:pPr>
              <w:spacing w:line="360" w:lineRule="auto"/>
              <w:ind w:firstLine="120" w:firstLineChars="50"/>
              <w:jc w:val="center"/>
              <w:rPr>
                <w:rFonts w:ascii="仿宋" w:hAnsi="仿宋" w:eastAsia="仿宋"/>
                <w:color w:val="000000"/>
                <w:sz w:val="24"/>
                <w:szCs w:val="24"/>
              </w:rPr>
            </w:pPr>
            <w:r>
              <w:rPr>
                <w:rFonts w:hint="eastAsia" w:ascii="仿宋" w:hAnsi="仿宋" w:eastAsia="仿宋"/>
                <w:color w:val="000000"/>
                <w:sz w:val="24"/>
                <w:szCs w:val="24"/>
              </w:rPr>
              <w:t>22</w:t>
            </w:r>
          </w:p>
        </w:tc>
        <w:tc>
          <w:tcPr>
            <w:tcW w:w="8820" w:type="dxa"/>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注：供应商认为招标文件、采购过程、中标或者成交结果使自己的权益受到损害的，可以在知道或者应知其权益受到损害之日起7个工作日内，以书面形式向采购人、采购代理机构提出质疑。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5" w:hRule="atLeast"/>
          <w:jc w:val="center"/>
        </w:trPr>
        <w:tc>
          <w:tcPr>
            <w:tcW w:w="824" w:type="dxa"/>
            <w:vAlign w:val="center"/>
          </w:tcPr>
          <w:p>
            <w:pPr>
              <w:spacing w:line="360" w:lineRule="auto"/>
              <w:ind w:firstLine="120" w:firstLineChars="50"/>
              <w:jc w:val="center"/>
              <w:rPr>
                <w:rFonts w:ascii="仿宋" w:hAnsi="仿宋" w:eastAsia="仿宋"/>
                <w:color w:val="000000"/>
                <w:sz w:val="24"/>
                <w:szCs w:val="24"/>
              </w:rPr>
            </w:pPr>
            <w:r>
              <w:rPr>
                <w:rFonts w:hint="eastAsia" w:ascii="仿宋" w:hAnsi="仿宋" w:eastAsia="仿宋"/>
                <w:color w:val="000000"/>
                <w:sz w:val="24"/>
                <w:szCs w:val="24"/>
              </w:rPr>
              <w:t>23</w:t>
            </w:r>
          </w:p>
        </w:tc>
        <w:tc>
          <w:tcPr>
            <w:tcW w:w="8820" w:type="dxa"/>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1. 成交供应商须向招标代理机构按如下标准和规定交纳代理服务费：</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（1）按发改价格[2011]534号及计价格[2002]1980号文件计算的招标代理服务收费标准，下浮40%。由成交承包商向采购代理机构缴纳。</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（2）代理服务费币种为人民币，以开标当日的中国银行公布的外汇汇率中间价为准。可以用同城转帐支票、汇票、现金、银行电汇或招标代理公司接受的其他工具支付。</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2. 代理服务费的交纳时间：</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在签定商务合同后的3日内以以上任何一种方式一次性向招标代理机构缴清。成交供应商如未按上述规定缴纳代理服务费，其保证金将不予退回。</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人民币（美元）帐户：</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开户名称：中科高盛咨询集团有限公司乌鲁木齐分公司</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开户银行：兴业银行股份有限公司乌鲁木齐南湖路支行</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帐    号：512030100100246905</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行    号：309881002036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7" w:hRule="atLeast"/>
          <w:jc w:val="center"/>
        </w:trPr>
        <w:tc>
          <w:tcPr>
            <w:tcW w:w="824" w:type="dxa"/>
            <w:vAlign w:val="center"/>
          </w:tcPr>
          <w:p>
            <w:pPr>
              <w:spacing w:line="360" w:lineRule="auto"/>
              <w:ind w:firstLine="120" w:firstLineChars="50"/>
              <w:jc w:val="center"/>
              <w:rPr>
                <w:rFonts w:ascii="仿宋" w:hAnsi="仿宋" w:eastAsia="仿宋"/>
                <w:color w:val="000000"/>
                <w:sz w:val="24"/>
                <w:szCs w:val="24"/>
              </w:rPr>
            </w:pPr>
            <w:r>
              <w:rPr>
                <w:rFonts w:hint="eastAsia" w:ascii="仿宋" w:hAnsi="仿宋" w:eastAsia="仿宋"/>
                <w:color w:val="000000"/>
                <w:sz w:val="24"/>
                <w:szCs w:val="24"/>
              </w:rPr>
              <w:t>24</w:t>
            </w:r>
          </w:p>
        </w:tc>
        <w:tc>
          <w:tcPr>
            <w:tcW w:w="8820" w:type="dxa"/>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名称：中科高盛咨询集团有限公司</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地址：新疆乌鲁木齐市水磨沟区绿地中心写字楼智海2008。</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项目联系方式</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项目联系人：付文、何勋</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电话：13999191325、13659965991</w:t>
            </w:r>
          </w:p>
        </w:tc>
      </w:tr>
    </w:tbl>
    <w:p>
      <w:pPr>
        <w:rPr>
          <w:rFonts w:ascii="仿宋" w:hAnsi="仿宋" w:eastAsia="仿宋"/>
        </w:rPr>
      </w:pPr>
    </w:p>
    <w:p>
      <w:pPr>
        <w:pStyle w:val="6"/>
      </w:pPr>
      <w:r>
        <w:br w:type="page"/>
      </w:r>
      <w:bookmarkStart w:id="11" w:name="_Toc56170380"/>
      <w:bookmarkStart w:id="12" w:name="_Toc61184623"/>
      <w:r>
        <w:rPr>
          <w:rFonts w:hint="eastAsia"/>
        </w:rPr>
        <w:t>一、总 则</w:t>
      </w:r>
      <w:bookmarkEnd w:id="11"/>
      <w:bookmarkEnd w:id="12"/>
    </w:p>
    <w:p>
      <w:pPr>
        <w:pStyle w:val="24"/>
        <w:spacing w:line="360" w:lineRule="auto"/>
        <w:ind w:firstLine="562"/>
        <w:jc w:val="both"/>
        <w:rPr>
          <w:rFonts w:ascii="仿宋" w:hAnsi="仿宋" w:eastAsia="仿宋"/>
          <w:sz w:val="28"/>
        </w:rPr>
      </w:pPr>
      <w:r>
        <w:rPr>
          <w:rFonts w:hint="eastAsia" w:ascii="仿宋" w:hAnsi="仿宋" w:eastAsia="仿宋"/>
          <w:sz w:val="28"/>
        </w:rPr>
        <w:t>1. 合格的供应商</w:t>
      </w:r>
    </w:p>
    <w:p>
      <w:pPr>
        <w:pStyle w:val="24"/>
        <w:spacing w:line="360" w:lineRule="auto"/>
        <w:ind w:firstLine="562"/>
        <w:jc w:val="both"/>
        <w:rPr>
          <w:rFonts w:ascii="仿宋" w:hAnsi="仿宋" w:eastAsia="仿宋"/>
          <w:sz w:val="28"/>
        </w:rPr>
      </w:pPr>
      <w:r>
        <w:rPr>
          <w:rFonts w:hint="eastAsia" w:ascii="仿宋" w:hAnsi="仿宋" w:eastAsia="仿宋"/>
          <w:sz w:val="28"/>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招标。（见招标须知前附表</w:t>
      </w:r>
      <w:r>
        <w:rPr>
          <w:rFonts w:ascii="仿宋" w:hAnsi="仿宋" w:eastAsia="仿宋"/>
          <w:sz w:val="28"/>
        </w:rPr>
        <w:t>1</w:t>
      </w:r>
      <w:r>
        <w:rPr>
          <w:rFonts w:hint="eastAsia" w:ascii="仿宋" w:hAnsi="仿宋" w:eastAsia="仿宋"/>
          <w:sz w:val="28"/>
        </w:rPr>
        <w:t>）</w:t>
      </w:r>
    </w:p>
    <w:p>
      <w:pPr>
        <w:pStyle w:val="24"/>
        <w:spacing w:line="360" w:lineRule="auto"/>
        <w:ind w:firstLine="562"/>
        <w:rPr>
          <w:rFonts w:ascii="仿宋" w:hAnsi="仿宋" w:eastAsia="仿宋"/>
          <w:sz w:val="28"/>
        </w:rPr>
      </w:pPr>
      <w:r>
        <w:rPr>
          <w:rFonts w:hint="eastAsia" w:ascii="仿宋" w:hAnsi="仿宋" w:eastAsia="仿宋"/>
          <w:sz w:val="28"/>
        </w:rPr>
        <w:t>1.2 凡参加招标的制造商必须具有国际或国内相应的招标货物制造资质等级，信誉可靠，且应具有履行本招标文件规定的有关义务的能力。</w:t>
      </w:r>
    </w:p>
    <w:p>
      <w:pPr>
        <w:pStyle w:val="24"/>
        <w:spacing w:line="360" w:lineRule="auto"/>
        <w:ind w:firstLine="562"/>
        <w:jc w:val="both"/>
        <w:rPr>
          <w:rFonts w:ascii="仿宋" w:hAnsi="仿宋" w:eastAsia="仿宋"/>
          <w:sz w:val="28"/>
        </w:rPr>
      </w:pPr>
      <w:r>
        <w:rPr>
          <w:rFonts w:hint="eastAsia" w:ascii="仿宋" w:hAnsi="仿宋" w:eastAsia="仿宋"/>
          <w:sz w:val="28"/>
        </w:rPr>
        <w:t>1.3 供应商在本次招标活动中，必须遵循《中华人民共和国政府采购法》及其实施条例（658号令）、《政府采购货物和服务招标投标管理办法》（财政部87号令）、《财政部关于加强政府采购货物和服务项目价格评审管理的通知》财库（2007）2号文的规定。</w:t>
      </w:r>
    </w:p>
    <w:p>
      <w:pPr>
        <w:pStyle w:val="24"/>
        <w:spacing w:line="360" w:lineRule="auto"/>
        <w:ind w:firstLine="562"/>
        <w:jc w:val="both"/>
        <w:rPr>
          <w:rFonts w:ascii="仿宋" w:hAnsi="仿宋" w:eastAsia="仿宋"/>
          <w:sz w:val="28"/>
        </w:rPr>
      </w:pPr>
      <w:r>
        <w:rPr>
          <w:rFonts w:hint="eastAsia" w:ascii="仿宋" w:hAnsi="仿宋" w:eastAsia="仿宋"/>
          <w:sz w:val="28"/>
        </w:rPr>
        <w:t>1.4 本项目不接受联合体投标。</w:t>
      </w:r>
    </w:p>
    <w:p>
      <w:pPr>
        <w:pStyle w:val="24"/>
        <w:spacing w:line="360" w:lineRule="auto"/>
        <w:ind w:firstLine="562"/>
        <w:jc w:val="both"/>
        <w:rPr>
          <w:rFonts w:ascii="仿宋" w:hAnsi="仿宋" w:eastAsia="仿宋"/>
          <w:sz w:val="28"/>
        </w:rPr>
      </w:pPr>
      <w:r>
        <w:rPr>
          <w:rFonts w:hint="eastAsia" w:ascii="仿宋" w:hAnsi="仿宋" w:eastAsia="仿宋"/>
          <w:sz w:val="28"/>
        </w:rPr>
        <w:t>1.5 不符合1.1、1.2、1.3、1.4条款规定的供应商，其招标将被拒绝。</w:t>
      </w:r>
    </w:p>
    <w:p>
      <w:pPr>
        <w:pStyle w:val="24"/>
        <w:spacing w:line="360" w:lineRule="auto"/>
        <w:ind w:firstLine="560"/>
        <w:jc w:val="both"/>
        <w:rPr>
          <w:rFonts w:ascii="仿宋" w:hAnsi="仿宋" w:eastAsia="仿宋"/>
          <w:sz w:val="28"/>
        </w:rPr>
      </w:pPr>
      <w:r>
        <w:rPr>
          <w:rFonts w:hint="eastAsia" w:ascii="仿宋" w:hAnsi="仿宋" w:eastAsia="仿宋"/>
          <w:sz w:val="28"/>
        </w:rPr>
        <w:t>2. 定义</w:t>
      </w:r>
    </w:p>
    <w:p>
      <w:pPr>
        <w:pStyle w:val="24"/>
        <w:spacing w:line="360" w:lineRule="auto"/>
        <w:ind w:firstLine="560"/>
        <w:jc w:val="both"/>
        <w:rPr>
          <w:rFonts w:ascii="仿宋" w:hAnsi="仿宋" w:eastAsia="仿宋"/>
          <w:sz w:val="28"/>
        </w:rPr>
      </w:pPr>
      <w:r>
        <w:rPr>
          <w:rFonts w:hint="eastAsia" w:ascii="仿宋" w:hAnsi="仿宋" w:eastAsia="仿宋"/>
          <w:sz w:val="28"/>
        </w:rPr>
        <w:t>2.1“采购代理机构”系指中科高盛咨询集团有限公司</w:t>
      </w:r>
    </w:p>
    <w:p>
      <w:pPr>
        <w:pStyle w:val="24"/>
        <w:spacing w:line="360" w:lineRule="auto"/>
        <w:ind w:firstLine="560"/>
        <w:jc w:val="both"/>
        <w:rPr>
          <w:rFonts w:ascii="仿宋" w:hAnsi="仿宋" w:eastAsia="仿宋"/>
          <w:sz w:val="28"/>
        </w:rPr>
      </w:pPr>
      <w:r>
        <w:rPr>
          <w:rFonts w:hint="eastAsia" w:ascii="仿宋" w:hAnsi="仿宋" w:eastAsia="仿宋"/>
          <w:sz w:val="28"/>
        </w:rPr>
        <w:t>2.2“供应商”系指向采购代理机构提交投标文件的货物制造商、经销商。</w:t>
      </w:r>
    </w:p>
    <w:p>
      <w:pPr>
        <w:pStyle w:val="24"/>
        <w:spacing w:line="360" w:lineRule="auto"/>
        <w:ind w:firstLine="560"/>
        <w:jc w:val="both"/>
        <w:rPr>
          <w:rFonts w:ascii="仿宋" w:hAnsi="仿宋" w:eastAsia="仿宋"/>
          <w:sz w:val="28"/>
        </w:rPr>
      </w:pPr>
      <w:r>
        <w:rPr>
          <w:rFonts w:hint="eastAsia" w:ascii="仿宋" w:hAnsi="仿宋" w:eastAsia="仿宋"/>
          <w:sz w:val="28"/>
        </w:rPr>
        <w:t>2.3“货物”系指卖方按合同要求，须向买方提供的设计文件、货物、机械、材料、备品、手册及其他技术资料和材料。</w:t>
      </w:r>
    </w:p>
    <w:p>
      <w:pPr>
        <w:pStyle w:val="24"/>
        <w:spacing w:line="360" w:lineRule="auto"/>
        <w:ind w:firstLine="560"/>
        <w:jc w:val="both"/>
        <w:rPr>
          <w:rFonts w:ascii="仿宋" w:hAnsi="仿宋" w:eastAsia="仿宋"/>
          <w:sz w:val="28"/>
        </w:rPr>
      </w:pPr>
      <w:r>
        <w:rPr>
          <w:rFonts w:hint="eastAsia" w:ascii="仿宋" w:hAnsi="仿宋" w:eastAsia="仿宋"/>
          <w:sz w:val="28"/>
        </w:rPr>
        <w:t>2.4“服务”系指按合同规定卖方须承担的运输、装卸、安装调试、技术协助、培训和交付使用后质保期内应履行的义务及售后服务等其他类似的义务。</w:t>
      </w:r>
    </w:p>
    <w:p>
      <w:pPr>
        <w:pStyle w:val="24"/>
        <w:spacing w:line="360" w:lineRule="auto"/>
        <w:ind w:firstLine="560"/>
        <w:jc w:val="both"/>
        <w:rPr>
          <w:rFonts w:ascii="仿宋" w:hAnsi="仿宋" w:eastAsia="仿宋"/>
          <w:sz w:val="28"/>
        </w:rPr>
      </w:pPr>
      <w:r>
        <w:rPr>
          <w:rFonts w:hint="eastAsia" w:ascii="仿宋" w:hAnsi="仿宋" w:eastAsia="仿宋"/>
          <w:sz w:val="28"/>
        </w:rPr>
        <w:t>2.5“卖方”系指提供合同货物和服务的经济实体。本次招标指有关成交供应商。</w:t>
      </w:r>
    </w:p>
    <w:p>
      <w:pPr>
        <w:pStyle w:val="24"/>
        <w:spacing w:line="360" w:lineRule="auto"/>
        <w:ind w:firstLine="561"/>
        <w:jc w:val="both"/>
        <w:rPr>
          <w:rFonts w:ascii="仿宋" w:hAnsi="仿宋" w:eastAsia="仿宋"/>
          <w:sz w:val="28"/>
        </w:rPr>
      </w:pPr>
      <w:r>
        <w:rPr>
          <w:rFonts w:hint="eastAsia" w:ascii="仿宋" w:hAnsi="仿宋" w:eastAsia="仿宋"/>
          <w:sz w:val="28"/>
        </w:rPr>
        <w:t>2.6“买方”系指购买货物和服务的单位，即为本次招标的采购人。</w:t>
      </w:r>
    </w:p>
    <w:p>
      <w:pPr>
        <w:pStyle w:val="24"/>
        <w:spacing w:line="360" w:lineRule="auto"/>
        <w:ind w:firstLine="561"/>
        <w:jc w:val="both"/>
        <w:rPr>
          <w:rFonts w:ascii="仿宋" w:hAnsi="仿宋" w:eastAsia="仿宋"/>
          <w:sz w:val="28"/>
        </w:rPr>
      </w:pPr>
      <w:r>
        <w:rPr>
          <w:rFonts w:hint="eastAsia" w:ascii="仿宋" w:hAnsi="仿宋" w:eastAsia="仿宋"/>
          <w:sz w:val="28"/>
        </w:rPr>
        <w:t xml:space="preserve">2.7“节能产品”或者“环保产品”是指财政部发布的《节能产品政府采购清单》或者《环境标志产品政府采购清单》的产品。 </w:t>
      </w:r>
    </w:p>
    <w:p>
      <w:pPr>
        <w:pStyle w:val="24"/>
        <w:spacing w:line="360" w:lineRule="auto"/>
        <w:ind w:firstLine="561"/>
        <w:rPr>
          <w:rFonts w:ascii="仿宋" w:hAnsi="仿宋" w:eastAsia="仿宋"/>
          <w:sz w:val="28"/>
        </w:rPr>
      </w:pPr>
      <w:r>
        <w:rPr>
          <w:rFonts w:hint="eastAsia" w:ascii="仿宋" w:hAnsi="仿宋" w:eastAsia="仿宋"/>
          <w:sz w:val="28"/>
        </w:rPr>
        <w:t>2.8“进口产品”是指通过中国海关报关验放进入中国境内且产自关境外的产品，详见《关于政府采购进口产品管理有关问题的通知》（财库[2007]119号）、《关于政府采购进口产品管理有关问题的通知财办库》（财库[2008]﹞248号）。</w:t>
      </w:r>
    </w:p>
    <w:p>
      <w:pPr>
        <w:pStyle w:val="24"/>
        <w:spacing w:line="360" w:lineRule="auto"/>
        <w:ind w:firstLine="561"/>
        <w:rPr>
          <w:rFonts w:ascii="仿宋" w:hAnsi="仿宋" w:eastAsia="仿宋"/>
          <w:sz w:val="28"/>
        </w:rPr>
      </w:pPr>
      <w:r>
        <w:rPr>
          <w:rFonts w:hint="eastAsia" w:ascii="仿宋" w:hAnsi="仿宋" w:eastAsia="仿宋"/>
          <w:sz w:val="28"/>
        </w:rPr>
        <w:t>3. 其他要求</w:t>
      </w:r>
    </w:p>
    <w:p>
      <w:pPr>
        <w:pStyle w:val="24"/>
        <w:spacing w:line="360" w:lineRule="auto"/>
        <w:ind w:firstLine="561"/>
        <w:rPr>
          <w:rFonts w:ascii="仿宋" w:hAnsi="仿宋" w:eastAsia="仿宋"/>
          <w:sz w:val="28"/>
        </w:rPr>
      </w:pPr>
      <w:r>
        <w:rPr>
          <w:rFonts w:hint="eastAsia" w:ascii="仿宋" w:hAnsi="仿宋" w:eastAsia="仿宋"/>
          <w:sz w:val="28"/>
        </w:rPr>
        <w:t>3.1 供应商应自行承担所有与本次招标招标有关的费用，而不论招标的结果如何。</w:t>
      </w:r>
    </w:p>
    <w:p>
      <w:pPr>
        <w:pStyle w:val="24"/>
        <w:spacing w:line="360" w:lineRule="auto"/>
        <w:ind w:firstLine="561"/>
        <w:rPr>
          <w:rFonts w:ascii="仿宋" w:hAnsi="仿宋" w:eastAsia="仿宋"/>
          <w:sz w:val="28"/>
        </w:rPr>
      </w:pPr>
      <w:r>
        <w:rPr>
          <w:rFonts w:hint="eastAsia" w:ascii="仿宋" w:hAnsi="仿宋" w:eastAsia="仿宋"/>
          <w:sz w:val="28"/>
        </w:rPr>
        <w:t>3.2 政府采购政策支持</w:t>
      </w:r>
    </w:p>
    <w:p>
      <w:pPr>
        <w:pStyle w:val="24"/>
        <w:spacing w:line="360" w:lineRule="auto"/>
        <w:ind w:firstLine="561"/>
        <w:rPr>
          <w:rFonts w:ascii="仿宋" w:hAnsi="仿宋" w:eastAsia="仿宋"/>
          <w:sz w:val="28"/>
        </w:rPr>
      </w:pPr>
      <w:r>
        <w:rPr>
          <w:rFonts w:hint="eastAsia" w:ascii="仿宋" w:hAnsi="仿宋" w:eastAsia="仿宋"/>
          <w:sz w:val="28"/>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招标须知前附表。</w:t>
      </w:r>
    </w:p>
    <w:p>
      <w:pPr>
        <w:pStyle w:val="24"/>
        <w:spacing w:line="360" w:lineRule="auto"/>
        <w:ind w:firstLine="561"/>
        <w:rPr>
          <w:rFonts w:ascii="仿宋" w:hAnsi="仿宋" w:eastAsia="仿宋"/>
          <w:sz w:val="28"/>
        </w:rPr>
      </w:pPr>
      <w:r>
        <w:rPr>
          <w:rFonts w:hint="eastAsia" w:ascii="仿宋" w:hAnsi="仿宋" w:eastAsia="仿宋"/>
          <w:sz w:val="28"/>
        </w:rPr>
        <w:t>3.2.2 同一项目中部分产品属于优先采购政策的，评审时只对该部分产品的报价实行价格优惠。</w:t>
      </w:r>
    </w:p>
    <w:p>
      <w:pPr>
        <w:pStyle w:val="24"/>
        <w:spacing w:line="360" w:lineRule="auto"/>
        <w:ind w:firstLine="561"/>
        <w:rPr>
          <w:rFonts w:ascii="仿宋" w:hAnsi="仿宋" w:eastAsia="仿宋"/>
          <w:sz w:val="28"/>
        </w:rPr>
      </w:pPr>
      <w:r>
        <w:rPr>
          <w:rFonts w:hint="eastAsia" w:ascii="仿宋" w:hAnsi="仿宋" w:eastAsia="仿宋"/>
          <w:sz w:val="28"/>
        </w:rPr>
        <w:t>3.2.3 为推进政府采购诚信体系建设，供应商在签署相关承诺，提供相关信息前，应认真阅读财政部门相关政策规定。</w:t>
      </w:r>
    </w:p>
    <w:p>
      <w:pPr>
        <w:pStyle w:val="6"/>
        <w:spacing w:line="360" w:lineRule="auto"/>
      </w:pPr>
      <w:bookmarkStart w:id="13" w:name="_Toc56170381"/>
      <w:bookmarkStart w:id="14" w:name="_Toc61184624"/>
      <w:r>
        <w:rPr>
          <w:rFonts w:hint="eastAsia"/>
        </w:rPr>
        <w:t>二、招标文件</w:t>
      </w:r>
      <w:bookmarkEnd w:id="13"/>
      <w:bookmarkEnd w:id="14"/>
    </w:p>
    <w:p>
      <w:pPr>
        <w:pStyle w:val="24"/>
        <w:spacing w:line="360" w:lineRule="auto"/>
        <w:ind w:firstLine="560"/>
        <w:jc w:val="both"/>
        <w:rPr>
          <w:rFonts w:ascii="仿宋" w:hAnsi="仿宋" w:eastAsia="仿宋"/>
          <w:sz w:val="28"/>
        </w:rPr>
      </w:pPr>
      <w:r>
        <w:rPr>
          <w:rFonts w:hint="eastAsia" w:ascii="仿宋" w:hAnsi="仿宋" w:eastAsia="仿宋"/>
          <w:sz w:val="28"/>
        </w:rPr>
        <w:t>4. 招标文件</w:t>
      </w:r>
    </w:p>
    <w:p>
      <w:pPr>
        <w:pStyle w:val="24"/>
        <w:spacing w:line="360" w:lineRule="auto"/>
        <w:ind w:firstLine="560"/>
        <w:jc w:val="both"/>
        <w:rPr>
          <w:rFonts w:ascii="仿宋" w:hAnsi="仿宋" w:eastAsia="仿宋"/>
          <w:sz w:val="28"/>
        </w:rPr>
      </w:pPr>
      <w:r>
        <w:rPr>
          <w:rFonts w:hint="eastAsia" w:ascii="仿宋" w:hAnsi="仿宋" w:eastAsia="仿宋"/>
          <w:sz w:val="28"/>
        </w:rPr>
        <w:t>4.1 招标文件用以阐明所需货物和服务、招标招标程序和合同条款。包括：</w:t>
      </w:r>
    </w:p>
    <w:p>
      <w:pPr>
        <w:pStyle w:val="24"/>
        <w:spacing w:line="360" w:lineRule="auto"/>
        <w:ind w:firstLine="560"/>
        <w:jc w:val="both"/>
        <w:rPr>
          <w:rFonts w:ascii="仿宋" w:hAnsi="仿宋" w:eastAsia="仿宋"/>
          <w:sz w:val="28"/>
          <w:szCs w:val="28"/>
        </w:rPr>
      </w:pPr>
      <w:r>
        <w:rPr>
          <w:rFonts w:ascii="仿宋" w:hAnsi="仿宋" w:eastAsia="仿宋" w:cs="仿宋"/>
          <w:sz w:val="28"/>
          <w:szCs w:val="28"/>
        </w:rPr>
        <w:t xml:space="preserve">4.1.1 </w:t>
      </w:r>
      <w:r>
        <w:rPr>
          <w:rFonts w:hint="eastAsia" w:ascii="仿宋" w:hAnsi="仿宋" w:eastAsia="仿宋" w:cs="仿宋"/>
          <w:sz w:val="28"/>
          <w:szCs w:val="28"/>
        </w:rPr>
        <w:t>招标公告</w:t>
      </w:r>
    </w:p>
    <w:p>
      <w:pPr>
        <w:pStyle w:val="24"/>
        <w:spacing w:line="360" w:lineRule="auto"/>
        <w:ind w:firstLine="560"/>
        <w:jc w:val="both"/>
        <w:rPr>
          <w:rFonts w:ascii="仿宋" w:hAnsi="仿宋" w:eastAsia="仿宋"/>
          <w:sz w:val="28"/>
          <w:szCs w:val="28"/>
        </w:rPr>
      </w:pPr>
      <w:r>
        <w:rPr>
          <w:rFonts w:ascii="仿宋" w:hAnsi="仿宋" w:eastAsia="仿宋" w:cs="仿宋"/>
          <w:sz w:val="28"/>
          <w:szCs w:val="28"/>
        </w:rPr>
        <w:t xml:space="preserve">4.1.2 </w:t>
      </w:r>
      <w:r>
        <w:rPr>
          <w:rFonts w:hint="eastAsia" w:ascii="仿宋" w:hAnsi="仿宋" w:eastAsia="仿宋" w:cs="仿宋"/>
          <w:sz w:val="28"/>
          <w:szCs w:val="28"/>
        </w:rPr>
        <w:t>招标须知</w:t>
      </w:r>
    </w:p>
    <w:p>
      <w:pPr>
        <w:pStyle w:val="24"/>
        <w:spacing w:line="360" w:lineRule="auto"/>
        <w:ind w:firstLine="560"/>
        <w:jc w:val="both"/>
        <w:rPr>
          <w:rFonts w:ascii="仿宋" w:hAnsi="仿宋" w:eastAsia="仿宋"/>
          <w:sz w:val="28"/>
          <w:szCs w:val="28"/>
        </w:rPr>
      </w:pPr>
      <w:r>
        <w:rPr>
          <w:rFonts w:ascii="仿宋" w:hAnsi="仿宋" w:eastAsia="仿宋" w:cs="仿宋"/>
          <w:sz w:val="28"/>
          <w:szCs w:val="28"/>
        </w:rPr>
        <w:t xml:space="preserve">4.1.3 </w:t>
      </w:r>
      <w:r>
        <w:rPr>
          <w:rFonts w:hint="eastAsia" w:ascii="仿宋" w:hAnsi="仿宋" w:eastAsia="仿宋" w:cs="仿宋"/>
          <w:sz w:val="28"/>
          <w:szCs w:val="28"/>
        </w:rPr>
        <w:t>招标内容及技术要求</w:t>
      </w:r>
    </w:p>
    <w:p>
      <w:pPr>
        <w:pStyle w:val="24"/>
        <w:spacing w:line="360" w:lineRule="auto"/>
        <w:ind w:firstLine="560"/>
        <w:jc w:val="both"/>
        <w:rPr>
          <w:rFonts w:ascii="仿宋" w:hAnsi="仿宋" w:eastAsia="仿宋"/>
          <w:sz w:val="28"/>
          <w:szCs w:val="28"/>
        </w:rPr>
      </w:pPr>
      <w:r>
        <w:rPr>
          <w:rFonts w:ascii="仿宋" w:hAnsi="仿宋" w:eastAsia="仿宋" w:cs="仿宋"/>
          <w:sz w:val="28"/>
          <w:szCs w:val="28"/>
        </w:rPr>
        <w:t xml:space="preserve">4.1.4 </w:t>
      </w:r>
      <w:r>
        <w:rPr>
          <w:rFonts w:hint="eastAsia" w:ascii="仿宋" w:hAnsi="仿宋" w:eastAsia="仿宋" w:cs="仿宋"/>
          <w:sz w:val="28"/>
          <w:szCs w:val="28"/>
        </w:rPr>
        <w:t>合同</w:t>
      </w:r>
    </w:p>
    <w:p>
      <w:pPr>
        <w:pStyle w:val="24"/>
        <w:spacing w:line="360" w:lineRule="auto"/>
        <w:ind w:firstLine="560"/>
        <w:jc w:val="both"/>
        <w:rPr>
          <w:rFonts w:ascii="仿宋" w:hAnsi="仿宋" w:eastAsia="仿宋"/>
          <w:sz w:val="28"/>
        </w:rPr>
      </w:pPr>
      <w:r>
        <w:rPr>
          <w:rFonts w:hint="eastAsia" w:ascii="仿宋" w:hAnsi="仿宋" w:eastAsia="仿宋"/>
          <w:sz w:val="28"/>
        </w:rPr>
        <w:t>4.</w:t>
      </w:r>
      <w:r>
        <w:rPr>
          <w:rFonts w:ascii="仿宋" w:hAnsi="仿宋" w:eastAsia="仿宋"/>
          <w:sz w:val="28"/>
        </w:rPr>
        <w:t>1</w:t>
      </w:r>
      <w:r>
        <w:rPr>
          <w:rFonts w:hint="eastAsia" w:ascii="仿宋" w:hAnsi="仿宋" w:eastAsia="仿宋"/>
          <w:sz w:val="28"/>
        </w:rPr>
        <w:t>.</w:t>
      </w:r>
      <w:r>
        <w:rPr>
          <w:rFonts w:ascii="仿宋" w:hAnsi="仿宋" w:eastAsia="仿宋"/>
          <w:sz w:val="28"/>
        </w:rPr>
        <w:t xml:space="preserve">5 </w:t>
      </w:r>
      <w:r>
        <w:rPr>
          <w:rFonts w:hint="eastAsia" w:ascii="仿宋" w:hAnsi="仿宋" w:eastAsia="仿宋"/>
          <w:sz w:val="28"/>
        </w:rPr>
        <w:t>投标文件格式</w:t>
      </w:r>
    </w:p>
    <w:p>
      <w:pPr>
        <w:pStyle w:val="24"/>
        <w:spacing w:line="360" w:lineRule="auto"/>
        <w:ind w:firstLine="560"/>
        <w:jc w:val="both"/>
        <w:rPr>
          <w:rFonts w:ascii="仿宋" w:hAnsi="仿宋" w:eastAsia="仿宋"/>
          <w:sz w:val="28"/>
        </w:rPr>
      </w:pPr>
      <w:r>
        <w:rPr>
          <w:rFonts w:hint="eastAsia" w:ascii="仿宋" w:hAnsi="仿宋" w:eastAsia="仿宋"/>
          <w:sz w:val="28"/>
        </w:rPr>
        <w:t>4.2  供应商应认真阅读招标文件中所有的事项、格式、条款和规范等要求。如果没有按照招标文件要求提交全部资料或者投标文件没有对招标文件做出实质性响应，其招标将被拒绝。</w:t>
      </w:r>
    </w:p>
    <w:p>
      <w:pPr>
        <w:pStyle w:val="24"/>
        <w:spacing w:line="360" w:lineRule="auto"/>
        <w:ind w:firstLine="560"/>
        <w:jc w:val="both"/>
        <w:rPr>
          <w:rFonts w:ascii="仿宋" w:hAnsi="仿宋" w:eastAsia="仿宋"/>
          <w:sz w:val="28"/>
        </w:rPr>
      </w:pPr>
      <w:r>
        <w:rPr>
          <w:rFonts w:hint="eastAsia" w:ascii="仿宋" w:hAnsi="仿宋" w:eastAsia="仿宋"/>
          <w:sz w:val="28"/>
        </w:rPr>
        <w:t>5. 招标文件的澄清和修改</w:t>
      </w:r>
    </w:p>
    <w:p>
      <w:pPr>
        <w:pStyle w:val="24"/>
        <w:spacing w:line="360" w:lineRule="auto"/>
        <w:ind w:firstLine="560"/>
        <w:jc w:val="both"/>
        <w:rPr>
          <w:rFonts w:ascii="仿宋" w:hAnsi="仿宋" w:eastAsia="仿宋"/>
          <w:sz w:val="28"/>
        </w:rPr>
      </w:pPr>
      <w:r>
        <w:rPr>
          <w:rFonts w:hint="eastAsia" w:ascii="仿宋" w:hAnsi="仿宋" w:eastAsia="仿宋"/>
          <w:sz w:val="28"/>
        </w:rPr>
        <w:t>5.1 采购人如需对已发出的招标文件进行必要澄清或者修改的，澄清或者修改的的内容可能影响到投标文件编制的，采购代理机构应当在投标文件递交截止时间十五日前，并以书面形式通知所有获取招标文件的潜在供应商。该澄清或者修改的内容为招标文件的组成部分。</w:t>
      </w:r>
    </w:p>
    <w:p>
      <w:pPr>
        <w:pStyle w:val="6"/>
        <w:spacing w:line="360" w:lineRule="auto"/>
      </w:pPr>
      <w:bookmarkStart w:id="15" w:name="_Toc61184625"/>
      <w:bookmarkStart w:id="16" w:name="_Toc56170382"/>
      <w:r>
        <w:rPr>
          <w:rFonts w:hint="eastAsia"/>
        </w:rPr>
        <w:t>三、投标文件的编制</w:t>
      </w:r>
      <w:bookmarkEnd w:id="15"/>
      <w:bookmarkEnd w:id="16"/>
    </w:p>
    <w:p>
      <w:pPr>
        <w:pStyle w:val="24"/>
        <w:spacing w:line="360" w:lineRule="auto"/>
        <w:ind w:firstLine="560"/>
        <w:jc w:val="both"/>
        <w:rPr>
          <w:rFonts w:ascii="仿宋" w:hAnsi="仿宋" w:eastAsia="仿宋"/>
          <w:sz w:val="28"/>
        </w:rPr>
      </w:pPr>
      <w:r>
        <w:rPr>
          <w:rFonts w:hint="eastAsia" w:ascii="仿宋" w:hAnsi="仿宋" w:eastAsia="仿宋"/>
          <w:sz w:val="28"/>
        </w:rPr>
        <w:t>6. 投标文件的编写</w:t>
      </w:r>
    </w:p>
    <w:p>
      <w:pPr>
        <w:pStyle w:val="24"/>
        <w:spacing w:line="360" w:lineRule="auto"/>
        <w:ind w:firstLine="560"/>
        <w:jc w:val="both"/>
        <w:rPr>
          <w:rFonts w:ascii="仿宋" w:hAnsi="仿宋" w:eastAsia="仿宋"/>
          <w:sz w:val="28"/>
        </w:rPr>
      </w:pPr>
      <w:r>
        <w:rPr>
          <w:rFonts w:hint="eastAsia" w:ascii="仿宋" w:hAnsi="仿宋" w:eastAsia="仿宋"/>
          <w:sz w:val="28"/>
        </w:rPr>
        <w:t>6.1 供应商应仔细阅读招标文件，了解招标文件的要求，并在充分理解招标文件提出的货物技术规范、服务和商务条款后的基础上制作投标文件。</w:t>
      </w:r>
    </w:p>
    <w:p>
      <w:pPr>
        <w:pStyle w:val="24"/>
        <w:spacing w:line="360" w:lineRule="auto"/>
        <w:ind w:firstLine="560"/>
        <w:jc w:val="both"/>
        <w:rPr>
          <w:rFonts w:ascii="仿宋" w:hAnsi="仿宋" w:eastAsia="仿宋"/>
          <w:sz w:val="28"/>
        </w:rPr>
      </w:pPr>
      <w:r>
        <w:rPr>
          <w:rFonts w:hint="eastAsia" w:ascii="仿宋" w:hAnsi="仿宋" w:eastAsia="仿宋"/>
          <w:sz w:val="28"/>
        </w:rPr>
        <w:t>7. 投标文件的语言及计量单位</w:t>
      </w:r>
    </w:p>
    <w:p>
      <w:pPr>
        <w:pStyle w:val="24"/>
        <w:spacing w:line="360" w:lineRule="auto"/>
        <w:ind w:firstLine="560"/>
        <w:jc w:val="both"/>
        <w:rPr>
          <w:rFonts w:ascii="仿宋" w:hAnsi="仿宋" w:eastAsia="仿宋"/>
          <w:sz w:val="28"/>
        </w:rPr>
      </w:pPr>
      <w:r>
        <w:rPr>
          <w:rFonts w:hint="eastAsia" w:ascii="仿宋" w:hAnsi="仿宋" w:eastAsia="仿宋"/>
          <w:sz w:val="28"/>
        </w:rPr>
        <w:t>7.1 供应商的投标文件以及供应商与采购代理机构就有关招标活动的所有来往函电均应使用中文。如果投标文件或与招标有关的其它文件、信件及来往函电以其它语言书写的，供应商应将其译成中文。</w:t>
      </w:r>
    </w:p>
    <w:p>
      <w:pPr>
        <w:pStyle w:val="24"/>
        <w:spacing w:line="360" w:lineRule="auto"/>
        <w:ind w:firstLine="560"/>
        <w:jc w:val="both"/>
        <w:rPr>
          <w:rFonts w:ascii="仿宋" w:hAnsi="仿宋" w:eastAsia="仿宋"/>
          <w:sz w:val="28"/>
        </w:rPr>
      </w:pPr>
      <w:r>
        <w:rPr>
          <w:rFonts w:hint="eastAsia" w:ascii="仿宋" w:hAnsi="仿宋" w:eastAsia="仿宋"/>
          <w:sz w:val="28"/>
        </w:rPr>
        <w:t>7.2 投标文件中所使用的计量单位除招标文件中有特殊规定外，一律使用法定计量单位。</w:t>
      </w:r>
    </w:p>
    <w:p>
      <w:pPr>
        <w:pStyle w:val="24"/>
        <w:spacing w:line="360" w:lineRule="auto"/>
        <w:ind w:firstLine="560"/>
        <w:jc w:val="both"/>
        <w:rPr>
          <w:rFonts w:ascii="仿宋" w:hAnsi="仿宋" w:eastAsia="仿宋"/>
          <w:sz w:val="28"/>
        </w:rPr>
      </w:pPr>
      <w:r>
        <w:rPr>
          <w:rFonts w:hint="eastAsia" w:ascii="仿宋" w:hAnsi="仿宋" w:eastAsia="仿宋"/>
          <w:sz w:val="28"/>
        </w:rPr>
        <w:t>8. 投标文件构成</w:t>
      </w:r>
    </w:p>
    <w:p>
      <w:pPr>
        <w:pStyle w:val="24"/>
        <w:spacing w:line="360" w:lineRule="auto"/>
        <w:ind w:firstLine="560"/>
        <w:jc w:val="both"/>
        <w:rPr>
          <w:rFonts w:ascii="仿宋" w:hAnsi="仿宋" w:eastAsia="仿宋"/>
          <w:sz w:val="28"/>
        </w:rPr>
      </w:pPr>
      <w:r>
        <w:rPr>
          <w:rFonts w:hint="eastAsia" w:ascii="仿宋" w:hAnsi="仿宋" w:eastAsia="仿宋"/>
          <w:sz w:val="28"/>
        </w:rPr>
        <w:t>8.1 供应商编写的投标文件应按下列顺序及内容提供：</w:t>
      </w:r>
    </w:p>
    <w:p>
      <w:pPr>
        <w:pStyle w:val="24"/>
        <w:spacing w:line="360" w:lineRule="auto"/>
        <w:ind w:firstLine="560"/>
        <w:jc w:val="both"/>
        <w:rPr>
          <w:rFonts w:ascii="仿宋" w:hAnsi="仿宋" w:eastAsia="仿宋"/>
          <w:sz w:val="28"/>
        </w:rPr>
      </w:pPr>
      <w:r>
        <w:rPr>
          <w:rFonts w:hint="eastAsia" w:ascii="仿宋" w:hAnsi="仿宋" w:eastAsia="仿宋"/>
          <w:sz w:val="28"/>
        </w:rPr>
        <w:t>8.1.1 资格证明文件（以下文件必须在有效期内）</w:t>
      </w:r>
    </w:p>
    <w:p>
      <w:pPr>
        <w:pStyle w:val="24"/>
        <w:spacing w:line="360" w:lineRule="auto"/>
        <w:ind w:firstLine="562"/>
        <w:jc w:val="both"/>
        <w:rPr>
          <w:rFonts w:ascii="仿宋" w:hAnsi="仿宋" w:eastAsia="仿宋"/>
          <w:bCs/>
          <w:sz w:val="28"/>
        </w:rPr>
      </w:pPr>
      <w:r>
        <w:rPr>
          <w:rFonts w:hint="eastAsia" w:ascii="仿宋" w:hAnsi="仿宋" w:eastAsia="仿宋"/>
          <w:sz w:val="28"/>
        </w:rPr>
        <w:t>（1） 见招标须知前附表序号</w:t>
      </w:r>
      <w:r>
        <w:rPr>
          <w:rFonts w:ascii="仿宋" w:hAnsi="仿宋" w:eastAsia="仿宋"/>
          <w:sz w:val="28"/>
        </w:rPr>
        <w:t>6</w:t>
      </w:r>
      <w:r>
        <w:rPr>
          <w:rFonts w:hint="eastAsia" w:ascii="仿宋" w:hAnsi="仿宋" w:eastAsia="仿宋"/>
          <w:sz w:val="28"/>
        </w:rPr>
        <w:t>——资格证明文件</w:t>
      </w:r>
    </w:p>
    <w:p>
      <w:pPr>
        <w:pStyle w:val="24"/>
        <w:spacing w:line="360" w:lineRule="auto"/>
        <w:ind w:firstLine="562"/>
        <w:jc w:val="both"/>
        <w:rPr>
          <w:rFonts w:ascii="仿宋" w:hAnsi="仿宋" w:eastAsia="仿宋"/>
        </w:rPr>
      </w:pPr>
      <w:r>
        <w:rPr>
          <w:rFonts w:hint="eastAsia" w:ascii="仿宋" w:hAnsi="仿宋" w:eastAsia="仿宋"/>
          <w:sz w:val="28"/>
          <w:szCs w:val="22"/>
        </w:rPr>
        <w:t xml:space="preserve">（2） </w:t>
      </w:r>
      <w:r>
        <w:rPr>
          <w:rFonts w:hint="eastAsia" w:ascii="仿宋" w:hAnsi="仿宋" w:eastAsia="仿宋"/>
          <w:sz w:val="28"/>
        </w:rPr>
        <w:t>供应商认为有必要提供的声明及文件资料。</w:t>
      </w:r>
    </w:p>
    <w:p>
      <w:pPr>
        <w:pStyle w:val="24"/>
        <w:spacing w:line="360" w:lineRule="auto"/>
        <w:ind w:firstLine="562"/>
        <w:jc w:val="both"/>
        <w:rPr>
          <w:rFonts w:ascii="仿宋" w:hAnsi="仿宋" w:eastAsia="仿宋"/>
          <w:sz w:val="28"/>
        </w:rPr>
      </w:pPr>
      <w:r>
        <w:rPr>
          <w:rFonts w:hint="eastAsia" w:ascii="仿宋" w:hAnsi="仿宋" w:eastAsia="仿宋"/>
          <w:sz w:val="28"/>
        </w:rPr>
        <w:t>8.1.2 商务投标文件</w:t>
      </w:r>
    </w:p>
    <w:p>
      <w:pPr>
        <w:pStyle w:val="24"/>
        <w:spacing w:line="360" w:lineRule="auto"/>
        <w:ind w:firstLine="560"/>
        <w:jc w:val="both"/>
        <w:rPr>
          <w:rFonts w:ascii="仿宋" w:hAnsi="仿宋" w:eastAsia="仿宋"/>
          <w:sz w:val="28"/>
        </w:rPr>
      </w:pPr>
      <w:r>
        <w:rPr>
          <w:rFonts w:hint="eastAsia" w:ascii="仿宋" w:hAnsi="仿宋" w:eastAsia="仿宋"/>
          <w:sz w:val="28"/>
        </w:rPr>
        <w:t>（1） 投标文件</w:t>
      </w:r>
    </w:p>
    <w:p>
      <w:pPr>
        <w:pStyle w:val="24"/>
        <w:spacing w:line="360" w:lineRule="auto"/>
        <w:ind w:firstLine="562"/>
        <w:jc w:val="both"/>
        <w:rPr>
          <w:rFonts w:ascii="仿宋" w:hAnsi="仿宋" w:eastAsia="仿宋"/>
          <w:sz w:val="28"/>
        </w:rPr>
      </w:pPr>
      <w:r>
        <w:rPr>
          <w:rFonts w:hint="eastAsia" w:ascii="仿宋" w:hAnsi="仿宋" w:eastAsia="仿宋"/>
          <w:sz w:val="28"/>
        </w:rPr>
        <w:t>（2） 招标一览表</w:t>
      </w:r>
    </w:p>
    <w:p>
      <w:pPr>
        <w:pStyle w:val="24"/>
        <w:spacing w:line="360" w:lineRule="auto"/>
        <w:ind w:firstLine="562" w:firstLineChars="201"/>
        <w:jc w:val="both"/>
        <w:rPr>
          <w:rFonts w:ascii="仿宋" w:hAnsi="仿宋" w:eastAsia="仿宋"/>
          <w:sz w:val="28"/>
        </w:rPr>
      </w:pPr>
      <w:r>
        <w:rPr>
          <w:rFonts w:hint="eastAsia" w:ascii="仿宋" w:hAnsi="仿宋" w:eastAsia="仿宋"/>
          <w:sz w:val="28"/>
        </w:rPr>
        <w:t>（3） 招标报价明细表</w:t>
      </w:r>
    </w:p>
    <w:p>
      <w:pPr>
        <w:pStyle w:val="24"/>
        <w:spacing w:line="360" w:lineRule="auto"/>
        <w:ind w:firstLine="548" w:firstLineChars="196"/>
        <w:jc w:val="both"/>
        <w:rPr>
          <w:rFonts w:ascii="仿宋" w:hAnsi="仿宋" w:eastAsia="仿宋"/>
          <w:sz w:val="28"/>
        </w:rPr>
      </w:pPr>
      <w:r>
        <w:rPr>
          <w:rFonts w:hint="eastAsia" w:ascii="仿宋" w:hAnsi="仿宋" w:eastAsia="仿宋"/>
          <w:sz w:val="28"/>
        </w:rPr>
        <w:t>（4） 商务条款偏离表</w:t>
      </w:r>
    </w:p>
    <w:p>
      <w:pPr>
        <w:pStyle w:val="24"/>
        <w:spacing w:line="360" w:lineRule="auto"/>
        <w:ind w:firstLine="548" w:firstLineChars="196"/>
        <w:jc w:val="both"/>
        <w:rPr>
          <w:rFonts w:ascii="仿宋" w:hAnsi="仿宋" w:eastAsia="仿宋"/>
          <w:sz w:val="28"/>
        </w:rPr>
      </w:pPr>
      <w:r>
        <w:rPr>
          <w:rFonts w:hint="eastAsia" w:ascii="仿宋" w:hAnsi="仿宋" w:eastAsia="仿宋"/>
          <w:sz w:val="28"/>
        </w:rPr>
        <w:t>（5） 近三年相同产品销售业绩（须提供加盖企业公章的合同或者中标（成交）通知书复印件）</w:t>
      </w:r>
    </w:p>
    <w:p>
      <w:pPr>
        <w:pStyle w:val="24"/>
        <w:spacing w:line="360" w:lineRule="auto"/>
        <w:ind w:firstLine="548" w:firstLineChars="196"/>
        <w:jc w:val="both"/>
        <w:rPr>
          <w:rFonts w:ascii="仿宋" w:hAnsi="仿宋" w:eastAsia="仿宋"/>
          <w:sz w:val="28"/>
        </w:rPr>
      </w:pPr>
      <w:r>
        <w:rPr>
          <w:rFonts w:hint="eastAsia" w:ascii="仿宋" w:hAnsi="仿宋" w:eastAsia="仿宋"/>
          <w:sz w:val="28"/>
        </w:rPr>
        <w:t>（6） 售后服务承诺书及培训计划</w:t>
      </w:r>
    </w:p>
    <w:p>
      <w:pPr>
        <w:pStyle w:val="23"/>
        <w:spacing w:line="360" w:lineRule="auto"/>
        <w:ind w:firstLine="560"/>
        <w:rPr>
          <w:rFonts w:ascii="仿宋" w:hAnsi="仿宋" w:eastAsia="仿宋"/>
          <w:color w:val="000000"/>
        </w:rPr>
      </w:pPr>
      <w:r>
        <w:rPr>
          <w:rFonts w:hint="eastAsia" w:ascii="仿宋" w:hAnsi="仿宋" w:eastAsia="仿宋"/>
          <w:bCs/>
          <w:color w:val="000000"/>
        </w:rPr>
        <w:t>（7） 若为进口产品（含主要配件），须提供</w:t>
      </w:r>
      <w:r>
        <w:rPr>
          <w:rFonts w:hint="eastAsia" w:ascii="仿宋" w:hAnsi="仿宋" w:eastAsia="仿宋"/>
          <w:color w:val="000000"/>
          <w:szCs w:val="21"/>
        </w:rPr>
        <w:t>报关单和检验检疫证；</w:t>
      </w:r>
      <w:r>
        <w:rPr>
          <w:rFonts w:hint="eastAsia" w:ascii="仿宋" w:hAnsi="仿宋" w:eastAsia="仿宋"/>
          <w:bCs/>
          <w:color w:val="000000"/>
        </w:rPr>
        <w:t>所需的进口机电证（如需要），报关、商检、计量等相关事宜，由供应商负责办理，费用由供应商承担。</w:t>
      </w:r>
      <w:r>
        <w:rPr>
          <w:rFonts w:hint="eastAsia" w:ascii="仿宋" w:hAnsi="仿宋" w:eastAsia="仿宋"/>
          <w:color w:val="000000"/>
        </w:rPr>
        <w:t xml:space="preserve"> </w:t>
      </w:r>
    </w:p>
    <w:p>
      <w:pPr>
        <w:pStyle w:val="23"/>
        <w:spacing w:line="360" w:lineRule="auto"/>
        <w:ind w:firstLine="560"/>
        <w:rPr>
          <w:rFonts w:ascii="仿宋" w:hAnsi="仿宋" w:eastAsia="仿宋"/>
          <w:color w:val="000000"/>
        </w:rPr>
      </w:pPr>
      <w:r>
        <w:rPr>
          <w:rFonts w:hint="eastAsia" w:ascii="仿宋" w:hAnsi="仿宋" w:eastAsia="仿宋"/>
          <w:color w:val="000000"/>
        </w:rPr>
        <w:t>（8） 供应商认为有必要提供的声明及文件资料</w:t>
      </w:r>
    </w:p>
    <w:p>
      <w:pPr>
        <w:pStyle w:val="24"/>
        <w:spacing w:line="360" w:lineRule="auto"/>
        <w:ind w:firstLine="560"/>
        <w:jc w:val="both"/>
        <w:rPr>
          <w:rFonts w:ascii="仿宋" w:hAnsi="仿宋" w:eastAsia="仿宋"/>
          <w:sz w:val="28"/>
        </w:rPr>
      </w:pPr>
      <w:r>
        <w:rPr>
          <w:rFonts w:hint="eastAsia" w:ascii="仿宋" w:hAnsi="仿宋" w:eastAsia="仿宋"/>
          <w:sz w:val="28"/>
        </w:rPr>
        <w:t>8.1.3 投标文件</w:t>
      </w:r>
    </w:p>
    <w:p>
      <w:pPr>
        <w:pStyle w:val="24"/>
        <w:spacing w:line="360" w:lineRule="auto"/>
        <w:ind w:firstLine="420" w:firstLineChars="150"/>
        <w:jc w:val="both"/>
        <w:rPr>
          <w:rFonts w:ascii="仿宋" w:hAnsi="仿宋" w:eastAsia="仿宋"/>
          <w:sz w:val="28"/>
        </w:rPr>
      </w:pPr>
      <w:r>
        <w:rPr>
          <w:rFonts w:hint="eastAsia" w:ascii="仿宋" w:hAnsi="仿宋" w:eastAsia="仿宋"/>
          <w:sz w:val="28"/>
        </w:rPr>
        <w:t>（1） 产品的详细技术参数说明</w:t>
      </w:r>
    </w:p>
    <w:p>
      <w:pPr>
        <w:pStyle w:val="24"/>
        <w:snapToGrid w:val="0"/>
        <w:spacing w:line="360" w:lineRule="auto"/>
        <w:ind w:firstLine="560" w:firstLineChars="200"/>
        <w:jc w:val="both"/>
        <w:rPr>
          <w:rFonts w:ascii="仿宋" w:hAnsi="仿宋" w:eastAsia="仿宋"/>
          <w:sz w:val="28"/>
        </w:rPr>
      </w:pPr>
      <w:r>
        <w:rPr>
          <w:rFonts w:hint="eastAsia" w:ascii="仿宋" w:hAnsi="仿宋" w:eastAsia="仿宋"/>
          <w:sz w:val="28"/>
        </w:rPr>
        <w:t>供应商所投产品必须提供国家权威部门出具的完整检验报告作为其技术指标的支持资料（国家无需检测的设备可以不提供检验报告）。对未提供技术支持资料的，或参数与其提供的技术支持资料不一致的，均视为偏离。</w:t>
      </w:r>
    </w:p>
    <w:p>
      <w:pPr>
        <w:pStyle w:val="24"/>
        <w:snapToGrid w:val="0"/>
        <w:spacing w:line="360" w:lineRule="auto"/>
        <w:ind w:firstLine="560" w:firstLineChars="200"/>
        <w:rPr>
          <w:rFonts w:ascii="仿宋" w:hAnsi="仿宋" w:eastAsia="仿宋"/>
          <w:sz w:val="28"/>
        </w:rPr>
      </w:pPr>
      <w:r>
        <w:rPr>
          <w:rFonts w:hint="eastAsia" w:ascii="仿宋" w:hAnsi="仿宋" w:eastAsia="仿宋"/>
          <w:sz w:val="28"/>
        </w:rPr>
        <w:t>（2） 技术规格偏离表（供应商须对第三章所有技术参数条款逐条列明是否响应，如有偏离，须一一列明）</w:t>
      </w:r>
    </w:p>
    <w:p>
      <w:pPr>
        <w:pStyle w:val="24"/>
        <w:snapToGrid w:val="0"/>
        <w:spacing w:line="360" w:lineRule="auto"/>
        <w:ind w:firstLine="560" w:firstLineChars="200"/>
        <w:jc w:val="both"/>
        <w:rPr>
          <w:rFonts w:ascii="仿宋" w:hAnsi="仿宋" w:eastAsia="仿宋"/>
          <w:sz w:val="28"/>
        </w:rPr>
      </w:pPr>
      <w:r>
        <w:rPr>
          <w:rFonts w:hint="eastAsia" w:ascii="仿宋" w:hAnsi="仿宋" w:eastAsia="仿宋"/>
          <w:sz w:val="28"/>
        </w:rPr>
        <w:t>（3） 备品备件及专用工具清单</w:t>
      </w:r>
    </w:p>
    <w:p>
      <w:pPr>
        <w:pStyle w:val="24"/>
        <w:snapToGrid w:val="0"/>
        <w:spacing w:line="360" w:lineRule="auto"/>
        <w:ind w:firstLine="560" w:firstLineChars="200"/>
        <w:jc w:val="both"/>
        <w:rPr>
          <w:rFonts w:ascii="仿宋" w:hAnsi="仿宋" w:eastAsia="仿宋"/>
          <w:sz w:val="28"/>
        </w:rPr>
      </w:pPr>
      <w:r>
        <w:rPr>
          <w:rFonts w:hint="eastAsia" w:ascii="仿宋" w:hAnsi="仿宋" w:eastAsia="仿宋"/>
          <w:sz w:val="28"/>
        </w:rPr>
        <w:t>（4） 产品样册、说明书、图纸技术资料及产品质量获奖荣誉证书复印件</w:t>
      </w:r>
    </w:p>
    <w:p>
      <w:pPr>
        <w:pStyle w:val="24"/>
        <w:snapToGrid w:val="0"/>
        <w:spacing w:line="360" w:lineRule="auto"/>
        <w:ind w:firstLine="560" w:firstLineChars="200"/>
        <w:jc w:val="both"/>
        <w:rPr>
          <w:rFonts w:ascii="仿宋" w:hAnsi="仿宋" w:eastAsia="仿宋"/>
          <w:sz w:val="28"/>
        </w:rPr>
      </w:pPr>
      <w:r>
        <w:rPr>
          <w:rFonts w:hint="eastAsia" w:ascii="仿宋" w:hAnsi="仿宋" w:eastAsia="仿宋"/>
          <w:sz w:val="28"/>
        </w:rPr>
        <w:t>（5） 供应商认为有必要提供的声明及完整文件或支持资料。</w:t>
      </w:r>
    </w:p>
    <w:p>
      <w:pPr>
        <w:pStyle w:val="24"/>
        <w:snapToGrid w:val="0"/>
        <w:spacing w:line="360" w:lineRule="auto"/>
        <w:ind w:firstLine="560" w:firstLineChars="200"/>
        <w:jc w:val="both"/>
        <w:rPr>
          <w:rFonts w:ascii="仿宋" w:hAnsi="仿宋" w:eastAsia="仿宋"/>
          <w:sz w:val="28"/>
        </w:rPr>
      </w:pPr>
      <w:r>
        <w:rPr>
          <w:rFonts w:hint="eastAsia" w:ascii="仿宋" w:hAnsi="仿宋" w:eastAsia="仿宋"/>
          <w:sz w:val="28"/>
        </w:rPr>
        <w:t>8.2 第8.1.1条中第（1）项、第8.1.2条中第（1） （2） （3） （4） （6）项、第8.1.3条中第（1） （2） （3）项为必备项，供应商在投标文件中必须提供有关材料，如果缺项，或不符合要求，将导致招标无效。</w:t>
      </w:r>
    </w:p>
    <w:p>
      <w:pPr>
        <w:pStyle w:val="24"/>
        <w:snapToGrid w:val="0"/>
        <w:spacing w:line="360" w:lineRule="auto"/>
        <w:ind w:firstLine="560" w:firstLineChars="200"/>
        <w:jc w:val="both"/>
        <w:rPr>
          <w:rFonts w:ascii="仿宋" w:hAnsi="仿宋" w:eastAsia="仿宋"/>
          <w:sz w:val="28"/>
        </w:rPr>
      </w:pPr>
      <w:r>
        <w:rPr>
          <w:rFonts w:hint="eastAsia" w:ascii="仿宋" w:hAnsi="仿宋" w:eastAsia="仿宋"/>
          <w:sz w:val="28"/>
        </w:rPr>
        <w:t>8.3 供应商在招标中违反国家有关法律法规的强制性规定的，其招标按未满足招标文件实质性要求处理。</w:t>
      </w:r>
    </w:p>
    <w:p>
      <w:pPr>
        <w:pStyle w:val="24"/>
        <w:snapToGrid w:val="0"/>
        <w:spacing w:line="360" w:lineRule="auto"/>
        <w:ind w:firstLine="560" w:firstLineChars="200"/>
        <w:jc w:val="both"/>
        <w:rPr>
          <w:rFonts w:ascii="仿宋" w:hAnsi="仿宋" w:eastAsia="仿宋"/>
          <w:sz w:val="28"/>
        </w:rPr>
      </w:pPr>
      <w:r>
        <w:rPr>
          <w:rFonts w:hint="eastAsia" w:ascii="仿宋" w:hAnsi="仿宋" w:eastAsia="仿宋"/>
          <w:sz w:val="28"/>
        </w:rPr>
        <w:t>9. 投标文件格式</w:t>
      </w:r>
    </w:p>
    <w:p>
      <w:pPr>
        <w:pStyle w:val="24"/>
        <w:snapToGrid w:val="0"/>
        <w:spacing w:line="360" w:lineRule="auto"/>
        <w:ind w:firstLine="560" w:firstLineChars="200"/>
        <w:jc w:val="both"/>
        <w:rPr>
          <w:rFonts w:ascii="仿宋" w:hAnsi="仿宋" w:eastAsia="仿宋"/>
          <w:sz w:val="28"/>
        </w:rPr>
      </w:pPr>
      <w:r>
        <w:rPr>
          <w:rFonts w:hint="eastAsia" w:ascii="仿宋" w:hAnsi="仿宋" w:eastAsia="仿宋"/>
          <w:sz w:val="28"/>
        </w:rPr>
        <w:t>9.1 供应商应按招标文件提供的格式完整地填写所提供的货物、服务、数量及价格。</w:t>
      </w:r>
    </w:p>
    <w:p>
      <w:pPr>
        <w:pStyle w:val="24"/>
        <w:spacing w:line="360" w:lineRule="auto"/>
        <w:ind w:firstLine="560"/>
        <w:jc w:val="both"/>
        <w:rPr>
          <w:rFonts w:ascii="仿宋" w:hAnsi="仿宋" w:eastAsia="仿宋"/>
          <w:sz w:val="28"/>
        </w:rPr>
      </w:pPr>
      <w:r>
        <w:rPr>
          <w:rFonts w:hint="eastAsia" w:ascii="仿宋" w:hAnsi="仿宋" w:eastAsia="仿宋"/>
          <w:sz w:val="28"/>
        </w:rPr>
        <w:t>10. 招标报价</w:t>
      </w:r>
    </w:p>
    <w:p>
      <w:pPr>
        <w:pStyle w:val="24"/>
        <w:spacing w:line="360" w:lineRule="auto"/>
        <w:ind w:firstLine="560"/>
        <w:jc w:val="both"/>
        <w:rPr>
          <w:rFonts w:ascii="仿宋" w:hAnsi="仿宋" w:eastAsia="仿宋"/>
          <w:sz w:val="28"/>
        </w:rPr>
      </w:pPr>
      <w:r>
        <w:rPr>
          <w:rFonts w:hint="eastAsia" w:ascii="仿宋" w:hAnsi="仿宋" w:eastAsia="仿宋"/>
          <w:sz w:val="28"/>
        </w:rPr>
        <w:t>10.1 供应商应按招标文件所附的《招标一览表》和《投标产品名称、数量、规格及报价明细表》中的项目，标明拟提供货物和服务的单价和总价。如单价和总价不符，以单价累计为准。</w:t>
      </w:r>
    </w:p>
    <w:p>
      <w:pPr>
        <w:pStyle w:val="24"/>
        <w:spacing w:line="360" w:lineRule="auto"/>
        <w:ind w:firstLine="567"/>
        <w:jc w:val="both"/>
        <w:rPr>
          <w:rFonts w:ascii="仿宋" w:hAnsi="仿宋" w:eastAsia="仿宋"/>
          <w:sz w:val="28"/>
        </w:rPr>
      </w:pPr>
      <w:r>
        <w:rPr>
          <w:rFonts w:hint="eastAsia" w:ascii="仿宋" w:hAnsi="仿宋" w:eastAsia="仿宋"/>
          <w:sz w:val="28"/>
        </w:rPr>
        <w:t>10.2 本标只接受一个报价，不接受备选方案，但不拒绝优惠声明，优惠声明需在《招标一览表》备注中填写。</w:t>
      </w:r>
    </w:p>
    <w:p>
      <w:pPr>
        <w:pStyle w:val="24"/>
        <w:spacing w:line="360" w:lineRule="auto"/>
        <w:ind w:firstLine="562"/>
        <w:rPr>
          <w:rFonts w:ascii="仿宋" w:hAnsi="仿宋" w:eastAsia="仿宋"/>
          <w:sz w:val="28"/>
        </w:rPr>
      </w:pPr>
      <w:r>
        <w:rPr>
          <w:rFonts w:hint="eastAsia" w:ascii="仿宋" w:hAnsi="仿宋" w:eastAsia="仿宋"/>
          <w:sz w:val="28"/>
        </w:rPr>
        <w:t>10.3 供应商应按招标文件的要求对有关设计、货物及其配套服务的全部内容进行报价。招标报价应包括：</w:t>
      </w:r>
    </w:p>
    <w:p>
      <w:pPr>
        <w:pStyle w:val="24"/>
        <w:spacing w:line="360" w:lineRule="auto"/>
        <w:ind w:firstLine="560"/>
        <w:jc w:val="both"/>
        <w:rPr>
          <w:rFonts w:ascii="仿宋" w:hAnsi="仿宋" w:eastAsia="仿宋"/>
          <w:sz w:val="28"/>
        </w:rPr>
      </w:pPr>
      <w:r>
        <w:rPr>
          <w:rFonts w:hint="eastAsia" w:ascii="仿宋" w:hAnsi="仿宋" w:eastAsia="仿宋"/>
          <w:sz w:val="28"/>
        </w:rPr>
        <w:t>10.3.1 外购、外协、配套件、原材料及功能设计生产制造、检验、油漆、包装、保险、利税、管理、备品备件、专用工具、运杂、安装调试、人员培训等费用。</w:t>
      </w:r>
    </w:p>
    <w:p>
      <w:pPr>
        <w:pStyle w:val="24"/>
        <w:spacing w:line="360" w:lineRule="auto"/>
        <w:ind w:firstLine="560"/>
        <w:jc w:val="both"/>
        <w:rPr>
          <w:rFonts w:ascii="仿宋" w:hAnsi="仿宋" w:eastAsia="仿宋"/>
          <w:sz w:val="28"/>
        </w:rPr>
      </w:pPr>
      <w:r>
        <w:rPr>
          <w:rFonts w:hint="eastAsia" w:ascii="仿宋" w:hAnsi="仿宋" w:eastAsia="仿宋"/>
          <w:sz w:val="28"/>
        </w:rPr>
        <w:t>10.3.2 招标文件中特别要求的零、备件费用。</w:t>
      </w:r>
    </w:p>
    <w:p>
      <w:pPr>
        <w:pStyle w:val="24"/>
        <w:spacing w:line="360" w:lineRule="auto"/>
        <w:ind w:firstLine="560"/>
        <w:jc w:val="both"/>
        <w:rPr>
          <w:rFonts w:ascii="仿宋" w:hAnsi="仿宋" w:eastAsia="仿宋"/>
          <w:sz w:val="28"/>
        </w:rPr>
      </w:pPr>
      <w:r>
        <w:rPr>
          <w:rFonts w:hint="eastAsia" w:ascii="仿宋" w:hAnsi="仿宋" w:eastAsia="仿宋"/>
          <w:sz w:val="28"/>
        </w:rPr>
        <w:t>10.3.3 分项报价明细表中特别要求的安装、调试、运输及培训费用。</w:t>
      </w:r>
    </w:p>
    <w:p>
      <w:pPr>
        <w:pStyle w:val="24"/>
        <w:spacing w:line="360" w:lineRule="auto"/>
        <w:ind w:firstLine="560"/>
        <w:jc w:val="both"/>
        <w:rPr>
          <w:rFonts w:ascii="仿宋" w:hAnsi="仿宋" w:eastAsia="仿宋"/>
          <w:sz w:val="28"/>
        </w:rPr>
      </w:pPr>
      <w:r>
        <w:rPr>
          <w:rFonts w:hint="eastAsia" w:ascii="仿宋" w:hAnsi="仿宋" w:eastAsia="仿宋"/>
          <w:sz w:val="28"/>
        </w:rPr>
        <w:t>10.3.4 所需的进口机电证（如需要），报关、商检、计量等相关事宜，由供应商负责办理，费用由供应商承担。</w:t>
      </w:r>
    </w:p>
    <w:p>
      <w:pPr>
        <w:pStyle w:val="24"/>
        <w:spacing w:line="360" w:lineRule="auto"/>
        <w:ind w:firstLine="560"/>
        <w:jc w:val="both"/>
        <w:rPr>
          <w:rFonts w:ascii="仿宋" w:hAnsi="仿宋" w:eastAsia="仿宋"/>
          <w:sz w:val="28"/>
        </w:rPr>
      </w:pPr>
      <w:r>
        <w:rPr>
          <w:rFonts w:hint="eastAsia" w:ascii="仿宋" w:hAnsi="仿宋" w:eastAsia="仿宋"/>
          <w:sz w:val="28"/>
        </w:rPr>
        <w:t>11. 招标货币</w:t>
      </w:r>
    </w:p>
    <w:p>
      <w:pPr>
        <w:pStyle w:val="24"/>
        <w:spacing w:line="360" w:lineRule="auto"/>
        <w:ind w:firstLine="560"/>
        <w:jc w:val="both"/>
        <w:rPr>
          <w:rFonts w:ascii="仿宋" w:hAnsi="仿宋" w:eastAsia="仿宋"/>
          <w:sz w:val="28"/>
        </w:rPr>
      </w:pPr>
      <w:r>
        <w:rPr>
          <w:rFonts w:hint="eastAsia" w:ascii="仿宋" w:hAnsi="仿宋" w:eastAsia="仿宋"/>
          <w:sz w:val="28"/>
        </w:rPr>
        <w:t>11.1 本次招标货币为人民币。</w:t>
      </w:r>
    </w:p>
    <w:p>
      <w:pPr>
        <w:pStyle w:val="24"/>
        <w:spacing w:line="360" w:lineRule="auto"/>
        <w:ind w:firstLine="560"/>
        <w:jc w:val="both"/>
        <w:rPr>
          <w:rFonts w:ascii="仿宋" w:hAnsi="仿宋" w:eastAsia="仿宋"/>
          <w:sz w:val="28"/>
        </w:rPr>
      </w:pPr>
      <w:r>
        <w:rPr>
          <w:rFonts w:hint="eastAsia" w:ascii="仿宋" w:hAnsi="仿宋" w:eastAsia="仿宋"/>
          <w:sz w:val="28"/>
        </w:rPr>
        <w:t>12. 证明供应商合格和资格的文件</w:t>
      </w:r>
    </w:p>
    <w:p>
      <w:pPr>
        <w:pStyle w:val="24"/>
        <w:spacing w:line="360" w:lineRule="auto"/>
        <w:ind w:firstLine="560"/>
        <w:jc w:val="both"/>
        <w:rPr>
          <w:rFonts w:ascii="仿宋" w:hAnsi="仿宋" w:eastAsia="仿宋"/>
          <w:sz w:val="28"/>
        </w:rPr>
      </w:pPr>
      <w:r>
        <w:rPr>
          <w:rFonts w:hint="eastAsia" w:ascii="仿宋" w:hAnsi="仿宋" w:eastAsia="仿宋"/>
          <w:sz w:val="28"/>
        </w:rPr>
        <w:t>12.1 按照第8条规定，供应商应提交证明其有资格参加招标和一旦其招标被接受则有能力履行合同的文件，并作为其投标文件的一部分。</w:t>
      </w:r>
    </w:p>
    <w:p>
      <w:pPr>
        <w:pStyle w:val="24"/>
        <w:spacing w:line="360" w:lineRule="auto"/>
        <w:ind w:firstLine="560"/>
        <w:jc w:val="both"/>
        <w:rPr>
          <w:rFonts w:ascii="仿宋" w:hAnsi="仿宋" w:eastAsia="仿宋"/>
          <w:sz w:val="28"/>
        </w:rPr>
      </w:pPr>
      <w:r>
        <w:rPr>
          <w:rFonts w:hint="eastAsia" w:ascii="仿宋" w:hAnsi="仿宋" w:eastAsia="仿宋"/>
          <w:sz w:val="28"/>
        </w:rPr>
        <w:t>12.2 供应商应填写并提交招标文件所要求的资格证明类文件。</w:t>
      </w:r>
    </w:p>
    <w:p>
      <w:pPr>
        <w:pStyle w:val="24"/>
        <w:spacing w:line="360" w:lineRule="auto"/>
        <w:ind w:firstLine="560"/>
        <w:jc w:val="both"/>
        <w:rPr>
          <w:rFonts w:ascii="仿宋" w:hAnsi="仿宋" w:eastAsia="仿宋"/>
          <w:sz w:val="28"/>
        </w:rPr>
      </w:pPr>
      <w:r>
        <w:rPr>
          <w:rFonts w:hint="eastAsia" w:ascii="仿宋" w:hAnsi="仿宋" w:eastAsia="仿宋"/>
          <w:sz w:val="28"/>
        </w:rPr>
        <w:t>13. 证明货物的合格性和符合招标文件规定的文件</w:t>
      </w:r>
    </w:p>
    <w:p>
      <w:pPr>
        <w:pStyle w:val="24"/>
        <w:spacing w:line="360" w:lineRule="auto"/>
        <w:ind w:firstLine="560"/>
        <w:jc w:val="both"/>
        <w:rPr>
          <w:rFonts w:ascii="仿宋" w:hAnsi="仿宋" w:eastAsia="仿宋"/>
          <w:sz w:val="28"/>
        </w:rPr>
      </w:pPr>
      <w:r>
        <w:rPr>
          <w:rFonts w:hint="eastAsia" w:ascii="仿宋" w:hAnsi="仿宋" w:eastAsia="仿宋"/>
          <w:sz w:val="28"/>
        </w:rPr>
        <w:t>13.1 按照第8条规定，供应商应提交招标文件要求的货物及其服务的合格性及符合招标文件规定的证明文件。证明文件可以是手册、图纸和资料，并作为投标文件的一部分。</w:t>
      </w:r>
    </w:p>
    <w:p>
      <w:pPr>
        <w:pStyle w:val="24"/>
        <w:spacing w:line="360" w:lineRule="auto"/>
        <w:ind w:firstLine="560"/>
        <w:rPr>
          <w:rFonts w:ascii="仿宋" w:hAnsi="仿宋" w:eastAsia="仿宋"/>
          <w:sz w:val="28"/>
        </w:rPr>
      </w:pPr>
      <w:r>
        <w:rPr>
          <w:rFonts w:hint="eastAsia" w:ascii="仿宋" w:hAnsi="仿宋" w:eastAsia="仿宋"/>
          <w:sz w:val="28"/>
        </w:rPr>
        <w:t>13.2 供应商应逐条阅读招标文件要求的技术规格及商务条款要求，指出自己提供的货物和服务是否对招标文件做出响应，并将不能响应之处在投标文件所附的“技术偏离表”和“商务（合同条款）偏离表”中一一列出。</w:t>
      </w:r>
    </w:p>
    <w:p>
      <w:pPr>
        <w:pStyle w:val="24"/>
        <w:spacing w:line="360" w:lineRule="auto"/>
        <w:ind w:firstLine="560"/>
        <w:rPr>
          <w:rFonts w:ascii="仿宋" w:hAnsi="仿宋" w:eastAsia="仿宋"/>
          <w:sz w:val="28"/>
        </w:rPr>
      </w:pPr>
      <w:r>
        <w:rPr>
          <w:rFonts w:hint="eastAsia" w:ascii="仿宋" w:hAnsi="仿宋" w:eastAsia="仿宋"/>
          <w:sz w:val="28"/>
        </w:rPr>
        <w:t>13.3 证明货物的合格性和符合招标文件规定的文件应包括下列内容：</w:t>
      </w:r>
    </w:p>
    <w:p>
      <w:pPr>
        <w:pStyle w:val="24"/>
        <w:spacing w:line="360" w:lineRule="auto"/>
        <w:ind w:firstLine="560"/>
        <w:jc w:val="both"/>
        <w:rPr>
          <w:rFonts w:ascii="仿宋" w:hAnsi="仿宋" w:eastAsia="仿宋"/>
          <w:sz w:val="28"/>
        </w:rPr>
      </w:pPr>
      <w:r>
        <w:rPr>
          <w:rFonts w:hint="eastAsia" w:ascii="仿宋" w:hAnsi="仿宋" w:eastAsia="仿宋"/>
          <w:sz w:val="28"/>
        </w:rPr>
        <w:t>13.3.1 招标货物的试（检）验报告、鉴定证书（复印件）；</w:t>
      </w:r>
    </w:p>
    <w:p>
      <w:pPr>
        <w:pStyle w:val="24"/>
        <w:spacing w:line="360" w:lineRule="auto"/>
        <w:ind w:firstLine="560"/>
        <w:jc w:val="both"/>
        <w:rPr>
          <w:rFonts w:ascii="仿宋" w:hAnsi="仿宋" w:eastAsia="仿宋"/>
          <w:sz w:val="28"/>
        </w:rPr>
      </w:pPr>
      <w:r>
        <w:rPr>
          <w:rFonts w:hint="eastAsia" w:ascii="仿宋" w:hAnsi="仿宋" w:eastAsia="仿宋"/>
          <w:sz w:val="28"/>
        </w:rPr>
        <w:t>13.3.2 执行的制造、验收标准；</w:t>
      </w:r>
    </w:p>
    <w:p>
      <w:pPr>
        <w:pStyle w:val="24"/>
        <w:spacing w:line="360" w:lineRule="auto"/>
        <w:ind w:firstLine="560"/>
        <w:jc w:val="both"/>
        <w:rPr>
          <w:rFonts w:ascii="仿宋" w:hAnsi="仿宋" w:eastAsia="仿宋"/>
          <w:sz w:val="28"/>
        </w:rPr>
      </w:pPr>
      <w:r>
        <w:rPr>
          <w:rFonts w:hint="eastAsia" w:ascii="仿宋" w:hAnsi="仿宋" w:eastAsia="仿宋"/>
          <w:sz w:val="28"/>
        </w:rPr>
        <w:t>13.3.3 荣获产品质量、生产管理等方面的荣誉证书（复印件）；</w:t>
      </w:r>
    </w:p>
    <w:p>
      <w:pPr>
        <w:pStyle w:val="24"/>
        <w:spacing w:line="360" w:lineRule="auto"/>
        <w:ind w:firstLine="560"/>
        <w:jc w:val="both"/>
        <w:rPr>
          <w:rFonts w:ascii="仿宋" w:hAnsi="仿宋" w:eastAsia="仿宋"/>
          <w:sz w:val="28"/>
        </w:rPr>
      </w:pPr>
      <w:r>
        <w:rPr>
          <w:rFonts w:hint="eastAsia" w:ascii="仿宋" w:hAnsi="仿宋" w:eastAsia="仿宋"/>
          <w:sz w:val="28"/>
        </w:rPr>
        <w:t>13.3.4 有关的产品样册、手册、图纸和资料；</w:t>
      </w:r>
    </w:p>
    <w:p>
      <w:pPr>
        <w:pStyle w:val="24"/>
        <w:spacing w:line="360" w:lineRule="auto"/>
        <w:ind w:firstLine="560"/>
        <w:jc w:val="both"/>
        <w:rPr>
          <w:rFonts w:ascii="仿宋" w:hAnsi="仿宋" w:eastAsia="仿宋"/>
          <w:sz w:val="28"/>
        </w:rPr>
      </w:pPr>
      <w:r>
        <w:rPr>
          <w:rFonts w:hint="eastAsia" w:ascii="仿宋" w:hAnsi="仿宋" w:eastAsia="仿宋"/>
          <w:sz w:val="28"/>
        </w:rPr>
        <w:t>13.3.5 供应商认为有必要提供的其它证明文件；</w:t>
      </w:r>
    </w:p>
    <w:p>
      <w:pPr>
        <w:pStyle w:val="24"/>
        <w:spacing w:line="360" w:lineRule="auto"/>
        <w:ind w:firstLine="560"/>
        <w:jc w:val="both"/>
        <w:rPr>
          <w:rFonts w:ascii="仿宋" w:hAnsi="仿宋" w:eastAsia="仿宋"/>
          <w:sz w:val="28"/>
        </w:rPr>
      </w:pPr>
      <w:r>
        <w:rPr>
          <w:rFonts w:hint="eastAsia" w:ascii="仿宋" w:hAnsi="仿宋" w:eastAsia="仿宋"/>
          <w:sz w:val="28"/>
        </w:rPr>
        <w:t>14. 投标文件的有效期</w:t>
      </w:r>
    </w:p>
    <w:p>
      <w:pPr>
        <w:pStyle w:val="24"/>
        <w:spacing w:line="360" w:lineRule="auto"/>
        <w:ind w:firstLine="560"/>
        <w:jc w:val="both"/>
        <w:rPr>
          <w:rFonts w:ascii="仿宋" w:hAnsi="仿宋" w:eastAsia="仿宋"/>
          <w:sz w:val="28"/>
        </w:rPr>
      </w:pPr>
      <w:r>
        <w:rPr>
          <w:rFonts w:hint="eastAsia" w:ascii="仿宋" w:hAnsi="仿宋" w:eastAsia="仿宋"/>
          <w:sz w:val="28"/>
        </w:rPr>
        <w:t>14.1 投标文件从实际招标之日起</w:t>
      </w:r>
      <w:r>
        <w:rPr>
          <w:rFonts w:hint="eastAsia" w:ascii="仿宋" w:hAnsi="仿宋" w:eastAsia="仿宋"/>
          <w:sz w:val="28"/>
          <w:u w:val="single"/>
        </w:rPr>
        <w:t xml:space="preserve"> 90 </w:t>
      </w:r>
      <w:r>
        <w:rPr>
          <w:rFonts w:hint="eastAsia" w:ascii="仿宋" w:hAnsi="仿宋" w:eastAsia="仿宋"/>
          <w:sz w:val="28"/>
        </w:rPr>
        <w:t>天内有效。</w:t>
      </w:r>
    </w:p>
    <w:p>
      <w:pPr>
        <w:pStyle w:val="24"/>
        <w:spacing w:line="360" w:lineRule="auto"/>
        <w:ind w:firstLine="560"/>
        <w:jc w:val="both"/>
        <w:rPr>
          <w:rFonts w:ascii="仿宋" w:hAnsi="仿宋" w:eastAsia="仿宋"/>
          <w:sz w:val="28"/>
        </w:rPr>
      </w:pPr>
      <w:r>
        <w:rPr>
          <w:rFonts w:hint="eastAsia" w:ascii="仿宋" w:hAnsi="仿宋" w:eastAsia="仿宋"/>
          <w:sz w:val="28"/>
        </w:rPr>
        <w:t>14.2 在特殊情况下，在原招标有效期届满之前，采购代理机构可与招标单位协商延长投标文件的有效期，并经招标方确认。</w:t>
      </w:r>
    </w:p>
    <w:p>
      <w:pPr>
        <w:pStyle w:val="24"/>
        <w:spacing w:line="360" w:lineRule="auto"/>
        <w:ind w:firstLine="560"/>
        <w:jc w:val="both"/>
        <w:rPr>
          <w:rFonts w:ascii="仿宋" w:hAnsi="仿宋" w:eastAsia="仿宋"/>
          <w:sz w:val="28"/>
        </w:rPr>
      </w:pPr>
      <w:r>
        <w:rPr>
          <w:rFonts w:hint="eastAsia" w:ascii="仿宋" w:hAnsi="仿宋" w:eastAsia="仿宋"/>
          <w:sz w:val="28"/>
        </w:rPr>
        <w:t>15. 投标文件的书写要求、签署及份数。</w:t>
      </w:r>
    </w:p>
    <w:p>
      <w:pPr>
        <w:pStyle w:val="24"/>
        <w:spacing w:line="360" w:lineRule="auto"/>
        <w:ind w:firstLine="560"/>
        <w:jc w:val="both"/>
        <w:rPr>
          <w:rFonts w:ascii="仿宋" w:hAnsi="仿宋" w:eastAsia="仿宋"/>
          <w:sz w:val="28"/>
        </w:rPr>
      </w:pPr>
      <w:r>
        <w:rPr>
          <w:rFonts w:hint="eastAsia" w:ascii="仿宋" w:hAnsi="仿宋" w:eastAsia="仿宋"/>
          <w:sz w:val="28"/>
        </w:rPr>
        <w:t>15.1 投标文件正本须用不褪色的墨水笔书写或打印。</w:t>
      </w:r>
    </w:p>
    <w:p>
      <w:pPr>
        <w:spacing w:line="360" w:lineRule="auto"/>
        <w:ind w:firstLine="560"/>
        <w:rPr>
          <w:rFonts w:ascii="仿宋" w:hAnsi="仿宋" w:eastAsia="仿宋"/>
          <w:color w:val="000000"/>
          <w:sz w:val="28"/>
        </w:rPr>
      </w:pPr>
      <w:r>
        <w:rPr>
          <w:rFonts w:hint="eastAsia" w:ascii="仿宋" w:hAnsi="仿宋" w:eastAsia="仿宋"/>
          <w:color w:val="000000"/>
          <w:sz w:val="28"/>
        </w:rPr>
        <w:t xml:space="preserve">15.2 </w:t>
      </w:r>
      <w:r>
        <w:rPr>
          <w:rFonts w:hint="eastAsia" w:ascii="仿宋" w:hAnsi="仿宋" w:eastAsia="仿宋"/>
          <w:sz w:val="28"/>
        </w:rPr>
        <w:t>投标文件</w:t>
      </w:r>
      <w:r>
        <w:rPr>
          <w:rFonts w:hint="eastAsia" w:ascii="仿宋" w:hAnsi="仿宋" w:eastAsia="仿宋"/>
          <w:color w:val="000000"/>
          <w:sz w:val="28"/>
        </w:rPr>
        <w:t>的书写应清楚工整，修改处应由供应商授权代表签字或盖章。</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15.3 未实质性响应招标文件、或者关键字迹潦草、关键内容表达不清、或者未按要求填写或可能导致非唯一理解的招标文件将不能通过符合性检查，按重大偏离处理。</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15.4 投标文件应由企业法人或法人授权代表在所有规定签章处逐一签署及加盖单位的公章。</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15.5 投标文件的份数：详见《招标须知前附表》。供应商应在投标文件封面左上角注明“正本”、“副本”字样，一旦正本和副本不符，以正本为准，参考资料不限量</w:t>
      </w:r>
      <w:r>
        <w:rPr>
          <w:rFonts w:hint="eastAsia" w:ascii="仿宋" w:hAnsi="仿宋" w:eastAsia="仿宋"/>
          <w:sz w:val="28"/>
          <w:szCs w:val="28"/>
        </w:rPr>
        <w:t>。</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15.6 供应商可根据招标货物的具体需要自行编制其它文件一式5份纳入投标文件中。</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15.7 投标文件的装订必须采用胶粘本，不允许任何活页形式装订（非胶粘方式装订的投标文件一律视同活页装订），活页方式装订视为招标无效。</w:t>
      </w:r>
    </w:p>
    <w:p>
      <w:pPr>
        <w:pStyle w:val="24"/>
        <w:spacing w:line="360" w:lineRule="auto"/>
        <w:ind w:firstLine="560"/>
        <w:rPr>
          <w:rFonts w:ascii="仿宋" w:hAnsi="仿宋" w:eastAsia="仿宋"/>
          <w:sz w:val="28"/>
        </w:rPr>
      </w:pPr>
      <w:r>
        <w:rPr>
          <w:rFonts w:hint="eastAsia" w:ascii="仿宋" w:hAnsi="仿宋" w:eastAsia="仿宋"/>
          <w:sz w:val="28"/>
        </w:rPr>
        <w:t>16. 招标保证金</w:t>
      </w:r>
    </w:p>
    <w:p>
      <w:pPr>
        <w:pStyle w:val="24"/>
        <w:spacing w:line="360" w:lineRule="auto"/>
        <w:ind w:firstLine="560"/>
        <w:rPr>
          <w:rFonts w:ascii="仿宋" w:hAnsi="仿宋" w:eastAsia="仿宋"/>
          <w:sz w:val="28"/>
        </w:rPr>
      </w:pPr>
      <w:r>
        <w:rPr>
          <w:rFonts w:hint="eastAsia" w:ascii="仿宋" w:hAnsi="仿宋" w:eastAsia="仿宋"/>
          <w:sz w:val="28"/>
        </w:rPr>
        <w:t>16.1招标保证金金额见招标须知前附表。</w:t>
      </w:r>
    </w:p>
    <w:p>
      <w:pPr>
        <w:pStyle w:val="24"/>
        <w:spacing w:line="360" w:lineRule="auto"/>
        <w:ind w:firstLine="560"/>
        <w:rPr>
          <w:rFonts w:ascii="仿宋" w:hAnsi="仿宋" w:eastAsia="仿宋"/>
          <w:sz w:val="28"/>
        </w:rPr>
      </w:pPr>
      <w:r>
        <w:rPr>
          <w:rFonts w:hint="eastAsia" w:ascii="仿宋" w:hAnsi="仿宋" w:eastAsia="仿宋"/>
          <w:sz w:val="28"/>
        </w:rPr>
        <w:t>16.2 招标保证金用于保护本次招标免受供应商的违规、违约行为而引起的风险。</w:t>
      </w:r>
    </w:p>
    <w:p>
      <w:pPr>
        <w:pStyle w:val="24"/>
        <w:spacing w:line="360" w:lineRule="auto"/>
        <w:ind w:firstLine="560"/>
        <w:rPr>
          <w:rFonts w:ascii="仿宋" w:hAnsi="仿宋" w:eastAsia="仿宋"/>
          <w:sz w:val="28"/>
        </w:rPr>
      </w:pPr>
      <w:r>
        <w:rPr>
          <w:rFonts w:hint="eastAsia" w:ascii="仿宋" w:hAnsi="仿宋" w:eastAsia="仿宋"/>
          <w:sz w:val="28"/>
        </w:rPr>
        <w:t>16.3 招标保证金应用人民币，由供应商按第一章《招标书》中明确的银行、账号，按16.1条要求的数额办理，并在投标文件中放保证金汇款凭证。</w:t>
      </w:r>
    </w:p>
    <w:p>
      <w:pPr>
        <w:pStyle w:val="24"/>
        <w:spacing w:line="360" w:lineRule="auto"/>
        <w:ind w:firstLine="560"/>
        <w:rPr>
          <w:rFonts w:ascii="仿宋" w:hAnsi="仿宋" w:eastAsia="仿宋"/>
          <w:sz w:val="28"/>
        </w:rPr>
      </w:pPr>
      <w:r>
        <w:rPr>
          <w:rFonts w:hint="eastAsia" w:ascii="仿宋" w:hAnsi="仿宋" w:eastAsia="仿宋"/>
          <w:sz w:val="28"/>
        </w:rPr>
        <w:t>16.4 招标保证金的退还</w:t>
      </w:r>
    </w:p>
    <w:p>
      <w:pPr>
        <w:pStyle w:val="24"/>
        <w:spacing w:line="360" w:lineRule="auto"/>
        <w:ind w:firstLine="560"/>
        <w:rPr>
          <w:rFonts w:ascii="仿宋" w:hAnsi="仿宋" w:eastAsia="仿宋"/>
          <w:sz w:val="28"/>
        </w:rPr>
      </w:pPr>
      <w:r>
        <w:rPr>
          <w:rFonts w:hint="eastAsia" w:ascii="仿宋" w:hAnsi="仿宋" w:eastAsia="仿宋"/>
          <w:sz w:val="28"/>
        </w:rPr>
        <w:t>在该项目招标公示期满后，五个工作日内退还原账户。</w:t>
      </w:r>
    </w:p>
    <w:p>
      <w:pPr>
        <w:pStyle w:val="24"/>
        <w:spacing w:line="360" w:lineRule="auto"/>
        <w:ind w:firstLine="560"/>
        <w:rPr>
          <w:rFonts w:ascii="仿宋" w:hAnsi="仿宋" w:eastAsia="仿宋"/>
          <w:sz w:val="28"/>
        </w:rPr>
      </w:pPr>
      <w:r>
        <w:rPr>
          <w:rFonts w:hint="eastAsia" w:ascii="仿宋" w:hAnsi="仿宋" w:eastAsia="仿宋"/>
          <w:sz w:val="28"/>
        </w:rPr>
        <w:t>16.5 发生以下情况招标保证金可能被没收：</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16.5.1 如果供应商在招标有效期内撤销投标文件；</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16.5.2 如果供应商串通招标的；</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16.5.3 如果成交供应商未能做到：</w:t>
      </w:r>
    </w:p>
    <w:p>
      <w:pPr>
        <w:pStyle w:val="23"/>
        <w:spacing w:line="360" w:lineRule="auto"/>
        <w:ind w:firstLine="560"/>
        <w:rPr>
          <w:rFonts w:ascii="仿宋" w:hAnsi="仿宋" w:eastAsia="仿宋"/>
          <w:color w:val="000000"/>
        </w:rPr>
      </w:pPr>
      <w:r>
        <w:rPr>
          <w:rFonts w:hint="eastAsia" w:ascii="仿宋" w:hAnsi="仿宋" w:eastAsia="仿宋"/>
          <w:color w:val="000000"/>
        </w:rPr>
        <w:t>a. 按29条规定签定合同；</w:t>
      </w:r>
    </w:p>
    <w:p>
      <w:pPr>
        <w:pStyle w:val="23"/>
        <w:spacing w:line="360" w:lineRule="auto"/>
        <w:ind w:firstLine="560"/>
        <w:rPr>
          <w:rFonts w:ascii="仿宋" w:hAnsi="仿宋" w:eastAsia="仿宋"/>
          <w:color w:val="000000"/>
        </w:rPr>
      </w:pPr>
      <w:r>
        <w:rPr>
          <w:rFonts w:hint="eastAsia" w:ascii="仿宋" w:hAnsi="仿宋" w:eastAsia="仿宋"/>
          <w:color w:val="000000"/>
        </w:rPr>
        <w:t>b. 第32条有关缴纳成交服务费的规定；</w:t>
      </w:r>
    </w:p>
    <w:p>
      <w:pPr>
        <w:pStyle w:val="23"/>
        <w:spacing w:line="360" w:lineRule="auto"/>
        <w:ind w:firstLine="560"/>
        <w:rPr>
          <w:rFonts w:ascii="仿宋" w:hAnsi="仿宋" w:eastAsia="仿宋"/>
          <w:color w:val="000000"/>
        </w:rPr>
      </w:pPr>
      <w:r>
        <w:rPr>
          <w:rFonts w:hint="eastAsia" w:ascii="仿宋" w:hAnsi="仿宋" w:eastAsia="仿宋"/>
          <w:color w:val="000000"/>
        </w:rPr>
        <w:t>c. 按招标文件要求提交合同履约保证金的。</w:t>
      </w:r>
    </w:p>
    <w:p>
      <w:pPr>
        <w:pStyle w:val="6"/>
        <w:spacing w:line="360" w:lineRule="auto"/>
      </w:pPr>
      <w:bookmarkStart w:id="17" w:name="_Toc56170383"/>
      <w:bookmarkStart w:id="18" w:name="_Toc61184626"/>
      <w:r>
        <w:rPr>
          <w:rFonts w:hint="eastAsia"/>
        </w:rPr>
        <w:t>四、投标文件的递交</w:t>
      </w:r>
      <w:bookmarkEnd w:id="17"/>
      <w:bookmarkEnd w:id="18"/>
    </w:p>
    <w:p>
      <w:pPr>
        <w:pStyle w:val="24"/>
        <w:spacing w:line="360" w:lineRule="auto"/>
        <w:ind w:firstLine="560"/>
        <w:jc w:val="both"/>
        <w:rPr>
          <w:rFonts w:ascii="仿宋" w:hAnsi="仿宋" w:eastAsia="仿宋"/>
          <w:sz w:val="28"/>
        </w:rPr>
      </w:pPr>
      <w:r>
        <w:rPr>
          <w:rFonts w:hint="eastAsia" w:ascii="仿宋" w:hAnsi="仿宋" w:eastAsia="仿宋"/>
          <w:sz w:val="28"/>
        </w:rPr>
        <w:t>17. 投标文件的密封与标记</w:t>
      </w:r>
    </w:p>
    <w:p>
      <w:pPr>
        <w:pStyle w:val="24"/>
        <w:spacing w:line="360" w:lineRule="auto"/>
        <w:ind w:firstLine="560"/>
        <w:jc w:val="both"/>
        <w:rPr>
          <w:rFonts w:ascii="仿宋" w:hAnsi="仿宋" w:eastAsia="仿宋"/>
          <w:sz w:val="28"/>
        </w:rPr>
      </w:pPr>
      <w:r>
        <w:rPr>
          <w:rFonts w:hint="eastAsia" w:ascii="仿宋" w:hAnsi="仿宋" w:eastAsia="仿宋"/>
          <w:sz w:val="28"/>
        </w:rPr>
        <w:t>17.1 供应商应将投标文件正本和副本分别装入信袋内加以密封，分别在信袋上标“正本”或“副本”，并在密封处加盖公章（或合同专用章）。</w:t>
      </w:r>
    </w:p>
    <w:p>
      <w:pPr>
        <w:pStyle w:val="24"/>
        <w:spacing w:line="360" w:lineRule="auto"/>
        <w:ind w:firstLine="562"/>
        <w:jc w:val="both"/>
        <w:rPr>
          <w:rFonts w:ascii="仿宋" w:hAnsi="仿宋" w:eastAsia="仿宋"/>
          <w:sz w:val="28"/>
        </w:rPr>
      </w:pPr>
      <w:r>
        <w:rPr>
          <w:rFonts w:hint="eastAsia" w:ascii="仿宋" w:hAnsi="仿宋" w:eastAsia="仿宋"/>
          <w:sz w:val="28"/>
        </w:rPr>
        <w:t>17.2 供应商应将填好的招标一览表单独</w:t>
      </w:r>
      <w:r>
        <w:rPr>
          <w:rFonts w:hint="eastAsia" w:ascii="仿宋" w:hAnsi="仿宋" w:eastAsia="仿宋"/>
          <w:bCs/>
          <w:sz w:val="28"/>
        </w:rPr>
        <w:t>密封一份在信袋内，在密封处加盖公章（或合同专用章），在信袋上注明“招标一览表”字样，作为</w:t>
      </w:r>
      <w:r>
        <w:rPr>
          <w:rFonts w:hint="eastAsia" w:ascii="仿宋" w:hAnsi="仿宋" w:eastAsia="仿宋"/>
          <w:sz w:val="28"/>
        </w:rPr>
        <w:t>投标文件</w:t>
      </w:r>
      <w:r>
        <w:rPr>
          <w:rFonts w:hint="eastAsia" w:ascii="仿宋" w:hAnsi="仿宋" w:eastAsia="仿宋"/>
          <w:bCs/>
          <w:sz w:val="28"/>
        </w:rPr>
        <w:t>的一部分</w:t>
      </w:r>
      <w:r>
        <w:rPr>
          <w:rFonts w:hint="eastAsia" w:ascii="仿宋" w:hAnsi="仿宋" w:eastAsia="仿宋"/>
          <w:sz w:val="28"/>
        </w:rPr>
        <w:t>。</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17.3 所有投标文件信袋封口处均应加贴封条，封条上应写明：</w:t>
      </w:r>
    </w:p>
    <w:p>
      <w:pPr>
        <w:pStyle w:val="24"/>
        <w:snapToGrid w:val="0"/>
        <w:spacing w:line="360" w:lineRule="auto"/>
        <w:ind w:firstLine="560" w:firstLineChars="200"/>
        <w:rPr>
          <w:rFonts w:ascii="仿宋" w:hAnsi="仿宋" w:eastAsia="仿宋"/>
          <w:sz w:val="28"/>
        </w:rPr>
      </w:pPr>
      <w:r>
        <w:rPr>
          <w:rFonts w:hint="eastAsia" w:ascii="仿宋" w:hAnsi="仿宋" w:eastAsia="仿宋"/>
          <w:sz w:val="28"/>
        </w:rPr>
        <w:t>⑴采购代理机构单位：中科高盛咨询集团有限公司</w:t>
      </w:r>
    </w:p>
    <w:p>
      <w:pPr>
        <w:pStyle w:val="24"/>
        <w:snapToGrid w:val="0"/>
        <w:spacing w:line="360" w:lineRule="auto"/>
        <w:ind w:firstLine="560" w:firstLineChars="200"/>
        <w:rPr>
          <w:rFonts w:ascii="仿宋" w:hAnsi="仿宋" w:eastAsia="仿宋"/>
          <w:sz w:val="28"/>
        </w:rPr>
      </w:pPr>
      <w:r>
        <w:rPr>
          <w:rFonts w:hint="eastAsia" w:ascii="仿宋" w:hAnsi="仿宋" w:eastAsia="仿宋"/>
          <w:sz w:val="28"/>
        </w:rPr>
        <w:t>⑵项目名称：</w:t>
      </w:r>
    </w:p>
    <w:p>
      <w:pPr>
        <w:pStyle w:val="24"/>
        <w:snapToGrid w:val="0"/>
        <w:spacing w:line="360" w:lineRule="auto"/>
        <w:ind w:firstLine="560" w:firstLineChars="200"/>
        <w:rPr>
          <w:rFonts w:ascii="仿宋" w:hAnsi="仿宋" w:eastAsia="仿宋"/>
          <w:sz w:val="28"/>
        </w:rPr>
      </w:pPr>
      <w:r>
        <w:rPr>
          <w:rFonts w:hint="eastAsia" w:ascii="仿宋" w:hAnsi="仿宋" w:eastAsia="仿宋"/>
          <w:sz w:val="28"/>
        </w:rPr>
        <w:t>⑶招标编号：</w:t>
      </w:r>
    </w:p>
    <w:p>
      <w:pPr>
        <w:pStyle w:val="24"/>
        <w:snapToGrid w:val="0"/>
        <w:spacing w:line="360" w:lineRule="auto"/>
        <w:ind w:firstLine="560" w:firstLineChars="200"/>
        <w:rPr>
          <w:rFonts w:ascii="仿宋" w:hAnsi="仿宋" w:eastAsia="仿宋"/>
          <w:sz w:val="28"/>
        </w:rPr>
      </w:pPr>
      <w:r>
        <w:rPr>
          <w:rFonts w:hint="eastAsia" w:ascii="仿宋" w:hAnsi="仿宋" w:eastAsia="仿宋"/>
          <w:sz w:val="28"/>
        </w:rPr>
        <w:t>⑷招标企业名称和地址：</w:t>
      </w:r>
    </w:p>
    <w:p>
      <w:pPr>
        <w:pStyle w:val="24"/>
        <w:snapToGrid w:val="0"/>
        <w:spacing w:line="360" w:lineRule="auto"/>
        <w:ind w:firstLine="560" w:firstLineChars="200"/>
        <w:rPr>
          <w:rFonts w:ascii="仿宋" w:hAnsi="仿宋" w:eastAsia="仿宋"/>
          <w:sz w:val="28"/>
        </w:rPr>
      </w:pPr>
      <w:r>
        <w:rPr>
          <w:rFonts w:hint="eastAsia" w:ascii="仿宋" w:hAnsi="仿宋" w:eastAsia="仿宋"/>
          <w:sz w:val="28"/>
        </w:rPr>
        <w:t>⑸注明“招标截止时间前不准启封”，“正本”，“副本”。</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17.4 未按本须知要求密封、标记和投递的投标文件，采购代理机构不对其后果负责。</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18. 投标文件递交的截止日期</w:t>
      </w:r>
    </w:p>
    <w:p>
      <w:pPr>
        <w:pStyle w:val="24"/>
        <w:spacing w:line="360" w:lineRule="auto"/>
        <w:ind w:firstLine="560" w:firstLineChars="200"/>
        <w:jc w:val="both"/>
        <w:rPr>
          <w:rFonts w:ascii="仿宋" w:hAnsi="仿宋" w:eastAsia="仿宋"/>
          <w:sz w:val="28"/>
          <w:u w:val="single"/>
        </w:rPr>
      </w:pPr>
      <w:r>
        <w:rPr>
          <w:rFonts w:hint="eastAsia" w:ascii="仿宋" w:hAnsi="仿宋" w:eastAsia="仿宋"/>
          <w:sz w:val="28"/>
        </w:rPr>
        <w:t>18.1 供应商必须在《招标须知前附表》中规定的时间之前将投标文件送达到规定的地点。</w:t>
      </w:r>
    </w:p>
    <w:p>
      <w:pPr>
        <w:pStyle w:val="24"/>
        <w:spacing w:line="360" w:lineRule="auto"/>
        <w:ind w:firstLine="560"/>
        <w:jc w:val="both"/>
        <w:rPr>
          <w:rFonts w:ascii="仿宋" w:hAnsi="仿宋" w:eastAsia="仿宋"/>
          <w:sz w:val="28"/>
        </w:rPr>
      </w:pPr>
      <w:r>
        <w:rPr>
          <w:rFonts w:hint="eastAsia" w:ascii="仿宋" w:hAnsi="仿宋" w:eastAsia="仿宋"/>
          <w:sz w:val="28"/>
        </w:rPr>
        <w:t>18.2 超过招标文件规定的招标截止时间送达的投标文件将不予接受。</w:t>
      </w:r>
    </w:p>
    <w:p>
      <w:pPr>
        <w:pStyle w:val="24"/>
        <w:spacing w:line="360" w:lineRule="auto"/>
        <w:ind w:firstLine="560"/>
        <w:jc w:val="both"/>
        <w:rPr>
          <w:rFonts w:ascii="仿宋" w:hAnsi="仿宋" w:eastAsia="仿宋"/>
          <w:sz w:val="28"/>
        </w:rPr>
      </w:pPr>
      <w:r>
        <w:rPr>
          <w:rFonts w:hint="eastAsia" w:ascii="仿宋" w:hAnsi="仿宋" w:eastAsia="仿宋"/>
          <w:sz w:val="28"/>
        </w:rPr>
        <w:t>19. 投标文件的修改、撤回和撤销</w:t>
      </w:r>
    </w:p>
    <w:p>
      <w:pPr>
        <w:pStyle w:val="25"/>
        <w:spacing w:before="156" w:line="360" w:lineRule="auto"/>
        <w:ind w:firstLine="560"/>
        <w:rPr>
          <w:rFonts w:ascii="仿宋" w:hAnsi="仿宋" w:eastAsia="仿宋"/>
          <w:sz w:val="28"/>
        </w:rPr>
      </w:pPr>
      <w:r>
        <w:rPr>
          <w:rFonts w:hint="eastAsia" w:ascii="仿宋" w:hAnsi="仿宋" w:eastAsia="仿宋"/>
          <w:sz w:val="28"/>
        </w:rPr>
        <w:t>19.1 供应商在递交投标文件后，可在规定的招标截止时间之前，对其投标文件以书面通知的形式进行修改或撤销。该通知必须有授权委托人的签字，并得到采购人的确认。</w:t>
      </w:r>
    </w:p>
    <w:p>
      <w:pPr>
        <w:pStyle w:val="25"/>
        <w:spacing w:before="156" w:line="360" w:lineRule="auto"/>
        <w:ind w:firstLine="560"/>
        <w:rPr>
          <w:rFonts w:ascii="仿宋" w:hAnsi="仿宋" w:eastAsia="仿宋"/>
          <w:sz w:val="28"/>
        </w:rPr>
      </w:pPr>
      <w:r>
        <w:rPr>
          <w:rFonts w:hint="eastAsia" w:ascii="仿宋" w:hAnsi="仿宋" w:eastAsia="仿宋"/>
          <w:sz w:val="28"/>
        </w:rPr>
        <w:t>19.2 供应商对投标文件修改的书面材料或撤销通知应按招标文件要求进行密封、标注和递交，并注明“修改”或“撤销”字样，修改或撤销的内容须按招标文件的要求签署、盖章，并作为投标文件和其组成部分。</w:t>
      </w:r>
    </w:p>
    <w:p>
      <w:pPr>
        <w:pStyle w:val="25"/>
        <w:spacing w:before="156" w:line="360" w:lineRule="auto"/>
        <w:ind w:firstLine="560"/>
        <w:rPr>
          <w:rFonts w:ascii="仿宋" w:hAnsi="仿宋" w:eastAsia="仿宋"/>
          <w:sz w:val="28"/>
        </w:rPr>
      </w:pPr>
      <w:r>
        <w:rPr>
          <w:rFonts w:hint="eastAsia" w:ascii="仿宋" w:hAnsi="仿宋" w:eastAsia="仿宋"/>
          <w:sz w:val="28"/>
        </w:rPr>
        <w:t>19.3 对投标文件修改的书面材料应于投标截止日前送达采购人，投标截止时间以后不得修改投标文件。</w:t>
      </w:r>
    </w:p>
    <w:p>
      <w:pPr>
        <w:pStyle w:val="25"/>
        <w:spacing w:before="156" w:line="360" w:lineRule="auto"/>
        <w:ind w:firstLine="560"/>
        <w:jc w:val="both"/>
        <w:rPr>
          <w:rFonts w:ascii="仿宋" w:hAnsi="仿宋" w:eastAsia="仿宋"/>
          <w:sz w:val="28"/>
        </w:rPr>
      </w:pPr>
      <w:r>
        <w:rPr>
          <w:rFonts w:hint="eastAsia" w:ascii="仿宋" w:hAnsi="仿宋" w:eastAsia="仿宋"/>
          <w:sz w:val="28"/>
        </w:rPr>
        <w:t>19.4 供应商不得在招标后至招标有期满前撤销投标文件，否则采购人将没收其招标保证金。</w:t>
      </w:r>
    </w:p>
    <w:p>
      <w:pPr>
        <w:pStyle w:val="25"/>
        <w:spacing w:line="360" w:lineRule="auto"/>
        <w:ind w:firstLine="560"/>
        <w:jc w:val="both"/>
        <w:rPr>
          <w:rFonts w:ascii="仿宋" w:hAnsi="仿宋" w:eastAsia="仿宋"/>
          <w:sz w:val="28"/>
        </w:rPr>
      </w:pPr>
      <w:r>
        <w:rPr>
          <w:rFonts w:hint="eastAsia" w:ascii="仿宋" w:hAnsi="仿宋" w:eastAsia="仿宋"/>
          <w:sz w:val="28"/>
        </w:rPr>
        <w:t>20.</w:t>
      </w:r>
      <w:r>
        <w:rPr>
          <w:rFonts w:hint="eastAsia" w:ascii="仿宋" w:hAnsi="仿宋" w:eastAsia="仿宋"/>
          <w:sz w:val="23"/>
          <w:szCs w:val="23"/>
        </w:rPr>
        <w:t xml:space="preserve"> </w:t>
      </w:r>
      <w:r>
        <w:rPr>
          <w:rFonts w:hint="eastAsia" w:ascii="仿宋" w:hAnsi="仿宋" w:eastAsia="仿宋"/>
          <w:sz w:val="28"/>
        </w:rPr>
        <w:t>有下列情形之一的，视为供应商串通招标，其招标无效：</w:t>
      </w:r>
    </w:p>
    <w:p>
      <w:pPr>
        <w:pStyle w:val="25"/>
        <w:spacing w:line="360" w:lineRule="auto"/>
        <w:ind w:firstLine="560"/>
        <w:jc w:val="both"/>
        <w:rPr>
          <w:rFonts w:ascii="仿宋" w:hAnsi="仿宋" w:eastAsia="仿宋"/>
          <w:sz w:val="28"/>
        </w:rPr>
      </w:pPr>
      <w:r>
        <w:rPr>
          <w:rFonts w:hint="eastAsia" w:ascii="仿宋" w:hAnsi="仿宋" w:eastAsia="仿宋"/>
          <w:sz w:val="28"/>
        </w:rPr>
        <w:t>⑴ 不同供应商的投标文件由同一单位或者个人编制;</w:t>
      </w:r>
    </w:p>
    <w:p>
      <w:pPr>
        <w:pStyle w:val="25"/>
        <w:spacing w:line="360" w:lineRule="auto"/>
        <w:ind w:firstLine="560"/>
        <w:jc w:val="both"/>
        <w:rPr>
          <w:rFonts w:ascii="仿宋" w:hAnsi="仿宋" w:eastAsia="仿宋"/>
          <w:sz w:val="28"/>
        </w:rPr>
      </w:pPr>
      <w:r>
        <w:rPr>
          <w:rFonts w:hint="eastAsia" w:ascii="仿宋" w:hAnsi="仿宋" w:eastAsia="仿宋"/>
          <w:sz w:val="28"/>
        </w:rPr>
        <w:t>⑵ 不同供应商委托同一单位或者个人办理招标事宜;</w:t>
      </w:r>
    </w:p>
    <w:p>
      <w:pPr>
        <w:pStyle w:val="25"/>
        <w:spacing w:line="360" w:lineRule="auto"/>
        <w:ind w:firstLine="560"/>
        <w:jc w:val="both"/>
        <w:rPr>
          <w:rFonts w:ascii="仿宋" w:hAnsi="仿宋" w:eastAsia="仿宋"/>
          <w:sz w:val="28"/>
        </w:rPr>
      </w:pPr>
      <w:r>
        <w:rPr>
          <w:rFonts w:hint="eastAsia" w:ascii="仿宋" w:hAnsi="仿宋" w:eastAsia="仿宋"/>
          <w:sz w:val="28"/>
        </w:rPr>
        <w:t>⑶ 不同供应商的投标文件载明的项目管理成员或者联系人员为同一人;</w:t>
      </w:r>
    </w:p>
    <w:p>
      <w:pPr>
        <w:pStyle w:val="25"/>
        <w:spacing w:line="360" w:lineRule="auto"/>
        <w:ind w:firstLine="560"/>
        <w:jc w:val="both"/>
        <w:rPr>
          <w:rFonts w:ascii="仿宋" w:hAnsi="仿宋" w:eastAsia="仿宋"/>
          <w:sz w:val="28"/>
        </w:rPr>
      </w:pPr>
      <w:r>
        <w:rPr>
          <w:rFonts w:hint="eastAsia" w:ascii="仿宋" w:hAnsi="仿宋" w:eastAsia="仿宋"/>
          <w:sz w:val="28"/>
        </w:rPr>
        <w:t>⑷ 不同供应商的投标文件异常一致或者招标报价呈规律性差异;</w:t>
      </w:r>
    </w:p>
    <w:p>
      <w:pPr>
        <w:pStyle w:val="25"/>
        <w:spacing w:line="360" w:lineRule="auto"/>
        <w:ind w:firstLine="560"/>
        <w:jc w:val="both"/>
        <w:rPr>
          <w:rFonts w:ascii="仿宋" w:hAnsi="仿宋" w:eastAsia="仿宋"/>
          <w:sz w:val="28"/>
        </w:rPr>
      </w:pPr>
      <w:r>
        <w:rPr>
          <w:rFonts w:hint="eastAsia" w:ascii="仿宋" w:hAnsi="仿宋" w:eastAsia="仿宋"/>
          <w:sz w:val="28"/>
        </w:rPr>
        <w:t>⑸ 不同供应商的投标文件相互混装;</w:t>
      </w:r>
    </w:p>
    <w:p>
      <w:pPr>
        <w:pStyle w:val="25"/>
        <w:spacing w:line="360" w:lineRule="auto"/>
        <w:ind w:firstLine="560"/>
        <w:jc w:val="both"/>
        <w:rPr>
          <w:rFonts w:ascii="仿宋" w:hAnsi="仿宋" w:eastAsia="仿宋"/>
          <w:sz w:val="23"/>
          <w:szCs w:val="23"/>
        </w:rPr>
      </w:pPr>
      <w:r>
        <w:rPr>
          <w:rFonts w:hint="eastAsia" w:ascii="仿宋" w:hAnsi="仿宋" w:eastAsia="仿宋"/>
          <w:sz w:val="28"/>
        </w:rPr>
        <w:t>⑹ 不同供应商的招标保证金从同一单位或者个人的账户转出</w:t>
      </w:r>
      <w:r>
        <w:rPr>
          <w:rFonts w:hint="eastAsia" w:ascii="仿宋" w:hAnsi="仿宋" w:eastAsia="仿宋"/>
          <w:sz w:val="23"/>
          <w:szCs w:val="23"/>
        </w:rPr>
        <w:t>。</w:t>
      </w:r>
    </w:p>
    <w:p>
      <w:pPr>
        <w:pStyle w:val="6"/>
        <w:spacing w:line="360" w:lineRule="auto"/>
      </w:pPr>
      <w:bookmarkStart w:id="19" w:name="_Toc61184627"/>
      <w:bookmarkStart w:id="20" w:name="_Toc56170384"/>
      <w:r>
        <w:rPr>
          <w:rFonts w:hint="eastAsia"/>
        </w:rPr>
        <w:t>五、招标</w:t>
      </w:r>
      <w:bookmarkEnd w:id="19"/>
      <w:bookmarkEnd w:id="20"/>
    </w:p>
    <w:p>
      <w:pPr>
        <w:pStyle w:val="25"/>
        <w:spacing w:line="360" w:lineRule="auto"/>
        <w:ind w:firstLine="560"/>
        <w:jc w:val="both"/>
        <w:rPr>
          <w:rFonts w:ascii="仿宋" w:hAnsi="仿宋" w:eastAsia="仿宋"/>
          <w:sz w:val="28"/>
        </w:rPr>
      </w:pPr>
      <w:r>
        <w:rPr>
          <w:rFonts w:hint="eastAsia" w:ascii="仿宋" w:hAnsi="仿宋" w:eastAsia="仿宋"/>
          <w:sz w:val="28"/>
        </w:rPr>
        <w:t>21. 招标</w:t>
      </w:r>
    </w:p>
    <w:p>
      <w:pPr>
        <w:pStyle w:val="24"/>
        <w:spacing w:line="360" w:lineRule="auto"/>
        <w:ind w:left="1" w:firstLine="562" w:firstLineChars="201"/>
        <w:jc w:val="both"/>
        <w:rPr>
          <w:rFonts w:ascii="仿宋" w:hAnsi="仿宋" w:eastAsia="仿宋"/>
          <w:sz w:val="28"/>
          <w:u w:val="single"/>
        </w:rPr>
      </w:pPr>
      <w:r>
        <w:rPr>
          <w:rFonts w:hint="eastAsia" w:ascii="仿宋" w:hAnsi="仿宋" w:eastAsia="仿宋"/>
          <w:sz w:val="28"/>
        </w:rPr>
        <w:t>21.1 除非采购代理机构另外书面通知，本项目将按本招标文件《招标须知前附表》中规定的时间和地点进行招标。</w:t>
      </w:r>
    </w:p>
    <w:p>
      <w:pPr>
        <w:pStyle w:val="24"/>
        <w:spacing w:line="360" w:lineRule="auto"/>
        <w:ind w:firstLine="560"/>
        <w:jc w:val="both"/>
        <w:rPr>
          <w:rFonts w:ascii="仿宋" w:hAnsi="仿宋" w:eastAsia="仿宋"/>
          <w:sz w:val="28"/>
        </w:rPr>
      </w:pPr>
      <w:r>
        <w:rPr>
          <w:rFonts w:hint="eastAsia" w:ascii="仿宋" w:hAnsi="仿宋" w:eastAsia="仿宋"/>
          <w:sz w:val="28"/>
        </w:rPr>
        <w:t>21.2 招标时，供应商须在密封的投标文件之外</w:t>
      </w:r>
      <w:r>
        <w:rPr>
          <w:rFonts w:hint="eastAsia" w:ascii="仿宋" w:hAnsi="仿宋" w:eastAsia="仿宋"/>
          <w:sz w:val="28"/>
          <w:szCs w:val="28"/>
          <w:em w:val="dot"/>
        </w:rPr>
        <w:t>随身携带</w:t>
      </w:r>
      <w:r>
        <w:rPr>
          <w:rFonts w:hint="eastAsia" w:ascii="仿宋" w:hAnsi="仿宋" w:eastAsia="仿宋"/>
          <w:sz w:val="28"/>
        </w:rPr>
        <w:t>营业执照副本原件（或者针对招标企业复印件所出具的公证件原件）</w:t>
      </w:r>
      <w:r>
        <w:rPr>
          <w:rFonts w:hint="eastAsia" w:ascii="仿宋" w:hAnsi="仿宋" w:eastAsia="仿宋"/>
          <w:kern w:val="2"/>
          <w:sz w:val="28"/>
          <w:szCs w:val="28"/>
        </w:rPr>
        <w:t>、</w:t>
      </w:r>
      <w:r>
        <w:rPr>
          <w:rFonts w:hint="eastAsia" w:ascii="仿宋" w:hAnsi="仿宋" w:eastAsia="仿宋"/>
          <w:sz w:val="28"/>
        </w:rPr>
        <w:t>法人授权委托书及被授权人身份证原</w:t>
      </w:r>
      <w:r>
        <w:rPr>
          <w:rFonts w:hint="eastAsia" w:ascii="仿宋" w:hAnsi="仿宋" w:eastAsia="仿宋"/>
          <w:bCs/>
          <w:sz w:val="28"/>
        </w:rPr>
        <w:t>件、</w:t>
      </w:r>
      <w:r>
        <w:rPr>
          <w:rFonts w:hint="eastAsia" w:ascii="仿宋" w:hAnsi="仿宋" w:eastAsia="仿宋"/>
          <w:sz w:val="28"/>
        </w:rPr>
        <w:t>以备采购人对其资格进行审查。</w:t>
      </w:r>
    </w:p>
    <w:p>
      <w:pPr>
        <w:pStyle w:val="24"/>
        <w:spacing w:line="360" w:lineRule="auto"/>
        <w:ind w:firstLine="560"/>
        <w:jc w:val="both"/>
        <w:rPr>
          <w:rFonts w:ascii="仿宋" w:hAnsi="仿宋" w:eastAsia="仿宋"/>
          <w:sz w:val="28"/>
        </w:rPr>
      </w:pPr>
      <w:r>
        <w:rPr>
          <w:rFonts w:hint="eastAsia" w:ascii="仿宋" w:hAnsi="仿宋" w:eastAsia="仿宋"/>
          <w:sz w:val="28"/>
        </w:rPr>
        <w:t>21.3 招标时唱《招标一览表》的内容，供应商名称、数量和招标价格等在唱标时一并唱出。</w:t>
      </w:r>
    </w:p>
    <w:p>
      <w:pPr>
        <w:pStyle w:val="24"/>
        <w:spacing w:line="360" w:lineRule="auto"/>
        <w:ind w:firstLine="560"/>
        <w:jc w:val="both"/>
        <w:rPr>
          <w:rFonts w:ascii="仿宋" w:hAnsi="仿宋" w:eastAsia="仿宋"/>
          <w:sz w:val="28"/>
        </w:rPr>
      </w:pPr>
      <w:r>
        <w:rPr>
          <w:rFonts w:hint="eastAsia" w:ascii="仿宋" w:hAnsi="仿宋" w:eastAsia="仿宋"/>
          <w:sz w:val="28"/>
        </w:rPr>
        <w:t>21.4 唱标完毕后，如果供应商对所唱《招标一览表》内容有异议，应当场立即提出。经现场公证人员及监标人员确认，认为有必要重新唱标的，由唱标员重新唱标。</w:t>
      </w:r>
    </w:p>
    <w:p>
      <w:pPr>
        <w:pStyle w:val="24"/>
        <w:spacing w:line="360" w:lineRule="auto"/>
        <w:ind w:firstLine="560"/>
        <w:jc w:val="both"/>
        <w:rPr>
          <w:rFonts w:ascii="仿宋" w:hAnsi="仿宋" w:eastAsia="仿宋"/>
          <w:sz w:val="28"/>
        </w:rPr>
      </w:pPr>
      <w:r>
        <w:rPr>
          <w:rFonts w:hint="eastAsia" w:ascii="仿宋" w:hAnsi="仿宋" w:eastAsia="仿宋"/>
          <w:sz w:val="28"/>
        </w:rPr>
        <w:t>21.5 所有唱标均记录在案，并经各供应商代表、公证人员和监标人员签字，作为各供应商投标文件的组成部分。</w:t>
      </w:r>
    </w:p>
    <w:p>
      <w:pPr>
        <w:pStyle w:val="6"/>
        <w:spacing w:line="360" w:lineRule="auto"/>
      </w:pPr>
      <w:bookmarkStart w:id="21" w:name="_Toc61184628"/>
      <w:bookmarkStart w:id="22" w:name="_Toc56170385"/>
      <w:r>
        <w:rPr>
          <w:rFonts w:hint="eastAsia"/>
        </w:rPr>
        <w:t>六、资格审查</w:t>
      </w:r>
      <w:bookmarkEnd w:id="21"/>
      <w:bookmarkEnd w:id="22"/>
    </w:p>
    <w:p>
      <w:pPr>
        <w:pStyle w:val="24"/>
        <w:spacing w:line="360" w:lineRule="auto"/>
        <w:ind w:firstLine="561"/>
        <w:rPr>
          <w:rFonts w:ascii="仿宋" w:hAnsi="仿宋" w:eastAsia="仿宋"/>
          <w:sz w:val="28"/>
        </w:rPr>
      </w:pPr>
      <w:r>
        <w:rPr>
          <w:rFonts w:hint="eastAsia" w:ascii="仿宋" w:hAnsi="仿宋" w:eastAsia="仿宋"/>
          <w:sz w:val="28"/>
        </w:rPr>
        <w:t>22. 资格审查</w:t>
      </w:r>
    </w:p>
    <w:p>
      <w:pPr>
        <w:pStyle w:val="24"/>
        <w:spacing w:line="360" w:lineRule="auto"/>
        <w:ind w:firstLine="561"/>
        <w:rPr>
          <w:rFonts w:ascii="仿宋" w:hAnsi="仿宋" w:eastAsia="仿宋"/>
          <w:sz w:val="28"/>
        </w:rPr>
      </w:pPr>
      <w:r>
        <w:rPr>
          <w:rFonts w:hint="eastAsia" w:ascii="仿宋" w:hAnsi="仿宋" w:eastAsia="仿宋"/>
          <w:sz w:val="28"/>
        </w:rPr>
        <w:t>22.1 采购人按照本章第8.1.1条中规定的内容对各供应商的投标文件进行资格审查。资格审查不合格的，其招标无效。</w:t>
      </w:r>
    </w:p>
    <w:p>
      <w:pPr>
        <w:pStyle w:val="24"/>
        <w:spacing w:line="360" w:lineRule="auto"/>
        <w:ind w:firstLine="561"/>
        <w:rPr>
          <w:rFonts w:ascii="仿宋" w:hAnsi="仿宋" w:eastAsia="仿宋"/>
          <w:sz w:val="28"/>
        </w:rPr>
      </w:pPr>
      <w:r>
        <w:rPr>
          <w:rFonts w:hint="eastAsia" w:ascii="仿宋" w:hAnsi="仿宋" w:eastAsia="仿宋"/>
          <w:sz w:val="28"/>
        </w:rPr>
        <w:t>22.2 合格供应商不足三家的，不进行招标。</w:t>
      </w:r>
    </w:p>
    <w:p>
      <w:pPr>
        <w:pStyle w:val="6"/>
        <w:spacing w:line="360" w:lineRule="auto"/>
      </w:pPr>
      <w:bookmarkStart w:id="23" w:name="_Toc56170386"/>
      <w:bookmarkStart w:id="24" w:name="_Toc61184629"/>
      <w:r>
        <w:rPr>
          <w:rFonts w:hint="eastAsia"/>
        </w:rPr>
        <w:t>七、招标和定标</w:t>
      </w:r>
      <w:bookmarkEnd w:id="23"/>
      <w:bookmarkEnd w:id="24"/>
    </w:p>
    <w:p>
      <w:pPr>
        <w:pStyle w:val="24"/>
        <w:spacing w:line="360" w:lineRule="auto"/>
        <w:ind w:firstLine="560"/>
        <w:jc w:val="both"/>
        <w:rPr>
          <w:rFonts w:ascii="仿宋" w:hAnsi="仿宋" w:eastAsia="仿宋"/>
          <w:sz w:val="28"/>
        </w:rPr>
      </w:pPr>
      <w:r>
        <w:rPr>
          <w:rFonts w:hint="eastAsia" w:ascii="仿宋" w:hAnsi="仿宋" w:eastAsia="仿宋"/>
          <w:sz w:val="28"/>
        </w:rPr>
        <w:t>23. 招标原则</w:t>
      </w:r>
    </w:p>
    <w:p>
      <w:pPr>
        <w:pStyle w:val="24"/>
        <w:spacing w:line="360" w:lineRule="auto"/>
        <w:ind w:firstLine="560"/>
        <w:jc w:val="both"/>
        <w:rPr>
          <w:rFonts w:ascii="仿宋" w:hAnsi="仿宋" w:eastAsia="仿宋"/>
          <w:sz w:val="28"/>
        </w:rPr>
      </w:pPr>
      <w:r>
        <w:rPr>
          <w:rFonts w:hint="eastAsia" w:ascii="仿宋" w:hAnsi="仿宋" w:eastAsia="仿宋"/>
          <w:sz w:val="28"/>
        </w:rPr>
        <w:t>23.1 本项目的招标遵循公平、公正、科学、择优的原则。</w:t>
      </w:r>
    </w:p>
    <w:p>
      <w:pPr>
        <w:pStyle w:val="24"/>
        <w:spacing w:line="360" w:lineRule="auto"/>
        <w:ind w:firstLine="560"/>
        <w:jc w:val="both"/>
        <w:rPr>
          <w:rFonts w:ascii="仿宋" w:hAnsi="仿宋" w:eastAsia="仿宋"/>
          <w:sz w:val="28"/>
        </w:rPr>
      </w:pPr>
      <w:r>
        <w:rPr>
          <w:rFonts w:hint="eastAsia" w:ascii="仿宋" w:hAnsi="仿宋" w:eastAsia="仿宋"/>
          <w:sz w:val="28"/>
        </w:rPr>
        <w:t>23.2 招标委员会将严格按照《中华人民共和国政府采购法》、中华人民共和国政府采购法实施条例（国务院令第658号）、《政府采购货物和服务招标投标管理办法》（财政部87号令）、《政府采购公开招标采购方式管理暂行办法》财库〔2014〕214号等相关法律法规的规定依法招标，维护各方当事人的合法权益。</w:t>
      </w:r>
    </w:p>
    <w:p>
      <w:pPr>
        <w:pStyle w:val="24"/>
        <w:spacing w:line="360" w:lineRule="auto"/>
        <w:ind w:firstLine="560"/>
        <w:jc w:val="both"/>
        <w:rPr>
          <w:rFonts w:ascii="仿宋" w:hAnsi="仿宋" w:eastAsia="仿宋"/>
          <w:sz w:val="28"/>
        </w:rPr>
      </w:pPr>
      <w:r>
        <w:rPr>
          <w:rFonts w:hint="eastAsia" w:ascii="仿宋" w:hAnsi="仿宋" w:eastAsia="仿宋"/>
          <w:sz w:val="28"/>
        </w:rPr>
        <w:t>23.3 不徇私情，不明招暗定。</w:t>
      </w:r>
    </w:p>
    <w:p>
      <w:pPr>
        <w:pStyle w:val="24"/>
        <w:spacing w:line="360" w:lineRule="auto"/>
        <w:ind w:firstLine="560"/>
        <w:jc w:val="both"/>
        <w:rPr>
          <w:rFonts w:ascii="仿宋" w:hAnsi="仿宋" w:eastAsia="仿宋"/>
          <w:sz w:val="28"/>
        </w:rPr>
      </w:pPr>
      <w:r>
        <w:rPr>
          <w:rFonts w:hint="eastAsia" w:ascii="仿宋" w:hAnsi="仿宋" w:eastAsia="仿宋"/>
          <w:sz w:val="28"/>
        </w:rPr>
        <w:t>23.4 资格审查合格的供应商，均有同等机会参加竞争。</w:t>
      </w:r>
    </w:p>
    <w:p>
      <w:pPr>
        <w:pStyle w:val="24"/>
        <w:spacing w:line="360" w:lineRule="auto"/>
        <w:ind w:firstLine="560"/>
        <w:jc w:val="both"/>
        <w:rPr>
          <w:rFonts w:ascii="仿宋" w:hAnsi="仿宋" w:eastAsia="仿宋"/>
          <w:sz w:val="28"/>
        </w:rPr>
      </w:pPr>
      <w:r>
        <w:rPr>
          <w:rFonts w:hint="eastAsia" w:ascii="仿宋" w:hAnsi="仿宋" w:eastAsia="仿宋"/>
          <w:sz w:val="28"/>
        </w:rPr>
        <w:t>23.5 招标委员会不得私自泄露招标内容，不得进行旨在影响招标结果公正、公平的任何活动。</w:t>
      </w:r>
    </w:p>
    <w:p>
      <w:pPr>
        <w:pStyle w:val="24"/>
        <w:spacing w:line="360" w:lineRule="auto"/>
        <w:ind w:firstLine="560"/>
        <w:jc w:val="both"/>
        <w:rPr>
          <w:rFonts w:ascii="仿宋" w:hAnsi="仿宋" w:eastAsia="仿宋"/>
          <w:sz w:val="28"/>
        </w:rPr>
      </w:pPr>
      <w:r>
        <w:rPr>
          <w:rFonts w:hint="eastAsia" w:ascii="仿宋" w:hAnsi="仿宋" w:eastAsia="仿宋"/>
          <w:sz w:val="28"/>
        </w:rPr>
        <w:t>24. 招标方法</w:t>
      </w:r>
    </w:p>
    <w:p>
      <w:pPr>
        <w:pStyle w:val="24"/>
        <w:spacing w:line="360" w:lineRule="auto"/>
        <w:ind w:firstLine="560"/>
        <w:jc w:val="both"/>
        <w:rPr>
          <w:rFonts w:ascii="仿宋" w:hAnsi="仿宋" w:eastAsia="仿宋"/>
          <w:sz w:val="28"/>
        </w:rPr>
      </w:pPr>
      <w:r>
        <w:rPr>
          <w:rFonts w:hint="eastAsia" w:ascii="仿宋" w:hAnsi="仿宋" w:eastAsia="仿宋"/>
          <w:sz w:val="28"/>
        </w:rPr>
        <w:t>24.1 采购代理机构将根据有关法律法规的规定组建本次招标的招标委员会。招标委员会成员由本行业相关技术、经济等方面的专家组成。其中，技术、经济等方面的专家不少于成员总人数的三分之二。</w:t>
      </w:r>
    </w:p>
    <w:p>
      <w:pPr>
        <w:pStyle w:val="24"/>
        <w:spacing w:line="360" w:lineRule="auto"/>
        <w:ind w:firstLine="560"/>
        <w:jc w:val="both"/>
        <w:rPr>
          <w:rFonts w:ascii="仿宋" w:hAnsi="仿宋" w:eastAsia="仿宋"/>
          <w:sz w:val="28"/>
        </w:rPr>
      </w:pPr>
      <w:r>
        <w:rPr>
          <w:rFonts w:hint="eastAsia" w:ascii="仿宋" w:hAnsi="仿宋" w:eastAsia="仿宋"/>
          <w:sz w:val="28"/>
        </w:rPr>
        <w:t>24.2 招标的依据为招标文件和投标文件。根据相关法律法规的规定，招标委员会不以任何外部证据作为其招标的依据或标准。</w:t>
      </w:r>
    </w:p>
    <w:p>
      <w:pPr>
        <w:pStyle w:val="24"/>
        <w:spacing w:line="360" w:lineRule="auto"/>
        <w:ind w:firstLine="560"/>
        <w:jc w:val="both"/>
        <w:rPr>
          <w:rFonts w:ascii="仿宋" w:hAnsi="仿宋" w:eastAsia="仿宋"/>
          <w:sz w:val="28"/>
        </w:rPr>
      </w:pPr>
      <w:r>
        <w:rPr>
          <w:rFonts w:hint="eastAsia" w:ascii="仿宋" w:hAnsi="仿宋" w:eastAsia="仿宋"/>
          <w:sz w:val="28"/>
        </w:rPr>
        <w:t>24.3 招标过程将严格保密。招标后直到授予成交供应商合同止，凡是属于审查、澄清、评价和比较的有关招标资料以及授标建议等均不得向供应商或其他无关的人员透露。</w:t>
      </w:r>
    </w:p>
    <w:p>
      <w:pPr>
        <w:pStyle w:val="24"/>
        <w:spacing w:line="360" w:lineRule="auto"/>
        <w:ind w:firstLine="560"/>
        <w:jc w:val="both"/>
        <w:rPr>
          <w:rFonts w:ascii="仿宋" w:hAnsi="仿宋" w:eastAsia="仿宋"/>
          <w:sz w:val="28"/>
        </w:rPr>
      </w:pPr>
      <w:r>
        <w:rPr>
          <w:rFonts w:hint="eastAsia" w:ascii="仿宋" w:hAnsi="仿宋" w:eastAsia="仿宋"/>
          <w:sz w:val="28"/>
        </w:rPr>
        <w:t>24.4 在招标的整个过程中，供应商所进行的旨在影响招标结果的活动，可能导致其招标被拒绝，或者被取消成交资格。</w:t>
      </w:r>
    </w:p>
    <w:p>
      <w:pPr>
        <w:pStyle w:val="24"/>
        <w:spacing w:line="360" w:lineRule="auto"/>
        <w:ind w:firstLine="562"/>
        <w:jc w:val="both"/>
        <w:rPr>
          <w:rFonts w:ascii="仿宋" w:hAnsi="仿宋" w:eastAsia="仿宋"/>
          <w:sz w:val="28"/>
        </w:rPr>
      </w:pPr>
      <w:r>
        <w:rPr>
          <w:rFonts w:hint="eastAsia" w:ascii="仿宋" w:hAnsi="仿宋" w:eastAsia="仿宋"/>
          <w:sz w:val="28"/>
        </w:rPr>
        <w:t>24.5 本次招标采用综合评分法进行招标。招标分符合性审查和详细评审两个阶段。</w:t>
      </w:r>
    </w:p>
    <w:p>
      <w:pPr>
        <w:pStyle w:val="24"/>
        <w:spacing w:line="360" w:lineRule="auto"/>
        <w:ind w:firstLine="562"/>
        <w:jc w:val="both"/>
        <w:rPr>
          <w:rFonts w:ascii="仿宋" w:hAnsi="仿宋" w:eastAsia="仿宋"/>
          <w:sz w:val="28"/>
        </w:rPr>
      </w:pPr>
      <w:r>
        <w:rPr>
          <w:rFonts w:hint="eastAsia" w:ascii="仿宋" w:hAnsi="仿宋" w:eastAsia="仿宋"/>
          <w:sz w:val="28"/>
        </w:rPr>
        <w:t>24.5.1 只有通过符合性审查的投标文件才可进入详细评审阶段。</w:t>
      </w:r>
    </w:p>
    <w:p>
      <w:pPr>
        <w:pStyle w:val="24"/>
        <w:spacing w:line="360" w:lineRule="auto"/>
        <w:ind w:firstLine="562"/>
        <w:jc w:val="both"/>
        <w:rPr>
          <w:rFonts w:ascii="仿宋" w:hAnsi="仿宋" w:eastAsia="仿宋"/>
          <w:sz w:val="28"/>
        </w:rPr>
      </w:pPr>
      <w:r>
        <w:rPr>
          <w:rFonts w:hint="eastAsia" w:ascii="仿宋" w:hAnsi="仿宋" w:eastAsia="仿宋"/>
          <w:sz w:val="28"/>
        </w:rPr>
        <w:t>24.5.2 详细评审分为商务评审（含招标报价得分计算）和技术评审两个部分。</w:t>
      </w:r>
    </w:p>
    <w:p>
      <w:pPr>
        <w:pStyle w:val="24"/>
        <w:spacing w:line="360" w:lineRule="auto"/>
        <w:ind w:firstLine="560"/>
        <w:jc w:val="both"/>
        <w:rPr>
          <w:rFonts w:ascii="仿宋" w:hAnsi="仿宋" w:eastAsia="仿宋"/>
          <w:sz w:val="28"/>
        </w:rPr>
      </w:pPr>
      <w:r>
        <w:rPr>
          <w:rFonts w:hint="eastAsia" w:ascii="仿宋" w:hAnsi="仿宋" w:eastAsia="仿宋"/>
          <w:sz w:val="28"/>
        </w:rPr>
        <w:t>24.6 符合性审查</w:t>
      </w:r>
    </w:p>
    <w:p>
      <w:pPr>
        <w:pStyle w:val="24"/>
        <w:spacing w:line="360" w:lineRule="auto"/>
        <w:ind w:firstLine="560"/>
        <w:jc w:val="both"/>
        <w:rPr>
          <w:rFonts w:ascii="仿宋" w:hAnsi="仿宋" w:eastAsia="仿宋"/>
          <w:sz w:val="28"/>
        </w:rPr>
      </w:pPr>
      <w:r>
        <w:rPr>
          <w:rFonts w:hint="eastAsia" w:ascii="仿宋" w:hAnsi="仿宋" w:eastAsia="仿宋"/>
          <w:sz w:val="28"/>
        </w:rPr>
        <w:t>招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与招标文件有重大偏离的投标文件将被拒绝，招标无效。具体评审内容系指：</w:t>
      </w:r>
    </w:p>
    <w:p>
      <w:pPr>
        <w:pStyle w:val="17"/>
        <w:spacing w:beforeAutospacing="0" w:afterAutospacing="0" w:line="360" w:lineRule="auto"/>
        <w:ind w:firstLine="560" w:firstLineChars="200"/>
        <w:rPr>
          <w:rFonts w:ascii="仿宋" w:hAnsi="仿宋" w:eastAsia="仿宋"/>
          <w:b/>
          <w:bCs/>
          <w:color w:val="000000"/>
          <w:sz w:val="28"/>
        </w:rPr>
      </w:pPr>
      <w:r>
        <w:rPr>
          <w:rFonts w:hint="eastAsia" w:ascii="仿宋" w:hAnsi="仿宋" w:eastAsia="仿宋"/>
          <w:b/>
          <w:bCs/>
          <w:color w:val="000000"/>
          <w:sz w:val="28"/>
        </w:rPr>
        <w:t xml:space="preserve">24.6.1 </w:t>
      </w:r>
      <w:r>
        <w:rPr>
          <w:rFonts w:hint="eastAsia" w:ascii="仿宋" w:hAnsi="仿宋" w:eastAsia="仿宋"/>
          <w:b/>
          <w:bCs/>
          <w:sz w:val="28"/>
        </w:rPr>
        <w:t>投标文件</w:t>
      </w:r>
      <w:r>
        <w:rPr>
          <w:rFonts w:hint="eastAsia" w:ascii="仿宋" w:hAnsi="仿宋" w:eastAsia="仿宋"/>
          <w:b/>
          <w:bCs/>
          <w:color w:val="000000"/>
          <w:sz w:val="28"/>
        </w:rPr>
        <w:t>组成不完整，主要内容未能按招标文件规定的内容、格式填写、装订；</w:t>
      </w:r>
    </w:p>
    <w:p>
      <w:pPr>
        <w:pStyle w:val="17"/>
        <w:spacing w:beforeAutospacing="0" w:afterAutospacing="0" w:line="360" w:lineRule="auto"/>
        <w:ind w:firstLine="560" w:firstLineChars="200"/>
        <w:rPr>
          <w:rFonts w:ascii="仿宋" w:hAnsi="仿宋" w:eastAsia="仿宋"/>
          <w:b/>
          <w:bCs/>
          <w:color w:val="000000"/>
          <w:sz w:val="28"/>
        </w:rPr>
      </w:pPr>
      <w:r>
        <w:rPr>
          <w:rFonts w:hint="eastAsia" w:ascii="仿宋" w:hAnsi="仿宋" w:eastAsia="仿宋"/>
          <w:b/>
          <w:bCs/>
          <w:color w:val="000000"/>
          <w:sz w:val="28"/>
        </w:rPr>
        <w:t xml:space="preserve">24.6.2 </w:t>
      </w:r>
      <w:r>
        <w:rPr>
          <w:rFonts w:hint="eastAsia" w:ascii="仿宋" w:hAnsi="仿宋" w:eastAsia="仿宋"/>
          <w:b/>
          <w:bCs/>
          <w:sz w:val="28"/>
        </w:rPr>
        <w:t>投标文件</w:t>
      </w:r>
      <w:r>
        <w:rPr>
          <w:rFonts w:hint="eastAsia" w:ascii="仿宋" w:hAnsi="仿宋" w:eastAsia="仿宋"/>
          <w:b/>
          <w:bCs/>
          <w:color w:val="000000"/>
          <w:sz w:val="28"/>
        </w:rPr>
        <w:t>的有效期不满足招标文件的规定；</w:t>
      </w:r>
    </w:p>
    <w:p>
      <w:pPr>
        <w:pStyle w:val="17"/>
        <w:spacing w:beforeAutospacing="0" w:afterAutospacing="0" w:line="360" w:lineRule="auto"/>
        <w:ind w:firstLine="560" w:firstLineChars="200"/>
        <w:rPr>
          <w:rFonts w:ascii="仿宋" w:hAnsi="仿宋" w:eastAsia="仿宋"/>
          <w:b/>
          <w:bCs/>
          <w:color w:val="000000"/>
          <w:sz w:val="28"/>
        </w:rPr>
      </w:pPr>
      <w:r>
        <w:rPr>
          <w:rFonts w:hint="eastAsia" w:ascii="仿宋" w:hAnsi="仿宋" w:eastAsia="仿宋"/>
          <w:b/>
          <w:bCs/>
          <w:color w:val="000000"/>
          <w:sz w:val="28"/>
        </w:rPr>
        <w:t>24.6.3 招标代表授权书未能由法定代表人签署</w:t>
      </w:r>
      <w:r>
        <w:rPr>
          <w:rFonts w:hint="eastAsia" w:ascii="仿宋" w:hAnsi="仿宋" w:eastAsia="仿宋"/>
          <w:b/>
          <w:bCs/>
          <w:color w:val="000000"/>
          <w:sz w:val="28"/>
          <w:lang w:val="zh-CN"/>
        </w:rPr>
        <w:t>并加盖公章</w:t>
      </w:r>
      <w:r>
        <w:rPr>
          <w:rFonts w:hint="eastAsia" w:ascii="仿宋" w:hAnsi="仿宋" w:eastAsia="仿宋"/>
          <w:b/>
          <w:bCs/>
          <w:color w:val="000000"/>
          <w:sz w:val="28"/>
        </w:rPr>
        <w:t>；</w:t>
      </w:r>
    </w:p>
    <w:p>
      <w:pPr>
        <w:pStyle w:val="24"/>
        <w:spacing w:line="360" w:lineRule="auto"/>
        <w:ind w:firstLine="560" w:firstLineChars="200"/>
        <w:jc w:val="both"/>
        <w:rPr>
          <w:rFonts w:ascii="仿宋" w:hAnsi="仿宋" w:eastAsia="仿宋"/>
          <w:b/>
          <w:bCs/>
          <w:sz w:val="28"/>
        </w:rPr>
      </w:pPr>
      <w:r>
        <w:rPr>
          <w:rFonts w:hint="eastAsia" w:ascii="仿宋" w:hAnsi="仿宋" w:eastAsia="仿宋"/>
          <w:b/>
          <w:bCs/>
          <w:sz w:val="28"/>
        </w:rPr>
        <w:t>24.6.4 投标文件没有按照规定在应由企业法人或法人授权代表在所有规定签章处逐一签署及加盖单位公章的；</w:t>
      </w:r>
    </w:p>
    <w:p>
      <w:pPr>
        <w:pStyle w:val="17"/>
        <w:spacing w:beforeAutospacing="0" w:afterAutospacing="0" w:line="360" w:lineRule="auto"/>
        <w:ind w:firstLine="560" w:firstLineChars="200"/>
        <w:rPr>
          <w:rFonts w:ascii="仿宋" w:hAnsi="仿宋" w:eastAsia="仿宋"/>
          <w:b/>
          <w:bCs/>
          <w:color w:val="000000"/>
          <w:sz w:val="28"/>
        </w:rPr>
      </w:pPr>
      <w:r>
        <w:rPr>
          <w:rFonts w:hint="eastAsia" w:ascii="仿宋" w:hAnsi="仿宋" w:eastAsia="仿宋"/>
          <w:b/>
          <w:bCs/>
          <w:color w:val="000000"/>
          <w:sz w:val="28"/>
        </w:rPr>
        <w:t>24.6.5 投标文件针对同一种货物出现了两个或两个以上的报价；</w:t>
      </w:r>
    </w:p>
    <w:p>
      <w:pPr>
        <w:pStyle w:val="17"/>
        <w:spacing w:beforeAutospacing="0" w:afterAutospacing="0" w:line="360" w:lineRule="auto"/>
        <w:ind w:firstLine="560" w:firstLineChars="200"/>
        <w:rPr>
          <w:rFonts w:ascii="仿宋" w:hAnsi="仿宋" w:eastAsia="仿宋"/>
          <w:b/>
          <w:bCs/>
          <w:color w:val="000000"/>
          <w:sz w:val="28"/>
        </w:rPr>
      </w:pPr>
      <w:r>
        <w:rPr>
          <w:rFonts w:hint="eastAsia" w:ascii="仿宋" w:hAnsi="仿宋" w:eastAsia="仿宋"/>
          <w:b/>
          <w:bCs/>
          <w:color w:val="000000"/>
          <w:sz w:val="28"/>
        </w:rPr>
        <w:t xml:space="preserve">24.6.6 </w:t>
      </w:r>
      <w:r>
        <w:rPr>
          <w:rFonts w:hint="eastAsia" w:ascii="仿宋" w:hAnsi="仿宋" w:eastAsia="仿宋"/>
          <w:b/>
          <w:bCs/>
          <w:sz w:val="28"/>
        </w:rPr>
        <w:t>投标文件</w:t>
      </w:r>
      <w:r>
        <w:rPr>
          <w:rFonts w:hint="eastAsia" w:ascii="仿宋" w:hAnsi="仿宋" w:eastAsia="仿宋"/>
          <w:b/>
          <w:bCs/>
          <w:color w:val="000000"/>
          <w:sz w:val="28"/>
        </w:rPr>
        <w:t>载明的招标项目交货期限超过招标文件规定的期限；</w:t>
      </w:r>
    </w:p>
    <w:p>
      <w:pPr>
        <w:pStyle w:val="17"/>
        <w:spacing w:beforeAutospacing="0" w:afterAutospacing="0" w:line="360" w:lineRule="auto"/>
        <w:ind w:firstLine="560" w:firstLineChars="200"/>
        <w:rPr>
          <w:rFonts w:ascii="仿宋" w:hAnsi="仿宋" w:eastAsia="仿宋"/>
          <w:b/>
          <w:bCs/>
          <w:color w:val="000000"/>
          <w:sz w:val="28"/>
        </w:rPr>
      </w:pPr>
      <w:r>
        <w:rPr>
          <w:rFonts w:hint="eastAsia" w:ascii="仿宋" w:hAnsi="仿宋" w:eastAsia="仿宋"/>
          <w:b/>
          <w:bCs/>
          <w:color w:val="000000"/>
          <w:sz w:val="28"/>
        </w:rPr>
        <w:t>24.6.7</w:t>
      </w:r>
      <w:r>
        <w:rPr>
          <w:rFonts w:hint="eastAsia" w:ascii="仿宋" w:hAnsi="仿宋" w:eastAsia="仿宋"/>
          <w:b/>
          <w:bCs/>
          <w:sz w:val="28"/>
        </w:rPr>
        <w:t>投标文件</w:t>
      </w:r>
      <w:r>
        <w:rPr>
          <w:rFonts w:hint="eastAsia" w:ascii="仿宋" w:hAnsi="仿宋" w:eastAsia="仿宋"/>
          <w:b/>
          <w:bCs/>
          <w:color w:val="000000"/>
          <w:sz w:val="28"/>
        </w:rPr>
        <w:t>载明的功能需求、验收标准和方法等不符合招标文件的要求；</w:t>
      </w:r>
    </w:p>
    <w:p>
      <w:pPr>
        <w:pStyle w:val="17"/>
        <w:spacing w:beforeAutospacing="0" w:afterAutospacing="0" w:line="360" w:lineRule="auto"/>
        <w:ind w:firstLine="560" w:firstLineChars="200"/>
        <w:rPr>
          <w:rFonts w:ascii="仿宋" w:hAnsi="仿宋" w:eastAsia="仿宋"/>
          <w:b/>
          <w:bCs/>
          <w:color w:val="000000"/>
          <w:sz w:val="28"/>
        </w:rPr>
      </w:pPr>
      <w:r>
        <w:rPr>
          <w:rFonts w:hint="eastAsia" w:ascii="仿宋" w:hAnsi="仿宋" w:eastAsia="仿宋"/>
          <w:b/>
          <w:bCs/>
          <w:color w:val="000000"/>
          <w:sz w:val="28"/>
        </w:rPr>
        <w:t>24.6.8 供应商的报价超过预算价或最高限价；</w:t>
      </w:r>
    </w:p>
    <w:p>
      <w:pPr>
        <w:pStyle w:val="17"/>
        <w:spacing w:beforeAutospacing="0" w:afterAutospacing="0" w:line="360" w:lineRule="auto"/>
        <w:ind w:firstLine="560" w:firstLineChars="200"/>
        <w:rPr>
          <w:rFonts w:ascii="仿宋" w:hAnsi="仿宋" w:eastAsia="仿宋"/>
          <w:b/>
          <w:bCs/>
          <w:color w:val="000000"/>
          <w:sz w:val="28"/>
        </w:rPr>
      </w:pPr>
      <w:r>
        <w:rPr>
          <w:rFonts w:hint="eastAsia" w:ascii="仿宋" w:hAnsi="仿宋" w:eastAsia="仿宋"/>
          <w:b/>
          <w:bCs/>
          <w:color w:val="000000"/>
          <w:sz w:val="28"/>
        </w:rPr>
        <w:t xml:space="preserve">24.6.9 </w:t>
      </w:r>
      <w:r>
        <w:rPr>
          <w:rFonts w:hint="eastAsia" w:ascii="仿宋" w:hAnsi="仿宋" w:eastAsia="仿宋"/>
          <w:b/>
          <w:bCs/>
          <w:sz w:val="28"/>
        </w:rPr>
        <w:t>投标文件</w:t>
      </w:r>
      <w:r>
        <w:rPr>
          <w:rFonts w:hint="eastAsia" w:ascii="仿宋" w:hAnsi="仿宋" w:eastAsia="仿宋"/>
          <w:b/>
          <w:bCs/>
          <w:color w:val="000000"/>
          <w:sz w:val="28"/>
        </w:rPr>
        <w:t>含有采购人不能接受的附加条件；</w:t>
      </w:r>
    </w:p>
    <w:p>
      <w:pPr>
        <w:pStyle w:val="17"/>
        <w:spacing w:beforeAutospacing="0" w:afterAutospacing="0" w:line="360" w:lineRule="auto"/>
        <w:ind w:firstLine="560" w:firstLineChars="200"/>
        <w:rPr>
          <w:rFonts w:ascii="仿宋" w:hAnsi="仿宋" w:eastAsia="仿宋"/>
          <w:color w:val="000000"/>
          <w:sz w:val="28"/>
        </w:rPr>
      </w:pPr>
      <w:r>
        <w:rPr>
          <w:rFonts w:hint="eastAsia" w:ascii="仿宋" w:hAnsi="仿宋" w:eastAsia="仿宋"/>
          <w:b/>
          <w:bCs/>
          <w:color w:val="000000"/>
          <w:sz w:val="28"/>
        </w:rPr>
        <w:t>24.6.10 不符合法律、法规和招标文件中规定的其他实质性要求。</w:t>
      </w:r>
    </w:p>
    <w:p>
      <w:pPr>
        <w:pStyle w:val="23"/>
        <w:spacing w:line="360" w:lineRule="auto"/>
        <w:ind w:firstLine="560"/>
        <w:rPr>
          <w:rFonts w:ascii="仿宋" w:hAnsi="仿宋" w:eastAsia="仿宋"/>
          <w:color w:val="000000"/>
        </w:rPr>
      </w:pPr>
      <w:r>
        <w:rPr>
          <w:rFonts w:hint="eastAsia" w:ascii="仿宋" w:hAnsi="仿宋" w:eastAsia="仿宋"/>
          <w:color w:val="000000"/>
        </w:rPr>
        <w:t>24.7 对通过符合性审查的</w:t>
      </w:r>
      <w:r>
        <w:rPr>
          <w:rFonts w:hint="eastAsia" w:ascii="仿宋" w:hAnsi="仿宋" w:eastAsia="仿宋"/>
        </w:rPr>
        <w:t>投标文件</w:t>
      </w:r>
      <w:r>
        <w:rPr>
          <w:rFonts w:hint="eastAsia" w:ascii="仿宋" w:hAnsi="仿宋" w:eastAsia="仿宋"/>
          <w:color w:val="000000"/>
        </w:rPr>
        <w:t>，招标委员会将对其进行算术性修正。算术性修正是指对</w:t>
      </w:r>
      <w:r>
        <w:rPr>
          <w:rFonts w:hint="eastAsia" w:ascii="仿宋" w:hAnsi="仿宋" w:eastAsia="仿宋"/>
        </w:rPr>
        <w:t>投标文件</w:t>
      </w:r>
      <w:r>
        <w:rPr>
          <w:rFonts w:hint="eastAsia" w:ascii="仿宋" w:hAnsi="仿宋" w:eastAsia="仿宋"/>
          <w:color w:val="000000"/>
        </w:rPr>
        <w:t>报价出现前后不一致的进行校核，并对其算术上和运算上的差错给予修正。修正的原则如下：</w:t>
      </w:r>
    </w:p>
    <w:p>
      <w:pPr>
        <w:pStyle w:val="17"/>
        <w:spacing w:beforeAutospacing="0" w:afterAutospacing="0" w:line="360" w:lineRule="auto"/>
        <w:ind w:firstLine="560" w:firstLineChars="200"/>
        <w:rPr>
          <w:rFonts w:ascii="仿宋" w:hAnsi="仿宋" w:eastAsia="仿宋"/>
          <w:color w:val="000000"/>
          <w:sz w:val="28"/>
        </w:rPr>
      </w:pPr>
      <w:r>
        <w:rPr>
          <w:rFonts w:hint="eastAsia" w:ascii="仿宋" w:hAnsi="仿宋" w:eastAsia="仿宋"/>
          <w:color w:val="000000"/>
          <w:sz w:val="28"/>
        </w:rPr>
        <w:t xml:space="preserve">24.7.1 </w:t>
      </w:r>
      <w:r>
        <w:rPr>
          <w:rFonts w:hint="eastAsia" w:ascii="仿宋" w:hAnsi="仿宋" w:eastAsia="仿宋"/>
          <w:sz w:val="28"/>
        </w:rPr>
        <w:t>投标文件</w:t>
      </w:r>
      <w:r>
        <w:rPr>
          <w:rFonts w:hint="eastAsia" w:ascii="仿宋" w:hAnsi="仿宋" w:eastAsia="仿宋"/>
          <w:color w:val="000000"/>
          <w:sz w:val="28"/>
        </w:rPr>
        <w:t>中招标一览表内容与</w:t>
      </w:r>
      <w:r>
        <w:rPr>
          <w:rFonts w:hint="eastAsia" w:ascii="仿宋" w:hAnsi="仿宋" w:eastAsia="仿宋"/>
          <w:sz w:val="28"/>
        </w:rPr>
        <w:t>投标文件</w:t>
      </w:r>
      <w:r>
        <w:rPr>
          <w:rFonts w:hint="eastAsia" w:ascii="仿宋" w:hAnsi="仿宋" w:eastAsia="仿宋"/>
          <w:color w:val="000000"/>
          <w:sz w:val="28"/>
        </w:rPr>
        <w:t>中相应内容不一致的，以招标一览表为准；</w:t>
      </w:r>
    </w:p>
    <w:p>
      <w:pPr>
        <w:pStyle w:val="17"/>
        <w:spacing w:beforeAutospacing="0" w:afterAutospacing="0" w:line="360" w:lineRule="auto"/>
        <w:ind w:firstLine="560" w:firstLineChars="200"/>
        <w:rPr>
          <w:rFonts w:ascii="仿宋" w:hAnsi="仿宋" w:eastAsia="仿宋"/>
          <w:color w:val="000000"/>
          <w:sz w:val="28"/>
        </w:rPr>
      </w:pPr>
      <w:r>
        <w:rPr>
          <w:rFonts w:hint="eastAsia" w:ascii="仿宋" w:hAnsi="仿宋" w:eastAsia="仿宋"/>
          <w:color w:val="000000"/>
          <w:sz w:val="28"/>
        </w:rPr>
        <w:t xml:space="preserve">24.7.2 </w:t>
      </w:r>
      <w:r>
        <w:rPr>
          <w:rFonts w:hint="eastAsia" w:ascii="仿宋" w:hAnsi="仿宋" w:eastAsia="仿宋"/>
          <w:sz w:val="28"/>
        </w:rPr>
        <w:t>投标文件</w:t>
      </w:r>
      <w:r>
        <w:rPr>
          <w:rFonts w:hint="eastAsia" w:ascii="仿宋" w:hAnsi="仿宋" w:eastAsia="仿宋"/>
          <w:color w:val="000000"/>
          <w:sz w:val="28"/>
        </w:rPr>
        <w:t>的大写金额和小写金额不一致的，以大写金额为准；</w:t>
      </w:r>
    </w:p>
    <w:p>
      <w:pPr>
        <w:pStyle w:val="17"/>
        <w:spacing w:beforeAutospacing="0" w:afterAutospacing="0" w:line="360" w:lineRule="auto"/>
        <w:ind w:firstLine="560" w:firstLineChars="200"/>
        <w:rPr>
          <w:rFonts w:ascii="仿宋" w:hAnsi="仿宋" w:eastAsia="仿宋"/>
          <w:color w:val="000000"/>
          <w:sz w:val="28"/>
        </w:rPr>
      </w:pPr>
      <w:r>
        <w:rPr>
          <w:rFonts w:hint="eastAsia" w:ascii="仿宋" w:hAnsi="仿宋" w:eastAsia="仿宋"/>
          <w:color w:val="000000"/>
          <w:sz w:val="28"/>
        </w:rPr>
        <w:t>24.7.3 单价金额小数点或者百分比有明显错位的，以招标一览表的总价为准，并修改单价；</w:t>
      </w:r>
    </w:p>
    <w:p>
      <w:pPr>
        <w:pStyle w:val="17"/>
        <w:spacing w:beforeAutospacing="0" w:afterAutospacing="0" w:line="360" w:lineRule="auto"/>
        <w:ind w:firstLine="560" w:firstLineChars="200"/>
        <w:rPr>
          <w:rFonts w:ascii="仿宋" w:hAnsi="仿宋" w:eastAsia="仿宋"/>
          <w:color w:val="000000"/>
          <w:sz w:val="28"/>
        </w:rPr>
      </w:pPr>
      <w:r>
        <w:rPr>
          <w:rFonts w:hint="eastAsia" w:ascii="仿宋" w:hAnsi="仿宋" w:eastAsia="仿宋"/>
          <w:color w:val="000000"/>
          <w:sz w:val="28"/>
        </w:rPr>
        <w:t>24.7.4 总价金额与按单价汇总金额不一致的，以单价金额计算结果为准。</w:t>
      </w:r>
    </w:p>
    <w:p>
      <w:pPr>
        <w:pStyle w:val="17"/>
        <w:spacing w:beforeAutospacing="0" w:afterAutospacing="0" w:line="360" w:lineRule="auto"/>
        <w:ind w:firstLine="560" w:firstLineChars="200"/>
        <w:rPr>
          <w:rFonts w:ascii="仿宋" w:hAnsi="仿宋" w:eastAsia="仿宋"/>
          <w:color w:val="000000"/>
          <w:sz w:val="28"/>
        </w:rPr>
      </w:pPr>
      <w:r>
        <w:rPr>
          <w:rFonts w:hint="eastAsia" w:ascii="仿宋" w:hAnsi="仿宋" w:eastAsia="仿宋"/>
          <w:color w:val="000000"/>
          <w:sz w:val="28"/>
        </w:rPr>
        <w:t>24.7.5 同时出现两种以上不一致的，按照上述规定的顺序修正。修正后的报价须供应商确认，如果供应商拒绝确认，其招标无效。</w:t>
      </w:r>
    </w:p>
    <w:p>
      <w:pPr>
        <w:pStyle w:val="17"/>
        <w:spacing w:beforeAutospacing="0" w:afterAutospacing="0" w:line="360" w:lineRule="auto"/>
        <w:ind w:firstLine="560" w:firstLineChars="200"/>
        <w:rPr>
          <w:rFonts w:ascii="仿宋" w:hAnsi="仿宋" w:eastAsia="仿宋"/>
          <w:color w:val="000000"/>
          <w:sz w:val="28"/>
        </w:rPr>
      </w:pPr>
      <w:r>
        <w:rPr>
          <w:rFonts w:hint="eastAsia" w:ascii="仿宋" w:hAnsi="仿宋" w:eastAsia="仿宋"/>
          <w:color w:val="000000"/>
          <w:sz w:val="28"/>
        </w:rPr>
        <w:t>24.7.6 对不同文字文本招标文件的解释发生异议的，以中文文本为准。</w:t>
      </w:r>
    </w:p>
    <w:p>
      <w:pPr>
        <w:pStyle w:val="17"/>
        <w:spacing w:beforeAutospacing="0" w:afterAutospacing="0" w:line="360" w:lineRule="auto"/>
        <w:ind w:firstLine="560" w:firstLineChars="200"/>
        <w:rPr>
          <w:rFonts w:ascii="仿宋" w:hAnsi="仿宋" w:eastAsia="仿宋"/>
          <w:color w:val="000000"/>
          <w:sz w:val="28"/>
        </w:rPr>
      </w:pPr>
      <w:r>
        <w:rPr>
          <w:rFonts w:hint="eastAsia" w:ascii="仿宋" w:hAnsi="仿宋" w:eastAsia="仿宋"/>
          <w:color w:val="000000"/>
          <w:sz w:val="28"/>
        </w:rPr>
        <w:t>24.7.7 招标委员会将拒绝被定为实质上非响应性的招标，供应商不能通过修正或撤销不符之处而使其招标成为响应性招标。</w:t>
      </w:r>
    </w:p>
    <w:p>
      <w:pPr>
        <w:pStyle w:val="17"/>
        <w:spacing w:beforeAutospacing="0" w:afterAutospacing="0" w:line="360" w:lineRule="auto"/>
        <w:ind w:firstLine="560" w:firstLineChars="200"/>
        <w:rPr>
          <w:rFonts w:ascii="仿宋" w:hAnsi="仿宋" w:eastAsia="仿宋"/>
          <w:color w:val="000000"/>
          <w:sz w:val="28"/>
        </w:rPr>
      </w:pPr>
      <w:r>
        <w:rPr>
          <w:rFonts w:hint="eastAsia" w:ascii="仿宋" w:hAnsi="仿宋" w:eastAsia="仿宋"/>
          <w:color w:val="000000"/>
          <w:sz w:val="28"/>
        </w:rPr>
        <w:t>24.7.8 招标委员会将允许招标中有微小的不正规、不一致或不规则，而该微小之处不构成重大偏离。</w:t>
      </w:r>
    </w:p>
    <w:p>
      <w:pPr>
        <w:pStyle w:val="26"/>
        <w:spacing w:line="360" w:lineRule="auto"/>
        <w:ind w:firstLine="560"/>
        <w:jc w:val="both"/>
        <w:rPr>
          <w:rFonts w:ascii="仿宋" w:hAnsi="仿宋" w:eastAsia="仿宋"/>
          <w:b w:val="0"/>
          <w:color w:val="000000"/>
          <w:kern w:val="0"/>
          <w:sz w:val="28"/>
        </w:rPr>
      </w:pPr>
      <w:r>
        <w:rPr>
          <w:rFonts w:hint="eastAsia" w:ascii="仿宋" w:hAnsi="仿宋" w:eastAsia="仿宋"/>
          <w:b w:val="0"/>
          <w:color w:val="000000"/>
          <w:kern w:val="0"/>
          <w:sz w:val="28"/>
        </w:rPr>
        <w:t>24.8 详细评审</w:t>
      </w:r>
    </w:p>
    <w:p>
      <w:pPr>
        <w:pStyle w:val="26"/>
        <w:spacing w:line="360" w:lineRule="auto"/>
        <w:ind w:firstLine="560"/>
        <w:jc w:val="both"/>
        <w:rPr>
          <w:rFonts w:ascii="仿宋" w:hAnsi="仿宋" w:eastAsia="仿宋"/>
          <w:b w:val="0"/>
          <w:color w:val="000000"/>
          <w:kern w:val="0"/>
          <w:sz w:val="28"/>
        </w:rPr>
      </w:pPr>
      <w:r>
        <w:rPr>
          <w:rFonts w:hint="eastAsia" w:ascii="仿宋" w:hAnsi="仿宋" w:eastAsia="仿宋"/>
          <w:b w:val="0"/>
          <w:color w:val="000000"/>
          <w:kern w:val="0"/>
          <w:sz w:val="28"/>
        </w:rPr>
        <w:t>24.8.1 招标委员会对符合性审查合格的投标文件进行商务和技术评审，综合比较与评价。以投标文件能最大限度地满足招标文件中规定的各项评价标准为依据，独立地对各投标文件进行评审和打分。</w:t>
      </w:r>
    </w:p>
    <w:p>
      <w:pPr>
        <w:pStyle w:val="26"/>
        <w:spacing w:line="360" w:lineRule="auto"/>
        <w:ind w:firstLine="560"/>
        <w:jc w:val="left"/>
        <w:rPr>
          <w:rFonts w:ascii="仿宋" w:hAnsi="仿宋" w:eastAsia="仿宋"/>
          <w:b w:val="0"/>
          <w:color w:val="000000"/>
          <w:sz w:val="28"/>
        </w:rPr>
      </w:pPr>
      <w:r>
        <w:rPr>
          <w:rFonts w:hint="eastAsia" w:ascii="仿宋" w:hAnsi="仿宋" w:eastAsia="仿宋"/>
          <w:b w:val="0"/>
          <w:color w:val="000000"/>
          <w:sz w:val="28"/>
        </w:rPr>
        <w:t>24.8.2 招标委员会将对下述评审因素进行量化，并根据评委会每个成员对</w:t>
      </w:r>
      <w:r>
        <w:rPr>
          <w:rFonts w:hint="eastAsia" w:ascii="仿宋" w:hAnsi="仿宋" w:eastAsia="仿宋"/>
          <w:b w:val="0"/>
          <w:color w:val="000000"/>
          <w:kern w:val="0"/>
          <w:sz w:val="28"/>
        </w:rPr>
        <w:t>投标文件</w:t>
      </w:r>
      <w:r>
        <w:rPr>
          <w:rFonts w:hint="eastAsia" w:ascii="仿宋" w:hAnsi="仿宋" w:eastAsia="仿宋"/>
          <w:b w:val="0"/>
          <w:color w:val="000000"/>
          <w:sz w:val="28"/>
        </w:rPr>
        <w:t>的评审和理解进行打分，满分为100分。商务部分权重占40%，其中价格满分为30分，商务条件满分为10分；技术部分权重占60%，满分为60分。供应商两部分的分值相加，即为该供应商的综合评估分。</w:t>
      </w:r>
    </w:p>
    <w:p>
      <w:pPr>
        <w:pStyle w:val="26"/>
        <w:spacing w:line="360" w:lineRule="auto"/>
        <w:ind w:firstLine="560"/>
        <w:jc w:val="both"/>
        <w:rPr>
          <w:rFonts w:ascii="仿宋" w:hAnsi="仿宋" w:eastAsia="仿宋"/>
          <w:b w:val="0"/>
          <w:color w:val="000000"/>
          <w:sz w:val="28"/>
        </w:rPr>
      </w:pPr>
      <w:r>
        <w:rPr>
          <w:rFonts w:hint="eastAsia" w:ascii="仿宋" w:hAnsi="仿宋" w:eastAsia="仿宋"/>
          <w:b w:val="0"/>
          <w:color w:val="000000"/>
          <w:sz w:val="28"/>
        </w:rPr>
        <w:t>具体分值见下表：</w:t>
      </w:r>
    </w:p>
    <w:p>
      <w:pPr>
        <w:pStyle w:val="26"/>
        <w:spacing w:line="360" w:lineRule="auto"/>
        <w:ind w:firstLine="0" w:firstLineChars="0"/>
        <w:jc w:val="both"/>
        <w:rPr>
          <w:rFonts w:ascii="仿宋" w:hAnsi="仿宋" w:eastAsia="仿宋"/>
          <w:b w:val="0"/>
          <w:color w:val="000000"/>
          <w:sz w:val="28"/>
        </w:rPr>
      </w:pPr>
      <w:r>
        <w:rPr>
          <w:rFonts w:hint="eastAsia" w:ascii="仿宋" w:hAnsi="仿宋" w:eastAsia="仿宋"/>
          <w:b w:val="0"/>
          <w:color w:val="000000"/>
          <w:sz w:val="28"/>
        </w:rPr>
        <w:t>A、商务部分（40分）</w:t>
      </w:r>
    </w:p>
    <w:tbl>
      <w:tblPr>
        <w:tblStyle w:val="19"/>
        <w:tblpPr w:leftFromText="180" w:rightFromText="180" w:vertAnchor="text" w:horzAnchor="page" w:tblpX="1122" w:tblpY="5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09"/>
        <w:gridCol w:w="1072"/>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blHeader/>
        </w:trPr>
        <w:tc>
          <w:tcPr>
            <w:tcW w:w="2406" w:type="dxa"/>
            <w:gridSpan w:val="2"/>
            <w:tcBorders>
              <w:top w:val="single" w:color="auto" w:sz="4" w:space="0"/>
              <w:left w:val="single" w:color="auto" w:sz="4" w:space="0"/>
              <w:bottom w:val="single" w:color="auto" w:sz="4" w:space="0"/>
              <w:right w:val="single" w:color="auto" w:sz="4" w:space="0"/>
            </w:tcBorders>
            <w:vAlign w:val="center"/>
          </w:tcPr>
          <w:p>
            <w:pPr>
              <w:pStyle w:val="27"/>
              <w:spacing w:line="360" w:lineRule="auto"/>
              <w:rPr>
                <w:rFonts w:ascii="仿宋" w:hAnsi="仿宋" w:eastAsia="仿宋"/>
                <w:b w:val="0"/>
                <w:sz w:val="24"/>
                <w:szCs w:val="24"/>
              </w:rPr>
            </w:pPr>
            <w:r>
              <w:rPr>
                <w:rFonts w:hint="eastAsia" w:ascii="仿宋" w:hAnsi="仿宋" w:eastAsia="仿宋"/>
                <w:b w:val="0"/>
                <w:sz w:val="24"/>
                <w:szCs w:val="24"/>
              </w:rPr>
              <w:t>投标项目</w:t>
            </w:r>
          </w:p>
        </w:tc>
        <w:tc>
          <w:tcPr>
            <w:tcW w:w="1072" w:type="dxa"/>
            <w:tcBorders>
              <w:top w:val="single" w:color="auto" w:sz="4" w:space="0"/>
              <w:left w:val="single" w:color="auto" w:sz="4" w:space="0"/>
              <w:bottom w:val="single" w:color="auto" w:sz="4" w:space="0"/>
              <w:right w:val="single" w:color="auto" w:sz="4" w:space="0"/>
            </w:tcBorders>
            <w:vAlign w:val="center"/>
          </w:tcPr>
          <w:p>
            <w:pPr>
              <w:pStyle w:val="27"/>
              <w:spacing w:line="360" w:lineRule="auto"/>
              <w:rPr>
                <w:rFonts w:ascii="仿宋" w:hAnsi="仿宋" w:eastAsia="仿宋"/>
                <w:b w:val="0"/>
                <w:sz w:val="24"/>
                <w:szCs w:val="24"/>
              </w:rPr>
            </w:pPr>
            <w:r>
              <w:rPr>
                <w:rFonts w:hint="eastAsia" w:ascii="仿宋" w:hAnsi="仿宋" w:eastAsia="仿宋"/>
                <w:b w:val="0"/>
                <w:sz w:val="24"/>
                <w:szCs w:val="24"/>
              </w:rPr>
              <w:t>分值</w:t>
            </w:r>
          </w:p>
        </w:tc>
        <w:tc>
          <w:tcPr>
            <w:tcW w:w="6195" w:type="dxa"/>
            <w:tcBorders>
              <w:top w:val="single" w:color="auto" w:sz="4" w:space="0"/>
              <w:left w:val="single" w:color="auto" w:sz="4" w:space="0"/>
              <w:bottom w:val="single" w:color="auto" w:sz="4" w:space="0"/>
              <w:right w:val="single" w:color="auto" w:sz="4" w:space="0"/>
            </w:tcBorders>
            <w:vAlign w:val="center"/>
          </w:tcPr>
          <w:p>
            <w:pPr>
              <w:pStyle w:val="27"/>
              <w:spacing w:line="360" w:lineRule="auto"/>
              <w:rPr>
                <w:rFonts w:ascii="仿宋" w:hAnsi="仿宋" w:eastAsia="仿宋"/>
                <w:b w:val="0"/>
                <w:sz w:val="24"/>
                <w:szCs w:val="24"/>
              </w:rPr>
            </w:pPr>
            <w:r>
              <w:rPr>
                <w:rFonts w:hint="eastAsia" w:ascii="仿宋" w:hAnsi="仿宋" w:eastAsia="仿宋"/>
                <w:b w:val="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406" w:type="dxa"/>
            <w:gridSpan w:val="2"/>
            <w:tcBorders>
              <w:top w:val="single" w:color="auto" w:sz="4" w:space="0"/>
              <w:left w:val="single" w:color="auto" w:sz="4" w:space="0"/>
              <w:bottom w:val="single" w:color="auto" w:sz="4" w:space="0"/>
              <w:right w:val="single" w:color="auto" w:sz="4" w:space="0"/>
            </w:tcBorders>
            <w:vAlign w:val="center"/>
          </w:tcPr>
          <w:p>
            <w:pPr>
              <w:pStyle w:val="27"/>
              <w:spacing w:line="360" w:lineRule="auto"/>
              <w:rPr>
                <w:rFonts w:ascii="仿宋" w:hAnsi="仿宋" w:eastAsia="仿宋"/>
                <w:b w:val="0"/>
                <w:sz w:val="24"/>
                <w:szCs w:val="24"/>
              </w:rPr>
            </w:pPr>
            <w:r>
              <w:rPr>
                <w:rFonts w:hint="eastAsia" w:ascii="仿宋" w:hAnsi="仿宋" w:eastAsia="仿宋"/>
                <w:b w:val="0"/>
                <w:sz w:val="24"/>
                <w:szCs w:val="24"/>
              </w:rPr>
              <w:t>价格</w:t>
            </w:r>
          </w:p>
        </w:tc>
        <w:tc>
          <w:tcPr>
            <w:tcW w:w="1072" w:type="dxa"/>
            <w:tcBorders>
              <w:top w:val="single" w:color="auto" w:sz="4" w:space="0"/>
              <w:left w:val="single" w:color="auto" w:sz="4" w:space="0"/>
              <w:bottom w:val="single" w:color="auto" w:sz="4" w:space="0"/>
              <w:right w:val="single" w:color="auto" w:sz="4" w:space="0"/>
            </w:tcBorders>
            <w:vAlign w:val="center"/>
          </w:tcPr>
          <w:p>
            <w:pPr>
              <w:pStyle w:val="27"/>
              <w:spacing w:line="360" w:lineRule="auto"/>
              <w:rPr>
                <w:rFonts w:ascii="仿宋" w:hAnsi="仿宋" w:eastAsia="仿宋"/>
                <w:b w:val="0"/>
                <w:sz w:val="24"/>
                <w:szCs w:val="24"/>
              </w:rPr>
            </w:pPr>
            <w:r>
              <w:rPr>
                <w:rFonts w:hint="eastAsia" w:ascii="仿宋" w:hAnsi="仿宋" w:eastAsia="仿宋"/>
                <w:b w:val="0"/>
                <w:sz w:val="24"/>
                <w:szCs w:val="24"/>
              </w:rPr>
              <w:t>30分</w:t>
            </w:r>
          </w:p>
        </w:tc>
        <w:tc>
          <w:tcPr>
            <w:tcW w:w="61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olor w:val="000000"/>
                <w:kern w:val="0"/>
                <w:sz w:val="24"/>
                <w:szCs w:val="24"/>
              </w:rPr>
            </w:pPr>
            <w:r>
              <w:rPr>
                <w:rFonts w:hint="eastAsia" w:ascii="仿宋" w:hAnsi="仿宋" w:eastAsia="仿宋"/>
                <w:color w:val="000000"/>
                <w:kern w:val="0"/>
                <w:sz w:val="24"/>
                <w:szCs w:val="24"/>
              </w:rPr>
              <w:t>报价得分=（磋商基准价／磋商价格）×30%×100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97" w:type="dxa"/>
            <w:vMerge w:val="restart"/>
            <w:tcBorders>
              <w:top w:val="single" w:color="auto" w:sz="4" w:space="0"/>
              <w:left w:val="single" w:color="auto" w:sz="4" w:space="0"/>
              <w:bottom w:val="single" w:color="auto" w:sz="4" w:space="0"/>
              <w:right w:val="single" w:color="auto" w:sz="4" w:space="0"/>
            </w:tcBorders>
            <w:vAlign w:val="center"/>
          </w:tcPr>
          <w:p>
            <w:pPr>
              <w:pStyle w:val="27"/>
              <w:spacing w:line="360" w:lineRule="auto"/>
              <w:rPr>
                <w:rFonts w:ascii="仿宋" w:hAnsi="仿宋" w:eastAsia="仿宋"/>
                <w:b w:val="0"/>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26"/>
              <w:snapToGrid w:val="0"/>
              <w:spacing w:line="360" w:lineRule="auto"/>
              <w:ind w:firstLine="0" w:firstLineChars="0"/>
              <w:rPr>
                <w:rFonts w:ascii="仿宋" w:hAnsi="仿宋" w:eastAsia="仿宋"/>
                <w:color w:val="000000"/>
                <w:kern w:val="0"/>
                <w:sz w:val="24"/>
                <w:szCs w:val="24"/>
              </w:rPr>
            </w:pPr>
            <w:r>
              <w:rPr>
                <w:rFonts w:hint="eastAsia" w:ascii="仿宋" w:hAnsi="仿宋" w:eastAsia="仿宋"/>
                <w:b w:val="0"/>
                <w:kern w:val="0"/>
                <w:sz w:val="24"/>
                <w:szCs w:val="24"/>
              </w:rPr>
              <w:t>交货期</w:t>
            </w:r>
          </w:p>
        </w:tc>
        <w:tc>
          <w:tcPr>
            <w:tcW w:w="1072" w:type="dxa"/>
            <w:tcBorders>
              <w:top w:val="single" w:color="auto" w:sz="4" w:space="0"/>
              <w:left w:val="single" w:color="auto" w:sz="4" w:space="0"/>
              <w:bottom w:val="single" w:color="auto" w:sz="4" w:space="0"/>
              <w:right w:val="single" w:color="auto" w:sz="4" w:space="0"/>
            </w:tcBorders>
            <w:vAlign w:val="center"/>
          </w:tcPr>
          <w:p>
            <w:pPr>
              <w:pStyle w:val="26"/>
              <w:snapToGrid w:val="0"/>
              <w:spacing w:line="360" w:lineRule="auto"/>
              <w:ind w:firstLine="0" w:firstLineChars="0"/>
              <w:rPr>
                <w:rFonts w:ascii="仿宋" w:hAnsi="仿宋" w:eastAsia="仿宋"/>
                <w:color w:val="000000"/>
                <w:kern w:val="0"/>
                <w:sz w:val="24"/>
                <w:szCs w:val="24"/>
              </w:rPr>
            </w:pPr>
            <w:r>
              <w:rPr>
                <w:rFonts w:hint="eastAsia" w:ascii="仿宋" w:hAnsi="仿宋" w:eastAsia="仿宋"/>
                <w:b w:val="0"/>
                <w:kern w:val="0"/>
                <w:sz w:val="24"/>
                <w:szCs w:val="24"/>
              </w:rPr>
              <w:t>2分</w:t>
            </w:r>
          </w:p>
        </w:tc>
        <w:tc>
          <w:tcPr>
            <w:tcW w:w="61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olor w:val="000000"/>
                <w:kern w:val="0"/>
                <w:sz w:val="24"/>
                <w:szCs w:val="24"/>
              </w:rPr>
            </w:pPr>
            <w:r>
              <w:rPr>
                <w:rFonts w:hint="eastAsia" w:ascii="仿宋" w:hAnsi="仿宋" w:eastAsia="仿宋" w:cs="宋体"/>
                <w:kern w:val="0"/>
                <w:sz w:val="24"/>
                <w:szCs w:val="24"/>
              </w:rPr>
              <w:t>满足磋商文件要求得0分，每优于文件要求5天加1分。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97"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26"/>
              <w:snapToGrid w:val="0"/>
              <w:spacing w:line="360" w:lineRule="auto"/>
              <w:ind w:firstLine="0" w:firstLineChars="0"/>
              <w:rPr>
                <w:rFonts w:ascii="仿宋" w:hAnsi="仿宋" w:eastAsia="仿宋"/>
                <w:color w:val="000000"/>
                <w:kern w:val="0"/>
                <w:sz w:val="24"/>
                <w:szCs w:val="24"/>
              </w:rPr>
            </w:pPr>
            <w:r>
              <w:rPr>
                <w:rFonts w:hint="eastAsia" w:ascii="仿宋" w:hAnsi="仿宋" w:eastAsia="仿宋"/>
                <w:b w:val="0"/>
                <w:kern w:val="0"/>
                <w:sz w:val="24"/>
                <w:szCs w:val="24"/>
              </w:rPr>
              <w:t>业绩</w:t>
            </w:r>
          </w:p>
        </w:tc>
        <w:tc>
          <w:tcPr>
            <w:tcW w:w="1072" w:type="dxa"/>
            <w:tcBorders>
              <w:top w:val="single" w:color="auto" w:sz="4" w:space="0"/>
              <w:left w:val="single" w:color="auto" w:sz="4" w:space="0"/>
              <w:bottom w:val="single" w:color="auto" w:sz="4" w:space="0"/>
              <w:right w:val="single" w:color="auto" w:sz="4" w:space="0"/>
            </w:tcBorders>
            <w:vAlign w:val="center"/>
          </w:tcPr>
          <w:p>
            <w:pPr>
              <w:pStyle w:val="26"/>
              <w:snapToGrid w:val="0"/>
              <w:spacing w:line="360" w:lineRule="auto"/>
              <w:ind w:firstLine="0" w:firstLineChars="0"/>
              <w:rPr>
                <w:rFonts w:ascii="仿宋" w:hAnsi="仿宋" w:eastAsia="仿宋"/>
                <w:color w:val="000000"/>
                <w:kern w:val="0"/>
                <w:sz w:val="24"/>
                <w:szCs w:val="24"/>
              </w:rPr>
            </w:pPr>
            <w:r>
              <w:rPr>
                <w:rFonts w:hint="eastAsia" w:ascii="仿宋" w:hAnsi="仿宋" w:eastAsia="仿宋"/>
                <w:b w:val="0"/>
                <w:kern w:val="0"/>
                <w:sz w:val="24"/>
                <w:szCs w:val="24"/>
              </w:rPr>
              <w:t>8分</w:t>
            </w:r>
          </w:p>
        </w:tc>
        <w:tc>
          <w:tcPr>
            <w:tcW w:w="61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olor w:val="000000"/>
                <w:kern w:val="0"/>
                <w:sz w:val="24"/>
                <w:szCs w:val="24"/>
              </w:rPr>
            </w:pPr>
            <w:r>
              <w:rPr>
                <w:rFonts w:hint="eastAsia" w:ascii="仿宋" w:hAnsi="仿宋" w:eastAsia="仿宋" w:cs="宋体"/>
                <w:kern w:val="0"/>
                <w:sz w:val="24"/>
                <w:szCs w:val="24"/>
              </w:rPr>
              <w:t>每提供1份业绩（2019年1月1日年至今）得</w:t>
            </w:r>
            <w:r>
              <w:rPr>
                <w:rFonts w:ascii="仿宋" w:hAnsi="仿宋" w:eastAsia="仿宋" w:cs="宋体"/>
                <w:kern w:val="0"/>
                <w:sz w:val="24"/>
                <w:szCs w:val="24"/>
              </w:rPr>
              <w:t>1</w:t>
            </w:r>
            <w:r>
              <w:rPr>
                <w:rFonts w:hint="eastAsia" w:ascii="仿宋" w:hAnsi="仿宋" w:eastAsia="仿宋" w:cs="宋体"/>
                <w:kern w:val="0"/>
                <w:sz w:val="24"/>
                <w:szCs w:val="24"/>
              </w:rPr>
              <w:t>分，满分8分。以生产厂家或供应商提供的同类业绩证明资料如合同或者成交通知书复印件为准，未提供证明资料或无效的，不计分。</w:t>
            </w:r>
          </w:p>
        </w:tc>
      </w:tr>
    </w:tbl>
    <w:p>
      <w:pPr>
        <w:pStyle w:val="26"/>
        <w:spacing w:beforeLines="50" w:afterLines="50" w:line="360" w:lineRule="auto"/>
        <w:ind w:firstLine="0" w:firstLineChars="0"/>
        <w:jc w:val="left"/>
        <w:rPr>
          <w:rFonts w:ascii="仿宋" w:hAnsi="仿宋" w:eastAsia="仿宋"/>
          <w:b w:val="0"/>
          <w:color w:val="000000"/>
          <w:sz w:val="28"/>
        </w:rPr>
      </w:pPr>
      <w:r>
        <w:rPr>
          <w:rFonts w:hint="eastAsia" w:ascii="仿宋" w:hAnsi="仿宋" w:eastAsia="仿宋"/>
          <w:b w:val="0"/>
          <w:color w:val="000000"/>
          <w:sz w:val="28"/>
        </w:rPr>
        <w:br w:type="page"/>
      </w:r>
      <w:r>
        <w:rPr>
          <w:rFonts w:hint="eastAsia" w:ascii="仿宋" w:hAnsi="仿宋" w:eastAsia="仿宋"/>
          <w:b w:val="0"/>
          <w:color w:val="000000"/>
          <w:sz w:val="28"/>
        </w:rPr>
        <w:t>B、技术部分（60分）</w:t>
      </w:r>
    </w:p>
    <w:tbl>
      <w:tblPr>
        <w:tblStyle w:val="19"/>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962"/>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3060" w:type="dxa"/>
            <w:vAlign w:val="center"/>
          </w:tcPr>
          <w:p>
            <w:pPr>
              <w:pStyle w:val="27"/>
              <w:snapToGrid w:val="0"/>
              <w:spacing w:line="360" w:lineRule="auto"/>
              <w:rPr>
                <w:rFonts w:ascii="仿宋" w:hAnsi="仿宋" w:eastAsia="仿宋"/>
                <w:b w:val="0"/>
                <w:color w:val="auto"/>
                <w:sz w:val="24"/>
                <w:szCs w:val="24"/>
              </w:rPr>
            </w:pPr>
            <w:r>
              <w:rPr>
                <w:rFonts w:hint="eastAsia" w:ascii="仿宋" w:hAnsi="仿宋" w:eastAsia="仿宋"/>
                <w:b w:val="0"/>
                <w:color w:val="auto"/>
                <w:sz w:val="24"/>
                <w:szCs w:val="24"/>
              </w:rPr>
              <w:t>评审项目</w:t>
            </w:r>
          </w:p>
        </w:tc>
        <w:tc>
          <w:tcPr>
            <w:tcW w:w="962" w:type="dxa"/>
            <w:vAlign w:val="center"/>
          </w:tcPr>
          <w:p>
            <w:pPr>
              <w:pStyle w:val="27"/>
              <w:snapToGrid w:val="0"/>
              <w:spacing w:line="360" w:lineRule="auto"/>
              <w:rPr>
                <w:rFonts w:ascii="仿宋" w:hAnsi="仿宋" w:eastAsia="仿宋"/>
                <w:b w:val="0"/>
                <w:color w:val="auto"/>
                <w:sz w:val="24"/>
                <w:szCs w:val="24"/>
              </w:rPr>
            </w:pPr>
            <w:r>
              <w:rPr>
                <w:rFonts w:hint="eastAsia" w:ascii="仿宋" w:hAnsi="仿宋" w:eastAsia="仿宋"/>
                <w:b w:val="0"/>
                <w:color w:val="auto"/>
                <w:sz w:val="24"/>
                <w:szCs w:val="24"/>
              </w:rPr>
              <w:t>分值</w:t>
            </w:r>
          </w:p>
        </w:tc>
        <w:tc>
          <w:tcPr>
            <w:tcW w:w="5636" w:type="dxa"/>
            <w:vAlign w:val="center"/>
          </w:tcPr>
          <w:p>
            <w:pPr>
              <w:pStyle w:val="27"/>
              <w:snapToGrid w:val="0"/>
              <w:spacing w:line="360" w:lineRule="auto"/>
              <w:rPr>
                <w:rFonts w:ascii="仿宋" w:hAnsi="仿宋" w:eastAsia="仿宋"/>
                <w:b w:val="0"/>
                <w:color w:val="auto"/>
                <w:sz w:val="24"/>
                <w:szCs w:val="24"/>
              </w:rPr>
            </w:pPr>
            <w:r>
              <w:rPr>
                <w:rFonts w:hint="eastAsia" w:ascii="仿宋" w:hAnsi="仿宋" w:eastAsia="仿宋"/>
                <w:b w:val="0"/>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60" w:type="dxa"/>
            <w:vAlign w:val="center"/>
          </w:tcPr>
          <w:p>
            <w:pPr>
              <w:pStyle w:val="27"/>
              <w:snapToGrid w:val="0"/>
              <w:spacing w:line="360" w:lineRule="auto"/>
              <w:rPr>
                <w:rFonts w:ascii="仿宋" w:hAnsi="仿宋" w:eastAsia="仿宋"/>
                <w:b w:val="0"/>
                <w:color w:val="auto"/>
                <w:sz w:val="24"/>
                <w:szCs w:val="24"/>
              </w:rPr>
            </w:pPr>
            <w:r>
              <w:rPr>
                <w:rFonts w:hint="eastAsia" w:ascii="仿宋" w:hAnsi="仿宋" w:eastAsia="仿宋"/>
                <w:b w:val="0"/>
                <w:color w:val="auto"/>
                <w:sz w:val="24"/>
                <w:szCs w:val="24"/>
              </w:rPr>
              <w:t>技术参数响应</w:t>
            </w:r>
          </w:p>
        </w:tc>
        <w:tc>
          <w:tcPr>
            <w:tcW w:w="962" w:type="dxa"/>
            <w:vAlign w:val="center"/>
          </w:tcPr>
          <w:p>
            <w:pPr>
              <w:pStyle w:val="27"/>
              <w:snapToGrid w:val="0"/>
              <w:spacing w:line="360" w:lineRule="auto"/>
              <w:rPr>
                <w:rFonts w:ascii="仿宋" w:hAnsi="仿宋" w:eastAsia="仿宋"/>
                <w:b w:val="0"/>
                <w:color w:val="auto"/>
                <w:sz w:val="24"/>
                <w:szCs w:val="24"/>
              </w:rPr>
            </w:pPr>
            <w:r>
              <w:rPr>
                <w:rFonts w:hint="eastAsia" w:ascii="仿宋" w:hAnsi="仿宋" w:eastAsia="仿宋"/>
                <w:b w:val="0"/>
                <w:color w:val="auto"/>
                <w:sz w:val="24"/>
                <w:szCs w:val="24"/>
              </w:rPr>
              <w:t>3</w:t>
            </w:r>
            <w:r>
              <w:rPr>
                <w:rFonts w:ascii="仿宋" w:hAnsi="仿宋" w:eastAsia="仿宋"/>
                <w:b w:val="0"/>
                <w:color w:val="auto"/>
                <w:sz w:val="24"/>
                <w:szCs w:val="24"/>
              </w:rPr>
              <w:t>0</w:t>
            </w:r>
            <w:r>
              <w:rPr>
                <w:rFonts w:hint="eastAsia" w:ascii="仿宋" w:hAnsi="仿宋" w:eastAsia="仿宋"/>
                <w:b w:val="0"/>
                <w:color w:val="auto"/>
                <w:sz w:val="24"/>
                <w:szCs w:val="24"/>
              </w:rPr>
              <w:t>分</w:t>
            </w:r>
          </w:p>
        </w:tc>
        <w:tc>
          <w:tcPr>
            <w:tcW w:w="5636" w:type="dxa"/>
            <w:vAlign w:val="center"/>
          </w:tcPr>
          <w:p>
            <w:pPr>
              <w:widowControl/>
              <w:spacing w:line="360" w:lineRule="auto"/>
              <w:rPr>
                <w:rFonts w:ascii="仿宋" w:hAnsi="仿宋" w:eastAsia="仿宋" w:cs="宋体"/>
                <w:kern w:val="0"/>
                <w:sz w:val="24"/>
                <w:szCs w:val="24"/>
              </w:rPr>
            </w:pPr>
            <w:r>
              <w:rPr>
                <w:rFonts w:hint="eastAsia" w:ascii="仿宋" w:hAnsi="仿宋" w:eastAsia="仿宋" w:cs="宋体"/>
                <w:kern w:val="0"/>
                <w:sz w:val="24"/>
                <w:szCs w:val="24"/>
              </w:rPr>
              <w:t>技术参数全部满足招标文件要求得3</w:t>
            </w:r>
            <w:r>
              <w:rPr>
                <w:rFonts w:ascii="仿宋" w:hAnsi="仿宋" w:eastAsia="仿宋" w:cs="宋体"/>
                <w:kern w:val="0"/>
                <w:sz w:val="24"/>
                <w:szCs w:val="24"/>
              </w:rPr>
              <w:t>0</w:t>
            </w:r>
            <w:r>
              <w:rPr>
                <w:rFonts w:hint="eastAsia" w:ascii="仿宋" w:hAnsi="仿宋" w:eastAsia="仿宋" w:cs="宋体"/>
                <w:kern w:val="0"/>
                <w:sz w:val="24"/>
                <w:szCs w:val="24"/>
              </w:rPr>
              <w:t>分；普通技术条款每偏离一条扣2分，最低得0分，最高得3</w:t>
            </w:r>
            <w:r>
              <w:rPr>
                <w:rFonts w:ascii="仿宋" w:hAnsi="仿宋" w:eastAsia="仿宋" w:cs="宋体"/>
                <w:kern w:val="0"/>
                <w:sz w:val="24"/>
                <w:szCs w:val="24"/>
              </w:rPr>
              <w:t>0</w:t>
            </w:r>
            <w:r>
              <w:rPr>
                <w:rFonts w:hint="eastAsia" w:ascii="仿宋" w:hAnsi="仿宋" w:eastAsia="仿宋" w:cs="宋体"/>
                <w:kern w:val="0"/>
                <w:sz w:val="24"/>
                <w:szCs w:val="24"/>
              </w:rPr>
              <w:t>分。</w:t>
            </w:r>
          </w:p>
          <w:p>
            <w:pPr>
              <w:widowControl/>
              <w:spacing w:line="360" w:lineRule="auto"/>
              <w:rPr>
                <w:rFonts w:ascii="仿宋" w:hAnsi="仿宋" w:eastAsia="仿宋" w:cs="宋体"/>
                <w:kern w:val="0"/>
                <w:sz w:val="24"/>
                <w:szCs w:val="24"/>
              </w:rPr>
            </w:pPr>
            <w:r>
              <w:rPr>
                <w:rFonts w:hint="eastAsia" w:ascii="仿宋" w:hAnsi="仿宋" w:eastAsia="仿宋" w:cs="宋体"/>
                <w:b/>
                <w:bCs/>
                <w:kern w:val="0"/>
                <w:sz w:val="24"/>
                <w:szCs w:val="24"/>
              </w:rPr>
              <w:t>星号技术条款（如有）为不可偏离项，如有偏离按未对招标文件进行实质性响应处理。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60" w:type="dxa"/>
            <w:vAlign w:val="center"/>
          </w:tcPr>
          <w:p>
            <w:pPr>
              <w:pStyle w:val="27"/>
              <w:snapToGrid w:val="0"/>
              <w:spacing w:line="360" w:lineRule="auto"/>
              <w:rPr>
                <w:rFonts w:ascii="仿宋" w:hAnsi="仿宋" w:eastAsia="仿宋"/>
                <w:b w:val="0"/>
                <w:color w:val="auto"/>
                <w:sz w:val="24"/>
                <w:szCs w:val="24"/>
              </w:rPr>
            </w:pPr>
            <w:r>
              <w:rPr>
                <w:rFonts w:hint="eastAsia" w:ascii="仿宋" w:hAnsi="仿宋" w:eastAsia="仿宋"/>
                <w:b w:val="0"/>
                <w:color w:val="auto"/>
                <w:sz w:val="24"/>
                <w:szCs w:val="24"/>
              </w:rPr>
              <w:t>技术支持资料</w:t>
            </w:r>
          </w:p>
        </w:tc>
        <w:tc>
          <w:tcPr>
            <w:tcW w:w="962" w:type="dxa"/>
            <w:vAlign w:val="center"/>
          </w:tcPr>
          <w:p>
            <w:pPr>
              <w:pStyle w:val="27"/>
              <w:snapToGrid w:val="0"/>
              <w:spacing w:line="360" w:lineRule="auto"/>
              <w:rPr>
                <w:rFonts w:ascii="仿宋" w:hAnsi="仿宋" w:eastAsia="仿宋"/>
                <w:b w:val="0"/>
                <w:color w:val="auto"/>
                <w:sz w:val="24"/>
                <w:szCs w:val="24"/>
              </w:rPr>
            </w:pPr>
            <w:r>
              <w:rPr>
                <w:rFonts w:ascii="仿宋" w:hAnsi="仿宋" w:eastAsia="仿宋"/>
                <w:b w:val="0"/>
                <w:color w:val="auto"/>
                <w:sz w:val="24"/>
                <w:szCs w:val="24"/>
              </w:rPr>
              <w:t>2</w:t>
            </w:r>
            <w:r>
              <w:rPr>
                <w:rFonts w:hint="eastAsia" w:ascii="仿宋" w:hAnsi="仿宋" w:eastAsia="仿宋"/>
                <w:b w:val="0"/>
                <w:color w:val="auto"/>
                <w:sz w:val="24"/>
                <w:szCs w:val="24"/>
              </w:rPr>
              <w:t>分</w:t>
            </w:r>
          </w:p>
        </w:tc>
        <w:tc>
          <w:tcPr>
            <w:tcW w:w="5636" w:type="dxa"/>
            <w:vAlign w:val="center"/>
          </w:tcPr>
          <w:p>
            <w:pPr>
              <w:widowControl/>
              <w:spacing w:line="360" w:lineRule="auto"/>
              <w:rPr>
                <w:rFonts w:ascii="仿宋" w:hAnsi="仿宋" w:eastAsia="仿宋" w:cs="宋体"/>
                <w:kern w:val="0"/>
                <w:sz w:val="24"/>
                <w:szCs w:val="24"/>
              </w:rPr>
            </w:pPr>
            <w:r>
              <w:rPr>
                <w:rFonts w:hint="eastAsia" w:ascii="仿宋" w:hAnsi="仿宋" w:eastAsia="仿宋" w:cs="宋体"/>
                <w:kern w:val="0"/>
                <w:sz w:val="24"/>
                <w:szCs w:val="24"/>
              </w:rPr>
              <w:t>有技术支持资料并加盖生产厂家公章的得</w:t>
            </w:r>
            <w:r>
              <w:rPr>
                <w:rFonts w:ascii="仿宋" w:hAnsi="仿宋" w:eastAsia="仿宋" w:cs="宋体"/>
                <w:kern w:val="0"/>
                <w:sz w:val="24"/>
                <w:szCs w:val="24"/>
              </w:rPr>
              <w:t>2</w:t>
            </w:r>
            <w:r>
              <w:rPr>
                <w:rFonts w:hint="eastAsia" w:ascii="仿宋" w:hAnsi="仿宋" w:eastAsia="仿宋" w:cs="宋体"/>
                <w:kern w:val="0"/>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060" w:type="dxa"/>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投标产品、设备的可靠性、稳定性</w:t>
            </w:r>
          </w:p>
        </w:tc>
        <w:tc>
          <w:tcPr>
            <w:tcW w:w="962" w:type="dxa"/>
            <w:vAlign w:val="center"/>
          </w:tcPr>
          <w:p>
            <w:pPr>
              <w:widowControl/>
              <w:spacing w:line="360" w:lineRule="auto"/>
              <w:jc w:val="center"/>
              <w:rPr>
                <w:rFonts w:ascii="仿宋" w:hAnsi="仿宋" w:eastAsia="仿宋" w:cs="宋体"/>
                <w:kern w:val="0"/>
                <w:sz w:val="24"/>
                <w:szCs w:val="24"/>
              </w:rPr>
            </w:pPr>
            <w:r>
              <w:rPr>
                <w:rFonts w:ascii="仿宋" w:hAnsi="仿宋" w:eastAsia="仿宋" w:cs="宋体"/>
                <w:kern w:val="0"/>
                <w:sz w:val="24"/>
                <w:szCs w:val="24"/>
              </w:rPr>
              <w:t>8</w:t>
            </w:r>
            <w:r>
              <w:rPr>
                <w:rFonts w:hint="eastAsia" w:ascii="仿宋" w:hAnsi="仿宋" w:eastAsia="仿宋" w:cs="宋体"/>
                <w:kern w:val="0"/>
                <w:sz w:val="24"/>
                <w:szCs w:val="24"/>
              </w:rPr>
              <w:t>分</w:t>
            </w:r>
          </w:p>
        </w:tc>
        <w:tc>
          <w:tcPr>
            <w:tcW w:w="5636" w:type="dxa"/>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根据所投产品的可靠性、稳定性打分，优：</w:t>
            </w:r>
            <w:r>
              <w:rPr>
                <w:rFonts w:ascii="仿宋" w:hAnsi="仿宋" w:eastAsia="仿宋" w:cs="宋体"/>
                <w:kern w:val="0"/>
                <w:sz w:val="24"/>
                <w:szCs w:val="24"/>
              </w:rPr>
              <w:t>8</w:t>
            </w:r>
            <w:r>
              <w:rPr>
                <w:rFonts w:hint="eastAsia" w:ascii="仿宋" w:hAnsi="仿宋" w:eastAsia="仿宋" w:cs="宋体"/>
                <w:kern w:val="0"/>
                <w:sz w:val="24"/>
                <w:szCs w:val="24"/>
              </w:rPr>
              <w:t>分；良：</w:t>
            </w:r>
            <w:r>
              <w:rPr>
                <w:rFonts w:ascii="仿宋" w:hAnsi="仿宋" w:eastAsia="仿宋" w:cs="宋体"/>
                <w:kern w:val="0"/>
                <w:sz w:val="24"/>
                <w:szCs w:val="24"/>
              </w:rPr>
              <w:t>6</w:t>
            </w:r>
            <w:r>
              <w:rPr>
                <w:rFonts w:hint="eastAsia" w:ascii="仿宋" w:hAnsi="仿宋" w:eastAsia="仿宋" w:cs="宋体"/>
                <w:kern w:val="0"/>
                <w:sz w:val="24"/>
                <w:szCs w:val="24"/>
              </w:rPr>
              <w:t>分；中：</w:t>
            </w:r>
            <w:r>
              <w:rPr>
                <w:rFonts w:ascii="仿宋" w:hAnsi="仿宋" w:eastAsia="仿宋" w:cs="宋体"/>
                <w:kern w:val="0"/>
                <w:sz w:val="24"/>
                <w:szCs w:val="24"/>
              </w:rPr>
              <w:t>4</w:t>
            </w:r>
            <w:r>
              <w:rPr>
                <w:rFonts w:hint="eastAsia" w:ascii="仿宋" w:hAnsi="仿宋" w:eastAsia="仿宋" w:cs="宋体"/>
                <w:kern w:val="0"/>
                <w:sz w:val="24"/>
                <w:szCs w:val="24"/>
              </w:rPr>
              <w:t>分；一般：</w:t>
            </w:r>
            <w:r>
              <w:rPr>
                <w:rFonts w:ascii="仿宋" w:hAnsi="仿宋" w:eastAsia="仿宋" w:cs="宋体"/>
                <w:kern w:val="0"/>
                <w:sz w:val="24"/>
                <w:szCs w:val="24"/>
              </w:rPr>
              <w:t>2</w:t>
            </w:r>
            <w:r>
              <w:rPr>
                <w:rFonts w:hint="eastAsia" w:ascii="仿宋" w:hAnsi="仿宋" w:eastAsia="仿宋"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060" w:type="dxa"/>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投标产品、设备的可操作、可维护性</w:t>
            </w:r>
          </w:p>
        </w:tc>
        <w:tc>
          <w:tcPr>
            <w:tcW w:w="962" w:type="dxa"/>
            <w:vAlign w:val="center"/>
          </w:tcPr>
          <w:p>
            <w:pPr>
              <w:widowControl/>
              <w:spacing w:line="360" w:lineRule="auto"/>
              <w:jc w:val="center"/>
              <w:rPr>
                <w:rFonts w:ascii="仿宋" w:hAnsi="仿宋" w:eastAsia="仿宋" w:cs="宋体"/>
                <w:kern w:val="0"/>
                <w:sz w:val="24"/>
                <w:szCs w:val="24"/>
              </w:rPr>
            </w:pPr>
            <w:r>
              <w:rPr>
                <w:rFonts w:ascii="仿宋" w:hAnsi="仿宋" w:eastAsia="仿宋" w:cs="宋体"/>
                <w:kern w:val="0"/>
                <w:sz w:val="24"/>
                <w:szCs w:val="24"/>
              </w:rPr>
              <w:t>8</w:t>
            </w:r>
            <w:r>
              <w:rPr>
                <w:rFonts w:hint="eastAsia" w:ascii="仿宋" w:hAnsi="仿宋" w:eastAsia="仿宋" w:cs="宋体"/>
                <w:kern w:val="0"/>
                <w:sz w:val="24"/>
                <w:szCs w:val="24"/>
              </w:rPr>
              <w:t>分</w:t>
            </w:r>
          </w:p>
        </w:tc>
        <w:tc>
          <w:tcPr>
            <w:tcW w:w="5636" w:type="dxa"/>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根据所投产品的可操作、可维护性打分，优：</w:t>
            </w:r>
            <w:r>
              <w:rPr>
                <w:rFonts w:ascii="仿宋" w:hAnsi="仿宋" w:eastAsia="仿宋" w:cs="宋体"/>
                <w:kern w:val="0"/>
                <w:sz w:val="24"/>
                <w:szCs w:val="24"/>
              </w:rPr>
              <w:t>8</w:t>
            </w:r>
            <w:r>
              <w:rPr>
                <w:rFonts w:hint="eastAsia" w:ascii="仿宋" w:hAnsi="仿宋" w:eastAsia="仿宋" w:cs="宋体"/>
                <w:kern w:val="0"/>
                <w:sz w:val="24"/>
                <w:szCs w:val="24"/>
              </w:rPr>
              <w:t>分；良：</w:t>
            </w:r>
            <w:r>
              <w:rPr>
                <w:rFonts w:ascii="仿宋" w:hAnsi="仿宋" w:eastAsia="仿宋" w:cs="宋体"/>
                <w:kern w:val="0"/>
                <w:sz w:val="24"/>
                <w:szCs w:val="24"/>
              </w:rPr>
              <w:t>6</w:t>
            </w:r>
            <w:r>
              <w:rPr>
                <w:rFonts w:hint="eastAsia" w:ascii="仿宋" w:hAnsi="仿宋" w:eastAsia="仿宋" w:cs="宋体"/>
                <w:kern w:val="0"/>
                <w:sz w:val="24"/>
                <w:szCs w:val="24"/>
              </w:rPr>
              <w:t>分；中：</w:t>
            </w:r>
            <w:r>
              <w:rPr>
                <w:rFonts w:ascii="仿宋" w:hAnsi="仿宋" w:eastAsia="仿宋" w:cs="宋体"/>
                <w:kern w:val="0"/>
                <w:sz w:val="24"/>
                <w:szCs w:val="24"/>
              </w:rPr>
              <w:t>4</w:t>
            </w:r>
            <w:r>
              <w:rPr>
                <w:rFonts w:hint="eastAsia" w:ascii="仿宋" w:hAnsi="仿宋" w:eastAsia="仿宋" w:cs="宋体"/>
                <w:kern w:val="0"/>
                <w:sz w:val="24"/>
                <w:szCs w:val="24"/>
              </w:rPr>
              <w:t>分；一般：</w:t>
            </w:r>
            <w:r>
              <w:rPr>
                <w:rFonts w:ascii="仿宋" w:hAnsi="仿宋" w:eastAsia="仿宋" w:cs="宋体"/>
                <w:kern w:val="0"/>
                <w:sz w:val="24"/>
                <w:szCs w:val="24"/>
              </w:rPr>
              <w:t>2</w:t>
            </w:r>
            <w:r>
              <w:rPr>
                <w:rFonts w:hint="eastAsia" w:ascii="仿宋" w:hAnsi="仿宋" w:eastAsia="仿宋"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60" w:type="dxa"/>
            <w:vAlign w:val="center"/>
          </w:tcPr>
          <w:p>
            <w:pPr>
              <w:pStyle w:val="27"/>
              <w:snapToGrid w:val="0"/>
              <w:spacing w:line="360" w:lineRule="auto"/>
              <w:rPr>
                <w:rFonts w:ascii="仿宋" w:hAnsi="仿宋" w:eastAsia="仿宋"/>
                <w:b w:val="0"/>
                <w:color w:val="auto"/>
                <w:sz w:val="24"/>
                <w:szCs w:val="24"/>
              </w:rPr>
            </w:pPr>
            <w:r>
              <w:rPr>
                <w:rFonts w:hint="eastAsia" w:ascii="仿宋" w:hAnsi="仿宋" w:eastAsia="仿宋"/>
                <w:b w:val="0"/>
                <w:color w:val="auto"/>
                <w:sz w:val="24"/>
                <w:szCs w:val="24"/>
              </w:rPr>
              <w:t>投标产品具有技术先进性、实用性</w:t>
            </w:r>
          </w:p>
        </w:tc>
        <w:tc>
          <w:tcPr>
            <w:tcW w:w="962" w:type="dxa"/>
            <w:vAlign w:val="center"/>
          </w:tcPr>
          <w:p>
            <w:pPr>
              <w:pStyle w:val="27"/>
              <w:snapToGrid w:val="0"/>
              <w:spacing w:line="360" w:lineRule="auto"/>
              <w:rPr>
                <w:rFonts w:ascii="仿宋" w:hAnsi="仿宋" w:eastAsia="仿宋"/>
                <w:b w:val="0"/>
                <w:color w:val="auto"/>
                <w:sz w:val="24"/>
                <w:szCs w:val="24"/>
              </w:rPr>
            </w:pPr>
            <w:r>
              <w:rPr>
                <w:rFonts w:ascii="仿宋" w:hAnsi="仿宋" w:eastAsia="仿宋"/>
                <w:b w:val="0"/>
                <w:color w:val="auto"/>
                <w:sz w:val="24"/>
                <w:szCs w:val="24"/>
              </w:rPr>
              <w:t>8</w:t>
            </w:r>
            <w:r>
              <w:rPr>
                <w:rFonts w:hint="eastAsia" w:ascii="仿宋" w:hAnsi="仿宋" w:eastAsia="仿宋"/>
                <w:b w:val="0"/>
                <w:color w:val="auto"/>
                <w:sz w:val="24"/>
                <w:szCs w:val="24"/>
              </w:rPr>
              <w:t>分</w:t>
            </w:r>
          </w:p>
        </w:tc>
        <w:tc>
          <w:tcPr>
            <w:tcW w:w="5636" w:type="dxa"/>
          </w:tcPr>
          <w:p>
            <w:pPr>
              <w:widowControl/>
              <w:spacing w:line="360" w:lineRule="auto"/>
              <w:rPr>
                <w:rFonts w:ascii="仿宋" w:hAnsi="仿宋" w:eastAsia="仿宋" w:cs="宋体"/>
                <w:kern w:val="0"/>
                <w:sz w:val="24"/>
                <w:szCs w:val="24"/>
              </w:rPr>
            </w:pPr>
            <w:r>
              <w:rPr>
                <w:rFonts w:hint="eastAsia" w:ascii="仿宋" w:hAnsi="仿宋" w:eastAsia="仿宋" w:cs="宋体"/>
                <w:kern w:val="0"/>
                <w:sz w:val="24"/>
                <w:szCs w:val="24"/>
              </w:rPr>
              <w:t>根据所投产品的</w:t>
            </w:r>
            <w:r>
              <w:rPr>
                <w:rFonts w:hint="eastAsia" w:ascii="仿宋" w:hAnsi="仿宋" w:eastAsia="仿宋"/>
                <w:sz w:val="24"/>
                <w:szCs w:val="24"/>
              </w:rPr>
              <w:t>技术先进性、实用性打分</w:t>
            </w:r>
            <w:r>
              <w:rPr>
                <w:rFonts w:hint="eastAsia" w:ascii="仿宋" w:hAnsi="仿宋" w:eastAsia="仿宋" w:cs="宋体"/>
                <w:kern w:val="0"/>
                <w:sz w:val="24"/>
                <w:szCs w:val="24"/>
              </w:rPr>
              <w:t>，优：</w:t>
            </w:r>
            <w:r>
              <w:rPr>
                <w:rFonts w:ascii="仿宋" w:hAnsi="仿宋" w:eastAsia="仿宋" w:cs="宋体"/>
                <w:kern w:val="0"/>
                <w:sz w:val="24"/>
                <w:szCs w:val="24"/>
              </w:rPr>
              <w:t>8</w:t>
            </w:r>
            <w:r>
              <w:rPr>
                <w:rFonts w:hint="eastAsia" w:ascii="仿宋" w:hAnsi="仿宋" w:eastAsia="仿宋" w:cs="宋体"/>
                <w:kern w:val="0"/>
                <w:sz w:val="24"/>
                <w:szCs w:val="24"/>
              </w:rPr>
              <w:t>分；良：</w:t>
            </w:r>
            <w:r>
              <w:rPr>
                <w:rFonts w:ascii="仿宋" w:hAnsi="仿宋" w:eastAsia="仿宋" w:cs="宋体"/>
                <w:kern w:val="0"/>
                <w:sz w:val="24"/>
                <w:szCs w:val="24"/>
              </w:rPr>
              <w:t>6</w:t>
            </w:r>
            <w:r>
              <w:rPr>
                <w:rFonts w:hint="eastAsia" w:ascii="仿宋" w:hAnsi="仿宋" w:eastAsia="仿宋" w:cs="宋体"/>
                <w:kern w:val="0"/>
                <w:sz w:val="24"/>
                <w:szCs w:val="24"/>
              </w:rPr>
              <w:t>分；中：</w:t>
            </w:r>
            <w:r>
              <w:rPr>
                <w:rFonts w:ascii="仿宋" w:hAnsi="仿宋" w:eastAsia="仿宋" w:cs="宋体"/>
                <w:kern w:val="0"/>
                <w:sz w:val="24"/>
                <w:szCs w:val="24"/>
              </w:rPr>
              <w:t>4</w:t>
            </w:r>
            <w:r>
              <w:rPr>
                <w:rFonts w:hint="eastAsia" w:ascii="仿宋" w:hAnsi="仿宋" w:eastAsia="仿宋" w:cs="宋体"/>
                <w:kern w:val="0"/>
                <w:sz w:val="24"/>
                <w:szCs w:val="24"/>
              </w:rPr>
              <w:t>分；一般：</w:t>
            </w:r>
            <w:r>
              <w:rPr>
                <w:rFonts w:ascii="仿宋" w:hAnsi="仿宋" w:eastAsia="仿宋" w:cs="宋体"/>
                <w:kern w:val="0"/>
                <w:sz w:val="24"/>
                <w:szCs w:val="24"/>
              </w:rPr>
              <w:t>2</w:t>
            </w:r>
            <w:r>
              <w:rPr>
                <w:rFonts w:hint="eastAsia" w:ascii="仿宋" w:hAnsi="仿宋" w:eastAsia="仿宋"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060" w:type="dxa"/>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售后服务</w:t>
            </w:r>
          </w:p>
        </w:tc>
        <w:tc>
          <w:tcPr>
            <w:tcW w:w="962" w:type="dxa"/>
            <w:vAlign w:val="center"/>
          </w:tcPr>
          <w:p>
            <w:pPr>
              <w:widowControl/>
              <w:spacing w:line="360" w:lineRule="auto"/>
              <w:jc w:val="center"/>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分</w:t>
            </w:r>
          </w:p>
        </w:tc>
        <w:tc>
          <w:tcPr>
            <w:tcW w:w="5636" w:type="dxa"/>
            <w:vAlign w:val="center"/>
          </w:tcPr>
          <w:p>
            <w:pPr>
              <w:widowControl/>
              <w:spacing w:line="360" w:lineRule="auto"/>
              <w:rPr>
                <w:rFonts w:ascii="仿宋" w:hAnsi="仿宋" w:eastAsia="仿宋" w:cs="宋体"/>
                <w:kern w:val="0"/>
                <w:sz w:val="24"/>
                <w:szCs w:val="24"/>
              </w:rPr>
            </w:pPr>
            <w:r>
              <w:rPr>
                <w:rFonts w:hint="eastAsia" w:ascii="仿宋" w:hAnsi="仿宋" w:eastAsia="仿宋" w:cs="宋体"/>
                <w:kern w:val="0"/>
                <w:sz w:val="24"/>
                <w:szCs w:val="24"/>
              </w:rPr>
              <w:t>生产厂家须有在疆内设立售后服务机构，在投标文件中提供售后服务证明文件并加盖投标企业公章的得</w:t>
            </w:r>
            <w:r>
              <w:rPr>
                <w:rFonts w:ascii="仿宋" w:hAnsi="仿宋" w:eastAsia="仿宋" w:cs="宋体"/>
                <w:kern w:val="0"/>
                <w:sz w:val="24"/>
                <w:szCs w:val="24"/>
              </w:rPr>
              <w:t>2</w:t>
            </w:r>
            <w:r>
              <w:rPr>
                <w:rFonts w:hint="eastAsia" w:ascii="仿宋" w:hAnsi="仿宋" w:eastAsia="仿宋" w:cs="宋体"/>
                <w:kern w:val="0"/>
                <w:sz w:val="24"/>
                <w:szCs w:val="24"/>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060" w:type="dxa"/>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故障响应</w:t>
            </w:r>
          </w:p>
        </w:tc>
        <w:tc>
          <w:tcPr>
            <w:tcW w:w="962" w:type="dxa"/>
            <w:vAlign w:val="center"/>
          </w:tcPr>
          <w:p>
            <w:pPr>
              <w:widowControl/>
              <w:spacing w:line="360" w:lineRule="auto"/>
              <w:jc w:val="center"/>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分</w:t>
            </w:r>
          </w:p>
        </w:tc>
        <w:tc>
          <w:tcPr>
            <w:tcW w:w="5636" w:type="dxa"/>
            <w:vAlign w:val="center"/>
          </w:tcPr>
          <w:p>
            <w:pPr>
              <w:widowControl/>
              <w:spacing w:line="360" w:lineRule="auto"/>
              <w:rPr>
                <w:rFonts w:ascii="仿宋" w:hAnsi="仿宋" w:eastAsia="仿宋" w:cs="宋体"/>
                <w:kern w:val="0"/>
                <w:sz w:val="24"/>
                <w:szCs w:val="24"/>
              </w:rPr>
            </w:pPr>
            <w:r>
              <w:rPr>
                <w:rFonts w:hint="eastAsia" w:ascii="仿宋" w:hAnsi="仿宋" w:eastAsia="仿宋" w:cs="宋体"/>
                <w:kern w:val="0"/>
                <w:sz w:val="24"/>
                <w:szCs w:val="24"/>
              </w:rPr>
              <w:t>具有故障响应时间、维修处理措施的承诺及内容打分。</w:t>
            </w:r>
          </w:p>
        </w:tc>
      </w:tr>
    </w:tbl>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24.8.2.1  对于商务部分（招标报价）的评分，按以下方法进行：价格分统一采用低价优先法计算，即满足招标文件要求且招标价格最低的报价为招标基准价，其价格分为满分。其他供应商的价格分统一按照下列公式计算：</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报价得分=（招标基准价／招标价格）×30%×100</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招标价格=供应商的招标报价（经算数性修正的）-政府采购政策优惠价格扣除。</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本项目将对小型和微型企业产品的价格给予10%的扣除，用扣除后的价格参与评审打分。</w:t>
      </w:r>
    </w:p>
    <w:p>
      <w:pPr>
        <w:adjustRightInd w:val="0"/>
        <w:snapToGrid w:val="0"/>
        <w:spacing w:line="360" w:lineRule="auto"/>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招标价格=供应商报价中属于小型和微型企业产品的价格部分×（100%-10%）+供应商报价中不属于小型和微型企业产品的价格部分；否则，其招标价=招标报价。</w:t>
      </w:r>
    </w:p>
    <w:p>
      <w:pPr>
        <w:adjustRightInd w:val="0"/>
        <w:snapToGrid w:val="0"/>
        <w:spacing w:line="360" w:lineRule="auto"/>
        <w:ind w:firstLine="560" w:firstLineChars="200"/>
        <w:rPr>
          <w:rFonts w:ascii="仿宋" w:hAnsi="仿宋" w:eastAsia="仿宋" w:cs="仿宋_GB2312"/>
          <w:color w:val="000000"/>
          <w:sz w:val="28"/>
          <w:szCs w:val="28"/>
        </w:rPr>
      </w:pPr>
      <w:r>
        <w:rPr>
          <w:rFonts w:hint="eastAsia" w:ascii="仿宋" w:hAnsi="仿宋" w:eastAsia="仿宋"/>
          <w:color w:val="000000"/>
          <w:sz w:val="28"/>
        </w:rPr>
        <w:t>24.8.2.2  在价格评审中，</w:t>
      </w:r>
      <w:r>
        <w:rPr>
          <w:rFonts w:hint="eastAsia" w:ascii="仿宋" w:hAnsi="仿宋" w:eastAsia="仿宋" w:cs="仿宋_GB2312"/>
          <w:color w:val="000000"/>
          <w:sz w:val="28"/>
          <w:szCs w:val="28"/>
        </w:rPr>
        <w:t>招标委员会认为供应商的报价明显低于其他通过符合性审查供应商的报价，有可能影响产品质量或者不能诚信履约的，应当要求其在招标现场合理的时间内提供书面说明，必要时提交相关证明材料，供应商不能证明其报价合理性的，招标委员会应当将其作为无效招标处理。</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招标产品近三年相同产品销售业绩，以确定厂家类似项目的供货经验及组织管理能力等。</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涉及政府采购政策优惠的，按招标须知前附表规定调整供应商的技术、价格得分或总得分。</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涉及多处获得政府采购政策优惠的，涉及调整得分的，按规定调整得分；涉及调整价格的，按规定调整价格。</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价格项加分：</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1、（节能清单部分产品的价格/招标报价）×3%×价格项满分值</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2、（环境清单部分产品的价格/招标报价）×3%×价格项满分值</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技术项加分：</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1、（节能清单部分产品的价格/招标报价）×3%×技术项满分值</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2、（环境清单部分产品的价格/招标报价）×3%×技术项满分值</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注：1、供应商须提供23期《节能产品政府采购清单》关于招标产品当前页的打印件；</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2、供应商提供21期《环境标志产品政府采购清单》关于招标产品当前页的打印件；</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24.8.2.4属于中小企业评审优惠内容及价格扣除幅度：</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根据中华人民共和国财政部、中华人民共和国工业和信息化部《政府采购促进中小企业发展暂行办法》（财库〔2020〕46号）文件的规定，属于中小企业评审优惠内容及幅度如下：</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（一）中小企业（含中型、小型、微型企业）应当同时符合以下条件：</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①符合中小企业划分标准（按《政府采购促进中小企业发展暂行办法》（财库〔2020〕46号）执行）；</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②提供本企业制造的货物、承担的项目或者服务，或者提供其他中小企业制造的货物。本项所称货物不包括使用大型企业注册商标的货物；</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③小型、微型企业提供中型企业制造的货物的，视同为中型企业。</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（二）价格扣除办法：</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fldChar w:fldCharType="begin"/>
      </w:r>
      <w:r>
        <w:rPr>
          <w:rFonts w:hint="eastAsia" w:ascii="仿宋" w:hAnsi="仿宋" w:eastAsia="仿宋"/>
          <w:color w:val="000000"/>
          <w:sz w:val="28"/>
        </w:rPr>
        <w:instrText xml:space="preserve"> = 1 \* GB3 </w:instrText>
      </w:r>
      <w:r>
        <w:rPr>
          <w:rFonts w:hint="eastAsia" w:ascii="仿宋" w:hAnsi="仿宋" w:eastAsia="仿宋"/>
          <w:color w:val="000000"/>
          <w:sz w:val="28"/>
        </w:rPr>
        <w:fldChar w:fldCharType="separate"/>
      </w:r>
      <w:r>
        <w:rPr>
          <w:rFonts w:hint="eastAsia" w:ascii="仿宋" w:hAnsi="仿宋" w:eastAsia="仿宋"/>
          <w:color w:val="000000"/>
          <w:sz w:val="28"/>
        </w:rPr>
        <w:t>①</w:t>
      </w:r>
      <w:r>
        <w:rPr>
          <w:rFonts w:hint="eastAsia" w:ascii="仿宋" w:hAnsi="仿宋" w:eastAsia="仿宋"/>
          <w:color w:val="000000"/>
          <w:sz w:val="28"/>
        </w:rPr>
        <w:fldChar w:fldCharType="end"/>
      </w:r>
      <w:r>
        <w:rPr>
          <w:rFonts w:hint="eastAsia" w:ascii="仿宋" w:hAnsi="仿宋" w:eastAsia="仿宋"/>
          <w:color w:val="000000"/>
          <w:sz w:val="28"/>
        </w:rPr>
        <w:t>对于非专门面向中小企业的项目，对小型和微型企业（或联合体各方均为小型、微型企业的）产品的价格给予10%的扣除，用扣除后的价格参与价格分的评审。</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（三）小型和微型企业适用价格扣除办法时应提供的相关资料：</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fldChar w:fldCharType="begin"/>
      </w:r>
      <w:r>
        <w:rPr>
          <w:rFonts w:hint="eastAsia" w:ascii="仿宋" w:hAnsi="仿宋" w:eastAsia="仿宋"/>
          <w:color w:val="000000"/>
          <w:sz w:val="28"/>
        </w:rPr>
        <w:instrText xml:space="preserve"> = 1 \* GB3 </w:instrText>
      </w:r>
      <w:r>
        <w:rPr>
          <w:rFonts w:hint="eastAsia" w:ascii="仿宋" w:hAnsi="仿宋" w:eastAsia="仿宋"/>
          <w:color w:val="000000"/>
          <w:sz w:val="28"/>
        </w:rPr>
        <w:fldChar w:fldCharType="separate"/>
      </w:r>
      <w:r>
        <w:rPr>
          <w:rFonts w:hint="eastAsia" w:ascii="仿宋" w:hAnsi="仿宋" w:eastAsia="仿宋"/>
          <w:color w:val="000000"/>
          <w:sz w:val="28"/>
        </w:rPr>
        <w:t>①</w:t>
      </w:r>
      <w:r>
        <w:rPr>
          <w:rFonts w:hint="eastAsia" w:ascii="仿宋" w:hAnsi="仿宋" w:eastAsia="仿宋"/>
          <w:color w:val="000000"/>
          <w:sz w:val="28"/>
        </w:rPr>
        <w:fldChar w:fldCharType="end"/>
      </w:r>
      <w:r>
        <w:rPr>
          <w:rFonts w:hint="eastAsia" w:ascii="仿宋" w:hAnsi="仿宋" w:eastAsia="仿宋"/>
          <w:color w:val="000000"/>
          <w:sz w:val="28"/>
        </w:rPr>
        <w:t>、《中小企业声明函》。</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②、供应商应提供所招标产品生产厂家的属地主管部门出具的证明函；</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③、供应商应同时提供以上二个材料，否则将不给予价格扣除。</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④、供应商需在招标文件报价部分中“招标分项报价表”中逐项注明所投产品的生产厂家具体名称并备注是否属于小型、微型企业。</w:t>
      </w:r>
    </w:p>
    <w:p>
      <w:pPr>
        <w:spacing w:line="360" w:lineRule="auto"/>
        <w:ind w:firstLine="560" w:firstLineChars="200"/>
        <w:rPr>
          <w:rFonts w:ascii="仿宋" w:hAnsi="仿宋" w:eastAsia="仿宋"/>
          <w:color w:val="000000"/>
          <w:sz w:val="28"/>
        </w:rPr>
      </w:pPr>
      <w:r>
        <w:rPr>
          <w:rFonts w:hint="eastAsia" w:ascii="仿宋" w:hAnsi="仿宋" w:eastAsia="仿宋"/>
          <w:color w:val="000000"/>
          <w:sz w:val="28"/>
        </w:rPr>
        <w:t>若所招标产品为进口产品的，不适用《政府采购促进中小企业发展暂行办法》。</w:t>
      </w:r>
    </w:p>
    <w:p>
      <w:pPr>
        <w:spacing w:line="360" w:lineRule="auto"/>
        <w:ind w:firstLine="560" w:firstLineChars="200"/>
        <w:rPr>
          <w:rFonts w:ascii="仿宋" w:hAnsi="仿宋" w:eastAsia="仿宋"/>
          <w:color w:val="000000"/>
          <w:sz w:val="28"/>
        </w:rPr>
      </w:pPr>
      <w:r>
        <w:rPr>
          <w:rFonts w:hint="eastAsia" w:ascii="仿宋" w:hAnsi="仿宋" w:eastAsia="仿宋"/>
          <w:color w:val="000000"/>
          <w:sz w:val="28"/>
        </w:rPr>
        <w:t>根据中华人民共和国财政部、中华人民共和国民政部、中国残疾人联合会《关于促进残疾人就业政府采购政策的通知》（财库[2017]141号）文件的规定：残疾人福利性单位视同小型、微型企业。</w:t>
      </w:r>
    </w:p>
    <w:p>
      <w:pPr>
        <w:spacing w:line="360" w:lineRule="auto"/>
        <w:ind w:firstLine="560" w:firstLineChars="200"/>
        <w:rPr>
          <w:rFonts w:ascii="仿宋" w:hAnsi="仿宋" w:eastAsia="仿宋"/>
          <w:color w:val="000000"/>
          <w:sz w:val="28"/>
        </w:rPr>
      </w:pPr>
      <w:r>
        <w:rPr>
          <w:rFonts w:hint="eastAsia" w:ascii="仿宋" w:hAnsi="仿宋" w:eastAsia="仿宋"/>
          <w:color w:val="000000"/>
          <w:sz w:val="28"/>
        </w:rPr>
        <w:t>供应商若为残疾人福利性单位，须在招标文件中提供《残疾人福利性单位声明函》，否则将不给予价格扣除。供应商须对其声明的真实性负责，若与事实不符的，将依照《政府采购法》第七十七条第一款的规定追究法律责任。</w:t>
      </w:r>
    </w:p>
    <w:p>
      <w:pPr>
        <w:spacing w:line="360" w:lineRule="auto"/>
        <w:ind w:firstLine="560" w:firstLineChars="200"/>
        <w:rPr>
          <w:rFonts w:ascii="仿宋" w:hAnsi="仿宋" w:eastAsia="仿宋"/>
          <w:color w:val="000000"/>
          <w:sz w:val="28"/>
        </w:rPr>
      </w:pPr>
      <w:r>
        <w:rPr>
          <w:rFonts w:hint="eastAsia" w:ascii="仿宋" w:hAnsi="仿宋" w:eastAsia="仿宋"/>
          <w:color w:val="000000"/>
          <w:sz w:val="28"/>
        </w:rPr>
        <w:t>24.8.3  各招标委员会成员对每个供应商的上述指标的打分（除报价外）的算术平均分，加上经计算的报价得分，即为该供应商的最终综合评审分。招标委员会将按供应商得分顺序由高到低依次排名，得分相同的，按招标报价由低到高顺序排列。得分及报价相同的，按技术指标优劣顺序排列。得分最高的前一至三名供应商将成为成交候选人。</w:t>
      </w:r>
    </w:p>
    <w:p>
      <w:pPr>
        <w:spacing w:line="360" w:lineRule="auto"/>
        <w:ind w:firstLine="560" w:firstLineChars="200"/>
        <w:rPr>
          <w:rFonts w:ascii="仿宋" w:hAnsi="仿宋" w:eastAsia="仿宋"/>
          <w:color w:val="000000"/>
          <w:sz w:val="28"/>
        </w:rPr>
      </w:pPr>
      <w:r>
        <w:rPr>
          <w:rFonts w:hint="eastAsia" w:ascii="仿宋" w:hAnsi="仿宋" w:eastAsia="仿宋"/>
          <w:color w:val="000000"/>
          <w:sz w:val="28"/>
        </w:rPr>
        <w:t>24.8.4  使用综合评分法的采购项目，提供相同品牌核心产品且通过资格审查、符合性审查的不同供应商参加同一合同项下招标的，按一家供应商计算，评审后得分最高的同品牌供应商获得成交供应商推荐资格，评审得分相同的，由招标委员会按照报价最低的供应商，推荐其作为成交候选人，其他同品牌供应商不作为成交候选人。</w:t>
      </w:r>
    </w:p>
    <w:p>
      <w:pPr>
        <w:spacing w:line="360" w:lineRule="auto"/>
        <w:ind w:firstLine="560" w:firstLineChars="200"/>
        <w:rPr>
          <w:rFonts w:ascii="仿宋" w:hAnsi="仿宋" w:eastAsia="仿宋"/>
          <w:color w:val="000000"/>
          <w:sz w:val="28"/>
        </w:rPr>
      </w:pPr>
      <w:r>
        <w:rPr>
          <w:rFonts w:hint="eastAsia" w:ascii="仿宋" w:hAnsi="仿宋" w:eastAsia="仿宋"/>
          <w:color w:val="000000"/>
          <w:sz w:val="28"/>
        </w:rPr>
        <w:t>24.8.5  最低报价不作为招标的唯一依据。采购人不承诺将合同授予报价最低的供应商。</w:t>
      </w:r>
    </w:p>
    <w:p>
      <w:pPr>
        <w:spacing w:line="360" w:lineRule="auto"/>
        <w:ind w:firstLine="560" w:firstLineChars="200"/>
        <w:rPr>
          <w:rFonts w:ascii="仿宋" w:hAnsi="仿宋" w:eastAsia="仿宋"/>
          <w:color w:val="000000"/>
          <w:sz w:val="28"/>
        </w:rPr>
      </w:pPr>
      <w:r>
        <w:rPr>
          <w:rFonts w:hint="eastAsia" w:ascii="仿宋" w:hAnsi="仿宋" w:eastAsia="仿宋"/>
          <w:color w:val="000000"/>
          <w:sz w:val="28"/>
        </w:rPr>
        <w:t>24.8.6  经招标委员会评议，认为招标报价过高、均超出采购人预算或最高限价的项目，可以不确立成交供应商，重新组织招标。</w:t>
      </w:r>
    </w:p>
    <w:p>
      <w:pPr>
        <w:spacing w:line="360" w:lineRule="auto"/>
        <w:ind w:firstLine="560" w:firstLineChars="200"/>
        <w:rPr>
          <w:rFonts w:ascii="仿宋" w:hAnsi="仿宋" w:eastAsia="仿宋"/>
          <w:color w:val="000000"/>
          <w:sz w:val="28"/>
        </w:rPr>
      </w:pPr>
      <w:r>
        <w:rPr>
          <w:rFonts w:hint="eastAsia" w:ascii="仿宋" w:hAnsi="仿宋" w:eastAsia="仿宋"/>
          <w:color w:val="000000"/>
          <w:sz w:val="28"/>
        </w:rPr>
        <w:t>25. 招标文件的澄清</w:t>
      </w:r>
    </w:p>
    <w:p>
      <w:pPr>
        <w:autoSpaceDE w:val="0"/>
        <w:autoSpaceDN w:val="0"/>
        <w:adjustRightIn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25.1 招标委员会在招标过程中有权随时请供应商就投标文件中含混之处加以澄清或答疑。</w:t>
      </w:r>
    </w:p>
    <w:p>
      <w:pPr>
        <w:autoSpaceDE w:val="0"/>
        <w:autoSpaceDN w:val="0"/>
        <w:adjustRightIn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25.2  供应商对要求澄清的问题应以书面形式明确答复，并应有法人授权代表的签署。</w:t>
      </w:r>
    </w:p>
    <w:p>
      <w:pPr>
        <w:autoSpaceDE w:val="0"/>
        <w:autoSpaceDN w:val="0"/>
        <w:adjustRightIn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25.3  供应商的澄清文件是投标文件的组成部分，并取代投标文件中被澄清的部分。</w:t>
      </w:r>
    </w:p>
    <w:p>
      <w:pPr>
        <w:autoSpaceDE w:val="0"/>
        <w:autoSpaceDN w:val="0"/>
        <w:adjustRightIn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25.4  投标文件的澄清不得改变招标的实质内容。</w:t>
      </w:r>
    </w:p>
    <w:p>
      <w:pPr>
        <w:autoSpaceDE w:val="0"/>
        <w:autoSpaceDN w:val="0"/>
        <w:adjustRightIn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26．成交供应商的确定</w:t>
      </w:r>
    </w:p>
    <w:p>
      <w:pPr>
        <w:autoSpaceDE w:val="0"/>
        <w:autoSpaceDN w:val="0"/>
        <w:adjustRightIn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26.1  招标委员会按照招标文件的招标办法负责向采购人推荐一家或一至三家供应商为成交候选人。</w:t>
      </w:r>
    </w:p>
    <w:p>
      <w:pPr>
        <w:autoSpaceDE w:val="0"/>
        <w:autoSpaceDN w:val="0"/>
        <w:adjustRightInd w:val="0"/>
        <w:spacing w:line="360" w:lineRule="auto"/>
        <w:ind w:firstLine="560" w:firstLineChars="200"/>
        <w:rPr>
          <w:rFonts w:ascii="仿宋" w:hAnsi="仿宋" w:eastAsia="仿宋"/>
          <w:color w:val="000000"/>
          <w:kern w:val="0"/>
          <w:sz w:val="28"/>
        </w:rPr>
      </w:pPr>
      <w:r>
        <w:rPr>
          <w:rFonts w:hint="eastAsia" w:ascii="仿宋" w:hAnsi="仿宋" w:eastAsia="仿宋"/>
          <w:color w:val="000000"/>
          <w:kern w:val="0"/>
          <w:sz w:val="28"/>
        </w:rPr>
        <w:t>26.2  成交供应商拒绝与采购人签订合同的，采购人可以按照评审报告推荐的成交供应商名单排序，确定下一候选人为成交供应商，也可以重新开展政府采购活动。</w:t>
      </w:r>
    </w:p>
    <w:p>
      <w:pPr>
        <w:pStyle w:val="24"/>
        <w:spacing w:line="360" w:lineRule="auto"/>
        <w:ind w:firstLine="560" w:firstLineChars="200"/>
        <w:jc w:val="both"/>
        <w:rPr>
          <w:rFonts w:ascii="仿宋" w:hAnsi="仿宋" w:eastAsia="仿宋"/>
          <w:kern w:val="2"/>
          <w:sz w:val="28"/>
        </w:rPr>
      </w:pPr>
      <w:r>
        <w:rPr>
          <w:rFonts w:hint="eastAsia" w:ascii="仿宋" w:hAnsi="仿宋" w:eastAsia="仿宋"/>
          <w:kern w:val="2"/>
          <w:sz w:val="28"/>
        </w:rPr>
        <w:t>27. 成交通知</w:t>
      </w:r>
    </w:p>
    <w:p>
      <w:pPr>
        <w:pStyle w:val="24"/>
        <w:spacing w:line="360" w:lineRule="auto"/>
        <w:ind w:firstLine="560" w:firstLineChars="200"/>
        <w:jc w:val="both"/>
        <w:rPr>
          <w:rFonts w:ascii="仿宋" w:hAnsi="仿宋" w:eastAsia="仿宋"/>
          <w:kern w:val="2"/>
          <w:sz w:val="28"/>
        </w:rPr>
      </w:pPr>
      <w:r>
        <w:rPr>
          <w:rFonts w:hint="eastAsia" w:ascii="仿宋" w:hAnsi="仿宋" w:eastAsia="仿宋"/>
          <w:kern w:val="2"/>
          <w:sz w:val="28"/>
        </w:rPr>
        <w:t>27.1 采购代理机构将在成交结果公示发布的同时，以书面形式向成交供应商发出《成交通知书》。</w:t>
      </w:r>
    </w:p>
    <w:p>
      <w:pPr>
        <w:pStyle w:val="24"/>
        <w:spacing w:line="360" w:lineRule="auto"/>
        <w:ind w:firstLine="560" w:firstLineChars="200"/>
        <w:jc w:val="both"/>
        <w:rPr>
          <w:rFonts w:ascii="仿宋" w:hAnsi="仿宋" w:eastAsia="仿宋"/>
          <w:kern w:val="2"/>
          <w:sz w:val="28"/>
        </w:rPr>
      </w:pPr>
      <w:r>
        <w:rPr>
          <w:rFonts w:hint="eastAsia" w:ascii="仿宋" w:hAnsi="仿宋" w:eastAsia="仿宋"/>
          <w:kern w:val="2"/>
          <w:sz w:val="28"/>
        </w:rPr>
        <w:t xml:space="preserve">27.2 </w:t>
      </w:r>
      <w:r>
        <w:rPr>
          <w:rFonts w:hint="eastAsia" w:ascii="仿宋" w:hAnsi="仿宋" w:eastAsia="仿宋"/>
          <w:sz w:val="28"/>
        </w:rPr>
        <w:t>采购代理机构在《成交通知书》发出后五个工作日内退还未成交供应商的招标保证金，在采购合同签订后五个工作日内退还成交供应商的招标保证金。对于所有供应商的投标文件均</w:t>
      </w:r>
      <w:r>
        <w:rPr>
          <w:rFonts w:hint="eastAsia" w:ascii="仿宋" w:hAnsi="仿宋" w:eastAsia="仿宋"/>
          <w:sz w:val="28"/>
          <w:shd w:val="clear" w:color="auto" w:fill="FFFFFF"/>
        </w:rPr>
        <w:t>不予以退还，但对其承担保密责任。</w:t>
      </w:r>
    </w:p>
    <w:p>
      <w:pPr>
        <w:pStyle w:val="24"/>
        <w:spacing w:line="360" w:lineRule="auto"/>
        <w:ind w:firstLine="560" w:firstLineChars="200"/>
        <w:jc w:val="both"/>
        <w:rPr>
          <w:rFonts w:ascii="仿宋" w:hAnsi="仿宋" w:eastAsia="仿宋"/>
          <w:kern w:val="2"/>
          <w:sz w:val="28"/>
        </w:rPr>
      </w:pPr>
      <w:r>
        <w:rPr>
          <w:rFonts w:hint="eastAsia" w:ascii="仿宋" w:hAnsi="仿宋" w:eastAsia="仿宋"/>
          <w:kern w:val="2"/>
          <w:sz w:val="28"/>
        </w:rPr>
        <w:t>28. 拒绝某些或所有招标的权力。</w:t>
      </w:r>
    </w:p>
    <w:p>
      <w:pPr>
        <w:pStyle w:val="24"/>
        <w:spacing w:line="360" w:lineRule="auto"/>
        <w:ind w:firstLine="560" w:firstLineChars="200"/>
        <w:jc w:val="both"/>
        <w:rPr>
          <w:rFonts w:ascii="仿宋" w:hAnsi="仿宋" w:eastAsia="仿宋"/>
          <w:kern w:val="2"/>
          <w:sz w:val="28"/>
        </w:rPr>
      </w:pPr>
      <w:r>
        <w:rPr>
          <w:rFonts w:hint="eastAsia" w:ascii="仿宋" w:hAnsi="仿宋" w:eastAsia="仿宋"/>
          <w:kern w:val="2"/>
          <w:sz w:val="28"/>
        </w:rPr>
        <w:t>28.1 采购人或采购代理机构有权在《成交通知书》发放之前的任何时候拒绝任何有不正当行为或扰乱正常招标工作的供应商，由此对相关供应商造成的损失不负责任。</w:t>
      </w:r>
    </w:p>
    <w:p>
      <w:pPr>
        <w:pStyle w:val="6"/>
        <w:spacing w:line="360" w:lineRule="auto"/>
      </w:pPr>
      <w:bookmarkStart w:id="25" w:name="_Toc61184630"/>
      <w:bookmarkStart w:id="26" w:name="_Toc56170387"/>
      <w:r>
        <w:rPr>
          <w:rFonts w:hint="eastAsia"/>
        </w:rPr>
        <w:t>七、授予合同</w:t>
      </w:r>
      <w:bookmarkEnd w:id="25"/>
      <w:bookmarkEnd w:id="26"/>
    </w:p>
    <w:p>
      <w:pPr>
        <w:pStyle w:val="24"/>
        <w:spacing w:line="360" w:lineRule="auto"/>
        <w:ind w:firstLine="560" w:firstLineChars="200"/>
        <w:jc w:val="both"/>
        <w:rPr>
          <w:rFonts w:ascii="仿宋" w:hAnsi="仿宋" w:eastAsia="仿宋"/>
          <w:sz w:val="28"/>
        </w:rPr>
      </w:pPr>
      <w:r>
        <w:rPr>
          <w:rFonts w:hint="eastAsia" w:ascii="仿宋" w:hAnsi="仿宋" w:eastAsia="仿宋"/>
          <w:sz w:val="28"/>
        </w:rPr>
        <w:t>29. 签订合同</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29.1 成交供应商收到《成交通知书》后，须按有关规定与招标方签定经济合同。合同的签订一般在《成交通知书》发出后30天内进行，但采购人事先约定的情况除外。</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29.2 合同签订后，卖方应按合同的规定履行合同，未按规定履约的，采购人有权取消合同，并且不退还成交供应商的招标保证金。</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29.3 成交合同不得转让或分包。如需对合同的非主体部分进行转让或分包，供应商必须在招标文件中予以说明，并需经采购人同意。否则，采购人有权取消成交供应商的资格。</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29.4 如成交供应商未按有关规定与采购人签订合同或提交合同履约保证金的，采购人可以选择其他成交候选人为成交供应商，并组织成交供应商和采购人签订经济合同。</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29.5 合同履约保证金的形式为银行保函，另有约定的，按照约定条件执行。</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30. 合同的组成</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30.1 下列文件均为经济合同不可分割的组成部分：</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30.1.1 招标文件及其附件、补遗文件；</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 xml:space="preserve">30.1.2 成交供应商的投标文件及其他附件； </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30.1.3 经确认的答疑记录；</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30.1.4 成交通知书。</w:t>
      </w:r>
    </w:p>
    <w:p>
      <w:pPr>
        <w:pStyle w:val="6"/>
        <w:spacing w:line="360" w:lineRule="auto"/>
      </w:pPr>
      <w:bookmarkStart w:id="27" w:name="_Toc61184631"/>
      <w:bookmarkStart w:id="28" w:name="_Toc56170388"/>
      <w:r>
        <w:rPr>
          <w:rFonts w:hint="eastAsia"/>
        </w:rPr>
        <w:t>八、买方授标时更改采购货物数量的权利</w:t>
      </w:r>
      <w:bookmarkEnd w:id="27"/>
      <w:bookmarkEnd w:id="28"/>
    </w:p>
    <w:p>
      <w:pPr>
        <w:pStyle w:val="23"/>
        <w:spacing w:before="100" w:after="50" w:line="360" w:lineRule="auto"/>
        <w:ind w:firstLine="560"/>
        <w:rPr>
          <w:rFonts w:ascii="仿宋" w:hAnsi="仿宋" w:eastAsia="仿宋"/>
          <w:color w:val="000000"/>
        </w:rPr>
      </w:pPr>
      <w:r>
        <w:rPr>
          <w:rFonts w:hint="eastAsia" w:ascii="仿宋" w:hAnsi="仿宋" w:eastAsia="仿宋"/>
          <w:color w:val="000000"/>
        </w:rPr>
        <w:t>31. 采购人在采购合同履行期间，有权按“招标须知前附表”第14项约定的内容对“货物需求表”中规定的货物数量和服务予以局部增加或减少，但不得对单价或其它实质性内容做任何改变，对增减的数量按同类型成交产品价结算货款。</w:t>
      </w:r>
    </w:p>
    <w:p>
      <w:pPr>
        <w:pStyle w:val="6"/>
        <w:spacing w:line="360" w:lineRule="auto"/>
      </w:pPr>
      <w:bookmarkStart w:id="29" w:name="_Toc61184632"/>
      <w:bookmarkStart w:id="30" w:name="_Toc56170389"/>
      <w:r>
        <w:rPr>
          <w:rFonts w:hint="eastAsia"/>
        </w:rPr>
        <w:t>九、其他事项</w:t>
      </w:r>
      <w:bookmarkEnd w:id="29"/>
      <w:bookmarkEnd w:id="30"/>
    </w:p>
    <w:p>
      <w:pPr>
        <w:pStyle w:val="24"/>
        <w:spacing w:line="360" w:lineRule="auto"/>
        <w:ind w:firstLine="560" w:firstLineChars="200"/>
        <w:rPr>
          <w:rFonts w:ascii="仿宋" w:hAnsi="仿宋" w:eastAsia="仿宋"/>
          <w:sz w:val="28"/>
        </w:rPr>
      </w:pPr>
      <w:r>
        <w:rPr>
          <w:rFonts w:hint="eastAsia" w:ascii="仿宋" w:hAnsi="仿宋" w:eastAsia="仿宋"/>
          <w:sz w:val="28"/>
        </w:rPr>
        <w:t>32.  代理服务费</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32.1 成交供应商应按本招标文件的规定，在《成交通知书》核发时至核发后3天内，向采购代理机构支付代理服务费。其计算标准和方法见投标人须知前附表。</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需要开具增值税专用发票，供应商请提供增值税专用发票开票信息（需加盖财务专用章）；</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33. 本招标文件是根据《中华人民共和国政府采购法》及其实施条例（658号令）及《政府采购货物和服务招标投标管理办法》（87号令）规定编制的，解释权属中科高盛咨询集团有限公司。</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34. 为了做好招标工作，供应商应组织有关商务和技术人员，认真解答或澄清招标委员会在招标过程中提出的有关商务和技术问题。</w:t>
      </w:r>
    </w:p>
    <w:p>
      <w:pPr>
        <w:pStyle w:val="24"/>
        <w:spacing w:line="360" w:lineRule="auto"/>
        <w:ind w:firstLine="560" w:firstLineChars="200"/>
        <w:jc w:val="both"/>
        <w:rPr>
          <w:rFonts w:ascii="仿宋" w:hAnsi="仿宋" w:eastAsia="仿宋"/>
          <w:sz w:val="28"/>
        </w:rPr>
      </w:pPr>
      <w:r>
        <w:rPr>
          <w:rFonts w:hint="eastAsia" w:ascii="仿宋" w:hAnsi="仿宋" w:eastAsia="仿宋"/>
          <w:sz w:val="28"/>
        </w:rPr>
        <w:t>所有与本标书有关的函电通讯地址联系见招标须知前附表序号24。</w:t>
      </w:r>
    </w:p>
    <w:bookmarkEnd w:id="7"/>
    <w:p>
      <w:pPr>
        <w:pStyle w:val="4"/>
      </w:pPr>
      <w:r>
        <w:rPr>
          <w:rFonts w:cs="Times New Roman"/>
          <w:szCs w:val="20"/>
        </w:rPr>
        <w:br w:type="page"/>
      </w:r>
      <w:bookmarkStart w:id="31" w:name="_Toc61184633"/>
      <w:bookmarkStart w:id="32" w:name="_Toc55990501"/>
      <w:bookmarkStart w:id="33" w:name="_Toc56170390"/>
      <w:r>
        <w:rPr>
          <w:rFonts w:hint="eastAsia"/>
        </w:rPr>
        <w:t>第三章、招标内容及技术要求</w:t>
      </w:r>
      <w:bookmarkEnd w:id="31"/>
      <w:bookmarkEnd w:id="32"/>
      <w:bookmarkEnd w:id="33"/>
    </w:p>
    <w:p>
      <w:pPr>
        <w:jc w:val="center"/>
        <w:rPr>
          <w:rFonts w:ascii="仿宋" w:hAnsi="仿宋" w:eastAsia="仿宋" w:cs="仿宋"/>
          <w:b/>
          <w:bCs/>
          <w:color w:val="000000"/>
          <w:sz w:val="32"/>
        </w:rPr>
      </w:pPr>
      <w:r>
        <w:rPr>
          <w:rFonts w:hint="eastAsia" w:ascii="仿宋" w:hAnsi="仿宋" w:eastAsia="仿宋"/>
          <w:b/>
          <w:color w:val="000000"/>
          <w:sz w:val="22"/>
          <w:szCs w:val="22"/>
        </w:rPr>
        <w:t>星号</w:t>
      </w:r>
      <w:r>
        <w:rPr>
          <w:rFonts w:hint="eastAsia" w:ascii="仿宋" w:hAnsi="仿宋" w:eastAsia="仿宋"/>
          <w:b/>
          <w:color w:val="000000"/>
          <w:szCs w:val="21"/>
        </w:rPr>
        <w:t>“★”</w:t>
      </w:r>
      <w:r>
        <w:rPr>
          <w:rFonts w:hint="eastAsia" w:ascii="仿宋" w:hAnsi="仿宋" w:eastAsia="仿宋"/>
          <w:b/>
          <w:color w:val="000000"/>
          <w:sz w:val="22"/>
          <w:szCs w:val="22"/>
        </w:rPr>
        <w:t>技术条款（如有）为不可偏离项，如有偏离按未对招标文件进行实质性响应处理</w:t>
      </w:r>
      <w:r>
        <w:rPr>
          <w:rFonts w:hint="eastAsia"/>
          <w:b/>
          <w:sz w:val="22"/>
          <w:szCs w:val="22"/>
        </w:rPr>
        <w:t>。</w:t>
      </w:r>
    </w:p>
    <w:p>
      <w:pPr>
        <w:jc w:val="center"/>
        <w:rPr>
          <w:rFonts w:ascii="微软雅黑" w:hAnsi="微软雅黑" w:eastAsia="微软雅黑"/>
          <w:b/>
          <w:kern w:val="0"/>
          <w:sz w:val="32"/>
          <w:szCs w:val="32"/>
        </w:rPr>
      </w:pPr>
    </w:p>
    <w:p>
      <w:pPr>
        <w:tabs>
          <w:tab w:val="left" w:pos="2985"/>
        </w:tabs>
        <w:spacing w:line="360" w:lineRule="auto"/>
        <w:jc w:val="center"/>
        <w:rPr>
          <w:rFonts w:ascii="宋体" w:hAnsi="宋体" w:cs="Arial"/>
          <w:b/>
          <w:sz w:val="32"/>
          <w:szCs w:val="32"/>
        </w:rPr>
      </w:pPr>
      <w:r>
        <w:rPr>
          <w:rFonts w:hint="eastAsia" w:ascii="宋体" w:hAnsi="宋体" w:cs="Arial"/>
          <w:b/>
          <w:sz w:val="32"/>
          <w:szCs w:val="32"/>
        </w:rPr>
        <w:t>放射外科治疗系统技术规格要求</w:t>
      </w:r>
    </w:p>
    <w:tbl>
      <w:tblPr>
        <w:tblStyle w:val="19"/>
        <w:tblW w:w="5000" w:type="pct"/>
        <w:jc w:val="center"/>
        <w:tblLayout w:type="fixed"/>
        <w:tblCellMar>
          <w:top w:w="0" w:type="dxa"/>
          <w:left w:w="108" w:type="dxa"/>
          <w:bottom w:w="0" w:type="dxa"/>
          <w:right w:w="108" w:type="dxa"/>
        </w:tblCellMar>
      </w:tblPr>
      <w:tblGrid>
        <w:gridCol w:w="1613"/>
        <w:gridCol w:w="8241"/>
      </w:tblGrid>
      <w:tr>
        <w:tblPrEx>
          <w:tblCellMar>
            <w:top w:w="0" w:type="dxa"/>
            <w:left w:w="108" w:type="dxa"/>
            <w:bottom w:w="0" w:type="dxa"/>
            <w:right w:w="108" w:type="dxa"/>
          </w:tblCellMar>
        </w:tblPrEx>
        <w:trPr>
          <w:trHeight w:val="576" w:hRule="atLeast"/>
          <w:tblHeader/>
          <w:jc w:val="center"/>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Arial Unicode MS"/>
                <w:b/>
                <w:bCs/>
                <w:sz w:val="24"/>
                <w:szCs w:val="24"/>
              </w:rPr>
            </w:pPr>
            <w:r>
              <w:rPr>
                <w:rFonts w:cs="Arial Unicode MS"/>
                <w:b/>
                <w:bCs/>
                <w:sz w:val="24"/>
                <w:szCs w:val="24"/>
              </w:rPr>
              <w:t>编号</w:t>
            </w:r>
          </w:p>
        </w:tc>
        <w:tc>
          <w:tcPr>
            <w:tcW w:w="7406" w:type="dxa"/>
            <w:tcBorders>
              <w:top w:val="single" w:color="auto" w:sz="4" w:space="0"/>
              <w:left w:val="nil"/>
              <w:bottom w:val="single" w:color="auto" w:sz="4" w:space="0"/>
              <w:right w:val="single" w:color="auto" w:sz="4" w:space="0"/>
            </w:tcBorders>
            <w:shd w:val="clear" w:color="auto" w:fill="auto"/>
            <w:vAlign w:val="center"/>
          </w:tcPr>
          <w:p>
            <w:pPr>
              <w:spacing w:before="120" w:after="120"/>
              <w:jc w:val="center"/>
              <w:rPr>
                <w:rFonts w:cs="Arial Unicode MS"/>
                <w:b/>
                <w:bCs/>
                <w:sz w:val="24"/>
                <w:szCs w:val="24"/>
              </w:rPr>
            </w:pPr>
            <w:r>
              <w:rPr>
                <w:rFonts w:cs="Arial Unicode MS"/>
                <w:b/>
                <w:bCs/>
                <w:sz w:val="24"/>
                <w:szCs w:val="24"/>
              </w:rPr>
              <w:t>技术规格要求</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1</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b/>
                <w:bCs/>
                <w:sz w:val="24"/>
                <w:szCs w:val="24"/>
              </w:rPr>
              <w:t>主系统基本要求</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r>
              <w:rPr>
                <w:rFonts w:hint="eastAsia" w:cs="Arial Unicode MS"/>
                <w:bCs/>
                <w:sz w:val="24"/>
              </w:rPr>
              <w:t>*</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加速管类型：驻波</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微波功率源：速调管</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束流偏转与输出系统：≥250度磁偏转系统</w:t>
            </w:r>
          </w:p>
        </w:tc>
      </w:tr>
      <w:tr>
        <w:tblPrEx>
          <w:tblCellMar>
            <w:top w:w="0" w:type="dxa"/>
            <w:left w:w="108" w:type="dxa"/>
            <w:bottom w:w="0" w:type="dxa"/>
            <w:right w:w="108" w:type="dxa"/>
          </w:tblCellMar>
        </w:tblPrEx>
        <w:trPr>
          <w:trHeight w:val="962"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系统内部的计算机控制体系应具有临床应用模式，特殊治疗应用模式，拍片模式，物理模式和维修模式。</w:t>
            </w:r>
          </w:p>
        </w:tc>
      </w:tr>
      <w:tr>
        <w:tblPrEx>
          <w:tblCellMar>
            <w:top w:w="0" w:type="dxa"/>
            <w:left w:w="108" w:type="dxa"/>
            <w:bottom w:w="0" w:type="dxa"/>
            <w:right w:w="108" w:type="dxa"/>
          </w:tblCellMar>
        </w:tblPrEx>
        <w:trPr>
          <w:trHeight w:val="899"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提供运动管理接口，以便连接第三方运动监测设备，用于患者摆位验证或呼吸运动管理。</w:t>
            </w:r>
          </w:p>
        </w:tc>
      </w:tr>
      <w:tr>
        <w:tblPrEx>
          <w:tblCellMar>
            <w:top w:w="0" w:type="dxa"/>
            <w:left w:w="108" w:type="dxa"/>
            <w:bottom w:w="0" w:type="dxa"/>
            <w:right w:w="108" w:type="dxa"/>
          </w:tblCellMar>
        </w:tblPrEx>
        <w:trPr>
          <w:trHeight w:val="899"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具备嵌入式高效QA功能，QA软件整合于加速器控制台，利用专用模体和机载</w:t>
            </w:r>
            <w:r>
              <w:rPr>
                <w:rFonts w:cs="Arial Unicode MS"/>
                <w:sz w:val="24"/>
                <w:szCs w:val="24"/>
              </w:rPr>
              <w:t>kV/MV</w:t>
            </w:r>
            <w:r>
              <w:rPr>
                <w:rFonts w:hint="eastAsia" w:cs="Arial Unicode MS"/>
                <w:sz w:val="24"/>
                <w:szCs w:val="24"/>
              </w:rPr>
              <w:t>影像系统，可在 5分钟之内快速完成一系列QA检查。</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0"/>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b/>
                <w:bCs/>
                <w:sz w:val="24"/>
                <w:szCs w:val="24"/>
              </w:rPr>
              <w:t>X</w:t>
            </w:r>
            <w:r>
              <w:rPr>
                <w:rFonts w:hint="eastAsia" w:cs="Arial Unicode MS"/>
                <w:b/>
                <w:bCs/>
                <w:sz w:val="24"/>
                <w:szCs w:val="24"/>
              </w:rPr>
              <w:t>线</w:t>
            </w:r>
            <w:r>
              <w:rPr>
                <w:rFonts w:cs="Arial Unicode MS"/>
                <w:b/>
                <w:bCs/>
                <w:sz w:val="24"/>
                <w:szCs w:val="24"/>
              </w:rPr>
              <w:t>束流特性</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cs="Arial Unicode MS"/>
                <w:sz w:val="24"/>
                <w:szCs w:val="24"/>
              </w:rPr>
              <w:t>X射线能量：</w:t>
            </w:r>
          </w:p>
          <w:p>
            <w:pPr>
              <w:rPr>
                <w:rFonts w:cs="Arial Unicode MS"/>
                <w:sz w:val="24"/>
                <w:szCs w:val="24"/>
              </w:rPr>
            </w:pPr>
            <w:r>
              <w:rPr>
                <w:rFonts w:cs="Arial Unicode MS"/>
                <w:sz w:val="24"/>
                <w:szCs w:val="24"/>
              </w:rPr>
              <w:t>常规</w:t>
            </w:r>
            <w:r>
              <w:rPr>
                <w:rFonts w:hint="eastAsia" w:cs="Arial Unicode MS"/>
                <w:sz w:val="24"/>
                <w:szCs w:val="24"/>
              </w:rPr>
              <w:t>剂量率</w:t>
            </w:r>
            <w:r>
              <w:rPr>
                <w:rFonts w:cs="Arial Unicode MS"/>
                <w:sz w:val="24"/>
                <w:szCs w:val="24"/>
              </w:rPr>
              <w:t>模式6MV/10MV</w:t>
            </w:r>
            <w:r>
              <w:rPr>
                <w:rFonts w:hint="eastAsia" w:cs="Arial Unicode MS"/>
                <w:sz w:val="24"/>
                <w:szCs w:val="24"/>
              </w:rPr>
              <w:t>(</w:t>
            </w:r>
            <w:r>
              <w:rPr>
                <w:rFonts w:hint="eastAsia" w:ascii="宋体" w:hAnsi="宋体" w:cs="Arial"/>
                <w:szCs w:val="21"/>
              </w:rPr>
              <w:t>按照BJR11标准)</w:t>
            </w:r>
            <w:r>
              <w:rPr>
                <w:rFonts w:hint="eastAsia" w:cs="Arial Unicode MS"/>
                <w:sz w:val="24"/>
                <w:szCs w:val="24"/>
              </w:rPr>
              <w:t>；</w:t>
            </w:r>
          </w:p>
          <w:p>
            <w:pPr>
              <w:rPr>
                <w:rFonts w:cs="Arial Unicode MS"/>
                <w:b/>
                <w:bCs/>
                <w:sz w:val="24"/>
                <w:szCs w:val="24"/>
              </w:rPr>
            </w:pPr>
            <w:r>
              <w:rPr>
                <w:rFonts w:cs="Arial Unicode MS"/>
                <w:sz w:val="24"/>
                <w:szCs w:val="24"/>
              </w:rPr>
              <w:t>高</w:t>
            </w:r>
            <w:r>
              <w:rPr>
                <w:rFonts w:hint="eastAsia" w:cs="Arial Unicode MS"/>
                <w:sz w:val="24"/>
                <w:szCs w:val="24"/>
              </w:rPr>
              <w:t>剂量率</w:t>
            </w:r>
            <w:r>
              <w:rPr>
                <w:rFonts w:cs="Arial Unicode MS"/>
                <w:sz w:val="24"/>
                <w:szCs w:val="24"/>
              </w:rPr>
              <w:t>模式6X</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各</w:t>
            </w:r>
            <w:r>
              <w:rPr>
                <w:rFonts w:cs="Arial Unicode MS"/>
                <w:sz w:val="24"/>
                <w:szCs w:val="24"/>
              </w:rPr>
              <w:t>X</w:t>
            </w:r>
            <w:r>
              <w:rPr>
                <w:rFonts w:hint="eastAsia" w:cs="Arial Unicode MS"/>
                <w:sz w:val="24"/>
                <w:szCs w:val="24"/>
              </w:rPr>
              <w:t>射线能量挡最大剂量建成深度Dmax（</w:t>
            </w:r>
            <w:r>
              <w:rPr>
                <w:rFonts w:cs="Arial Unicode MS"/>
                <w:sz w:val="24"/>
                <w:szCs w:val="24"/>
              </w:rPr>
              <w:t>SSD=100cm</w:t>
            </w:r>
            <w:r>
              <w:rPr>
                <w:rFonts w:hint="eastAsia" w:cs="Arial Unicode MS"/>
                <w:sz w:val="24"/>
                <w:szCs w:val="24"/>
              </w:rPr>
              <w:t>，</w:t>
            </w:r>
            <w:r>
              <w:rPr>
                <w:rFonts w:cs="Arial Unicode MS"/>
                <w:sz w:val="24"/>
                <w:szCs w:val="24"/>
              </w:rPr>
              <w:t>10×10cm</w:t>
            </w:r>
            <w:r>
              <w:rPr>
                <w:rFonts w:hint="eastAsia" w:cs="Arial Unicode MS"/>
                <w:sz w:val="24"/>
                <w:szCs w:val="24"/>
              </w:rPr>
              <w:t>射野）：</w:t>
            </w:r>
          </w:p>
          <w:p>
            <w:pPr>
              <w:rPr>
                <w:rFonts w:cs="Arial Unicode MS"/>
                <w:sz w:val="24"/>
                <w:szCs w:val="24"/>
              </w:rPr>
            </w:pPr>
            <w:r>
              <w:rPr>
                <w:rFonts w:hint="eastAsia" w:cs="Arial Unicode MS"/>
                <w:sz w:val="24"/>
                <w:szCs w:val="24"/>
              </w:rPr>
              <w:t>常规剂量率模式：6MV: 1.6cm</w:t>
            </w:r>
            <w:r>
              <w:rPr>
                <w:rFonts w:cs="Arial Unicode MS"/>
                <w:sz w:val="24"/>
                <w:szCs w:val="24"/>
              </w:rPr>
              <w:t>±</w:t>
            </w:r>
            <w:r>
              <w:rPr>
                <w:rFonts w:hint="eastAsia" w:cs="Arial Unicode MS"/>
                <w:sz w:val="24"/>
                <w:szCs w:val="24"/>
              </w:rPr>
              <w:t>0.15cm；</w:t>
            </w:r>
          </w:p>
          <w:p>
            <w:pPr>
              <w:rPr>
                <w:rFonts w:cs="Arial Unicode MS"/>
                <w:b/>
                <w:bCs/>
                <w:sz w:val="24"/>
                <w:szCs w:val="24"/>
              </w:rPr>
            </w:pPr>
            <w:r>
              <w:rPr>
                <w:rFonts w:hint="eastAsia" w:cs="Arial Unicode MS"/>
                <w:sz w:val="24"/>
                <w:szCs w:val="24"/>
              </w:rPr>
              <w:t>高剂量率模式：6X: 1.5cm</w:t>
            </w:r>
            <w:r>
              <w:rPr>
                <w:rFonts w:cs="Arial Unicode MS"/>
                <w:sz w:val="24"/>
                <w:szCs w:val="24"/>
              </w:rPr>
              <w:t>±</w:t>
            </w:r>
            <w:r>
              <w:rPr>
                <w:rFonts w:hint="eastAsia" w:cs="Arial Unicode MS"/>
                <w:sz w:val="24"/>
                <w:szCs w:val="24"/>
              </w:rPr>
              <w:t>0.15cm；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各</w:t>
            </w:r>
            <w:r>
              <w:rPr>
                <w:rFonts w:cs="Arial Unicode MS"/>
                <w:sz w:val="24"/>
                <w:szCs w:val="24"/>
              </w:rPr>
              <w:t>X</w:t>
            </w:r>
            <w:r>
              <w:rPr>
                <w:rFonts w:hint="eastAsia" w:cs="Arial Unicode MS"/>
                <w:sz w:val="24"/>
                <w:szCs w:val="24"/>
              </w:rPr>
              <w:t>射线能量挡百分深度剂量（水下</w:t>
            </w:r>
            <w:r>
              <w:rPr>
                <w:rFonts w:cs="Arial Unicode MS"/>
                <w:sz w:val="24"/>
                <w:szCs w:val="24"/>
              </w:rPr>
              <w:t>10cm, SSD=100cm</w:t>
            </w:r>
            <w:r>
              <w:rPr>
                <w:rFonts w:hint="eastAsia" w:cs="Arial Unicode MS"/>
                <w:sz w:val="24"/>
                <w:szCs w:val="24"/>
              </w:rPr>
              <w:t xml:space="preserve">, </w:t>
            </w:r>
            <w:r>
              <w:rPr>
                <w:rFonts w:cs="Arial Unicode MS"/>
                <w:sz w:val="24"/>
                <w:szCs w:val="24"/>
              </w:rPr>
              <w:t>10×10cm</w:t>
            </w:r>
            <w:r>
              <w:rPr>
                <w:rFonts w:hint="eastAsia" w:cs="Arial Unicode MS"/>
                <w:sz w:val="24"/>
                <w:szCs w:val="24"/>
              </w:rPr>
              <w:t>射野）：</w:t>
            </w:r>
          </w:p>
          <w:p>
            <w:pPr>
              <w:rPr>
                <w:rFonts w:cs="Arial Unicode MS"/>
                <w:sz w:val="24"/>
                <w:szCs w:val="24"/>
              </w:rPr>
            </w:pPr>
            <w:r>
              <w:rPr>
                <w:rFonts w:hint="eastAsia" w:cs="Arial Unicode MS"/>
                <w:sz w:val="24"/>
                <w:szCs w:val="24"/>
              </w:rPr>
              <w:t>常规剂量率模式：6MV: 67.2%</w:t>
            </w:r>
            <w:r>
              <w:rPr>
                <w:rFonts w:cs="Arial Unicode MS"/>
                <w:sz w:val="24"/>
                <w:szCs w:val="24"/>
              </w:rPr>
              <w:t>±</w:t>
            </w:r>
            <w:r>
              <w:rPr>
                <w:rFonts w:hint="eastAsia" w:cs="Arial Unicode MS"/>
                <w:sz w:val="24"/>
                <w:szCs w:val="24"/>
              </w:rPr>
              <w:t>1.0%；</w:t>
            </w:r>
          </w:p>
          <w:p>
            <w:pPr>
              <w:rPr>
                <w:rFonts w:cs="Arial Unicode MS"/>
                <w:b/>
                <w:bCs/>
                <w:sz w:val="24"/>
                <w:szCs w:val="24"/>
              </w:rPr>
            </w:pPr>
            <w:r>
              <w:rPr>
                <w:rFonts w:hint="eastAsia" w:cs="Arial Unicode MS"/>
                <w:sz w:val="24"/>
                <w:szCs w:val="24"/>
              </w:rPr>
              <w:t>高剂量率模式：6X: 64.3%</w:t>
            </w:r>
            <w:r>
              <w:rPr>
                <w:rFonts w:cs="Arial Unicode MS"/>
                <w:sz w:val="24"/>
                <w:szCs w:val="24"/>
              </w:rPr>
              <w:t>±</w:t>
            </w:r>
            <w:r>
              <w:rPr>
                <w:rFonts w:hint="eastAsia" w:cs="Arial Unicode MS"/>
                <w:sz w:val="24"/>
                <w:szCs w:val="24"/>
              </w:rPr>
              <w:t xml:space="preserve">1.0%； </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cs="Arial Unicode MS"/>
                <w:sz w:val="24"/>
                <w:szCs w:val="24"/>
              </w:rPr>
              <w:t>最大剂量率</w:t>
            </w:r>
            <w:r>
              <w:rPr>
                <w:rFonts w:hint="eastAsia" w:cs="Arial Unicode MS"/>
                <w:sz w:val="24"/>
                <w:szCs w:val="24"/>
              </w:rPr>
              <w:t xml:space="preserve">(Dmax, </w:t>
            </w:r>
            <w:r>
              <w:rPr>
                <w:rFonts w:cs="Arial Unicode MS"/>
                <w:sz w:val="24"/>
                <w:szCs w:val="24"/>
              </w:rPr>
              <w:t>SSD=100cm</w:t>
            </w:r>
            <w:r>
              <w:rPr>
                <w:rFonts w:hint="eastAsia" w:cs="Arial Unicode MS"/>
                <w:sz w:val="24"/>
                <w:szCs w:val="24"/>
              </w:rPr>
              <w:t xml:space="preserve">, </w:t>
            </w:r>
            <w:r>
              <w:rPr>
                <w:rFonts w:cs="Arial Unicode MS"/>
                <w:sz w:val="24"/>
                <w:szCs w:val="24"/>
              </w:rPr>
              <w:t>10×10cm</w:t>
            </w:r>
            <w:r>
              <w:rPr>
                <w:rFonts w:hint="eastAsia" w:cs="Arial Unicode MS"/>
                <w:sz w:val="24"/>
                <w:szCs w:val="24"/>
              </w:rPr>
              <w:t>射野)</w:t>
            </w:r>
            <w:r>
              <w:rPr>
                <w:rFonts w:cs="Arial Unicode MS"/>
                <w:sz w:val="24"/>
                <w:szCs w:val="24"/>
              </w:rPr>
              <w:t>：</w:t>
            </w:r>
          </w:p>
          <w:p>
            <w:pPr>
              <w:rPr>
                <w:rFonts w:cs="Arial Unicode MS"/>
                <w:sz w:val="24"/>
                <w:szCs w:val="24"/>
              </w:rPr>
            </w:pPr>
            <w:r>
              <w:rPr>
                <w:rFonts w:cs="Arial Unicode MS"/>
                <w:sz w:val="24"/>
                <w:szCs w:val="24"/>
              </w:rPr>
              <w:t>常规</w:t>
            </w:r>
            <w:r>
              <w:rPr>
                <w:rFonts w:hint="eastAsia" w:cs="Arial Unicode MS"/>
                <w:sz w:val="24"/>
                <w:szCs w:val="24"/>
              </w:rPr>
              <w:t>剂量率</w:t>
            </w:r>
            <w:r>
              <w:rPr>
                <w:rFonts w:cs="Arial Unicode MS"/>
                <w:sz w:val="24"/>
                <w:szCs w:val="24"/>
              </w:rPr>
              <w:t>模式≥550MU/min；</w:t>
            </w:r>
          </w:p>
          <w:p>
            <w:pPr>
              <w:rPr>
                <w:rFonts w:cs="Arial Unicode MS"/>
                <w:b/>
                <w:bCs/>
                <w:sz w:val="24"/>
                <w:szCs w:val="24"/>
              </w:rPr>
            </w:pPr>
            <w:r>
              <w:rPr>
                <w:rFonts w:cs="Arial Unicode MS"/>
                <w:sz w:val="24"/>
                <w:szCs w:val="24"/>
              </w:rPr>
              <w:t>高</w:t>
            </w:r>
            <w:r>
              <w:rPr>
                <w:rFonts w:hint="eastAsia" w:cs="Arial Unicode MS"/>
                <w:sz w:val="24"/>
                <w:szCs w:val="24"/>
              </w:rPr>
              <w:t>剂量率</w:t>
            </w:r>
            <w:r>
              <w:rPr>
                <w:rFonts w:cs="Arial Unicode MS"/>
                <w:sz w:val="24"/>
                <w:szCs w:val="24"/>
              </w:rPr>
              <w:t>模式≥1300MU/min</w:t>
            </w:r>
            <w:r>
              <w:rPr>
                <w:rFonts w:hint="eastAsia" w:cs="Arial Unicode MS"/>
                <w:sz w:val="24"/>
                <w:szCs w:val="24"/>
              </w:rPr>
              <w:t xml:space="preserve"> (</w:t>
            </w:r>
            <w:r>
              <w:rPr>
                <w:rFonts w:cs="Arial Unicode MS"/>
                <w:sz w:val="24"/>
                <w:szCs w:val="24"/>
              </w:rPr>
              <w:t>6X</w:t>
            </w:r>
            <w:r>
              <w:rPr>
                <w:rFonts w:hint="eastAsia" w:cs="Arial Unicode MS"/>
                <w:sz w:val="24"/>
                <w:szCs w:val="24"/>
              </w:rPr>
              <w:t>)</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X射线平坦度(水下10cm</w:t>
            </w:r>
            <w:r>
              <w:rPr>
                <w:rFonts w:hint="eastAsia" w:cs="Arial Unicode MS"/>
                <w:sz w:val="24"/>
                <w:szCs w:val="24"/>
              </w:rPr>
              <w:t>,</w:t>
            </w:r>
            <w:r>
              <w:rPr>
                <w:rFonts w:cs="Arial Unicode MS"/>
                <w:sz w:val="24"/>
                <w:szCs w:val="24"/>
              </w:rPr>
              <w:t xml:space="preserve"> SSD=100cm)：≤ ±3%</w:t>
            </w:r>
            <w:r>
              <w:rPr>
                <w:rFonts w:hint="eastAsia" w:cs="Arial Unicode MS"/>
                <w:sz w:val="24"/>
                <w:szCs w:val="24"/>
              </w:rPr>
              <w:t xml:space="preserve"> (</w:t>
            </w:r>
            <w:r>
              <w:rPr>
                <w:rFonts w:cs="Arial Unicode MS"/>
                <w:sz w:val="24"/>
                <w:szCs w:val="24"/>
              </w:rPr>
              <w:t>高</w:t>
            </w:r>
            <w:r>
              <w:rPr>
                <w:rFonts w:hint="eastAsia" w:cs="Arial Unicode MS"/>
                <w:sz w:val="24"/>
                <w:szCs w:val="24"/>
              </w:rPr>
              <w:t>剂量率</w:t>
            </w:r>
            <w:r>
              <w:rPr>
                <w:rFonts w:cs="Arial Unicode MS"/>
                <w:sz w:val="24"/>
                <w:szCs w:val="24"/>
              </w:rPr>
              <w:t>模式</w:t>
            </w:r>
            <w:r>
              <w:rPr>
                <w:rFonts w:hint="eastAsia" w:cs="Arial Unicode MS"/>
                <w:sz w:val="24"/>
                <w:szCs w:val="24"/>
              </w:rPr>
              <w:t>除外)</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 xml:space="preserve">X射线对称性(水下10cm </w:t>
            </w:r>
            <w:r>
              <w:rPr>
                <w:rFonts w:hint="eastAsia" w:cs="Arial Unicode MS"/>
                <w:sz w:val="24"/>
                <w:szCs w:val="24"/>
              </w:rPr>
              <w:t>,</w:t>
            </w:r>
            <w:r>
              <w:rPr>
                <w:rFonts w:cs="Arial Unicode MS"/>
                <w:sz w:val="24"/>
                <w:szCs w:val="24"/>
              </w:rPr>
              <w:t>SSD=100cm)：≤ 2%</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Cs/>
                <w:sz w:val="24"/>
                <w:szCs w:val="24"/>
              </w:rPr>
            </w:pPr>
            <w:r>
              <w:rPr>
                <w:rFonts w:hint="eastAsia" w:cs="Arial Unicode MS"/>
                <w:sz w:val="24"/>
                <w:szCs w:val="24"/>
              </w:rPr>
              <w:t>提供X线束流现场优化服务：对X线电离深度和射野强度进行现场优化，以适配用户的参考束流数据。</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r>
              <w:rPr>
                <w:rFonts w:hint="eastAsia" w:cs="Arial Unicode MS"/>
                <w:bCs/>
                <w:sz w:val="24"/>
              </w:rPr>
              <w:t>*</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bCs/>
                <w:sz w:val="24"/>
                <w:szCs w:val="24"/>
              </w:rPr>
            </w:pPr>
            <w:r>
              <w:rPr>
                <w:rFonts w:cs="Arial Unicode MS"/>
                <w:sz w:val="24"/>
                <w:szCs w:val="24"/>
              </w:rPr>
              <w:t>成像专用低能X线能量：≤3MV</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Cs/>
                <w:sz w:val="24"/>
                <w:szCs w:val="24"/>
              </w:rPr>
            </w:pPr>
            <w:r>
              <w:rPr>
                <w:rFonts w:hint="eastAsia" w:cs="Arial Unicode MS"/>
                <w:sz w:val="24"/>
                <w:szCs w:val="24"/>
              </w:rPr>
              <w:t>成像专用低能X线百分深度剂量(水下</w:t>
            </w:r>
            <w:r>
              <w:rPr>
                <w:rFonts w:cs="Arial Unicode MS"/>
                <w:sz w:val="24"/>
                <w:szCs w:val="24"/>
              </w:rPr>
              <w:t xml:space="preserve">10cm, </w:t>
            </w:r>
            <w:r>
              <w:rPr>
                <w:rFonts w:hint="eastAsia" w:cs="Arial Unicode MS"/>
                <w:sz w:val="24"/>
                <w:szCs w:val="24"/>
              </w:rPr>
              <w:t>SSD=100cm, 10 x 10cm射野)：≤54%</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Cs/>
                <w:sz w:val="24"/>
                <w:szCs w:val="24"/>
              </w:rPr>
            </w:pPr>
            <w:r>
              <w:rPr>
                <w:rFonts w:hint="eastAsia" w:cs="Arial Unicode MS"/>
                <w:sz w:val="24"/>
                <w:szCs w:val="24"/>
              </w:rPr>
              <w:t>成像专用低能X线最大剂量建成深度Dmax（</w:t>
            </w:r>
            <w:r>
              <w:rPr>
                <w:rFonts w:cs="Arial Unicode MS"/>
                <w:sz w:val="24"/>
                <w:szCs w:val="24"/>
              </w:rPr>
              <w:t>SSD=100cm</w:t>
            </w:r>
            <w:r>
              <w:rPr>
                <w:rFonts w:hint="eastAsia" w:cs="Arial Unicode MS"/>
                <w:sz w:val="24"/>
                <w:szCs w:val="24"/>
              </w:rPr>
              <w:t>，</w:t>
            </w:r>
            <w:r>
              <w:rPr>
                <w:rFonts w:cs="Arial Unicode MS"/>
                <w:sz w:val="24"/>
                <w:szCs w:val="24"/>
              </w:rPr>
              <w:t>10×10cm</w:t>
            </w:r>
            <w:r>
              <w:rPr>
                <w:rFonts w:hint="eastAsia" w:cs="Arial Unicode MS"/>
                <w:sz w:val="24"/>
                <w:szCs w:val="24"/>
              </w:rPr>
              <w:t>射野）：≤1.0cm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Cs/>
                <w:sz w:val="24"/>
                <w:szCs w:val="24"/>
              </w:rPr>
            </w:pPr>
            <w:r>
              <w:rPr>
                <w:rFonts w:hint="eastAsia" w:cs="Arial Unicode MS"/>
                <w:sz w:val="24"/>
                <w:szCs w:val="24"/>
              </w:rPr>
              <w:t xml:space="preserve">成像专用低能X线最大剂量率(Dmax, </w:t>
            </w:r>
            <w:r>
              <w:rPr>
                <w:rFonts w:cs="Arial Unicode MS"/>
                <w:sz w:val="24"/>
                <w:szCs w:val="24"/>
              </w:rPr>
              <w:t>SSD=100cm</w:t>
            </w:r>
            <w:r>
              <w:rPr>
                <w:rFonts w:hint="eastAsia" w:cs="Arial Unicode MS"/>
                <w:sz w:val="24"/>
                <w:szCs w:val="24"/>
              </w:rPr>
              <w:t xml:space="preserve">, </w:t>
            </w:r>
            <w:r>
              <w:rPr>
                <w:rFonts w:cs="Arial Unicode MS"/>
                <w:sz w:val="24"/>
                <w:szCs w:val="24"/>
              </w:rPr>
              <w:t>10×10cm</w:t>
            </w:r>
            <w:r>
              <w:rPr>
                <w:rFonts w:hint="eastAsia" w:cs="Arial Unicode MS"/>
                <w:sz w:val="24"/>
                <w:szCs w:val="24"/>
              </w:rPr>
              <w:t>射野)：60MU/min</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0"/>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Cs/>
                <w:sz w:val="24"/>
                <w:szCs w:val="24"/>
              </w:rPr>
            </w:pPr>
            <w:r>
              <w:rPr>
                <w:rFonts w:cs="Arial Unicode MS"/>
                <w:bCs/>
                <w:sz w:val="24"/>
                <w:szCs w:val="24"/>
              </w:rPr>
              <w:t>剂量监测系统</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出束稳定时间：≤ 0.5s</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剂量稳定性误差：在5个工作日内稳定性偏差≤2%</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射线的纵向和横向对称度参数超过下述数值则启动连锁：2%</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剂量伺服系统：保证引出的束流具有优异的剂量学指标，充分满足国家标准</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r>
              <w:rPr>
                <w:rFonts w:hint="eastAsia" w:cs="Arial Unicode MS"/>
                <w:bCs/>
                <w:sz w:val="24"/>
              </w:rPr>
              <w:t>*</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电离室结构：</w:t>
            </w:r>
            <w:r>
              <w:rPr>
                <w:rFonts w:hint="eastAsia" w:ascii="宋体" w:hAnsi="宋体" w:cs="Arial"/>
                <w:szCs w:val="21"/>
              </w:rPr>
              <w:t>密封式四通道电离室</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0"/>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b/>
                <w:bCs/>
                <w:sz w:val="24"/>
                <w:szCs w:val="24"/>
              </w:rPr>
              <w:t>机械运动系统</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机架旋转角度范围：≥ ±184°</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机架旋转精度：≤0.</w:t>
            </w:r>
            <w:r>
              <w:rPr>
                <w:rFonts w:hint="eastAsia" w:cs="Arial Unicode MS"/>
                <w:sz w:val="24"/>
                <w:szCs w:val="24"/>
              </w:rPr>
              <w:t>3</w:t>
            </w:r>
            <w:r>
              <w:rPr>
                <w:rFonts w:cs="Arial Unicode MS"/>
                <w:sz w:val="24"/>
                <w:szCs w:val="24"/>
              </w:rPr>
              <w:t>°</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源轴距(S</w:t>
            </w:r>
            <w:r>
              <w:rPr>
                <w:rFonts w:cs="Arial Unicode MS"/>
                <w:sz w:val="24"/>
                <w:szCs w:val="24"/>
              </w:rPr>
              <w:t>AD</w:t>
            </w:r>
            <w:r>
              <w:rPr>
                <w:rFonts w:hint="eastAsia" w:cs="Arial Unicode MS"/>
                <w:sz w:val="24"/>
                <w:szCs w:val="24"/>
              </w:rPr>
              <w:t>)</w:t>
            </w:r>
            <w:r>
              <w:rPr>
                <w:rFonts w:cs="Arial Unicode MS"/>
                <w:sz w:val="24"/>
                <w:szCs w:val="24"/>
              </w:rPr>
              <w:t>：100±0.2cm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等中心高度：≤ 130cm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等中心到机头的净空间：≥ 41cm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r>
              <w:rPr>
                <w:rFonts w:hint="eastAsia" w:cs="Arial Unicode MS"/>
                <w:bCs/>
                <w:sz w:val="24"/>
              </w:rPr>
              <w:t>*</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机架和准直器等中心精度：≤ ±0.6mm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独立准直器系统：具备两层独立准直器</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上</w:t>
            </w:r>
            <w:r>
              <w:rPr>
                <w:rFonts w:hint="eastAsia" w:cs="Arial Unicode MS"/>
                <w:sz w:val="24"/>
                <w:szCs w:val="24"/>
              </w:rPr>
              <w:t>层</w:t>
            </w:r>
            <w:r>
              <w:rPr>
                <w:rFonts w:cs="Arial Unicode MS"/>
                <w:sz w:val="24"/>
                <w:szCs w:val="24"/>
              </w:rPr>
              <w:t xml:space="preserve">独立准直器移动范围：-10cm </w:t>
            </w:r>
            <w:r>
              <w:rPr>
                <w:rFonts w:hint="eastAsia" w:cs="Arial Unicode MS"/>
                <w:sz w:val="24"/>
                <w:szCs w:val="24"/>
              </w:rPr>
              <w:t>到+20cm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下</w:t>
            </w:r>
            <w:r>
              <w:rPr>
                <w:rFonts w:hint="eastAsia" w:cs="Arial Unicode MS"/>
                <w:sz w:val="24"/>
                <w:szCs w:val="24"/>
              </w:rPr>
              <w:t>层</w:t>
            </w:r>
            <w:r>
              <w:rPr>
                <w:rFonts w:cs="Arial Unicode MS"/>
                <w:sz w:val="24"/>
                <w:szCs w:val="24"/>
              </w:rPr>
              <w:t>独立准直器移动范围：-2cm 到 +20cm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准直器系统旋转精度：≤ ±0.5°</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bookmarkStart w:id="34" w:name="RANGE!B39"/>
            <w:r>
              <w:rPr>
                <w:rFonts w:hint="eastAsia" w:cs="Arial Unicode MS"/>
                <w:sz w:val="24"/>
                <w:szCs w:val="24"/>
              </w:rPr>
              <w:t>独立</w:t>
            </w:r>
            <w:r>
              <w:rPr>
                <w:rFonts w:cs="Arial Unicode MS"/>
                <w:sz w:val="24"/>
                <w:szCs w:val="24"/>
              </w:rPr>
              <w:t>准直器射线穿射率：≤0.5%</w:t>
            </w:r>
            <w:bookmarkEnd w:id="34"/>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0"/>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b/>
                <w:bCs/>
                <w:sz w:val="24"/>
                <w:szCs w:val="24"/>
              </w:rPr>
              <w:t>多叶准直器</w:t>
            </w:r>
            <w:r>
              <w:rPr>
                <w:rFonts w:hint="eastAsia" w:cs="Arial Unicode MS"/>
                <w:b/>
                <w:bCs/>
                <w:sz w:val="24"/>
                <w:szCs w:val="24"/>
              </w:rPr>
              <w:t>及锥形筒</w:t>
            </w:r>
            <w:r>
              <w:rPr>
                <w:rFonts w:cs="Arial Unicode MS"/>
                <w:b/>
                <w:bCs/>
                <w:sz w:val="24"/>
                <w:szCs w:val="24"/>
              </w:rPr>
              <w:t>准直器</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内置式电动多叶准直器</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bookmarkStart w:id="35" w:name="RANGE!B42"/>
            <w:r>
              <w:rPr>
                <w:rFonts w:ascii="宋体" w:hAnsi="宋体"/>
                <w:bCs/>
              </w:rPr>
              <w:t>叶片在等中心处</w:t>
            </w:r>
            <w:r>
              <w:rPr>
                <w:rFonts w:hint="eastAsia" w:ascii="宋体" w:hAnsi="宋体"/>
                <w:bCs/>
              </w:rPr>
              <w:t>的最小</w:t>
            </w:r>
            <w:r>
              <w:rPr>
                <w:rFonts w:ascii="宋体" w:hAnsi="宋体"/>
                <w:bCs/>
              </w:rPr>
              <w:t>投影宽度：</w:t>
            </w:r>
            <w:r>
              <w:rPr>
                <w:rFonts w:cs="Arial Unicode MS"/>
                <w:sz w:val="24"/>
                <w:szCs w:val="24"/>
              </w:rPr>
              <w:t xml:space="preserve">≤ </w:t>
            </w:r>
            <w:r>
              <w:rPr>
                <w:rFonts w:hint="eastAsia" w:cs="Arial Unicode MS"/>
                <w:sz w:val="24"/>
                <w:szCs w:val="24"/>
              </w:rPr>
              <w:t>2.5</w:t>
            </w:r>
            <w:r>
              <w:rPr>
                <w:rFonts w:cs="Arial Unicode MS"/>
                <w:sz w:val="24"/>
                <w:szCs w:val="24"/>
              </w:rPr>
              <w:t>mm</w:t>
            </w:r>
            <w:bookmarkEnd w:id="35"/>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 xml:space="preserve">叶片数量：≥ </w:t>
            </w:r>
            <w:r>
              <w:rPr>
                <w:rFonts w:hint="eastAsia" w:cs="Arial Unicode MS"/>
                <w:sz w:val="24"/>
                <w:szCs w:val="24"/>
              </w:rPr>
              <w:t>120片</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叶片运动速度：≥ 2.5cm/s</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叶片位置精度：≤ ±1mm</w:t>
            </w:r>
          </w:p>
        </w:tc>
      </w:tr>
      <w:tr>
        <w:tblPrEx>
          <w:tblCellMar>
            <w:top w:w="0" w:type="dxa"/>
            <w:left w:w="108" w:type="dxa"/>
            <w:bottom w:w="0" w:type="dxa"/>
            <w:right w:w="108" w:type="dxa"/>
          </w:tblCellMar>
        </w:tblPrEx>
        <w:trPr>
          <w:trHeight w:val="512"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多叶准直器最大照射野：≥40cm x 2</w:t>
            </w:r>
            <w:r>
              <w:rPr>
                <w:rFonts w:hint="eastAsia" w:cs="Arial Unicode MS"/>
                <w:sz w:val="24"/>
                <w:szCs w:val="24"/>
              </w:rPr>
              <w:t>0</w:t>
            </w:r>
            <w:r>
              <w:rPr>
                <w:rFonts w:cs="Arial Unicode MS"/>
                <w:sz w:val="24"/>
                <w:szCs w:val="24"/>
              </w:rPr>
              <w:t>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多叶准直器可进行动态叉指状运动</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独立准直器和多叶准直器联合漏射率: ≤ 0.03%</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叶片端面过等中心距离: ≥ 20cm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r>
              <w:rPr>
                <w:rFonts w:hint="eastAsia" w:cs="Arial Unicode MS"/>
                <w:bCs/>
                <w:sz w:val="24"/>
              </w:rPr>
              <w:t>*</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叶片端面</w:t>
            </w:r>
            <w:r>
              <w:rPr>
                <w:rFonts w:cs="Arial Unicode MS"/>
                <w:sz w:val="24"/>
                <w:szCs w:val="24"/>
              </w:rPr>
              <w:t>半影值</w:t>
            </w:r>
            <w:r>
              <w:rPr>
                <w:rFonts w:hint="eastAsia" w:cs="Arial Unicode MS"/>
                <w:sz w:val="24"/>
                <w:szCs w:val="24"/>
              </w:rPr>
              <w:t xml:space="preserve">(6MV, Dmax, </w:t>
            </w:r>
            <w:r>
              <w:rPr>
                <w:rFonts w:cs="Arial Unicode MS"/>
                <w:sz w:val="24"/>
                <w:szCs w:val="24"/>
              </w:rPr>
              <w:t>S</w:t>
            </w:r>
            <w:r>
              <w:rPr>
                <w:rFonts w:hint="eastAsia" w:cs="Arial Unicode MS"/>
                <w:sz w:val="24"/>
                <w:szCs w:val="24"/>
              </w:rPr>
              <w:t>A</w:t>
            </w:r>
            <w:r>
              <w:rPr>
                <w:rFonts w:cs="Arial Unicode MS"/>
                <w:sz w:val="24"/>
                <w:szCs w:val="24"/>
              </w:rPr>
              <w:t>D=100cm</w:t>
            </w:r>
            <w:r>
              <w:rPr>
                <w:rFonts w:hint="eastAsia" w:cs="Arial Unicode MS"/>
                <w:sz w:val="24"/>
                <w:szCs w:val="24"/>
              </w:rPr>
              <w:t xml:space="preserve">, </w:t>
            </w:r>
            <w:r>
              <w:rPr>
                <w:rFonts w:cs="Arial Unicode MS"/>
                <w:sz w:val="24"/>
                <w:szCs w:val="24"/>
              </w:rPr>
              <w:t>10×10cm</w:t>
            </w:r>
            <w:r>
              <w:rPr>
                <w:rFonts w:hint="eastAsia" w:cs="Arial Unicode MS"/>
                <w:sz w:val="24"/>
                <w:szCs w:val="24"/>
              </w:rPr>
              <w:t>射野)</w:t>
            </w:r>
            <w:r>
              <w:rPr>
                <w:rFonts w:cs="Arial Unicode MS"/>
                <w:sz w:val="24"/>
                <w:szCs w:val="24"/>
              </w:rPr>
              <w:t>: ≤4mm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锥形筒准直器</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提供</w:t>
            </w:r>
            <w:r>
              <w:rPr>
                <w:rFonts w:cs="Arial Unicode MS"/>
                <w:sz w:val="24"/>
                <w:szCs w:val="24"/>
              </w:rPr>
              <w:t>锥形筒准直器</w:t>
            </w:r>
            <w:r>
              <w:rPr>
                <w:rFonts w:hint="eastAsia" w:cs="Arial Unicode MS"/>
                <w:sz w:val="24"/>
                <w:szCs w:val="24"/>
              </w:rPr>
              <w:t>数量</w:t>
            </w:r>
            <w:r>
              <w:rPr>
                <w:rFonts w:cs="Arial Unicode MS"/>
                <w:sz w:val="24"/>
                <w:szCs w:val="24"/>
              </w:rPr>
              <w:t>≥7个</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提供锥形筒准直器</w:t>
            </w:r>
            <w:r>
              <w:rPr>
                <w:rFonts w:cs="Arial Unicode MS"/>
                <w:sz w:val="24"/>
                <w:szCs w:val="24"/>
              </w:rPr>
              <w:t>尺寸</w:t>
            </w:r>
            <w:r>
              <w:rPr>
                <w:rFonts w:hint="eastAsia" w:cs="Arial Unicode MS"/>
                <w:sz w:val="24"/>
                <w:szCs w:val="24"/>
              </w:rPr>
              <w:t>在</w:t>
            </w:r>
            <w:r>
              <w:rPr>
                <w:rFonts w:cs="Arial Unicode MS"/>
                <w:sz w:val="24"/>
                <w:szCs w:val="24"/>
              </w:rPr>
              <w:t>4</w:t>
            </w:r>
            <w:r>
              <w:rPr>
                <w:rFonts w:hint="eastAsia" w:cs="Arial Unicode MS"/>
                <w:sz w:val="24"/>
                <w:szCs w:val="24"/>
              </w:rPr>
              <w:t>mm-</w:t>
            </w:r>
            <w:r>
              <w:rPr>
                <w:rFonts w:cs="Arial Unicode MS"/>
                <w:sz w:val="24"/>
                <w:szCs w:val="24"/>
              </w:rPr>
              <w:t>1</w:t>
            </w:r>
            <w:r>
              <w:rPr>
                <w:rFonts w:hint="eastAsia" w:cs="Arial Unicode MS"/>
                <w:sz w:val="24"/>
                <w:szCs w:val="24"/>
              </w:rPr>
              <w:t>7.5</w:t>
            </w:r>
            <w:r>
              <w:rPr>
                <w:rFonts w:cs="Arial Unicode MS"/>
                <w:sz w:val="24"/>
                <w:szCs w:val="24"/>
              </w:rPr>
              <w:t>mm</w:t>
            </w:r>
            <w:r>
              <w:rPr>
                <w:rFonts w:hint="eastAsia" w:cs="Arial Unicode MS"/>
                <w:sz w:val="24"/>
                <w:szCs w:val="24"/>
              </w:rPr>
              <w:t>范围以内</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r>
              <w:rPr>
                <w:rFonts w:hint="eastAsia" w:cs="Arial Unicode MS"/>
                <w:bCs/>
                <w:sz w:val="24"/>
              </w:rPr>
              <w:t>*</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提供锥形筒准直器电子安装验证功能，</w:t>
            </w:r>
            <w:r>
              <w:rPr>
                <w:rFonts w:hint="eastAsia" w:cs="Arial Unicode MS"/>
                <w:sz w:val="24"/>
                <w:szCs w:val="24"/>
              </w:rPr>
              <w:t>可</w:t>
            </w:r>
            <w:r>
              <w:rPr>
                <w:rFonts w:cs="Arial Unicode MS"/>
                <w:sz w:val="24"/>
                <w:szCs w:val="24"/>
              </w:rPr>
              <w:t>在锥形筒安装错误时触发联锁，从而提高患者治疗安全。</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0"/>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b/>
                <w:bCs/>
                <w:sz w:val="24"/>
                <w:szCs w:val="24"/>
              </w:rPr>
              <w:t>治疗模式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支持静态调强放疗</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支持动态调强放疗</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支持</w:t>
            </w:r>
            <w:r>
              <w:rPr>
                <w:rFonts w:cs="Arial Unicode MS"/>
                <w:sz w:val="24"/>
                <w:szCs w:val="24"/>
              </w:rPr>
              <w:t>容积旋转调强放疗</w:t>
            </w:r>
            <w:r>
              <w:rPr>
                <w:rFonts w:hint="eastAsia" w:cs="Arial Unicode MS"/>
                <w:sz w:val="24"/>
                <w:szCs w:val="24"/>
              </w:rPr>
              <w:t>，</w:t>
            </w:r>
            <w:r>
              <w:rPr>
                <w:rFonts w:cs="Arial Unicode MS"/>
                <w:sz w:val="24"/>
                <w:szCs w:val="24"/>
              </w:rPr>
              <w:t>机架旋转速度、照射野形状、剂量率均可连续动态变化</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支持门控</w:t>
            </w:r>
            <w:r>
              <w:rPr>
                <w:rFonts w:cs="Arial Unicode MS"/>
                <w:sz w:val="24"/>
                <w:szCs w:val="24"/>
              </w:rPr>
              <w:t>容积旋转调强放疗</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0"/>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激光定位灯:</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7</w:t>
            </w:r>
            <w:r>
              <w:rPr>
                <w:rFonts w:cs="Arial Unicode MS"/>
                <w:bCs/>
                <w:sz w:val="24"/>
              </w:rPr>
              <w:t>.1</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1套4个（进口LAP品牌，带遥控手柄调节激光线位置</w:t>
            </w:r>
            <w:r>
              <w:rPr>
                <w:rFonts w:cs="Arial Unicode MS"/>
                <w:sz w:val="24"/>
                <w:szCs w:val="24"/>
              </w:rPr>
              <w:t>）</w:t>
            </w:r>
            <w:r>
              <w:rPr>
                <w:rFonts w:hint="eastAsia" w:cs="Arial Unicode MS"/>
                <w:sz w:val="24"/>
                <w:szCs w:val="24"/>
              </w:rPr>
              <w:t>绿色</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0"/>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机械前指针1套</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0"/>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b/>
                <w:bCs/>
                <w:sz w:val="24"/>
                <w:szCs w:val="24"/>
              </w:rPr>
              <w:t>六</w:t>
            </w:r>
            <w:r>
              <w:rPr>
                <w:rFonts w:cs="Arial Unicode MS"/>
                <w:b/>
                <w:bCs/>
                <w:sz w:val="24"/>
                <w:szCs w:val="24"/>
              </w:rPr>
              <w:t>自由度治疗床</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运动控制: 水平运动和等中心转动可手动或电动，其它运动可电动。所有电动可无级调速。所有运动可远程控制</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负载能力: ≥ 150kg</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 xml:space="preserve">垂直移动范围 ≥ </w:t>
            </w:r>
            <w:r>
              <w:rPr>
                <w:rFonts w:hint="eastAsia" w:cs="Arial Unicode MS"/>
                <w:sz w:val="24"/>
                <w:szCs w:val="24"/>
              </w:rPr>
              <w:t>9</w:t>
            </w:r>
            <w:r>
              <w:rPr>
                <w:rFonts w:cs="Arial Unicode MS"/>
                <w:sz w:val="24"/>
                <w:szCs w:val="24"/>
              </w:rPr>
              <w:t>6cm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前后移动范围 ≥ 145cm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左右移动范围 ≥ ±24cm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治疗床的等中心旋转体范围 ≥ ±94</w:t>
            </w:r>
            <w:r>
              <w:rPr>
                <w:sz w:val="24"/>
                <w:szCs w:val="24"/>
              </w:rPr>
              <w:t>˚</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治疗床的等中心旋转误差 ≤ ±0.5</w:t>
            </w:r>
            <w:r>
              <w:rPr>
                <w:sz w:val="24"/>
                <w:szCs w:val="24"/>
              </w:rPr>
              <w:t>˚</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床面转动范围（pitch &amp; roll）：≥ ±3</w:t>
            </w:r>
            <w:r>
              <w:rPr>
                <w:sz w:val="24"/>
                <w:szCs w:val="24"/>
              </w:rPr>
              <w:t>˚</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在等中心旋转±6</w:t>
            </w:r>
            <w:r>
              <w:rPr>
                <w:sz w:val="24"/>
                <w:szCs w:val="24"/>
              </w:rPr>
              <w:t>˚</w:t>
            </w:r>
            <w:r>
              <w:rPr>
                <w:rFonts w:cs="宋体"/>
                <w:sz w:val="24"/>
                <w:szCs w:val="24"/>
              </w:rPr>
              <w:t>之内</w:t>
            </w:r>
            <w:r>
              <w:rPr>
                <w:rFonts w:cs="Arial Unicode MS"/>
                <w:sz w:val="24"/>
                <w:szCs w:val="24"/>
              </w:rPr>
              <w:t>的旋转误差：≤ 0.3°</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在等中心点±5cm内</w:t>
            </w:r>
            <w:r>
              <w:rPr>
                <w:rFonts w:hint="eastAsia" w:cs="Arial Unicode MS"/>
                <w:sz w:val="24"/>
                <w:szCs w:val="24"/>
              </w:rPr>
              <w:t>，</w:t>
            </w:r>
            <w:r>
              <w:rPr>
                <w:rFonts w:cs="Arial Unicode MS"/>
                <w:sz w:val="24"/>
                <w:szCs w:val="24"/>
              </w:rPr>
              <w:t>摆位误差：≤ 0.6mm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提供自动增量移床功能：支持自动管理基于治疗计划的从初始标记位置到治疗等中心位置的移动</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0"/>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b/>
                <w:bCs/>
                <w:sz w:val="24"/>
                <w:szCs w:val="24"/>
              </w:rPr>
              <w:t>kV级X线影像系统</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硬件要求</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X线球管阳极热容量：≥1,500,000HU</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X线球管最大阳极散热率：≥3,900HU/s</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X线球管标称焦点尺寸： 0.4mm和1.0mm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高压发生器最大功率：≥48kW</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k</w:t>
            </w:r>
            <w:r>
              <w:rPr>
                <w:rFonts w:cs="Arial Unicode MS"/>
                <w:sz w:val="24"/>
                <w:szCs w:val="24"/>
              </w:rPr>
              <w:t>V</w:t>
            </w:r>
            <w:r>
              <w:rPr>
                <w:rFonts w:hint="eastAsia" w:cs="Arial Unicode MS"/>
                <w:sz w:val="24"/>
                <w:szCs w:val="24"/>
              </w:rPr>
              <w:t>最低挡：</w:t>
            </w:r>
            <w:r>
              <w:rPr>
                <w:rFonts w:cs="Arial Unicode MS"/>
                <w:sz w:val="24"/>
                <w:szCs w:val="24"/>
              </w:rPr>
              <w:t>≤</w:t>
            </w:r>
            <w:r>
              <w:rPr>
                <w:rFonts w:hint="eastAsia" w:cs="Arial Unicode MS"/>
                <w:sz w:val="24"/>
                <w:szCs w:val="24"/>
              </w:rPr>
              <w:t>4</w:t>
            </w:r>
            <w:r>
              <w:rPr>
                <w:rFonts w:cs="Arial Unicode MS"/>
                <w:sz w:val="24"/>
                <w:szCs w:val="24"/>
              </w:rPr>
              <w:t>0kV</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k</w:t>
            </w:r>
            <w:r>
              <w:rPr>
                <w:rFonts w:cs="Arial Unicode MS"/>
                <w:sz w:val="24"/>
                <w:szCs w:val="24"/>
              </w:rPr>
              <w:t>V</w:t>
            </w:r>
            <w:r>
              <w:rPr>
                <w:rFonts w:hint="eastAsia" w:cs="Arial Unicode MS"/>
                <w:sz w:val="24"/>
                <w:szCs w:val="24"/>
              </w:rPr>
              <w:t>最高挡：</w:t>
            </w:r>
            <w:r>
              <w:rPr>
                <w:rFonts w:cs="Arial Unicode MS"/>
                <w:sz w:val="24"/>
                <w:szCs w:val="24"/>
              </w:rPr>
              <w:t>≥</w:t>
            </w:r>
            <w:r>
              <w:rPr>
                <w:rFonts w:hint="eastAsia" w:cs="Arial Unicode MS"/>
                <w:sz w:val="24"/>
                <w:szCs w:val="24"/>
              </w:rPr>
              <w:t>1</w:t>
            </w:r>
            <w:r>
              <w:rPr>
                <w:rFonts w:cs="Arial Unicode MS"/>
                <w:sz w:val="24"/>
                <w:szCs w:val="24"/>
              </w:rPr>
              <w:t>40k</w:t>
            </w:r>
            <w:r>
              <w:rPr>
                <w:rFonts w:hint="eastAsia" w:cs="Arial Unicode MS"/>
                <w:sz w:val="24"/>
                <w:szCs w:val="24"/>
              </w:rPr>
              <w:t>V</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非晶硅平板探测器尺寸：≥ 39cm x 29cm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探测器最大像素矩阵：≥ 2048 x 1536</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图像采集帧频≥14帧/秒</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r>
              <w:rPr>
                <w:rFonts w:hint="eastAsia" w:cs="Arial Unicode MS"/>
                <w:bCs/>
                <w:sz w:val="24"/>
              </w:rPr>
              <w:t>*</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MV与KV等中心一致性：≤0.6mm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具有防碰撞安全连锁功能</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软件要求</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提供2D</w:t>
            </w:r>
            <w:r>
              <w:rPr>
                <w:rFonts w:cs="Arial Unicode MS"/>
                <w:sz w:val="24"/>
                <w:szCs w:val="24"/>
              </w:rPr>
              <w:t>拍片</w:t>
            </w:r>
            <w:r>
              <w:rPr>
                <w:rFonts w:hint="eastAsia" w:cs="Arial Unicode MS"/>
                <w:sz w:val="24"/>
                <w:szCs w:val="24"/>
              </w:rPr>
              <w:t>功能</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提供2</w:t>
            </w:r>
            <w:r>
              <w:rPr>
                <w:rFonts w:cs="Arial Unicode MS"/>
                <w:sz w:val="24"/>
                <w:szCs w:val="24"/>
              </w:rPr>
              <w:t>D/3</w:t>
            </w:r>
            <w:r>
              <w:rPr>
                <w:rFonts w:hint="eastAsia" w:cs="Arial Unicode MS"/>
                <w:sz w:val="24"/>
                <w:szCs w:val="24"/>
              </w:rPr>
              <w:t>D匹配功能，通过2</w:t>
            </w:r>
            <w:r>
              <w:rPr>
                <w:rFonts w:cs="Arial Unicode MS"/>
                <w:sz w:val="24"/>
                <w:szCs w:val="24"/>
              </w:rPr>
              <w:t>D</w:t>
            </w:r>
            <w:r>
              <w:rPr>
                <w:rFonts w:hint="eastAsia" w:cs="Arial Unicode MS"/>
                <w:sz w:val="24"/>
                <w:szCs w:val="24"/>
              </w:rPr>
              <w:t>正交平片与计划C</w:t>
            </w:r>
            <w:r>
              <w:rPr>
                <w:rFonts w:cs="Arial Unicode MS"/>
                <w:sz w:val="24"/>
                <w:szCs w:val="24"/>
              </w:rPr>
              <w:t>T</w:t>
            </w:r>
            <w:r>
              <w:rPr>
                <w:rFonts w:hint="eastAsia" w:cs="Arial Unicode MS"/>
                <w:sz w:val="24"/>
                <w:szCs w:val="24"/>
              </w:rPr>
              <w:t>比较计算，得出六自由度摆位误差</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提供k</w:t>
            </w:r>
            <w:r>
              <w:rPr>
                <w:rFonts w:cs="Arial Unicode MS"/>
                <w:sz w:val="24"/>
                <w:szCs w:val="24"/>
              </w:rPr>
              <w:t>V</w:t>
            </w:r>
            <w:r>
              <w:rPr>
                <w:rFonts w:hint="eastAsia" w:cs="Arial Unicode MS"/>
                <w:sz w:val="24"/>
                <w:szCs w:val="24"/>
              </w:rPr>
              <w:t>透视模式， D</w:t>
            </w:r>
            <w:r>
              <w:rPr>
                <w:rFonts w:cs="Arial Unicode MS"/>
                <w:sz w:val="24"/>
                <w:szCs w:val="24"/>
              </w:rPr>
              <w:t>RR</w:t>
            </w:r>
            <w:r>
              <w:rPr>
                <w:rFonts w:hint="eastAsia" w:cs="Arial Unicode MS"/>
                <w:sz w:val="24"/>
                <w:szCs w:val="24"/>
              </w:rPr>
              <w:t>靶区轮廓可叠加在透视图像中</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r>
              <w:rPr>
                <w:rFonts w:hint="eastAsia" w:cs="Arial Unicode MS"/>
                <w:bCs/>
                <w:sz w:val="24"/>
              </w:rPr>
              <w:t>*</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提供自动触发</w:t>
            </w:r>
            <w:r>
              <w:rPr>
                <w:rFonts w:cs="Arial Unicode MS"/>
                <w:sz w:val="24"/>
                <w:szCs w:val="24"/>
              </w:rPr>
              <w:t>成像</w:t>
            </w:r>
            <w:r>
              <w:rPr>
                <w:rFonts w:hint="eastAsia" w:cs="Arial Unicode MS"/>
                <w:sz w:val="24"/>
                <w:szCs w:val="24"/>
              </w:rPr>
              <w:t>功能</w:t>
            </w:r>
            <w:r>
              <w:rPr>
                <w:rFonts w:cs="Arial Unicode MS"/>
                <w:sz w:val="24"/>
                <w:szCs w:val="24"/>
              </w:rPr>
              <w:t>：治疗过程中，</w:t>
            </w:r>
            <w:r>
              <w:rPr>
                <w:rFonts w:hint="eastAsia" w:cs="Arial Unicode MS"/>
                <w:sz w:val="24"/>
                <w:szCs w:val="24"/>
              </w:rPr>
              <w:t>在</w:t>
            </w:r>
            <w:r>
              <w:rPr>
                <w:rFonts w:cs="Arial Unicode MS"/>
                <w:sz w:val="24"/>
                <w:szCs w:val="24"/>
              </w:rPr>
              <w:t>预设的条件下触发kV图像采集</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支持在</w:t>
            </w:r>
            <w:r>
              <w:rPr>
                <w:rFonts w:cs="Arial Unicode MS"/>
                <w:sz w:val="24"/>
                <w:szCs w:val="24"/>
              </w:rPr>
              <w:t>特定</w:t>
            </w:r>
            <w:r>
              <w:rPr>
                <w:rFonts w:hint="eastAsia" w:cs="Arial Unicode MS"/>
                <w:sz w:val="24"/>
                <w:szCs w:val="24"/>
              </w:rPr>
              <w:t>的</w:t>
            </w:r>
            <w:r>
              <w:rPr>
                <w:rFonts w:cs="Arial Unicode MS"/>
                <w:sz w:val="24"/>
                <w:szCs w:val="24"/>
              </w:rPr>
              <w:t>机架角</w:t>
            </w:r>
            <w:r>
              <w:rPr>
                <w:rFonts w:hint="eastAsia" w:cs="Arial Unicode MS"/>
                <w:sz w:val="24"/>
                <w:szCs w:val="24"/>
              </w:rPr>
              <w:t>度间隔触发成像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支持在</w:t>
            </w:r>
            <w:r>
              <w:rPr>
                <w:rFonts w:cs="Arial Unicode MS"/>
                <w:sz w:val="24"/>
                <w:szCs w:val="24"/>
              </w:rPr>
              <w:t>特定的</w:t>
            </w:r>
            <w:r>
              <w:rPr>
                <w:rFonts w:hint="eastAsia" w:cs="Arial Unicode MS"/>
                <w:sz w:val="24"/>
                <w:szCs w:val="24"/>
              </w:rPr>
              <w:t>时间间隔触发成像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支持在</w:t>
            </w:r>
            <w:r>
              <w:rPr>
                <w:rFonts w:cs="Arial Unicode MS"/>
                <w:sz w:val="24"/>
                <w:szCs w:val="24"/>
              </w:rPr>
              <w:t>特定的</w:t>
            </w:r>
            <w:r>
              <w:rPr>
                <w:rFonts w:hint="eastAsia" w:cs="Arial Unicode MS"/>
                <w:sz w:val="24"/>
                <w:szCs w:val="24"/>
              </w:rPr>
              <w:t>照射剂量（MU）触发成像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支持在</w:t>
            </w:r>
            <w:r>
              <w:rPr>
                <w:rFonts w:cs="Arial Unicode MS"/>
                <w:sz w:val="24"/>
                <w:szCs w:val="24"/>
              </w:rPr>
              <w:t>特定的</w:t>
            </w:r>
            <w:r>
              <w:rPr>
                <w:rFonts w:hint="eastAsia" w:cs="Arial Unicode MS"/>
                <w:sz w:val="24"/>
                <w:szCs w:val="24"/>
              </w:rPr>
              <w:t>呼吸时相触发成像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提供自动暂停射束功能</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自动识别触发影像中的标记物</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能够对摆位误差进行即时定量分析</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一旦超出预设的误差限值，可自动暂停射束</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CBCT</w:t>
            </w:r>
            <w:r>
              <w:rPr>
                <w:rFonts w:hint="eastAsia" w:cs="Arial Unicode MS"/>
                <w:sz w:val="24"/>
                <w:szCs w:val="24"/>
              </w:rPr>
              <w:t>重建视野（</w:t>
            </w:r>
            <w:r>
              <w:rPr>
                <w:rFonts w:cs="Arial Unicode MS"/>
                <w:sz w:val="24"/>
                <w:szCs w:val="24"/>
              </w:rPr>
              <w:t>FOV</w:t>
            </w:r>
            <w:r>
              <w:rPr>
                <w:rFonts w:hint="eastAsia" w:cs="Arial Unicode MS"/>
                <w:sz w:val="24"/>
                <w:szCs w:val="24"/>
              </w:rPr>
              <w:t>）</w:t>
            </w:r>
            <w:r>
              <w:rPr>
                <w:rFonts w:cs="Arial Unicode MS"/>
                <w:sz w:val="24"/>
                <w:szCs w:val="24"/>
              </w:rPr>
              <w:t>：头部≥24cm；体部≥45cm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CBCT</w:t>
            </w:r>
            <w:r>
              <w:rPr>
                <w:rFonts w:hint="eastAsia" w:cs="Arial Unicode MS"/>
                <w:sz w:val="24"/>
                <w:szCs w:val="24"/>
              </w:rPr>
              <w:t>标准重建</w:t>
            </w:r>
            <w:r>
              <w:rPr>
                <w:rFonts w:cs="Arial Unicode MS"/>
                <w:sz w:val="24"/>
                <w:szCs w:val="24"/>
              </w:rPr>
              <w:t>长度</w:t>
            </w:r>
            <w:r>
              <w:rPr>
                <w:rFonts w:hint="eastAsia" w:cs="Arial Unicode MS"/>
                <w:sz w:val="24"/>
                <w:szCs w:val="24"/>
              </w:rPr>
              <w:t>：</w:t>
            </w:r>
            <w:r>
              <w:rPr>
                <w:rFonts w:cs="Arial Unicode MS"/>
                <w:sz w:val="24"/>
                <w:szCs w:val="24"/>
              </w:rPr>
              <w:t xml:space="preserve">≥16cm </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r>
              <w:rPr>
                <w:rFonts w:cs="Arial Unicode MS"/>
                <w:bCs/>
                <w:sz w:val="24"/>
              </w:rPr>
              <w:t>*</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提供延伸长度C</w:t>
            </w:r>
            <w:r>
              <w:rPr>
                <w:rFonts w:cs="Arial Unicode MS"/>
                <w:sz w:val="24"/>
                <w:szCs w:val="24"/>
              </w:rPr>
              <w:t>BCT</w:t>
            </w:r>
            <w:r>
              <w:rPr>
                <w:rFonts w:hint="eastAsia" w:cs="Arial Unicode MS"/>
                <w:sz w:val="24"/>
                <w:szCs w:val="24"/>
              </w:rPr>
              <w:t>功能，可将接续采集的多个C</w:t>
            </w:r>
            <w:r>
              <w:rPr>
                <w:rFonts w:cs="Arial Unicode MS"/>
                <w:sz w:val="24"/>
                <w:szCs w:val="24"/>
              </w:rPr>
              <w:t>BCT</w:t>
            </w:r>
            <w:r>
              <w:rPr>
                <w:rFonts w:hint="eastAsia" w:cs="Arial Unicode MS"/>
                <w:sz w:val="24"/>
                <w:szCs w:val="24"/>
              </w:rPr>
              <w:t>自动拼接起来</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提供F</w:t>
            </w:r>
            <w:r>
              <w:rPr>
                <w:rFonts w:cs="Arial Unicode MS"/>
                <w:sz w:val="24"/>
                <w:szCs w:val="24"/>
              </w:rPr>
              <w:t>DK</w:t>
            </w:r>
            <w:r>
              <w:rPr>
                <w:rFonts w:hint="eastAsia" w:cs="Arial Unicode MS"/>
                <w:sz w:val="24"/>
                <w:szCs w:val="24"/>
              </w:rPr>
              <w:t>标准C</w:t>
            </w:r>
            <w:r>
              <w:rPr>
                <w:rFonts w:cs="Arial Unicode MS"/>
                <w:sz w:val="24"/>
                <w:szCs w:val="24"/>
              </w:rPr>
              <w:t>BCT</w:t>
            </w:r>
            <w:r>
              <w:rPr>
                <w:rFonts w:hint="eastAsia" w:cs="Arial Unicode MS"/>
                <w:sz w:val="24"/>
                <w:szCs w:val="24"/>
              </w:rPr>
              <w:t>重建方法</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提供迭代C</w:t>
            </w:r>
            <w:r>
              <w:rPr>
                <w:rFonts w:cs="Arial Unicode MS"/>
                <w:sz w:val="24"/>
                <w:szCs w:val="24"/>
              </w:rPr>
              <w:t>BCT</w:t>
            </w:r>
            <w:r>
              <w:rPr>
                <w:rFonts w:hint="eastAsia" w:cs="Arial Unicode MS"/>
                <w:sz w:val="24"/>
                <w:szCs w:val="24"/>
              </w:rPr>
              <w:t>重建方法，并配备G</w:t>
            </w:r>
            <w:r>
              <w:rPr>
                <w:rFonts w:cs="Arial Unicode MS"/>
                <w:sz w:val="24"/>
                <w:szCs w:val="24"/>
              </w:rPr>
              <w:t>PU</w:t>
            </w:r>
            <w:r>
              <w:rPr>
                <w:rFonts w:hint="eastAsia" w:cs="Arial Unicode MS"/>
                <w:sz w:val="24"/>
                <w:szCs w:val="24"/>
              </w:rPr>
              <w:t>硬件以大幅缩短重建时间</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最快扫描时间：≤35</w:t>
            </w:r>
            <w:r>
              <w:rPr>
                <w:rFonts w:cs="Arial Unicode MS"/>
                <w:sz w:val="24"/>
                <w:szCs w:val="24"/>
              </w:rPr>
              <w:t>s</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r>
              <w:rPr>
                <w:rFonts w:cs="Arial Unicode MS"/>
                <w:bCs/>
                <w:sz w:val="24"/>
              </w:rPr>
              <w:t>*</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利用迭代重建模式，提高软组织分辨力</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基于</w:t>
            </w:r>
            <w:r>
              <w:rPr>
                <w:rFonts w:cs="Arial Unicode MS"/>
                <w:sz w:val="24"/>
                <w:szCs w:val="24"/>
              </w:rPr>
              <w:t>GPU加速的统计重建算法</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蒙卡精度的散射输运模拟和过滤功能</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提供至少四种迭代CBCT扫描模板</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提供迭代CBCT编辑器，可对重建参数进行设置，如噪声抑制等</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提供并显示CTDI</w:t>
            </w:r>
            <w:r>
              <w:rPr>
                <w:rFonts w:cs="Arial Unicode MS"/>
                <w:sz w:val="24"/>
                <w:szCs w:val="24"/>
              </w:rPr>
              <w:t>vol</w:t>
            </w:r>
            <w:r>
              <w:rPr>
                <w:rFonts w:hint="eastAsia" w:cs="Arial Unicode MS"/>
                <w:sz w:val="24"/>
                <w:szCs w:val="24"/>
              </w:rPr>
              <w:t>和DLP成像剂量参考值</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 xml:space="preserve">CBCT最小重建层厚： </w:t>
            </w:r>
            <w:r>
              <w:rPr>
                <w:rFonts w:cs="Arial Unicode MS"/>
                <w:sz w:val="24"/>
                <w:szCs w:val="24"/>
              </w:rPr>
              <w:t>1mm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C</w:t>
            </w:r>
            <w:r>
              <w:rPr>
                <w:rFonts w:cs="Arial Unicode MS"/>
                <w:sz w:val="24"/>
                <w:szCs w:val="24"/>
              </w:rPr>
              <w:t>BCT</w:t>
            </w:r>
            <w:r>
              <w:rPr>
                <w:rFonts w:hint="eastAsia" w:cs="Arial Unicode MS"/>
                <w:sz w:val="24"/>
                <w:szCs w:val="24"/>
              </w:rPr>
              <w:t>最高空间分辨率：</w:t>
            </w:r>
            <w:r>
              <w:rPr>
                <w:rFonts w:cs="Arial Unicode MS"/>
                <w:sz w:val="24"/>
                <w:szCs w:val="24"/>
              </w:rPr>
              <w:t xml:space="preserve">≥12 </w:t>
            </w:r>
            <w:r>
              <w:rPr>
                <w:rFonts w:hint="eastAsia" w:cs="Arial Unicode MS"/>
                <w:sz w:val="24"/>
                <w:szCs w:val="24"/>
              </w:rPr>
              <w:t>l</w:t>
            </w:r>
            <w:r>
              <w:rPr>
                <w:rFonts w:cs="Arial Unicode MS"/>
                <w:sz w:val="24"/>
                <w:szCs w:val="24"/>
              </w:rPr>
              <w:t>p</w:t>
            </w:r>
            <w:r>
              <w:rPr>
                <w:rFonts w:hint="eastAsia" w:cs="Arial Unicode MS"/>
                <w:sz w:val="24"/>
                <w:szCs w:val="24"/>
              </w:rPr>
              <w:t>/cm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cs="Arial Unicode MS"/>
                <w:sz w:val="24"/>
                <w:szCs w:val="24"/>
              </w:rPr>
              <w:t>CBCT</w:t>
            </w:r>
            <w:r>
              <w:rPr>
                <w:rFonts w:hint="eastAsia" w:cs="Arial Unicode MS"/>
                <w:sz w:val="24"/>
                <w:szCs w:val="24"/>
              </w:rPr>
              <w:t>的</w:t>
            </w:r>
            <w:r>
              <w:rPr>
                <w:rFonts w:cs="Arial Unicode MS"/>
                <w:sz w:val="24"/>
                <w:szCs w:val="24"/>
              </w:rPr>
              <w:t>HU</w:t>
            </w:r>
            <w:r>
              <w:rPr>
                <w:rFonts w:hint="eastAsia" w:cs="Arial Unicode MS"/>
                <w:sz w:val="24"/>
                <w:szCs w:val="24"/>
              </w:rPr>
              <w:t>精度： ±</w:t>
            </w:r>
            <w:r>
              <w:rPr>
                <w:rFonts w:cs="Arial Unicode MS"/>
                <w:sz w:val="24"/>
                <w:szCs w:val="24"/>
              </w:rPr>
              <w:t>50HU</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r>
              <w:rPr>
                <w:rFonts w:hint="eastAsia" w:cs="Arial Unicode MS"/>
                <w:bCs/>
                <w:sz w:val="24"/>
              </w:rPr>
              <w:t>*</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提供门控C</w:t>
            </w:r>
            <w:r>
              <w:rPr>
                <w:rFonts w:cs="Arial Unicode MS"/>
                <w:sz w:val="24"/>
                <w:szCs w:val="24"/>
              </w:rPr>
              <w:t>BCT</w:t>
            </w:r>
            <w:r>
              <w:rPr>
                <w:rFonts w:hint="eastAsia" w:cs="Arial Unicode MS"/>
                <w:sz w:val="24"/>
                <w:szCs w:val="24"/>
              </w:rPr>
              <w:t>功能</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提供短弧C</w:t>
            </w:r>
            <w:r>
              <w:rPr>
                <w:rFonts w:cs="Arial Unicode MS"/>
                <w:sz w:val="24"/>
                <w:szCs w:val="24"/>
              </w:rPr>
              <w:t>BCT</w:t>
            </w:r>
            <w:r>
              <w:rPr>
                <w:rFonts w:hint="eastAsia" w:cs="Arial Unicode MS"/>
                <w:sz w:val="24"/>
                <w:szCs w:val="24"/>
              </w:rPr>
              <w:t>功能，最短弧度</w:t>
            </w:r>
            <w:r>
              <w:rPr>
                <w:rFonts w:cs="Arial Unicode MS"/>
                <w:sz w:val="24"/>
                <w:szCs w:val="24"/>
              </w:rPr>
              <w:t>≤ 140</w:t>
            </w:r>
            <w:r>
              <w:rPr>
                <w:rFonts w:hint="eastAsia" w:cs="Arial Unicode MS"/>
                <w:sz w:val="24"/>
                <w:szCs w:val="24"/>
              </w:rPr>
              <w:t>度，可在单次屏气条件下完成CBCT数据采集</w:t>
            </w:r>
            <w:r>
              <w:rPr>
                <w:rFonts w:cs="Arial Unicode MS"/>
                <w:sz w:val="24"/>
                <w:szCs w:val="24"/>
              </w:rPr>
              <w:t xml:space="preserve"> </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提供</w:t>
            </w:r>
            <w:r>
              <w:rPr>
                <w:rFonts w:cs="Arial Unicode MS"/>
                <w:sz w:val="24"/>
                <w:szCs w:val="24"/>
              </w:rPr>
              <w:t>4D CBCT</w:t>
            </w:r>
            <w:r>
              <w:rPr>
                <w:rFonts w:hint="eastAsia" w:cs="Arial Unicode MS"/>
                <w:sz w:val="24"/>
                <w:szCs w:val="24"/>
              </w:rPr>
              <w:t>功能</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支持患者自由呼吸下的四维CBCT成像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在控制台显示横断面、冠状面和矢状面的四维影像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支持基于呼吸周期的不同时相进行4D</w:t>
            </w:r>
            <w:r>
              <w:rPr>
                <w:rFonts w:cs="Arial Unicode MS"/>
                <w:sz w:val="24"/>
                <w:szCs w:val="24"/>
              </w:rPr>
              <w:t xml:space="preserve"> CBCT </w:t>
            </w:r>
            <w:r>
              <w:rPr>
                <w:rFonts w:hint="eastAsia" w:cs="Arial Unicode MS"/>
                <w:sz w:val="24"/>
                <w:szCs w:val="24"/>
              </w:rPr>
              <w:t>重建</w:t>
            </w:r>
            <w:r>
              <w:rPr>
                <w:rFonts w:cs="Arial Unicode MS"/>
                <w:sz w:val="24"/>
                <w:szCs w:val="24"/>
              </w:rPr>
              <w:t xml:space="preserve"> </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呼吸时相的CBCT体积数量：</w:t>
            </w:r>
            <w:r>
              <w:rPr>
                <w:rFonts w:cs="Arial Unicode MS"/>
                <w:sz w:val="24"/>
                <w:szCs w:val="24"/>
              </w:rPr>
              <w:t>≥</w:t>
            </w:r>
            <w:r>
              <w:rPr>
                <w:rFonts w:hint="eastAsia" w:cs="Arial Unicode MS"/>
                <w:sz w:val="24"/>
                <w:szCs w:val="24"/>
              </w:rPr>
              <w:t>10个</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可以电影模式播放内部解剖结构的运动情况</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3"/>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支持与4D</w:t>
            </w:r>
            <w:r>
              <w:rPr>
                <w:rFonts w:cs="Arial Unicode MS"/>
                <w:sz w:val="24"/>
                <w:szCs w:val="24"/>
              </w:rPr>
              <w:t xml:space="preserve"> CT</w:t>
            </w:r>
            <w:r>
              <w:rPr>
                <w:rFonts w:hint="eastAsia" w:cs="Arial Unicode MS"/>
                <w:sz w:val="24"/>
                <w:szCs w:val="24"/>
              </w:rPr>
              <w:t>影像的在线匹配和校准</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4"/>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支持与最大密度投影（MIP）图像的配准</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4"/>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支持平均三维密度投影（Avg</w:t>
            </w:r>
            <w:r>
              <w:rPr>
                <w:rFonts w:cs="Arial Unicode MS"/>
                <w:sz w:val="24"/>
                <w:szCs w:val="24"/>
              </w:rPr>
              <w:t>3D</w:t>
            </w:r>
            <w:r>
              <w:rPr>
                <w:rFonts w:hint="eastAsia" w:cs="Arial Unicode MS"/>
                <w:sz w:val="24"/>
                <w:szCs w:val="24"/>
              </w:rPr>
              <w:t>）的配准</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4"/>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支持与某一呼吸时相的图像进行配准</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0"/>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b/>
                <w:bCs/>
                <w:sz w:val="24"/>
                <w:szCs w:val="24"/>
              </w:rPr>
              <w:t>电子射野影像系统（EPID）</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硬件要求</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图像采集装置应采用非晶硅平板</w:t>
            </w:r>
            <w:r>
              <w:rPr>
                <w:rFonts w:hint="eastAsia" w:cs="Arial Unicode MS"/>
                <w:sz w:val="24"/>
                <w:szCs w:val="24"/>
              </w:rPr>
              <w:t>成像</w:t>
            </w:r>
            <w:r>
              <w:rPr>
                <w:rFonts w:cs="Arial Unicode MS"/>
                <w:sz w:val="24"/>
                <w:szCs w:val="24"/>
              </w:rPr>
              <w:t>器</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r>
              <w:rPr>
                <w:rFonts w:hint="eastAsia" w:cs="Arial Unicode MS"/>
                <w:bCs/>
                <w:sz w:val="24"/>
              </w:rPr>
              <w:t>*</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图像</w:t>
            </w:r>
            <w:r>
              <w:rPr>
                <w:rFonts w:hint="eastAsia" w:cs="Arial Unicode MS"/>
                <w:sz w:val="24"/>
                <w:szCs w:val="24"/>
              </w:rPr>
              <w:t>成像</w:t>
            </w:r>
            <w:r>
              <w:rPr>
                <w:rFonts w:cs="Arial Unicode MS"/>
                <w:sz w:val="24"/>
                <w:szCs w:val="24"/>
              </w:rPr>
              <w:t>器的有效感应面积： ≥ 42cm x 42cm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像素矩阵大小： ≥ 1280 x 1280</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r>
              <w:rPr>
                <w:rFonts w:hint="eastAsia" w:cs="Arial Unicode MS"/>
                <w:bCs/>
                <w:sz w:val="24"/>
              </w:rPr>
              <w:t>*</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图像采集帧频：≥18帧/秒</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能够支持FFF高剂量率成像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r>
              <w:rPr>
                <w:rFonts w:hint="eastAsia" w:cs="Arial Unicode MS"/>
                <w:bCs/>
                <w:sz w:val="24"/>
              </w:rPr>
              <w:t>*</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成像器</w:t>
            </w:r>
            <w:r>
              <w:rPr>
                <w:rFonts w:cs="Arial Unicode MS"/>
                <w:sz w:val="24"/>
                <w:szCs w:val="24"/>
              </w:rPr>
              <w:t>可以三维运动，沿射束中轴</w:t>
            </w:r>
            <w:r>
              <w:rPr>
                <w:rFonts w:hint="eastAsia" w:cs="Arial Unicode MS"/>
                <w:sz w:val="24"/>
                <w:szCs w:val="24"/>
              </w:rPr>
              <w:t>运动范围</w:t>
            </w:r>
            <w:r>
              <w:rPr>
                <w:rFonts w:cs="Arial Unicode MS"/>
                <w:sz w:val="24"/>
                <w:szCs w:val="24"/>
              </w:rPr>
              <w:t>≥</w:t>
            </w:r>
            <w:r>
              <w:rPr>
                <w:rFonts w:hint="eastAsia" w:cs="Arial Unicode MS"/>
                <w:sz w:val="24"/>
                <w:szCs w:val="24"/>
              </w:rPr>
              <w:t>5</w:t>
            </w:r>
            <w:r>
              <w:rPr>
                <w:rFonts w:cs="Arial Unicode MS"/>
                <w:sz w:val="24"/>
                <w:szCs w:val="24"/>
              </w:rPr>
              <w:t>0</w:t>
            </w:r>
            <w:r>
              <w:rPr>
                <w:rFonts w:hint="eastAsia" w:cs="Arial Unicode MS"/>
                <w:sz w:val="24"/>
                <w:szCs w:val="24"/>
              </w:rPr>
              <w:t>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成像器</w:t>
            </w:r>
            <w:r>
              <w:rPr>
                <w:rFonts w:cs="Arial Unicode MS"/>
                <w:sz w:val="24"/>
                <w:szCs w:val="24"/>
              </w:rPr>
              <w:t>可</w:t>
            </w:r>
            <w:r>
              <w:rPr>
                <w:rFonts w:hint="eastAsia" w:cs="Arial Unicode MS"/>
                <w:sz w:val="24"/>
                <w:szCs w:val="24"/>
              </w:rPr>
              <w:t>远程控制其</w:t>
            </w:r>
            <w:r>
              <w:rPr>
                <w:rFonts w:cs="Arial Unicode MS"/>
                <w:sz w:val="24"/>
                <w:szCs w:val="24"/>
              </w:rPr>
              <w:t>自动收回和展开</w:t>
            </w:r>
            <w:r>
              <w:rPr>
                <w:rFonts w:hint="eastAsia" w:cs="Arial Unicode MS"/>
                <w:sz w:val="24"/>
                <w:szCs w:val="24"/>
              </w:rPr>
              <w:t>，展开时间</w:t>
            </w:r>
            <w:r>
              <w:rPr>
                <w:rFonts w:cs="Arial Unicode MS"/>
                <w:sz w:val="24"/>
                <w:szCs w:val="24"/>
              </w:rPr>
              <w:t>≤</w:t>
            </w:r>
            <w:r>
              <w:rPr>
                <w:rFonts w:hint="eastAsia" w:cs="Arial Unicode MS"/>
                <w:sz w:val="24"/>
                <w:szCs w:val="24"/>
              </w:rPr>
              <w:t>1</w:t>
            </w:r>
            <w:r>
              <w:rPr>
                <w:rFonts w:cs="Arial Unicode MS"/>
                <w:sz w:val="24"/>
                <w:szCs w:val="24"/>
              </w:rPr>
              <w:t>0s</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成像器</w:t>
            </w:r>
            <w:r>
              <w:rPr>
                <w:rFonts w:cs="Arial Unicode MS"/>
                <w:sz w:val="24"/>
                <w:szCs w:val="24"/>
              </w:rPr>
              <w:t>Z轴方向移动范围（与等中心点距离）：≥60cm</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具有防碰撞安全连锁功能</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软件要求</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能与放疗专用网络系统实现联网</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可同时察看实时成像和对比参考图像（模拟机图像、DRR）</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图像采集后可自动进行图像增强处理</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图像采集后自动关闭加速器的射线输出</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可自动/手动调节窗宽/窗位</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图像放大/缩小显示</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图像编辑功能</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几何测量功能</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栅格覆盖显示</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自动照射野边界搜索</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统计直方图的计算和显示</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可回放运动图像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可进行文字标注</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定位匹配功能：可对参考图像和实时成像进行照射野边界和解剖结构定位匹配的检测并可进行位移的测量，从而确定照射野的摆位误差</w:t>
            </w:r>
            <w:r>
              <w:rPr>
                <w:rFonts w:hint="eastAsia" w:cs="Arial Unicode MS"/>
                <w:sz w:val="24"/>
                <w:szCs w:val="24"/>
              </w:rPr>
              <w:t>。</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tcPr>
          <w:p>
            <w:pPr>
              <w:rPr>
                <w:rFonts w:cs="Arial Unicode MS"/>
                <w:b/>
                <w:bCs/>
                <w:sz w:val="24"/>
                <w:szCs w:val="24"/>
              </w:rPr>
            </w:pPr>
            <w:r>
              <w:rPr>
                <w:rFonts w:hint="eastAsia" w:ascii="宋体" w:hAnsi="宋体" w:cs="Arial"/>
                <w:b/>
                <w:szCs w:val="21"/>
              </w:rPr>
              <w:t>借助EPID实现治疗计划剂量验证，提供类似P</w:t>
            </w:r>
            <w:r>
              <w:rPr>
                <w:rFonts w:ascii="宋体" w:hAnsi="宋体" w:cs="Arial"/>
                <w:b/>
                <w:szCs w:val="21"/>
              </w:rPr>
              <w:t>ortal Dosimetry</w:t>
            </w:r>
            <w:r>
              <w:rPr>
                <w:rFonts w:hint="eastAsia" w:ascii="宋体" w:hAnsi="宋体" w:cs="Arial"/>
                <w:b/>
                <w:szCs w:val="21"/>
              </w:rPr>
              <w:t>或相似软件功能。验证结果可进行误差分析，并导入数据库方便查询。</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2"/>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具有D</w:t>
            </w:r>
            <w:r>
              <w:rPr>
                <w:rFonts w:cs="Arial Unicode MS"/>
                <w:sz w:val="24"/>
                <w:szCs w:val="24"/>
              </w:rPr>
              <w:t>ICOM</w:t>
            </w:r>
            <w:r>
              <w:rPr>
                <w:rFonts w:hint="eastAsia" w:cs="Arial Unicode MS"/>
                <w:sz w:val="24"/>
                <w:szCs w:val="24"/>
              </w:rPr>
              <w:t>输入\输出接口</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0"/>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具备嵌入式高效QA及自动性能检查功能</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自动性能检查时间：≤5分钟</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支持治疗等中心精度检查</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支持治疗等中心与</w:t>
            </w:r>
            <w:r>
              <w:rPr>
                <w:rFonts w:cs="Arial Unicode MS"/>
                <w:sz w:val="24"/>
                <w:szCs w:val="24"/>
              </w:rPr>
              <w:t>MV&amp;kV</w:t>
            </w:r>
            <w:r>
              <w:rPr>
                <w:rFonts w:hint="eastAsia" w:cs="Arial Unicode MS"/>
                <w:sz w:val="24"/>
                <w:szCs w:val="24"/>
              </w:rPr>
              <w:t>影像等中心的一致性检查</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支持准直器旋转误差检查</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支持机架定位精度检查</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w:t>
            </w:r>
            <w:r>
              <w:rPr>
                <w:rFonts w:cs="Arial Unicode MS"/>
                <w:sz w:val="24"/>
                <w:szCs w:val="24"/>
              </w:rPr>
              <w:t>6DoF</w:t>
            </w:r>
            <w:r>
              <w:rPr>
                <w:rFonts w:hint="eastAsia" w:cs="Arial Unicode MS"/>
                <w:sz w:val="24"/>
                <w:szCs w:val="24"/>
              </w:rPr>
              <w:t>治疗床摆位精度检查</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w:t>
            </w:r>
            <w:r>
              <w:rPr>
                <w:rFonts w:cs="Arial Unicode MS"/>
                <w:sz w:val="24"/>
                <w:szCs w:val="24"/>
              </w:rPr>
              <w:t>MLC</w:t>
            </w:r>
            <w:r>
              <w:rPr>
                <w:rFonts w:hint="eastAsia" w:cs="Arial Unicode MS"/>
                <w:sz w:val="24"/>
                <w:szCs w:val="24"/>
              </w:rPr>
              <w:t>叶片位置精度检查</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支持铅门位置精度检查</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支持束流输出量一致性检查</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支持束流离轴比一致性检查</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支持束流中心偏移量检查</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0"/>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b/>
                <w:bCs/>
                <w:sz w:val="24"/>
                <w:szCs w:val="24"/>
              </w:rPr>
              <w:t>呼吸门控</w:t>
            </w:r>
            <w:r>
              <w:rPr>
                <w:rFonts w:cs="Arial Unicode MS"/>
                <w:b/>
                <w:bCs/>
                <w:sz w:val="24"/>
                <w:szCs w:val="24"/>
              </w:rPr>
              <w:t>系统</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提供自由呼吸式门控系统</w:t>
            </w:r>
            <w:r>
              <w:rPr>
                <w:rFonts w:hint="eastAsia" w:cs="Arial Unicode MS"/>
                <w:sz w:val="24"/>
                <w:szCs w:val="24"/>
              </w:rPr>
              <w:t>1套</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治疗前可在透视图像上验证门控参数</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提供采集呼吸过程的回放功能</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配备可视化呼吸训练装置（V</w:t>
            </w:r>
            <w:r>
              <w:rPr>
                <w:rFonts w:cs="Arial Unicode MS"/>
                <w:sz w:val="24"/>
                <w:szCs w:val="24"/>
              </w:rPr>
              <w:t>CD</w:t>
            </w:r>
            <w:r>
              <w:rPr>
                <w:rFonts w:hint="eastAsia" w:cs="Arial Unicode MS"/>
                <w:sz w:val="24"/>
                <w:szCs w:val="24"/>
              </w:rPr>
              <w:t>）1套</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支持</w:t>
            </w:r>
            <w:r>
              <w:rPr>
                <w:rFonts w:hint="eastAsia" w:cs="Arial Unicode MS"/>
                <w:sz w:val="24"/>
                <w:szCs w:val="24"/>
              </w:rPr>
              <w:t>呼吸</w:t>
            </w:r>
            <w:r>
              <w:rPr>
                <w:rFonts w:cs="Arial Unicode MS"/>
                <w:sz w:val="24"/>
                <w:szCs w:val="24"/>
              </w:rPr>
              <w:t>门控放射治疗</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支持</w:t>
            </w:r>
            <w:r>
              <w:rPr>
                <w:rFonts w:hint="eastAsia" w:cs="Arial Unicode MS"/>
                <w:sz w:val="24"/>
                <w:szCs w:val="24"/>
              </w:rPr>
              <w:t>呼吸</w:t>
            </w:r>
            <w:r>
              <w:rPr>
                <w:rFonts w:cs="Arial Unicode MS"/>
                <w:sz w:val="24"/>
                <w:szCs w:val="24"/>
              </w:rPr>
              <w:t>门控</w:t>
            </w:r>
            <w:r>
              <w:rPr>
                <w:rFonts w:hint="eastAsia" w:cs="Arial Unicode MS"/>
                <w:sz w:val="24"/>
                <w:szCs w:val="24"/>
              </w:rPr>
              <w:t>下的</w:t>
            </w:r>
            <w:r>
              <w:rPr>
                <w:rFonts w:cs="Arial Unicode MS"/>
                <w:sz w:val="24"/>
                <w:szCs w:val="24"/>
              </w:rPr>
              <w:t>容积旋转调强</w:t>
            </w:r>
            <w:r>
              <w:rPr>
                <w:rFonts w:hint="eastAsia" w:cs="Arial Unicode MS"/>
                <w:sz w:val="24"/>
                <w:szCs w:val="24"/>
              </w:rPr>
              <w:t>放疗</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可根据患者呼吸时相触发治疗射束的启动和终止，整个过程无需人工操作</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Arial Unicode MS"/>
                <w:sz w:val="24"/>
                <w:szCs w:val="24"/>
              </w:rPr>
              <w:t>支持</w:t>
            </w:r>
            <w:r>
              <w:rPr>
                <w:rFonts w:hint="eastAsia" w:cs="Arial Unicode MS"/>
                <w:sz w:val="24"/>
                <w:szCs w:val="24"/>
              </w:rPr>
              <w:t>治疗</w:t>
            </w:r>
            <w:r>
              <w:rPr>
                <w:rFonts w:cs="Arial Unicode MS"/>
                <w:sz w:val="24"/>
                <w:szCs w:val="24"/>
              </w:rPr>
              <w:t>中</w:t>
            </w:r>
            <w:r>
              <w:rPr>
                <w:rFonts w:hint="eastAsia" w:cs="Arial Unicode MS"/>
                <w:sz w:val="24"/>
                <w:szCs w:val="24"/>
              </w:rPr>
              <w:t>呼吸</w:t>
            </w:r>
            <w:r>
              <w:rPr>
                <w:rFonts w:cs="Arial Unicode MS"/>
                <w:sz w:val="24"/>
                <w:szCs w:val="24"/>
              </w:rPr>
              <w:t>门控</w:t>
            </w:r>
            <w:r>
              <w:rPr>
                <w:rFonts w:hint="eastAsia" w:cs="Arial Unicode MS"/>
                <w:sz w:val="24"/>
                <w:szCs w:val="24"/>
              </w:rPr>
              <w:t>自动触发</w:t>
            </w:r>
            <w:r>
              <w:rPr>
                <w:rFonts w:cs="Arial Unicode MS"/>
                <w:sz w:val="24"/>
                <w:szCs w:val="24"/>
              </w:rPr>
              <w:t>成像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0"/>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b/>
                <w:bCs/>
                <w:sz w:val="24"/>
                <w:szCs w:val="24"/>
              </w:rPr>
              <w:t>配套设备及附件</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提供</w:t>
            </w:r>
            <w:r>
              <w:rPr>
                <w:rFonts w:cs="Arial Unicode MS"/>
                <w:sz w:val="24"/>
                <w:szCs w:val="24"/>
              </w:rPr>
              <w:t>稳压电源</w:t>
            </w:r>
            <w:r>
              <w:rPr>
                <w:rFonts w:hint="eastAsia" w:cs="Arial Unicode MS"/>
                <w:sz w:val="24"/>
                <w:szCs w:val="24"/>
              </w:rPr>
              <w:t>1台</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sz w:val="24"/>
                <w:szCs w:val="24"/>
              </w:rPr>
              <w:t>提供</w:t>
            </w:r>
            <w:r>
              <w:rPr>
                <w:rFonts w:cs="Arial Unicode MS"/>
                <w:sz w:val="24"/>
                <w:szCs w:val="24"/>
              </w:rPr>
              <w:t>水冷机</w:t>
            </w:r>
            <w:r>
              <w:rPr>
                <w:rFonts w:hint="eastAsia" w:cs="Arial Unicode MS"/>
                <w:sz w:val="24"/>
                <w:szCs w:val="24"/>
              </w:rPr>
              <w:t>1台</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numPr>
                <w:ilvl w:val="1"/>
                <w:numId w:val="1"/>
              </w:numPr>
              <w:ind w:firstLine="480"/>
              <w:rPr>
                <w:rFonts w:cs="Arial Unicode MS"/>
                <w:bCs/>
                <w:sz w:val="24"/>
              </w:rPr>
            </w:pPr>
          </w:p>
        </w:tc>
        <w:tc>
          <w:tcPr>
            <w:tcW w:w="7406" w:type="dxa"/>
            <w:tcBorders>
              <w:top w:val="nil"/>
              <w:left w:val="nil"/>
              <w:bottom w:val="single" w:color="auto" w:sz="4" w:space="0"/>
              <w:right w:val="single" w:color="auto" w:sz="4" w:space="0"/>
            </w:tcBorders>
            <w:shd w:val="clear" w:color="auto" w:fill="auto"/>
            <w:vAlign w:val="center"/>
          </w:tcPr>
          <w:p>
            <w:pPr>
              <w:rPr>
                <w:rFonts w:cs="Arial Unicode MS"/>
                <w:sz w:val="24"/>
                <w:szCs w:val="24"/>
              </w:rPr>
            </w:pPr>
            <w:r>
              <w:rPr>
                <w:rFonts w:hint="eastAsia" w:cs="Arial Unicode MS"/>
                <w:sz w:val="24"/>
                <w:szCs w:val="24"/>
              </w:rPr>
              <w:t>提供监视与对讲系统1套</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2"/>
              <w:rPr>
                <w:rFonts w:cs="Arial Unicode MS"/>
                <w:b/>
                <w:sz w:val="24"/>
              </w:rPr>
            </w:pPr>
            <w:r>
              <w:rPr>
                <w:rFonts w:hint="eastAsia" w:cs="Arial Unicode MS"/>
                <w:b/>
                <w:sz w:val="24"/>
              </w:rPr>
              <w:t>二</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hint="eastAsia" w:cs="Arial Unicode MS"/>
                <w:b/>
                <w:bCs/>
                <w:sz w:val="24"/>
                <w:szCs w:val="24"/>
              </w:rPr>
              <w:t>计划系统的基本要求</w:t>
            </w:r>
          </w:p>
        </w:tc>
      </w:tr>
      <w:tr>
        <w:tblPrEx>
          <w:tblCellMar>
            <w:top w:w="0" w:type="dxa"/>
            <w:left w:w="108" w:type="dxa"/>
            <w:bottom w:w="0" w:type="dxa"/>
            <w:right w:w="108" w:type="dxa"/>
          </w:tblCellMar>
        </w:tblPrEx>
        <w:trPr>
          <w:trHeight w:val="825"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1.1</w:t>
            </w:r>
          </w:p>
        </w:tc>
        <w:tc>
          <w:tcPr>
            <w:tcW w:w="7406" w:type="dxa"/>
            <w:tcBorders>
              <w:top w:val="nil"/>
              <w:left w:val="nil"/>
              <w:bottom w:val="single" w:color="auto" w:sz="4" w:space="0"/>
              <w:right w:val="single" w:color="auto" w:sz="4" w:space="0"/>
            </w:tcBorders>
            <w:shd w:val="clear" w:color="auto" w:fill="auto"/>
            <w:vAlign w:val="center"/>
          </w:tcPr>
          <w:p>
            <w:pPr>
              <w:rPr>
                <w:rFonts w:cs="Arial Unicode MS"/>
                <w:b/>
                <w:bCs/>
                <w:sz w:val="24"/>
                <w:szCs w:val="24"/>
              </w:rPr>
            </w:pPr>
            <w:r>
              <w:rPr>
                <w:rFonts w:cstheme="minorHAnsi"/>
              </w:rPr>
              <w:t>所投设备要求：本次招标为放射治疗计划系统，包含</w:t>
            </w:r>
            <w:r>
              <w:rPr>
                <w:rFonts w:hint="eastAsia" w:cstheme="minorHAnsi"/>
              </w:rPr>
              <w:t>升级同品牌</w:t>
            </w:r>
            <w:r>
              <w:rPr>
                <w:rFonts w:cstheme="minorHAnsi"/>
              </w:rPr>
              <w:t>：</w:t>
            </w:r>
            <w:r>
              <w:rPr>
                <w:rFonts w:hint="eastAsia" w:cstheme="minorHAnsi"/>
              </w:rPr>
              <w:t>11</w:t>
            </w:r>
            <w:r>
              <w:rPr>
                <w:rFonts w:cstheme="minorHAnsi"/>
              </w:rPr>
              <w:t>台</w:t>
            </w:r>
            <w:r>
              <w:rPr>
                <w:rFonts w:hint="eastAsia" w:cstheme="minorHAnsi"/>
              </w:rPr>
              <w:t>物理师</w:t>
            </w:r>
            <w:r>
              <w:rPr>
                <w:rFonts w:cstheme="minorHAnsi"/>
              </w:rPr>
              <w:t>工作站</w:t>
            </w:r>
            <w:r>
              <w:rPr>
                <w:rFonts w:hint="eastAsia" w:cstheme="minorHAnsi"/>
              </w:rPr>
              <w:t>（治疗计划设计和计算）</w:t>
            </w:r>
            <w:r>
              <w:rPr>
                <w:rFonts w:cstheme="minorHAnsi"/>
              </w:rPr>
              <w:t>、</w:t>
            </w:r>
            <w:r>
              <w:rPr>
                <w:rFonts w:hint="eastAsia" w:cstheme="minorHAnsi"/>
              </w:rPr>
              <w:t>35</w:t>
            </w:r>
            <w:r>
              <w:rPr>
                <w:rFonts w:cstheme="minorHAnsi"/>
              </w:rPr>
              <w:t>台</w:t>
            </w:r>
            <w:r>
              <w:rPr>
                <w:rFonts w:hint="eastAsia" w:cstheme="minorHAnsi"/>
              </w:rPr>
              <w:t>医生</w:t>
            </w:r>
            <w:r>
              <w:rPr>
                <w:rFonts w:cstheme="minorHAnsi"/>
              </w:rPr>
              <w:t>工作</w:t>
            </w:r>
            <w:r>
              <w:rPr>
                <w:rFonts w:hint="eastAsia" w:cstheme="minorHAnsi"/>
              </w:rPr>
              <w:t>站至最新版本，并实现硬件匹配和更换，服务器更换。</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1</w:t>
            </w:r>
            <w:r>
              <w:rPr>
                <w:rFonts w:cs="Arial Unicode MS"/>
                <w:bCs/>
                <w:sz w:val="24"/>
              </w:rPr>
              <w:t>.2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hint="eastAsia" w:cstheme="minorHAnsi"/>
              </w:rPr>
              <w:t>提供快速计划模板的自动计划优化软件2套或基于经验知识智能计划功能模块1套（含许可数2个）</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硬件平台</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2.1</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hint="eastAsia" w:cstheme="minorHAnsi"/>
              </w:rPr>
              <w:t>物理师工作站</w:t>
            </w:r>
            <w:r>
              <w:rPr>
                <w:rFonts w:cstheme="minorHAnsi"/>
              </w:rPr>
              <w:t>硬件要求</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2.1.1</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中央处理器：双核Intel® Xeon™  Silver 4110 或以上，主频≥2 GHz</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2.1.2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 xml:space="preserve">随机存取存储器：主机内存≥32 GB (4x8GB) DDR4 </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2.1</w:t>
            </w:r>
            <w:r>
              <w:rPr>
                <w:rFonts w:cs="Arial Unicode MS"/>
                <w:bCs/>
                <w:sz w:val="24"/>
              </w:rPr>
              <w:t>.3</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磁盘存储器：容量≥ 1TB  SATA HDD,   ≥ 1TB SSD</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2.1</w:t>
            </w:r>
            <w:r>
              <w:rPr>
                <w:rFonts w:cs="Arial Unicode MS"/>
                <w:bCs/>
                <w:sz w:val="24"/>
              </w:rPr>
              <w:t>.</w:t>
            </w:r>
            <w:r>
              <w:rPr>
                <w:rFonts w:hint="eastAsia" w:cs="Arial Unicode MS"/>
                <w:bCs/>
                <w:sz w:val="24"/>
              </w:rPr>
              <w:t>4</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 xml:space="preserve">显示卡：NVidia  </w:t>
            </w:r>
            <w:r>
              <w:rPr>
                <w:rFonts w:hint="eastAsia" w:cstheme="minorHAnsi"/>
              </w:rPr>
              <w:t>Quadro</w:t>
            </w:r>
            <w:r>
              <w:rPr>
                <w:rFonts w:cstheme="minorHAnsi"/>
              </w:rPr>
              <w:t xml:space="preserve"> P600或以上</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2.1</w:t>
            </w:r>
            <w:r>
              <w:rPr>
                <w:rFonts w:cs="Arial Unicode MS"/>
                <w:bCs/>
                <w:sz w:val="24"/>
              </w:rPr>
              <w:t>.</w:t>
            </w:r>
            <w:r>
              <w:rPr>
                <w:rFonts w:hint="eastAsia" w:cs="Arial Unicode MS"/>
                <w:bCs/>
                <w:sz w:val="24"/>
              </w:rPr>
              <w:t>5</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终端显示器： 尺寸≥23英寸，分辨率≥1920 x 1080 ，带键盘和鼠标</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2.1</w:t>
            </w:r>
            <w:r>
              <w:rPr>
                <w:rFonts w:cs="Arial Unicode MS"/>
                <w:bCs/>
                <w:sz w:val="24"/>
              </w:rPr>
              <w:t>.</w:t>
            </w:r>
            <w:r>
              <w:rPr>
                <w:rFonts w:hint="eastAsia" w:cs="Arial Unicode MS"/>
                <w:bCs/>
                <w:sz w:val="24"/>
              </w:rPr>
              <w:t>6</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 xml:space="preserve">操作系统：Windows 10 </w:t>
            </w:r>
            <w:r>
              <w:rPr>
                <w:rFonts w:hint="eastAsia" w:cstheme="minorHAnsi"/>
              </w:rPr>
              <w:t>企业版2016</w:t>
            </w:r>
            <w:r>
              <w:rPr>
                <w:rFonts w:cstheme="minorHAnsi"/>
              </w:rPr>
              <w:t xml:space="preserve"> (64位)</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2.1</w:t>
            </w:r>
            <w:r>
              <w:rPr>
                <w:rFonts w:cs="Arial Unicode MS"/>
                <w:bCs/>
                <w:sz w:val="24"/>
              </w:rPr>
              <w:t>.</w:t>
            </w:r>
            <w:r>
              <w:rPr>
                <w:rFonts w:hint="eastAsia" w:cs="Arial Unicode MS"/>
                <w:bCs/>
                <w:sz w:val="24"/>
              </w:rPr>
              <w:t>7</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图形处理器：NVidia™ P5000或以上</w:t>
            </w:r>
            <w:r>
              <w:rPr>
                <w:rFonts w:hint="eastAsia" w:cstheme="minorHAnsi"/>
              </w:rPr>
              <w:t>，内存</w:t>
            </w:r>
            <w:r>
              <w:rPr>
                <w:rFonts w:cstheme="minorHAnsi"/>
              </w:rPr>
              <w:t>≥</w:t>
            </w:r>
            <w:r>
              <w:rPr>
                <w:rFonts w:hint="eastAsia" w:cstheme="minorHAnsi"/>
              </w:rPr>
              <w:t>16GB</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2.2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hint="eastAsia" w:cstheme="minorHAnsi"/>
              </w:rPr>
              <w:t>医生</w:t>
            </w:r>
            <w:r>
              <w:rPr>
                <w:rFonts w:cstheme="minorHAnsi"/>
              </w:rPr>
              <w:t>工作站硬件要求</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2.2</w:t>
            </w:r>
            <w:r>
              <w:rPr>
                <w:rFonts w:cs="Arial Unicode MS"/>
                <w:bCs/>
                <w:sz w:val="24"/>
              </w:rPr>
              <w:t>.</w:t>
            </w:r>
            <w:r>
              <w:rPr>
                <w:rFonts w:hint="eastAsia" w:cs="Arial Unicode MS"/>
                <w:bCs/>
                <w:sz w:val="24"/>
              </w:rPr>
              <w:t>1</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中央处理器：Intel® Core™ i7-4770S 或以上，主频≥3GHz</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2.2</w:t>
            </w:r>
            <w:r>
              <w:rPr>
                <w:rFonts w:cs="Arial Unicode MS"/>
                <w:bCs/>
                <w:sz w:val="24"/>
              </w:rPr>
              <w:t>.</w:t>
            </w:r>
            <w:r>
              <w:rPr>
                <w:rFonts w:hint="eastAsia" w:cs="Arial Unicode MS"/>
                <w:bCs/>
                <w:sz w:val="24"/>
              </w:rPr>
              <w:t>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 xml:space="preserve">随机存取存储器：内存≥8GB DDR3 </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2.2</w:t>
            </w:r>
            <w:r>
              <w:rPr>
                <w:rFonts w:cs="Arial Unicode MS"/>
                <w:bCs/>
                <w:sz w:val="24"/>
              </w:rPr>
              <w:t>.</w:t>
            </w:r>
            <w:r>
              <w:rPr>
                <w:rFonts w:hint="eastAsia" w:cs="Arial Unicode MS"/>
                <w:bCs/>
                <w:sz w:val="24"/>
              </w:rPr>
              <w:t>3</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磁盘存储器：容量≥ 500 GB S</w:t>
            </w:r>
            <w:r>
              <w:rPr>
                <w:rFonts w:hint="eastAsia" w:cstheme="minorHAnsi"/>
              </w:rPr>
              <w:t>SD</w:t>
            </w:r>
            <w:r>
              <w:rPr>
                <w:rFonts w:cstheme="minorHAnsi"/>
              </w:rPr>
              <w:t>硬盘</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2.2</w:t>
            </w:r>
            <w:r>
              <w:rPr>
                <w:rFonts w:cs="Arial Unicode MS"/>
                <w:bCs/>
                <w:sz w:val="24"/>
              </w:rPr>
              <w:t>.</w:t>
            </w:r>
            <w:r>
              <w:rPr>
                <w:rFonts w:hint="eastAsia" w:cs="Arial Unicode MS"/>
                <w:bCs/>
                <w:sz w:val="24"/>
              </w:rPr>
              <w:t>4</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显示卡： Intel HD Graphics 4600或以上，带双显示接口和单VGA输出</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2.2</w:t>
            </w:r>
            <w:r>
              <w:rPr>
                <w:rFonts w:cs="Arial Unicode MS"/>
                <w:bCs/>
                <w:sz w:val="24"/>
              </w:rPr>
              <w:t>.</w:t>
            </w:r>
            <w:r>
              <w:rPr>
                <w:rFonts w:hint="eastAsia" w:cs="Arial Unicode MS"/>
                <w:bCs/>
                <w:sz w:val="24"/>
              </w:rPr>
              <w:t>5</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终端显示器： 尺寸≥23英寸，分辨率≥1920 x 1080 ，带键盘和鼠标</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2.2</w:t>
            </w:r>
            <w:r>
              <w:rPr>
                <w:rFonts w:cs="Arial Unicode MS"/>
                <w:bCs/>
                <w:sz w:val="24"/>
              </w:rPr>
              <w:t>.</w:t>
            </w:r>
            <w:r>
              <w:rPr>
                <w:rFonts w:hint="eastAsia" w:cs="Arial Unicode MS"/>
                <w:bCs/>
                <w:sz w:val="24"/>
              </w:rPr>
              <w:t>6</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 xml:space="preserve">操作系统：Windows 10 </w:t>
            </w:r>
            <w:r>
              <w:rPr>
                <w:rFonts w:hint="eastAsia" w:cstheme="minorHAnsi"/>
              </w:rPr>
              <w:t>企业版 2016</w:t>
            </w:r>
            <w:r>
              <w:rPr>
                <w:rFonts w:cstheme="minorHAnsi"/>
              </w:rPr>
              <w:t>(64 位)</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3</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软件基本环境</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3</w:t>
            </w:r>
            <w:r>
              <w:rPr>
                <w:rFonts w:cs="Arial Unicode MS"/>
                <w:bCs/>
                <w:sz w:val="24"/>
              </w:rPr>
              <w:t>.1</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系统架构：系统应基于“客户～服务器”模式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3</w:t>
            </w:r>
            <w:r>
              <w:rPr>
                <w:rFonts w:cs="Arial Unicode MS"/>
                <w:bCs/>
                <w:sz w:val="24"/>
              </w:rPr>
              <w:t>.2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临床与管理数据库：数据库应是关系型数据库管理系统，如Oracle, Sybase, Informix。应建立在符合ANSII规定标准的SQL语言上</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3</w:t>
            </w:r>
            <w:r>
              <w:rPr>
                <w:rFonts w:cs="Arial Unicode MS"/>
                <w:bCs/>
                <w:sz w:val="24"/>
              </w:rPr>
              <w:t>.3</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数据传输协议：支持HL-7接口协议</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cs="Arial Unicode MS"/>
                <w:bCs/>
                <w:sz w:val="24"/>
              </w:rPr>
              <w:t>4</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软件功能</w:t>
            </w:r>
            <w:r>
              <w:rPr>
                <w:rFonts w:hint="eastAsia" w:cstheme="minorHAnsi"/>
              </w:rPr>
              <w:t>要求</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.1</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影像配准</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.1.1</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应支持CT、MRI、CBCT、PET的配准</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.1.2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应支持影像的刚性配准</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.1.3</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应支持影像的形变配准</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.1.4</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应提供配准结果评估工具</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结构勾画</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.2.1</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应支持基于经验知识库的自动勾画</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.2.1.1</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提供一个预置专家图谱库</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.2.1.2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可检索肿瘤部位和分期说明</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.2.1.3</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支持创建自定义图谱库</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.2.1.4</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能够编辑现有专家库中的病例</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.2.1.5</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提供解剖图谱，描述各解剖结构详细信息</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.2.1.6</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支持2个图谱及以上的自动勾画</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.2.1.7</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肺肿瘤自动勾画</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.2.1.8</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PET阈值勾画</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应支持自动SUV勾画</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.2.3</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应支持多模态影像勾画</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.2.4</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应支持4D影像数据处理</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.2.4.1</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应支持生成MIP、AIP和minIP图像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.2.4.2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可合成照射靶体积ITV</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.2.4.3</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可进行刚性、形变的4D结构派生</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.2.4.4</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可浏览呼吸幅度曲线</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.2.4.5</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支持4D体积统计，评估质心和体积变化</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.2.4.6</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支持勾画和计划射野上播放4D电影</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.2.5</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应支持临床协议模板</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.3</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计划设计</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.3.1</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应支持野中野技术</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.3.2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应支持补偿器计划设计</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.3.3</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应支持基于DVH的计划转换</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80"/>
              <w:rPr>
                <w:rFonts w:cs="Arial Unicode MS"/>
                <w:bCs/>
                <w:sz w:val="24"/>
              </w:rPr>
            </w:pPr>
            <w:r>
              <w:rPr>
                <w:rFonts w:hint="eastAsia" w:cs="Arial Unicode MS"/>
                <w:bCs/>
                <w:sz w:val="24"/>
              </w:rPr>
              <w:t>4</w:t>
            </w:r>
            <w:r>
              <w:rPr>
                <w:rFonts w:cs="Arial Unicode MS"/>
                <w:bCs/>
                <w:sz w:val="24"/>
              </w:rPr>
              <w:t>.3.4</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应支持电子线放疗计划</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.3.6</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应支持正向放疗计划设计</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cstheme="minorHAnsi"/>
              </w:rPr>
              <w:t>4.3.7</w:t>
            </w:r>
            <w:r>
              <w:rPr>
                <w:rFonts w:hint="eastAsia" w:cstheme="minorHAnsi"/>
              </w:rPr>
              <w:t>*</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hint="eastAsia" w:cstheme="minorHAnsi"/>
              </w:rPr>
              <w:t>应支持同一供应商不同设备之间的治疗换机</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.3.8</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应支持逆向调强放疗计划设计</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cstheme="minorHAnsi"/>
              </w:rPr>
              <w:t>4.3.9</w:t>
            </w:r>
            <w:r>
              <w:rPr>
                <w:rFonts w:hint="eastAsia" w:cstheme="minorHAnsi"/>
              </w:rPr>
              <w:t>*</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hint="eastAsia" w:cstheme="minorHAnsi"/>
              </w:rPr>
              <w:t>应支持对调强放疗计划的优化过程G</w:t>
            </w:r>
            <w:r>
              <w:rPr>
                <w:rFonts w:cstheme="minorHAnsi"/>
              </w:rPr>
              <w:t>PU</w:t>
            </w:r>
            <w:r>
              <w:rPr>
                <w:rFonts w:hint="eastAsia" w:cstheme="minorHAnsi"/>
              </w:rPr>
              <w:t>加速</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.3.10</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应支持容积旋转调强放疗技术</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cstheme="minorHAnsi"/>
              </w:rPr>
              <w:t>4.3.11</w:t>
            </w:r>
            <w:r>
              <w:rPr>
                <w:rFonts w:hint="eastAsia" w:cstheme="minorHAnsi"/>
              </w:rPr>
              <w:t>*</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hint="eastAsia" w:cstheme="minorHAnsi"/>
              </w:rPr>
              <w:t>应支持射野自动避让选定的危及器官</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.3.12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应支持适形弧计划设计</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cstheme="minorHAnsi"/>
              </w:rPr>
              <w:t>4.3.13</w:t>
            </w:r>
            <w:r>
              <w:rPr>
                <w:rFonts w:hint="eastAsia" w:cstheme="minorHAnsi"/>
              </w:rPr>
              <w:t>*</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hint="eastAsia" w:cstheme="minorHAnsi"/>
              </w:rPr>
              <w:t>应支持自动优化射野衔接剂量分布</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.3.14</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应支持加载计划模板</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.3.15</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hint="eastAsia" w:cstheme="minorHAnsi"/>
              </w:rPr>
              <w:t>可设定射束在特定机架角度暂停出束（角度避让）</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.3.16</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应支持优化目标模板</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.3.17</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锥形筒计划设计</w:t>
            </w:r>
            <w:r>
              <w:rPr>
                <w:rFonts w:hint="eastAsia" w:cstheme="minorHAnsi"/>
              </w:rPr>
              <w:t>（1个授权）</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.3.18</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t>支持生物函数的剂量优化</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.4</w:t>
            </w:r>
          </w:p>
        </w:tc>
        <w:tc>
          <w:tcPr>
            <w:tcW w:w="7406" w:type="dxa"/>
            <w:tcBorders>
              <w:top w:val="nil"/>
              <w:left w:val="nil"/>
              <w:bottom w:val="single" w:color="auto" w:sz="4" w:space="0"/>
              <w:right w:val="single" w:color="auto" w:sz="4" w:space="0"/>
            </w:tcBorders>
            <w:shd w:val="clear" w:color="auto" w:fill="auto"/>
            <w:vAlign w:val="center"/>
          </w:tcPr>
          <w:p>
            <w:r>
              <w:rPr>
                <w:rFonts w:cstheme="minorHAnsi"/>
              </w:rPr>
              <w:t>剂量计算</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.4.1</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提供蒙特卡洛精度的光子剂量计算算法</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.4.2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电子线</w:t>
            </w:r>
            <w:r>
              <w:rPr>
                <w:rFonts w:hint="eastAsia" w:cstheme="minorHAnsi"/>
              </w:rPr>
              <w:t>剂量计算应支持</w:t>
            </w:r>
            <w:r>
              <w:rPr>
                <w:rFonts w:cstheme="minorHAnsi"/>
              </w:rPr>
              <w:t>蒙特卡洛算法</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.4.3</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应支持各向异性解析算法</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.4.4</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应提供针对IMRT和VMAT的快速优化计算算法</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cstheme="minorHAnsi"/>
              </w:rPr>
              <w:t>4.4.5*</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应支持GPU</w:t>
            </w:r>
            <w:r>
              <w:rPr>
                <w:rFonts w:hint="eastAsia" w:cstheme="minorHAnsi"/>
              </w:rPr>
              <w:t>对调强放射治疗计划的</w:t>
            </w:r>
            <w:r>
              <w:rPr>
                <w:rFonts w:cstheme="minorHAnsi"/>
              </w:rPr>
              <w:t>计算加速</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.5</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质量保证</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.5.11</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应支持创建基于水箱或模体的验证计划</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.5.2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应支持水等效深度和距离的测量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.5.3</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应提供射野剂量验证算法</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.5.4</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应支持IMRT和VMAT计划的射野剂量计算</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.6</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计划评估</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.6.1</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应支持并排计划剂量分布比较</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.6.2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应支持多个结构、多个计划的DVH比较</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.6.3</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应支持外照射计划的叠加和相减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.6.4</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应支持近距离治疗计划的叠加和相减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cstheme="minorHAnsi"/>
              </w:rPr>
              <w:t>4.6.5</w:t>
            </w:r>
            <w:r>
              <w:rPr>
                <w:rFonts w:hint="eastAsia" w:cstheme="minorHAnsi"/>
              </w:rPr>
              <w:t>*</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w:t>
            </w:r>
            <w:r>
              <w:rPr>
                <w:rFonts w:hint="eastAsia" w:cstheme="minorHAnsi"/>
              </w:rPr>
              <w:t>外照射</w:t>
            </w:r>
            <w:r>
              <w:rPr>
                <w:rFonts w:cstheme="minorHAnsi"/>
              </w:rPr>
              <w:t>计划</w:t>
            </w:r>
            <w:r>
              <w:rPr>
                <w:rFonts w:hint="eastAsia" w:cstheme="minorHAnsi"/>
              </w:rPr>
              <w:t>的</w:t>
            </w:r>
            <w:r>
              <w:rPr>
                <w:rFonts w:cstheme="minorHAnsi"/>
              </w:rPr>
              <w:t>鲁棒性评估</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.6.6</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应支持电子计划批准</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.7</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应用程序接口（API）</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.7.1</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应提供官方API程序编写文档</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.7.2</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应用程序接口应支持计划、DVH、剂量、结构和图像数据的访问</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.7.3</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hint="eastAsia" w:cstheme="minorHAnsi"/>
              </w:rPr>
              <w:t>应支持优化目标、参数和通量数据的访问</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.7.4</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hint="eastAsia" w:cstheme="minorHAnsi"/>
              </w:rPr>
              <w:t>应支持射野、附件参数的数据访问</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cstheme="minorHAnsi"/>
              </w:rPr>
              <w:t>4.7.5</w:t>
            </w:r>
            <w:r>
              <w:rPr>
                <w:rFonts w:hint="eastAsia" w:cstheme="minorHAnsi"/>
              </w:rPr>
              <w:t>*</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cstheme="minorHAnsi"/>
              </w:rPr>
              <w:t>应支持可视化编程</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rPr>
                <w:rFonts w:cstheme="minorHAnsi"/>
              </w:rPr>
            </w:pPr>
            <w:r>
              <w:rPr>
                <w:rFonts w:hint="eastAsia" w:cstheme="minorHAnsi"/>
              </w:rPr>
              <w:t>4</w:t>
            </w:r>
            <w:r>
              <w:rPr>
                <w:rFonts w:cstheme="minorHAnsi"/>
              </w:rPr>
              <w:t>.7.6</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hint="eastAsia" w:cstheme="minorHAnsi"/>
              </w:rPr>
              <w:t>应支持整个计划设计的自动化</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vAlign w:val="center"/>
          </w:tcPr>
          <w:p>
            <w:pPr>
              <w:pStyle w:val="29"/>
              <w:ind w:firstLine="422"/>
              <w:rPr>
                <w:rFonts w:cstheme="minorHAnsi"/>
                <w:b/>
                <w:bCs/>
              </w:rPr>
            </w:pPr>
            <w:r>
              <w:rPr>
                <w:rFonts w:hint="eastAsia" w:cstheme="minorHAnsi"/>
                <w:b/>
                <w:bCs/>
              </w:rPr>
              <w:t>三</w:t>
            </w:r>
          </w:p>
        </w:tc>
        <w:tc>
          <w:tcPr>
            <w:tcW w:w="7406" w:type="dxa"/>
            <w:tcBorders>
              <w:top w:val="nil"/>
              <w:left w:val="nil"/>
              <w:bottom w:val="single" w:color="auto" w:sz="4" w:space="0"/>
              <w:right w:val="single" w:color="auto" w:sz="4" w:space="0"/>
            </w:tcBorders>
            <w:shd w:val="clear" w:color="auto" w:fill="auto"/>
            <w:vAlign w:val="center"/>
          </w:tcPr>
          <w:p>
            <w:pPr>
              <w:rPr>
                <w:rFonts w:cstheme="minorHAnsi"/>
              </w:rPr>
            </w:pPr>
            <w:r>
              <w:rPr>
                <w:rFonts w:hint="eastAsia" w:cstheme="minorHAnsi"/>
              </w:rPr>
              <w:t>升级同品牌放疗专用网络至最新版本</w:t>
            </w:r>
          </w:p>
        </w:tc>
      </w:tr>
      <w:tr>
        <w:tblPrEx>
          <w:tblCellMar>
            <w:top w:w="0" w:type="dxa"/>
            <w:left w:w="108" w:type="dxa"/>
            <w:bottom w:w="0" w:type="dxa"/>
            <w:right w:w="108" w:type="dxa"/>
          </w:tblCellMar>
        </w:tblPrEx>
        <w:trPr>
          <w:trHeight w:val="430"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cstheme="minorHAnsi"/>
                <w:b/>
                <w:bCs/>
                <w:sz w:val="18"/>
                <w:szCs w:val="16"/>
              </w:rPr>
            </w:pPr>
            <w:r>
              <w:rPr>
                <w:rFonts w:hint="eastAsia" w:asciiTheme="majorEastAsia" w:hAnsiTheme="majorEastAsia" w:eastAsiaTheme="majorEastAsia"/>
                <w:szCs w:val="21"/>
              </w:rPr>
              <w:t>1</w:t>
            </w:r>
          </w:p>
        </w:tc>
        <w:tc>
          <w:tcPr>
            <w:tcW w:w="7406" w:type="dxa"/>
            <w:tcBorders>
              <w:top w:val="nil"/>
              <w:left w:val="nil"/>
              <w:bottom w:val="single" w:color="auto" w:sz="4" w:space="0"/>
              <w:right w:val="single" w:color="auto" w:sz="4" w:space="0"/>
            </w:tcBorders>
            <w:shd w:val="clear" w:color="auto" w:fill="auto"/>
          </w:tcPr>
          <w:p>
            <w:pPr>
              <w:rPr>
                <w:rFonts w:cstheme="minorHAnsi"/>
                <w:sz w:val="20"/>
              </w:rPr>
            </w:pPr>
            <w:r>
              <w:rPr>
                <w:rFonts w:asciiTheme="majorEastAsia" w:hAnsiTheme="majorEastAsia" w:eastAsiaTheme="majorEastAsia"/>
                <w:szCs w:val="21"/>
              </w:rPr>
              <w:t>网络构造</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1.1</w:t>
            </w:r>
          </w:p>
        </w:tc>
        <w:tc>
          <w:tcPr>
            <w:tcW w:w="7406" w:type="dxa"/>
            <w:tcBorders>
              <w:top w:val="nil"/>
              <w:left w:val="nil"/>
              <w:bottom w:val="single" w:color="auto" w:sz="4" w:space="0"/>
              <w:right w:val="single" w:color="auto" w:sz="4" w:space="0"/>
            </w:tcBorders>
            <w:shd w:val="clear" w:color="auto" w:fill="auto"/>
          </w:tcPr>
          <w:p>
            <w:pPr>
              <w:rPr>
                <w:rFonts w:asciiTheme="majorEastAsia" w:hAnsiTheme="majorEastAsia" w:eastAsiaTheme="majorEastAsia"/>
                <w:szCs w:val="21"/>
              </w:rPr>
            </w:pPr>
            <w:r>
              <w:rPr>
                <w:rFonts w:asciiTheme="majorEastAsia" w:hAnsiTheme="majorEastAsia" w:eastAsiaTheme="majorEastAsia"/>
                <w:szCs w:val="21"/>
              </w:rPr>
              <w:t>网络拓扑结构</w:t>
            </w:r>
            <w:r>
              <w:rPr>
                <w:rFonts w:hint="eastAsia" w:asciiTheme="majorEastAsia" w:hAnsiTheme="majorEastAsia" w:eastAsiaTheme="majorEastAsia"/>
                <w:szCs w:val="21"/>
              </w:rPr>
              <w:t>：</w:t>
            </w:r>
            <w:r>
              <w:rPr>
                <w:rFonts w:asciiTheme="majorEastAsia" w:hAnsiTheme="majorEastAsia" w:eastAsiaTheme="majorEastAsia"/>
                <w:szCs w:val="21"/>
              </w:rPr>
              <w:t>以太网结构</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1.2</w:t>
            </w:r>
          </w:p>
        </w:tc>
        <w:tc>
          <w:tcPr>
            <w:tcW w:w="7406" w:type="dxa"/>
            <w:tcBorders>
              <w:top w:val="nil"/>
              <w:left w:val="nil"/>
              <w:bottom w:val="single" w:color="auto" w:sz="4" w:space="0"/>
              <w:right w:val="single" w:color="auto" w:sz="4" w:space="0"/>
            </w:tcBorders>
            <w:shd w:val="clear" w:color="auto" w:fill="auto"/>
          </w:tcPr>
          <w:p>
            <w:pPr>
              <w:rPr>
                <w:rFonts w:asciiTheme="majorEastAsia" w:hAnsiTheme="majorEastAsia" w:eastAsiaTheme="majorEastAsia"/>
                <w:szCs w:val="21"/>
              </w:rPr>
            </w:pPr>
            <w:r>
              <w:rPr>
                <w:rFonts w:asciiTheme="majorEastAsia" w:hAnsiTheme="majorEastAsia" w:eastAsiaTheme="majorEastAsia"/>
                <w:szCs w:val="21"/>
              </w:rPr>
              <w:t>网络数据传输速度</w:t>
            </w:r>
            <w:r>
              <w:rPr>
                <w:rFonts w:hint="eastAsia" w:asciiTheme="majorEastAsia" w:hAnsiTheme="majorEastAsia" w:eastAsiaTheme="majorEastAsia"/>
                <w:szCs w:val="21"/>
              </w:rPr>
              <w:t>：</w:t>
            </w:r>
            <w:r>
              <w:rPr>
                <w:rFonts w:asciiTheme="majorEastAsia" w:hAnsiTheme="majorEastAsia" w:eastAsiaTheme="majorEastAsia"/>
                <w:szCs w:val="21"/>
              </w:rPr>
              <w:t>≥100</w:t>
            </w:r>
            <w:r>
              <w:rPr>
                <w:rFonts w:hint="eastAsia" w:asciiTheme="majorEastAsia" w:hAnsiTheme="majorEastAsia" w:eastAsiaTheme="majorEastAsia"/>
                <w:szCs w:val="21"/>
              </w:rPr>
              <w:t>0</w:t>
            </w:r>
            <w:r>
              <w:rPr>
                <w:rFonts w:asciiTheme="majorEastAsia" w:hAnsiTheme="majorEastAsia" w:eastAsiaTheme="majorEastAsia"/>
                <w:szCs w:val="21"/>
              </w:rPr>
              <w:t>Mbps</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1.3</w:t>
            </w:r>
          </w:p>
        </w:tc>
        <w:tc>
          <w:tcPr>
            <w:tcW w:w="7406" w:type="dxa"/>
            <w:tcBorders>
              <w:top w:val="nil"/>
              <w:left w:val="nil"/>
              <w:bottom w:val="single" w:color="auto" w:sz="4" w:space="0"/>
              <w:right w:val="single" w:color="auto" w:sz="4" w:space="0"/>
            </w:tcBorders>
            <w:shd w:val="clear" w:color="auto" w:fill="auto"/>
          </w:tcPr>
          <w:p>
            <w:pPr>
              <w:rPr>
                <w:rFonts w:asciiTheme="majorEastAsia" w:hAnsiTheme="majorEastAsia" w:eastAsiaTheme="majorEastAsia"/>
                <w:szCs w:val="21"/>
              </w:rPr>
            </w:pPr>
            <w:r>
              <w:rPr>
                <w:rFonts w:asciiTheme="majorEastAsia" w:hAnsiTheme="majorEastAsia" w:eastAsiaTheme="majorEastAsia"/>
                <w:szCs w:val="21"/>
              </w:rPr>
              <w:t>网络物理连线材料</w:t>
            </w:r>
            <w:r>
              <w:rPr>
                <w:rFonts w:hint="eastAsia" w:asciiTheme="majorEastAsia" w:hAnsiTheme="majorEastAsia" w:eastAsiaTheme="majorEastAsia"/>
                <w:szCs w:val="21"/>
              </w:rPr>
              <w:t>：</w:t>
            </w:r>
            <w:r>
              <w:rPr>
                <w:rFonts w:asciiTheme="majorEastAsia" w:hAnsiTheme="majorEastAsia" w:eastAsiaTheme="majorEastAsia"/>
                <w:szCs w:val="21"/>
              </w:rPr>
              <w:t>带屏蔽五类双绞线</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1.4</w:t>
            </w:r>
          </w:p>
        </w:tc>
        <w:tc>
          <w:tcPr>
            <w:tcW w:w="7406" w:type="dxa"/>
            <w:tcBorders>
              <w:top w:val="nil"/>
              <w:left w:val="nil"/>
              <w:bottom w:val="single" w:color="auto" w:sz="4" w:space="0"/>
              <w:right w:val="single" w:color="auto" w:sz="4" w:space="0"/>
            </w:tcBorders>
            <w:shd w:val="clear" w:color="auto" w:fill="auto"/>
          </w:tcPr>
          <w:p>
            <w:pPr>
              <w:rPr>
                <w:rFonts w:asciiTheme="majorEastAsia" w:hAnsiTheme="majorEastAsia" w:eastAsiaTheme="majorEastAsia"/>
                <w:szCs w:val="21"/>
              </w:rPr>
            </w:pPr>
            <w:r>
              <w:rPr>
                <w:rFonts w:asciiTheme="majorEastAsia" w:hAnsiTheme="majorEastAsia" w:eastAsiaTheme="majorEastAsia"/>
                <w:szCs w:val="21"/>
              </w:rPr>
              <w:t>网络协议</w:t>
            </w:r>
            <w:r>
              <w:rPr>
                <w:rFonts w:hint="eastAsia" w:asciiTheme="majorEastAsia" w:hAnsiTheme="majorEastAsia" w:eastAsiaTheme="majorEastAsia"/>
                <w:szCs w:val="21"/>
              </w:rPr>
              <w:t>：</w:t>
            </w:r>
            <w:r>
              <w:rPr>
                <w:rFonts w:asciiTheme="majorEastAsia" w:hAnsiTheme="majorEastAsia" w:eastAsiaTheme="majorEastAsia"/>
                <w:szCs w:val="21"/>
              </w:rPr>
              <w:t>TCP/IP</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1.5</w:t>
            </w:r>
          </w:p>
        </w:tc>
        <w:tc>
          <w:tcPr>
            <w:tcW w:w="7406" w:type="dxa"/>
            <w:tcBorders>
              <w:top w:val="nil"/>
              <w:left w:val="nil"/>
              <w:bottom w:val="single" w:color="auto" w:sz="4" w:space="0"/>
              <w:right w:val="single" w:color="auto" w:sz="4" w:space="0"/>
            </w:tcBorders>
            <w:shd w:val="clear" w:color="auto" w:fill="auto"/>
          </w:tcPr>
          <w:p>
            <w:pPr>
              <w:rPr>
                <w:rFonts w:asciiTheme="majorEastAsia" w:hAnsiTheme="majorEastAsia" w:eastAsiaTheme="majorEastAsia"/>
                <w:szCs w:val="21"/>
              </w:rPr>
            </w:pPr>
            <w:r>
              <w:rPr>
                <w:rFonts w:asciiTheme="majorEastAsia" w:hAnsiTheme="majorEastAsia" w:eastAsiaTheme="majorEastAsia"/>
                <w:szCs w:val="21"/>
              </w:rPr>
              <w:t>网络终端接口数量</w:t>
            </w:r>
            <w:r>
              <w:rPr>
                <w:rFonts w:hint="eastAsia" w:asciiTheme="majorEastAsia" w:hAnsiTheme="majorEastAsia" w:eastAsiaTheme="majorEastAsia"/>
                <w:szCs w:val="21"/>
              </w:rPr>
              <w:t>：</w:t>
            </w:r>
            <w:r>
              <w:rPr>
                <w:rFonts w:asciiTheme="majorEastAsia" w:hAnsiTheme="majorEastAsia" w:eastAsiaTheme="majorEastAsia"/>
                <w:szCs w:val="21"/>
              </w:rPr>
              <w:t>16个</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6</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联网要求</w:t>
            </w:r>
            <w:r>
              <w:rPr>
                <w:rFonts w:hint="eastAsia" w:asciiTheme="majorEastAsia" w:hAnsiTheme="majorEastAsia" w:eastAsiaTheme="majorEastAsia"/>
                <w:szCs w:val="21"/>
              </w:rPr>
              <w:t>：</w:t>
            </w:r>
            <w:r>
              <w:rPr>
                <w:rFonts w:asciiTheme="majorEastAsia" w:hAnsiTheme="majorEastAsia" w:eastAsiaTheme="majorEastAsia"/>
                <w:szCs w:val="21"/>
              </w:rPr>
              <w:t>通过网络，可将下列设备联网</w:t>
            </w:r>
          </w:p>
          <w:p>
            <w:pPr>
              <w:adjustRightInd w:val="0"/>
              <w:snapToGrid w:val="0"/>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加速器</w:t>
            </w:r>
          </w:p>
          <w:p>
            <w:pPr>
              <w:adjustRightInd w:val="0"/>
              <w:snapToGrid w:val="0"/>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多</w:t>
            </w:r>
            <w:r>
              <w:rPr>
                <w:rFonts w:hint="eastAsia" w:asciiTheme="majorEastAsia" w:hAnsiTheme="majorEastAsia" w:eastAsiaTheme="majorEastAsia"/>
                <w:szCs w:val="21"/>
              </w:rPr>
              <w:t>叶</w:t>
            </w:r>
            <w:r>
              <w:rPr>
                <w:rFonts w:asciiTheme="majorEastAsia" w:hAnsiTheme="majorEastAsia" w:eastAsiaTheme="majorEastAsia"/>
                <w:szCs w:val="21"/>
              </w:rPr>
              <w:t>光栅系统</w:t>
            </w:r>
          </w:p>
          <w:p>
            <w:pPr>
              <w:adjustRightInd w:val="0"/>
              <w:snapToGrid w:val="0"/>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治疗计划系统</w:t>
            </w:r>
          </w:p>
          <w:p>
            <w:pPr>
              <w:rPr>
                <w:rFonts w:asciiTheme="majorEastAsia" w:hAnsiTheme="majorEastAsia" w:eastAsiaTheme="majorEastAsia"/>
                <w:szCs w:val="21"/>
              </w:rPr>
            </w:pPr>
            <w:r>
              <w:rPr>
                <w:rFonts w:hint="eastAsia" w:asciiTheme="majorEastAsia" w:hAnsiTheme="majorEastAsia" w:eastAsiaTheme="majorEastAsia"/>
                <w:szCs w:val="21"/>
              </w:rPr>
              <w:t>4.</w:t>
            </w:r>
            <w:r>
              <w:rPr>
                <w:rFonts w:asciiTheme="majorEastAsia" w:hAnsiTheme="majorEastAsia" w:eastAsiaTheme="majorEastAsia"/>
                <w:szCs w:val="21"/>
              </w:rPr>
              <w:t>网络工作站</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7</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可连接多台加速器</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8</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可连接多台计划系统</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9</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可连接多台定位设备</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2</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中央处理器：2颗Intel Xeon≥10核处理器，主频≥2.2GHz</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2.1</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内存：≥64G</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2.2</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硬盘: 总有效硬盘空间</w:t>
            </w:r>
            <w:r>
              <w:rPr>
                <w:rFonts w:hint="eastAsia" w:asciiTheme="majorEastAsia" w:hAnsiTheme="majorEastAsia" w:eastAsiaTheme="majorEastAsia"/>
                <w:szCs w:val="21"/>
              </w:rPr>
              <w:t>≥3.2T</w:t>
            </w:r>
            <w:r>
              <w:rPr>
                <w:rFonts w:asciiTheme="majorEastAsia" w:hAnsiTheme="majorEastAsia" w:eastAsiaTheme="majorEastAsia"/>
                <w:szCs w:val="21"/>
              </w:rPr>
              <w:t>B</w:t>
            </w:r>
            <w:r>
              <w:rPr>
                <w:rFonts w:hint="eastAsia" w:asciiTheme="majorEastAsia" w:hAnsiTheme="majorEastAsia" w:eastAsiaTheme="majorEastAsia"/>
                <w:szCs w:val="21"/>
              </w:rPr>
              <w:t>；具备冗余备份</w:t>
            </w:r>
            <w:r>
              <w:rPr>
                <w:rFonts w:asciiTheme="majorEastAsia" w:hAnsiTheme="majorEastAsia" w:eastAsiaTheme="majorEastAsia"/>
                <w:szCs w:val="21"/>
              </w:rPr>
              <w:t>硬盘</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2.3</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数据备份设备</w:t>
            </w:r>
            <w:r>
              <w:rPr>
                <w:rFonts w:hint="eastAsia" w:asciiTheme="majorEastAsia" w:hAnsiTheme="majorEastAsia" w:eastAsiaTheme="majorEastAsia"/>
                <w:szCs w:val="21"/>
              </w:rPr>
              <w:t>：阵列存储</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2.4</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电源：双电源1100瓦</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3</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操作系统：Windows Server 2019英文标准版操作系统</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4</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网络工作站数量若干</w:t>
            </w:r>
          </w:p>
        </w:tc>
      </w:tr>
      <w:tr>
        <w:tblPrEx>
          <w:tblCellMar>
            <w:top w:w="0" w:type="dxa"/>
            <w:left w:w="108" w:type="dxa"/>
            <w:bottom w:w="0" w:type="dxa"/>
            <w:right w:w="108" w:type="dxa"/>
          </w:tblCellMar>
        </w:tblPrEx>
        <w:trPr>
          <w:trHeight w:val="309"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软件系统要求</w:t>
            </w:r>
          </w:p>
        </w:tc>
      </w:tr>
      <w:tr>
        <w:tblPrEx>
          <w:tblCellMar>
            <w:top w:w="0" w:type="dxa"/>
            <w:left w:w="108" w:type="dxa"/>
            <w:bottom w:w="0" w:type="dxa"/>
            <w:right w:w="108" w:type="dxa"/>
          </w:tblCellMar>
        </w:tblPrEx>
        <w:trPr>
          <w:trHeight w:val="628"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5.1</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服务器数据库系统平台</w:t>
            </w:r>
            <w:r>
              <w:rPr>
                <w:rFonts w:hint="eastAsia" w:asciiTheme="majorEastAsia" w:hAnsiTheme="majorEastAsia" w:eastAsiaTheme="majorEastAsia"/>
                <w:szCs w:val="21"/>
              </w:rPr>
              <w:t>：</w:t>
            </w:r>
            <w:r>
              <w:rPr>
                <w:rFonts w:asciiTheme="majorEastAsia" w:hAnsiTheme="majorEastAsia" w:eastAsiaTheme="majorEastAsia"/>
                <w:szCs w:val="21"/>
              </w:rPr>
              <w:t>要求采用“客户/服务器”（client/server）结构模式的SQL关系数据库软件</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5.2</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放疗数据库应用软件是建立和运行于上述服务器数据库系统平台上的应用软件和用户界面程序。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5.3</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所有的病人数据，包括文本资料、图像信息和治疗计划数据，以及治疗过程中产生的图像和文本数据信息，均应集中存储在</w:t>
            </w:r>
            <w:r>
              <w:rPr>
                <w:rFonts w:hint="eastAsia" w:asciiTheme="majorEastAsia" w:hAnsiTheme="majorEastAsia" w:eastAsiaTheme="majorEastAsia"/>
                <w:szCs w:val="21"/>
              </w:rPr>
              <w:t>一个</w:t>
            </w:r>
            <w:r>
              <w:rPr>
                <w:rFonts w:asciiTheme="majorEastAsia" w:hAnsiTheme="majorEastAsia" w:eastAsiaTheme="majorEastAsia"/>
                <w:szCs w:val="21"/>
              </w:rPr>
              <w:t>服务器数据库中，方便管理、备份和所有联网工作站的信息资源共享。</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5.4</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统一的数据交换结构和数据库系统</w:t>
            </w:r>
            <w:r>
              <w:rPr>
                <w:rFonts w:hint="eastAsia" w:asciiTheme="majorEastAsia" w:hAnsiTheme="majorEastAsia" w:eastAsiaTheme="majorEastAsia"/>
                <w:szCs w:val="21"/>
              </w:rPr>
              <w:t>：</w:t>
            </w:r>
            <w:r>
              <w:rPr>
                <w:rFonts w:asciiTheme="majorEastAsia" w:hAnsiTheme="majorEastAsia" w:eastAsiaTheme="majorEastAsia"/>
                <w:szCs w:val="21"/>
              </w:rPr>
              <w:t>应用软件的数据结构和输入/输出接口对所有联网的放疗设备开放，（包括加速器、多</w:t>
            </w:r>
            <w:r>
              <w:rPr>
                <w:rFonts w:hint="eastAsia" w:asciiTheme="majorEastAsia" w:hAnsiTheme="majorEastAsia" w:eastAsiaTheme="majorEastAsia"/>
                <w:szCs w:val="21"/>
              </w:rPr>
              <w:t>叶</w:t>
            </w:r>
            <w:r>
              <w:rPr>
                <w:rFonts w:asciiTheme="majorEastAsia" w:hAnsiTheme="majorEastAsia" w:eastAsiaTheme="majorEastAsia"/>
                <w:szCs w:val="21"/>
              </w:rPr>
              <w:t>光栅系统、治疗计划系统、网络工作站）</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5.5</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要求联网的设备/软件采用统一的（一致的）数据交换结构和标准。使网络上的所有的放疗设备均能方便地共享数据信息资源。</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5.6</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所有文本信息和图像信息，需集中存储在同一个服务器中，减少信息搜索和传输的延时，提高检索效率，方便数据备份和管理</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5.7*</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与治疗计划系统共用同一数据库</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5.8</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与加速器共用同一数据库</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5.9</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与后装计划系统共用同一数据库</w:t>
            </w:r>
          </w:p>
        </w:tc>
      </w:tr>
      <w:tr>
        <w:tblPrEx>
          <w:tblCellMar>
            <w:top w:w="0" w:type="dxa"/>
            <w:left w:w="108" w:type="dxa"/>
            <w:bottom w:w="0" w:type="dxa"/>
            <w:right w:w="108" w:type="dxa"/>
          </w:tblCellMar>
        </w:tblPrEx>
        <w:trPr>
          <w:trHeight w:val="347"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5.10</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电子处方与治疗计划直接关联，治疗计划随电子处方改变</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5.11</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提供计划传输一致性检测功能</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5.12</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冗余数据保护功能</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5.13</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可以在加速器机房浏览患者摆位数据</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5.14</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非人工干预，网络系统自动存储治疗数据</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5.15</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在加速器控制台可以生成DRR图像，并保存到数据库</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5.16</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在线操作界面和离线式操作界面一致</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5.17</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信息系统可以记录配准时的摆位信息，包括等中心、治疗床位置信息等，并对此信息进行图表分析</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5.18</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可生成误差趋势图，区分随机或系统误差</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5.19</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支持呼吸门控接口，可在网络工作站设置门控参数（呼气相治疗或吸气相治疗、可设定时相）</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5.20</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可以记录治疗时的呼吸波形，并回顾分析</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5.21</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定制化的用户主界面</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5.22</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定制化的用户工作平台，可根据不同角色定制不同工作平台</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5.23</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提供独立报表统计服务器，包括硬件</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5.24</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在信息系统中打开内网网页和外网网页</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5.25</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用户级别限制</w:t>
            </w:r>
            <w:r>
              <w:rPr>
                <w:rFonts w:hint="eastAsia" w:asciiTheme="majorEastAsia" w:hAnsiTheme="majorEastAsia" w:eastAsiaTheme="majorEastAsia"/>
                <w:szCs w:val="21"/>
              </w:rPr>
              <w:t>：</w:t>
            </w:r>
            <w:r>
              <w:rPr>
                <w:rFonts w:asciiTheme="majorEastAsia" w:hAnsiTheme="majorEastAsia" w:eastAsiaTheme="majorEastAsia"/>
                <w:szCs w:val="21"/>
              </w:rPr>
              <w:t>服务器软件能设置各工作站用户的使用权限</w:t>
            </w:r>
          </w:p>
        </w:tc>
      </w:tr>
      <w:tr>
        <w:tblPrEx>
          <w:tblCellMar>
            <w:top w:w="0" w:type="dxa"/>
            <w:left w:w="108" w:type="dxa"/>
            <w:bottom w:w="0" w:type="dxa"/>
            <w:right w:w="108" w:type="dxa"/>
          </w:tblCellMar>
        </w:tblPrEx>
        <w:trPr>
          <w:trHeight w:val="1189"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5.26</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网络应用软件基本功能要求</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5.27</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加速器参数配置</w:t>
            </w:r>
            <w:r>
              <w:rPr>
                <w:rFonts w:hint="eastAsia" w:asciiTheme="majorEastAsia" w:hAnsiTheme="majorEastAsia" w:eastAsiaTheme="majorEastAsia"/>
                <w:szCs w:val="21"/>
              </w:rPr>
              <w:t>：</w:t>
            </w:r>
            <w:r>
              <w:rPr>
                <w:rFonts w:asciiTheme="majorEastAsia" w:hAnsiTheme="majorEastAsia" w:eastAsiaTheme="majorEastAsia"/>
                <w:szCs w:val="21"/>
              </w:rPr>
              <w:t>可设置多台加速器的机械和治疗参数</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5.28</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资料管理</w:t>
            </w:r>
            <w:r>
              <w:rPr>
                <w:rFonts w:hint="eastAsia" w:asciiTheme="majorEastAsia" w:hAnsiTheme="majorEastAsia" w:eastAsiaTheme="majorEastAsia"/>
                <w:szCs w:val="21"/>
              </w:rPr>
              <w:t>：提供</w:t>
            </w:r>
            <w:r>
              <w:rPr>
                <w:rFonts w:asciiTheme="majorEastAsia" w:hAnsiTheme="majorEastAsia" w:eastAsiaTheme="majorEastAsia"/>
                <w:szCs w:val="21"/>
              </w:rPr>
              <w:t>病人登记注册和病例资料管理，应有多种形式，应包括数码相片登记</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5.29</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提供</w:t>
            </w:r>
            <w:r>
              <w:rPr>
                <w:rFonts w:asciiTheme="majorEastAsia" w:hAnsiTheme="majorEastAsia" w:eastAsiaTheme="majorEastAsia"/>
                <w:szCs w:val="21"/>
              </w:rPr>
              <w:t>“设备自动安排功能”，可自动计划安排病人的治疗时间</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5.30</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支持分割放疗、等中心旋转放疗、非共面放疗、多</w:t>
            </w:r>
            <w:r>
              <w:rPr>
                <w:rFonts w:hint="eastAsia" w:asciiTheme="majorEastAsia" w:hAnsiTheme="majorEastAsia" w:eastAsiaTheme="majorEastAsia"/>
                <w:szCs w:val="21"/>
              </w:rPr>
              <w:t>叶</w:t>
            </w:r>
            <w:r>
              <w:rPr>
                <w:rFonts w:asciiTheme="majorEastAsia" w:hAnsiTheme="majorEastAsia" w:eastAsiaTheme="majorEastAsia"/>
                <w:szCs w:val="21"/>
              </w:rPr>
              <w:t>光栅不规则照射野、适形放疗、调强放疗（包括Step</w:t>
            </w:r>
            <w:r>
              <w:rPr>
                <w:rFonts w:hint="eastAsia" w:asciiTheme="majorEastAsia" w:hAnsiTheme="majorEastAsia" w:eastAsiaTheme="majorEastAsia"/>
                <w:szCs w:val="21"/>
              </w:rPr>
              <w:t xml:space="preserve"> </w:t>
            </w:r>
            <w:r>
              <w:rPr>
                <w:rFonts w:asciiTheme="majorEastAsia" w:hAnsiTheme="majorEastAsia" w:eastAsiaTheme="majorEastAsia"/>
                <w:szCs w:val="21"/>
              </w:rPr>
              <w:t>and</w:t>
            </w:r>
            <w:r>
              <w:rPr>
                <w:rFonts w:hint="eastAsia" w:asciiTheme="majorEastAsia" w:hAnsiTheme="majorEastAsia" w:eastAsiaTheme="majorEastAsia"/>
                <w:szCs w:val="21"/>
              </w:rPr>
              <w:t xml:space="preserve"> </w:t>
            </w:r>
            <w:r>
              <w:rPr>
                <w:rFonts w:asciiTheme="majorEastAsia" w:hAnsiTheme="majorEastAsia" w:eastAsiaTheme="majorEastAsia"/>
                <w:szCs w:val="21"/>
              </w:rPr>
              <w:t>shoot技术和Sliding</w:t>
            </w:r>
            <w:r>
              <w:rPr>
                <w:rFonts w:hint="eastAsia" w:asciiTheme="majorEastAsia" w:hAnsiTheme="majorEastAsia" w:eastAsiaTheme="majorEastAsia"/>
                <w:szCs w:val="21"/>
              </w:rPr>
              <w:t xml:space="preserve"> </w:t>
            </w:r>
            <w:r>
              <w:rPr>
                <w:rFonts w:asciiTheme="majorEastAsia" w:hAnsiTheme="majorEastAsia" w:eastAsiaTheme="majorEastAsia"/>
                <w:szCs w:val="21"/>
              </w:rPr>
              <w:t>window技术）等所有外照射放疗的应用</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5.31</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提供</w:t>
            </w:r>
            <w:r>
              <w:rPr>
                <w:rFonts w:asciiTheme="majorEastAsia" w:hAnsiTheme="majorEastAsia" w:eastAsiaTheme="majorEastAsia"/>
                <w:szCs w:val="21"/>
              </w:rPr>
              <w:t>可与三维近距离放疗计划软件集成（共享数据资源）</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5.32</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提供</w:t>
            </w:r>
            <w:r>
              <w:rPr>
                <w:rFonts w:asciiTheme="majorEastAsia" w:hAnsiTheme="majorEastAsia" w:eastAsiaTheme="majorEastAsia"/>
                <w:szCs w:val="21"/>
              </w:rPr>
              <w:t>具有治疗参数的“自动记录和验证”功能，可调节设定误差允许范围</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5.33</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提供</w:t>
            </w:r>
            <w:r>
              <w:rPr>
                <w:rFonts w:asciiTheme="majorEastAsia" w:hAnsiTheme="majorEastAsia" w:eastAsiaTheme="majorEastAsia"/>
                <w:szCs w:val="21"/>
              </w:rPr>
              <w:t>支持“自动序列照射”功能，在对一个病人进行多个照射野的连续治疗中，自动按照设定的次序设置加速器和多</w:t>
            </w:r>
            <w:r>
              <w:rPr>
                <w:rFonts w:hint="eastAsia" w:asciiTheme="majorEastAsia" w:hAnsiTheme="majorEastAsia" w:eastAsiaTheme="majorEastAsia"/>
                <w:szCs w:val="21"/>
              </w:rPr>
              <w:t>叶</w:t>
            </w:r>
            <w:r>
              <w:rPr>
                <w:rFonts w:asciiTheme="majorEastAsia" w:hAnsiTheme="majorEastAsia" w:eastAsiaTheme="majorEastAsia"/>
                <w:szCs w:val="21"/>
              </w:rPr>
              <w:t>光栅的照射参数，并进行定位验证，中途不需技术员进出治疗室</w:t>
            </w:r>
          </w:p>
        </w:tc>
      </w:tr>
      <w:tr>
        <w:tblPrEx>
          <w:tblCellMar>
            <w:top w:w="0" w:type="dxa"/>
            <w:left w:w="108" w:type="dxa"/>
            <w:bottom w:w="0" w:type="dxa"/>
            <w:right w:w="108" w:type="dxa"/>
          </w:tblCellMar>
        </w:tblPrEx>
        <w:trPr>
          <w:trHeight w:val="870"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5.34</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提供</w:t>
            </w:r>
            <w:r>
              <w:rPr>
                <w:rFonts w:asciiTheme="majorEastAsia" w:hAnsiTheme="majorEastAsia" w:eastAsiaTheme="majorEastAsia"/>
                <w:szCs w:val="21"/>
              </w:rPr>
              <w:t>实现对加速器、多</w:t>
            </w:r>
            <w:r>
              <w:rPr>
                <w:rFonts w:hint="eastAsia" w:asciiTheme="majorEastAsia" w:hAnsiTheme="majorEastAsia" w:eastAsiaTheme="majorEastAsia"/>
                <w:szCs w:val="21"/>
              </w:rPr>
              <w:t>叶</w:t>
            </w:r>
            <w:r>
              <w:rPr>
                <w:rFonts w:asciiTheme="majorEastAsia" w:hAnsiTheme="majorEastAsia" w:eastAsiaTheme="majorEastAsia"/>
                <w:szCs w:val="21"/>
              </w:rPr>
              <w:t>光栅系统和实时影像系统的全自动操作。在一个操作界面上，自动完成病人的摆位、实时影像的拍摄、和多</w:t>
            </w:r>
            <w:r>
              <w:rPr>
                <w:rFonts w:hint="eastAsia" w:asciiTheme="majorEastAsia" w:hAnsiTheme="majorEastAsia" w:eastAsiaTheme="majorEastAsia"/>
                <w:szCs w:val="21"/>
              </w:rPr>
              <w:t>叶</w:t>
            </w:r>
            <w:r>
              <w:rPr>
                <w:rFonts w:asciiTheme="majorEastAsia" w:hAnsiTheme="majorEastAsia" w:eastAsiaTheme="majorEastAsia"/>
                <w:szCs w:val="21"/>
              </w:rPr>
              <w:t>光栅的照射野形成。</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5.35</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提供</w:t>
            </w:r>
            <w:r>
              <w:rPr>
                <w:rFonts w:asciiTheme="majorEastAsia" w:hAnsiTheme="majorEastAsia" w:eastAsiaTheme="majorEastAsia"/>
                <w:szCs w:val="21"/>
              </w:rPr>
              <w:t>允许临时脱离网络环境，独立使用加速器</w:t>
            </w:r>
            <w:r>
              <w:rPr>
                <w:rFonts w:hint="eastAsia" w:asciiTheme="majorEastAsia" w:hAnsiTheme="majorEastAsia" w:eastAsiaTheme="majorEastAsia"/>
                <w:szCs w:val="21"/>
              </w:rPr>
              <w:t>，可执行IGRT、适形、调强、容积旋转调强治疗技术</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5.36</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允许临时脱离网络环境，独立使用加速器</w:t>
            </w:r>
            <w:r>
              <w:rPr>
                <w:rFonts w:hint="eastAsia" w:asciiTheme="majorEastAsia" w:hAnsiTheme="majorEastAsia" w:eastAsiaTheme="majorEastAsia"/>
                <w:szCs w:val="21"/>
              </w:rPr>
              <w:t>，治疗记录及IGRT图像以DICOM</w:t>
            </w:r>
            <w:r>
              <w:rPr>
                <w:rFonts w:asciiTheme="majorEastAsia" w:hAnsiTheme="majorEastAsia" w:eastAsiaTheme="majorEastAsia"/>
                <w:szCs w:val="21"/>
              </w:rPr>
              <w:t xml:space="preserve"> </w:t>
            </w:r>
            <w:r>
              <w:rPr>
                <w:rFonts w:hint="eastAsia" w:asciiTheme="majorEastAsia" w:hAnsiTheme="majorEastAsia" w:eastAsiaTheme="majorEastAsia"/>
                <w:szCs w:val="21"/>
              </w:rPr>
              <w:t>RT格式保存，待恢复网络环境时将记录保存至网络服务器</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5.37</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提供</w:t>
            </w:r>
            <w:r>
              <w:rPr>
                <w:rFonts w:asciiTheme="majorEastAsia" w:hAnsiTheme="majorEastAsia" w:eastAsiaTheme="majorEastAsia"/>
                <w:szCs w:val="21"/>
              </w:rPr>
              <w:t>具有统计图表绘制功能，自动分析设备、病人和资源的利用情况。</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5.38</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提供</w:t>
            </w:r>
            <w:r>
              <w:rPr>
                <w:rFonts w:asciiTheme="majorEastAsia" w:hAnsiTheme="majorEastAsia" w:eastAsiaTheme="majorEastAsia"/>
                <w:szCs w:val="21"/>
              </w:rPr>
              <w:t>支持120</w:t>
            </w:r>
            <w:r>
              <w:rPr>
                <w:rFonts w:hint="eastAsia" w:asciiTheme="majorEastAsia" w:hAnsiTheme="majorEastAsia" w:eastAsiaTheme="majorEastAsia"/>
                <w:szCs w:val="21"/>
              </w:rPr>
              <w:t>叶</w:t>
            </w:r>
            <w:r>
              <w:rPr>
                <w:rFonts w:asciiTheme="majorEastAsia" w:hAnsiTheme="majorEastAsia" w:eastAsiaTheme="majorEastAsia"/>
                <w:szCs w:val="21"/>
              </w:rPr>
              <w:t>多</w:t>
            </w:r>
            <w:r>
              <w:rPr>
                <w:rFonts w:hint="eastAsia" w:asciiTheme="majorEastAsia" w:hAnsiTheme="majorEastAsia" w:eastAsiaTheme="majorEastAsia"/>
                <w:szCs w:val="21"/>
              </w:rPr>
              <w:t>叶</w:t>
            </w:r>
            <w:r>
              <w:rPr>
                <w:rFonts w:asciiTheme="majorEastAsia" w:hAnsiTheme="majorEastAsia" w:eastAsiaTheme="majorEastAsia"/>
                <w:szCs w:val="21"/>
              </w:rPr>
              <w:t>光栅系统</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5.39</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提供</w:t>
            </w:r>
            <w:r>
              <w:rPr>
                <w:rFonts w:asciiTheme="majorEastAsia" w:hAnsiTheme="majorEastAsia" w:eastAsiaTheme="majorEastAsia"/>
                <w:szCs w:val="21"/>
              </w:rPr>
              <w:t>对图像、治疗计划、照射野、和多</w:t>
            </w:r>
            <w:r>
              <w:rPr>
                <w:rFonts w:hint="eastAsia" w:asciiTheme="majorEastAsia" w:hAnsiTheme="majorEastAsia" w:eastAsiaTheme="majorEastAsia"/>
                <w:szCs w:val="21"/>
              </w:rPr>
              <w:t>叶</w:t>
            </w:r>
            <w:r>
              <w:rPr>
                <w:rFonts w:asciiTheme="majorEastAsia" w:hAnsiTheme="majorEastAsia" w:eastAsiaTheme="majorEastAsia"/>
                <w:szCs w:val="21"/>
              </w:rPr>
              <w:t>光栅的复制/粘贴功能</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5.40</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提供</w:t>
            </w:r>
            <w:r>
              <w:rPr>
                <w:rFonts w:asciiTheme="majorEastAsia" w:hAnsiTheme="majorEastAsia" w:eastAsiaTheme="majorEastAsia"/>
                <w:szCs w:val="21"/>
              </w:rPr>
              <w:t>可存储和访问由虚拟模拟定位系统生成的DRR图像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5.41</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具有三维图像和放疗剂量分布信息的存储和访问功能</w:t>
            </w:r>
          </w:p>
        </w:tc>
      </w:tr>
      <w:tr>
        <w:tblPrEx>
          <w:tblCellMar>
            <w:top w:w="0" w:type="dxa"/>
            <w:left w:w="108" w:type="dxa"/>
            <w:bottom w:w="0" w:type="dxa"/>
            <w:right w:w="108" w:type="dxa"/>
          </w:tblCellMar>
        </w:tblPrEx>
        <w:trPr>
          <w:trHeight w:val="821"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5.42</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通过图像网络接口，可实现外部各种图像格式的输入，以及内部图像格式转换和输出，方便临床应用。</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5.43</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网络工作站的应用软件功能要求</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5.44</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提供</w:t>
            </w:r>
            <w:r>
              <w:rPr>
                <w:rFonts w:asciiTheme="majorEastAsia" w:hAnsiTheme="majorEastAsia" w:eastAsiaTheme="majorEastAsia"/>
                <w:szCs w:val="21"/>
              </w:rPr>
              <w:t>可为每位工作人员设定访问权限</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5.45</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可视化任务管理模式：可建立治疗任务</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5.46</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可视化任务管理模式：自动任务向导</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5.47</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可视化任务管理模式：自带任务提示功能</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5.48</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提供</w:t>
            </w:r>
            <w:r>
              <w:rPr>
                <w:rFonts w:asciiTheme="majorEastAsia" w:hAnsiTheme="majorEastAsia" w:eastAsiaTheme="majorEastAsia"/>
                <w:szCs w:val="21"/>
              </w:rPr>
              <w:t>病人数据搜索功能，具有过滤搜索功能</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5.49</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提供</w:t>
            </w:r>
            <w:r>
              <w:rPr>
                <w:rFonts w:asciiTheme="majorEastAsia" w:hAnsiTheme="majorEastAsia" w:eastAsiaTheme="majorEastAsia"/>
                <w:szCs w:val="21"/>
              </w:rPr>
              <w:t>可设定和修改病人的治疗数据，编辑医嘱，治疗时间的安排，分割放疗的方案设计等。</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5.50</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提供</w:t>
            </w:r>
            <w:r>
              <w:rPr>
                <w:rFonts w:asciiTheme="majorEastAsia" w:hAnsiTheme="majorEastAsia" w:eastAsiaTheme="majorEastAsia"/>
                <w:szCs w:val="21"/>
              </w:rPr>
              <w:t>可显示病人的诊断图像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5.51</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在</w:t>
            </w:r>
            <w:r>
              <w:rPr>
                <w:rFonts w:hint="eastAsia" w:asciiTheme="majorEastAsia" w:hAnsiTheme="majorEastAsia" w:eastAsiaTheme="majorEastAsia"/>
                <w:szCs w:val="21"/>
              </w:rPr>
              <w:t>多种</w:t>
            </w:r>
            <w:r>
              <w:rPr>
                <w:rFonts w:asciiTheme="majorEastAsia" w:hAnsiTheme="majorEastAsia" w:eastAsiaTheme="majorEastAsia"/>
                <w:szCs w:val="21"/>
              </w:rPr>
              <w:t>图像上，可覆盖显示和设计多</w:t>
            </w:r>
            <w:r>
              <w:rPr>
                <w:rFonts w:hint="eastAsia" w:asciiTheme="majorEastAsia" w:hAnsiTheme="majorEastAsia" w:eastAsiaTheme="majorEastAsia"/>
                <w:szCs w:val="21"/>
              </w:rPr>
              <w:t>叶</w:t>
            </w:r>
            <w:r>
              <w:rPr>
                <w:rFonts w:asciiTheme="majorEastAsia" w:hAnsiTheme="majorEastAsia" w:eastAsiaTheme="majorEastAsia"/>
                <w:szCs w:val="21"/>
              </w:rPr>
              <w:t>光栅的照射野形状</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5.52</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可对拟定的治疗方案的图像和治疗数据进行批准，方可由加速器进行治疗</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5.53</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asciiTheme="majorEastAsia" w:hAnsiTheme="majorEastAsia" w:eastAsiaTheme="majorEastAsia"/>
                <w:szCs w:val="21"/>
              </w:rPr>
              <w:t>支持图像打印输出</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5.54</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显示治疗处方剂量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5.55</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显示治疗剂量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5.56</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显示所有患者图像</w:t>
            </w:r>
          </w:p>
        </w:tc>
      </w:tr>
      <w:tr>
        <w:tblPrEx>
          <w:tblCellMar>
            <w:top w:w="0" w:type="dxa"/>
            <w:left w:w="108" w:type="dxa"/>
            <w:bottom w:w="0" w:type="dxa"/>
            <w:right w:w="108" w:type="dxa"/>
          </w:tblCellMar>
        </w:tblPrEx>
        <w:trPr>
          <w:trHeight w:val="576"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5.57</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记录越限治疗</w:t>
            </w:r>
          </w:p>
        </w:tc>
      </w:tr>
      <w:tr>
        <w:tblPrEx>
          <w:tblCellMar>
            <w:top w:w="0" w:type="dxa"/>
            <w:left w:w="108" w:type="dxa"/>
            <w:bottom w:w="0" w:type="dxa"/>
            <w:right w:w="108" w:type="dxa"/>
          </w:tblCellMar>
        </w:tblPrEx>
        <w:trPr>
          <w:trHeight w:val="329" w:hRule="atLeast"/>
          <w:jc w:val="center"/>
        </w:trPr>
        <w:tc>
          <w:tcPr>
            <w:tcW w:w="1450" w:type="dxa"/>
            <w:tcBorders>
              <w:top w:val="nil"/>
              <w:left w:val="single" w:color="auto" w:sz="4" w:space="0"/>
              <w:bottom w:val="single" w:color="auto" w:sz="4" w:space="0"/>
              <w:right w:val="single" w:color="auto" w:sz="4" w:space="0"/>
            </w:tcBorders>
            <w:shd w:val="clear" w:color="auto" w:fill="auto"/>
          </w:tcPr>
          <w:p>
            <w:pPr>
              <w:pStyle w:val="29"/>
              <w:rPr>
                <w:rFonts w:asciiTheme="majorEastAsia" w:hAnsiTheme="majorEastAsia" w:eastAsiaTheme="majorEastAsia"/>
                <w:szCs w:val="21"/>
              </w:rPr>
            </w:pPr>
            <w:r>
              <w:rPr>
                <w:rFonts w:hint="eastAsia" w:asciiTheme="majorEastAsia" w:hAnsiTheme="majorEastAsia" w:eastAsiaTheme="majorEastAsia"/>
                <w:szCs w:val="21"/>
              </w:rPr>
              <w:t>5.58</w:t>
            </w:r>
          </w:p>
        </w:tc>
        <w:tc>
          <w:tcPr>
            <w:tcW w:w="7406" w:type="dxa"/>
            <w:tcBorders>
              <w:top w:val="nil"/>
              <w:left w:val="nil"/>
              <w:bottom w:val="single" w:color="auto" w:sz="4" w:space="0"/>
              <w:right w:val="single" w:color="auto" w:sz="4" w:space="0"/>
            </w:tcBorders>
            <w:shd w:val="clear" w:color="auto" w:fill="auto"/>
          </w:tcPr>
          <w:p>
            <w:pPr>
              <w:tabs>
                <w:tab w:val="left" w:pos="843"/>
                <w:tab w:val="left" w:pos="3348"/>
                <w:tab w:val="left" w:pos="7621"/>
                <w:tab w:val="left" w:pos="8613"/>
              </w:tabs>
              <w:autoSpaceDE w:val="0"/>
              <w:autoSpaceDN w:val="0"/>
              <w:rPr>
                <w:rFonts w:asciiTheme="majorEastAsia" w:hAnsiTheme="majorEastAsia" w:eastAsiaTheme="majorEastAsia"/>
                <w:szCs w:val="21"/>
              </w:rPr>
            </w:pPr>
            <w:r>
              <w:rPr>
                <w:rFonts w:hint="eastAsia" w:asciiTheme="majorEastAsia" w:hAnsiTheme="majorEastAsia" w:eastAsiaTheme="majorEastAsia"/>
                <w:szCs w:val="21"/>
              </w:rPr>
              <w:t>下达医嘱，并可强制验证</w:t>
            </w:r>
          </w:p>
        </w:tc>
      </w:tr>
    </w:tbl>
    <w:p>
      <w:pPr>
        <w:pStyle w:val="4"/>
        <w:rPr>
          <w:sz w:val="28"/>
        </w:rPr>
      </w:pPr>
      <w:r>
        <w:br w:type="page"/>
      </w:r>
      <w:bookmarkStart w:id="36" w:name="_Toc56170391"/>
      <w:bookmarkStart w:id="37" w:name="_Toc61184634"/>
      <w:bookmarkStart w:id="38" w:name="_Toc55990502"/>
      <w:bookmarkStart w:id="39" w:name="_Toc21747"/>
      <w:r>
        <w:rPr>
          <w:rFonts w:hint="eastAsia"/>
        </w:rPr>
        <w:t>第四章、合同</w:t>
      </w:r>
      <w:bookmarkEnd w:id="36"/>
      <w:bookmarkEnd w:id="37"/>
      <w:bookmarkEnd w:id="38"/>
      <w:bookmarkEnd w:id="39"/>
    </w:p>
    <w:p>
      <w:pPr>
        <w:spacing w:line="560" w:lineRule="exact"/>
        <w:ind w:firstLine="601"/>
        <w:jc w:val="center"/>
        <w:rPr>
          <w:rFonts w:ascii="仿宋" w:hAnsi="仿宋" w:eastAsia="仿宋"/>
          <w:b/>
          <w:color w:val="000000"/>
          <w:sz w:val="44"/>
          <w:szCs w:val="44"/>
        </w:rPr>
      </w:pPr>
      <w:r>
        <w:rPr>
          <w:rFonts w:hint="eastAsia" w:ascii="仿宋" w:hAnsi="仿宋" w:eastAsia="仿宋"/>
          <w:b/>
          <w:color w:val="000000"/>
          <w:sz w:val="44"/>
          <w:szCs w:val="44"/>
        </w:rPr>
        <w:t>新疆医科大学附属肿瘤医院</w:t>
      </w:r>
    </w:p>
    <w:p>
      <w:pPr>
        <w:spacing w:line="560" w:lineRule="exact"/>
        <w:ind w:firstLine="601"/>
        <w:jc w:val="center"/>
        <w:rPr>
          <w:rFonts w:ascii="仿宋" w:hAnsi="仿宋" w:eastAsia="仿宋"/>
          <w:b/>
          <w:color w:val="000000"/>
          <w:sz w:val="44"/>
          <w:szCs w:val="44"/>
        </w:rPr>
      </w:pPr>
      <w:r>
        <w:rPr>
          <w:rFonts w:hint="eastAsia" w:ascii="仿宋" w:hAnsi="仿宋" w:eastAsia="仿宋"/>
          <w:b/>
          <w:color w:val="000000"/>
          <w:sz w:val="44"/>
          <w:szCs w:val="44"/>
        </w:rPr>
        <w:t>采购合同书</w:t>
      </w:r>
    </w:p>
    <w:p>
      <w:pPr>
        <w:spacing w:line="560" w:lineRule="exact"/>
        <w:ind w:firstLine="601"/>
        <w:jc w:val="center"/>
        <w:rPr>
          <w:rFonts w:ascii="仿宋" w:hAnsi="仿宋" w:eastAsia="仿宋"/>
          <w:b/>
          <w:color w:val="000000"/>
          <w:sz w:val="32"/>
          <w:szCs w:val="32"/>
        </w:rPr>
      </w:pPr>
    </w:p>
    <w:p>
      <w:pPr>
        <w:spacing w:line="560" w:lineRule="exact"/>
        <w:rPr>
          <w:rFonts w:ascii="仿宋" w:hAnsi="仿宋" w:eastAsia="仿宋"/>
          <w:color w:val="000000"/>
          <w:sz w:val="24"/>
        </w:rPr>
      </w:pPr>
    </w:p>
    <w:p>
      <w:pPr>
        <w:spacing w:line="560" w:lineRule="exact"/>
        <w:rPr>
          <w:rFonts w:ascii="仿宋" w:hAnsi="仿宋" w:eastAsia="仿宋"/>
          <w:color w:val="000000"/>
          <w:sz w:val="24"/>
        </w:rPr>
      </w:pPr>
    </w:p>
    <w:p>
      <w:pPr>
        <w:spacing w:line="560" w:lineRule="exact"/>
        <w:jc w:val="left"/>
        <w:rPr>
          <w:rFonts w:ascii="仿宋" w:hAnsi="仿宋" w:eastAsia="仿宋"/>
          <w:color w:val="000000"/>
          <w:sz w:val="30"/>
          <w:szCs w:val="30"/>
        </w:rPr>
      </w:pPr>
    </w:p>
    <w:p>
      <w:pPr>
        <w:spacing w:line="560" w:lineRule="exact"/>
        <w:jc w:val="left"/>
        <w:rPr>
          <w:rFonts w:ascii="仿宋" w:hAnsi="仿宋" w:eastAsia="仿宋"/>
          <w:color w:val="000000"/>
          <w:sz w:val="30"/>
          <w:szCs w:val="30"/>
        </w:rPr>
      </w:pPr>
    </w:p>
    <w:p>
      <w:pPr>
        <w:spacing w:line="560" w:lineRule="exact"/>
        <w:ind w:firstLine="1350" w:firstLineChars="450"/>
        <w:jc w:val="left"/>
        <w:rPr>
          <w:rFonts w:ascii="仿宋" w:hAnsi="仿宋" w:eastAsia="仿宋"/>
          <w:color w:val="000000"/>
          <w:sz w:val="30"/>
          <w:szCs w:val="30"/>
        </w:rPr>
      </w:pPr>
      <w:r>
        <w:rPr>
          <w:rFonts w:hint="eastAsia" w:ascii="仿宋" w:hAnsi="仿宋" w:eastAsia="仿宋"/>
          <w:color w:val="000000"/>
          <w:sz w:val="30"/>
          <w:szCs w:val="30"/>
        </w:rPr>
        <w:t xml:space="preserve">买 </w:t>
      </w:r>
      <w:r>
        <w:rPr>
          <w:rFonts w:ascii="仿宋" w:hAnsi="仿宋" w:eastAsia="仿宋"/>
          <w:color w:val="000000"/>
          <w:sz w:val="30"/>
          <w:szCs w:val="30"/>
        </w:rPr>
        <w:t xml:space="preserve">   </w:t>
      </w:r>
      <w:r>
        <w:rPr>
          <w:rFonts w:hint="eastAsia" w:ascii="仿宋" w:hAnsi="仿宋" w:eastAsia="仿宋"/>
          <w:color w:val="000000"/>
          <w:sz w:val="30"/>
          <w:szCs w:val="30"/>
        </w:rPr>
        <w:t>方：</w:t>
      </w:r>
      <w:r>
        <w:rPr>
          <w:rFonts w:ascii="仿宋" w:hAnsi="仿宋" w:eastAsia="仿宋"/>
          <w:color w:val="000000"/>
          <w:sz w:val="30"/>
          <w:szCs w:val="30"/>
        </w:rPr>
        <w:t xml:space="preserve"> </w:t>
      </w:r>
    </w:p>
    <w:p>
      <w:pPr>
        <w:spacing w:line="560" w:lineRule="exact"/>
        <w:jc w:val="left"/>
        <w:rPr>
          <w:rFonts w:ascii="仿宋" w:hAnsi="仿宋" w:eastAsia="仿宋"/>
          <w:color w:val="000000"/>
          <w:sz w:val="30"/>
          <w:szCs w:val="30"/>
        </w:rPr>
      </w:pPr>
    </w:p>
    <w:p>
      <w:pPr>
        <w:spacing w:line="560" w:lineRule="exact"/>
        <w:ind w:firstLine="1350" w:firstLineChars="450"/>
        <w:jc w:val="left"/>
        <w:rPr>
          <w:rFonts w:ascii="仿宋" w:hAnsi="仿宋" w:eastAsia="仿宋"/>
          <w:color w:val="000000"/>
          <w:sz w:val="30"/>
          <w:szCs w:val="30"/>
        </w:rPr>
      </w:pPr>
      <w:r>
        <w:rPr>
          <w:rFonts w:hint="eastAsia" w:ascii="仿宋" w:hAnsi="仿宋" w:eastAsia="仿宋"/>
          <w:color w:val="000000"/>
          <w:sz w:val="30"/>
          <w:szCs w:val="30"/>
        </w:rPr>
        <w:t xml:space="preserve">卖  </w:t>
      </w:r>
      <w:r>
        <w:rPr>
          <w:rFonts w:ascii="仿宋" w:hAnsi="仿宋" w:eastAsia="仿宋"/>
          <w:color w:val="000000"/>
          <w:sz w:val="30"/>
          <w:szCs w:val="30"/>
        </w:rPr>
        <w:t xml:space="preserve">  </w:t>
      </w:r>
      <w:r>
        <w:rPr>
          <w:rFonts w:hint="eastAsia" w:ascii="仿宋" w:hAnsi="仿宋" w:eastAsia="仿宋"/>
          <w:color w:val="000000"/>
          <w:sz w:val="30"/>
          <w:szCs w:val="30"/>
        </w:rPr>
        <w:t>方：</w:t>
      </w:r>
      <w:r>
        <w:rPr>
          <w:rFonts w:ascii="仿宋" w:hAnsi="仿宋" w:eastAsia="仿宋"/>
          <w:color w:val="000000"/>
          <w:sz w:val="30"/>
          <w:szCs w:val="30"/>
        </w:rPr>
        <w:t xml:space="preserve"> </w:t>
      </w:r>
    </w:p>
    <w:p>
      <w:pPr>
        <w:spacing w:line="560" w:lineRule="exact"/>
        <w:ind w:firstLine="1350" w:firstLineChars="450"/>
        <w:jc w:val="left"/>
        <w:rPr>
          <w:rFonts w:ascii="仿宋" w:hAnsi="仿宋" w:eastAsia="仿宋"/>
          <w:color w:val="000000"/>
          <w:sz w:val="30"/>
          <w:szCs w:val="30"/>
        </w:rPr>
      </w:pPr>
    </w:p>
    <w:p>
      <w:pPr>
        <w:spacing w:line="560" w:lineRule="exact"/>
        <w:ind w:firstLine="1350" w:firstLineChars="450"/>
        <w:jc w:val="left"/>
        <w:rPr>
          <w:rFonts w:ascii="仿宋" w:hAnsi="仿宋" w:eastAsia="仿宋"/>
          <w:color w:val="000000"/>
          <w:sz w:val="30"/>
          <w:szCs w:val="30"/>
        </w:rPr>
      </w:pPr>
      <w:r>
        <w:rPr>
          <w:rFonts w:hint="eastAsia" w:ascii="仿宋" w:hAnsi="仿宋" w:eastAsia="仿宋"/>
          <w:color w:val="000000"/>
          <w:sz w:val="30"/>
          <w:szCs w:val="30"/>
        </w:rPr>
        <w:t>签约地点：新疆乌鲁木齐市</w:t>
      </w:r>
    </w:p>
    <w:p>
      <w:pPr>
        <w:spacing w:line="560" w:lineRule="exact"/>
        <w:ind w:firstLine="1350" w:firstLineChars="450"/>
        <w:jc w:val="left"/>
        <w:rPr>
          <w:rFonts w:ascii="仿宋" w:hAnsi="仿宋" w:eastAsia="仿宋"/>
          <w:color w:val="000000"/>
          <w:sz w:val="30"/>
          <w:szCs w:val="30"/>
        </w:rPr>
      </w:pPr>
    </w:p>
    <w:p>
      <w:pPr>
        <w:spacing w:line="560" w:lineRule="exact"/>
        <w:ind w:firstLine="1350" w:firstLineChars="450"/>
        <w:jc w:val="left"/>
        <w:rPr>
          <w:rFonts w:ascii="仿宋" w:hAnsi="仿宋" w:eastAsia="仿宋"/>
          <w:color w:val="000000"/>
          <w:sz w:val="30"/>
          <w:szCs w:val="30"/>
        </w:rPr>
      </w:pPr>
      <w:r>
        <w:rPr>
          <w:rFonts w:hint="eastAsia" w:ascii="仿宋" w:hAnsi="仿宋" w:eastAsia="仿宋"/>
          <w:color w:val="000000"/>
          <w:sz w:val="30"/>
          <w:szCs w:val="30"/>
        </w:rPr>
        <w:t>签约日期：</w:t>
      </w:r>
    </w:p>
    <w:p>
      <w:pPr>
        <w:spacing w:line="560" w:lineRule="exact"/>
        <w:ind w:firstLine="1350" w:firstLineChars="450"/>
        <w:jc w:val="left"/>
        <w:rPr>
          <w:rFonts w:ascii="仿宋" w:hAnsi="仿宋" w:eastAsia="仿宋"/>
          <w:color w:val="000000"/>
          <w:sz w:val="30"/>
          <w:szCs w:val="30"/>
        </w:rPr>
      </w:pPr>
    </w:p>
    <w:p>
      <w:pPr>
        <w:spacing w:line="560" w:lineRule="exact"/>
        <w:ind w:firstLine="1350" w:firstLineChars="450"/>
        <w:jc w:val="left"/>
        <w:rPr>
          <w:rFonts w:ascii="仿宋" w:hAnsi="仿宋" w:eastAsia="仿宋"/>
          <w:color w:val="000000"/>
          <w:sz w:val="30"/>
          <w:szCs w:val="30"/>
        </w:rPr>
      </w:pPr>
      <w:r>
        <w:rPr>
          <w:rFonts w:hint="eastAsia" w:ascii="仿宋" w:hAnsi="仿宋" w:eastAsia="仿宋"/>
          <w:color w:val="000000"/>
          <w:sz w:val="30"/>
          <w:szCs w:val="30"/>
        </w:rPr>
        <w:t>合同编号：</w:t>
      </w:r>
    </w:p>
    <w:p>
      <w:pPr>
        <w:spacing w:line="560" w:lineRule="exact"/>
        <w:rPr>
          <w:rFonts w:ascii="仿宋" w:hAnsi="仿宋" w:eastAsia="仿宋"/>
          <w:color w:val="000000"/>
          <w:sz w:val="24"/>
        </w:rPr>
      </w:pPr>
      <w:r>
        <w:rPr>
          <w:rFonts w:ascii="仿宋" w:hAnsi="仿宋" w:eastAsia="仿宋"/>
          <w:color w:val="000000"/>
          <w:sz w:val="30"/>
          <w:szCs w:val="30"/>
        </w:rPr>
        <w:br w:type="page"/>
      </w:r>
      <w:r>
        <w:rPr>
          <w:rFonts w:hint="eastAsia" w:ascii="仿宋" w:hAnsi="仿宋" w:eastAsia="仿宋"/>
          <w:color w:val="000000"/>
          <w:sz w:val="24"/>
        </w:rPr>
        <w:t>甲方（买方）：新疆医科大学附属肿瘤医院</w:t>
      </w:r>
    </w:p>
    <w:p>
      <w:pPr>
        <w:spacing w:line="520" w:lineRule="exact"/>
        <w:rPr>
          <w:rFonts w:ascii="仿宋" w:hAnsi="仿宋" w:eastAsia="仿宋"/>
          <w:color w:val="000000"/>
          <w:sz w:val="24"/>
        </w:rPr>
      </w:pPr>
      <w:r>
        <w:rPr>
          <w:rFonts w:hint="eastAsia" w:ascii="仿宋" w:hAnsi="仿宋" w:eastAsia="仿宋"/>
          <w:color w:val="000000"/>
          <w:sz w:val="24"/>
        </w:rPr>
        <w:t>地址：新疆乌鲁木齐市新市区苏州东街789号</w:t>
      </w:r>
    </w:p>
    <w:p>
      <w:pPr>
        <w:spacing w:line="520" w:lineRule="exact"/>
        <w:rPr>
          <w:rFonts w:ascii="仿宋" w:hAnsi="仿宋" w:eastAsia="仿宋"/>
          <w:color w:val="000000"/>
          <w:sz w:val="24"/>
        </w:rPr>
      </w:pPr>
      <w:r>
        <w:rPr>
          <w:rFonts w:hint="eastAsia" w:ascii="仿宋" w:hAnsi="仿宋" w:eastAsia="仿宋"/>
          <w:color w:val="000000"/>
          <w:sz w:val="24"/>
        </w:rPr>
        <w:t>电话：0991-7968132</w:t>
      </w:r>
    </w:p>
    <w:p>
      <w:pPr>
        <w:spacing w:line="520" w:lineRule="exact"/>
        <w:rPr>
          <w:rFonts w:ascii="仿宋" w:hAnsi="仿宋" w:eastAsia="仿宋"/>
          <w:color w:val="000000"/>
          <w:sz w:val="24"/>
        </w:rPr>
      </w:pPr>
    </w:p>
    <w:p>
      <w:pPr>
        <w:spacing w:line="520" w:lineRule="exact"/>
        <w:rPr>
          <w:rFonts w:ascii="仿宋" w:hAnsi="仿宋" w:eastAsia="仿宋"/>
          <w:color w:val="000000"/>
          <w:sz w:val="24"/>
        </w:rPr>
      </w:pPr>
      <w:r>
        <w:rPr>
          <w:rFonts w:hint="eastAsia" w:ascii="仿宋" w:hAnsi="仿宋" w:eastAsia="仿宋"/>
          <w:color w:val="000000"/>
          <w:sz w:val="24"/>
        </w:rPr>
        <w:t>乙方（卖</w:t>
      </w:r>
      <w:r>
        <w:rPr>
          <w:rFonts w:ascii="仿宋" w:hAnsi="仿宋" w:eastAsia="仿宋"/>
          <w:color w:val="000000"/>
          <w:sz w:val="24"/>
        </w:rPr>
        <w:t>方</w:t>
      </w:r>
      <w:r>
        <w:rPr>
          <w:rFonts w:hint="eastAsia" w:ascii="仿宋" w:hAnsi="仿宋" w:eastAsia="仿宋"/>
          <w:color w:val="000000"/>
          <w:sz w:val="24"/>
        </w:rPr>
        <w:t>）</w:t>
      </w:r>
      <w:r>
        <w:rPr>
          <w:rFonts w:ascii="仿宋" w:hAnsi="仿宋" w:eastAsia="仿宋"/>
          <w:color w:val="000000"/>
          <w:sz w:val="24"/>
        </w:rPr>
        <w:t>：</w:t>
      </w:r>
      <w:r>
        <w:rPr>
          <w:rFonts w:hint="eastAsia" w:ascii="仿宋" w:hAnsi="仿宋" w:eastAsia="仿宋"/>
          <w:color w:val="000000"/>
          <w:sz w:val="24"/>
          <w:u w:val="single"/>
        </w:rPr>
        <w:t xml:space="preserve">                     </w:t>
      </w:r>
    </w:p>
    <w:p>
      <w:pPr>
        <w:spacing w:line="520" w:lineRule="exact"/>
        <w:rPr>
          <w:rFonts w:ascii="仿宋" w:hAnsi="仿宋" w:eastAsia="仿宋"/>
          <w:color w:val="000000"/>
          <w:sz w:val="24"/>
        </w:rPr>
      </w:pPr>
      <w:r>
        <w:rPr>
          <w:rFonts w:hint="eastAsia" w:ascii="仿宋" w:hAnsi="仿宋" w:eastAsia="仿宋"/>
          <w:color w:val="000000"/>
          <w:sz w:val="24"/>
        </w:rPr>
        <w:t>地址：</w:t>
      </w:r>
      <w:r>
        <w:rPr>
          <w:rFonts w:hint="eastAsia" w:ascii="仿宋" w:hAnsi="仿宋" w:eastAsia="仿宋"/>
          <w:color w:val="000000"/>
          <w:sz w:val="24"/>
          <w:u w:val="single"/>
        </w:rPr>
        <w:t xml:space="preserve">                         </w:t>
      </w:r>
      <w:r>
        <w:rPr>
          <w:rFonts w:hint="eastAsia" w:ascii="仿宋" w:hAnsi="仿宋" w:eastAsia="仿宋"/>
          <w:color w:val="000000"/>
          <w:sz w:val="24"/>
        </w:rPr>
        <w:t xml:space="preserve"> </w:t>
      </w:r>
    </w:p>
    <w:p>
      <w:pPr>
        <w:spacing w:line="520" w:lineRule="exact"/>
        <w:rPr>
          <w:rFonts w:ascii="仿宋" w:hAnsi="仿宋" w:eastAsia="仿宋"/>
          <w:color w:val="000000"/>
          <w:sz w:val="24"/>
        </w:rPr>
      </w:pPr>
      <w:r>
        <w:rPr>
          <w:rFonts w:hint="eastAsia" w:ascii="仿宋" w:hAnsi="仿宋" w:eastAsia="仿宋"/>
          <w:color w:val="000000"/>
          <w:sz w:val="24"/>
        </w:rPr>
        <w:t>电话：</w:t>
      </w:r>
      <w:r>
        <w:rPr>
          <w:rFonts w:hint="eastAsia" w:ascii="仿宋" w:hAnsi="仿宋" w:eastAsia="仿宋"/>
          <w:color w:val="000000"/>
          <w:sz w:val="24"/>
          <w:u w:val="single"/>
        </w:rPr>
        <w:t xml:space="preserve">              </w:t>
      </w:r>
    </w:p>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新疆医科大学附属肿瘤医院（以下简称甲方）与</w:t>
      </w:r>
      <w:r>
        <w:rPr>
          <w:rFonts w:hint="eastAsia" w:ascii="仿宋" w:hAnsi="仿宋" w:eastAsia="仿宋"/>
          <w:color w:val="000000"/>
          <w:sz w:val="24"/>
          <w:u w:val="single"/>
        </w:rPr>
        <w:t xml:space="preserve">                    </w:t>
      </w:r>
      <w:r>
        <w:rPr>
          <w:rFonts w:hint="eastAsia" w:ascii="仿宋" w:hAnsi="仿宋" w:eastAsia="仿宋"/>
          <w:color w:val="000000"/>
          <w:sz w:val="24"/>
        </w:rPr>
        <w:t>（以下简称乙方）就（</w:t>
      </w:r>
      <w:r>
        <w:rPr>
          <w:rFonts w:hint="eastAsia" w:ascii="仿宋" w:hAnsi="仿宋" w:eastAsia="仿宋"/>
          <w:color w:val="000000"/>
          <w:sz w:val="24"/>
          <w:u w:val="single"/>
        </w:rPr>
        <w:t>招标项目编号）</w:t>
      </w:r>
      <w:r>
        <w:rPr>
          <w:rFonts w:hint="eastAsia" w:ascii="仿宋" w:hAnsi="仿宋" w:eastAsia="仿宋"/>
          <w:color w:val="000000"/>
          <w:sz w:val="24"/>
        </w:rPr>
        <w:t>项目采购事宜，根据《中华人民共和国政府采购法》、《中华人民共和国民法典》等规定，本着平等、自愿、互利、互惠的原则，经各方协商一致，订立本合同。</w:t>
      </w:r>
    </w:p>
    <w:p>
      <w:pPr>
        <w:spacing w:line="520" w:lineRule="exact"/>
        <w:ind w:firstLine="480" w:firstLineChars="200"/>
        <w:jc w:val="center"/>
        <w:rPr>
          <w:rFonts w:ascii="仿宋" w:hAnsi="仿宋" w:eastAsia="仿宋"/>
          <w:b/>
          <w:color w:val="000000"/>
          <w:sz w:val="24"/>
        </w:rPr>
      </w:pPr>
      <w:r>
        <w:rPr>
          <w:rFonts w:hint="eastAsia" w:ascii="仿宋" w:hAnsi="仿宋" w:eastAsia="仿宋"/>
          <w:b/>
          <w:color w:val="000000"/>
          <w:sz w:val="24"/>
        </w:rPr>
        <w:t>第一部分 通用条款</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在此供应的货物，乙方同意做如下保证</w:t>
      </w:r>
      <w:r>
        <w:rPr>
          <w:rFonts w:ascii="仿宋" w:hAnsi="仿宋" w:eastAsia="仿宋"/>
          <w:color w:val="000000"/>
          <w:sz w:val="24"/>
        </w:rPr>
        <w:t>:</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一、乙方供应的全部货物，必须在不涉及任何担保、留置权、专利权使用费的情况下，交付与本合同规定完全相同的货物。</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二、不能将甲方全部或部分付款看作是对有缺陷的工艺或不合格货物的认可。</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三、所供货物均须符合相应图纸和技术规范中的相关规定，并且不涉及到任何侵权行为或任何索赔。</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甲方未提出异议的，乙方仍应于货物质保期内承担保固责任。甲方对货物的验收手续仅仅证明乙方交货的行为，并不能免除乙方应当承担的货物质量责任。</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因乙方货物质量瑕疵原因导致甲方对其他第三方承担的违约金、损失赔偿等任何赔偿责任，甲方均有权将该赔偿责任转移给乙方，乙方对此无异议。</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五、甲方有要求乙方延迟一段合理时间再行交货的权利。</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六、除非甲方要求，乙方必须在本合同规定时间内进行交货。乙方同意偿付甲方可能因无法按照本合同约定时间进行交货而引起的所有额外的违约金、赔偿金以及其他费用。</w:t>
      </w:r>
      <w:r>
        <w:rPr>
          <w:rFonts w:ascii="仿宋" w:hAnsi="仿宋" w:eastAsia="仿宋"/>
          <w:color w:val="000000"/>
          <w:sz w:val="24"/>
        </w:rPr>
        <w:t xml:space="preserve"> </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七、在项目终止或甲方订立本合同所依据的本项目合同终止时，甲方经书面通知可解除本合同，此种情况不作违约处理。</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八、所有交付到甲方现场的货物必须附有交货单。签字的交货单必须附在所有发票上作为本合同付款的前提条件。</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九、所有交货费用均由乙方承担，乙方保证使甲方免于承担全部运费、快递费、保险费、装卸费、其他杂费以及由此带来的任何索赔，本合同专用条款有特别约定的，从特别约定。</w:t>
      </w:r>
      <w:r>
        <w:rPr>
          <w:rFonts w:ascii="仿宋" w:hAnsi="仿宋" w:eastAsia="仿宋"/>
          <w:color w:val="000000"/>
          <w:sz w:val="24"/>
        </w:rPr>
        <w:t xml:space="preserve"> </w:t>
      </w:r>
      <w:r>
        <w:rPr>
          <w:rFonts w:hint="eastAsia" w:ascii="仿宋" w:hAnsi="仿宋" w:eastAsia="仿宋"/>
          <w:color w:val="000000"/>
          <w:sz w:val="24"/>
        </w:rPr>
        <w:t xml:space="preserve">   </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十、乙方分批供应货物的，甲方有权对任何一批货物的数量进行抽查核实，如果实际数量与乙方所提供的数量有短缺的，则乙方此前所供货物的全部数量均应按本批货物短缺比例作相应减少计算。</w:t>
      </w:r>
      <w:r>
        <w:rPr>
          <w:rFonts w:ascii="仿宋" w:hAnsi="仿宋" w:eastAsia="仿宋"/>
          <w:color w:val="000000"/>
          <w:sz w:val="24"/>
        </w:rPr>
        <w:t xml:space="preserve"> </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一、因乙方所交货物的权利瑕疵、品质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十二、因乙方全部或部分违约导致双方发生的诉讼</w:t>
      </w:r>
      <w:r>
        <w:rPr>
          <w:rFonts w:ascii="仿宋" w:hAnsi="仿宋" w:eastAsia="仿宋"/>
          <w:color w:val="000000"/>
          <w:sz w:val="24"/>
        </w:rPr>
        <w:t>/</w:t>
      </w:r>
      <w:r>
        <w:rPr>
          <w:rFonts w:hint="eastAsia" w:ascii="仿宋" w:hAnsi="仿宋" w:eastAsia="仿宋"/>
          <w:color w:val="000000"/>
          <w:sz w:val="24"/>
        </w:rPr>
        <w:t>仲裁或甲方与第三方发生的诉讼</w:t>
      </w:r>
      <w:r>
        <w:rPr>
          <w:rFonts w:ascii="仿宋" w:hAnsi="仿宋" w:eastAsia="仿宋"/>
          <w:color w:val="000000"/>
          <w:sz w:val="24"/>
        </w:rPr>
        <w:t>/</w:t>
      </w:r>
      <w:r>
        <w:rPr>
          <w:rFonts w:hint="eastAsia" w:ascii="仿宋" w:hAnsi="仿宋" w:eastAsia="仿宋"/>
          <w:color w:val="000000"/>
          <w:sz w:val="24"/>
        </w:rPr>
        <w:t>仲裁，乙方同意承担甲方因此而支出的全部诉讼费、律师费、调查费、交通费及其他合理费用。</w:t>
      </w:r>
      <w:r>
        <w:rPr>
          <w:rFonts w:ascii="仿宋" w:hAnsi="仿宋" w:eastAsia="仿宋"/>
          <w:color w:val="000000"/>
          <w:sz w:val="24"/>
        </w:rPr>
        <w:t xml:space="preserve"> </w:t>
      </w:r>
      <w:r>
        <w:rPr>
          <w:rFonts w:hint="eastAsia" w:ascii="仿宋" w:hAnsi="仿宋" w:eastAsia="仿宋"/>
          <w:color w:val="000000"/>
          <w:sz w:val="24"/>
        </w:rPr>
        <w:t xml:space="preserve">   </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十三、未经甲方书面同意，乙方不得将本合同的工作内容全部或部分转让给任何第三人。</w:t>
      </w:r>
      <w:r>
        <w:rPr>
          <w:rFonts w:ascii="仿宋" w:hAnsi="仿宋" w:eastAsia="仿宋"/>
          <w:color w:val="000000"/>
          <w:sz w:val="24"/>
        </w:rPr>
        <w:t xml:space="preserve"> </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十四、乙方声明、陈述和保证其是合法设立并有效存续的独立法人，其授权代表已获得法人授权可代表其签署合同。</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十五、甲方作为提供本合同的一方，已经郑重提醒乙方注意本合同的所有条款，并且甲方已经按照乙方的要求，对每一条款均予以了说明。本合同通用条款与专用条款约定不一致的，应以专用条款约定为准。</w:t>
      </w:r>
    </w:p>
    <w:p>
      <w:pPr>
        <w:spacing w:line="520" w:lineRule="exact"/>
        <w:ind w:firstLine="480" w:firstLineChars="200"/>
        <w:jc w:val="center"/>
        <w:rPr>
          <w:rFonts w:ascii="仿宋" w:hAnsi="仿宋" w:eastAsia="仿宋"/>
          <w:b/>
          <w:color w:val="000000"/>
          <w:sz w:val="24"/>
        </w:rPr>
      </w:pPr>
      <w:r>
        <w:rPr>
          <w:rFonts w:hint="eastAsia" w:ascii="仿宋" w:hAnsi="仿宋" w:eastAsia="仿宋"/>
          <w:b/>
          <w:color w:val="000000"/>
          <w:sz w:val="24"/>
        </w:rPr>
        <w:t>第二部分 专用条款</w:t>
      </w:r>
    </w:p>
    <w:p>
      <w:pPr>
        <w:spacing w:line="520" w:lineRule="exact"/>
        <w:ind w:firstLine="360" w:firstLineChars="150"/>
        <w:jc w:val="left"/>
        <w:rPr>
          <w:rFonts w:ascii="仿宋" w:hAnsi="仿宋" w:eastAsia="仿宋"/>
          <w:b/>
          <w:color w:val="000000"/>
          <w:sz w:val="24"/>
        </w:rPr>
      </w:pPr>
      <w:r>
        <w:rPr>
          <w:rFonts w:hint="eastAsia" w:ascii="仿宋" w:hAnsi="仿宋" w:eastAsia="仿宋"/>
          <w:b/>
          <w:color w:val="000000"/>
          <w:sz w:val="24"/>
        </w:rPr>
        <w:t>一、</w:t>
      </w:r>
      <w:r>
        <w:rPr>
          <w:rFonts w:ascii="仿宋" w:hAnsi="仿宋" w:eastAsia="仿宋"/>
          <w:b/>
          <w:color w:val="000000"/>
          <w:sz w:val="24"/>
        </w:rPr>
        <w:t xml:space="preserve"> </w:t>
      </w:r>
      <w:r>
        <w:rPr>
          <w:rFonts w:hint="eastAsia" w:ascii="仿宋" w:hAnsi="仿宋" w:eastAsia="仿宋"/>
          <w:b/>
          <w:color w:val="000000"/>
          <w:sz w:val="24"/>
        </w:rPr>
        <w:t>合同标的</w:t>
      </w:r>
      <w:r>
        <w:rPr>
          <w:rFonts w:ascii="仿宋" w:hAnsi="仿宋" w:eastAsia="仿宋"/>
          <w:b/>
          <w:color w:val="000000"/>
          <w:sz w:val="24"/>
        </w:rPr>
        <w:t xml:space="preserve"> </w:t>
      </w:r>
    </w:p>
    <w:p>
      <w:pPr>
        <w:spacing w:line="520" w:lineRule="exact"/>
        <w:ind w:firstLine="360" w:firstLineChars="150"/>
        <w:jc w:val="left"/>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、货物</w:t>
      </w:r>
      <w:r>
        <w:rPr>
          <w:rFonts w:ascii="仿宋" w:hAnsi="仿宋" w:eastAsia="仿宋"/>
          <w:color w:val="000000"/>
          <w:sz w:val="24"/>
        </w:rPr>
        <w:t xml:space="preserve"> </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注</w:t>
      </w:r>
      <w:r>
        <w:rPr>
          <w:rFonts w:ascii="仿宋" w:hAnsi="仿宋" w:eastAsia="仿宋"/>
          <w:color w:val="000000"/>
          <w:sz w:val="24"/>
        </w:rPr>
        <w:t>:</w:t>
      </w:r>
      <w:r>
        <w:rPr>
          <w:rFonts w:hint="eastAsia" w:ascii="仿宋" w:hAnsi="仿宋" w:eastAsia="仿宋"/>
          <w:color w:val="000000"/>
          <w:sz w:val="24"/>
        </w:rPr>
        <w:t>乙方应保证，甲方在中华人民共和国使用该货物或货物的任何一部分时，免受第三方提出的侵犯其专利权、商标权、工业设计权或其他知识产权的起诉。</w:t>
      </w:r>
    </w:p>
    <w:p>
      <w:pPr>
        <w:spacing w:line="520" w:lineRule="exact"/>
        <w:ind w:firstLine="480" w:firstLineChars="200"/>
        <w:jc w:val="left"/>
        <w:rPr>
          <w:rFonts w:ascii="仿宋" w:hAnsi="仿宋" w:eastAsia="仿宋"/>
          <w:color w:val="000000"/>
          <w:sz w:val="24"/>
        </w:rPr>
      </w:pPr>
      <w:r>
        <w:rPr>
          <w:rFonts w:hint="eastAsia" w:ascii="仿宋" w:hAnsi="仿宋" w:eastAsia="仿宋"/>
          <w:color w:val="000000"/>
          <w:sz w:val="24"/>
        </w:rPr>
        <w:t>2、数量及价格：详细技术要求见附件</w:t>
      </w:r>
    </w:p>
    <w:tbl>
      <w:tblPr>
        <w:tblStyle w:val="19"/>
        <w:tblW w:w="87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
        <w:gridCol w:w="1068"/>
        <w:gridCol w:w="1307"/>
        <w:gridCol w:w="992"/>
        <w:gridCol w:w="992"/>
        <w:gridCol w:w="709"/>
        <w:gridCol w:w="567"/>
        <w:gridCol w:w="1134"/>
        <w:gridCol w:w="1133"/>
        <w:gridCol w:w="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仿宋" w:hAnsi="仿宋" w:eastAsia="仿宋"/>
                <w:color w:val="000000"/>
                <w:szCs w:val="21"/>
              </w:rPr>
            </w:pPr>
            <w:r>
              <w:rPr>
                <w:rFonts w:hint="eastAsia" w:ascii="仿宋" w:hAnsi="仿宋" w:eastAsia="仿宋"/>
                <w:color w:val="000000"/>
                <w:szCs w:val="21"/>
              </w:rPr>
              <w:t>序号</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物品名称</w:t>
            </w:r>
          </w:p>
        </w:tc>
        <w:tc>
          <w:tcPr>
            <w:tcW w:w="130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生产厂家或</w:t>
            </w:r>
          </w:p>
          <w:p>
            <w:pPr>
              <w:spacing w:line="520" w:lineRule="exact"/>
              <w:jc w:val="center"/>
              <w:rPr>
                <w:rFonts w:ascii="仿宋" w:hAnsi="仿宋" w:eastAsia="仿宋"/>
                <w:color w:val="000000"/>
                <w:szCs w:val="21"/>
              </w:rPr>
            </w:pPr>
            <w:r>
              <w:rPr>
                <w:rFonts w:hint="eastAsia" w:ascii="仿宋" w:hAnsi="仿宋" w:eastAsia="仿宋"/>
                <w:color w:val="000000"/>
                <w:szCs w:val="21"/>
              </w:rPr>
              <w:t>品牌</w:t>
            </w:r>
          </w:p>
        </w:tc>
        <w:tc>
          <w:tcPr>
            <w:tcW w:w="99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规格</w:t>
            </w:r>
          </w:p>
          <w:p>
            <w:pPr>
              <w:spacing w:line="520" w:lineRule="exact"/>
              <w:jc w:val="center"/>
              <w:rPr>
                <w:rFonts w:ascii="仿宋" w:hAnsi="仿宋" w:eastAsia="仿宋"/>
                <w:color w:val="000000"/>
                <w:szCs w:val="21"/>
              </w:rPr>
            </w:pPr>
            <w:r>
              <w:rPr>
                <w:rFonts w:hint="eastAsia" w:ascii="仿宋" w:hAnsi="仿宋" w:eastAsia="仿宋"/>
                <w:color w:val="000000"/>
                <w:szCs w:val="21"/>
              </w:rPr>
              <w:t>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技术</w:t>
            </w:r>
          </w:p>
          <w:p>
            <w:pPr>
              <w:spacing w:line="520" w:lineRule="exact"/>
              <w:jc w:val="center"/>
              <w:rPr>
                <w:rFonts w:ascii="仿宋" w:hAnsi="仿宋" w:eastAsia="仿宋"/>
                <w:color w:val="000000"/>
                <w:szCs w:val="21"/>
              </w:rPr>
            </w:pPr>
            <w:r>
              <w:rPr>
                <w:rFonts w:hint="eastAsia" w:ascii="仿宋" w:hAnsi="仿宋" w:eastAsia="仿宋"/>
                <w:color w:val="000000"/>
                <w:szCs w:val="21"/>
              </w:rPr>
              <w:t>参数</w:t>
            </w:r>
          </w:p>
        </w:tc>
        <w:tc>
          <w:tcPr>
            <w:tcW w:w="70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单位</w:t>
            </w:r>
          </w:p>
        </w:tc>
        <w:tc>
          <w:tcPr>
            <w:tcW w:w="56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含税单价</w:t>
            </w:r>
          </w:p>
          <w:p>
            <w:pPr>
              <w:spacing w:line="520" w:lineRule="exact"/>
              <w:jc w:val="center"/>
              <w:rPr>
                <w:rFonts w:ascii="仿宋" w:hAnsi="仿宋" w:eastAsia="仿宋"/>
                <w:color w:val="000000"/>
                <w:szCs w:val="21"/>
              </w:rPr>
            </w:pPr>
            <w:r>
              <w:rPr>
                <w:rFonts w:hint="eastAsia" w:ascii="仿宋" w:hAnsi="仿宋" w:eastAsia="仿宋"/>
                <w:color w:val="000000"/>
                <w:szCs w:val="21"/>
              </w:rPr>
              <w:t>(元)</w:t>
            </w:r>
          </w:p>
        </w:tc>
        <w:tc>
          <w:tcPr>
            <w:tcW w:w="113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合计金额</w:t>
            </w:r>
          </w:p>
          <w:p>
            <w:pPr>
              <w:spacing w:line="520" w:lineRule="exact"/>
              <w:jc w:val="center"/>
              <w:rPr>
                <w:rFonts w:ascii="仿宋" w:hAnsi="仿宋" w:eastAsia="仿宋"/>
                <w:color w:val="000000"/>
                <w:szCs w:val="21"/>
              </w:rPr>
            </w:pPr>
            <w:r>
              <w:rPr>
                <w:rFonts w:hint="eastAsia" w:ascii="仿宋" w:hAnsi="仿宋" w:eastAsia="仿宋"/>
                <w:color w:val="000000"/>
                <w:szCs w:val="21"/>
              </w:rPr>
              <w:t>（元）</w:t>
            </w:r>
          </w:p>
        </w:tc>
        <w:tc>
          <w:tcPr>
            <w:tcW w:w="42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仿宋" w:hAnsi="仿宋" w:eastAsia="仿宋"/>
                <w:color w:val="000000"/>
                <w:sz w:val="24"/>
              </w:rPr>
            </w:pPr>
            <w:r>
              <w:rPr>
                <w:rFonts w:hint="eastAsia" w:ascii="仿宋" w:hAnsi="仿宋" w:eastAsia="仿宋"/>
                <w:color w:val="000000"/>
                <w:sz w:val="24"/>
              </w:rPr>
              <w:t>1</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755" w:type="dxa"/>
            <w:gridSpan w:val="10"/>
            <w:tcBorders>
              <w:top w:val="single" w:color="auto" w:sz="4" w:space="0"/>
              <w:left w:val="single" w:color="auto" w:sz="4" w:space="0"/>
              <w:bottom w:val="single" w:color="auto" w:sz="4" w:space="0"/>
              <w:right w:val="single" w:color="auto" w:sz="4" w:space="0"/>
            </w:tcBorders>
            <w:vAlign w:val="center"/>
          </w:tcPr>
          <w:p>
            <w:pPr>
              <w:spacing w:line="520" w:lineRule="exact"/>
              <w:ind w:firstLine="120" w:firstLineChars="50"/>
              <w:jc w:val="center"/>
              <w:rPr>
                <w:rFonts w:ascii="仿宋" w:hAnsi="仿宋" w:eastAsia="仿宋"/>
                <w:color w:val="000000"/>
                <w:sz w:val="24"/>
              </w:rPr>
            </w:pPr>
            <w:r>
              <w:rPr>
                <w:rFonts w:hint="eastAsia" w:ascii="仿宋" w:hAnsi="仿宋" w:eastAsia="仿宋"/>
                <w:color w:val="000000"/>
                <w:sz w:val="24"/>
              </w:rPr>
              <w:t>总计：人民币（大写）元整                  小写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755" w:type="dxa"/>
            <w:gridSpan w:val="10"/>
            <w:tcBorders>
              <w:top w:val="single" w:color="auto" w:sz="4" w:space="0"/>
              <w:left w:val="single" w:color="auto" w:sz="4" w:space="0"/>
              <w:bottom w:val="single" w:color="auto" w:sz="4" w:space="0"/>
              <w:right w:val="single" w:color="auto" w:sz="4" w:space="0"/>
            </w:tcBorders>
            <w:vAlign w:val="center"/>
          </w:tcPr>
          <w:p>
            <w:pPr>
              <w:spacing w:line="520" w:lineRule="exact"/>
              <w:ind w:firstLine="120" w:firstLineChars="50"/>
              <w:rPr>
                <w:rFonts w:ascii="仿宋" w:hAnsi="仿宋" w:eastAsia="仿宋"/>
                <w:color w:val="000000"/>
                <w:sz w:val="24"/>
              </w:rPr>
            </w:pPr>
            <w:r>
              <w:rPr>
                <w:rFonts w:hint="eastAsia" w:ascii="仿宋" w:hAnsi="仿宋" w:eastAsia="仿宋"/>
                <w:color w:val="000000"/>
                <w:sz w:val="24"/>
              </w:rPr>
              <w:t>说明：含运输费、装卸费、技术指导、含增值税</w:t>
            </w:r>
          </w:p>
        </w:tc>
      </w:tr>
    </w:tbl>
    <w:p>
      <w:pPr>
        <w:spacing w:line="520" w:lineRule="exact"/>
        <w:ind w:firstLine="480" w:firstLineChars="200"/>
        <w:jc w:val="left"/>
        <w:rPr>
          <w:rFonts w:ascii="仿宋" w:hAnsi="仿宋" w:eastAsia="仿宋"/>
          <w:color w:val="000000"/>
          <w:sz w:val="24"/>
        </w:rPr>
      </w:pPr>
      <w:r>
        <w:rPr>
          <w:rFonts w:hint="eastAsia" w:ascii="仿宋" w:hAnsi="仿宋" w:eastAsia="仿宋"/>
          <w:color w:val="000000"/>
          <w:sz w:val="24"/>
        </w:rPr>
        <w:t>3、合同总价为人民币大写：</w:t>
      </w:r>
      <w:r>
        <w:rPr>
          <w:rFonts w:hint="eastAsia" w:ascii="仿宋" w:hAnsi="仿宋" w:eastAsia="仿宋"/>
          <w:color w:val="000000"/>
          <w:sz w:val="24"/>
          <w:u w:val="single"/>
        </w:rPr>
        <w:t xml:space="preserve">            万元</w:t>
      </w:r>
      <w:r>
        <w:rPr>
          <w:rFonts w:hint="eastAsia" w:ascii="仿宋" w:hAnsi="仿宋" w:eastAsia="仿宋"/>
          <w:color w:val="000000"/>
          <w:sz w:val="24"/>
        </w:rPr>
        <w:t>整（小写：</w:t>
      </w:r>
      <w:r>
        <w:rPr>
          <w:rFonts w:eastAsia="仿宋" w:cs="Calibri"/>
          <w:color w:val="000000"/>
          <w:sz w:val="24"/>
        </w:rPr>
        <w:t>¥</w:t>
      </w:r>
      <w:r>
        <w:rPr>
          <w:rFonts w:ascii="仿宋" w:hAnsi="仿宋" w:eastAsia="仿宋"/>
          <w:color w:val="000000"/>
          <w:sz w:val="24"/>
          <w:u w:val="single"/>
        </w:rPr>
        <w:t xml:space="preserve"> </w:t>
      </w:r>
      <w:r>
        <w:rPr>
          <w:rFonts w:hint="eastAsia" w:ascii="仿宋" w:hAnsi="仿宋" w:eastAsia="仿宋"/>
          <w:color w:val="000000"/>
          <w:sz w:val="24"/>
          <w:u w:val="single"/>
        </w:rPr>
        <w:t xml:space="preserve">  </w:t>
      </w:r>
      <w:r>
        <w:rPr>
          <w:rFonts w:hint="eastAsia" w:ascii="仿宋" w:hAnsi="仿宋" w:eastAsia="仿宋"/>
          <w:color w:val="000000"/>
          <w:sz w:val="24"/>
        </w:rPr>
        <w:t xml:space="preserve">元），包含增值税。合同价格已包括货物供给、货物包装、运输费、安装费、调试、装卸费和保险等的全部费用及相关税费。乙方应保证甲方除支付合同约定货款之外无需再行支付其他任何费用和款项。 </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4、价格清单表是基于乙方在完全理解本项目材料所需为前提，同时甲方对清单中的名称、规格、材质及数量等没有校对的义务，乙方在合同有效期内不得对清单的综合费用提出任何费用的增加。</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二、质量保证</w:t>
      </w:r>
    </w:p>
    <w:p>
      <w:pPr>
        <w:spacing w:line="520" w:lineRule="exact"/>
        <w:ind w:firstLine="360" w:firstLineChars="15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产品质量标准（含环保标准）：执行最新国家及行业标准、国家和地方行政主管部门的有关规定。没有国家和行业标准以及国家和地方行政主管部门的有关规定，按照甲方验收标准或者符合合同目的的特定标准履行。</w:t>
      </w:r>
    </w:p>
    <w:p>
      <w:pPr>
        <w:spacing w:line="520" w:lineRule="exact"/>
        <w:ind w:firstLine="360" w:firstLineChars="1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、乙方保证本合同货物是全新的、未使用过的，</w:t>
      </w:r>
      <w:r>
        <w:rPr>
          <w:rFonts w:hint="eastAsia" w:ascii="仿宋" w:hAnsi="仿宋" w:eastAsia="仿宋"/>
          <w:color w:val="000000"/>
          <w:sz w:val="28"/>
        </w:rPr>
        <w:t>并</w:t>
      </w:r>
      <w:r>
        <w:rPr>
          <w:rFonts w:hint="eastAsia" w:ascii="仿宋" w:hAnsi="仿宋" w:eastAsia="仿宋"/>
          <w:color w:val="000000"/>
          <w:sz w:val="24"/>
        </w:rPr>
        <w:t>符合国家技术规格和国家质量标准的出厂原装合格产品，产品型号、数量、规格及技术、质量标准、售后服务必须满足甲方和自治区政府采购合同定点采购要求。</w:t>
      </w:r>
    </w:p>
    <w:p>
      <w:pPr>
        <w:spacing w:line="520" w:lineRule="exact"/>
        <w:ind w:firstLine="360" w:firstLineChars="15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、乙方的安装调试人员有义务对甲方的设备维修人员及使用人员进行免费培训，确保维修人员能对设备进行日常维护和一般性故障的查找及故障的排除，确保使用人员能够熟练掌握设备的各项功能和操作。</w:t>
      </w:r>
    </w:p>
    <w:p>
      <w:pPr>
        <w:spacing w:line="520" w:lineRule="exact"/>
        <w:ind w:firstLine="360" w:firstLineChars="150"/>
        <w:rPr>
          <w:rFonts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乙方保证所提供的本合同标的物必须符合本合同约定的“质量标准”，达到产品各项性能指标和参数，并保证其销售的产品不存在有造成甲方或任何第三人人身财产损害的现实或潜在的危险以及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三、质量保证期</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1、合同内货物质保期为</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，质保期自甲方书面验收合格后，乙方开具发票之日起计算。具体质保期以相关产品生产厂家提供的质保期为准。生产厂家提供的质保期少于</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，的，以</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，为准；生产厂家提供的质保期长于</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的，以生产厂家提供的质保期为准。在质量保证期内，因产品质量出现问题，乙方负责免费维修或更换新机，并承担与维修和更换相关的运费、安装、调试、保险等一切费用。超过质保期后只收取更换部件成本费用，不收取服务费。</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2、质保期内，如产品发生质量问题，乙方应及时内到场进行维修。乙方接到甲方通知后未依照约定时间到场的，甲方有权另行聘请专业人员进行维修，产生的合理费用在质保金中予以扣除，不足部分，乙方应予以补足。</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四、交货时间、地点</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1、乙方于合同签订后</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，日内将货物送达至以下指定地点：</w:t>
      </w:r>
      <w:r>
        <w:rPr>
          <w:rFonts w:hint="eastAsia" w:ascii="仿宋" w:hAnsi="仿宋" w:eastAsia="仿宋"/>
          <w:color w:val="000000"/>
          <w:sz w:val="24"/>
          <w:u w:val="single"/>
        </w:rPr>
        <w:t>新疆医科大学附属肿瘤医院</w:t>
      </w:r>
      <w:r>
        <w:rPr>
          <w:rFonts w:hint="eastAsia" w:ascii="仿宋" w:hAnsi="仿宋" w:eastAsia="仿宋"/>
          <w:color w:val="000000"/>
          <w:sz w:val="24"/>
        </w:rPr>
        <w:t>，并确保在甲方要求的时间内配合甲方完成验收工作。</w:t>
      </w:r>
    </w:p>
    <w:p>
      <w:pPr>
        <w:spacing w:line="520" w:lineRule="exact"/>
        <w:ind w:firstLine="360" w:firstLineChars="150"/>
        <w:rPr>
          <w:rFonts w:ascii="仿宋" w:hAnsi="仿宋" w:eastAsia="仿宋"/>
          <w:color w:val="000000"/>
          <w:sz w:val="24"/>
          <w:u w:val="single"/>
        </w:rPr>
      </w:pPr>
      <w:r>
        <w:rPr>
          <w:rFonts w:hint="eastAsia" w:ascii="仿宋" w:hAnsi="仿宋" w:eastAsia="仿宋"/>
          <w:color w:val="000000"/>
          <w:sz w:val="24"/>
        </w:rPr>
        <w:t>2、到货地点和接货单位（或接货人</w:t>
      </w:r>
      <w:r>
        <w:rPr>
          <w:rFonts w:hint="eastAsia" w:ascii="仿宋" w:hAnsi="仿宋" w:eastAsia="仿宋"/>
          <w:color w:val="000000"/>
          <w:sz w:val="24"/>
          <w:u w:val="single"/>
        </w:rPr>
        <w:t>）           _</w:t>
      </w:r>
      <w:r>
        <w:rPr>
          <w:rFonts w:hint="eastAsia" w:ascii="仿宋" w:hAnsi="仿宋" w:eastAsia="仿宋"/>
          <w:color w:val="000000"/>
          <w:sz w:val="24"/>
        </w:rPr>
        <w:t>。甲方指定的联系人为：姓名：</w:t>
      </w:r>
      <w:r>
        <w:rPr>
          <w:rFonts w:hint="eastAsia" w:ascii="仿宋" w:hAnsi="仿宋" w:eastAsia="仿宋"/>
          <w:color w:val="000000"/>
          <w:sz w:val="24"/>
          <w:u w:val="single"/>
        </w:rPr>
        <w:t>戴姗姗</w:t>
      </w:r>
      <w:r>
        <w:rPr>
          <w:rFonts w:hint="eastAsia" w:ascii="仿宋" w:hAnsi="仿宋" w:eastAsia="仿宋"/>
          <w:color w:val="000000"/>
          <w:sz w:val="24"/>
        </w:rPr>
        <w:t>，电话号码：</w:t>
      </w:r>
      <w:r>
        <w:rPr>
          <w:rFonts w:hint="eastAsia" w:ascii="仿宋" w:hAnsi="仿宋" w:eastAsia="仿宋"/>
          <w:color w:val="000000"/>
          <w:sz w:val="24"/>
          <w:u w:val="single"/>
        </w:rPr>
        <w:t xml:space="preserve">15699199639 </w:t>
      </w:r>
      <w:r>
        <w:rPr>
          <w:rFonts w:hint="eastAsia" w:ascii="仿宋" w:hAnsi="仿宋" w:eastAsia="仿宋"/>
          <w:color w:val="000000"/>
          <w:sz w:val="24"/>
        </w:rPr>
        <w:t>；双方明确，除该指定联系人外，其他任何人员（包括甲方的其他任何工作人员）签署的接货单，甲方均不予认可。若由于物流原因须直接发货至医院的，物流公司联系人为乙方，甲方不与物流直接对接并收货。</w:t>
      </w:r>
    </w:p>
    <w:p>
      <w:pPr>
        <w:spacing w:line="520" w:lineRule="exact"/>
        <w:rPr>
          <w:rFonts w:ascii="仿宋" w:hAnsi="仿宋" w:eastAsia="仿宋"/>
          <w:color w:val="000000"/>
          <w:sz w:val="24"/>
        </w:rPr>
      </w:pPr>
      <w:r>
        <w:rPr>
          <w:rFonts w:hint="eastAsia" w:ascii="仿宋" w:hAnsi="仿宋" w:eastAsia="仿宋"/>
          <w:color w:val="000000"/>
          <w:sz w:val="24"/>
        </w:rPr>
        <w:t xml:space="preserve">   3、在交付时，乙方必须对货物进行消杀并向甲方提供质量合格证书、技术资料（操作、维修、保养）、保修凭证等一切相关资料及配件，否则，甲方有权不予付款且不承担违约责任。</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4、货物交付完成且经甲方验收合格前，本合同项下商品的损毁灭失风险由乙方承担，货物交付完成且经甲方验收合格后，商品的所有权及损毁灭失风险转移至甲方。</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五、产品包装及运输</w:t>
      </w:r>
    </w:p>
    <w:p>
      <w:pPr>
        <w:tabs>
          <w:tab w:val="left" w:pos="1560"/>
        </w:tabs>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１、包装必须与运输方式相适应，包装方式的确定和包装费用均由乙方负责</w:t>
      </w:r>
      <w:r>
        <w:rPr>
          <w:rFonts w:ascii="仿宋" w:hAnsi="仿宋" w:eastAsia="仿宋" w:cs="Bookman Old Style"/>
          <w:bCs/>
          <w:color w:val="000000"/>
          <w:sz w:val="24"/>
        </w:rPr>
        <w:t>;</w:t>
      </w:r>
      <w:r>
        <w:rPr>
          <w:rFonts w:hint="eastAsia" w:ascii="仿宋" w:hAnsi="仿宋" w:eastAsia="仿宋" w:cs="Bookman Old Style"/>
          <w:bCs/>
          <w:color w:val="000000"/>
          <w:sz w:val="24"/>
        </w:rPr>
        <w:t>由于不适当的包装而造成的货物有任何的损坏由乙方负责。</w:t>
      </w:r>
      <w:r>
        <w:rPr>
          <w:rFonts w:ascii="仿宋" w:hAnsi="仿宋" w:eastAsia="仿宋" w:cs="Bookman Old Style"/>
          <w:bCs/>
          <w:color w:val="000000"/>
          <w:sz w:val="24"/>
        </w:rPr>
        <w:t xml:space="preserve"> </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w:t>
      </w:r>
      <w:r>
        <w:rPr>
          <w:rFonts w:ascii="仿宋" w:hAnsi="仿宋" w:eastAsia="仿宋" w:cs="Bookman Old Style"/>
          <w:bCs/>
          <w:color w:val="000000"/>
          <w:sz w:val="24"/>
        </w:rPr>
        <w:t xml:space="preserve"> </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3、包装费、运输费、装卸费和保险费均已包含在合同单价内。</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4、运输途中的货物安全问题均由乙方负责。</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b/>
          <w:color w:val="000000"/>
          <w:sz w:val="24"/>
        </w:rPr>
        <w:t>六、验收</w:t>
      </w:r>
    </w:p>
    <w:p>
      <w:pPr>
        <w:spacing w:line="520" w:lineRule="exact"/>
        <w:ind w:firstLine="360" w:firstLineChars="15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在交货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p>
    <w:p>
      <w:pPr>
        <w:spacing w:line="520" w:lineRule="exact"/>
        <w:ind w:firstLine="360" w:firstLineChars="1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、数量</w:t>
      </w:r>
      <w:r>
        <w:rPr>
          <w:rFonts w:ascii="仿宋" w:hAnsi="仿宋" w:eastAsia="仿宋"/>
          <w:color w:val="000000"/>
          <w:sz w:val="24"/>
        </w:rPr>
        <w:t>:</w:t>
      </w:r>
      <w:r>
        <w:rPr>
          <w:rFonts w:hint="eastAsia" w:ascii="仿宋" w:hAnsi="仿宋" w:eastAsia="仿宋"/>
          <w:color w:val="000000"/>
          <w:sz w:val="24"/>
        </w:rPr>
        <w:t>提货验收或按乙方发货结算单验收。</w:t>
      </w:r>
    </w:p>
    <w:p>
      <w:pPr>
        <w:spacing w:line="520" w:lineRule="exact"/>
        <w:ind w:firstLine="360" w:firstLineChars="15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如果在合同规定的质量保证期内，发现货物的质量或规格与合同规定不符，或货物有缺陷，包括内在隐蔽瑕疵或使用不合适的原材料或不科学的设计等，甲方有权根据质量保证条款向乙方主张质保责任，并在乙方构成违约或侵权时主张索赔。</w:t>
      </w:r>
    </w:p>
    <w:p>
      <w:pPr>
        <w:spacing w:line="520" w:lineRule="exact"/>
        <w:ind w:firstLine="360" w:firstLineChars="150"/>
        <w:rPr>
          <w:rFonts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5、乙方交货并保证货物出厂无瑕疵，经甲方验收合格后进入保修期。</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七、售后服务</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1、上述产品的免费保修期为交货并验收合格后</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；免费更换时间为交货并验收合格后30天；</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2、乙方应提供国内（包括新疆地区）维修站（地址）：</w:t>
      </w:r>
      <w:r>
        <w:rPr>
          <w:rFonts w:hint="eastAsia" w:ascii="仿宋" w:hAnsi="仿宋" w:eastAsia="仿宋"/>
          <w:color w:val="000000"/>
          <w:sz w:val="24"/>
          <w:u w:val="single"/>
        </w:rPr>
        <w:t xml:space="preserve">                        </w:t>
      </w:r>
      <w:r>
        <w:rPr>
          <w:rFonts w:hint="eastAsia" w:ascii="仿宋" w:hAnsi="仿宋" w:eastAsia="仿宋"/>
          <w:color w:val="000000"/>
          <w:sz w:val="24"/>
        </w:rPr>
        <w:t>，售后服务联系人：</w:t>
      </w:r>
      <w:r>
        <w:rPr>
          <w:rFonts w:hint="eastAsia" w:ascii="仿宋" w:hAnsi="仿宋" w:eastAsia="仿宋"/>
          <w:color w:val="000000"/>
          <w:sz w:val="24"/>
          <w:u w:val="single"/>
        </w:rPr>
        <w:t xml:space="preserve">           </w:t>
      </w:r>
      <w:r>
        <w:rPr>
          <w:rFonts w:hint="eastAsia" w:ascii="仿宋" w:hAnsi="仿宋" w:eastAsia="仿宋"/>
          <w:color w:val="000000"/>
          <w:sz w:val="24"/>
        </w:rPr>
        <w:t xml:space="preserve"> ，联系电话：</w:t>
      </w:r>
      <w:r>
        <w:rPr>
          <w:rFonts w:hint="eastAsia" w:ascii="仿宋" w:hAnsi="仿宋" w:eastAsia="仿宋"/>
          <w:color w:val="000000"/>
          <w:sz w:val="24"/>
          <w:u w:val="single"/>
        </w:rPr>
        <w:t xml:space="preserve">           </w:t>
      </w:r>
      <w:r>
        <w:rPr>
          <w:rFonts w:hint="eastAsia" w:ascii="仿宋" w:hAnsi="仿宋" w:eastAsia="仿宋"/>
          <w:color w:val="000000"/>
          <w:sz w:val="24"/>
        </w:rPr>
        <w:t>。提供正规的备品备件价格表。保修期后的维修费用，先维修后付款；零备件的购买，先交货后付款；提供保修期后无偿技术支持。</w:t>
      </w:r>
    </w:p>
    <w:p>
      <w:pPr>
        <w:spacing w:line="520" w:lineRule="exact"/>
        <w:ind w:firstLine="360" w:firstLineChars="150"/>
        <w:rPr>
          <w:rFonts w:ascii="仿宋" w:hAnsi="仿宋" w:eastAsia="仿宋"/>
          <w:color w:val="000000"/>
          <w:sz w:val="24"/>
          <w:highlight w:val="none"/>
        </w:rPr>
      </w:pPr>
      <w:r>
        <w:rPr>
          <w:rFonts w:hint="eastAsia" w:ascii="仿宋" w:hAnsi="仿宋" w:eastAsia="仿宋"/>
          <w:color w:val="000000"/>
          <w:sz w:val="24"/>
        </w:rPr>
        <w:t>3、质保期内发生一切故障,乙方售后服务人员应于接到甲方电话通知后4小时内免费进行维修处理；质保期外如设备发生故障,乙方售后服务人员应于8小时内进行维修,经检 修需</w:t>
      </w:r>
      <w:r>
        <w:rPr>
          <w:rFonts w:hint="eastAsia" w:ascii="仿宋" w:hAnsi="仿宋" w:eastAsia="仿宋"/>
          <w:color w:val="000000"/>
          <w:sz w:val="24"/>
          <w:highlight w:val="none"/>
        </w:rPr>
        <w:t>要进行备件更换的,提供优惠的配件供应。提供保修期后无偿技术支持。</w:t>
      </w:r>
    </w:p>
    <w:p>
      <w:pPr>
        <w:spacing w:line="520" w:lineRule="exact"/>
        <w:ind w:firstLine="360" w:firstLineChars="150"/>
        <w:rPr>
          <w:rFonts w:ascii="仿宋" w:hAnsi="仿宋" w:eastAsia="仿宋"/>
          <w:b/>
          <w:color w:val="000000"/>
          <w:sz w:val="24"/>
          <w:highlight w:val="none"/>
        </w:rPr>
      </w:pPr>
      <w:r>
        <w:rPr>
          <w:rFonts w:hint="eastAsia" w:ascii="仿宋" w:hAnsi="仿宋" w:eastAsia="仿宋"/>
          <w:b/>
          <w:color w:val="000000"/>
          <w:sz w:val="24"/>
          <w:highlight w:val="none"/>
        </w:rPr>
        <w:t>八、货款的支付</w:t>
      </w:r>
      <w:r>
        <w:rPr>
          <w:rFonts w:hint="eastAsia" w:ascii="仿宋" w:hAnsi="仿宋" w:eastAsia="仿宋"/>
          <w:color w:val="000000"/>
          <w:sz w:val="24"/>
          <w:highlight w:val="none"/>
          <w:u w:val="single"/>
        </w:rPr>
        <w:t>（与招标现场或招标文件约定一致）例：</w:t>
      </w:r>
    </w:p>
    <w:p>
      <w:pPr>
        <w:spacing w:line="520" w:lineRule="exact"/>
        <w:ind w:firstLine="360" w:firstLineChars="150"/>
        <w:rPr>
          <w:rFonts w:ascii="仿宋" w:hAnsi="仿宋" w:eastAsia="仿宋"/>
          <w:color w:val="000000"/>
          <w:sz w:val="24"/>
          <w:highlight w:val="none"/>
        </w:rPr>
      </w:pPr>
      <w:r>
        <w:rPr>
          <w:rFonts w:hint="eastAsia" w:ascii="仿宋" w:hAnsi="仿宋" w:eastAsia="仿宋"/>
          <w:color w:val="000000"/>
          <w:sz w:val="24"/>
          <w:highlight w:val="none"/>
        </w:rPr>
        <w:t>1、合同签订后付合同总额（人民币）的95％，为（大写：  元整，小写：￥  元）；</w:t>
      </w:r>
    </w:p>
    <w:p>
      <w:pPr>
        <w:spacing w:line="520" w:lineRule="exact"/>
        <w:ind w:firstLine="360" w:firstLineChars="150"/>
        <w:rPr>
          <w:rFonts w:ascii="仿宋" w:hAnsi="仿宋" w:eastAsia="仿宋"/>
          <w:color w:val="000000"/>
          <w:sz w:val="24"/>
          <w:highlight w:val="none"/>
        </w:rPr>
      </w:pPr>
      <w:r>
        <w:rPr>
          <w:rFonts w:hint="eastAsia" w:ascii="仿宋" w:hAnsi="仿宋" w:eastAsia="仿宋"/>
          <w:color w:val="000000"/>
          <w:sz w:val="24"/>
          <w:highlight w:val="none"/>
        </w:rPr>
        <w:t>2、质保金为5%，即（大写：  元整，小写：￥  元），验收合格之日起质保期满后无息支付；</w:t>
      </w:r>
    </w:p>
    <w:p>
      <w:pPr>
        <w:spacing w:line="520" w:lineRule="exact"/>
        <w:ind w:firstLine="360" w:firstLineChars="150"/>
        <w:rPr>
          <w:rFonts w:ascii="仿宋" w:hAnsi="仿宋" w:eastAsia="仿宋"/>
          <w:color w:val="000000"/>
          <w:sz w:val="24"/>
          <w:highlight w:val="none"/>
        </w:rPr>
      </w:pPr>
      <w:r>
        <w:rPr>
          <w:rFonts w:hint="eastAsia" w:ascii="仿宋" w:hAnsi="仿宋" w:eastAsia="仿宋"/>
          <w:color w:val="000000"/>
          <w:sz w:val="24"/>
          <w:highlight w:val="none"/>
        </w:rPr>
        <w:t>3、甲方支付上述任何一笔款项前，乙方应提供符合甲方财务做账要求的正规增值税发票，否则，甲方有权拒付款项且不承担违约责任。</w:t>
      </w:r>
    </w:p>
    <w:p>
      <w:pPr>
        <w:spacing w:line="520" w:lineRule="exact"/>
        <w:ind w:firstLine="360" w:firstLineChars="150"/>
        <w:rPr>
          <w:rFonts w:ascii="仿宋" w:hAnsi="仿宋" w:eastAsia="仿宋"/>
          <w:b/>
          <w:color w:val="000000"/>
          <w:sz w:val="24"/>
          <w:highlight w:val="none"/>
        </w:rPr>
      </w:pPr>
      <w:r>
        <w:rPr>
          <w:rFonts w:hint="eastAsia" w:ascii="仿宋" w:hAnsi="仿宋" w:eastAsia="仿宋"/>
          <w:b/>
          <w:color w:val="000000"/>
          <w:sz w:val="24"/>
          <w:highlight w:val="none"/>
        </w:rPr>
        <w:t>九、违约责任</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1、</w:t>
      </w:r>
      <w:r>
        <w:rPr>
          <w:rFonts w:hint="eastAsia" w:ascii="仿宋" w:hAnsi="仿宋" w:eastAsia="仿宋"/>
          <w:color w:val="000000"/>
          <w:sz w:val="24"/>
        </w:rPr>
        <w:t>乙方应严格按照合同约定的时间交货，在应急情况下（自然灾害等不可抗力因素情况除外）乙方应甲方需求须在1小时内将所需货物送到甲方指定地点，如乙方延迟交货，甲方有权追究延迟交货的违约责任。乙方如逾期交货，乙方每天向甲方支付违约金1000元,</w:t>
      </w:r>
      <w:r>
        <w:rPr>
          <w:rFonts w:hint="eastAsia" w:ascii="仿宋" w:hAnsi="仿宋" w:eastAsia="仿宋" w:cs="Arial"/>
          <w:bCs/>
          <w:color w:val="000000"/>
          <w:sz w:val="24"/>
        </w:rPr>
        <w:t xml:space="preserve"> 并承担买方因此所受的直接经济损失（按医院相同或类似设备上月日均全部收费为标准计算直接损失，收费标准按照新疆维吾尔自治区发改委相关物价标准执行）</w:t>
      </w:r>
      <w:r>
        <w:rPr>
          <w:rFonts w:hint="eastAsia" w:ascii="仿宋" w:hAnsi="仿宋" w:eastAsia="仿宋"/>
          <w:color w:val="000000"/>
          <w:sz w:val="24"/>
        </w:rPr>
        <w:t>；乙方逾期供货超出交付期十天(含十天)以上的，甲方有权解除合同并追究乙方的违约责任，甲方解除合同的，乙方应支付合同总价款2</w:t>
      </w:r>
      <w:r>
        <w:rPr>
          <w:rFonts w:ascii="仿宋" w:hAnsi="仿宋" w:eastAsia="仿宋"/>
          <w:color w:val="000000"/>
          <w:sz w:val="24"/>
        </w:rPr>
        <w:t>0%</w:t>
      </w:r>
      <w:r>
        <w:rPr>
          <w:rFonts w:hint="eastAsia" w:ascii="仿宋" w:hAnsi="仿宋" w:eastAsia="仿宋"/>
          <w:color w:val="000000"/>
          <w:sz w:val="24"/>
        </w:rPr>
        <w:t>的违约金；乙方支付上述违约金不足以赔偿甲方损失的，甲方有权另行向乙方索赔（包括但不限于第三方索赔、律师费、诉讼费、鉴定费、公证费、差旅费等甲方采取诉讼途径发生的一切费用）。</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2、</w:t>
      </w:r>
      <w:r>
        <w:rPr>
          <w:rFonts w:hint="eastAsia" w:ascii="仿宋" w:hAnsi="仿宋" w:eastAsia="仿宋"/>
          <w:color w:val="000000"/>
          <w:sz w:val="24"/>
        </w:rPr>
        <w:t>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3、</w:t>
      </w:r>
      <w:r>
        <w:rPr>
          <w:rFonts w:hint="eastAsia" w:ascii="仿宋" w:hAnsi="仿宋" w:eastAsia="仿宋"/>
          <w:color w:val="000000"/>
          <w:sz w:val="24"/>
        </w:rPr>
        <w:t>乙方所交产品品种、型号、规格、质量、性能不符合合同规定的，由乙方负责包换或包修，并承担修理、调换或退货而支付的实际费用。乙方不能修理或者不能调换的，按合同总额的百分之二十承担违约金。</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4、</w:t>
      </w:r>
      <w:r>
        <w:rPr>
          <w:rFonts w:hint="eastAsia" w:ascii="仿宋" w:hAnsi="仿宋" w:eastAsia="仿宋"/>
          <w:color w:val="000000"/>
          <w:sz w:val="24"/>
        </w:rPr>
        <w:t>乙方在协议供货有效期内违反本有关质量保证及售后服务的，甲方有权要求乙方支付合同总价款2</w:t>
      </w:r>
      <w:r>
        <w:rPr>
          <w:rFonts w:ascii="仿宋" w:hAnsi="仿宋" w:eastAsia="仿宋"/>
          <w:color w:val="000000"/>
          <w:sz w:val="24"/>
        </w:rPr>
        <w:t>0%</w:t>
      </w:r>
      <w:r>
        <w:rPr>
          <w:rFonts w:hint="eastAsia" w:ascii="仿宋" w:hAnsi="仿宋" w:eastAsia="仿宋"/>
          <w:color w:val="000000"/>
          <w:sz w:val="24"/>
        </w:rPr>
        <w:t>的违约金，乙方支付上述违约金不足以赔偿甲方损失的，甲方有权另行向乙方索赔（包括但不限于第三方索赔、律师费、诉讼费、鉴定费、公证费、差旅费等甲方采取诉讼途径发生的一切费用）。</w:t>
      </w:r>
      <w:r>
        <w:rPr>
          <w:rFonts w:hint="eastAsia" w:ascii="仿宋" w:hAnsi="仿宋" w:eastAsia="仿宋" w:cs="Bookman Old Style"/>
          <w:color w:val="000000"/>
          <w:sz w:val="24"/>
        </w:rPr>
        <w:t>乙方向甲方承诺，如发生乙方向甲方指定人员或与该业务有关的任何工作人员行贿、送礼等行为，或与甲方相关工作人员串通，做出损害甲方利益的任何行为，每次按合同总金额的30%的数额向甲方承担违约金。</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5、</w:t>
      </w:r>
      <w:r>
        <w:rPr>
          <w:rFonts w:hint="eastAsia" w:ascii="仿宋" w:hAnsi="仿宋" w:eastAsia="仿宋" w:cs="Arial"/>
          <w:bCs/>
          <w:color w:val="000000"/>
          <w:sz w:val="24"/>
        </w:rPr>
        <w:t>设备使用期间，如存在开机率，则保修期内开机率不得低于98%（按工作日261天计算），累计故障不超过6天，每超过一天，按甲方该设备上月日均全部收费为标准计算直接损失，收费标准按照新疆维吾尔自治区发改委相关物价标准执行。</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6、</w:t>
      </w:r>
      <w:r>
        <w:rPr>
          <w:rFonts w:hint="eastAsia" w:ascii="仿宋" w:hAnsi="仿宋" w:eastAsia="仿宋" w:cs="Arial"/>
          <w:bCs/>
          <w:color w:val="000000"/>
          <w:sz w:val="24"/>
        </w:rPr>
        <w:t>如设备质量存在问题，给甲方造成损失，由乙方承担全部责任并赔偿甲方所有损失。如因乙方提供的设备发生医疗器械不良事件，乙方应承担全部责任和所有费用。</w:t>
      </w:r>
    </w:p>
    <w:p>
      <w:pPr>
        <w:spacing w:line="520" w:lineRule="exact"/>
        <w:ind w:firstLine="360" w:firstLineChars="150"/>
        <w:rPr>
          <w:rFonts w:ascii="仿宋" w:hAnsi="仿宋" w:eastAsia="仿宋" w:cs="Bookman Old Style"/>
          <w:b/>
          <w:color w:val="000000"/>
          <w:sz w:val="24"/>
        </w:rPr>
      </w:pPr>
      <w:r>
        <w:rPr>
          <w:rFonts w:hint="eastAsia" w:ascii="仿宋" w:hAnsi="仿宋" w:eastAsia="仿宋" w:cs="Bookman Old Style"/>
          <w:b/>
          <w:color w:val="000000"/>
          <w:sz w:val="24"/>
        </w:rPr>
        <w:t>十、不可抗力</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520" w:lineRule="exact"/>
        <w:ind w:firstLine="360" w:firstLineChars="150"/>
        <w:rPr>
          <w:rFonts w:ascii="仿宋" w:hAnsi="仿宋" w:eastAsia="仿宋" w:cs="Bookman Old Style"/>
          <w:bCs/>
          <w:color w:val="000000"/>
          <w:sz w:val="24"/>
        </w:rPr>
      </w:pPr>
      <w:r>
        <w:rPr>
          <w:rFonts w:ascii="仿宋" w:hAnsi="仿宋" w:eastAsia="仿宋" w:cs="Bookman Old Style"/>
          <w:bCs/>
          <w:color w:val="000000"/>
          <w:sz w:val="24"/>
        </w:rPr>
        <w:t>2</w:t>
      </w:r>
      <w:r>
        <w:rPr>
          <w:rFonts w:hint="eastAsia" w:ascii="仿宋" w:hAnsi="仿宋" w:eastAsia="仿宋" w:cs="Bookman Old Style"/>
          <w:bCs/>
          <w:color w:val="000000"/>
          <w:sz w:val="24"/>
        </w:rPr>
        <w:t>、“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pPr>
        <w:spacing w:line="520" w:lineRule="exact"/>
        <w:ind w:firstLine="360" w:firstLineChars="150"/>
        <w:rPr>
          <w:rFonts w:ascii="仿宋" w:hAnsi="仿宋" w:eastAsia="仿宋" w:cs="Bookman Old Style"/>
          <w:b/>
          <w:color w:val="000000"/>
          <w:sz w:val="24"/>
        </w:rPr>
      </w:pPr>
      <w:r>
        <w:rPr>
          <w:rFonts w:hint="eastAsia" w:ascii="仿宋" w:hAnsi="仿宋" w:eastAsia="仿宋" w:cs="Bookman Old Style"/>
          <w:b/>
          <w:color w:val="000000"/>
          <w:sz w:val="24"/>
        </w:rPr>
        <w:t>十一、争议解决</w:t>
      </w:r>
    </w:p>
    <w:p>
      <w:pPr>
        <w:spacing w:line="520" w:lineRule="exact"/>
        <w:ind w:firstLine="360" w:firstLineChars="150"/>
        <w:rPr>
          <w:rFonts w:ascii="仿宋" w:hAnsi="仿宋" w:eastAsia="仿宋" w:cs="Bookman Old Style"/>
          <w:color w:val="000000"/>
          <w:sz w:val="24"/>
        </w:rPr>
      </w:pPr>
      <w:r>
        <w:rPr>
          <w:rFonts w:hint="eastAsia" w:ascii="仿宋" w:hAnsi="仿宋" w:eastAsia="仿宋" w:cs="Bookman Old Style"/>
          <w:color w:val="000000"/>
          <w:sz w:val="24"/>
        </w:rPr>
        <w:t>本合同如发生纠纷，当事人双方应当及时协商解决，协商不成时，可向甲方所在地人民法院起诉。</w:t>
      </w:r>
    </w:p>
    <w:p>
      <w:pPr>
        <w:spacing w:line="520" w:lineRule="exact"/>
        <w:ind w:firstLine="360" w:firstLineChars="150"/>
        <w:rPr>
          <w:rFonts w:ascii="仿宋" w:hAnsi="仿宋" w:eastAsia="仿宋" w:cs="Bookman Old Style"/>
          <w:b/>
          <w:bCs/>
          <w:color w:val="000000"/>
          <w:sz w:val="24"/>
        </w:rPr>
      </w:pPr>
      <w:r>
        <w:rPr>
          <w:rFonts w:hint="eastAsia" w:ascii="仿宋" w:hAnsi="仿宋" w:eastAsia="仿宋" w:cs="Bookman Old Style"/>
          <w:b/>
          <w:bCs/>
          <w:color w:val="000000"/>
          <w:sz w:val="24"/>
        </w:rPr>
        <w:t>十二、合同的文本及生效</w:t>
      </w:r>
    </w:p>
    <w:p>
      <w:pPr>
        <w:spacing w:line="520" w:lineRule="exact"/>
        <w:ind w:firstLine="360" w:firstLineChars="150"/>
        <w:rPr>
          <w:rFonts w:ascii="仿宋" w:hAnsi="仿宋" w:eastAsia="仿宋" w:cs="Bookman Old Style"/>
          <w:bCs/>
          <w:color w:val="000000"/>
          <w:sz w:val="24"/>
        </w:rPr>
      </w:pPr>
      <w:r>
        <w:rPr>
          <w:rFonts w:ascii="仿宋" w:hAnsi="仿宋" w:eastAsia="仿宋" w:cs="Bookman Old Style"/>
          <w:bCs/>
          <w:color w:val="000000"/>
          <w:sz w:val="24"/>
        </w:rPr>
        <w:t>1</w:t>
      </w:r>
      <w:r>
        <w:rPr>
          <w:rFonts w:hint="eastAsia" w:ascii="仿宋" w:hAnsi="仿宋" w:eastAsia="仿宋" w:cs="Bookman Old Style"/>
          <w:bCs/>
          <w:color w:val="000000"/>
          <w:sz w:val="24"/>
        </w:rPr>
        <w:t>、本合同一式陆份，甲方执肆份，乙方执贰份。</w:t>
      </w:r>
    </w:p>
    <w:p>
      <w:pPr>
        <w:spacing w:line="520" w:lineRule="exact"/>
        <w:ind w:firstLine="360" w:firstLineChars="150"/>
        <w:rPr>
          <w:rFonts w:ascii="仿宋" w:hAnsi="仿宋" w:eastAsia="仿宋" w:cs="Bookman Old Style"/>
          <w:bCs/>
          <w:color w:val="000000"/>
          <w:sz w:val="24"/>
        </w:rPr>
      </w:pPr>
      <w:r>
        <w:rPr>
          <w:rFonts w:ascii="仿宋" w:hAnsi="仿宋" w:eastAsia="仿宋" w:cs="Bookman Old Style"/>
          <w:bCs/>
          <w:color w:val="000000"/>
          <w:sz w:val="24"/>
        </w:rPr>
        <w:t>2</w:t>
      </w:r>
      <w:r>
        <w:rPr>
          <w:rFonts w:hint="eastAsia" w:ascii="仿宋" w:hAnsi="仿宋" w:eastAsia="仿宋" w:cs="Bookman Old Style"/>
          <w:bCs/>
          <w:color w:val="000000"/>
          <w:sz w:val="24"/>
        </w:rPr>
        <w:t>、本合同经双方法定代表人签字或单位盖章或双方委托代理人签字成立生效。</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3、合同内容如遇国家法律、法规及政策另有规定的，从其规定。</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十三、其他约定事项</w:t>
      </w:r>
    </w:p>
    <w:p>
      <w:pPr>
        <w:spacing w:line="520" w:lineRule="exact"/>
        <w:ind w:firstLine="360" w:firstLineChars="150"/>
        <w:rPr>
          <w:rFonts w:ascii="仿宋" w:hAnsi="仿宋" w:eastAsia="仿宋" w:cs="Bookman Old Style"/>
          <w:color w:val="000000"/>
          <w:sz w:val="24"/>
        </w:rPr>
      </w:pPr>
      <w:r>
        <w:rPr>
          <w:rFonts w:hint="eastAsia" w:ascii="仿宋" w:hAnsi="仿宋" w:eastAsia="仿宋" w:cs="Bookman Old Style"/>
          <w:color w:val="000000"/>
          <w:sz w:val="24"/>
        </w:rPr>
        <w:t>1、和本合同相关的双方往来函件(包括传真件、电子邮件)与原件具有同等的法律效力，修改无效。</w:t>
      </w:r>
    </w:p>
    <w:p>
      <w:pPr>
        <w:spacing w:line="520" w:lineRule="exact"/>
        <w:ind w:firstLine="360" w:firstLineChars="150"/>
        <w:rPr>
          <w:rFonts w:ascii="仿宋" w:hAnsi="仿宋" w:eastAsia="仿宋" w:cs="Bookman Old Style"/>
          <w:color w:val="000000"/>
          <w:sz w:val="24"/>
        </w:rPr>
      </w:pPr>
      <w:r>
        <w:rPr>
          <w:rFonts w:ascii="仿宋" w:hAnsi="仿宋" w:eastAsia="仿宋" w:cs="Bookman Old Style"/>
          <w:color w:val="000000"/>
          <w:sz w:val="24"/>
        </w:rPr>
        <w:t>2</w:t>
      </w:r>
      <w:r>
        <w:rPr>
          <w:rFonts w:hint="eastAsia" w:ascii="仿宋" w:hAnsi="仿宋" w:eastAsia="仿宋" w:cs="Bookman Old Style"/>
          <w:color w:val="000000"/>
          <w:sz w:val="24"/>
        </w:rPr>
        <w:t>、乙方签定的供货补充合同和供货承诺书是本合同不可分割的组成部分，其他未尽事宜，协商解决。</w:t>
      </w:r>
    </w:p>
    <w:p>
      <w:pPr>
        <w:spacing w:line="520" w:lineRule="exact"/>
        <w:ind w:firstLine="360" w:firstLineChars="150"/>
        <w:rPr>
          <w:rFonts w:ascii="仿宋" w:hAnsi="仿宋" w:eastAsia="仿宋" w:cs="Bookman Old Style"/>
          <w:color w:val="000000"/>
          <w:sz w:val="24"/>
        </w:rPr>
      </w:pPr>
      <w:r>
        <w:rPr>
          <w:rFonts w:ascii="仿宋" w:hAnsi="仿宋" w:eastAsia="仿宋" w:cs="Bookman Old Style"/>
          <w:color w:val="000000"/>
          <w:sz w:val="24"/>
        </w:rPr>
        <w:t>3</w:t>
      </w:r>
      <w:r>
        <w:rPr>
          <w:rFonts w:hint="eastAsia" w:ascii="仿宋" w:hAnsi="仿宋" w:eastAsia="仿宋" w:cs="Bookman Old Style"/>
          <w:color w:val="000000"/>
          <w:sz w:val="24"/>
        </w:rPr>
        <w:t>、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pPr>
        <w:spacing w:line="520" w:lineRule="exact"/>
        <w:ind w:firstLine="360" w:firstLineChars="150"/>
        <w:rPr>
          <w:rFonts w:ascii="仿宋" w:hAnsi="仿宋" w:eastAsia="仿宋" w:cs="Bookman Old Style"/>
          <w:color w:val="000000"/>
          <w:sz w:val="24"/>
        </w:rPr>
      </w:pPr>
      <w:r>
        <w:rPr>
          <w:rFonts w:hint="eastAsia" w:ascii="仿宋" w:hAnsi="仿宋" w:eastAsia="仿宋" w:cs="Bookman Old Style"/>
          <w:color w:val="000000"/>
          <w:sz w:val="24"/>
        </w:rPr>
        <w:t>4、本合同尾部的双方联系方式及地址为双方有效的送达地址，如有一方地址发生变更，应在变更后当日向对方书面通知，如因变更方未及时通知，相对方按合同尾部地址送达的，视为送达成功。</w:t>
      </w:r>
    </w:p>
    <w:p>
      <w:pPr>
        <w:spacing w:line="520" w:lineRule="exact"/>
        <w:rPr>
          <w:rFonts w:ascii="仿宋" w:hAnsi="仿宋" w:eastAsia="仿宋"/>
          <w:color w:val="000000"/>
          <w:sz w:val="24"/>
        </w:rPr>
      </w:pPr>
    </w:p>
    <w:p>
      <w:pPr>
        <w:spacing w:line="520" w:lineRule="exact"/>
        <w:rPr>
          <w:rFonts w:ascii="仿宋" w:hAnsi="仿宋" w:eastAsia="仿宋" w:cs="Bookman Old Style"/>
          <w:color w:val="000000"/>
          <w:sz w:val="24"/>
        </w:rPr>
      </w:pPr>
      <w:r>
        <w:rPr>
          <w:rFonts w:hint="eastAsia" w:ascii="仿宋" w:hAnsi="仿宋" w:eastAsia="仿宋"/>
          <w:color w:val="000000"/>
          <w:sz w:val="24"/>
        </w:rPr>
        <w:t>（以下无正文，为本合同签署页）</w:t>
      </w:r>
    </w:p>
    <w:p>
      <w:pPr>
        <w:spacing w:line="520" w:lineRule="exact"/>
        <w:rPr>
          <w:rFonts w:ascii="仿宋" w:hAnsi="仿宋" w:eastAsia="仿宋"/>
          <w:color w:val="000000"/>
          <w:sz w:val="24"/>
        </w:rPr>
      </w:pPr>
      <w:r>
        <w:rPr>
          <w:rFonts w:ascii="仿宋" w:hAnsi="仿宋" w:eastAsia="仿宋"/>
          <w:color w:val="000000"/>
          <w:sz w:val="24"/>
        </w:rPr>
        <w:br w:type="page"/>
      </w:r>
      <w:r>
        <w:rPr>
          <w:rFonts w:hint="eastAsia" w:ascii="仿宋" w:hAnsi="仿宋" w:eastAsia="仿宋"/>
          <w:color w:val="000000"/>
          <w:sz w:val="24"/>
        </w:rPr>
        <w:t>甲方（盖章）：</w:t>
      </w:r>
      <w:r>
        <w:rPr>
          <w:rFonts w:ascii="仿宋" w:hAnsi="仿宋" w:eastAsia="仿宋"/>
          <w:color w:val="000000"/>
          <w:sz w:val="24"/>
        </w:rPr>
        <w:t xml:space="preserve">         </w:t>
      </w:r>
      <w:r>
        <w:rPr>
          <w:rFonts w:hint="eastAsia" w:ascii="仿宋" w:hAnsi="仿宋" w:eastAsia="仿宋"/>
          <w:color w:val="000000"/>
          <w:sz w:val="24"/>
        </w:rPr>
        <w:t xml:space="preserve">               乙</w:t>
      </w:r>
      <w:r>
        <w:rPr>
          <w:rFonts w:ascii="仿宋" w:hAnsi="仿宋" w:eastAsia="仿宋"/>
          <w:color w:val="000000"/>
          <w:sz w:val="24"/>
        </w:rPr>
        <w:t>方（盖章）：</w:t>
      </w:r>
      <w:r>
        <w:rPr>
          <w:rFonts w:hint="eastAsia" w:ascii="仿宋" w:hAnsi="仿宋" w:eastAsia="仿宋"/>
          <w:color w:val="000000"/>
          <w:sz w:val="24"/>
        </w:rPr>
        <w:t xml:space="preserve">  </w:t>
      </w:r>
    </w:p>
    <w:p>
      <w:pPr>
        <w:spacing w:line="520" w:lineRule="exact"/>
        <w:rPr>
          <w:rFonts w:ascii="仿宋" w:hAnsi="仿宋" w:eastAsia="仿宋"/>
          <w:color w:val="000000"/>
          <w:sz w:val="24"/>
        </w:rPr>
      </w:pPr>
      <w:r>
        <w:rPr>
          <w:rFonts w:hint="eastAsia" w:ascii="仿宋" w:hAnsi="仿宋" w:eastAsia="仿宋"/>
          <w:color w:val="000000"/>
          <w:sz w:val="24"/>
        </w:rPr>
        <w:t>法人或授权代表（签字）：              法人或授权代表（签字）：</w:t>
      </w:r>
    </w:p>
    <w:p>
      <w:pPr>
        <w:spacing w:line="520" w:lineRule="exact"/>
        <w:ind w:left="5160" w:hanging="5160" w:hangingChars="2150"/>
        <w:rPr>
          <w:rFonts w:ascii="仿宋" w:hAnsi="仿宋" w:eastAsia="仿宋"/>
          <w:color w:val="000000"/>
          <w:sz w:val="24"/>
        </w:rPr>
      </w:pPr>
      <w:r>
        <w:rPr>
          <w:rFonts w:hint="eastAsia" w:ascii="仿宋" w:hAnsi="仿宋" w:eastAsia="仿宋"/>
          <w:color w:val="000000"/>
          <w:sz w:val="24"/>
        </w:rPr>
        <w:t>地址：</w:t>
      </w:r>
      <w:r>
        <w:rPr>
          <w:rFonts w:ascii="仿宋" w:hAnsi="仿宋" w:eastAsia="仿宋"/>
          <w:color w:val="000000"/>
          <w:sz w:val="24"/>
        </w:rPr>
        <w:t xml:space="preserve">    </w:t>
      </w:r>
      <w:r>
        <w:rPr>
          <w:rFonts w:hint="eastAsia" w:ascii="仿宋" w:hAnsi="仿宋" w:eastAsia="仿宋"/>
          <w:color w:val="000000"/>
          <w:sz w:val="24"/>
        </w:rPr>
        <w:t xml:space="preserve">                           </w:t>
      </w:r>
      <w:r>
        <w:rPr>
          <w:rFonts w:ascii="仿宋" w:hAnsi="仿宋" w:eastAsia="仿宋"/>
          <w:color w:val="000000"/>
          <w:sz w:val="24"/>
        </w:rPr>
        <w:t>地址：</w:t>
      </w: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 xml:space="preserve">   </w:t>
      </w:r>
    </w:p>
    <w:p>
      <w:pPr>
        <w:spacing w:line="520" w:lineRule="exact"/>
        <w:rPr>
          <w:rFonts w:ascii="仿宋" w:hAnsi="仿宋" w:eastAsia="仿宋"/>
          <w:color w:val="000000"/>
          <w:sz w:val="24"/>
        </w:rPr>
      </w:pPr>
      <w:r>
        <w:rPr>
          <w:rFonts w:hint="eastAsia" w:ascii="仿宋" w:hAnsi="仿宋" w:eastAsia="仿宋"/>
          <w:color w:val="000000"/>
          <w:sz w:val="24"/>
        </w:rPr>
        <w:t>电话：</w:t>
      </w:r>
      <w:r>
        <w:rPr>
          <w:rFonts w:ascii="仿宋" w:hAnsi="仿宋" w:eastAsia="仿宋"/>
          <w:color w:val="000000"/>
          <w:sz w:val="24"/>
        </w:rPr>
        <w:t xml:space="preserve">  </w:t>
      </w: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 xml:space="preserve">                        </w:t>
      </w:r>
      <w:r>
        <w:rPr>
          <w:rFonts w:ascii="仿宋" w:hAnsi="仿宋" w:eastAsia="仿宋"/>
          <w:color w:val="000000"/>
          <w:sz w:val="24"/>
        </w:rPr>
        <w:t xml:space="preserve"> 电话：</w:t>
      </w: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 xml:space="preserve">             </w:t>
      </w:r>
    </w:p>
    <w:p>
      <w:pPr>
        <w:spacing w:line="520" w:lineRule="exact"/>
        <w:rPr>
          <w:rFonts w:ascii="仿宋" w:hAnsi="仿宋" w:eastAsia="仿宋"/>
          <w:color w:val="000000"/>
          <w:sz w:val="24"/>
        </w:rPr>
      </w:pPr>
      <w:r>
        <w:rPr>
          <w:rFonts w:hint="eastAsia" w:ascii="仿宋" w:hAnsi="仿宋" w:eastAsia="仿宋"/>
          <w:color w:val="000000"/>
          <w:sz w:val="24"/>
        </w:rPr>
        <w:t>日期：</w:t>
      </w:r>
      <w:r>
        <w:rPr>
          <w:rFonts w:ascii="仿宋" w:hAnsi="仿宋" w:eastAsia="仿宋"/>
          <w:color w:val="000000"/>
          <w:sz w:val="24"/>
        </w:rPr>
        <w:t xml:space="preserve"> </w:t>
      </w:r>
      <w:r>
        <w:rPr>
          <w:rFonts w:hint="eastAsia" w:ascii="仿宋" w:hAnsi="仿宋" w:eastAsia="仿宋"/>
          <w:color w:val="000000"/>
          <w:sz w:val="24"/>
        </w:rPr>
        <w:t xml:space="preserve">  </w:t>
      </w:r>
      <w:r>
        <w:rPr>
          <w:rFonts w:ascii="仿宋" w:hAnsi="仿宋" w:eastAsia="仿宋"/>
          <w:color w:val="000000"/>
          <w:sz w:val="24"/>
        </w:rPr>
        <w:t xml:space="preserve"> 年</w:t>
      </w:r>
      <w:r>
        <w:rPr>
          <w:rFonts w:hint="eastAsia" w:ascii="仿宋" w:hAnsi="仿宋" w:eastAsia="仿宋"/>
          <w:color w:val="000000"/>
          <w:sz w:val="24"/>
        </w:rPr>
        <w:t xml:space="preserve"> </w:t>
      </w:r>
      <w:r>
        <w:rPr>
          <w:rFonts w:ascii="仿宋" w:hAnsi="仿宋" w:eastAsia="仿宋"/>
          <w:color w:val="000000"/>
          <w:sz w:val="24"/>
        </w:rPr>
        <w:t xml:space="preserve"> 月</w:t>
      </w:r>
      <w:r>
        <w:rPr>
          <w:rFonts w:hint="eastAsia" w:ascii="仿宋" w:hAnsi="仿宋" w:eastAsia="仿宋"/>
          <w:color w:val="000000"/>
          <w:sz w:val="24"/>
        </w:rPr>
        <w:t xml:space="preserve">  </w:t>
      </w:r>
      <w:r>
        <w:rPr>
          <w:rFonts w:ascii="仿宋" w:hAnsi="仿宋" w:eastAsia="仿宋"/>
          <w:color w:val="000000"/>
          <w:sz w:val="24"/>
        </w:rPr>
        <w:t xml:space="preserve">日   </w:t>
      </w: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日期：</w:t>
      </w:r>
      <w:r>
        <w:rPr>
          <w:rFonts w:ascii="仿宋" w:hAnsi="仿宋" w:eastAsia="仿宋"/>
          <w:color w:val="000000"/>
          <w:sz w:val="24"/>
        </w:rPr>
        <w:t xml:space="preserve"> </w:t>
      </w:r>
      <w:r>
        <w:rPr>
          <w:rFonts w:hint="eastAsia" w:ascii="仿宋" w:hAnsi="仿宋" w:eastAsia="仿宋"/>
          <w:color w:val="000000"/>
          <w:sz w:val="24"/>
        </w:rPr>
        <w:t xml:space="preserve">  </w:t>
      </w:r>
      <w:r>
        <w:rPr>
          <w:rFonts w:ascii="仿宋" w:hAnsi="仿宋" w:eastAsia="仿宋"/>
          <w:color w:val="000000"/>
          <w:sz w:val="24"/>
        </w:rPr>
        <w:t xml:space="preserve"> 年</w:t>
      </w:r>
      <w:r>
        <w:rPr>
          <w:rFonts w:hint="eastAsia" w:ascii="仿宋" w:hAnsi="仿宋" w:eastAsia="仿宋"/>
          <w:color w:val="000000"/>
          <w:sz w:val="24"/>
        </w:rPr>
        <w:t xml:space="preserve"> </w:t>
      </w:r>
      <w:r>
        <w:rPr>
          <w:rFonts w:ascii="仿宋" w:hAnsi="仿宋" w:eastAsia="仿宋"/>
          <w:color w:val="000000"/>
          <w:sz w:val="24"/>
        </w:rPr>
        <w:t xml:space="preserve"> 月</w:t>
      </w:r>
      <w:r>
        <w:rPr>
          <w:rFonts w:hint="eastAsia" w:ascii="仿宋" w:hAnsi="仿宋" w:eastAsia="仿宋"/>
          <w:color w:val="000000"/>
          <w:sz w:val="24"/>
        </w:rPr>
        <w:t xml:space="preserve">  </w:t>
      </w:r>
      <w:r>
        <w:rPr>
          <w:rFonts w:ascii="仿宋" w:hAnsi="仿宋" w:eastAsia="仿宋"/>
          <w:color w:val="000000"/>
          <w:sz w:val="24"/>
        </w:rPr>
        <w:t xml:space="preserve">日  </w:t>
      </w:r>
      <w:r>
        <w:rPr>
          <w:rFonts w:hint="eastAsia" w:ascii="仿宋" w:hAnsi="仿宋" w:eastAsia="仿宋"/>
          <w:color w:val="000000"/>
          <w:sz w:val="24"/>
        </w:rPr>
        <w:t xml:space="preserve">    </w:t>
      </w:r>
    </w:p>
    <w:p>
      <w:pPr>
        <w:ind w:firstLine="360" w:firstLineChars="150"/>
        <w:jc w:val="center"/>
        <w:rPr>
          <w:rFonts w:ascii="仿宋" w:hAnsi="仿宋" w:eastAsia="仿宋"/>
          <w:b/>
          <w:color w:val="000000"/>
          <w:sz w:val="36"/>
          <w:szCs w:val="36"/>
        </w:rPr>
      </w:pPr>
      <w:r>
        <w:rPr>
          <w:rFonts w:ascii="仿宋" w:hAnsi="仿宋" w:eastAsia="仿宋"/>
          <w:color w:val="000000"/>
          <w:sz w:val="24"/>
        </w:rPr>
        <w:br w:type="page"/>
      </w:r>
      <w:r>
        <w:rPr>
          <w:rFonts w:hint="eastAsia" w:ascii="仿宋" w:hAnsi="仿宋" w:eastAsia="仿宋"/>
          <w:b/>
          <w:color w:val="000000"/>
          <w:sz w:val="36"/>
          <w:szCs w:val="36"/>
        </w:rPr>
        <w:t>医疗卫生机构医药产品廉洁购销合同</w:t>
      </w:r>
    </w:p>
    <w:p>
      <w:pPr>
        <w:spacing w:line="580" w:lineRule="exact"/>
        <w:rPr>
          <w:rFonts w:ascii="仿宋" w:hAnsi="仿宋" w:eastAsia="仿宋"/>
          <w:color w:val="000000"/>
          <w:sz w:val="24"/>
        </w:rPr>
      </w:pPr>
      <w:r>
        <w:rPr>
          <w:rFonts w:hint="eastAsia" w:ascii="仿宋" w:hAnsi="仿宋" w:eastAsia="仿宋"/>
          <w:b/>
          <w:color w:val="000000"/>
          <w:sz w:val="24"/>
        </w:rPr>
        <w:t>甲方</w:t>
      </w:r>
      <w:r>
        <w:rPr>
          <w:rFonts w:hint="eastAsia" w:ascii="仿宋" w:hAnsi="仿宋" w:eastAsia="仿宋"/>
          <w:color w:val="000000"/>
          <w:sz w:val="24"/>
        </w:rPr>
        <w:t>： 新疆医科大学附属肿瘤医院</w:t>
      </w:r>
    </w:p>
    <w:p>
      <w:pPr>
        <w:spacing w:line="580" w:lineRule="exact"/>
        <w:rPr>
          <w:rFonts w:ascii="仿宋" w:hAnsi="仿宋" w:eastAsia="仿宋"/>
          <w:color w:val="000000"/>
          <w:sz w:val="24"/>
          <w:u w:val="single"/>
        </w:rPr>
      </w:pPr>
      <w:r>
        <w:rPr>
          <w:rFonts w:hint="eastAsia" w:ascii="仿宋" w:hAnsi="仿宋" w:eastAsia="仿宋"/>
          <w:b/>
          <w:bCs/>
          <w:color w:val="000000"/>
          <w:sz w:val="24"/>
        </w:rPr>
        <w:t>乙方：</w:t>
      </w:r>
      <w:r>
        <w:rPr>
          <w:rFonts w:hint="eastAsia" w:ascii="仿宋" w:hAnsi="仿宋" w:eastAsia="仿宋"/>
          <w:color w:val="000000"/>
          <w:sz w:val="24"/>
        </w:rPr>
        <w:t xml:space="preserve"> </w:t>
      </w:r>
      <w:r>
        <w:rPr>
          <w:rFonts w:hint="eastAsia" w:ascii="仿宋" w:hAnsi="仿宋" w:eastAsia="仿宋"/>
          <w:color w:val="000000"/>
          <w:sz w:val="24"/>
          <w:u w:val="single"/>
        </w:rPr>
        <w:t xml:space="preserve">                         </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为进一步加强医疗卫生行风建设，规范医疗卫生机构医药购销行为，有效防范商业贿赂行为，营造公平交易、诚实守信的购销环境，经甲、乙双方协商，同意签订本合同，并共同遵守：</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一、甲乙双方按照《中华人民共和国民法典》及医药产品购销合同约定购销药品、医用设备、医用耗材等医药产品。</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二、甲方应当严格执行医药产品购销合同验收、入库制度，对采购医药产品及发票进行查验，不得违反有关规定合同外采购、违价采购或从非规定渠道采购。</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四、严禁甲方工作人员利用任何途径和方式，为乙方统计医师个人及临床科室有关医药产品用量信息，或为乙方统计提供便利。</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五、乙方不得以回扣、宴请等方式影响甲方工作人员采购或使用医药产品的选择权，不得在学术活动中提供旅游、超标准支付食宿费用。</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六、乙方指定</w:t>
      </w:r>
      <w:r>
        <w:rPr>
          <w:rFonts w:hint="eastAsia" w:ascii="仿宋" w:hAnsi="仿宋" w:eastAsia="仿宋"/>
          <w:i/>
          <w:iCs/>
          <w:color w:val="000000"/>
          <w:sz w:val="24"/>
          <w:u w:val="single"/>
        </w:rPr>
        <w:t xml:space="preserve">        </w:t>
      </w:r>
      <w:r>
        <w:rPr>
          <w:rFonts w:hint="eastAsia" w:ascii="仿宋" w:hAnsi="仿宋" w:eastAsia="仿宋"/>
          <w:color w:val="000000"/>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七、乙方如违反本合同，一经发现，甲方有权终止购销合同，并向有关卫生计生行政部门报告。如乙方被列入商业贿赂不良记录，则严格按照《国家</w:t>
      </w:r>
      <w:r>
        <w:rPr>
          <w:rFonts w:ascii="仿宋" w:hAnsi="仿宋" w:eastAsia="仿宋"/>
          <w:color w:val="000000"/>
          <w:sz w:val="24"/>
        </w:rPr>
        <w:t>卫生计生委关于建立医药购销领域商业贿赂不良记录的规定</w:t>
      </w:r>
      <w:r>
        <w:rPr>
          <w:rFonts w:hint="eastAsia" w:ascii="仿宋" w:hAnsi="仿宋" w:eastAsia="仿宋"/>
          <w:color w:val="000000"/>
          <w:sz w:val="24"/>
        </w:rPr>
        <w:t>》</w:t>
      </w:r>
      <w:r>
        <w:rPr>
          <w:rFonts w:ascii="仿宋" w:hAnsi="仿宋" w:eastAsia="仿宋"/>
          <w:color w:val="000000"/>
          <w:sz w:val="24"/>
          <w:shd w:val="clear" w:color="auto" w:fill="FFFFFF"/>
        </w:rPr>
        <w:t>（国卫法制发〔2013〕50号）</w:t>
      </w:r>
      <w:r>
        <w:rPr>
          <w:rFonts w:hint="eastAsia" w:ascii="仿宋" w:hAnsi="仿宋" w:eastAsia="仿宋"/>
          <w:color w:val="000000"/>
          <w:sz w:val="24"/>
        </w:rPr>
        <w:t>相关规定处理。</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八、本合同作为医药产品购销合同的重要组成部分，与购销合同一并执行，具有同等的法律效力。</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九、本合同一式三份，甲、乙双方各执一份，甲方纪检监察部门（基层医疗卫生机构上报上级卫生计生行政部门）执一份，并从签订之日起生效。</w:t>
      </w:r>
    </w:p>
    <w:p>
      <w:pPr>
        <w:spacing w:line="580" w:lineRule="exact"/>
        <w:ind w:firstLine="480" w:firstLineChars="200"/>
        <w:rPr>
          <w:rFonts w:ascii="仿宋" w:hAnsi="仿宋" w:eastAsia="仿宋"/>
          <w:color w:val="000000"/>
          <w:sz w:val="24"/>
        </w:rPr>
      </w:pPr>
    </w:p>
    <w:p>
      <w:pPr>
        <w:spacing w:line="580" w:lineRule="exact"/>
        <w:ind w:firstLine="480" w:firstLineChars="200"/>
        <w:rPr>
          <w:rFonts w:ascii="仿宋" w:hAnsi="仿宋" w:eastAsia="仿宋"/>
          <w:color w:val="000000"/>
          <w:sz w:val="24"/>
        </w:rPr>
      </w:pPr>
    </w:p>
    <w:p>
      <w:pPr>
        <w:spacing w:line="580" w:lineRule="exact"/>
        <w:ind w:firstLine="480" w:firstLineChars="200"/>
        <w:rPr>
          <w:rFonts w:ascii="仿宋" w:hAnsi="仿宋" w:eastAsia="仿宋"/>
          <w:color w:val="000000"/>
          <w:sz w:val="24"/>
        </w:rPr>
      </w:pPr>
    </w:p>
    <w:p>
      <w:pPr>
        <w:spacing w:line="580" w:lineRule="exact"/>
        <w:ind w:left="4583" w:hanging="4564" w:hangingChars="1902"/>
        <w:rPr>
          <w:rFonts w:ascii="仿宋" w:hAnsi="仿宋" w:eastAsia="仿宋"/>
          <w:b/>
          <w:color w:val="000000"/>
          <w:sz w:val="24"/>
        </w:rPr>
      </w:pPr>
      <w:r>
        <w:rPr>
          <w:rFonts w:hint="eastAsia" w:ascii="仿宋" w:hAnsi="仿宋" w:eastAsia="仿宋"/>
          <w:b/>
          <w:color w:val="000000"/>
          <w:sz w:val="24"/>
        </w:rPr>
        <w:t>甲方（盖章）：                       乙方（盖章）：</w:t>
      </w:r>
    </w:p>
    <w:p>
      <w:pPr>
        <w:spacing w:line="580" w:lineRule="exact"/>
        <w:rPr>
          <w:rFonts w:ascii="仿宋" w:hAnsi="仿宋" w:eastAsia="仿宋"/>
          <w:b/>
          <w:color w:val="000000"/>
          <w:sz w:val="24"/>
        </w:rPr>
      </w:pPr>
      <w:r>
        <w:rPr>
          <w:rFonts w:hint="eastAsia" w:ascii="仿宋" w:hAnsi="仿宋" w:eastAsia="仿宋"/>
          <w:b/>
          <w:color w:val="000000"/>
          <w:sz w:val="24"/>
        </w:rPr>
        <w:t>法定代表人（</w:t>
      </w:r>
      <w:r>
        <w:rPr>
          <w:rFonts w:ascii="仿宋" w:hAnsi="仿宋" w:eastAsia="仿宋"/>
          <w:b/>
          <w:color w:val="000000"/>
          <w:sz w:val="24"/>
        </w:rPr>
        <w:t>负责人</w:t>
      </w:r>
      <w:r>
        <w:rPr>
          <w:rFonts w:hint="eastAsia" w:ascii="仿宋" w:hAnsi="仿宋" w:eastAsia="仿宋"/>
          <w:b/>
          <w:color w:val="000000"/>
          <w:sz w:val="24"/>
        </w:rPr>
        <w:t>）：               法定代表人（</w:t>
      </w:r>
      <w:r>
        <w:rPr>
          <w:rFonts w:ascii="仿宋" w:hAnsi="仿宋" w:eastAsia="仿宋"/>
          <w:b/>
          <w:color w:val="000000"/>
          <w:sz w:val="24"/>
        </w:rPr>
        <w:t>负责人</w:t>
      </w:r>
      <w:r>
        <w:rPr>
          <w:rFonts w:hint="eastAsia" w:ascii="仿宋" w:hAnsi="仿宋" w:eastAsia="仿宋"/>
          <w:b/>
          <w:color w:val="000000"/>
          <w:sz w:val="24"/>
        </w:rPr>
        <w:t xml:space="preserve">）： </w:t>
      </w:r>
    </w:p>
    <w:p>
      <w:pPr>
        <w:spacing w:line="580" w:lineRule="exact"/>
        <w:rPr>
          <w:rFonts w:ascii="仿宋" w:hAnsi="仿宋" w:eastAsia="仿宋"/>
          <w:b/>
          <w:color w:val="000000"/>
          <w:sz w:val="24"/>
        </w:rPr>
      </w:pPr>
      <w:r>
        <w:rPr>
          <w:rFonts w:hint="eastAsia" w:ascii="仿宋" w:hAnsi="仿宋" w:eastAsia="仿宋"/>
          <w:b/>
          <w:color w:val="000000"/>
          <w:sz w:val="24"/>
        </w:rPr>
        <w:t>经办人签名：                        经办人签名：</w:t>
      </w:r>
    </w:p>
    <w:p>
      <w:pPr>
        <w:spacing w:line="580" w:lineRule="exact"/>
        <w:ind w:firstLine="1200" w:firstLineChars="500"/>
        <w:rPr>
          <w:rFonts w:ascii="仿宋" w:hAnsi="仿宋" w:eastAsia="仿宋"/>
          <w:b/>
          <w:color w:val="000000"/>
          <w:sz w:val="32"/>
          <w:szCs w:val="32"/>
        </w:rPr>
      </w:pPr>
      <w:r>
        <w:rPr>
          <w:rFonts w:hint="eastAsia" w:ascii="仿宋" w:hAnsi="仿宋" w:eastAsia="仿宋"/>
          <w:color w:val="000000"/>
          <w:sz w:val="24"/>
        </w:rPr>
        <w:t>年   月   日                         年   月  日</w:t>
      </w:r>
    </w:p>
    <w:p>
      <w:pPr>
        <w:tabs>
          <w:tab w:val="left" w:pos="315"/>
        </w:tabs>
        <w:snapToGrid w:val="0"/>
        <w:spacing w:line="360" w:lineRule="auto"/>
        <w:ind w:firstLine="420" w:firstLineChars="200"/>
        <w:jc w:val="center"/>
        <w:rPr>
          <w:rFonts w:ascii="仿宋" w:hAnsi="仿宋" w:eastAsia="仿宋"/>
          <w:color w:val="000000"/>
        </w:rPr>
      </w:pPr>
    </w:p>
    <w:p>
      <w:pPr>
        <w:pStyle w:val="4"/>
      </w:pPr>
      <w:r>
        <w:rPr>
          <w:rFonts w:hint="eastAsia"/>
        </w:rPr>
        <w:br w:type="page"/>
      </w:r>
      <w:bookmarkStart w:id="40" w:name="_Toc56170392"/>
      <w:bookmarkStart w:id="41" w:name="_Toc61184635"/>
      <w:r>
        <w:rPr>
          <w:rFonts w:hint="eastAsia"/>
        </w:rPr>
        <w:t>第五章、投标文件格式</w:t>
      </w:r>
      <w:bookmarkEnd w:id="40"/>
      <w:bookmarkEnd w:id="41"/>
    </w:p>
    <w:p>
      <w:pPr>
        <w:pStyle w:val="25"/>
        <w:spacing w:line="360" w:lineRule="auto"/>
        <w:ind w:firstLine="1400" w:firstLineChars="200"/>
        <w:jc w:val="both"/>
        <w:rPr>
          <w:rFonts w:ascii="仿宋" w:hAnsi="仿宋" w:eastAsia="仿宋"/>
          <w:sz w:val="70"/>
        </w:rPr>
      </w:pPr>
    </w:p>
    <w:p>
      <w:pPr>
        <w:spacing w:line="360" w:lineRule="auto"/>
        <w:jc w:val="center"/>
        <w:rPr>
          <w:rFonts w:ascii="仿宋" w:hAnsi="仿宋" w:eastAsia="仿宋"/>
          <w:color w:val="000000"/>
          <w:sz w:val="72"/>
        </w:rPr>
      </w:pPr>
      <w:r>
        <w:rPr>
          <w:rFonts w:hint="eastAsia" w:ascii="仿宋" w:hAnsi="仿宋" w:eastAsia="仿宋"/>
          <w:color w:val="000000"/>
          <w:sz w:val="72"/>
          <w:u w:val="single"/>
        </w:rPr>
        <w:t xml:space="preserve">              </w:t>
      </w:r>
      <w:r>
        <w:rPr>
          <w:rFonts w:hint="eastAsia" w:ascii="仿宋" w:hAnsi="仿宋" w:eastAsia="仿宋"/>
          <w:color w:val="000000"/>
          <w:sz w:val="72"/>
        </w:rPr>
        <w:t>项目</w:t>
      </w:r>
    </w:p>
    <w:p>
      <w:pPr>
        <w:spacing w:line="360" w:lineRule="auto"/>
        <w:jc w:val="center"/>
        <w:rPr>
          <w:rFonts w:ascii="仿宋" w:hAnsi="仿宋" w:eastAsia="仿宋"/>
          <w:color w:val="000000"/>
          <w:sz w:val="72"/>
        </w:rPr>
      </w:pPr>
    </w:p>
    <w:p>
      <w:pPr>
        <w:spacing w:line="360" w:lineRule="auto"/>
        <w:jc w:val="center"/>
        <w:rPr>
          <w:rFonts w:ascii="仿宋" w:hAnsi="仿宋" w:eastAsia="仿宋"/>
          <w:color w:val="000000"/>
        </w:rPr>
      </w:pPr>
      <w:r>
        <w:rPr>
          <w:rFonts w:hint="eastAsia" w:ascii="仿宋" w:hAnsi="仿宋" w:eastAsia="仿宋"/>
          <w:color w:val="000000"/>
          <w:sz w:val="72"/>
        </w:rPr>
        <w:t>投标文件</w:t>
      </w:r>
    </w:p>
    <w:p>
      <w:pPr>
        <w:spacing w:line="360" w:lineRule="auto"/>
        <w:rPr>
          <w:rFonts w:ascii="仿宋" w:hAnsi="仿宋" w:eastAsia="仿宋"/>
          <w:color w:val="000000"/>
        </w:rPr>
      </w:pPr>
    </w:p>
    <w:p>
      <w:pPr>
        <w:spacing w:line="360" w:lineRule="auto"/>
        <w:ind w:firstLine="420"/>
        <w:rPr>
          <w:rFonts w:ascii="仿宋" w:hAnsi="仿宋" w:eastAsia="仿宋"/>
          <w:color w:val="000000"/>
        </w:rPr>
      </w:pPr>
    </w:p>
    <w:p>
      <w:pPr>
        <w:spacing w:line="360" w:lineRule="auto"/>
        <w:ind w:firstLine="880"/>
        <w:rPr>
          <w:rFonts w:ascii="仿宋" w:hAnsi="仿宋" w:eastAsia="仿宋"/>
          <w:color w:val="000000"/>
          <w:sz w:val="44"/>
        </w:rPr>
      </w:pPr>
    </w:p>
    <w:p>
      <w:pPr>
        <w:spacing w:line="360" w:lineRule="auto"/>
        <w:ind w:firstLine="880"/>
        <w:rPr>
          <w:rFonts w:ascii="仿宋" w:hAnsi="仿宋" w:eastAsia="仿宋"/>
          <w:color w:val="000000"/>
          <w:sz w:val="44"/>
        </w:rPr>
      </w:pPr>
      <w:r>
        <w:rPr>
          <w:rFonts w:hint="eastAsia" w:ascii="仿宋" w:hAnsi="仿宋" w:eastAsia="仿宋"/>
          <w:color w:val="000000"/>
          <w:sz w:val="44"/>
        </w:rPr>
        <w:t>项 目名 称：</w:t>
      </w:r>
    </w:p>
    <w:p>
      <w:pPr>
        <w:spacing w:line="360" w:lineRule="auto"/>
        <w:ind w:firstLine="880"/>
        <w:rPr>
          <w:rFonts w:ascii="仿宋" w:hAnsi="仿宋" w:eastAsia="仿宋"/>
          <w:color w:val="000000"/>
          <w:sz w:val="44"/>
        </w:rPr>
      </w:pPr>
    </w:p>
    <w:p>
      <w:pPr>
        <w:spacing w:line="360" w:lineRule="auto"/>
        <w:ind w:firstLine="880"/>
        <w:rPr>
          <w:rFonts w:ascii="仿宋" w:hAnsi="仿宋" w:eastAsia="仿宋"/>
          <w:color w:val="000000"/>
          <w:sz w:val="44"/>
        </w:rPr>
      </w:pPr>
      <w:r>
        <w:rPr>
          <w:rFonts w:hint="eastAsia" w:ascii="仿宋" w:hAnsi="仿宋" w:eastAsia="仿宋"/>
          <w:color w:val="000000"/>
          <w:sz w:val="44"/>
        </w:rPr>
        <w:t>供应商名称：</w:t>
      </w:r>
    </w:p>
    <w:p>
      <w:pPr>
        <w:spacing w:line="360" w:lineRule="auto"/>
        <w:ind w:firstLine="880"/>
        <w:rPr>
          <w:rFonts w:ascii="仿宋" w:hAnsi="仿宋" w:eastAsia="仿宋"/>
          <w:color w:val="000000"/>
          <w:sz w:val="44"/>
        </w:rPr>
      </w:pPr>
    </w:p>
    <w:p>
      <w:pPr>
        <w:spacing w:line="360" w:lineRule="auto"/>
        <w:ind w:firstLine="880"/>
        <w:rPr>
          <w:rFonts w:ascii="仿宋" w:hAnsi="仿宋" w:eastAsia="仿宋"/>
          <w:color w:val="000000"/>
        </w:rPr>
      </w:pPr>
      <w:r>
        <w:rPr>
          <w:rFonts w:hint="eastAsia" w:ascii="仿宋" w:hAnsi="仿宋" w:eastAsia="仿宋"/>
          <w:color w:val="000000"/>
          <w:sz w:val="44"/>
        </w:rPr>
        <w:t>供应商代表：</w:t>
      </w:r>
    </w:p>
    <w:p>
      <w:pPr>
        <w:spacing w:line="360" w:lineRule="auto"/>
        <w:ind w:firstLine="640"/>
        <w:rPr>
          <w:rFonts w:ascii="仿宋" w:hAnsi="仿宋" w:eastAsia="仿宋"/>
          <w:color w:val="000000"/>
          <w:sz w:val="32"/>
        </w:rPr>
      </w:pPr>
    </w:p>
    <w:p>
      <w:pPr>
        <w:spacing w:line="360" w:lineRule="auto"/>
        <w:ind w:firstLine="640"/>
        <w:rPr>
          <w:rFonts w:ascii="仿宋" w:hAnsi="仿宋" w:eastAsia="仿宋"/>
          <w:color w:val="000000"/>
          <w:sz w:val="32"/>
        </w:rPr>
      </w:pPr>
    </w:p>
    <w:p>
      <w:pPr>
        <w:spacing w:line="360" w:lineRule="auto"/>
        <w:ind w:firstLine="720"/>
        <w:jc w:val="center"/>
        <w:rPr>
          <w:rFonts w:ascii="仿宋" w:hAnsi="仿宋" w:eastAsia="仿宋"/>
          <w:color w:val="000000"/>
          <w:sz w:val="36"/>
        </w:rPr>
      </w:pPr>
      <w:r>
        <w:rPr>
          <w:rFonts w:hint="eastAsia" w:ascii="仿宋" w:hAnsi="仿宋" w:eastAsia="仿宋"/>
          <w:color w:val="000000"/>
          <w:sz w:val="36"/>
        </w:rPr>
        <w:t>年      月      日</w:t>
      </w:r>
    </w:p>
    <w:p>
      <w:pPr>
        <w:pStyle w:val="6"/>
      </w:pPr>
      <w:r>
        <w:rPr>
          <w:rFonts w:hint="eastAsia"/>
          <w:sz w:val="36"/>
        </w:rPr>
        <w:br w:type="page"/>
      </w:r>
      <w:bookmarkStart w:id="42" w:name="_Toc10657"/>
      <w:bookmarkStart w:id="43" w:name="_Toc61184636"/>
      <w:bookmarkStart w:id="44" w:name="_Toc56170393"/>
      <w:r>
        <w:rPr>
          <w:rFonts w:hint="eastAsia"/>
        </w:rPr>
        <w:t>附件一、投标书</w:t>
      </w:r>
      <w:bookmarkEnd w:id="42"/>
      <w:bookmarkEnd w:id="43"/>
      <w:bookmarkEnd w:id="44"/>
    </w:p>
    <w:p>
      <w:pPr>
        <w:pStyle w:val="26"/>
        <w:spacing w:line="360" w:lineRule="auto"/>
        <w:ind w:firstLine="0" w:firstLineChars="0"/>
        <w:jc w:val="both"/>
        <w:rPr>
          <w:rFonts w:ascii="仿宋" w:hAnsi="仿宋" w:eastAsia="仿宋"/>
          <w:b w:val="0"/>
          <w:color w:val="000000"/>
          <w:sz w:val="28"/>
          <w:szCs w:val="16"/>
        </w:rPr>
      </w:pPr>
      <w:r>
        <w:rPr>
          <w:rFonts w:hint="eastAsia" w:ascii="仿宋" w:hAnsi="仿宋" w:eastAsia="仿宋"/>
          <w:b w:val="0"/>
          <w:color w:val="000000"/>
          <w:sz w:val="28"/>
          <w:szCs w:val="16"/>
        </w:rPr>
        <w:t>中科高盛咨询集团有限公司：</w:t>
      </w:r>
    </w:p>
    <w:p>
      <w:pPr>
        <w:spacing w:line="360" w:lineRule="auto"/>
        <w:ind w:firstLine="420"/>
        <w:rPr>
          <w:rFonts w:ascii="仿宋" w:hAnsi="仿宋" w:eastAsia="仿宋"/>
          <w:color w:val="000000"/>
        </w:rPr>
      </w:pPr>
    </w:p>
    <w:p>
      <w:pPr>
        <w:spacing w:line="360" w:lineRule="auto"/>
        <w:ind w:firstLine="560"/>
        <w:rPr>
          <w:rFonts w:ascii="仿宋" w:hAnsi="仿宋" w:eastAsia="仿宋"/>
          <w:color w:val="000000"/>
          <w:sz w:val="28"/>
        </w:rPr>
      </w:pPr>
      <w:r>
        <w:rPr>
          <w:rFonts w:hint="eastAsia" w:ascii="仿宋" w:hAnsi="仿宋" w:eastAsia="仿宋"/>
          <w:color w:val="000000"/>
          <w:sz w:val="28"/>
        </w:rPr>
        <w:t>我们收到你们</w:t>
      </w:r>
      <w:r>
        <w:rPr>
          <w:rFonts w:hint="eastAsia" w:ascii="仿宋" w:hAnsi="仿宋" w:eastAsia="仿宋"/>
          <w:color w:val="000000"/>
          <w:sz w:val="28"/>
          <w:u w:val="single"/>
        </w:rPr>
        <w:t xml:space="preserve">             </w:t>
      </w:r>
      <w:r>
        <w:rPr>
          <w:rFonts w:hint="eastAsia" w:ascii="仿宋" w:hAnsi="仿宋" w:eastAsia="仿宋"/>
          <w:color w:val="000000"/>
          <w:sz w:val="28"/>
        </w:rPr>
        <w:t xml:space="preserve"> 招标文件，经认真研究，我们决定参加投标。</w:t>
      </w:r>
    </w:p>
    <w:p>
      <w:pPr>
        <w:spacing w:line="360" w:lineRule="auto"/>
        <w:ind w:firstLine="560"/>
        <w:rPr>
          <w:rFonts w:ascii="仿宋" w:hAnsi="仿宋" w:eastAsia="仿宋"/>
          <w:color w:val="000000"/>
          <w:sz w:val="28"/>
        </w:rPr>
      </w:pPr>
      <w:r>
        <w:rPr>
          <w:rFonts w:hint="eastAsia" w:ascii="仿宋" w:hAnsi="仿宋" w:eastAsia="仿宋"/>
          <w:color w:val="000000"/>
          <w:sz w:val="28"/>
        </w:rPr>
        <w:t xml:space="preserve">⒈按照招标文件中的一切要求，提供投标货物、安装及技术服务，投标总价 </w:t>
      </w:r>
      <w:r>
        <w:rPr>
          <w:rFonts w:hint="eastAsia" w:ascii="仿宋" w:hAnsi="仿宋" w:eastAsia="仿宋"/>
          <w:color w:val="000000"/>
          <w:sz w:val="28"/>
          <w:u w:val="single"/>
        </w:rPr>
        <w:t xml:space="preserve">                       </w:t>
      </w:r>
      <w:r>
        <w:rPr>
          <w:rFonts w:hint="eastAsia" w:ascii="仿宋" w:hAnsi="仿宋" w:eastAsia="仿宋"/>
          <w:color w:val="000000"/>
          <w:sz w:val="28"/>
        </w:rPr>
        <w:t>万元（人民币大写）￥：</w:t>
      </w:r>
      <w:r>
        <w:rPr>
          <w:rFonts w:hint="eastAsia" w:ascii="仿宋" w:hAnsi="仿宋" w:eastAsia="仿宋"/>
          <w:color w:val="000000"/>
          <w:sz w:val="28"/>
          <w:u w:val="single"/>
        </w:rPr>
        <w:t xml:space="preserve">          </w:t>
      </w:r>
      <w:r>
        <w:rPr>
          <w:rFonts w:hint="eastAsia" w:ascii="仿宋" w:hAnsi="仿宋" w:eastAsia="仿宋"/>
          <w:color w:val="000000"/>
          <w:sz w:val="28"/>
        </w:rPr>
        <w:t>万元（用阿拉伯数字书写）人民币，明细见投标产品名称数量报价表。</w:t>
      </w:r>
    </w:p>
    <w:p>
      <w:pPr>
        <w:spacing w:line="360" w:lineRule="auto"/>
        <w:ind w:firstLine="560"/>
        <w:rPr>
          <w:rFonts w:ascii="仿宋" w:hAnsi="仿宋" w:eastAsia="仿宋"/>
          <w:color w:val="000000"/>
          <w:sz w:val="28"/>
        </w:rPr>
      </w:pPr>
      <w:r>
        <w:rPr>
          <w:rFonts w:hint="eastAsia" w:ascii="仿宋" w:hAnsi="仿宋" w:eastAsia="仿宋"/>
          <w:color w:val="000000"/>
          <w:sz w:val="28"/>
        </w:rPr>
        <w:t>⒉如果我们的响应文件被接受，我们将履行招标文件中规定的每一项要求，按期、按质、按量完成交货和完工任务。</w:t>
      </w:r>
    </w:p>
    <w:p>
      <w:pPr>
        <w:spacing w:line="360" w:lineRule="auto"/>
        <w:ind w:firstLine="560"/>
        <w:rPr>
          <w:rFonts w:ascii="仿宋" w:hAnsi="仿宋" w:eastAsia="仿宋"/>
          <w:color w:val="000000"/>
          <w:sz w:val="28"/>
        </w:rPr>
      </w:pPr>
      <w:r>
        <w:rPr>
          <w:rFonts w:hint="eastAsia" w:ascii="仿宋" w:hAnsi="仿宋" w:eastAsia="仿宋"/>
          <w:color w:val="000000"/>
          <w:sz w:val="28"/>
        </w:rPr>
        <w:t>⒊我们同意按招标文件的规定，本响应文件的有效期为投标截止后</w:t>
      </w:r>
      <w:r>
        <w:rPr>
          <w:rFonts w:hint="eastAsia" w:ascii="仿宋" w:hAnsi="仿宋" w:eastAsia="仿宋"/>
          <w:color w:val="000000"/>
          <w:sz w:val="28"/>
          <w:u w:val="single"/>
        </w:rPr>
        <w:t xml:space="preserve"> 90 </w:t>
      </w:r>
      <w:r>
        <w:rPr>
          <w:rFonts w:hint="eastAsia" w:ascii="仿宋" w:hAnsi="仿宋" w:eastAsia="仿宋"/>
          <w:color w:val="000000"/>
          <w:sz w:val="28"/>
        </w:rPr>
        <w:t>天。</w:t>
      </w:r>
    </w:p>
    <w:p>
      <w:pPr>
        <w:spacing w:line="360" w:lineRule="auto"/>
        <w:ind w:firstLine="560"/>
        <w:rPr>
          <w:rFonts w:ascii="仿宋" w:hAnsi="仿宋" w:eastAsia="仿宋"/>
          <w:color w:val="000000"/>
          <w:sz w:val="28"/>
        </w:rPr>
      </w:pPr>
      <w:r>
        <w:rPr>
          <w:rFonts w:hint="eastAsia" w:ascii="仿宋" w:hAnsi="仿宋" w:eastAsia="仿宋"/>
          <w:color w:val="000000"/>
          <w:sz w:val="28"/>
        </w:rPr>
        <w:t>⒋我们愿意提供采购人在招标文件中要求的所有资料。</w:t>
      </w:r>
    </w:p>
    <w:p>
      <w:pPr>
        <w:spacing w:line="360" w:lineRule="auto"/>
        <w:ind w:firstLine="560"/>
        <w:rPr>
          <w:rFonts w:ascii="仿宋" w:hAnsi="仿宋" w:eastAsia="仿宋"/>
          <w:color w:val="000000"/>
          <w:sz w:val="28"/>
        </w:rPr>
      </w:pPr>
      <w:r>
        <w:rPr>
          <w:rFonts w:hint="eastAsia" w:ascii="仿宋" w:hAnsi="仿宋" w:eastAsia="仿宋"/>
          <w:color w:val="000000"/>
          <w:sz w:val="28"/>
        </w:rPr>
        <w:t>⒌我们认为你们有选择或拒绝任何投标者成交的权力。我们理解，最低报价不是成交的唯一条件。</w:t>
      </w:r>
    </w:p>
    <w:p>
      <w:pPr>
        <w:spacing w:line="360" w:lineRule="auto"/>
        <w:ind w:firstLine="560"/>
        <w:rPr>
          <w:rFonts w:ascii="仿宋" w:hAnsi="仿宋" w:eastAsia="仿宋"/>
          <w:color w:val="000000"/>
          <w:sz w:val="28"/>
        </w:rPr>
      </w:pPr>
      <w:r>
        <w:rPr>
          <w:rFonts w:hint="eastAsia" w:ascii="仿宋" w:hAnsi="仿宋" w:eastAsia="仿宋"/>
          <w:color w:val="000000"/>
          <w:sz w:val="28"/>
        </w:rPr>
        <w:t>⒍我们愿按合同法履行自己的全部责任。</w:t>
      </w:r>
    </w:p>
    <w:p>
      <w:pPr>
        <w:spacing w:line="360" w:lineRule="auto"/>
        <w:ind w:firstLine="560"/>
        <w:rPr>
          <w:rFonts w:ascii="仿宋" w:hAnsi="仿宋" w:eastAsia="仿宋"/>
          <w:color w:val="000000"/>
          <w:sz w:val="28"/>
        </w:rPr>
      </w:pPr>
      <w:r>
        <w:rPr>
          <w:rFonts w:hint="eastAsia" w:ascii="仿宋" w:hAnsi="仿宋" w:eastAsia="仿宋"/>
          <w:color w:val="000000"/>
          <w:sz w:val="28"/>
        </w:rPr>
        <w:t>⒎我方愿意遵守国家有关规定及招标文件中规定的收费标准，承付成交服务费。</w:t>
      </w:r>
    </w:p>
    <w:p>
      <w:pPr>
        <w:spacing w:line="360" w:lineRule="auto"/>
        <w:ind w:firstLine="560"/>
        <w:rPr>
          <w:rFonts w:ascii="仿宋" w:hAnsi="仿宋" w:eastAsia="仿宋"/>
          <w:color w:val="000000"/>
          <w:sz w:val="28"/>
        </w:rPr>
      </w:pPr>
      <w:r>
        <w:rPr>
          <w:rFonts w:hint="eastAsia" w:ascii="仿宋" w:hAnsi="仿宋" w:eastAsia="仿宋"/>
          <w:color w:val="000000"/>
          <w:sz w:val="28"/>
        </w:rPr>
        <w:t>⒏该项承诺在开标后的全过程中保持有效，不作任何更改和变动。</w:t>
      </w:r>
    </w:p>
    <w:p>
      <w:pPr>
        <w:spacing w:line="360" w:lineRule="auto"/>
        <w:ind w:firstLine="560"/>
        <w:rPr>
          <w:rFonts w:ascii="仿宋" w:hAnsi="仿宋" w:eastAsia="仿宋"/>
          <w:color w:val="000000"/>
          <w:sz w:val="28"/>
        </w:rPr>
      </w:pPr>
      <w:r>
        <w:rPr>
          <w:rFonts w:hint="eastAsia" w:ascii="仿宋" w:hAnsi="仿宋" w:eastAsia="仿宋"/>
          <w:color w:val="000000"/>
          <w:sz w:val="28"/>
        </w:rPr>
        <w:t>⒐我们同意按招标文件规定，交纳</w:t>
      </w:r>
      <w:r>
        <w:rPr>
          <w:rFonts w:hint="eastAsia" w:ascii="仿宋" w:hAnsi="仿宋" w:eastAsia="仿宋"/>
          <w:color w:val="000000"/>
          <w:sz w:val="28"/>
          <w:u w:val="single"/>
        </w:rPr>
        <w:t xml:space="preserve">             </w:t>
      </w:r>
      <w:r>
        <w:rPr>
          <w:rFonts w:hint="eastAsia" w:ascii="仿宋" w:hAnsi="仿宋" w:eastAsia="仿宋"/>
          <w:color w:val="000000"/>
          <w:sz w:val="28"/>
        </w:rPr>
        <w:t>元的投标保证金。并同意在确定最终成交供应商、发出成交通知书之后5个工作日内退还我公司的投标保证金。（如因特殊原因，在投标有效期之后确定成交供应商，本承诺依然有效。）</w:t>
      </w:r>
    </w:p>
    <w:p>
      <w:pPr>
        <w:spacing w:line="360" w:lineRule="auto"/>
        <w:ind w:firstLine="560"/>
        <w:rPr>
          <w:rFonts w:ascii="仿宋" w:hAnsi="仿宋" w:eastAsia="仿宋"/>
          <w:color w:val="000000"/>
          <w:sz w:val="28"/>
        </w:rPr>
      </w:pPr>
      <w:r>
        <w:rPr>
          <w:rFonts w:hint="eastAsia" w:ascii="仿宋" w:hAnsi="仿宋" w:eastAsia="仿宋"/>
          <w:color w:val="000000"/>
          <w:sz w:val="28"/>
        </w:rPr>
        <w:t>⒑综合说明：</w:t>
      </w:r>
    </w:p>
    <w:p>
      <w:pPr>
        <w:spacing w:line="360" w:lineRule="auto"/>
        <w:ind w:firstLine="560"/>
        <w:rPr>
          <w:rFonts w:ascii="仿宋" w:hAnsi="仿宋" w:eastAsia="仿宋"/>
          <w:color w:val="000000"/>
          <w:sz w:val="28"/>
        </w:rPr>
      </w:pPr>
      <w:r>
        <w:rPr>
          <w:rFonts w:hint="eastAsia" w:ascii="仿宋" w:hAnsi="仿宋" w:eastAsia="仿宋"/>
          <w:color w:val="000000"/>
          <w:sz w:val="28"/>
        </w:rPr>
        <w:t>（1）材料的详细技术参数、技术条件、技术标准、拟达到的质量标准和保险期限。</w:t>
      </w:r>
    </w:p>
    <w:p>
      <w:pPr>
        <w:spacing w:line="360" w:lineRule="auto"/>
        <w:ind w:firstLine="560"/>
        <w:rPr>
          <w:rFonts w:ascii="仿宋" w:hAnsi="仿宋" w:eastAsia="仿宋"/>
          <w:color w:val="000000"/>
          <w:sz w:val="28"/>
        </w:rPr>
      </w:pPr>
      <w:r>
        <w:rPr>
          <w:rFonts w:hint="eastAsia" w:ascii="仿宋" w:hAnsi="仿宋" w:eastAsia="仿宋"/>
          <w:color w:val="000000"/>
          <w:sz w:val="28"/>
        </w:rPr>
        <w:t>（2）易损件、配件及供应方式。</w:t>
      </w:r>
    </w:p>
    <w:p>
      <w:pPr>
        <w:spacing w:line="360" w:lineRule="auto"/>
        <w:ind w:firstLine="560"/>
        <w:rPr>
          <w:rFonts w:ascii="仿宋" w:hAnsi="仿宋" w:eastAsia="仿宋"/>
          <w:color w:val="000000"/>
          <w:sz w:val="28"/>
        </w:rPr>
      </w:pPr>
      <w:r>
        <w:rPr>
          <w:rFonts w:hint="eastAsia" w:ascii="仿宋" w:hAnsi="仿宋" w:eastAsia="仿宋"/>
          <w:color w:val="000000"/>
          <w:sz w:val="28"/>
        </w:rPr>
        <w:t>（3）工程安装计划、组织机构及人员安排。</w:t>
      </w:r>
    </w:p>
    <w:p>
      <w:pPr>
        <w:spacing w:line="360" w:lineRule="auto"/>
        <w:ind w:firstLine="560"/>
        <w:rPr>
          <w:rFonts w:ascii="仿宋" w:hAnsi="仿宋" w:eastAsia="仿宋"/>
          <w:color w:val="000000"/>
          <w:sz w:val="28"/>
        </w:rPr>
      </w:pPr>
      <w:r>
        <w:rPr>
          <w:rFonts w:hint="eastAsia" w:ascii="仿宋" w:hAnsi="仿宋" w:eastAsia="仿宋"/>
          <w:color w:val="000000"/>
          <w:sz w:val="28"/>
        </w:rPr>
        <w:t>（5）技术服务。</w:t>
      </w:r>
    </w:p>
    <w:p>
      <w:pPr>
        <w:spacing w:line="360" w:lineRule="auto"/>
        <w:ind w:firstLine="560"/>
        <w:rPr>
          <w:rFonts w:ascii="仿宋" w:hAnsi="仿宋" w:eastAsia="仿宋"/>
          <w:color w:val="000000"/>
          <w:sz w:val="28"/>
        </w:rPr>
      </w:pPr>
      <w:r>
        <w:rPr>
          <w:rFonts w:hint="eastAsia" w:ascii="仿宋" w:hAnsi="仿宋" w:eastAsia="仿宋"/>
          <w:color w:val="000000"/>
          <w:sz w:val="28"/>
        </w:rPr>
        <w:t>（6）运输方式。</w:t>
      </w:r>
    </w:p>
    <w:p>
      <w:pPr>
        <w:spacing w:line="360" w:lineRule="auto"/>
        <w:ind w:firstLine="560"/>
        <w:rPr>
          <w:rFonts w:ascii="仿宋" w:hAnsi="仿宋" w:eastAsia="仿宋"/>
          <w:color w:val="000000"/>
          <w:sz w:val="28"/>
        </w:rPr>
      </w:pPr>
      <w:r>
        <w:rPr>
          <w:rFonts w:hint="eastAsia" w:ascii="仿宋" w:hAnsi="仿宋" w:eastAsia="仿宋"/>
          <w:color w:val="000000"/>
          <w:sz w:val="28"/>
        </w:rPr>
        <w:t>（7）要求项目单位提供的配合。</w:t>
      </w:r>
    </w:p>
    <w:p>
      <w:pPr>
        <w:spacing w:line="360" w:lineRule="auto"/>
        <w:ind w:firstLine="560"/>
        <w:rPr>
          <w:rFonts w:ascii="仿宋" w:hAnsi="仿宋" w:eastAsia="仿宋"/>
          <w:color w:val="000000"/>
          <w:sz w:val="28"/>
        </w:rPr>
      </w:pPr>
      <w:r>
        <w:rPr>
          <w:rFonts w:hint="eastAsia" w:ascii="仿宋" w:hAnsi="仿宋" w:eastAsia="仿宋"/>
          <w:color w:val="000000"/>
          <w:sz w:val="28"/>
        </w:rPr>
        <w:t>（8）对招标文件内容有不同意见的偏离说明。</w:t>
      </w:r>
    </w:p>
    <w:p>
      <w:pPr>
        <w:spacing w:line="360" w:lineRule="auto"/>
        <w:ind w:firstLine="560"/>
        <w:rPr>
          <w:rFonts w:ascii="仿宋" w:hAnsi="仿宋" w:eastAsia="仿宋"/>
          <w:color w:val="000000"/>
          <w:sz w:val="28"/>
        </w:rPr>
      </w:pPr>
      <w:r>
        <w:rPr>
          <w:rFonts w:hint="eastAsia" w:ascii="仿宋" w:hAnsi="仿宋" w:eastAsia="仿宋"/>
          <w:color w:val="000000"/>
          <w:sz w:val="28"/>
        </w:rPr>
        <w:t>（9）其它。</w:t>
      </w:r>
    </w:p>
    <w:p>
      <w:pPr>
        <w:spacing w:line="360" w:lineRule="auto"/>
        <w:ind w:firstLine="560"/>
        <w:rPr>
          <w:rFonts w:ascii="仿宋" w:hAnsi="仿宋" w:eastAsia="仿宋"/>
          <w:color w:val="000000"/>
          <w:sz w:val="28"/>
        </w:rPr>
      </w:pPr>
      <w:r>
        <w:rPr>
          <w:rFonts w:hint="eastAsia" w:ascii="仿宋" w:hAnsi="仿宋" w:eastAsia="仿宋"/>
          <w:color w:val="000000"/>
          <w:sz w:val="28"/>
        </w:rPr>
        <w:t>11.所有有关本标书的函电，请按下列地址联系：</w:t>
      </w:r>
    </w:p>
    <w:p>
      <w:pPr>
        <w:spacing w:line="360" w:lineRule="auto"/>
        <w:ind w:firstLine="560"/>
        <w:rPr>
          <w:rFonts w:ascii="仿宋" w:hAnsi="仿宋" w:eastAsia="仿宋"/>
          <w:color w:val="000000"/>
          <w:sz w:val="28"/>
        </w:rPr>
      </w:pPr>
      <w:r>
        <w:rPr>
          <w:rFonts w:hint="eastAsia" w:ascii="仿宋" w:hAnsi="仿宋" w:eastAsia="仿宋"/>
          <w:color w:val="000000"/>
          <w:sz w:val="28"/>
        </w:rPr>
        <w:t>单       位：</w:t>
      </w:r>
    </w:p>
    <w:p>
      <w:pPr>
        <w:spacing w:line="360" w:lineRule="auto"/>
        <w:ind w:firstLine="560"/>
        <w:rPr>
          <w:rFonts w:ascii="仿宋" w:hAnsi="仿宋" w:eastAsia="仿宋"/>
          <w:color w:val="000000"/>
          <w:sz w:val="28"/>
        </w:rPr>
      </w:pPr>
      <w:r>
        <w:rPr>
          <w:rFonts w:hint="eastAsia" w:ascii="仿宋" w:hAnsi="仿宋" w:eastAsia="仿宋"/>
          <w:color w:val="000000"/>
          <w:sz w:val="28"/>
        </w:rPr>
        <w:t>地       址：</w:t>
      </w:r>
    </w:p>
    <w:p>
      <w:pPr>
        <w:spacing w:line="360" w:lineRule="auto"/>
        <w:ind w:firstLine="560"/>
        <w:rPr>
          <w:rFonts w:ascii="仿宋" w:hAnsi="仿宋" w:eastAsia="仿宋"/>
          <w:color w:val="000000"/>
          <w:sz w:val="28"/>
        </w:rPr>
      </w:pPr>
      <w:r>
        <w:rPr>
          <w:rFonts w:hint="eastAsia" w:ascii="仿宋" w:hAnsi="仿宋" w:eastAsia="仿宋"/>
          <w:color w:val="000000"/>
          <w:sz w:val="28"/>
        </w:rPr>
        <w:t>电       话：</w:t>
      </w:r>
    </w:p>
    <w:p>
      <w:pPr>
        <w:spacing w:line="360" w:lineRule="auto"/>
        <w:ind w:firstLine="560"/>
        <w:rPr>
          <w:rFonts w:ascii="仿宋" w:hAnsi="仿宋" w:eastAsia="仿宋"/>
          <w:color w:val="000000"/>
          <w:sz w:val="28"/>
        </w:rPr>
      </w:pPr>
      <w:r>
        <w:rPr>
          <w:rFonts w:hint="eastAsia" w:ascii="仿宋" w:hAnsi="仿宋" w:eastAsia="仿宋"/>
          <w:color w:val="000000"/>
          <w:sz w:val="28"/>
        </w:rPr>
        <w:t>传       真：</w:t>
      </w:r>
    </w:p>
    <w:p>
      <w:pPr>
        <w:spacing w:line="360" w:lineRule="auto"/>
        <w:ind w:firstLine="560"/>
        <w:rPr>
          <w:rFonts w:ascii="仿宋" w:hAnsi="仿宋" w:eastAsia="仿宋"/>
          <w:color w:val="000000"/>
          <w:sz w:val="28"/>
        </w:rPr>
      </w:pPr>
      <w:r>
        <w:rPr>
          <w:rFonts w:hint="eastAsia" w:ascii="仿宋" w:hAnsi="仿宋" w:eastAsia="仿宋"/>
          <w:color w:val="000000"/>
          <w:sz w:val="28"/>
        </w:rPr>
        <w:t>邮 政 编 码：</w:t>
      </w:r>
    </w:p>
    <w:p>
      <w:pPr>
        <w:spacing w:line="360" w:lineRule="auto"/>
        <w:ind w:firstLine="560"/>
        <w:rPr>
          <w:rFonts w:ascii="仿宋" w:hAnsi="仿宋" w:eastAsia="仿宋"/>
          <w:color w:val="000000"/>
          <w:sz w:val="28"/>
        </w:rPr>
      </w:pPr>
      <w:r>
        <w:rPr>
          <w:rFonts w:hint="eastAsia" w:ascii="仿宋" w:hAnsi="仿宋" w:eastAsia="仿宋"/>
          <w:color w:val="000000"/>
          <w:sz w:val="28"/>
        </w:rPr>
        <w:t>联  系  人：</w:t>
      </w:r>
    </w:p>
    <w:p>
      <w:pPr>
        <w:spacing w:line="360" w:lineRule="auto"/>
        <w:ind w:firstLine="560"/>
        <w:rPr>
          <w:rFonts w:ascii="仿宋" w:hAnsi="仿宋" w:eastAsia="仿宋"/>
          <w:color w:val="000000"/>
          <w:sz w:val="28"/>
        </w:rPr>
      </w:pPr>
    </w:p>
    <w:p>
      <w:pPr>
        <w:spacing w:line="360" w:lineRule="auto"/>
        <w:ind w:firstLine="560"/>
        <w:rPr>
          <w:rFonts w:ascii="仿宋" w:hAnsi="仿宋" w:eastAsia="仿宋"/>
          <w:color w:val="000000"/>
          <w:sz w:val="28"/>
        </w:rPr>
      </w:pPr>
      <w:r>
        <w:rPr>
          <w:rFonts w:hint="eastAsia" w:ascii="仿宋" w:hAnsi="仿宋" w:eastAsia="仿宋"/>
          <w:color w:val="000000"/>
          <w:sz w:val="28"/>
        </w:rPr>
        <w:t>供应商：（公章）</w:t>
      </w:r>
    </w:p>
    <w:p>
      <w:pPr>
        <w:spacing w:line="360" w:lineRule="auto"/>
        <w:ind w:firstLine="560"/>
        <w:rPr>
          <w:rFonts w:ascii="仿宋" w:hAnsi="仿宋" w:eastAsia="仿宋"/>
          <w:color w:val="000000"/>
          <w:sz w:val="28"/>
        </w:rPr>
      </w:pPr>
      <w:r>
        <w:rPr>
          <w:rFonts w:hint="eastAsia" w:ascii="仿宋" w:hAnsi="仿宋" w:eastAsia="仿宋"/>
          <w:color w:val="000000"/>
          <w:sz w:val="28"/>
        </w:rPr>
        <w:t>授权代表签字：</w:t>
      </w:r>
    </w:p>
    <w:p>
      <w:pPr>
        <w:spacing w:line="360" w:lineRule="auto"/>
        <w:ind w:firstLine="560"/>
        <w:rPr>
          <w:rFonts w:ascii="仿宋" w:hAnsi="仿宋" w:eastAsia="仿宋"/>
          <w:color w:val="000000"/>
          <w:sz w:val="28"/>
        </w:rPr>
      </w:pPr>
    </w:p>
    <w:p>
      <w:pPr>
        <w:spacing w:line="360" w:lineRule="auto"/>
        <w:ind w:firstLine="4877" w:firstLineChars="1742"/>
        <w:rPr>
          <w:rFonts w:ascii="仿宋" w:hAnsi="仿宋" w:eastAsia="仿宋"/>
          <w:color w:val="000000"/>
          <w:sz w:val="28"/>
        </w:rPr>
      </w:pPr>
      <w:r>
        <w:rPr>
          <w:rFonts w:hint="eastAsia" w:ascii="仿宋" w:hAnsi="仿宋" w:eastAsia="仿宋"/>
          <w:color w:val="000000"/>
          <w:sz w:val="28"/>
        </w:rPr>
        <w:t>年   月    日</w:t>
      </w:r>
    </w:p>
    <w:p>
      <w:pPr>
        <w:pStyle w:val="6"/>
      </w:pPr>
      <w:r>
        <w:rPr>
          <w:rFonts w:hint="eastAsia"/>
        </w:rPr>
        <w:br w:type="page"/>
      </w:r>
      <w:bookmarkStart w:id="45" w:name="_Toc61184637"/>
      <w:bookmarkStart w:id="46" w:name="_Toc26466"/>
      <w:bookmarkStart w:id="47" w:name="_Toc56170394"/>
      <w:r>
        <w:rPr>
          <w:rFonts w:hint="eastAsia"/>
        </w:rPr>
        <w:t>附件二、</w:t>
      </w:r>
      <w:r>
        <w:t>法定代表人资格证明书</w:t>
      </w:r>
      <w:bookmarkEnd w:id="45"/>
      <w:bookmarkEnd w:id="46"/>
      <w:bookmarkEnd w:id="47"/>
    </w:p>
    <w:p>
      <w:pPr>
        <w:spacing w:line="360" w:lineRule="auto"/>
        <w:rPr>
          <w:rFonts w:ascii="仿宋" w:hAnsi="仿宋" w:eastAsia="仿宋"/>
          <w:color w:val="000000"/>
          <w:szCs w:val="21"/>
        </w:rPr>
      </w:pPr>
    </w:p>
    <w:p>
      <w:pPr>
        <w:pStyle w:val="23"/>
        <w:spacing w:line="360" w:lineRule="auto"/>
        <w:ind w:firstLine="560"/>
        <w:rPr>
          <w:rFonts w:ascii="仿宋" w:hAnsi="仿宋" w:eastAsia="仿宋"/>
          <w:color w:val="000000"/>
          <w:u w:val="single"/>
        </w:rPr>
      </w:pPr>
      <w:r>
        <w:rPr>
          <w:rFonts w:ascii="仿宋" w:hAnsi="仿宋" w:eastAsia="仿宋"/>
          <w:color w:val="000000"/>
        </w:rPr>
        <w:t>单位名称：</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r>
        <w:rPr>
          <w:rFonts w:hint="eastAsia" w:ascii="仿宋" w:hAnsi="仿宋" w:eastAsia="仿宋"/>
          <w:color w:val="000000"/>
        </w:rPr>
        <w:t>；</w:t>
      </w:r>
    </w:p>
    <w:p>
      <w:pPr>
        <w:pStyle w:val="23"/>
        <w:spacing w:line="360" w:lineRule="auto"/>
        <w:ind w:firstLine="560"/>
        <w:rPr>
          <w:rFonts w:ascii="仿宋" w:hAnsi="仿宋" w:eastAsia="仿宋"/>
          <w:color w:val="000000"/>
        </w:rPr>
      </w:pPr>
      <w:r>
        <w:rPr>
          <w:rFonts w:ascii="仿宋" w:hAnsi="仿宋" w:eastAsia="仿宋"/>
          <w:color w:val="000000"/>
        </w:rPr>
        <w:t>地    址：</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r>
        <w:rPr>
          <w:rFonts w:hint="eastAsia" w:ascii="仿宋" w:hAnsi="仿宋" w:eastAsia="仿宋"/>
          <w:color w:val="000000"/>
        </w:rPr>
        <w:t>；</w:t>
      </w:r>
    </w:p>
    <w:p>
      <w:pPr>
        <w:pStyle w:val="23"/>
        <w:spacing w:line="360" w:lineRule="auto"/>
        <w:ind w:firstLine="560"/>
        <w:rPr>
          <w:rFonts w:ascii="仿宋" w:hAnsi="仿宋" w:eastAsia="仿宋"/>
          <w:color w:val="000000"/>
        </w:rPr>
      </w:pPr>
      <w:r>
        <w:rPr>
          <w:rFonts w:ascii="仿宋" w:hAnsi="仿宋" w:eastAsia="仿宋"/>
          <w:color w:val="000000"/>
        </w:rPr>
        <w:t>姓    名：</w:t>
      </w:r>
      <w:r>
        <w:rPr>
          <w:rFonts w:ascii="仿宋" w:hAnsi="仿宋" w:eastAsia="仿宋"/>
          <w:color w:val="000000"/>
          <w:u w:val="single"/>
        </w:rPr>
        <w:t xml:space="preserve">           </w:t>
      </w:r>
      <w:r>
        <w:rPr>
          <w:rFonts w:ascii="仿宋" w:hAnsi="仿宋" w:eastAsia="仿宋"/>
          <w:color w:val="000000"/>
        </w:rPr>
        <w:t>性别：</w:t>
      </w:r>
      <w:r>
        <w:rPr>
          <w:rFonts w:ascii="仿宋" w:hAnsi="仿宋" w:eastAsia="仿宋"/>
          <w:color w:val="000000"/>
          <w:u w:val="single"/>
        </w:rPr>
        <w:t xml:space="preserve">      </w:t>
      </w:r>
      <w:r>
        <w:rPr>
          <w:rFonts w:ascii="仿宋" w:hAnsi="仿宋" w:eastAsia="仿宋"/>
          <w:color w:val="000000"/>
        </w:rPr>
        <w:t>年龄：</w:t>
      </w:r>
      <w:r>
        <w:rPr>
          <w:rFonts w:ascii="仿宋" w:hAnsi="仿宋" w:eastAsia="仿宋"/>
          <w:color w:val="000000"/>
          <w:u w:val="single"/>
        </w:rPr>
        <w:t xml:space="preserve">      </w:t>
      </w:r>
      <w:r>
        <w:rPr>
          <w:rFonts w:ascii="仿宋" w:hAnsi="仿宋" w:eastAsia="仿宋"/>
          <w:color w:val="000000"/>
        </w:rPr>
        <w:t>职务：</w:t>
      </w:r>
      <w:r>
        <w:rPr>
          <w:rFonts w:ascii="仿宋" w:hAnsi="仿宋" w:eastAsia="仿宋"/>
          <w:color w:val="000000"/>
          <w:u w:val="single"/>
        </w:rPr>
        <w:t xml:space="preserve">        </w:t>
      </w:r>
      <w:r>
        <w:rPr>
          <w:rFonts w:hint="eastAsia" w:ascii="仿宋" w:hAnsi="仿宋" w:eastAsia="仿宋"/>
          <w:color w:val="000000"/>
        </w:rPr>
        <w:t>；</w:t>
      </w:r>
    </w:p>
    <w:p>
      <w:pPr>
        <w:pStyle w:val="23"/>
        <w:spacing w:line="360" w:lineRule="auto"/>
        <w:ind w:firstLine="560"/>
        <w:rPr>
          <w:rFonts w:ascii="仿宋" w:hAnsi="仿宋" w:eastAsia="仿宋"/>
          <w:color w:val="000000"/>
        </w:rPr>
      </w:pPr>
      <w:r>
        <w:rPr>
          <w:rFonts w:hint="eastAsia" w:ascii="仿宋" w:hAnsi="仿宋" w:eastAsia="仿宋"/>
          <w:color w:val="000000"/>
        </w:rPr>
        <w:t>该同志</w:t>
      </w:r>
      <w:r>
        <w:rPr>
          <w:rFonts w:ascii="仿宋" w:hAnsi="仿宋" w:eastAsia="仿宋"/>
          <w:color w:val="000000"/>
        </w:rPr>
        <w:t>系</w:t>
      </w:r>
      <w:r>
        <w:rPr>
          <w:rFonts w:ascii="仿宋" w:hAnsi="仿宋" w:eastAsia="仿宋"/>
          <w:color w:val="000000"/>
          <w:u w:val="single"/>
        </w:rPr>
        <w:t xml:space="preserve">                                  </w:t>
      </w:r>
      <w:r>
        <w:rPr>
          <w:rFonts w:hint="eastAsia" w:ascii="仿宋" w:hAnsi="仿宋" w:eastAsia="仿宋"/>
          <w:color w:val="000000"/>
          <w:u w:val="single"/>
        </w:rPr>
        <w:t>公司</w:t>
      </w:r>
      <w:r>
        <w:rPr>
          <w:rFonts w:ascii="仿宋" w:hAnsi="仿宋" w:eastAsia="仿宋"/>
          <w:color w:val="000000"/>
        </w:rPr>
        <w:t>的法定代表人。为</w:t>
      </w:r>
      <w:r>
        <w:rPr>
          <w:rFonts w:hint="eastAsia" w:ascii="仿宋" w:hAnsi="仿宋" w:eastAsia="仿宋"/>
          <w:color w:val="000000"/>
        </w:rPr>
        <w:t>参加本项目</w:t>
      </w:r>
      <w:r>
        <w:rPr>
          <w:rFonts w:ascii="仿宋" w:hAnsi="仿宋" w:eastAsia="仿宋"/>
          <w:color w:val="000000"/>
        </w:rPr>
        <w:t>，签署上述的文件、进行合同谈判、签署合同和处理与之有关的一切事务。</w:t>
      </w:r>
    </w:p>
    <w:p>
      <w:pPr>
        <w:pStyle w:val="23"/>
        <w:spacing w:line="360" w:lineRule="auto"/>
        <w:ind w:firstLine="560"/>
        <w:rPr>
          <w:rFonts w:ascii="仿宋" w:hAnsi="仿宋" w:eastAsia="仿宋"/>
          <w:color w:val="000000"/>
        </w:rPr>
      </w:pPr>
    </w:p>
    <w:p>
      <w:pPr>
        <w:pStyle w:val="23"/>
        <w:spacing w:line="360" w:lineRule="auto"/>
        <w:ind w:firstLine="560"/>
        <w:rPr>
          <w:rFonts w:ascii="仿宋" w:hAnsi="仿宋" w:eastAsia="仿宋"/>
          <w:color w:val="000000"/>
        </w:rPr>
      </w:pPr>
      <w:r>
        <w:rPr>
          <w:rFonts w:ascii="仿宋" w:hAnsi="仿宋" w:eastAsia="仿宋"/>
          <w:color w:val="000000"/>
        </w:rPr>
        <w:t>特此证明</w:t>
      </w:r>
    </w:p>
    <w:p>
      <w:pPr>
        <w:pStyle w:val="23"/>
        <w:spacing w:line="360" w:lineRule="auto"/>
        <w:ind w:firstLine="560"/>
        <w:rPr>
          <w:rFonts w:ascii="仿宋" w:hAnsi="仿宋" w:eastAsia="仿宋"/>
          <w:color w:val="000000"/>
        </w:rPr>
      </w:pPr>
      <w:r>
        <w:pict>
          <v:roundrect id="_x0000_s1026" o:spid="_x0000_s1026" o:spt="2" style="position:absolute;left:0pt;margin-left:249.75pt;margin-top:15.1pt;height:141.25pt;width:213.4pt;z-index:251660288;v-text-anchor:middle;mso-width-relative:page;mso-height-relative:page;" filled="f" coordsize="21600,21600" arcsize="0.0403703703703704" o:gfxdata="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sCyQ7WAAAACgEA&#10;AA8AAAAAAAAAAQAgAAAAIgAAAGRycy9kb3ducmV2LnhtbFBLAQIUABQAAAAIAIdO4kB3oNfujgIA&#10;AAQFAAAOAAAAAAAAAAEAIAAAACUBAABkcnMvZTJvRG9jLnhtbFBLBQYAAAAABgAGAFkBAAAlBgAA&#10;AAA=&#10;">
            <v:path/>
            <v:fill on="f" focussize="0,0"/>
            <v:stroke weight="2pt"/>
            <v:imagedata o:title=""/>
            <o:lock v:ext="edit"/>
            <v:textbox>
              <w:txbxContent>
                <w:p>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pPr>
                    <w:jc w:val="center"/>
                  </w:pPr>
                </w:p>
              </w:txbxContent>
            </v:textbox>
          </v:roundrect>
        </w:pict>
      </w:r>
      <w:r>
        <w:pict>
          <v:roundrect id="_x0000_s1031" o:spid="_x0000_s1031" o:spt="2" style="position:absolute;left:0pt;margin-left:24.85pt;margin-top:15.1pt;height:141.25pt;width:213.4pt;z-index:251659264;v-text-anchor:middle;mso-width-relative:page;mso-height-relative:page;" filled="f" coordsize="21600,21600" arcsize="0.0403703703703704" o:gfxdata="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livSstYAAAAJAQAADwAAAAAAAAABACAAAAAiAAAAZHJzL2Rvd25yZXYueG1sUEsBAhQAFAAA&#10;AAgAh07iQNEAMOmcAgAAEgUAAA4AAAAAAAAAAQAgAAAAJQEAAGRycy9lMm9Eb2MueG1sUEsFBgAA&#10;AAAGAAYAWQEAADMGAAAAAA==&#10;">
            <v:path/>
            <v:fill on="f" focussize="0,0"/>
            <v:stroke weight="2pt"/>
            <v:imagedata o:title=""/>
            <o:lock v:ext="edit"/>
            <v:textbox>
              <w:txbxContent>
                <w:p>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pPr>
                    <w:jc w:val="center"/>
                  </w:pPr>
                </w:p>
              </w:txbxContent>
            </v:textbox>
          </v:roundrect>
        </w:pict>
      </w:r>
    </w:p>
    <w:p>
      <w:pPr>
        <w:pStyle w:val="23"/>
        <w:spacing w:line="360" w:lineRule="auto"/>
        <w:ind w:firstLine="560"/>
        <w:jc w:val="left"/>
        <w:rPr>
          <w:rFonts w:ascii="仿宋" w:hAnsi="仿宋" w:eastAsia="仿宋"/>
          <w:color w:val="000000"/>
        </w:rPr>
      </w:pPr>
    </w:p>
    <w:p>
      <w:pPr>
        <w:pStyle w:val="23"/>
        <w:spacing w:line="360" w:lineRule="auto"/>
        <w:ind w:firstLine="560"/>
        <w:rPr>
          <w:rFonts w:ascii="仿宋" w:hAnsi="仿宋" w:eastAsia="仿宋"/>
          <w:color w:val="000000"/>
        </w:rPr>
      </w:pPr>
    </w:p>
    <w:p>
      <w:pPr>
        <w:pStyle w:val="23"/>
        <w:spacing w:line="360" w:lineRule="auto"/>
        <w:ind w:firstLine="560"/>
        <w:rPr>
          <w:rFonts w:ascii="仿宋" w:hAnsi="仿宋" w:eastAsia="仿宋"/>
          <w:color w:val="000000"/>
        </w:rPr>
      </w:pPr>
    </w:p>
    <w:p>
      <w:pPr>
        <w:pStyle w:val="23"/>
        <w:spacing w:line="360" w:lineRule="auto"/>
        <w:ind w:firstLine="4200" w:firstLineChars="1500"/>
        <w:rPr>
          <w:rFonts w:ascii="仿宋" w:hAnsi="仿宋" w:eastAsia="仿宋"/>
          <w:color w:val="000000"/>
        </w:rPr>
      </w:pPr>
    </w:p>
    <w:p>
      <w:pPr>
        <w:pStyle w:val="23"/>
        <w:spacing w:line="360" w:lineRule="auto"/>
        <w:ind w:firstLine="4200" w:firstLineChars="1500"/>
        <w:rPr>
          <w:rFonts w:ascii="仿宋" w:hAnsi="仿宋" w:eastAsia="仿宋"/>
          <w:color w:val="000000"/>
        </w:rPr>
      </w:pPr>
    </w:p>
    <w:p>
      <w:pPr>
        <w:pStyle w:val="23"/>
        <w:spacing w:line="360" w:lineRule="auto"/>
        <w:ind w:firstLine="4200" w:firstLineChars="1500"/>
        <w:rPr>
          <w:rFonts w:ascii="仿宋" w:hAnsi="仿宋" w:eastAsia="仿宋"/>
          <w:color w:val="000000"/>
        </w:rPr>
      </w:pPr>
      <w:r>
        <w:rPr>
          <w:rFonts w:hint="eastAsia" w:ascii="仿宋" w:hAnsi="仿宋" w:eastAsia="仿宋"/>
          <w:color w:val="000000"/>
        </w:rPr>
        <w:t>供应商</w:t>
      </w:r>
      <w:r>
        <w:rPr>
          <w:rFonts w:ascii="仿宋" w:hAnsi="仿宋" w:eastAsia="仿宋"/>
          <w:color w:val="000000"/>
        </w:rPr>
        <w:t>：</w:t>
      </w:r>
      <w:r>
        <w:rPr>
          <w:rFonts w:ascii="仿宋" w:hAnsi="仿宋" w:eastAsia="仿宋"/>
          <w:color w:val="000000"/>
          <w:u w:val="single"/>
        </w:rPr>
        <w:t xml:space="preserve">                     </w:t>
      </w:r>
      <w:r>
        <w:rPr>
          <w:rFonts w:ascii="仿宋" w:hAnsi="仿宋" w:eastAsia="仿宋"/>
          <w:color w:val="000000"/>
        </w:rPr>
        <w:t>（</w:t>
      </w:r>
      <w:r>
        <w:rPr>
          <w:rFonts w:hint="eastAsia" w:ascii="仿宋" w:hAnsi="仿宋" w:eastAsia="仿宋"/>
          <w:color w:val="000000"/>
        </w:rPr>
        <w:t>公</w:t>
      </w:r>
      <w:r>
        <w:rPr>
          <w:rFonts w:ascii="仿宋" w:hAnsi="仿宋" w:eastAsia="仿宋"/>
          <w:color w:val="000000"/>
        </w:rPr>
        <w:t>章）</w:t>
      </w:r>
    </w:p>
    <w:p>
      <w:pPr>
        <w:pStyle w:val="23"/>
        <w:spacing w:line="360" w:lineRule="auto"/>
        <w:ind w:firstLine="4200" w:firstLineChars="1500"/>
        <w:rPr>
          <w:rFonts w:ascii="仿宋" w:hAnsi="仿宋" w:eastAsia="仿宋"/>
          <w:color w:val="000000"/>
        </w:rPr>
      </w:pPr>
      <w:r>
        <w:rPr>
          <w:rFonts w:hint="eastAsia" w:ascii="仿宋" w:hAnsi="仿宋" w:eastAsia="仿宋"/>
          <w:color w:val="000000"/>
        </w:rPr>
        <w:t>法定代表人签名：</w:t>
      </w:r>
      <w:r>
        <w:rPr>
          <w:rFonts w:ascii="仿宋" w:hAnsi="仿宋" w:eastAsia="仿宋"/>
          <w:color w:val="000000"/>
          <w:u w:val="single"/>
        </w:rPr>
        <w:t xml:space="preserve">              </w:t>
      </w:r>
    </w:p>
    <w:p>
      <w:pPr>
        <w:pStyle w:val="23"/>
        <w:spacing w:line="360" w:lineRule="auto"/>
        <w:ind w:firstLine="4200" w:firstLineChars="1500"/>
        <w:rPr>
          <w:rFonts w:ascii="仿宋" w:hAnsi="仿宋" w:eastAsia="仿宋"/>
          <w:color w:val="000000"/>
        </w:rPr>
      </w:pPr>
      <w:r>
        <w:rPr>
          <w:rFonts w:ascii="仿宋" w:hAnsi="仿宋" w:eastAsia="仿宋"/>
          <w:color w:val="000000"/>
        </w:rPr>
        <w:t>日  期：</w:t>
      </w:r>
      <w:r>
        <w:rPr>
          <w:rFonts w:ascii="仿宋" w:hAnsi="仿宋" w:eastAsia="仿宋"/>
          <w:color w:val="000000"/>
          <w:u w:val="single"/>
        </w:rPr>
        <w:t xml:space="preserve">       </w:t>
      </w:r>
      <w:r>
        <w:rPr>
          <w:rFonts w:ascii="仿宋" w:hAnsi="仿宋" w:eastAsia="仿宋"/>
          <w:color w:val="000000"/>
        </w:rPr>
        <w:t>年</w:t>
      </w:r>
      <w:r>
        <w:rPr>
          <w:rFonts w:ascii="仿宋" w:hAnsi="仿宋" w:eastAsia="仿宋"/>
          <w:color w:val="000000"/>
          <w:u w:val="single"/>
        </w:rPr>
        <w:t xml:space="preserve">      </w:t>
      </w:r>
      <w:r>
        <w:rPr>
          <w:rFonts w:ascii="仿宋" w:hAnsi="仿宋" w:eastAsia="仿宋"/>
          <w:color w:val="000000"/>
        </w:rPr>
        <w:t>月</w:t>
      </w:r>
      <w:r>
        <w:rPr>
          <w:rFonts w:ascii="仿宋" w:hAnsi="仿宋" w:eastAsia="仿宋"/>
          <w:color w:val="000000"/>
          <w:u w:val="single"/>
        </w:rPr>
        <w:t xml:space="preserve">    </w:t>
      </w:r>
      <w:r>
        <w:rPr>
          <w:rFonts w:ascii="仿宋" w:hAnsi="仿宋" w:eastAsia="仿宋"/>
          <w:color w:val="000000"/>
        </w:rPr>
        <w:t>日</w:t>
      </w:r>
    </w:p>
    <w:p>
      <w:pPr>
        <w:pStyle w:val="6"/>
        <w:spacing w:line="360" w:lineRule="auto"/>
        <w:rPr>
          <w:szCs w:val="21"/>
        </w:rPr>
      </w:pPr>
      <w:r>
        <w:br w:type="page"/>
      </w:r>
      <w:bookmarkStart w:id="48" w:name="_Toc3373"/>
      <w:bookmarkStart w:id="49" w:name="_Toc61184638"/>
      <w:bookmarkStart w:id="50" w:name="_Toc56170395"/>
      <w:r>
        <w:rPr>
          <w:rFonts w:hint="eastAsia"/>
        </w:rPr>
        <w:t>附件三、法定代表人</w:t>
      </w:r>
      <w:r>
        <w:t>授权委托书</w:t>
      </w:r>
      <w:bookmarkEnd w:id="48"/>
      <w:bookmarkEnd w:id="49"/>
      <w:bookmarkEnd w:id="50"/>
    </w:p>
    <w:p>
      <w:pPr>
        <w:pStyle w:val="23"/>
        <w:spacing w:line="360" w:lineRule="auto"/>
        <w:ind w:firstLine="560"/>
        <w:rPr>
          <w:rFonts w:ascii="仿宋" w:hAnsi="仿宋" w:eastAsia="仿宋"/>
          <w:color w:val="000000"/>
        </w:rPr>
      </w:pPr>
      <w:r>
        <w:rPr>
          <w:rFonts w:ascii="仿宋" w:hAnsi="仿宋" w:eastAsia="仿宋"/>
          <w:color w:val="000000"/>
        </w:rPr>
        <w:t>本授权委托书声明：我</w:t>
      </w:r>
      <w:r>
        <w:rPr>
          <w:rFonts w:ascii="仿宋" w:hAnsi="仿宋" w:eastAsia="仿宋"/>
          <w:color w:val="000000"/>
          <w:u w:val="single"/>
        </w:rPr>
        <w:t xml:space="preserve">           </w:t>
      </w:r>
      <w:r>
        <w:rPr>
          <w:rFonts w:ascii="仿宋" w:hAnsi="仿宋" w:eastAsia="仿宋"/>
          <w:color w:val="000000"/>
        </w:rPr>
        <w:t>（姓名）系</w:t>
      </w:r>
      <w:r>
        <w:rPr>
          <w:rFonts w:ascii="仿宋" w:hAnsi="仿宋" w:eastAsia="仿宋"/>
          <w:color w:val="000000"/>
          <w:u w:val="single"/>
        </w:rPr>
        <w:t xml:space="preserve">                  </w:t>
      </w:r>
      <w:r>
        <w:rPr>
          <w:rFonts w:ascii="仿宋" w:hAnsi="仿宋" w:eastAsia="仿宋"/>
          <w:color w:val="000000"/>
        </w:rPr>
        <w:t>（</w:t>
      </w:r>
      <w:r>
        <w:rPr>
          <w:rFonts w:hint="eastAsia" w:ascii="仿宋" w:hAnsi="仿宋" w:eastAsia="仿宋"/>
          <w:color w:val="000000"/>
        </w:rPr>
        <w:t>供应商</w:t>
      </w:r>
      <w:r>
        <w:rPr>
          <w:rFonts w:ascii="仿宋" w:hAnsi="仿宋" w:eastAsia="仿宋"/>
          <w:color w:val="000000"/>
        </w:rPr>
        <w:t>名称）的法定代表人，现授权委托</w:t>
      </w:r>
      <w:r>
        <w:rPr>
          <w:rFonts w:ascii="仿宋" w:hAnsi="仿宋" w:eastAsia="仿宋"/>
          <w:color w:val="000000"/>
          <w:u w:val="single"/>
        </w:rPr>
        <w:t xml:space="preserve">                        </w:t>
      </w:r>
      <w:r>
        <w:rPr>
          <w:rFonts w:ascii="仿宋" w:hAnsi="仿宋" w:eastAsia="仿宋"/>
          <w:color w:val="000000"/>
        </w:rPr>
        <w:t>（单位名称）的</w:t>
      </w:r>
      <w:r>
        <w:rPr>
          <w:rFonts w:ascii="仿宋" w:hAnsi="仿宋" w:eastAsia="仿宋"/>
          <w:color w:val="000000"/>
          <w:u w:val="single"/>
        </w:rPr>
        <w:t xml:space="preserve">              </w:t>
      </w:r>
      <w:r>
        <w:rPr>
          <w:rFonts w:ascii="仿宋" w:hAnsi="仿宋" w:eastAsia="仿宋"/>
          <w:color w:val="000000"/>
        </w:rPr>
        <w:t>（姓名）为我公司签署</w:t>
      </w:r>
      <w:r>
        <w:rPr>
          <w:rFonts w:hint="eastAsia" w:ascii="仿宋" w:hAnsi="仿宋" w:eastAsia="仿宋"/>
          <w:color w:val="000000"/>
        </w:rPr>
        <w:t>本项目投标文件</w:t>
      </w:r>
      <w:r>
        <w:rPr>
          <w:rFonts w:ascii="仿宋" w:hAnsi="仿宋" w:eastAsia="仿宋"/>
          <w:color w:val="000000"/>
        </w:rPr>
        <w:t>的法定代表人授权委托代理人，全权代表我</w:t>
      </w:r>
      <w:r>
        <w:rPr>
          <w:rFonts w:hint="eastAsia" w:ascii="仿宋" w:hAnsi="仿宋" w:eastAsia="仿宋"/>
          <w:color w:val="000000"/>
        </w:rPr>
        <w:t>单位处理本次投标的有关事宜。代理人所签署的一切有关文件，我单位均予承认。</w:t>
      </w:r>
    </w:p>
    <w:p>
      <w:pPr>
        <w:pStyle w:val="23"/>
        <w:spacing w:line="360" w:lineRule="auto"/>
        <w:ind w:firstLine="560"/>
        <w:rPr>
          <w:rFonts w:ascii="仿宋" w:hAnsi="仿宋" w:eastAsia="仿宋"/>
          <w:color w:val="000000"/>
        </w:rPr>
      </w:pPr>
      <w:r>
        <w:rPr>
          <w:rFonts w:ascii="仿宋" w:hAnsi="仿宋" w:eastAsia="仿宋"/>
          <w:color w:val="000000"/>
        </w:rPr>
        <w:t>代理人无转委托权，特此</w:t>
      </w:r>
      <w:r>
        <w:rPr>
          <w:rFonts w:hint="eastAsia" w:ascii="仿宋" w:hAnsi="仿宋" w:eastAsia="仿宋"/>
          <w:color w:val="000000"/>
        </w:rPr>
        <w:t>声明！</w:t>
      </w:r>
    </w:p>
    <w:p>
      <w:pPr>
        <w:pStyle w:val="23"/>
        <w:spacing w:line="360" w:lineRule="auto"/>
        <w:ind w:firstLine="560"/>
        <w:rPr>
          <w:rFonts w:ascii="仿宋" w:hAnsi="仿宋" w:eastAsia="仿宋"/>
          <w:color w:val="000000"/>
        </w:rPr>
      </w:pPr>
      <w:r>
        <w:pict>
          <v:roundrect id="_x0000_s1030" o:spid="_x0000_s1030" o:spt="2" style="position:absolute;left:0pt;margin-left:244.45pt;margin-top:3.05pt;height:125.1pt;width:213.4pt;z-index:251662336;v-text-anchor:middle;mso-width-relative:page;mso-height-relative:page;" filled="f" coordsize="21600,21600" arcsize="0.0403703703703704" o:gfxdata="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7Xdd81gAAAAkB&#10;AAAPAAAAAAAAAAEAIAAAACIAAABkcnMvZG93bnJldi54bWxQSwECFAAUAAAACACHTuJAfOXys48C&#10;AAAGBQAADgAAAAAAAAABACAAAAAlAQAAZHJzL2Uyb0RvYy54bWxQSwUGAAAAAAYABgBZAQAAJgYA&#10;AAAA&#10;">
            <v:path/>
            <v:fill on="f" focussize="0,0"/>
            <v:stroke weight="2pt"/>
            <v:imagedata o:title=""/>
            <o:lock v:ext="edit"/>
            <v:textbox>
              <w:txbxContent>
                <w:p>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pPr>
                    <w:jc w:val="center"/>
                  </w:pPr>
                </w:p>
              </w:txbxContent>
            </v:textbox>
          </v:roundrect>
        </w:pict>
      </w:r>
      <w:r>
        <w:pict>
          <v:roundrect id="_x0000_s1029" o:spid="_x0000_s1029" o:spt="2" style="position:absolute;left:0pt;margin-left:19.55pt;margin-top:3.05pt;height:125.1pt;width:213.4pt;z-index:251661312;v-text-anchor:middle;mso-width-relative:page;mso-height-relative:page;" filled="f" coordsize="21600,21600" arcsize="0.0403703703703704" o:gfxdata="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gnZwl1gAAAAgB&#10;AAAPAAAAAAAAAAEAIAAAACIAAABkcnMvZG93bnJldi54bWxQSwECFAAUAAAACACHTuJANvF5A48C&#10;AAAGBQAADgAAAAAAAAABACAAAAAlAQAAZHJzL2Uyb0RvYy54bWxQSwUGAAAAAAYABgBZAQAAJgYA&#10;AAAA&#10;">
            <v:path/>
            <v:fill on="f" focussize="0,0"/>
            <v:stroke weight="2pt"/>
            <v:imagedata o:title=""/>
            <o:lock v:ext="edit"/>
            <v:textbox>
              <w:txbxContent>
                <w:p>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pPr>
                    <w:jc w:val="center"/>
                  </w:pPr>
                </w:p>
              </w:txbxContent>
            </v:textbox>
          </v:roundrect>
        </w:pict>
      </w:r>
      <w:r>
        <w:rPr>
          <w:rFonts w:ascii="仿宋" w:hAnsi="仿宋" w:eastAsia="仿宋"/>
          <w:color w:val="000000"/>
        </w:rPr>
        <w:t xml:space="preserve"> </w:t>
      </w:r>
    </w:p>
    <w:p>
      <w:pPr>
        <w:pStyle w:val="23"/>
        <w:spacing w:line="360" w:lineRule="auto"/>
        <w:ind w:firstLine="560"/>
        <w:rPr>
          <w:rFonts w:ascii="仿宋" w:hAnsi="仿宋" w:eastAsia="仿宋"/>
          <w:color w:val="000000"/>
        </w:rPr>
      </w:pPr>
    </w:p>
    <w:p>
      <w:pPr>
        <w:pStyle w:val="23"/>
        <w:spacing w:line="360" w:lineRule="auto"/>
        <w:ind w:firstLine="560"/>
        <w:rPr>
          <w:rFonts w:ascii="仿宋" w:hAnsi="仿宋" w:eastAsia="仿宋"/>
          <w:color w:val="000000"/>
        </w:rPr>
      </w:pPr>
    </w:p>
    <w:p>
      <w:pPr>
        <w:pStyle w:val="23"/>
        <w:spacing w:line="360" w:lineRule="auto"/>
        <w:ind w:firstLine="560"/>
        <w:rPr>
          <w:rFonts w:ascii="仿宋" w:hAnsi="仿宋" w:eastAsia="仿宋"/>
          <w:color w:val="000000"/>
        </w:rPr>
      </w:pPr>
    </w:p>
    <w:p>
      <w:pPr>
        <w:pStyle w:val="23"/>
        <w:spacing w:line="360" w:lineRule="auto"/>
        <w:ind w:firstLine="560"/>
        <w:rPr>
          <w:rFonts w:ascii="仿宋" w:hAnsi="仿宋" w:eastAsia="仿宋"/>
          <w:color w:val="000000"/>
        </w:rPr>
      </w:pPr>
      <w:r>
        <w:pict>
          <v:roundrect id="_x0000_s1028" o:spid="_x0000_s1028" o:spt="2" style="position:absolute;left:0pt;margin-left:19.55pt;margin-top:10.8pt;height:125.1pt;width:213.4pt;z-index:251663360;v-text-anchor:middle;mso-width-relative:page;mso-height-relative:page;" filled="f" coordsize="21600,21600" arcsize="0.0403703703703704" o:gfxdata="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Ibjs61gAAAAkB&#10;AAAPAAAAAAAAAAEAIAAAACIAAABkcnMvZG93bnJldi54bWxQSwECFAAUAAAACACHTuJAIsLNxI8C&#10;AAAGBQAADgAAAAAAAAABACAAAAAlAQAAZHJzL2Uyb0RvYy54bWxQSwUGAAAAAAYABgBZAQAAJgYA&#10;AAAA&#10;">
            <v:path/>
            <v:fill on="f" focussize="0,0"/>
            <v:stroke weight="2pt"/>
            <v:imagedata o:title=""/>
            <o:lock v:ext="edit"/>
            <v:textbox>
              <w:txbxContent>
                <w:p>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pPr>
                    <w:jc w:val="center"/>
                  </w:pPr>
                </w:p>
              </w:txbxContent>
            </v:textbox>
          </v:roundrect>
        </w:pict>
      </w:r>
      <w:r>
        <w:pict>
          <v:roundrect id="_x0000_s1027" o:spid="_x0000_s1027" o:spt="2" style="position:absolute;left:0pt;margin-left:244.45pt;margin-top:10.8pt;height:125.1pt;width:213.4pt;z-index:251664384;v-text-anchor:middle;mso-width-relative:page;mso-height-relative:page;" filled="f" coordsize="21600,21600" arcsize="0.0403703703703704" o:gfxdata="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IW6DWAAAACgEA&#10;AA8AAAAAAAAAAQAgAAAAIgAAAGRycy9kb3ducmV2LnhtbFBLAQIUABQAAAAIAIdO4kAB1kqmjgIA&#10;AAYFAAAOAAAAAAAAAAEAIAAAACUBAABkcnMvZTJvRG9jLnhtbFBLBQYAAAAABgAGAFkBAAAlBgAA&#10;AAA=&#10;">
            <v:path/>
            <v:fill on="f" focussize="0,0"/>
            <v:stroke weight="2pt"/>
            <v:imagedata o:title=""/>
            <o:lock v:ext="edit"/>
            <v:textbox>
              <w:txbxContent>
                <w:p>
                  <w:pPr>
                    <w:pStyle w:val="23"/>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pPr>
                    <w:jc w:val="center"/>
                  </w:pPr>
                </w:p>
              </w:txbxContent>
            </v:textbox>
          </v:roundrect>
        </w:pict>
      </w:r>
    </w:p>
    <w:p>
      <w:pPr>
        <w:pStyle w:val="23"/>
        <w:spacing w:line="360" w:lineRule="auto"/>
        <w:ind w:firstLine="560"/>
        <w:rPr>
          <w:rFonts w:ascii="仿宋" w:hAnsi="仿宋" w:eastAsia="仿宋"/>
          <w:color w:val="000000"/>
        </w:rPr>
      </w:pPr>
    </w:p>
    <w:p>
      <w:pPr>
        <w:pStyle w:val="23"/>
        <w:spacing w:line="360" w:lineRule="auto"/>
        <w:ind w:firstLine="560"/>
        <w:rPr>
          <w:rFonts w:ascii="仿宋" w:hAnsi="仿宋" w:eastAsia="仿宋"/>
          <w:color w:val="000000"/>
        </w:rPr>
      </w:pPr>
    </w:p>
    <w:p>
      <w:pPr>
        <w:pStyle w:val="23"/>
        <w:spacing w:line="360" w:lineRule="auto"/>
        <w:ind w:firstLine="0" w:firstLineChars="0"/>
        <w:rPr>
          <w:rFonts w:ascii="仿宋" w:hAnsi="仿宋" w:eastAsia="仿宋"/>
          <w:color w:val="000000"/>
        </w:rPr>
      </w:pPr>
    </w:p>
    <w:p>
      <w:pPr>
        <w:pStyle w:val="23"/>
        <w:spacing w:line="360" w:lineRule="auto"/>
        <w:ind w:firstLine="0" w:firstLineChars="0"/>
        <w:rPr>
          <w:rFonts w:ascii="仿宋" w:hAnsi="仿宋" w:eastAsia="仿宋"/>
          <w:color w:val="000000"/>
        </w:rPr>
      </w:pPr>
    </w:p>
    <w:p>
      <w:pPr>
        <w:pStyle w:val="23"/>
        <w:spacing w:line="360" w:lineRule="auto"/>
        <w:ind w:firstLine="560"/>
        <w:rPr>
          <w:rFonts w:ascii="仿宋" w:hAnsi="仿宋" w:eastAsia="仿宋"/>
          <w:color w:val="000000"/>
        </w:rPr>
      </w:pPr>
      <w:r>
        <w:rPr>
          <w:rFonts w:ascii="仿宋" w:hAnsi="仿宋" w:eastAsia="仿宋"/>
          <w:color w:val="000000"/>
        </w:rPr>
        <w:t>代理人：</w:t>
      </w:r>
      <w:r>
        <w:rPr>
          <w:rFonts w:hint="eastAsia" w:ascii="仿宋" w:hAnsi="仿宋" w:eastAsia="仿宋"/>
          <w:color w:val="000000"/>
        </w:rPr>
        <w:t>姓名：</w:t>
      </w:r>
      <w:r>
        <w:rPr>
          <w:rFonts w:ascii="仿宋" w:hAnsi="仿宋" w:eastAsia="仿宋"/>
          <w:color w:val="000000"/>
          <w:u w:val="single"/>
        </w:rPr>
        <w:t xml:space="preserve">           </w:t>
      </w:r>
      <w:r>
        <w:rPr>
          <w:rFonts w:ascii="仿宋" w:hAnsi="仿宋" w:eastAsia="仿宋"/>
          <w:color w:val="000000"/>
        </w:rPr>
        <w:t>性别：</w:t>
      </w:r>
      <w:r>
        <w:rPr>
          <w:rFonts w:ascii="仿宋" w:hAnsi="仿宋" w:eastAsia="仿宋"/>
          <w:color w:val="000000"/>
          <w:u w:val="single"/>
        </w:rPr>
        <w:t xml:space="preserve">       </w:t>
      </w:r>
      <w:r>
        <w:rPr>
          <w:rFonts w:ascii="仿宋" w:hAnsi="仿宋" w:eastAsia="仿宋"/>
          <w:color w:val="000000"/>
        </w:rPr>
        <w:t>年龄：</w:t>
      </w:r>
      <w:r>
        <w:rPr>
          <w:rFonts w:ascii="仿宋" w:hAnsi="仿宋" w:eastAsia="仿宋"/>
          <w:color w:val="000000"/>
          <w:u w:val="single"/>
        </w:rPr>
        <w:t xml:space="preserve">          </w:t>
      </w:r>
      <w:r>
        <w:rPr>
          <w:rFonts w:hint="eastAsia" w:ascii="仿宋" w:hAnsi="仿宋" w:eastAsia="仿宋"/>
          <w:color w:val="000000"/>
        </w:rPr>
        <w:t>；</w:t>
      </w:r>
    </w:p>
    <w:p>
      <w:pPr>
        <w:pStyle w:val="23"/>
        <w:spacing w:line="360" w:lineRule="auto"/>
        <w:ind w:firstLine="560"/>
        <w:rPr>
          <w:rFonts w:ascii="仿宋" w:hAnsi="仿宋" w:eastAsia="仿宋"/>
          <w:color w:val="000000"/>
        </w:rPr>
      </w:pPr>
      <w:r>
        <w:rPr>
          <w:rFonts w:ascii="仿宋" w:hAnsi="仿宋" w:eastAsia="仿宋"/>
          <w:color w:val="000000"/>
        </w:rPr>
        <w:t>身份证号码：</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r>
        <w:rPr>
          <w:rFonts w:ascii="仿宋" w:hAnsi="仿宋" w:eastAsia="仿宋"/>
          <w:color w:val="000000"/>
        </w:rPr>
        <w:t>职务：</w:t>
      </w:r>
      <w:r>
        <w:rPr>
          <w:rFonts w:ascii="仿宋" w:hAnsi="仿宋" w:eastAsia="仿宋"/>
          <w:color w:val="000000"/>
          <w:u w:val="single"/>
        </w:rPr>
        <w:t xml:space="preserve">            </w:t>
      </w:r>
      <w:r>
        <w:rPr>
          <w:rFonts w:hint="eastAsia" w:ascii="仿宋" w:hAnsi="仿宋" w:eastAsia="仿宋"/>
          <w:color w:val="000000"/>
        </w:rPr>
        <w:t>；</w:t>
      </w:r>
    </w:p>
    <w:p>
      <w:pPr>
        <w:pStyle w:val="23"/>
        <w:spacing w:line="360" w:lineRule="auto"/>
        <w:ind w:firstLine="560"/>
        <w:rPr>
          <w:rFonts w:ascii="仿宋" w:hAnsi="仿宋" w:eastAsia="仿宋"/>
          <w:color w:val="000000"/>
        </w:rPr>
      </w:pPr>
      <w:r>
        <w:rPr>
          <w:rFonts w:hint="eastAsia" w:ascii="仿宋" w:hAnsi="仿宋" w:eastAsia="仿宋"/>
          <w:color w:val="000000"/>
        </w:rPr>
        <w:t>供应商</w:t>
      </w:r>
      <w:r>
        <w:rPr>
          <w:rFonts w:ascii="仿宋" w:hAnsi="仿宋" w:eastAsia="仿宋"/>
          <w:color w:val="000000"/>
        </w:rPr>
        <w:t>：</w:t>
      </w:r>
      <w:r>
        <w:rPr>
          <w:rFonts w:ascii="仿宋" w:hAnsi="仿宋" w:eastAsia="仿宋"/>
          <w:color w:val="000000"/>
          <w:u w:val="single"/>
        </w:rPr>
        <w:t xml:space="preserve">                          </w:t>
      </w:r>
      <w:r>
        <w:rPr>
          <w:rFonts w:ascii="仿宋" w:hAnsi="仿宋" w:eastAsia="仿宋"/>
          <w:color w:val="000000"/>
        </w:rPr>
        <w:t>（盖章）</w:t>
      </w:r>
    </w:p>
    <w:p>
      <w:pPr>
        <w:pStyle w:val="23"/>
        <w:spacing w:line="360" w:lineRule="auto"/>
        <w:ind w:firstLine="560"/>
        <w:rPr>
          <w:rFonts w:ascii="仿宋" w:hAnsi="仿宋" w:eastAsia="仿宋"/>
          <w:color w:val="000000"/>
        </w:rPr>
      </w:pPr>
      <w:r>
        <w:rPr>
          <w:rFonts w:ascii="仿宋" w:hAnsi="仿宋" w:eastAsia="仿宋"/>
          <w:color w:val="000000"/>
        </w:rPr>
        <w:t>法定代表人：</w:t>
      </w:r>
      <w:r>
        <w:rPr>
          <w:rFonts w:ascii="仿宋" w:hAnsi="仿宋" w:eastAsia="仿宋"/>
          <w:color w:val="000000"/>
          <w:u w:val="single"/>
        </w:rPr>
        <w:t xml:space="preserve">                      </w:t>
      </w:r>
      <w:r>
        <w:rPr>
          <w:rFonts w:ascii="仿宋" w:hAnsi="仿宋" w:eastAsia="仿宋"/>
          <w:color w:val="000000"/>
        </w:rPr>
        <w:t>（签字）</w:t>
      </w:r>
    </w:p>
    <w:p>
      <w:pPr>
        <w:pStyle w:val="23"/>
        <w:spacing w:line="360" w:lineRule="auto"/>
        <w:ind w:firstLine="560"/>
        <w:rPr>
          <w:rFonts w:ascii="仿宋" w:hAnsi="仿宋" w:eastAsia="仿宋"/>
          <w:color w:val="000000"/>
        </w:rPr>
      </w:pPr>
      <w:r>
        <w:rPr>
          <w:rFonts w:ascii="仿宋" w:hAnsi="仿宋" w:eastAsia="仿宋"/>
          <w:color w:val="000000"/>
        </w:rPr>
        <w:t>授权委托日期：</w:t>
      </w:r>
      <w:r>
        <w:rPr>
          <w:rFonts w:ascii="仿宋" w:hAnsi="仿宋" w:eastAsia="仿宋"/>
          <w:color w:val="000000"/>
          <w:u w:val="single"/>
        </w:rPr>
        <w:t xml:space="preserve">         </w:t>
      </w:r>
      <w:r>
        <w:rPr>
          <w:rFonts w:ascii="仿宋" w:hAnsi="仿宋" w:eastAsia="仿宋"/>
          <w:color w:val="000000"/>
        </w:rPr>
        <w:t>年</w:t>
      </w:r>
      <w:r>
        <w:rPr>
          <w:rFonts w:ascii="仿宋" w:hAnsi="仿宋" w:eastAsia="仿宋"/>
          <w:color w:val="000000"/>
          <w:u w:val="single"/>
        </w:rPr>
        <w:t xml:space="preserve">      </w:t>
      </w:r>
      <w:r>
        <w:rPr>
          <w:rFonts w:ascii="仿宋" w:hAnsi="仿宋" w:eastAsia="仿宋"/>
          <w:color w:val="000000"/>
        </w:rPr>
        <w:t>月</w:t>
      </w:r>
      <w:r>
        <w:rPr>
          <w:rFonts w:ascii="仿宋" w:hAnsi="仿宋" w:eastAsia="仿宋"/>
          <w:color w:val="000000"/>
          <w:u w:val="single"/>
        </w:rPr>
        <w:t xml:space="preserve">      </w:t>
      </w:r>
      <w:r>
        <w:rPr>
          <w:rFonts w:ascii="仿宋" w:hAnsi="仿宋" w:eastAsia="仿宋"/>
          <w:color w:val="000000"/>
        </w:rPr>
        <w:t>日</w:t>
      </w:r>
    </w:p>
    <w:p>
      <w:pPr>
        <w:pStyle w:val="23"/>
        <w:spacing w:line="360" w:lineRule="auto"/>
        <w:ind w:firstLine="560"/>
        <w:rPr>
          <w:rFonts w:ascii="仿宋" w:hAnsi="仿宋" w:eastAsia="仿宋"/>
          <w:color w:val="000000"/>
        </w:rPr>
      </w:pPr>
    </w:p>
    <w:p>
      <w:pPr>
        <w:pStyle w:val="6"/>
      </w:pPr>
      <w:r>
        <w:br w:type="page"/>
      </w:r>
      <w:bookmarkStart w:id="51" w:name="_Toc9301"/>
      <w:bookmarkStart w:id="52" w:name="_Toc61184639"/>
      <w:bookmarkStart w:id="53" w:name="_Toc56170396"/>
      <w:r>
        <w:rPr>
          <w:rFonts w:hint="eastAsia"/>
        </w:rPr>
        <w:t>附件四、关于招标文件的声明函</w:t>
      </w:r>
      <w:bookmarkEnd w:id="51"/>
      <w:bookmarkEnd w:id="52"/>
      <w:bookmarkEnd w:id="53"/>
    </w:p>
    <w:p>
      <w:pPr>
        <w:adjustRightInd w:val="0"/>
        <w:snapToGrid w:val="0"/>
        <w:spacing w:line="360" w:lineRule="auto"/>
        <w:ind w:firstLine="560" w:firstLineChars="200"/>
        <w:rPr>
          <w:rFonts w:ascii="仿宋" w:hAnsi="仿宋" w:eastAsia="仿宋"/>
          <w:color w:val="000000"/>
          <w:sz w:val="28"/>
          <w:szCs w:val="28"/>
        </w:rPr>
      </w:pPr>
    </w:p>
    <w:p>
      <w:pPr>
        <w:pStyle w:val="23"/>
        <w:spacing w:line="360" w:lineRule="auto"/>
        <w:ind w:firstLine="560"/>
        <w:rPr>
          <w:rFonts w:ascii="仿宋" w:hAnsi="仿宋" w:eastAsia="仿宋"/>
          <w:color w:val="000000"/>
        </w:rPr>
      </w:pPr>
      <w:r>
        <w:rPr>
          <w:rFonts w:hint="eastAsia" w:ascii="仿宋" w:hAnsi="仿宋" w:eastAsia="仿宋"/>
          <w:color w:val="000000"/>
        </w:rPr>
        <w:t>致：中科高盛咨询集团有限公司：</w:t>
      </w:r>
    </w:p>
    <w:p>
      <w:pPr>
        <w:pStyle w:val="23"/>
        <w:spacing w:line="360" w:lineRule="auto"/>
        <w:ind w:firstLine="560"/>
        <w:rPr>
          <w:rFonts w:ascii="仿宋" w:hAnsi="仿宋" w:eastAsia="仿宋"/>
          <w:color w:val="000000"/>
        </w:rPr>
      </w:pPr>
      <w:r>
        <w:rPr>
          <w:rFonts w:hint="eastAsia" w:ascii="仿宋" w:hAnsi="仿宋" w:eastAsia="仿宋"/>
          <w:color w:val="000000"/>
        </w:rPr>
        <w:t>为响应你方</w:t>
      </w:r>
      <w:r>
        <w:rPr>
          <w:rFonts w:hint="eastAsia" w:ascii="仿宋" w:hAnsi="仿宋" w:eastAsia="仿宋"/>
          <w:color w:val="000000"/>
          <w:u w:val="single"/>
        </w:rPr>
        <w:t xml:space="preserve">    </w:t>
      </w:r>
      <w:r>
        <w:rPr>
          <w:rFonts w:hint="eastAsia" w:ascii="仿宋" w:hAnsi="仿宋" w:eastAsia="仿宋"/>
          <w:color w:val="000000"/>
        </w:rPr>
        <w:t>年</w:t>
      </w:r>
      <w:r>
        <w:rPr>
          <w:rFonts w:hint="eastAsia" w:ascii="仿宋" w:hAnsi="仿宋" w:eastAsia="仿宋"/>
          <w:color w:val="000000"/>
          <w:u w:val="single"/>
        </w:rPr>
        <w:t xml:space="preserve">    </w:t>
      </w:r>
      <w:r>
        <w:rPr>
          <w:rFonts w:hint="eastAsia" w:ascii="仿宋" w:hAnsi="仿宋" w:eastAsia="仿宋"/>
          <w:color w:val="000000"/>
        </w:rPr>
        <w:t>月</w:t>
      </w:r>
      <w:r>
        <w:rPr>
          <w:rFonts w:hint="eastAsia" w:ascii="仿宋" w:hAnsi="仿宋" w:eastAsia="仿宋"/>
          <w:color w:val="000000"/>
          <w:u w:val="single"/>
        </w:rPr>
        <w:t xml:space="preserve">   </w:t>
      </w:r>
      <w:r>
        <w:rPr>
          <w:rFonts w:hint="eastAsia" w:ascii="仿宋" w:hAnsi="仿宋" w:eastAsia="仿宋"/>
          <w:color w:val="000000"/>
        </w:rPr>
        <w:t>日的</w:t>
      </w:r>
      <w:r>
        <w:rPr>
          <w:rFonts w:hint="eastAsia" w:ascii="仿宋" w:hAnsi="仿宋" w:eastAsia="仿宋"/>
          <w:color w:val="000000"/>
          <w:u w:val="single"/>
        </w:rPr>
        <w:t xml:space="preserve">           </w:t>
      </w:r>
      <w:r>
        <w:rPr>
          <w:rFonts w:hint="eastAsia" w:ascii="仿宋" w:hAnsi="仿宋" w:eastAsia="仿宋"/>
          <w:color w:val="000000"/>
        </w:rPr>
        <w:t>投标邀请，下述签字人自愿参与投标，提供招标文件技术需求书中规定的</w:t>
      </w:r>
      <w:r>
        <w:rPr>
          <w:rFonts w:hint="eastAsia" w:ascii="仿宋" w:hAnsi="仿宋" w:eastAsia="仿宋"/>
          <w:color w:val="000000"/>
          <w:u w:val="single"/>
        </w:rPr>
        <w:t xml:space="preserve">         </w:t>
      </w:r>
      <w:r>
        <w:rPr>
          <w:rFonts w:hint="eastAsia" w:ascii="仿宋" w:hAnsi="仿宋" w:eastAsia="仿宋"/>
          <w:color w:val="000000"/>
        </w:rPr>
        <w:t>项目，提交下述文件并声明全部说明是真实的和正确的。下述签字人将就下述文件中存在的虚假或不真实内容对采购代理机构和采购人承担法律责任。</w:t>
      </w:r>
    </w:p>
    <w:p>
      <w:pPr>
        <w:pStyle w:val="23"/>
        <w:spacing w:line="360" w:lineRule="auto"/>
        <w:ind w:firstLine="560"/>
        <w:rPr>
          <w:rFonts w:ascii="仿宋" w:hAnsi="仿宋" w:eastAsia="仿宋"/>
          <w:color w:val="000000"/>
        </w:rPr>
      </w:pPr>
      <w:r>
        <w:rPr>
          <w:rFonts w:hint="eastAsia" w:ascii="仿宋" w:hAnsi="仿宋" w:eastAsia="仿宋"/>
          <w:color w:val="000000"/>
        </w:rPr>
        <w:t>1）我方的资格声明，各有</w:t>
      </w:r>
      <w:r>
        <w:rPr>
          <w:rFonts w:hint="eastAsia" w:ascii="仿宋" w:hAnsi="仿宋" w:eastAsia="仿宋"/>
          <w:color w:val="000000"/>
          <w:u w:val="single"/>
        </w:rPr>
        <w:t xml:space="preserve">  </w:t>
      </w:r>
      <w:r>
        <w:rPr>
          <w:rFonts w:hint="eastAsia" w:ascii="仿宋" w:hAnsi="仿宋" w:eastAsia="仿宋"/>
          <w:color w:val="000000"/>
        </w:rPr>
        <w:t>份正本，</w:t>
      </w:r>
      <w:r>
        <w:rPr>
          <w:rFonts w:hint="eastAsia" w:ascii="仿宋" w:hAnsi="仿宋" w:eastAsia="仿宋"/>
          <w:color w:val="000000"/>
          <w:u w:val="single"/>
        </w:rPr>
        <w:t xml:space="preserve">  </w:t>
      </w:r>
      <w:r>
        <w:rPr>
          <w:rFonts w:hint="eastAsia" w:ascii="仿宋" w:hAnsi="仿宋" w:eastAsia="仿宋"/>
          <w:color w:val="000000"/>
        </w:rPr>
        <w:t>份副本。</w:t>
      </w:r>
    </w:p>
    <w:p>
      <w:pPr>
        <w:pStyle w:val="23"/>
        <w:spacing w:line="360" w:lineRule="auto"/>
        <w:ind w:firstLine="560"/>
        <w:rPr>
          <w:rFonts w:ascii="仿宋" w:hAnsi="仿宋" w:eastAsia="仿宋"/>
          <w:color w:val="000000"/>
        </w:rPr>
      </w:pPr>
      <w:r>
        <w:rPr>
          <w:rFonts w:hint="eastAsia" w:ascii="仿宋" w:hAnsi="仿宋" w:eastAsia="仿宋"/>
          <w:color w:val="000000"/>
        </w:rPr>
        <w:t>2）下述签字人证明本资格文件中的内容是真实的和正确的。</w:t>
      </w:r>
    </w:p>
    <w:p>
      <w:pPr>
        <w:pStyle w:val="23"/>
        <w:spacing w:line="360" w:lineRule="auto"/>
        <w:ind w:firstLine="560"/>
        <w:rPr>
          <w:rFonts w:ascii="仿宋" w:hAnsi="仿宋" w:eastAsia="仿宋"/>
          <w:color w:val="000000"/>
        </w:rPr>
      </w:pPr>
      <w:r>
        <w:rPr>
          <w:rFonts w:hint="eastAsia" w:ascii="仿宋" w:hAnsi="仿宋" w:eastAsia="仿宋"/>
          <w:color w:val="000000"/>
        </w:rPr>
        <w:t>下述签字人知道，采购人可能要求其提供进一步的资格材料并同意按采购人的要求提交。</w:t>
      </w:r>
    </w:p>
    <w:p>
      <w:pPr>
        <w:pStyle w:val="23"/>
        <w:spacing w:line="360" w:lineRule="auto"/>
        <w:ind w:firstLine="4200" w:firstLineChars="1500"/>
        <w:rPr>
          <w:rFonts w:ascii="仿宋" w:hAnsi="仿宋" w:eastAsia="仿宋"/>
          <w:color w:val="000000"/>
        </w:rPr>
      </w:pPr>
      <w:r>
        <w:rPr>
          <w:rFonts w:hint="eastAsia" w:ascii="仿宋" w:hAnsi="仿宋" w:eastAsia="仿宋"/>
          <w:color w:val="000000"/>
        </w:rPr>
        <w:t>供应商</w:t>
      </w:r>
      <w:r>
        <w:rPr>
          <w:rFonts w:ascii="仿宋" w:hAnsi="仿宋" w:eastAsia="仿宋"/>
          <w:color w:val="000000"/>
        </w:rPr>
        <w:t>：</w:t>
      </w:r>
      <w:r>
        <w:rPr>
          <w:rFonts w:ascii="仿宋" w:hAnsi="仿宋" w:eastAsia="仿宋"/>
          <w:color w:val="000000"/>
          <w:u w:val="single"/>
        </w:rPr>
        <w:t xml:space="preserve">                     </w:t>
      </w:r>
      <w:r>
        <w:rPr>
          <w:rFonts w:ascii="仿宋" w:hAnsi="仿宋" w:eastAsia="仿宋"/>
          <w:color w:val="000000"/>
        </w:rPr>
        <w:t>（</w:t>
      </w:r>
      <w:r>
        <w:rPr>
          <w:rFonts w:hint="eastAsia" w:ascii="仿宋" w:hAnsi="仿宋" w:eastAsia="仿宋"/>
          <w:color w:val="000000"/>
        </w:rPr>
        <w:t>公</w:t>
      </w:r>
      <w:r>
        <w:rPr>
          <w:rFonts w:ascii="仿宋" w:hAnsi="仿宋" w:eastAsia="仿宋"/>
          <w:color w:val="000000"/>
        </w:rPr>
        <w:t>章）</w:t>
      </w:r>
    </w:p>
    <w:p>
      <w:pPr>
        <w:pStyle w:val="23"/>
        <w:spacing w:line="360" w:lineRule="auto"/>
        <w:ind w:firstLine="4200" w:firstLineChars="1500"/>
        <w:rPr>
          <w:rFonts w:ascii="仿宋" w:hAnsi="仿宋" w:eastAsia="仿宋"/>
          <w:color w:val="000000"/>
        </w:rPr>
      </w:pPr>
      <w:r>
        <w:rPr>
          <w:rFonts w:hint="eastAsia" w:ascii="仿宋" w:hAnsi="仿宋" w:eastAsia="仿宋"/>
          <w:color w:val="000000"/>
        </w:rPr>
        <w:t>法定代表人签名：</w:t>
      </w:r>
      <w:r>
        <w:rPr>
          <w:rFonts w:ascii="仿宋" w:hAnsi="仿宋" w:eastAsia="仿宋"/>
          <w:color w:val="000000"/>
          <w:u w:val="single"/>
        </w:rPr>
        <w:t xml:space="preserve">              </w:t>
      </w:r>
    </w:p>
    <w:p>
      <w:pPr>
        <w:pStyle w:val="23"/>
        <w:spacing w:line="360" w:lineRule="auto"/>
        <w:ind w:firstLine="4200" w:firstLineChars="1500"/>
        <w:rPr>
          <w:rFonts w:ascii="仿宋" w:hAnsi="仿宋" w:eastAsia="仿宋"/>
          <w:color w:val="000000"/>
        </w:rPr>
      </w:pPr>
      <w:r>
        <w:rPr>
          <w:rFonts w:ascii="仿宋" w:hAnsi="仿宋" w:eastAsia="仿宋"/>
          <w:color w:val="000000"/>
        </w:rPr>
        <w:t>日  期：</w:t>
      </w:r>
      <w:r>
        <w:rPr>
          <w:rFonts w:ascii="仿宋" w:hAnsi="仿宋" w:eastAsia="仿宋"/>
          <w:color w:val="000000"/>
          <w:u w:val="single"/>
        </w:rPr>
        <w:t xml:space="preserve">       </w:t>
      </w:r>
      <w:r>
        <w:rPr>
          <w:rFonts w:ascii="仿宋" w:hAnsi="仿宋" w:eastAsia="仿宋"/>
          <w:color w:val="000000"/>
        </w:rPr>
        <w:t>年</w:t>
      </w:r>
      <w:r>
        <w:rPr>
          <w:rFonts w:ascii="仿宋" w:hAnsi="仿宋" w:eastAsia="仿宋"/>
          <w:color w:val="000000"/>
          <w:u w:val="single"/>
        </w:rPr>
        <w:t xml:space="preserve">      </w:t>
      </w:r>
      <w:r>
        <w:rPr>
          <w:rFonts w:ascii="仿宋" w:hAnsi="仿宋" w:eastAsia="仿宋"/>
          <w:color w:val="000000"/>
        </w:rPr>
        <w:t>月</w:t>
      </w:r>
      <w:r>
        <w:rPr>
          <w:rFonts w:ascii="仿宋" w:hAnsi="仿宋" w:eastAsia="仿宋"/>
          <w:color w:val="000000"/>
          <w:u w:val="single"/>
        </w:rPr>
        <w:t xml:space="preserve">    </w:t>
      </w:r>
      <w:r>
        <w:rPr>
          <w:rFonts w:ascii="仿宋" w:hAnsi="仿宋" w:eastAsia="仿宋"/>
          <w:color w:val="000000"/>
        </w:rPr>
        <w:t>日</w:t>
      </w:r>
    </w:p>
    <w:p>
      <w:pPr>
        <w:pStyle w:val="6"/>
      </w:pPr>
      <w:r>
        <w:rPr>
          <w:rFonts w:hint="eastAsia"/>
        </w:rPr>
        <w:br w:type="page"/>
      </w:r>
      <w:bookmarkStart w:id="54" w:name="_Toc61184640"/>
      <w:bookmarkStart w:id="55" w:name="_Toc5174"/>
      <w:bookmarkStart w:id="56" w:name="_Toc56170397"/>
      <w:r>
        <w:rPr>
          <w:rFonts w:hint="eastAsia"/>
        </w:rPr>
        <w:t>附件五、诚信投标承诺书</w:t>
      </w:r>
      <w:bookmarkEnd w:id="54"/>
      <w:bookmarkEnd w:id="55"/>
      <w:bookmarkEnd w:id="56"/>
    </w:p>
    <w:p>
      <w:pPr>
        <w:pStyle w:val="23"/>
        <w:spacing w:line="360" w:lineRule="auto"/>
        <w:ind w:firstLine="560"/>
        <w:rPr>
          <w:rFonts w:ascii="仿宋" w:hAnsi="仿宋" w:eastAsia="仿宋"/>
          <w:color w:val="000000"/>
        </w:rPr>
      </w:pPr>
      <w:r>
        <w:rPr>
          <w:rFonts w:hint="eastAsia" w:ascii="仿宋" w:hAnsi="仿宋" w:eastAsia="仿宋"/>
          <w:color w:val="000000"/>
        </w:rPr>
        <w:t>本人以企业法定代表人的身份郑重承诺：</w:t>
      </w:r>
    </w:p>
    <w:p>
      <w:pPr>
        <w:pStyle w:val="23"/>
        <w:spacing w:line="360" w:lineRule="auto"/>
        <w:ind w:firstLine="560"/>
        <w:rPr>
          <w:rFonts w:ascii="仿宋" w:hAnsi="仿宋" w:eastAsia="仿宋"/>
          <w:color w:val="000000"/>
        </w:rPr>
      </w:pPr>
      <w:r>
        <w:rPr>
          <w:rFonts w:hint="eastAsia" w:ascii="仿宋" w:hAnsi="仿宋" w:eastAsia="仿宋"/>
          <w:color w:val="000000"/>
        </w:rPr>
        <w:t>一、招标文件中所提供的一切材料都是真实、有效、合法的；</w:t>
      </w:r>
    </w:p>
    <w:p>
      <w:pPr>
        <w:pStyle w:val="23"/>
        <w:spacing w:line="360" w:lineRule="auto"/>
        <w:ind w:firstLine="560"/>
        <w:rPr>
          <w:rFonts w:ascii="仿宋" w:hAnsi="仿宋" w:eastAsia="仿宋"/>
          <w:color w:val="000000"/>
        </w:rPr>
      </w:pPr>
      <w:r>
        <w:rPr>
          <w:rFonts w:hint="eastAsia" w:ascii="仿宋" w:hAnsi="仿宋" w:eastAsia="仿宋"/>
          <w:color w:val="000000"/>
        </w:rPr>
        <w:t>二、不以他人名义投标或者以其他方式弄虚作假，骗取成交；</w:t>
      </w:r>
    </w:p>
    <w:p>
      <w:pPr>
        <w:pStyle w:val="23"/>
        <w:spacing w:line="360" w:lineRule="auto"/>
        <w:ind w:firstLine="560"/>
        <w:rPr>
          <w:rFonts w:ascii="仿宋" w:hAnsi="仿宋" w:eastAsia="仿宋"/>
          <w:color w:val="000000"/>
        </w:rPr>
      </w:pPr>
      <w:r>
        <w:rPr>
          <w:rFonts w:hint="eastAsia" w:ascii="仿宋" w:hAnsi="仿宋" w:eastAsia="仿宋"/>
          <w:color w:val="000000"/>
        </w:rPr>
        <w:t>三、不与其他供应商互相串通投标，不排挤其他供应商的公平竞争，不损害供应商的合法权益；</w:t>
      </w:r>
    </w:p>
    <w:p>
      <w:pPr>
        <w:pStyle w:val="23"/>
        <w:spacing w:line="360" w:lineRule="auto"/>
        <w:ind w:firstLine="560"/>
        <w:rPr>
          <w:rFonts w:ascii="仿宋" w:hAnsi="仿宋" w:eastAsia="仿宋"/>
          <w:color w:val="000000"/>
        </w:rPr>
      </w:pPr>
      <w:r>
        <w:rPr>
          <w:rFonts w:hint="eastAsia" w:ascii="仿宋" w:hAnsi="仿宋" w:eastAsia="仿宋"/>
          <w:color w:val="000000"/>
        </w:rPr>
        <w:t>四、不与采购人或者采购代理机构串通投标，损害国家利益、社会公共利益或者他人的合法权益；</w:t>
      </w:r>
    </w:p>
    <w:p>
      <w:pPr>
        <w:pStyle w:val="23"/>
        <w:spacing w:line="360" w:lineRule="auto"/>
        <w:ind w:firstLine="560"/>
        <w:rPr>
          <w:rFonts w:ascii="仿宋" w:hAnsi="仿宋" w:eastAsia="仿宋"/>
          <w:color w:val="000000"/>
        </w:rPr>
      </w:pPr>
      <w:r>
        <w:rPr>
          <w:rFonts w:hint="eastAsia" w:ascii="仿宋" w:hAnsi="仿宋" w:eastAsia="仿宋"/>
          <w:color w:val="000000"/>
        </w:rPr>
        <w:t>五、不向采购人或者评标委员会成员行贿以牟取成交；</w:t>
      </w:r>
    </w:p>
    <w:p>
      <w:pPr>
        <w:pStyle w:val="23"/>
        <w:spacing w:line="360" w:lineRule="auto"/>
        <w:ind w:firstLine="560"/>
        <w:rPr>
          <w:rFonts w:ascii="仿宋" w:hAnsi="仿宋" w:eastAsia="仿宋"/>
          <w:color w:val="000000"/>
        </w:rPr>
      </w:pPr>
      <w:r>
        <w:rPr>
          <w:rFonts w:hint="eastAsia" w:ascii="仿宋" w:hAnsi="仿宋" w:eastAsia="仿宋"/>
          <w:color w:val="000000"/>
        </w:rPr>
        <w:t>六、如在开标过程和公示期间需要投诉，则保证按照《中华人民共和国招标投标法》的要求进行。投诉的内容和程序符合法律法规的规定，投诉材料加盖企业公章或由法定代表人或授权委托人签字，并附有相关身份证明复印件；</w:t>
      </w:r>
    </w:p>
    <w:p>
      <w:pPr>
        <w:pStyle w:val="23"/>
        <w:spacing w:line="360" w:lineRule="auto"/>
        <w:ind w:firstLine="560"/>
        <w:rPr>
          <w:rFonts w:ascii="仿宋" w:hAnsi="仿宋" w:eastAsia="仿宋"/>
          <w:color w:val="000000"/>
        </w:rPr>
      </w:pPr>
      <w:r>
        <w:rPr>
          <w:rFonts w:hint="eastAsia" w:ascii="仿宋" w:hAnsi="仿宋" w:eastAsia="仿宋"/>
          <w:color w:val="000000"/>
        </w:rPr>
        <w:t>七、遵守《中华人民共和国政府采购法》、《政府采购货物和服务招标投标管理办法》（财政部</w:t>
      </w:r>
      <w:r>
        <w:rPr>
          <w:rFonts w:ascii="仿宋" w:hAnsi="仿宋" w:eastAsia="仿宋"/>
          <w:color w:val="000000"/>
        </w:rPr>
        <w:t>87</w:t>
      </w:r>
      <w:r>
        <w:rPr>
          <w:rFonts w:hint="eastAsia" w:ascii="仿宋" w:hAnsi="仿宋" w:eastAsia="仿宋"/>
          <w:color w:val="000000"/>
        </w:rPr>
        <w:t>号令）、《财政部关于加强政府采购货物和服务项目价格评审管理的通知》（财库【2007】2号文）和《政府采购非招标采购方式管理办法》（财政部74号令）的规定，保证不进行恶意投诉。</w:t>
      </w:r>
    </w:p>
    <w:p>
      <w:pPr>
        <w:pStyle w:val="23"/>
        <w:spacing w:line="360" w:lineRule="auto"/>
        <w:ind w:firstLine="560"/>
        <w:rPr>
          <w:rFonts w:ascii="仿宋" w:hAnsi="仿宋" w:eastAsia="仿宋"/>
          <w:color w:val="000000"/>
        </w:rPr>
      </w:pPr>
      <w:r>
        <w:rPr>
          <w:rFonts w:hint="eastAsia" w:ascii="仿宋" w:hAnsi="仿宋" w:eastAsia="仿宋"/>
          <w:color w:val="000000"/>
        </w:rPr>
        <w:t>以上内容我已仔细阅读。如若违反上述承诺或形成恶意投诉，我们自愿接受以下一种或几种处罚：自动放弃成交供应商资格、限制以后投标、记入不良信用档案、没收本次投标保证金，并愿意承担由此引起的其他法律责任。</w:t>
      </w:r>
    </w:p>
    <w:p>
      <w:pPr>
        <w:pStyle w:val="23"/>
        <w:spacing w:line="360" w:lineRule="auto"/>
        <w:ind w:firstLine="560"/>
        <w:rPr>
          <w:rFonts w:ascii="仿宋" w:hAnsi="仿宋" w:eastAsia="仿宋"/>
          <w:color w:val="000000"/>
        </w:rPr>
      </w:pPr>
      <w:r>
        <w:rPr>
          <w:rFonts w:hint="eastAsia" w:ascii="仿宋" w:hAnsi="仿宋" w:eastAsia="仿宋"/>
          <w:color w:val="000000"/>
        </w:rPr>
        <w:t>供应商：（公章）</w:t>
      </w:r>
    </w:p>
    <w:p>
      <w:pPr>
        <w:pStyle w:val="23"/>
        <w:spacing w:line="360" w:lineRule="auto"/>
        <w:ind w:firstLine="560"/>
        <w:rPr>
          <w:rFonts w:ascii="仿宋" w:hAnsi="仿宋" w:eastAsia="仿宋"/>
          <w:color w:val="000000"/>
        </w:rPr>
      </w:pPr>
      <w:r>
        <w:rPr>
          <w:rFonts w:hint="eastAsia" w:ascii="仿宋" w:hAnsi="仿宋" w:eastAsia="仿宋"/>
          <w:color w:val="000000"/>
        </w:rPr>
        <w:t>法定代表人：（签字）       法定代表授权委托人：（签字）</w:t>
      </w:r>
    </w:p>
    <w:p>
      <w:pPr>
        <w:pStyle w:val="6"/>
      </w:pPr>
      <w:r>
        <w:rPr>
          <w:rFonts w:hint="eastAsia"/>
          <w:szCs w:val="28"/>
        </w:rPr>
        <w:br w:type="page"/>
      </w:r>
      <w:bookmarkStart w:id="57" w:name="_Toc435087575"/>
      <w:bookmarkStart w:id="58" w:name="_Toc61184641"/>
      <w:bookmarkStart w:id="59" w:name="_Toc30642"/>
      <w:bookmarkStart w:id="60" w:name="_Toc56170398"/>
      <w:r>
        <w:rPr>
          <w:rFonts w:hint="eastAsia"/>
        </w:rPr>
        <w:t>附件</w:t>
      </w:r>
      <w:bookmarkEnd w:id="57"/>
      <w:r>
        <w:rPr>
          <w:rFonts w:hint="eastAsia"/>
        </w:rPr>
        <w:t>六、供应商反商业贿赂承诺书</w:t>
      </w:r>
      <w:bookmarkEnd w:id="58"/>
      <w:bookmarkEnd w:id="59"/>
      <w:bookmarkEnd w:id="60"/>
    </w:p>
    <w:p>
      <w:pPr>
        <w:autoSpaceDE w:val="0"/>
        <w:autoSpaceDN w:val="0"/>
        <w:adjustRightInd w:val="0"/>
        <w:snapToGrid w:val="0"/>
        <w:spacing w:line="360" w:lineRule="auto"/>
        <w:ind w:firstLine="560" w:firstLineChars="200"/>
        <w:jc w:val="left"/>
        <w:rPr>
          <w:rFonts w:ascii="仿宋" w:hAnsi="仿宋" w:eastAsia="仿宋" w:cs="宋体"/>
          <w:color w:val="000000"/>
          <w:kern w:val="0"/>
          <w:sz w:val="28"/>
          <w:szCs w:val="28"/>
          <w:lang w:val="zh-CN"/>
        </w:rPr>
      </w:pP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在</w:t>
      </w:r>
      <w:r>
        <w:rPr>
          <w:rFonts w:hint="eastAsia" w:ascii="仿宋" w:hAnsi="仿宋" w:eastAsia="仿宋"/>
          <w:color w:val="000000"/>
          <w:kern w:val="0"/>
          <w:sz w:val="28"/>
          <w:szCs w:val="28"/>
          <w:u w:val="single"/>
        </w:rPr>
        <w:t xml:space="preserve">          </w:t>
      </w:r>
      <w:r>
        <w:rPr>
          <w:rFonts w:hint="eastAsia" w:ascii="仿宋" w:hAnsi="仿宋" w:eastAsia="仿宋"/>
          <w:color w:val="000000"/>
          <w:kern w:val="0"/>
          <w:sz w:val="28"/>
          <w:szCs w:val="28"/>
        </w:rPr>
        <w:t>号（</w:t>
      </w:r>
      <w:r>
        <w:rPr>
          <w:rFonts w:hint="eastAsia" w:ascii="仿宋" w:hAnsi="仿宋" w:eastAsia="仿宋"/>
          <w:color w:val="000000"/>
          <w:kern w:val="0"/>
          <w:sz w:val="28"/>
          <w:szCs w:val="28"/>
          <w:u w:val="single"/>
        </w:rPr>
        <w:t xml:space="preserve">              </w:t>
      </w:r>
      <w:r>
        <w:rPr>
          <w:rFonts w:hint="eastAsia" w:ascii="仿宋" w:hAnsi="仿宋" w:eastAsia="仿宋"/>
          <w:color w:val="000000"/>
          <w:kern w:val="0"/>
          <w:sz w:val="28"/>
          <w:szCs w:val="28"/>
        </w:rPr>
        <w:t>项目）招标活动中，我公司承诺如下 ：</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1、不给予国家工作人员及其亲属各种形式的商业贿赂（包括送礼金礼品、有价证券、购物券、回扣、佣金、咨询费、劳务费、赞助费、宣传费、支付旅游费用、报销各种消费凭证、宴请、娱乐等）；</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2、不与采购人相互勾结私下协议，弄虚作假，搞假投标、陪标、串通投标，明招暗定，暗箱操作。</w:t>
      </w:r>
    </w:p>
    <w:p>
      <w:pPr>
        <w:snapToGrid w:val="0"/>
        <w:spacing w:line="360" w:lineRule="auto"/>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3、我公司法人及项目参与人员有亲戚担任业主方副科级以上领导职务时，自愿放弃此次投标权。</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如有上述行为，一经发现，我公司及项目参与人员愿意按照《政府采购法》、《招投标法》、《反不正当竞争法》的有关规定接受处罚。</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p>
    <w:p>
      <w:pPr>
        <w:autoSpaceDE w:val="0"/>
        <w:autoSpaceDN w:val="0"/>
        <w:adjustRightInd w:val="0"/>
        <w:spacing w:line="360" w:lineRule="auto"/>
        <w:ind w:left="221"/>
        <w:rPr>
          <w:rFonts w:ascii="仿宋" w:hAnsi="仿宋" w:eastAsia="仿宋"/>
          <w:color w:val="000000"/>
          <w:kern w:val="0"/>
          <w:sz w:val="24"/>
          <w:szCs w:val="24"/>
        </w:rPr>
      </w:pPr>
      <w:r>
        <w:rPr>
          <w:rFonts w:hint="eastAsia" w:ascii="仿宋" w:hAnsi="仿宋" w:eastAsia="仿宋"/>
          <w:color w:val="000000"/>
          <w:kern w:val="0"/>
          <w:sz w:val="24"/>
          <w:szCs w:val="24"/>
        </w:rPr>
        <w:t>公司法人代表：（签字）</w:t>
      </w:r>
      <w:r>
        <w:rPr>
          <w:rFonts w:hint="eastAsia" w:ascii="仿宋" w:hAnsi="仿宋" w:eastAsia="仿宋"/>
          <w:color w:val="000000"/>
          <w:kern w:val="0"/>
          <w:sz w:val="24"/>
          <w:szCs w:val="24"/>
          <w:u w:val="single"/>
        </w:rPr>
        <w:t xml:space="preserve">             </w:t>
      </w:r>
      <w:r>
        <w:rPr>
          <w:rFonts w:ascii="仿宋" w:hAnsi="仿宋" w:eastAsia="仿宋"/>
          <w:color w:val="000000"/>
          <w:kern w:val="0"/>
          <w:sz w:val="24"/>
          <w:szCs w:val="24"/>
          <w:u w:val="single"/>
        </w:rPr>
        <w:t xml:space="preserve"> </w:t>
      </w:r>
      <w:r>
        <w:rPr>
          <w:rFonts w:hint="eastAsia" w:ascii="仿宋" w:hAnsi="仿宋" w:eastAsia="仿宋"/>
          <w:color w:val="000000"/>
          <w:kern w:val="0"/>
          <w:sz w:val="24"/>
          <w:szCs w:val="24"/>
          <w:u w:val="single"/>
        </w:rPr>
        <w:t xml:space="preserve">      </w:t>
      </w:r>
      <w:r>
        <w:rPr>
          <w:rFonts w:ascii="仿宋" w:hAnsi="仿宋" w:eastAsia="仿宋"/>
          <w:color w:val="000000"/>
          <w:kern w:val="0"/>
          <w:sz w:val="24"/>
          <w:szCs w:val="24"/>
        </w:rPr>
        <w:t>.</w:t>
      </w:r>
    </w:p>
    <w:p>
      <w:pPr>
        <w:autoSpaceDE w:val="0"/>
        <w:autoSpaceDN w:val="0"/>
        <w:adjustRightInd w:val="0"/>
        <w:spacing w:line="360" w:lineRule="auto"/>
        <w:ind w:left="221"/>
        <w:rPr>
          <w:rFonts w:ascii="仿宋" w:hAnsi="仿宋" w:eastAsia="仿宋"/>
          <w:color w:val="000000"/>
          <w:kern w:val="0"/>
          <w:sz w:val="24"/>
          <w:szCs w:val="24"/>
        </w:rPr>
      </w:pPr>
      <w:r>
        <w:rPr>
          <w:rFonts w:hint="eastAsia" w:ascii="仿宋" w:hAnsi="仿宋" w:eastAsia="仿宋"/>
          <w:color w:val="000000"/>
          <w:kern w:val="0"/>
          <w:sz w:val="24"/>
          <w:szCs w:val="24"/>
        </w:rPr>
        <w:t>法人授权代表：（签字）</w:t>
      </w:r>
      <w:r>
        <w:rPr>
          <w:rFonts w:hint="eastAsia" w:ascii="仿宋" w:hAnsi="仿宋" w:eastAsia="仿宋"/>
          <w:color w:val="000000"/>
          <w:kern w:val="0"/>
          <w:sz w:val="24"/>
          <w:szCs w:val="24"/>
          <w:u w:val="single"/>
        </w:rPr>
        <w:t xml:space="preserve">              </w:t>
      </w:r>
      <w:r>
        <w:rPr>
          <w:rFonts w:ascii="仿宋" w:hAnsi="仿宋" w:eastAsia="仿宋"/>
          <w:color w:val="000000"/>
          <w:kern w:val="0"/>
          <w:sz w:val="24"/>
          <w:szCs w:val="24"/>
          <w:u w:val="single"/>
        </w:rPr>
        <w:t xml:space="preserve"> </w:t>
      </w:r>
      <w:r>
        <w:rPr>
          <w:rFonts w:hint="eastAsia" w:ascii="仿宋" w:hAnsi="仿宋" w:eastAsia="仿宋"/>
          <w:color w:val="000000"/>
          <w:kern w:val="0"/>
          <w:sz w:val="24"/>
          <w:szCs w:val="24"/>
          <w:u w:val="single"/>
        </w:rPr>
        <w:t xml:space="preserve">     </w:t>
      </w:r>
      <w:r>
        <w:rPr>
          <w:rFonts w:ascii="仿宋" w:hAnsi="仿宋" w:eastAsia="仿宋"/>
          <w:color w:val="000000"/>
          <w:kern w:val="0"/>
          <w:sz w:val="24"/>
          <w:szCs w:val="24"/>
          <w:u w:val="single"/>
        </w:rPr>
        <w:t>.</w:t>
      </w:r>
    </w:p>
    <w:p>
      <w:pPr>
        <w:autoSpaceDE w:val="0"/>
        <w:autoSpaceDN w:val="0"/>
        <w:adjustRightInd w:val="0"/>
        <w:spacing w:line="360" w:lineRule="auto"/>
        <w:ind w:left="221"/>
        <w:rPr>
          <w:rFonts w:ascii="仿宋" w:hAnsi="仿宋" w:eastAsia="仿宋"/>
          <w:color w:val="000000"/>
          <w:kern w:val="0"/>
          <w:sz w:val="28"/>
          <w:szCs w:val="28"/>
        </w:rPr>
      </w:pPr>
      <w:r>
        <w:rPr>
          <w:rFonts w:hint="eastAsia" w:ascii="仿宋" w:hAnsi="仿宋" w:eastAsia="仿宋"/>
          <w:color w:val="000000"/>
          <w:kern w:val="0"/>
          <w:sz w:val="24"/>
          <w:szCs w:val="24"/>
        </w:rPr>
        <w:t>项 目 经 理： （签字）</w:t>
      </w:r>
      <w:r>
        <w:rPr>
          <w:rFonts w:hint="eastAsia" w:ascii="仿宋" w:hAnsi="仿宋" w:eastAsia="仿宋"/>
          <w:color w:val="000000"/>
          <w:kern w:val="0"/>
          <w:sz w:val="24"/>
          <w:szCs w:val="24"/>
          <w:u w:val="single"/>
        </w:rPr>
        <w:t xml:space="preserve">           </w:t>
      </w:r>
      <w:r>
        <w:rPr>
          <w:rFonts w:hint="eastAsia" w:ascii="仿宋" w:hAnsi="仿宋" w:eastAsia="仿宋"/>
          <w:color w:val="000000"/>
          <w:kern w:val="0"/>
          <w:sz w:val="28"/>
          <w:szCs w:val="28"/>
          <w:u w:val="single"/>
        </w:rPr>
        <w:t xml:space="preserve">    </w:t>
      </w:r>
      <w:r>
        <w:rPr>
          <w:rFonts w:ascii="仿宋" w:hAnsi="仿宋" w:eastAsia="仿宋"/>
          <w:color w:val="000000"/>
          <w:kern w:val="0"/>
          <w:sz w:val="28"/>
          <w:szCs w:val="28"/>
          <w:u w:val="single"/>
        </w:rPr>
        <w:t xml:space="preserve"> </w:t>
      </w:r>
      <w:r>
        <w:rPr>
          <w:rFonts w:hint="eastAsia" w:ascii="仿宋" w:hAnsi="仿宋" w:eastAsia="仿宋"/>
          <w:color w:val="000000"/>
          <w:kern w:val="0"/>
          <w:sz w:val="28"/>
          <w:szCs w:val="28"/>
          <w:u w:val="single"/>
        </w:rPr>
        <w:t xml:space="preserve">   </w:t>
      </w:r>
      <w:r>
        <w:rPr>
          <w:rFonts w:ascii="仿宋" w:hAnsi="仿宋" w:eastAsia="仿宋"/>
          <w:color w:val="000000"/>
          <w:kern w:val="0"/>
          <w:sz w:val="28"/>
          <w:szCs w:val="28"/>
          <w:u w:val="single"/>
        </w:rPr>
        <w:t>.</w:t>
      </w:r>
    </w:p>
    <w:p>
      <w:pPr>
        <w:autoSpaceDE w:val="0"/>
        <w:autoSpaceDN w:val="0"/>
        <w:adjustRightInd w:val="0"/>
        <w:spacing w:line="360" w:lineRule="auto"/>
        <w:ind w:left="221"/>
        <w:rPr>
          <w:rFonts w:ascii="仿宋" w:hAnsi="仿宋" w:eastAsia="仿宋"/>
          <w:color w:val="000000"/>
          <w:kern w:val="0"/>
          <w:sz w:val="28"/>
          <w:szCs w:val="28"/>
        </w:rPr>
      </w:pPr>
    </w:p>
    <w:p>
      <w:pPr>
        <w:autoSpaceDE w:val="0"/>
        <w:autoSpaceDN w:val="0"/>
        <w:adjustRightInd w:val="0"/>
        <w:spacing w:line="360" w:lineRule="auto"/>
        <w:jc w:val="right"/>
        <w:rPr>
          <w:rFonts w:ascii="仿宋" w:hAnsi="仿宋" w:eastAsia="仿宋"/>
          <w:color w:val="000000"/>
          <w:kern w:val="0"/>
          <w:sz w:val="28"/>
          <w:szCs w:val="28"/>
          <w:u w:val="single"/>
        </w:rPr>
      </w:pPr>
      <w:r>
        <w:rPr>
          <w:rFonts w:hint="eastAsia" w:ascii="仿宋" w:hAnsi="仿宋" w:eastAsia="仿宋"/>
          <w:color w:val="000000"/>
          <w:kern w:val="0"/>
          <w:sz w:val="28"/>
          <w:szCs w:val="28"/>
          <w:u w:val="single"/>
        </w:rPr>
        <w:t xml:space="preserve">       公司签章       </w:t>
      </w:r>
      <w:r>
        <w:rPr>
          <w:rFonts w:ascii="仿宋" w:hAnsi="仿宋" w:eastAsia="仿宋"/>
          <w:color w:val="000000"/>
          <w:kern w:val="0"/>
          <w:sz w:val="28"/>
          <w:szCs w:val="28"/>
          <w:u w:val="single"/>
        </w:rPr>
        <w:t>.</w:t>
      </w:r>
    </w:p>
    <w:p>
      <w:pPr>
        <w:pStyle w:val="23"/>
        <w:spacing w:line="360" w:lineRule="auto"/>
        <w:ind w:firstLine="560"/>
        <w:jc w:val="right"/>
        <w:rPr>
          <w:rFonts w:ascii="仿宋" w:hAnsi="仿宋" w:eastAsia="仿宋"/>
          <w:color w:val="000000"/>
          <w:kern w:val="0"/>
          <w:szCs w:val="28"/>
        </w:rPr>
      </w:pPr>
      <w:r>
        <w:rPr>
          <w:rFonts w:hint="eastAsia" w:ascii="仿宋" w:hAnsi="仿宋" w:eastAsia="仿宋"/>
          <w:color w:val="000000"/>
          <w:kern w:val="0"/>
          <w:szCs w:val="28"/>
        </w:rPr>
        <w:t>年      月     日</w:t>
      </w:r>
    </w:p>
    <w:p>
      <w:pPr>
        <w:pStyle w:val="6"/>
        <w:rPr>
          <w:rFonts w:cs="sans-serif"/>
          <w:sz w:val="19"/>
          <w:szCs w:val="19"/>
        </w:rPr>
      </w:pPr>
      <w:r>
        <w:br w:type="page"/>
      </w:r>
      <w:bookmarkStart w:id="61" w:name="_Toc31315"/>
      <w:r>
        <w:rPr>
          <w:rFonts w:hint="eastAsia"/>
        </w:rPr>
        <w:t>附件七、</w:t>
      </w:r>
      <w:r>
        <w:t>中小企业声明函（货物）</w:t>
      </w:r>
      <w:bookmarkEnd w:id="61"/>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本公司（联合体）郑重声明，根据《政府采购促进中小企业发展管理办法》（财库〔2020〕46号）的规定，本公司（联合体）参加</w:t>
      </w:r>
      <w:r>
        <w:rPr>
          <w:rFonts w:ascii="仿宋" w:hAnsi="仿宋" w:eastAsia="仿宋"/>
          <w:kern w:val="0"/>
          <w:sz w:val="28"/>
          <w:szCs w:val="28"/>
        </w:rPr>
        <w:t>（单位名称）</w:t>
      </w:r>
      <w:r>
        <w:rPr>
          <w:rFonts w:ascii="仿宋" w:hAnsi="仿宋" w:eastAsia="仿宋"/>
          <w:color w:val="000000"/>
          <w:kern w:val="0"/>
          <w:sz w:val="28"/>
          <w:szCs w:val="28"/>
        </w:rPr>
        <w:t>的</w:t>
      </w:r>
      <w:r>
        <w:rPr>
          <w:rFonts w:ascii="仿宋" w:hAnsi="仿宋" w:eastAsia="仿宋"/>
          <w:kern w:val="0"/>
          <w:sz w:val="28"/>
          <w:szCs w:val="28"/>
        </w:rPr>
        <w:t>（项目名称）</w:t>
      </w:r>
      <w:r>
        <w:rPr>
          <w:rFonts w:ascii="仿宋" w:hAnsi="仿宋" w:eastAsia="仿宋"/>
          <w:color w:val="000000"/>
          <w:kern w:val="0"/>
          <w:sz w:val="28"/>
          <w:szCs w:val="28"/>
        </w:rPr>
        <w:t>采购活动，提供的货物全部由符合政策要求的中小企业制造。相关企业（含联合体中的中小企业、签订分包意向协议的中小企业）的具体情况如下：</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1.</w:t>
      </w:r>
      <w:r>
        <w:rPr>
          <w:rFonts w:ascii="仿宋" w:hAnsi="仿宋" w:eastAsia="仿宋"/>
          <w:kern w:val="0"/>
          <w:sz w:val="28"/>
          <w:szCs w:val="28"/>
          <w:u w:val="single"/>
        </w:rPr>
        <w:t>（标的名称）</w:t>
      </w:r>
      <w:r>
        <w:rPr>
          <w:rFonts w:ascii="仿宋" w:hAnsi="仿宋" w:eastAsia="仿宋"/>
          <w:color w:val="000000"/>
          <w:kern w:val="0"/>
          <w:sz w:val="28"/>
          <w:szCs w:val="28"/>
        </w:rPr>
        <w:t>，属于</w:t>
      </w:r>
      <w:r>
        <w:rPr>
          <w:rFonts w:ascii="仿宋" w:hAnsi="仿宋" w:eastAsia="仿宋"/>
          <w:kern w:val="0"/>
          <w:sz w:val="28"/>
          <w:szCs w:val="28"/>
        </w:rPr>
        <w:t>（</w:t>
      </w:r>
      <w:r>
        <w:rPr>
          <w:rFonts w:ascii="仿宋" w:hAnsi="仿宋" w:eastAsia="仿宋"/>
          <w:kern w:val="0"/>
          <w:sz w:val="28"/>
          <w:szCs w:val="28"/>
          <w:u w:val="single"/>
        </w:rPr>
        <w:t>采购文件中明确的所属行业）</w:t>
      </w:r>
      <w:r>
        <w:rPr>
          <w:rFonts w:ascii="仿宋" w:hAnsi="仿宋" w:eastAsia="仿宋"/>
          <w:color w:val="000000"/>
          <w:kern w:val="0"/>
          <w:sz w:val="28"/>
          <w:szCs w:val="28"/>
        </w:rPr>
        <w:t>；制造商为</w:t>
      </w:r>
      <w:r>
        <w:rPr>
          <w:rFonts w:ascii="仿宋" w:hAnsi="仿宋" w:eastAsia="仿宋"/>
          <w:kern w:val="0"/>
          <w:sz w:val="28"/>
          <w:szCs w:val="28"/>
          <w:u w:val="single"/>
        </w:rPr>
        <w:t>（企业名称）</w:t>
      </w:r>
      <w:r>
        <w:rPr>
          <w:rFonts w:ascii="仿宋" w:hAnsi="仿宋" w:eastAsia="仿宋"/>
          <w:color w:val="000000"/>
          <w:kern w:val="0"/>
          <w:sz w:val="28"/>
          <w:szCs w:val="28"/>
        </w:rPr>
        <w:t>，从业人员</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人，营业收入为</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万元，资产总额为</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万元，属于</w:t>
      </w:r>
      <w:r>
        <w:rPr>
          <w:rFonts w:ascii="仿宋" w:hAnsi="仿宋" w:eastAsia="仿宋"/>
          <w:kern w:val="0"/>
          <w:sz w:val="28"/>
          <w:szCs w:val="28"/>
          <w:u w:val="single"/>
        </w:rPr>
        <w:t>（中型企业、小型企业、微型企业）</w:t>
      </w:r>
      <w:r>
        <w:rPr>
          <w:rFonts w:ascii="仿宋" w:hAnsi="仿宋" w:eastAsia="仿宋"/>
          <w:color w:val="000000"/>
          <w:kern w:val="0"/>
          <w:sz w:val="28"/>
          <w:szCs w:val="28"/>
        </w:rPr>
        <w:t>；</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2.</w:t>
      </w:r>
      <w:r>
        <w:rPr>
          <w:rFonts w:ascii="仿宋" w:hAnsi="仿宋" w:eastAsia="仿宋"/>
          <w:kern w:val="0"/>
          <w:sz w:val="28"/>
          <w:szCs w:val="28"/>
          <w:u w:val="single"/>
        </w:rPr>
        <w:t>（标的名称）</w:t>
      </w:r>
      <w:r>
        <w:rPr>
          <w:rFonts w:ascii="仿宋" w:hAnsi="仿宋" w:eastAsia="仿宋"/>
          <w:color w:val="000000"/>
          <w:kern w:val="0"/>
          <w:sz w:val="28"/>
          <w:szCs w:val="28"/>
        </w:rPr>
        <w:t>，属于</w:t>
      </w:r>
      <w:r>
        <w:rPr>
          <w:rFonts w:ascii="仿宋" w:hAnsi="仿宋" w:eastAsia="仿宋"/>
          <w:kern w:val="0"/>
          <w:sz w:val="28"/>
          <w:szCs w:val="28"/>
          <w:u w:val="single"/>
        </w:rPr>
        <w:t>（采购文件中明确的所属行业）</w:t>
      </w:r>
      <w:r>
        <w:rPr>
          <w:rFonts w:ascii="仿宋" w:hAnsi="仿宋" w:eastAsia="仿宋"/>
          <w:color w:val="000000"/>
          <w:kern w:val="0"/>
          <w:sz w:val="28"/>
          <w:szCs w:val="28"/>
        </w:rPr>
        <w:t>；制造商为</w:t>
      </w:r>
      <w:r>
        <w:rPr>
          <w:rFonts w:ascii="仿宋" w:hAnsi="仿宋" w:eastAsia="仿宋"/>
          <w:kern w:val="0"/>
          <w:sz w:val="28"/>
          <w:szCs w:val="28"/>
          <w:u w:val="single"/>
        </w:rPr>
        <w:t>（企业名称）</w:t>
      </w:r>
      <w:r>
        <w:rPr>
          <w:rFonts w:ascii="仿宋" w:hAnsi="仿宋" w:eastAsia="仿宋"/>
          <w:color w:val="000000"/>
          <w:kern w:val="0"/>
          <w:sz w:val="28"/>
          <w:szCs w:val="28"/>
        </w:rPr>
        <w:t>，从业人员</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人，营业收入为</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万元，资产总额为</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万元，属于</w:t>
      </w:r>
      <w:r>
        <w:rPr>
          <w:rFonts w:ascii="仿宋" w:hAnsi="仿宋" w:eastAsia="仿宋"/>
          <w:kern w:val="0"/>
          <w:sz w:val="28"/>
          <w:szCs w:val="28"/>
          <w:u w:val="single"/>
        </w:rPr>
        <w:t>（中型企业、小型企业、微型企业）</w:t>
      </w:r>
      <w:r>
        <w:rPr>
          <w:rFonts w:ascii="仿宋" w:hAnsi="仿宋" w:eastAsia="仿宋"/>
          <w:color w:val="000000"/>
          <w:kern w:val="0"/>
          <w:sz w:val="28"/>
          <w:szCs w:val="28"/>
        </w:rPr>
        <w:t>；</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以上企业，不属于大企业的分支机构，不存在控股股东为大企业的情形，也不存在与大企业的负责人为同一人的情形。</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本企业对上述声明内容的真实性负责。如有虚假，将依法承担相应责任。</w:t>
      </w:r>
    </w:p>
    <w:p>
      <w:pPr>
        <w:pStyle w:val="23"/>
        <w:spacing w:line="360" w:lineRule="auto"/>
        <w:ind w:firstLine="4200" w:firstLineChars="1500"/>
        <w:rPr>
          <w:rFonts w:ascii="仿宋" w:hAnsi="仿宋" w:eastAsia="仿宋"/>
          <w:color w:val="000000"/>
        </w:rPr>
      </w:pPr>
      <w:r>
        <w:rPr>
          <w:rFonts w:hint="eastAsia" w:ascii="仿宋" w:hAnsi="仿宋" w:eastAsia="仿宋"/>
          <w:color w:val="000000"/>
        </w:rPr>
        <w:t>供应商</w:t>
      </w:r>
      <w:r>
        <w:rPr>
          <w:rFonts w:ascii="仿宋" w:hAnsi="仿宋" w:eastAsia="仿宋"/>
          <w:color w:val="000000"/>
        </w:rPr>
        <w:t>：</w:t>
      </w:r>
      <w:r>
        <w:rPr>
          <w:rFonts w:ascii="仿宋" w:hAnsi="仿宋" w:eastAsia="仿宋"/>
          <w:color w:val="000000"/>
          <w:u w:val="single"/>
        </w:rPr>
        <w:t xml:space="preserve">                     </w:t>
      </w:r>
      <w:r>
        <w:rPr>
          <w:rFonts w:ascii="仿宋" w:hAnsi="仿宋" w:eastAsia="仿宋"/>
          <w:color w:val="000000"/>
        </w:rPr>
        <w:t>（</w:t>
      </w:r>
      <w:r>
        <w:rPr>
          <w:rFonts w:hint="eastAsia" w:ascii="仿宋" w:hAnsi="仿宋" w:eastAsia="仿宋"/>
          <w:color w:val="000000"/>
        </w:rPr>
        <w:t>公</w:t>
      </w:r>
      <w:r>
        <w:rPr>
          <w:rFonts w:ascii="仿宋" w:hAnsi="仿宋" w:eastAsia="仿宋"/>
          <w:color w:val="000000"/>
        </w:rPr>
        <w:t>章）</w:t>
      </w:r>
    </w:p>
    <w:p>
      <w:pPr>
        <w:pStyle w:val="23"/>
        <w:spacing w:line="360" w:lineRule="auto"/>
        <w:ind w:firstLine="4200" w:firstLineChars="1500"/>
        <w:rPr>
          <w:rFonts w:ascii="仿宋" w:hAnsi="仿宋" w:eastAsia="仿宋"/>
          <w:color w:val="000000"/>
        </w:rPr>
      </w:pPr>
      <w:r>
        <w:rPr>
          <w:rFonts w:ascii="仿宋" w:hAnsi="仿宋" w:eastAsia="仿宋"/>
          <w:color w:val="000000"/>
        </w:rPr>
        <w:t>日  期：</w:t>
      </w:r>
      <w:r>
        <w:rPr>
          <w:rFonts w:ascii="仿宋" w:hAnsi="仿宋" w:eastAsia="仿宋"/>
          <w:color w:val="000000"/>
          <w:u w:val="single"/>
        </w:rPr>
        <w:t xml:space="preserve">       </w:t>
      </w:r>
      <w:r>
        <w:rPr>
          <w:rFonts w:ascii="仿宋" w:hAnsi="仿宋" w:eastAsia="仿宋"/>
          <w:color w:val="000000"/>
        </w:rPr>
        <w:t>年</w:t>
      </w:r>
      <w:r>
        <w:rPr>
          <w:rFonts w:ascii="仿宋" w:hAnsi="仿宋" w:eastAsia="仿宋"/>
          <w:color w:val="000000"/>
          <w:u w:val="single"/>
        </w:rPr>
        <w:t xml:space="preserve">      </w:t>
      </w:r>
      <w:r>
        <w:rPr>
          <w:rFonts w:ascii="仿宋" w:hAnsi="仿宋" w:eastAsia="仿宋"/>
          <w:color w:val="000000"/>
        </w:rPr>
        <w:t>月</w:t>
      </w:r>
      <w:r>
        <w:rPr>
          <w:rFonts w:ascii="仿宋" w:hAnsi="仿宋" w:eastAsia="仿宋"/>
          <w:color w:val="000000"/>
          <w:u w:val="single"/>
        </w:rPr>
        <w:t xml:space="preserve">    </w:t>
      </w:r>
      <w:r>
        <w:rPr>
          <w:rFonts w:ascii="仿宋" w:hAnsi="仿宋" w:eastAsia="仿宋"/>
          <w:color w:val="000000"/>
        </w:rPr>
        <w:t>日</w:t>
      </w:r>
    </w:p>
    <w:p>
      <w:pPr>
        <w:pStyle w:val="2"/>
        <w:rPr>
          <w:rFonts w:ascii="仿宋" w:hAnsi="仿宋" w:eastAsia="仿宋"/>
        </w:rPr>
      </w:pPr>
    </w:p>
    <w:p>
      <w:pPr>
        <w:pStyle w:val="23"/>
        <w:spacing w:line="360" w:lineRule="auto"/>
        <w:ind w:firstLine="560"/>
        <w:rPr>
          <w:rFonts w:ascii="仿宋" w:hAnsi="仿宋" w:eastAsia="仿宋"/>
          <w:color w:val="000000"/>
        </w:rPr>
      </w:pPr>
    </w:p>
    <w:p>
      <w:pPr>
        <w:spacing w:line="360" w:lineRule="auto"/>
        <w:ind w:firstLine="622"/>
        <w:rPr>
          <w:rFonts w:ascii="仿宋" w:hAnsi="仿宋" w:eastAsia="仿宋"/>
          <w:color w:val="000000"/>
          <w:sz w:val="31"/>
        </w:rPr>
        <w:sectPr>
          <w:headerReference r:id="rId4" w:type="first"/>
          <w:footerReference r:id="rId6" w:type="first"/>
          <w:headerReference r:id="rId3" w:type="default"/>
          <w:footerReference r:id="rId5" w:type="default"/>
          <w:pgSz w:w="11906" w:h="16838"/>
          <w:pgMar w:top="1247" w:right="1134" w:bottom="1247" w:left="1134" w:header="851" w:footer="851" w:gutter="0"/>
          <w:pgNumType w:start="1"/>
          <w:cols w:space="720" w:num="1"/>
          <w:titlePg/>
          <w:docGrid w:type="linesAndChars" w:linePitch="312" w:charSpace="0"/>
        </w:sectPr>
      </w:pPr>
    </w:p>
    <w:p>
      <w:pPr>
        <w:pStyle w:val="6"/>
        <w:spacing w:line="360" w:lineRule="auto"/>
      </w:pPr>
      <w:bookmarkStart w:id="62" w:name="_Toc56170399"/>
      <w:bookmarkStart w:id="63" w:name="_Toc61184642"/>
      <w:bookmarkStart w:id="64" w:name="_Toc22501"/>
      <w:r>
        <w:rPr>
          <w:rFonts w:hint="eastAsia"/>
        </w:rPr>
        <w:t>附件八、开标一览表</w:t>
      </w:r>
      <w:bookmarkEnd w:id="62"/>
      <w:bookmarkEnd w:id="63"/>
      <w:bookmarkEnd w:id="64"/>
    </w:p>
    <w:p>
      <w:pPr>
        <w:tabs>
          <w:tab w:val="center" w:pos="7115"/>
          <w:tab w:val="right" w:pos="14230"/>
        </w:tabs>
        <w:spacing w:line="360" w:lineRule="auto"/>
        <w:ind w:firstLine="140" w:firstLineChars="50"/>
        <w:rPr>
          <w:rFonts w:ascii="仿宋" w:hAnsi="仿宋" w:eastAsia="仿宋"/>
          <w:color w:val="000000"/>
          <w:sz w:val="28"/>
          <w:szCs w:val="28"/>
        </w:rPr>
      </w:pPr>
      <w:r>
        <w:rPr>
          <w:rFonts w:hint="eastAsia" w:ascii="仿宋" w:hAnsi="仿宋" w:eastAsia="仿宋"/>
          <w:color w:val="000000"/>
          <w:sz w:val="28"/>
          <w:szCs w:val="28"/>
        </w:rPr>
        <w:t>供应商名称：                                                                               单位：元</w:t>
      </w:r>
    </w:p>
    <w:p>
      <w:pPr>
        <w:spacing w:line="360" w:lineRule="auto"/>
        <w:ind w:firstLine="140" w:firstLineChars="50"/>
        <w:rPr>
          <w:rFonts w:ascii="仿宋" w:hAnsi="仿宋" w:eastAsia="仿宋" w:cs="宋体"/>
          <w:color w:val="000000"/>
          <w:kern w:val="0"/>
          <w:sz w:val="28"/>
          <w:szCs w:val="28"/>
        </w:rPr>
      </w:pPr>
      <w:r>
        <w:rPr>
          <w:rFonts w:hint="eastAsia" w:ascii="仿宋" w:hAnsi="仿宋" w:eastAsia="仿宋"/>
          <w:color w:val="000000"/>
          <w:sz w:val="28"/>
          <w:szCs w:val="28"/>
        </w:rPr>
        <w:t xml:space="preserve">项目名称：   </w:t>
      </w:r>
      <w:r>
        <w:rPr>
          <w:rFonts w:ascii="仿宋" w:hAnsi="仿宋" w:eastAsia="仿宋"/>
          <w:color w:val="000000"/>
          <w:sz w:val="28"/>
          <w:szCs w:val="28"/>
        </w:rPr>
        <w:t xml:space="preserve">                                                 </w:t>
      </w:r>
      <w:r>
        <w:rPr>
          <w:rFonts w:hint="eastAsia" w:ascii="仿宋" w:hAnsi="仿宋" w:eastAsia="仿宋"/>
          <w:color w:val="000000"/>
          <w:sz w:val="28"/>
          <w:szCs w:val="28"/>
        </w:rPr>
        <w:t xml:space="preserve">    编号：</w:t>
      </w:r>
    </w:p>
    <w:tbl>
      <w:tblPr>
        <w:tblStyle w:val="19"/>
        <w:tblW w:w="14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2268"/>
        <w:gridCol w:w="1706"/>
        <w:gridCol w:w="1120"/>
        <w:gridCol w:w="3120"/>
        <w:gridCol w:w="1990"/>
        <w:gridCol w:w="1980"/>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exact"/>
          <w:jc w:val="center"/>
        </w:trPr>
        <w:tc>
          <w:tcPr>
            <w:tcW w:w="780" w:type="dxa"/>
            <w:vAlign w:val="center"/>
          </w:tcPr>
          <w:p>
            <w:pPr>
              <w:jc w:val="center"/>
              <w:rPr>
                <w:rFonts w:ascii="仿宋" w:hAnsi="仿宋" w:eastAsia="仿宋"/>
                <w:sz w:val="28"/>
                <w:szCs w:val="28"/>
              </w:rPr>
            </w:pPr>
            <w:r>
              <w:rPr>
                <w:rFonts w:hint="eastAsia" w:ascii="仿宋" w:hAnsi="仿宋" w:eastAsia="仿宋"/>
                <w:sz w:val="28"/>
                <w:szCs w:val="28"/>
              </w:rPr>
              <w:t>序号</w:t>
            </w:r>
          </w:p>
        </w:tc>
        <w:tc>
          <w:tcPr>
            <w:tcW w:w="2268" w:type="dxa"/>
            <w:vAlign w:val="center"/>
          </w:tcPr>
          <w:p>
            <w:pPr>
              <w:jc w:val="center"/>
              <w:rPr>
                <w:rFonts w:ascii="仿宋" w:hAnsi="仿宋" w:eastAsia="仿宋"/>
                <w:sz w:val="28"/>
                <w:szCs w:val="28"/>
              </w:rPr>
            </w:pPr>
            <w:r>
              <w:rPr>
                <w:rFonts w:hint="eastAsia" w:ascii="仿宋" w:hAnsi="仿宋" w:eastAsia="仿宋" w:cs="仿宋"/>
                <w:sz w:val="28"/>
                <w:szCs w:val="28"/>
              </w:rPr>
              <w:t>设备名称</w:t>
            </w:r>
          </w:p>
        </w:tc>
        <w:tc>
          <w:tcPr>
            <w:tcW w:w="1706" w:type="dxa"/>
            <w:vAlign w:val="center"/>
          </w:tcPr>
          <w:p>
            <w:pPr>
              <w:jc w:val="center"/>
              <w:rPr>
                <w:rFonts w:ascii="仿宋" w:hAnsi="仿宋" w:eastAsia="仿宋"/>
                <w:sz w:val="28"/>
                <w:szCs w:val="28"/>
              </w:rPr>
            </w:pPr>
            <w:r>
              <w:rPr>
                <w:rFonts w:hint="eastAsia" w:ascii="仿宋" w:hAnsi="仿宋" w:eastAsia="仿宋"/>
                <w:sz w:val="28"/>
                <w:szCs w:val="28"/>
              </w:rPr>
              <w:t>规格和型号</w:t>
            </w:r>
          </w:p>
        </w:tc>
        <w:tc>
          <w:tcPr>
            <w:tcW w:w="1120" w:type="dxa"/>
            <w:vAlign w:val="center"/>
          </w:tcPr>
          <w:p>
            <w:pPr>
              <w:jc w:val="center"/>
              <w:rPr>
                <w:rFonts w:ascii="仿宋" w:hAnsi="仿宋" w:eastAsia="仿宋"/>
                <w:sz w:val="28"/>
                <w:szCs w:val="28"/>
              </w:rPr>
            </w:pPr>
            <w:r>
              <w:rPr>
                <w:rFonts w:hint="eastAsia" w:ascii="仿宋" w:hAnsi="仿宋" w:eastAsia="仿宋"/>
                <w:sz w:val="28"/>
                <w:szCs w:val="28"/>
              </w:rPr>
              <w:t>数量</w:t>
            </w:r>
          </w:p>
        </w:tc>
        <w:tc>
          <w:tcPr>
            <w:tcW w:w="3120" w:type="dxa"/>
            <w:vAlign w:val="center"/>
          </w:tcPr>
          <w:p>
            <w:pPr>
              <w:jc w:val="center"/>
              <w:rPr>
                <w:rFonts w:ascii="仿宋" w:hAnsi="仿宋" w:eastAsia="仿宋"/>
                <w:sz w:val="28"/>
                <w:szCs w:val="28"/>
              </w:rPr>
            </w:pPr>
            <w:r>
              <w:rPr>
                <w:rFonts w:hint="eastAsia" w:ascii="仿宋" w:hAnsi="仿宋" w:eastAsia="仿宋"/>
                <w:sz w:val="28"/>
                <w:szCs w:val="28"/>
              </w:rPr>
              <w:t>制造商名称及国籍、地区</w:t>
            </w:r>
          </w:p>
        </w:tc>
        <w:tc>
          <w:tcPr>
            <w:tcW w:w="1990" w:type="dxa"/>
            <w:vAlign w:val="center"/>
          </w:tcPr>
          <w:p>
            <w:pPr>
              <w:jc w:val="center"/>
              <w:rPr>
                <w:rFonts w:ascii="仿宋" w:hAnsi="仿宋" w:eastAsia="仿宋"/>
                <w:sz w:val="28"/>
                <w:szCs w:val="28"/>
              </w:rPr>
            </w:pPr>
            <w:r>
              <w:rPr>
                <w:rFonts w:hint="eastAsia" w:ascii="仿宋" w:hAnsi="仿宋" w:eastAsia="仿宋" w:cs="仿宋"/>
                <w:sz w:val="28"/>
                <w:szCs w:val="28"/>
              </w:rPr>
              <w:t>设备单价</w:t>
            </w:r>
          </w:p>
        </w:tc>
        <w:tc>
          <w:tcPr>
            <w:tcW w:w="1980" w:type="dxa"/>
            <w:vAlign w:val="center"/>
          </w:tcPr>
          <w:p>
            <w:pPr>
              <w:jc w:val="center"/>
              <w:rPr>
                <w:rFonts w:ascii="仿宋" w:hAnsi="仿宋" w:eastAsia="仿宋"/>
                <w:sz w:val="28"/>
                <w:szCs w:val="28"/>
              </w:rPr>
            </w:pPr>
            <w:r>
              <w:rPr>
                <w:rFonts w:hint="eastAsia" w:ascii="仿宋" w:hAnsi="仿宋" w:eastAsia="仿宋" w:cs="仿宋"/>
                <w:sz w:val="28"/>
                <w:szCs w:val="28"/>
              </w:rPr>
              <w:t>交货期</w:t>
            </w:r>
          </w:p>
        </w:tc>
        <w:tc>
          <w:tcPr>
            <w:tcW w:w="1408" w:type="dxa"/>
            <w:vAlign w:val="center"/>
          </w:tcPr>
          <w:p>
            <w:pPr>
              <w:jc w:val="center"/>
              <w:rPr>
                <w:rFonts w:ascii="仿宋" w:hAnsi="仿宋" w:eastAsia="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8" w:hRule="atLeast"/>
          <w:jc w:val="center"/>
        </w:trPr>
        <w:tc>
          <w:tcPr>
            <w:tcW w:w="780" w:type="dxa"/>
            <w:vAlign w:val="center"/>
          </w:tcPr>
          <w:p>
            <w:pPr>
              <w:snapToGrid w:val="0"/>
              <w:jc w:val="center"/>
              <w:rPr>
                <w:rFonts w:ascii="仿宋" w:hAnsi="仿宋" w:eastAsia="仿宋"/>
                <w:sz w:val="28"/>
                <w:szCs w:val="28"/>
              </w:rPr>
            </w:pPr>
            <w:r>
              <w:rPr>
                <w:rFonts w:hint="eastAsia" w:ascii="仿宋" w:hAnsi="仿宋" w:eastAsia="仿宋"/>
                <w:sz w:val="28"/>
                <w:szCs w:val="28"/>
              </w:rPr>
              <w:t>1</w:t>
            </w:r>
          </w:p>
        </w:tc>
        <w:tc>
          <w:tcPr>
            <w:tcW w:w="2268" w:type="dxa"/>
            <w:vAlign w:val="center"/>
          </w:tcPr>
          <w:p>
            <w:pPr>
              <w:snapToGrid w:val="0"/>
              <w:jc w:val="center"/>
              <w:rPr>
                <w:rFonts w:ascii="仿宋" w:hAnsi="仿宋" w:eastAsia="仿宋"/>
                <w:sz w:val="28"/>
                <w:szCs w:val="28"/>
              </w:rPr>
            </w:pPr>
          </w:p>
        </w:tc>
        <w:tc>
          <w:tcPr>
            <w:tcW w:w="1706" w:type="dxa"/>
            <w:vAlign w:val="center"/>
          </w:tcPr>
          <w:p>
            <w:pPr>
              <w:snapToGrid w:val="0"/>
              <w:jc w:val="center"/>
              <w:rPr>
                <w:rFonts w:ascii="仿宋" w:hAnsi="仿宋" w:eastAsia="仿宋"/>
                <w:sz w:val="28"/>
                <w:szCs w:val="28"/>
              </w:rPr>
            </w:pPr>
          </w:p>
        </w:tc>
        <w:tc>
          <w:tcPr>
            <w:tcW w:w="1120" w:type="dxa"/>
            <w:vAlign w:val="center"/>
          </w:tcPr>
          <w:p>
            <w:pPr>
              <w:snapToGrid w:val="0"/>
              <w:jc w:val="center"/>
              <w:rPr>
                <w:rFonts w:ascii="仿宋" w:hAnsi="仿宋" w:eastAsia="仿宋"/>
                <w:sz w:val="28"/>
                <w:szCs w:val="28"/>
              </w:rPr>
            </w:pPr>
          </w:p>
        </w:tc>
        <w:tc>
          <w:tcPr>
            <w:tcW w:w="3120" w:type="dxa"/>
            <w:vAlign w:val="center"/>
          </w:tcPr>
          <w:p>
            <w:pPr>
              <w:snapToGrid w:val="0"/>
              <w:jc w:val="center"/>
              <w:rPr>
                <w:rFonts w:ascii="仿宋" w:hAnsi="仿宋" w:eastAsia="仿宋"/>
                <w:sz w:val="28"/>
                <w:szCs w:val="28"/>
              </w:rPr>
            </w:pPr>
          </w:p>
        </w:tc>
        <w:tc>
          <w:tcPr>
            <w:tcW w:w="1990" w:type="dxa"/>
            <w:vAlign w:val="center"/>
          </w:tcPr>
          <w:p>
            <w:pPr>
              <w:snapToGrid w:val="0"/>
              <w:jc w:val="center"/>
              <w:rPr>
                <w:rFonts w:ascii="仿宋" w:hAnsi="仿宋" w:eastAsia="仿宋"/>
                <w:sz w:val="28"/>
                <w:szCs w:val="28"/>
              </w:rPr>
            </w:pPr>
          </w:p>
        </w:tc>
        <w:tc>
          <w:tcPr>
            <w:tcW w:w="1980" w:type="dxa"/>
            <w:vAlign w:val="center"/>
          </w:tcPr>
          <w:p>
            <w:pPr>
              <w:snapToGrid w:val="0"/>
              <w:jc w:val="center"/>
              <w:rPr>
                <w:rFonts w:ascii="仿宋" w:hAnsi="仿宋" w:eastAsia="仿宋"/>
                <w:sz w:val="28"/>
                <w:szCs w:val="28"/>
              </w:rPr>
            </w:pPr>
          </w:p>
        </w:tc>
        <w:tc>
          <w:tcPr>
            <w:tcW w:w="1408" w:type="dxa"/>
            <w:vAlign w:val="center"/>
          </w:tcPr>
          <w:p>
            <w:pPr>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9" w:hRule="exact"/>
          <w:jc w:val="center"/>
        </w:trPr>
        <w:tc>
          <w:tcPr>
            <w:tcW w:w="3048" w:type="dxa"/>
            <w:gridSpan w:val="2"/>
            <w:vAlign w:val="center"/>
          </w:tcPr>
          <w:p>
            <w:pPr>
              <w:jc w:val="center"/>
              <w:rPr>
                <w:rFonts w:ascii="仿宋" w:hAnsi="仿宋" w:eastAsia="仿宋"/>
                <w:sz w:val="28"/>
                <w:szCs w:val="28"/>
              </w:rPr>
            </w:pPr>
            <w:r>
              <w:rPr>
                <w:rFonts w:hint="eastAsia" w:ascii="仿宋" w:hAnsi="仿宋" w:eastAsia="仿宋"/>
                <w:sz w:val="28"/>
                <w:szCs w:val="28"/>
              </w:rPr>
              <w:t>投标总价</w:t>
            </w:r>
          </w:p>
        </w:tc>
        <w:tc>
          <w:tcPr>
            <w:tcW w:w="11324" w:type="dxa"/>
            <w:gridSpan w:val="6"/>
            <w:vAlign w:val="center"/>
          </w:tcPr>
          <w:p>
            <w:pPr>
              <w:jc w:val="left"/>
              <w:rPr>
                <w:rFonts w:ascii="仿宋" w:hAnsi="仿宋" w:eastAsia="仿宋"/>
                <w:sz w:val="28"/>
                <w:szCs w:val="28"/>
              </w:rPr>
            </w:pPr>
            <w:r>
              <w:rPr>
                <w:rFonts w:hint="eastAsia" w:ascii="仿宋" w:hAnsi="仿宋" w:eastAsia="仿宋"/>
                <w:sz w:val="28"/>
                <w:szCs w:val="28"/>
              </w:rPr>
              <w:t xml:space="preserve">小写：                             大写：  </w:t>
            </w:r>
          </w:p>
        </w:tc>
      </w:tr>
    </w:tbl>
    <w:p>
      <w:pPr>
        <w:spacing w:line="360" w:lineRule="auto"/>
        <w:ind w:firstLine="537" w:firstLineChars="192"/>
        <w:rPr>
          <w:rFonts w:ascii="仿宋" w:hAnsi="仿宋" w:eastAsia="仿宋"/>
          <w:color w:val="000000"/>
          <w:sz w:val="28"/>
          <w:szCs w:val="28"/>
        </w:rPr>
      </w:pPr>
      <w:r>
        <w:rPr>
          <w:rFonts w:hint="eastAsia" w:ascii="仿宋" w:hAnsi="仿宋" w:eastAsia="仿宋"/>
          <w:color w:val="000000"/>
          <w:sz w:val="28"/>
          <w:szCs w:val="28"/>
        </w:rPr>
        <w:t>投标单位授权代表签字：                                             投标单位公章：</w:t>
      </w:r>
    </w:p>
    <w:p>
      <w:pPr>
        <w:spacing w:line="360" w:lineRule="auto"/>
        <w:ind w:firstLine="548" w:firstLineChars="196"/>
        <w:rPr>
          <w:rFonts w:ascii="仿宋" w:hAnsi="仿宋" w:eastAsia="仿宋"/>
          <w:bCs/>
          <w:color w:val="000000"/>
          <w:sz w:val="28"/>
        </w:rPr>
      </w:pPr>
      <w:r>
        <w:rPr>
          <w:rFonts w:hint="eastAsia" w:ascii="仿宋" w:hAnsi="仿宋" w:eastAsia="仿宋"/>
          <w:bCs/>
          <w:color w:val="000000"/>
          <w:sz w:val="28"/>
        </w:rPr>
        <w:t>注：1、请单独封装一份在信袋内。</w:t>
      </w:r>
    </w:p>
    <w:p>
      <w:pPr>
        <w:spacing w:line="360" w:lineRule="auto"/>
        <w:ind w:firstLine="562"/>
        <w:rPr>
          <w:rFonts w:ascii="仿宋" w:hAnsi="仿宋" w:eastAsia="仿宋"/>
          <w:color w:val="000000"/>
          <w:sz w:val="28"/>
        </w:rPr>
      </w:pPr>
      <w:r>
        <w:rPr>
          <w:rFonts w:hint="eastAsia" w:ascii="仿宋" w:hAnsi="仿宋" w:eastAsia="仿宋"/>
          <w:color w:val="000000"/>
          <w:sz w:val="28"/>
        </w:rPr>
        <w:t xml:space="preserve">    2、在开标一览表中，按第二章招标须知10.2条款的规定不允许出现两种报价，否则其投标将被拒绝。</w:t>
      </w:r>
    </w:p>
    <w:p>
      <w:pPr>
        <w:spacing w:line="360" w:lineRule="auto"/>
        <w:ind w:firstLine="562"/>
        <w:rPr>
          <w:rFonts w:ascii="仿宋" w:hAnsi="仿宋" w:eastAsia="仿宋"/>
          <w:color w:val="000000"/>
          <w:sz w:val="28"/>
        </w:rPr>
      </w:pPr>
      <w:r>
        <w:rPr>
          <w:rFonts w:hint="eastAsia" w:ascii="仿宋" w:hAnsi="仿宋" w:eastAsia="仿宋"/>
          <w:color w:val="000000"/>
          <w:sz w:val="28"/>
        </w:rPr>
        <w:t xml:space="preserve">    3、详细清单参照附件九自制。</w:t>
      </w:r>
    </w:p>
    <w:p>
      <w:pPr>
        <w:spacing w:line="360" w:lineRule="auto"/>
        <w:ind w:firstLine="13067" w:firstLineChars="4667"/>
        <w:rPr>
          <w:rFonts w:ascii="仿宋" w:hAnsi="仿宋" w:eastAsia="仿宋"/>
          <w:color w:val="000000"/>
          <w:sz w:val="28"/>
        </w:rPr>
      </w:pPr>
    </w:p>
    <w:p>
      <w:pPr>
        <w:pStyle w:val="6"/>
      </w:pPr>
      <w:r>
        <w:rPr>
          <w:rFonts w:hint="eastAsia"/>
        </w:rPr>
        <w:br w:type="page"/>
      </w:r>
      <w:bookmarkStart w:id="65" w:name="_Toc2236"/>
      <w:bookmarkStart w:id="66" w:name="_Toc56170400"/>
      <w:bookmarkStart w:id="67" w:name="_Toc61184643"/>
      <w:r>
        <w:rPr>
          <w:rFonts w:hint="eastAsia"/>
        </w:rPr>
        <w:t>附件九、投标产品名称、数量、规格分项报价表</w:t>
      </w:r>
      <w:bookmarkEnd w:id="65"/>
      <w:bookmarkEnd w:id="66"/>
      <w:bookmarkEnd w:id="67"/>
    </w:p>
    <w:p>
      <w:pPr>
        <w:pStyle w:val="23"/>
        <w:spacing w:afterLines="50" w:line="440" w:lineRule="exact"/>
        <w:ind w:firstLine="560"/>
        <w:rPr>
          <w:rFonts w:ascii="仿宋" w:hAnsi="仿宋" w:eastAsia="仿宋"/>
          <w:color w:val="000000"/>
          <w:sz w:val="44"/>
        </w:rPr>
      </w:pPr>
      <w:r>
        <w:rPr>
          <w:rFonts w:hint="eastAsia" w:ascii="仿宋" w:hAnsi="仿宋" w:eastAsia="仿宋"/>
          <w:color w:val="000000"/>
        </w:rPr>
        <w:t>（此表参照下表由各供应商按照招标货物内容、顺序编制填写，包括详细的产品配置清单、价格、供货范围、名称、规格、技术参数、主要配件的品牌及供货厂家等。）</w:t>
      </w:r>
    </w:p>
    <w:tbl>
      <w:tblPr>
        <w:tblStyle w:val="19"/>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645"/>
        <w:gridCol w:w="1530"/>
        <w:gridCol w:w="1398"/>
        <w:gridCol w:w="1650"/>
        <w:gridCol w:w="1635"/>
        <w:gridCol w:w="2160"/>
        <w:gridCol w:w="145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901" w:hRule="exact"/>
          <w:jc w:val="center"/>
        </w:trPr>
        <w:tc>
          <w:tcPr>
            <w:tcW w:w="883"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3645" w:type="dxa"/>
            <w:vAlign w:val="center"/>
          </w:tcPr>
          <w:p>
            <w:pPr>
              <w:spacing w:line="360" w:lineRule="auto"/>
              <w:ind w:firstLine="480"/>
              <w:jc w:val="center"/>
              <w:rPr>
                <w:rFonts w:ascii="仿宋" w:hAnsi="仿宋" w:eastAsia="仿宋"/>
                <w:color w:val="000000"/>
                <w:sz w:val="24"/>
                <w:szCs w:val="24"/>
              </w:rPr>
            </w:pPr>
            <w:r>
              <w:rPr>
                <w:rFonts w:hint="eastAsia" w:ascii="仿宋" w:hAnsi="仿宋" w:eastAsia="仿宋"/>
                <w:color w:val="000000"/>
                <w:sz w:val="24"/>
                <w:szCs w:val="24"/>
              </w:rPr>
              <w:t>名 称</w:t>
            </w:r>
          </w:p>
        </w:tc>
        <w:tc>
          <w:tcPr>
            <w:tcW w:w="1530"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规格型号</w:t>
            </w:r>
          </w:p>
        </w:tc>
        <w:tc>
          <w:tcPr>
            <w:tcW w:w="1398"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数量（标明单位）</w:t>
            </w:r>
          </w:p>
        </w:tc>
        <w:tc>
          <w:tcPr>
            <w:tcW w:w="1650"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单价（元）</w:t>
            </w:r>
          </w:p>
        </w:tc>
        <w:tc>
          <w:tcPr>
            <w:tcW w:w="1635"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合价（元）</w:t>
            </w:r>
          </w:p>
        </w:tc>
        <w:tc>
          <w:tcPr>
            <w:tcW w:w="2160"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生产厂家及品牌</w:t>
            </w:r>
          </w:p>
        </w:tc>
        <w:tc>
          <w:tcPr>
            <w:tcW w:w="1454" w:type="dxa"/>
            <w:vAlign w:val="center"/>
          </w:tcPr>
          <w:p>
            <w:pPr>
              <w:spacing w:line="360" w:lineRule="auto"/>
              <w:ind w:firstLine="240" w:firstLineChars="100"/>
              <w:rPr>
                <w:rFonts w:ascii="仿宋" w:hAnsi="仿宋" w:eastAsia="仿宋"/>
                <w:color w:val="000000"/>
                <w:sz w:val="24"/>
                <w:szCs w:val="24"/>
              </w:rPr>
            </w:pPr>
            <w:r>
              <w:rPr>
                <w:rFonts w:hint="eastAsia" w:ascii="仿宋" w:hAnsi="仿宋" w:eastAsia="仿宋"/>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65" w:hRule="exact"/>
          <w:jc w:val="center"/>
        </w:trPr>
        <w:tc>
          <w:tcPr>
            <w:tcW w:w="883"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1</w:t>
            </w:r>
          </w:p>
        </w:tc>
        <w:tc>
          <w:tcPr>
            <w:tcW w:w="3645"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（所投的全部货物内容）</w:t>
            </w:r>
          </w:p>
        </w:tc>
        <w:tc>
          <w:tcPr>
            <w:tcW w:w="1530" w:type="dxa"/>
            <w:vAlign w:val="center"/>
          </w:tcPr>
          <w:p>
            <w:pPr>
              <w:spacing w:line="360" w:lineRule="auto"/>
              <w:ind w:firstLine="480"/>
              <w:jc w:val="center"/>
              <w:rPr>
                <w:rFonts w:ascii="仿宋" w:hAnsi="仿宋" w:eastAsia="仿宋"/>
                <w:color w:val="000000"/>
                <w:sz w:val="24"/>
                <w:szCs w:val="24"/>
              </w:rPr>
            </w:pPr>
          </w:p>
        </w:tc>
        <w:tc>
          <w:tcPr>
            <w:tcW w:w="1398" w:type="dxa"/>
            <w:vAlign w:val="center"/>
          </w:tcPr>
          <w:p>
            <w:pPr>
              <w:spacing w:line="360" w:lineRule="auto"/>
              <w:ind w:firstLine="480"/>
              <w:jc w:val="center"/>
              <w:rPr>
                <w:rFonts w:ascii="仿宋" w:hAnsi="仿宋" w:eastAsia="仿宋"/>
                <w:color w:val="000000"/>
                <w:sz w:val="24"/>
                <w:szCs w:val="24"/>
              </w:rPr>
            </w:pPr>
          </w:p>
        </w:tc>
        <w:tc>
          <w:tcPr>
            <w:tcW w:w="1650" w:type="dxa"/>
            <w:vAlign w:val="center"/>
          </w:tcPr>
          <w:p>
            <w:pPr>
              <w:spacing w:line="360" w:lineRule="auto"/>
              <w:ind w:firstLine="480"/>
              <w:jc w:val="center"/>
              <w:rPr>
                <w:rFonts w:ascii="仿宋" w:hAnsi="仿宋" w:eastAsia="仿宋"/>
                <w:color w:val="000000"/>
                <w:sz w:val="24"/>
                <w:szCs w:val="24"/>
              </w:rPr>
            </w:pPr>
          </w:p>
        </w:tc>
        <w:tc>
          <w:tcPr>
            <w:tcW w:w="1635" w:type="dxa"/>
            <w:vAlign w:val="center"/>
          </w:tcPr>
          <w:p>
            <w:pPr>
              <w:spacing w:line="360" w:lineRule="auto"/>
              <w:ind w:firstLine="480"/>
              <w:jc w:val="center"/>
              <w:rPr>
                <w:rFonts w:ascii="仿宋" w:hAnsi="仿宋" w:eastAsia="仿宋"/>
                <w:color w:val="000000"/>
                <w:sz w:val="24"/>
                <w:szCs w:val="24"/>
              </w:rPr>
            </w:pPr>
          </w:p>
        </w:tc>
        <w:tc>
          <w:tcPr>
            <w:tcW w:w="2160" w:type="dxa"/>
            <w:vAlign w:val="center"/>
          </w:tcPr>
          <w:p>
            <w:pPr>
              <w:spacing w:line="360" w:lineRule="auto"/>
              <w:ind w:firstLine="480"/>
              <w:jc w:val="center"/>
              <w:rPr>
                <w:rFonts w:ascii="仿宋" w:hAnsi="仿宋" w:eastAsia="仿宋"/>
                <w:color w:val="000000"/>
                <w:sz w:val="24"/>
                <w:szCs w:val="24"/>
              </w:rPr>
            </w:pPr>
          </w:p>
        </w:tc>
        <w:tc>
          <w:tcPr>
            <w:tcW w:w="1454" w:type="dxa"/>
            <w:vAlign w:val="center"/>
          </w:tcPr>
          <w:p>
            <w:pPr>
              <w:spacing w:line="360" w:lineRule="auto"/>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71" w:hRule="exact"/>
          <w:jc w:val="center"/>
        </w:trPr>
        <w:tc>
          <w:tcPr>
            <w:tcW w:w="883"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2</w:t>
            </w:r>
          </w:p>
        </w:tc>
        <w:tc>
          <w:tcPr>
            <w:tcW w:w="3645" w:type="dxa"/>
            <w:vAlign w:val="center"/>
          </w:tcPr>
          <w:p>
            <w:pPr>
              <w:spacing w:line="360" w:lineRule="auto"/>
              <w:ind w:firstLine="480"/>
              <w:jc w:val="center"/>
              <w:rPr>
                <w:rFonts w:ascii="仿宋" w:hAnsi="仿宋" w:eastAsia="仿宋"/>
                <w:color w:val="000000"/>
                <w:sz w:val="24"/>
                <w:szCs w:val="24"/>
              </w:rPr>
            </w:pPr>
            <w:r>
              <w:rPr>
                <w:rFonts w:hint="eastAsia" w:ascii="仿宋" w:hAnsi="仿宋" w:eastAsia="仿宋"/>
                <w:color w:val="000000"/>
                <w:sz w:val="24"/>
                <w:szCs w:val="24"/>
              </w:rPr>
              <w:t>…</w:t>
            </w:r>
          </w:p>
        </w:tc>
        <w:tc>
          <w:tcPr>
            <w:tcW w:w="1530" w:type="dxa"/>
            <w:vAlign w:val="center"/>
          </w:tcPr>
          <w:p>
            <w:pPr>
              <w:spacing w:line="360" w:lineRule="auto"/>
              <w:ind w:firstLine="480"/>
              <w:jc w:val="center"/>
              <w:rPr>
                <w:rFonts w:ascii="仿宋" w:hAnsi="仿宋" w:eastAsia="仿宋"/>
                <w:color w:val="000000"/>
                <w:sz w:val="24"/>
                <w:szCs w:val="24"/>
              </w:rPr>
            </w:pPr>
          </w:p>
        </w:tc>
        <w:tc>
          <w:tcPr>
            <w:tcW w:w="1398" w:type="dxa"/>
            <w:vAlign w:val="center"/>
          </w:tcPr>
          <w:p>
            <w:pPr>
              <w:spacing w:line="360" w:lineRule="auto"/>
              <w:ind w:firstLine="480"/>
              <w:jc w:val="center"/>
              <w:rPr>
                <w:rFonts w:ascii="仿宋" w:hAnsi="仿宋" w:eastAsia="仿宋"/>
                <w:color w:val="000000"/>
                <w:sz w:val="24"/>
                <w:szCs w:val="24"/>
              </w:rPr>
            </w:pPr>
          </w:p>
        </w:tc>
        <w:tc>
          <w:tcPr>
            <w:tcW w:w="1650" w:type="dxa"/>
            <w:vAlign w:val="center"/>
          </w:tcPr>
          <w:p>
            <w:pPr>
              <w:spacing w:line="360" w:lineRule="auto"/>
              <w:ind w:firstLine="480"/>
              <w:jc w:val="center"/>
              <w:rPr>
                <w:rFonts w:ascii="仿宋" w:hAnsi="仿宋" w:eastAsia="仿宋"/>
                <w:color w:val="000000"/>
                <w:sz w:val="24"/>
                <w:szCs w:val="24"/>
              </w:rPr>
            </w:pPr>
          </w:p>
        </w:tc>
        <w:tc>
          <w:tcPr>
            <w:tcW w:w="1635" w:type="dxa"/>
            <w:vAlign w:val="center"/>
          </w:tcPr>
          <w:p>
            <w:pPr>
              <w:spacing w:line="360" w:lineRule="auto"/>
              <w:ind w:firstLine="480"/>
              <w:jc w:val="center"/>
              <w:rPr>
                <w:rFonts w:ascii="仿宋" w:hAnsi="仿宋" w:eastAsia="仿宋"/>
                <w:color w:val="000000"/>
                <w:sz w:val="24"/>
                <w:szCs w:val="24"/>
              </w:rPr>
            </w:pPr>
          </w:p>
        </w:tc>
        <w:tc>
          <w:tcPr>
            <w:tcW w:w="2160" w:type="dxa"/>
            <w:vAlign w:val="center"/>
          </w:tcPr>
          <w:p>
            <w:pPr>
              <w:spacing w:line="360" w:lineRule="auto"/>
              <w:ind w:firstLine="480"/>
              <w:jc w:val="center"/>
              <w:rPr>
                <w:rFonts w:ascii="仿宋" w:hAnsi="仿宋" w:eastAsia="仿宋"/>
                <w:color w:val="000000"/>
                <w:sz w:val="24"/>
                <w:szCs w:val="24"/>
              </w:rPr>
            </w:pPr>
          </w:p>
        </w:tc>
        <w:tc>
          <w:tcPr>
            <w:tcW w:w="1454" w:type="dxa"/>
            <w:vAlign w:val="center"/>
          </w:tcPr>
          <w:p>
            <w:pPr>
              <w:spacing w:line="360" w:lineRule="auto"/>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3" w:type="dxa"/>
            <w:vAlign w:val="center"/>
          </w:tcPr>
          <w:p>
            <w:pPr>
              <w:spacing w:line="360" w:lineRule="auto"/>
              <w:jc w:val="center"/>
              <w:rPr>
                <w:rFonts w:ascii="仿宋" w:hAnsi="仿宋" w:eastAsia="仿宋"/>
                <w:color w:val="000000"/>
                <w:sz w:val="24"/>
                <w:szCs w:val="24"/>
              </w:rPr>
            </w:pPr>
            <w:r>
              <w:rPr>
                <w:rFonts w:ascii="仿宋" w:hAnsi="仿宋" w:eastAsia="仿宋"/>
                <w:color w:val="000000"/>
                <w:sz w:val="24"/>
                <w:szCs w:val="24"/>
              </w:rPr>
              <w:t>3</w:t>
            </w:r>
          </w:p>
        </w:tc>
        <w:tc>
          <w:tcPr>
            <w:tcW w:w="3645" w:type="dxa"/>
            <w:vAlign w:val="center"/>
          </w:tcPr>
          <w:p>
            <w:pPr>
              <w:spacing w:line="360" w:lineRule="auto"/>
              <w:ind w:firstLine="480"/>
              <w:jc w:val="center"/>
              <w:rPr>
                <w:rFonts w:ascii="仿宋" w:hAnsi="仿宋" w:eastAsia="仿宋"/>
                <w:color w:val="000000"/>
                <w:sz w:val="24"/>
                <w:szCs w:val="24"/>
              </w:rPr>
            </w:pPr>
            <w:r>
              <w:rPr>
                <w:rFonts w:hint="eastAsia" w:ascii="仿宋" w:hAnsi="仿宋" w:eastAsia="仿宋"/>
                <w:color w:val="000000"/>
                <w:sz w:val="24"/>
                <w:szCs w:val="24"/>
              </w:rPr>
              <w:t>备品备件</w:t>
            </w:r>
          </w:p>
        </w:tc>
        <w:tc>
          <w:tcPr>
            <w:tcW w:w="9838" w:type="dxa"/>
            <w:gridSpan w:val="7"/>
            <w:vAlign w:val="center"/>
          </w:tcPr>
          <w:p>
            <w:pPr>
              <w:spacing w:line="360" w:lineRule="auto"/>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3" w:type="dxa"/>
            <w:vAlign w:val="center"/>
          </w:tcPr>
          <w:p>
            <w:pPr>
              <w:spacing w:line="360" w:lineRule="auto"/>
              <w:jc w:val="center"/>
              <w:rPr>
                <w:rFonts w:ascii="仿宋" w:hAnsi="仿宋" w:eastAsia="仿宋"/>
                <w:color w:val="000000"/>
                <w:sz w:val="24"/>
                <w:szCs w:val="24"/>
              </w:rPr>
            </w:pPr>
            <w:r>
              <w:rPr>
                <w:rFonts w:ascii="仿宋" w:hAnsi="仿宋" w:eastAsia="仿宋"/>
                <w:color w:val="000000"/>
                <w:sz w:val="24"/>
                <w:szCs w:val="24"/>
              </w:rPr>
              <w:t>4</w:t>
            </w:r>
          </w:p>
        </w:tc>
        <w:tc>
          <w:tcPr>
            <w:tcW w:w="3645" w:type="dxa"/>
            <w:vAlign w:val="center"/>
          </w:tcPr>
          <w:p>
            <w:pPr>
              <w:spacing w:line="360" w:lineRule="auto"/>
              <w:ind w:firstLine="480"/>
              <w:jc w:val="center"/>
              <w:rPr>
                <w:rFonts w:ascii="仿宋" w:hAnsi="仿宋" w:eastAsia="仿宋"/>
                <w:color w:val="000000"/>
                <w:sz w:val="24"/>
                <w:szCs w:val="24"/>
              </w:rPr>
            </w:pPr>
            <w:r>
              <w:rPr>
                <w:rFonts w:hint="eastAsia" w:ascii="仿宋" w:hAnsi="仿宋" w:eastAsia="仿宋"/>
                <w:color w:val="000000"/>
                <w:sz w:val="24"/>
                <w:szCs w:val="24"/>
              </w:rPr>
              <w:t>专用工具</w:t>
            </w:r>
          </w:p>
        </w:tc>
        <w:tc>
          <w:tcPr>
            <w:tcW w:w="9838" w:type="dxa"/>
            <w:gridSpan w:val="7"/>
            <w:vAlign w:val="center"/>
          </w:tcPr>
          <w:p>
            <w:pPr>
              <w:spacing w:line="360" w:lineRule="auto"/>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883" w:type="dxa"/>
            <w:vAlign w:val="center"/>
          </w:tcPr>
          <w:p>
            <w:pPr>
              <w:spacing w:line="360" w:lineRule="auto"/>
              <w:jc w:val="center"/>
              <w:rPr>
                <w:rFonts w:ascii="仿宋" w:hAnsi="仿宋" w:eastAsia="仿宋"/>
                <w:color w:val="000000"/>
                <w:sz w:val="24"/>
                <w:szCs w:val="24"/>
              </w:rPr>
            </w:pPr>
            <w:r>
              <w:rPr>
                <w:rFonts w:ascii="仿宋" w:hAnsi="仿宋" w:eastAsia="仿宋"/>
                <w:color w:val="000000"/>
                <w:sz w:val="24"/>
                <w:szCs w:val="24"/>
              </w:rPr>
              <w:t>5</w:t>
            </w:r>
          </w:p>
        </w:tc>
        <w:tc>
          <w:tcPr>
            <w:tcW w:w="3645" w:type="dxa"/>
            <w:vAlign w:val="center"/>
          </w:tcPr>
          <w:p>
            <w:pPr>
              <w:spacing w:line="360" w:lineRule="auto"/>
              <w:ind w:firstLine="480"/>
              <w:jc w:val="center"/>
              <w:rPr>
                <w:rFonts w:ascii="仿宋" w:hAnsi="仿宋" w:eastAsia="仿宋"/>
                <w:color w:val="000000"/>
                <w:sz w:val="24"/>
                <w:szCs w:val="24"/>
              </w:rPr>
            </w:pPr>
            <w:r>
              <w:rPr>
                <w:rFonts w:hint="eastAsia" w:ascii="仿宋" w:hAnsi="仿宋" w:eastAsia="仿宋"/>
                <w:color w:val="000000"/>
                <w:sz w:val="24"/>
                <w:szCs w:val="24"/>
              </w:rPr>
              <w:t>安装调试费</w:t>
            </w:r>
          </w:p>
        </w:tc>
        <w:tc>
          <w:tcPr>
            <w:tcW w:w="9838" w:type="dxa"/>
            <w:gridSpan w:val="7"/>
            <w:vAlign w:val="center"/>
          </w:tcPr>
          <w:p>
            <w:pPr>
              <w:spacing w:line="360" w:lineRule="auto"/>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883" w:type="dxa"/>
            <w:vAlign w:val="center"/>
          </w:tcPr>
          <w:p>
            <w:pPr>
              <w:spacing w:line="360" w:lineRule="auto"/>
              <w:jc w:val="center"/>
              <w:rPr>
                <w:rFonts w:ascii="仿宋" w:hAnsi="仿宋" w:eastAsia="仿宋"/>
                <w:color w:val="000000"/>
                <w:sz w:val="24"/>
                <w:szCs w:val="24"/>
              </w:rPr>
            </w:pPr>
            <w:r>
              <w:rPr>
                <w:rFonts w:ascii="仿宋" w:hAnsi="仿宋" w:eastAsia="仿宋"/>
                <w:color w:val="000000"/>
                <w:sz w:val="24"/>
                <w:szCs w:val="24"/>
              </w:rPr>
              <w:t>6</w:t>
            </w:r>
          </w:p>
        </w:tc>
        <w:tc>
          <w:tcPr>
            <w:tcW w:w="3645" w:type="dxa"/>
            <w:vAlign w:val="center"/>
          </w:tcPr>
          <w:p>
            <w:pPr>
              <w:spacing w:line="360" w:lineRule="auto"/>
              <w:ind w:firstLine="480"/>
              <w:jc w:val="center"/>
              <w:rPr>
                <w:rFonts w:ascii="仿宋" w:hAnsi="仿宋" w:eastAsia="仿宋"/>
                <w:color w:val="000000"/>
                <w:sz w:val="24"/>
                <w:szCs w:val="24"/>
              </w:rPr>
            </w:pPr>
            <w:r>
              <w:rPr>
                <w:rFonts w:hint="eastAsia" w:ascii="仿宋" w:hAnsi="仿宋" w:eastAsia="仿宋"/>
                <w:color w:val="000000"/>
                <w:sz w:val="24"/>
                <w:szCs w:val="24"/>
              </w:rPr>
              <w:t>运杂费</w:t>
            </w:r>
          </w:p>
        </w:tc>
        <w:tc>
          <w:tcPr>
            <w:tcW w:w="9838" w:type="dxa"/>
            <w:gridSpan w:val="7"/>
            <w:vAlign w:val="center"/>
          </w:tcPr>
          <w:p>
            <w:pPr>
              <w:spacing w:line="360" w:lineRule="auto"/>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883"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7</w:t>
            </w:r>
          </w:p>
        </w:tc>
        <w:tc>
          <w:tcPr>
            <w:tcW w:w="3645" w:type="dxa"/>
            <w:vAlign w:val="center"/>
          </w:tcPr>
          <w:p>
            <w:pPr>
              <w:spacing w:line="360" w:lineRule="auto"/>
              <w:ind w:firstLine="480"/>
              <w:jc w:val="center"/>
              <w:rPr>
                <w:rFonts w:ascii="仿宋" w:hAnsi="仿宋" w:eastAsia="仿宋"/>
                <w:color w:val="000000"/>
                <w:sz w:val="24"/>
                <w:szCs w:val="24"/>
              </w:rPr>
            </w:pPr>
            <w:r>
              <w:rPr>
                <w:rFonts w:hint="eastAsia" w:ascii="仿宋" w:hAnsi="仿宋" w:eastAsia="仿宋"/>
                <w:color w:val="000000"/>
                <w:sz w:val="24"/>
                <w:szCs w:val="24"/>
              </w:rPr>
              <w:t>…</w:t>
            </w:r>
          </w:p>
        </w:tc>
        <w:tc>
          <w:tcPr>
            <w:tcW w:w="9838" w:type="dxa"/>
            <w:gridSpan w:val="7"/>
            <w:vAlign w:val="center"/>
          </w:tcPr>
          <w:p>
            <w:pPr>
              <w:spacing w:line="360" w:lineRule="auto"/>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4528" w:type="dxa"/>
            <w:gridSpan w:val="2"/>
            <w:vAlign w:val="center"/>
          </w:tcPr>
          <w:p>
            <w:pPr>
              <w:spacing w:line="360" w:lineRule="auto"/>
              <w:ind w:firstLine="480"/>
              <w:jc w:val="center"/>
              <w:rPr>
                <w:rFonts w:ascii="仿宋" w:hAnsi="仿宋" w:eastAsia="仿宋"/>
                <w:color w:val="000000"/>
                <w:sz w:val="24"/>
                <w:szCs w:val="24"/>
              </w:rPr>
            </w:pPr>
            <w:r>
              <w:rPr>
                <w:rFonts w:hint="eastAsia" w:ascii="仿宋" w:hAnsi="仿宋" w:eastAsia="仿宋"/>
                <w:color w:val="000000"/>
                <w:sz w:val="24"/>
                <w:szCs w:val="24"/>
              </w:rPr>
              <w:t>合计总价（万元）</w:t>
            </w:r>
          </w:p>
        </w:tc>
        <w:tc>
          <w:tcPr>
            <w:tcW w:w="9838" w:type="dxa"/>
            <w:gridSpan w:val="7"/>
            <w:vAlign w:val="center"/>
          </w:tcPr>
          <w:p>
            <w:pPr>
              <w:spacing w:line="360" w:lineRule="auto"/>
              <w:ind w:firstLine="480"/>
              <w:jc w:val="center"/>
              <w:rPr>
                <w:rFonts w:ascii="仿宋" w:hAnsi="仿宋" w:eastAsia="仿宋"/>
                <w:color w:val="000000"/>
                <w:sz w:val="24"/>
                <w:szCs w:val="24"/>
              </w:rPr>
            </w:pPr>
          </w:p>
        </w:tc>
      </w:tr>
    </w:tbl>
    <w:p>
      <w:pPr>
        <w:spacing w:beforeLines="50" w:line="360" w:lineRule="auto"/>
        <w:rPr>
          <w:rFonts w:ascii="仿宋" w:hAnsi="仿宋" w:eastAsia="仿宋"/>
          <w:color w:val="000000"/>
          <w:sz w:val="28"/>
        </w:rPr>
      </w:pPr>
      <w:r>
        <w:rPr>
          <w:rFonts w:hint="eastAsia" w:ascii="仿宋" w:hAnsi="仿宋" w:eastAsia="仿宋"/>
          <w:color w:val="000000"/>
          <w:sz w:val="28"/>
        </w:rPr>
        <w:t>注：1、如果按单价计算的结果与总价不一致，以单价为准修正总价。</w:t>
      </w:r>
    </w:p>
    <w:p>
      <w:pPr>
        <w:pStyle w:val="10"/>
        <w:spacing w:line="360" w:lineRule="auto"/>
        <w:ind w:right="-15"/>
        <w:rPr>
          <w:rFonts w:ascii="仿宋" w:hAnsi="仿宋" w:eastAsia="仿宋"/>
          <w:color w:val="000000"/>
          <w:sz w:val="28"/>
        </w:rPr>
      </w:pPr>
      <w:r>
        <w:rPr>
          <w:rFonts w:hint="eastAsia" w:ascii="仿宋" w:hAnsi="仿宋" w:eastAsia="仿宋"/>
          <w:color w:val="000000"/>
          <w:sz w:val="28"/>
        </w:rPr>
        <w:t>2、供应商须参照第三章各包所列明的内容全部报价。如果不提供详细分项报价视为未实质性响应招标文件。</w:t>
      </w:r>
    </w:p>
    <w:p>
      <w:pPr>
        <w:pStyle w:val="10"/>
        <w:spacing w:line="360" w:lineRule="auto"/>
        <w:ind w:right="-553" w:firstLine="537" w:firstLineChars="192"/>
        <w:rPr>
          <w:rFonts w:ascii="仿宋" w:hAnsi="仿宋" w:eastAsia="仿宋"/>
          <w:color w:val="000000"/>
          <w:sz w:val="28"/>
        </w:rPr>
      </w:pPr>
      <w:r>
        <w:rPr>
          <w:rFonts w:hint="eastAsia" w:ascii="仿宋" w:hAnsi="仿宋" w:eastAsia="仿宋"/>
          <w:color w:val="000000"/>
          <w:sz w:val="28"/>
        </w:rPr>
        <w:t>投标单位授权代表人签字：                                            投标单位公章：</w:t>
      </w:r>
    </w:p>
    <w:p>
      <w:pPr>
        <w:pStyle w:val="10"/>
        <w:spacing w:line="360" w:lineRule="auto"/>
        <w:ind w:right="-553"/>
        <w:jc w:val="right"/>
        <w:rPr>
          <w:rFonts w:ascii="仿宋" w:hAnsi="仿宋" w:eastAsia="仿宋"/>
          <w:color w:val="000000"/>
          <w:sz w:val="28"/>
        </w:rPr>
      </w:pPr>
      <w:r>
        <w:rPr>
          <w:rFonts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日</w:t>
      </w:r>
    </w:p>
    <w:p>
      <w:pPr>
        <w:pStyle w:val="6"/>
      </w:pPr>
      <w:r>
        <w:br w:type="page"/>
      </w:r>
      <w:bookmarkStart w:id="68" w:name="_Toc27579"/>
      <w:bookmarkStart w:id="69" w:name="_Toc61184644"/>
      <w:bookmarkStart w:id="70" w:name="_Toc56170401"/>
      <w:r>
        <w:rPr>
          <w:rFonts w:hint="eastAsia"/>
        </w:rPr>
        <w:t>附件十、技术规格偏离表</w:t>
      </w:r>
      <w:bookmarkEnd w:id="68"/>
      <w:bookmarkEnd w:id="69"/>
      <w:bookmarkEnd w:id="70"/>
    </w:p>
    <w:tbl>
      <w:tblPr>
        <w:tblStyle w:val="19"/>
        <w:tblW w:w="0" w:type="auto"/>
        <w:jc w:val="center"/>
        <w:tblLayout w:type="fixed"/>
        <w:tblCellMar>
          <w:top w:w="0" w:type="dxa"/>
          <w:left w:w="108" w:type="dxa"/>
          <w:bottom w:w="0" w:type="dxa"/>
          <w:right w:w="108" w:type="dxa"/>
        </w:tblCellMar>
      </w:tblPr>
      <w:tblGrid>
        <w:gridCol w:w="918"/>
        <w:gridCol w:w="3762"/>
        <w:gridCol w:w="3583"/>
        <w:gridCol w:w="3342"/>
        <w:gridCol w:w="2435"/>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olor w:val="000000"/>
                <w:sz w:val="24"/>
                <w:szCs w:val="24"/>
              </w:rPr>
            </w:pPr>
            <w:r>
              <w:rPr>
                <w:rFonts w:hint="eastAsia" w:ascii="仿宋" w:hAnsi="仿宋" w:eastAsia="仿宋"/>
                <w:color w:val="000000"/>
                <w:sz w:val="24"/>
                <w:szCs w:val="24"/>
              </w:rPr>
              <w:t>序号</w:t>
            </w: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招标规格</w:t>
            </w: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投标规格</w:t>
            </w: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技术指标证明材料名称</w:t>
            </w: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响应/偏离</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ind w:firstLine="420"/>
              <w:jc w:val="center"/>
              <w:rPr>
                <w:rFonts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ind w:firstLine="420"/>
              <w:jc w:val="center"/>
              <w:rPr>
                <w:rFonts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ind w:firstLine="420"/>
              <w:jc w:val="center"/>
              <w:rPr>
                <w:rFonts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ind w:firstLine="420"/>
              <w:jc w:val="center"/>
              <w:rPr>
                <w:rFonts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ind w:firstLine="420"/>
              <w:jc w:val="center"/>
              <w:rPr>
                <w:rFonts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ind w:firstLine="420"/>
              <w:jc w:val="center"/>
              <w:rPr>
                <w:rFonts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ind w:firstLine="420"/>
              <w:jc w:val="center"/>
              <w:rPr>
                <w:rFonts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ind w:firstLine="420"/>
              <w:jc w:val="center"/>
              <w:rPr>
                <w:rFonts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bl>
    <w:p>
      <w:pPr>
        <w:spacing w:line="360" w:lineRule="auto"/>
        <w:ind w:firstLine="562"/>
        <w:rPr>
          <w:rFonts w:ascii="仿宋" w:hAnsi="仿宋" w:eastAsia="仿宋"/>
          <w:color w:val="000000"/>
          <w:kern w:val="0"/>
          <w:sz w:val="24"/>
        </w:rPr>
      </w:pPr>
      <w:r>
        <w:rPr>
          <w:rFonts w:hint="eastAsia" w:ascii="仿宋" w:hAnsi="仿宋" w:eastAsia="仿宋"/>
          <w:color w:val="000000"/>
          <w:sz w:val="28"/>
        </w:rPr>
        <w:t>（供应商须对第三章所有技术参数条款逐条列明是否响应，如有偏离，须一一列明）</w:t>
      </w:r>
    </w:p>
    <w:p>
      <w:pPr>
        <w:pStyle w:val="10"/>
        <w:spacing w:line="360" w:lineRule="auto"/>
        <w:ind w:right="-553" w:firstLine="537" w:firstLineChars="192"/>
        <w:rPr>
          <w:rFonts w:ascii="仿宋" w:hAnsi="仿宋" w:eastAsia="仿宋"/>
          <w:color w:val="000000"/>
          <w:sz w:val="28"/>
        </w:rPr>
      </w:pPr>
      <w:r>
        <w:rPr>
          <w:rFonts w:hint="eastAsia" w:ascii="仿宋" w:hAnsi="仿宋" w:eastAsia="仿宋"/>
          <w:color w:val="000000"/>
          <w:sz w:val="28"/>
        </w:rPr>
        <w:t>投标单位授权代表人签字：                                            投标单位公章：</w:t>
      </w:r>
    </w:p>
    <w:p>
      <w:pPr>
        <w:pStyle w:val="10"/>
        <w:spacing w:line="360" w:lineRule="auto"/>
        <w:ind w:right="-553"/>
        <w:jc w:val="right"/>
        <w:rPr>
          <w:rFonts w:ascii="仿宋" w:hAnsi="仿宋" w:eastAsia="仿宋"/>
          <w:color w:val="000000"/>
          <w:sz w:val="28"/>
        </w:rPr>
      </w:pPr>
      <w:r>
        <w:rPr>
          <w:rFonts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日</w:t>
      </w:r>
    </w:p>
    <w:p>
      <w:pPr>
        <w:pStyle w:val="6"/>
      </w:pPr>
      <w:r>
        <w:rPr>
          <w:rFonts w:hint="eastAsia"/>
          <w:sz w:val="42"/>
        </w:rPr>
        <w:br w:type="page"/>
      </w:r>
      <w:bookmarkStart w:id="71" w:name="_Toc56170402"/>
      <w:bookmarkStart w:id="72" w:name="_Toc61184645"/>
      <w:bookmarkStart w:id="73" w:name="_Toc11172"/>
      <w:r>
        <w:rPr>
          <w:rFonts w:hint="eastAsia"/>
        </w:rPr>
        <w:t>附件十一、商务条款偏离表</w:t>
      </w:r>
      <w:bookmarkEnd w:id="71"/>
      <w:bookmarkEnd w:id="72"/>
      <w:bookmarkEnd w:id="73"/>
    </w:p>
    <w:tbl>
      <w:tblPr>
        <w:tblStyle w:val="19"/>
        <w:tblW w:w="14287" w:type="dxa"/>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120" w:firstLineChars="50"/>
              <w:rPr>
                <w:rFonts w:ascii="仿宋" w:hAnsi="仿宋" w:eastAsia="仿宋"/>
                <w:color w:val="000000"/>
                <w:sz w:val="24"/>
                <w:szCs w:val="24"/>
              </w:rPr>
            </w:pPr>
            <w:r>
              <w:rPr>
                <w:rFonts w:hint="eastAsia" w:ascii="仿宋" w:hAnsi="仿宋" w:eastAsia="仿宋"/>
                <w:color w:val="000000"/>
                <w:sz w:val="24"/>
                <w:szCs w:val="24"/>
              </w:rPr>
              <w:t>序号</w:t>
            </w: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240" w:firstLineChars="100"/>
              <w:rPr>
                <w:rFonts w:ascii="仿宋" w:hAnsi="仿宋" w:eastAsia="仿宋"/>
                <w:color w:val="000000"/>
                <w:sz w:val="24"/>
                <w:szCs w:val="24"/>
              </w:rPr>
            </w:pPr>
            <w:r>
              <w:rPr>
                <w:rFonts w:hint="eastAsia" w:ascii="仿宋" w:hAnsi="仿宋" w:eastAsia="仿宋"/>
                <w:color w:val="000000"/>
                <w:sz w:val="24"/>
                <w:szCs w:val="24"/>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560"/>
              <w:jc w:val="center"/>
              <w:rPr>
                <w:rFonts w:ascii="仿宋" w:hAnsi="仿宋" w:eastAsia="仿宋"/>
                <w:color w:val="000000"/>
                <w:sz w:val="24"/>
                <w:szCs w:val="24"/>
              </w:rPr>
            </w:pPr>
            <w:r>
              <w:rPr>
                <w:rFonts w:hint="eastAsia" w:ascii="仿宋" w:hAnsi="仿宋" w:eastAsia="仿宋"/>
                <w:color w:val="000000"/>
                <w:sz w:val="24"/>
                <w:szCs w:val="24"/>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560"/>
              <w:jc w:val="center"/>
              <w:rPr>
                <w:rFonts w:ascii="仿宋" w:hAnsi="仿宋" w:eastAsia="仿宋"/>
                <w:color w:val="000000"/>
                <w:sz w:val="24"/>
                <w:szCs w:val="24"/>
              </w:rPr>
            </w:pPr>
            <w:r>
              <w:rPr>
                <w:rFonts w:hint="eastAsia" w:ascii="仿宋" w:hAnsi="仿宋" w:eastAsia="仿宋"/>
                <w:color w:val="000000"/>
                <w:sz w:val="24"/>
                <w:szCs w:val="24"/>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560"/>
              <w:jc w:val="center"/>
              <w:rPr>
                <w:rFonts w:ascii="仿宋" w:hAnsi="仿宋" w:eastAsia="仿宋"/>
                <w:color w:val="000000"/>
                <w:sz w:val="24"/>
                <w:szCs w:val="24"/>
              </w:rPr>
            </w:pPr>
            <w:r>
              <w:rPr>
                <w:rFonts w:hint="eastAsia" w:ascii="仿宋" w:hAnsi="仿宋" w:eastAsia="仿宋"/>
                <w:color w:val="000000"/>
                <w:sz w:val="24"/>
                <w:szCs w:val="24"/>
              </w:rPr>
              <w:t>响应/偏离</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bl>
    <w:p>
      <w:pPr>
        <w:pStyle w:val="10"/>
        <w:spacing w:line="360" w:lineRule="auto"/>
        <w:ind w:right="-553" w:firstLine="537" w:firstLineChars="192"/>
        <w:rPr>
          <w:rFonts w:ascii="仿宋" w:hAnsi="仿宋" w:eastAsia="仿宋"/>
          <w:color w:val="000000"/>
          <w:sz w:val="28"/>
        </w:rPr>
      </w:pPr>
      <w:r>
        <w:rPr>
          <w:rFonts w:hint="eastAsia" w:ascii="仿宋" w:hAnsi="仿宋" w:eastAsia="仿宋"/>
          <w:color w:val="000000"/>
          <w:sz w:val="28"/>
        </w:rPr>
        <w:t>投标单位授权代表人签字：                                            投标单位公章：</w:t>
      </w:r>
    </w:p>
    <w:p>
      <w:pPr>
        <w:pStyle w:val="10"/>
        <w:spacing w:line="360" w:lineRule="auto"/>
        <w:ind w:right="-553"/>
        <w:jc w:val="right"/>
        <w:rPr>
          <w:rFonts w:ascii="仿宋" w:hAnsi="仿宋" w:eastAsia="仿宋"/>
          <w:color w:val="000000"/>
          <w:sz w:val="28"/>
        </w:rPr>
      </w:pPr>
      <w:r>
        <w:rPr>
          <w:rFonts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日</w:t>
      </w:r>
    </w:p>
    <w:p>
      <w:pPr>
        <w:pStyle w:val="6"/>
      </w:pPr>
      <w:r>
        <w:rPr>
          <w:rFonts w:hint="eastAsia"/>
        </w:rPr>
        <w:br w:type="page"/>
      </w:r>
      <w:bookmarkStart w:id="74" w:name="_Toc56170403"/>
      <w:bookmarkStart w:id="75" w:name="_Toc5354"/>
      <w:bookmarkStart w:id="76" w:name="_Toc61184646"/>
      <w:r>
        <w:rPr>
          <w:rFonts w:hint="eastAsia"/>
        </w:rPr>
        <w:t>附件十二、投标产品近三年</w:t>
      </w:r>
      <w:r>
        <w:rPr>
          <w:rFonts w:hint="eastAsia"/>
          <w:lang w:eastAsia="zh-CN"/>
        </w:rPr>
        <w:t>（</w:t>
      </w:r>
      <w:r>
        <w:rPr>
          <w:rFonts w:hint="eastAsia"/>
          <w:lang w:val="en-US" w:eastAsia="zh-CN"/>
        </w:rPr>
        <w:t>2019年1月1日至今</w:t>
      </w:r>
      <w:r>
        <w:rPr>
          <w:rFonts w:hint="eastAsia"/>
          <w:lang w:eastAsia="zh-CN"/>
        </w:rPr>
        <w:t>）</w:t>
      </w:r>
      <w:r>
        <w:rPr>
          <w:rFonts w:hint="eastAsia"/>
        </w:rPr>
        <w:t>同类产品销售业绩表</w:t>
      </w:r>
      <w:bookmarkEnd w:id="74"/>
      <w:bookmarkEnd w:id="75"/>
      <w:bookmarkEnd w:id="76"/>
    </w:p>
    <w:tbl>
      <w:tblPr>
        <w:tblStyle w:val="19"/>
        <w:tblW w:w="0" w:type="auto"/>
        <w:jc w:val="center"/>
        <w:tblLayout w:type="fixed"/>
        <w:tblCellMar>
          <w:top w:w="0" w:type="dxa"/>
          <w:left w:w="108" w:type="dxa"/>
          <w:bottom w:w="0" w:type="dxa"/>
          <w:right w:w="108" w:type="dxa"/>
        </w:tblCellMar>
      </w:tblPr>
      <w:tblGrid>
        <w:gridCol w:w="2838"/>
        <w:gridCol w:w="3510"/>
        <w:gridCol w:w="3495"/>
        <w:gridCol w:w="1497"/>
        <w:gridCol w:w="2700"/>
      </w:tblGrid>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地区</w:t>
            </w: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数量</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备 注</w:t>
            </w: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bl>
    <w:p>
      <w:pPr>
        <w:spacing w:line="360" w:lineRule="auto"/>
        <w:ind w:firstLine="137" w:firstLineChars="49"/>
        <w:rPr>
          <w:rFonts w:ascii="仿宋" w:hAnsi="仿宋" w:eastAsia="仿宋"/>
          <w:color w:val="000000"/>
          <w:sz w:val="28"/>
          <w:szCs w:val="28"/>
        </w:rPr>
      </w:pPr>
      <w:r>
        <w:rPr>
          <w:rFonts w:hint="eastAsia" w:ascii="仿宋" w:hAnsi="仿宋" w:eastAsia="仿宋"/>
          <w:color w:val="000000"/>
          <w:sz w:val="28"/>
          <w:szCs w:val="28"/>
        </w:rPr>
        <w:t>注：供应商应随此表附上相关的业绩证明（如中标（成交）通知书、合同、顾客意见反馈表等的复印件）。</w:t>
      </w:r>
    </w:p>
    <w:p>
      <w:pPr>
        <w:pStyle w:val="10"/>
        <w:spacing w:line="360" w:lineRule="auto"/>
        <w:ind w:right="-553" w:firstLine="537" w:firstLineChars="192"/>
        <w:rPr>
          <w:rFonts w:ascii="仿宋" w:hAnsi="仿宋" w:eastAsia="仿宋"/>
          <w:color w:val="000000"/>
          <w:sz w:val="28"/>
        </w:rPr>
      </w:pPr>
      <w:r>
        <w:rPr>
          <w:rFonts w:hint="eastAsia" w:ascii="仿宋" w:hAnsi="仿宋" w:eastAsia="仿宋"/>
          <w:color w:val="000000"/>
          <w:sz w:val="28"/>
        </w:rPr>
        <w:t>投标单位授权代表人签字：                                            投标单位公章：</w:t>
      </w:r>
    </w:p>
    <w:p>
      <w:pPr>
        <w:pStyle w:val="10"/>
        <w:spacing w:line="360" w:lineRule="auto"/>
        <w:ind w:right="-553"/>
        <w:jc w:val="right"/>
        <w:rPr>
          <w:rFonts w:ascii="仿宋" w:hAnsi="仿宋" w:eastAsia="仿宋"/>
          <w:color w:val="000000"/>
          <w:sz w:val="28"/>
        </w:rPr>
      </w:pPr>
      <w:r>
        <w:rPr>
          <w:rFonts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日</w:t>
      </w:r>
    </w:p>
    <w:p>
      <w:pPr>
        <w:spacing w:line="360" w:lineRule="auto"/>
        <w:ind w:firstLine="560"/>
        <w:rPr>
          <w:rFonts w:ascii="仿宋" w:hAnsi="仿宋" w:eastAsia="仿宋"/>
          <w:color w:val="000000"/>
        </w:rPr>
      </w:pPr>
    </w:p>
    <w:p/>
    <w:sectPr>
      <w:headerReference r:id="rId7" w:type="default"/>
      <w:footerReference r:id="rId8" w:type="default"/>
      <w:pgSz w:w="16838" w:h="11906" w:orient="landscape"/>
      <w:pgMar w:top="1077" w:right="1440" w:bottom="107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Bookman Old Style">
    <w:altName w:val="Segoe Print"/>
    <w:panose1 w:val="02050604050505020204"/>
    <w:charset w:val="00"/>
    <w:family w:val="roman"/>
    <w:pitch w:val="default"/>
    <w:sig w:usb0="00000000" w:usb1="00000000" w:usb2="00000000" w:usb3="00000000" w:csb0="0000009F" w:csb1="00000000"/>
  </w:font>
  <w:font w:name="sans-serif">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19"/>
        <w:tab w:val="clear" w:pos="4153"/>
      </w:tabs>
    </w:pPr>
    <w: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v17ds1wEAALMDAAAOAAAAAAAAAAEA&#10;IAAAACIBAABkcnMvZTJvRG9jLnhtbFBLBQYAAAAABgAGAFkBAABrBQAAAAA=&#10;">
          <v:path/>
          <v:fill on="f" focussize="0,0"/>
          <v:stroke on="f" weight="1.25pt"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kZ06BNgBAACzAwAADgAAAAAAAAAB&#10;ACAAAAAiAQAAZHJzL2Uyb0RvYy54bWxQSwUGAAAAAAYABgBZAQAAbAUAAAAA&#10;">
          <v:path/>
          <v:fill on="f" focussize="0,0"/>
          <v:stroke on="f" weight="1.25pt" joinstyle="miter"/>
          <v:imagedata o:title=""/>
          <o:lock v:ext="edit"/>
          <v:textbox inset="0mm,0mm,0mm,0mm" style="mso-fit-shape-to-text:t;">
            <w:txbxContent>
              <w:p>
                <w:pPr>
                  <w:pStyle w:val="12"/>
                </w:pPr>
              </w:p>
            </w:txbxContent>
          </v:textbox>
        </v:shape>
      </w:pic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Style w:val="31"/>
      </w:rPr>
    </w:pPr>
    <w:r>
      <w:rPr>
        <w:sz w:val="18"/>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pPr>
    <w:r>
      <w:drawing>
        <wp:inline distT="0" distB="0" distL="114300" distR="114300">
          <wp:extent cx="1231900" cy="204470"/>
          <wp:effectExtent l="0" t="0" r="0" b="508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Fonts w:hint="eastAsia" w:ascii="仿宋_GB2312" w:eastAsia="仿宋_GB2312"/>
        <w:b/>
        <w:i/>
        <w:sz w:val="18"/>
        <w:szCs w:val="18"/>
      </w:rPr>
      <w:t xml:space="preserve">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jc w:val="left"/>
      <w:rPr>
        <w:rFonts w:eastAsia="仿宋_GB2312"/>
      </w:rPr>
    </w:pPr>
    <w:r>
      <w:drawing>
        <wp:inline distT="0" distB="0" distL="114300" distR="114300">
          <wp:extent cx="1231900" cy="204470"/>
          <wp:effectExtent l="0" t="0" r="0" b="508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Fonts w:hint="eastAsia" w:ascii="仿宋_GB2312" w:eastAsia="仿宋_GB2312"/>
        <w:b/>
        <w:i/>
        <w:sz w:val="18"/>
        <w:szCs w:val="18"/>
      </w:rPr>
      <w:t xml:space="preserve">                                                                            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Fonts w:ascii="仿宋_GB2312" w:eastAsia="仿宋_GB2312"/>
        <w:b/>
        <w:i/>
        <w:spacing w:val="-10"/>
        <w:sz w:val="18"/>
        <w:szCs w:val="18"/>
      </w:rPr>
    </w:pPr>
    <w:r>
      <w:drawing>
        <wp:inline distT="0" distB="0" distL="114300" distR="114300">
          <wp:extent cx="1231900" cy="204470"/>
          <wp:effectExtent l="0" t="0" r="0" b="5080"/>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Style w:val="31"/>
        <w:rFonts w:hint="eastAsia"/>
        <w:b w:val="0"/>
        <w:i w:val="0"/>
      </w:rPr>
      <w:t xml:space="preserve">  </w:t>
    </w:r>
    <w:r>
      <w:rPr>
        <w:rFonts w:ascii="仿宋_GB2312" w:eastAsia="仿宋_GB2312"/>
        <w:b/>
        <w:i/>
        <w:sz w:val="18"/>
        <w:szCs w:val="18"/>
      </w:rPr>
      <w:t xml:space="preserve">   </w:t>
    </w:r>
    <w:r>
      <w:rPr>
        <w:rStyle w:val="31"/>
        <w:rFonts w:hint="eastAsia"/>
        <w:spacing w:val="-10"/>
      </w:rPr>
      <w:t xml:space="preserve">     </w:t>
    </w:r>
    <w:r>
      <w:rPr>
        <w:rStyle w:val="31"/>
        <w:rFonts w:hint="eastAsia"/>
      </w:rPr>
      <w:t xml:space="preserve">     </w:t>
    </w:r>
    <w:r>
      <w:rPr>
        <w:rStyle w:val="31"/>
      </w:rPr>
      <w:t xml:space="preserve">                          </w:t>
    </w:r>
    <w:r>
      <w:rPr>
        <w:rStyle w:val="31"/>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B6F7A"/>
    <w:multiLevelType w:val="multilevel"/>
    <w:tmpl w:val="661B6F7A"/>
    <w:lvl w:ilvl="0" w:tentative="0">
      <w:start w:val="1"/>
      <w:numFmt w:val="decimal"/>
      <w:lvlText w:val="%1"/>
      <w:lvlJc w:val="left"/>
      <w:pPr>
        <w:ind w:left="220" w:firstLine="0"/>
      </w:pPr>
      <w:rPr>
        <w:rFonts w:hint="default" w:ascii="Times New Roman" w:hAnsi="Times New Roman"/>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FjMjNlNmM1MGEzZDJmYTBhMDBiNThiNTgyMjc0YmMifQ=="/>
  </w:docVars>
  <w:rsids>
    <w:rsidRoot w:val="74CD0023"/>
    <w:rsid w:val="00105122"/>
    <w:rsid w:val="006F74DB"/>
    <w:rsid w:val="0077014C"/>
    <w:rsid w:val="008E0C39"/>
    <w:rsid w:val="0093724E"/>
    <w:rsid w:val="00BB653A"/>
    <w:rsid w:val="012F7E63"/>
    <w:rsid w:val="014D1D6F"/>
    <w:rsid w:val="01E74ACC"/>
    <w:rsid w:val="01EB45BC"/>
    <w:rsid w:val="02F53218"/>
    <w:rsid w:val="04357D70"/>
    <w:rsid w:val="06EA101E"/>
    <w:rsid w:val="07167DA0"/>
    <w:rsid w:val="07634BF4"/>
    <w:rsid w:val="07BB33E1"/>
    <w:rsid w:val="084E65D5"/>
    <w:rsid w:val="08F2287D"/>
    <w:rsid w:val="096660BA"/>
    <w:rsid w:val="09817F9E"/>
    <w:rsid w:val="09C91E87"/>
    <w:rsid w:val="0CDF5EB9"/>
    <w:rsid w:val="0D547193"/>
    <w:rsid w:val="0E056A05"/>
    <w:rsid w:val="0EF95AA4"/>
    <w:rsid w:val="0F5F3EF3"/>
    <w:rsid w:val="0F763A93"/>
    <w:rsid w:val="10741C20"/>
    <w:rsid w:val="11DD1A47"/>
    <w:rsid w:val="121214F5"/>
    <w:rsid w:val="13005DFD"/>
    <w:rsid w:val="14B130A4"/>
    <w:rsid w:val="14CB1B54"/>
    <w:rsid w:val="157B55F4"/>
    <w:rsid w:val="172E395F"/>
    <w:rsid w:val="175E6B6A"/>
    <w:rsid w:val="17DC1A15"/>
    <w:rsid w:val="19027638"/>
    <w:rsid w:val="19256604"/>
    <w:rsid w:val="194014CF"/>
    <w:rsid w:val="19E1379B"/>
    <w:rsid w:val="1AFC2F3E"/>
    <w:rsid w:val="1C980A44"/>
    <w:rsid w:val="1E087740"/>
    <w:rsid w:val="1EAA2CB1"/>
    <w:rsid w:val="1EFF2FED"/>
    <w:rsid w:val="20460D45"/>
    <w:rsid w:val="20545F10"/>
    <w:rsid w:val="20F74F6E"/>
    <w:rsid w:val="2222732B"/>
    <w:rsid w:val="238F6228"/>
    <w:rsid w:val="23D4764B"/>
    <w:rsid w:val="24AC1531"/>
    <w:rsid w:val="25207829"/>
    <w:rsid w:val="25BB5CFA"/>
    <w:rsid w:val="276205CD"/>
    <w:rsid w:val="27A97FAA"/>
    <w:rsid w:val="285B4785"/>
    <w:rsid w:val="28817AF6"/>
    <w:rsid w:val="28C72DDD"/>
    <w:rsid w:val="29944EB8"/>
    <w:rsid w:val="2AB40FBA"/>
    <w:rsid w:val="2B484627"/>
    <w:rsid w:val="2B811EB4"/>
    <w:rsid w:val="2BF10171"/>
    <w:rsid w:val="2C9C3952"/>
    <w:rsid w:val="2C9C6D3A"/>
    <w:rsid w:val="2D0C0222"/>
    <w:rsid w:val="2E786928"/>
    <w:rsid w:val="2E870919"/>
    <w:rsid w:val="2F35274E"/>
    <w:rsid w:val="2F733A19"/>
    <w:rsid w:val="300128E6"/>
    <w:rsid w:val="30906BD0"/>
    <w:rsid w:val="30F06C49"/>
    <w:rsid w:val="31830D82"/>
    <w:rsid w:val="322D256C"/>
    <w:rsid w:val="32A66A28"/>
    <w:rsid w:val="34713BFD"/>
    <w:rsid w:val="34E814C3"/>
    <w:rsid w:val="35611EC4"/>
    <w:rsid w:val="35CB1A33"/>
    <w:rsid w:val="35D51C91"/>
    <w:rsid w:val="36E25286"/>
    <w:rsid w:val="373A11B3"/>
    <w:rsid w:val="37932C7C"/>
    <w:rsid w:val="37F05750"/>
    <w:rsid w:val="392A081F"/>
    <w:rsid w:val="3B3735FE"/>
    <w:rsid w:val="3BA01A22"/>
    <w:rsid w:val="3C43474B"/>
    <w:rsid w:val="3D2C2DB7"/>
    <w:rsid w:val="3D6D517E"/>
    <w:rsid w:val="3E3629D7"/>
    <w:rsid w:val="3E7013C9"/>
    <w:rsid w:val="3F171845"/>
    <w:rsid w:val="3F202A55"/>
    <w:rsid w:val="3F3643C1"/>
    <w:rsid w:val="40210BCD"/>
    <w:rsid w:val="42FE687A"/>
    <w:rsid w:val="43093620"/>
    <w:rsid w:val="431E676D"/>
    <w:rsid w:val="433121B1"/>
    <w:rsid w:val="44EB0AB0"/>
    <w:rsid w:val="45912EBF"/>
    <w:rsid w:val="46396545"/>
    <w:rsid w:val="46B067A0"/>
    <w:rsid w:val="476E6FCC"/>
    <w:rsid w:val="49361013"/>
    <w:rsid w:val="49504F80"/>
    <w:rsid w:val="49804BB7"/>
    <w:rsid w:val="4B28697B"/>
    <w:rsid w:val="4B5E2C15"/>
    <w:rsid w:val="4BC32B39"/>
    <w:rsid w:val="4D2B6681"/>
    <w:rsid w:val="4D4F66DD"/>
    <w:rsid w:val="50AA42C7"/>
    <w:rsid w:val="50EB483D"/>
    <w:rsid w:val="534C3D5B"/>
    <w:rsid w:val="53D36C14"/>
    <w:rsid w:val="5406215C"/>
    <w:rsid w:val="550142DE"/>
    <w:rsid w:val="55202DAA"/>
    <w:rsid w:val="55204E41"/>
    <w:rsid w:val="55786C47"/>
    <w:rsid w:val="56520719"/>
    <w:rsid w:val="56EB151E"/>
    <w:rsid w:val="58585C12"/>
    <w:rsid w:val="59485B00"/>
    <w:rsid w:val="5960230F"/>
    <w:rsid w:val="5A3D7F16"/>
    <w:rsid w:val="5D257D48"/>
    <w:rsid w:val="5D8660BC"/>
    <w:rsid w:val="5E7F3237"/>
    <w:rsid w:val="5F04373C"/>
    <w:rsid w:val="5F3D09FC"/>
    <w:rsid w:val="5F603DE2"/>
    <w:rsid w:val="606F1958"/>
    <w:rsid w:val="613D1187"/>
    <w:rsid w:val="62D22563"/>
    <w:rsid w:val="62DE42A4"/>
    <w:rsid w:val="632730DA"/>
    <w:rsid w:val="63972DD1"/>
    <w:rsid w:val="63C20405"/>
    <w:rsid w:val="646D5F28"/>
    <w:rsid w:val="64E742EF"/>
    <w:rsid w:val="64F34C75"/>
    <w:rsid w:val="65D247E6"/>
    <w:rsid w:val="65E16ADA"/>
    <w:rsid w:val="65EA4533"/>
    <w:rsid w:val="660340CC"/>
    <w:rsid w:val="66644AC0"/>
    <w:rsid w:val="6672542F"/>
    <w:rsid w:val="67510CED"/>
    <w:rsid w:val="68104F00"/>
    <w:rsid w:val="6A0445F0"/>
    <w:rsid w:val="6B047A64"/>
    <w:rsid w:val="6B336FB6"/>
    <w:rsid w:val="6BB67B6C"/>
    <w:rsid w:val="6BD61E2E"/>
    <w:rsid w:val="6CBA18DE"/>
    <w:rsid w:val="6D667370"/>
    <w:rsid w:val="6DF332FA"/>
    <w:rsid w:val="6EEF1D13"/>
    <w:rsid w:val="6F1277AF"/>
    <w:rsid w:val="6F2A1BBB"/>
    <w:rsid w:val="70010ABD"/>
    <w:rsid w:val="70363B6B"/>
    <w:rsid w:val="70727571"/>
    <w:rsid w:val="70BA1EAD"/>
    <w:rsid w:val="711C50C6"/>
    <w:rsid w:val="716B31A7"/>
    <w:rsid w:val="7181469B"/>
    <w:rsid w:val="733B08CD"/>
    <w:rsid w:val="73EA3533"/>
    <w:rsid w:val="74303BEF"/>
    <w:rsid w:val="7467439D"/>
    <w:rsid w:val="74CD0023"/>
    <w:rsid w:val="74EA0887"/>
    <w:rsid w:val="750556C0"/>
    <w:rsid w:val="754251F4"/>
    <w:rsid w:val="757D09AA"/>
    <w:rsid w:val="77820502"/>
    <w:rsid w:val="77D64906"/>
    <w:rsid w:val="790B4969"/>
    <w:rsid w:val="79372D7D"/>
    <w:rsid w:val="7A17429C"/>
    <w:rsid w:val="7A324F48"/>
    <w:rsid w:val="7A7C4677"/>
    <w:rsid w:val="7A8E1F44"/>
    <w:rsid w:val="7AFA33E7"/>
    <w:rsid w:val="7C122B9D"/>
    <w:rsid w:val="7C291BCA"/>
    <w:rsid w:val="7DF74740"/>
    <w:rsid w:val="7ECD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5"/>
    <w:next w:val="1"/>
    <w:qFormat/>
    <w:uiPriority w:val="0"/>
    <w:pPr>
      <w:spacing w:line="360" w:lineRule="auto"/>
    </w:pPr>
    <w:rPr>
      <w:rFonts w:ascii="仿宋" w:hAnsi="仿宋" w:eastAsia="仿宋"/>
      <w:bCs w:val="0"/>
      <w:color w:val="000000"/>
      <w:sz w:val="36"/>
    </w:rPr>
  </w:style>
  <w:style w:type="paragraph" w:styleId="6">
    <w:name w:val="heading 2"/>
    <w:basedOn w:val="7"/>
    <w:next w:val="1"/>
    <w:qFormat/>
    <w:uiPriority w:val="0"/>
    <w:pPr>
      <w:spacing w:beforeLines="0" w:afterLines="0" w:line="520" w:lineRule="exact"/>
      <w:outlineLvl w:val="1"/>
    </w:pPr>
    <w:rPr>
      <w:rFonts w:ascii="仿宋" w:hAnsi="仿宋" w:eastAsia="仿宋" w:cs="宋体"/>
      <w:b w:val="0"/>
      <w:color w:val="000000"/>
      <w:kern w:val="0"/>
      <w:sz w:val="28"/>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szCs w:val="24"/>
    </w:rPr>
  </w:style>
  <w:style w:type="paragraph" w:styleId="3">
    <w:name w:val="Body Text First Indent"/>
    <w:basedOn w:val="2"/>
    <w:qFormat/>
    <w:uiPriority w:val="99"/>
    <w:pPr>
      <w:spacing w:after="120"/>
      <w:ind w:firstLine="420" w:firstLineChars="100"/>
    </w:pPr>
    <w:rPr>
      <w:sz w:val="21"/>
    </w:rPr>
  </w:style>
  <w:style w:type="paragraph" w:styleId="5">
    <w:name w:val="Title"/>
    <w:basedOn w:val="1"/>
    <w:qFormat/>
    <w:uiPriority w:val="99"/>
    <w:pPr>
      <w:spacing w:before="240" w:after="60"/>
      <w:ind w:left="425" w:hanging="425"/>
      <w:jc w:val="center"/>
      <w:outlineLvl w:val="0"/>
    </w:pPr>
    <w:rPr>
      <w:rFonts w:ascii="Arial" w:hAnsi="Arial" w:cs="Arial"/>
      <w:b/>
      <w:bCs/>
      <w:sz w:val="32"/>
      <w:szCs w:val="32"/>
    </w:rPr>
  </w:style>
  <w:style w:type="paragraph" w:customStyle="1" w:styleId="7">
    <w:name w:val="3）三级标题 与下段同页"/>
    <w:basedOn w:val="1"/>
    <w:qFormat/>
    <w:uiPriority w:val="0"/>
    <w:pPr>
      <w:keepNext/>
      <w:spacing w:beforeLines="50" w:afterLines="50"/>
      <w:jc w:val="center"/>
      <w:outlineLvl w:val="2"/>
    </w:pPr>
    <w:rPr>
      <w:rFonts w:ascii="仿宋_GB2312" w:eastAsia="仿宋_GB2312"/>
      <w:b/>
      <w:sz w:val="32"/>
    </w:rPr>
  </w:style>
  <w:style w:type="paragraph" w:styleId="8">
    <w:name w:val="Body Text Indent"/>
    <w:basedOn w:val="1"/>
    <w:next w:val="9"/>
    <w:qFormat/>
    <w:uiPriority w:val="99"/>
    <w:pPr>
      <w:spacing w:line="360" w:lineRule="auto"/>
      <w:ind w:firstLine="480" w:firstLineChars="200"/>
    </w:pPr>
    <w:rPr>
      <w:rFonts w:ascii="宋体" w:hAnsi="宋体"/>
      <w:sz w:val="24"/>
      <w:szCs w:val="24"/>
    </w:rPr>
  </w:style>
  <w:style w:type="paragraph" w:styleId="9">
    <w:name w:val="envelope return"/>
    <w:basedOn w:val="1"/>
    <w:unhideWhenUsed/>
    <w:qFormat/>
    <w:uiPriority w:val="0"/>
    <w:pPr>
      <w:snapToGrid w:val="0"/>
    </w:pPr>
    <w:rPr>
      <w:rFonts w:ascii="Arial" w:hAnsi="Arial"/>
    </w:rPr>
  </w:style>
  <w:style w:type="paragraph" w:styleId="10">
    <w:name w:val="Plain Text"/>
    <w:basedOn w:val="1"/>
    <w:qFormat/>
    <w:uiPriority w:val="0"/>
    <w:rPr>
      <w:rFonts w:ascii="宋体" w:hAnsi="Courier New"/>
      <w:sz w:val="11"/>
    </w:rPr>
  </w:style>
  <w:style w:type="paragraph" w:styleId="11">
    <w:name w:val="Balloon Text"/>
    <w:basedOn w:val="1"/>
    <w:link w:val="32"/>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before="120" w:after="120" w:line="360" w:lineRule="auto"/>
      <w:ind w:firstLine="200" w:firstLineChars="200"/>
      <w:jc w:val="left"/>
    </w:pPr>
    <w:rPr>
      <w:b/>
      <w:bCs/>
      <w:caps/>
      <w:sz w:val="20"/>
    </w:rPr>
  </w:style>
  <w:style w:type="paragraph" w:styleId="15">
    <w:name w:val="List"/>
    <w:basedOn w:val="1"/>
    <w:qFormat/>
    <w:uiPriority w:val="0"/>
    <w:pPr>
      <w:ind w:left="420" w:hanging="420"/>
    </w:pPr>
    <w:rPr>
      <w:rFonts w:ascii="Arial" w:hAnsi="Arial" w:eastAsia="楷体_GB2312"/>
      <w:sz w:val="28"/>
    </w:rPr>
  </w:style>
  <w:style w:type="paragraph" w:styleId="16">
    <w:name w:val="toc 2"/>
    <w:basedOn w:val="1"/>
    <w:next w:val="1"/>
    <w:qFormat/>
    <w:uiPriority w:val="39"/>
    <w:pPr>
      <w:ind w:left="100" w:leftChars="100"/>
      <w:jc w:val="left"/>
    </w:pPr>
    <w:rPr>
      <w:rFonts w:ascii="Arial" w:hAnsi="Arial"/>
    </w:rPr>
  </w:style>
  <w:style w:type="paragraph" w:styleId="17">
    <w:name w:val="Normal (Web)"/>
    <w:basedOn w:val="1"/>
    <w:qFormat/>
    <w:uiPriority w:val="0"/>
    <w:pPr>
      <w:widowControl/>
      <w:spacing w:beforeAutospacing="1" w:afterAutospacing="1"/>
      <w:jc w:val="left"/>
    </w:pPr>
    <w:rPr>
      <w:rFonts w:ascii="宋体" w:hAnsi="宋体"/>
      <w:kern w:val="0"/>
      <w:sz w:val="24"/>
    </w:rPr>
  </w:style>
  <w:style w:type="paragraph" w:styleId="18">
    <w:name w:val="Body Text First Indent 2"/>
    <w:basedOn w:val="8"/>
    <w:next w:val="15"/>
    <w:unhideWhenUsed/>
    <w:qFormat/>
    <w:uiPriority w:val="0"/>
    <w:pPr>
      <w:ind w:firstLine="420"/>
    </w:pPr>
    <w:rPr>
      <w:lang w:bidi="zh-CN"/>
    </w:rPr>
  </w:style>
  <w:style w:type="character" w:styleId="21">
    <w:name w:val="page number"/>
    <w:qFormat/>
    <w:uiPriority w:val="0"/>
    <w:rPr>
      <w:rFonts w:ascii="宋体" w:hAnsi="宋体" w:eastAsia="宋体"/>
    </w:rPr>
  </w:style>
  <w:style w:type="character" w:styleId="22">
    <w:name w:val="Hyperlink"/>
    <w:qFormat/>
    <w:uiPriority w:val="99"/>
    <w:rPr>
      <w:color w:val="333333"/>
      <w:u w:val="none"/>
    </w:rPr>
  </w:style>
  <w:style w:type="paragraph" w:customStyle="1" w:styleId="23">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4">
    <w:name w:val="Default Text"/>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25">
    <w:name w:val="缺省文本"/>
    <w:link w:val="33"/>
    <w:qFormat/>
    <w:uiPriority w:val="0"/>
    <w:pPr>
      <w:widowControl w:val="0"/>
      <w:autoSpaceDE w:val="0"/>
      <w:autoSpaceDN w:val="0"/>
      <w:adjustRightInd w:val="0"/>
    </w:pPr>
    <w:rPr>
      <w:rFonts w:ascii="Calibri" w:hAnsi="Calibri" w:eastAsia="宋体" w:cs="Times New Roman"/>
      <w:color w:val="000000"/>
      <w:lang w:val="en-US" w:eastAsia="zh-CN" w:bidi="ar-SA"/>
    </w:rPr>
  </w:style>
  <w:style w:type="paragraph" w:customStyle="1" w:styleId="26">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7">
    <w:name w:val="答复表头"/>
    <w:basedOn w:val="28"/>
    <w:next w:val="1"/>
    <w:qFormat/>
    <w:uiPriority w:val="0"/>
    <w:pPr>
      <w:tabs>
        <w:tab w:val="left" w:pos="480"/>
      </w:tabs>
    </w:pPr>
    <w:rPr>
      <w:b/>
    </w:rPr>
  </w:style>
  <w:style w:type="paragraph" w:customStyle="1" w:styleId="28">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styleId="29">
    <w:name w:val="List Paragraph"/>
    <w:basedOn w:val="1"/>
    <w:qFormat/>
    <w:uiPriority w:val="99"/>
    <w:pPr>
      <w:ind w:firstLine="420" w:firstLineChars="200"/>
    </w:pPr>
    <w:rPr>
      <w:szCs w:val="24"/>
    </w:rPr>
  </w:style>
  <w:style w:type="paragraph" w:customStyle="1" w:styleId="30">
    <w:name w:val="封面署名"/>
    <w:basedOn w:val="1"/>
    <w:qFormat/>
    <w:uiPriority w:val="0"/>
    <w:pPr>
      <w:jc w:val="center"/>
    </w:pPr>
    <w:rPr>
      <w:b/>
      <w:kern w:val="0"/>
      <w:sz w:val="28"/>
    </w:rPr>
  </w:style>
  <w:style w:type="character" w:customStyle="1" w:styleId="31">
    <w:name w:val="7）页眉页脚"/>
    <w:qFormat/>
    <w:uiPriority w:val="0"/>
    <w:rPr>
      <w:rFonts w:ascii="仿宋_GB2312" w:eastAsia="仿宋_GB2312"/>
      <w:b/>
      <w:i/>
      <w:sz w:val="18"/>
      <w:vertAlign w:val="baseline"/>
    </w:rPr>
  </w:style>
  <w:style w:type="character" w:customStyle="1" w:styleId="32">
    <w:name w:val="批注框文本 Char"/>
    <w:basedOn w:val="20"/>
    <w:link w:val="11"/>
    <w:qFormat/>
    <w:uiPriority w:val="0"/>
    <w:rPr>
      <w:rFonts w:ascii="Calibri" w:hAnsi="Calibri" w:eastAsia="宋体" w:cs="Times New Roman"/>
      <w:kern w:val="2"/>
      <w:sz w:val="18"/>
      <w:szCs w:val="18"/>
    </w:rPr>
  </w:style>
  <w:style w:type="character" w:customStyle="1" w:styleId="33">
    <w:name w:val="缺省文本 Char"/>
    <w:link w:val="25"/>
    <w:qFormat/>
    <w:uiPriority w:val="0"/>
    <w:rPr>
      <w:rFonts w:ascii="Calibri" w:hAnsi="Calibri" w:eastAsia="宋体" w:cs="Times New Roman"/>
      <w:color w:val="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Info spid="_x0000_s2049"/>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30829</Words>
  <Characters>33687</Characters>
  <Lines>281</Lines>
  <Paragraphs>79</Paragraphs>
  <TotalTime>0</TotalTime>
  <ScaleCrop>false</ScaleCrop>
  <LinksUpToDate>false</LinksUpToDate>
  <CharactersWithSpaces>35969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2022-04-14T05:32:00Z</dcterms:created>
  <dc:creator>。二飞</dc:creator>
  <cp:lastModifiedBy>啊西巴</cp:lastModifiedBy>
  <cp:lastPrinted>2022-07-28T03:32:00Z</cp:lastPrinted>
  <dcterms:modified xsi:type="dcterms:W3CDTF">2022-11-29T06:40:12Z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46DCEC4F8DD34D09818B97E3E7EF103D</vt:lpwstr>
  </property>
  <property fmtid="{D5CDD505-2E9C-101B-9397-08002B2CF9AE}" pid="4" name="commondata">
    <vt:lpwstr>eyJoZGlkIjoiMTliMDc2ZjMyNTJmNDhmMzdiNmNhZGU4MzFiNzkzYmMifQ==</vt:lpwstr>
  </property>
</Properties>
</file>