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color w:val="000000" w:themeColor="text1"/>
          <w:sz w:val="28"/>
          <w:szCs w:val="18"/>
          <w14:textFill>
            <w14:solidFill>
              <w14:schemeClr w14:val="tx1"/>
            </w14:solidFill>
          </w14:textFill>
        </w:rPr>
      </w:pPr>
    </w:p>
    <w:p>
      <w:pPr>
        <w:spacing w:line="360" w:lineRule="auto"/>
        <w:jc w:val="center"/>
        <w:rPr>
          <w:rFonts w:ascii="华文中宋" w:hAnsi="华文中宋" w:eastAsia="华文中宋"/>
          <w:color w:val="000000" w:themeColor="text1"/>
          <w:spacing w:val="42"/>
          <w:sz w:val="130"/>
          <w:szCs w:val="130"/>
          <w14:textFill>
            <w14:solidFill>
              <w14:schemeClr w14:val="tx1"/>
            </w14:solidFill>
          </w14:textFill>
        </w:rPr>
      </w:pPr>
      <w:r>
        <w:rPr>
          <w:rFonts w:hint="eastAsia" w:ascii="华文中宋" w:hAnsi="华文中宋" w:eastAsia="华文中宋"/>
          <w:color w:val="000000" w:themeColor="text1"/>
          <w:spacing w:val="42"/>
          <w:sz w:val="130"/>
          <w:szCs w:val="130"/>
          <w14:textFill>
            <w14:solidFill>
              <w14:schemeClr w14:val="tx1"/>
            </w14:solidFill>
          </w14:textFill>
        </w:rPr>
        <w:t>招 标 文 件</w:t>
      </w: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ind w:left="1733" w:leftChars="269" w:hanging="1168" w:hangingChars="487"/>
        <w:rPr>
          <w:rFonts w:ascii="华文中宋" w:hAnsi="华文中宋" w:eastAsia="华文中宋"/>
          <w:color w:val="000000" w:themeColor="text1"/>
          <w:sz w:val="24"/>
          <w14:textFill>
            <w14:solidFill>
              <w14:schemeClr w14:val="tx1"/>
            </w14:solidFill>
          </w14:textFill>
        </w:rPr>
      </w:pPr>
    </w:p>
    <w:p>
      <w:pPr>
        <w:tabs>
          <w:tab w:val="left" w:pos="2552"/>
        </w:tabs>
        <w:spacing w:line="360" w:lineRule="auto"/>
        <w:rPr>
          <w:rFonts w:ascii="华文中宋" w:hAnsi="华文中宋" w:eastAsia="华文中宋"/>
          <w:color w:val="000000" w:themeColor="text1"/>
          <w:sz w:val="24"/>
          <w14:textFill>
            <w14:solidFill>
              <w14:schemeClr w14:val="tx1"/>
            </w14:solidFill>
          </w14:textFill>
        </w:rPr>
      </w:pPr>
    </w:p>
    <w:p>
      <w:pPr>
        <w:spacing w:line="360" w:lineRule="auto"/>
        <w:rPr>
          <w:rFonts w:ascii="宋体" w:hAnsi="宋体"/>
        </w:rPr>
      </w:pPr>
    </w:p>
    <w:p>
      <w:pPr>
        <w:spacing w:line="360" w:lineRule="auto"/>
        <w:ind w:left="2238" w:leftChars="304" w:hanging="1600" w:hangingChars="500"/>
        <w:rPr>
          <w:rFonts w:ascii="华文中宋" w:hAnsi="华文中宋" w:eastAsia="华文中宋"/>
          <w:sz w:val="32"/>
          <w:szCs w:val="32"/>
        </w:rPr>
      </w:pPr>
      <w:r>
        <w:rPr>
          <w:rFonts w:hint="eastAsia" w:ascii="华文中宋" w:hAnsi="华文中宋" w:eastAsia="华文中宋"/>
          <w:sz w:val="32"/>
          <w:szCs w:val="32"/>
        </w:rPr>
        <w:t>项目名称：成都市教育科学研究院附属学校（成都市天府实验学校）物业管理服务采购项目</w:t>
      </w:r>
    </w:p>
    <w:p>
      <w:pPr>
        <w:spacing w:line="360" w:lineRule="auto"/>
        <w:ind w:left="2409" w:leftChars="338" w:hanging="1699" w:hangingChars="531"/>
        <w:rPr>
          <w:rFonts w:hint="eastAsia" w:ascii="华文中宋" w:hAnsi="华文中宋" w:eastAsia="华文中宋"/>
          <w:sz w:val="32"/>
          <w:szCs w:val="32"/>
          <w:lang w:eastAsia="zh-CN"/>
        </w:rPr>
      </w:pPr>
      <w:r>
        <w:rPr>
          <w:rFonts w:hint="eastAsia" w:ascii="华文中宋" w:hAnsi="华文中宋" w:eastAsia="华文中宋"/>
          <w:sz w:val="32"/>
          <w:szCs w:val="32"/>
        </w:rPr>
        <w:t>项目编号：</w:t>
      </w:r>
      <w:r>
        <w:rPr>
          <w:rFonts w:hint="eastAsia" w:ascii="华文中宋" w:hAnsi="华文中宋" w:eastAsia="华文中宋"/>
          <w:sz w:val="32"/>
          <w:szCs w:val="32"/>
          <w:lang w:eastAsia="zh-CN"/>
        </w:rPr>
        <w:t>成都高新技术产业开发区政采（2021）A0028号</w:t>
      </w:r>
    </w:p>
    <w:p>
      <w:pPr>
        <w:spacing w:line="360" w:lineRule="auto"/>
        <w:rPr>
          <w:rFonts w:ascii="华文中宋" w:hAnsi="华文中宋" w:eastAsia="华文中宋"/>
          <w:color w:val="000000" w:themeColor="text1"/>
          <w:kern w:val="24"/>
          <w:sz w:val="32"/>
          <w:szCs w:val="32"/>
          <w14:textFill>
            <w14:solidFill>
              <w14:schemeClr w14:val="tx1"/>
            </w14:solidFill>
          </w14:textFill>
        </w:rPr>
      </w:pPr>
    </w:p>
    <w:p>
      <w:pPr>
        <w:pStyle w:val="19"/>
        <w:rPr>
          <w:rFonts w:ascii="华文中宋" w:hAnsi="华文中宋" w:eastAsia="华文中宋"/>
          <w:color w:val="000000" w:themeColor="text1"/>
          <w:kern w:val="24"/>
          <w:sz w:val="32"/>
          <w:szCs w:val="32"/>
          <w14:textFill>
            <w14:solidFill>
              <w14:schemeClr w14:val="tx1"/>
            </w14:solidFill>
          </w14:textFill>
        </w:rPr>
      </w:pPr>
    </w:p>
    <w:p>
      <w:pPr>
        <w:pStyle w:val="19"/>
        <w:rPr>
          <w:rFonts w:ascii="华文中宋" w:hAnsi="华文中宋" w:eastAsia="华文中宋"/>
          <w:color w:val="000000" w:themeColor="text1"/>
          <w:kern w:val="24"/>
          <w:sz w:val="32"/>
          <w:szCs w:val="32"/>
          <w14:textFill>
            <w14:solidFill>
              <w14:schemeClr w14:val="tx1"/>
            </w14:solidFill>
          </w14:textFill>
        </w:rPr>
      </w:pPr>
    </w:p>
    <w:p>
      <w:pPr>
        <w:pStyle w:val="19"/>
        <w:rPr>
          <w:rFonts w:ascii="华文中宋" w:hAnsi="华文中宋" w:eastAsia="华文中宋"/>
          <w:color w:val="000000" w:themeColor="text1"/>
          <w:kern w:val="24"/>
          <w:sz w:val="32"/>
          <w:szCs w:val="32"/>
          <w14:textFill>
            <w14:solidFill>
              <w14:schemeClr w14:val="tx1"/>
            </w14:solidFill>
          </w14:textFill>
        </w:rPr>
      </w:pP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成都市教育科学研究院附属学校（成都市天府实验学校）、</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成都高新区政府采购服务中心共同编制</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二〇二一年九月</w:t>
      </w:r>
    </w:p>
    <w:p>
      <w:pPr>
        <w:spacing w:line="360" w:lineRule="auto"/>
        <w:jc w:val="center"/>
        <w:rPr>
          <w:rFonts w:ascii="宋体" w:hAnsi="宋体"/>
          <w:b/>
          <w:color w:val="000000" w:themeColor="text1"/>
          <w:sz w:val="32"/>
          <w14:textFill>
            <w14:solidFill>
              <w14:schemeClr w14:val="tx1"/>
            </w14:solidFill>
          </w14:textFill>
        </w:rPr>
      </w:pPr>
      <w:r>
        <w:rPr>
          <w:rFonts w:hint="eastAsia" w:ascii="宋体" w:hAnsi="宋体"/>
          <w:color w:val="000000" w:themeColor="text1"/>
          <w:kern w:val="0"/>
          <w14:textFill>
            <w14:solidFill>
              <w14:schemeClr w14:val="tx1"/>
            </w14:solidFill>
          </w14:textFill>
        </w:rPr>
        <w:br w:type="page"/>
      </w:r>
      <w:bookmarkStart w:id="0" w:name="_Toc148505181"/>
      <w:bookmarkStart w:id="1" w:name="_Toc101328520"/>
      <w:bookmarkStart w:id="2" w:name="_Toc101234248"/>
      <w:bookmarkStart w:id="3" w:name="_Toc101247312"/>
      <w:r>
        <w:rPr>
          <w:rFonts w:hint="eastAsia" w:ascii="宋体" w:hAnsi="宋体"/>
          <w:b/>
          <w:color w:val="000000" w:themeColor="text1"/>
          <w:sz w:val="28"/>
          <w:szCs w:val="32"/>
          <w14:textFill>
            <w14:solidFill>
              <w14:schemeClr w14:val="tx1"/>
            </w14:solidFill>
          </w14:textFill>
        </w:rPr>
        <w:t>目 录</w:t>
      </w:r>
    </w:p>
    <w:sdt>
      <w:sdtPr>
        <w:rPr>
          <w:rFonts w:ascii="宋体" w:hAnsi="宋体" w:eastAsia="华文中宋"/>
          <w:smallCaps/>
          <w:color w:val="000000" w:themeColor="text1"/>
          <w:sz w:val="20"/>
          <w:szCs w:val="20"/>
          <w14:textFill>
            <w14:solidFill>
              <w14:schemeClr w14:val="tx1"/>
            </w14:solidFill>
          </w14:textFill>
        </w:rPr>
        <w:id w:val="147456339"/>
        <w:docPartObj>
          <w:docPartGallery w:val="Table of Contents"/>
          <w:docPartUnique/>
        </w:docPartObj>
      </w:sdtPr>
      <w:sdtEndPr>
        <w:rPr>
          <w:rFonts w:ascii="宋体" w:hAnsi="宋体" w:eastAsia="华文中宋"/>
          <w:smallCaps/>
          <w:color w:val="000000" w:themeColor="text1"/>
          <w:sz w:val="20"/>
          <w:szCs w:val="20"/>
          <w14:textFill>
            <w14:solidFill>
              <w14:schemeClr w14:val="tx1"/>
            </w14:solidFill>
          </w14:textFill>
        </w:rPr>
      </w:sdtEndPr>
      <w:sdtContent>
        <w:p>
          <w:pPr>
            <w:rPr>
              <w:color w:val="000000" w:themeColor="text1"/>
              <w14:textFill>
                <w14:solidFill>
                  <w14:schemeClr w14:val="tx1"/>
                </w14:solidFill>
              </w14:textFill>
            </w:rPr>
          </w:pPr>
        </w:p>
        <w:p>
          <w:pPr>
            <w:pStyle w:val="31"/>
            <w:tabs>
              <w:tab w:val="right" w:leader="dot" w:pos="8306"/>
              <w:tab w:val="clear" w:pos="709"/>
              <w:tab w:val="clear" w:pos="8364"/>
            </w:tabs>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TOC \o "1-2" \h \u </w:instrText>
          </w:r>
          <w:r>
            <w:rPr>
              <w:rFonts w:hint="eastAsia"/>
              <w:color w:val="000000" w:themeColor="text1"/>
              <w14:textFill>
                <w14:solidFill>
                  <w14:schemeClr w14:val="tx1"/>
                </w14:solidFill>
              </w14:textFill>
            </w:rPr>
            <w:fldChar w:fldCharType="separate"/>
          </w:r>
          <w:r>
            <w:fldChar w:fldCharType="begin"/>
          </w:r>
          <w:r>
            <w:instrText xml:space="preserve"> HYPERLINK \l "_Toc23452" </w:instrText>
          </w:r>
          <w:r>
            <w:fldChar w:fldCharType="separate"/>
          </w:r>
          <w:r>
            <w:rPr>
              <w:rFonts w:ascii="Times New Roman" w:hAnsi="Times New Roman" w:eastAsia="宋体"/>
              <w:szCs w:val="32"/>
            </w:rPr>
            <w:t xml:space="preserve">第1章 </w:t>
          </w:r>
          <w:r>
            <w:rPr>
              <w:rFonts w:hint="eastAsia"/>
            </w:rPr>
            <w:t>投标邀请</w:t>
          </w:r>
          <w:r>
            <w:tab/>
          </w:r>
          <w:r>
            <w:fldChar w:fldCharType="begin"/>
          </w:r>
          <w:r>
            <w:instrText xml:space="preserve"> PAGEREF _Toc23452 \h </w:instrText>
          </w:r>
          <w:r>
            <w:fldChar w:fldCharType="separate"/>
          </w:r>
          <w:r>
            <w:t>3</w:t>
          </w:r>
          <w:r>
            <w:fldChar w:fldCharType="end"/>
          </w:r>
          <w:r>
            <w:fldChar w:fldCharType="end"/>
          </w:r>
        </w:p>
        <w:p>
          <w:pPr>
            <w:pStyle w:val="31"/>
            <w:tabs>
              <w:tab w:val="right" w:leader="dot" w:pos="8306"/>
              <w:tab w:val="clear" w:pos="709"/>
              <w:tab w:val="clear" w:pos="8364"/>
            </w:tabs>
          </w:pPr>
          <w:r>
            <w:fldChar w:fldCharType="begin"/>
          </w:r>
          <w:r>
            <w:instrText xml:space="preserve"> HYPERLINK \l "_Toc14731" </w:instrText>
          </w:r>
          <w:r>
            <w:fldChar w:fldCharType="separate"/>
          </w:r>
          <w:r>
            <w:rPr>
              <w:rFonts w:ascii="Times New Roman" w:hAnsi="Times New Roman" w:eastAsia="宋体"/>
              <w:szCs w:val="32"/>
            </w:rPr>
            <w:t xml:space="preserve">第2章 </w:t>
          </w:r>
          <w:r>
            <w:rPr>
              <w:rFonts w:hint="eastAsia"/>
            </w:rPr>
            <w:t>投标人须知</w:t>
          </w:r>
          <w:r>
            <w:tab/>
          </w:r>
          <w:r>
            <w:fldChar w:fldCharType="begin"/>
          </w:r>
          <w:r>
            <w:instrText xml:space="preserve"> PAGEREF _Toc14731 \h </w:instrText>
          </w:r>
          <w:r>
            <w:fldChar w:fldCharType="separate"/>
          </w:r>
          <w:r>
            <w:t>8</w:t>
          </w:r>
          <w:r>
            <w:fldChar w:fldCharType="end"/>
          </w:r>
          <w:r>
            <w:fldChar w:fldCharType="end"/>
          </w:r>
        </w:p>
        <w:p>
          <w:pPr>
            <w:pStyle w:val="37"/>
            <w:tabs>
              <w:tab w:val="right" w:leader="dot" w:pos="8306"/>
              <w:tab w:val="clear" w:pos="620"/>
              <w:tab w:val="clear" w:pos="8364"/>
            </w:tabs>
          </w:pPr>
          <w:r>
            <w:fldChar w:fldCharType="begin"/>
          </w:r>
          <w:r>
            <w:instrText xml:space="preserve"> HYPERLINK \l "_Toc17336" </w:instrText>
          </w:r>
          <w:r>
            <w:fldChar w:fldCharType="separate"/>
          </w:r>
          <w:r>
            <w:rPr>
              <w:rFonts w:ascii="Times New Roman" w:hAnsi="Times New Roman" w:eastAsia="宋体"/>
              <w:szCs w:val="28"/>
            </w:rPr>
            <w:t xml:space="preserve">2.1 </w:t>
          </w:r>
          <w:r>
            <w:rPr>
              <w:rFonts w:hint="eastAsia"/>
            </w:rPr>
            <w:t>投标人须知前附表</w:t>
          </w:r>
          <w:r>
            <w:tab/>
          </w:r>
          <w:r>
            <w:fldChar w:fldCharType="begin"/>
          </w:r>
          <w:r>
            <w:instrText xml:space="preserve"> PAGEREF _Toc17336 \h </w:instrText>
          </w:r>
          <w:r>
            <w:fldChar w:fldCharType="separate"/>
          </w:r>
          <w:r>
            <w:t>8</w:t>
          </w:r>
          <w:r>
            <w:fldChar w:fldCharType="end"/>
          </w:r>
          <w:r>
            <w:fldChar w:fldCharType="end"/>
          </w:r>
        </w:p>
        <w:p>
          <w:pPr>
            <w:pStyle w:val="37"/>
            <w:tabs>
              <w:tab w:val="right" w:leader="dot" w:pos="8306"/>
              <w:tab w:val="clear" w:pos="620"/>
              <w:tab w:val="clear" w:pos="8364"/>
            </w:tabs>
          </w:pPr>
          <w:r>
            <w:fldChar w:fldCharType="begin"/>
          </w:r>
          <w:r>
            <w:instrText xml:space="preserve"> HYPERLINK \l "_Toc2484" </w:instrText>
          </w:r>
          <w:r>
            <w:fldChar w:fldCharType="separate"/>
          </w:r>
          <w:r>
            <w:rPr>
              <w:rFonts w:ascii="Times New Roman" w:hAnsi="Times New Roman" w:eastAsia="宋体"/>
              <w:szCs w:val="28"/>
            </w:rPr>
            <w:t xml:space="preserve">2.2 </w:t>
          </w:r>
          <w:r>
            <w:rPr>
              <w:rFonts w:hint="eastAsia"/>
            </w:rPr>
            <w:t>总则</w:t>
          </w:r>
          <w:r>
            <w:tab/>
          </w:r>
          <w:r>
            <w:fldChar w:fldCharType="begin"/>
          </w:r>
          <w:r>
            <w:instrText xml:space="preserve"> PAGEREF _Toc2484 \h </w:instrText>
          </w:r>
          <w:r>
            <w:fldChar w:fldCharType="separate"/>
          </w:r>
          <w:r>
            <w:t>10</w:t>
          </w:r>
          <w:r>
            <w:fldChar w:fldCharType="end"/>
          </w:r>
          <w:r>
            <w:fldChar w:fldCharType="end"/>
          </w:r>
        </w:p>
        <w:p>
          <w:pPr>
            <w:pStyle w:val="37"/>
            <w:tabs>
              <w:tab w:val="right" w:leader="dot" w:pos="8306"/>
              <w:tab w:val="clear" w:pos="620"/>
              <w:tab w:val="clear" w:pos="8364"/>
            </w:tabs>
          </w:pPr>
          <w:r>
            <w:fldChar w:fldCharType="begin"/>
          </w:r>
          <w:r>
            <w:instrText xml:space="preserve"> HYPERLINK \l "_Toc22758" </w:instrText>
          </w:r>
          <w:r>
            <w:fldChar w:fldCharType="separate"/>
          </w:r>
          <w:r>
            <w:rPr>
              <w:rFonts w:ascii="Times New Roman" w:hAnsi="Times New Roman" w:eastAsia="宋体"/>
              <w:szCs w:val="28"/>
            </w:rPr>
            <w:t xml:space="preserve">2.3 </w:t>
          </w:r>
          <w:r>
            <w:rPr>
              <w:rFonts w:hint="eastAsia"/>
            </w:rPr>
            <w:t>招标文件</w:t>
          </w:r>
          <w:r>
            <w:tab/>
          </w:r>
          <w:r>
            <w:fldChar w:fldCharType="begin"/>
          </w:r>
          <w:r>
            <w:instrText xml:space="preserve"> PAGEREF _Toc22758 \h </w:instrText>
          </w:r>
          <w:r>
            <w:fldChar w:fldCharType="separate"/>
          </w:r>
          <w:r>
            <w:t>12</w:t>
          </w:r>
          <w:r>
            <w:fldChar w:fldCharType="end"/>
          </w:r>
          <w:r>
            <w:fldChar w:fldCharType="end"/>
          </w:r>
        </w:p>
        <w:p>
          <w:pPr>
            <w:pStyle w:val="37"/>
            <w:tabs>
              <w:tab w:val="right" w:leader="dot" w:pos="8306"/>
              <w:tab w:val="clear" w:pos="620"/>
              <w:tab w:val="clear" w:pos="8364"/>
            </w:tabs>
          </w:pPr>
          <w:r>
            <w:fldChar w:fldCharType="begin"/>
          </w:r>
          <w:r>
            <w:instrText xml:space="preserve"> HYPERLINK \l "_Toc23505" </w:instrText>
          </w:r>
          <w:r>
            <w:fldChar w:fldCharType="separate"/>
          </w:r>
          <w:r>
            <w:rPr>
              <w:rFonts w:ascii="Times New Roman" w:hAnsi="Times New Roman" w:eastAsia="宋体"/>
              <w:szCs w:val="28"/>
            </w:rPr>
            <w:t xml:space="preserve">2.4 </w:t>
          </w:r>
          <w:r>
            <w:rPr>
              <w:rFonts w:hint="eastAsia"/>
            </w:rPr>
            <w:t>投标文件</w:t>
          </w:r>
          <w:r>
            <w:tab/>
          </w:r>
          <w:r>
            <w:fldChar w:fldCharType="begin"/>
          </w:r>
          <w:r>
            <w:instrText xml:space="preserve"> PAGEREF _Toc23505 \h </w:instrText>
          </w:r>
          <w:r>
            <w:fldChar w:fldCharType="separate"/>
          </w:r>
          <w:r>
            <w:t>14</w:t>
          </w:r>
          <w:r>
            <w:fldChar w:fldCharType="end"/>
          </w:r>
          <w:r>
            <w:fldChar w:fldCharType="end"/>
          </w:r>
        </w:p>
        <w:p>
          <w:pPr>
            <w:pStyle w:val="37"/>
            <w:tabs>
              <w:tab w:val="right" w:leader="dot" w:pos="8306"/>
              <w:tab w:val="clear" w:pos="620"/>
              <w:tab w:val="clear" w:pos="8364"/>
            </w:tabs>
          </w:pPr>
          <w:r>
            <w:fldChar w:fldCharType="begin"/>
          </w:r>
          <w:r>
            <w:instrText xml:space="preserve"> HYPERLINK \l "_Toc17847" </w:instrText>
          </w:r>
          <w:r>
            <w:fldChar w:fldCharType="separate"/>
          </w:r>
          <w:r>
            <w:rPr>
              <w:rFonts w:ascii="Times New Roman" w:hAnsi="Times New Roman" w:eastAsia="宋体"/>
              <w:szCs w:val="28"/>
            </w:rPr>
            <w:t xml:space="preserve">2.5 </w:t>
          </w:r>
          <w:r>
            <w:rPr>
              <w:rFonts w:hint="eastAsia"/>
            </w:rPr>
            <w:t>开标、资格审查、评标和中标</w:t>
          </w:r>
          <w:r>
            <w:tab/>
          </w:r>
          <w:r>
            <w:fldChar w:fldCharType="begin"/>
          </w:r>
          <w:r>
            <w:instrText xml:space="preserve"> PAGEREF _Toc17847 \h </w:instrText>
          </w:r>
          <w:r>
            <w:fldChar w:fldCharType="separate"/>
          </w:r>
          <w:r>
            <w:t>21</w:t>
          </w:r>
          <w:r>
            <w:fldChar w:fldCharType="end"/>
          </w:r>
          <w:r>
            <w:fldChar w:fldCharType="end"/>
          </w:r>
        </w:p>
        <w:p>
          <w:pPr>
            <w:pStyle w:val="37"/>
            <w:tabs>
              <w:tab w:val="right" w:leader="dot" w:pos="8306"/>
              <w:tab w:val="clear" w:pos="620"/>
              <w:tab w:val="clear" w:pos="8364"/>
            </w:tabs>
          </w:pPr>
          <w:r>
            <w:fldChar w:fldCharType="begin"/>
          </w:r>
          <w:r>
            <w:instrText xml:space="preserve"> HYPERLINK \l "_Toc9092" </w:instrText>
          </w:r>
          <w:r>
            <w:fldChar w:fldCharType="separate"/>
          </w:r>
          <w:r>
            <w:rPr>
              <w:rFonts w:ascii="Times New Roman" w:hAnsi="Times New Roman" w:eastAsia="宋体"/>
              <w:szCs w:val="28"/>
            </w:rPr>
            <w:t xml:space="preserve">2.6 </w:t>
          </w:r>
          <w:r>
            <w:rPr>
              <w:rFonts w:hint="eastAsia"/>
            </w:rPr>
            <w:t>签订及履行合同和验收</w:t>
          </w:r>
          <w:r>
            <w:tab/>
          </w:r>
          <w:r>
            <w:fldChar w:fldCharType="begin"/>
          </w:r>
          <w:r>
            <w:instrText xml:space="preserve"> PAGEREF _Toc9092 \h </w:instrText>
          </w:r>
          <w:r>
            <w:fldChar w:fldCharType="separate"/>
          </w:r>
          <w:r>
            <w:t>24</w:t>
          </w:r>
          <w:r>
            <w:fldChar w:fldCharType="end"/>
          </w:r>
          <w:r>
            <w:fldChar w:fldCharType="end"/>
          </w:r>
        </w:p>
        <w:p>
          <w:pPr>
            <w:pStyle w:val="37"/>
            <w:tabs>
              <w:tab w:val="right" w:leader="dot" w:pos="8306"/>
              <w:tab w:val="clear" w:pos="620"/>
              <w:tab w:val="clear" w:pos="8364"/>
            </w:tabs>
          </w:pPr>
          <w:r>
            <w:fldChar w:fldCharType="begin"/>
          </w:r>
          <w:r>
            <w:instrText xml:space="preserve"> HYPERLINK \l "_Toc7508" </w:instrText>
          </w:r>
          <w:r>
            <w:fldChar w:fldCharType="separate"/>
          </w:r>
          <w:r>
            <w:rPr>
              <w:rFonts w:ascii="Times New Roman" w:hAnsi="Times New Roman" w:eastAsia="宋体"/>
              <w:szCs w:val="28"/>
            </w:rPr>
            <w:t xml:space="preserve">2.7 </w:t>
          </w:r>
          <w:r>
            <w:rPr>
              <w:rFonts w:hint="eastAsia"/>
            </w:rPr>
            <w:t>投标纪律要求</w:t>
          </w:r>
          <w:r>
            <w:tab/>
          </w:r>
          <w:r>
            <w:fldChar w:fldCharType="begin"/>
          </w:r>
          <w:r>
            <w:instrText xml:space="preserve"> PAGEREF _Toc7508 \h </w:instrText>
          </w:r>
          <w:r>
            <w:fldChar w:fldCharType="separate"/>
          </w:r>
          <w:r>
            <w:t>26</w:t>
          </w:r>
          <w:r>
            <w:fldChar w:fldCharType="end"/>
          </w:r>
          <w:r>
            <w:fldChar w:fldCharType="end"/>
          </w:r>
        </w:p>
        <w:p>
          <w:pPr>
            <w:pStyle w:val="37"/>
            <w:tabs>
              <w:tab w:val="right" w:leader="dot" w:pos="8306"/>
              <w:tab w:val="clear" w:pos="620"/>
              <w:tab w:val="clear" w:pos="8364"/>
            </w:tabs>
          </w:pPr>
          <w:r>
            <w:fldChar w:fldCharType="begin"/>
          </w:r>
          <w:r>
            <w:instrText xml:space="preserve"> HYPERLINK \l "_Toc1327" </w:instrText>
          </w:r>
          <w:r>
            <w:fldChar w:fldCharType="separate"/>
          </w:r>
          <w:r>
            <w:rPr>
              <w:rFonts w:ascii="Times New Roman" w:hAnsi="Times New Roman" w:eastAsia="宋体"/>
              <w:szCs w:val="28"/>
            </w:rPr>
            <w:t xml:space="preserve">2.8 </w:t>
          </w:r>
          <w:r>
            <w:rPr>
              <w:rFonts w:hint="eastAsia"/>
            </w:rPr>
            <w:t>询问、质疑和投诉</w:t>
          </w:r>
          <w:r>
            <w:tab/>
          </w:r>
          <w:r>
            <w:fldChar w:fldCharType="begin"/>
          </w:r>
          <w:r>
            <w:instrText xml:space="preserve"> PAGEREF _Toc1327 \h </w:instrText>
          </w:r>
          <w:r>
            <w:fldChar w:fldCharType="separate"/>
          </w:r>
          <w:r>
            <w:t>29</w:t>
          </w:r>
          <w:r>
            <w:fldChar w:fldCharType="end"/>
          </w:r>
          <w:r>
            <w:fldChar w:fldCharType="end"/>
          </w:r>
        </w:p>
        <w:p>
          <w:pPr>
            <w:pStyle w:val="37"/>
            <w:tabs>
              <w:tab w:val="right" w:leader="dot" w:pos="8306"/>
              <w:tab w:val="clear" w:pos="620"/>
              <w:tab w:val="clear" w:pos="8364"/>
            </w:tabs>
          </w:pPr>
          <w:r>
            <w:fldChar w:fldCharType="begin"/>
          </w:r>
          <w:r>
            <w:instrText xml:space="preserve"> HYPERLINK \l "_Toc24812" </w:instrText>
          </w:r>
          <w:r>
            <w:fldChar w:fldCharType="separate"/>
          </w:r>
          <w:r>
            <w:rPr>
              <w:rFonts w:ascii="Times New Roman" w:hAnsi="Times New Roman" w:eastAsia="宋体"/>
              <w:szCs w:val="28"/>
            </w:rPr>
            <w:t xml:space="preserve">2.9 </w:t>
          </w:r>
          <w:r>
            <w:rPr>
              <w:rFonts w:hint="eastAsia"/>
            </w:rPr>
            <w:t>中小企业政府采购信用融资</w:t>
          </w:r>
          <w:r>
            <w:tab/>
          </w:r>
          <w:r>
            <w:fldChar w:fldCharType="begin"/>
          </w:r>
          <w:r>
            <w:instrText xml:space="preserve"> PAGEREF _Toc24812 \h </w:instrText>
          </w:r>
          <w:r>
            <w:fldChar w:fldCharType="separate"/>
          </w:r>
          <w:r>
            <w:t>30</w:t>
          </w:r>
          <w:r>
            <w:fldChar w:fldCharType="end"/>
          </w:r>
          <w:r>
            <w:fldChar w:fldCharType="end"/>
          </w:r>
        </w:p>
        <w:p>
          <w:pPr>
            <w:pStyle w:val="31"/>
            <w:tabs>
              <w:tab w:val="right" w:leader="dot" w:pos="8306"/>
              <w:tab w:val="clear" w:pos="709"/>
              <w:tab w:val="clear" w:pos="8364"/>
            </w:tabs>
          </w:pPr>
          <w:r>
            <w:fldChar w:fldCharType="begin"/>
          </w:r>
          <w:r>
            <w:instrText xml:space="preserve"> HYPERLINK \l "_Toc6713" </w:instrText>
          </w:r>
          <w:r>
            <w:fldChar w:fldCharType="separate"/>
          </w:r>
          <w:r>
            <w:rPr>
              <w:rFonts w:ascii="Times New Roman" w:hAnsi="Times New Roman" w:eastAsia="宋体"/>
              <w:szCs w:val="32"/>
            </w:rPr>
            <w:t xml:space="preserve">第3章 </w:t>
          </w:r>
          <w:r>
            <w:rPr>
              <w:rFonts w:hint="eastAsia"/>
            </w:rPr>
            <w:t>投标文件格式</w:t>
          </w:r>
          <w:r>
            <w:tab/>
          </w:r>
          <w:r>
            <w:fldChar w:fldCharType="begin"/>
          </w:r>
          <w:r>
            <w:instrText xml:space="preserve"> PAGEREF _Toc6713 \h </w:instrText>
          </w:r>
          <w:r>
            <w:fldChar w:fldCharType="separate"/>
          </w:r>
          <w:r>
            <w:t>31</w:t>
          </w:r>
          <w:r>
            <w:fldChar w:fldCharType="end"/>
          </w:r>
          <w:r>
            <w:fldChar w:fldCharType="end"/>
          </w:r>
        </w:p>
        <w:p>
          <w:pPr>
            <w:pStyle w:val="37"/>
            <w:tabs>
              <w:tab w:val="right" w:leader="dot" w:pos="8306"/>
              <w:tab w:val="clear" w:pos="620"/>
              <w:tab w:val="clear" w:pos="8364"/>
            </w:tabs>
          </w:pPr>
          <w:r>
            <w:fldChar w:fldCharType="begin"/>
          </w:r>
          <w:r>
            <w:instrText xml:space="preserve"> HYPERLINK \l "_Toc13686" </w:instrText>
          </w:r>
          <w:r>
            <w:fldChar w:fldCharType="separate"/>
          </w:r>
          <w:r>
            <w:rPr>
              <w:rFonts w:ascii="Times New Roman" w:hAnsi="Times New Roman" w:eastAsia="宋体"/>
              <w:szCs w:val="28"/>
            </w:rPr>
            <w:t xml:space="preserve">3.1 </w:t>
          </w:r>
          <w:r>
            <w:rPr>
              <w:rFonts w:hint="eastAsia"/>
            </w:rPr>
            <w:t>投标文件封面格式</w:t>
          </w:r>
          <w:r>
            <w:tab/>
          </w:r>
          <w:r>
            <w:fldChar w:fldCharType="begin"/>
          </w:r>
          <w:r>
            <w:instrText xml:space="preserve"> PAGEREF _Toc13686 \h </w:instrText>
          </w:r>
          <w:r>
            <w:fldChar w:fldCharType="separate"/>
          </w:r>
          <w:r>
            <w:t>31</w:t>
          </w:r>
          <w:r>
            <w:fldChar w:fldCharType="end"/>
          </w:r>
          <w:r>
            <w:fldChar w:fldCharType="end"/>
          </w:r>
        </w:p>
        <w:p>
          <w:pPr>
            <w:pStyle w:val="37"/>
            <w:tabs>
              <w:tab w:val="right" w:leader="dot" w:pos="8306"/>
              <w:tab w:val="clear" w:pos="620"/>
              <w:tab w:val="clear" w:pos="8364"/>
            </w:tabs>
          </w:pPr>
          <w:r>
            <w:fldChar w:fldCharType="begin"/>
          </w:r>
          <w:r>
            <w:instrText xml:space="preserve"> HYPERLINK \l "_Toc18495" </w:instrText>
          </w:r>
          <w:r>
            <w:fldChar w:fldCharType="separate"/>
          </w:r>
          <w:r>
            <w:rPr>
              <w:rFonts w:ascii="Times New Roman" w:hAnsi="Times New Roman" w:eastAsia="宋体"/>
              <w:szCs w:val="28"/>
            </w:rPr>
            <w:t xml:space="preserve">3.2 </w:t>
          </w:r>
          <w:r>
            <w:rPr>
              <w:rFonts w:hint="eastAsia"/>
            </w:rPr>
            <w:t>资格响应文件</w:t>
          </w:r>
          <w:bookmarkStart w:id="413" w:name="_GoBack"/>
          <w:bookmarkEnd w:id="413"/>
          <w:r>
            <w:tab/>
          </w:r>
          <w:r>
            <w:fldChar w:fldCharType="begin"/>
          </w:r>
          <w:r>
            <w:instrText xml:space="preserve"> PAGEREF _Toc18495 \h </w:instrText>
          </w:r>
          <w:r>
            <w:fldChar w:fldCharType="separate"/>
          </w:r>
          <w:r>
            <w:t>32</w:t>
          </w:r>
          <w:r>
            <w:fldChar w:fldCharType="end"/>
          </w:r>
          <w:r>
            <w:fldChar w:fldCharType="end"/>
          </w:r>
        </w:p>
        <w:p>
          <w:pPr>
            <w:pStyle w:val="37"/>
            <w:tabs>
              <w:tab w:val="right" w:leader="dot" w:pos="8306"/>
              <w:tab w:val="clear" w:pos="620"/>
              <w:tab w:val="clear" w:pos="8364"/>
            </w:tabs>
          </w:pPr>
          <w:r>
            <w:fldChar w:fldCharType="begin"/>
          </w:r>
          <w:r>
            <w:instrText xml:space="preserve"> HYPERLINK \l "_Toc29848" </w:instrText>
          </w:r>
          <w:r>
            <w:fldChar w:fldCharType="separate"/>
          </w:r>
          <w:r>
            <w:rPr>
              <w:rFonts w:ascii="Times New Roman" w:hAnsi="Times New Roman" w:eastAsia="宋体"/>
              <w:szCs w:val="28"/>
            </w:rPr>
            <w:t xml:space="preserve">3.3 </w:t>
          </w:r>
          <w:r>
            <w:rPr>
              <w:rFonts w:hint="eastAsia"/>
            </w:rPr>
            <w:t>商务技术</w:t>
          </w:r>
          <w:r>
            <w:t>响应文件</w:t>
          </w:r>
          <w:r>
            <w:tab/>
          </w:r>
          <w:r>
            <w:fldChar w:fldCharType="begin"/>
          </w:r>
          <w:r>
            <w:instrText xml:space="preserve"> PAGEREF _Toc29848 \h </w:instrText>
          </w:r>
          <w:r>
            <w:fldChar w:fldCharType="separate"/>
          </w:r>
          <w:r>
            <w:t>38</w:t>
          </w:r>
          <w:r>
            <w:fldChar w:fldCharType="end"/>
          </w:r>
          <w:r>
            <w:fldChar w:fldCharType="end"/>
          </w:r>
        </w:p>
        <w:p>
          <w:pPr>
            <w:pStyle w:val="37"/>
            <w:tabs>
              <w:tab w:val="right" w:leader="dot" w:pos="8306"/>
              <w:tab w:val="clear" w:pos="620"/>
              <w:tab w:val="clear" w:pos="8364"/>
            </w:tabs>
          </w:pPr>
          <w:r>
            <w:fldChar w:fldCharType="begin"/>
          </w:r>
          <w:r>
            <w:instrText xml:space="preserve"> HYPERLINK \l "_Toc19171" </w:instrText>
          </w:r>
          <w:r>
            <w:fldChar w:fldCharType="separate"/>
          </w:r>
          <w:r>
            <w:rPr>
              <w:rFonts w:ascii="Times New Roman" w:hAnsi="Times New Roman" w:eastAsia="宋体"/>
              <w:szCs w:val="28"/>
            </w:rPr>
            <w:t xml:space="preserve">3.4 </w:t>
          </w:r>
          <w:r>
            <w:rPr>
              <w:rFonts w:hint="eastAsia" w:ascii="宋体" w:hAnsi="宋体"/>
            </w:rPr>
            <w:t>报价</w:t>
          </w:r>
          <w:r>
            <w:rPr>
              <w:rFonts w:hint="eastAsia" w:ascii="宋体" w:hAnsi="宋体"/>
              <w:bCs/>
              <w:szCs w:val="28"/>
            </w:rPr>
            <w:t>要求</w:t>
          </w:r>
          <w:r>
            <w:rPr>
              <w:rFonts w:hint="eastAsia" w:ascii="宋体" w:hAnsi="宋体"/>
            </w:rPr>
            <w:t>响应文件</w:t>
          </w:r>
          <w:r>
            <w:tab/>
          </w:r>
          <w:r>
            <w:fldChar w:fldCharType="begin"/>
          </w:r>
          <w:r>
            <w:instrText xml:space="preserve"> PAGEREF _Toc19171 \h </w:instrText>
          </w:r>
          <w:r>
            <w:fldChar w:fldCharType="separate"/>
          </w:r>
          <w:r>
            <w:t>45</w:t>
          </w:r>
          <w:r>
            <w:fldChar w:fldCharType="end"/>
          </w:r>
          <w:r>
            <w:fldChar w:fldCharType="end"/>
          </w:r>
        </w:p>
        <w:p>
          <w:pPr>
            <w:pStyle w:val="31"/>
            <w:tabs>
              <w:tab w:val="right" w:leader="dot" w:pos="8306"/>
              <w:tab w:val="clear" w:pos="709"/>
              <w:tab w:val="clear" w:pos="8364"/>
            </w:tabs>
          </w:pPr>
          <w:r>
            <w:fldChar w:fldCharType="begin"/>
          </w:r>
          <w:r>
            <w:instrText xml:space="preserve"> HYPERLINK \l "_Toc22961" </w:instrText>
          </w:r>
          <w:r>
            <w:fldChar w:fldCharType="separate"/>
          </w:r>
          <w:r>
            <w:rPr>
              <w:rFonts w:ascii="Times New Roman" w:hAnsi="Times New Roman" w:eastAsia="宋体"/>
              <w:szCs w:val="32"/>
            </w:rPr>
            <w:t xml:space="preserve">第4章 </w:t>
          </w:r>
          <w:r>
            <w:rPr>
              <w:rFonts w:hint="eastAsia"/>
            </w:rPr>
            <w:t>招标项目服务、商务及其他要求</w:t>
          </w:r>
          <w:r>
            <w:tab/>
          </w:r>
          <w:r>
            <w:fldChar w:fldCharType="begin"/>
          </w:r>
          <w:r>
            <w:instrText xml:space="preserve"> PAGEREF _Toc22961 \h </w:instrText>
          </w:r>
          <w:r>
            <w:fldChar w:fldCharType="separate"/>
          </w:r>
          <w:r>
            <w:t>47</w:t>
          </w:r>
          <w:r>
            <w:fldChar w:fldCharType="end"/>
          </w:r>
          <w:r>
            <w:fldChar w:fldCharType="end"/>
          </w:r>
        </w:p>
        <w:p>
          <w:pPr>
            <w:pStyle w:val="37"/>
            <w:tabs>
              <w:tab w:val="right" w:leader="dot" w:pos="8306"/>
              <w:tab w:val="clear" w:pos="620"/>
              <w:tab w:val="clear" w:pos="8364"/>
            </w:tabs>
          </w:pPr>
          <w:r>
            <w:fldChar w:fldCharType="begin"/>
          </w:r>
          <w:r>
            <w:instrText xml:space="preserve"> HYPERLINK \l "_Toc19749" </w:instrText>
          </w:r>
          <w:r>
            <w:fldChar w:fldCharType="separate"/>
          </w:r>
          <w:r>
            <w:rPr>
              <w:rFonts w:ascii="Times New Roman" w:hAnsi="Times New Roman" w:eastAsia="宋体"/>
              <w:szCs w:val="28"/>
            </w:rPr>
            <w:t xml:space="preserve">4.1 </w:t>
          </w:r>
          <w:r>
            <w:rPr>
              <w:rFonts w:hint="eastAsia"/>
            </w:rPr>
            <w:t>项目概况</w:t>
          </w:r>
          <w:r>
            <w:tab/>
          </w:r>
          <w:r>
            <w:fldChar w:fldCharType="begin"/>
          </w:r>
          <w:r>
            <w:instrText xml:space="preserve"> PAGEREF _Toc19749 \h </w:instrText>
          </w:r>
          <w:r>
            <w:fldChar w:fldCharType="separate"/>
          </w:r>
          <w:r>
            <w:t>47</w:t>
          </w:r>
          <w:r>
            <w:fldChar w:fldCharType="end"/>
          </w:r>
          <w:r>
            <w:fldChar w:fldCharType="end"/>
          </w:r>
        </w:p>
        <w:p>
          <w:pPr>
            <w:pStyle w:val="37"/>
            <w:tabs>
              <w:tab w:val="right" w:leader="dot" w:pos="8306"/>
              <w:tab w:val="clear" w:pos="620"/>
              <w:tab w:val="clear" w:pos="8364"/>
            </w:tabs>
          </w:pPr>
          <w:r>
            <w:fldChar w:fldCharType="begin"/>
          </w:r>
          <w:r>
            <w:instrText xml:space="preserve"> HYPERLINK \l "_Toc21599" </w:instrText>
          </w:r>
          <w:r>
            <w:fldChar w:fldCharType="separate"/>
          </w:r>
          <w:r>
            <w:rPr>
              <w:rFonts w:ascii="Times New Roman" w:hAnsi="Times New Roman" w:eastAsia="宋体"/>
              <w:szCs w:val="28"/>
            </w:rPr>
            <w:t xml:space="preserve">4.2 </w:t>
          </w:r>
          <w:r>
            <w:rPr>
              <w:rFonts w:hint="eastAsia"/>
            </w:rPr>
            <w:t>服务内容及要求</w:t>
          </w:r>
          <w:r>
            <w:tab/>
          </w:r>
          <w:r>
            <w:fldChar w:fldCharType="begin"/>
          </w:r>
          <w:r>
            <w:instrText xml:space="preserve"> PAGEREF _Toc21599 \h </w:instrText>
          </w:r>
          <w:r>
            <w:fldChar w:fldCharType="separate"/>
          </w:r>
          <w:r>
            <w:t>47</w:t>
          </w:r>
          <w:r>
            <w:fldChar w:fldCharType="end"/>
          </w:r>
          <w:r>
            <w:fldChar w:fldCharType="end"/>
          </w:r>
        </w:p>
        <w:p>
          <w:pPr>
            <w:pStyle w:val="37"/>
            <w:tabs>
              <w:tab w:val="right" w:leader="dot" w:pos="8306"/>
              <w:tab w:val="clear" w:pos="620"/>
              <w:tab w:val="clear" w:pos="8364"/>
            </w:tabs>
          </w:pPr>
          <w:r>
            <w:fldChar w:fldCharType="begin"/>
          </w:r>
          <w:r>
            <w:instrText xml:space="preserve"> HYPERLINK \l "_Toc5730" </w:instrText>
          </w:r>
          <w:r>
            <w:fldChar w:fldCharType="separate"/>
          </w:r>
          <w:r>
            <w:rPr>
              <w:rFonts w:ascii="Times New Roman" w:hAnsi="Times New Roman" w:eastAsia="宋体"/>
              <w:szCs w:val="28"/>
            </w:rPr>
            <w:t xml:space="preserve">4.3 </w:t>
          </w:r>
          <w:r>
            <w:rPr>
              <w:rFonts w:hint="eastAsia"/>
            </w:rPr>
            <w:t>商务要求</w:t>
          </w:r>
          <w:r>
            <w:tab/>
          </w:r>
          <w:r>
            <w:fldChar w:fldCharType="begin"/>
          </w:r>
          <w:r>
            <w:instrText xml:space="preserve"> PAGEREF _Toc5730 \h </w:instrText>
          </w:r>
          <w:r>
            <w:fldChar w:fldCharType="separate"/>
          </w:r>
          <w:r>
            <w:t>55</w:t>
          </w:r>
          <w:r>
            <w:fldChar w:fldCharType="end"/>
          </w:r>
          <w:r>
            <w:fldChar w:fldCharType="end"/>
          </w:r>
        </w:p>
        <w:p>
          <w:pPr>
            <w:pStyle w:val="31"/>
            <w:tabs>
              <w:tab w:val="right" w:leader="dot" w:pos="8306"/>
              <w:tab w:val="clear" w:pos="709"/>
              <w:tab w:val="clear" w:pos="8364"/>
            </w:tabs>
          </w:pPr>
          <w:r>
            <w:fldChar w:fldCharType="begin"/>
          </w:r>
          <w:r>
            <w:instrText xml:space="preserve"> HYPERLINK \l "_Toc5104" </w:instrText>
          </w:r>
          <w:r>
            <w:fldChar w:fldCharType="separate"/>
          </w:r>
          <w:r>
            <w:rPr>
              <w:rFonts w:ascii="Times New Roman" w:hAnsi="Times New Roman" w:eastAsia="宋体"/>
              <w:szCs w:val="32"/>
            </w:rPr>
            <w:t xml:space="preserve">第5章 </w:t>
          </w:r>
          <w:r>
            <w:rPr>
              <w:rFonts w:hint="eastAsia"/>
            </w:rPr>
            <w:t>资格性审查</w:t>
          </w:r>
          <w:r>
            <w:tab/>
          </w:r>
          <w:r>
            <w:fldChar w:fldCharType="begin"/>
          </w:r>
          <w:r>
            <w:instrText xml:space="preserve"> PAGEREF _Toc5104 \h </w:instrText>
          </w:r>
          <w:r>
            <w:fldChar w:fldCharType="separate"/>
          </w:r>
          <w:r>
            <w:t>61</w:t>
          </w:r>
          <w:r>
            <w:fldChar w:fldCharType="end"/>
          </w:r>
          <w:r>
            <w:fldChar w:fldCharType="end"/>
          </w:r>
        </w:p>
        <w:p>
          <w:pPr>
            <w:pStyle w:val="31"/>
            <w:tabs>
              <w:tab w:val="right" w:leader="dot" w:pos="8306"/>
              <w:tab w:val="clear" w:pos="709"/>
              <w:tab w:val="clear" w:pos="8364"/>
            </w:tabs>
          </w:pPr>
          <w:r>
            <w:fldChar w:fldCharType="begin"/>
          </w:r>
          <w:r>
            <w:instrText xml:space="preserve"> HYPERLINK \l "_Toc12401" </w:instrText>
          </w:r>
          <w:r>
            <w:fldChar w:fldCharType="separate"/>
          </w:r>
          <w:r>
            <w:rPr>
              <w:rFonts w:ascii="Times New Roman" w:hAnsi="Times New Roman" w:eastAsia="宋体"/>
              <w:szCs w:val="32"/>
            </w:rPr>
            <w:t xml:space="preserve">第6章 </w:t>
          </w:r>
          <w:r>
            <w:rPr>
              <w:rFonts w:hint="eastAsia"/>
            </w:rPr>
            <w:t>评标办法</w:t>
          </w:r>
          <w:r>
            <w:tab/>
          </w:r>
          <w:r>
            <w:fldChar w:fldCharType="begin"/>
          </w:r>
          <w:r>
            <w:instrText xml:space="preserve"> PAGEREF _Toc12401 \h </w:instrText>
          </w:r>
          <w:r>
            <w:fldChar w:fldCharType="separate"/>
          </w:r>
          <w:r>
            <w:t>67</w:t>
          </w:r>
          <w:r>
            <w:fldChar w:fldCharType="end"/>
          </w:r>
          <w:r>
            <w:fldChar w:fldCharType="end"/>
          </w:r>
        </w:p>
        <w:p>
          <w:pPr>
            <w:pStyle w:val="37"/>
            <w:tabs>
              <w:tab w:val="right" w:leader="dot" w:pos="8306"/>
              <w:tab w:val="clear" w:pos="620"/>
              <w:tab w:val="clear" w:pos="8364"/>
            </w:tabs>
          </w:pPr>
          <w:r>
            <w:fldChar w:fldCharType="begin"/>
          </w:r>
          <w:r>
            <w:instrText xml:space="preserve"> HYPERLINK \l "_Toc15264" </w:instrText>
          </w:r>
          <w:r>
            <w:fldChar w:fldCharType="separate"/>
          </w:r>
          <w:r>
            <w:rPr>
              <w:rFonts w:ascii="Times New Roman" w:hAnsi="Times New Roman" w:eastAsia="宋体"/>
              <w:szCs w:val="28"/>
            </w:rPr>
            <w:t xml:space="preserve">6.1 </w:t>
          </w:r>
          <w:r>
            <w:rPr>
              <w:rFonts w:hint="eastAsia"/>
            </w:rPr>
            <w:t>总则</w:t>
          </w:r>
          <w:r>
            <w:tab/>
          </w:r>
          <w:r>
            <w:fldChar w:fldCharType="begin"/>
          </w:r>
          <w:r>
            <w:instrText xml:space="preserve"> PAGEREF _Toc15264 \h </w:instrText>
          </w:r>
          <w:r>
            <w:fldChar w:fldCharType="separate"/>
          </w:r>
          <w:r>
            <w:t>67</w:t>
          </w:r>
          <w:r>
            <w:fldChar w:fldCharType="end"/>
          </w:r>
          <w:r>
            <w:fldChar w:fldCharType="end"/>
          </w:r>
        </w:p>
        <w:p>
          <w:pPr>
            <w:pStyle w:val="37"/>
            <w:tabs>
              <w:tab w:val="right" w:leader="dot" w:pos="8306"/>
              <w:tab w:val="clear" w:pos="620"/>
              <w:tab w:val="clear" w:pos="8364"/>
            </w:tabs>
          </w:pPr>
          <w:r>
            <w:fldChar w:fldCharType="begin"/>
          </w:r>
          <w:r>
            <w:instrText xml:space="preserve"> HYPERLINK \l "_Toc22385" </w:instrText>
          </w:r>
          <w:r>
            <w:fldChar w:fldCharType="separate"/>
          </w:r>
          <w:r>
            <w:rPr>
              <w:rFonts w:ascii="Times New Roman" w:hAnsi="Times New Roman" w:eastAsia="宋体"/>
              <w:szCs w:val="28"/>
            </w:rPr>
            <w:t xml:space="preserve">6.2 </w:t>
          </w:r>
          <w:r>
            <w:rPr>
              <w:rFonts w:hint="eastAsia"/>
            </w:rPr>
            <w:t>评标方法</w:t>
          </w:r>
          <w:r>
            <w:tab/>
          </w:r>
          <w:r>
            <w:fldChar w:fldCharType="begin"/>
          </w:r>
          <w:r>
            <w:instrText xml:space="preserve"> PAGEREF _Toc22385 \h </w:instrText>
          </w:r>
          <w:r>
            <w:fldChar w:fldCharType="separate"/>
          </w:r>
          <w:r>
            <w:t>68</w:t>
          </w:r>
          <w:r>
            <w:fldChar w:fldCharType="end"/>
          </w:r>
          <w:r>
            <w:fldChar w:fldCharType="end"/>
          </w:r>
        </w:p>
        <w:p>
          <w:pPr>
            <w:pStyle w:val="37"/>
            <w:tabs>
              <w:tab w:val="right" w:leader="dot" w:pos="8306"/>
              <w:tab w:val="clear" w:pos="620"/>
              <w:tab w:val="clear" w:pos="8364"/>
            </w:tabs>
          </w:pPr>
          <w:r>
            <w:fldChar w:fldCharType="begin"/>
          </w:r>
          <w:r>
            <w:instrText xml:space="preserve"> HYPERLINK \l "_Toc28055" </w:instrText>
          </w:r>
          <w:r>
            <w:fldChar w:fldCharType="separate"/>
          </w:r>
          <w:r>
            <w:rPr>
              <w:rFonts w:ascii="Times New Roman" w:hAnsi="Times New Roman" w:eastAsia="宋体"/>
              <w:szCs w:val="28"/>
            </w:rPr>
            <w:t xml:space="preserve">6.3 </w:t>
          </w:r>
          <w:r>
            <w:rPr>
              <w:rFonts w:hint="eastAsia"/>
            </w:rPr>
            <w:t>评标程序</w:t>
          </w:r>
          <w:r>
            <w:tab/>
          </w:r>
          <w:r>
            <w:fldChar w:fldCharType="begin"/>
          </w:r>
          <w:r>
            <w:instrText xml:space="preserve"> PAGEREF _Toc28055 \h </w:instrText>
          </w:r>
          <w:r>
            <w:fldChar w:fldCharType="separate"/>
          </w:r>
          <w:r>
            <w:t>68</w:t>
          </w:r>
          <w:r>
            <w:fldChar w:fldCharType="end"/>
          </w:r>
          <w:r>
            <w:fldChar w:fldCharType="end"/>
          </w:r>
        </w:p>
        <w:p>
          <w:pPr>
            <w:pStyle w:val="37"/>
            <w:tabs>
              <w:tab w:val="right" w:leader="dot" w:pos="8306"/>
              <w:tab w:val="clear" w:pos="620"/>
              <w:tab w:val="clear" w:pos="8364"/>
            </w:tabs>
          </w:pPr>
          <w:r>
            <w:fldChar w:fldCharType="begin"/>
          </w:r>
          <w:r>
            <w:instrText xml:space="preserve"> HYPERLINK \l "_Toc18759" </w:instrText>
          </w:r>
          <w:r>
            <w:fldChar w:fldCharType="separate"/>
          </w:r>
          <w:r>
            <w:rPr>
              <w:rFonts w:ascii="Times New Roman" w:hAnsi="Times New Roman" w:eastAsia="宋体"/>
              <w:szCs w:val="28"/>
            </w:rPr>
            <w:t xml:space="preserve">6.4 </w:t>
          </w:r>
          <w:r>
            <w:rPr>
              <w:rFonts w:hint="eastAsia"/>
            </w:rPr>
            <w:t>评标争议处理规则</w:t>
          </w:r>
          <w:r>
            <w:tab/>
          </w:r>
          <w:r>
            <w:fldChar w:fldCharType="begin"/>
          </w:r>
          <w:r>
            <w:instrText xml:space="preserve"> PAGEREF _Toc18759 \h </w:instrText>
          </w:r>
          <w:r>
            <w:fldChar w:fldCharType="separate"/>
          </w:r>
          <w:r>
            <w:t>75</w:t>
          </w:r>
          <w:r>
            <w:fldChar w:fldCharType="end"/>
          </w:r>
          <w:r>
            <w:fldChar w:fldCharType="end"/>
          </w:r>
        </w:p>
        <w:p>
          <w:pPr>
            <w:pStyle w:val="37"/>
            <w:tabs>
              <w:tab w:val="right" w:leader="dot" w:pos="8306"/>
              <w:tab w:val="clear" w:pos="620"/>
              <w:tab w:val="clear" w:pos="8364"/>
            </w:tabs>
          </w:pPr>
          <w:r>
            <w:fldChar w:fldCharType="begin"/>
          </w:r>
          <w:r>
            <w:instrText xml:space="preserve"> HYPERLINK \l "_Toc2818" </w:instrText>
          </w:r>
          <w:r>
            <w:fldChar w:fldCharType="separate"/>
          </w:r>
          <w:r>
            <w:rPr>
              <w:rFonts w:ascii="Times New Roman" w:hAnsi="Times New Roman" w:eastAsia="宋体"/>
              <w:szCs w:val="28"/>
            </w:rPr>
            <w:t xml:space="preserve">6.5 </w:t>
          </w:r>
          <w:r>
            <w:rPr>
              <w:rFonts w:hint="eastAsia"/>
            </w:rPr>
            <w:t>评标细则及标准</w:t>
          </w:r>
          <w:r>
            <w:tab/>
          </w:r>
          <w:r>
            <w:fldChar w:fldCharType="begin"/>
          </w:r>
          <w:r>
            <w:instrText xml:space="preserve"> PAGEREF _Toc2818 \h </w:instrText>
          </w:r>
          <w:r>
            <w:fldChar w:fldCharType="separate"/>
          </w:r>
          <w:r>
            <w:t>75</w:t>
          </w:r>
          <w:r>
            <w:fldChar w:fldCharType="end"/>
          </w:r>
          <w:r>
            <w:fldChar w:fldCharType="end"/>
          </w:r>
        </w:p>
        <w:p>
          <w:pPr>
            <w:pStyle w:val="37"/>
            <w:tabs>
              <w:tab w:val="right" w:leader="dot" w:pos="8306"/>
              <w:tab w:val="clear" w:pos="620"/>
              <w:tab w:val="clear" w:pos="8364"/>
            </w:tabs>
          </w:pPr>
          <w:r>
            <w:fldChar w:fldCharType="begin"/>
          </w:r>
          <w:r>
            <w:instrText xml:space="preserve"> HYPERLINK \l "_Toc31203" </w:instrText>
          </w:r>
          <w:r>
            <w:fldChar w:fldCharType="separate"/>
          </w:r>
          <w:r>
            <w:rPr>
              <w:rFonts w:ascii="Times New Roman" w:hAnsi="Times New Roman" w:eastAsia="宋体"/>
              <w:szCs w:val="28"/>
            </w:rPr>
            <w:t xml:space="preserve">6.6 </w:t>
          </w:r>
          <w:r>
            <w:rPr>
              <w:rFonts w:hint="eastAsia"/>
            </w:rPr>
            <w:t>废标</w:t>
          </w:r>
          <w:r>
            <w:tab/>
          </w:r>
          <w:r>
            <w:fldChar w:fldCharType="begin"/>
          </w:r>
          <w:r>
            <w:instrText xml:space="preserve"> PAGEREF _Toc31203 \h </w:instrText>
          </w:r>
          <w:r>
            <w:fldChar w:fldCharType="separate"/>
          </w:r>
          <w:r>
            <w:t>79</w:t>
          </w:r>
          <w:r>
            <w:fldChar w:fldCharType="end"/>
          </w:r>
          <w:r>
            <w:fldChar w:fldCharType="end"/>
          </w:r>
        </w:p>
        <w:p>
          <w:pPr>
            <w:pStyle w:val="37"/>
            <w:tabs>
              <w:tab w:val="right" w:leader="dot" w:pos="8306"/>
              <w:tab w:val="clear" w:pos="620"/>
              <w:tab w:val="clear" w:pos="8364"/>
            </w:tabs>
          </w:pPr>
          <w:r>
            <w:fldChar w:fldCharType="begin"/>
          </w:r>
          <w:r>
            <w:instrText xml:space="preserve"> HYPERLINK \l "_Toc14777" </w:instrText>
          </w:r>
          <w:r>
            <w:fldChar w:fldCharType="separate"/>
          </w:r>
          <w:r>
            <w:rPr>
              <w:rFonts w:ascii="Times New Roman" w:hAnsi="Times New Roman" w:eastAsia="宋体"/>
              <w:szCs w:val="28"/>
            </w:rPr>
            <w:t xml:space="preserve">6.7 </w:t>
          </w:r>
          <w:r>
            <w:rPr>
              <w:rFonts w:hint="eastAsia"/>
            </w:rPr>
            <w:t>定标</w:t>
          </w:r>
          <w:r>
            <w:tab/>
          </w:r>
          <w:r>
            <w:fldChar w:fldCharType="begin"/>
          </w:r>
          <w:r>
            <w:instrText xml:space="preserve"> PAGEREF _Toc14777 \h </w:instrText>
          </w:r>
          <w:r>
            <w:fldChar w:fldCharType="separate"/>
          </w:r>
          <w:r>
            <w:t>80</w:t>
          </w:r>
          <w:r>
            <w:fldChar w:fldCharType="end"/>
          </w:r>
          <w:r>
            <w:fldChar w:fldCharType="end"/>
          </w:r>
        </w:p>
        <w:p>
          <w:pPr>
            <w:pStyle w:val="37"/>
            <w:tabs>
              <w:tab w:val="right" w:leader="dot" w:pos="8306"/>
              <w:tab w:val="clear" w:pos="620"/>
              <w:tab w:val="clear" w:pos="8364"/>
            </w:tabs>
          </w:pPr>
          <w:r>
            <w:fldChar w:fldCharType="begin"/>
          </w:r>
          <w:r>
            <w:instrText xml:space="preserve"> HYPERLINK \l "_Toc6845" </w:instrText>
          </w:r>
          <w:r>
            <w:fldChar w:fldCharType="separate"/>
          </w:r>
          <w:r>
            <w:rPr>
              <w:rFonts w:ascii="Times New Roman" w:hAnsi="Times New Roman" w:eastAsia="宋体"/>
              <w:szCs w:val="28"/>
            </w:rPr>
            <w:t xml:space="preserve">6.8 </w:t>
          </w:r>
          <w:r>
            <w:rPr>
              <w:rFonts w:hint="eastAsia"/>
            </w:rPr>
            <w:t>评标专家在政府采购活动中承担以下义务</w:t>
          </w:r>
          <w:r>
            <w:tab/>
          </w:r>
          <w:r>
            <w:fldChar w:fldCharType="begin"/>
          </w:r>
          <w:r>
            <w:instrText xml:space="preserve"> PAGEREF _Toc6845 \h </w:instrText>
          </w:r>
          <w:r>
            <w:fldChar w:fldCharType="separate"/>
          </w:r>
          <w:r>
            <w:t>81</w:t>
          </w:r>
          <w:r>
            <w:fldChar w:fldCharType="end"/>
          </w:r>
          <w:r>
            <w:fldChar w:fldCharType="end"/>
          </w:r>
        </w:p>
        <w:p>
          <w:pPr>
            <w:pStyle w:val="37"/>
            <w:tabs>
              <w:tab w:val="right" w:leader="dot" w:pos="8306"/>
              <w:tab w:val="clear" w:pos="620"/>
              <w:tab w:val="clear" w:pos="8364"/>
            </w:tabs>
          </w:pPr>
          <w:r>
            <w:fldChar w:fldCharType="begin"/>
          </w:r>
          <w:r>
            <w:instrText xml:space="preserve"> HYPERLINK \l "_Toc1103" </w:instrText>
          </w:r>
          <w:r>
            <w:fldChar w:fldCharType="separate"/>
          </w:r>
          <w:r>
            <w:rPr>
              <w:rFonts w:ascii="Times New Roman" w:hAnsi="Times New Roman" w:eastAsia="宋体"/>
              <w:szCs w:val="28"/>
            </w:rPr>
            <w:t xml:space="preserve">6.9 </w:t>
          </w:r>
          <w:r>
            <w:rPr>
              <w:rFonts w:hint="eastAsia"/>
            </w:rPr>
            <w:t>评标委员会及其成员不得有下列行为：</w:t>
          </w:r>
          <w:r>
            <w:tab/>
          </w:r>
          <w:r>
            <w:fldChar w:fldCharType="begin"/>
          </w:r>
          <w:r>
            <w:instrText xml:space="preserve"> PAGEREF _Toc1103 \h </w:instrText>
          </w:r>
          <w:r>
            <w:fldChar w:fldCharType="separate"/>
          </w:r>
          <w:r>
            <w:t>81</w:t>
          </w:r>
          <w:r>
            <w:fldChar w:fldCharType="end"/>
          </w:r>
          <w:r>
            <w:fldChar w:fldCharType="end"/>
          </w:r>
        </w:p>
        <w:p>
          <w:pPr>
            <w:pStyle w:val="37"/>
            <w:tabs>
              <w:tab w:val="right" w:leader="dot" w:pos="8306"/>
              <w:tab w:val="clear" w:pos="620"/>
              <w:tab w:val="clear" w:pos="8364"/>
            </w:tabs>
          </w:pPr>
          <w:r>
            <w:fldChar w:fldCharType="begin"/>
          </w:r>
          <w:r>
            <w:instrText xml:space="preserve"> HYPERLINK \l "_Toc5931" </w:instrText>
          </w:r>
          <w:r>
            <w:fldChar w:fldCharType="separate"/>
          </w:r>
          <w:r>
            <w:rPr>
              <w:rFonts w:ascii="Times New Roman" w:hAnsi="Times New Roman" w:eastAsia="宋体"/>
              <w:szCs w:val="28"/>
            </w:rPr>
            <w:t xml:space="preserve">6.10 </w:t>
          </w:r>
          <w:r>
            <w:rPr>
              <w:rFonts w:hint="eastAsia"/>
            </w:rPr>
            <w:t>评审专家在政府采购活动中应当遵守以下工作纪律</w:t>
          </w:r>
          <w:r>
            <w:tab/>
          </w:r>
          <w:r>
            <w:fldChar w:fldCharType="begin"/>
          </w:r>
          <w:r>
            <w:instrText xml:space="preserve"> PAGEREF _Toc5931 \h </w:instrText>
          </w:r>
          <w:r>
            <w:fldChar w:fldCharType="separate"/>
          </w:r>
          <w:r>
            <w:t>82</w:t>
          </w:r>
          <w:r>
            <w:fldChar w:fldCharType="end"/>
          </w:r>
          <w:r>
            <w:fldChar w:fldCharType="end"/>
          </w:r>
        </w:p>
        <w:p>
          <w:pPr>
            <w:pStyle w:val="31"/>
            <w:tabs>
              <w:tab w:val="right" w:leader="dot" w:pos="8306"/>
              <w:tab w:val="clear" w:pos="709"/>
              <w:tab w:val="clear" w:pos="8364"/>
            </w:tabs>
          </w:pPr>
          <w:r>
            <w:fldChar w:fldCharType="begin"/>
          </w:r>
          <w:r>
            <w:instrText xml:space="preserve"> HYPERLINK \l "_Toc20362" </w:instrText>
          </w:r>
          <w:r>
            <w:fldChar w:fldCharType="separate"/>
          </w:r>
          <w:r>
            <w:rPr>
              <w:rFonts w:ascii="Times New Roman" w:hAnsi="Times New Roman" w:eastAsia="宋体"/>
              <w:szCs w:val="32"/>
            </w:rPr>
            <w:t xml:space="preserve">第7章 </w:t>
          </w:r>
          <w:r>
            <w:rPr>
              <w:rFonts w:hint="eastAsia"/>
            </w:rPr>
            <w:t>拟签订合同文本</w:t>
          </w:r>
          <w:r>
            <w:tab/>
          </w:r>
          <w:r>
            <w:fldChar w:fldCharType="begin"/>
          </w:r>
          <w:r>
            <w:instrText xml:space="preserve"> PAGEREF _Toc20362 \h </w:instrText>
          </w:r>
          <w:r>
            <w:fldChar w:fldCharType="separate"/>
          </w:r>
          <w:r>
            <w:t>84</w:t>
          </w:r>
          <w:r>
            <w:fldChar w:fldCharType="end"/>
          </w:r>
          <w:r>
            <w:fldChar w:fldCharType="end"/>
          </w:r>
        </w:p>
        <w:p>
          <w:pPr>
            <w:pStyle w:val="37"/>
            <w:tabs>
              <w:tab w:val="right" w:leader="dot" w:pos="8647"/>
              <w:tab w:val="clear" w:pos="8364"/>
            </w:tabs>
            <w:ind w:left="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end"/>
          </w:r>
        </w:p>
      </w:sdtContent>
    </w:sdt>
    <w:p>
      <w:pPr>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4"/>
        <w:numPr>
          <w:ilvl w:val="0"/>
          <w:numId w:val="4"/>
        </w:numPr>
        <w:spacing w:before="0" w:after="0" w:line="560" w:lineRule="exact"/>
        <w:ind w:left="0" w:firstLine="0"/>
        <w:rPr>
          <w:color w:val="000000" w:themeColor="text1"/>
          <w14:textFill>
            <w14:solidFill>
              <w14:schemeClr w14:val="tx1"/>
            </w14:solidFill>
          </w14:textFill>
        </w:rPr>
      </w:pPr>
      <w:bookmarkStart w:id="4" w:name="_Toc20241"/>
      <w:bookmarkStart w:id="5" w:name="_Toc204575871"/>
      <w:bookmarkStart w:id="6" w:name="_Toc22017"/>
      <w:bookmarkStart w:id="7" w:name="_Toc181610856"/>
      <w:bookmarkStart w:id="8" w:name="_Toc26321"/>
      <w:bookmarkStart w:id="9" w:name="_Toc23452"/>
      <w:bookmarkStart w:id="10" w:name="_Toc181591102"/>
      <w:bookmarkStart w:id="11" w:name="_Toc25954"/>
      <w:r>
        <w:rPr>
          <w:rFonts w:hint="eastAsia"/>
          <w:color w:val="000000" w:themeColor="text1"/>
          <w14:textFill>
            <w14:solidFill>
              <w14:schemeClr w14:val="tx1"/>
            </w14:solidFill>
          </w14:textFill>
        </w:rPr>
        <w:t>投标邀请</w:t>
      </w:r>
      <w:bookmarkEnd w:id="4"/>
      <w:bookmarkEnd w:id="5"/>
      <w:bookmarkEnd w:id="6"/>
      <w:bookmarkEnd w:id="7"/>
      <w:bookmarkEnd w:id="8"/>
      <w:bookmarkEnd w:id="9"/>
      <w:bookmarkEnd w:id="10"/>
      <w:bookmarkEnd w:id="11"/>
    </w:p>
    <w:p>
      <w:pPr>
        <w:tabs>
          <w:tab w:val="left" w:pos="2552"/>
        </w:tabs>
        <w:spacing w:line="560" w:lineRule="exact"/>
        <w:ind w:left="1" w:firstLine="562" w:firstLineChars="201"/>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成都高新区政府采购服务中心(以下简称“高新区采购中心”)</w:t>
      </w:r>
      <w:r>
        <w:rPr>
          <w:rFonts w:hint="eastAsia" w:asciiTheme="minorEastAsia" w:hAnsiTheme="minorEastAsia" w:eastAsiaTheme="minorEastAsia"/>
          <w:color w:val="000000" w:themeColor="text1"/>
          <w:sz w:val="28"/>
          <w:szCs w:val="28"/>
          <w14:textFill>
            <w14:solidFill>
              <w14:schemeClr w14:val="tx1"/>
            </w14:solidFill>
          </w14:textFill>
        </w:rPr>
        <w:t>受</w:t>
      </w:r>
      <w:r>
        <w:rPr>
          <w:rFonts w:hint="eastAsia" w:asciiTheme="minorEastAsia" w:hAnsiTheme="minorEastAsia" w:eastAsiaTheme="minorEastAsia"/>
          <w:b/>
          <w:sz w:val="28"/>
          <w:szCs w:val="28"/>
          <w:u w:val="single"/>
        </w:rPr>
        <w:t>成都市教育科学研究院附属学校</w:t>
      </w:r>
      <w:r>
        <w:rPr>
          <w:rFonts w:hint="eastAsia" w:ascii="宋体" w:hAnsi="宋体"/>
          <w:b/>
          <w:sz w:val="28"/>
          <w:szCs w:val="28"/>
          <w:u w:val="single"/>
        </w:rPr>
        <w:t>（成都市天府实验学校）</w:t>
      </w:r>
      <w:r>
        <w:rPr>
          <w:rFonts w:hint="eastAsia" w:asciiTheme="minorEastAsia" w:hAnsiTheme="minorEastAsia" w:eastAsiaTheme="minorEastAsia"/>
          <w:color w:val="000000" w:themeColor="text1"/>
          <w:sz w:val="28"/>
          <w:szCs w:val="28"/>
          <w14:textFill>
            <w14:solidFill>
              <w14:schemeClr w14:val="tx1"/>
            </w14:solidFill>
          </w14:textFill>
        </w:rPr>
        <w:t>委托</w:t>
      </w:r>
      <w:r>
        <w:rPr>
          <w:rFonts w:hint="eastAsia" w:ascii="宋体" w:hAnsi="宋体"/>
          <w:color w:val="000000" w:themeColor="text1"/>
          <w:sz w:val="28"/>
          <w:szCs w:val="28"/>
          <w14:textFill>
            <w14:solidFill>
              <w14:schemeClr w14:val="tx1"/>
            </w14:solidFill>
          </w14:textFill>
        </w:rPr>
        <w:t>拟对</w:t>
      </w:r>
      <w:r>
        <w:rPr>
          <w:rFonts w:hint="eastAsia" w:ascii="宋体" w:hAnsi="宋体"/>
          <w:b/>
          <w:sz w:val="28"/>
          <w:szCs w:val="28"/>
          <w:u w:val="single"/>
        </w:rPr>
        <w:t>成都市教育科学研究院附属学校（成都市天府实验学校）物业管理服务采购项目</w:t>
      </w:r>
      <w:r>
        <w:rPr>
          <w:rFonts w:hint="eastAsia" w:ascii="宋体" w:hAnsi="宋体"/>
          <w:color w:val="000000" w:themeColor="text1"/>
          <w:sz w:val="28"/>
          <w:szCs w:val="28"/>
          <w14:textFill>
            <w14:solidFill>
              <w14:schemeClr w14:val="tx1"/>
            </w14:solidFill>
          </w14:textFill>
        </w:rPr>
        <w:t>进行国内公开招标，兹邀请符合本次招标要求的供应商参加投标。</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w:t>
      </w:r>
      <w:r>
        <w:rPr>
          <w:rFonts w:hint="eastAsia" w:ascii="宋体" w:hAnsi="宋体"/>
          <w:b/>
          <w:color w:val="000000" w:themeColor="text1"/>
          <w:sz w:val="28"/>
          <w:szCs w:val="28"/>
          <w:lang w:eastAsia="zh-CN"/>
          <w14:textFill>
            <w14:solidFill>
              <w14:schemeClr w14:val="tx1"/>
            </w14:solidFill>
          </w14:textFill>
        </w:rPr>
        <w:t>成都高新技术产业开发区政采（2021）A0028号</w:t>
      </w:r>
    </w:p>
    <w:p>
      <w:pPr>
        <w:pStyle w:val="19"/>
        <w:ind w:firstLine="413" w:firstLineChars="147"/>
        <w:rPr>
          <w:color w:val="000000" w:themeColor="text1"/>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（采购项目编号：</w:t>
      </w:r>
      <w:r>
        <w:rPr>
          <w:rFonts w:hint="eastAsia" w:ascii="宋体" w:hAnsi="宋体"/>
          <w:b/>
          <w:color w:val="000000" w:themeColor="text1"/>
          <w:sz w:val="28"/>
          <w:szCs w:val="28"/>
          <w:lang w:eastAsia="zh-CN"/>
          <w14:textFill>
            <w14:solidFill>
              <w14:schemeClr w14:val="tx1"/>
            </w14:solidFill>
          </w14:textFill>
        </w:rPr>
        <w:t>510188202100219</w:t>
      </w:r>
      <w:r>
        <w:rPr>
          <w:rFonts w:hint="eastAsia" w:ascii="宋体" w:hAnsi="宋体"/>
          <w:b/>
          <w:color w:val="000000" w:themeColor="text1"/>
          <w:sz w:val="28"/>
          <w:szCs w:val="28"/>
          <w14:textFill>
            <w14:solidFill>
              <w14:schemeClr w14:val="tx1"/>
            </w14:solidFill>
          </w14:textFill>
        </w:rPr>
        <w:t>）</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项目名称：成都市教育科学研究院附属学校（成都市天府实验学校）物业管理服务采购项目</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资金来源、预算金额及最高限价：</w:t>
      </w:r>
      <w:r>
        <w:rPr>
          <w:rFonts w:hint="eastAsia" w:ascii="宋体" w:hAnsi="宋体"/>
          <w:color w:val="000000" w:themeColor="text1"/>
          <w:sz w:val="28"/>
          <w:szCs w:val="28"/>
          <w14:textFill>
            <w14:solidFill>
              <w14:schemeClr w14:val="tx1"/>
            </w14:solidFill>
          </w14:textFill>
        </w:rPr>
        <w:t>财政性资金，政府采购实施计划备案表号：</w:t>
      </w:r>
      <w:r>
        <w:rPr>
          <w:rFonts w:hint="eastAsia" w:ascii="宋体" w:hAnsi="宋体"/>
          <w:sz w:val="28"/>
          <w:szCs w:val="28"/>
        </w:rPr>
        <w:t>((2021)1014号</w:t>
      </w:r>
      <w:r>
        <w:rPr>
          <w:rFonts w:hint="eastAsia" w:ascii="宋体" w:hAnsi="宋体"/>
          <w:color w:val="000000" w:themeColor="text1"/>
          <w:sz w:val="28"/>
          <w:szCs w:val="28"/>
          <w14:textFill>
            <w14:solidFill>
              <w14:schemeClr w14:val="tx1"/>
            </w14:solidFill>
          </w14:textFill>
        </w:rPr>
        <w:t>。预算品目：</w:t>
      </w:r>
      <w:r>
        <w:rPr>
          <w:rFonts w:hint="eastAsia" w:ascii="宋体" w:hAnsi="宋体"/>
          <w:sz w:val="28"/>
          <w:szCs w:val="28"/>
        </w:rPr>
        <w:t>C1204物业管理服务</w:t>
      </w:r>
      <w:r>
        <w:rPr>
          <w:rFonts w:hint="eastAsia" w:ascii="宋体" w:hAnsi="宋体"/>
          <w:color w:val="000000" w:themeColor="text1"/>
          <w:sz w:val="28"/>
          <w:szCs w:val="28"/>
          <w14:textFill>
            <w14:solidFill>
              <w14:schemeClr w14:val="tx1"/>
            </w14:solidFill>
          </w14:textFill>
        </w:rPr>
        <w:t>；预算金额：</w:t>
      </w:r>
      <w:r>
        <w:rPr>
          <w:rFonts w:hint="eastAsia" w:ascii="宋体" w:hAnsi="宋体"/>
          <w:sz w:val="28"/>
          <w:szCs w:val="28"/>
        </w:rPr>
        <w:t>2400000.00元</w:t>
      </w:r>
      <w:r>
        <w:rPr>
          <w:rFonts w:hint="eastAsia" w:ascii="宋体" w:hAnsi="宋体"/>
          <w:color w:val="000000" w:themeColor="text1"/>
          <w:sz w:val="28"/>
          <w:szCs w:val="28"/>
          <w14:textFill>
            <w14:solidFill>
              <w14:schemeClr w14:val="tx1"/>
            </w14:solidFill>
          </w14:textFill>
        </w:rPr>
        <w:t>；最高限价：</w:t>
      </w:r>
      <w:r>
        <w:rPr>
          <w:rFonts w:hint="eastAsia" w:ascii="宋体" w:hAnsi="宋体"/>
          <w:sz w:val="28"/>
          <w:szCs w:val="28"/>
        </w:rPr>
        <w:t>2400000.00元</w:t>
      </w:r>
      <w:r>
        <w:rPr>
          <w:rFonts w:hint="eastAsia" w:ascii="宋体" w:hAnsi="宋体"/>
          <w:color w:val="000000" w:themeColor="text1"/>
          <w:sz w:val="28"/>
          <w:szCs w:val="28"/>
          <w14:textFill>
            <w14:solidFill>
              <w14:schemeClr w14:val="tx1"/>
            </w14:solidFill>
          </w14:textFill>
        </w:rPr>
        <w:t>；采购标的：</w:t>
      </w:r>
      <w:r>
        <w:rPr>
          <w:rFonts w:ascii="宋体" w:hAnsi="宋体"/>
          <w:sz w:val="28"/>
          <w:szCs w:val="28"/>
        </w:rPr>
        <w:t>物业管理服务</w:t>
      </w:r>
      <w:r>
        <w:rPr>
          <w:rFonts w:hint="eastAsia" w:ascii="宋体" w:hAnsi="宋体"/>
          <w:color w:val="000000" w:themeColor="text1"/>
          <w:sz w:val="28"/>
          <w:szCs w:val="28"/>
          <w14:textFill>
            <w14:solidFill>
              <w14:schemeClr w14:val="tx1"/>
            </w14:solidFill>
          </w14:textFill>
        </w:rPr>
        <w:t>；所属行业：</w:t>
      </w:r>
      <w:r>
        <w:rPr>
          <w:rFonts w:ascii="宋体" w:hAnsi="宋体"/>
          <w:sz w:val="28"/>
          <w:szCs w:val="28"/>
        </w:rPr>
        <w:t>物业管理</w:t>
      </w:r>
      <w:r>
        <w:rPr>
          <w:rFonts w:hint="eastAsia" w:ascii="宋体" w:hAnsi="宋体"/>
          <w:color w:val="000000" w:themeColor="text1"/>
          <w:sz w:val="28"/>
          <w:szCs w:val="28"/>
          <w14:textFill>
            <w14:solidFill>
              <w14:schemeClr w14:val="tx1"/>
            </w14:solidFill>
          </w14:textFill>
        </w:rPr>
        <w:t>。</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招标项目简介</w:t>
      </w:r>
    </w:p>
    <w:p>
      <w:pPr>
        <w:spacing w:line="60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本次采购服务内容为</w:t>
      </w:r>
      <w:r>
        <w:rPr>
          <w:rFonts w:hint="eastAsia" w:ascii="宋体" w:hAnsi="宋体"/>
          <w:sz w:val="28"/>
          <w:szCs w:val="28"/>
        </w:rPr>
        <w:t>成都市教育科学研究院附属学校物业管理服务，包括：1、安全管理；2、环境卫生保洁；3、水电维护及维修；4、绿化养护；5、文印服务；6、体育管理；7、应急事件处置</w:t>
      </w:r>
      <w:r>
        <w:rPr>
          <w:rFonts w:hint="eastAsia" w:ascii="宋体" w:hAnsi="宋体"/>
          <w:color w:val="000000" w:themeColor="text1"/>
          <w:sz w:val="28"/>
          <w:szCs w:val="28"/>
          <w14:textFill>
            <w14:solidFill>
              <w14:schemeClr w14:val="tx1"/>
            </w14:solidFill>
          </w14:textFill>
        </w:rPr>
        <w:t>。</w:t>
      </w:r>
    </w:p>
    <w:p>
      <w:pPr>
        <w:pStyle w:val="19"/>
        <w:ind w:firstLine="560" w:firstLineChars="200"/>
        <w:rPr>
          <w:b/>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详细的服务、商务及其他要求见招标文件第4章。</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供应商参加本次政府采购活动应具备的条件</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符合《政府采购法》第二十二条第一款规定的条件；</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本项目为专门面向中小企业采购项目，供应商为符合政策要求的中小企业。（说明：监狱企业、残疾人福利性单位视同小型、微型企业）；</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在中华人民共和国境内依法登记注册，并有效存续具有独立法人资格的供应商；</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未被列入失信被执行人、重大税收违法案件当事人名单、政府采购严重违法失信行为记录名单； </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在行贿犯罪信息查询期限内，投标人及其现任法定代表人、主要负责人没有行贿犯罪记录；</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未处于被行政部门禁止参与政府采购活动的期限内；</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不属于其他国家相关法律法规规定的禁止参加投标的供应商；</w:t>
      </w:r>
    </w:p>
    <w:p>
      <w:pPr>
        <w:numPr>
          <w:ilvl w:val="0"/>
          <w:numId w:val="6"/>
        </w:num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本项目不接受联合体投标。</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招标文件获取时间</w:t>
      </w:r>
    </w:p>
    <w:p>
      <w:pPr>
        <w:numPr>
          <w:ilvl w:val="0"/>
          <w:numId w:val="7"/>
        </w:numPr>
        <w:spacing w:line="360" w:lineRule="auto"/>
        <w:ind w:left="0" w:firstLine="567"/>
        <w:rPr>
          <w:rFonts w:ascii="宋体" w:hAnsi="宋体"/>
          <w:b/>
          <w:sz w:val="28"/>
        </w:rPr>
      </w:pPr>
      <w:r>
        <w:rPr>
          <w:rFonts w:hint="eastAsia" w:ascii="宋体" w:hAnsi="宋体"/>
          <w:b/>
          <w:sz w:val="28"/>
          <w:szCs w:val="28"/>
        </w:rPr>
        <w:t>招标文件获取时间：2021年</w:t>
      </w:r>
      <w:r>
        <w:rPr>
          <w:rFonts w:hint="eastAsia" w:ascii="宋体" w:hAnsi="宋体"/>
          <w:b/>
          <w:sz w:val="28"/>
          <w:szCs w:val="28"/>
          <w:lang w:val="en-US" w:eastAsia="zh-CN"/>
        </w:rPr>
        <w:t>9</w:t>
      </w:r>
      <w:r>
        <w:rPr>
          <w:rFonts w:hint="eastAsia" w:ascii="宋体" w:hAnsi="宋体"/>
          <w:b/>
          <w:sz w:val="28"/>
          <w:szCs w:val="28"/>
        </w:rPr>
        <w:t>月</w:t>
      </w:r>
      <w:r>
        <w:rPr>
          <w:rFonts w:hint="eastAsia" w:ascii="宋体" w:hAnsi="宋体"/>
          <w:b/>
          <w:sz w:val="28"/>
          <w:szCs w:val="28"/>
          <w:lang w:val="en-US" w:eastAsia="zh-CN"/>
        </w:rPr>
        <w:t>22</w:t>
      </w:r>
      <w:r>
        <w:rPr>
          <w:rFonts w:hint="eastAsia" w:ascii="宋体" w:hAnsi="宋体"/>
          <w:b/>
          <w:sz w:val="28"/>
          <w:szCs w:val="28"/>
        </w:rPr>
        <w:t>日至</w:t>
      </w:r>
      <w:r>
        <w:rPr>
          <w:rFonts w:hint="eastAsia" w:ascii="宋体" w:hAnsi="宋体"/>
          <w:b/>
          <w:sz w:val="28"/>
          <w:szCs w:val="28"/>
          <w:lang w:val="en-US" w:eastAsia="zh-CN"/>
        </w:rPr>
        <w:t>9</w:t>
      </w:r>
      <w:r>
        <w:rPr>
          <w:rFonts w:hint="eastAsia" w:ascii="宋体" w:hAnsi="宋体"/>
          <w:b/>
          <w:sz w:val="28"/>
          <w:szCs w:val="28"/>
        </w:rPr>
        <w:t>月</w:t>
      </w:r>
      <w:r>
        <w:rPr>
          <w:rFonts w:hint="eastAsia" w:ascii="宋体" w:hAnsi="宋体"/>
          <w:b/>
          <w:sz w:val="28"/>
          <w:szCs w:val="28"/>
          <w:lang w:val="en-US" w:eastAsia="zh-CN"/>
        </w:rPr>
        <w:t>27</w:t>
      </w:r>
      <w:r>
        <w:rPr>
          <w:rFonts w:hint="eastAsia" w:ascii="宋体" w:hAnsi="宋体"/>
          <w:b/>
          <w:sz w:val="28"/>
          <w:szCs w:val="28"/>
        </w:rPr>
        <w:t>日。</w:t>
      </w:r>
    </w:p>
    <w:p>
      <w:pPr>
        <w:numPr>
          <w:ilvl w:val="0"/>
          <w:numId w:val="7"/>
        </w:numPr>
        <w:spacing w:line="360" w:lineRule="auto"/>
        <w:ind w:left="0" w:firstLine="567"/>
        <w:rPr>
          <w:rFonts w:ascii="宋体" w:hAnsi="宋体"/>
          <w:b/>
          <w:sz w:val="28"/>
        </w:rPr>
      </w:pPr>
      <w:r>
        <w:rPr>
          <w:rFonts w:hint="eastAsia" w:ascii="宋体" w:hAnsi="宋体"/>
          <w:b/>
          <w:sz w:val="28"/>
          <w:szCs w:val="28"/>
        </w:rPr>
        <w:t>公告期限：2021年</w:t>
      </w:r>
      <w:r>
        <w:rPr>
          <w:rFonts w:hint="eastAsia" w:ascii="宋体" w:hAnsi="宋体"/>
          <w:b/>
          <w:sz w:val="28"/>
          <w:szCs w:val="28"/>
          <w:lang w:val="en-US" w:eastAsia="zh-CN"/>
        </w:rPr>
        <w:t>9</w:t>
      </w:r>
      <w:r>
        <w:rPr>
          <w:rFonts w:hint="eastAsia" w:ascii="宋体" w:hAnsi="宋体"/>
          <w:b/>
          <w:sz w:val="28"/>
          <w:szCs w:val="28"/>
        </w:rPr>
        <w:t>月</w:t>
      </w:r>
      <w:r>
        <w:rPr>
          <w:rFonts w:hint="eastAsia" w:ascii="宋体" w:hAnsi="宋体"/>
          <w:b/>
          <w:sz w:val="28"/>
          <w:szCs w:val="28"/>
          <w:lang w:val="en-US" w:eastAsia="zh-CN"/>
        </w:rPr>
        <w:t>22</w:t>
      </w:r>
      <w:r>
        <w:rPr>
          <w:rFonts w:hint="eastAsia" w:ascii="宋体" w:hAnsi="宋体"/>
          <w:b/>
          <w:sz w:val="28"/>
          <w:szCs w:val="28"/>
        </w:rPr>
        <w:t>日至</w:t>
      </w:r>
      <w:r>
        <w:rPr>
          <w:rFonts w:hint="eastAsia" w:ascii="宋体" w:hAnsi="宋体"/>
          <w:b/>
          <w:sz w:val="28"/>
          <w:szCs w:val="28"/>
          <w:lang w:val="en-US" w:eastAsia="zh-CN"/>
        </w:rPr>
        <w:t>9</w:t>
      </w:r>
      <w:r>
        <w:rPr>
          <w:rFonts w:hint="eastAsia" w:ascii="宋体" w:hAnsi="宋体"/>
          <w:b/>
          <w:sz w:val="28"/>
          <w:szCs w:val="28"/>
        </w:rPr>
        <w:t>月</w:t>
      </w:r>
      <w:r>
        <w:rPr>
          <w:rFonts w:hint="eastAsia" w:ascii="宋体" w:hAnsi="宋体"/>
          <w:b/>
          <w:sz w:val="28"/>
          <w:szCs w:val="28"/>
          <w:lang w:val="en-US" w:eastAsia="zh-CN"/>
        </w:rPr>
        <w:t>27</w:t>
      </w:r>
      <w:r>
        <w:rPr>
          <w:rFonts w:hint="eastAsia" w:ascii="宋体" w:hAnsi="宋体"/>
          <w:b/>
          <w:sz w:val="28"/>
          <w:szCs w:val="28"/>
        </w:rPr>
        <w:t>日。</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招标文件获取方式</w:t>
      </w:r>
    </w:p>
    <w:p>
      <w:pPr>
        <w:spacing w:line="360" w:lineRule="auto"/>
        <w:ind w:firstLine="565" w:firstLineChars="202"/>
        <w:rPr>
          <w:rFonts w:ascii="宋体" w:hAnsi="宋体"/>
          <w:color w:val="000000" w:themeColor="text1"/>
          <w:sz w:val="28"/>
          <w:szCs w:val="28"/>
          <w:highlight w:val="yellow"/>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要参加投标，应在成都市公共资源交易服务中心“政府采购云平台”获取采购文件。登录成都市公共资源交易服务中心门户网站（https://www.cdggzy.com/）—用户中心—政府采购云平台—项目采购—获取采购文件—申请获取采购文件。</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提示：</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（1）本项目采购文件免费获取。</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（3）首次登录成都市公共资源交易服务中心门户网站的新用户应先点击“注册新用户”，注册成功后再登录。</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（4）本项目为电子招标投标项目，投标人参与本项目全过程中凡涉及系统操作请详见《成都市全流程电子化采购系统操作指南——供应商版》。</w:t>
      </w:r>
      <w:bookmarkStart w:id="12" w:name="_Toc180051012"/>
      <w:bookmarkStart w:id="13" w:name="_Toc186274101"/>
      <w:bookmarkStart w:id="14" w:name="_Toc184013605"/>
      <w:bookmarkStart w:id="15" w:name="_Toc174185149"/>
      <w:bookmarkStart w:id="16" w:name="_Toc184023104"/>
      <w:r>
        <w:rPr>
          <w:rFonts w:hint="eastAsia" w:ascii="宋体" w:hAnsi="宋体"/>
          <w:color w:val="0070C0"/>
          <w:sz w:val="28"/>
          <w:szCs w:val="28"/>
        </w:rPr>
        <w:t>（操作指南请登录政府采购云平台后，点击“前台大厅</w:t>
      </w:r>
      <w:r>
        <w:rPr>
          <w:rFonts w:ascii="宋体" w:hAnsi="宋体"/>
          <w:color w:val="0070C0"/>
          <w:sz w:val="28"/>
          <w:szCs w:val="28"/>
        </w:rPr>
        <w:t>—</w:t>
      </w:r>
      <w:r>
        <w:rPr>
          <w:rFonts w:hint="eastAsia" w:ascii="宋体" w:hAnsi="宋体"/>
          <w:color w:val="0070C0"/>
          <w:sz w:val="28"/>
          <w:szCs w:val="28"/>
        </w:rPr>
        <w:t>操作指南</w:t>
      </w:r>
      <w:r>
        <w:rPr>
          <w:rFonts w:ascii="宋体" w:hAnsi="宋体"/>
          <w:color w:val="0070C0"/>
          <w:sz w:val="28"/>
          <w:szCs w:val="28"/>
        </w:rPr>
        <w:t>—</w:t>
      </w:r>
      <w:r>
        <w:rPr>
          <w:rFonts w:hint="eastAsia" w:ascii="宋体" w:hAnsi="宋体"/>
          <w:color w:val="0070C0"/>
          <w:sz w:val="28"/>
          <w:szCs w:val="28"/>
        </w:rPr>
        <w:t>供应商”处下载查看）。</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招标文件获取地点</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登录成都市公共资源交易服务中心门户网站（https://www.cdggzy.com/）—用户中心—政府采购云平台获取</w:t>
      </w:r>
      <w:r>
        <w:rPr>
          <w:rFonts w:hint="eastAsia" w:ascii="宋体" w:hAnsi="宋体"/>
          <w:color w:val="000000" w:themeColor="text1"/>
          <w:sz w:val="28"/>
          <w14:textFill>
            <w14:solidFill>
              <w14:schemeClr w14:val="tx1"/>
            </w14:solidFill>
          </w14:textFill>
        </w:rPr>
        <w:t>。</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投标文件递交截止时间及开标时间</w:t>
      </w:r>
      <w:bookmarkEnd w:id="12"/>
      <w:bookmarkEnd w:id="13"/>
      <w:bookmarkEnd w:id="14"/>
      <w:bookmarkEnd w:id="15"/>
      <w:bookmarkEnd w:id="16"/>
      <w:r>
        <w:rPr>
          <w:rFonts w:hint="eastAsia" w:ascii="宋体" w:hAnsi="宋体"/>
          <w:b/>
          <w:color w:val="000000" w:themeColor="text1"/>
          <w:sz w:val="28"/>
          <w:szCs w:val="28"/>
          <w14:textFill>
            <w14:solidFill>
              <w14:schemeClr w14:val="tx1"/>
            </w14:solidFill>
          </w14:textFill>
        </w:rPr>
        <w:t>(北京时间)、地点、方式</w:t>
      </w:r>
    </w:p>
    <w:p>
      <w:pPr>
        <w:spacing w:line="560" w:lineRule="exact"/>
        <w:ind w:firstLine="560" w:firstLineChars="200"/>
        <w:rPr>
          <w:rFonts w:ascii="宋体" w:hAnsi="宋体"/>
          <w:b/>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（一）投标文件递交截止时间及开标时间：</w:t>
      </w:r>
      <w:r>
        <w:rPr>
          <w:rFonts w:hint="eastAsia" w:ascii="宋体" w:hAnsi="宋体"/>
          <w:b/>
          <w:color w:val="000000" w:themeColor="text1"/>
          <w:sz w:val="28"/>
          <w:szCs w:val="28"/>
          <w14:textFill>
            <w14:solidFill>
              <w14:schemeClr w14:val="tx1"/>
            </w14:solidFill>
          </w14:textFill>
        </w:rPr>
        <w:t>2021年</w:t>
      </w:r>
      <w:r>
        <w:rPr>
          <w:rFonts w:hint="eastAsia" w:ascii="宋体" w:hAnsi="宋体"/>
          <w:b/>
          <w:color w:val="000000" w:themeColor="text1"/>
          <w:sz w:val="28"/>
          <w:szCs w:val="28"/>
          <w:lang w:val="en-US" w:eastAsia="zh-CN"/>
          <w14:textFill>
            <w14:solidFill>
              <w14:schemeClr w14:val="tx1"/>
            </w14:solidFill>
          </w14:textFill>
        </w:rPr>
        <w:t>10</w:t>
      </w:r>
      <w:r>
        <w:rPr>
          <w:rFonts w:hint="eastAsia" w:ascii="宋体" w:hAnsi="宋体"/>
          <w:b/>
          <w:color w:val="000000" w:themeColor="text1"/>
          <w:sz w:val="28"/>
          <w:szCs w:val="28"/>
          <w14:textFill>
            <w14:solidFill>
              <w14:schemeClr w14:val="tx1"/>
            </w14:solidFill>
          </w14:textFill>
        </w:rPr>
        <w:t>月</w:t>
      </w:r>
      <w:r>
        <w:rPr>
          <w:rFonts w:hint="eastAsia" w:ascii="宋体" w:hAnsi="宋体"/>
          <w:b/>
          <w:color w:val="000000" w:themeColor="text1"/>
          <w:sz w:val="28"/>
          <w:szCs w:val="28"/>
          <w:lang w:val="en-US" w:eastAsia="zh-CN"/>
          <w14:textFill>
            <w14:solidFill>
              <w14:schemeClr w14:val="tx1"/>
            </w14:solidFill>
          </w14:textFill>
        </w:rPr>
        <w:t>12</w:t>
      </w:r>
      <w:r>
        <w:rPr>
          <w:rFonts w:hint="eastAsia" w:ascii="宋体" w:hAnsi="宋体"/>
          <w:b/>
          <w:color w:val="000000" w:themeColor="text1"/>
          <w:sz w:val="28"/>
          <w:szCs w:val="28"/>
          <w14:textFill>
            <w14:solidFill>
              <w14:schemeClr w14:val="tx1"/>
            </w14:solidFill>
          </w14:textFill>
        </w:rPr>
        <w:t>日上午09:30。</w:t>
      </w:r>
    </w:p>
    <w:p>
      <w:pPr>
        <w:spacing w:line="560" w:lineRule="exact"/>
        <w:ind w:firstLine="560" w:firstLineChars="200"/>
        <w:rPr>
          <w:rFonts w:ascii="宋体" w:hAnsi="宋体"/>
          <w:b/>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（二）投标文件递交方式、地点：投标截止时间前，投标人应将加密的电子投标文件递交至“政府采购云平台”对应项目（包件）。</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开标地点</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本项目为不见面开标项目。</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开标地点为：成都市公共资源交易服务中心“政府采购云平台”。登录成都市公共资源交易服务中心门户网站（https://www.cdggzy.com）—用户中心—政府采购云平台。</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本项目只接受投标人加密并递交至“政府采购云平台”的投标文件。</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政采中小企业政府采购信用担保融资</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本投标邀请在“四川政府采购网”和“成都市公共资源交易服务中心”网站上以公告形式发布</w:t>
      </w:r>
    </w:p>
    <w:p>
      <w:pPr>
        <w:numPr>
          <w:ilvl w:val="0"/>
          <w:numId w:val="5"/>
        </w:numPr>
        <w:spacing w:after="200" w:line="560" w:lineRule="exact"/>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联系方式</w:t>
      </w:r>
    </w:p>
    <w:p>
      <w:pPr>
        <w:pStyle w:val="154"/>
        <w:spacing w:line="580" w:lineRule="exact"/>
        <w:ind w:firstLine="562"/>
        <w:rPr>
          <w:rFonts w:ascii="宋体" w:hAnsi="宋体"/>
          <w:b/>
          <w:color w:val="000000" w:themeColor="text1"/>
          <w:kern w:val="0"/>
          <w:sz w:val="28"/>
          <w:szCs w:val="22"/>
          <w14:textFill>
            <w14:solidFill>
              <w14:schemeClr w14:val="tx1"/>
            </w14:solidFill>
          </w14:textFill>
        </w:rPr>
      </w:pPr>
      <w:r>
        <w:rPr>
          <w:rFonts w:hint="eastAsia" w:ascii="宋体" w:hAnsi="宋体"/>
          <w:b/>
          <w:color w:val="000000" w:themeColor="text1"/>
          <w:kern w:val="0"/>
          <w:sz w:val="28"/>
          <w:szCs w:val="22"/>
          <w14:textFill>
            <w14:solidFill>
              <w14:schemeClr w14:val="tx1"/>
            </w14:solidFill>
          </w14:textFill>
        </w:rPr>
        <w:t>采购人：</w:t>
      </w:r>
      <w:r>
        <w:rPr>
          <w:rFonts w:hint="eastAsia" w:ascii="宋体" w:hAnsi="宋体"/>
          <w:b/>
          <w:color w:val="000000" w:themeColor="text1"/>
          <w:sz w:val="28"/>
          <w:szCs w:val="28"/>
          <w14:textFill>
            <w14:solidFill>
              <w14:schemeClr w14:val="tx1"/>
            </w14:solidFill>
          </w14:textFill>
        </w:rPr>
        <w:t>成都市教育科学研究院附属学校（成都市天府实验学校）</w:t>
      </w:r>
    </w:p>
    <w:p>
      <w:pPr>
        <w:ind w:firstLine="560" w:firstLineChars="200"/>
        <w:rPr>
          <w:rFonts w:ascii="宋体" w:hAnsi="宋体"/>
          <w:color w:val="000000" w:themeColor="text1"/>
          <w:kern w:val="0"/>
          <w:sz w:val="28"/>
          <w14:textFill>
            <w14:solidFill>
              <w14:schemeClr w14:val="tx1"/>
            </w14:solidFill>
          </w14:textFill>
        </w:rPr>
      </w:pPr>
      <w:r>
        <w:rPr>
          <w:rFonts w:hint="eastAsia" w:ascii="宋体" w:hAnsi="宋体"/>
          <w:color w:val="000000" w:themeColor="text1"/>
          <w:kern w:val="0"/>
          <w:sz w:val="28"/>
          <w14:textFill>
            <w14:solidFill>
              <w14:schemeClr w14:val="tx1"/>
            </w14:solidFill>
          </w14:textFill>
        </w:rPr>
        <w:t>地  址：成都市高新区天府四街1717号</w:t>
      </w:r>
    </w:p>
    <w:p>
      <w:pPr>
        <w:pStyle w:val="154"/>
        <w:spacing w:line="480" w:lineRule="exact"/>
        <w:ind w:firstLine="560"/>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kern w:val="0"/>
          <w:sz w:val="28"/>
          <w:szCs w:val="22"/>
          <w14:textFill>
            <w14:solidFill>
              <w14:schemeClr w14:val="tx1"/>
            </w14:solidFill>
          </w14:textFill>
        </w:rPr>
        <w:t>邮  编：610041</w:t>
      </w:r>
    </w:p>
    <w:p>
      <w:pPr>
        <w:pStyle w:val="154"/>
        <w:spacing w:line="480" w:lineRule="exact"/>
        <w:ind w:firstLine="560"/>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kern w:val="0"/>
          <w:sz w:val="28"/>
          <w:szCs w:val="22"/>
          <w14:textFill>
            <w14:solidFill>
              <w14:schemeClr w14:val="tx1"/>
            </w14:solidFill>
          </w14:textFill>
        </w:rPr>
        <w:t>联系人：向奕燃</w:t>
      </w:r>
    </w:p>
    <w:p>
      <w:pPr>
        <w:spacing w:line="360" w:lineRule="auto"/>
        <w:ind w:firstLine="565" w:firstLineChars="202"/>
        <w:rPr>
          <w:rFonts w:ascii="宋体" w:hAnsi="宋体"/>
          <w:color w:val="000000" w:themeColor="text1"/>
          <w:kern w:val="0"/>
          <w:sz w:val="28"/>
          <w14:textFill>
            <w14:solidFill>
              <w14:schemeClr w14:val="tx1"/>
            </w14:solidFill>
          </w14:textFill>
        </w:rPr>
      </w:pPr>
      <w:r>
        <w:rPr>
          <w:rFonts w:hint="eastAsia" w:ascii="宋体" w:hAnsi="宋体"/>
          <w:color w:val="000000" w:themeColor="text1"/>
          <w:kern w:val="0"/>
          <w:sz w:val="28"/>
          <w14:textFill>
            <w14:solidFill>
              <w14:schemeClr w14:val="tx1"/>
            </w14:solidFill>
          </w14:textFill>
        </w:rPr>
        <w:t>联系电话：028-86056375</w:t>
      </w:r>
    </w:p>
    <w:p>
      <w:pPr>
        <w:spacing w:line="360" w:lineRule="auto"/>
        <w:ind w:firstLine="568" w:firstLineChars="202"/>
        <w:rPr>
          <w:rFonts w:ascii="宋体" w:hAnsi="宋体"/>
          <w:b/>
          <w:sz w:val="28"/>
        </w:rPr>
      </w:pPr>
      <w:r>
        <w:rPr>
          <w:rFonts w:hint="eastAsia" w:ascii="宋体" w:hAnsi="宋体"/>
          <w:b/>
          <w:sz w:val="28"/>
        </w:rPr>
        <w:t>成都高新区政府采购服务中心</w:t>
      </w:r>
    </w:p>
    <w:p>
      <w:pPr>
        <w:pStyle w:val="154"/>
        <w:spacing w:line="560" w:lineRule="exact"/>
        <w:ind w:firstLine="560"/>
        <w:rPr>
          <w:rFonts w:ascii="宋体" w:hAnsi="宋体"/>
          <w:kern w:val="0"/>
          <w:sz w:val="28"/>
          <w:szCs w:val="22"/>
        </w:rPr>
      </w:pPr>
      <w:r>
        <w:rPr>
          <w:rFonts w:hint="eastAsia" w:ascii="宋体" w:hAnsi="宋体"/>
          <w:kern w:val="0"/>
          <w:sz w:val="28"/>
          <w:szCs w:val="22"/>
        </w:rPr>
        <w:t>地  址：成都市天府大道北段18号A座高新区管委会11楼</w:t>
      </w:r>
    </w:p>
    <w:p>
      <w:pPr>
        <w:pStyle w:val="154"/>
        <w:spacing w:line="560" w:lineRule="exact"/>
        <w:ind w:firstLine="560"/>
        <w:rPr>
          <w:rFonts w:ascii="宋体" w:hAnsi="宋体"/>
          <w:kern w:val="0"/>
          <w:sz w:val="28"/>
          <w:szCs w:val="22"/>
        </w:rPr>
      </w:pPr>
      <w:r>
        <w:rPr>
          <w:rFonts w:hint="eastAsia" w:ascii="宋体" w:hAnsi="宋体"/>
          <w:kern w:val="0"/>
          <w:sz w:val="28"/>
          <w:szCs w:val="22"/>
        </w:rPr>
        <w:t>联系人：陈莉玮</w:t>
      </w:r>
    </w:p>
    <w:p>
      <w:pPr>
        <w:pStyle w:val="154"/>
        <w:spacing w:line="560" w:lineRule="exact"/>
        <w:ind w:firstLine="560"/>
        <w:rPr>
          <w:rFonts w:ascii="宋体" w:hAnsi="宋体"/>
          <w:kern w:val="0"/>
          <w:sz w:val="28"/>
          <w:szCs w:val="22"/>
        </w:rPr>
      </w:pPr>
      <w:r>
        <w:rPr>
          <w:rFonts w:hint="eastAsia" w:ascii="宋体" w:hAnsi="宋体"/>
          <w:kern w:val="0"/>
          <w:sz w:val="28"/>
          <w:szCs w:val="22"/>
        </w:rPr>
        <w:t>邮编：610041</w:t>
      </w:r>
    </w:p>
    <w:p>
      <w:pPr>
        <w:pStyle w:val="154"/>
        <w:spacing w:line="560" w:lineRule="exact"/>
        <w:ind w:firstLine="560"/>
        <w:rPr>
          <w:rFonts w:ascii="宋体" w:hAnsi="宋体"/>
          <w:kern w:val="0"/>
          <w:sz w:val="28"/>
        </w:rPr>
      </w:pPr>
      <w:r>
        <w:rPr>
          <w:rFonts w:hint="eastAsia" w:ascii="宋体" w:hAnsi="宋体"/>
          <w:kern w:val="0"/>
          <w:sz w:val="28"/>
          <w:szCs w:val="22"/>
        </w:rPr>
        <w:t>联系电话：</w:t>
      </w:r>
      <w:r>
        <w:rPr>
          <w:rFonts w:hint="eastAsia" w:ascii="宋体" w:hAnsi="宋体"/>
          <w:kern w:val="0"/>
          <w:sz w:val="28"/>
        </w:rPr>
        <w:t>028-85177566</w:t>
      </w:r>
    </w:p>
    <w:p>
      <w:pPr>
        <w:pStyle w:val="154"/>
        <w:spacing w:line="560" w:lineRule="exact"/>
        <w:ind w:firstLine="560"/>
        <w:rPr>
          <w:rFonts w:ascii="宋体" w:hAnsi="宋体"/>
          <w:color w:val="000000" w:themeColor="text1"/>
          <w:kern w:val="0"/>
          <w:sz w:val="28"/>
          <w14:textFill>
            <w14:solidFill>
              <w14:schemeClr w14:val="tx1"/>
            </w14:solidFill>
          </w14:textFill>
        </w:rPr>
      </w:pPr>
      <w:r>
        <w:rPr>
          <w:rFonts w:hint="eastAsia" w:ascii="宋体" w:hAnsi="宋体"/>
          <w:color w:val="000000" w:themeColor="text1"/>
          <w:kern w:val="0"/>
          <w:sz w:val="28"/>
          <w14:textFill>
            <w14:solidFill>
              <w14:schemeClr w14:val="tx1"/>
            </w14:solidFill>
          </w14:textFill>
        </w:rPr>
        <w:t>技术支持</w:t>
      </w:r>
      <w:r>
        <w:rPr>
          <w:rFonts w:ascii="宋体" w:hAnsi="宋体"/>
          <w:color w:val="000000" w:themeColor="text1"/>
          <w:kern w:val="0"/>
          <w:sz w:val="28"/>
          <w14:textFill>
            <w14:solidFill>
              <w14:schemeClr w14:val="tx1"/>
            </w14:solidFill>
          </w14:textFill>
        </w:rPr>
        <w:t>联系电话：</w:t>
      </w:r>
      <w:r>
        <w:rPr>
          <w:rFonts w:hint="eastAsia" w:ascii="宋体" w:hAnsi="宋体"/>
          <w:sz w:val="28"/>
          <w:szCs w:val="28"/>
        </w:rPr>
        <w:t>400-881-7190</w:t>
      </w:r>
    </w:p>
    <w:p>
      <w:pPr>
        <w:pStyle w:val="131"/>
        <w:tabs>
          <w:tab w:val="left" w:pos="900"/>
        </w:tabs>
        <w:spacing w:line="560" w:lineRule="exact"/>
        <w:ind w:firstLine="562"/>
        <w:jc w:val="left"/>
        <w:rPr>
          <w:rFonts w:ascii="宋体" w:hAnsi="宋体" w:cs="Times New Roman"/>
          <w:b/>
          <w:kern w:val="0"/>
          <w:sz w:val="28"/>
        </w:rPr>
      </w:pPr>
      <w:r>
        <w:rPr>
          <w:rFonts w:hint="eastAsia" w:ascii="宋体" w:hAnsi="宋体" w:cs="Times New Roman"/>
          <w:b/>
          <w:sz w:val="28"/>
        </w:rPr>
        <w:t>集中采购监督机构：成都高新区财政金融局</w:t>
      </w:r>
    </w:p>
    <w:p>
      <w:pPr>
        <w:pStyle w:val="131"/>
        <w:tabs>
          <w:tab w:val="left" w:pos="900"/>
        </w:tabs>
        <w:spacing w:line="560" w:lineRule="exact"/>
        <w:ind w:firstLine="560"/>
        <w:jc w:val="left"/>
        <w:rPr>
          <w:rFonts w:ascii="宋体" w:hAnsi="宋体" w:cs="Times New Roman"/>
          <w:sz w:val="28"/>
        </w:rPr>
      </w:pPr>
      <w:r>
        <w:rPr>
          <w:rFonts w:hint="eastAsia" w:ascii="宋体" w:hAnsi="宋体" w:cs="Times New Roman"/>
          <w:sz w:val="28"/>
        </w:rPr>
        <w:t>地 址：成都市天府大道北段18号A座高新区管委会5楼</w:t>
      </w:r>
    </w:p>
    <w:p>
      <w:pPr>
        <w:pStyle w:val="131"/>
        <w:tabs>
          <w:tab w:val="left" w:pos="900"/>
        </w:tabs>
        <w:spacing w:line="560" w:lineRule="exact"/>
        <w:ind w:firstLine="560"/>
        <w:jc w:val="left"/>
        <w:rPr>
          <w:rFonts w:ascii="宋体" w:hAnsi="宋体"/>
          <w:sz w:val="28"/>
          <w:szCs w:val="28"/>
        </w:rPr>
      </w:pPr>
      <w:r>
        <w:rPr>
          <w:rFonts w:hint="eastAsia" w:ascii="宋体" w:hAnsi="宋体" w:cs="Times New Roman"/>
          <w:sz w:val="28"/>
        </w:rPr>
        <w:t>联系电话：028-82829642</w:t>
      </w:r>
    </w:p>
    <w:p>
      <w:pPr>
        <w:pStyle w:val="131"/>
        <w:tabs>
          <w:tab w:val="left" w:pos="900"/>
        </w:tabs>
        <w:ind w:firstLine="560"/>
        <w:jc w:val="left"/>
        <w:rPr>
          <w:rFonts w:ascii="宋体" w:hAnsi="宋体"/>
          <w:color w:val="000000" w:themeColor="text1"/>
          <w:sz w:val="28"/>
          <w:szCs w:val="28"/>
          <w14:textFill>
            <w14:solidFill>
              <w14:schemeClr w14:val="tx1"/>
            </w14:solidFill>
          </w14:textFill>
        </w:rPr>
      </w:pPr>
    </w:p>
    <w:p>
      <w:pPr>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br w:type="page"/>
      </w:r>
    </w:p>
    <w:p>
      <w:pPr>
        <w:pStyle w:val="131"/>
        <w:tabs>
          <w:tab w:val="left" w:pos="900"/>
        </w:tabs>
        <w:ind w:firstLine="560"/>
        <w:jc w:val="left"/>
        <w:rPr>
          <w:rFonts w:ascii="宋体" w:hAnsi="宋体"/>
          <w:color w:val="000000" w:themeColor="text1"/>
          <w:sz w:val="28"/>
          <w:szCs w:val="28"/>
          <w14:textFill>
            <w14:solidFill>
              <w14:schemeClr w14:val="tx1"/>
            </w14:solidFill>
          </w14:textFill>
        </w:rPr>
      </w:pPr>
    </w:p>
    <w:p>
      <w:pPr>
        <w:pStyle w:val="4"/>
        <w:numPr>
          <w:ilvl w:val="0"/>
          <w:numId w:val="4"/>
        </w:numPr>
        <w:spacing w:before="0" w:after="0" w:line="240" w:lineRule="auto"/>
        <w:ind w:left="0" w:firstLine="0"/>
        <w:rPr>
          <w:color w:val="000000" w:themeColor="text1"/>
          <w14:textFill>
            <w14:solidFill>
              <w14:schemeClr w14:val="tx1"/>
            </w14:solidFill>
          </w14:textFill>
        </w:rPr>
      </w:pPr>
      <w:bookmarkStart w:id="17" w:name="_Toc16071"/>
      <w:bookmarkStart w:id="18" w:name="_Toc11280"/>
      <w:bookmarkStart w:id="19" w:name="_Toc23978"/>
      <w:bookmarkStart w:id="20" w:name="_Toc22501"/>
      <w:bookmarkStart w:id="21" w:name="_Toc14731"/>
      <w:r>
        <w:rPr>
          <w:rFonts w:hint="eastAsia"/>
          <w:color w:val="000000" w:themeColor="text1"/>
          <w14:textFill>
            <w14:solidFill>
              <w14:schemeClr w14:val="tx1"/>
            </w14:solidFill>
          </w14:textFill>
        </w:rPr>
        <w:t>投标人须知</w:t>
      </w:r>
      <w:bookmarkEnd w:id="17"/>
      <w:bookmarkEnd w:id="18"/>
      <w:bookmarkEnd w:id="19"/>
      <w:bookmarkEnd w:id="20"/>
      <w:bookmarkEnd w:id="21"/>
    </w:p>
    <w:p>
      <w:pPr>
        <w:pStyle w:val="5"/>
        <w:numPr>
          <w:ilvl w:val="1"/>
          <w:numId w:val="4"/>
        </w:numPr>
        <w:spacing w:before="0" w:after="0" w:line="240" w:lineRule="auto"/>
        <w:ind w:left="2269" w:hanging="2127"/>
        <w:rPr>
          <w:color w:val="000000" w:themeColor="text1"/>
          <w14:textFill>
            <w14:solidFill>
              <w14:schemeClr w14:val="tx1"/>
            </w14:solidFill>
          </w14:textFill>
        </w:rPr>
      </w:pPr>
      <w:bookmarkStart w:id="22" w:name="_Toc213396760"/>
      <w:bookmarkStart w:id="23" w:name="_Toc213396946"/>
      <w:bookmarkStart w:id="24" w:name="_Toc316462344"/>
      <w:bookmarkStart w:id="25" w:name="_Toc32366"/>
      <w:bookmarkStart w:id="26" w:name="_Toc14528"/>
      <w:bookmarkStart w:id="27" w:name="_Toc15505"/>
      <w:bookmarkStart w:id="28" w:name="_Toc217446032"/>
      <w:bookmarkStart w:id="29" w:name="_Toc213397010"/>
      <w:bookmarkStart w:id="30" w:name="_Toc189727030"/>
      <w:bookmarkStart w:id="31" w:name="_Toc1773"/>
      <w:bookmarkStart w:id="32" w:name="_Toc17336"/>
      <w:bookmarkStart w:id="33" w:name="_Toc213496268"/>
      <w:r>
        <w:rPr>
          <w:rFonts w:hint="eastAsia"/>
          <w:color w:val="000000" w:themeColor="text1"/>
          <w14:textFill>
            <w14:solidFill>
              <w14:schemeClr w14:val="tx1"/>
            </w14:solidFill>
          </w14:textFill>
        </w:rPr>
        <w:t>投标人须知前附表</w:t>
      </w:r>
      <w:bookmarkEnd w:id="22"/>
      <w:bookmarkEnd w:id="23"/>
      <w:bookmarkEnd w:id="24"/>
      <w:bookmarkEnd w:id="25"/>
      <w:bookmarkEnd w:id="26"/>
      <w:bookmarkEnd w:id="27"/>
      <w:bookmarkEnd w:id="28"/>
      <w:bookmarkEnd w:id="29"/>
      <w:bookmarkEnd w:id="30"/>
      <w:bookmarkEnd w:id="31"/>
      <w:bookmarkEnd w:id="32"/>
      <w:bookmarkEnd w:id="33"/>
    </w:p>
    <w:tbl>
      <w:tblPr>
        <w:tblStyle w:val="45"/>
        <w:tblW w:w="9312"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689"/>
        <w:gridCol w:w="1942"/>
        <w:gridCol w:w="6681"/>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1" w:hRule="exact"/>
          <w:jc w:val="center"/>
        </w:trPr>
        <w:tc>
          <w:tcPr>
            <w:tcW w:w="689" w:type="dxa"/>
            <w:tcBorders>
              <w:top w:val="single" w:color="auto" w:sz="18" w:space="0"/>
              <w:left w:val="single" w:color="auto" w:sz="18" w:space="0"/>
              <w:bottom w:val="single" w:color="auto" w:sz="8" w:space="0"/>
              <w:right w:val="single" w:color="auto" w:sz="8" w:space="0"/>
            </w:tcBorders>
            <w:vAlign w:val="center"/>
          </w:tcPr>
          <w:p>
            <w:pPr>
              <w:snapToGrid w:val="0"/>
              <w:jc w:val="center"/>
              <w:rPr>
                <w:rFonts w:ascii="宋体" w:hAnsi="宋体"/>
                <w:b/>
                <w:color w:val="000000" w:themeColor="text1"/>
                <w:sz w:val="24"/>
                <w14:textFill>
                  <w14:solidFill>
                    <w14:schemeClr w14:val="tx1"/>
                  </w14:solidFill>
                </w14:textFill>
              </w:rPr>
            </w:pPr>
            <w:r>
              <w:rPr>
                <w:rFonts w:hint="eastAsia" w:ascii="宋体" w:hAnsi="宋体"/>
                <w:b/>
                <w:color w:val="000000" w:themeColor="text1"/>
                <w:sz w:val="28"/>
                <w:szCs w:val="28"/>
                <w:lang w:val="zh-CN"/>
                <w14:textFill>
                  <w14:solidFill>
                    <w14:schemeClr w14:val="tx1"/>
                  </w14:solidFill>
                </w14:textFill>
              </w:rPr>
              <w:t>序号</w:t>
            </w:r>
          </w:p>
        </w:tc>
        <w:tc>
          <w:tcPr>
            <w:tcW w:w="1942" w:type="dxa"/>
            <w:tcBorders>
              <w:top w:val="single" w:color="auto" w:sz="18" w:space="0"/>
              <w:left w:val="single" w:color="auto" w:sz="8" w:space="0"/>
              <w:bottom w:val="single" w:color="auto" w:sz="8" w:space="0"/>
              <w:right w:val="single" w:color="auto" w:sz="8" w:space="0"/>
            </w:tcBorders>
            <w:vAlign w:val="center"/>
          </w:tcPr>
          <w:p>
            <w:pPr>
              <w:pStyle w:val="123"/>
              <w:ind w:left="38"/>
              <w:jc w:val="center"/>
              <w:rPr>
                <w:b/>
                <w:color w:val="000000" w:themeColor="text1"/>
                <w:kern w:val="2"/>
                <w:lang w:val="zh-CN"/>
                <w14:textFill>
                  <w14:solidFill>
                    <w14:schemeClr w14:val="tx1"/>
                  </w14:solidFill>
                </w14:textFill>
              </w:rPr>
            </w:pPr>
            <w:r>
              <w:rPr>
                <w:rFonts w:hint="eastAsia"/>
                <w:b/>
                <w:color w:val="000000" w:themeColor="text1"/>
                <w:kern w:val="2"/>
                <w:sz w:val="28"/>
                <w:szCs w:val="28"/>
                <w:lang w:val="zh-CN"/>
                <w14:textFill>
                  <w14:solidFill>
                    <w14:schemeClr w14:val="tx1"/>
                  </w14:solidFill>
                </w14:textFill>
              </w:rPr>
              <w:t>应知事项</w:t>
            </w:r>
          </w:p>
        </w:tc>
        <w:tc>
          <w:tcPr>
            <w:tcW w:w="6681" w:type="dxa"/>
            <w:tcBorders>
              <w:top w:val="single" w:color="auto" w:sz="18" w:space="0"/>
              <w:left w:val="single" w:color="auto" w:sz="8" w:space="0"/>
              <w:bottom w:val="single" w:color="auto" w:sz="8" w:space="0"/>
              <w:right w:val="single" w:color="auto" w:sz="18" w:space="0"/>
            </w:tcBorders>
            <w:vAlign w:val="center"/>
          </w:tcPr>
          <w:p>
            <w:pPr>
              <w:pStyle w:val="123"/>
              <w:jc w:val="center"/>
              <w:rPr>
                <w:b/>
                <w:color w:val="000000" w:themeColor="text1"/>
                <w:kern w:val="2"/>
                <w:lang w:val="zh-CN"/>
                <w14:textFill>
                  <w14:solidFill>
                    <w14:schemeClr w14:val="tx1"/>
                  </w14:solidFill>
                </w14:textFill>
              </w:rPr>
            </w:pPr>
            <w:r>
              <w:rPr>
                <w:rFonts w:hint="eastAsia"/>
                <w:b/>
                <w:color w:val="000000" w:themeColor="text1"/>
                <w:kern w:val="2"/>
                <w:sz w:val="28"/>
                <w:szCs w:val="28"/>
                <w:lang w:val="zh-CN"/>
                <w14:textFill>
                  <w14:solidFill>
                    <w14:schemeClr w14:val="tx1"/>
                  </w14:solidFill>
                </w14:textFill>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42"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b/>
                <w:color w:val="000000" w:themeColor="text1"/>
                <w:sz w:val="28"/>
                <w:szCs w:val="28"/>
                <w:lang w:val="zh-CN"/>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3"/>
              <w:ind w:left="38"/>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采购预算</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3"/>
              <w:rPr>
                <w:b/>
                <w:color w:val="000000" w:themeColor="text1"/>
                <w:kern w:val="2"/>
                <w:lang w:val="zh-CN"/>
                <w14:textFill>
                  <w14:solidFill>
                    <w14:schemeClr w14:val="tx1"/>
                  </w14:solidFill>
                </w14:textFill>
              </w:rPr>
            </w:pPr>
            <w:r>
              <w:rPr>
                <w:rFonts w:hint="eastAsia"/>
                <w:b/>
                <w:color w:val="000000" w:themeColor="text1"/>
                <w:kern w:val="2"/>
                <w:lang w:val="zh-CN"/>
                <w14:textFill>
                  <w14:solidFill>
                    <w14:schemeClr w14:val="tx1"/>
                  </w14:solidFill>
                </w14:textFill>
              </w:rPr>
              <w:t>人民币</w:t>
            </w:r>
            <w:r>
              <w:rPr>
                <w:rFonts w:hint="eastAsia"/>
                <w:b/>
                <w:lang w:val="zh-CN"/>
              </w:rPr>
              <w:t>2400000.00元</w:t>
            </w:r>
            <w:r>
              <w:rPr>
                <w:rFonts w:hint="eastAsia"/>
                <w:b/>
                <w:color w:val="000000" w:themeColor="text1"/>
                <w:kern w:val="2"/>
                <w:lang w:val="zh-CN"/>
                <w14:textFill>
                  <w14:solidFill>
                    <w14:schemeClr w14:val="tx1"/>
                  </w14:solidFill>
                </w14:textFill>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20"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b/>
                <w:color w:val="000000" w:themeColor="text1"/>
                <w:sz w:val="28"/>
                <w:szCs w:val="28"/>
                <w:lang w:val="zh-CN"/>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3"/>
              <w:ind w:left="38"/>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最高限价</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3"/>
              <w:ind w:left="38"/>
              <w:rPr>
                <w:b/>
                <w:color w:val="000000" w:themeColor="text1"/>
                <w:kern w:val="2"/>
                <w:lang w:val="zh-CN"/>
                <w14:textFill>
                  <w14:solidFill>
                    <w14:schemeClr w14:val="tx1"/>
                  </w14:solidFill>
                </w14:textFill>
              </w:rPr>
            </w:pPr>
            <w:r>
              <w:rPr>
                <w:rFonts w:hint="eastAsia"/>
                <w:b/>
                <w:color w:val="000000" w:themeColor="text1"/>
                <w:kern w:val="2"/>
                <w:lang w:val="zh-CN"/>
                <w14:textFill>
                  <w14:solidFill>
                    <w14:schemeClr w14:val="tx1"/>
                  </w14:solidFill>
                </w14:textFill>
              </w:rPr>
              <w:t>本项目最高限价为人民币</w:t>
            </w:r>
            <w:r>
              <w:rPr>
                <w:rFonts w:hint="eastAsia"/>
                <w:b/>
                <w:lang w:val="zh-CN"/>
              </w:rPr>
              <w:t>2400000.00元</w:t>
            </w:r>
            <w:r>
              <w:rPr>
                <w:rFonts w:hint="eastAsia"/>
                <w:b/>
                <w:color w:val="000000" w:themeColor="text1"/>
                <w:kern w:val="2"/>
                <w:lang w:val="zh-CN"/>
                <w14:textFill>
                  <w14:solidFill>
                    <w14:schemeClr w14:val="tx1"/>
                  </w14:solidFill>
                </w14:textFill>
              </w:rPr>
              <w:t>。投标人投标报价高于最高限价的则其投标文件将按无效投标文件处理。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0"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3"/>
              <w:ind w:left="38"/>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采购方式</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3"/>
              <w:jc w:val="both"/>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3"/>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评标方法</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3"/>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综合评分法(详见第6章)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3"/>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低于成本价不正当竞争预防措施</w:t>
            </w:r>
          </w:p>
        </w:tc>
        <w:tc>
          <w:tcPr>
            <w:tcW w:w="6681" w:type="dxa"/>
            <w:tcBorders>
              <w:top w:val="single" w:color="auto" w:sz="8" w:space="0"/>
              <w:left w:val="single" w:color="auto" w:sz="8" w:space="0"/>
              <w:bottom w:val="single" w:color="auto" w:sz="8" w:space="0"/>
              <w:right w:val="single" w:color="auto" w:sz="18" w:space="0"/>
            </w:tcBorders>
            <w:vAlign w:val="center"/>
          </w:tcPr>
          <w:p>
            <w:pPr>
              <w:ind w:right="94" w:rightChars="45"/>
              <w:rPr>
                <w:rFonts w:ascii="宋体" w:hAnsi="宋体"/>
                <w:b/>
                <w:color w:val="000000" w:themeColor="text1"/>
                <w:sz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3"/>
              <w:ind w:left="96"/>
              <w:rPr>
                <w:color w:val="000000" w:themeColor="text1"/>
                <w:kern w:val="2"/>
                <w:lang w:val="zh-CN"/>
                <w14:textFill>
                  <w14:solidFill>
                    <w14:schemeClr w14:val="tx1"/>
                  </w14:solidFill>
                </w14:textFill>
              </w:rPr>
            </w:pPr>
            <w:r>
              <w:rPr>
                <w:rFonts w:hint="eastAsia"/>
                <w:color w:val="000000" w:themeColor="text1"/>
                <w:kern w:val="2"/>
                <w:lang w:val="zh-CN"/>
                <w14:textFill>
                  <w14:solidFill>
                    <w14:schemeClr w14:val="tx1"/>
                  </w14:solidFill>
                </w14:textFill>
              </w:rPr>
              <w:t>投标保证金</w:t>
            </w:r>
          </w:p>
        </w:tc>
        <w:tc>
          <w:tcPr>
            <w:tcW w:w="6681" w:type="dxa"/>
            <w:tcBorders>
              <w:top w:val="single" w:color="auto" w:sz="8" w:space="0"/>
              <w:left w:val="single" w:color="auto" w:sz="8" w:space="0"/>
              <w:bottom w:val="single" w:color="auto" w:sz="8" w:space="0"/>
              <w:right w:val="single" w:color="auto" w:sz="18" w:space="0"/>
            </w:tcBorders>
            <w:vAlign w:val="center"/>
          </w:tcPr>
          <w:p>
            <w:pPr>
              <w:rPr>
                <w:rFonts w:ascii="宋体" w:hAnsi="宋体"/>
                <w:color w:val="000000" w:themeColor="text1"/>
                <w:sz w:val="24"/>
                <w:lang w:val="zh-CN"/>
                <w14:textFill>
                  <w14:solidFill>
                    <w14:schemeClr w14:val="tx1"/>
                  </w14:solidFill>
                </w14:textFill>
              </w:rPr>
            </w:pPr>
            <w:r>
              <w:rPr>
                <w:rFonts w:hint="eastAsia" w:ascii="宋体" w:hAnsi="宋体"/>
                <w:color w:val="000000" w:themeColor="text1"/>
                <w:sz w:val="24"/>
                <w:lang w:val="zh-CN"/>
                <w14:textFill>
                  <w14:solidFill>
                    <w14:schemeClr w14:val="tx1"/>
                  </w14:solidFill>
                </w14:textFill>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履约保证金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投标有效期</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000000" w:themeColor="text1"/>
                <w:sz w:val="24"/>
                <w14:textFill>
                  <w14:solidFill>
                    <w14:schemeClr w14:val="tx1"/>
                  </w14:solidFill>
                </w14:textFill>
              </w:rPr>
            </w:pPr>
            <w:r>
              <w:rPr>
                <w:rFonts w:hint="eastAsia" w:ascii="Helvetica" w:hAnsi="Helvetica" w:cs="Helvetica"/>
                <w:color w:val="000000" w:themeColor="text1"/>
                <w:kern w:val="0"/>
                <w:sz w:val="24"/>
                <w:szCs w:val="24"/>
                <w14:textFill>
                  <w14:solidFill>
                    <w14:schemeClr w14:val="tx1"/>
                  </w14:solidFill>
                </w14:textFill>
              </w:rPr>
              <w:t>提交投标文件的截止之日起</w:t>
            </w:r>
            <w:r>
              <w:rPr>
                <w:rFonts w:hint="eastAsia" w:ascii="宋体" w:hAnsi="宋体"/>
                <w:color w:val="000000" w:themeColor="text1"/>
                <w:sz w:val="24"/>
                <w:szCs w:val="24"/>
                <w:u w:val="single"/>
                <w14:textFill>
                  <w14:solidFill>
                    <w14:schemeClr w14:val="tx1"/>
                  </w14:solidFill>
                </w14:textFill>
              </w:rPr>
              <w:t xml:space="preserve"> 120</w:t>
            </w:r>
            <w:r>
              <w:rPr>
                <w:rFonts w:hint="eastAsia" w:ascii="宋体" w:hAnsi="宋体"/>
                <w:color w:val="000000" w:themeColor="text1"/>
                <w:sz w:val="24"/>
                <w:szCs w:val="24"/>
                <w14:textFill>
                  <w14:solidFill>
                    <w14:schemeClr w14:val="tx1"/>
                  </w14:solidFill>
                </w14:textFill>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0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投标文件的制作和签章、加密</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20"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投标文件的递交</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详见投标人须知2.4.12</w:t>
            </w:r>
          </w:p>
          <w:p>
            <w:pPr>
              <w:tabs>
                <w:tab w:val="left" w:pos="7665"/>
              </w:tabs>
              <w:snapToGrid w:val="0"/>
              <w:jc w:val="left"/>
              <w:rPr>
                <w:color w:val="000000" w:themeColor="text1"/>
                <w14:textFill>
                  <w14:solidFill>
                    <w14:schemeClr w14:val="tx1"/>
                  </w14:solidFill>
                </w14:textFill>
              </w:rPr>
            </w:pPr>
            <w:r>
              <w:rPr>
                <w:rFonts w:hint="eastAsia" w:ascii="宋体" w:hAnsi="宋体"/>
                <w:color w:val="000000" w:themeColor="text1"/>
                <w:sz w:val="24"/>
                <w14:textFill>
                  <w14:solidFill>
                    <w14:schemeClr w14:val="tx1"/>
                  </w14:solidFill>
                </w14:textFill>
              </w:rPr>
              <w:t>注：投标人使用CA证书在投标截止时间前，将电子投标文件上传至政府采购云平台，上传前须对电子投标文件是否有电子签章等进行核对。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56"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投标文件的补充、修改</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80" w:hRule="atLeast"/>
          <w:jc w:val="center"/>
        </w:trPr>
        <w:tc>
          <w:tcPr>
            <w:tcW w:w="689" w:type="dxa"/>
            <w:tcBorders>
              <w:top w:val="single" w:color="auto" w:sz="4"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投标文件的撤回</w:t>
            </w:r>
          </w:p>
        </w:tc>
        <w:tc>
          <w:tcPr>
            <w:tcW w:w="6681" w:type="dxa"/>
            <w:tcBorders>
              <w:top w:val="single" w:color="auto" w:sz="4"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80" w:hRule="atLeast"/>
          <w:jc w:val="center"/>
        </w:trPr>
        <w:tc>
          <w:tcPr>
            <w:tcW w:w="689" w:type="dxa"/>
            <w:tcBorders>
              <w:top w:val="single" w:color="auto" w:sz="4"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b/>
                <w:color w:val="000000" w:themeColor="text1"/>
                <w14:textFill>
                  <w14:solidFill>
                    <w14:schemeClr w14:val="tx1"/>
                  </w14:solidFill>
                </w14:textFill>
              </w:rPr>
              <w:t>开标及开标程序</w:t>
            </w:r>
          </w:p>
        </w:tc>
        <w:tc>
          <w:tcPr>
            <w:tcW w:w="6681" w:type="dxa"/>
            <w:tcBorders>
              <w:top w:val="single" w:color="auto" w:sz="4" w:space="0"/>
              <w:left w:val="single" w:color="auto" w:sz="8" w:space="0"/>
              <w:bottom w:val="single" w:color="auto" w:sz="8" w:space="0"/>
              <w:right w:val="single" w:color="auto" w:sz="18" w:space="0"/>
            </w:tcBorders>
            <w:vAlign w:val="center"/>
          </w:tcPr>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详见投标人须知2.5.1。</w:t>
            </w:r>
          </w:p>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投标文件解密：开启解密后，投标人应在系统提示的解密开始时间后</w:t>
            </w:r>
            <w:r>
              <w:rPr>
                <w:rFonts w:ascii="宋体" w:hAnsi="宋体"/>
                <w:b/>
                <w:color w:val="000000" w:themeColor="text1"/>
                <w14:textFill>
                  <w14:solidFill>
                    <w14:schemeClr w14:val="tx1"/>
                  </w14:solidFill>
                </w14:textFill>
              </w:rPr>
              <w:t>60</w:t>
            </w:r>
            <w:r>
              <w:rPr>
                <w:rFonts w:hint="eastAsia" w:ascii="宋体" w:hAnsi="宋体"/>
                <w:b/>
                <w:color w:val="000000" w:themeColor="text1"/>
                <w14:textFill>
                  <w14:solidFill>
                    <w14:schemeClr w14:val="tx1"/>
                  </w14:solidFill>
                </w14:textFill>
              </w:rPr>
              <w:t>分钟内 ，使用对投标文件进行加密的CA证书在线完成对投标人递交至政府采购云平台的投标文件的解密。</w:t>
            </w:r>
          </w:p>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投标人电脑终端等硬件设备和软件系统配置：投标人电脑终端等硬件设备和软件系统配置应符合开标大厅投标人电脑终端配置要求并运行正常，投标人承担因未尽职责产生的不利后果。</w:t>
            </w:r>
          </w:p>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b/>
                <w:color w:val="000000" w:themeColor="text1"/>
                <w14:textFill>
                  <w14:solidFill>
                    <w14:schemeClr w14:val="tx1"/>
                  </w14:solidFill>
                </w14:textFill>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37"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对招标文件中供应商参加本次政府采购活动应当具备的条件，招标项目服务、商务及其他要求，评标细则及标准，以及关于资格审查的询问、质疑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Pr>
                <w:rFonts w:ascii="宋体" w:hAnsi="宋体" w:eastAsia="仿宋_GB2312" w:cs="宋体"/>
                <w:color w:val="000000" w:themeColor="text1"/>
                <w:kern w:val="0"/>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向采购人提出，并由</w:t>
            </w:r>
            <w:r>
              <w:rPr>
                <w:rFonts w:hint="eastAsia" w:ascii="宋体" w:hAnsi="宋体"/>
                <w:color w:val="000000" w:themeColor="text1"/>
                <w:kern w:val="0"/>
                <w:sz w:val="24"/>
                <w14:textFill>
                  <w14:solidFill>
                    <w14:schemeClr w14:val="tx1"/>
                  </w14:solidFill>
                </w14:textFill>
              </w:rPr>
              <w:t>采购人</w:t>
            </w:r>
            <w:r>
              <w:rPr>
                <w:rFonts w:hint="eastAsia" w:ascii="宋体" w:hAnsi="宋体"/>
                <w:color w:val="000000" w:themeColor="text1"/>
                <w:sz w:val="24"/>
                <w:szCs w:val="24"/>
                <w14:textFill>
                  <w14:solidFill>
                    <w14:schemeClr w14:val="tx1"/>
                  </w14:solidFill>
                </w14:textFill>
              </w:rPr>
              <w:t>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对招标文件中的其他内容、采购过程及中标结果（除资格审查）的询问、质疑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Pr>
                <w:rFonts w:ascii="宋体" w:hAnsi="宋体" w:eastAsia="仿宋_GB2312" w:cs="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向高新区采购中心提出，</w:t>
            </w:r>
            <w:r>
              <w:rPr>
                <w:rFonts w:hint="eastAsia" w:ascii="宋体" w:hAnsi="宋体"/>
                <w:color w:val="000000" w:themeColor="text1"/>
                <w:sz w:val="24"/>
                <w:szCs w:val="24"/>
                <w14:textFill>
                  <w14:solidFill>
                    <w14:schemeClr w14:val="tx1"/>
                  </w14:solidFill>
                </w14:textFill>
              </w:rPr>
              <w:t>并由</w:t>
            </w:r>
            <w:r>
              <w:rPr>
                <w:rFonts w:hint="eastAsia" w:ascii="宋体" w:hAnsi="宋体"/>
                <w:color w:val="000000" w:themeColor="text1"/>
                <w:kern w:val="0"/>
                <w:sz w:val="24"/>
                <w14:textFill>
                  <w14:solidFill>
                    <w14:schemeClr w14:val="tx1"/>
                  </w14:solidFill>
                </w14:textFill>
              </w:rPr>
              <w:t>高新区采购中心</w:t>
            </w:r>
            <w:r>
              <w:rPr>
                <w:rFonts w:hint="eastAsia" w:ascii="宋体" w:hAnsi="宋体"/>
                <w:color w:val="000000" w:themeColor="text1"/>
                <w:sz w:val="24"/>
                <w:szCs w:val="24"/>
                <w14:textFill>
                  <w14:solidFill>
                    <w14:schemeClr w14:val="tx1"/>
                  </w14:solidFill>
                </w14:textFill>
              </w:rPr>
              <w:t>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37"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投标人投诉</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投诉受理单位：本项目同级财政部门，即成都高新区财政金融局。</w:t>
            </w:r>
          </w:p>
          <w:p>
            <w:pPr>
              <w:tabs>
                <w:tab w:val="left" w:pos="7665"/>
              </w:tabs>
              <w:snapToGrid w:val="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联系电话：028-82829642。</w:t>
            </w:r>
          </w:p>
          <w:p>
            <w:pPr>
              <w:tabs>
                <w:tab w:val="left" w:pos="7665"/>
              </w:tabs>
              <w:snapToGrid w:val="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地址：成都市天府大道北段18号A座高新区管委会5楼。</w:t>
            </w:r>
          </w:p>
          <w:p>
            <w:pPr>
              <w:tabs>
                <w:tab w:val="left" w:pos="7665"/>
              </w:tabs>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邮编：610041。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评标情况公告</w:t>
            </w:r>
          </w:p>
        </w:tc>
        <w:tc>
          <w:tcPr>
            <w:tcW w:w="6681" w:type="dxa"/>
            <w:tcBorders>
              <w:top w:val="single" w:color="auto" w:sz="8" w:space="0"/>
              <w:left w:val="single" w:color="auto" w:sz="8" w:space="0"/>
              <w:bottom w:val="single" w:color="auto" w:sz="4" w:space="0"/>
              <w:right w:val="single" w:color="auto" w:sz="18" w:space="0"/>
            </w:tcBorders>
            <w:vAlign w:val="center"/>
          </w:tcPr>
          <w:p>
            <w:pPr>
              <w:widowControl/>
              <w:tabs>
                <w:tab w:val="left" w:pos="7665"/>
              </w:tabs>
              <w:jc w:val="left"/>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所有</w:t>
            </w:r>
            <w:r>
              <w:rPr>
                <w:rFonts w:hint="eastAsia" w:ascii="宋体" w:hAnsi="宋体"/>
                <w:color w:val="000000" w:themeColor="text1"/>
                <w:sz w:val="24"/>
                <w:szCs w:val="24"/>
                <w14:textFill>
                  <w14:solidFill>
                    <w14:schemeClr w14:val="tx1"/>
                  </w14:solidFill>
                </w14:textFill>
              </w:rPr>
              <w:t>投标人</w:t>
            </w:r>
            <w:r>
              <w:rPr>
                <w:rFonts w:hint="eastAsia" w:ascii="宋体" w:hAnsi="宋体" w:cs="宋体"/>
                <w:color w:val="000000" w:themeColor="text1"/>
                <w:kern w:val="0"/>
                <w:sz w:val="24"/>
                <w:szCs w:val="24"/>
                <w:lang w:val="zh-CN"/>
                <w14:textFill>
                  <w14:solidFill>
                    <w14:schemeClr w14:val="tx1"/>
                  </w14:solidFill>
                </w14:textFill>
              </w:rPr>
              <w:t>投标文件资格性、符合性检查情况、采用综合评分法时的得分情况、评标结果等将在成都市公共资源交易服务中心网、四川政府采购网上采购结果公告栏中予以公告。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olor w:val="000000" w:themeColor="text1"/>
                <w:sz w:val="24"/>
                <w:szCs w:val="24"/>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中标通知书</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000000" w:themeColor="text1"/>
                <w:kern w:val="0"/>
                <w:sz w:val="24"/>
                <w:szCs w:val="24"/>
                <w14:textFill>
                  <w14:solidFill>
                    <w14:schemeClr w14:val="tx1"/>
                  </w14:solidFill>
                </w14:textFill>
              </w:rPr>
            </w:pPr>
            <w:r>
              <w:rPr>
                <w:rFonts w:hint="eastAsia" w:ascii="宋体" w:hAnsi="宋体"/>
                <w:color w:val="000000" w:themeColor="text1"/>
                <w:kern w:val="0"/>
                <w:sz w:val="24"/>
                <w:szCs w:val="24"/>
                <w14:textFill>
                  <w14:solidFill>
                    <w14:schemeClr w14:val="tx1"/>
                  </w14:solidFill>
                </w14:textFill>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合同签订地点</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000000" w:themeColor="text1"/>
                <w:kern w:val="0"/>
                <w:sz w:val="24"/>
                <w14:textFill>
                  <w14:solidFill>
                    <w14:schemeClr w14:val="tx1"/>
                  </w14:solidFill>
                </w14:textFill>
              </w:rPr>
            </w:pPr>
            <w:r>
              <w:rPr>
                <w:rFonts w:hint="eastAsia" w:ascii="宋体" w:hAnsi="宋体"/>
                <w:color w:val="000000" w:themeColor="text1"/>
                <w:kern w:val="0"/>
                <w:sz w:val="24"/>
                <w14:textFill>
                  <w14:solidFill>
                    <w14:schemeClr w14:val="tx1"/>
                  </w14:solidFill>
                </w14:textFill>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6"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snapToGrid w:val="0"/>
              <w:ind w:right="210" w:rightChars="1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政府采购合同公告、备案</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ind w:left="-4" w:leftChars="-2" w:right="210"/>
              <w:rPr>
                <w:rFonts w:ascii="宋体" w:hAnsi="宋体"/>
                <w:color w:val="000000" w:themeColor="text1"/>
                <w:sz w:val="24"/>
                <w14:textFill>
                  <w14:solidFill>
                    <w14:schemeClr w14:val="tx1"/>
                  </w14:solidFill>
                </w14:textFill>
              </w:rPr>
            </w:pPr>
            <w:r>
              <w:rPr>
                <w:rFonts w:hint="eastAsia" w:ascii="宋体"/>
                <w:color w:val="000000" w:themeColor="text1"/>
                <w:sz w:val="24"/>
                <w14:textFill>
                  <w14:solidFill>
                    <w14:schemeClr w14:val="tx1"/>
                  </w14:solidFill>
                </w14:textFill>
              </w:rPr>
              <w:t>政府采购合同签订之日起2个工作日内，采购人将在四川政府采购网公告政府采购合同；</w:t>
            </w:r>
            <w:r>
              <w:rPr>
                <w:rFonts w:hint="eastAsia" w:ascii="宋体" w:hAnsi="宋体" w:cs="宋体"/>
                <w:color w:val="000000" w:themeColor="text1"/>
                <w:kern w:val="0"/>
                <w:sz w:val="24"/>
                <w:szCs w:val="24"/>
                <w:lang w:val="zh-CN"/>
                <w14:textFill>
                  <w14:solidFill>
                    <w14:schemeClr w14:val="tx1"/>
                  </w14:solidFill>
                </w14:textFill>
              </w:rPr>
              <w:t>疫情防控期间，采购人原则上在5个工作日内与供应商签订政府采购合同及向本采购项目同级财政部门，即成都市财政局备案政府采购合同。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tabs>
                <w:tab w:val="left" w:pos="7665"/>
              </w:tabs>
              <w:snapToGrid w:val="0"/>
              <w:ind w:left="-4" w:leftChars="-2" w:right="210"/>
              <w:rPr>
                <w:rFonts w:ascii="宋体" w:hAnsi="宋体" w:cs="宋体"/>
                <w:color w:val="000000" w:themeColor="text1"/>
                <w:kern w:val="0"/>
                <w:sz w:val="24"/>
                <w:szCs w:val="24"/>
                <w:lang w:val="zh-CN"/>
                <w14:textFill>
                  <w14:solidFill>
                    <w14:schemeClr w14:val="tx1"/>
                  </w14:solidFill>
                </w14:textFill>
              </w:rPr>
            </w:pPr>
            <w:r>
              <w:rPr>
                <w:rFonts w:hint="eastAsia" w:ascii="宋体" w:hAnsi="宋体" w:cs="宋体"/>
                <w:color w:val="000000" w:themeColor="text1"/>
                <w:kern w:val="0"/>
                <w:sz w:val="24"/>
                <w:szCs w:val="24"/>
                <w:lang w:val="zh-CN"/>
                <w14:textFill>
                  <w14:solidFill>
                    <w14:schemeClr w14:val="tx1"/>
                  </w14:solidFill>
                </w14:textFill>
              </w:rPr>
              <w:t>中小企业政府采购信用融资（“蓉采贷”）</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ind w:left="-4" w:leftChars="-2" w:right="210"/>
              <w:rPr>
                <w:rFonts w:ascii="宋体" w:hAnsi="宋体" w:cs="宋体"/>
                <w:color w:val="000000" w:themeColor="text1"/>
                <w:kern w:val="0"/>
                <w:sz w:val="24"/>
                <w:szCs w:val="24"/>
                <w:lang w:val="zh-CN"/>
                <w14:textFill>
                  <w14:solidFill>
                    <w14:schemeClr w14:val="tx1"/>
                  </w14:solidFill>
                </w14:textFill>
              </w:rPr>
            </w:pPr>
            <w:r>
              <w:rPr>
                <w:rFonts w:hint="eastAsia" w:ascii="宋体" w:hAnsi="宋体"/>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00"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1942" w:type="dxa"/>
            <w:tcBorders>
              <w:top w:val="single" w:color="auto" w:sz="4" w:space="0"/>
              <w:left w:val="single" w:color="auto" w:sz="8" w:space="0"/>
              <w:bottom w:val="single" w:color="auto" w:sz="4" w:space="0"/>
              <w:right w:val="single" w:color="auto" w:sz="8" w:space="0"/>
            </w:tcBorders>
            <w:vAlign w:val="center"/>
          </w:tcPr>
          <w:p>
            <w:pPr>
              <w:snapToGrid w:val="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 xml:space="preserve">进口产品 </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7" w:hRule="atLeast"/>
          <w:jc w:val="center"/>
        </w:trPr>
        <w:tc>
          <w:tcPr>
            <w:tcW w:w="689" w:type="dxa"/>
            <w:tcBorders>
              <w:top w:val="single" w:color="auto" w:sz="4" w:space="0"/>
              <w:left w:val="single" w:color="auto" w:sz="18" w:space="0"/>
              <w:bottom w:val="single" w:color="auto" w:sz="18" w:space="0"/>
              <w:right w:val="single" w:color="auto" w:sz="8" w:space="0"/>
            </w:tcBorders>
            <w:vAlign w:val="center"/>
          </w:tcPr>
          <w:p>
            <w:pPr>
              <w:numPr>
                <w:ilvl w:val="0"/>
                <w:numId w:val="8"/>
              </w:numPr>
              <w:snapToGrid w:val="0"/>
              <w:spacing w:after="200"/>
              <w:ind w:left="0" w:firstLine="0"/>
              <w:jc w:val="center"/>
              <w:rPr>
                <w:rFonts w:ascii="宋体" w:hAnsi="宋体"/>
                <w:color w:val="000000" w:themeColor="text1"/>
                <w:sz w:val="24"/>
                <w14:textFill>
                  <w14:solidFill>
                    <w14:schemeClr w14:val="tx1"/>
                  </w14:solidFill>
                </w14:textFill>
              </w:rPr>
            </w:pPr>
          </w:p>
        </w:tc>
        <w:tc>
          <w:tcPr>
            <w:tcW w:w="8623" w:type="dxa"/>
            <w:gridSpan w:val="2"/>
            <w:tcBorders>
              <w:top w:val="single" w:color="auto" w:sz="4" w:space="0"/>
              <w:left w:val="single" w:color="auto" w:sz="8" w:space="0"/>
              <w:bottom w:val="single" w:color="auto" w:sz="18" w:space="0"/>
              <w:right w:val="single" w:color="auto" w:sz="18" w:space="0"/>
            </w:tcBorders>
            <w:vAlign w:val="center"/>
          </w:tcPr>
          <w:p>
            <w:pPr>
              <w:tabs>
                <w:tab w:val="left" w:pos="7665"/>
              </w:tabs>
              <w:snapToGrid w:val="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5"/>
        <w:numPr>
          <w:ilvl w:val="1"/>
          <w:numId w:val="4"/>
        </w:numPr>
        <w:spacing w:before="0" w:after="0" w:line="240" w:lineRule="auto"/>
        <w:ind w:left="2269" w:hanging="2127"/>
        <w:rPr>
          <w:color w:val="000000" w:themeColor="text1"/>
          <w14:textFill>
            <w14:solidFill>
              <w14:schemeClr w14:val="tx1"/>
            </w14:solidFill>
          </w14:textFill>
        </w:rPr>
      </w:pPr>
      <w:bookmarkStart w:id="34" w:name="_Toc2484"/>
      <w:bookmarkStart w:id="35" w:name="_Toc29824"/>
      <w:bookmarkStart w:id="36" w:name="_Toc30390"/>
      <w:bookmarkStart w:id="37" w:name="_Toc22447"/>
      <w:bookmarkStart w:id="38" w:name="_Toc10565"/>
      <w:r>
        <w:rPr>
          <w:rFonts w:hint="eastAsia"/>
          <w:color w:val="000000" w:themeColor="text1"/>
          <w14:textFill>
            <w14:solidFill>
              <w14:schemeClr w14:val="tx1"/>
            </w14:solidFill>
          </w14:textFill>
        </w:rPr>
        <w:t>总则</w:t>
      </w:r>
      <w:bookmarkEnd w:id="34"/>
      <w:bookmarkEnd w:id="35"/>
      <w:bookmarkEnd w:id="36"/>
      <w:bookmarkEnd w:id="37"/>
      <w:bookmarkEnd w:id="38"/>
    </w:p>
    <w:p>
      <w:pPr>
        <w:pStyle w:val="6"/>
        <w:numPr>
          <w:ilvl w:val="2"/>
          <w:numId w:val="4"/>
        </w:numPr>
        <w:spacing w:after="200" w:line="240" w:lineRule="auto"/>
        <w:ind w:left="-141" w:leftChars="-67"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适用范围</w:t>
      </w:r>
    </w:p>
    <w:p>
      <w:pPr>
        <w:numPr>
          <w:ilvl w:val="0"/>
          <w:numId w:val="9"/>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本招标文件仅适用于本次公开招标采购项目。</w:t>
      </w:r>
    </w:p>
    <w:p>
      <w:pPr>
        <w:numPr>
          <w:ilvl w:val="0"/>
          <w:numId w:val="9"/>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的最终解释权由采购人或高新区采购中心享有。对招标文件中供应商参加本次政府采购活动应当具备的条件，招标项目服务、商务及其他要求，评标细则及标准由采购人负责解释。除上述招标文件内容，其他内容由高新区采购中心负责解释。</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有关定义</w:t>
      </w:r>
    </w:p>
    <w:p>
      <w:pPr>
        <w:numPr>
          <w:ilvl w:val="0"/>
          <w:numId w:val="10"/>
        </w:numPr>
        <w:tabs>
          <w:tab w:val="left" w:pos="1134"/>
        </w:tabs>
        <w:spacing w:after="200"/>
        <w:ind w:left="0" w:firstLine="567"/>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“采购人”和“甲方”系指依法进行政府采购的高新区级机关、事业单位、团体组织。本次招标的采购人是</w:t>
      </w:r>
      <w:r>
        <w:rPr>
          <w:rFonts w:hint="eastAsia" w:asciiTheme="minorEastAsia" w:hAnsiTheme="minorEastAsia" w:eastAsiaTheme="minorEastAsia"/>
          <w:b/>
          <w:color w:val="000000" w:themeColor="text1"/>
          <w:kern w:val="0"/>
          <w:sz w:val="28"/>
          <w14:textFill>
            <w14:solidFill>
              <w14:schemeClr w14:val="tx1"/>
            </w14:solidFill>
          </w14:textFill>
        </w:rPr>
        <w:t>成都市教育科学研究院附属学校（成都市天府实验学校）</w:t>
      </w:r>
      <w:r>
        <w:rPr>
          <w:rFonts w:hint="eastAsia" w:ascii="宋体" w:hAnsi="宋体"/>
          <w:color w:val="000000" w:themeColor="text1"/>
          <w:sz w:val="28"/>
          <w:szCs w:val="28"/>
          <w14:textFill>
            <w14:solidFill>
              <w14:schemeClr w14:val="tx1"/>
            </w14:solidFill>
          </w14:textFill>
        </w:rPr>
        <w:t>。</w:t>
      </w:r>
    </w:p>
    <w:p>
      <w:pPr>
        <w:numPr>
          <w:ilvl w:val="0"/>
          <w:numId w:val="1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“投标人”系指在系统中成功提交《采购文件获取登记表》拟参加投标和向采购人提供货物及服务的供应商。</w:t>
      </w:r>
    </w:p>
    <w:p>
      <w:pPr>
        <w:numPr>
          <w:ilvl w:val="0"/>
          <w:numId w:val="1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本招标文件各部分规定的期间以时、日、月、年计算。期间开始的时和日，不计算在期间内，而从次日开始计算。期间届满的最后一天是节假日的，以节假日后的第一日为期间届满的日期。</w:t>
      </w:r>
    </w:p>
    <w:p>
      <w:pPr>
        <w:numPr>
          <w:ilvl w:val="0"/>
          <w:numId w:val="1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本招标文件各部分规定的“以上”、“以下”、“内”、“以内”，包括本数；所称的“不足”，不包括本数。</w:t>
      </w:r>
    </w:p>
    <w:p>
      <w:pPr>
        <w:numPr>
          <w:ilvl w:val="0"/>
          <w:numId w:val="1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重大违法记录是指供应商因违法经营受到刑事处罚或者责令停产停业、吊销许可证或者执照、较大数额罚款等行政处罚。</w:t>
      </w:r>
    </w:p>
    <w:p>
      <w:pPr>
        <w:numPr>
          <w:ilvl w:val="0"/>
          <w:numId w:val="1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sz w:val="28"/>
          <w:szCs w:val="28"/>
        </w:rPr>
        <w:t>本项目重大违法记录中的较大数额罚款的具体金额标准：若行业行政主管部门对较大数额罚款金额标准有明文规定的，以行业行政主管部门规定的较大数额罚款金额标准为准；若行业行政主管部门对较大数额罚款金额标准未明文规定的，以作出行政处罚机关当地的行政处罚罚款听证标准金额为准。</w:t>
      </w:r>
    </w:p>
    <w:p>
      <w:pPr>
        <w:numPr>
          <w:ilvl w:val="0"/>
          <w:numId w:val="1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sz w:val="28"/>
          <w:szCs w:val="28"/>
        </w:rPr>
        <w:t>不见面开标是指，高新区采购中心依托政府采购云平台组织开标活动，供应商在线参与开标的一种组织形式。</w:t>
      </w:r>
      <w:r>
        <w:rPr>
          <w:rFonts w:hint="eastAsia" w:ascii="宋体" w:hAnsi="宋体"/>
          <w:color w:val="000000" w:themeColor="text1"/>
          <w:sz w:val="28"/>
          <w:szCs w:val="28"/>
          <w14:textFill>
            <w14:solidFill>
              <w14:schemeClr w14:val="tx1"/>
            </w14:solidFill>
          </w14:textFill>
        </w:rPr>
        <w:t> </w:t>
      </w:r>
    </w:p>
    <w:p>
      <w:pPr>
        <w:pStyle w:val="6"/>
        <w:numPr>
          <w:ilvl w:val="2"/>
          <w:numId w:val="4"/>
        </w:numPr>
        <w:spacing w:after="200" w:line="240" w:lineRule="auto"/>
        <w:ind w:left="851"/>
        <w:rPr>
          <w:color w:val="000000" w:themeColor="text1"/>
          <w14:textFill>
            <w14:solidFill>
              <w14:schemeClr w14:val="tx1"/>
            </w14:solidFill>
          </w14:textFill>
        </w:rPr>
      </w:pPr>
      <w:bookmarkStart w:id="39" w:name="_Toc217446036"/>
      <w:bookmarkStart w:id="40" w:name="_Toc183582207"/>
      <w:bookmarkStart w:id="41" w:name="_Toc183682344"/>
      <w:bookmarkStart w:id="42" w:name="_Toc217390843"/>
      <w:r>
        <w:rPr>
          <w:rFonts w:hint="eastAsia"/>
          <w:color w:val="000000" w:themeColor="text1"/>
          <w14:textFill>
            <w14:solidFill>
              <w14:schemeClr w14:val="tx1"/>
            </w14:solidFill>
          </w14:textFill>
        </w:rPr>
        <w:t>合格的投标人</w:t>
      </w:r>
      <w:bookmarkEnd w:id="39"/>
      <w:bookmarkEnd w:id="40"/>
      <w:bookmarkEnd w:id="41"/>
      <w:bookmarkEnd w:id="42"/>
    </w:p>
    <w:p>
      <w:pPr>
        <w:tabs>
          <w:tab w:val="left" w:pos="7665"/>
        </w:tabs>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合格的投标人应具备以下条件：</w:t>
      </w:r>
    </w:p>
    <w:p>
      <w:pPr>
        <w:numPr>
          <w:ilvl w:val="0"/>
          <w:numId w:val="11"/>
        </w:numPr>
        <w:tabs>
          <w:tab w:val="left" w:pos="1134"/>
        </w:tabs>
        <w:spacing w:after="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本招标文件“投标邀请”第五条规定的条件；</w:t>
      </w:r>
    </w:p>
    <w:p>
      <w:pPr>
        <w:numPr>
          <w:ilvl w:val="0"/>
          <w:numId w:val="11"/>
        </w:numPr>
        <w:tabs>
          <w:tab w:val="left" w:pos="1134"/>
        </w:tabs>
        <w:spacing w:after="200"/>
        <w:ind w:left="0" w:firstLine="568"/>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按照招标文件“投标邀请”中第六、七、八条规定获取了招标文件。</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投标费用</w:t>
      </w:r>
    </w:p>
    <w:p>
      <w:pPr>
        <w:ind w:firstLine="660" w:firstLineChars="23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投标人应自行承担参加投标的全部费用。</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充分、公平竞争保障措施</w:t>
      </w:r>
    </w:p>
    <w:p>
      <w:pPr>
        <w:pStyle w:val="116"/>
        <w:tabs>
          <w:tab w:val="left" w:pos="851"/>
        </w:tabs>
        <w:spacing w:before="156" w:line="240" w:lineRule="auto"/>
        <w:ind w:firstLine="560" w:firstLineChars="200"/>
        <w:rPr>
          <w:rFonts w:hAnsi="宋体"/>
          <w:color w:val="000000" w:themeColor="text1"/>
          <w:sz w:val="28"/>
          <w:szCs w:val="28"/>
          <w14:textFill>
            <w14:solidFill>
              <w14:schemeClr w14:val="tx1"/>
            </w14:solidFill>
          </w14:textFill>
        </w:rPr>
      </w:pPr>
      <w:r>
        <w:rPr>
          <w:rFonts w:hint="eastAsia" w:hAnsi="宋体"/>
          <w:color w:val="000000" w:themeColor="text1"/>
          <w:sz w:val="28"/>
          <w:szCs w:val="28"/>
          <w14:textFill>
            <w14:solidFill>
              <w14:schemeClr w14:val="tx1"/>
            </w14:solidFill>
          </w14:textFill>
        </w:rPr>
        <w:t>一、单位负责人为同一人或者存在直接控股、管理关系的不同供应商，不得参加同一项目的投标。</w:t>
      </w:r>
    </w:p>
    <w:p>
      <w:pPr>
        <w:pStyle w:val="116"/>
        <w:tabs>
          <w:tab w:val="left" w:pos="851"/>
        </w:tabs>
        <w:spacing w:before="156" w:line="240" w:lineRule="auto"/>
        <w:ind w:left="-143" w:leftChars="-68" w:firstLine="700" w:firstLineChars="250"/>
        <w:rPr>
          <w:rFonts w:hAnsi="宋体"/>
          <w:b/>
          <w:color w:val="000000" w:themeColor="text1"/>
          <w:sz w:val="28"/>
          <w:szCs w:val="28"/>
          <w14:textFill>
            <w14:solidFill>
              <w14:schemeClr w14:val="tx1"/>
            </w14:solidFill>
          </w14:textFill>
        </w:rPr>
      </w:pPr>
      <w:r>
        <w:rPr>
          <w:rFonts w:hint="eastAsia" w:hAnsi="宋体"/>
          <w:color w:val="000000" w:themeColor="text1"/>
          <w:sz w:val="28"/>
          <w:szCs w:val="28"/>
          <w14:textFill>
            <w14:solidFill>
              <w14:schemeClr w14:val="tx1"/>
            </w14:solidFill>
          </w14:textFill>
        </w:rPr>
        <w:t>二、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hAnsi="宋体"/>
          <w:b/>
          <w:color w:val="000000" w:themeColor="text1"/>
          <w:sz w:val="28"/>
          <w:szCs w:val="28"/>
          <w14:textFill>
            <w14:solidFill>
              <w14:schemeClr w14:val="tx1"/>
            </w14:solidFill>
          </w14:textFill>
        </w:rPr>
        <w:t>（说明：无供应商为本项目提供整体设计、规范编制或者项目管理、监理、检测等服务。）</w:t>
      </w:r>
    </w:p>
    <w:p>
      <w:pPr>
        <w:pStyle w:val="5"/>
        <w:numPr>
          <w:ilvl w:val="1"/>
          <w:numId w:val="4"/>
        </w:numPr>
        <w:spacing w:before="0" w:after="0" w:line="240" w:lineRule="auto"/>
        <w:ind w:left="2269" w:hanging="2127"/>
        <w:rPr>
          <w:color w:val="000000" w:themeColor="text1"/>
          <w14:textFill>
            <w14:solidFill>
              <w14:schemeClr w14:val="tx1"/>
            </w14:solidFill>
          </w14:textFill>
        </w:rPr>
      </w:pPr>
      <w:bookmarkStart w:id="43" w:name="_Toc2675"/>
      <w:bookmarkStart w:id="44" w:name="_Toc22758"/>
      <w:bookmarkStart w:id="45" w:name="_Toc12455"/>
      <w:bookmarkStart w:id="46" w:name="_Toc14139"/>
      <w:bookmarkStart w:id="47" w:name="_Toc32420"/>
      <w:r>
        <w:rPr>
          <w:rFonts w:hint="eastAsia"/>
          <w:color w:val="000000" w:themeColor="text1"/>
          <w14:textFill>
            <w14:solidFill>
              <w14:schemeClr w14:val="tx1"/>
            </w14:solidFill>
          </w14:textFill>
        </w:rPr>
        <w:t>招标文件</w:t>
      </w:r>
      <w:bookmarkEnd w:id="43"/>
      <w:bookmarkEnd w:id="44"/>
      <w:bookmarkEnd w:id="45"/>
      <w:bookmarkEnd w:id="46"/>
      <w:bookmarkEnd w:id="47"/>
    </w:p>
    <w:p>
      <w:pPr>
        <w:pStyle w:val="6"/>
        <w:numPr>
          <w:ilvl w:val="2"/>
          <w:numId w:val="4"/>
        </w:numPr>
        <w:spacing w:after="200" w:line="240" w:lineRule="auto"/>
        <w:ind w:left="0" w:firstLine="0"/>
        <w:rPr>
          <w:color w:val="000000" w:themeColor="text1"/>
          <w14:textFill>
            <w14:solidFill>
              <w14:schemeClr w14:val="tx1"/>
            </w14:solidFill>
          </w14:textFill>
        </w:rPr>
      </w:pPr>
      <w:bookmarkStart w:id="48" w:name="_Toc183682347"/>
      <w:bookmarkStart w:id="49" w:name="_Toc183582210"/>
      <w:bookmarkStart w:id="50" w:name="_Toc217446039"/>
      <w:r>
        <w:rPr>
          <w:rFonts w:hint="eastAsia"/>
          <w:color w:val="000000" w:themeColor="text1"/>
          <w14:textFill>
            <w14:solidFill>
              <w14:schemeClr w14:val="tx1"/>
            </w14:solidFill>
          </w14:textFill>
        </w:rPr>
        <w:t>招标文件的构成</w:t>
      </w:r>
      <w:bookmarkEnd w:id="48"/>
      <w:bookmarkEnd w:id="49"/>
      <w:bookmarkEnd w:id="50"/>
    </w:p>
    <w:p>
      <w:pPr>
        <w:numPr>
          <w:ilvl w:val="0"/>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文件是供应商准备投标文件和参加投标的依据，同时也是评标的重要依据。招标文件用以阐明招标项目所需的资质、服务及报价等要求、招标投标程序、有关规定和注意事项以及合同主要条款等。本招标文件包括以下内容：</w:t>
      </w:r>
    </w:p>
    <w:p>
      <w:pPr>
        <w:numPr>
          <w:ilvl w:val="1"/>
          <w:numId w:val="13"/>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投标邀请；</w:t>
      </w:r>
    </w:p>
    <w:p>
      <w:pPr>
        <w:numPr>
          <w:ilvl w:val="1"/>
          <w:numId w:val="13"/>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投标人须知；</w:t>
      </w:r>
    </w:p>
    <w:p>
      <w:pPr>
        <w:numPr>
          <w:ilvl w:val="1"/>
          <w:numId w:val="13"/>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投标文件格式；</w:t>
      </w:r>
    </w:p>
    <w:p>
      <w:pPr>
        <w:numPr>
          <w:ilvl w:val="1"/>
          <w:numId w:val="13"/>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招标项目服务、商务及其他要求；</w:t>
      </w:r>
    </w:p>
    <w:p>
      <w:pPr>
        <w:numPr>
          <w:ilvl w:val="1"/>
          <w:numId w:val="13"/>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w:t>
      </w:r>
    </w:p>
    <w:p>
      <w:pPr>
        <w:numPr>
          <w:ilvl w:val="1"/>
          <w:numId w:val="13"/>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评标办法；</w:t>
      </w:r>
    </w:p>
    <w:p>
      <w:pPr>
        <w:numPr>
          <w:ilvl w:val="1"/>
          <w:numId w:val="13"/>
        </w:numPr>
        <w:tabs>
          <w:tab w:val="left" w:pos="1134"/>
        </w:tabs>
        <w:spacing w:after="200"/>
        <w:ind w:left="567" w:firstLine="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拟签订合同文本。</w:t>
      </w:r>
    </w:p>
    <w:p>
      <w:pPr>
        <w:numPr>
          <w:ilvl w:val="0"/>
          <w:numId w:val="1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投标人应认真阅读和充分理解招标文件中所有的事项、格式条款和规范要求。投标人没有对招标文件全面做出实质性响应所产生的风险由投标人承担。</w:t>
      </w:r>
    </w:p>
    <w:p>
      <w:pPr>
        <w:pStyle w:val="6"/>
        <w:numPr>
          <w:ilvl w:val="2"/>
          <w:numId w:val="4"/>
        </w:numPr>
        <w:spacing w:after="200" w:line="240" w:lineRule="auto"/>
        <w:ind w:left="0" w:firstLine="0"/>
        <w:rPr>
          <w:color w:val="000000" w:themeColor="text1"/>
          <w14:textFill>
            <w14:solidFill>
              <w14:schemeClr w14:val="tx1"/>
            </w14:solidFill>
          </w14:textFill>
        </w:rPr>
      </w:pPr>
      <w:bookmarkStart w:id="51" w:name="_Toc183582211"/>
      <w:bookmarkStart w:id="52" w:name="_Toc183682348"/>
      <w:bookmarkStart w:id="53" w:name="_Toc217446040"/>
      <w:r>
        <w:rPr>
          <w:rFonts w:hint="eastAsia"/>
          <w:color w:val="000000" w:themeColor="text1"/>
          <w14:textFill>
            <w14:solidFill>
              <w14:schemeClr w14:val="tx1"/>
            </w14:solidFill>
          </w14:textFill>
        </w:rPr>
        <w:t>招标文件的澄清</w:t>
      </w:r>
      <w:bookmarkEnd w:id="51"/>
      <w:bookmarkEnd w:id="52"/>
      <w:r>
        <w:rPr>
          <w:rFonts w:hint="eastAsia"/>
          <w:color w:val="000000" w:themeColor="text1"/>
          <w14:textFill>
            <w14:solidFill>
              <w14:schemeClr w14:val="tx1"/>
            </w14:solidFill>
          </w14:textFill>
        </w:rPr>
        <w:t>和修改</w:t>
      </w:r>
      <w:bookmarkEnd w:id="53"/>
      <w:bookmarkStart w:id="54" w:name="_Toc19128"/>
      <w:bookmarkStart w:id="55" w:name="_Toc6071"/>
      <w:bookmarkStart w:id="56" w:name="_Toc217446042"/>
      <w:bookmarkStart w:id="57" w:name="_Toc183682351"/>
      <w:bookmarkStart w:id="58" w:name="_Toc89075876"/>
      <w:bookmarkStart w:id="59" w:name="_Toc183582214"/>
      <w:bookmarkStart w:id="60" w:name="_Toc31441"/>
      <w:bookmarkStart w:id="61" w:name="_Toc77400780"/>
      <w:bookmarkStart w:id="62" w:name="_Toc27307"/>
    </w:p>
    <w:p>
      <w:pPr>
        <w:numPr>
          <w:ilvl w:val="0"/>
          <w:numId w:val="14"/>
        </w:numPr>
        <w:tabs>
          <w:tab w:val="left" w:pos="142"/>
          <w:tab w:val="left" w:pos="1134"/>
        </w:tabs>
        <w:spacing w:after="200"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在投标截止时间前，采购人或者</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可以对已发出的招标文件进行必要的澄清或者修改。</w:t>
      </w:r>
    </w:p>
    <w:p>
      <w:pPr>
        <w:numPr>
          <w:ilvl w:val="0"/>
          <w:numId w:val="14"/>
        </w:numPr>
        <w:spacing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或者修改的内容，高新区采购中心将在“四川政府采购网”和“成都市公共资源交易服务中心”网站上发布澄清公告，同时通过政府采购云平台将澄清或者修改的内容告知所有在系统中成功获取招标文件的潜在投标人（投标人通过账号或CA证书登录云平台查看）</w:t>
      </w:r>
    </w:p>
    <w:p>
      <w:pPr>
        <w:numPr>
          <w:ilvl w:val="0"/>
          <w:numId w:val="14"/>
        </w:numPr>
        <w:tabs>
          <w:tab w:val="left" w:pos="142"/>
          <w:tab w:val="left" w:pos="1134"/>
        </w:tabs>
        <w:spacing w:after="200"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或者修改的内容可能影响投标文件编制的，高新区采购中心应当在投标截止时间至少15日前，通过政府采购云平台通知所有获取招标文件的潜在投标人；不足15日的，采购人或高新区采购中心应当顺延提交投标文件的截止时间。</w:t>
      </w:r>
    </w:p>
    <w:p>
      <w:pPr>
        <w:pStyle w:val="5"/>
        <w:numPr>
          <w:ilvl w:val="1"/>
          <w:numId w:val="4"/>
        </w:numPr>
        <w:spacing w:before="0" w:after="0" w:line="240" w:lineRule="auto"/>
        <w:ind w:left="2269" w:hanging="2127"/>
        <w:rPr>
          <w:color w:val="000000" w:themeColor="text1"/>
          <w14:textFill>
            <w14:solidFill>
              <w14:schemeClr w14:val="tx1"/>
            </w14:solidFill>
          </w14:textFill>
        </w:rPr>
      </w:pPr>
      <w:bookmarkStart w:id="63" w:name="_Toc23505"/>
      <w:r>
        <w:rPr>
          <w:rFonts w:hint="eastAsia"/>
          <w:color w:val="000000" w:themeColor="text1"/>
          <w14:textFill>
            <w14:solidFill>
              <w14:schemeClr w14:val="tx1"/>
            </w14:solidFill>
          </w14:textFill>
        </w:rPr>
        <w:t>投标文件</w:t>
      </w:r>
      <w:bookmarkEnd w:id="54"/>
      <w:bookmarkEnd w:id="55"/>
      <w:bookmarkEnd w:id="56"/>
      <w:bookmarkEnd w:id="57"/>
      <w:bookmarkEnd w:id="58"/>
      <w:bookmarkEnd w:id="59"/>
      <w:bookmarkEnd w:id="60"/>
      <w:bookmarkEnd w:id="61"/>
      <w:bookmarkEnd w:id="62"/>
      <w:bookmarkEnd w:id="63"/>
    </w:p>
    <w:p>
      <w:pPr>
        <w:pStyle w:val="6"/>
        <w:numPr>
          <w:ilvl w:val="2"/>
          <w:numId w:val="4"/>
        </w:numPr>
        <w:spacing w:after="200" w:line="240" w:lineRule="auto"/>
        <w:ind w:left="0" w:firstLine="0"/>
        <w:rPr>
          <w:color w:val="000000" w:themeColor="text1"/>
          <w14:textFill>
            <w14:solidFill>
              <w14:schemeClr w14:val="tx1"/>
            </w14:solidFill>
          </w14:textFill>
        </w:rPr>
      </w:pPr>
      <w:bookmarkStart w:id="64" w:name="_Toc183582215"/>
      <w:bookmarkStart w:id="65" w:name="_Toc183682352"/>
      <w:bookmarkStart w:id="66" w:name="_Toc217446043"/>
      <w:r>
        <w:rPr>
          <w:rFonts w:hint="eastAsia"/>
          <w:color w:val="000000" w:themeColor="text1"/>
          <w14:textFill>
            <w14:solidFill>
              <w14:schemeClr w14:val="tx1"/>
            </w14:solidFill>
          </w14:textFill>
        </w:rPr>
        <w:t>投标文件的语言</w:t>
      </w:r>
      <w:bookmarkEnd w:id="64"/>
      <w:bookmarkEnd w:id="65"/>
      <w:bookmarkEnd w:id="66"/>
    </w:p>
    <w:p>
      <w:pPr>
        <w:numPr>
          <w:ilvl w:val="0"/>
          <w:numId w:val="15"/>
        </w:numPr>
        <w:tabs>
          <w:tab w:val="left" w:pos="1134"/>
        </w:tabs>
        <w:spacing w:after="200"/>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提交的投标文件以及投标人与采购人或高新区采购中心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15"/>
        </w:numPr>
        <w:tabs>
          <w:tab w:val="left" w:pos="1134"/>
        </w:tabs>
        <w:spacing w:after="200"/>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对不同文字文本投标文件的解释发生异议的，以中文文本为准。若投标人投标文件中提供的外文资料未翻译成中文，则评标委员会可将其视为无效材料。 </w:t>
      </w:r>
    </w:p>
    <w:p>
      <w:pPr>
        <w:pStyle w:val="6"/>
        <w:numPr>
          <w:ilvl w:val="2"/>
          <w:numId w:val="4"/>
        </w:numPr>
        <w:spacing w:after="200" w:line="240" w:lineRule="auto"/>
        <w:ind w:left="0" w:firstLine="0"/>
        <w:rPr>
          <w:color w:val="000000" w:themeColor="text1"/>
          <w14:textFill>
            <w14:solidFill>
              <w14:schemeClr w14:val="tx1"/>
            </w14:solidFill>
          </w14:textFill>
        </w:rPr>
      </w:pPr>
      <w:bookmarkStart w:id="67" w:name="_Toc183682353"/>
      <w:bookmarkStart w:id="68" w:name="_Toc217446044"/>
      <w:bookmarkStart w:id="69" w:name="_Toc183582216"/>
      <w:r>
        <w:rPr>
          <w:rFonts w:hint="eastAsia"/>
          <w:color w:val="000000" w:themeColor="text1"/>
          <w14:textFill>
            <w14:solidFill>
              <w14:schemeClr w14:val="tx1"/>
            </w14:solidFill>
          </w14:textFill>
        </w:rPr>
        <w:t>计量单位</w:t>
      </w:r>
      <w:bookmarkEnd w:id="67"/>
      <w:bookmarkEnd w:id="68"/>
      <w:bookmarkEnd w:id="69"/>
    </w:p>
    <w:p>
      <w:pPr>
        <w:tabs>
          <w:tab w:val="left" w:pos="7665"/>
        </w:tabs>
        <w:ind w:left="13" w:firstLine="554"/>
        <w:rPr>
          <w:rFonts w:ascii="宋体" w:hAnsi="宋体"/>
          <w:color w:val="000000" w:themeColor="text1"/>
          <w:sz w:val="28"/>
          <w:szCs w:val="28"/>
          <w14:textFill>
            <w14:solidFill>
              <w14:schemeClr w14:val="tx1"/>
            </w14:solidFill>
          </w14:textFill>
        </w:rPr>
      </w:pPr>
      <w:bookmarkStart w:id="70" w:name="_Toc217446045"/>
      <w:r>
        <w:rPr>
          <w:rFonts w:hint="eastAsia" w:ascii="宋体" w:hAnsi="宋体"/>
          <w:color w:val="000000" w:themeColor="text1"/>
          <w:sz w:val="28"/>
          <w:szCs w:val="28"/>
          <w14:textFill>
            <w14:solidFill>
              <w14:schemeClr w14:val="tx1"/>
            </w14:solidFill>
          </w14:textFill>
        </w:rPr>
        <w:t>除招标文件中另有规定外，本次采购项目所有合同项下的投标均采用国家法定的计量单位。</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投标货币</w:t>
      </w:r>
      <w:bookmarkEnd w:id="70"/>
    </w:p>
    <w:p>
      <w:pPr>
        <w:tabs>
          <w:tab w:val="left" w:pos="7665"/>
        </w:tabs>
        <w:ind w:left="13" w:firstLine="554"/>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本次招标项目的投标均以人民币报价。</w:t>
      </w:r>
    </w:p>
    <w:p>
      <w:pPr>
        <w:pStyle w:val="6"/>
        <w:numPr>
          <w:ilvl w:val="2"/>
          <w:numId w:val="4"/>
        </w:numPr>
        <w:spacing w:after="200" w:line="240" w:lineRule="auto"/>
        <w:ind w:left="0" w:firstLine="0"/>
        <w:rPr>
          <w:color w:val="000000" w:themeColor="text1"/>
          <w14:textFill>
            <w14:solidFill>
              <w14:schemeClr w14:val="tx1"/>
            </w14:solidFill>
          </w14:textFill>
        </w:rPr>
      </w:pPr>
      <w:bookmarkStart w:id="71" w:name="_Toc217446046"/>
      <w:r>
        <w:rPr>
          <w:rFonts w:hint="eastAsia"/>
          <w:color w:val="000000" w:themeColor="text1"/>
          <w14:textFill>
            <w14:solidFill>
              <w14:schemeClr w14:val="tx1"/>
            </w14:solidFill>
          </w14:textFill>
        </w:rPr>
        <w:t>联合体投标</w:t>
      </w:r>
      <w:bookmarkEnd w:id="71"/>
    </w:p>
    <w:p>
      <w:pPr>
        <w:tabs>
          <w:tab w:val="left" w:pos="1134"/>
        </w:tabs>
        <w:ind w:left="546"/>
        <w:rPr>
          <w:rFonts w:ascii="宋体" w:hAnsi="宋体"/>
          <w:color w:val="000000" w:themeColor="text1"/>
          <w:sz w:val="28"/>
          <w:szCs w:val="28"/>
          <w14:textFill>
            <w14:solidFill>
              <w14:schemeClr w14:val="tx1"/>
            </w14:solidFill>
          </w14:textFill>
        </w:rPr>
      </w:pPr>
      <w:bookmarkStart w:id="72" w:name="_Toc217446047"/>
      <w:r>
        <w:rPr>
          <w:rFonts w:hint="eastAsia" w:ascii="宋体" w:hAnsi="宋体"/>
          <w:color w:val="000000" w:themeColor="text1"/>
          <w:sz w:val="28"/>
          <w:szCs w:val="28"/>
          <w14:textFill>
            <w14:solidFill>
              <w14:schemeClr w14:val="tx1"/>
            </w14:solidFill>
          </w14:textFill>
        </w:rPr>
        <w:t>本次政府采购活动</w:t>
      </w:r>
      <w:r>
        <w:rPr>
          <w:rFonts w:hint="eastAsia" w:ascii="宋体" w:hAnsi="宋体"/>
          <w:b/>
          <w:color w:val="000000" w:themeColor="text1"/>
          <w:sz w:val="28"/>
          <w:szCs w:val="28"/>
          <w14:textFill>
            <w14:solidFill>
              <w14:schemeClr w14:val="tx1"/>
            </w14:solidFill>
          </w14:textFill>
        </w:rPr>
        <w:t>不接受</w:t>
      </w:r>
      <w:r>
        <w:rPr>
          <w:rFonts w:hint="eastAsia" w:ascii="宋体" w:hAnsi="宋体"/>
          <w:color w:val="000000" w:themeColor="text1"/>
          <w:sz w:val="28"/>
          <w:szCs w:val="28"/>
          <w14:textFill>
            <w14:solidFill>
              <w14:schemeClr w14:val="tx1"/>
            </w14:solidFill>
          </w14:textFill>
        </w:rPr>
        <w:t>联合体投标。</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知识产权</w:t>
      </w:r>
      <w:bookmarkEnd w:id="72"/>
    </w:p>
    <w:p>
      <w:pPr>
        <w:pStyle w:val="157"/>
        <w:numPr>
          <w:ilvl w:val="0"/>
          <w:numId w:val="16"/>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bookmarkStart w:id="73" w:name="_Toc217446048"/>
      <w:bookmarkStart w:id="74" w:name="_Toc183582217"/>
      <w:bookmarkStart w:id="75" w:name="_Toc183682354"/>
      <w:r>
        <w:rPr>
          <w:rFonts w:hint="eastAsia" w:ascii="宋体" w:hAnsi="宋体"/>
          <w:color w:val="000000" w:themeColor="text1"/>
          <w:sz w:val="28"/>
          <w:szCs w:val="28"/>
          <w14:textFill>
            <w14:solidFill>
              <w14:schemeClr w14:val="tx1"/>
            </w14:solidFill>
          </w14:textFill>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pStyle w:val="157"/>
        <w:numPr>
          <w:ilvl w:val="0"/>
          <w:numId w:val="16"/>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采购人享有本项目实施过程中产生的知识成果及知识产权。</w:t>
      </w:r>
    </w:p>
    <w:p>
      <w:pPr>
        <w:pStyle w:val="157"/>
        <w:numPr>
          <w:ilvl w:val="0"/>
          <w:numId w:val="16"/>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pStyle w:val="157"/>
        <w:numPr>
          <w:ilvl w:val="0"/>
          <w:numId w:val="16"/>
        </w:numPr>
        <w:tabs>
          <w:tab w:val="left" w:pos="1134"/>
        </w:tabs>
        <w:spacing w:after="200"/>
        <w:ind w:left="0" w:firstLine="549"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如采用投标人所不拥有的知识产权，则在投标报价中必须包括合法获取该知识产权的相关费用。</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投标文件的组成</w:t>
      </w:r>
      <w:bookmarkEnd w:id="73"/>
      <w:bookmarkEnd w:id="74"/>
      <w:bookmarkEnd w:id="75"/>
    </w:p>
    <w:p>
      <w:pPr>
        <w:ind w:firstLine="548" w:firstLineChars="19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投标人应按照招标文件的规定和要求编制投标文件。投标人拟在中标后将中标项目的非主体、非关键性工作交由他人完成的，应当在投标文件中载明。投标人编写的投标文件应包括下列部分：</w:t>
      </w:r>
    </w:p>
    <w:p>
      <w:pPr>
        <w:pStyle w:val="7"/>
        <w:numPr>
          <w:ilvl w:val="3"/>
          <w:numId w:val="4"/>
        </w:numPr>
        <w:spacing w:line="560" w:lineRule="exac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资格响应文件：</w:t>
      </w:r>
    </w:p>
    <w:p>
      <w:pPr>
        <w:pStyle w:val="86"/>
        <w:numPr>
          <w:ilvl w:val="0"/>
          <w:numId w:val="17"/>
        </w:numPr>
        <w:tabs>
          <w:tab w:val="left" w:pos="1134"/>
        </w:tabs>
        <w:spacing w:after="200"/>
        <w:ind w:firstLineChars="0"/>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关于投标人资格申明的函；</w:t>
      </w:r>
    </w:p>
    <w:p>
      <w:pPr>
        <w:pStyle w:val="86"/>
        <w:numPr>
          <w:ilvl w:val="0"/>
          <w:numId w:val="17"/>
        </w:numPr>
        <w:tabs>
          <w:tab w:val="left" w:pos="1134"/>
        </w:tabs>
        <w:spacing w:after="200"/>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声明；</w:t>
      </w:r>
    </w:p>
    <w:p>
      <w:pPr>
        <w:pStyle w:val="86"/>
        <w:numPr>
          <w:ilvl w:val="0"/>
          <w:numId w:val="17"/>
        </w:numPr>
        <w:tabs>
          <w:tab w:val="left" w:pos="1134"/>
        </w:tabs>
        <w:spacing w:after="200"/>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中小企业声明函（说明：提供了《残疾人福利性单位声明</w:t>
      </w:r>
      <w:r>
        <w:rPr>
          <w:rFonts w:ascii="宋体" w:hAnsi="宋体"/>
          <w:b/>
          <w:color w:val="000000" w:themeColor="text1"/>
          <w:sz w:val="28"/>
          <w:szCs w:val="28"/>
          <w14:textFill>
            <w14:solidFill>
              <w14:schemeClr w14:val="tx1"/>
            </w14:solidFill>
          </w14:textFill>
        </w:rPr>
        <w:t>函</w:t>
      </w:r>
      <w:r>
        <w:rPr>
          <w:rFonts w:hint="eastAsia" w:ascii="宋体" w:hAnsi="宋体"/>
          <w:b/>
          <w:color w:val="000000" w:themeColor="text1"/>
          <w:sz w:val="28"/>
          <w:szCs w:val="28"/>
          <w14:textFill>
            <w14:solidFill>
              <w14:schemeClr w14:val="tx1"/>
            </w14:solidFill>
          </w14:textFill>
        </w:rPr>
        <w:t>》或监狱企业证明文件复印件的不需提供）；</w:t>
      </w:r>
    </w:p>
    <w:p>
      <w:pPr>
        <w:pStyle w:val="86"/>
        <w:numPr>
          <w:ilvl w:val="0"/>
          <w:numId w:val="17"/>
        </w:numPr>
        <w:tabs>
          <w:tab w:val="left" w:pos="1134"/>
        </w:tabs>
        <w:spacing w:after="200"/>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残疾人福利性单位声明函（说明：提供了《中小</w:t>
      </w:r>
      <w:r>
        <w:rPr>
          <w:rFonts w:ascii="宋体" w:hAnsi="宋体"/>
          <w:b/>
          <w:color w:val="000000" w:themeColor="text1"/>
          <w:sz w:val="28"/>
          <w:szCs w:val="28"/>
          <w14:textFill>
            <w14:solidFill>
              <w14:schemeClr w14:val="tx1"/>
            </w14:solidFill>
          </w14:textFill>
        </w:rPr>
        <w:t>企业声明函</w:t>
      </w:r>
      <w:r>
        <w:rPr>
          <w:rFonts w:hint="eastAsia" w:ascii="宋体" w:hAnsi="宋体"/>
          <w:b/>
          <w:color w:val="000000" w:themeColor="text1"/>
          <w:sz w:val="28"/>
          <w:szCs w:val="28"/>
          <w14:textFill>
            <w14:solidFill>
              <w14:schemeClr w14:val="tx1"/>
            </w14:solidFill>
          </w14:textFill>
        </w:rPr>
        <w:t>》或监狱企业证明文件复印件的不需提供）；</w:t>
      </w:r>
    </w:p>
    <w:p>
      <w:pPr>
        <w:pStyle w:val="86"/>
        <w:numPr>
          <w:ilvl w:val="0"/>
          <w:numId w:val="17"/>
        </w:numPr>
        <w:tabs>
          <w:tab w:val="left" w:pos="1134"/>
        </w:tabs>
        <w:spacing w:after="200"/>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投标人应提交的相关资格证明材料：</w:t>
      </w:r>
    </w:p>
    <w:p>
      <w:pPr>
        <w:pStyle w:val="86"/>
        <w:numPr>
          <w:ilvl w:val="0"/>
          <w:numId w:val="18"/>
        </w:numPr>
        <w:spacing w:after="200"/>
        <w:ind w:left="0" w:firstLine="567"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由省级以上监狱管理局、戒毒管理局（含新疆生产建设兵团）出具的投标产品生产厂商属于监狱企业的证明文件复印件（说明：提供了《中小企业声明函》或《残疾人福利性单位声明函》的不需提供）；</w:t>
      </w:r>
    </w:p>
    <w:p>
      <w:pPr>
        <w:pStyle w:val="86"/>
        <w:numPr>
          <w:ilvl w:val="0"/>
          <w:numId w:val="18"/>
        </w:numPr>
        <w:spacing w:after="200"/>
        <w:ind w:left="0" w:firstLine="567"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营业执照复印件（正本或副本）或法人证书复印件（正本或副本）；</w:t>
      </w:r>
    </w:p>
    <w:p>
      <w:pPr>
        <w:pStyle w:val="86"/>
        <w:numPr>
          <w:ilvl w:val="0"/>
          <w:numId w:val="18"/>
        </w:numPr>
        <w:spacing w:after="200"/>
        <w:ind w:left="0" w:firstLine="546" w:firstLineChars="0"/>
        <w:rPr>
          <w:rFonts w:ascii="宋体" w:hAnsi="宋体"/>
          <w:b/>
          <w:color w:val="000000" w:themeColor="text1"/>
          <w:sz w:val="28"/>
          <w:szCs w:val="28"/>
          <w14:textFill>
            <w14:solidFill>
              <w14:schemeClr w14:val="tx1"/>
            </w14:solidFill>
          </w14:textFill>
        </w:rPr>
      </w:pP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19或</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20会计年度资产负债表复印件（说明：投标人成立时间至递交投标文件截止时间止不足一年的，提供成立后任意时段的资产负债表复印件）；</w:t>
      </w:r>
    </w:p>
    <w:p>
      <w:pPr>
        <w:pStyle w:val="86"/>
        <w:numPr>
          <w:ilvl w:val="0"/>
          <w:numId w:val="18"/>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投标人缴纳</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20年或</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21年任意时段的税收的银行电子回单或者行政部门出具的纳税证明或完税证明复印件；</w:t>
      </w:r>
    </w:p>
    <w:p>
      <w:pPr>
        <w:pStyle w:val="86"/>
        <w:numPr>
          <w:ilvl w:val="0"/>
          <w:numId w:val="18"/>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采购人对投标人履行合同所必须的设备和专业技术能力无其他特殊要求，投标人具有有效的营业执照或法人证书即可，可不提供其他证明材料；</w:t>
      </w:r>
    </w:p>
    <w:p>
      <w:pPr>
        <w:pStyle w:val="86"/>
        <w:numPr>
          <w:ilvl w:val="0"/>
          <w:numId w:val="18"/>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投标人缴纳</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20年或</w:t>
      </w:r>
      <w:r>
        <w:rPr>
          <w:rFonts w:ascii="宋体" w:hAnsi="宋体"/>
          <w:b/>
          <w:color w:val="000000" w:themeColor="text1"/>
          <w:sz w:val="28"/>
          <w:szCs w:val="28"/>
          <w14:textFill>
            <w14:solidFill>
              <w14:schemeClr w14:val="tx1"/>
            </w14:solidFill>
          </w14:textFill>
        </w:rPr>
        <w:t>20</w:t>
      </w:r>
      <w:r>
        <w:rPr>
          <w:rFonts w:hint="eastAsia" w:ascii="宋体" w:hAnsi="宋体"/>
          <w:b/>
          <w:color w:val="000000" w:themeColor="text1"/>
          <w:sz w:val="28"/>
          <w:szCs w:val="28"/>
          <w14:textFill>
            <w14:solidFill>
              <w14:schemeClr w14:val="tx1"/>
            </w14:solidFill>
          </w14:textFill>
        </w:rPr>
        <w:t>21年任意时段的社保的银行电子回单或行政部门出具的社保缴纳证明材料复印件；</w:t>
      </w:r>
    </w:p>
    <w:p>
      <w:pPr>
        <w:pStyle w:val="86"/>
        <w:numPr>
          <w:ilvl w:val="0"/>
          <w:numId w:val="18"/>
        </w:numPr>
        <w:spacing w:after="200"/>
        <w:ind w:left="0" w:firstLine="546"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采购人对法律、行政法规规定的其他条件无其他特殊要求，投标人具有有效的营业执照或法人证书即可，可不提供其他证明材料。</w:t>
      </w:r>
    </w:p>
    <w:p>
      <w:pPr>
        <w:pStyle w:val="7"/>
        <w:numPr>
          <w:ilvl w:val="3"/>
          <w:numId w:val="4"/>
        </w:numPr>
        <w:spacing w:line="560" w:lineRule="exac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商务技术响应文件：</w:t>
      </w:r>
    </w:p>
    <w:p>
      <w:pPr>
        <w:numPr>
          <w:ilvl w:val="0"/>
          <w:numId w:val="19"/>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投标函；</w:t>
      </w:r>
    </w:p>
    <w:p>
      <w:pPr>
        <w:numPr>
          <w:ilvl w:val="0"/>
          <w:numId w:val="19"/>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法定代表人身份证明书；</w:t>
      </w:r>
    </w:p>
    <w:p>
      <w:pPr>
        <w:numPr>
          <w:ilvl w:val="0"/>
          <w:numId w:val="19"/>
        </w:numPr>
        <w:tabs>
          <w:tab w:val="left" w:pos="1134"/>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投标人基本情况表；</w:t>
      </w:r>
    </w:p>
    <w:p>
      <w:pPr>
        <w:numPr>
          <w:ilvl w:val="0"/>
          <w:numId w:val="19"/>
        </w:numPr>
        <w:tabs>
          <w:tab w:val="left" w:pos="1134"/>
          <w:tab w:val="left" w:pos="1418"/>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服务方案及服务承诺；</w:t>
      </w:r>
    </w:p>
    <w:p>
      <w:pPr>
        <w:numPr>
          <w:ilvl w:val="0"/>
          <w:numId w:val="19"/>
        </w:numPr>
        <w:tabs>
          <w:tab w:val="left" w:pos="1134"/>
          <w:tab w:val="left" w:pos="1418"/>
        </w:tabs>
        <w:spacing w:after="200"/>
        <w:ind w:left="0" w:firstLine="54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承诺函。</w:t>
      </w:r>
    </w:p>
    <w:p>
      <w:pPr>
        <w:pStyle w:val="7"/>
        <w:numPr>
          <w:ilvl w:val="3"/>
          <w:numId w:val="4"/>
        </w:numPr>
        <w:spacing w:line="560" w:lineRule="exact"/>
        <w:rPr>
          <w:rFonts w:ascii="宋体" w:hAnsi="宋体"/>
          <w:b w:val="0"/>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报价</w:t>
      </w:r>
      <w:r>
        <w:rPr>
          <w:rFonts w:ascii="宋体" w:hAnsi="宋体"/>
          <w:color w:val="000000" w:themeColor="text1"/>
          <w14:textFill>
            <w14:solidFill>
              <w14:schemeClr w14:val="tx1"/>
            </w14:solidFill>
          </w14:textFill>
        </w:rPr>
        <w:t>要求响应文件</w:t>
      </w:r>
    </w:p>
    <w:p>
      <w:pPr>
        <w:tabs>
          <w:tab w:val="left" w:pos="1134"/>
          <w:tab w:val="left" w:pos="1418"/>
        </w:tabs>
        <w:spacing w:after="200"/>
        <w:ind w:firstLine="551" w:firstLineChars="19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一、开标一览表；</w:t>
      </w:r>
    </w:p>
    <w:p>
      <w:pPr>
        <w:tabs>
          <w:tab w:val="left" w:pos="1134"/>
          <w:tab w:val="left" w:pos="1418"/>
        </w:tabs>
        <w:spacing w:after="200"/>
        <w:ind w:firstLine="551" w:firstLineChars="196"/>
        <w:rPr>
          <w:rFonts w:ascii="宋体" w:hAnsi="宋体"/>
          <w:b/>
          <w:color w:val="000000" w:themeColor="text1"/>
          <w:kern w:val="0"/>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二、分项报价明细表。</w:t>
      </w:r>
    </w:p>
    <w:p>
      <w:pPr>
        <w:pStyle w:val="6"/>
        <w:numPr>
          <w:ilvl w:val="2"/>
          <w:numId w:val="4"/>
        </w:numPr>
        <w:spacing w:after="200" w:line="240" w:lineRule="auto"/>
        <w:ind w:left="0" w:firstLine="0"/>
        <w:rPr>
          <w:color w:val="000000" w:themeColor="text1"/>
          <w14:textFill>
            <w14:solidFill>
              <w14:schemeClr w14:val="tx1"/>
            </w14:solidFill>
          </w14:textFill>
        </w:rPr>
      </w:pPr>
      <w:bookmarkStart w:id="76" w:name="_Toc316291395"/>
      <w:bookmarkEnd w:id="76"/>
      <w:bookmarkStart w:id="77" w:name="_Toc316292020"/>
      <w:bookmarkEnd w:id="77"/>
      <w:bookmarkStart w:id="78" w:name="_Toc316291396"/>
      <w:bookmarkEnd w:id="78"/>
      <w:bookmarkStart w:id="79" w:name="_Toc316292019"/>
      <w:bookmarkEnd w:id="79"/>
      <w:bookmarkStart w:id="80" w:name="_Toc217446049"/>
      <w:bookmarkStart w:id="81" w:name="_Toc183582218"/>
      <w:bookmarkStart w:id="82" w:name="_Toc183682355"/>
      <w:r>
        <w:rPr>
          <w:rFonts w:hint="eastAsia"/>
          <w:color w:val="000000" w:themeColor="text1"/>
          <w14:textFill>
            <w14:solidFill>
              <w14:schemeClr w14:val="tx1"/>
            </w14:solidFill>
          </w14:textFill>
        </w:rPr>
        <w:t>投标文件格式</w:t>
      </w:r>
      <w:bookmarkEnd w:id="80"/>
      <w:bookmarkEnd w:id="81"/>
      <w:bookmarkEnd w:id="82"/>
      <w:r>
        <w:rPr>
          <w:rFonts w:hint="eastAsia"/>
          <w:color w:val="000000" w:themeColor="text1"/>
          <w14:textFill>
            <w14:solidFill>
              <w14:schemeClr w14:val="tx1"/>
            </w14:solidFill>
          </w14:textFill>
        </w:rPr>
        <w:tab/>
      </w:r>
    </w:p>
    <w:p>
      <w:pPr>
        <w:numPr>
          <w:ilvl w:val="0"/>
          <w:numId w:val="2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投标人应按照招标文件第3章中提供的“投标文件格式”填写相关内容。</w:t>
      </w:r>
    </w:p>
    <w:p>
      <w:pPr>
        <w:numPr>
          <w:ilvl w:val="0"/>
          <w:numId w:val="20"/>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对于没有格式要求的投标文件由投标人自行编写。</w:t>
      </w:r>
    </w:p>
    <w:p>
      <w:pPr>
        <w:pStyle w:val="6"/>
        <w:numPr>
          <w:ilvl w:val="2"/>
          <w:numId w:val="4"/>
        </w:numPr>
        <w:spacing w:after="200" w:line="240" w:lineRule="auto"/>
        <w:ind w:left="0" w:firstLine="0"/>
        <w:rPr>
          <w:color w:val="000000" w:themeColor="text1"/>
          <w14:textFill>
            <w14:solidFill>
              <w14:schemeClr w14:val="tx1"/>
            </w14:solidFill>
          </w14:textFill>
        </w:rPr>
      </w:pPr>
      <w:bookmarkStart w:id="83" w:name="_Toc183682360"/>
      <w:bookmarkStart w:id="84" w:name="_Toc217446050"/>
      <w:bookmarkStart w:id="85" w:name="_Toc183582223"/>
      <w:r>
        <w:rPr>
          <w:rFonts w:hint="eastAsia"/>
          <w:color w:val="000000" w:themeColor="text1"/>
          <w14:textFill>
            <w14:solidFill>
              <w14:schemeClr w14:val="tx1"/>
            </w14:solidFill>
          </w14:textFill>
        </w:rPr>
        <w:t>投标报价</w:t>
      </w:r>
    </w:p>
    <w:p>
      <w:pPr>
        <w:numPr>
          <w:ilvl w:val="0"/>
          <w:numId w:val="21"/>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投标人的报价是投标人响应招标项目要求的全部工作内容的价格体现，包括投标人完成本项目所需的一切费用。</w:t>
      </w:r>
    </w:p>
    <w:p>
      <w:pPr>
        <w:numPr>
          <w:ilvl w:val="0"/>
          <w:numId w:val="21"/>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投标人每种货物及服务内容只允许有一个报价，并且在合同履行过程中是固定不变的，任何有选择或可调整的报价将不予接受，并按无效投标处理。</w:t>
      </w:r>
    </w:p>
    <w:p>
      <w:pPr>
        <w:tabs>
          <w:tab w:val="left" w:pos="1134"/>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三、投标文件报价出现前后不一致的，按照下列规定修正：（1）大写金额和小写金额不一致的，以大写金额为准，但大写金额出现文字错误，导致金额无法判断的除外；（</w:t>
      </w:r>
      <w:r>
        <w:rPr>
          <w:rFonts w:ascii="宋体" w:hAnsi="宋体"/>
          <w:color w:val="000000" w:themeColor="text1"/>
          <w:sz w:val="28"/>
          <w:szCs w:val="28"/>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）单价金额小数点或者百分比有明显错位的，应以总价为准，并修改单价；（</w:t>
      </w:r>
      <w:r>
        <w:rPr>
          <w:rFonts w:ascii="宋体" w:hAnsi="宋体"/>
          <w:color w:val="000000" w:themeColor="text1"/>
          <w:sz w:val="28"/>
          <w:szCs w:val="28"/>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）总价金额与按单价汇总金额不一致的，以单价金额计算结果为准。</w:t>
      </w:r>
    </w:p>
    <w:p>
      <w:pPr>
        <w:tabs>
          <w:tab w:val="left" w:pos="1134"/>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cs="Arial"/>
          <w:color w:val="000000" w:themeColor="text1"/>
          <w:sz w:val="28"/>
          <w:szCs w:val="28"/>
          <w14:textFill>
            <w14:solidFill>
              <w14:schemeClr w14:val="tx1"/>
            </w14:solidFill>
          </w14:textFill>
        </w:rPr>
        <w:t>同时出现两种以上不一致的，按照前款规定的顺序修正。修正后的报价经投标人以书面形式通过政府采购云平台进行确认，并加盖投标人（法定名称）电子签章，投标人逾时确认的，其投标无效。</w:t>
      </w:r>
      <w:r>
        <w:rPr>
          <w:rFonts w:hint="eastAsia" w:ascii="宋体" w:hAnsi="宋体"/>
          <w:color w:val="000000" w:themeColor="text1"/>
          <w:sz w:val="28"/>
          <w:szCs w:val="28"/>
          <w14:textFill>
            <w14:solidFill>
              <w14:schemeClr w14:val="tx1"/>
            </w14:solidFill>
          </w14:textFill>
        </w:rPr>
        <w:t>如因断电、断网、系统故障或其他不可抗力等因素</w:t>
      </w:r>
      <w:r>
        <w:rPr>
          <w:rFonts w:hint="eastAsia" w:cs="Arial"/>
          <w:color w:val="000000" w:themeColor="text1"/>
          <w:sz w:val="28"/>
          <w:szCs w:val="28"/>
          <w14:textFill>
            <w14:solidFill>
              <w14:schemeClr w14:val="tx1"/>
            </w14:solidFill>
          </w14:textFill>
        </w:rPr>
        <w:t>，导致系统无法使用的，由投标人按评标委员会的要求进行澄清或者说明。</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投标保证金</w:t>
      </w:r>
      <w:bookmarkEnd w:id="83"/>
      <w:bookmarkEnd w:id="84"/>
      <w:bookmarkEnd w:id="85"/>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本项目不收取投标保证金。</w:t>
      </w:r>
    </w:p>
    <w:p>
      <w:pPr>
        <w:pStyle w:val="6"/>
        <w:numPr>
          <w:ilvl w:val="2"/>
          <w:numId w:val="4"/>
        </w:numPr>
        <w:tabs>
          <w:tab w:val="left" w:pos="851"/>
        </w:tabs>
        <w:spacing w:after="200" w:line="240" w:lineRule="auto"/>
        <w:ind w:left="0" w:firstLine="0"/>
        <w:rPr>
          <w:color w:val="000000" w:themeColor="text1"/>
          <w14:textFill>
            <w14:solidFill>
              <w14:schemeClr w14:val="tx1"/>
            </w14:solidFill>
          </w14:textFill>
        </w:rPr>
      </w:pPr>
      <w:bookmarkStart w:id="86" w:name="_Toc316292024"/>
      <w:bookmarkEnd w:id="86"/>
      <w:bookmarkStart w:id="87" w:name="_Toc316291400"/>
      <w:bookmarkEnd w:id="87"/>
      <w:bookmarkStart w:id="88" w:name="_Toc217446051"/>
      <w:bookmarkStart w:id="89" w:name="_Toc183582224"/>
      <w:bookmarkStart w:id="90" w:name="_Toc183682361"/>
      <w:r>
        <w:rPr>
          <w:rFonts w:hint="eastAsia"/>
          <w:color w:val="000000" w:themeColor="text1"/>
          <w14:textFill>
            <w14:solidFill>
              <w14:schemeClr w14:val="tx1"/>
            </w14:solidFill>
          </w14:textFill>
        </w:rPr>
        <w:t>投标有效期</w:t>
      </w:r>
      <w:bookmarkEnd w:id="88"/>
      <w:bookmarkEnd w:id="89"/>
      <w:bookmarkEnd w:id="90"/>
    </w:p>
    <w:p>
      <w:pPr>
        <w:numPr>
          <w:ilvl w:val="0"/>
          <w:numId w:val="22"/>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投标有效期为</w:t>
      </w:r>
      <w:r>
        <w:rPr>
          <w:rFonts w:hint="eastAsia" w:ascii="Helvetica" w:hAnsi="Helvetica" w:cs="Helvetica"/>
          <w:color w:val="000000" w:themeColor="text1"/>
          <w:sz w:val="28"/>
          <w:szCs w:val="28"/>
          <w14:textFill>
            <w14:solidFill>
              <w14:schemeClr w14:val="tx1"/>
            </w14:solidFill>
          </w14:textFill>
        </w:rPr>
        <w:t>提交投标文件的截止之日起</w:t>
      </w:r>
      <w:r>
        <w:rPr>
          <w:rFonts w:hint="eastAsia" w:ascii="宋体" w:hAnsi="宋体"/>
          <w:color w:val="000000" w:themeColor="text1"/>
          <w:sz w:val="28"/>
          <w:szCs w:val="28"/>
          <w:u w:val="single"/>
          <w14:textFill>
            <w14:solidFill>
              <w14:schemeClr w14:val="tx1"/>
            </w14:solidFill>
          </w14:textFill>
        </w:rPr>
        <w:t>120</w:t>
      </w:r>
      <w:r>
        <w:rPr>
          <w:rFonts w:hint="eastAsia" w:ascii="宋体" w:hAnsi="宋体"/>
          <w:color w:val="000000" w:themeColor="text1"/>
          <w:sz w:val="28"/>
          <w:szCs w:val="28"/>
          <w14:textFill>
            <w14:solidFill>
              <w14:schemeClr w14:val="tx1"/>
            </w14:solidFill>
          </w14:textFill>
        </w:rPr>
        <w:t>天。投标有效期短于此规定期限的或不作响应的，则其投标文件将按无效投标文件处理。</w:t>
      </w:r>
    </w:p>
    <w:p>
      <w:pPr>
        <w:numPr>
          <w:ilvl w:val="0"/>
          <w:numId w:val="22"/>
        </w:numPr>
        <w:tabs>
          <w:tab w:val="left" w:pos="1134"/>
        </w:tabs>
        <w:spacing w:after="200"/>
        <w:ind w:left="0" w:firstLine="567"/>
        <w:rPr>
          <w:rFonts w:ascii="宋体" w:hAnsi="宋体"/>
          <w:color w:val="000000" w:themeColor="text1"/>
          <w:sz w:val="28"/>
          <w:szCs w:val="28"/>
          <w14:textFill>
            <w14:solidFill>
              <w14:schemeClr w14:val="tx1"/>
            </w14:solidFill>
          </w14:textFill>
        </w:rPr>
      </w:pPr>
      <w:bookmarkStart w:id="91" w:name="_Toc183582225"/>
      <w:bookmarkStart w:id="92" w:name="_Toc183682362"/>
      <w:bookmarkStart w:id="93" w:name="_Toc217446052"/>
      <w:r>
        <w:rPr>
          <w:rFonts w:hint="eastAsia" w:ascii="宋体" w:hAnsi="宋体"/>
          <w:color w:val="000000" w:themeColor="text1"/>
          <w:sz w:val="28"/>
          <w:szCs w:val="28"/>
          <w14:textFill>
            <w14:solidFill>
              <w14:schemeClr w14:val="tx1"/>
            </w14:solidFill>
          </w14:textFill>
        </w:rPr>
        <w:t>特殊情况下，采购人可于投标有效期满之前要求投标人同意延长有效期，要求与答复均应为书面形式。投标人可以拒绝上述要求，其投标保证金不被没收。同意延长投标有效期的投标人不能修改其投标文件，关于投标保证金的有关规定在延长的投标有效期内继续有效。</w:t>
      </w:r>
    </w:p>
    <w:p>
      <w:pPr>
        <w:pStyle w:val="6"/>
        <w:numPr>
          <w:ilvl w:val="2"/>
          <w:numId w:val="4"/>
        </w:numPr>
        <w:tabs>
          <w:tab w:val="left" w:pos="851"/>
        </w:tabs>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投标文件的制作和签章、加密</w:t>
      </w:r>
      <w:bookmarkEnd w:id="91"/>
      <w:bookmarkEnd w:id="92"/>
      <w:bookmarkEnd w:id="93"/>
      <w:bookmarkStart w:id="94" w:name="_Toc316475581"/>
      <w:bookmarkEnd w:id="94"/>
      <w:bookmarkStart w:id="95" w:name="_Toc316475582"/>
      <w:bookmarkEnd w:id="95"/>
      <w:bookmarkStart w:id="96" w:name="_Toc316475583"/>
      <w:bookmarkEnd w:id="96"/>
      <w:bookmarkStart w:id="97" w:name="_Toc316475579"/>
      <w:bookmarkEnd w:id="97"/>
      <w:bookmarkStart w:id="98" w:name="_Toc316475577"/>
      <w:bookmarkEnd w:id="98"/>
      <w:bookmarkStart w:id="99" w:name="_Toc316475578"/>
      <w:bookmarkEnd w:id="99"/>
      <w:bookmarkStart w:id="100" w:name="_Toc316475580"/>
      <w:bookmarkEnd w:id="100"/>
      <w:bookmarkStart w:id="101" w:name="_Toc183582227"/>
      <w:bookmarkStart w:id="102" w:name="_Toc183682364"/>
      <w:bookmarkStart w:id="103" w:name="_Toc217446054"/>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一、投标文件应根据招标文件的要求进行制作。（说明：1、招标文件中要求提供复印件证明材料的，包含提供原件的影印件或复印件。2、要求提供复印件的证明材料须清晰可辨。）</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二、投标文件制作详情：</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实行电子投标。投标人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投标人应按招标文件要求，通过“政采云投标客户端”制作、加密并提交投标文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2、投标文件应加盖投标人（法定名称）电子签章，不得使用投标人专用章（如经济合同章、投标专用章等）或下属单位印章代替。</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3、投标人应使用本企业CA数字证书对投标文件进行加密。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4、招标文件有修改的，投标人须重新下载修改后的招标文件（修改后的招标文件在更正公告中下载），根据修改后的招标文件制作、撤回修改，并递交投标文件。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w:t>
      </w:r>
      <w:bookmarkEnd w:id="101"/>
      <w:bookmarkEnd w:id="102"/>
      <w:r>
        <w:rPr>
          <w:rFonts w:hint="eastAsia"/>
          <w:color w:val="000000" w:themeColor="text1"/>
          <w14:textFill>
            <w14:solidFill>
              <w14:schemeClr w14:val="tx1"/>
            </w14:solidFill>
          </w14:textFill>
        </w:rPr>
        <w:t>递交</w:t>
      </w:r>
      <w:bookmarkEnd w:id="103"/>
    </w:p>
    <w:p>
      <w:pPr>
        <w:tabs>
          <w:tab w:val="left" w:pos="0"/>
        </w:tabs>
        <w:spacing w:line="360" w:lineRule="auto"/>
        <w:ind w:firstLine="420" w:firstLineChars="150"/>
        <w:rPr>
          <w:rFonts w:ascii="宋体" w:hAnsi="宋体" w:eastAsiaTheme="minorEastAsia" w:cstheme="minorBidi"/>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一、投标人应当在投标文件递交截止时间前，将生成的已加密的电子投标文件成功递交至“政府采购云平台”。</w:t>
      </w:r>
    </w:p>
    <w:p>
      <w:pPr>
        <w:tabs>
          <w:tab w:val="left" w:pos="0"/>
        </w:tabs>
        <w:spacing w:line="360" w:lineRule="auto"/>
        <w:ind w:firstLine="420" w:firstLineChars="150"/>
        <w:rPr>
          <w:rFonts w:ascii="宋体" w:hAnsi="宋体" w:eastAsiaTheme="minorEastAsia" w:cstheme="minorBidi"/>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二、因招标文件的修改推迟投标截止日期的，投标人按高新区采购中心在“四川政府采购网”和“成都市公共资源交易服务中心”网站上发布的澄清公告中修改的时间递交投标文件，同时通过“政府采购云平台”将澄清或者修改的内容告知所有在系统中成功获取招标文件的潜在投标人。</w:t>
      </w:r>
    </w:p>
    <w:p>
      <w:pPr>
        <w:tabs>
          <w:tab w:val="left" w:pos="0"/>
        </w:tabs>
        <w:spacing w:line="360" w:lineRule="auto"/>
        <w:ind w:firstLine="420" w:firstLineChars="150"/>
        <w:rPr>
          <w:rFonts w:ascii="宋体" w:hAnsi="宋体"/>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三、投标人应充分考虑递交文件的不可预见因素，未在投标截止时间前完成递交的，在投标截止时间后将无法递交</w:t>
      </w:r>
      <w:r>
        <w:rPr>
          <w:rFonts w:hint="eastAsia" w:ascii="宋体" w:hAnsi="宋体"/>
          <w:bCs/>
          <w:color w:val="000000" w:themeColor="text1"/>
          <w:sz w:val="28"/>
          <w:szCs w:val="28"/>
          <w14:textFill>
            <w14:solidFill>
              <w14:schemeClr w14:val="tx1"/>
            </w14:solidFill>
          </w14:textFill>
        </w:rPr>
        <w:t>。</w:t>
      </w:r>
    </w:p>
    <w:p>
      <w:pPr>
        <w:pStyle w:val="6"/>
        <w:numPr>
          <w:ilvl w:val="2"/>
          <w:numId w:val="4"/>
        </w:numPr>
        <w:spacing w:after="200" w:line="276"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投标文件的补充、修改</w:t>
      </w:r>
    </w:p>
    <w:p>
      <w:pPr>
        <w:numPr>
          <w:ilvl w:val="0"/>
          <w:numId w:val="23"/>
        </w:numPr>
        <w:spacing w:before="120"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3"/>
        </w:numPr>
        <w:spacing w:before="120"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在投标截止时间之后，投标人不得对其递交的投标文件做任何补充、修改。</w:t>
      </w:r>
    </w:p>
    <w:p>
      <w:pPr>
        <w:pStyle w:val="6"/>
        <w:numPr>
          <w:ilvl w:val="2"/>
          <w:numId w:val="4"/>
        </w:numPr>
        <w:spacing w:after="200"/>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投标文件的撤回</w:t>
      </w:r>
    </w:p>
    <w:p>
      <w:pPr>
        <w:numPr>
          <w:ilvl w:val="0"/>
          <w:numId w:val="24"/>
        </w:numPr>
        <w:spacing w:before="120" w:after="200" w:line="360" w:lineRule="auto"/>
        <w:ind w:left="0" w:firstLine="567"/>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在投标截止时间之前，投标人可对已递交的投标文件进行撤回。在投标截止时间之后，投标人不得撤回投标文件。</w:t>
      </w:r>
    </w:p>
    <w:p>
      <w:pPr>
        <w:pStyle w:val="6"/>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投标文件的解密</w:t>
      </w:r>
    </w:p>
    <w:p>
      <w:pPr>
        <w:tabs>
          <w:tab w:val="left" w:pos="1134"/>
        </w:tabs>
        <w:spacing w:before="120" w:line="360" w:lineRule="auto"/>
        <w:ind w:firstLine="565" w:firstLineChars="20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w:t>
      </w:r>
      <w:r>
        <w:rPr>
          <w:rFonts w:hint="eastAsia" w:ascii="宋体" w:hAnsi="宋体"/>
          <w:color w:val="000000" w:themeColor="text1"/>
          <w:sz w:val="28"/>
          <w:szCs w:val="28"/>
          <w14:textFill>
            <w14:solidFill>
              <w14:schemeClr w14:val="tx1"/>
            </w14:solidFill>
          </w14:textFill>
        </w:rPr>
        <w:t>登录政府采购云平台，点击“项目采购—开标评标”模块，找到对应项目，进入“开标大厅”，等待高新区采购中心开启解密后，进行线上解密。</w:t>
      </w:r>
      <w:r>
        <w:rPr>
          <w:rFonts w:hint="eastAsia" w:ascii="宋体" w:hAnsi="宋体"/>
          <w:bCs/>
          <w:color w:val="000000" w:themeColor="text1"/>
          <w:sz w:val="28"/>
          <w:szCs w:val="28"/>
          <w14:textFill>
            <w14:solidFill>
              <w14:schemeClr w14:val="tx1"/>
            </w14:solidFill>
          </w14:textFill>
        </w:rPr>
        <w:t>除因</w:t>
      </w:r>
      <w:r>
        <w:rPr>
          <w:rFonts w:hint="eastAsia" w:ascii="宋体" w:hAnsi="宋体"/>
          <w:color w:val="000000" w:themeColor="text1"/>
          <w:sz w:val="28"/>
          <w:szCs w:val="28"/>
          <w14:textFill>
            <w14:solidFill>
              <w14:schemeClr w14:val="tx1"/>
            </w14:solidFill>
          </w14:textFill>
        </w:rPr>
        <w:t>高新区采购中心</w:t>
      </w:r>
      <w:r>
        <w:rPr>
          <w:rFonts w:hint="eastAsia" w:ascii="宋体" w:hAnsi="宋体"/>
          <w:bCs/>
          <w:color w:val="000000" w:themeColor="text1"/>
          <w:sz w:val="28"/>
          <w:szCs w:val="28"/>
          <w14:textFill>
            <w14:solidFill>
              <w14:schemeClr w14:val="tx1"/>
            </w14:solidFill>
          </w14:textFill>
        </w:rPr>
        <w:t>断电、断网、系统故障或其他不可抗力等因素，导致系统无法使用外，投标人在规定的解密时间内，未成功解密的投标文件将视为无效投标文件。</w:t>
      </w:r>
    </w:p>
    <w:p>
      <w:pPr>
        <w:pStyle w:val="5"/>
        <w:numPr>
          <w:ilvl w:val="1"/>
          <w:numId w:val="4"/>
        </w:numPr>
        <w:spacing w:before="0" w:after="0" w:line="240" w:lineRule="auto"/>
        <w:ind w:left="2269" w:hanging="2269"/>
        <w:rPr>
          <w:color w:val="000000" w:themeColor="text1"/>
          <w14:textFill>
            <w14:solidFill>
              <w14:schemeClr w14:val="tx1"/>
            </w14:solidFill>
          </w14:textFill>
        </w:rPr>
      </w:pPr>
      <w:bookmarkStart w:id="104" w:name="_Toc316475586"/>
      <w:bookmarkEnd w:id="104"/>
      <w:bookmarkStart w:id="105" w:name="_Toc316475587"/>
      <w:bookmarkEnd w:id="105"/>
      <w:bookmarkStart w:id="106" w:name="_Toc28766"/>
      <w:bookmarkStart w:id="107" w:name="_Toc183582231"/>
      <w:bookmarkStart w:id="108" w:name="_Toc31524"/>
      <w:bookmarkStart w:id="109" w:name="_Toc89075878"/>
      <w:bookmarkStart w:id="110" w:name="_Toc217446056"/>
      <w:bookmarkStart w:id="111" w:name="_Toc4457"/>
      <w:bookmarkStart w:id="112" w:name="_Toc77400782"/>
      <w:bookmarkStart w:id="113" w:name="_Toc17847"/>
      <w:bookmarkStart w:id="114" w:name="_Toc16979"/>
      <w:bookmarkStart w:id="115" w:name="_Toc183682368"/>
      <w:r>
        <w:rPr>
          <w:rFonts w:hint="eastAsia"/>
          <w:color w:val="000000" w:themeColor="text1"/>
          <w14:textFill>
            <w14:solidFill>
              <w14:schemeClr w14:val="tx1"/>
            </w14:solidFill>
          </w14:textFill>
        </w:rPr>
        <w:t>开标、资格审查、评标和中标</w:t>
      </w:r>
      <w:bookmarkEnd w:id="106"/>
      <w:bookmarkEnd w:id="107"/>
      <w:bookmarkEnd w:id="108"/>
      <w:bookmarkEnd w:id="109"/>
      <w:bookmarkEnd w:id="110"/>
      <w:bookmarkEnd w:id="111"/>
      <w:bookmarkEnd w:id="112"/>
      <w:bookmarkEnd w:id="113"/>
      <w:bookmarkEnd w:id="114"/>
      <w:bookmarkEnd w:id="115"/>
    </w:p>
    <w:p>
      <w:pPr>
        <w:keepNext/>
        <w:keepLines/>
        <w:numPr>
          <w:ilvl w:val="2"/>
          <w:numId w:val="4"/>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116" w:name="_Toc183582232"/>
      <w:bookmarkStart w:id="117" w:name="_Toc183682369"/>
      <w:bookmarkStart w:id="118" w:name="_Toc217446057"/>
      <w:r>
        <w:rPr>
          <w:rFonts w:hint="eastAsia" w:ascii="宋体" w:hAnsi="宋体"/>
          <w:b/>
          <w:bCs/>
          <w:color w:val="000000" w:themeColor="text1"/>
          <w:sz w:val="28"/>
          <w:szCs w:val="28"/>
          <w14:textFill>
            <w14:solidFill>
              <w14:schemeClr w14:val="tx1"/>
            </w14:solidFill>
          </w14:textFill>
        </w:rPr>
        <w:t>开标</w:t>
      </w:r>
      <w:bookmarkEnd w:id="116"/>
      <w:bookmarkEnd w:id="117"/>
      <w:bookmarkEnd w:id="118"/>
      <w:r>
        <w:rPr>
          <w:rFonts w:hint="eastAsia" w:ascii="宋体" w:hAnsi="宋体"/>
          <w:b/>
          <w:bCs/>
          <w:color w:val="000000" w:themeColor="text1"/>
          <w:sz w:val="28"/>
          <w:szCs w:val="28"/>
          <w14:textFill>
            <w14:solidFill>
              <w14:schemeClr w14:val="tx1"/>
            </w14:solidFill>
          </w14:textFill>
        </w:rPr>
        <w:t>及开标程序</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本项目为不见面开标项目。递交电子投标文件的投标人不足3家的，不予开标。</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开标准备工作。投标人需在开标当日、投标截止时间前登录“政府采购云平台”，通过“开标大厅”参与不见面开标。登录成都市公共资源交易服务中心门户网站（https://www.cdggzy.com/）—政府采购云平台—项目采购—开标评标—开标大厅（找到对应项目）。提示：投标人未按时登录不见面开标系统，错过开标解密时间的，由投标人自行承担不利后果。</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解密投标文件。等待高新区采购中心开启解密后，投标人进行线上解密。开启解密后，投标人应在60分钟内，使用加密该投标文件的CA数字证书在线完成投标文件的解密。除因高新区采购中心断电、断网、系统故障或其他不可抗力等因素，导致系统无法使用外，投标人在规定的解密时间内，未成功解密的投标文件将视为无效投标文件。</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投标人对开标过程和开标记录有疑义，以及认为采购人、高新区采购中心相关工作人员有需要回避的情形的，及时向工作人员提出询问或者回避申请。采购人、高新区采购中心对投标人提出的询问或者回避申请应当及时处理。</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因高新区采购中心断电、断网、系统故障或其他不可抗力等因素导致不见面开标系统无法正常运行的，开标活动中止或延迟，待系统恢复正常后继续进行开标活动。</w:t>
      </w:r>
    </w:p>
    <w:p>
      <w:pPr>
        <w:pStyle w:val="86"/>
        <w:numPr>
          <w:ilvl w:val="0"/>
          <w:numId w:val="25"/>
        </w:numPr>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不见面开标过程中，各方主体均应遵守互联网有关规定，不得发表与交易活动无关的言论。</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资格审查</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详见招标文件第5章。</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评标</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详见招标文件第6章。</w:t>
      </w:r>
    </w:p>
    <w:p>
      <w:pPr>
        <w:pStyle w:val="6"/>
        <w:numPr>
          <w:ilvl w:val="2"/>
          <w:numId w:val="4"/>
        </w:numPr>
        <w:spacing w:after="200" w:line="240" w:lineRule="auto"/>
        <w:ind w:left="0" w:firstLine="0"/>
        <w:rPr>
          <w:color w:val="000000" w:themeColor="text1"/>
          <w14:textFill>
            <w14:solidFill>
              <w14:schemeClr w14:val="tx1"/>
            </w14:solidFill>
          </w14:textFill>
        </w:rPr>
      </w:pPr>
      <w:bookmarkStart w:id="119" w:name="_Toc183582238"/>
      <w:bookmarkStart w:id="120" w:name="_Toc183682375"/>
      <w:bookmarkStart w:id="121" w:name="_Toc217446063"/>
      <w:r>
        <w:rPr>
          <w:rFonts w:hint="eastAsia"/>
          <w:color w:val="000000" w:themeColor="text1"/>
          <w14:textFill>
            <w14:solidFill>
              <w14:schemeClr w14:val="tx1"/>
            </w14:solidFill>
          </w14:textFill>
        </w:rPr>
        <w:t>中标通知</w:t>
      </w:r>
      <w:bookmarkEnd w:id="119"/>
      <w:bookmarkEnd w:id="120"/>
      <w:r>
        <w:rPr>
          <w:rFonts w:hint="eastAsia"/>
          <w:color w:val="000000" w:themeColor="text1"/>
          <w14:textFill>
            <w14:solidFill>
              <w14:schemeClr w14:val="tx1"/>
            </w14:solidFill>
          </w14:textFill>
        </w:rPr>
        <w:t>书</w:t>
      </w:r>
      <w:bookmarkEnd w:id="121"/>
    </w:p>
    <w:p>
      <w:pPr>
        <w:widowControl/>
        <w:ind w:right="210" w:firstLine="560" w:firstLineChars="200"/>
        <w:jc w:val="left"/>
        <w:rPr>
          <w:rFonts w:ascii="宋体" w:hAnsi="宋体"/>
          <w:color w:val="000000" w:themeColor="text1"/>
          <w:sz w:val="28"/>
          <w:szCs w:val="28"/>
          <w14:textFill>
            <w14:solidFill>
              <w14:schemeClr w14:val="tx1"/>
            </w14:solidFill>
          </w14:textFill>
        </w:rPr>
      </w:pPr>
      <w:bookmarkStart w:id="122" w:name="_Toc217446064"/>
      <w:bookmarkStart w:id="123" w:name="_Toc183682377"/>
      <w:bookmarkStart w:id="124" w:name="_Toc183582240"/>
      <w:r>
        <w:rPr>
          <w:rFonts w:hint="eastAsia" w:ascii="宋体" w:hAnsi="宋体"/>
          <w:color w:val="000000" w:themeColor="text1"/>
          <w:sz w:val="28"/>
          <w:szCs w:val="28"/>
          <w14:textFill>
            <w14:solidFill>
              <w14:schemeClr w14:val="tx1"/>
            </w14:solidFill>
          </w14:textFill>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二、中标通知书对采购人和中标人均具有法律效力。中标通知书发出后，采购人改变中标结果，或者中标人无正当理由放弃中标的，应当承担相应的法律责任。</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三、中标公告在四川政府采购网上公告后，中标供应商自行登录政府采购云平台下载中标通知书。</w:t>
      </w:r>
    </w:p>
    <w:p>
      <w:pPr>
        <w:pStyle w:val="5"/>
        <w:numPr>
          <w:ilvl w:val="1"/>
          <w:numId w:val="4"/>
        </w:numPr>
        <w:spacing w:before="0" w:after="0" w:line="240" w:lineRule="auto"/>
        <w:ind w:left="2269" w:hanging="2269"/>
        <w:rPr>
          <w:color w:val="000000" w:themeColor="text1"/>
          <w14:textFill>
            <w14:solidFill>
              <w14:schemeClr w14:val="tx1"/>
            </w14:solidFill>
          </w14:textFill>
        </w:rPr>
      </w:pPr>
      <w:bookmarkStart w:id="125" w:name="_Toc12385"/>
      <w:bookmarkStart w:id="126" w:name="_Toc18993"/>
      <w:bookmarkStart w:id="127" w:name="_Toc6010"/>
      <w:bookmarkStart w:id="128" w:name="_Toc19973"/>
      <w:bookmarkStart w:id="129" w:name="_Toc9092"/>
      <w:r>
        <w:rPr>
          <w:rFonts w:hint="eastAsia"/>
          <w:color w:val="000000" w:themeColor="text1"/>
          <w14:textFill>
            <w14:solidFill>
              <w14:schemeClr w14:val="tx1"/>
            </w14:solidFill>
          </w14:textFill>
        </w:rPr>
        <w:t>签订及履行合同</w:t>
      </w:r>
      <w:bookmarkEnd w:id="122"/>
      <w:r>
        <w:rPr>
          <w:rFonts w:hint="eastAsia"/>
          <w:color w:val="000000" w:themeColor="text1"/>
          <w14:textFill>
            <w14:solidFill>
              <w14:schemeClr w14:val="tx1"/>
            </w14:solidFill>
          </w14:textFill>
        </w:rPr>
        <w:t>和验收</w:t>
      </w:r>
      <w:bookmarkEnd w:id="125"/>
      <w:bookmarkEnd w:id="126"/>
      <w:bookmarkEnd w:id="127"/>
      <w:bookmarkEnd w:id="128"/>
      <w:bookmarkEnd w:id="129"/>
    </w:p>
    <w:p>
      <w:pPr>
        <w:pStyle w:val="6"/>
        <w:numPr>
          <w:ilvl w:val="2"/>
          <w:numId w:val="4"/>
        </w:numPr>
        <w:spacing w:after="200" w:line="240" w:lineRule="auto"/>
        <w:ind w:left="0" w:firstLine="0"/>
        <w:rPr>
          <w:color w:val="000000" w:themeColor="text1"/>
          <w14:textFill>
            <w14:solidFill>
              <w14:schemeClr w14:val="tx1"/>
            </w14:solidFill>
          </w14:textFill>
        </w:rPr>
      </w:pPr>
      <w:bookmarkStart w:id="130" w:name="_Toc217446065"/>
      <w:r>
        <w:rPr>
          <w:rFonts w:hint="eastAsia"/>
          <w:color w:val="000000" w:themeColor="text1"/>
          <w14:textFill>
            <w14:solidFill>
              <w14:schemeClr w14:val="tx1"/>
            </w14:solidFill>
          </w14:textFill>
        </w:rPr>
        <w:t>签订合同</w:t>
      </w:r>
      <w:bookmarkEnd w:id="130"/>
    </w:p>
    <w:p>
      <w:pPr>
        <w:numPr>
          <w:ilvl w:val="0"/>
          <w:numId w:val="26"/>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疫情防控期间，采购人原则上在中标通知书发出之日起5个工作日内与中标人签订采购合同。因中标人的原因在中标通知书发出之日起30日内未与采购人签订采购合同或者中标人拒绝与采购人签订合同的，采购人可以按照评审报告推荐的中标候选人名单排序，确定下一候选人为中标供应商，也可以重新开展政府采购活动。</w:t>
      </w:r>
    </w:p>
    <w:p>
      <w:pPr>
        <w:numPr>
          <w:ilvl w:val="0"/>
          <w:numId w:val="26"/>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采购人不得向中标人提出任何不合理的要求，作为签订合同的条件，不得与中标人私下订立背离合同实质性内容的任何协议，所签订的合同不得对招标文件和中标人投标文件作实质性修改。</w:t>
      </w:r>
    </w:p>
    <w:p>
      <w:pPr>
        <w:numPr>
          <w:ilvl w:val="0"/>
          <w:numId w:val="26"/>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招标文件、投标文件、中标通知书等一切与本项目评标结果有关且经责任主体确认的资料均为合同的有效组成部分。</w:t>
      </w:r>
    </w:p>
    <w:p>
      <w:pPr>
        <w:numPr>
          <w:ilvl w:val="0"/>
          <w:numId w:val="26"/>
        </w:numPr>
        <w:tabs>
          <w:tab w:val="left" w:pos="1134"/>
        </w:tabs>
        <w:spacing w:after="200"/>
        <w:ind w:left="0" w:firstLine="565" w:firstLineChars="202"/>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询问或者质疑事项可能影响中标、成交结果的，采购人应当暂停签订合同，已经签订合同的，应当中止履行合同。</w:t>
      </w:r>
    </w:p>
    <w:p>
      <w:pPr>
        <w:pStyle w:val="6"/>
        <w:numPr>
          <w:ilvl w:val="2"/>
          <w:numId w:val="4"/>
        </w:numPr>
        <w:spacing w:after="200" w:line="240" w:lineRule="auto"/>
        <w:ind w:left="0" w:firstLine="0"/>
        <w:rPr>
          <w:color w:val="000000" w:themeColor="text1"/>
          <w14:textFill>
            <w14:solidFill>
              <w14:schemeClr w14:val="tx1"/>
            </w14:solidFill>
          </w14:textFill>
        </w:rPr>
      </w:pPr>
      <w:bookmarkStart w:id="131" w:name="_Toc315871033"/>
      <w:bookmarkEnd w:id="131"/>
      <w:bookmarkStart w:id="132" w:name="_Toc217446066"/>
      <w:bookmarkStart w:id="133" w:name="_Toc217446069"/>
      <w:r>
        <w:rPr>
          <w:rFonts w:hint="eastAsia"/>
          <w:color w:val="000000" w:themeColor="text1"/>
          <w14:textFill>
            <w14:solidFill>
              <w14:schemeClr w14:val="tx1"/>
            </w14:solidFill>
          </w14:textFill>
        </w:rPr>
        <w:t>合同分包</w:t>
      </w:r>
      <w:bookmarkEnd w:id="132"/>
      <w:r>
        <w:rPr>
          <w:rFonts w:hint="eastAsia"/>
          <w:color w:val="000000" w:themeColor="text1"/>
          <w14:textFill>
            <w14:solidFill>
              <w14:schemeClr w14:val="tx1"/>
            </w14:solidFill>
          </w14:textFill>
        </w:rPr>
        <w:t>和转包</w:t>
      </w:r>
    </w:p>
    <w:p>
      <w:pPr>
        <w:pStyle w:val="6"/>
        <w:numPr>
          <w:ilvl w:val="3"/>
          <w:numId w:val="4"/>
        </w:numPr>
        <w:spacing w:after="200" w:line="240" w:lineRule="auto"/>
        <w:rPr>
          <w:color w:val="000000" w:themeColor="text1"/>
          <w14:textFill>
            <w14:solidFill>
              <w14:schemeClr w14:val="tx1"/>
            </w14:solidFill>
          </w14:textFill>
        </w:rPr>
      </w:pPr>
      <w:bookmarkStart w:id="134" w:name="_Toc217446067"/>
      <w:r>
        <w:rPr>
          <w:rFonts w:hint="eastAsia"/>
          <w:color w:val="000000" w:themeColor="text1"/>
          <w14:textFill>
            <w14:solidFill>
              <w14:schemeClr w14:val="tx1"/>
            </w14:solidFill>
          </w14:textFill>
        </w:rPr>
        <w:t>合同分包</w:t>
      </w:r>
    </w:p>
    <w:p>
      <w:pPr>
        <w:pStyle w:val="123"/>
        <w:spacing w:line="360" w:lineRule="auto"/>
        <w:ind w:firstLine="560" w:firstLineChars="200"/>
        <w:rPr>
          <w:rFonts w:cs="Times New Roman"/>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 本</w:t>
      </w:r>
      <w:r>
        <w:rPr>
          <w:rFonts w:cs="Times New Roman"/>
          <w:color w:val="000000" w:themeColor="text1"/>
          <w:sz w:val="28"/>
          <w:szCs w:val="28"/>
          <w:lang w:val="zh-CN"/>
          <w14:textFill>
            <w14:solidFill>
              <w14:schemeClr w14:val="tx1"/>
            </w14:solidFill>
          </w14:textFill>
        </w:rPr>
        <w:t>项目不允许分包</w:t>
      </w:r>
      <w:r>
        <w:rPr>
          <w:rFonts w:hint="eastAsia" w:cs="Times New Roman"/>
          <w:color w:val="000000" w:themeColor="text1"/>
          <w:sz w:val="28"/>
          <w:szCs w:val="28"/>
          <w:lang w:val="zh-CN"/>
          <w14:textFill>
            <w14:solidFill>
              <w14:schemeClr w14:val="tx1"/>
            </w14:solidFill>
          </w14:textFill>
        </w:rPr>
        <w:t xml:space="preserve"> </w:t>
      </w:r>
    </w:p>
    <w:p>
      <w:pPr>
        <w:pStyle w:val="6"/>
        <w:numPr>
          <w:ilvl w:val="3"/>
          <w:numId w:val="4"/>
        </w:numPr>
        <w:spacing w:after="200"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合同转包</w:t>
      </w:r>
    </w:p>
    <w:p>
      <w:pPr>
        <w:ind w:firstLine="560" w:firstLineChars="200"/>
        <w:rPr>
          <w:rFonts w:ascii="宋体" w:hAnsi="宋体" w:cs="宋体"/>
          <w:color w:val="000000" w:themeColor="text1"/>
          <w:kern w:val="0"/>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一、严禁中标供应商将本项目转包。本项目所称转包，是指</w:t>
      </w:r>
      <w:r>
        <w:rPr>
          <w:rFonts w:hint="eastAsia" w:ascii="宋体" w:hAnsi="宋体" w:cs="宋体"/>
          <w:color w:val="000000" w:themeColor="text1"/>
          <w:kern w:val="0"/>
          <w:sz w:val="28"/>
          <w:szCs w:val="28"/>
          <w14:textFill>
            <w14:solidFill>
              <w14:schemeClr w14:val="tx1"/>
            </w14:solidFill>
          </w14:textFill>
        </w:rPr>
        <w:t xml:space="preserve">将本项目转给他人或者将本项目全部肢解以后以分包的名义分别转给他人的行为。 </w:t>
      </w:r>
    </w:p>
    <w:p>
      <w:pPr>
        <w:ind w:firstLine="49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二、中标供应商转包的，视同拒绝履行政府采购合同，将依法追究法律责任。</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采购人增加合同标的的权</w:t>
      </w:r>
      <w:bookmarkEnd w:id="134"/>
      <w:r>
        <w:rPr>
          <w:rFonts w:hint="eastAsia"/>
          <w:color w:val="000000" w:themeColor="text1"/>
          <w14:textFill>
            <w14:solidFill>
              <w14:schemeClr w14:val="tx1"/>
            </w14:solidFill>
          </w14:textFill>
        </w:rPr>
        <w:t>利</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pStyle w:val="6"/>
        <w:numPr>
          <w:ilvl w:val="2"/>
          <w:numId w:val="4"/>
        </w:numPr>
        <w:spacing w:after="200" w:line="240" w:lineRule="auto"/>
        <w:ind w:left="0" w:firstLine="0"/>
        <w:rPr>
          <w:color w:val="000000" w:themeColor="text1"/>
          <w14:textFill>
            <w14:solidFill>
              <w14:schemeClr w14:val="tx1"/>
            </w14:solidFill>
          </w14:textFill>
        </w:rPr>
      </w:pPr>
      <w:bookmarkStart w:id="135" w:name="_Toc217446068"/>
      <w:r>
        <w:rPr>
          <w:rFonts w:hint="eastAsia"/>
          <w:color w:val="000000" w:themeColor="text1"/>
          <w14:textFill>
            <w14:solidFill>
              <w14:schemeClr w14:val="tx1"/>
            </w14:solidFill>
          </w14:textFill>
        </w:rPr>
        <w:t>履约保证金</w:t>
      </w:r>
      <w:bookmarkEnd w:id="135"/>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w:t>
      </w:r>
      <w:r>
        <w:rPr>
          <w:rFonts w:ascii="宋体" w:hAnsi="宋体"/>
          <w:color w:val="000000" w:themeColor="text1"/>
          <w:sz w:val="28"/>
          <w:szCs w:val="28"/>
          <w14:textFill>
            <w14:solidFill>
              <w14:schemeClr w14:val="tx1"/>
            </w14:solidFill>
          </w14:textFill>
        </w:rPr>
        <w:t>收取履约保证金</w:t>
      </w:r>
      <w:r>
        <w:rPr>
          <w:rFonts w:hint="eastAsia" w:ascii="宋体" w:hAnsi="宋体"/>
          <w:color w:val="000000" w:themeColor="text1"/>
          <w:sz w:val="28"/>
          <w:szCs w:val="28"/>
          <w14:textFill>
            <w14:solidFill>
              <w14:schemeClr w14:val="tx1"/>
            </w14:solidFill>
          </w14:textFill>
        </w:rPr>
        <w:t>。</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合同公告</w:t>
      </w:r>
    </w:p>
    <w:p>
      <w:pPr>
        <w:pStyle w:val="14"/>
        <w:spacing w:line="24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采购人应当自政府采购合同签订之日起2个工作日内，在四川政府采购网公告，但政府采购合同中涉及国家秘密、商业秘密的内容除外。</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合同备案</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疫情防控期间，采购人原则上在5个工作日内与供应商签订政府采购合同及按成都市财政局的要求完成合同备案工作。</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履行合同</w:t>
      </w:r>
      <w:bookmarkEnd w:id="133"/>
    </w:p>
    <w:p>
      <w:pPr>
        <w:numPr>
          <w:ilvl w:val="0"/>
          <w:numId w:val="27"/>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合同一经签订，双方应严格履行合同规定的义务。</w:t>
      </w:r>
    </w:p>
    <w:p>
      <w:pPr>
        <w:numPr>
          <w:ilvl w:val="0"/>
          <w:numId w:val="27"/>
        </w:numPr>
        <w:tabs>
          <w:tab w:val="left" w:pos="1134"/>
        </w:tabs>
        <w:spacing w:after="200"/>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在合同履行过程中，如发生合同纠纷，合同双方应按照《中华人民共和国民法典》及合同条款的有关规定进行处理。</w:t>
      </w:r>
    </w:p>
    <w:p>
      <w:pPr>
        <w:pStyle w:val="6"/>
        <w:numPr>
          <w:ilvl w:val="2"/>
          <w:numId w:val="4"/>
        </w:numPr>
        <w:spacing w:after="200" w:line="240" w:lineRule="auto"/>
        <w:ind w:left="0" w:firstLine="0"/>
        <w:rPr>
          <w:color w:val="000000" w:themeColor="text1"/>
          <w14:textFill>
            <w14:solidFill>
              <w14:schemeClr w14:val="tx1"/>
            </w14:solidFill>
          </w14:textFill>
        </w:rPr>
      </w:pPr>
      <w:bookmarkStart w:id="136" w:name="_Toc217446070"/>
      <w:r>
        <w:rPr>
          <w:rFonts w:hint="eastAsia"/>
          <w:color w:val="000000" w:themeColor="text1"/>
          <w14:textFill>
            <w14:solidFill>
              <w14:schemeClr w14:val="tx1"/>
            </w14:solidFill>
          </w14:textFill>
        </w:rPr>
        <w:t>验收或考核</w:t>
      </w:r>
    </w:p>
    <w:p>
      <w:pPr>
        <w:pStyle w:val="14"/>
        <w:spacing w:after="0" w:line="240" w:lineRule="auto"/>
        <w:ind w:firstLine="560" w:firstLineChars="200"/>
        <w:rPr>
          <w:rFonts w:ascii="宋体" w:hAnsi="宋体"/>
          <w:b/>
          <w:color w:val="000000" w:themeColor="text1"/>
          <w14:textFill>
            <w14:solidFill>
              <w14:schemeClr w14:val="tx1"/>
            </w14:solidFill>
          </w14:textFill>
        </w:rPr>
      </w:pPr>
      <w:bookmarkStart w:id="137" w:name="_Toc217446071"/>
      <w:r>
        <w:rPr>
          <w:rFonts w:hint="eastAsia" w:ascii="宋体" w:hAnsi="宋体"/>
          <w:color w:val="000000" w:themeColor="text1"/>
          <w:sz w:val="28"/>
          <w:szCs w:val="28"/>
          <w14:textFill>
            <w14:solidFill>
              <w14:schemeClr w14:val="tx1"/>
            </w14:solidFill>
          </w14:textFill>
        </w:rPr>
        <w:t>采购人严格按照国家相关法律法规的要求组织验收或考核。</w:t>
      </w:r>
      <w:bookmarkEnd w:id="137"/>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资金支付</w:t>
      </w:r>
    </w:p>
    <w:p>
      <w:pPr>
        <w:pStyle w:val="41"/>
        <w:shd w:val="clear" w:color="auto" w:fill="FFFFFF"/>
        <w:spacing w:before="0" w:beforeAutospacing="0" w:after="0" w:afterAutospacing="0"/>
        <w:ind w:firstLine="57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采购人按财政部门的相关规定及采购合同的约定进行支付。</w:t>
      </w:r>
    </w:p>
    <w:bookmarkEnd w:id="123"/>
    <w:bookmarkEnd w:id="124"/>
    <w:bookmarkEnd w:id="136"/>
    <w:p>
      <w:pPr>
        <w:pStyle w:val="5"/>
        <w:numPr>
          <w:ilvl w:val="1"/>
          <w:numId w:val="4"/>
        </w:numPr>
        <w:spacing w:before="0" w:after="0" w:line="240" w:lineRule="auto"/>
        <w:ind w:left="2269" w:hanging="2269"/>
        <w:rPr>
          <w:color w:val="000000" w:themeColor="text1"/>
          <w14:textFill>
            <w14:solidFill>
              <w14:schemeClr w14:val="tx1"/>
            </w14:solidFill>
          </w14:textFill>
        </w:rPr>
      </w:pPr>
      <w:bookmarkStart w:id="138" w:name="_Toc6102"/>
      <w:bookmarkStart w:id="139" w:name="_Toc217446074"/>
      <w:bookmarkStart w:id="140" w:name="_Toc30945"/>
      <w:bookmarkStart w:id="141" w:name="_Toc12434"/>
      <w:bookmarkStart w:id="142" w:name="_Toc13859"/>
      <w:bookmarkStart w:id="143" w:name="_Toc7508"/>
      <w:bookmarkStart w:id="144" w:name="_Toc183682380"/>
      <w:bookmarkStart w:id="145" w:name="_Toc183582243"/>
      <w:r>
        <w:rPr>
          <w:rFonts w:hint="eastAsia"/>
          <w:color w:val="000000" w:themeColor="text1"/>
          <w14:textFill>
            <w14:solidFill>
              <w14:schemeClr w14:val="tx1"/>
            </w14:solidFill>
          </w14:textFill>
        </w:rPr>
        <w:t>投标纪律要求</w:t>
      </w:r>
      <w:bookmarkEnd w:id="138"/>
      <w:bookmarkEnd w:id="139"/>
      <w:bookmarkEnd w:id="140"/>
      <w:bookmarkEnd w:id="141"/>
      <w:bookmarkEnd w:id="142"/>
      <w:bookmarkEnd w:id="143"/>
    </w:p>
    <w:p>
      <w:pPr>
        <w:pStyle w:val="6"/>
        <w:numPr>
          <w:ilvl w:val="2"/>
          <w:numId w:val="4"/>
        </w:numPr>
        <w:spacing w:after="200" w:line="240" w:lineRule="auto"/>
        <w:ind w:left="0" w:firstLine="0"/>
        <w:rPr>
          <w:color w:val="000000" w:themeColor="text1"/>
          <w14:textFill>
            <w14:solidFill>
              <w14:schemeClr w14:val="tx1"/>
            </w14:solidFill>
          </w14:textFill>
        </w:rPr>
      </w:pPr>
      <w:bookmarkStart w:id="146" w:name="_Toc217446075"/>
      <w:r>
        <w:rPr>
          <w:rFonts w:hint="eastAsia"/>
          <w:color w:val="000000" w:themeColor="text1"/>
          <w14:textFill>
            <w14:solidFill>
              <w14:schemeClr w14:val="tx1"/>
            </w14:solidFill>
          </w14:textFill>
        </w:rPr>
        <w:t>投标人不得具有的情形</w:t>
      </w:r>
      <w:bookmarkEnd w:id="146"/>
    </w:p>
    <w:p>
      <w:pPr>
        <w:pStyle w:val="14"/>
        <w:spacing w:line="240" w:lineRule="auto"/>
        <w:ind w:firstLine="567"/>
        <w:rPr>
          <w:rFonts w:ascii="宋体" w:hAnsi="宋体"/>
          <w:color w:val="000000" w:themeColor="text1"/>
          <w:sz w:val="28"/>
          <w:szCs w:val="28"/>
          <w14:textFill>
            <w14:solidFill>
              <w14:schemeClr w14:val="tx1"/>
            </w14:solidFill>
          </w14:textFill>
        </w:rPr>
      </w:pPr>
      <w:bookmarkStart w:id="147" w:name="_Toc314574786"/>
      <w:r>
        <w:rPr>
          <w:rFonts w:hint="eastAsia" w:ascii="宋体" w:hAnsi="宋体"/>
          <w:color w:val="000000" w:themeColor="text1"/>
          <w:sz w:val="28"/>
          <w:szCs w:val="28"/>
          <w14:textFill>
            <w14:solidFill>
              <w14:schemeClr w14:val="tx1"/>
            </w14:solidFill>
          </w14:textFill>
        </w:rPr>
        <w:t>投标人参加投标不得有下列情形：</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有下列情形之一的，视为投标人串通投标：</w:t>
      </w:r>
    </w:p>
    <w:p>
      <w:pPr>
        <w:tabs>
          <w:tab w:val="left" w:pos="1134"/>
        </w:tabs>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（一）不同投标人的投标文件由同一单位或者个人编制；</w:t>
      </w:r>
    </w:p>
    <w:p>
      <w:pPr>
        <w:tabs>
          <w:tab w:val="left" w:pos="1134"/>
        </w:tabs>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（二）不同投标人委托同一单位或者个人办理投标事宜；</w:t>
      </w:r>
    </w:p>
    <w:p>
      <w:pPr>
        <w:tabs>
          <w:tab w:val="left" w:pos="1134"/>
        </w:tabs>
        <w:ind w:firstLine="425" w:firstLineChars="15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（三）不同投标人的投标文件载明的项目管理成员或者联系人员为同一人；</w:t>
      </w:r>
    </w:p>
    <w:p>
      <w:pPr>
        <w:tabs>
          <w:tab w:val="left" w:pos="1134"/>
        </w:tabs>
        <w:ind w:firstLine="420" w:firstLineChars="1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（四）不同投标人的投标文件异常一致或者投标报价呈规律性差异；</w:t>
      </w:r>
    </w:p>
    <w:p>
      <w:pPr>
        <w:tabs>
          <w:tab w:val="left" w:pos="1134"/>
        </w:tabs>
        <w:ind w:firstLine="420" w:firstLineChars="1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（五）不同投标人的投标文件相互混装；</w:t>
      </w:r>
    </w:p>
    <w:p>
      <w:pPr>
        <w:tabs>
          <w:tab w:val="left" w:pos="1134"/>
        </w:tabs>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（六）不同投标人的投标保证金从同一单位或者个人的账户转出；</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提供虚假材料谋取中标；</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采取不正当手段诋毁、排挤其他投标人；</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与采购人或</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、其他投标人恶意串通；</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向采购人或</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、评标委员会成员行贿或者提供其他不正当利益；</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在招标过程中与采购人或</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进行协商谈判；</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中标后无正当理由拒不与采购人签订政府采购合同；</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未按照采购文件确定的事项签订政府采购合同；</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将政府采购合同转包或者违规分包；</w:t>
      </w:r>
    </w:p>
    <w:p>
      <w:pPr>
        <w:numPr>
          <w:ilvl w:val="1"/>
          <w:numId w:val="28"/>
        </w:numPr>
        <w:tabs>
          <w:tab w:val="left" w:pos="1134"/>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提供假冒伪劣产品；</w:t>
      </w:r>
    </w:p>
    <w:p>
      <w:pPr>
        <w:numPr>
          <w:ilvl w:val="1"/>
          <w:numId w:val="28"/>
        </w:numPr>
        <w:tabs>
          <w:tab w:val="left" w:pos="1134"/>
          <w:tab w:val="left" w:pos="1418"/>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擅自变更、中止或者终止政府采购合同；</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十二、被列入失信被执行人、重大税收违法案件当事人名单、政府采购严重违法失信行为记录名单。参加政府采购活动前三年内，在经营活动中有重大违法记录；</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十三、在行贿犯罪信息查询期限内，根据中国裁判文书网（https://wenshu.court.gov.cn）查询结果供应商及其现任法定代表人、主要负责人有行贿犯罪记录；</w:t>
      </w:r>
    </w:p>
    <w:p>
      <w:pPr>
        <w:tabs>
          <w:tab w:val="left" w:pos="1134"/>
        </w:tabs>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十四、处于被行政部门禁止参与政府采购活动的期限内；</w:t>
      </w:r>
    </w:p>
    <w:p>
      <w:pPr>
        <w:tabs>
          <w:tab w:val="left" w:pos="1134"/>
        </w:tabs>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十五、拒绝有关部门的监督检查或者向监督检查部门提供虚假情况；</w:t>
      </w:r>
    </w:p>
    <w:p>
      <w:pPr>
        <w:pStyle w:val="14"/>
        <w:spacing w:line="24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十六、法律法规规定的其他情形。</w:t>
      </w:r>
    </w:p>
    <w:p>
      <w:pPr>
        <w:tabs>
          <w:tab w:val="left" w:pos="1134"/>
        </w:tabs>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投标人有上述情形的，按照规定追究法律责任，具备一至十四条情形之一的，同时将认定投标人投标无效或不确定其为中标人，或者取消中标资格或认定中标无效。</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保密</w:t>
      </w:r>
      <w:bookmarkEnd w:id="147"/>
    </w:p>
    <w:p>
      <w:pPr>
        <w:pStyle w:val="14"/>
        <w:numPr>
          <w:ilvl w:val="0"/>
          <w:numId w:val="29"/>
        </w:numPr>
        <w:tabs>
          <w:tab w:val="left" w:pos="1134"/>
        </w:tabs>
        <w:spacing w:after="0" w:line="24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不得透露有关在系统中成功提交《采购文件获取登记表》的潜在投标人的任何情况。</w:t>
      </w:r>
    </w:p>
    <w:p>
      <w:pPr>
        <w:pStyle w:val="14"/>
        <w:numPr>
          <w:ilvl w:val="0"/>
          <w:numId w:val="29"/>
        </w:numPr>
        <w:tabs>
          <w:tab w:val="left" w:pos="1134"/>
        </w:tabs>
        <w:spacing w:after="0" w:line="24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有关投标文件的审查、澄清、评估和比较以及合同授予意向等情况都不得对外透露。</w:t>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回避</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在政府采购活动中，采购人员（如</w:t>
      </w:r>
      <w:r>
        <w:rPr>
          <w:rFonts w:hint="eastAsia"/>
          <w:color w:val="000000" w:themeColor="text1"/>
          <w:sz w:val="28"/>
          <w:szCs w:val="28"/>
          <w14:textFill>
            <w14:solidFill>
              <w14:schemeClr w14:val="tx1"/>
            </w14:solidFill>
          </w14:textFill>
        </w:rPr>
        <w:t>采购人内部负责采购项目的具体经办工作人员或直接分管采购项目的负责人、</w:t>
      </w:r>
      <w:r>
        <w:rPr>
          <w:rFonts w:hint="eastAsia" w:cs="Arial"/>
          <w:color w:val="000000" w:themeColor="text1"/>
          <w:sz w:val="28"/>
          <w:szCs w:val="28"/>
          <w14:textFill>
            <w14:solidFill>
              <w14:schemeClr w14:val="tx1"/>
            </w14:solidFill>
          </w14:textFill>
        </w:rPr>
        <w:t>高新区采购中心</w:t>
      </w:r>
      <w:r>
        <w:rPr>
          <w:rFonts w:hint="eastAsia"/>
          <w:color w:val="000000" w:themeColor="text1"/>
          <w:sz w:val="28"/>
          <w:szCs w:val="28"/>
          <w14:textFill>
            <w14:solidFill>
              <w14:schemeClr w14:val="tx1"/>
            </w14:solidFill>
          </w14:textFill>
        </w:rPr>
        <w:t>负责采购项目的具体经办工作人员或直接分管采购活动的负责人等</w:t>
      </w:r>
      <w:r>
        <w:rPr>
          <w:rFonts w:hint="eastAsia" w:cs="Helvetica"/>
          <w:color w:val="000000" w:themeColor="text1"/>
          <w:sz w:val="28"/>
          <w:szCs w:val="28"/>
          <w14:textFill>
            <w14:solidFill>
              <w14:schemeClr w14:val="tx1"/>
            </w14:solidFill>
          </w14:textFill>
        </w:rPr>
        <w:t>）及相关人员与供应商有下列利害关系之一的，应当回避：</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（一）参加采购活动前3年内与供应商存在劳动关系；</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（二）参加采购活动前3年内担任供应商的董事、监事；</w:t>
      </w:r>
    </w:p>
    <w:p>
      <w:pPr>
        <w:pStyle w:val="41"/>
        <w:shd w:val="clear" w:color="auto" w:fill="FFFFFF"/>
        <w:spacing w:before="0" w:beforeAutospacing="0" w:after="0" w:afterAutospacing="0"/>
        <w:ind w:firstLine="562" w:firstLineChars="201"/>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（三）参加采购活动前3年内是供应商的控股股东或者实际控制人；</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（四）与供应商的法定代表人或者负责人有夫妻、直系血亲、三代以内旁系血亲或者近姻亲关系；</w:t>
      </w:r>
    </w:p>
    <w:p>
      <w:pPr>
        <w:pStyle w:val="41"/>
        <w:shd w:val="clear" w:color="auto" w:fill="FFFFFF"/>
        <w:spacing w:before="0" w:beforeAutospacing="0" w:after="0" w:afterAutospacing="0"/>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（五）与供应商有其他可能影响政府采购活动公平、公正进行的关系。</w:t>
      </w:r>
    </w:p>
    <w:p>
      <w:pPr>
        <w:pStyle w:val="41"/>
        <w:shd w:val="clear" w:color="auto" w:fill="FFFFFF"/>
        <w:spacing w:before="0" w:beforeAutospacing="0" w:after="0" w:afterAutospacing="0"/>
        <w:ind w:firstLine="560" w:firstLineChars="200"/>
        <w:rPr>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bookmarkEnd w:id="144"/>
    <w:bookmarkEnd w:id="145"/>
    <w:p>
      <w:pPr>
        <w:pStyle w:val="5"/>
        <w:numPr>
          <w:ilvl w:val="1"/>
          <w:numId w:val="4"/>
        </w:numPr>
        <w:spacing w:before="0" w:after="0" w:line="240" w:lineRule="auto"/>
        <w:ind w:left="993" w:hanging="993"/>
        <w:rPr>
          <w:color w:val="000000" w:themeColor="text1"/>
          <w14:textFill>
            <w14:solidFill>
              <w14:schemeClr w14:val="tx1"/>
            </w14:solidFill>
          </w14:textFill>
        </w:rPr>
      </w:pPr>
      <w:bookmarkStart w:id="148" w:name="_Toc21164"/>
      <w:bookmarkStart w:id="149" w:name="_Toc15833"/>
      <w:bookmarkStart w:id="150" w:name="_Toc446402234"/>
      <w:bookmarkStart w:id="151" w:name="_Toc26656"/>
      <w:bookmarkStart w:id="152" w:name="_Toc217446078"/>
      <w:bookmarkStart w:id="153" w:name="_Toc8315"/>
      <w:bookmarkStart w:id="154" w:name="_Toc1327"/>
      <w:bookmarkStart w:id="155" w:name="_Toc374971122"/>
      <w:bookmarkStart w:id="156" w:name="_Toc379536619"/>
      <w:r>
        <w:rPr>
          <w:rFonts w:hint="eastAsia"/>
          <w:color w:val="000000" w:themeColor="text1"/>
          <w14:textFill>
            <w14:solidFill>
              <w14:schemeClr w14:val="tx1"/>
            </w14:solidFill>
          </w14:textFill>
        </w:rPr>
        <w:t>询问、质疑和投诉</w:t>
      </w:r>
      <w:bookmarkEnd w:id="148"/>
      <w:bookmarkEnd w:id="149"/>
      <w:bookmarkEnd w:id="150"/>
      <w:bookmarkEnd w:id="151"/>
      <w:bookmarkEnd w:id="152"/>
      <w:bookmarkEnd w:id="153"/>
      <w:bookmarkEnd w:id="154"/>
      <w:bookmarkStart w:id="157" w:name="_Toc217446079"/>
    </w:p>
    <w:p>
      <w:pPr>
        <w:numPr>
          <w:ilvl w:val="0"/>
          <w:numId w:val="30"/>
        </w:numPr>
        <w:spacing w:line="500" w:lineRule="exact"/>
        <w:ind w:left="0" w:firstLine="567"/>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询问、质疑、投诉的接收和处理严格按照《中华人民共和国政府采购法》、《中华人民共和国政府采购法实施条例》《中华人民共和国财政部货物和服务招投标管理办法》（财政部第</w:t>
      </w:r>
      <w:r>
        <w:rPr>
          <w:color w:val="000000" w:themeColor="text1"/>
          <w:sz w:val="28"/>
          <w:szCs w:val="28"/>
          <w14:textFill>
            <w14:solidFill>
              <w14:schemeClr w14:val="tx1"/>
            </w14:solidFill>
          </w14:textFill>
        </w:rPr>
        <w:t>87</w:t>
      </w:r>
      <w:r>
        <w:rPr>
          <w:rFonts w:hint="eastAsia"/>
          <w:color w:val="000000" w:themeColor="text1"/>
          <w:sz w:val="28"/>
          <w:szCs w:val="28"/>
          <w14:textFill>
            <w14:solidFill>
              <w14:schemeClr w14:val="tx1"/>
            </w14:solidFill>
          </w14:textFill>
        </w:rPr>
        <w:t>号令）和《政府采购质疑和投诉办法》（财政部</w:t>
      </w:r>
      <w:r>
        <w:rPr>
          <w:color w:val="000000" w:themeColor="text1"/>
          <w:sz w:val="28"/>
          <w:szCs w:val="28"/>
          <w14:textFill>
            <w14:solidFill>
              <w14:schemeClr w14:val="tx1"/>
            </w14:solidFill>
          </w14:textFill>
        </w:rPr>
        <w:t>94</w:t>
      </w:r>
      <w:r>
        <w:rPr>
          <w:rFonts w:hint="eastAsia"/>
          <w:color w:val="000000" w:themeColor="text1"/>
          <w:sz w:val="28"/>
          <w:szCs w:val="28"/>
          <w14:textFill>
            <w14:solidFill>
              <w14:schemeClr w14:val="tx1"/>
            </w14:solidFill>
          </w14:textFill>
        </w:rPr>
        <w:t>号令）的规定办理。</w:t>
      </w:r>
    </w:p>
    <w:p>
      <w:pPr>
        <w:numPr>
          <w:ilvl w:val="0"/>
          <w:numId w:val="30"/>
        </w:numPr>
        <w:spacing w:line="500" w:lineRule="exact"/>
        <w:ind w:left="0" w:firstLine="567"/>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询问、质疑的对象</w:t>
      </w:r>
    </w:p>
    <w:p>
      <w:pPr>
        <w:numPr>
          <w:ilvl w:val="1"/>
          <w:numId w:val="31"/>
        </w:numPr>
        <w:tabs>
          <w:tab w:val="left" w:pos="0"/>
          <w:tab w:val="left" w:pos="1276"/>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对招标文件中</w:t>
      </w: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参加本次政府采购活动应当具备的条件，招标项目技术、服务、商务及其他要求，评标细则及标准，和中标结果中关于资格审查提出询问或质疑的，应通过</w:t>
      </w:r>
      <w:r>
        <w:rPr>
          <w:rFonts w:hint="eastAsia"/>
          <w:color w:val="000000" w:themeColor="text1"/>
          <w:sz w:val="28"/>
          <w:szCs w:val="28"/>
          <w14:textFill>
            <w14:solidFill>
              <w14:schemeClr w14:val="tx1"/>
            </w14:solidFill>
          </w14:textFill>
        </w:rPr>
        <w:t>“政府采购云平台”</w:t>
      </w:r>
      <w:r>
        <w:rPr>
          <w:rFonts w:hint="eastAsia" w:ascii="宋体" w:hAnsi="宋体"/>
          <w:color w:val="000000" w:themeColor="text1"/>
          <w:sz w:val="28"/>
          <w:szCs w:val="28"/>
          <w14:textFill>
            <w14:solidFill>
              <w14:schemeClr w14:val="tx1"/>
            </w14:solidFill>
          </w14:textFill>
        </w:rPr>
        <w:t>向采购人提出；</w:t>
      </w:r>
    </w:p>
    <w:p>
      <w:pPr>
        <w:numPr>
          <w:ilvl w:val="1"/>
          <w:numId w:val="31"/>
        </w:numPr>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供应商对除上述招标文件中的其他内容，采购过程及中标结果（除资格审查）提出询问或质疑的，应通过“政府采购云平台”向高新区采购中心提出</w:t>
      </w:r>
      <w:r>
        <w:rPr>
          <w:rFonts w:hint="eastAsia" w:ascii="宋体" w:hAnsi="宋体"/>
          <w:color w:val="000000" w:themeColor="text1"/>
          <w:sz w:val="28"/>
          <w:szCs w:val="28"/>
          <w14:textFill>
            <w14:solidFill>
              <w14:schemeClr w14:val="tx1"/>
            </w14:solidFill>
          </w14:textFill>
        </w:rPr>
        <w:t>。</w:t>
      </w:r>
    </w:p>
    <w:p>
      <w:pPr>
        <w:numPr>
          <w:ilvl w:val="0"/>
          <w:numId w:val="30"/>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供应商提出的询问，应当明确询问事项，如以书面形式提出的，应由供应商签字并加盖公章。</w:t>
      </w:r>
    </w:p>
    <w:p>
      <w:pPr>
        <w:numPr>
          <w:ilvl w:val="0"/>
          <w:numId w:val="30"/>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供应商应在法定质疑期内一次性提出针对同一采购程序环节的质疑。</w:t>
      </w:r>
    </w:p>
    <w:p>
      <w:pPr>
        <w:numPr>
          <w:ilvl w:val="0"/>
          <w:numId w:val="30"/>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供应商提出质疑时应当准备的资料</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（一）质疑书正本1份；</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（二）法定代表人授权委托书1份（委托代理人办理质疑事宜的需提供）；</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（三）营业执照或法人证书复印件1份（加盖公章）；</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（四）法定代表人身份证复印件1份；</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（五）委托代理人身份证复印件1份（委托代理人办理质疑事宜的需提供）；</w:t>
      </w:r>
    </w:p>
    <w:p>
      <w:pPr>
        <w:pStyle w:val="41"/>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（六）针对质疑事项必要的证明材料。</w:t>
      </w:r>
    </w:p>
    <w:p>
      <w:pPr>
        <w:numPr>
          <w:ilvl w:val="0"/>
          <w:numId w:val="30"/>
        </w:numPr>
        <w:tabs>
          <w:tab w:val="left" w:pos="1134"/>
        </w:tabs>
        <w:spacing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供应商对采购人</w:t>
      </w:r>
      <w:r>
        <w:rPr>
          <w:rFonts w:ascii="宋体" w:hAnsi="宋体"/>
          <w:color w:val="000000" w:themeColor="text1"/>
          <w:sz w:val="28"/>
          <w:szCs w:val="28"/>
          <w14:textFill>
            <w14:solidFill>
              <w14:schemeClr w14:val="tx1"/>
            </w14:solidFill>
          </w14:textFill>
        </w:rPr>
        <w:t>或</w:t>
      </w:r>
      <w:r>
        <w:rPr>
          <w:rFonts w:hint="eastAsia" w:ascii="宋体" w:hAnsi="宋体"/>
          <w:color w:val="000000" w:themeColor="text1"/>
          <w:sz w:val="28"/>
          <w:szCs w:val="28"/>
          <w14:textFill>
            <w14:solidFill>
              <w14:schemeClr w14:val="tx1"/>
            </w14:solidFill>
          </w14:textFill>
        </w:rPr>
        <w:t>高新区采购中心的质疑答复不满意，或者采购人</w:t>
      </w:r>
      <w:r>
        <w:rPr>
          <w:rFonts w:ascii="宋体" w:hAnsi="宋体"/>
          <w:color w:val="000000" w:themeColor="text1"/>
          <w:sz w:val="28"/>
          <w:szCs w:val="28"/>
          <w14:textFill>
            <w14:solidFill>
              <w14:schemeClr w14:val="tx1"/>
            </w14:solidFill>
          </w14:textFill>
        </w:rPr>
        <w:t>或</w:t>
      </w:r>
      <w:r>
        <w:rPr>
          <w:rFonts w:hint="eastAsia" w:ascii="宋体" w:hAnsi="宋体"/>
          <w:color w:val="000000" w:themeColor="text1"/>
          <w:sz w:val="28"/>
          <w:szCs w:val="28"/>
          <w14:textFill>
            <w14:solidFill>
              <w14:schemeClr w14:val="tx1"/>
            </w14:solidFill>
          </w14:textFill>
        </w:rPr>
        <w:t>高新区采购中心未在规定期限内作出答复的，供应商可以在答复期满后15个工作日内向同级财政部门提起投诉。</w:t>
      </w:r>
    </w:p>
    <w:bookmarkEnd w:id="157"/>
    <w:p>
      <w:pPr>
        <w:pStyle w:val="5"/>
        <w:numPr>
          <w:ilvl w:val="1"/>
          <w:numId w:val="4"/>
        </w:numPr>
        <w:spacing w:before="0" w:after="0" w:line="240" w:lineRule="auto"/>
        <w:ind w:left="2269" w:hanging="2269"/>
        <w:rPr>
          <w:color w:val="000000" w:themeColor="text1"/>
          <w:sz w:val="36"/>
          <w:szCs w:val="36"/>
          <w14:textFill>
            <w14:solidFill>
              <w14:schemeClr w14:val="tx1"/>
            </w14:solidFill>
          </w14:textFill>
        </w:rPr>
      </w:pPr>
      <w:bookmarkStart w:id="158" w:name="_Toc24812"/>
      <w:bookmarkStart w:id="159" w:name="_Toc10245"/>
      <w:bookmarkStart w:id="160" w:name="_Toc8941"/>
      <w:bookmarkStart w:id="161" w:name="_Toc11597"/>
      <w:bookmarkStart w:id="162" w:name="_Toc1212"/>
      <w:r>
        <w:rPr>
          <w:rFonts w:hint="eastAsia"/>
          <w:color w:val="000000" w:themeColor="text1"/>
          <w14:textFill>
            <w14:solidFill>
              <w14:schemeClr w14:val="tx1"/>
            </w14:solidFill>
          </w14:textFill>
        </w:rPr>
        <w:t>中小企业政府采购信用融资</w:t>
      </w:r>
      <w:bookmarkEnd w:id="155"/>
      <w:bookmarkEnd w:id="156"/>
      <w:bookmarkEnd w:id="158"/>
      <w:bookmarkEnd w:id="159"/>
      <w:bookmarkEnd w:id="160"/>
      <w:bookmarkEnd w:id="161"/>
      <w:bookmarkEnd w:id="162"/>
    </w:p>
    <w:p>
      <w:pPr>
        <w:numPr>
          <w:ilvl w:val="0"/>
          <w:numId w:val="32"/>
        </w:numPr>
        <w:tabs>
          <w:tab w:val="left" w:pos="1134"/>
        </w:tabs>
        <w:spacing w:line="500" w:lineRule="exact"/>
        <w:ind w:left="0" w:firstLine="567"/>
        <w:rPr>
          <w:rFonts w:ascii="宋体" w:hAnsi="宋体"/>
          <w:sz w:val="28"/>
          <w:szCs w:val="28"/>
        </w:rPr>
      </w:pPr>
      <w:r>
        <w:rPr>
          <w:rFonts w:hint="eastAsia" w:ascii="宋体" w:hAnsi="宋体"/>
          <w:sz w:val="28"/>
          <w:szCs w:val="28"/>
        </w:rPr>
        <w:t>参与本次招标活动中标的中小企业投标人无需提供财产抵押或第三方担保，凭借政府采购合同可向融资机构申请融资。</w:t>
      </w:r>
    </w:p>
    <w:p>
      <w:pPr>
        <w:numPr>
          <w:ilvl w:val="0"/>
          <w:numId w:val="32"/>
        </w:numPr>
        <w:tabs>
          <w:tab w:val="left" w:pos="1134"/>
        </w:tabs>
        <w:spacing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sz w:val="28"/>
          <w:szCs w:val="28"/>
        </w:rPr>
        <w:t>《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rPr>
          <w:rFonts w:ascii="宋体" w:hAnsi="宋体"/>
          <w:color w:val="000000" w:themeColor="text1"/>
          <w:sz w:val="28"/>
          <w:szCs w:val="28"/>
          <w14:textFill>
            <w14:solidFill>
              <w14:schemeClr w14:val="tx1"/>
            </w14:solidFill>
          </w14:textFill>
        </w:rPr>
      </w:pPr>
      <w:r>
        <w:rPr>
          <w:rFonts w:hint="eastAsia" w:ascii="宋体" w:hAnsi="宋体"/>
          <w:sz w:val="28"/>
          <w:szCs w:val="28"/>
        </w:rPr>
        <w:br w:type="page"/>
      </w:r>
    </w:p>
    <w:p>
      <w:pPr>
        <w:pStyle w:val="4"/>
        <w:numPr>
          <w:ilvl w:val="0"/>
          <w:numId w:val="4"/>
        </w:numPr>
        <w:spacing w:line="240" w:lineRule="auto"/>
        <w:rPr>
          <w:color w:val="000000" w:themeColor="text1"/>
          <w14:textFill>
            <w14:solidFill>
              <w14:schemeClr w14:val="tx1"/>
            </w14:solidFill>
          </w14:textFill>
        </w:rPr>
      </w:pPr>
      <w:bookmarkStart w:id="163" w:name="_Toc316292052"/>
      <w:bookmarkEnd w:id="163"/>
      <w:bookmarkStart w:id="164" w:name="_Toc316292049"/>
      <w:bookmarkEnd w:id="164"/>
      <w:bookmarkStart w:id="165" w:name="_Toc315871048"/>
      <w:bookmarkEnd w:id="165"/>
      <w:bookmarkStart w:id="166" w:name="_Toc315871045"/>
      <w:bookmarkEnd w:id="166"/>
      <w:bookmarkStart w:id="167" w:name="_Toc316292051"/>
      <w:bookmarkEnd w:id="167"/>
      <w:bookmarkStart w:id="168" w:name="_Toc315871050"/>
      <w:bookmarkEnd w:id="168"/>
      <w:bookmarkStart w:id="169" w:name="_Toc315871046"/>
      <w:bookmarkEnd w:id="169"/>
      <w:bookmarkStart w:id="170" w:name="_Toc316292050"/>
      <w:bookmarkEnd w:id="170"/>
      <w:bookmarkStart w:id="171" w:name="_Toc316292048"/>
      <w:bookmarkEnd w:id="171"/>
      <w:bookmarkStart w:id="172" w:name="_Toc315871047"/>
      <w:bookmarkEnd w:id="172"/>
      <w:bookmarkStart w:id="173" w:name="_Toc315871049"/>
      <w:bookmarkEnd w:id="173"/>
      <w:bookmarkStart w:id="174" w:name="_Toc29131"/>
      <w:bookmarkStart w:id="175" w:name="_Toc7565"/>
      <w:bookmarkStart w:id="176" w:name="_Toc17383"/>
      <w:bookmarkStart w:id="177" w:name="_Toc6713"/>
      <w:bookmarkStart w:id="178" w:name="_Toc8836"/>
      <w:r>
        <w:rPr>
          <w:rFonts w:hint="eastAsia"/>
          <w:color w:val="000000" w:themeColor="text1"/>
          <w14:textFill>
            <w14:solidFill>
              <w14:schemeClr w14:val="tx1"/>
            </w14:solidFill>
          </w14:textFill>
        </w:rPr>
        <w:t>投标文件格式</w:t>
      </w:r>
      <w:bookmarkEnd w:id="174"/>
      <w:bookmarkEnd w:id="175"/>
      <w:bookmarkEnd w:id="176"/>
      <w:bookmarkEnd w:id="177"/>
      <w:bookmarkEnd w:id="178"/>
    </w:p>
    <w:p>
      <w:pPr>
        <w:pStyle w:val="5"/>
        <w:numPr>
          <w:ilvl w:val="1"/>
          <w:numId w:val="4"/>
        </w:numPr>
        <w:spacing w:line="240" w:lineRule="auto"/>
        <w:ind w:left="2269" w:hanging="2269"/>
        <w:rPr>
          <w:color w:val="000000" w:themeColor="text1"/>
          <w14:textFill>
            <w14:solidFill>
              <w14:schemeClr w14:val="tx1"/>
            </w14:solidFill>
          </w14:textFill>
        </w:rPr>
      </w:pPr>
      <w:bookmarkStart w:id="179" w:name="_Toc13686"/>
      <w:bookmarkStart w:id="180" w:name="_Toc15035"/>
      <w:bookmarkStart w:id="181" w:name="_Toc23011"/>
      <w:bookmarkStart w:id="182" w:name="_Toc316462354"/>
      <w:bookmarkStart w:id="183" w:name="_Toc187"/>
      <w:bookmarkStart w:id="184" w:name="_Toc294688711"/>
      <w:bookmarkStart w:id="185" w:name="_Toc2879"/>
      <w:bookmarkStart w:id="186" w:name="_Toc287367101"/>
      <w:bookmarkStart w:id="187" w:name="_Toc211218954"/>
      <w:bookmarkStart w:id="188" w:name="_Toc294701519"/>
      <w:bookmarkStart w:id="189" w:name="_Toc295978802"/>
      <w:bookmarkStart w:id="190" w:name="_Toc182759327"/>
      <w:bookmarkStart w:id="191" w:name="_Toc182629023"/>
      <w:r>
        <w:rPr>
          <w:rFonts w:hint="eastAsia"/>
          <w:color w:val="000000" w:themeColor="text1"/>
          <w14:textFill>
            <w14:solidFill>
              <w14:schemeClr w14:val="tx1"/>
            </w14:solidFill>
          </w14:textFill>
        </w:rPr>
        <w:t>投标文件封面格式</w:t>
      </w:r>
      <w:bookmarkEnd w:id="179"/>
      <w:bookmarkEnd w:id="180"/>
      <w:bookmarkEnd w:id="181"/>
      <w:bookmarkEnd w:id="182"/>
      <w:bookmarkEnd w:id="183"/>
      <w:bookmarkEnd w:id="184"/>
      <w:bookmarkEnd w:id="185"/>
      <w:bookmarkEnd w:id="186"/>
      <w:bookmarkEnd w:id="187"/>
      <w:bookmarkEnd w:id="188"/>
      <w:bookmarkEnd w:id="189"/>
      <w:bookmarkEnd w:id="190"/>
      <w:bookmarkEnd w:id="191"/>
    </w:p>
    <w:p>
      <w:pPr>
        <w:rPr>
          <w:rFonts w:ascii="宋体" w:hAnsi="宋体"/>
          <w:bCs/>
          <w:color w:val="000000" w:themeColor="text1"/>
          <w:szCs w:val="21"/>
          <w14:textFill>
            <w14:solidFill>
              <w14:schemeClr w14:val="tx1"/>
            </w14:solidFill>
          </w14:textFill>
        </w:rPr>
      </w:pPr>
    </w:p>
    <w:p>
      <w:pPr>
        <w:rPr>
          <w:rFonts w:ascii="宋体" w:hAnsi="宋体"/>
          <w:bCs/>
          <w:color w:val="000000" w:themeColor="text1"/>
          <w:szCs w:val="21"/>
          <w14:textFill>
            <w14:solidFill>
              <w14:schemeClr w14:val="tx1"/>
            </w14:solidFill>
          </w14:textFill>
        </w:rPr>
      </w:pPr>
    </w:p>
    <w:p>
      <w:pPr>
        <w:rPr>
          <w:rFonts w:ascii="宋体" w:hAnsi="宋体"/>
          <w:bCs/>
          <w:color w:val="000000" w:themeColor="text1"/>
          <w:szCs w:val="21"/>
          <w14:textFill>
            <w14:solidFill>
              <w14:schemeClr w14:val="tx1"/>
            </w14:solidFill>
          </w14:textFill>
        </w:rPr>
      </w:pPr>
    </w:p>
    <w:p>
      <w:pPr>
        <w:jc w:val="right"/>
        <w:rPr>
          <w:rFonts w:ascii="宋体" w:hAnsi="宋体"/>
          <w:color w:val="000000" w:themeColor="text1"/>
          <w:sz w:val="24"/>
          <w14:textFill>
            <w14:solidFill>
              <w14:schemeClr w14:val="tx1"/>
            </w14:solidFill>
          </w14:textFill>
        </w:rPr>
      </w:pPr>
    </w:p>
    <w:p>
      <w:pPr>
        <w:jc w:val="center"/>
        <w:rPr>
          <w:rFonts w:ascii="宋体" w:hAnsi="宋体"/>
          <w:color w:val="000000" w:themeColor="text1"/>
          <w:spacing w:val="78"/>
          <w:sz w:val="120"/>
          <w:szCs w:val="120"/>
          <w14:textFill>
            <w14:solidFill>
              <w14:schemeClr w14:val="tx1"/>
            </w14:solidFill>
          </w14:textFill>
        </w:rPr>
      </w:pPr>
      <w:r>
        <w:rPr>
          <w:rFonts w:hint="eastAsia" w:ascii="宋体" w:hAnsi="宋体"/>
          <w:color w:val="000000" w:themeColor="text1"/>
          <w:spacing w:val="78"/>
          <w:sz w:val="120"/>
          <w:szCs w:val="120"/>
          <w14:textFill>
            <w14:solidFill>
              <w14:schemeClr w14:val="tx1"/>
            </w14:solidFill>
          </w14:textFill>
        </w:rPr>
        <w:t>投标文件</w:t>
      </w:r>
    </w:p>
    <w:p>
      <w:pPr>
        <w:rPr>
          <w:rFonts w:ascii="宋体" w:hAnsi="宋体"/>
          <w:bCs/>
          <w:color w:val="000000" w:themeColor="text1"/>
          <w:sz w:val="36"/>
          <w14:textFill>
            <w14:solidFill>
              <w14:schemeClr w14:val="tx1"/>
            </w14:solidFill>
          </w14:textFill>
        </w:rPr>
      </w:pPr>
    </w:p>
    <w:p>
      <w:pPr>
        <w:tabs>
          <w:tab w:val="left" w:pos="665"/>
          <w:tab w:val="left" w:pos="3241"/>
          <w:tab w:val="left" w:pos="3525"/>
          <w:tab w:val="left" w:pos="3994"/>
          <w:tab w:val="left" w:pos="4234"/>
        </w:tabs>
        <w:ind w:left="2125" w:leftChars="270" w:hanging="1558" w:hangingChars="485"/>
        <w:jc w:val="left"/>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项目名称：成都市教育科学研究院附属学校（成都市天府实验学校）物业管理服务采购项目</w:t>
      </w:r>
    </w:p>
    <w:p>
      <w:pPr>
        <w:tabs>
          <w:tab w:val="left" w:pos="665"/>
        </w:tabs>
        <w:ind w:firstLine="565" w:firstLineChars="176"/>
        <w:rPr>
          <w:rFonts w:hint="eastAsia" w:ascii="宋体" w:hAnsi="宋体" w:eastAsia="宋体"/>
          <w:b/>
          <w:bCs/>
          <w:color w:val="000000" w:themeColor="text1"/>
          <w:sz w:val="32"/>
          <w:szCs w:val="32"/>
          <w:lang w:eastAsia="zh-CN"/>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项目编号：</w:t>
      </w:r>
      <w:r>
        <w:rPr>
          <w:rFonts w:hint="eastAsia" w:ascii="宋体" w:hAnsi="宋体"/>
          <w:b/>
          <w:bCs/>
          <w:color w:val="000000" w:themeColor="text1"/>
          <w:sz w:val="32"/>
          <w:szCs w:val="32"/>
          <w:lang w:eastAsia="zh-CN"/>
          <w14:textFill>
            <w14:solidFill>
              <w14:schemeClr w14:val="tx1"/>
            </w14:solidFill>
          </w14:textFill>
        </w:rPr>
        <w:t>成都高新技术产业开发区政采（2021）A0028号</w:t>
      </w:r>
    </w:p>
    <w:p>
      <w:pPr>
        <w:jc w:val="left"/>
        <w:rPr>
          <w:rFonts w:ascii="宋体" w:hAnsi="宋体"/>
          <w:b/>
          <w:bCs/>
          <w:color w:val="000000" w:themeColor="text1"/>
          <w:sz w:val="36"/>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ind w:firstLine="630" w:firstLineChars="196"/>
        <w:jc w:val="left"/>
        <w:rPr>
          <w:rFonts w:ascii="宋体" w:hAnsi="宋体"/>
          <w:b/>
          <w:bCs/>
          <w:color w:val="000000" w:themeColor="text1"/>
          <w:sz w:val="32"/>
          <w:szCs w:val="32"/>
          <w:u w:val="single"/>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投标人名称：</w:t>
      </w:r>
      <w:r>
        <w:rPr>
          <w:rFonts w:hint="eastAsia" w:ascii="宋体" w:hAnsi="宋体"/>
          <w:b/>
          <w:color w:val="000000" w:themeColor="text1"/>
          <w:sz w:val="32"/>
          <w:szCs w:val="28"/>
          <w14:textFill>
            <w14:solidFill>
              <w14:schemeClr w14:val="tx1"/>
            </w14:solidFill>
          </w14:textFill>
        </w:rPr>
        <w:t>XXXX</w:t>
      </w:r>
    </w:p>
    <w:p>
      <w:pPr>
        <w:ind w:firstLine="569" w:firstLineChars="177"/>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日       期：20XX年XX月XX日</w:t>
      </w: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44"/>
        <w:ind w:firstLine="180"/>
      </w:pPr>
    </w:p>
    <w:p>
      <w:pPr>
        <w:pStyle w:val="5"/>
        <w:numPr>
          <w:ilvl w:val="1"/>
          <w:numId w:val="4"/>
        </w:numPr>
        <w:spacing w:before="0" w:after="0" w:line="240" w:lineRule="auto"/>
        <w:ind w:left="2269" w:hanging="2269"/>
        <w:rPr>
          <w:color w:val="000000" w:themeColor="text1"/>
          <w14:textFill>
            <w14:solidFill>
              <w14:schemeClr w14:val="tx1"/>
            </w14:solidFill>
          </w14:textFill>
        </w:rPr>
      </w:pPr>
      <w:bookmarkStart w:id="192" w:name="_Toc22607"/>
      <w:bookmarkStart w:id="193" w:name="_Toc22488"/>
      <w:bookmarkStart w:id="194" w:name="_Toc9940"/>
      <w:bookmarkStart w:id="195" w:name="_Toc729"/>
      <w:bookmarkStart w:id="196" w:name="_Toc18495"/>
      <w:bookmarkStart w:id="197" w:name="_Toc217446082"/>
      <w:r>
        <w:rPr>
          <w:rFonts w:hint="eastAsia"/>
          <w:color w:val="000000" w:themeColor="text1"/>
          <w14:textFill>
            <w14:solidFill>
              <w14:schemeClr w14:val="tx1"/>
            </w14:solidFill>
          </w14:textFill>
        </w:rPr>
        <w:t>资格</w:t>
      </w:r>
      <w:bookmarkEnd w:id="192"/>
      <w:bookmarkEnd w:id="193"/>
      <w:bookmarkEnd w:id="194"/>
      <w:bookmarkEnd w:id="195"/>
      <w:r>
        <w:rPr>
          <w:rFonts w:hint="eastAsia"/>
          <w:color w:val="000000" w:themeColor="text1"/>
          <w14:textFill>
            <w14:solidFill>
              <w14:schemeClr w14:val="tx1"/>
            </w14:solidFill>
          </w14:textFill>
        </w:rPr>
        <w:t>响应文件</w:t>
      </w:r>
      <w:bookmarkEnd w:id="196"/>
    </w:p>
    <w:p>
      <w:pPr>
        <w:pStyle w:val="6"/>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关于投标人资格申明的函</w:t>
      </w:r>
    </w:p>
    <w:p>
      <w:pPr>
        <w:rPr>
          <w:rFonts w:ascii="宋体" w:hAnsi="宋体"/>
          <w:color w:val="000000" w:themeColor="text1"/>
          <w:sz w:val="28"/>
          <w:szCs w:val="28"/>
          <w14:textFill>
            <w14:solidFill>
              <w14:schemeClr w14:val="tx1"/>
            </w14:solidFill>
          </w14:textFill>
        </w:rPr>
      </w:pPr>
      <w:bookmarkStart w:id="198" w:name="_Toc238581782"/>
      <w:bookmarkStart w:id="199" w:name="_Toc52184753"/>
      <w:bookmarkStart w:id="200" w:name="_Toc146903609"/>
      <w:bookmarkStart w:id="201" w:name="_Toc119295087"/>
      <w:bookmarkStart w:id="202" w:name="_Toc119296788"/>
      <w:bookmarkStart w:id="203" w:name="_Toc119203988"/>
      <w:r>
        <w:rPr>
          <w:rFonts w:hint="eastAsia" w:ascii="宋体" w:hAnsi="宋体"/>
          <w:color w:val="000000" w:themeColor="text1"/>
          <w:sz w:val="28"/>
          <w:szCs w:val="28"/>
          <w14:textFill>
            <w14:solidFill>
              <w14:schemeClr w14:val="tx1"/>
            </w14:solidFill>
          </w14:textFill>
        </w:rPr>
        <w:t>致：</w:t>
      </w:r>
      <w:bookmarkEnd w:id="198"/>
      <w:r>
        <w:rPr>
          <w:rFonts w:hint="eastAsia" w:ascii="宋体" w:hAnsi="宋体"/>
          <w:color w:val="000000" w:themeColor="text1"/>
          <w:sz w:val="28"/>
          <w:szCs w:val="28"/>
          <w14:textFill>
            <w14:solidFill>
              <w14:schemeClr w14:val="tx1"/>
            </w14:solidFill>
          </w14:textFill>
        </w:rPr>
        <w:t>成都高新区政府采购服务中心</w:t>
      </w:r>
    </w:p>
    <w:p>
      <w:pPr>
        <w:ind w:firstLine="565" w:firstLineChars="202"/>
        <w:rPr>
          <w:rFonts w:ascii="宋体" w:hAnsi="宋体"/>
          <w:color w:val="000000" w:themeColor="text1"/>
          <w:sz w:val="28"/>
          <w:szCs w:val="28"/>
          <w14:textFill>
            <w14:solidFill>
              <w14:schemeClr w14:val="tx1"/>
            </w14:solidFill>
          </w14:textFill>
        </w:rPr>
      </w:pPr>
      <w:bookmarkStart w:id="204" w:name="_Toc238581783"/>
      <w:r>
        <w:rPr>
          <w:rFonts w:hint="eastAsia" w:ascii="宋体" w:hAnsi="宋体"/>
          <w:color w:val="000000" w:themeColor="text1"/>
          <w:sz w:val="28"/>
          <w:szCs w:val="28"/>
          <w14:textFill>
            <w14:solidFill>
              <w14:schemeClr w14:val="tx1"/>
            </w14:solidFill>
          </w14:textFill>
        </w:rPr>
        <w:t>关于我方对</w:t>
      </w:r>
      <w:r>
        <w:rPr>
          <w:rFonts w:hint="eastAsia" w:ascii="宋体" w:hAnsi="宋体"/>
          <w:b/>
          <w:color w:val="000000" w:themeColor="text1"/>
          <w:sz w:val="28"/>
          <w:szCs w:val="28"/>
          <w:u w:val="single"/>
          <w14:textFill>
            <w14:solidFill>
              <w14:schemeClr w14:val="tx1"/>
            </w14:solidFill>
          </w14:textFill>
        </w:rPr>
        <w:t>成都市教育科学研究院附属学校（成都市天府实验学校）物业管理服务采购项目（项目编号：</w:t>
      </w:r>
      <w:r>
        <w:rPr>
          <w:rFonts w:hint="eastAsia" w:ascii="宋体" w:hAnsi="宋体"/>
          <w:b/>
          <w:color w:val="000000" w:themeColor="text1"/>
          <w:sz w:val="28"/>
          <w:szCs w:val="28"/>
          <w:u w:val="single"/>
          <w:lang w:eastAsia="zh-CN"/>
          <w14:textFill>
            <w14:solidFill>
              <w14:schemeClr w14:val="tx1"/>
            </w14:solidFill>
          </w14:textFill>
        </w:rPr>
        <w:t>成都高新技术产业开发区政采（2021）A0028号</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的公开招标，提交的下列文件和说明是准确的和真实的。</w:t>
      </w:r>
      <w:bookmarkEnd w:id="204"/>
    </w:p>
    <w:p>
      <w:pPr>
        <w:widowControl/>
        <w:numPr>
          <w:ilvl w:val="2"/>
          <w:numId w:val="33"/>
        </w:numPr>
        <w:spacing w:after="200"/>
        <w:ind w:left="0" w:firstLine="560" w:firstLineChars="200"/>
        <w:rPr>
          <w:rFonts w:ascii="宋体" w:hAnsi="宋体"/>
          <w:color w:val="000000" w:themeColor="text1"/>
          <w:sz w:val="28"/>
          <w:szCs w:val="28"/>
          <w14:textFill>
            <w14:solidFill>
              <w14:schemeClr w14:val="tx1"/>
            </w14:solidFill>
          </w14:textFill>
        </w:rPr>
      </w:pPr>
      <w:bookmarkStart w:id="205" w:name="_Toc238581784"/>
      <w:r>
        <w:rPr>
          <w:rFonts w:hint="eastAsia" w:ascii="宋体" w:hAnsi="宋体"/>
          <w:color w:val="000000" w:themeColor="text1"/>
          <w:sz w:val="28"/>
          <w:szCs w:val="28"/>
          <w14:textFill>
            <w14:solidFill>
              <w14:schemeClr w14:val="tx1"/>
            </w14:solidFill>
          </w14:textFill>
        </w:rPr>
        <w:t>投标人名称及概况：</w:t>
      </w:r>
      <w:bookmarkEnd w:id="199"/>
      <w:bookmarkEnd w:id="200"/>
      <w:bookmarkEnd w:id="201"/>
      <w:bookmarkEnd w:id="202"/>
      <w:bookmarkEnd w:id="203"/>
      <w:bookmarkEnd w:id="205"/>
    </w:p>
    <w:p>
      <w:pPr>
        <w:widowControl/>
        <w:numPr>
          <w:ilvl w:val="0"/>
          <w:numId w:val="34"/>
        </w:numPr>
        <w:spacing w:after="200"/>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widowControl/>
        <w:numPr>
          <w:ilvl w:val="0"/>
          <w:numId w:val="34"/>
        </w:numPr>
        <w:spacing w:after="200"/>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地址：XXXX      邮编：XXXX</w:t>
      </w:r>
    </w:p>
    <w:p>
      <w:pPr>
        <w:widowControl/>
        <w:ind w:left="1261"/>
        <w:jc w:val="left"/>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传真/电话： XXXX</w:t>
      </w:r>
    </w:p>
    <w:p>
      <w:pPr>
        <w:widowControl/>
        <w:numPr>
          <w:ilvl w:val="0"/>
          <w:numId w:val="34"/>
        </w:numPr>
        <w:spacing w:after="200"/>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成立日期或注册日期：XXXX</w:t>
      </w:r>
    </w:p>
    <w:p>
      <w:pPr>
        <w:widowControl/>
        <w:numPr>
          <w:ilvl w:val="0"/>
          <w:numId w:val="34"/>
        </w:numPr>
        <w:spacing w:after="200"/>
        <w:ind w:left="0" w:firstLine="560" w:firstLineChars="200"/>
        <w:jc w:val="left"/>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法定代表人姓名：XXXX</w:t>
      </w:r>
    </w:p>
    <w:p>
      <w:pPr>
        <w:widowControl/>
        <w:numPr>
          <w:ilvl w:val="2"/>
          <w:numId w:val="33"/>
        </w:numPr>
        <w:tabs>
          <w:tab w:val="left" w:pos="1276"/>
        </w:tabs>
        <w:spacing w:after="200"/>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开户银行名称：XXXX</w:t>
      </w:r>
    </w:p>
    <w:p>
      <w:pPr>
        <w:ind w:firstLine="1260" w:firstLineChars="450"/>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地址：XXXX</w:t>
      </w:r>
    </w:p>
    <w:p>
      <w:pPr>
        <w:ind w:firstLine="1260" w:firstLineChars="4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账号：XXXX</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ind w:left="283" w:leftChars="135" w:firstLine="280" w:firstLineChars="100"/>
        <w:rPr>
          <w:rFonts w:ascii="宋体" w:hAnsi="宋体"/>
          <w:bCs/>
          <w:color w:val="000000" w:themeColor="text1"/>
          <w:sz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日    期：</w:t>
      </w:r>
      <w:r>
        <w:rPr>
          <w:rFonts w:hint="eastAsia" w:ascii="宋体" w:hAnsi="宋体"/>
          <w:bCs/>
          <w:color w:val="000000" w:themeColor="text1"/>
          <w:sz w:val="28"/>
          <w14:textFill>
            <w14:solidFill>
              <w14:schemeClr w14:val="tx1"/>
            </w14:solidFill>
          </w14:textFill>
        </w:rPr>
        <w:t>20XX年XX月XX日</w:t>
      </w:r>
    </w:p>
    <w:p>
      <w:pPr>
        <w:ind w:left="283" w:leftChars="135" w:firstLine="280" w:firstLineChars="100"/>
        <w:rPr>
          <w:rFonts w:ascii="宋体" w:hAnsi="宋体"/>
          <w:bCs/>
          <w:color w:val="000000" w:themeColor="text1"/>
          <w:sz w:val="28"/>
          <w14:textFill>
            <w14:solidFill>
              <w14:schemeClr w14:val="tx1"/>
            </w14:solidFill>
          </w14:textFill>
        </w:rPr>
      </w:pPr>
    </w:p>
    <w:p>
      <w:pPr>
        <w:rPr>
          <w:rFonts w:ascii="宋体" w:hAnsi="宋体"/>
          <w:color w:val="000000" w:themeColor="text1"/>
          <w:sz w:val="28"/>
          <w:szCs w:val="28"/>
          <w14:textFill>
            <w14:solidFill>
              <w14:schemeClr w14:val="tx1"/>
            </w14:solidFill>
          </w14:textFill>
        </w:rPr>
      </w:pPr>
    </w:p>
    <w:p>
      <w:pPr>
        <w:pStyle w:val="6"/>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声明</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致：成都高新区政府采购服务中心</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我单位作为</w:t>
      </w:r>
      <w:r>
        <w:rPr>
          <w:rFonts w:hint="eastAsia" w:ascii="宋体" w:hAnsi="宋体"/>
          <w:b/>
          <w:color w:val="000000" w:themeColor="text1"/>
          <w:sz w:val="28"/>
          <w:szCs w:val="28"/>
          <w:u w:val="single"/>
          <w14:textFill>
            <w14:solidFill>
              <w14:schemeClr w14:val="tx1"/>
            </w14:solidFill>
          </w14:textFill>
        </w:rPr>
        <w:t>成都市教育科学研究院附属学校（成都市天府实验学校）物业管理服务采购项目（项目编号：</w:t>
      </w:r>
      <w:r>
        <w:rPr>
          <w:rFonts w:hint="eastAsia" w:ascii="宋体" w:hAnsi="宋体"/>
          <w:b/>
          <w:color w:val="000000" w:themeColor="text1"/>
          <w:sz w:val="28"/>
          <w:szCs w:val="28"/>
          <w:u w:val="single"/>
          <w:lang w:eastAsia="zh-CN"/>
          <w14:textFill>
            <w14:solidFill>
              <w14:schemeClr w14:val="tx1"/>
            </w14:solidFill>
          </w14:textFill>
        </w:rPr>
        <w:t>成都高新技术产业开发区政采（2021）A0028号</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的投标人，在此郑重声明：</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一、我单位参加政府采购活动前三年内，在经营活动中</w:t>
      </w:r>
      <w:r>
        <w:rPr>
          <w:rFonts w:hint="eastAsia" w:ascii="宋体" w:hAnsi="宋体"/>
          <w:b/>
          <w:color w:val="000000" w:themeColor="text1"/>
          <w:sz w:val="28"/>
          <w:szCs w:val="28"/>
          <w:u w:val="single"/>
          <w14:textFill>
            <w14:solidFill>
              <w14:schemeClr w14:val="tx1"/>
            </w14:solidFill>
          </w14:textFill>
        </w:rPr>
        <w:t>（说明：填写“没有”或“有”）</w:t>
      </w:r>
      <w:r>
        <w:rPr>
          <w:rFonts w:hint="eastAsia" w:ascii="宋体" w:hAnsi="宋体"/>
          <w:color w:val="000000" w:themeColor="text1"/>
          <w:sz w:val="28"/>
          <w:szCs w:val="28"/>
          <w14:textFill>
            <w14:solidFill>
              <w14:schemeClr w14:val="tx1"/>
            </w14:solidFill>
          </w14:textFill>
        </w:rPr>
        <w:t>重大违法记录。</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二、我单位</w:t>
      </w:r>
      <w:r>
        <w:rPr>
          <w:rFonts w:hint="eastAsia" w:ascii="宋体" w:hAnsi="宋体"/>
          <w:b/>
          <w:color w:val="000000" w:themeColor="text1"/>
          <w:sz w:val="28"/>
          <w:szCs w:val="28"/>
          <w:u w:val="single"/>
          <w14:textFill>
            <w14:solidFill>
              <w14:schemeClr w14:val="tx1"/>
            </w14:solidFill>
          </w14:textFill>
        </w:rPr>
        <w:t>（说明：填写“具有”或“不具有”）</w:t>
      </w:r>
      <w:r>
        <w:rPr>
          <w:rFonts w:hint="eastAsia" w:ascii="宋体" w:hAnsi="宋体"/>
          <w:color w:val="000000" w:themeColor="text1"/>
          <w:sz w:val="28"/>
          <w:szCs w:val="28"/>
          <w14:textFill>
            <w14:solidFill>
              <w14:schemeClr w14:val="tx1"/>
            </w14:solidFill>
          </w14:textFill>
        </w:rPr>
        <w:t>良好的商业信誉。</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三、与我单位负责人为同一人或者存在直接控股、管理关系的相关供应商：</w:t>
      </w:r>
      <w:r>
        <w:rPr>
          <w:rFonts w:hint="eastAsia" w:ascii="宋体" w:hAnsi="宋体"/>
          <w:b/>
          <w:color w:val="000000" w:themeColor="text1"/>
          <w:sz w:val="28"/>
          <w:szCs w:val="28"/>
          <w:u w:val="single"/>
          <w14:textFill>
            <w14:solidFill>
              <w14:schemeClr w14:val="tx1"/>
            </w14:solidFill>
          </w14:textFill>
        </w:rPr>
        <w:t>（说明：填写“无”或“（一）供应商名称１；（二）供应商名称２；（三）……”）</w:t>
      </w:r>
      <w:r>
        <w:rPr>
          <w:rFonts w:hint="eastAsia" w:ascii="宋体" w:hAnsi="宋体"/>
          <w:color w:val="000000" w:themeColor="text1"/>
          <w:sz w:val="28"/>
          <w:szCs w:val="28"/>
          <w14:textFill>
            <w14:solidFill>
              <w14:schemeClr w14:val="tx1"/>
            </w14:solidFill>
          </w14:textFill>
        </w:rPr>
        <w:t xml:space="preserve"> 。</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四、在行贿犯罪信息查询期限内，我单位及我单位现任法定代表人、主要负责人</w:t>
      </w:r>
      <w:r>
        <w:rPr>
          <w:rFonts w:hint="eastAsia" w:ascii="宋体" w:hAnsi="宋体"/>
          <w:b/>
          <w:color w:val="000000" w:themeColor="text1"/>
          <w:sz w:val="28"/>
          <w:szCs w:val="28"/>
          <w:u w:val="single"/>
          <w14:textFill>
            <w14:solidFill>
              <w14:schemeClr w14:val="tx1"/>
            </w14:solidFill>
          </w14:textFill>
        </w:rPr>
        <w:t>（说明：填写“没有”或“有”）</w:t>
      </w:r>
      <w:r>
        <w:rPr>
          <w:rFonts w:hint="eastAsia" w:ascii="宋体" w:hAnsi="宋体"/>
          <w:color w:val="000000" w:themeColor="text1"/>
          <w:sz w:val="28"/>
          <w:szCs w:val="28"/>
          <w14:textFill>
            <w14:solidFill>
              <w14:schemeClr w14:val="tx1"/>
            </w14:solidFill>
          </w14:textFill>
        </w:rPr>
        <w:t>行贿犯罪记录。</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五、我单位</w:t>
      </w:r>
      <w:r>
        <w:rPr>
          <w:rFonts w:hint="eastAsia" w:ascii="宋体" w:hAnsi="宋体"/>
          <w:b/>
          <w:color w:val="000000" w:themeColor="text1"/>
          <w:sz w:val="28"/>
          <w:szCs w:val="28"/>
          <w:u w:val="single"/>
          <w14:textFill>
            <w14:solidFill>
              <w14:schemeClr w14:val="tx1"/>
            </w14:solidFill>
          </w14:textFill>
        </w:rPr>
        <w:t>（说明：填写“未列入”或“被列入”）</w:t>
      </w:r>
      <w:r>
        <w:rPr>
          <w:rFonts w:hint="eastAsia" w:ascii="宋体" w:hAnsi="宋体"/>
          <w:color w:val="000000" w:themeColor="text1"/>
          <w:sz w:val="28"/>
          <w:szCs w:val="28"/>
          <w14:textFill>
            <w14:solidFill>
              <w14:schemeClr w14:val="tx1"/>
            </w14:solidFill>
          </w14:textFill>
        </w:rPr>
        <w:t>失信被执行人、重大税收违法案件当事人名单。</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w:t>
      </w:r>
      <w:r>
        <w:rPr>
          <w:rFonts w:hint="eastAsia" w:ascii="宋体" w:hAnsi="宋体"/>
          <w:b/>
          <w:color w:val="000000" w:themeColor="text1"/>
          <w:sz w:val="28"/>
          <w:szCs w:val="28"/>
          <w:u w:val="single"/>
          <w14:textFill>
            <w14:solidFill>
              <w14:schemeClr w14:val="tx1"/>
            </w14:solidFill>
          </w14:textFill>
        </w:rPr>
        <w:t>（说明：填写“未列入”或“被列入”）</w:t>
      </w:r>
      <w:r>
        <w:rPr>
          <w:rFonts w:hint="eastAsia" w:ascii="宋体" w:hAnsi="宋体"/>
          <w:color w:val="000000" w:themeColor="text1"/>
          <w:sz w:val="28"/>
          <w:szCs w:val="28"/>
          <w14:textFill>
            <w14:solidFill>
              <w14:schemeClr w14:val="tx1"/>
            </w14:solidFill>
          </w14:textFill>
        </w:rPr>
        <w:t>政府采购严重违法失信行为记录名单。</w:t>
      </w:r>
    </w:p>
    <w:p>
      <w:pPr>
        <w:ind w:firstLine="560" w:firstLineChars="200"/>
        <w:rPr>
          <w:bCs/>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六、我单位</w:t>
      </w:r>
      <w:r>
        <w:rPr>
          <w:rFonts w:hint="eastAsia" w:ascii="宋体" w:hAnsi="宋体"/>
          <w:b/>
          <w:color w:val="000000" w:themeColor="text1"/>
          <w:sz w:val="28"/>
          <w:szCs w:val="28"/>
          <w:u w:val="single"/>
          <w14:textFill>
            <w14:solidFill>
              <w14:schemeClr w14:val="tx1"/>
            </w14:solidFill>
          </w14:textFill>
        </w:rPr>
        <w:t>（说明：填写“未处于”或“处于”）</w:t>
      </w:r>
      <w:r>
        <w:rPr>
          <w:rFonts w:hint="eastAsia" w:ascii="宋体" w:hAnsi="宋体"/>
          <w:bCs/>
          <w:color w:val="000000" w:themeColor="text1"/>
          <w:sz w:val="28"/>
          <w:szCs w:val="28"/>
          <w14:textFill>
            <w14:solidFill>
              <w14:schemeClr w14:val="tx1"/>
            </w14:solidFill>
          </w14:textFill>
        </w:rPr>
        <w:t>被行政部门禁止参与政府采购活动的期限内。</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特此声明。</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日    期：20XX年XX月XX日</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说明： 1.对声明中第一条的说明：如投标人在参加政府采购活动前三年内，在经营活动中有重大违法记录的，应填写“有”，投标人将被认定投标无效或被取消中标资格；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2.对声明中第三条的说明：单位负责人为同一人或者存在直接控股、管理关系的不同供应商，不得参加同一合同项下的政府采购活动；</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5.对声明中第六条的说明：如投标人处于被行政部门禁止参加政府采购活动期限内的，该声明填“处于”，投标人将被认定投标无效或被取消中标资格。</w:t>
      </w:r>
    </w:p>
    <w:p>
      <w:pPr>
        <w:ind w:firstLine="560" w:firstLineChars="200"/>
        <w:rPr>
          <w:rFonts w:ascii="宋体" w:hAnsi="宋体"/>
          <w:color w:val="000000" w:themeColor="text1"/>
          <w:sz w:val="28"/>
          <w:szCs w:val="28"/>
          <w14:textFill>
            <w14:solidFill>
              <w14:schemeClr w14:val="tx1"/>
            </w14:solidFill>
          </w14:textFill>
        </w:rPr>
      </w:pPr>
    </w:p>
    <w:p>
      <w:pPr>
        <w:ind w:firstLine="560" w:firstLineChars="200"/>
        <w:rPr>
          <w:rFonts w:ascii="宋体" w:hAnsi="宋体"/>
          <w:color w:val="000000" w:themeColor="text1"/>
          <w:sz w:val="28"/>
          <w:szCs w:val="28"/>
          <w14:textFill>
            <w14:solidFill>
              <w14:schemeClr w14:val="tx1"/>
            </w14:solidFill>
          </w14:textFill>
        </w:rPr>
      </w:pPr>
    </w:p>
    <w:p>
      <w:pPr>
        <w:ind w:firstLine="560" w:firstLineChars="200"/>
        <w:rPr>
          <w:rFonts w:ascii="宋体" w:hAnsi="宋体"/>
          <w:color w:val="000000" w:themeColor="text1"/>
          <w:sz w:val="28"/>
          <w:szCs w:val="28"/>
          <w14:textFill>
            <w14:solidFill>
              <w14:schemeClr w14:val="tx1"/>
            </w14:solidFill>
          </w14:textFill>
        </w:rPr>
      </w:pPr>
    </w:p>
    <w:p>
      <w:pPr>
        <w:rPr>
          <w:rFonts w:ascii="宋体" w:hAnsi="宋体"/>
          <w:color w:val="000000" w:themeColor="text1"/>
          <w:sz w:val="28"/>
          <w:szCs w:val="28"/>
          <w14:textFill>
            <w14:solidFill>
              <w14:schemeClr w14:val="tx1"/>
            </w14:solidFill>
          </w14:textFill>
        </w:rPr>
      </w:pPr>
    </w:p>
    <w:p>
      <w:pPr>
        <w:pStyle w:val="6"/>
        <w:numPr>
          <w:ilvl w:val="2"/>
          <w:numId w:val="4"/>
        </w:numPr>
        <w:spacing w:after="200" w:line="240" w:lineRule="auto"/>
        <w:ind w:left="851"/>
        <w:rPr>
          <w:color w:val="000000" w:themeColor="text1"/>
          <w14:textFill>
            <w14:solidFill>
              <w14:schemeClr w14:val="tx1"/>
            </w14:solidFill>
          </w14:textFill>
        </w:rPr>
      </w:pPr>
      <w:bookmarkStart w:id="206" w:name="_Toc448132270"/>
      <w:bookmarkStart w:id="207" w:name="_Toc430250269"/>
      <w:r>
        <w:rPr>
          <w:rFonts w:hint="eastAsia"/>
          <w:color w:val="000000" w:themeColor="text1"/>
          <w14:textFill>
            <w14:solidFill>
              <w14:schemeClr w14:val="tx1"/>
            </w14:solidFill>
          </w14:textFill>
        </w:rPr>
        <w:t>中小企业声明函</w:t>
      </w:r>
      <w:bookmarkEnd w:id="206"/>
    </w:p>
    <w:bookmarkEnd w:id="207"/>
    <w:p>
      <w:pPr>
        <w:spacing w:line="500" w:lineRule="exact"/>
        <w:jc w:val="center"/>
        <w:rPr>
          <w:rFonts w:ascii="宋体" w:hAnsi="宋体"/>
          <w:b/>
          <w:color w:val="000000" w:themeColor="text1"/>
          <w:spacing w:val="6"/>
          <w:sz w:val="28"/>
          <w:szCs w:val="28"/>
          <w14:textFill>
            <w14:solidFill>
              <w14:schemeClr w14:val="tx1"/>
            </w14:solidFill>
          </w14:textFill>
        </w:rPr>
      </w:pPr>
      <w:r>
        <w:rPr>
          <w:rFonts w:hint="eastAsia" w:ascii="宋体" w:hAnsi="宋体"/>
          <w:b/>
          <w:color w:val="000000" w:themeColor="text1"/>
          <w:spacing w:val="6"/>
          <w:sz w:val="28"/>
          <w:szCs w:val="28"/>
          <w14:textFill>
            <w14:solidFill>
              <w14:schemeClr w14:val="tx1"/>
            </w14:solidFill>
          </w14:textFill>
        </w:rPr>
        <w:t>中小企业声明函</w:t>
      </w:r>
    </w:p>
    <w:p>
      <w:pPr>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本公司郑重声明，根据《政府采购促进中小企业发展管理办法》（财库〔</w:t>
      </w:r>
      <w:r>
        <w:rPr>
          <w:rFonts w:ascii="宋体" w:hAnsi="宋体"/>
          <w:color w:val="000000" w:themeColor="text1"/>
          <w:spacing w:val="6"/>
          <w:sz w:val="28"/>
          <w:szCs w:val="28"/>
          <w14:textFill>
            <w14:solidFill>
              <w14:schemeClr w14:val="tx1"/>
            </w14:solidFill>
          </w14:textFill>
        </w:rPr>
        <w:t>2020〕46号）的规定，本公司参加</w:t>
      </w:r>
      <w:r>
        <w:rPr>
          <w:rFonts w:ascii="宋体" w:hAnsi="宋体"/>
          <w:b/>
          <w:color w:val="000000" w:themeColor="text1"/>
          <w:sz w:val="28"/>
          <w:szCs w:val="28"/>
          <w:u w:val="single"/>
          <w14:textFill>
            <w14:solidFill>
              <w14:schemeClr w14:val="tx1"/>
            </w14:solidFill>
          </w14:textFill>
        </w:rPr>
        <w:t>XXXX(</w:t>
      </w:r>
      <w:r>
        <w:rPr>
          <w:rFonts w:hint="eastAsia" w:ascii="宋体" w:hAnsi="宋体"/>
          <w:b/>
          <w:color w:val="000000" w:themeColor="text1"/>
          <w:sz w:val="28"/>
          <w:szCs w:val="28"/>
          <w:u w:val="single"/>
          <w14:textFill>
            <w14:solidFill>
              <w14:schemeClr w14:val="tx1"/>
            </w14:solidFill>
          </w14:textFill>
        </w:rPr>
        <w:t>采购</w:t>
      </w:r>
      <w:r>
        <w:rPr>
          <w:rFonts w:ascii="宋体" w:hAnsi="宋体"/>
          <w:b/>
          <w:color w:val="000000" w:themeColor="text1"/>
          <w:sz w:val="28"/>
          <w:szCs w:val="28"/>
          <w:u w:val="single"/>
          <w14:textFill>
            <w14:solidFill>
              <w14:schemeClr w14:val="tx1"/>
            </w14:solidFill>
          </w14:textFill>
        </w:rPr>
        <w:t xml:space="preserve">单位)      </w:t>
      </w:r>
      <w:r>
        <w:rPr>
          <w:rFonts w:hint="eastAsia" w:ascii="宋体" w:hAnsi="宋体"/>
          <w:color w:val="000000" w:themeColor="text1"/>
          <w:spacing w:val="6"/>
          <w:sz w:val="28"/>
          <w:szCs w:val="28"/>
          <w14:textFill>
            <w14:solidFill>
              <w14:schemeClr w14:val="tx1"/>
            </w14:solidFill>
          </w14:textFill>
        </w:rPr>
        <w:t>的</w:t>
      </w:r>
      <w:r>
        <w:rPr>
          <w:rFonts w:ascii="宋体" w:hAnsi="宋体"/>
          <w:b/>
          <w:color w:val="000000" w:themeColor="text1"/>
          <w:sz w:val="28"/>
          <w:szCs w:val="28"/>
          <w:u w:val="single"/>
          <w14:textFill>
            <w14:solidFill>
              <w14:schemeClr w14:val="tx1"/>
            </w14:solidFill>
          </w14:textFill>
        </w:rPr>
        <w:t>XXXX</w:t>
      </w:r>
      <w:r>
        <w:rPr>
          <w:rFonts w:hint="eastAsia" w:ascii="宋体" w:hAnsi="宋体"/>
          <w:b/>
          <w:color w:val="000000" w:themeColor="text1"/>
          <w:sz w:val="28"/>
          <w:szCs w:val="28"/>
          <w:u w:val="single"/>
          <w14:textFill>
            <w14:solidFill>
              <w14:schemeClr w14:val="tx1"/>
            </w14:solidFill>
          </w14:textFill>
        </w:rPr>
        <w:t>（项目</w:t>
      </w:r>
      <w:r>
        <w:rPr>
          <w:rFonts w:ascii="宋体" w:hAnsi="宋体"/>
          <w:b/>
          <w:color w:val="000000" w:themeColor="text1"/>
          <w:sz w:val="28"/>
          <w:szCs w:val="28"/>
          <w:u w:val="single"/>
          <w14:textFill>
            <w14:solidFill>
              <w14:schemeClr w14:val="tx1"/>
            </w14:solidFill>
          </w14:textFill>
        </w:rPr>
        <w:t>名称</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b/>
          <w:color w:val="000000" w:themeColor="text1"/>
          <w:sz w:val="28"/>
          <w:szCs w:val="28"/>
          <w14:textFill>
            <w14:solidFill>
              <w14:schemeClr w14:val="tx1"/>
            </w14:solidFill>
          </w14:textFill>
        </w:rPr>
        <w:t>采购项目</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s="宋体"/>
          <w:b/>
          <w:color w:val="000000" w:themeColor="text1"/>
          <w:kern w:val="0"/>
          <w:sz w:val="28"/>
          <w:szCs w:val="28"/>
          <w:u w:val="single"/>
          <w:lang w:eastAsia="zh-CN"/>
          <w14:textFill>
            <w14:solidFill>
              <w14:schemeClr w14:val="tx1"/>
            </w14:solidFill>
          </w14:textFill>
        </w:rPr>
        <w:t>成都高新技术产业开发区政采（2021）A0028号</w:t>
      </w:r>
      <w:r>
        <w:rPr>
          <w:rFonts w:hint="eastAsia" w:ascii="宋体" w:hAnsi="宋体"/>
          <w:b/>
          <w:color w:val="000000" w:themeColor="text1"/>
          <w:sz w:val="28"/>
          <w:szCs w:val="28"/>
          <w:u w:val="single"/>
          <w14:textFill>
            <w14:solidFill>
              <w14:schemeClr w14:val="tx1"/>
            </w14:solidFill>
          </w14:textFill>
        </w:rPr>
        <w:t>）</w:t>
      </w:r>
      <w:r>
        <w:rPr>
          <w:rFonts w:hint="eastAsia" w:ascii="宋体" w:hAnsi="宋体"/>
          <w:color w:val="000000" w:themeColor="text1"/>
          <w:spacing w:val="6"/>
          <w:sz w:val="28"/>
          <w:szCs w:val="28"/>
          <w14:textFill>
            <w14:solidFill>
              <w14:schemeClr w14:val="tx1"/>
            </w14:solidFill>
          </w14:textFill>
        </w:rPr>
        <w:t>采购活动，服务全部由符合政策要求的中小企业承接。相关企业的具体情况如下：</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u w:val="single"/>
          <w14:textFill>
            <w14:solidFill>
              <w14:schemeClr w14:val="tx1"/>
            </w14:solidFill>
          </w14:textFill>
        </w:rPr>
        <w:t>（标的名称）</w:t>
      </w:r>
      <w:r>
        <w:rPr>
          <w:rFonts w:hint="eastAsia" w:ascii="宋体" w:hAnsi="宋体"/>
          <w:color w:val="000000" w:themeColor="text1"/>
          <w:spacing w:val="6"/>
          <w:sz w:val="28"/>
          <w:szCs w:val="28"/>
          <w14:textFill>
            <w14:solidFill>
              <w14:schemeClr w14:val="tx1"/>
            </w14:solidFill>
          </w14:textFill>
        </w:rPr>
        <w:t>，属于</w:t>
      </w:r>
      <w:r>
        <w:rPr>
          <w:rFonts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u w:val="single"/>
          <w14:textFill>
            <w14:solidFill>
              <w14:schemeClr w14:val="tx1"/>
            </w14:solidFill>
          </w14:textFill>
        </w:rPr>
        <w:t>（采购文件中明确的所属行业）</w:t>
      </w:r>
      <w:r>
        <w:rPr>
          <w:rFonts w:hint="eastAsia" w:ascii="宋体" w:hAnsi="宋体"/>
          <w:color w:val="000000" w:themeColor="text1"/>
          <w:spacing w:val="6"/>
          <w:sz w:val="28"/>
          <w:szCs w:val="28"/>
          <w14:textFill>
            <w14:solidFill>
              <w14:schemeClr w14:val="tx1"/>
            </w14:solidFill>
          </w14:textFill>
        </w:rPr>
        <w:t>；承接企业为</w:t>
      </w:r>
      <w:r>
        <w:rPr>
          <w:rFonts w:ascii="宋体" w:hAnsi="宋体"/>
          <w:color w:val="000000" w:themeColor="text1"/>
          <w:spacing w:val="6"/>
          <w:sz w:val="28"/>
          <w:szCs w:val="28"/>
          <w:u w:val="single"/>
          <w14:textFill>
            <w14:solidFill>
              <w14:schemeClr w14:val="tx1"/>
            </w14:solidFill>
          </w14:textFill>
        </w:rPr>
        <w:t>XXX</w:t>
      </w:r>
      <w:r>
        <w:rPr>
          <w:rFonts w:hint="eastAsia" w:ascii="宋体" w:hAnsi="宋体"/>
          <w:color w:val="000000" w:themeColor="text1"/>
          <w:spacing w:val="6"/>
          <w:sz w:val="28"/>
          <w:szCs w:val="28"/>
          <w:u w:val="single"/>
          <w14:textFill>
            <w14:solidFill>
              <w14:schemeClr w14:val="tx1"/>
            </w14:solidFill>
          </w14:textFill>
        </w:rPr>
        <w:t>X</w:t>
      </w:r>
      <w:r>
        <w:rPr>
          <w:rFonts w:ascii="宋体" w:hAnsi="宋体"/>
          <w:color w:val="000000" w:themeColor="text1"/>
          <w:spacing w:val="6"/>
          <w:sz w:val="28"/>
          <w:szCs w:val="28"/>
          <w:u w:val="single"/>
          <w14:textFill>
            <w14:solidFill>
              <w14:schemeClr w14:val="tx1"/>
            </w14:solidFill>
          </w14:textFill>
        </w:rPr>
        <w:t>（企业名称）</w:t>
      </w:r>
      <w:r>
        <w:rPr>
          <w:rFonts w:hint="eastAsia" w:ascii="宋体" w:hAnsi="宋体"/>
          <w:color w:val="000000" w:themeColor="text1"/>
          <w:spacing w:val="6"/>
          <w:sz w:val="28"/>
          <w:szCs w:val="28"/>
          <w14:textFill>
            <w14:solidFill>
              <w14:schemeClr w14:val="tx1"/>
            </w14:solidFill>
          </w14:textFill>
        </w:rPr>
        <w:t>，从业人员</w:t>
      </w:r>
      <w:r>
        <w:rPr>
          <w:rFonts w:ascii="宋体" w:hAnsi="宋体"/>
          <w:color w:val="000000" w:themeColor="text1"/>
          <w:spacing w:val="6"/>
          <w:sz w:val="28"/>
          <w:szCs w:val="28"/>
          <w:u w:val="single"/>
          <w14:textFill>
            <w14:solidFill>
              <w14:schemeClr w14:val="tx1"/>
            </w14:solidFill>
          </w14:textFill>
        </w:rPr>
        <w:t>XX</w:t>
      </w:r>
      <w:r>
        <w:rPr>
          <w:rFonts w:hint="eastAsia" w:ascii="宋体" w:hAnsi="宋体"/>
          <w:color w:val="000000" w:themeColor="text1"/>
          <w:spacing w:val="6"/>
          <w:sz w:val="28"/>
          <w:szCs w:val="28"/>
          <w14:textFill>
            <w14:solidFill>
              <w14:schemeClr w14:val="tx1"/>
            </w14:solidFill>
          </w14:textFill>
        </w:rPr>
        <w:t>人，营业收入为</w:t>
      </w:r>
      <w:r>
        <w:rPr>
          <w:rFonts w:ascii="宋体" w:hAnsi="宋体"/>
          <w:color w:val="000000" w:themeColor="text1"/>
          <w:spacing w:val="6"/>
          <w:sz w:val="28"/>
          <w:szCs w:val="28"/>
          <w:u w:val="single"/>
          <w14:textFill>
            <w14:solidFill>
              <w14:schemeClr w14:val="tx1"/>
            </w14:solidFill>
          </w14:textFill>
        </w:rPr>
        <w:t>XX</w:t>
      </w:r>
      <w:r>
        <w:rPr>
          <w:rFonts w:hint="eastAsia" w:ascii="宋体" w:hAnsi="宋体"/>
          <w:color w:val="000000" w:themeColor="text1"/>
          <w:spacing w:val="6"/>
          <w:sz w:val="28"/>
          <w:szCs w:val="28"/>
          <w14:textFill>
            <w14:solidFill>
              <w14:schemeClr w14:val="tx1"/>
            </w14:solidFill>
          </w14:textFill>
        </w:rPr>
        <w:t>万元，资产总额为</w:t>
      </w:r>
      <w:r>
        <w:rPr>
          <w:rFonts w:ascii="宋体" w:hAnsi="宋体"/>
          <w:color w:val="000000" w:themeColor="text1"/>
          <w:spacing w:val="6"/>
          <w:sz w:val="28"/>
          <w:szCs w:val="28"/>
          <w:u w:val="single"/>
          <w14:textFill>
            <w14:solidFill>
              <w14:schemeClr w14:val="tx1"/>
            </w14:solidFill>
          </w14:textFill>
        </w:rPr>
        <w:t>XX</w:t>
      </w:r>
      <w:r>
        <w:rPr>
          <w:rFonts w:hint="eastAsia" w:ascii="宋体" w:hAnsi="宋体"/>
          <w:color w:val="000000" w:themeColor="text1"/>
          <w:spacing w:val="6"/>
          <w:sz w:val="28"/>
          <w:szCs w:val="28"/>
          <w14:textFill>
            <w14:solidFill>
              <w14:schemeClr w14:val="tx1"/>
            </w14:solidFill>
          </w14:textFill>
        </w:rPr>
        <w:t>万元，属于</w:t>
      </w:r>
      <w:r>
        <w:rPr>
          <w:rFonts w:ascii="宋体" w:hAnsi="宋体"/>
          <w:color w:val="000000" w:themeColor="text1"/>
          <w:spacing w:val="6"/>
          <w:sz w:val="28"/>
          <w:szCs w:val="28"/>
          <w:u w:val="single"/>
          <w14:textFill>
            <w14:solidFill>
              <w14:schemeClr w14:val="tx1"/>
            </w14:solidFill>
          </w14:textFill>
        </w:rPr>
        <w:t>XXXX（中型企业、小型企业、微型企业）</w:t>
      </w:r>
      <w:r>
        <w:rPr>
          <w:rFonts w:hint="eastAsia" w:ascii="宋体" w:hAnsi="宋体"/>
          <w:color w:val="000000" w:themeColor="text1"/>
          <w:spacing w:val="6"/>
          <w:sz w:val="28"/>
          <w:szCs w:val="28"/>
          <w14:textFill>
            <w14:solidFill>
              <w14:schemeClr w14:val="tx1"/>
            </w14:solidFill>
          </w14:textFill>
        </w:rPr>
        <w:t>。</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以上企业，不属于大企业的分支机构，不存在控股股东为大企业的情形，也不存在与大企业的负责人为同一人的情形。</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本企业对上述声明内容的真实性负责。如有虚假，将依法承担相应责任。</w:t>
      </w: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spacing w:line="500" w:lineRule="exact"/>
        <w:ind w:firstLine="586" w:firstLineChars="200"/>
        <w:rPr>
          <w:rFonts w:ascii="宋体" w:hAnsi="宋体"/>
          <w:b/>
          <w:color w:val="000000" w:themeColor="text1"/>
          <w:spacing w:val="6"/>
          <w:sz w:val="28"/>
          <w:szCs w:val="28"/>
          <w14:textFill>
            <w14:solidFill>
              <w14:schemeClr w14:val="tx1"/>
            </w14:solidFill>
          </w14:textFill>
        </w:rPr>
      </w:pPr>
    </w:p>
    <w:p>
      <w:pPr>
        <w:tabs>
          <w:tab w:val="left" w:pos="3969"/>
        </w:tabs>
        <w:spacing w:line="500" w:lineRule="exact"/>
        <w:ind w:right="-58" w:firstLine="584" w:firstLineChars="200"/>
        <w:jc w:val="left"/>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企业名称：</w:t>
      </w:r>
      <w:r>
        <w:rPr>
          <w:rFonts w:ascii="宋体" w:hAnsi="宋体"/>
          <w:color w:val="000000" w:themeColor="text1"/>
          <w:sz w:val="28"/>
          <w:szCs w:val="28"/>
          <w:u w:val="single"/>
          <w14:textFill>
            <w14:solidFill>
              <w14:schemeClr w14:val="tx1"/>
            </w14:solidFill>
          </w14:textFill>
        </w:rPr>
        <w:t>XXXX</w:t>
      </w:r>
      <w:r>
        <w:rPr>
          <w:rFonts w:ascii="宋体" w:hAnsi="宋体"/>
          <w:color w:val="000000" w:themeColor="text1"/>
          <w:spacing w:val="6"/>
          <w:sz w:val="28"/>
          <w:szCs w:val="28"/>
          <w14:textFill>
            <w14:solidFill>
              <w14:schemeClr w14:val="tx1"/>
            </w14:solidFill>
          </w14:textFill>
        </w:rPr>
        <w:t xml:space="preserve"> </w:t>
      </w:r>
    </w:p>
    <w:p>
      <w:pPr>
        <w:tabs>
          <w:tab w:val="left" w:pos="3969"/>
        </w:tabs>
        <w:spacing w:line="500" w:lineRule="exact"/>
        <w:ind w:right="-58" w:firstLine="584" w:firstLineChars="200"/>
        <w:jc w:val="left"/>
        <w:rPr>
          <w:color w:val="000000" w:themeColor="text1"/>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日</w:t>
      </w:r>
      <w:r>
        <w:rPr>
          <w:rFonts w:ascii="宋体" w:hAnsi="宋体"/>
          <w:color w:val="000000" w:themeColor="text1"/>
          <w:spacing w:val="6"/>
          <w:sz w:val="28"/>
          <w:szCs w:val="28"/>
          <w14:textFill>
            <w14:solidFill>
              <w14:schemeClr w14:val="tx1"/>
            </w14:solidFill>
          </w14:textFill>
        </w:rPr>
        <w:t xml:space="preserve">  </w:t>
      </w:r>
      <w:r>
        <w:rPr>
          <w:rFonts w:hint="eastAsia" w:ascii="宋体" w:hAnsi="宋体"/>
          <w:color w:val="000000" w:themeColor="text1"/>
          <w:spacing w:val="6"/>
          <w:sz w:val="28"/>
          <w:szCs w:val="28"/>
          <w14:textFill>
            <w14:solidFill>
              <w14:schemeClr w14:val="tx1"/>
            </w14:solidFill>
          </w14:textFill>
        </w:rPr>
        <w:t>期：</w:t>
      </w:r>
      <w:r>
        <w:rPr>
          <w:rFonts w:ascii="宋体" w:hAnsi="宋体"/>
          <w:color w:val="000000" w:themeColor="text1"/>
          <w:sz w:val="28"/>
          <w:szCs w:val="28"/>
          <w14:textFill>
            <w14:solidFill>
              <w14:schemeClr w14:val="tx1"/>
            </w14:solidFill>
          </w14:textFill>
        </w:rPr>
        <w:t>20</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年</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月</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日</w:t>
      </w:r>
    </w:p>
    <w:p>
      <w:pPr>
        <w:pStyle w:val="86"/>
        <w:tabs>
          <w:tab w:val="left" w:pos="567"/>
          <w:tab w:val="left" w:pos="709"/>
          <w:tab w:val="left" w:pos="851"/>
        </w:tabs>
        <w:spacing w:before="60" w:line="360" w:lineRule="auto"/>
        <w:ind w:firstLine="56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kern w:val="0"/>
          <w:sz w:val="28"/>
          <w:szCs w:val="28"/>
          <w14:textFill>
            <w14:solidFill>
              <w14:schemeClr w14:val="tx1"/>
            </w14:solidFill>
          </w14:textFill>
        </w:rPr>
        <w:t>说明：</w:t>
      </w:r>
      <w:r>
        <w:rPr>
          <w:rFonts w:ascii="宋体" w:hAnsi="宋体"/>
          <w:b/>
          <w:color w:val="000000" w:themeColor="text1"/>
          <w:sz w:val="28"/>
          <w:szCs w:val="28"/>
          <w14:textFill>
            <w14:solidFill>
              <w14:schemeClr w14:val="tx1"/>
            </w14:solidFill>
          </w14:textFill>
        </w:rPr>
        <w:t>从业人员、营业收入、资产总额填报上</w:t>
      </w:r>
      <w:r>
        <w:rPr>
          <w:rFonts w:hint="eastAsia" w:ascii="宋体" w:hAnsi="宋体"/>
          <w:b/>
          <w:color w:val="000000" w:themeColor="text1"/>
          <w:sz w:val="28"/>
          <w:szCs w:val="28"/>
          <w14:textFill>
            <w14:solidFill>
              <w14:schemeClr w14:val="tx1"/>
            </w14:solidFill>
          </w14:textFill>
        </w:rPr>
        <w:t>一</w:t>
      </w:r>
      <w:r>
        <w:rPr>
          <w:rFonts w:ascii="宋体" w:hAnsi="宋体"/>
          <w:b/>
          <w:color w:val="000000" w:themeColor="text1"/>
          <w:sz w:val="28"/>
          <w:szCs w:val="28"/>
          <w14:textFill>
            <w14:solidFill>
              <w14:schemeClr w14:val="tx1"/>
            </w14:solidFill>
          </w14:textFill>
        </w:rPr>
        <w:t>年度数据，无上一年度</w:t>
      </w:r>
      <w:r>
        <w:rPr>
          <w:rFonts w:hint="eastAsia" w:ascii="宋体" w:hAnsi="宋体"/>
          <w:b/>
          <w:color w:val="000000" w:themeColor="text1"/>
          <w:sz w:val="28"/>
          <w:szCs w:val="28"/>
          <w14:textFill>
            <w14:solidFill>
              <w14:schemeClr w14:val="tx1"/>
            </w14:solidFill>
          </w14:textFill>
        </w:rPr>
        <w:t>数据</w:t>
      </w:r>
      <w:r>
        <w:rPr>
          <w:rFonts w:ascii="宋体" w:hAnsi="宋体"/>
          <w:b/>
          <w:color w:val="000000" w:themeColor="text1"/>
          <w:sz w:val="28"/>
          <w:szCs w:val="28"/>
          <w14:textFill>
            <w14:solidFill>
              <w14:schemeClr w14:val="tx1"/>
            </w14:solidFill>
          </w14:textFill>
        </w:rPr>
        <w:t>的新成立企业可不填报。</w:t>
      </w:r>
    </w:p>
    <w:p>
      <w:pPr>
        <w:pStyle w:val="86"/>
        <w:tabs>
          <w:tab w:val="left" w:pos="567"/>
          <w:tab w:val="left" w:pos="709"/>
          <w:tab w:val="left" w:pos="851"/>
        </w:tabs>
        <w:spacing w:line="500" w:lineRule="exact"/>
        <w:ind w:firstLine="548" w:firstLineChars="195"/>
        <w:rPr>
          <w:rFonts w:ascii="宋体" w:hAnsi="宋体"/>
          <w:b/>
          <w:color w:val="000000" w:themeColor="text1"/>
          <w:kern w:val="0"/>
          <w:sz w:val="28"/>
          <w:szCs w:val="28"/>
          <w14:textFill>
            <w14:solidFill>
              <w14:schemeClr w14:val="tx1"/>
            </w14:solidFill>
          </w14:textFill>
        </w:rPr>
      </w:pPr>
    </w:p>
    <w:p>
      <w:pPr>
        <w:tabs>
          <w:tab w:val="left" w:pos="567"/>
          <w:tab w:val="left" w:pos="709"/>
          <w:tab w:val="left" w:pos="851"/>
        </w:tabs>
        <w:spacing w:line="500" w:lineRule="exact"/>
        <w:rPr>
          <w:rFonts w:ascii="宋体" w:hAnsi="宋体"/>
          <w:b/>
          <w:color w:val="000000" w:themeColor="text1"/>
          <w:kern w:val="0"/>
          <w:sz w:val="28"/>
          <w:szCs w:val="28"/>
          <w14:textFill>
            <w14:solidFill>
              <w14:schemeClr w14:val="tx1"/>
            </w14:solidFill>
          </w14:textFill>
        </w:rPr>
      </w:pPr>
    </w:p>
    <w:p>
      <w:pPr>
        <w:pStyle w:val="6"/>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残疾人福利性单位声明函</w:t>
      </w:r>
    </w:p>
    <w:p>
      <w:pPr>
        <w:spacing w:line="500" w:lineRule="exact"/>
        <w:jc w:val="center"/>
        <w:rPr>
          <w:rFonts w:ascii="宋体" w:hAnsi="宋体"/>
          <w:b/>
          <w:color w:val="000000" w:themeColor="text1"/>
          <w:spacing w:val="6"/>
          <w:sz w:val="28"/>
          <w:szCs w:val="28"/>
          <w14:textFill>
            <w14:solidFill>
              <w14:schemeClr w14:val="tx1"/>
            </w14:solidFill>
          </w14:textFill>
        </w:rPr>
      </w:pPr>
      <w:r>
        <w:rPr>
          <w:rFonts w:hint="eastAsia" w:ascii="宋体" w:hAnsi="宋体"/>
          <w:b/>
          <w:color w:val="000000" w:themeColor="text1"/>
          <w:spacing w:val="6"/>
          <w:sz w:val="28"/>
          <w:szCs w:val="28"/>
          <w14:textFill>
            <w14:solidFill>
              <w14:schemeClr w14:val="tx1"/>
            </w14:solidFill>
          </w14:textFill>
        </w:rPr>
        <w:t>残疾人福利性单位声明函</w:t>
      </w:r>
    </w:p>
    <w:p>
      <w:pPr>
        <w:spacing w:line="440" w:lineRule="exact"/>
        <w:rPr>
          <w:rFonts w:ascii="仿宋_GB2312" w:eastAsia="仿宋_GB2312"/>
          <w:b/>
          <w:color w:val="000000" w:themeColor="text1"/>
          <w:spacing w:val="6"/>
          <w:sz w:val="30"/>
          <w:szCs w:val="30"/>
          <w14:textFill>
            <w14:solidFill>
              <w14:schemeClr w14:val="tx1"/>
            </w14:solidFill>
          </w14:textFill>
        </w:rPr>
      </w:pP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14:textFill>
            <w14:solidFill>
              <w14:schemeClr w14:val="tx1"/>
            </w14:solidFill>
          </w14:textFill>
        </w:rPr>
        <w:t>单位的</w:t>
      </w:r>
      <w:r>
        <w:rPr>
          <w:rFonts w:hint="eastAsia"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pacing w:val="6"/>
          <w:sz w:val="28"/>
          <w:szCs w:val="28"/>
          <w14:textFill>
            <w14:solidFill>
              <w14:schemeClr w14:val="tx1"/>
            </w14:solidFill>
          </w14:textFill>
        </w:rPr>
        <w:t>项目采购活动由本单位提供服务。</w:t>
      </w:r>
    </w:p>
    <w:p>
      <w:pPr>
        <w:tabs>
          <w:tab w:val="left" w:pos="1134"/>
        </w:tabs>
        <w:spacing w:line="500" w:lineRule="exact"/>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本单位对上述声明的真实性负责。如有虚假，将依法承担相应责任。</w:t>
      </w:r>
    </w:p>
    <w:p>
      <w:pPr>
        <w:overflowPunct w:val="0"/>
        <w:spacing w:line="520"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overflowPunct w:val="0"/>
        <w:spacing w:line="546" w:lineRule="exact"/>
        <w:ind w:firstLine="560" w:firstLineChars="200"/>
        <w:rPr>
          <w:rFonts w:ascii="Times New Roman" w:hAnsi="Times New Roman" w:eastAsia="仿宋_GB2312"/>
          <w:bCs/>
          <w:color w:val="000000" w:themeColor="text1"/>
          <w:sz w:val="28"/>
          <w:szCs w:val="28"/>
          <w14:textFill>
            <w14:solidFill>
              <w14:schemeClr w14:val="tx1"/>
            </w14:solidFill>
          </w14:textFill>
        </w:rPr>
      </w:pPr>
    </w:p>
    <w:p>
      <w:pPr>
        <w:tabs>
          <w:tab w:val="left" w:pos="3969"/>
        </w:tabs>
        <w:spacing w:line="500" w:lineRule="exact"/>
        <w:ind w:right="-58" w:firstLine="584" w:firstLineChars="200"/>
        <w:jc w:val="left"/>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单位名称：</w:t>
      </w:r>
      <w:r>
        <w:rPr>
          <w:rFonts w:ascii="宋体" w:hAnsi="宋体"/>
          <w:color w:val="000000" w:themeColor="text1"/>
          <w:sz w:val="28"/>
          <w:szCs w:val="28"/>
          <w:u w:val="single"/>
          <w14:textFill>
            <w14:solidFill>
              <w14:schemeClr w14:val="tx1"/>
            </w14:solidFill>
          </w14:textFill>
        </w:rPr>
        <w:t>XXXX</w:t>
      </w:r>
      <w:r>
        <w:rPr>
          <w:rFonts w:ascii="宋体" w:hAnsi="宋体"/>
          <w:color w:val="000000" w:themeColor="text1"/>
          <w:spacing w:val="6"/>
          <w:sz w:val="28"/>
          <w:szCs w:val="28"/>
          <w14:textFill>
            <w14:solidFill>
              <w14:schemeClr w14:val="tx1"/>
            </w14:solidFill>
          </w14:textFill>
        </w:rPr>
        <w:t xml:space="preserve"> </w:t>
      </w:r>
    </w:p>
    <w:p>
      <w:pPr>
        <w:tabs>
          <w:tab w:val="left" w:pos="3969"/>
        </w:tabs>
        <w:spacing w:line="500" w:lineRule="exact"/>
        <w:ind w:right="-58" w:firstLine="584" w:firstLineChars="200"/>
        <w:jc w:val="left"/>
        <w:rPr>
          <w:color w:val="000000" w:themeColor="text1"/>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日</w:t>
      </w:r>
      <w:r>
        <w:rPr>
          <w:rFonts w:ascii="宋体" w:hAnsi="宋体"/>
          <w:color w:val="000000" w:themeColor="text1"/>
          <w:spacing w:val="6"/>
          <w:sz w:val="28"/>
          <w:szCs w:val="28"/>
          <w14:textFill>
            <w14:solidFill>
              <w14:schemeClr w14:val="tx1"/>
            </w14:solidFill>
          </w14:textFill>
        </w:rPr>
        <w:t xml:space="preserve">  </w:t>
      </w:r>
      <w:r>
        <w:rPr>
          <w:rFonts w:hint="eastAsia" w:ascii="宋体" w:hAnsi="宋体"/>
          <w:color w:val="000000" w:themeColor="text1"/>
          <w:spacing w:val="6"/>
          <w:sz w:val="28"/>
          <w:szCs w:val="28"/>
          <w14:textFill>
            <w14:solidFill>
              <w14:schemeClr w14:val="tx1"/>
            </w14:solidFill>
          </w14:textFill>
        </w:rPr>
        <w:t>期：</w:t>
      </w:r>
      <w:r>
        <w:rPr>
          <w:rFonts w:ascii="宋体" w:hAnsi="宋体"/>
          <w:color w:val="000000" w:themeColor="text1"/>
          <w:sz w:val="28"/>
          <w:szCs w:val="28"/>
          <w14:textFill>
            <w14:solidFill>
              <w14:schemeClr w14:val="tx1"/>
            </w14:solidFill>
          </w14:textFill>
        </w:rPr>
        <w:t>20</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年</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月</w:t>
      </w:r>
      <w:r>
        <w:rPr>
          <w:rFonts w:ascii="宋体" w:hAnsi="宋体"/>
          <w:color w:val="000000" w:themeColor="text1"/>
          <w:sz w:val="28"/>
          <w:szCs w:val="28"/>
          <w:u w:val="single"/>
          <w14:textFill>
            <w14:solidFill>
              <w14:schemeClr w14:val="tx1"/>
            </w14:solidFill>
          </w14:textFill>
        </w:rPr>
        <w:t>XX</w:t>
      </w:r>
      <w:r>
        <w:rPr>
          <w:rFonts w:ascii="宋体" w:hAnsi="宋体"/>
          <w:color w:val="000000" w:themeColor="text1"/>
          <w:sz w:val="28"/>
          <w:szCs w:val="28"/>
          <w14:textFill>
            <w14:solidFill>
              <w14:schemeClr w14:val="tx1"/>
            </w14:solidFill>
          </w14:textFill>
        </w:rPr>
        <w:t>日</w:t>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br w:type="page"/>
      </w:r>
    </w:p>
    <w:p>
      <w:pPr>
        <w:pStyle w:val="6"/>
        <w:numPr>
          <w:ilvl w:val="2"/>
          <w:numId w:val="4"/>
        </w:numPr>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投标人应提交的相关资格证明材料</w:t>
      </w:r>
    </w:p>
    <w:p>
      <w:pPr>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投标人按招标文件要求，应提供以下相关资格证明材料：</w:t>
      </w:r>
    </w:p>
    <w:p>
      <w:pPr>
        <w:numPr>
          <w:ilvl w:val="0"/>
          <w:numId w:val="35"/>
        </w:numPr>
        <w:tabs>
          <w:tab w:val="left" w:pos="709"/>
        </w:tabs>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由省级以上监狱管理局、戒毒管理局（含新疆生产建设兵团）出具的投标产品生产厂商属于监狱企业的证明文件复印件（说明：提供了《中小企业声明函》或《残疾人福利性单位声明函》的不需提供）；</w:t>
      </w:r>
    </w:p>
    <w:p>
      <w:pPr>
        <w:numPr>
          <w:ilvl w:val="0"/>
          <w:numId w:val="35"/>
        </w:numPr>
        <w:tabs>
          <w:tab w:val="left" w:pos="709"/>
        </w:tabs>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营业执照复印件（正本或副本）或法人证书复印件（正本或副本）；</w:t>
      </w:r>
    </w:p>
    <w:p>
      <w:pPr>
        <w:numPr>
          <w:ilvl w:val="0"/>
          <w:numId w:val="35"/>
        </w:numPr>
        <w:tabs>
          <w:tab w:val="left" w:pos="709"/>
        </w:tabs>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2019或2020会计年度资产负债表复印件（说明：投标人成立时间至递交投标文件截止时间止不足一年的，提供成立后任意时段的资产负债表复印件）；</w:t>
      </w:r>
    </w:p>
    <w:p>
      <w:pPr>
        <w:numPr>
          <w:ilvl w:val="0"/>
          <w:numId w:val="35"/>
        </w:numPr>
        <w:tabs>
          <w:tab w:val="left" w:pos="1134"/>
        </w:tabs>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投标人缴纳2020年或2021年任意时段的税收的银行电子回单或者行政部门出具的纳税证明或完税证明复印件；</w:t>
      </w:r>
    </w:p>
    <w:p>
      <w:pPr>
        <w:numPr>
          <w:ilvl w:val="0"/>
          <w:numId w:val="35"/>
        </w:numPr>
        <w:tabs>
          <w:tab w:val="left" w:pos="1134"/>
        </w:tabs>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采购人对投标人履行合同所必须的设备和专业技术能力无其他特殊要求，投标人具有有效的营业执照或法人证书即可，可不提供其他证明材料；</w:t>
      </w:r>
    </w:p>
    <w:p>
      <w:pPr>
        <w:numPr>
          <w:ilvl w:val="0"/>
          <w:numId w:val="35"/>
        </w:numPr>
        <w:tabs>
          <w:tab w:val="left" w:pos="1134"/>
        </w:tabs>
        <w:ind w:left="0" w:firstLine="546"/>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投标人缴纳2020年或2021年任意时段的社保的银行电子回单或行政部门出具的社保缴纳证明材料复印件；</w:t>
      </w:r>
    </w:p>
    <w:p>
      <w:pPr>
        <w:numPr>
          <w:ilvl w:val="0"/>
          <w:numId w:val="35"/>
        </w:numPr>
        <w:tabs>
          <w:tab w:val="left" w:pos="1134"/>
        </w:tabs>
        <w:ind w:left="0" w:firstLine="546"/>
        <w:rPr>
          <w:color w:val="000000" w:themeColor="text1"/>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采购人对法律、行政法规规定的其他条件无其他特殊要求，投标人具有有效的营业执照或法人证书即可，可不提供其他证明材料。</w:t>
      </w: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5"/>
        <w:numPr>
          <w:ilvl w:val="1"/>
          <w:numId w:val="4"/>
        </w:numPr>
        <w:spacing w:before="0" w:after="0" w:line="240" w:lineRule="auto"/>
        <w:ind w:left="2269" w:hanging="2269"/>
        <w:rPr>
          <w:color w:val="000000" w:themeColor="text1"/>
          <w14:textFill>
            <w14:solidFill>
              <w14:schemeClr w14:val="tx1"/>
            </w14:solidFill>
          </w14:textFill>
        </w:rPr>
      </w:pPr>
      <w:bookmarkStart w:id="208" w:name="_Toc29848"/>
      <w:r>
        <w:rPr>
          <w:rFonts w:hint="eastAsia"/>
          <w:color w:val="000000" w:themeColor="text1"/>
          <w14:textFill>
            <w14:solidFill>
              <w14:schemeClr w14:val="tx1"/>
            </w14:solidFill>
          </w14:textFill>
        </w:rPr>
        <w:t>商务技术</w:t>
      </w:r>
      <w:r>
        <w:rPr>
          <w:color w:val="000000" w:themeColor="text1"/>
          <w14:textFill>
            <w14:solidFill>
              <w14:schemeClr w14:val="tx1"/>
            </w14:solidFill>
          </w14:textFill>
        </w:rPr>
        <w:t>响应文件</w:t>
      </w:r>
      <w:bookmarkEnd w:id="208"/>
    </w:p>
    <w:p>
      <w:pPr>
        <w:pStyle w:val="6"/>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投标函</w:t>
      </w:r>
      <w:bookmarkEnd w:id="197"/>
    </w:p>
    <w:p>
      <w:pPr>
        <w:pStyle w:val="27"/>
        <w:spacing w:after="0" w:line="500" w:lineRule="exact"/>
        <w:ind w:left="0" w:leftChars="0"/>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成都高新区政府采购服务中心：</w:t>
      </w:r>
    </w:p>
    <w:p>
      <w:pPr>
        <w:pStyle w:val="27"/>
        <w:spacing w:after="0" w:line="500" w:lineRule="exact"/>
        <w:ind w:left="0" w:leftChars="0" w:firstLine="560" w:firstLineChars="200"/>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我方全面研究了</w:t>
      </w:r>
      <w:r>
        <w:rPr>
          <w:rFonts w:hint="eastAsia" w:ascii="宋体" w:hAnsi="宋体"/>
          <w:b/>
          <w:color w:val="000000" w:themeColor="text1"/>
          <w:sz w:val="28"/>
          <w:szCs w:val="28"/>
          <w:u w:val="single"/>
          <w14:textFill>
            <w14:solidFill>
              <w14:schemeClr w14:val="tx1"/>
            </w14:solidFill>
          </w14:textFill>
        </w:rPr>
        <w:t>成都市教育科学研究院附属学校（成都市天府实验学校）物业管理服务采购项目</w:t>
      </w:r>
      <w:r>
        <w:rPr>
          <w:rFonts w:hint="eastAsia" w:ascii="宋体" w:hAnsi="宋体"/>
          <w:b/>
          <w:bCs/>
          <w:color w:val="000000" w:themeColor="text1"/>
          <w:sz w:val="28"/>
          <w:szCs w:val="28"/>
          <w:u w:val="single"/>
          <w14:textFill>
            <w14:solidFill>
              <w14:schemeClr w14:val="tx1"/>
            </w14:solidFill>
          </w14:textFill>
        </w:rPr>
        <w:t>（项目编号：</w:t>
      </w:r>
      <w:r>
        <w:rPr>
          <w:rFonts w:hint="eastAsia" w:ascii="宋体" w:hAnsi="宋体"/>
          <w:b/>
          <w:bCs/>
          <w:color w:val="000000" w:themeColor="text1"/>
          <w:sz w:val="28"/>
          <w:szCs w:val="28"/>
          <w:u w:val="single"/>
          <w:lang w:eastAsia="zh-CN"/>
          <w14:textFill>
            <w14:solidFill>
              <w14:schemeClr w14:val="tx1"/>
            </w14:solidFill>
          </w14:textFill>
        </w:rPr>
        <w:t>成都高新技术产业开发区政采（2021）A0028号</w:t>
      </w:r>
      <w:r>
        <w:rPr>
          <w:rFonts w:hint="eastAsia" w:ascii="宋体" w:hAnsi="宋体"/>
          <w:b/>
          <w:bCs/>
          <w:color w:val="000000" w:themeColor="text1"/>
          <w:sz w:val="28"/>
          <w:szCs w:val="28"/>
          <w:u w:val="single"/>
          <w14:textFill>
            <w14:solidFill>
              <w14:schemeClr w14:val="tx1"/>
            </w14:solidFill>
          </w14:textFill>
        </w:rPr>
        <w:t>）</w:t>
      </w:r>
      <w:r>
        <w:rPr>
          <w:rFonts w:hint="eastAsia" w:ascii="宋体" w:hAnsi="宋体"/>
          <w:bCs/>
          <w:color w:val="000000" w:themeColor="text1"/>
          <w:sz w:val="28"/>
          <w:szCs w:val="28"/>
          <w14:textFill>
            <w14:solidFill>
              <w14:schemeClr w14:val="tx1"/>
            </w14:solidFill>
          </w14:textFill>
        </w:rPr>
        <w:t>招标文件，决定参加贵单位组织的本项目的投标。我方授权</w:t>
      </w:r>
      <w:r>
        <w:rPr>
          <w:rFonts w:hint="eastAsia" w:ascii="宋体" w:hAnsi="宋体"/>
          <w:bCs/>
          <w:color w:val="000000" w:themeColor="text1"/>
          <w:sz w:val="28"/>
          <w:szCs w:val="28"/>
          <w:u w:val="single"/>
          <w14:textFill>
            <w14:solidFill>
              <w14:schemeClr w14:val="tx1"/>
            </w14:solidFill>
          </w14:textFill>
        </w:rPr>
        <w:t>XXX（姓名、职务）</w:t>
      </w:r>
      <w:r>
        <w:rPr>
          <w:rFonts w:hint="eastAsia" w:ascii="宋体" w:hAnsi="宋体"/>
          <w:bCs/>
          <w:color w:val="000000" w:themeColor="text1"/>
          <w:sz w:val="28"/>
          <w:szCs w:val="28"/>
          <w14:textFill>
            <w14:solidFill>
              <w14:schemeClr w14:val="tx1"/>
            </w14:solidFill>
          </w14:textFill>
        </w:rPr>
        <w:t>代表我方</w:t>
      </w:r>
      <w:r>
        <w:rPr>
          <w:rFonts w:hint="eastAsia" w:ascii="宋体" w:hAnsi="宋体"/>
          <w:bCs/>
          <w:color w:val="000000" w:themeColor="text1"/>
          <w:sz w:val="28"/>
          <w:szCs w:val="28"/>
          <w:u w:val="single"/>
          <w14:textFill>
            <w14:solidFill>
              <w14:schemeClr w14:val="tx1"/>
            </w14:solidFill>
          </w14:textFill>
        </w:rPr>
        <w:t>XXX（投标人名称）</w:t>
      </w:r>
      <w:r>
        <w:rPr>
          <w:rFonts w:hint="eastAsia" w:ascii="宋体" w:hAnsi="宋体"/>
          <w:bCs/>
          <w:color w:val="000000" w:themeColor="text1"/>
          <w:sz w:val="28"/>
          <w:szCs w:val="28"/>
          <w14:textFill>
            <w14:solidFill>
              <w14:schemeClr w14:val="tx1"/>
            </w14:solidFill>
          </w14:textFill>
        </w:rPr>
        <w:t>全权处理本项目投标的有关事宜。</w:t>
      </w:r>
    </w:p>
    <w:p>
      <w:pPr>
        <w:numPr>
          <w:ilvl w:val="1"/>
          <w:numId w:val="36"/>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我方自愿按照招标文件规定的各项要求向采购人提供所需服务，</w:t>
      </w:r>
      <w:r>
        <w:rPr>
          <w:rFonts w:hint="eastAsia" w:ascii="宋体" w:hAnsi="宋体"/>
          <w:b/>
          <w:color w:val="000000" w:themeColor="text1"/>
          <w:sz w:val="28"/>
          <w:szCs w:val="28"/>
          <w14:textFill>
            <w14:solidFill>
              <w14:schemeClr w14:val="tx1"/>
            </w14:solidFill>
          </w14:textFill>
        </w:rPr>
        <w:t>投标报价以《开标一览表》为准</w:t>
      </w:r>
      <w:r>
        <w:rPr>
          <w:rFonts w:hint="eastAsia" w:ascii="宋体" w:hAnsi="宋体"/>
          <w:color w:val="000000" w:themeColor="text1"/>
          <w:sz w:val="28"/>
          <w:szCs w:val="28"/>
          <w14:textFill>
            <w14:solidFill>
              <w14:schemeClr w14:val="tx1"/>
            </w14:solidFill>
          </w14:textFill>
        </w:rPr>
        <w:t>。</w:t>
      </w:r>
    </w:p>
    <w:p>
      <w:pPr>
        <w:numPr>
          <w:ilvl w:val="1"/>
          <w:numId w:val="36"/>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如果我方中标，我方将严格履行合同规定的责任和义务，否则将承担由此产生的一切责任。</w:t>
      </w:r>
    </w:p>
    <w:p>
      <w:pPr>
        <w:numPr>
          <w:ilvl w:val="1"/>
          <w:numId w:val="36"/>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我方已知晓全部招标文件的内容，包括修改文件（如有）以及全部相关资料和有关附件，并对上述文件均无异议。</w:t>
      </w:r>
    </w:p>
    <w:p>
      <w:pPr>
        <w:numPr>
          <w:ilvl w:val="1"/>
          <w:numId w:val="36"/>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投标有效期为从投标截止之日起120天。</w:t>
      </w:r>
    </w:p>
    <w:p>
      <w:pPr>
        <w:numPr>
          <w:ilvl w:val="1"/>
          <w:numId w:val="36"/>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我方愿意提供贵中心可能另外要求的，与投标有关的文件资料，并保证我方已提供和将要提供的文件资料是真实、准确的，并对此承担一切法律后果。</w:t>
      </w:r>
    </w:p>
    <w:p>
      <w:pPr>
        <w:numPr>
          <w:ilvl w:val="1"/>
          <w:numId w:val="36"/>
        </w:numPr>
        <w:tabs>
          <w:tab w:val="left" w:pos="1134"/>
        </w:tabs>
        <w:spacing w:after="20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我单位联系方式：XXXX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    址：XXXX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传    真：XXXX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邮政编码：XXXX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tabs>
          <w:tab w:val="left" w:pos="1134"/>
        </w:tabs>
        <w:spacing w:line="500" w:lineRule="exact"/>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日    期：20XX年XX月XX日</w:t>
      </w:r>
    </w:p>
    <w:p>
      <w:pPr>
        <w:pStyle w:val="6"/>
        <w:numPr>
          <w:ilvl w:val="2"/>
          <w:numId w:val="4"/>
        </w:numPr>
        <w:spacing w:after="200" w:line="240" w:lineRule="auto"/>
        <w:ind w:left="851"/>
        <w:rPr>
          <w:color w:val="000000" w:themeColor="text1"/>
          <w14:textFill>
            <w14:solidFill>
              <w14:schemeClr w14:val="tx1"/>
            </w14:solidFill>
          </w14:textFill>
        </w:rPr>
      </w:pPr>
      <w:bookmarkStart w:id="209" w:name="_Toc240367172"/>
      <w:bookmarkStart w:id="210" w:name="_Toc314574804"/>
      <w:bookmarkStart w:id="211" w:name="_Toc239846734"/>
      <w:bookmarkStart w:id="212" w:name="_Toc240865266"/>
      <w:bookmarkStart w:id="213" w:name="_Toc239849853"/>
      <w:bookmarkStart w:id="214" w:name="_Toc265494342"/>
      <w:bookmarkStart w:id="215" w:name="_Toc231030275"/>
      <w:bookmarkStart w:id="216" w:name="_Toc229802674"/>
      <w:bookmarkStart w:id="217" w:name="_Toc237145395"/>
      <w:r>
        <w:rPr>
          <w:rFonts w:hint="eastAsia"/>
          <w:color w:val="000000" w:themeColor="text1"/>
          <w14:textFill>
            <w14:solidFill>
              <w14:schemeClr w14:val="tx1"/>
            </w14:solidFill>
          </w14:textFill>
        </w:rPr>
        <w:t>法定代表人身份证明书</w:t>
      </w:r>
    </w:p>
    <w:p>
      <w:pPr>
        <w:tabs>
          <w:tab w:val="left" w:pos="6300"/>
        </w:tabs>
        <w:ind w:firstLine="573"/>
        <w:rPr>
          <w:rFonts w:ascii="宋体" w:hAnsi="宋体"/>
          <w:color w:val="000000" w:themeColor="text1"/>
          <w:sz w:val="28"/>
          <w:u w:val="single"/>
          <w:lang w:val="zh-CN"/>
          <w14:textFill>
            <w14:solidFill>
              <w14:schemeClr w14:val="tx1"/>
            </w14:solidFill>
          </w14:textFill>
        </w:rPr>
      </w:pPr>
    </w:p>
    <w:p>
      <w:pPr>
        <w:tabs>
          <w:tab w:val="left" w:pos="6300"/>
        </w:tabs>
        <w:ind w:firstLine="573"/>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szCs w:val="28"/>
          <w:u w:val="single"/>
          <w14:textFill>
            <w14:solidFill>
              <w14:schemeClr w14:val="tx1"/>
            </w14:solidFill>
          </w14:textFill>
        </w:rPr>
        <w:t>XXXX</w:t>
      </w:r>
      <w:r>
        <w:rPr>
          <w:rFonts w:hint="eastAsia" w:ascii="宋体" w:hAnsi="宋体"/>
          <w:color w:val="000000" w:themeColor="text1"/>
          <w:sz w:val="28"/>
          <w:u w:val="single"/>
          <w:lang w:val="zh-CN"/>
          <w14:textFill>
            <w14:solidFill>
              <w14:schemeClr w14:val="tx1"/>
            </w14:solidFill>
          </w14:textFill>
        </w:rPr>
        <w:t>（法定代表人姓名）</w:t>
      </w:r>
      <w:r>
        <w:rPr>
          <w:rFonts w:hint="eastAsia" w:ascii="宋体" w:hAnsi="宋体"/>
          <w:color w:val="000000" w:themeColor="text1"/>
          <w:sz w:val="28"/>
          <w:lang w:val="zh-CN"/>
          <w14:textFill>
            <w14:solidFill>
              <w14:schemeClr w14:val="tx1"/>
            </w14:solidFill>
          </w14:textFill>
        </w:rPr>
        <w:t>在</w:t>
      </w:r>
      <w:r>
        <w:rPr>
          <w:rFonts w:hint="eastAsia" w:ascii="宋体" w:hAnsi="宋体"/>
          <w:color w:val="000000" w:themeColor="text1"/>
          <w:sz w:val="28"/>
          <w:szCs w:val="28"/>
          <w:u w:val="single"/>
          <w14:textFill>
            <w14:solidFill>
              <w14:schemeClr w14:val="tx1"/>
            </w14:solidFill>
          </w14:textFill>
        </w:rPr>
        <w:t>XXXX</w:t>
      </w:r>
      <w:r>
        <w:rPr>
          <w:rFonts w:hint="eastAsia" w:ascii="宋体" w:hAnsi="宋体"/>
          <w:color w:val="000000" w:themeColor="text1"/>
          <w:sz w:val="28"/>
          <w:u w:val="single"/>
          <w:lang w:val="zh-CN"/>
          <w14:textFill>
            <w14:solidFill>
              <w14:schemeClr w14:val="tx1"/>
            </w14:solidFill>
          </w14:textFill>
        </w:rPr>
        <w:t xml:space="preserve"> （投标人名称）</w:t>
      </w:r>
      <w:r>
        <w:rPr>
          <w:rFonts w:hint="eastAsia" w:ascii="宋体" w:hAnsi="宋体"/>
          <w:color w:val="000000" w:themeColor="text1"/>
          <w:sz w:val="28"/>
          <w:lang w:val="zh-CN"/>
          <w14:textFill>
            <w14:solidFill>
              <w14:schemeClr w14:val="tx1"/>
            </w14:solidFill>
          </w14:textFill>
        </w:rPr>
        <w:t>处任</w:t>
      </w:r>
      <w:r>
        <w:rPr>
          <w:rFonts w:hint="eastAsia" w:ascii="宋体" w:hAnsi="宋体"/>
          <w:color w:val="000000" w:themeColor="text1"/>
          <w:sz w:val="28"/>
          <w:u w:val="single"/>
          <w:lang w:val="zh-CN"/>
          <w14:textFill>
            <w14:solidFill>
              <w14:schemeClr w14:val="tx1"/>
            </w14:solidFill>
          </w14:textFill>
        </w:rPr>
        <w:t xml:space="preserve">         XXXX（职务名称）</w:t>
      </w:r>
      <w:r>
        <w:rPr>
          <w:rFonts w:hint="eastAsia" w:ascii="宋体" w:hAnsi="宋体"/>
          <w:color w:val="000000" w:themeColor="text1"/>
          <w:sz w:val="28"/>
          <w:lang w:val="zh-CN"/>
          <w14:textFill>
            <w14:solidFill>
              <w14:schemeClr w14:val="tx1"/>
            </w14:solidFill>
          </w14:textFill>
        </w:rPr>
        <w:t>职务，是</w:t>
      </w:r>
      <w:r>
        <w:rPr>
          <w:rFonts w:hint="eastAsia" w:ascii="宋体" w:hAnsi="宋体"/>
          <w:color w:val="000000" w:themeColor="text1"/>
          <w:sz w:val="28"/>
          <w:szCs w:val="28"/>
          <w:u w:val="single"/>
          <w14:textFill>
            <w14:solidFill>
              <w14:schemeClr w14:val="tx1"/>
            </w14:solidFill>
          </w14:textFill>
        </w:rPr>
        <w:t>XXXX</w:t>
      </w:r>
      <w:r>
        <w:rPr>
          <w:rFonts w:hint="eastAsia" w:ascii="宋体" w:hAnsi="宋体"/>
          <w:color w:val="000000" w:themeColor="text1"/>
          <w:sz w:val="28"/>
          <w:u w:val="single"/>
          <w:lang w:val="zh-CN"/>
          <w14:textFill>
            <w14:solidFill>
              <w14:schemeClr w14:val="tx1"/>
            </w14:solidFill>
          </w14:textFill>
        </w:rPr>
        <w:t>（投标人名称）</w:t>
      </w:r>
      <w:r>
        <w:rPr>
          <w:rFonts w:hint="eastAsia" w:ascii="宋体" w:hAnsi="宋体"/>
          <w:color w:val="000000" w:themeColor="text1"/>
          <w:sz w:val="28"/>
          <w:lang w:val="zh-CN"/>
          <w14:textFill>
            <w14:solidFill>
              <w14:schemeClr w14:val="tx1"/>
            </w14:solidFill>
          </w14:textFill>
        </w:rPr>
        <w:t>的法定代表人。</w:t>
      </w: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tabs>
          <w:tab w:val="left" w:pos="6300"/>
        </w:tabs>
        <w:ind w:firstLine="573"/>
        <w:rPr>
          <w:rFonts w:ascii="宋体" w:hAnsi="宋体"/>
          <w:color w:val="000000" w:themeColor="text1"/>
          <w:sz w:val="28"/>
          <w:lang w:val="zh-CN"/>
          <w14:textFill>
            <w14:solidFill>
              <w14:schemeClr w14:val="tx1"/>
            </w14:solidFill>
          </w14:textFill>
        </w:rPr>
      </w:pPr>
    </w:p>
    <w:p>
      <w:pPr>
        <w:tabs>
          <w:tab w:val="left" w:pos="6300"/>
        </w:tabs>
        <w:ind w:firstLine="573"/>
        <w:rPr>
          <w:rFonts w:ascii="宋体" w:hAnsi="宋体"/>
          <w:color w:val="000000" w:themeColor="text1"/>
          <w:sz w:val="28"/>
          <w:lang w:val="zh-CN"/>
          <w14:textFill>
            <w14:solidFill>
              <w14:schemeClr w14:val="tx1"/>
            </w14:solidFill>
          </w14:textFill>
        </w:rPr>
      </w:pPr>
      <w:bookmarkStart w:id="218" w:name="_Toc263768866"/>
      <w:r>
        <w:rPr>
          <w:rFonts w:hint="eastAsia" w:ascii="宋体" w:hAnsi="宋体"/>
          <w:color w:val="000000" w:themeColor="text1"/>
          <w:sz w:val="28"/>
          <w:lang w:val="zh-CN"/>
          <w14:textFill>
            <w14:solidFill>
              <w14:schemeClr w14:val="tx1"/>
            </w14:solidFill>
          </w14:textFill>
        </w:rPr>
        <w:t>特此证明。</w:t>
      </w:r>
      <w:bookmarkEnd w:id="218"/>
    </w:p>
    <w:p>
      <w:pPr>
        <w:tabs>
          <w:tab w:val="left" w:pos="6300"/>
        </w:tabs>
        <w:rPr>
          <w:rFonts w:ascii="宋体" w:hAnsi="宋体"/>
          <w:color w:val="000000" w:themeColor="text1"/>
          <w:sz w:val="28"/>
          <w:lang w:val="zh-CN"/>
          <w14:textFill>
            <w14:solidFill>
              <w14:schemeClr w14:val="tx1"/>
            </w14:solidFill>
          </w14:textFill>
        </w:rPr>
      </w:pPr>
    </w:p>
    <w:p>
      <w:pPr>
        <w:tabs>
          <w:tab w:val="left" w:pos="6300"/>
        </w:tabs>
        <w:rPr>
          <w:rFonts w:ascii="宋体" w:hAnsi="宋体"/>
          <w:color w:val="000000" w:themeColor="text1"/>
          <w:sz w:val="28"/>
          <w:lang w:val="zh-CN"/>
          <w14:textFill>
            <w14:solidFill>
              <w14:schemeClr w14:val="tx1"/>
            </w14:solidFill>
          </w14:textFill>
        </w:rPr>
      </w:pPr>
    </w:p>
    <w:p>
      <w:pPr>
        <w:ind w:firstLine="560" w:firstLineChars="200"/>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lang w:val="zh-CN"/>
          <w14:textFill>
            <w14:solidFill>
              <w14:schemeClr w14:val="tx1"/>
            </w14:solidFill>
          </w14:textFill>
        </w:rPr>
        <w:t>投标人名称：</w:t>
      </w:r>
      <w:r>
        <w:rPr>
          <w:rFonts w:hint="eastAsia" w:ascii="宋体" w:hAnsi="宋体"/>
          <w:color w:val="000000" w:themeColor="text1"/>
          <w:sz w:val="28"/>
          <w:szCs w:val="28"/>
          <w14:textFill>
            <w14:solidFill>
              <w14:schemeClr w14:val="tx1"/>
            </w14:solidFill>
          </w14:textFill>
        </w:rPr>
        <w:t>XXXX</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color w:val="000000" w:themeColor="text1"/>
          <w:sz w:val="28"/>
          <w:szCs w:val="28"/>
          <w14:textFill>
            <w14:solidFill>
              <w14:schemeClr w14:val="tx1"/>
            </w14:solidFill>
          </w14:textFill>
        </w:rPr>
        <w:t>20XX</w:t>
      </w:r>
      <w:r>
        <w:rPr>
          <w:rFonts w:hint="eastAsia" w:ascii="宋体" w:hAnsi="宋体"/>
          <w:color w:val="000000" w:themeColor="text1"/>
          <w:sz w:val="28"/>
          <w14:textFill>
            <w14:solidFill>
              <w14:schemeClr w14:val="tx1"/>
            </w14:solidFill>
          </w14:textFill>
        </w:rPr>
        <w:t xml:space="preserve"> 年</w:t>
      </w:r>
      <w:r>
        <w:rPr>
          <w:rFonts w:hint="eastAsia" w:ascii="宋体" w:hAnsi="宋体"/>
          <w:color w:val="000000" w:themeColor="text1"/>
          <w:sz w:val="28"/>
          <w:szCs w:val="28"/>
          <w14:textFill>
            <w14:solidFill>
              <w14:schemeClr w14:val="tx1"/>
            </w14:solidFill>
          </w14:textFill>
        </w:rPr>
        <w:t>XX</w:t>
      </w:r>
      <w:r>
        <w:rPr>
          <w:rFonts w:hint="eastAsia" w:ascii="宋体" w:hAnsi="宋体"/>
          <w:color w:val="000000" w:themeColor="text1"/>
          <w:sz w:val="28"/>
          <w14:textFill>
            <w14:solidFill>
              <w14:schemeClr w14:val="tx1"/>
            </w14:solidFill>
          </w14:textFill>
        </w:rPr>
        <w:t>月</w:t>
      </w:r>
      <w:r>
        <w:rPr>
          <w:rFonts w:hint="eastAsia" w:ascii="宋体" w:hAnsi="宋体"/>
          <w:color w:val="000000" w:themeColor="text1"/>
          <w:sz w:val="28"/>
          <w:szCs w:val="28"/>
          <w14:textFill>
            <w14:solidFill>
              <w14:schemeClr w14:val="tx1"/>
            </w14:solidFill>
          </w14:textFill>
        </w:rPr>
        <w:t>XX</w:t>
      </w:r>
      <w:r>
        <w:rPr>
          <w:rFonts w:hint="eastAsia" w:ascii="宋体" w:hAnsi="宋体"/>
          <w:color w:val="000000" w:themeColor="text1"/>
          <w:sz w:val="28"/>
          <w14:textFill>
            <w14:solidFill>
              <w14:schemeClr w14:val="tx1"/>
            </w14:solidFill>
          </w14:textFill>
        </w:rPr>
        <w:t>日</w:t>
      </w:r>
    </w:p>
    <w:p>
      <w:pPr>
        <w:tabs>
          <w:tab w:val="left" w:pos="6300"/>
        </w:tabs>
        <w:rPr>
          <w:rFonts w:ascii="宋体" w:hAnsi="宋体"/>
          <w:b/>
          <w:color w:val="000000" w:themeColor="text1"/>
          <w:sz w:val="28"/>
          <w:u w:val="single"/>
          <w:lang w:val="zh-CN"/>
          <w14:textFill>
            <w14:solidFill>
              <w14:schemeClr w14:val="tx1"/>
            </w14:solidFill>
          </w14:textFill>
        </w:rPr>
      </w:pPr>
    </w:p>
    <w:p>
      <w:pPr>
        <w:pStyle w:val="14"/>
        <w:spacing w:line="240" w:lineRule="auto"/>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说明：上述证明文件在投标文件中附有法定代表人身份证复印件（身份证两面均应复印）或护照复印件（供应商的法定代表人为外籍人士的，则提供护照复印件）时才能生效。</w:t>
      </w:r>
    </w:p>
    <w:bookmarkEnd w:id="209"/>
    <w:bookmarkEnd w:id="210"/>
    <w:bookmarkEnd w:id="211"/>
    <w:bookmarkEnd w:id="212"/>
    <w:bookmarkEnd w:id="213"/>
    <w:bookmarkEnd w:id="214"/>
    <w:bookmarkEnd w:id="215"/>
    <w:bookmarkEnd w:id="216"/>
    <w:bookmarkEnd w:id="217"/>
    <w:p>
      <w:pPr>
        <w:pStyle w:val="6"/>
        <w:numPr>
          <w:ilvl w:val="2"/>
          <w:numId w:val="4"/>
        </w:numPr>
        <w:spacing w:after="200" w:line="240" w:lineRule="auto"/>
        <w:ind w:left="851"/>
        <w:rPr>
          <w:color w:val="000000" w:themeColor="text1"/>
          <w14:textFill>
            <w14:solidFill>
              <w14:schemeClr w14:val="tx1"/>
            </w14:solidFill>
          </w14:textFill>
        </w:rPr>
      </w:pPr>
      <w:bookmarkStart w:id="219" w:name="_Toc302997926"/>
      <w:bookmarkStart w:id="220" w:name="_Toc263753605"/>
      <w:bookmarkStart w:id="221" w:name="_Toc220299393"/>
      <w:bookmarkStart w:id="222" w:name="_Toc263768870"/>
      <w:bookmarkStart w:id="223" w:name="_Toc217446083"/>
      <w:r>
        <w:rPr>
          <w:rFonts w:hint="eastAsia"/>
          <w:color w:val="000000" w:themeColor="text1"/>
          <w14:textFill>
            <w14:solidFill>
              <w14:schemeClr w14:val="tx1"/>
            </w14:solidFill>
          </w14:textFill>
        </w:rPr>
        <w:t>投标人基本情况表</w:t>
      </w:r>
      <w:bookmarkEnd w:id="219"/>
    </w:p>
    <w:tbl>
      <w:tblPr>
        <w:tblStyle w:val="45"/>
        <w:tblW w:w="8520"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5"/>
        <w:gridCol w:w="977"/>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double" w:color="auto" w:sz="4"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投标人名称</w:t>
            </w:r>
          </w:p>
        </w:tc>
        <w:tc>
          <w:tcPr>
            <w:tcW w:w="7006" w:type="dxa"/>
            <w:gridSpan w:val="8"/>
            <w:tcBorders>
              <w:top w:val="double" w:color="auto" w:sz="4"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注册地址</w:t>
            </w:r>
          </w:p>
        </w:tc>
        <w:tc>
          <w:tcPr>
            <w:tcW w:w="3449"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3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vMerge w:val="restart"/>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联系方式</w:t>
            </w: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联系人</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1516" w:type="dxa"/>
            <w:vMerge w:val="continue"/>
            <w:tcBorders>
              <w:top w:val="single" w:color="auto" w:sz="6" w:space="0"/>
              <w:left w:val="double" w:color="auto" w:sz="4"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传真</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单位性质</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法定代表人</w:t>
            </w: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姓名</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12" w:hRule="atLeast"/>
          <w:jc w:val="center"/>
        </w:trPr>
        <w:tc>
          <w:tcPr>
            <w:tcW w:w="1516" w:type="dxa"/>
            <w:tcBorders>
              <w:top w:val="single" w:color="auto" w:sz="6" w:space="0"/>
              <w:left w:val="double" w:color="auto" w:sz="4"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技术负责人</w:t>
            </w:r>
          </w:p>
        </w:tc>
        <w:tc>
          <w:tcPr>
            <w:tcW w:w="97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姓名</w:t>
            </w:r>
          </w:p>
        </w:tc>
        <w:tc>
          <w:tcPr>
            <w:tcW w:w="1215"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516" w:type="dxa"/>
            <w:tcBorders>
              <w:top w:val="single" w:color="auto" w:sz="4"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财务负责人</w:t>
            </w:r>
          </w:p>
        </w:tc>
        <w:tc>
          <w:tcPr>
            <w:tcW w:w="97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姓名</w:t>
            </w:r>
          </w:p>
        </w:tc>
        <w:tc>
          <w:tcPr>
            <w:tcW w:w="1215"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成立时间</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ind w:firstLine="1470" w:firstLineChars="700"/>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企业资质等级</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其中</w:t>
            </w: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项目经理</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营业执照号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高级职称人员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注册资金</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中级职称人员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开户银行</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初级职称人员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账号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000000" w:themeColor="text1"/>
                <w:kern w:val="0"/>
                <w:szCs w:val="21"/>
                <w14:textFill>
                  <w14:solidFill>
                    <w14:schemeClr w14:val="tx1"/>
                  </w14:solidFill>
                </w14:textFill>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技工</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937"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经营范围</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rPr>
                <w:rFonts w:ascii="宋体" w:hAnsi="宋体"/>
                <w:bCs/>
                <w:color w:val="000000" w:themeColor="text1"/>
                <w:kern w:val="0"/>
                <w:szCs w:val="21"/>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682" w:hRule="atLeast"/>
          <w:jc w:val="center"/>
        </w:trPr>
        <w:tc>
          <w:tcPr>
            <w:tcW w:w="1516" w:type="dxa"/>
            <w:tcBorders>
              <w:top w:val="single" w:color="auto" w:sz="6" w:space="0"/>
              <w:left w:val="double" w:color="auto" w:sz="4" w:space="0"/>
              <w:bottom w:val="double" w:color="auto" w:sz="4" w:space="0"/>
              <w:right w:val="single" w:color="auto" w:sz="6" w:space="0"/>
            </w:tcBorders>
          </w:tcPr>
          <w:p>
            <w:pPr>
              <w:autoSpaceDE w:val="0"/>
              <w:autoSpaceDN w:val="0"/>
              <w:adjustRightInd w:val="0"/>
              <w:jc w:val="center"/>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备注</w:t>
            </w:r>
          </w:p>
        </w:tc>
        <w:tc>
          <w:tcPr>
            <w:tcW w:w="7006" w:type="dxa"/>
            <w:gridSpan w:val="8"/>
            <w:tcBorders>
              <w:top w:val="single" w:color="auto" w:sz="6" w:space="0"/>
              <w:left w:val="single" w:color="auto" w:sz="6" w:space="0"/>
              <w:bottom w:val="double" w:color="auto" w:sz="4" w:space="0"/>
              <w:right w:val="double" w:color="auto" w:sz="4" w:space="0"/>
            </w:tcBorders>
          </w:tcPr>
          <w:p>
            <w:pPr>
              <w:autoSpaceDE w:val="0"/>
              <w:autoSpaceDN w:val="0"/>
              <w:adjustRightInd w:val="0"/>
              <w:jc w:val="left"/>
              <w:rPr>
                <w:rFonts w:ascii="宋体" w:hAnsi="宋体"/>
                <w:color w:val="000000" w:themeColor="text1"/>
                <w:kern w:val="0"/>
                <w:szCs w:val="21"/>
                <w14:textFill>
                  <w14:solidFill>
                    <w14:schemeClr w14:val="tx1"/>
                  </w14:solidFill>
                </w14:textFill>
              </w:rPr>
            </w:pPr>
          </w:p>
        </w:tc>
      </w:tr>
    </w:tbl>
    <w:p>
      <w:pPr>
        <w:adjustRightInd w:val="0"/>
        <w:jc w:val="left"/>
        <w:rPr>
          <w:rFonts w:ascii="宋体" w:hAnsi="宋体"/>
          <w:bCs/>
          <w:color w:val="000000" w:themeColor="text1"/>
          <w:sz w:val="28"/>
          <w:szCs w:val="28"/>
          <w14:textFill>
            <w14:solidFill>
              <w14:schemeClr w14:val="tx1"/>
            </w14:solidFill>
          </w14:textFill>
        </w:rPr>
      </w:pPr>
    </w:p>
    <w:p>
      <w:pPr>
        <w:pStyle w:val="27"/>
        <w:spacing w:line="240" w:lineRule="auto"/>
        <w:ind w:firstLine="288" w:firstLineChars="103"/>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adjustRightInd w:val="0"/>
        <w:ind w:firstLine="700" w:firstLineChars="250"/>
        <w:jc w:val="left"/>
        <w:rPr>
          <w:rFonts w:ascii="宋体" w:hAnsi="宋体"/>
          <w:bCs/>
          <w:color w:val="000000" w:themeColor="text1"/>
          <w:sz w:val="28"/>
          <w:szCs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20XX年XX</w:t>
      </w:r>
      <w:r>
        <w:rPr>
          <w:rFonts w:hint="eastAsia" w:ascii="宋体" w:hAnsi="宋体"/>
          <w:bCs/>
          <w:color w:val="000000" w:themeColor="text1"/>
          <w:sz w:val="28"/>
          <w:szCs w:val="28"/>
          <w14:textFill>
            <w14:solidFill>
              <w14:schemeClr w14:val="tx1"/>
            </w14:solidFill>
          </w14:textFill>
        </w:rPr>
        <w:t>月</w:t>
      </w:r>
      <w:r>
        <w:rPr>
          <w:rFonts w:hint="eastAsia" w:ascii="宋体" w:hAnsi="宋体"/>
          <w:bCs/>
          <w:color w:val="000000" w:themeColor="text1"/>
          <w:sz w:val="28"/>
          <w14:textFill>
            <w14:solidFill>
              <w14:schemeClr w14:val="tx1"/>
            </w14:solidFill>
          </w14:textFill>
        </w:rPr>
        <w:t>XX</w:t>
      </w:r>
      <w:r>
        <w:rPr>
          <w:rFonts w:hint="eastAsia" w:ascii="宋体" w:hAnsi="宋体"/>
          <w:bCs/>
          <w:color w:val="000000" w:themeColor="text1"/>
          <w:sz w:val="28"/>
          <w:szCs w:val="28"/>
          <w14:textFill>
            <w14:solidFill>
              <w14:schemeClr w14:val="tx1"/>
            </w14:solidFill>
          </w14:textFill>
        </w:rPr>
        <w:t>日</w:t>
      </w:r>
      <w:bookmarkEnd w:id="220"/>
      <w:bookmarkEnd w:id="221"/>
      <w:bookmarkEnd w:id="222"/>
      <w:bookmarkStart w:id="224" w:name="_Toc263768873"/>
      <w:bookmarkStart w:id="225" w:name="_Toc220299404"/>
      <w:bookmarkStart w:id="226" w:name="_Toc263753615"/>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6"/>
        <w:numPr>
          <w:ilvl w:val="2"/>
          <w:numId w:val="4"/>
        </w:numPr>
        <w:spacing w:after="200" w:line="240" w:lineRule="auto"/>
        <w:ind w:left="851"/>
        <w:rPr>
          <w:color w:val="000000" w:themeColor="text1"/>
          <w14:textFill>
            <w14:solidFill>
              <w14:schemeClr w14:val="tx1"/>
            </w14:solidFill>
          </w14:textFill>
        </w:rPr>
      </w:pPr>
      <w:r>
        <w:rPr>
          <w:rFonts w:hint="eastAsia"/>
          <w:color w:val="000000" w:themeColor="text1"/>
          <w14:textFill>
            <w14:solidFill>
              <w14:schemeClr w14:val="tx1"/>
            </w14:solidFill>
          </w14:textFill>
        </w:rPr>
        <w:t>服务方案及服务承诺</w:t>
      </w:r>
    </w:p>
    <w:p>
      <w:pPr>
        <w:snapToGrid w:val="0"/>
        <w:rPr>
          <w:rFonts w:ascii="宋体" w:hAnsi="宋体"/>
          <w:b/>
          <w:color w:val="000000" w:themeColor="text1"/>
          <w:spacing w:val="-20"/>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r>
        <w:rPr>
          <w:rFonts w:hint="eastAsia" w:ascii="宋体" w:hAnsi="宋体"/>
          <w:b/>
          <w:color w:val="000000" w:themeColor="text1"/>
          <w:sz w:val="28"/>
          <w:szCs w:val="28"/>
          <w:u w:val="single"/>
          <w14:textFill>
            <w14:solidFill>
              <w14:schemeClr w14:val="tx1"/>
            </w14:solidFill>
          </w14:textFill>
        </w:rPr>
        <w:t>成都市教育科学研究院附属学校（成都市天府实验学校）物业管理服务采购项目</w:t>
      </w:r>
    </w:p>
    <w:p>
      <w:pPr>
        <w:snapToGrid w:val="0"/>
        <w:rPr>
          <w:rFonts w:hint="eastAsia" w:ascii="宋体" w:hAnsi="宋体" w:eastAsia="宋体"/>
          <w:b/>
          <w:color w:val="000000" w:themeColor="text1"/>
          <w:sz w:val="28"/>
          <w:szCs w:val="28"/>
          <w:u w:val="single"/>
          <w:lang w:eastAsia="zh-CN"/>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w:t>
      </w:r>
      <w:r>
        <w:rPr>
          <w:rFonts w:hint="eastAsia" w:ascii="宋体" w:hAnsi="宋体"/>
          <w:b/>
          <w:color w:val="000000" w:themeColor="text1"/>
          <w:sz w:val="28"/>
          <w:szCs w:val="28"/>
          <w:u w:val="single"/>
          <w:lang w:eastAsia="zh-CN"/>
          <w14:textFill>
            <w14:solidFill>
              <w14:schemeClr w14:val="tx1"/>
            </w14:solidFill>
          </w14:textFill>
        </w:rPr>
        <w:t>成都高新技术产业开发区政采（2021）A0028号</w:t>
      </w: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p>
    <w:p>
      <w:pPr>
        <w:pStyle w:val="27"/>
        <w:spacing w:line="240" w:lineRule="auto"/>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adjustRightInd w:val="0"/>
        <w:ind w:firstLine="420" w:firstLineChars="150"/>
        <w:jc w:val="left"/>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日期：20XX年XX月XX日</w:t>
      </w: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6"/>
        <w:numPr>
          <w:ilvl w:val="2"/>
          <w:numId w:val="4"/>
        </w:numPr>
        <w:spacing w:after="200" w:line="240" w:lineRule="auto"/>
        <w:ind w:left="851"/>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承诺函</w:t>
      </w:r>
    </w:p>
    <w:p>
      <w:pPr>
        <w:snapToGrid w:val="0"/>
        <w:rPr>
          <w:rFonts w:ascii="宋体" w:hAnsi="宋体"/>
          <w:b/>
          <w:color w:val="000000" w:themeColor="text1"/>
          <w:spacing w:val="-20"/>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r>
        <w:rPr>
          <w:rFonts w:hint="eastAsia" w:ascii="宋体" w:hAnsi="宋体"/>
          <w:b/>
          <w:color w:val="000000" w:themeColor="text1"/>
          <w:sz w:val="28"/>
          <w:szCs w:val="28"/>
          <w:u w:val="single"/>
          <w14:textFill>
            <w14:solidFill>
              <w14:schemeClr w14:val="tx1"/>
            </w14:solidFill>
          </w14:textFill>
        </w:rPr>
        <w:t>成都市教育科学研究院附属学校（成都市天府实验学校）物业管理服务采购项目</w:t>
      </w:r>
    </w:p>
    <w:p>
      <w:pPr>
        <w:snapToGrid w:val="0"/>
        <w:rPr>
          <w:rFonts w:hint="eastAsia" w:ascii="宋体" w:hAnsi="宋体" w:eastAsia="宋体"/>
          <w:b/>
          <w:color w:val="000000" w:themeColor="text1"/>
          <w:sz w:val="28"/>
          <w:szCs w:val="28"/>
          <w:u w:val="single"/>
          <w:lang w:eastAsia="zh-CN"/>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w:t>
      </w:r>
      <w:r>
        <w:rPr>
          <w:rFonts w:hint="eastAsia" w:ascii="宋体" w:hAnsi="宋体"/>
          <w:b/>
          <w:color w:val="000000" w:themeColor="text1"/>
          <w:sz w:val="28"/>
          <w:szCs w:val="28"/>
          <w:u w:val="single"/>
          <w:lang w:eastAsia="zh-CN"/>
          <w14:textFill>
            <w14:solidFill>
              <w14:schemeClr w14:val="tx1"/>
            </w14:solidFill>
          </w14:textFill>
        </w:rPr>
        <w:t>成都高新技术产业开发区政采（2021）A0028号</w:t>
      </w:r>
    </w:p>
    <w:p>
      <w:pPr>
        <w:adjustRightInd w:val="0"/>
        <w:snapToGrid w:val="0"/>
        <w:spacing w:line="360" w:lineRule="auto"/>
        <w:ind w:firstLine="602" w:firstLineChars="201"/>
        <w:rPr>
          <w:rFonts w:ascii="宋体" w:hAnsi="宋体"/>
          <w:color w:val="000000" w:themeColor="text1"/>
          <w:sz w:val="30"/>
          <w:szCs w:val="30"/>
          <w14:textFill>
            <w14:solidFill>
              <w14:schemeClr w14:val="tx1"/>
            </w14:solidFill>
          </w14:textFill>
        </w:rPr>
      </w:pPr>
    </w:p>
    <w:p>
      <w:pPr>
        <w:adjustRightInd w:val="0"/>
        <w:snapToGrid w:val="0"/>
        <w:spacing w:line="360" w:lineRule="auto"/>
        <w:ind w:firstLine="602" w:firstLineChars="201"/>
        <w:rPr>
          <w:rFonts w:ascii="宋体" w:hAnsi="宋体"/>
          <w:color w:val="000000" w:themeColor="text1"/>
          <w:sz w:val="30"/>
          <w:szCs w:val="30"/>
          <w14:textFill>
            <w14:solidFill>
              <w14:schemeClr w14:val="tx1"/>
            </w14:solidFill>
          </w14:textFill>
        </w:rPr>
      </w:pPr>
      <w:r>
        <w:rPr>
          <w:rFonts w:hint="eastAsia" w:ascii="宋体" w:hAnsi="宋体"/>
          <w:color w:val="000000" w:themeColor="text1"/>
          <w:sz w:val="30"/>
          <w:szCs w:val="30"/>
          <w14:textFill>
            <w14:solidFill>
              <w14:schemeClr w14:val="tx1"/>
            </w14:solidFill>
          </w14:textFill>
        </w:rPr>
        <w:t>我公司作为参加本项目的投标人，在此郑重承诺：</w:t>
      </w:r>
    </w:p>
    <w:p>
      <w:pPr>
        <w:pStyle w:val="41"/>
        <w:widowControl w:val="0"/>
        <w:numPr>
          <w:ilvl w:val="0"/>
          <w:numId w:val="37"/>
        </w:numPr>
        <w:spacing w:before="0" w:after="0" w:afterAutospacing="0" w:line="360" w:lineRule="auto"/>
        <w:jc w:val="both"/>
        <w:rPr>
          <w:rFonts w:cs="宋体"/>
          <w:color w:val="auto"/>
          <w:kern w:val="2"/>
          <w:sz w:val="28"/>
          <w:szCs w:val="28"/>
        </w:rPr>
      </w:pPr>
      <w:r>
        <w:rPr>
          <w:rFonts w:hint="eastAsia" w:cs="宋体"/>
          <w:color w:val="auto"/>
          <w:kern w:val="2"/>
          <w:sz w:val="28"/>
          <w:szCs w:val="28"/>
          <w:lang w:bidi="ar"/>
        </w:rPr>
        <w:t>我方满足招标文件中“4.3商务要求”所涉及的所有要求。</w:t>
      </w:r>
    </w:p>
    <w:p>
      <w:pPr>
        <w:pStyle w:val="41"/>
        <w:widowControl w:val="0"/>
        <w:numPr>
          <w:ilvl w:val="0"/>
          <w:numId w:val="37"/>
        </w:numPr>
        <w:spacing w:before="0" w:after="0" w:afterAutospacing="0" w:line="360" w:lineRule="auto"/>
        <w:jc w:val="both"/>
        <w:rPr>
          <w:rFonts w:cs="宋体"/>
          <w:color w:val="auto"/>
          <w:kern w:val="2"/>
          <w:sz w:val="28"/>
          <w:szCs w:val="28"/>
        </w:rPr>
      </w:pPr>
      <w:r>
        <w:rPr>
          <w:rFonts w:hint="eastAsia" w:cs="宋体"/>
          <w:color w:val="auto"/>
          <w:kern w:val="2"/>
          <w:sz w:val="28"/>
          <w:szCs w:val="28"/>
          <w:lang w:bidi="ar"/>
        </w:rPr>
        <w:t>我方应当与本项目配置的员工建立合法劳动用工关系，并按照国家法律法规全员购置社保。我方负责支付所派出全部工作人员工资、社保、残疾人基金、工会基金、住房公积金等费用及各项补助、节日福利等，人员工资标准不得低于本地的最低工资标准，采购人对此不承担任何的法律责任和义务，不得以人工工资价格上涨要求相关补助，采购人不额外向个人支付费用（应采购人实际工作需要，我方要求提供的特约有偿服务或派员参加重大活动协助的除外）</w:t>
      </w:r>
    </w:p>
    <w:p>
      <w:pPr>
        <w:pStyle w:val="41"/>
        <w:widowControl w:val="0"/>
        <w:numPr>
          <w:ilvl w:val="0"/>
          <w:numId w:val="37"/>
        </w:numPr>
        <w:spacing w:before="0" w:after="0" w:afterAutospacing="0" w:line="360" w:lineRule="auto"/>
        <w:jc w:val="both"/>
        <w:rPr>
          <w:rFonts w:cs="宋体"/>
          <w:color w:val="auto"/>
          <w:kern w:val="2"/>
          <w:sz w:val="28"/>
          <w:szCs w:val="28"/>
          <w:lang w:bidi="ar"/>
        </w:rPr>
      </w:pPr>
      <w:r>
        <w:rPr>
          <w:rFonts w:hint="eastAsia" w:cs="宋体"/>
          <w:color w:val="auto"/>
          <w:kern w:val="2"/>
          <w:sz w:val="28"/>
          <w:szCs w:val="28"/>
          <w:lang w:bidi="ar"/>
        </w:rPr>
        <w:t>采购人不向我方提供员工住宿（因工作需要采购人向供应商提供必要备勤室除外），我方的现场服务人员的工作用餐可以在采购人的食堂用餐，但必须遵守采购人的就餐时间安排，行课期间，采购人提供员工本人的工作餐。餐费由我方按照采购人规定收费结算。我方确保现场服务的延续性，采购人出于现场服务延续性考虑需要留用的现场服务人员，我方接收并承认员工的工龄。</w:t>
      </w:r>
    </w:p>
    <w:p>
      <w:pPr>
        <w:pStyle w:val="41"/>
        <w:widowControl w:val="0"/>
        <w:numPr>
          <w:ilvl w:val="0"/>
          <w:numId w:val="37"/>
        </w:numPr>
        <w:adjustRightInd w:val="0"/>
        <w:snapToGrid w:val="0"/>
        <w:spacing w:before="0" w:beforeAutospacing="0" w:after="0" w:afterAutospacing="0" w:line="360" w:lineRule="auto"/>
        <w:jc w:val="both"/>
        <w:rPr>
          <w:rFonts w:cs="宋体"/>
          <w:color w:val="auto"/>
          <w:kern w:val="2"/>
          <w:sz w:val="28"/>
          <w:szCs w:val="28"/>
          <w:lang w:bidi="ar"/>
        </w:rPr>
      </w:pPr>
      <w:r>
        <w:rPr>
          <w:rFonts w:hint="eastAsia" w:cs="宋体"/>
          <w:color w:val="auto"/>
          <w:kern w:val="2"/>
          <w:sz w:val="28"/>
          <w:szCs w:val="28"/>
          <w:lang w:bidi="ar"/>
        </w:rPr>
        <w:t>本项目物业服务人员最低配置人数要求：</w:t>
      </w:r>
    </w:p>
    <w:p>
      <w:pPr>
        <w:pStyle w:val="41"/>
        <w:widowControl w:val="0"/>
        <w:adjustRightInd w:val="0"/>
        <w:snapToGrid w:val="0"/>
        <w:spacing w:before="0" w:beforeAutospacing="0" w:after="0" w:afterAutospacing="0" w:line="360" w:lineRule="auto"/>
        <w:jc w:val="both"/>
        <w:rPr>
          <w:rFonts w:cs="宋体"/>
          <w:color w:val="auto"/>
          <w:kern w:val="2"/>
          <w:sz w:val="28"/>
          <w:szCs w:val="28"/>
          <w:lang w:bidi="ar"/>
        </w:rPr>
      </w:pPr>
      <w:r>
        <w:rPr>
          <w:rFonts w:hint="eastAsia" w:cs="宋体"/>
          <w:color w:val="auto"/>
          <w:kern w:val="2"/>
          <w:sz w:val="28"/>
          <w:szCs w:val="28"/>
          <w:lang w:bidi="ar"/>
        </w:rPr>
        <w:t>采购人的物业服务人员应按照最低48人配置，具体配置标准：</w:t>
      </w:r>
    </w:p>
    <w:p>
      <w:pPr>
        <w:pStyle w:val="41"/>
        <w:widowControl w:val="0"/>
        <w:spacing w:before="0" w:after="0" w:afterAutospacing="0" w:line="360" w:lineRule="auto"/>
        <w:ind w:firstLine="420"/>
        <w:jc w:val="both"/>
        <w:rPr>
          <w:rFonts w:cs="宋体"/>
          <w:color w:val="auto"/>
          <w:kern w:val="2"/>
          <w:sz w:val="28"/>
          <w:szCs w:val="28"/>
          <w:lang w:bidi="ar"/>
        </w:rPr>
      </w:pPr>
      <w:r>
        <w:rPr>
          <w:rFonts w:hint="eastAsia" w:cs="宋体"/>
          <w:color w:val="auto"/>
          <w:kern w:val="2"/>
          <w:sz w:val="28"/>
          <w:szCs w:val="28"/>
          <w:lang w:bidi="ar"/>
        </w:rPr>
        <w:t>1.项目经理1人（具有三年以上物业管理经验，由投标人推荐采购人审定）。</w:t>
      </w:r>
    </w:p>
    <w:p>
      <w:pPr>
        <w:pStyle w:val="41"/>
        <w:widowControl w:val="0"/>
        <w:spacing w:before="0" w:after="0" w:afterAutospacing="0" w:line="360" w:lineRule="auto"/>
        <w:ind w:firstLine="420"/>
        <w:jc w:val="both"/>
        <w:rPr>
          <w:rFonts w:cs="宋体"/>
          <w:color w:val="auto"/>
          <w:kern w:val="2"/>
          <w:sz w:val="28"/>
          <w:szCs w:val="28"/>
          <w:lang w:bidi="ar"/>
        </w:rPr>
      </w:pPr>
      <w:r>
        <w:rPr>
          <w:rFonts w:hint="eastAsia" w:cs="宋体"/>
          <w:color w:val="auto"/>
          <w:kern w:val="2"/>
          <w:sz w:val="28"/>
          <w:szCs w:val="28"/>
          <w:lang w:bidi="ar"/>
        </w:rPr>
        <w:t>2.保安：18人（身高170cm以上，50岁以内，身体健康，形象较好，无不良记录，初中及以上学历）。</w:t>
      </w:r>
    </w:p>
    <w:p>
      <w:pPr>
        <w:pStyle w:val="41"/>
        <w:widowControl w:val="0"/>
        <w:spacing w:before="0" w:after="0" w:afterAutospacing="0" w:line="360" w:lineRule="auto"/>
        <w:ind w:firstLine="420"/>
        <w:jc w:val="both"/>
        <w:rPr>
          <w:rFonts w:cs="宋体"/>
          <w:color w:val="auto"/>
          <w:kern w:val="2"/>
          <w:sz w:val="28"/>
          <w:szCs w:val="28"/>
          <w:lang w:bidi="ar"/>
        </w:rPr>
      </w:pPr>
      <w:r>
        <w:rPr>
          <w:rFonts w:hint="eastAsia" w:cs="宋体"/>
          <w:color w:val="auto"/>
          <w:kern w:val="2"/>
          <w:sz w:val="28"/>
          <w:szCs w:val="28"/>
          <w:lang w:bidi="ar"/>
        </w:rPr>
        <w:t>3.保洁员20人（50岁以内，身体健康）。</w:t>
      </w:r>
    </w:p>
    <w:p>
      <w:pPr>
        <w:pStyle w:val="41"/>
        <w:widowControl w:val="0"/>
        <w:spacing w:before="0" w:after="0" w:afterAutospacing="0" w:line="360" w:lineRule="auto"/>
        <w:ind w:left="420"/>
        <w:jc w:val="both"/>
        <w:rPr>
          <w:rFonts w:cs="宋体"/>
          <w:color w:val="auto"/>
          <w:kern w:val="2"/>
          <w:sz w:val="28"/>
          <w:szCs w:val="28"/>
          <w:lang w:bidi="ar"/>
        </w:rPr>
      </w:pPr>
      <w:r>
        <w:rPr>
          <w:rFonts w:hint="eastAsia" w:cs="宋体"/>
          <w:color w:val="auto"/>
          <w:kern w:val="2"/>
          <w:sz w:val="28"/>
          <w:szCs w:val="28"/>
          <w:lang w:bidi="ar"/>
        </w:rPr>
        <w:t>4.水电人员2人（从事本岗位工作3年以上，55岁以内。熟悉采购人日常维修工作，协助采购人施工整改监督。）</w:t>
      </w:r>
    </w:p>
    <w:p>
      <w:pPr>
        <w:pStyle w:val="41"/>
        <w:widowControl w:val="0"/>
        <w:spacing w:before="0" w:after="0" w:afterAutospacing="0" w:line="360" w:lineRule="auto"/>
        <w:ind w:firstLine="420"/>
        <w:jc w:val="both"/>
        <w:rPr>
          <w:rFonts w:cs="宋体"/>
          <w:color w:val="auto"/>
          <w:kern w:val="2"/>
          <w:sz w:val="28"/>
          <w:szCs w:val="28"/>
          <w:lang w:bidi="ar"/>
        </w:rPr>
      </w:pPr>
      <w:r>
        <w:rPr>
          <w:rFonts w:hint="eastAsia" w:cs="宋体"/>
          <w:color w:val="auto"/>
          <w:kern w:val="2"/>
          <w:sz w:val="28"/>
          <w:szCs w:val="28"/>
          <w:lang w:bidi="ar"/>
        </w:rPr>
        <w:t>5.绿化工3人（50岁以内，具备相关从业经验。）</w:t>
      </w:r>
    </w:p>
    <w:p>
      <w:pPr>
        <w:pStyle w:val="41"/>
        <w:widowControl w:val="0"/>
        <w:spacing w:before="0" w:after="0" w:afterAutospacing="0" w:line="360" w:lineRule="auto"/>
        <w:ind w:left="420"/>
        <w:jc w:val="both"/>
        <w:rPr>
          <w:rFonts w:cs="宋体"/>
          <w:color w:val="auto"/>
          <w:kern w:val="2"/>
          <w:sz w:val="28"/>
          <w:szCs w:val="28"/>
          <w:lang w:bidi="ar"/>
        </w:rPr>
      </w:pPr>
      <w:r>
        <w:rPr>
          <w:rFonts w:hint="eastAsia" w:cs="宋体"/>
          <w:color w:val="auto"/>
          <w:kern w:val="2"/>
          <w:sz w:val="28"/>
          <w:szCs w:val="28"/>
          <w:lang w:bidi="ar"/>
        </w:rPr>
        <w:t>6.文印2人（年龄45岁以内，身高160cm，形象气质佳，需要采购人面试后，方可上岗。）</w:t>
      </w:r>
    </w:p>
    <w:p>
      <w:pPr>
        <w:pStyle w:val="41"/>
        <w:widowControl w:val="0"/>
        <w:spacing w:before="0" w:after="0" w:afterAutospacing="0" w:line="360" w:lineRule="auto"/>
        <w:ind w:left="420"/>
        <w:jc w:val="both"/>
        <w:rPr>
          <w:rFonts w:cs="宋体"/>
          <w:color w:val="auto"/>
          <w:kern w:val="2"/>
          <w:sz w:val="28"/>
          <w:szCs w:val="28"/>
          <w:lang w:bidi="ar"/>
        </w:rPr>
      </w:pPr>
      <w:r>
        <w:rPr>
          <w:rFonts w:hint="eastAsia" w:cs="宋体"/>
          <w:color w:val="auto"/>
          <w:kern w:val="2"/>
          <w:sz w:val="28"/>
          <w:szCs w:val="28"/>
          <w:lang w:bidi="ar"/>
        </w:rPr>
        <w:t>7.体育管理2人（要求男女不限，年龄45岁以内，身体健康。）</w:t>
      </w:r>
    </w:p>
    <w:p>
      <w:pPr>
        <w:pStyle w:val="41"/>
        <w:widowControl w:val="0"/>
        <w:numPr>
          <w:ilvl w:val="0"/>
          <w:numId w:val="37"/>
        </w:numPr>
        <w:spacing w:before="0" w:after="0" w:afterAutospacing="0" w:line="360" w:lineRule="auto"/>
        <w:jc w:val="both"/>
        <w:rPr>
          <w:rFonts w:cs="宋体"/>
          <w:color w:val="auto"/>
          <w:kern w:val="2"/>
          <w:sz w:val="28"/>
          <w:szCs w:val="28"/>
          <w:lang w:bidi="ar"/>
        </w:rPr>
      </w:pPr>
      <w:r>
        <w:rPr>
          <w:rFonts w:hint="eastAsia" w:cs="宋体"/>
          <w:color w:val="auto"/>
          <w:kern w:val="2"/>
          <w:sz w:val="28"/>
          <w:szCs w:val="28"/>
          <w:lang w:bidi="ar"/>
        </w:rPr>
        <w:t>我方因自身原因遗漏报价而发生的费用追加，按《民法典》、《劳动法》等法律法规而造成责任和损失，全部由我方自行承担。</w:t>
      </w:r>
    </w:p>
    <w:p>
      <w:pPr>
        <w:pStyle w:val="41"/>
        <w:widowControl w:val="0"/>
        <w:numPr>
          <w:ilvl w:val="0"/>
          <w:numId w:val="37"/>
        </w:numPr>
        <w:spacing w:before="0" w:after="0" w:afterAutospacing="0" w:line="360" w:lineRule="auto"/>
        <w:jc w:val="both"/>
        <w:rPr>
          <w:rFonts w:cs="宋体"/>
          <w:color w:val="auto"/>
          <w:kern w:val="2"/>
          <w:sz w:val="28"/>
          <w:szCs w:val="28"/>
          <w:lang w:bidi="ar"/>
        </w:rPr>
      </w:pPr>
      <w:r>
        <w:rPr>
          <w:rFonts w:hint="eastAsia" w:cs="宋体"/>
          <w:color w:val="auto"/>
          <w:kern w:val="2"/>
          <w:sz w:val="28"/>
          <w:szCs w:val="28"/>
          <w:lang w:bidi="ar"/>
        </w:rPr>
        <w:t>我方保证所提供的服务或其任何一部分均不会侵犯任何第三方的专利权、商标权或著作权；采购人定期核对我方提供服务所配备的人员数量及相关信息，对于未按照采购文件及投标响应要求执行或存在不合理的部分有权下达整改通知书，并要求我方限期整改；我方定期及时向采购人通告本项目服务范围内有关服务的重大事项及其进度；接受项目行业管理部门及政府有关部门的指导，接受采购人的监督。</w:t>
      </w:r>
    </w:p>
    <w:p>
      <w:pPr>
        <w:pStyle w:val="41"/>
        <w:widowControl w:val="0"/>
        <w:numPr>
          <w:ilvl w:val="0"/>
          <w:numId w:val="37"/>
        </w:numPr>
        <w:spacing w:before="0" w:after="0" w:afterAutospacing="0" w:line="360" w:lineRule="auto"/>
        <w:jc w:val="both"/>
        <w:rPr>
          <w:rFonts w:cs="宋体"/>
          <w:color w:val="auto"/>
          <w:kern w:val="2"/>
          <w:sz w:val="28"/>
          <w:szCs w:val="28"/>
          <w:lang w:bidi="ar"/>
        </w:rPr>
      </w:pPr>
      <w:r>
        <w:rPr>
          <w:rFonts w:hint="eastAsia" w:cs="宋体"/>
          <w:color w:val="auto"/>
          <w:kern w:val="2"/>
          <w:sz w:val="28"/>
          <w:szCs w:val="28"/>
          <w:lang w:bidi="ar"/>
        </w:rPr>
        <w:t>我方配置项目相关管理人员、值班人员的通讯装备、安防设备；我方统一配备各岗位员工工服（按季节配备）；我方自行解决不少于两套保洁作业机具（包括但不限于电动洗地机、电动清洁车等大型清洁设备）和劳防用品，且必须符合国家相关安全法规的要求；我方负责提供所需的所有消耗品，包括：清洁、洗涤、药剂，生活垃圾袋、垃圾袋等耗材；此类设备所产生的费用均由我方承担。</w:t>
      </w:r>
    </w:p>
    <w:p>
      <w:pPr>
        <w:snapToGrid w:val="0"/>
        <w:spacing w:line="360" w:lineRule="auto"/>
        <w:ind w:firstLine="560" w:firstLineChars="200"/>
      </w:pPr>
      <w:r>
        <w:rPr>
          <w:rFonts w:hint="eastAsia" w:ascii="宋体" w:hAnsi="宋体"/>
          <w:sz w:val="28"/>
          <w:szCs w:val="28"/>
        </w:rPr>
        <w:t>特此承诺。</w:t>
      </w:r>
    </w:p>
    <w:p>
      <w:pPr>
        <w:snapToGrid w:val="0"/>
        <w:spacing w:line="360" w:lineRule="auto"/>
        <w:rPr>
          <w:rFonts w:ascii="宋体" w:hAnsi="宋体"/>
          <w:sz w:val="28"/>
          <w:szCs w:val="28"/>
        </w:rPr>
      </w:pPr>
    </w:p>
    <w:p>
      <w:pPr>
        <w:spacing w:after="120" w:line="360" w:lineRule="auto"/>
        <w:ind w:left="420" w:leftChars="200"/>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XXXX</w:t>
      </w:r>
    </w:p>
    <w:p>
      <w:pPr>
        <w:spacing w:line="360" w:lineRule="auto"/>
        <w:ind w:left="425"/>
        <w:rPr>
          <w:rFonts w:ascii="宋体" w:hAnsi="宋体"/>
          <w:color w:val="000000" w:themeColor="text1"/>
          <w:sz w:val="30"/>
          <w:szCs w:val="30"/>
          <w14:textFill>
            <w14:solidFill>
              <w14:schemeClr w14:val="tx1"/>
            </w14:solidFill>
          </w14:textFill>
        </w:rPr>
      </w:pPr>
      <w:r>
        <w:rPr>
          <w:rFonts w:hint="eastAsia" w:ascii="宋体" w:hAnsi="宋体"/>
          <w:sz w:val="28"/>
        </w:rPr>
        <w:t>日期：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spacing w:line="360" w:lineRule="auto"/>
        <w:rPr>
          <w:rFonts w:ascii="宋体" w:hAnsi="宋体"/>
          <w:color w:val="000000" w:themeColor="text1"/>
          <w:sz w:val="30"/>
          <w:szCs w:val="30"/>
          <w14:textFill>
            <w14:solidFill>
              <w14:schemeClr w14:val="tx1"/>
            </w14:solidFill>
          </w14:textFill>
        </w:rPr>
      </w:pPr>
    </w:p>
    <w:p>
      <w:r>
        <w:rPr>
          <w:rFonts w:ascii="宋体" w:hAnsi="宋体"/>
          <w:color w:val="000000" w:themeColor="text1"/>
          <w:sz w:val="30"/>
          <w:szCs w:val="30"/>
          <w14:textFill>
            <w14:solidFill>
              <w14:schemeClr w14:val="tx1"/>
            </w14:solidFill>
          </w14:textFill>
        </w:rPr>
        <w:br w:type="page"/>
      </w:r>
    </w:p>
    <w:p>
      <w:pPr>
        <w:keepNext/>
        <w:keepLines/>
        <w:numPr>
          <w:ilvl w:val="1"/>
          <w:numId w:val="4"/>
        </w:numPr>
        <w:spacing w:before="260" w:after="260" w:line="360" w:lineRule="auto"/>
        <w:jc w:val="left"/>
        <w:outlineLvl w:val="1"/>
        <w:rPr>
          <w:rFonts w:ascii="宋体" w:hAnsi="宋体"/>
          <w:b/>
          <w:sz w:val="28"/>
        </w:rPr>
      </w:pPr>
      <w:bookmarkStart w:id="227" w:name="_Toc73619745"/>
      <w:bookmarkStart w:id="228" w:name="_Toc19171"/>
      <w:r>
        <w:rPr>
          <w:rFonts w:hint="eastAsia" w:ascii="宋体" w:hAnsi="宋体"/>
          <w:b/>
          <w:sz w:val="28"/>
        </w:rPr>
        <w:t>报价</w:t>
      </w:r>
      <w:r>
        <w:rPr>
          <w:rFonts w:hint="eastAsia" w:ascii="宋体" w:hAnsi="宋体"/>
          <w:b/>
          <w:bCs/>
          <w:sz w:val="28"/>
          <w:szCs w:val="28"/>
        </w:rPr>
        <w:t>要求</w:t>
      </w:r>
      <w:r>
        <w:rPr>
          <w:rFonts w:hint="eastAsia" w:ascii="宋体" w:hAnsi="宋体"/>
          <w:b/>
          <w:sz w:val="28"/>
        </w:rPr>
        <w:t>响应文件</w:t>
      </w:r>
      <w:bookmarkEnd w:id="227"/>
      <w:bookmarkEnd w:id="228"/>
    </w:p>
    <w:p>
      <w:pPr>
        <w:keepNext/>
        <w:keepLines/>
        <w:numPr>
          <w:ilvl w:val="2"/>
          <w:numId w:val="4"/>
        </w:numPr>
        <w:spacing w:line="360" w:lineRule="auto"/>
        <w:ind w:left="3119" w:hanging="3119"/>
        <w:outlineLvl w:val="2"/>
        <w:rPr>
          <w:rFonts w:ascii="宋体" w:hAnsi="宋体"/>
          <w:b/>
          <w:bCs/>
          <w:sz w:val="28"/>
          <w:szCs w:val="28"/>
        </w:rPr>
      </w:pPr>
      <w:r>
        <w:rPr>
          <w:rFonts w:hint="eastAsia" w:ascii="宋体" w:hAnsi="宋体"/>
          <w:b/>
          <w:bCs/>
          <w:kern w:val="0"/>
          <w:sz w:val="28"/>
          <w:szCs w:val="28"/>
        </w:rPr>
        <w:t>开标一览表</w:t>
      </w:r>
    </w:p>
    <w:p>
      <w:pPr>
        <w:tabs>
          <w:tab w:val="left" w:pos="1134"/>
        </w:tabs>
        <w:spacing w:line="560" w:lineRule="exact"/>
        <w:ind w:firstLine="427" w:firstLineChars="152"/>
        <w:rPr>
          <w:rFonts w:ascii="宋体" w:hAnsi="宋体"/>
          <w:b/>
          <w:bCs/>
          <w:sz w:val="28"/>
          <w:szCs w:val="28"/>
        </w:rPr>
      </w:pPr>
      <w:r>
        <w:rPr>
          <w:rFonts w:hint="eastAsia" w:ascii="宋体" w:hAnsi="宋体"/>
          <w:b/>
          <w:bCs/>
          <w:sz w:val="28"/>
          <w:szCs w:val="28"/>
        </w:rPr>
        <w:t xml:space="preserve">标项1： </w:t>
      </w:r>
    </w:p>
    <w:tbl>
      <w:tblPr>
        <w:tblStyle w:val="46"/>
        <w:tblW w:w="0" w:type="auto"/>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Borders>
              <w:top w:val="single" w:color="auto" w:sz="4" w:space="0"/>
              <w:left w:val="single" w:color="auto" w:sz="4" w:space="0"/>
              <w:bottom w:val="single" w:color="auto" w:sz="4" w:space="0"/>
              <w:right w:val="single" w:color="auto" w:sz="4" w:space="0"/>
            </w:tcBorders>
          </w:tcPr>
          <w:p>
            <w:pPr>
              <w:tabs>
                <w:tab w:val="left" w:pos="1134"/>
              </w:tabs>
              <w:spacing w:line="560" w:lineRule="exact"/>
              <w:jc w:val="center"/>
              <w:rPr>
                <w:rFonts w:ascii="宋体" w:hAnsi="宋体"/>
                <w:kern w:val="0"/>
                <w:sz w:val="28"/>
                <w:szCs w:val="28"/>
              </w:rPr>
            </w:pPr>
            <w:r>
              <w:rPr>
                <w:rFonts w:hint="eastAsia" w:ascii="宋体" w:hAnsi="宋体"/>
                <w:kern w:val="0"/>
                <w:sz w:val="28"/>
                <w:szCs w:val="28"/>
              </w:rPr>
              <w:t>投标报价（元）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Borders>
              <w:top w:val="single" w:color="auto" w:sz="4" w:space="0"/>
              <w:left w:val="single" w:color="auto" w:sz="4" w:space="0"/>
              <w:bottom w:val="single" w:color="auto" w:sz="4" w:space="0"/>
              <w:right w:val="single" w:color="auto" w:sz="4" w:space="0"/>
            </w:tcBorders>
          </w:tcPr>
          <w:p>
            <w:pPr>
              <w:tabs>
                <w:tab w:val="left" w:pos="1134"/>
              </w:tabs>
              <w:spacing w:line="560" w:lineRule="exact"/>
              <w:rPr>
                <w:rFonts w:ascii="宋体" w:hAnsi="宋体"/>
                <w:kern w:val="0"/>
                <w:sz w:val="28"/>
                <w:szCs w:val="28"/>
              </w:rPr>
            </w:pPr>
          </w:p>
        </w:tc>
      </w:tr>
    </w:tbl>
    <w:p>
      <w:pPr>
        <w:tabs>
          <w:tab w:val="left" w:pos="1134"/>
        </w:tabs>
        <w:spacing w:line="560" w:lineRule="exact"/>
        <w:ind w:firstLine="425" w:firstLineChars="152"/>
        <w:rPr>
          <w:rFonts w:ascii="宋体" w:hAnsi="宋体"/>
          <w:sz w:val="28"/>
          <w:szCs w:val="28"/>
        </w:rPr>
      </w:pPr>
    </w:p>
    <w:p>
      <w:pPr>
        <w:tabs>
          <w:tab w:val="left" w:pos="1134"/>
        </w:tabs>
        <w:spacing w:line="560" w:lineRule="exact"/>
        <w:ind w:firstLine="427" w:firstLineChars="152"/>
        <w:rPr>
          <w:rFonts w:ascii="宋体" w:hAnsi="宋体"/>
          <w:b/>
          <w:bCs/>
          <w:sz w:val="28"/>
        </w:rPr>
      </w:pPr>
      <w:r>
        <w:rPr>
          <w:rFonts w:hint="eastAsia" w:ascii="宋体" w:hAnsi="宋体"/>
          <w:b/>
          <w:sz w:val="28"/>
          <w:szCs w:val="28"/>
        </w:rPr>
        <w:t>投标报价以投标人在政府采购云平台开标一览表中填写的报价为准。</w:t>
      </w:r>
    </w:p>
    <w:p>
      <w:pPr>
        <w:snapToGrid w:val="0"/>
        <w:spacing w:line="500" w:lineRule="exact"/>
        <w:ind w:left="1445" w:right="-57" w:rightChars="-27" w:hanging="1445" w:hangingChars="514"/>
        <w:rPr>
          <w:rFonts w:ascii="宋体" w:hAnsi="宋体"/>
          <w:b/>
          <w:bCs/>
          <w:sz w:val="28"/>
          <w:u w:val="single"/>
        </w:rPr>
      </w:pPr>
    </w:p>
    <w:p>
      <w:pPr>
        <w:spacing w:line="360" w:lineRule="auto"/>
        <w:rPr>
          <w:rFonts w:ascii="宋体" w:hAnsi="宋体"/>
          <w:b/>
          <w:sz w:val="28"/>
          <w:szCs w:val="28"/>
          <w:u w:val="single"/>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spacing w:line="440" w:lineRule="atLeast"/>
        <w:ind w:firstLine="419" w:firstLineChars="149"/>
        <w:rPr>
          <w:rFonts w:ascii="宋体" w:hAnsi="宋体"/>
          <w:b/>
          <w:sz w:val="28"/>
          <w:szCs w:val="28"/>
        </w:rPr>
      </w:pPr>
    </w:p>
    <w:p>
      <w:pPr>
        <w:keepNext/>
        <w:keepLines/>
        <w:numPr>
          <w:ilvl w:val="2"/>
          <w:numId w:val="4"/>
        </w:numPr>
        <w:spacing w:line="360" w:lineRule="auto"/>
        <w:ind w:left="3119" w:hanging="3119"/>
        <w:outlineLvl w:val="2"/>
        <w:rPr>
          <w:rFonts w:ascii="宋体" w:hAnsi="宋体"/>
          <w:b/>
          <w:bCs/>
          <w:sz w:val="28"/>
          <w:szCs w:val="28"/>
        </w:rPr>
      </w:pPr>
      <w:r>
        <w:rPr>
          <w:rFonts w:hint="eastAsia" w:ascii="宋体" w:hAnsi="宋体"/>
          <w:b/>
          <w:bCs/>
          <w:sz w:val="28"/>
          <w:szCs w:val="28"/>
        </w:rPr>
        <w:t>分项报价明细表</w:t>
      </w:r>
    </w:p>
    <w:p>
      <w:pPr>
        <w:snapToGrid w:val="0"/>
        <w:spacing w:line="440" w:lineRule="exact"/>
        <w:ind w:right="-624" w:rightChars="-297"/>
        <w:rPr>
          <w:rFonts w:ascii="宋体" w:hAnsi="宋体"/>
          <w:b/>
          <w:sz w:val="28"/>
        </w:rPr>
      </w:pPr>
      <w:r>
        <w:rPr>
          <w:rFonts w:hint="eastAsia" w:ascii="宋体" w:hAnsi="宋体"/>
          <w:b/>
          <w:sz w:val="28"/>
        </w:rPr>
        <w:t>项目名称：</w:t>
      </w:r>
      <w:r>
        <w:rPr>
          <w:rFonts w:hint="eastAsia" w:ascii="宋体" w:hAnsi="宋体"/>
          <w:b/>
          <w:sz w:val="28"/>
          <w:szCs w:val="28"/>
          <w:u w:val="single"/>
        </w:rPr>
        <w:t>成都市教育科学研究院附属学校（成都市天府实验学校）物业管理服务采购项目</w:t>
      </w:r>
    </w:p>
    <w:p>
      <w:pPr>
        <w:tabs>
          <w:tab w:val="left" w:pos="7560"/>
        </w:tabs>
        <w:spacing w:after="180" w:line="440" w:lineRule="exact"/>
        <w:rPr>
          <w:rFonts w:hint="eastAsia" w:ascii="宋体" w:hAnsi="宋体" w:eastAsia="宋体"/>
          <w:b/>
          <w:sz w:val="28"/>
          <w:szCs w:val="20"/>
          <w:lang w:eastAsia="zh-CN"/>
        </w:rPr>
      </w:pPr>
      <w:r>
        <w:rPr>
          <w:rFonts w:hint="eastAsia" w:ascii="宋体" w:hAnsi="宋体"/>
          <w:b/>
          <w:sz w:val="28"/>
          <w:szCs w:val="20"/>
        </w:rPr>
        <w:t>项目编号：</w:t>
      </w:r>
      <w:r>
        <w:rPr>
          <w:rFonts w:hint="eastAsia" w:ascii="宋体" w:hAnsi="宋体"/>
          <w:b/>
          <w:sz w:val="28"/>
          <w:szCs w:val="20"/>
          <w:u w:val="single"/>
          <w:lang w:eastAsia="zh-CN"/>
        </w:rPr>
        <w:t>成都高新技术产业开发区政采（2021）A0028号</w:t>
      </w:r>
    </w:p>
    <w:tbl>
      <w:tblPr>
        <w:tblStyle w:val="45"/>
        <w:tblW w:w="8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5" w:type="dxa"/>
          <w:bottom w:w="0" w:type="dxa"/>
          <w:right w:w="115" w:type="dxa"/>
        </w:tblCellMar>
      </w:tblPr>
      <w:tblGrid>
        <w:gridCol w:w="824"/>
        <w:gridCol w:w="2552"/>
        <w:gridCol w:w="992"/>
        <w:gridCol w:w="1417"/>
        <w:gridCol w:w="1701"/>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
                <w:sz w:val="28"/>
              </w:rPr>
            </w:pPr>
            <w:r>
              <w:rPr>
                <w:rFonts w:hint="eastAsia" w:asciiTheme="majorEastAsia" w:hAnsiTheme="majorEastAsia" w:eastAsiaTheme="majorEastAsia" w:cstheme="majorEastAsia"/>
                <w:b/>
                <w:sz w:val="28"/>
              </w:rPr>
              <w:t>序号</w:t>
            </w:r>
          </w:p>
        </w:tc>
        <w:tc>
          <w:tcPr>
            <w:tcW w:w="2552" w:type="dxa"/>
            <w:vAlign w:val="center"/>
          </w:tcPr>
          <w:p>
            <w:pPr>
              <w:widowControl/>
              <w:jc w:val="center"/>
              <w:rPr>
                <w:rFonts w:asciiTheme="majorEastAsia" w:hAnsiTheme="majorEastAsia" w:eastAsiaTheme="majorEastAsia" w:cstheme="majorEastAsia"/>
                <w:b/>
                <w:sz w:val="28"/>
              </w:rPr>
            </w:pPr>
            <w:r>
              <w:rPr>
                <w:rFonts w:hint="eastAsia" w:asciiTheme="majorEastAsia" w:hAnsiTheme="majorEastAsia" w:eastAsiaTheme="majorEastAsia" w:cstheme="majorEastAsia"/>
                <w:b/>
                <w:sz w:val="28"/>
              </w:rPr>
              <w:t>服务岗位</w:t>
            </w:r>
          </w:p>
        </w:tc>
        <w:tc>
          <w:tcPr>
            <w:tcW w:w="992" w:type="dxa"/>
            <w:vAlign w:val="center"/>
          </w:tcPr>
          <w:p>
            <w:pPr>
              <w:pStyle w:val="210"/>
              <w:rPr>
                <w:rFonts w:asciiTheme="majorEastAsia" w:hAnsiTheme="majorEastAsia" w:eastAsiaTheme="majorEastAsia" w:cstheme="majorEastAsia"/>
                <w:b/>
                <w:color w:val="auto"/>
                <w:sz w:val="28"/>
                <w:szCs w:val="28"/>
              </w:rPr>
            </w:pPr>
            <w:r>
              <w:rPr>
                <w:rFonts w:hint="eastAsia" w:asciiTheme="majorEastAsia" w:hAnsiTheme="majorEastAsia" w:eastAsiaTheme="majorEastAsia" w:cstheme="majorEastAsia"/>
                <w:b/>
                <w:color w:val="auto"/>
                <w:sz w:val="28"/>
                <w:szCs w:val="28"/>
              </w:rPr>
              <w:t>人数</w:t>
            </w:r>
          </w:p>
        </w:tc>
        <w:tc>
          <w:tcPr>
            <w:tcW w:w="1417" w:type="dxa"/>
            <w:shd w:val="clear" w:color="auto" w:fill="auto"/>
            <w:vAlign w:val="center"/>
          </w:tcPr>
          <w:p>
            <w:pPr>
              <w:pStyle w:val="210"/>
              <w:rPr>
                <w:rFonts w:asciiTheme="majorEastAsia" w:hAnsiTheme="majorEastAsia" w:eastAsiaTheme="majorEastAsia" w:cstheme="majorEastAsia"/>
                <w:b/>
                <w:color w:val="auto"/>
                <w:sz w:val="28"/>
                <w:szCs w:val="28"/>
              </w:rPr>
            </w:pPr>
            <w:r>
              <w:rPr>
                <w:rFonts w:hint="eastAsia" w:asciiTheme="majorEastAsia" w:hAnsiTheme="majorEastAsia" w:eastAsiaTheme="majorEastAsia" w:cstheme="majorEastAsia"/>
                <w:b/>
                <w:color w:val="auto"/>
                <w:sz w:val="28"/>
                <w:szCs w:val="28"/>
              </w:rPr>
              <w:t>服务期限</w:t>
            </w:r>
          </w:p>
        </w:tc>
        <w:tc>
          <w:tcPr>
            <w:tcW w:w="1701" w:type="dxa"/>
            <w:vAlign w:val="center"/>
          </w:tcPr>
          <w:p>
            <w:pPr>
              <w:pStyle w:val="210"/>
              <w:ind w:firstLine="422" w:firstLineChars="150"/>
              <w:rPr>
                <w:rFonts w:asciiTheme="majorEastAsia" w:hAnsiTheme="majorEastAsia" w:eastAsiaTheme="majorEastAsia" w:cstheme="majorEastAsia"/>
                <w:b/>
                <w:color w:val="auto"/>
                <w:sz w:val="28"/>
                <w:szCs w:val="28"/>
              </w:rPr>
            </w:pPr>
            <w:r>
              <w:rPr>
                <w:rFonts w:hint="eastAsia" w:asciiTheme="majorEastAsia" w:hAnsiTheme="majorEastAsia" w:eastAsiaTheme="majorEastAsia" w:cstheme="majorEastAsia"/>
                <w:b/>
                <w:color w:val="auto"/>
                <w:sz w:val="28"/>
                <w:szCs w:val="28"/>
              </w:rPr>
              <w:t>单价</w:t>
            </w:r>
          </w:p>
        </w:tc>
        <w:tc>
          <w:tcPr>
            <w:tcW w:w="993" w:type="dxa"/>
            <w:vAlign w:val="center"/>
          </w:tcPr>
          <w:p>
            <w:pPr>
              <w:pStyle w:val="210"/>
              <w:rPr>
                <w:rFonts w:asciiTheme="majorEastAsia" w:hAnsiTheme="majorEastAsia" w:eastAsiaTheme="majorEastAsia" w:cstheme="majorEastAsia"/>
                <w:b/>
                <w:color w:val="auto"/>
                <w:sz w:val="28"/>
                <w:szCs w:val="28"/>
              </w:rPr>
            </w:pPr>
            <w:r>
              <w:rPr>
                <w:rFonts w:hint="eastAsia" w:asciiTheme="majorEastAsia" w:hAnsiTheme="majorEastAsia" w:eastAsiaTheme="majorEastAsia" w:cstheme="majorEastAsia"/>
                <w:b/>
                <w:color w:val="auto"/>
                <w:sz w:val="28"/>
                <w:szCs w:val="28"/>
              </w:rPr>
              <w:t>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rPr>
              <w:t>1</w:t>
            </w:r>
          </w:p>
        </w:tc>
        <w:tc>
          <w:tcPr>
            <w:tcW w:w="2552" w:type="dxa"/>
            <w:vAlign w:val="center"/>
          </w:tcPr>
          <w:p>
            <w:pPr>
              <w:widowControl/>
              <w:jc w:val="center"/>
              <w:rPr>
                <w:rFonts w:asciiTheme="majorEastAsia" w:hAnsiTheme="majorEastAsia" w:eastAsiaTheme="majorEastAsia" w:cstheme="majorEastAsia"/>
                <w:bCs/>
                <w:sz w:val="28"/>
                <w:szCs w:val="28"/>
              </w:rPr>
            </w:pPr>
          </w:p>
        </w:tc>
        <w:tc>
          <w:tcPr>
            <w:tcW w:w="992" w:type="dxa"/>
            <w:vAlign w:val="center"/>
          </w:tcPr>
          <w:p>
            <w:pPr>
              <w:widowControl/>
              <w:jc w:val="center"/>
              <w:rPr>
                <w:rFonts w:asciiTheme="majorEastAsia" w:hAnsiTheme="majorEastAsia" w:eastAsiaTheme="majorEastAsia" w:cstheme="majorEastAsia"/>
                <w:bCs/>
                <w:sz w:val="28"/>
                <w:szCs w:val="28"/>
              </w:rPr>
            </w:pPr>
          </w:p>
        </w:tc>
        <w:tc>
          <w:tcPr>
            <w:tcW w:w="1417" w:type="dxa"/>
            <w:shd w:val="clear" w:color="auto" w:fill="auto"/>
            <w:vAlign w:val="center"/>
          </w:tcPr>
          <w:p>
            <w:pPr>
              <w:widowControl/>
              <w:jc w:val="center"/>
              <w:rPr>
                <w:rFonts w:asciiTheme="majorEastAsia" w:hAnsiTheme="majorEastAsia" w:eastAsiaTheme="majorEastAsia" w:cstheme="majorEastAsia"/>
                <w:bCs/>
                <w:sz w:val="28"/>
                <w:szCs w:val="28"/>
              </w:rPr>
            </w:pPr>
          </w:p>
        </w:tc>
        <w:tc>
          <w:tcPr>
            <w:tcW w:w="1701" w:type="dxa"/>
            <w:vAlign w:val="center"/>
          </w:tcPr>
          <w:p>
            <w:pPr>
              <w:widowControl/>
              <w:jc w:val="center"/>
              <w:rPr>
                <w:rFonts w:asciiTheme="majorEastAsia" w:hAnsiTheme="majorEastAsia" w:eastAsiaTheme="majorEastAsia" w:cstheme="majorEastAsia"/>
                <w:bCs/>
                <w:sz w:val="28"/>
                <w:szCs w:val="28"/>
              </w:rPr>
            </w:pPr>
          </w:p>
        </w:tc>
        <w:tc>
          <w:tcPr>
            <w:tcW w:w="993" w:type="dxa"/>
          </w:tcPr>
          <w:p>
            <w:pPr>
              <w:widowControl/>
              <w:jc w:val="center"/>
              <w:rPr>
                <w:rFonts w:asciiTheme="majorEastAsia" w:hAnsiTheme="majorEastAsia" w:eastAsiaTheme="majorEastAsia" w:cstheme="majorEastAsia"/>
                <w:bCs/>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rPr>
              <w:t>2</w:t>
            </w:r>
          </w:p>
        </w:tc>
        <w:tc>
          <w:tcPr>
            <w:tcW w:w="2552" w:type="dxa"/>
            <w:vAlign w:val="center"/>
          </w:tcPr>
          <w:p>
            <w:pPr>
              <w:widowControl/>
              <w:jc w:val="center"/>
              <w:rPr>
                <w:rFonts w:asciiTheme="majorEastAsia" w:hAnsiTheme="majorEastAsia" w:eastAsiaTheme="majorEastAsia" w:cstheme="majorEastAsia"/>
                <w:bCs/>
                <w:sz w:val="28"/>
                <w:szCs w:val="28"/>
              </w:rPr>
            </w:pPr>
          </w:p>
        </w:tc>
        <w:tc>
          <w:tcPr>
            <w:tcW w:w="992" w:type="dxa"/>
            <w:vAlign w:val="center"/>
          </w:tcPr>
          <w:p>
            <w:pPr>
              <w:widowControl/>
              <w:jc w:val="center"/>
              <w:rPr>
                <w:rFonts w:asciiTheme="majorEastAsia" w:hAnsiTheme="majorEastAsia" w:eastAsiaTheme="majorEastAsia" w:cstheme="majorEastAsia"/>
                <w:bCs/>
                <w:sz w:val="28"/>
                <w:szCs w:val="28"/>
              </w:rPr>
            </w:pPr>
          </w:p>
        </w:tc>
        <w:tc>
          <w:tcPr>
            <w:tcW w:w="1417" w:type="dxa"/>
            <w:shd w:val="clear" w:color="auto" w:fill="auto"/>
            <w:vAlign w:val="center"/>
          </w:tcPr>
          <w:p>
            <w:pPr>
              <w:widowControl/>
              <w:jc w:val="center"/>
              <w:rPr>
                <w:rFonts w:asciiTheme="majorEastAsia" w:hAnsiTheme="majorEastAsia" w:eastAsiaTheme="majorEastAsia" w:cstheme="majorEastAsia"/>
                <w:bCs/>
                <w:sz w:val="28"/>
                <w:szCs w:val="28"/>
              </w:rPr>
            </w:pPr>
          </w:p>
        </w:tc>
        <w:tc>
          <w:tcPr>
            <w:tcW w:w="1701" w:type="dxa"/>
            <w:vAlign w:val="center"/>
          </w:tcPr>
          <w:p>
            <w:pPr>
              <w:widowControl/>
              <w:jc w:val="center"/>
              <w:rPr>
                <w:rFonts w:asciiTheme="majorEastAsia" w:hAnsiTheme="majorEastAsia" w:eastAsiaTheme="majorEastAsia" w:cstheme="majorEastAsia"/>
                <w:bCs/>
                <w:sz w:val="28"/>
                <w:szCs w:val="28"/>
                <w:u w:val="single"/>
              </w:rPr>
            </w:pPr>
          </w:p>
        </w:tc>
        <w:tc>
          <w:tcPr>
            <w:tcW w:w="993" w:type="dxa"/>
          </w:tcPr>
          <w:p>
            <w:pPr>
              <w:widowControl/>
              <w:jc w:val="center"/>
              <w:rPr>
                <w:rFonts w:asciiTheme="majorEastAsia" w:hAnsiTheme="majorEastAsia" w:eastAsiaTheme="majorEastAsia" w:cstheme="majorEastAsia"/>
                <w:bCs/>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rPr>
              <w:t>3</w:t>
            </w:r>
          </w:p>
        </w:tc>
        <w:tc>
          <w:tcPr>
            <w:tcW w:w="2552" w:type="dxa"/>
            <w:vAlign w:val="center"/>
          </w:tcPr>
          <w:p>
            <w:pPr>
              <w:widowControl/>
              <w:jc w:val="center"/>
              <w:rPr>
                <w:rFonts w:asciiTheme="majorEastAsia" w:hAnsiTheme="majorEastAsia" w:eastAsiaTheme="majorEastAsia" w:cstheme="majorEastAsia"/>
                <w:bCs/>
                <w:sz w:val="28"/>
                <w:szCs w:val="28"/>
              </w:rPr>
            </w:pPr>
          </w:p>
        </w:tc>
        <w:tc>
          <w:tcPr>
            <w:tcW w:w="992" w:type="dxa"/>
            <w:vAlign w:val="center"/>
          </w:tcPr>
          <w:p>
            <w:pPr>
              <w:widowControl/>
              <w:jc w:val="center"/>
              <w:rPr>
                <w:rFonts w:asciiTheme="majorEastAsia" w:hAnsiTheme="majorEastAsia" w:eastAsiaTheme="majorEastAsia" w:cstheme="majorEastAsia"/>
                <w:bCs/>
                <w:sz w:val="28"/>
                <w:szCs w:val="28"/>
              </w:rPr>
            </w:pPr>
          </w:p>
        </w:tc>
        <w:tc>
          <w:tcPr>
            <w:tcW w:w="1417" w:type="dxa"/>
            <w:shd w:val="clear" w:color="auto" w:fill="auto"/>
            <w:vAlign w:val="center"/>
          </w:tcPr>
          <w:p>
            <w:pPr>
              <w:widowControl/>
              <w:jc w:val="center"/>
              <w:rPr>
                <w:rFonts w:asciiTheme="majorEastAsia" w:hAnsiTheme="majorEastAsia" w:eastAsiaTheme="majorEastAsia" w:cstheme="majorEastAsia"/>
                <w:bCs/>
                <w:sz w:val="28"/>
                <w:szCs w:val="28"/>
              </w:rPr>
            </w:pPr>
          </w:p>
        </w:tc>
        <w:tc>
          <w:tcPr>
            <w:tcW w:w="1701" w:type="dxa"/>
            <w:vAlign w:val="center"/>
          </w:tcPr>
          <w:p>
            <w:pPr>
              <w:widowControl/>
              <w:jc w:val="center"/>
              <w:rPr>
                <w:rFonts w:asciiTheme="majorEastAsia" w:hAnsiTheme="majorEastAsia" w:eastAsiaTheme="majorEastAsia" w:cstheme="majorEastAsia"/>
                <w:bCs/>
                <w:sz w:val="28"/>
                <w:szCs w:val="28"/>
                <w:u w:val="single"/>
              </w:rPr>
            </w:pPr>
          </w:p>
        </w:tc>
        <w:tc>
          <w:tcPr>
            <w:tcW w:w="993" w:type="dxa"/>
          </w:tcPr>
          <w:p>
            <w:pPr>
              <w:widowControl/>
              <w:jc w:val="center"/>
              <w:rPr>
                <w:rFonts w:asciiTheme="majorEastAsia" w:hAnsiTheme="majorEastAsia" w:eastAsiaTheme="majorEastAsia" w:cstheme="majorEastAsia"/>
                <w:bCs/>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rPr>
              <w:t>4</w:t>
            </w:r>
          </w:p>
        </w:tc>
        <w:tc>
          <w:tcPr>
            <w:tcW w:w="2552" w:type="dxa"/>
            <w:vAlign w:val="center"/>
          </w:tcPr>
          <w:p>
            <w:pPr>
              <w:widowControl/>
              <w:jc w:val="center"/>
              <w:rPr>
                <w:rFonts w:asciiTheme="majorEastAsia" w:hAnsiTheme="majorEastAsia" w:eastAsiaTheme="majorEastAsia" w:cstheme="majorEastAsia"/>
                <w:bCs/>
                <w:sz w:val="28"/>
                <w:szCs w:val="28"/>
              </w:rPr>
            </w:pPr>
          </w:p>
        </w:tc>
        <w:tc>
          <w:tcPr>
            <w:tcW w:w="992" w:type="dxa"/>
            <w:vAlign w:val="center"/>
          </w:tcPr>
          <w:p>
            <w:pPr>
              <w:widowControl/>
              <w:jc w:val="center"/>
              <w:rPr>
                <w:rFonts w:asciiTheme="majorEastAsia" w:hAnsiTheme="majorEastAsia" w:eastAsiaTheme="majorEastAsia" w:cstheme="majorEastAsia"/>
                <w:bCs/>
                <w:sz w:val="28"/>
                <w:szCs w:val="28"/>
              </w:rPr>
            </w:pPr>
          </w:p>
        </w:tc>
        <w:tc>
          <w:tcPr>
            <w:tcW w:w="1417" w:type="dxa"/>
            <w:shd w:val="clear" w:color="auto" w:fill="auto"/>
            <w:vAlign w:val="center"/>
          </w:tcPr>
          <w:p>
            <w:pPr>
              <w:widowControl/>
              <w:jc w:val="center"/>
              <w:rPr>
                <w:rFonts w:asciiTheme="majorEastAsia" w:hAnsiTheme="majorEastAsia" w:eastAsiaTheme="majorEastAsia" w:cstheme="majorEastAsia"/>
                <w:bCs/>
                <w:sz w:val="28"/>
                <w:szCs w:val="28"/>
              </w:rPr>
            </w:pPr>
          </w:p>
        </w:tc>
        <w:tc>
          <w:tcPr>
            <w:tcW w:w="1701" w:type="dxa"/>
            <w:vAlign w:val="center"/>
          </w:tcPr>
          <w:p>
            <w:pPr>
              <w:widowControl/>
              <w:jc w:val="center"/>
              <w:rPr>
                <w:rFonts w:asciiTheme="majorEastAsia" w:hAnsiTheme="majorEastAsia" w:eastAsiaTheme="majorEastAsia" w:cstheme="majorEastAsia"/>
                <w:bCs/>
                <w:sz w:val="28"/>
                <w:szCs w:val="28"/>
                <w:u w:val="single"/>
              </w:rPr>
            </w:pPr>
          </w:p>
        </w:tc>
        <w:tc>
          <w:tcPr>
            <w:tcW w:w="993" w:type="dxa"/>
          </w:tcPr>
          <w:p>
            <w:pPr>
              <w:widowControl/>
              <w:jc w:val="center"/>
              <w:rPr>
                <w:rFonts w:asciiTheme="majorEastAsia" w:hAnsiTheme="majorEastAsia" w:eastAsiaTheme="majorEastAsia" w:cstheme="majorEastAsia"/>
                <w:bCs/>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rPr>
              <w:t>5</w:t>
            </w:r>
          </w:p>
        </w:tc>
        <w:tc>
          <w:tcPr>
            <w:tcW w:w="2552" w:type="dxa"/>
            <w:vAlign w:val="center"/>
          </w:tcPr>
          <w:p>
            <w:pPr>
              <w:widowControl/>
              <w:jc w:val="center"/>
              <w:rPr>
                <w:rFonts w:asciiTheme="majorEastAsia" w:hAnsiTheme="majorEastAsia" w:eastAsiaTheme="majorEastAsia" w:cstheme="majorEastAsia"/>
                <w:bCs/>
                <w:sz w:val="28"/>
                <w:szCs w:val="28"/>
              </w:rPr>
            </w:pPr>
          </w:p>
        </w:tc>
        <w:tc>
          <w:tcPr>
            <w:tcW w:w="992" w:type="dxa"/>
            <w:vAlign w:val="center"/>
          </w:tcPr>
          <w:p>
            <w:pPr>
              <w:widowControl/>
              <w:jc w:val="center"/>
              <w:rPr>
                <w:rFonts w:asciiTheme="majorEastAsia" w:hAnsiTheme="majorEastAsia" w:eastAsiaTheme="majorEastAsia" w:cstheme="majorEastAsia"/>
                <w:bCs/>
                <w:sz w:val="28"/>
                <w:szCs w:val="28"/>
              </w:rPr>
            </w:pPr>
          </w:p>
        </w:tc>
        <w:tc>
          <w:tcPr>
            <w:tcW w:w="1417" w:type="dxa"/>
            <w:shd w:val="clear" w:color="auto" w:fill="auto"/>
            <w:vAlign w:val="center"/>
          </w:tcPr>
          <w:p>
            <w:pPr>
              <w:widowControl/>
              <w:jc w:val="center"/>
              <w:rPr>
                <w:rFonts w:asciiTheme="majorEastAsia" w:hAnsiTheme="majorEastAsia" w:eastAsiaTheme="majorEastAsia" w:cstheme="majorEastAsia"/>
                <w:bCs/>
                <w:sz w:val="28"/>
                <w:szCs w:val="28"/>
              </w:rPr>
            </w:pPr>
          </w:p>
        </w:tc>
        <w:tc>
          <w:tcPr>
            <w:tcW w:w="1701" w:type="dxa"/>
            <w:vAlign w:val="center"/>
          </w:tcPr>
          <w:p>
            <w:pPr>
              <w:widowControl/>
              <w:jc w:val="center"/>
              <w:rPr>
                <w:rFonts w:asciiTheme="majorEastAsia" w:hAnsiTheme="majorEastAsia" w:eastAsiaTheme="majorEastAsia" w:cstheme="majorEastAsia"/>
                <w:bCs/>
                <w:sz w:val="28"/>
                <w:szCs w:val="28"/>
                <w:u w:val="single"/>
              </w:rPr>
            </w:pPr>
          </w:p>
        </w:tc>
        <w:tc>
          <w:tcPr>
            <w:tcW w:w="993" w:type="dxa"/>
          </w:tcPr>
          <w:p>
            <w:pPr>
              <w:widowControl/>
              <w:jc w:val="center"/>
              <w:rPr>
                <w:rFonts w:asciiTheme="majorEastAsia" w:hAnsiTheme="majorEastAsia" w:eastAsiaTheme="majorEastAsia" w:cstheme="majorEastAsia"/>
                <w:bCs/>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rPr>
              <w:t>6</w:t>
            </w:r>
          </w:p>
        </w:tc>
        <w:tc>
          <w:tcPr>
            <w:tcW w:w="2552" w:type="dxa"/>
            <w:vAlign w:val="center"/>
          </w:tcPr>
          <w:p>
            <w:pPr>
              <w:widowControl/>
              <w:jc w:val="center"/>
              <w:rPr>
                <w:rFonts w:asciiTheme="majorEastAsia" w:hAnsiTheme="majorEastAsia" w:eastAsiaTheme="majorEastAsia" w:cstheme="majorEastAsia"/>
                <w:bCs/>
                <w:sz w:val="28"/>
                <w:szCs w:val="28"/>
              </w:rPr>
            </w:pPr>
          </w:p>
        </w:tc>
        <w:tc>
          <w:tcPr>
            <w:tcW w:w="992" w:type="dxa"/>
            <w:vAlign w:val="center"/>
          </w:tcPr>
          <w:p>
            <w:pPr>
              <w:widowControl/>
              <w:jc w:val="center"/>
              <w:rPr>
                <w:rFonts w:asciiTheme="majorEastAsia" w:hAnsiTheme="majorEastAsia" w:eastAsiaTheme="majorEastAsia" w:cstheme="majorEastAsia"/>
                <w:bCs/>
                <w:sz w:val="28"/>
                <w:szCs w:val="28"/>
              </w:rPr>
            </w:pPr>
          </w:p>
        </w:tc>
        <w:tc>
          <w:tcPr>
            <w:tcW w:w="1417" w:type="dxa"/>
            <w:shd w:val="clear" w:color="auto" w:fill="auto"/>
            <w:vAlign w:val="center"/>
          </w:tcPr>
          <w:p>
            <w:pPr>
              <w:widowControl/>
              <w:jc w:val="center"/>
              <w:rPr>
                <w:rFonts w:asciiTheme="majorEastAsia" w:hAnsiTheme="majorEastAsia" w:eastAsiaTheme="majorEastAsia" w:cstheme="majorEastAsia"/>
                <w:bCs/>
                <w:sz w:val="28"/>
                <w:szCs w:val="28"/>
              </w:rPr>
            </w:pPr>
          </w:p>
        </w:tc>
        <w:tc>
          <w:tcPr>
            <w:tcW w:w="1701" w:type="dxa"/>
            <w:vAlign w:val="center"/>
          </w:tcPr>
          <w:p>
            <w:pPr>
              <w:widowControl/>
              <w:jc w:val="center"/>
              <w:rPr>
                <w:rFonts w:asciiTheme="majorEastAsia" w:hAnsiTheme="majorEastAsia" w:eastAsiaTheme="majorEastAsia" w:cstheme="majorEastAsia"/>
                <w:bCs/>
                <w:sz w:val="28"/>
                <w:szCs w:val="28"/>
                <w:u w:val="single"/>
              </w:rPr>
            </w:pPr>
          </w:p>
        </w:tc>
        <w:tc>
          <w:tcPr>
            <w:tcW w:w="993" w:type="dxa"/>
          </w:tcPr>
          <w:p>
            <w:pPr>
              <w:widowControl/>
              <w:jc w:val="center"/>
              <w:rPr>
                <w:rFonts w:asciiTheme="majorEastAsia" w:hAnsiTheme="majorEastAsia" w:eastAsiaTheme="majorEastAsia" w:cstheme="majorEastAsia"/>
                <w:bCs/>
                <w:sz w:val="28"/>
                <w:szCs w:val="28"/>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7486" w:type="dxa"/>
            <w:gridSpan w:val="5"/>
            <w:vAlign w:val="center"/>
          </w:tcPr>
          <w:p>
            <w:pPr>
              <w:jc w:val="center"/>
              <w:rPr>
                <w:rFonts w:asciiTheme="majorEastAsia" w:hAnsiTheme="majorEastAsia" w:eastAsiaTheme="majorEastAsia" w:cstheme="majorEastAsia"/>
                <w:bCs/>
                <w:sz w:val="28"/>
                <w:u w:val="single"/>
              </w:rPr>
            </w:pPr>
            <w:r>
              <w:rPr>
                <w:rFonts w:hint="eastAsia" w:asciiTheme="majorEastAsia" w:hAnsiTheme="majorEastAsia" w:eastAsiaTheme="majorEastAsia" w:cstheme="majorEastAsia"/>
                <w:b/>
                <w:bCs/>
                <w:sz w:val="28"/>
              </w:rPr>
              <w:t>投标报价（报价合计）</w:t>
            </w:r>
          </w:p>
        </w:tc>
        <w:tc>
          <w:tcPr>
            <w:tcW w:w="993" w:type="dxa"/>
          </w:tcPr>
          <w:p>
            <w:pPr>
              <w:jc w:val="center"/>
              <w:rPr>
                <w:rFonts w:asciiTheme="majorEastAsia" w:hAnsiTheme="majorEastAsia" w:eastAsiaTheme="majorEastAsia" w:cstheme="majorEastAsia"/>
                <w:b/>
                <w:bCs/>
                <w:sz w:val="28"/>
              </w:rPr>
            </w:pPr>
            <w:r>
              <w:rPr>
                <w:rFonts w:hint="eastAsia" w:asciiTheme="majorEastAsia" w:hAnsiTheme="majorEastAsia" w:eastAsiaTheme="majorEastAsia" w:cstheme="majorEastAsia"/>
                <w:bCs/>
                <w:sz w:val="28"/>
                <w:u w:val="single"/>
              </w:rPr>
              <w:t>XX</w:t>
            </w:r>
            <w:r>
              <w:rPr>
                <w:rFonts w:hint="eastAsia" w:asciiTheme="majorEastAsia" w:hAnsiTheme="majorEastAsia" w:eastAsiaTheme="majorEastAsia" w:cstheme="majorEastAsia"/>
                <w:bCs/>
                <w:sz w:val="28"/>
              </w:rPr>
              <w:t>元</w:t>
            </w:r>
          </w:p>
        </w:tc>
      </w:tr>
    </w:tbl>
    <w:p>
      <w:pPr>
        <w:rPr>
          <w:rFonts w:ascii="宋体" w:hAnsi="宋体"/>
          <w:sz w:val="28"/>
          <w:lang w:val="zh-CN"/>
        </w:rPr>
      </w:pPr>
      <w:r>
        <w:rPr>
          <w:rFonts w:hint="eastAsia" w:ascii="宋体" w:hAnsi="宋体"/>
          <w:sz w:val="28"/>
          <w:lang w:val="zh-CN"/>
        </w:rPr>
        <w:t>投标人名称：XXXX</w:t>
      </w:r>
    </w:p>
    <w:p>
      <w:pPr>
        <w:rPr>
          <w:rFonts w:ascii="宋体" w:hAnsi="宋体"/>
          <w:bCs/>
          <w:sz w:val="28"/>
          <w:szCs w:val="28"/>
        </w:rPr>
      </w:pPr>
      <w:r>
        <w:rPr>
          <w:rFonts w:hint="eastAsia" w:ascii="宋体" w:hAnsi="宋体"/>
          <w:sz w:val="28"/>
        </w:rPr>
        <w:t>日期：</w:t>
      </w:r>
      <w:r>
        <w:rPr>
          <w:rFonts w:hint="eastAsia" w:ascii="宋体" w:hAnsi="宋体"/>
          <w:bCs/>
          <w:sz w:val="28"/>
        </w:rPr>
        <w:t>20XX年XX月XX日</w:t>
      </w:r>
    </w:p>
    <w:p>
      <w:pPr>
        <w:pStyle w:val="14"/>
        <w:spacing w:after="0" w:line="240" w:lineRule="auto"/>
        <w:ind w:firstLine="0"/>
        <w:rPr>
          <w:rFonts w:ascii="宋体" w:hAnsi="宋体"/>
          <w:b/>
          <w:sz w:val="28"/>
        </w:rPr>
      </w:pPr>
      <w:r>
        <w:rPr>
          <w:rFonts w:hint="eastAsia" w:ascii="宋体" w:hAnsi="宋体"/>
          <w:b/>
          <w:sz w:val="28"/>
        </w:rPr>
        <w:t>说明：投标人应根据以上表格格式填写分项报价，报价合计应包括投标人完成本项目所需的一切费用。</w:t>
      </w:r>
    </w:p>
    <w:p>
      <w:pPr>
        <w:snapToGrid w:val="0"/>
        <w:spacing w:line="50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特此承诺。</w:t>
      </w:r>
    </w:p>
    <w:p>
      <w:pPr>
        <w:pStyle w:val="27"/>
        <w:spacing w:line="500" w:lineRule="exact"/>
        <w:ind w:firstLine="145" w:firstLineChars="5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投标人名称：XXXX</w:t>
      </w:r>
    </w:p>
    <w:p>
      <w:pPr>
        <w:pStyle w:val="27"/>
        <w:spacing w:line="500" w:lineRule="exact"/>
        <w:ind w:firstLine="145" w:firstLineChars="52"/>
        <w:rPr>
          <w:rFonts w:ascii="宋体" w:hAnsi="宋体"/>
          <w:bCs/>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20XX年XX月XX日</w:t>
      </w: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pStyle w:val="27"/>
        <w:spacing w:line="500" w:lineRule="exact"/>
        <w:ind w:firstLine="145" w:firstLineChars="52"/>
        <w:rPr>
          <w:rFonts w:ascii="宋体" w:hAnsi="宋体"/>
          <w:bCs/>
          <w:color w:val="000000" w:themeColor="text1"/>
          <w:sz w:val="28"/>
          <w14:textFill>
            <w14:solidFill>
              <w14:schemeClr w14:val="tx1"/>
            </w14:solidFill>
          </w14:textFill>
        </w:rPr>
      </w:pPr>
    </w:p>
    <w:p>
      <w:pPr>
        <w:rPr>
          <w:rFonts w:ascii="宋体" w:hAnsi="宋体"/>
          <w:bCs/>
          <w:color w:val="000000" w:themeColor="text1"/>
          <w:sz w:val="28"/>
          <w14:textFill>
            <w14:solidFill>
              <w14:schemeClr w14:val="tx1"/>
            </w14:solidFill>
          </w14:textFill>
        </w:rPr>
      </w:pPr>
      <w:r>
        <w:rPr>
          <w:rFonts w:ascii="宋体" w:hAnsi="宋体"/>
          <w:bCs/>
          <w:color w:val="000000" w:themeColor="text1"/>
          <w:sz w:val="28"/>
          <w14:textFill>
            <w14:solidFill>
              <w14:schemeClr w14:val="tx1"/>
            </w14:solidFill>
          </w14:textFill>
        </w:rPr>
        <w:br w:type="page"/>
      </w:r>
    </w:p>
    <w:p>
      <w:pPr>
        <w:pStyle w:val="27"/>
        <w:spacing w:line="500" w:lineRule="exact"/>
        <w:ind w:firstLine="145" w:firstLineChars="52"/>
        <w:rPr>
          <w:rFonts w:ascii="宋体" w:hAnsi="宋体"/>
          <w:bCs/>
          <w:color w:val="000000" w:themeColor="text1"/>
          <w:sz w:val="28"/>
          <w14:textFill>
            <w14:solidFill>
              <w14:schemeClr w14:val="tx1"/>
            </w14:solidFill>
          </w14:textFill>
        </w:rPr>
      </w:pPr>
    </w:p>
    <w:bookmarkEnd w:id="223"/>
    <w:bookmarkEnd w:id="224"/>
    <w:bookmarkEnd w:id="225"/>
    <w:bookmarkEnd w:id="226"/>
    <w:p>
      <w:pPr>
        <w:pStyle w:val="4"/>
        <w:numPr>
          <w:ilvl w:val="0"/>
          <w:numId w:val="4"/>
        </w:numPr>
        <w:spacing w:before="0" w:after="0" w:line="500" w:lineRule="exact"/>
        <w:rPr>
          <w:color w:val="000000" w:themeColor="text1"/>
          <w14:textFill>
            <w14:solidFill>
              <w14:schemeClr w14:val="tx1"/>
            </w14:solidFill>
          </w14:textFill>
        </w:rPr>
      </w:pPr>
      <w:bookmarkStart w:id="229" w:name="_Toc4768"/>
      <w:bookmarkStart w:id="230" w:name="_Toc1870"/>
      <w:bookmarkStart w:id="231" w:name="_Toc22961"/>
      <w:bookmarkStart w:id="232" w:name="_Toc17291826"/>
      <w:bookmarkStart w:id="233" w:name="_Toc24469"/>
      <w:bookmarkStart w:id="234" w:name="_Toc30585"/>
      <w:bookmarkStart w:id="235" w:name="_Toc321382057"/>
      <w:bookmarkStart w:id="236" w:name="_Toc316292231"/>
      <w:r>
        <w:rPr>
          <w:rFonts w:hint="eastAsia"/>
          <w:color w:val="000000" w:themeColor="text1"/>
          <w14:textFill>
            <w14:solidFill>
              <w14:schemeClr w14:val="tx1"/>
            </w14:solidFill>
          </w14:textFill>
        </w:rPr>
        <w:t>招标项目服务、商务及其他要求</w:t>
      </w:r>
      <w:bookmarkEnd w:id="229"/>
      <w:bookmarkEnd w:id="230"/>
      <w:bookmarkEnd w:id="231"/>
      <w:bookmarkEnd w:id="232"/>
      <w:bookmarkEnd w:id="233"/>
      <w:bookmarkEnd w:id="234"/>
    </w:p>
    <w:bookmarkEnd w:id="235"/>
    <w:bookmarkEnd w:id="236"/>
    <w:p>
      <w:pPr>
        <w:pStyle w:val="5"/>
        <w:numPr>
          <w:ilvl w:val="1"/>
          <w:numId w:val="4"/>
        </w:numPr>
        <w:tabs>
          <w:tab w:val="left" w:pos="0"/>
          <w:tab w:val="left" w:pos="426"/>
          <w:tab w:val="left" w:pos="576"/>
          <w:tab w:val="left" w:pos="786"/>
        </w:tabs>
        <w:spacing w:before="0" w:after="0" w:line="500" w:lineRule="exact"/>
        <w:ind w:left="0" w:firstLine="0"/>
        <w:jc w:val="both"/>
        <w:rPr>
          <w:color w:val="000000" w:themeColor="text1"/>
          <w14:textFill>
            <w14:solidFill>
              <w14:schemeClr w14:val="tx1"/>
            </w14:solidFill>
          </w14:textFill>
        </w:rPr>
      </w:pPr>
      <w:bookmarkStart w:id="237" w:name="_Toc54857461"/>
      <w:bookmarkStart w:id="238" w:name="_Toc19749"/>
      <w:bookmarkStart w:id="239" w:name="_Toc26497"/>
      <w:bookmarkStart w:id="240" w:name="_Toc5355"/>
      <w:bookmarkStart w:id="241" w:name="_Toc24101"/>
      <w:bookmarkStart w:id="242" w:name="_Toc8639"/>
      <w:bookmarkStart w:id="243" w:name="_Toc21821"/>
      <w:r>
        <w:rPr>
          <w:rFonts w:hint="eastAsia"/>
          <w:color w:val="000000" w:themeColor="text1"/>
          <w14:textFill>
            <w14:solidFill>
              <w14:schemeClr w14:val="tx1"/>
            </w14:solidFill>
          </w14:textFill>
        </w:rPr>
        <w:t>项目概况</w:t>
      </w:r>
      <w:bookmarkEnd w:id="237"/>
      <w:bookmarkEnd w:id="238"/>
    </w:p>
    <w:p>
      <w:pPr>
        <w:pStyle w:val="157"/>
        <w:spacing w:line="360" w:lineRule="auto"/>
        <w:ind w:firstLineChars="0"/>
        <w:rPr>
          <w:rFonts w:ascii="宋体" w:hAnsi="宋体"/>
          <w:color w:val="000000" w:themeColor="text1"/>
          <w:sz w:val="28"/>
          <w:szCs w:val="28"/>
          <w14:textFill>
            <w14:solidFill>
              <w14:schemeClr w14:val="tx1"/>
            </w14:solidFill>
          </w14:textFill>
        </w:rPr>
      </w:pPr>
      <w:r>
        <w:rPr>
          <w:rFonts w:hint="eastAsia"/>
          <w:sz w:val="28"/>
        </w:rPr>
        <w:t>成都市教育科学研究院附属学校（成都市天府实验学校），地址：天府四街1717号，占地总面积：66582.86㎡。小学规划用地面积23939.15㎡，规划总建筑面积27791.08㎡，初中规划用地面积42643.71㎡，规划总建筑面积38667.37㎡。小学部机动车位85辆。设计为45个班，由第一教学楼、第二教学楼、行政楼、风雨篮球馆、学生食堂及报告厅，地下室及大门2个。初中部设计为40个班，由教学及实验楼、图书馆、风雨操场及游泳池、食堂及科技艺术楼、音乐厅、地下室及大门、门卫室、钟楼。</w:t>
      </w:r>
    </w:p>
    <w:p>
      <w:pPr>
        <w:pStyle w:val="5"/>
        <w:numPr>
          <w:ilvl w:val="1"/>
          <w:numId w:val="4"/>
        </w:numPr>
        <w:tabs>
          <w:tab w:val="left" w:pos="0"/>
          <w:tab w:val="left" w:pos="426"/>
          <w:tab w:val="left" w:pos="576"/>
          <w:tab w:val="left" w:pos="786"/>
        </w:tabs>
        <w:spacing w:before="0" w:after="0" w:line="520" w:lineRule="exact"/>
        <w:ind w:left="0" w:firstLine="0"/>
        <w:jc w:val="both"/>
        <w:rPr>
          <w:color w:val="000000" w:themeColor="text1"/>
          <w14:textFill>
            <w14:solidFill>
              <w14:schemeClr w14:val="tx1"/>
            </w14:solidFill>
          </w14:textFill>
        </w:rPr>
      </w:pPr>
      <w:bookmarkStart w:id="244" w:name="_Toc4509118"/>
      <w:bookmarkStart w:id="245" w:name="_Toc13016"/>
      <w:bookmarkStart w:id="246" w:name="_Toc4576"/>
      <w:bookmarkStart w:id="247" w:name="_Toc21599"/>
      <w:bookmarkStart w:id="248" w:name="_Toc3868"/>
      <w:bookmarkStart w:id="249" w:name="_Toc54857462"/>
      <w:bookmarkStart w:id="250" w:name="_Toc24356540"/>
      <w:bookmarkStart w:id="251" w:name="_Toc513796935"/>
      <w:bookmarkStart w:id="252" w:name="_Toc30090"/>
      <w:bookmarkStart w:id="253" w:name="_Toc31844"/>
      <w:r>
        <w:rPr>
          <w:rFonts w:hint="eastAsia"/>
          <w:color w:val="000000" w:themeColor="text1"/>
          <w14:textFill>
            <w14:solidFill>
              <w14:schemeClr w14:val="tx1"/>
            </w14:solidFill>
          </w14:textFill>
        </w:rPr>
        <w:t>服务内容及要求</w:t>
      </w:r>
      <w:bookmarkEnd w:id="244"/>
      <w:bookmarkEnd w:id="245"/>
      <w:bookmarkEnd w:id="246"/>
      <w:bookmarkEnd w:id="247"/>
      <w:bookmarkEnd w:id="248"/>
      <w:bookmarkEnd w:id="249"/>
      <w:bookmarkEnd w:id="250"/>
      <w:bookmarkEnd w:id="251"/>
      <w:bookmarkEnd w:id="252"/>
      <w:bookmarkEnd w:id="253"/>
    </w:p>
    <w:p>
      <w:pPr>
        <w:pStyle w:val="6"/>
        <w:numPr>
          <w:ilvl w:val="2"/>
          <w:numId w:val="4"/>
        </w:numPr>
        <w:spacing w:after="200" w:line="520" w:lineRule="exact"/>
        <w:ind w:left="8" w:hanging="8"/>
        <w:rPr>
          <w:bCs w:val="0"/>
          <w:color w:val="000000" w:themeColor="text1"/>
          <w14:textFill>
            <w14:solidFill>
              <w14:schemeClr w14:val="tx1"/>
            </w14:solidFill>
          </w14:textFill>
        </w:rPr>
      </w:pPr>
      <w:bookmarkStart w:id="254" w:name="_Toc513796936"/>
      <w:r>
        <w:rPr>
          <w:rFonts w:hint="eastAsia"/>
          <w:bCs w:val="0"/>
          <w:color w:val="000000" w:themeColor="text1"/>
          <w14:textFill>
            <w14:solidFill>
              <w14:schemeClr w14:val="tx1"/>
            </w14:solidFill>
          </w14:textFill>
        </w:rPr>
        <w:t>服务内容</w:t>
      </w:r>
    </w:p>
    <w:p>
      <w:pPr>
        <w:ind w:firstLine="565" w:firstLineChars="202"/>
        <w:rPr>
          <w:rFonts w:ascii="宋体" w:hAnsi="宋体"/>
          <w:sz w:val="28"/>
          <w:szCs w:val="28"/>
        </w:rPr>
      </w:pPr>
      <w:r>
        <w:rPr>
          <w:rFonts w:hint="eastAsia" w:ascii="宋体" w:hAnsi="宋体"/>
          <w:sz w:val="28"/>
          <w:szCs w:val="28"/>
        </w:rPr>
        <w:t>服务内容包括：1、安全管理；2、环境卫生保洁；3、水电维护及维修；4、绿化养护；5、文印服务；6、体育管理；7、应急事件处置。</w:t>
      </w:r>
    </w:p>
    <w:p>
      <w:pPr>
        <w:pStyle w:val="6"/>
        <w:numPr>
          <w:ilvl w:val="2"/>
          <w:numId w:val="4"/>
        </w:numPr>
        <w:spacing w:after="200" w:line="520" w:lineRule="exact"/>
        <w:ind w:left="8" w:hanging="8"/>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服务要求</w:t>
      </w:r>
    </w:p>
    <w:p>
      <w:pPr>
        <w:numPr>
          <w:ilvl w:val="255"/>
          <w:numId w:val="0"/>
        </w:numPr>
        <w:ind w:firstLine="562" w:firstLineChars="200"/>
        <w:rPr>
          <w:rFonts w:ascii="宋体" w:hAnsi="宋体"/>
          <w:b/>
          <w:bCs/>
          <w:sz w:val="28"/>
          <w:szCs w:val="28"/>
        </w:rPr>
      </w:pPr>
      <w:bookmarkStart w:id="255" w:name="_Toc24972"/>
      <w:bookmarkStart w:id="256" w:name="_Toc27442"/>
      <w:bookmarkStart w:id="257" w:name="_Toc54857463"/>
      <w:bookmarkStart w:id="258" w:name="_Toc4509120"/>
      <w:bookmarkStart w:id="259" w:name="_Toc9486"/>
      <w:bookmarkStart w:id="260" w:name="_Toc19248"/>
      <w:bookmarkStart w:id="261" w:name="_Toc24356563"/>
      <w:bookmarkStart w:id="262" w:name="_Toc12170"/>
      <w:r>
        <w:rPr>
          <w:rFonts w:hint="eastAsia" w:ascii="宋体" w:hAnsi="宋体" w:cs="宋体"/>
          <w:b/>
          <w:bCs/>
          <w:sz w:val="28"/>
          <w:szCs w:val="28"/>
          <w:lang w:bidi="ar"/>
        </w:rPr>
        <w:t>一、服务总体要求</w:t>
      </w:r>
    </w:p>
    <w:p>
      <w:pPr>
        <w:numPr>
          <w:ilvl w:val="0"/>
          <w:numId w:val="38"/>
        </w:numPr>
        <w:ind w:firstLine="565" w:firstLineChars="202"/>
        <w:rPr>
          <w:rFonts w:ascii="宋体" w:hAnsi="宋体" w:cs="宋体"/>
          <w:sz w:val="28"/>
          <w:szCs w:val="28"/>
          <w:lang w:bidi="ar"/>
        </w:rPr>
      </w:pPr>
      <w:r>
        <w:rPr>
          <w:rFonts w:hint="eastAsia" w:ascii="宋体" w:hAnsi="宋体" w:cs="宋体"/>
          <w:sz w:val="28"/>
          <w:szCs w:val="28"/>
          <w:lang w:bidi="ar"/>
        </w:rPr>
        <w:t>人员要求：合同签订之日起一周内需保证人员配备齐全且能立即进场并到位执行工作。</w:t>
      </w:r>
    </w:p>
    <w:p>
      <w:pPr>
        <w:numPr>
          <w:ilvl w:val="0"/>
          <w:numId w:val="38"/>
        </w:numPr>
        <w:ind w:firstLine="565" w:firstLineChars="202"/>
        <w:rPr>
          <w:rFonts w:ascii="宋体" w:hAnsi="宋体" w:cs="宋体"/>
          <w:sz w:val="28"/>
          <w:szCs w:val="28"/>
          <w:lang w:bidi="ar"/>
        </w:rPr>
      </w:pPr>
      <w:r>
        <w:rPr>
          <w:rFonts w:hint="eastAsia" w:ascii="宋体" w:hAnsi="宋体" w:cs="宋体"/>
          <w:sz w:val="28"/>
          <w:szCs w:val="28"/>
          <w:lang w:bidi="ar"/>
        </w:rPr>
        <w:t>考核办法：采购人相关部门次月5日前完成对物业服务效果考核。如考核不合格，扣减当月费用。合同期内累计三个月或连续两个月考核不合格，采购人有权单方面终止合同，并收取违约金与赔偿款。</w:t>
      </w:r>
    </w:p>
    <w:p>
      <w:pPr>
        <w:numPr>
          <w:ilvl w:val="0"/>
          <w:numId w:val="38"/>
        </w:numPr>
        <w:ind w:firstLine="565" w:firstLineChars="202"/>
        <w:rPr>
          <w:rFonts w:ascii="宋体" w:hAnsi="宋体" w:cs="宋体"/>
          <w:sz w:val="28"/>
          <w:szCs w:val="28"/>
          <w:lang w:bidi="ar"/>
        </w:rPr>
      </w:pPr>
      <w:r>
        <w:rPr>
          <w:rFonts w:hint="eastAsia" w:ascii="宋体" w:hAnsi="宋体" w:cs="宋体"/>
          <w:sz w:val="28"/>
          <w:szCs w:val="28"/>
          <w:lang w:bidi="ar"/>
        </w:rPr>
        <w:t>其他要求：中标人派遣的服务人员在服务期限内，无论发生任何意外事件均由中标人承担所有的经济与法律责任，采购人不负任何经济与法律责任。</w:t>
      </w:r>
    </w:p>
    <w:p>
      <w:pPr>
        <w:numPr>
          <w:ilvl w:val="0"/>
          <w:numId w:val="38"/>
        </w:numPr>
        <w:ind w:firstLine="565" w:firstLineChars="202"/>
        <w:rPr>
          <w:rFonts w:ascii="宋体" w:hAnsi="宋体" w:cs="宋体"/>
          <w:sz w:val="28"/>
          <w:szCs w:val="28"/>
          <w:lang w:bidi="ar"/>
        </w:rPr>
      </w:pPr>
      <w:r>
        <w:rPr>
          <w:rFonts w:hint="eastAsia" w:ascii="宋体" w:hAnsi="宋体" w:cs="宋体"/>
          <w:sz w:val="28"/>
          <w:szCs w:val="28"/>
          <w:lang w:bidi="ar"/>
        </w:rPr>
        <w:t>本次物业管理招标项目采用包干制。供应商人在编制投标报价时应注意，其人员工资标准不得低于成都市最低工资标准。</w:t>
      </w:r>
    </w:p>
    <w:p>
      <w:pPr>
        <w:numPr>
          <w:ilvl w:val="0"/>
          <w:numId w:val="38"/>
        </w:numPr>
        <w:ind w:firstLine="565" w:firstLineChars="202"/>
        <w:rPr>
          <w:rFonts w:ascii="宋体" w:hAnsi="宋体" w:cs="宋体"/>
          <w:sz w:val="28"/>
          <w:szCs w:val="28"/>
          <w:lang w:bidi="ar"/>
        </w:rPr>
      </w:pPr>
      <w:r>
        <w:rPr>
          <w:rFonts w:hint="eastAsia" w:ascii="宋体" w:hAnsi="宋体" w:cs="宋体"/>
          <w:sz w:val="28"/>
          <w:szCs w:val="28"/>
          <w:lang w:bidi="ar"/>
        </w:rPr>
        <w:t>所有投标人招聘人员一经校方确认不得随意更换，如需更换需告知采购人取得同意后方可执行。</w:t>
      </w:r>
    </w:p>
    <w:p>
      <w:pPr>
        <w:numPr>
          <w:ilvl w:val="255"/>
          <w:numId w:val="0"/>
        </w:numPr>
        <w:ind w:firstLine="560" w:firstLineChars="200"/>
        <w:rPr>
          <w:rFonts w:ascii="宋体" w:hAnsi="宋体" w:cs="宋体"/>
          <w:sz w:val="28"/>
          <w:szCs w:val="28"/>
          <w:lang w:bidi="ar"/>
        </w:rPr>
      </w:pPr>
      <w:r>
        <w:rPr>
          <w:rFonts w:hint="eastAsia" w:ascii="宋体" w:hAnsi="宋体" w:cs="宋体"/>
          <w:sz w:val="28"/>
          <w:szCs w:val="28"/>
          <w:lang w:bidi="ar"/>
        </w:rPr>
        <w:t>（六）物业服务人员工资标准、劳保、福利等不得低于国家和工作所在地的最低工资及福利标准。</w:t>
      </w:r>
    </w:p>
    <w:p>
      <w:pPr>
        <w:numPr>
          <w:ilvl w:val="255"/>
          <w:numId w:val="0"/>
        </w:numPr>
        <w:ind w:firstLine="560" w:firstLineChars="200"/>
        <w:rPr>
          <w:rFonts w:ascii="宋体" w:hAnsi="宋体" w:cs="宋体"/>
          <w:sz w:val="28"/>
          <w:szCs w:val="28"/>
          <w:lang w:bidi="ar"/>
        </w:rPr>
      </w:pPr>
      <w:r>
        <w:rPr>
          <w:rFonts w:hint="eastAsia" w:ascii="宋体" w:hAnsi="宋体" w:cs="宋体"/>
          <w:sz w:val="28"/>
          <w:szCs w:val="28"/>
          <w:lang w:bidi="ar"/>
        </w:rPr>
        <w:t>（七）根据采购人工作需求，应按要求提供物业服务项目合同之外的特约服务和代办服务。</w:t>
      </w:r>
    </w:p>
    <w:p>
      <w:pPr>
        <w:numPr>
          <w:ilvl w:val="255"/>
          <w:numId w:val="0"/>
        </w:numPr>
        <w:ind w:firstLine="560" w:firstLineChars="200"/>
        <w:rPr>
          <w:rFonts w:ascii="宋体" w:hAnsi="宋体" w:cs="宋体"/>
          <w:sz w:val="28"/>
          <w:szCs w:val="28"/>
          <w:lang w:bidi="ar"/>
        </w:rPr>
      </w:pPr>
      <w:r>
        <w:rPr>
          <w:rFonts w:hint="eastAsia" w:ascii="宋体" w:hAnsi="宋体" w:cs="宋体"/>
          <w:sz w:val="28"/>
          <w:szCs w:val="28"/>
          <w:lang w:bidi="ar"/>
        </w:rPr>
        <w:t>（八）学生放假期间投标人根据工作量和学校后勤处的要求安排留守值班人员，保持采购人的物业管理正常运行，管理目标不变。</w:t>
      </w:r>
    </w:p>
    <w:p>
      <w:pPr>
        <w:numPr>
          <w:ilvl w:val="255"/>
          <w:numId w:val="0"/>
        </w:numPr>
        <w:ind w:firstLine="560" w:firstLineChars="200"/>
        <w:rPr>
          <w:rFonts w:ascii="宋体" w:hAnsi="宋体" w:cs="宋体"/>
          <w:sz w:val="28"/>
          <w:szCs w:val="28"/>
          <w:lang w:bidi="ar"/>
        </w:rPr>
      </w:pPr>
      <w:r>
        <w:rPr>
          <w:rFonts w:hint="eastAsia" w:ascii="宋体" w:hAnsi="宋体" w:cs="宋体"/>
          <w:sz w:val="28"/>
          <w:szCs w:val="28"/>
          <w:lang w:bidi="ar"/>
        </w:rPr>
        <w:t>（九）投标人人员必须统一着装上岗，标志明显，衣着整洁，不披衣散扣，不穿拖鞋，言行文明。男性不留长发，不纹身，不赤裸上身，不穿膝盖以上的肥大短裤；女性不裸露后背及肚皮。安全护卫人员24小时在校值班。保洁人员应明确工作内容、工作时间和工作要点，制定出具体的工作标准、检查标准。</w:t>
      </w:r>
    </w:p>
    <w:p>
      <w:pPr>
        <w:numPr>
          <w:ilvl w:val="255"/>
          <w:numId w:val="0"/>
        </w:numPr>
        <w:ind w:firstLine="560" w:firstLineChars="200"/>
        <w:rPr>
          <w:rFonts w:ascii="宋体" w:hAnsi="宋体" w:cs="宋体"/>
          <w:sz w:val="28"/>
          <w:szCs w:val="28"/>
          <w:lang w:bidi="ar"/>
        </w:rPr>
      </w:pPr>
      <w:r>
        <w:rPr>
          <w:rFonts w:hint="eastAsia" w:ascii="宋体" w:hAnsi="宋体" w:cs="宋体"/>
          <w:sz w:val="28"/>
          <w:szCs w:val="28"/>
          <w:lang w:bidi="ar"/>
        </w:rPr>
        <w:t>（十）按照采购人划定的工作范围、工作内容及管理目标成立相关机构，制定相应工作流程、工作制度、监督考核办法，合理安排人员，科学管理，严格要求，达标运行。服从采购人分管领导及职能部门的监督、管理。</w:t>
      </w:r>
    </w:p>
    <w:p>
      <w:pPr>
        <w:numPr>
          <w:ilvl w:val="255"/>
          <w:numId w:val="0"/>
        </w:numPr>
        <w:ind w:firstLine="560" w:firstLineChars="200"/>
        <w:rPr>
          <w:rFonts w:ascii="宋体" w:hAnsi="宋体" w:cs="宋体"/>
          <w:sz w:val="28"/>
          <w:szCs w:val="28"/>
          <w:lang w:bidi="ar"/>
        </w:rPr>
      </w:pPr>
      <w:r>
        <w:rPr>
          <w:rFonts w:hint="eastAsia" w:ascii="宋体" w:hAnsi="宋体" w:cs="宋体"/>
          <w:sz w:val="28"/>
          <w:szCs w:val="28"/>
          <w:lang w:bidi="ar"/>
        </w:rPr>
        <w:t>（十一）相关物资、设备、材料、生活条件提供:</w:t>
      </w:r>
    </w:p>
    <w:p>
      <w:pPr>
        <w:numPr>
          <w:ilvl w:val="255"/>
          <w:numId w:val="0"/>
        </w:numPr>
        <w:ind w:firstLine="560" w:firstLineChars="200"/>
        <w:rPr>
          <w:rFonts w:ascii="宋体" w:hAnsi="宋体"/>
          <w:sz w:val="28"/>
          <w:szCs w:val="28"/>
        </w:rPr>
      </w:pPr>
      <w:r>
        <w:rPr>
          <w:rFonts w:hint="eastAsia" w:ascii="宋体" w:hAnsi="宋体"/>
          <w:sz w:val="28"/>
          <w:szCs w:val="28"/>
        </w:rPr>
        <w:t>1.采购人提供物管办公室一间、物业库房一间。</w:t>
      </w:r>
    </w:p>
    <w:p>
      <w:pPr>
        <w:numPr>
          <w:ilvl w:val="255"/>
          <w:numId w:val="0"/>
        </w:numPr>
        <w:ind w:firstLine="560" w:firstLineChars="200"/>
        <w:rPr>
          <w:rFonts w:ascii="宋体" w:hAnsi="宋体" w:cs="宋体"/>
          <w:sz w:val="28"/>
          <w:szCs w:val="28"/>
          <w:lang w:bidi="ar"/>
        </w:rPr>
      </w:pPr>
      <w:r>
        <w:rPr>
          <w:rFonts w:hint="eastAsia" w:ascii="宋体" w:hAnsi="宋体"/>
          <w:sz w:val="28"/>
          <w:szCs w:val="28"/>
        </w:rPr>
        <w:t>2.保安、保洁、绿化、维修等所需工具、器具及工作服由中标人提供。</w:t>
      </w:r>
    </w:p>
    <w:p>
      <w:pPr>
        <w:numPr>
          <w:ilvl w:val="255"/>
          <w:numId w:val="0"/>
        </w:numPr>
        <w:ind w:firstLine="562" w:firstLineChars="200"/>
        <w:rPr>
          <w:rFonts w:ascii="宋体" w:hAnsi="宋体"/>
          <w:b/>
          <w:bCs/>
          <w:sz w:val="28"/>
          <w:szCs w:val="28"/>
        </w:rPr>
      </w:pPr>
      <w:r>
        <w:rPr>
          <w:rFonts w:hint="eastAsia" w:ascii="宋体" w:hAnsi="宋体"/>
          <w:b/>
          <w:bCs/>
          <w:sz w:val="28"/>
          <w:szCs w:val="28"/>
        </w:rPr>
        <w:t>二、安全管理服务要求</w:t>
      </w:r>
    </w:p>
    <w:p>
      <w:pPr>
        <w:numPr>
          <w:ilvl w:val="0"/>
          <w:numId w:val="39"/>
        </w:numPr>
        <w:ind w:left="0" w:leftChars="0" w:firstLine="420" w:firstLineChars="0"/>
        <w:rPr>
          <w:rFonts w:ascii="宋体" w:hAnsi="宋体"/>
          <w:sz w:val="28"/>
          <w:szCs w:val="28"/>
        </w:rPr>
      </w:pPr>
      <w:r>
        <w:rPr>
          <w:rFonts w:hint="eastAsia" w:ascii="宋体" w:hAnsi="宋体"/>
          <w:sz w:val="28"/>
          <w:szCs w:val="28"/>
        </w:rPr>
        <w:t>投标人就采购人的治安、消防、交通及学生安全进行防范管理服务，协助和配合本地公安机关维护公共秩序。每天24小时提供安全服务，定期检查消防栓和灭火器，保证随时启用。上班期间维护门卫秩序，严禁车辆在学校大门外侧停放及小贩叫卖，保证校门外畅通。</w:t>
      </w:r>
    </w:p>
    <w:p>
      <w:pPr>
        <w:numPr>
          <w:ilvl w:val="0"/>
          <w:numId w:val="39"/>
        </w:numPr>
        <w:ind w:left="0" w:leftChars="0" w:firstLine="420" w:firstLineChars="0"/>
        <w:rPr>
          <w:rFonts w:ascii="宋体" w:hAnsi="宋体"/>
          <w:sz w:val="28"/>
          <w:szCs w:val="28"/>
        </w:rPr>
      </w:pPr>
      <w:r>
        <w:rPr>
          <w:rFonts w:hint="eastAsia" w:ascii="宋体" w:hAnsi="宋体"/>
          <w:sz w:val="28"/>
          <w:szCs w:val="28"/>
        </w:rPr>
        <w:t>学生凭校服或者校牌入校。学生上课时段出校门，门卫必须验证有班主任签字认可的出门条。在校午餐的学生一律不能出校门，外校学生一律不准进入我校。如放学后及节假日未经相关教师签字批准，一律不准入校。</w:t>
      </w:r>
    </w:p>
    <w:p>
      <w:pPr>
        <w:numPr>
          <w:ilvl w:val="0"/>
          <w:numId w:val="39"/>
        </w:numPr>
        <w:ind w:left="0" w:leftChars="0" w:firstLine="420" w:firstLineChars="0"/>
        <w:rPr>
          <w:rFonts w:ascii="宋体" w:hAnsi="宋体"/>
          <w:sz w:val="28"/>
          <w:szCs w:val="28"/>
        </w:rPr>
      </w:pPr>
      <w:r>
        <w:rPr>
          <w:rFonts w:hint="eastAsia" w:ascii="宋体" w:hAnsi="宋体"/>
          <w:sz w:val="28"/>
          <w:szCs w:val="28"/>
        </w:rPr>
        <w:t xml:space="preserve">周末期间进出学校的人员（本校教职工除外）必须出示相关证明并登记。对向外开放的设施设备物业须派1名保安人员同学校值班教师、街道办工作人员一起值守，并在开放结束后清场。 </w:t>
      </w:r>
    </w:p>
    <w:p>
      <w:pPr>
        <w:numPr>
          <w:ilvl w:val="0"/>
          <w:numId w:val="39"/>
        </w:numPr>
        <w:ind w:left="0" w:leftChars="0" w:firstLine="420" w:firstLineChars="0"/>
        <w:rPr>
          <w:rFonts w:ascii="宋体" w:hAnsi="宋体"/>
          <w:sz w:val="28"/>
          <w:szCs w:val="28"/>
        </w:rPr>
      </w:pPr>
      <w:r>
        <w:rPr>
          <w:rFonts w:hint="eastAsia" w:ascii="宋体" w:hAnsi="宋体"/>
          <w:sz w:val="28"/>
          <w:szCs w:val="28"/>
        </w:rPr>
        <w:t>上放学时段，所有保安人员需到岗参与门卫管理；岗亭须安排礼仪保安站岗服务，随时观察校门周围情况。家长接送学生一律原则上不进入学校大门，若有特殊情况须在放学高峰时段结束后，联系班主任，登记入校。夜间要有3位以上保安人员值班和巡逻。</w:t>
      </w:r>
    </w:p>
    <w:p>
      <w:pPr>
        <w:numPr>
          <w:ilvl w:val="0"/>
          <w:numId w:val="39"/>
        </w:numPr>
        <w:ind w:left="0" w:leftChars="0" w:firstLine="420" w:firstLineChars="0"/>
        <w:rPr>
          <w:rFonts w:ascii="宋体" w:hAnsi="宋体"/>
          <w:sz w:val="28"/>
          <w:szCs w:val="28"/>
        </w:rPr>
      </w:pPr>
      <w:r>
        <w:rPr>
          <w:rFonts w:hint="eastAsia" w:ascii="宋体" w:hAnsi="宋体"/>
          <w:sz w:val="28"/>
          <w:szCs w:val="28"/>
        </w:rPr>
        <w:t>学校门卫室应由投标人配置够用、实用的防护器械（胶棒，头盔，盾牌，防割手套，叉子等），以应急时之用。</w:t>
      </w:r>
    </w:p>
    <w:p>
      <w:pPr>
        <w:numPr>
          <w:ilvl w:val="0"/>
          <w:numId w:val="39"/>
        </w:numPr>
        <w:ind w:left="0" w:leftChars="0" w:firstLine="420" w:firstLineChars="0"/>
        <w:rPr>
          <w:rFonts w:ascii="宋体" w:hAnsi="宋体"/>
          <w:sz w:val="28"/>
          <w:szCs w:val="28"/>
        </w:rPr>
      </w:pPr>
      <w:r>
        <w:rPr>
          <w:rFonts w:hint="eastAsia" w:ascii="宋体" w:hAnsi="宋体"/>
          <w:sz w:val="28"/>
          <w:szCs w:val="28"/>
        </w:rPr>
        <w:t>门卫若遇紧急情况，必须立即报告采购人安全负责人，必要时拨打110或派出所电话报警。</w:t>
      </w:r>
    </w:p>
    <w:p>
      <w:pPr>
        <w:numPr>
          <w:ilvl w:val="0"/>
          <w:numId w:val="39"/>
        </w:numPr>
        <w:ind w:left="0" w:leftChars="0" w:firstLine="420" w:firstLineChars="0"/>
        <w:rPr>
          <w:rFonts w:ascii="宋体" w:hAnsi="宋体"/>
          <w:sz w:val="28"/>
          <w:szCs w:val="28"/>
        </w:rPr>
      </w:pPr>
      <w:r>
        <w:rPr>
          <w:rFonts w:hint="eastAsia" w:ascii="宋体" w:hAnsi="宋体"/>
          <w:sz w:val="28"/>
          <w:szCs w:val="28"/>
        </w:rPr>
        <w:t>每天根据实际情况分层分时开关楼层过道灯，白天课间休息时段，各楼层及公共区域的巡视和监管，夜间清校并巡逻，晚上专人值守监控报警系统。</w:t>
      </w:r>
    </w:p>
    <w:p>
      <w:pPr>
        <w:numPr>
          <w:ilvl w:val="0"/>
          <w:numId w:val="39"/>
        </w:numPr>
        <w:ind w:left="0" w:leftChars="0" w:firstLine="420" w:firstLineChars="0"/>
        <w:rPr>
          <w:rFonts w:ascii="宋体" w:hAnsi="宋体"/>
          <w:sz w:val="28"/>
          <w:szCs w:val="28"/>
        </w:rPr>
      </w:pPr>
      <w:r>
        <w:rPr>
          <w:rFonts w:hint="eastAsia" w:ascii="宋体" w:hAnsi="宋体"/>
          <w:sz w:val="28"/>
          <w:szCs w:val="28"/>
        </w:rPr>
        <w:t>负责收发采购人各处室、教职工、学生的信件、报纸、杂志、快递、包裹等。谢绝外来人员推销。遇外来客人按采购人规定放行，并将人数、单位等情况做好记录，引领客人到相关部门。对所登记个人信息严格保密。</w:t>
      </w:r>
    </w:p>
    <w:p>
      <w:pPr>
        <w:numPr>
          <w:ilvl w:val="0"/>
          <w:numId w:val="39"/>
        </w:numPr>
        <w:ind w:left="0" w:leftChars="0" w:firstLine="420" w:firstLineChars="0"/>
        <w:rPr>
          <w:rFonts w:ascii="宋体" w:hAnsi="宋体"/>
          <w:sz w:val="28"/>
          <w:szCs w:val="28"/>
        </w:rPr>
      </w:pPr>
      <w:r>
        <w:rPr>
          <w:rFonts w:hint="eastAsia" w:ascii="宋体" w:hAnsi="宋体"/>
          <w:sz w:val="28"/>
          <w:szCs w:val="28"/>
        </w:rPr>
        <w:t xml:space="preserve">值班人员每天做好校门口所属区域的清洁卫生，每周洗地一次，保持校门口地面、墙面干净，无污渍。值班室内物品、信件摆放整齐、干净，无灰尘、垃圾。 </w:t>
      </w:r>
    </w:p>
    <w:p>
      <w:pPr>
        <w:numPr>
          <w:ilvl w:val="0"/>
          <w:numId w:val="39"/>
        </w:numPr>
        <w:ind w:left="0" w:leftChars="0" w:firstLine="420" w:firstLineChars="0"/>
        <w:rPr>
          <w:rFonts w:ascii="宋体" w:hAnsi="宋体"/>
          <w:sz w:val="28"/>
          <w:szCs w:val="28"/>
        </w:rPr>
      </w:pPr>
      <w:r>
        <w:rPr>
          <w:rFonts w:hint="eastAsia" w:ascii="宋体" w:hAnsi="宋体"/>
          <w:sz w:val="28"/>
          <w:szCs w:val="28"/>
        </w:rPr>
        <w:t>仔细检查外来车辆、登记车牌号，严控噪音、车速。校内有车辆人为损坏、被盗，投标人将承担赔偿责任。采购人举行大型活动、考试以及家长会等期间，物管应安排专人管理引导校内外车辆的有序停放。采购人的物防、技防设备交由投标人负责，及时上报设备故障，由于物管人员失职造成的损坏由投标人及时维修。发生学校财物被盗事件，由投标人照价赔偿。</w:t>
      </w:r>
    </w:p>
    <w:p>
      <w:pPr>
        <w:numPr>
          <w:ilvl w:val="255"/>
          <w:numId w:val="0"/>
        </w:numPr>
        <w:ind w:firstLine="562" w:firstLineChars="200"/>
        <w:rPr>
          <w:rFonts w:ascii="宋体" w:hAnsi="宋体"/>
          <w:b/>
          <w:bCs/>
          <w:sz w:val="28"/>
          <w:szCs w:val="28"/>
        </w:rPr>
      </w:pPr>
      <w:r>
        <w:rPr>
          <w:rFonts w:hint="eastAsia" w:ascii="宋体" w:hAnsi="宋体"/>
          <w:b/>
          <w:bCs/>
          <w:sz w:val="28"/>
          <w:szCs w:val="28"/>
        </w:rPr>
        <w:t>三、环境卫生保洁服务要求</w:t>
      </w:r>
    </w:p>
    <w:p>
      <w:pPr>
        <w:numPr>
          <w:ilvl w:val="0"/>
          <w:numId w:val="40"/>
        </w:numPr>
        <w:ind w:left="0" w:leftChars="0" w:firstLine="420" w:firstLineChars="0"/>
        <w:rPr>
          <w:rFonts w:ascii="宋体" w:hAnsi="宋体"/>
          <w:sz w:val="28"/>
          <w:szCs w:val="28"/>
        </w:rPr>
      </w:pPr>
      <w:r>
        <w:rPr>
          <w:rFonts w:hint="eastAsia" w:ascii="宋体" w:hAnsi="宋体"/>
          <w:sz w:val="28"/>
          <w:szCs w:val="28"/>
        </w:rPr>
        <w:t>校园公共区及楼道、梯步、围栏、门窗框台、公示指示标牌、走廊、架空层、厕所、体育馆、功能室、学术厅、会议室、功能室的清扫、拖地、清洗，绿化带无杂物、绿植修剪整齐。</w:t>
      </w:r>
    </w:p>
    <w:p>
      <w:pPr>
        <w:numPr>
          <w:ilvl w:val="0"/>
          <w:numId w:val="40"/>
        </w:numPr>
        <w:ind w:left="0" w:leftChars="0" w:firstLine="420" w:firstLineChars="0"/>
        <w:rPr>
          <w:rFonts w:ascii="宋体" w:hAnsi="宋体"/>
          <w:sz w:val="28"/>
          <w:szCs w:val="28"/>
        </w:rPr>
      </w:pPr>
      <w:r>
        <w:rPr>
          <w:rFonts w:hint="eastAsia" w:ascii="宋体" w:hAnsi="宋体"/>
          <w:sz w:val="28"/>
          <w:szCs w:val="28"/>
        </w:rPr>
        <w:t>校园道路、操场定期冲洗，操场和校园围墙扶栏每周清洁1次，体育馆每周清洁1次。</w:t>
      </w:r>
    </w:p>
    <w:p>
      <w:pPr>
        <w:numPr>
          <w:ilvl w:val="0"/>
          <w:numId w:val="40"/>
        </w:numPr>
        <w:ind w:left="0" w:leftChars="0" w:firstLine="420" w:firstLineChars="0"/>
        <w:rPr>
          <w:rFonts w:ascii="宋体" w:hAnsi="宋体"/>
          <w:sz w:val="28"/>
          <w:szCs w:val="28"/>
        </w:rPr>
      </w:pPr>
      <w:r>
        <w:rPr>
          <w:rFonts w:hint="eastAsia" w:ascii="宋体" w:hAnsi="宋体"/>
          <w:sz w:val="28"/>
          <w:szCs w:val="28"/>
        </w:rPr>
        <w:t>定期对全校所有办公室、功能室的天棚、窗玻璃、风扇、灯管、多媒体设备等进行蛛网、灰尘的清除、清扫或擦洗，保持无灰尘无蜘蛛网。负责雨季前雨水、污水管道疏通，化粪池清掏，按采购人要求对未提到场所清洁，并完成其它临时性工作。</w:t>
      </w:r>
    </w:p>
    <w:p>
      <w:pPr>
        <w:numPr>
          <w:ilvl w:val="0"/>
          <w:numId w:val="40"/>
        </w:numPr>
        <w:ind w:left="0" w:leftChars="0" w:firstLine="420" w:firstLineChars="0"/>
        <w:rPr>
          <w:rFonts w:ascii="宋体" w:hAnsi="宋体"/>
          <w:sz w:val="28"/>
          <w:szCs w:val="28"/>
        </w:rPr>
      </w:pPr>
      <w:r>
        <w:rPr>
          <w:rFonts w:hint="eastAsia" w:ascii="宋体" w:hAnsi="宋体"/>
          <w:sz w:val="28"/>
          <w:szCs w:val="28"/>
        </w:rPr>
        <w:t>每天早上7:30前做好各区域、厕所等清扫、拖地和冲洗工作。每节课上课后做好各区域、厕所等保洁工作。建立完备的清洁岗位，在规定时间内始终保持有岗、有人、有服务。</w:t>
      </w:r>
    </w:p>
    <w:p>
      <w:pPr>
        <w:numPr>
          <w:ilvl w:val="0"/>
          <w:numId w:val="40"/>
        </w:numPr>
        <w:ind w:left="0" w:leftChars="0" w:firstLine="420" w:firstLineChars="0"/>
        <w:rPr>
          <w:rFonts w:ascii="宋体" w:hAnsi="宋体"/>
          <w:sz w:val="28"/>
          <w:szCs w:val="28"/>
        </w:rPr>
      </w:pPr>
      <w:r>
        <w:rPr>
          <w:rFonts w:hint="eastAsia" w:ascii="宋体" w:hAnsi="宋体"/>
          <w:sz w:val="28"/>
          <w:szCs w:val="28"/>
        </w:rPr>
        <w:t>清洁卫生质量标准：做到“四净”。即窗明几净；地面、楼面、墙面、台面干净；路灯、户外音箱标识标牌、画框干净；厕所冲洗干净。</w:t>
      </w:r>
    </w:p>
    <w:p>
      <w:pPr>
        <w:numPr>
          <w:ilvl w:val="0"/>
          <w:numId w:val="40"/>
        </w:numPr>
        <w:ind w:left="0" w:leftChars="0" w:firstLine="420" w:firstLineChars="0"/>
        <w:rPr>
          <w:rFonts w:ascii="宋体" w:hAnsi="宋体"/>
          <w:sz w:val="24"/>
        </w:rPr>
      </w:pPr>
      <w:r>
        <w:rPr>
          <w:rFonts w:hint="eastAsia" w:ascii="宋体" w:hAnsi="宋体"/>
          <w:sz w:val="28"/>
          <w:szCs w:val="28"/>
        </w:rPr>
        <w:t>垃圾桶内垃圾，每天早、中、晚三次清理。拖布、抹布分类实用，避免室内、过道和大厅等处有异味。定期进行卫生消杀灭菌工作。节约用水，爱护用具。服务态度好，不与师生争吵。上班时段不得大声喧哗。</w:t>
      </w:r>
    </w:p>
    <w:p>
      <w:pPr>
        <w:numPr>
          <w:ilvl w:val="255"/>
          <w:numId w:val="0"/>
        </w:numPr>
        <w:ind w:firstLine="562" w:firstLineChars="200"/>
        <w:rPr>
          <w:rFonts w:ascii="宋体" w:hAnsi="宋体"/>
          <w:sz w:val="28"/>
          <w:szCs w:val="28"/>
        </w:rPr>
      </w:pPr>
      <w:r>
        <w:rPr>
          <w:rFonts w:hint="eastAsia" w:ascii="宋体" w:hAnsi="宋体"/>
          <w:b/>
          <w:bCs/>
          <w:sz w:val="28"/>
          <w:szCs w:val="28"/>
        </w:rPr>
        <w:t>四、水电维护及维修服务要求</w:t>
      </w:r>
    </w:p>
    <w:p>
      <w:pPr>
        <w:numPr>
          <w:ilvl w:val="0"/>
          <w:numId w:val="41"/>
        </w:numPr>
        <w:ind w:left="0" w:leftChars="0" w:firstLine="420" w:firstLineChars="0"/>
        <w:rPr>
          <w:rFonts w:ascii="宋体" w:hAnsi="宋体"/>
          <w:sz w:val="28"/>
          <w:szCs w:val="28"/>
        </w:rPr>
      </w:pPr>
      <w:r>
        <w:rPr>
          <w:rFonts w:hint="eastAsia" w:ascii="宋体" w:hAnsi="宋体"/>
          <w:sz w:val="28"/>
          <w:szCs w:val="28"/>
        </w:rPr>
        <w:t>负责采购人的水电维修工作。水（含消防设备）、电（含配电设备）、地板及教室和办公室内的桌、椅、板凳、门窗、大小黑板，强、弱电门锁、墙砖的简单维修、安装等工作。所有维修材料费采购人实报实销。</w:t>
      </w:r>
    </w:p>
    <w:p>
      <w:pPr>
        <w:numPr>
          <w:ilvl w:val="0"/>
          <w:numId w:val="41"/>
        </w:numPr>
        <w:ind w:left="0" w:leftChars="0" w:firstLine="420" w:firstLineChars="0"/>
        <w:rPr>
          <w:rFonts w:ascii="宋体" w:hAnsi="宋体"/>
          <w:sz w:val="28"/>
          <w:szCs w:val="28"/>
        </w:rPr>
      </w:pPr>
      <w:r>
        <w:rPr>
          <w:rFonts w:hint="eastAsia" w:ascii="宋体" w:hAnsi="宋体"/>
          <w:sz w:val="28"/>
          <w:szCs w:val="28"/>
        </w:rPr>
        <w:t>保存好完整的维修档案资料（需随时给采购人提供完整的资料），做到项目齐全、管理完善。负责学生桌椅高度的调整。</w:t>
      </w:r>
    </w:p>
    <w:p>
      <w:pPr>
        <w:numPr>
          <w:ilvl w:val="0"/>
          <w:numId w:val="41"/>
        </w:numPr>
        <w:ind w:left="0" w:leftChars="0" w:firstLine="420" w:firstLineChars="0"/>
        <w:rPr>
          <w:rFonts w:ascii="宋体" w:hAnsi="宋体"/>
          <w:sz w:val="28"/>
          <w:szCs w:val="28"/>
        </w:rPr>
      </w:pPr>
      <w:r>
        <w:rPr>
          <w:rFonts w:hint="eastAsia" w:ascii="宋体" w:hAnsi="宋体"/>
          <w:sz w:val="28"/>
          <w:szCs w:val="28"/>
        </w:rPr>
        <w:t>值班人员做到每日巡视水、电、桌椅门锁等设施，发现故障和安全隐患应及时维修，随时进行质量跟踪，维修合格率100％。</w:t>
      </w:r>
    </w:p>
    <w:p>
      <w:pPr>
        <w:numPr>
          <w:ilvl w:val="0"/>
          <w:numId w:val="41"/>
        </w:numPr>
        <w:ind w:left="0" w:leftChars="0" w:firstLine="420" w:firstLineChars="0"/>
        <w:rPr>
          <w:rFonts w:ascii="宋体" w:hAnsi="宋体"/>
          <w:sz w:val="28"/>
          <w:szCs w:val="28"/>
        </w:rPr>
      </w:pPr>
      <w:r>
        <w:rPr>
          <w:rFonts w:hint="eastAsia" w:ascii="宋体" w:hAnsi="宋体"/>
          <w:sz w:val="28"/>
          <w:szCs w:val="28"/>
        </w:rPr>
        <w:t>每天上下午巡查校园各一次，做好记录，自己能解决的维修工作应自行解决；需要请人来维修的，必须书面向后勤主任汇报，并配合外请人员的维修工作，接待外请维修人员，检查验收维修好的设备，向后勤主任汇报维修结果。</w:t>
      </w:r>
    </w:p>
    <w:p>
      <w:pPr>
        <w:numPr>
          <w:ilvl w:val="0"/>
          <w:numId w:val="41"/>
        </w:numPr>
        <w:ind w:left="0" w:leftChars="0" w:firstLine="420" w:firstLineChars="0"/>
        <w:rPr>
          <w:rFonts w:ascii="宋体" w:hAnsi="宋体"/>
          <w:sz w:val="28"/>
          <w:szCs w:val="28"/>
        </w:rPr>
      </w:pPr>
      <w:r>
        <w:rPr>
          <w:rFonts w:hint="eastAsia" w:ascii="宋体" w:hAnsi="宋体"/>
          <w:sz w:val="28"/>
          <w:szCs w:val="28"/>
        </w:rPr>
        <w:t>对师生报修的有关装置、设备等，必须在接报修后当天到达现场处理。重大紧急情况发生时，不管是上班还是休息时间，必需立刻到达现场处理。对当时不能维修的问题要书面填写缺少的工具、材料和困难等原因，并向报修者反馈。</w:t>
      </w:r>
    </w:p>
    <w:p>
      <w:pPr>
        <w:numPr>
          <w:ilvl w:val="0"/>
          <w:numId w:val="41"/>
        </w:numPr>
        <w:ind w:left="0" w:leftChars="0" w:firstLine="420" w:firstLineChars="0"/>
        <w:rPr>
          <w:rFonts w:ascii="宋体" w:hAnsi="宋体"/>
          <w:sz w:val="28"/>
          <w:szCs w:val="28"/>
        </w:rPr>
      </w:pPr>
      <w:r>
        <w:rPr>
          <w:rFonts w:hint="eastAsia" w:ascii="宋体" w:hAnsi="宋体"/>
          <w:sz w:val="28"/>
          <w:szCs w:val="28"/>
        </w:rPr>
        <w:t>每学期开学前应对采购人水电消防设施设备、门窗、课桌椅等各种物品进行检查，发现缺损及时修理配置好，做好开学工作。平时做到勤检查、勤修理、文明修理，工完料清，不留隐患。</w:t>
      </w:r>
    </w:p>
    <w:p>
      <w:pPr>
        <w:numPr>
          <w:ilvl w:val="0"/>
          <w:numId w:val="41"/>
        </w:numPr>
        <w:ind w:left="0" w:leftChars="0" w:firstLine="420" w:firstLineChars="0"/>
        <w:rPr>
          <w:rFonts w:ascii="宋体" w:hAnsi="宋体"/>
          <w:sz w:val="28"/>
          <w:szCs w:val="28"/>
        </w:rPr>
      </w:pPr>
      <w:r>
        <w:rPr>
          <w:rFonts w:hint="eastAsia" w:ascii="宋体" w:hAnsi="宋体"/>
          <w:sz w:val="28"/>
          <w:szCs w:val="28"/>
        </w:rPr>
        <w:t>根据季节变化，提前作好空调、风扇的维护保养工作。做好维修材料储备，发觉缺料及时通知保管室备齐。按质、按时、按量完成采购人交办的其它临时任务。</w:t>
      </w:r>
    </w:p>
    <w:p>
      <w:pPr>
        <w:numPr>
          <w:ilvl w:val="255"/>
          <w:numId w:val="0"/>
        </w:numPr>
        <w:ind w:firstLine="562" w:firstLineChars="200"/>
        <w:rPr>
          <w:rFonts w:ascii="宋体" w:hAnsi="宋体"/>
          <w:sz w:val="28"/>
          <w:szCs w:val="28"/>
        </w:rPr>
      </w:pPr>
      <w:r>
        <w:rPr>
          <w:rFonts w:hint="eastAsia" w:ascii="宋体" w:hAnsi="宋体"/>
          <w:b/>
          <w:bCs/>
          <w:sz w:val="28"/>
          <w:szCs w:val="28"/>
        </w:rPr>
        <w:t>五、绿化养护要求</w:t>
      </w:r>
    </w:p>
    <w:p>
      <w:pPr>
        <w:numPr>
          <w:ilvl w:val="0"/>
          <w:numId w:val="42"/>
        </w:numPr>
        <w:ind w:left="0" w:leftChars="0" w:firstLine="420" w:firstLineChars="0"/>
        <w:rPr>
          <w:rFonts w:ascii="宋体" w:hAnsi="宋体"/>
          <w:sz w:val="28"/>
          <w:szCs w:val="28"/>
        </w:rPr>
      </w:pPr>
      <w:r>
        <w:rPr>
          <w:rFonts w:hint="eastAsia" w:ascii="宋体" w:hAnsi="宋体"/>
          <w:sz w:val="28"/>
          <w:szCs w:val="28"/>
        </w:rPr>
        <w:t>负责校园绿化区的日常绿化维护，适时对花木、草坪进行修剪、施肥、防治病虫害、养护和浇水，清除绿化区杂草。</w:t>
      </w:r>
    </w:p>
    <w:p>
      <w:pPr>
        <w:numPr>
          <w:ilvl w:val="0"/>
          <w:numId w:val="42"/>
        </w:numPr>
        <w:ind w:left="0" w:leftChars="0" w:firstLine="420" w:firstLineChars="0"/>
        <w:rPr>
          <w:rFonts w:ascii="宋体" w:hAnsi="宋体"/>
          <w:sz w:val="28"/>
          <w:szCs w:val="28"/>
        </w:rPr>
      </w:pPr>
      <w:r>
        <w:rPr>
          <w:rFonts w:hint="eastAsia" w:ascii="宋体" w:hAnsi="宋体"/>
          <w:sz w:val="28"/>
          <w:szCs w:val="28"/>
        </w:rPr>
        <w:t>在维护原有绿化的基础上，对采购人提供的绿化租赁花卉进行摆放及维护，适时种植培育新的花草等。</w:t>
      </w:r>
    </w:p>
    <w:p>
      <w:pPr>
        <w:numPr>
          <w:ilvl w:val="255"/>
          <w:numId w:val="0"/>
        </w:numPr>
        <w:ind w:firstLine="562" w:firstLineChars="200"/>
        <w:rPr>
          <w:rFonts w:ascii="宋体" w:hAnsi="宋体"/>
          <w:sz w:val="28"/>
          <w:szCs w:val="28"/>
        </w:rPr>
      </w:pPr>
      <w:r>
        <w:rPr>
          <w:rFonts w:hint="eastAsia" w:ascii="宋体" w:hAnsi="宋体"/>
          <w:b/>
          <w:bCs/>
          <w:sz w:val="28"/>
          <w:szCs w:val="28"/>
        </w:rPr>
        <w:t>六、文印服务要求</w:t>
      </w:r>
    </w:p>
    <w:p>
      <w:pPr>
        <w:ind w:firstLine="420"/>
        <w:rPr>
          <w:rFonts w:ascii="宋体" w:hAnsi="宋体"/>
          <w:sz w:val="28"/>
          <w:szCs w:val="28"/>
        </w:rPr>
      </w:pPr>
      <w:r>
        <w:rPr>
          <w:rFonts w:hint="eastAsia" w:ascii="宋体" w:hAnsi="宋体"/>
          <w:sz w:val="28"/>
          <w:szCs w:val="28"/>
        </w:rPr>
        <w:t>文印员负责采购人所有的资料复印、打印工作，负责文印室复印机、速印机的维护和保管，完成领导交办的其它工作。</w:t>
      </w:r>
    </w:p>
    <w:p>
      <w:pPr>
        <w:numPr>
          <w:ilvl w:val="255"/>
          <w:numId w:val="0"/>
        </w:numPr>
        <w:ind w:firstLine="562" w:firstLineChars="200"/>
        <w:rPr>
          <w:rFonts w:ascii="宋体" w:hAnsi="宋体"/>
          <w:b/>
          <w:bCs/>
          <w:sz w:val="28"/>
          <w:szCs w:val="28"/>
        </w:rPr>
      </w:pPr>
      <w:r>
        <w:rPr>
          <w:rFonts w:hint="eastAsia" w:ascii="宋体" w:hAnsi="宋体"/>
          <w:b/>
          <w:bCs/>
          <w:sz w:val="28"/>
          <w:szCs w:val="28"/>
        </w:rPr>
        <w:t>七、体育管理服务要求</w:t>
      </w:r>
    </w:p>
    <w:p>
      <w:pPr>
        <w:numPr>
          <w:ilvl w:val="0"/>
          <w:numId w:val="43"/>
        </w:numPr>
        <w:ind w:left="0" w:leftChars="0" w:firstLine="420" w:firstLineChars="0"/>
        <w:rPr>
          <w:rFonts w:ascii="宋体" w:hAnsi="宋体"/>
          <w:sz w:val="28"/>
          <w:szCs w:val="28"/>
        </w:rPr>
      </w:pPr>
      <w:r>
        <w:rPr>
          <w:rFonts w:hint="eastAsia" w:ascii="宋体" w:hAnsi="宋体"/>
          <w:sz w:val="28"/>
          <w:szCs w:val="28"/>
        </w:rPr>
        <w:t>负责制定适合委托方体育器材管理的工作标准及管理条例；</w:t>
      </w:r>
    </w:p>
    <w:p>
      <w:pPr>
        <w:numPr>
          <w:ilvl w:val="0"/>
          <w:numId w:val="43"/>
        </w:numPr>
        <w:ind w:left="0" w:leftChars="0" w:firstLine="420" w:firstLineChars="0"/>
        <w:rPr>
          <w:rFonts w:ascii="宋体" w:hAnsi="宋体"/>
          <w:sz w:val="28"/>
          <w:szCs w:val="28"/>
        </w:rPr>
      </w:pPr>
      <w:r>
        <w:rPr>
          <w:rFonts w:hint="eastAsia" w:ascii="宋体" w:hAnsi="宋体"/>
          <w:sz w:val="28"/>
          <w:szCs w:val="28"/>
        </w:rPr>
        <w:t>负责建立体育器材保管、收发、赔偿等相关制度并按制度严格执行；</w:t>
      </w:r>
    </w:p>
    <w:p>
      <w:pPr>
        <w:numPr>
          <w:ilvl w:val="0"/>
          <w:numId w:val="43"/>
        </w:numPr>
        <w:ind w:left="0" w:leftChars="0" w:firstLine="420" w:firstLineChars="0"/>
        <w:rPr>
          <w:rFonts w:ascii="宋体" w:hAnsi="宋体"/>
          <w:sz w:val="28"/>
          <w:szCs w:val="28"/>
        </w:rPr>
      </w:pPr>
      <w:r>
        <w:rPr>
          <w:rFonts w:hint="eastAsia" w:ascii="宋体" w:hAnsi="宋体"/>
          <w:sz w:val="28"/>
          <w:szCs w:val="28"/>
        </w:rPr>
        <w:t>负责建立体育器材台账，定期梳理，及时向采购人相关部门提出体育器材采购计划，达到“满足、高效、节约”的目的。</w:t>
      </w:r>
    </w:p>
    <w:p>
      <w:pPr>
        <w:pStyle w:val="19"/>
        <w:ind w:firstLine="562" w:firstLineChars="200"/>
        <w:rPr>
          <w:rFonts w:ascii="宋体" w:hAnsi="宋体"/>
          <w:b/>
          <w:bCs/>
          <w:sz w:val="28"/>
          <w:szCs w:val="28"/>
        </w:rPr>
      </w:pPr>
      <w:r>
        <w:rPr>
          <w:rFonts w:hint="eastAsia" w:ascii="宋体" w:hAnsi="宋体"/>
          <w:b/>
          <w:bCs/>
          <w:sz w:val="28"/>
          <w:szCs w:val="28"/>
        </w:rPr>
        <w:t>八、应急事件处置</w:t>
      </w:r>
    </w:p>
    <w:p>
      <w:pPr>
        <w:pStyle w:val="19"/>
        <w:ind w:firstLine="560" w:firstLineChars="200"/>
        <w:rPr>
          <w:rFonts w:ascii="宋体" w:hAnsi="宋体"/>
          <w:sz w:val="28"/>
          <w:szCs w:val="28"/>
        </w:rPr>
      </w:pPr>
      <w:r>
        <w:rPr>
          <w:rFonts w:hint="eastAsia" w:ascii="宋体" w:hAnsi="宋体"/>
          <w:sz w:val="28"/>
          <w:szCs w:val="28"/>
        </w:rPr>
        <w:t>根据项目实际情况，建立应急处置方案，及时处理突发事件。</w:t>
      </w:r>
    </w:p>
    <w:p>
      <w:pPr>
        <w:pStyle w:val="6"/>
        <w:numPr>
          <w:ilvl w:val="2"/>
          <w:numId w:val="4"/>
        </w:numPr>
        <w:spacing w:after="200" w:line="520" w:lineRule="exact"/>
        <w:ind w:left="8" w:hanging="8"/>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项目服务人员配置</w:t>
      </w:r>
    </w:p>
    <w:p>
      <w:pPr>
        <w:pStyle w:val="41"/>
        <w:widowControl w:val="0"/>
        <w:spacing w:before="0" w:after="0" w:afterAutospacing="0" w:line="360" w:lineRule="auto"/>
        <w:ind w:firstLine="312"/>
        <w:jc w:val="both"/>
        <w:rPr>
          <w:rFonts w:cs="宋体"/>
          <w:color w:val="auto"/>
          <w:kern w:val="2"/>
          <w:sz w:val="28"/>
          <w:szCs w:val="28"/>
        </w:rPr>
      </w:pPr>
      <w:r>
        <w:rPr>
          <w:rFonts w:hint="eastAsia" w:cs="宋体"/>
          <w:color w:val="auto"/>
          <w:kern w:val="2"/>
          <w:sz w:val="28"/>
          <w:szCs w:val="28"/>
          <w:lang w:bidi="ar"/>
        </w:rPr>
        <w:t>一、人员配置要求</w:t>
      </w:r>
    </w:p>
    <w:p>
      <w:pPr>
        <w:pStyle w:val="41"/>
        <w:widowControl w:val="0"/>
        <w:numPr>
          <w:ilvl w:val="0"/>
          <w:numId w:val="44"/>
        </w:numPr>
        <w:spacing w:before="0" w:after="0" w:afterAutospacing="0" w:line="360" w:lineRule="auto"/>
        <w:jc w:val="both"/>
        <w:rPr>
          <w:rFonts w:cs="宋体"/>
          <w:color w:val="auto"/>
          <w:kern w:val="2"/>
          <w:sz w:val="28"/>
          <w:szCs w:val="28"/>
        </w:rPr>
      </w:pPr>
      <w:r>
        <w:rPr>
          <w:rFonts w:hint="eastAsia" w:cs="宋体"/>
          <w:color w:val="auto"/>
          <w:kern w:val="2"/>
          <w:sz w:val="28"/>
          <w:szCs w:val="28"/>
          <w:lang w:bidi="ar"/>
        </w:rPr>
        <w:t>★投标人应当与本项目配置的员工建立合法劳动用工关系，并按照国家法律法规全员购置社保。中标人负责支付所派出全部工作人员工资、社保、残疾人基金、工会基金、住房公积金等费用及各项补助、节日福利等，人员工资标准不得低于本地的最低工资标准，采购人对此不承担任何的法律责任和义务，不得以人工工资价格上涨要求相关补助，采购人不额外向个人支付费用（应采购人实际工作需要，供应商要求提供的特约有偿服务或派员参加重大活动协助的除外）（</w:t>
      </w:r>
      <w:r>
        <w:rPr>
          <w:rFonts w:hint="eastAsia" w:cs="宋体"/>
          <w:b/>
          <w:color w:val="auto"/>
          <w:kern w:val="2"/>
          <w:sz w:val="28"/>
          <w:szCs w:val="28"/>
          <w:lang w:bidi="ar"/>
        </w:rPr>
        <w:t>注：按第3章3.3.5提供书面承诺函</w:t>
      </w:r>
      <w:r>
        <w:rPr>
          <w:rFonts w:hint="eastAsia" w:cs="宋体"/>
          <w:color w:val="auto"/>
          <w:kern w:val="2"/>
          <w:sz w:val="28"/>
          <w:szCs w:val="28"/>
          <w:lang w:bidi="ar"/>
        </w:rPr>
        <w:t>）。</w:t>
      </w:r>
    </w:p>
    <w:p>
      <w:pPr>
        <w:pStyle w:val="41"/>
        <w:widowControl w:val="0"/>
        <w:numPr>
          <w:ilvl w:val="0"/>
          <w:numId w:val="44"/>
        </w:numPr>
        <w:spacing w:before="0" w:after="0" w:afterAutospacing="0" w:line="360" w:lineRule="auto"/>
        <w:jc w:val="both"/>
        <w:rPr>
          <w:rFonts w:cs="宋体"/>
          <w:bCs/>
          <w:color w:val="auto"/>
          <w:kern w:val="2"/>
          <w:sz w:val="28"/>
          <w:szCs w:val="28"/>
          <w:lang w:bidi="ar"/>
        </w:rPr>
      </w:pPr>
      <w:r>
        <w:rPr>
          <w:rFonts w:hint="eastAsia" w:cs="宋体"/>
          <w:bCs/>
          <w:color w:val="auto"/>
          <w:kern w:val="2"/>
          <w:sz w:val="28"/>
          <w:szCs w:val="28"/>
          <w:lang w:bidi="ar"/>
        </w:rPr>
        <w:t>★采购人不向供应商提供员工住宿（因工作需要采购人向供应商提供必要备勤室除外），供应商的现场服务人员的工作用餐可以在采购人的食堂用餐，但必须遵守采购人的就餐时间安排，行课期间，采购人提供员工本人的工作餐。餐费由投标人按照采购人规定收费结算。供应商应确保现场服务的延续性，采购人出于现场服务延续性考虑需要留用的现场服务人员，供应商应当接收并承认员工的工龄。</w:t>
      </w:r>
      <w:r>
        <w:rPr>
          <w:rFonts w:hint="eastAsia" w:cs="宋体"/>
          <w:b/>
          <w:color w:val="auto"/>
          <w:kern w:val="2"/>
          <w:sz w:val="28"/>
          <w:szCs w:val="28"/>
          <w:lang w:bidi="ar"/>
        </w:rPr>
        <w:t>（注：按第3章3.3.5提供书面承诺函）</w:t>
      </w:r>
    </w:p>
    <w:p>
      <w:pPr>
        <w:pStyle w:val="41"/>
        <w:widowControl w:val="0"/>
        <w:numPr>
          <w:ilvl w:val="0"/>
          <w:numId w:val="44"/>
        </w:numPr>
        <w:spacing w:before="0" w:after="0" w:afterAutospacing="0" w:line="360" w:lineRule="auto"/>
        <w:jc w:val="both"/>
        <w:rPr>
          <w:rFonts w:cs="宋体"/>
          <w:color w:val="auto"/>
          <w:kern w:val="2"/>
          <w:sz w:val="28"/>
          <w:szCs w:val="28"/>
        </w:rPr>
      </w:pPr>
      <w:r>
        <w:rPr>
          <w:rFonts w:hint="eastAsia" w:cs="宋体"/>
          <w:bCs/>
          <w:color w:val="auto"/>
          <w:kern w:val="2"/>
          <w:sz w:val="28"/>
          <w:szCs w:val="28"/>
          <w:lang w:bidi="ar"/>
        </w:rPr>
        <w:t>★</w:t>
      </w:r>
      <w:r>
        <w:rPr>
          <w:rFonts w:hint="eastAsia" w:cs="宋体"/>
          <w:color w:val="auto"/>
          <w:kern w:val="2"/>
          <w:sz w:val="28"/>
          <w:szCs w:val="28"/>
          <w:lang w:bidi="ar"/>
        </w:rPr>
        <w:t>本项目物业服务人员最低配置人数要求（</w:t>
      </w:r>
      <w:r>
        <w:rPr>
          <w:rFonts w:hint="eastAsia" w:cs="宋体"/>
          <w:b/>
          <w:color w:val="auto"/>
          <w:kern w:val="2"/>
          <w:sz w:val="28"/>
          <w:szCs w:val="28"/>
          <w:lang w:bidi="ar"/>
        </w:rPr>
        <w:t>注：按第3章3.3.5提供书面承诺函</w:t>
      </w:r>
      <w:r>
        <w:rPr>
          <w:rFonts w:hint="eastAsia" w:cs="宋体"/>
          <w:color w:val="auto"/>
          <w:kern w:val="2"/>
          <w:sz w:val="28"/>
          <w:szCs w:val="28"/>
          <w:lang w:bidi="ar"/>
        </w:rPr>
        <w:t>）：</w:t>
      </w:r>
    </w:p>
    <w:p>
      <w:pPr>
        <w:ind w:firstLine="420"/>
        <w:rPr>
          <w:rFonts w:ascii="宋体" w:hAnsi="宋体"/>
          <w:sz w:val="28"/>
          <w:szCs w:val="28"/>
        </w:rPr>
      </w:pPr>
      <w:r>
        <w:rPr>
          <w:rFonts w:hint="eastAsia" w:ascii="宋体" w:hAnsi="宋体"/>
          <w:sz w:val="28"/>
          <w:szCs w:val="28"/>
        </w:rPr>
        <w:t>采购人的物业服务人员应按照最低48人配置，具体配置标准：</w:t>
      </w:r>
    </w:p>
    <w:p>
      <w:pPr>
        <w:numPr>
          <w:ilvl w:val="0"/>
          <w:numId w:val="45"/>
        </w:numPr>
        <w:rPr>
          <w:rFonts w:ascii="宋体" w:hAnsi="宋体"/>
          <w:sz w:val="28"/>
          <w:szCs w:val="28"/>
        </w:rPr>
      </w:pPr>
      <w:r>
        <w:rPr>
          <w:rFonts w:hint="eastAsia" w:ascii="宋体" w:hAnsi="宋体"/>
          <w:sz w:val="28"/>
          <w:szCs w:val="28"/>
        </w:rPr>
        <w:t>项目经理1人（具有三年以上物业管理经验，由投标人推荐采购人审定）。</w:t>
      </w:r>
    </w:p>
    <w:p>
      <w:pPr>
        <w:numPr>
          <w:ilvl w:val="0"/>
          <w:numId w:val="45"/>
        </w:numPr>
        <w:rPr>
          <w:rFonts w:ascii="宋体" w:hAnsi="宋体"/>
          <w:sz w:val="28"/>
          <w:szCs w:val="28"/>
        </w:rPr>
      </w:pPr>
      <w:r>
        <w:rPr>
          <w:rFonts w:hint="eastAsia" w:ascii="宋体" w:hAnsi="宋体"/>
          <w:sz w:val="28"/>
          <w:szCs w:val="28"/>
        </w:rPr>
        <w:t>保安：18人（身高170cm以上，50岁以内，身体健康，形象较好，无不良记录，初中及以上学历）。</w:t>
      </w:r>
    </w:p>
    <w:p>
      <w:pPr>
        <w:numPr>
          <w:ilvl w:val="0"/>
          <w:numId w:val="45"/>
        </w:numPr>
        <w:rPr>
          <w:rFonts w:ascii="宋体" w:hAnsi="宋体"/>
          <w:sz w:val="28"/>
          <w:szCs w:val="28"/>
        </w:rPr>
      </w:pPr>
      <w:r>
        <w:rPr>
          <w:rFonts w:hint="eastAsia" w:ascii="宋体" w:hAnsi="宋体"/>
          <w:sz w:val="28"/>
          <w:szCs w:val="28"/>
        </w:rPr>
        <w:t>保洁员20人（50岁以内，身体健康）。</w:t>
      </w:r>
    </w:p>
    <w:p>
      <w:pPr>
        <w:numPr>
          <w:ilvl w:val="0"/>
          <w:numId w:val="45"/>
        </w:numPr>
        <w:rPr>
          <w:rFonts w:ascii="宋体" w:hAnsi="宋体"/>
          <w:sz w:val="28"/>
          <w:szCs w:val="28"/>
        </w:rPr>
      </w:pPr>
      <w:r>
        <w:rPr>
          <w:rFonts w:hint="eastAsia" w:ascii="宋体" w:hAnsi="宋体"/>
          <w:sz w:val="28"/>
          <w:szCs w:val="28"/>
        </w:rPr>
        <w:t>水电人员2人（从事本岗位工作3年以上，55岁以内。熟悉采购人日常维修工作，协助采购人施工整改监督。）</w:t>
      </w:r>
    </w:p>
    <w:p>
      <w:pPr>
        <w:numPr>
          <w:ilvl w:val="0"/>
          <w:numId w:val="45"/>
        </w:numPr>
        <w:rPr>
          <w:rFonts w:ascii="宋体" w:hAnsi="宋体"/>
          <w:sz w:val="28"/>
          <w:szCs w:val="28"/>
        </w:rPr>
      </w:pPr>
      <w:r>
        <w:rPr>
          <w:rFonts w:hint="eastAsia" w:ascii="宋体" w:hAnsi="宋体"/>
          <w:sz w:val="28"/>
          <w:szCs w:val="28"/>
        </w:rPr>
        <w:t>绿化工3人（50岁以内，具备相关从业经验。）</w:t>
      </w:r>
    </w:p>
    <w:p>
      <w:pPr>
        <w:numPr>
          <w:ilvl w:val="0"/>
          <w:numId w:val="45"/>
        </w:numPr>
        <w:rPr>
          <w:rFonts w:ascii="宋体" w:hAnsi="宋体"/>
          <w:sz w:val="28"/>
          <w:szCs w:val="28"/>
        </w:rPr>
      </w:pPr>
      <w:r>
        <w:rPr>
          <w:rFonts w:hint="eastAsia" w:ascii="宋体" w:hAnsi="宋体"/>
          <w:sz w:val="28"/>
          <w:szCs w:val="28"/>
        </w:rPr>
        <w:t>文印2人（年龄45岁以内，身高160cm，形象气质佳，需要采购人面试后，方可上岗。）</w:t>
      </w:r>
    </w:p>
    <w:p>
      <w:pPr>
        <w:numPr>
          <w:ilvl w:val="0"/>
          <w:numId w:val="45"/>
        </w:numPr>
        <w:rPr>
          <w:rFonts w:ascii="宋体" w:hAnsi="宋体"/>
          <w:color w:val="000000" w:themeColor="text1"/>
          <w:sz w:val="24"/>
          <w14:textFill>
            <w14:solidFill>
              <w14:schemeClr w14:val="tx1"/>
            </w14:solidFill>
          </w14:textFill>
        </w:rPr>
      </w:pPr>
      <w:r>
        <w:rPr>
          <w:rFonts w:hint="eastAsia" w:ascii="宋体" w:hAnsi="宋体"/>
          <w:sz w:val="28"/>
          <w:szCs w:val="28"/>
        </w:rPr>
        <w:t>体育管理2人（要求男女不限，年龄45岁以内，身体健康。）</w:t>
      </w:r>
    </w:p>
    <w:p/>
    <w:p>
      <w:pPr>
        <w:pStyle w:val="5"/>
        <w:numPr>
          <w:ilvl w:val="1"/>
          <w:numId w:val="4"/>
        </w:numPr>
        <w:tabs>
          <w:tab w:val="left" w:pos="0"/>
          <w:tab w:val="left" w:pos="426"/>
          <w:tab w:val="left" w:pos="576"/>
          <w:tab w:val="left" w:pos="786"/>
        </w:tabs>
        <w:spacing w:before="0" w:after="0" w:line="560" w:lineRule="exact"/>
        <w:ind w:left="0" w:firstLine="0"/>
        <w:jc w:val="both"/>
        <w:rPr>
          <w:color w:val="000000" w:themeColor="text1"/>
          <w14:textFill>
            <w14:solidFill>
              <w14:schemeClr w14:val="tx1"/>
            </w14:solidFill>
          </w14:textFill>
        </w:rPr>
      </w:pPr>
      <w:bookmarkStart w:id="263" w:name="_Toc5730"/>
      <w:r>
        <w:rPr>
          <w:rFonts w:hint="eastAsia"/>
          <w:lang w:bidi="ar"/>
        </w:rPr>
        <w:t>★</w:t>
      </w:r>
      <w:r>
        <w:rPr>
          <w:rFonts w:hint="eastAsia"/>
          <w:color w:val="000000" w:themeColor="text1"/>
          <w14:textFill>
            <w14:solidFill>
              <w14:schemeClr w14:val="tx1"/>
            </w14:solidFill>
          </w14:textFill>
        </w:rPr>
        <w:t>商务要求</w:t>
      </w:r>
      <w:bookmarkEnd w:id="254"/>
      <w:bookmarkEnd w:id="255"/>
      <w:bookmarkEnd w:id="256"/>
      <w:bookmarkEnd w:id="257"/>
      <w:bookmarkEnd w:id="258"/>
      <w:bookmarkEnd w:id="259"/>
      <w:bookmarkEnd w:id="260"/>
      <w:bookmarkEnd w:id="261"/>
      <w:bookmarkEnd w:id="262"/>
      <w:bookmarkEnd w:id="263"/>
      <w:r>
        <w:rPr>
          <w:rFonts w:hint="eastAsia"/>
          <w:lang w:bidi="ar"/>
        </w:rPr>
        <w:t>（注：按第3章3.3.5提供书面承诺函）</w:t>
      </w:r>
    </w:p>
    <w:p>
      <w:pPr>
        <w:keepNext/>
        <w:keepLines/>
        <w:numPr>
          <w:ilvl w:val="2"/>
          <w:numId w:val="46"/>
        </w:numPr>
        <w:spacing w:line="360" w:lineRule="auto"/>
        <w:ind w:left="569" w:hanging="569"/>
        <w:outlineLvl w:val="2"/>
        <w:rPr>
          <w:rFonts w:ascii="宋体" w:hAnsi="宋体"/>
          <w:b/>
          <w:bCs/>
          <w:sz w:val="28"/>
          <w:szCs w:val="28"/>
        </w:rPr>
      </w:pPr>
      <w:r>
        <w:rPr>
          <w:rFonts w:hint="eastAsia" w:ascii="宋体" w:hAnsi="宋体"/>
          <w:b/>
          <w:bCs/>
          <w:sz w:val="28"/>
          <w:szCs w:val="28"/>
        </w:rPr>
        <w:t>服务地点</w:t>
      </w:r>
    </w:p>
    <w:p>
      <w:pPr>
        <w:ind w:firstLine="565" w:firstLineChars="202"/>
        <w:rPr>
          <w:sz w:val="28"/>
        </w:rPr>
      </w:pPr>
      <w:r>
        <w:rPr>
          <w:rFonts w:hint="eastAsia" w:ascii="宋体" w:hAnsi="宋体"/>
          <w:color w:val="000000" w:themeColor="text1"/>
          <w:sz w:val="28"/>
          <w:szCs w:val="28"/>
          <w14:textFill>
            <w14:solidFill>
              <w14:schemeClr w14:val="tx1"/>
            </w14:solidFill>
          </w14:textFill>
        </w:rPr>
        <w:t>成都市教育科学研究院附属学校（成都市天府实验学校）；</w:t>
      </w:r>
    </w:p>
    <w:p>
      <w:pPr>
        <w:keepNext/>
        <w:keepLines/>
        <w:numPr>
          <w:ilvl w:val="2"/>
          <w:numId w:val="46"/>
        </w:numPr>
        <w:spacing w:line="360" w:lineRule="auto"/>
        <w:ind w:left="569" w:hanging="569"/>
        <w:outlineLvl w:val="2"/>
        <w:rPr>
          <w:rFonts w:ascii="宋体" w:hAnsi="宋体"/>
          <w:b/>
          <w:bCs/>
          <w:sz w:val="28"/>
          <w:szCs w:val="28"/>
        </w:rPr>
      </w:pPr>
      <w:r>
        <w:rPr>
          <w:rFonts w:hint="eastAsia" w:ascii="宋体" w:hAnsi="宋体"/>
          <w:b/>
          <w:bCs/>
          <w:sz w:val="28"/>
          <w:szCs w:val="28"/>
        </w:rPr>
        <w:t>服务期限</w:t>
      </w:r>
    </w:p>
    <w:p>
      <w:pPr>
        <w:spacing w:line="360" w:lineRule="auto"/>
        <w:ind w:firstLine="560" w:firstLineChars="200"/>
        <w:rPr>
          <w:sz w:val="28"/>
        </w:rPr>
      </w:pPr>
      <w:r>
        <w:rPr>
          <w:rFonts w:hint="eastAsia" w:ascii="宋体" w:hAnsi="宋体"/>
          <w:color w:val="000000" w:themeColor="text1"/>
          <w:sz w:val="28"/>
          <w:szCs w:val="28"/>
          <w14:textFill>
            <w14:solidFill>
              <w14:schemeClr w14:val="tx1"/>
            </w14:solidFill>
          </w14:textFill>
        </w:rPr>
        <w:t>本项目服务期限三年，合同一年一签。采购人每月对中标人工作进行考核，如达不到要求则采购人有权适当扣减费用，一年合同到期后，经采购人考评合格后，中标人与采购人续签一年合同，最多续签到第三年。合同续签时，根据采购人实际需求，并遵照相关规定执行。</w:t>
      </w:r>
    </w:p>
    <w:p>
      <w:pPr>
        <w:keepNext/>
        <w:keepLines/>
        <w:numPr>
          <w:ilvl w:val="2"/>
          <w:numId w:val="46"/>
        </w:numPr>
        <w:spacing w:line="360" w:lineRule="auto"/>
        <w:ind w:left="569" w:hanging="569"/>
        <w:outlineLvl w:val="2"/>
        <w:rPr>
          <w:rFonts w:ascii="宋体" w:hAnsi="宋体"/>
          <w:b/>
          <w:bCs/>
          <w:sz w:val="28"/>
          <w:szCs w:val="28"/>
        </w:rPr>
      </w:pPr>
      <w:r>
        <w:rPr>
          <w:rFonts w:hint="eastAsia" w:ascii="宋体" w:hAnsi="宋体"/>
          <w:b/>
          <w:bCs/>
          <w:sz w:val="28"/>
          <w:szCs w:val="28"/>
        </w:rPr>
        <w:t>付款方式</w:t>
      </w:r>
    </w:p>
    <w:p>
      <w:pPr>
        <w:numPr>
          <w:ilvl w:val="255"/>
          <w:numId w:val="0"/>
        </w:num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按月支付，当月未出现过任何事故及投诉，按物业工作考评结果支付当月服务费。经考核合格后，每月10日前以支票方式全额支付上月物业服务费；考核等级为基本合格的，支付上月服务费的90%；考核等级为不合格的，支付上月物业服务费80%。考核等级为不合格的，采购人有权要求其进行整改至合格为止，整改多次不合格的，采购人有权按相关规定中止合同。</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2.中标人须向采购人出具合法有效完整的增值税发票及凭证资料后进行支付结算，付款方式均采用公对公的银行转账，中标人接受转账的开户信息以采购合同载明的为准。</w:t>
      </w:r>
    </w:p>
    <w:p>
      <w:pPr>
        <w:keepNext/>
        <w:keepLines/>
        <w:numPr>
          <w:ilvl w:val="2"/>
          <w:numId w:val="46"/>
        </w:numPr>
        <w:spacing w:line="360" w:lineRule="auto"/>
        <w:ind w:left="569" w:hanging="569"/>
        <w:outlineLvl w:val="2"/>
        <w:rPr>
          <w:rFonts w:ascii="宋体" w:hAnsi="宋体"/>
          <w:b/>
          <w:bCs/>
          <w:sz w:val="28"/>
          <w:szCs w:val="28"/>
        </w:rPr>
      </w:pPr>
      <w:r>
        <w:rPr>
          <w:rFonts w:hint="eastAsia" w:ascii="宋体" w:hAnsi="宋体"/>
          <w:b/>
          <w:bCs/>
          <w:sz w:val="28"/>
          <w:szCs w:val="28"/>
        </w:rPr>
        <w:t>考核标准和方法</w:t>
      </w:r>
    </w:p>
    <w:p>
      <w:pPr>
        <w:pStyle w:val="157"/>
        <w:spacing w:line="360" w:lineRule="auto"/>
        <w:ind w:left="567" w:firstLine="0" w:firstLineChars="0"/>
        <w:rPr>
          <w:sz w:val="28"/>
        </w:rPr>
      </w:pPr>
      <w:r>
        <w:rPr>
          <w:rFonts w:hint="eastAsia"/>
          <w:sz w:val="28"/>
        </w:rPr>
        <w:t>详见附件。</w:t>
      </w:r>
    </w:p>
    <w:p>
      <w:pPr>
        <w:keepNext/>
        <w:keepLines/>
        <w:numPr>
          <w:ilvl w:val="2"/>
          <w:numId w:val="46"/>
        </w:numPr>
        <w:spacing w:line="360" w:lineRule="auto"/>
        <w:ind w:left="569" w:hanging="569"/>
        <w:outlineLvl w:val="2"/>
        <w:rPr>
          <w:rFonts w:ascii="宋体" w:hAnsi="宋体"/>
          <w:b/>
          <w:bCs/>
          <w:sz w:val="28"/>
          <w:szCs w:val="28"/>
        </w:rPr>
      </w:pPr>
      <w:r>
        <w:rPr>
          <w:rFonts w:hint="eastAsia" w:ascii="宋体" w:hAnsi="宋体"/>
          <w:b/>
          <w:bCs/>
          <w:sz w:val="28"/>
          <w:szCs w:val="28"/>
        </w:rPr>
        <w:t>违约责任</w:t>
      </w:r>
    </w:p>
    <w:p>
      <w:pPr>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一、采购人违约责任</w:t>
      </w:r>
    </w:p>
    <w:p>
      <w:pPr>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（一）因采购人原因逾期支付合同款的，除应及时付合同款外，应向投标人支付欠款总额万分之一/天的违约金；逾期付款超过30天的，投标人有权终止合同；</w:t>
      </w:r>
    </w:p>
    <w:p>
      <w:pPr>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（二）采购人支付的违约金不足以弥补投标人损失的，还应按投标人损失尚未弥补的部分，支付赔偿金给投标人。</w:t>
      </w:r>
    </w:p>
    <w:p>
      <w:pPr>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二、供应商违约责任</w:t>
      </w:r>
    </w:p>
    <w:p>
      <w:pPr>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（一）签订合同后供应商不履行合同或不完全履行合同或单方面终止合同的，供应商承担违约责任。</w:t>
      </w:r>
    </w:p>
    <w:p>
      <w:pPr>
        <w:ind w:firstLine="565" w:firstLineChars="202"/>
        <w:rPr>
          <w:sz w:val="28"/>
        </w:rPr>
      </w:pPr>
      <w:r>
        <w:rPr>
          <w:rFonts w:hint="eastAsia" w:ascii="宋体" w:hAnsi="宋体"/>
          <w:color w:val="000000" w:themeColor="text1"/>
          <w:sz w:val="28"/>
          <w:szCs w:val="28"/>
          <w14:textFill>
            <w14:solidFill>
              <w14:schemeClr w14:val="tx1"/>
            </w14:solidFill>
          </w14:textFill>
        </w:rPr>
        <w:t>（二）供应商违约时应承担合同总金额20%违约金。给采购人造成的损失超过违约金的，供应商还应对超过部分予以赔偿，并依法承担相应的法律责任。</w:t>
      </w:r>
    </w:p>
    <w:p>
      <w:pPr>
        <w:keepNext/>
        <w:keepLines/>
        <w:numPr>
          <w:ilvl w:val="2"/>
          <w:numId w:val="46"/>
        </w:numPr>
        <w:spacing w:line="360" w:lineRule="auto"/>
        <w:ind w:left="569" w:hanging="569"/>
        <w:outlineLvl w:val="2"/>
        <w:rPr>
          <w:rFonts w:ascii="宋体" w:hAnsi="宋体"/>
          <w:b/>
          <w:bCs/>
          <w:sz w:val="28"/>
          <w:szCs w:val="28"/>
        </w:rPr>
      </w:pPr>
      <w:r>
        <w:rPr>
          <w:rFonts w:hint="eastAsia" w:ascii="宋体" w:hAnsi="宋体"/>
          <w:b/>
          <w:bCs/>
          <w:sz w:val="28"/>
          <w:szCs w:val="28"/>
        </w:rPr>
        <w:t>履约验收</w:t>
      </w:r>
    </w:p>
    <w:p>
      <w:pPr>
        <w:numPr>
          <w:ilvl w:val="0"/>
          <w:numId w:val="47"/>
        </w:numPr>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服务在中标人通知履约完毕后5日内进行验收，验收合格，双方签署《质量验收合格证明书》；</w:t>
      </w:r>
    </w:p>
    <w:p>
      <w:pPr>
        <w:numPr>
          <w:ilvl w:val="0"/>
          <w:numId w:val="47"/>
        </w:numPr>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验收标准：按国家有关规定以及采购文件的质量要求和技术指标、供应商的响应文件及承诺与本合同约定标准进行验收；采购人与供应商双方如对质量要求和技术指标的约定标准有相互抵触或异议的事项，由采购人在采购文件及响应文件中按质量要求和技术指标比较优胜的原则确定该项的约定标准进行验收；</w:t>
      </w:r>
    </w:p>
    <w:p>
      <w:pPr>
        <w:numPr>
          <w:ilvl w:val="0"/>
          <w:numId w:val="47"/>
        </w:numPr>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采购人无故不进行验收工作并已使用项目履约成果的，视同验收合格；</w:t>
      </w:r>
    </w:p>
    <w:p>
      <w:pPr>
        <w:numPr>
          <w:ilvl w:val="0"/>
          <w:numId w:val="47"/>
        </w:numPr>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其他未尽事宜应按照《财政部关于进一步加强政府采购需求和履约验收管理的指导意见》(财库〔2016〕205号)执行。报价要求</w:t>
      </w:r>
    </w:p>
    <w:p>
      <w:pPr>
        <w:pStyle w:val="5"/>
        <w:numPr>
          <w:ilvl w:val="1"/>
          <w:numId w:val="4"/>
        </w:numPr>
        <w:tabs>
          <w:tab w:val="left" w:pos="0"/>
          <w:tab w:val="left" w:pos="426"/>
          <w:tab w:val="left" w:pos="576"/>
          <w:tab w:val="left" w:pos="786"/>
        </w:tabs>
        <w:spacing w:before="0" w:after="0" w:line="560" w:lineRule="exact"/>
        <w:ind w:left="0" w:firstLine="0"/>
        <w:jc w:val="both"/>
        <w:rPr>
          <w:lang w:bidi="ar"/>
        </w:rPr>
      </w:pPr>
      <w:r>
        <w:rPr>
          <w:rFonts w:hint="eastAsia"/>
          <w:lang w:bidi="ar"/>
        </w:rPr>
        <w:t>最高限价</w:t>
      </w:r>
    </w:p>
    <w:p>
      <w:pPr>
        <w:pStyle w:val="86"/>
        <w:tabs>
          <w:tab w:val="left" w:pos="993"/>
          <w:tab w:val="left" w:pos="1134"/>
        </w:tabs>
        <w:spacing w:line="560" w:lineRule="exact"/>
        <w:ind w:firstLine="565" w:firstLineChars="201"/>
        <w:rPr>
          <w:rFonts w:ascii="宋体" w:hAnsi="宋体" w:eastAsia="宋体"/>
          <w:b/>
          <w:color w:val="000000" w:themeColor="text1"/>
          <w:sz w:val="28"/>
          <w:szCs w:val="28"/>
          <w14:textFill>
            <w14:solidFill>
              <w14:schemeClr w14:val="tx1"/>
            </w14:solidFill>
          </w14:textFill>
        </w:rPr>
      </w:pPr>
      <w:r>
        <w:rPr>
          <w:rFonts w:hint="eastAsia" w:ascii="宋体" w:hAnsi="宋体"/>
          <w:b/>
          <w:sz w:val="28"/>
          <w:szCs w:val="28"/>
          <w:lang w:val="zh-CN"/>
        </w:rPr>
        <w:t>本项目最高限价为人民币</w:t>
      </w:r>
      <w:r>
        <w:rPr>
          <w:rFonts w:hint="eastAsia" w:ascii="宋体" w:hAnsi="宋体"/>
          <w:b/>
          <w:sz w:val="28"/>
          <w:szCs w:val="28"/>
        </w:rPr>
        <w:t>2400000.00元</w:t>
      </w:r>
      <w:r>
        <w:rPr>
          <w:rFonts w:hint="eastAsia" w:ascii="宋体" w:hAnsi="宋体"/>
          <w:b/>
          <w:sz w:val="28"/>
          <w:szCs w:val="28"/>
          <w:lang w:val="zh-CN"/>
        </w:rPr>
        <w:t>，投标人投标报价高于最高限价的其投标文件将按无效投标文件处理。</w:t>
      </w:r>
    </w:p>
    <w:p>
      <w:pPr>
        <w:pStyle w:val="5"/>
        <w:numPr>
          <w:ilvl w:val="1"/>
          <w:numId w:val="4"/>
        </w:numPr>
        <w:tabs>
          <w:tab w:val="left" w:pos="0"/>
          <w:tab w:val="left" w:pos="426"/>
          <w:tab w:val="left" w:pos="576"/>
          <w:tab w:val="left" w:pos="786"/>
        </w:tabs>
        <w:spacing w:before="0" w:after="0" w:line="560" w:lineRule="exact"/>
        <w:ind w:left="0" w:firstLine="0"/>
        <w:jc w:val="both"/>
        <w:rPr>
          <w:lang w:bidi="ar"/>
        </w:rPr>
      </w:pPr>
      <w:r>
        <w:rPr>
          <w:rFonts w:hint="eastAsia"/>
          <w:lang w:bidi="ar"/>
        </w:rPr>
        <w:t>其他要求</w:t>
      </w:r>
    </w:p>
    <w:p>
      <w:pPr>
        <w:numPr>
          <w:ilvl w:val="0"/>
          <w:numId w:val="48"/>
        </w:numPr>
        <w:tabs>
          <w:tab w:val="left" w:pos="1134"/>
        </w:tabs>
        <w:snapToGrid w:val="0"/>
        <w:spacing w:line="360" w:lineRule="auto"/>
        <w:rPr>
          <w:rFonts w:ascii="宋体" w:hAnsi="宋体"/>
          <w:b/>
          <w:sz w:val="28"/>
          <w:szCs w:val="28"/>
          <w:lang w:val="zh-CN"/>
        </w:rPr>
      </w:pPr>
      <w:r>
        <w:rPr>
          <w:rFonts w:hint="eastAsia" w:ascii="宋体" w:hAnsi="宋体"/>
          <w:b/>
          <w:sz w:val="28"/>
          <w:szCs w:val="28"/>
          <w:lang w:val="zh-CN"/>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p>
      <w:pPr>
        <w:pStyle w:val="157"/>
        <w:numPr>
          <w:ilvl w:val="0"/>
          <w:numId w:val="48"/>
        </w:numPr>
        <w:tabs>
          <w:tab w:val="left" w:pos="993"/>
          <w:tab w:val="left" w:pos="1134"/>
        </w:tabs>
        <w:spacing w:before="60" w:line="560" w:lineRule="exact"/>
        <w:ind w:right="210" w:firstLineChars="0"/>
        <w:rPr>
          <w:rFonts w:ascii="宋体" w:hAnsi="宋体"/>
          <w:b/>
          <w:sz w:val="28"/>
          <w:szCs w:val="28"/>
        </w:rPr>
      </w:pPr>
      <w:r>
        <w:rPr>
          <w:rFonts w:hint="eastAsia" w:ascii="宋体" w:hAnsi="宋体"/>
          <w:b/>
          <w:sz w:val="28"/>
          <w:szCs w:val="28"/>
          <w:lang w:val="zh-CN"/>
        </w:rPr>
        <w:t>★</w:t>
      </w:r>
      <w:r>
        <w:rPr>
          <w:rFonts w:hint="eastAsia" w:ascii="宋体" w:hAnsi="宋体"/>
          <w:b/>
          <w:sz w:val="28"/>
          <w:szCs w:val="28"/>
        </w:rPr>
        <w:t>中标人因自身原因遗漏报价而发生的费用追加，按《民法典》、《劳动法》等法律法规而造成责任和损失，全部由投标人自行承担（注：按第3章3.3.5提供书面承诺函原件）。</w:t>
      </w:r>
    </w:p>
    <w:p>
      <w:pPr>
        <w:pStyle w:val="157"/>
        <w:numPr>
          <w:ilvl w:val="0"/>
          <w:numId w:val="48"/>
        </w:numPr>
        <w:tabs>
          <w:tab w:val="left" w:pos="993"/>
          <w:tab w:val="left" w:pos="1134"/>
        </w:tabs>
        <w:spacing w:before="60" w:line="560" w:lineRule="exact"/>
        <w:ind w:right="210" w:firstLineChars="0"/>
        <w:rPr>
          <w:rFonts w:ascii="宋体" w:hAnsi="宋体"/>
          <w:b/>
          <w:sz w:val="28"/>
          <w:szCs w:val="28"/>
        </w:rPr>
      </w:pPr>
      <w:r>
        <w:rPr>
          <w:rFonts w:hint="eastAsia" w:ascii="宋体" w:hAnsi="宋体"/>
          <w:b/>
          <w:sz w:val="28"/>
          <w:szCs w:val="28"/>
          <w:lang w:val="zh-CN"/>
        </w:rPr>
        <w:t>★</w:t>
      </w:r>
      <w:r>
        <w:rPr>
          <w:rFonts w:hint="eastAsia" w:ascii="宋体" w:hAnsi="宋体"/>
          <w:b/>
          <w:sz w:val="28"/>
          <w:szCs w:val="28"/>
        </w:rPr>
        <w:t>中标人应保证所提供的服务或其任何一部分均不会侵犯任何第三方的专利权、商标权或著作权；采购人定期核对供应商提供服务所配备的人员数量及相关信息，对于未按照采购文件及投标响应要求执行或存在不合理的部分有权下达整改通知书，并要求供应商限期整改；中标人定期及时向采购人通告本项目服务范围内有关服务的重大事项及其进度；接受项目行业管理部门及政府有关部门的指导，接受采购人的监督。（注：按第3章3.3.5提供书面承诺函原件）。</w:t>
      </w:r>
    </w:p>
    <w:p>
      <w:pPr>
        <w:pStyle w:val="157"/>
        <w:numPr>
          <w:ilvl w:val="0"/>
          <w:numId w:val="48"/>
        </w:numPr>
        <w:tabs>
          <w:tab w:val="left" w:pos="993"/>
          <w:tab w:val="left" w:pos="1134"/>
        </w:tabs>
        <w:spacing w:before="60" w:line="560" w:lineRule="exact"/>
        <w:ind w:right="210" w:firstLineChars="0"/>
        <w:rPr>
          <w:rFonts w:ascii="宋体" w:hAnsi="宋体"/>
          <w:b/>
          <w:sz w:val="28"/>
          <w:szCs w:val="28"/>
        </w:rPr>
      </w:pPr>
      <w:r>
        <w:rPr>
          <w:rFonts w:hint="eastAsia" w:ascii="宋体" w:hAnsi="宋体"/>
          <w:b/>
          <w:sz w:val="28"/>
          <w:szCs w:val="28"/>
          <w:lang w:val="zh-CN"/>
        </w:rPr>
        <w:t>★</w:t>
      </w:r>
      <w:r>
        <w:rPr>
          <w:rFonts w:hint="eastAsia" w:ascii="宋体" w:hAnsi="宋体"/>
          <w:b/>
          <w:sz w:val="28"/>
          <w:szCs w:val="28"/>
        </w:rPr>
        <w:t>中标人须配置项目相关管理人员、值班人员的通讯装备、安防设备；中标人须统一配备各岗位员工工服（按季节配备）；中标人须自行解决不少于两套保洁作业机具（包括但不限于电动洗地机、电动清洁车等大型清洁设备）和劳防用品，且必须符合国家相关安全法规的要求；中标人负责提供所需的所有消耗品，包括：清洁、洗涤、药剂，生活垃圾袋、垃圾袋等耗材；此类设备所产生的费用均由中标人承担。（注：按第3章3.3.5提供书面承诺函原件）。</w:t>
      </w:r>
    </w:p>
    <w:p>
      <w:pPr>
        <w:spacing w:line="360" w:lineRule="auto"/>
        <w:rPr>
          <w:rFonts w:asciiTheme="minorEastAsia" w:hAnsiTheme="minorEastAsia" w:eastAsiaTheme="minorEastAsia"/>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sz w:val="28"/>
          <w:szCs w:val="28"/>
        </w:rPr>
      </w:pPr>
      <w:r>
        <w:rPr>
          <w:rFonts w:hint="eastAsia" w:ascii="宋体" w:hAnsi="宋体"/>
          <w:sz w:val="28"/>
          <w:szCs w:val="28"/>
        </w:rPr>
        <w:t>注:带“</w:t>
      </w:r>
      <w:r>
        <w:rPr>
          <w:rFonts w:hint="eastAsia" w:ascii="仿宋" w:hAnsi="仿宋" w:eastAsia="仿宋" w:cs="仿宋"/>
          <w:sz w:val="28"/>
          <w:szCs w:val="28"/>
        </w:rPr>
        <w:t>★</w:t>
      </w:r>
      <w:r>
        <w:rPr>
          <w:rFonts w:hint="eastAsia" w:ascii="宋体" w:hAnsi="宋体"/>
          <w:sz w:val="28"/>
          <w:szCs w:val="28"/>
        </w:rPr>
        <w:t>”条款为实质性条款，投标人若不满足的，将按照无效投标处理。</w:t>
      </w:r>
    </w:p>
    <w:p>
      <w:pPr>
        <w:spacing w:line="360" w:lineRule="auto"/>
        <w:ind w:firstLine="565" w:firstLineChars="202"/>
        <w:rPr>
          <w:rFonts w:asciiTheme="minorEastAsia" w:hAnsiTheme="minorEastAsia" w:eastAsiaTheme="minorEastAsia"/>
          <w:color w:val="000000" w:themeColor="text1"/>
          <w:sz w:val="28"/>
          <w:szCs w:val="28"/>
          <w14:textFill>
            <w14:solidFill>
              <w14:schemeClr w14:val="tx1"/>
            </w14:solidFill>
          </w14:textFill>
        </w:rPr>
      </w:pPr>
    </w:p>
    <w:p>
      <w:pPr>
        <w:rPr>
          <w:rFonts w:asciiTheme="minorEastAsia" w:hAnsiTheme="minorEastAsia" w:eastAsiaTheme="minorEastAsia"/>
          <w:color w:val="000000" w:themeColor="text1"/>
          <w:sz w:val="28"/>
          <w:szCs w:val="28"/>
          <w14:textFill>
            <w14:solidFill>
              <w14:schemeClr w14:val="tx1"/>
            </w14:solidFill>
          </w14:textFill>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asciiTheme="minorEastAsia" w:hAnsiTheme="minorEastAsia" w:eastAsiaTheme="minorEastAsia"/>
          <w:color w:val="000000" w:themeColor="text1"/>
          <w:sz w:val="28"/>
          <w:szCs w:val="28"/>
          <w14:textFill>
            <w14:solidFill>
              <w14:schemeClr w14:val="tx1"/>
            </w14:solidFill>
          </w14:textFill>
        </w:rPr>
        <w:br w:type="page"/>
      </w:r>
    </w:p>
    <w:p>
      <w:pPr>
        <w:pStyle w:val="2"/>
        <w:ind w:left="0" w:firstLine="0"/>
        <w:rPr>
          <w:rFonts w:asciiTheme="minorEastAsia" w:hAnsiTheme="minorEastAsia" w:eastAsiaTheme="minorEastAsia"/>
          <w:color w:val="000000" w:themeColor="text1"/>
          <w:sz w:val="28"/>
          <w14:textFill>
            <w14:solidFill>
              <w14:schemeClr w14:val="tx1"/>
            </w14:solidFill>
          </w14:textFill>
        </w:rPr>
      </w:pPr>
      <w:r>
        <w:rPr>
          <w:rFonts w:hint="eastAsia" w:asciiTheme="minorEastAsia" w:hAnsiTheme="minorEastAsia" w:eastAsiaTheme="minorEastAsia"/>
          <w:color w:val="000000" w:themeColor="text1"/>
          <w:sz w:val="28"/>
          <w14:textFill>
            <w14:solidFill>
              <w14:schemeClr w14:val="tx1"/>
            </w14:solidFill>
          </w14:textFill>
        </w:rPr>
        <w:t>附件：</w:t>
      </w:r>
    </w:p>
    <w:p>
      <w:pPr>
        <w:ind w:firstLine="420"/>
        <w:rPr>
          <w:rFonts w:ascii="宋体" w:hAnsi="宋体" w:cs="宋体"/>
          <w:sz w:val="28"/>
          <w:szCs w:val="28"/>
          <w:lang w:bidi="ar"/>
        </w:rPr>
      </w:pPr>
      <w:r>
        <w:rPr>
          <w:rFonts w:hint="eastAsia" w:ascii="宋体" w:hAnsi="宋体" w:cs="宋体"/>
          <w:sz w:val="28"/>
          <w:szCs w:val="28"/>
          <w:lang w:bidi="ar"/>
        </w:rPr>
        <w:t>监督考核标准</w:t>
      </w:r>
    </w:p>
    <w:p>
      <w:pPr>
        <w:ind w:firstLine="420"/>
        <w:rPr>
          <w:rFonts w:ascii="宋体" w:hAnsi="宋体"/>
          <w:sz w:val="28"/>
          <w:szCs w:val="28"/>
        </w:rPr>
      </w:pPr>
      <w:r>
        <w:rPr>
          <w:rFonts w:hint="eastAsia" w:ascii="宋体" w:hAnsi="宋体"/>
          <w:sz w:val="28"/>
          <w:szCs w:val="28"/>
        </w:rPr>
        <w:t>日常工作监督检查考核工作由学校相关职能部门负责，按月考核汇总。每月一次群众测评。日常考核、群众测评后，进行综合评定得分。评定本月物管得分数得分：80分以上为合格，60分至79.99分为基本合格，60分以下为不合格。</w:t>
      </w:r>
    </w:p>
    <w:p>
      <w:pPr>
        <w:pStyle w:val="3"/>
      </w:pPr>
    </w:p>
    <w:tbl>
      <w:tblPr>
        <w:tblStyle w:val="4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1261"/>
        <w:gridCol w:w="4063"/>
        <w:gridCol w:w="1025"/>
        <w:gridCol w:w="1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Align w:val="center"/>
          </w:tcPr>
          <w:p>
            <w:pPr>
              <w:tabs>
                <w:tab w:val="left" w:pos="360"/>
              </w:tabs>
              <w:adjustRightInd w:val="0"/>
              <w:snapToGrid w:val="0"/>
              <w:spacing w:line="276" w:lineRule="auto"/>
              <w:ind w:right="105" w:rightChars="50"/>
              <w:jc w:val="center"/>
              <w:rPr>
                <w:rFonts w:ascii="宋体" w:hAnsi="宋体"/>
                <w:color w:val="000000"/>
                <w:sz w:val="24"/>
              </w:rPr>
            </w:pPr>
            <w:r>
              <w:rPr>
                <w:rFonts w:hint="eastAsia" w:ascii="宋体" w:hAnsi="宋体"/>
                <w:color w:val="000000"/>
                <w:sz w:val="24"/>
              </w:rPr>
              <w:t>服务</w:t>
            </w:r>
          </w:p>
          <w:p>
            <w:pPr>
              <w:tabs>
                <w:tab w:val="left" w:pos="360"/>
              </w:tabs>
              <w:adjustRightInd w:val="0"/>
              <w:snapToGrid w:val="0"/>
              <w:spacing w:line="276" w:lineRule="auto"/>
              <w:ind w:right="105" w:rightChars="50"/>
              <w:jc w:val="center"/>
              <w:rPr>
                <w:rFonts w:ascii="宋体" w:hAnsi="宋体"/>
                <w:color w:val="000000"/>
                <w:sz w:val="24"/>
              </w:rPr>
            </w:pPr>
            <w:r>
              <w:rPr>
                <w:rFonts w:hint="eastAsia" w:ascii="宋体" w:hAnsi="宋体"/>
                <w:color w:val="000000"/>
                <w:sz w:val="24"/>
              </w:rPr>
              <w:t>条款</w:t>
            </w:r>
          </w:p>
        </w:tc>
        <w:tc>
          <w:tcPr>
            <w:tcW w:w="3152" w:type="pct"/>
            <w:gridSpan w:val="2"/>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r>
              <w:rPr>
                <w:rFonts w:hint="eastAsia" w:ascii="宋体" w:hAnsi="宋体"/>
                <w:color w:val="000000"/>
                <w:sz w:val="24"/>
              </w:rPr>
              <w:t>管理考核目标</w:t>
            </w:r>
          </w:p>
        </w:tc>
        <w:tc>
          <w:tcPr>
            <w:tcW w:w="615" w:type="pc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考核得分</w:t>
            </w:r>
          </w:p>
        </w:tc>
        <w:tc>
          <w:tcPr>
            <w:tcW w:w="755" w:type="pc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检查情况</w:t>
            </w:r>
          </w:p>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及存在问题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restar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校园</w:t>
            </w:r>
          </w:p>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公共</w:t>
            </w:r>
          </w:p>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秩序（30分）</w:t>
            </w:r>
          </w:p>
        </w:tc>
        <w:tc>
          <w:tcPr>
            <w:tcW w:w="3152" w:type="pct"/>
            <w:gridSpan w:val="2"/>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校园安全稳定，保持正常的教育秩序（保安巡查是否到位履职；门口人员、车辆、物品出入管理是否严格，无关车辆、社会闲杂人员是否进入校园；安全隐患、消防等是否一周排查一次；重大活动是否按要求协助学校做好安全工作；突发事件是否在第一时间赶到现场妥善、有效处理）</w:t>
            </w:r>
            <w:r>
              <w:rPr>
                <w:rFonts w:hint="eastAsia"/>
                <w:szCs w:val="21"/>
              </w:rPr>
              <w:t>，不符合扣1分/项.（本项总分15分，扣完为止）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p>
        </w:tc>
        <w:tc>
          <w:tcPr>
            <w:tcW w:w="3152" w:type="pct"/>
            <w:gridSpan w:val="2"/>
            <w:vAlign w:val="center"/>
          </w:tcPr>
          <w:p>
            <w:pPr>
              <w:tabs>
                <w:tab w:val="left" w:pos="360"/>
              </w:tabs>
              <w:adjustRightInd w:val="0"/>
              <w:snapToGrid w:val="0"/>
              <w:spacing w:line="276" w:lineRule="auto"/>
              <w:ind w:right="105" w:rightChars="50" w:firstLine="480" w:firstLineChars="200"/>
              <w:rPr>
                <w:rFonts w:ascii="宋体" w:hAnsi="宋体"/>
                <w:color w:val="000000"/>
                <w:sz w:val="24"/>
              </w:rPr>
            </w:pPr>
            <w:r>
              <w:rPr>
                <w:rFonts w:hint="eastAsia" w:ascii="宋体" w:hAnsi="宋体"/>
                <w:color w:val="000000"/>
                <w:sz w:val="24"/>
              </w:rPr>
              <w:t>物管人员是否穿着规范，行为文明，给人良好的精神面貌，无不雅不当行为</w:t>
            </w:r>
            <w:r>
              <w:rPr>
                <w:rFonts w:hint="eastAsia"/>
                <w:szCs w:val="21"/>
              </w:rPr>
              <w:t>，不符合扣1分/项。（本项总分5分，扣完为止）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p>
        </w:tc>
        <w:tc>
          <w:tcPr>
            <w:tcW w:w="3152" w:type="pct"/>
            <w:gridSpan w:val="2"/>
            <w:vAlign w:val="center"/>
          </w:tcPr>
          <w:p>
            <w:pPr>
              <w:tabs>
                <w:tab w:val="left" w:pos="360"/>
                <w:tab w:val="left" w:pos="5364"/>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是否按学校要求及时完成各项任务，无推诿拖拉现象，工作保质保量，服务态度好</w:t>
            </w:r>
            <w:r>
              <w:rPr>
                <w:rFonts w:hint="eastAsia"/>
                <w:szCs w:val="21"/>
              </w:rPr>
              <w:t>，不符合扣1分/项</w:t>
            </w:r>
            <w:r>
              <w:rPr>
                <w:rFonts w:hint="eastAsia" w:ascii="宋体" w:hAnsi="宋体"/>
                <w:color w:val="000000"/>
                <w:sz w:val="24"/>
              </w:rPr>
              <w:t>。</w:t>
            </w:r>
            <w:r>
              <w:rPr>
                <w:rFonts w:hint="eastAsia"/>
                <w:szCs w:val="21"/>
              </w:rPr>
              <w:t>（本项总分5分，扣完为止）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pct"/>
            <w:vMerge w:val="continue"/>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p>
        </w:tc>
        <w:tc>
          <w:tcPr>
            <w:tcW w:w="3152" w:type="pct"/>
            <w:gridSpan w:val="2"/>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物管人员是否按合同要求配置，并全员上岗，各人员分工明确，责任到人，并对物业人及时培训，能完成相应任务</w:t>
            </w:r>
            <w:r>
              <w:rPr>
                <w:rFonts w:hint="eastAsia"/>
                <w:szCs w:val="21"/>
              </w:rPr>
              <w:t>，不符合扣1分/项</w:t>
            </w:r>
            <w:r>
              <w:rPr>
                <w:rFonts w:hint="eastAsia" w:ascii="宋体" w:hAnsi="宋体"/>
                <w:color w:val="000000"/>
                <w:sz w:val="24"/>
              </w:rPr>
              <w:t>。</w:t>
            </w:r>
            <w:r>
              <w:rPr>
                <w:rFonts w:hint="eastAsia"/>
                <w:szCs w:val="21"/>
              </w:rPr>
              <w:t>（本项总分5分，扣完为止）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477" w:type="pc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绿化养护（20分）</w:t>
            </w:r>
          </w:p>
        </w:tc>
        <w:tc>
          <w:tcPr>
            <w:tcW w:w="3152" w:type="pct"/>
            <w:gridSpan w:val="2"/>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绿化整洁、长势较好，无病虫害，及时清理枯枝杂草</w:t>
            </w:r>
            <w:r>
              <w:rPr>
                <w:rFonts w:hint="eastAsia"/>
                <w:szCs w:val="21"/>
              </w:rPr>
              <w:t>，不符合扣1分/项。（本项总分20分，扣完为止）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3" w:hRule="atLeast"/>
          <w:jc w:val="center"/>
        </w:trPr>
        <w:tc>
          <w:tcPr>
            <w:tcW w:w="477" w:type="pc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设备养护（20分）</w:t>
            </w:r>
          </w:p>
        </w:tc>
        <w:tc>
          <w:tcPr>
            <w:tcW w:w="3152" w:type="pct"/>
            <w:gridSpan w:val="2"/>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线路通畅，电路、给排水管线及设备附件均能正常工作，安全运转；日常维护、维修及时，按学校要求进行维修记录并及时反馈信息</w:t>
            </w:r>
            <w:r>
              <w:rPr>
                <w:rFonts w:hint="eastAsia"/>
                <w:szCs w:val="21"/>
              </w:rPr>
              <w:t>，不符合扣1分/项</w:t>
            </w:r>
            <w:r>
              <w:rPr>
                <w:rFonts w:hint="eastAsia" w:ascii="宋体" w:hAnsi="宋体"/>
                <w:color w:val="000000"/>
                <w:sz w:val="24"/>
              </w:rPr>
              <w:t>。</w:t>
            </w:r>
            <w:r>
              <w:rPr>
                <w:rFonts w:hint="eastAsia"/>
                <w:szCs w:val="21"/>
              </w:rPr>
              <w:t>（本项总分20分，扣完为止）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77" w:type="pct"/>
            <w:vMerge w:val="restart"/>
            <w:vAlign w:val="center"/>
          </w:tcPr>
          <w:p>
            <w:pPr>
              <w:tabs>
                <w:tab w:val="left" w:pos="360"/>
              </w:tabs>
              <w:adjustRightInd w:val="0"/>
              <w:snapToGrid w:val="0"/>
              <w:spacing w:line="276" w:lineRule="auto"/>
              <w:ind w:left="105" w:leftChars="50" w:right="105" w:rightChars="50"/>
              <w:rPr>
                <w:rFonts w:ascii="宋体" w:hAnsi="宋体"/>
                <w:color w:val="000000"/>
                <w:sz w:val="24"/>
              </w:rPr>
            </w:pPr>
            <w:r>
              <w:rPr>
                <w:rFonts w:hint="eastAsia" w:ascii="宋体" w:hAnsi="宋体"/>
                <w:color w:val="000000"/>
                <w:sz w:val="24"/>
              </w:rPr>
              <w:t>公共环境卫生（30分）</w:t>
            </w:r>
          </w:p>
        </w:tc>
        <w:tc>
          <w:tcPr>
            <w:tcW w:w="3152" w:type="pct"/>
            <w:gridSpan w:val="2"/>
            <w:vAlign w:val="center"/>
          </w:tcPr>
          <w:p>
            <w:pPr>
              <w:tabs>
                <w:tab w:val="left" w:pos="360"/>
              </w:tabs>
              <w:adjustRightInd w:val="0"/>
              <w:snapToGrid w:val="0"/>
              <w:spacing w:line="276" w:lineRule="auto"/>
              <w:ind w:right="105" w:rightChars="50" w:firstLine="480" w:firstLineChars="200"/>
              <w:rPr>
                <w:rFonts w:ascii="宋体" w:hAnsi="宋体"/>
                <w:color w:val="000000"/>
                <w:sz w:val="24"/>
              </w:rPr>
            </w:pPr>
            <w:r>
              <w:rPr>
                <w:rFonts w:hint="eastAsia" w:ascii="宋体" w:hAnsi="宋体"/>
                <w:color w:val="000000"/>
                <w:sz w:val="24"/>
              </w:rPr>
              <w:t>地面干净、整洁，墙壁、瓷砖、宣传栏等干净无积尘，地面墙面每日清洁</w:t>
            </w:r>
            <w:r>
              <w:rPr>
                <w:rFonts w:hint="eastAsia"/>
                <w:szCs w:val="21"/>
              </w:rPr>
              <w:t>，不符合扣1分/项。（本项总分10分，扣完为止）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477" w:type="pct"/>
            <w:vMerge w:val="continue"/>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p>
        </w:tc>
        <w:tc>
          <w:tcPr>
            <w:tcW w:w="3152" w:type="pct"/>
            <w:gridSpan w:val="2"/>
            <w:vAlign w:val="center"/>
          </w:tcPr>
          <w:p>
            <w:pPr>
              <w:tabs>
                <w:tab w:val="left" w:pos="360"/>
              </w:tabs>
              <w:adjustRightInd w:val="0"/>
              <w:snapToGrid w:val="0"/>
              <w:spacing w:line="276" w:lineRule="auto"/>
              <w:ind w:right="105" w:rightChars="50" w:firstLine="480" w:firstLineChars="200"/>
              <w:rPr>
                <w:rFonts w:ascii="宋体" w:hAnsi="宋体"/>
                <w:color w:val="000000"/>
                <w:sz w:val="24"/>
              </w:rPr>
            </w:pPr>
            <w:r>
              <w:rPr>
                <w:rFonts w:hint="eastAsia" w:ascii="宋体" w:hAnsi="宋体"/>
                <w:color w:val="000000"/>
                <w:sz w:val="24"/>
              </w:rPr>
              <w:t>楼道、天台、大厅、操场等公共场所不定时清扫保洁（楼道无痰迹、垃圾、纸屑、天台无灰尘、无蜘蛛网等）</w:t>
            </w:r>
            <w:r>
              <w:rPr>
                <w:rFonts w:hint="eastAsia"/>
                <w:szCs w:val="21"/>
              </w:rPr>
              <w:t>，不符合扣0.5分/项。（本项总分10分，扣完为止）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77" w:type="pct"/>
            <w:vMerge w:val="continue"/>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p>
        </w:tc>
        <w:tc>
          <w:tcPr>
            <w:tcW w:w="3152" w:type="pct"/>
            <w:gridSpan w:val="2"/>
            <w:vAlign w:val="center"/>
          </w:tcPr>
          <w:p>
            <w:pPr>
              <w:tabs>
                <w:tab w:val="left" w:pos="360"/>
              </w:tabs>
              <w:adjustRightInd w:val="0"/>
              <w:snapToGrid w:val="0"/>
              <w:spacing w:line="276" w:lineRule="auto"/>
              <w:ind w:right="105" w:rightChars="50" w:firstLine="480" w:firstLineChars="200"/>
              <w:rPr>
                <w:rFonts w:ascii="宋体" w:hAnsi="宋体"/>
                <w:color w:val="000000"/>
                <w:sz w:val="24"/>
              </w:rPr>
            </w:pPr>
            <w:r>
              <w:rPr>
                <w:rFonts w:hint="eastAsia" w:ascii="宋体" w:hAnsi="宋体"/>
                <w:color w:val="000000"/>
                <w:sz w:val="24"/>
              </w:rPr>
              <w:t>卫生间每日清扫，不定时保洁（卫生间小便槽无垃圾、烟头，大便槽无大便、玻璃无灰尘等）</w:t>
            </w:r>
            <w:r>
              <w:rPr>
                <w:rFonts w:hint="eastAsia"/>
                <w:szCs w:val="21"/>
              </w:rPr>
              <w:t>，不符合扣0.5分/项。（本项总分5分，扣完为止）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477" w:type="pct"/>
            <w:vMerge w:val="continue"/>
            <w:vAlign w:val="center"/>
          </w:tcPr>
          <w:p>
            <w:pPr>
              <w:tabs>
                <w:tab w:val="left" w:pos="360"/>
              </w:tabs>
              <w:adjustRightInd w:val="0"/>
              <w:snapToGrid w:val="0"/>
              <w:spacing w:line="276" w:lineRule="auto"/>
              <w:ind w:left="105" w:leftChars="50" w:right="105" w:rightChars="50" w:firstLine="480" w:firstLineChars="200"/>
              <w:jc w:val="center"/>
              <w:rPr>
                <w:rFonts w:ascii="宋体" w:hAnsi="宋体"/>
                <w:color w:val="000000"/>
                <w:sz w:val="24"/>
              </w:rPr>
            </w:pPr>
          </w:p>
        </w:tc>
        <w:tc>
          <w:tcPr>
            <w:tcW w:w="3152" w:type="pct"/>
            <w:gridSpan w:val="2"/>
            <w:vAlign w:val="center"/>
          </w:tcPr>
          <w:p>
            <w:pPr>
              <w:tabs>
                <w:tab w:val="left" w:pos="360"/>
              </w:tabs>
              <w:adjustRightInd w:val="0"/>
              <w:snapToGrid w:val="0"/>
              <w:spacing w:line="276" w:lineRule="auto"/>
              <w:ind w:right="105" w:rightChars="50" w:firstLine="480" w:firstLineChars="200"/>
              <w:rPr>
                <w:rFonts w:ascii="宋体" w:hAnsi="宋体"/>
                <w:color w:val="000000"/>
                <w:sz w:val="24"/>
              </w:rPr>
            </w:pPr>
            <w:r>
              <w:rPr>
                <w:rFonts w:hint="eastAsia" w:ascii="宋体" w:hAnsi="宋体"/>
                <w:color w:val="000000"/>
                <w:sz w:val="24"/>
              </w:rPr>
              <w:t>校园内垃圾每日清理（校园内无树叶、垃圾、纸屑）</w:t>
            </w:r>
            <w:r>
              <w:rPr>
                <w:rFonts w:hint="eastAsia"/>
                <w:szCs w:val="21"/>
              </w:rPr>
              <w:t>，不符合扣0.5分/项。（本项总分5分，扣完为止）</w:t>
            </w:r>
          </w:p>
        </w:tc>
        <w:tc>
          <w:tcPr>
            <w:tcW w:w="61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755" w:type="pct"/>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77" w:type="pc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总体情况</w:t>
            </w:r>
          </w:p>
        </w:tc>
        <w:tc>
          <w:tcPr>
            <w:tcW w:w="754" w:type="pct"/>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3768" w:type="pct"/>
            <w:gridSpan w:val="3"/>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1、考核结果请如实填写。</w:t>
            </w:r>
          </w:p>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2、每月结合情况考核一次，签字确认。</w:t>
            </w:r>
          </w:p>
          <w:p>
            <w:pPr>
              <w:tabs>
                <w:tab w:val="left" w:pos="360"/>
              </w:tabs>
              <w:adjustRightInd w:val="0"/>
              <w:snapToGrid w:val="0"/>
              <w:spacing w:line="276" w:lineRule="auto"/>
              <w:ind w:left="105" w:leftChars="50" w:right="105" w:rightChars="50" w:firstLine="480" w:firstLineChars="200"/>
              <w:rPr>
                <w:rFonts w:ascii="宋体" w:hAnsi="宋体"/>
                <w:color w:val="000000"/>
                <w:sz w:val="24"/>
              </w:rPr>
            </w:pPr>
            <w:r>
              <w:rPr>
                <w:rFonts w:hint="eastAsia" w:ascii="宋体" w:hAnsi="宋体"/>
                <w:color w:val="000000"/>
                <w:sz w:val="24"/>
              </w:rPr>
              <w:t>3、总体情况：为100分减去扣分值得分。（80分以上为合格，60分至79.99分为基本合格，60分以下为不合格）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77" w:type="pct"/>
            <w:vAlign w:val="center"/>
          </w:tcPr>
          <w:p>
            <w:pPr>
              <w:tabs>
                <w:tab w:val="left" w:pos="360"/>
              </w:tabs>
              <w:adjustRightInd w:val="0"/>
              <w:snapToGrid w:val="0"/>
              <w:spacing w:line="276" w:lineRule="auto"/>
              <w:ind w:left="105" w:leftChars="50" w:right="105" w:rightChars="50"/>
              <w:jc w:val="center"/>
              <w:rPr>
                <w:rFonts w:ascii="宋体" w:hAnsi="宋体"/>
                <w:color w:val="000000"/>
                <w:sz w:val="24"/>
              </w:rPr>
            </w:pPr>
            <w:r>
              <w:rPr>
                <w:rFonts w:hint="eastAsia" w:ascii="宋体" w:hAnsi="宋体"/>
                <w:color w:val="000000"/>
                <w:sz w:val="24"/>
              </w:rPr>
              <w:t>备注</w:t>
            </w:r>
          </w:p>
        </w:tc>
        <w:tc>
          <w:tcPr>
            <w:tcW w:w="754" w:type="pct"/>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c>
          <w:tcPr>
            <w:tcW w:w="3768" w:type="pct"/>
            <w:gridSpan w:val="3"/>
            <w:vAlign w:val="center"/>
          </w:tcPr>
          <w:p>
            <w:pPr>
              <w:tabs>
                <w:tab w:val="left" w:pos="360"/>
              </w:tabs>
              <w:adjustRightInd w:val="0"/>
              <w:snapToGrid w:val="0"/>
              <w:spacing w:line="276" w:lineRule="auto"/>
              <w:ind w:left="105" w:leftChars="50" w:right="105" w:rightChars="50" w:firstLine="480" w:firstLineChars="200"/>
              <w:rPr>
                <w:rFonts w:ascii="宋体" w:hAnsi="宋体"/>
                <w:color w:val="000000"/>
                <w:sz w:val="24"/>
              </w:rPr>
            </w:pPr>
          </w:p>
        </w:tc>
      </w:tr>
    </w:tbl>
    <w:p>
      <w:pPr>
        <w:pStyle w:val="3"/>
      </w:pPr>
    </w:p>
    <w:p>
      <w:pPr>
        <w:pStyle w:val="3"/>
      </w:pPr>
    </w:p>
    <w:p>
      <w:pPr>
        <w:sectPr>
          <w:pgSz w:w="11906" w:h="16838"/>
          <w:pgMar w:top="1440" w:right="1800" w:bottom="1440" w:left="1800" w:header="851" w:footer="992" w:gutter="0"/>
          <w:cols w:space="425" w:num="1"/>
          <w:docGrid w:type="lines" w:linePitch="312" w:charSpace="0"/>
        </w:sectPr>
      </w:pPr>
    </w:p>
    <w:p/>
    <w:bookmarkEnd w:id="239"/>
    <w:bookmarkEnd w:id="240"/>
    <w:bookmarkEnd w:id="241"/>
    <w:bookmarkEnd w:id="242"/>
    <w:bookmarkEnd w:id="243"/>
    <w:p>
      <w:pPr>
        <w:pStyle w:val="4"/>
        <w:numPr>
          <w:ilvl w:val="0"/>
          <w:numId w:val="4"/>
        </w:numPr>
        <w:spacing w:before="0" w:after="0" w:line="360" w:lineRule="auto"/>
        <w:ind w:left="0" w:firstLine="0"/>
        <w:rPr>
          <w:color w:val="000000" w:themeColor="text1"/>
          <w14:textFill>
            <w14:solidFill>
              <w14:schemeClr w14:val="tx1"/>
            </w14:solidFill>
          </w14:textFill>
        </w:rPr>
      </w:pPr>
      <w:bookmarkStart w:id="264" w:name="_Toc7800"/>
      <w:bookmarkStart w:id="265" w:name="_Toc5104"/>
      <w:bookmarkStart w:id="266" w:name="_Toc1676"/>
      <w:bookmarkStart w:id="267" w:name="_Toc7093"/>
      <w:bookmarkStart w:id="268" w:name="_Toc10524"/>
      <w:r>
        <w:rPr>
          <w:rFonts w:hint="eastAsia"/>
          <w:color w:val="000000" w:themeColor="text1"/>
          <w14:textFill>
            <w14:solidFill>
              <w14:schemeClr w14:val="tx1"/>
            </w14:solidFill>
          </w14:textFill>
        </w:rPr>
        <w:t>资格性审查</w:t>
      </w:r>
      <w:bookmarkEnd w:id="264"/>
      <w:bookmarkEnd w:id="265"/>
      <w:bookmarkEnd w:id="266"/>
      <w:bookmarkEnd w:id="267"/>
      <w:bookmarkEnd w:id="268"/>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资格性审查由采购人组建的资格审查小组依据法律法规和招标文件的规定，对高新区采购中心出具的</w:t>
      </w:r>
      <w:r>
        <w:rPr>
          <w:rFonts w:hint="eastAsia" w:ascii="宋体" w:hAnsi="宋体"/>
          <w:b/>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高新区</w:t>
      </w:r>
      <w:r>
        <w:rPr>
          <w:rFonts w:hint="eastAsia" w:ascii="宋体" w:hAnsi="宋体"/>
          <w:b/>
          <w:color w:val="000000" w:themeColor="text1"/>
          <w:sz w:val="28"/>
          <w:szCs w:val="28"/>
          <w14:textFill>
            <w14:solidFill>
              <w14:schemeClr w14:val="tx1"/>
            </w14:solidFill>
          </w14:textFill>
        </w:rPr>
        <w:t>政府采购项目供应商参与情况表》</w:t>
      </w:r>
      <w:r>
        <w:rPr>
          <w:rFonts w:hint="eastAsia" w:ascii="宋体" w:hAnsi="宋体"/>
          <w:color w:val="000000" w:themeColor="text1"/>
          <w:sz w:val="28"/>
          <w:szCs w:val="28"/>
          <w14:textFill>
            <w14:solidFill>
              <w14:schemeClr w14:val="tx1"/>
            </w14:solidFill>
          </w14:textFill>
        </w:rPr>
        <w:t>、投标文件中的资格证明等进行审查，以确定投标人是否具备投标资格，并出具资格性审查报告。</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时因断电、断网、系统故障或其他不可抗力等因素，导致资格审查小组无法通过系统阅读投标文件进行审查的，待系统恢复后继续审查。出现上述情况时，高新区采购中心将以电子邮件形式通知各投标人。资格性审查标准见下表：</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p>
    <w:tbl>
      <w:tblPr>
        <w:tblStyle w:val="45"/>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700"/>
        <w:gridCol w:w="1197"/>
        <w:gridCol w:w="5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85" w:type="dxa"/>
            <w:gridSpan w:val="3"/>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b/>
                <w:color w:val="000000" w:themeColor="text1"/>
                <w:sz w:val="20"/>
                <w14:textFill>
                  <w14:solidFill>
                    <w14:schemeClr w14:val="tx1"/>
                  </w14:solidFill>
                </w14:textFill>
              </w:rPr>
            </w:pPr>
            <w:r>
              <w:rPr>
                <w:b/>
                <w:color w:val="000000" w:themeColor="text1"/>
                <w:sz w:val="20"/>
                <w14:textFill>
                  <w14:solidFill>
                    <w14:schemeClr w14:val="tx1"/>
                  </w14:solidFill>
                </w14:textFill>
              </w:rPr>
              <w:t>资格性审查项</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b/>
                <w:color w:val="000000" w:themeColor="text1"/>
                <w:sz w:val="20"/>
                <w14:textFill>
                  <w14:solidFill>
                    <w14:schemeClr w14:val="tx1"/>
                  </w14:solidFill>
                </w14:textFill>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在中华人民共和国境内依法登记注册，并有效存续具有独立法人资格的</w:t>
            </w:r>
            <w:r>
              <w:rPr>
                <w:rFonts w:hint="eastAsia"/>
                <w:color w:val="000000" w:themeColor="text1"/>
                <w:sz w:val="20"/>
                <w14:textFill>
                  <w14:solidFill>
                    <w14:schemeClr w14:val="tx1"/>
                  </w14:solidFill>
                </w14:textFill>
              </w:rPr>
              <w:t>供应商</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营业执照复印件（正本或副本）或法人证书复印件（正本或副本）</w:t>
            </w:r>
            <w:r>
              <w:rPr>
                <w:rFonts w:hint="eastAsia"/>
                <w:color w:val="000000" w:themeColor="text1"/>
                <w:sz w:val="20"/>
                <w14:textFill>
                  <w14:solidFill>
                    <w14:schemeClr w14:val="tx1"/>
                  </w14:solidFill>
                </w14:textFill>
              </w:rPr>
              <w:t>。</w:t>
            </w:r>
            <w:r>
              <w:rPr>
                <w:color w:val="000000" w:themeColor="text1"/>
                <w:sz w:val="20"/>
                <w14:textFill>
                  <w14:solidFill>
                    <w14:schemeClr w14:val="tx1"/>
                  </w14:solidFill>
                </w14:textFill>
              </w:rPr>
              <w:t>【说明：</w:t>
            </w:r>
            <w:r>
              <w:rPr>
                <w:rFonts w:hint="eastAsia" w:ascii="宋体" w:hAnsi="宋体"/>
                <w:color w:val="000000" w:themeColor="text1"/>
                <w:sz w:val="20"/>
                <w:szCs w:val="28"/>
                <w14:textFill>
                  <w14:solidFill>
                    <w14:schemeClr w14:val="tx1"/>
                  </w14:solidFill>
                </w14:textFill>
              </w:rPr>
              <w:t>①</w:t>
            </w:r>
            <w:r>
              <w:rPr>
                <w:color w:val="000000" w:themeColor="text1"/>
                <w:sz w:val="20"/>
                <w14:textFill>
                  <w14:solidFill>
                    <w14:schemeClr w14:val="tx1"/>
                  </w14:solidFill>
                </w14:textFill>
              </w:rPr>
              <w:t>营业执照或法人证书载明有期限的，应在有效期限内；</w:t>
            </w:r>
            <w:r>
              <w:rPr>
                <w:rFonts w:hint="eastAsia" w:ascii="宋体" w:hAnsi="宋体"/>
                <w:color w:val="000000" w:themeColor="text1"/>
                <w:sz w:val="20"/>
                <w:szCs w:val="28"/>
                <w14:textFill>
                  <w14:solidFill>
                    <w14:schemeClr w14:val="tx1"/>
                  </w14:solidFill>
                </w14:textFill>
              </w:rPr>
              <w:t>②</w:t>
            </w:r>
            <w:r>
              <w:rPr>
                <w:color w:val="000000" w:themeColor="text1"/>
                <w:sz w:val="20"/>
                <w14:textFill>
                  <w14:solidFill>
                    <w14:schemeClr w14:val="tx1"/>
                  </w14:solidFill>
                </w14:textFill>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w:t>
            </w:r>
          </w:p>
        </w:tc>
        <w:tc>
          <w:tcPr>
            <w:tcW w:w="700" w:type="dxa"/>
            <w:vMerge w:val="restart"/>
            <w:tcBorders>
              <w:top w:val="single" w:color="auto" w:sz="2" w:space="0"/>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书面声明材料</w:t>
            </w: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具有良好的商业信誉的证明材料</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投标人具有良好的商业信誉的书面声明材料。【说明：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w:t>
            </w:r>
            <w:r>
              <w:rPr>
                <w:rFonts w:hint="eastAsia"/>
                <w:color w:val="000000" w:themeColor="text1"/>
                <w:sz w:val="20"/>
                <w:lang w:val="en-US" w:eastAsia="zh-CN"/>
                <w14:textFill>
                  <w14:solidFill>
                    <w14:schemeClr w14:val="tx1"/>
                  </w14:solidFill>
                </w14:textFill>
              </w:rPr>
              <w:t>3.2.2</w:t>
            </w:r>
            <w:r>
              <w:rPr>
                <w:rFonts w:hint="eastAsia"/>
                <w:color w:val="000000" w:themeColor="text1"/>
                <w:sz w:val="20"/>
                <w14:textFill>
                  <w14:solidFill>
                    <w14:schemeClr w14:val="tx1"/>
                  </w14:solidFill>
                </w14:textFill>
              </w:rPr>
              <w:t>的内容及要求提供书面声明材料</w:t>
            </w:r>
            <w:r>
              <w:rPr>
                <w:rFonts w:hint="eastAsia" w:ascii="宋体" w:hAnsi="宋体"/>
                <w:color w:val="000000" w:themeColor="text1"/>
                <w:sz w:val="20"/>
                <w:szCs w:val="28"/>
                <w14:textFill>
                  <w14:solidFill>
                    <w14:schemeClr w14:val="tx1"/>
                  </w14:solidFill>
                </w14:textFill>
              </w:rPr>
              <w:t>；②供应商具有良好的商业信誉</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参加政府采购活动前三年内，在经营活动中没有重大违法记录</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投标人参加政府采购活动前三年内，在经营活动中没有重大违法记录的书面声明材料。【说明：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w:t>
            </w:r>
            <w:r>
              <w:rPr>
                <w:rFonts w:hint="eastAsia"/>
                <w:color w:val="000000" w:themeColor="text1"/>
                <w:sz w:val="20"/>
                <w:lang w:eastAsia="zh-CN"/>
                <w14:textFill>
                  <w14:solidFill>
                    <w14:schemeClr w14:val="tx1"/>
                  </w14:solidFill>
                </w14:textFill>
              </w:rPr>
              <w:t>第3章3.2.2</w:t>
            </w:r>
            <w:r>
              <w:rPr>
                <w:rFonts w:hint="eastAsia"/>
                <w:color w:val="000000" w:themeColor="text1"/>
                <w:sz w:val="20"/>
                <w14:textFill>
                  <w14:solidFill>
                    <w14:schemeClr w14:val="tx1"/>
                  </w14:solidFill>
                </w14:textFill>
              </w:rPr>
              <w:t>的内容及要求提供书面声明材料；</w:t>
            </w:r>
            <w:r>
              <w:rPr>
                <w:rFonts w:hint="eastAsia" w:ascii="宋体" w:hAnsi="宋体"/>
                <w:color w:val="000000" w:themeColor="text1"/>
                <w:sz w:val="20"/>
                <w:szCs w:val="28"/>
                <w14:textFill>
                  <w14:solidFill>
                    <w14:schemeClr w14:val="tx1"/>
                  </w14:solidFill>
                </w14:textFill>
              </w:rPr>
              <w:t>②供应商参加政府采购活动前三年内，在经营活动中没有重大违法记录</w:t>
            </w:r>
            <w:r>
              <w:rPr>
                <w:rFonts w:hint="eastAsia"/>
                <w:color w:val="000000" w:themeColor="text1"/>
                <w:sz w:val="20"/>
                <w14:textFill>
                  <w14:solidFill>
                    <w14:schemeClr w14:val="tx1"/>
                  </w14:solidFill>
                </w14:textFill>
              </w:rPr>
              <w:t>。】</w:t>
            </w:r>
          </w:p>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 xml:space="preserve">2. </w:t>
            </w:r>
            <w:r>
              <w:rPr>
                <w:rFonts w:hint="eastAsia"/>
                <w:color w:val="000000" w:themeColor="text1"/>
                <w:sz w:val="20"/>
                <w14:textFill>
                  <w14:solidFill>
                    <w14:schemeClr w14:val="tx1"/>
                  </w14:solidFill>
                </w14:textFill>
              </w:rPr>
              <w:t>资格审查小组根据</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信用中国</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和</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中国政府采购网</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网站的查询结果，在资格审查期间对投标人在参加政府采购活动前三年内，在经营活动中是否有重大违法记录进行审查。【说明：投标人参加政府采购活动前三年内，在经营活动中没有重大违法记录。】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未被列入失信被执行人、重大税收违法案件当事人名单、政府采购严重违法失信行为记录名单</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投标人未列入失信被执行人、重大税收违法案件当事人名单、政府采购严重违法失信行为记录名单的书面声明材料。【说明：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投标人未列入失信被执行人、重大税收违法案件当事人名单、政府采购严重违法失信行为记录名单；</w:t>
            </w:r>
            <w:r>
              <w:rPr>
                <w:rFonts w:hint="eastAsia" w:ascii="宋体" w:hAnsi="宋体"/>
                <w:color w:val="000000" w:themeColor="text1"/>
                <w:sz w:val="20"/>
                <w:szCs w:val="28"/>
                <w14:textFill>
                  <w14:solidFill>
                    <w14:schemeClr w14:val="tx1"/>
                  </w14:solidFill>
                </w14:textFill>
              </w:rPr>
              <w:t>②</w:t>
            </w:r>
            <w:r>
              <w:rPr>
                <w:rFonts w:hint="eastAsia"/>
                <w:color w:val="000000" w:themeColor="text1"/>
                <w:sz w:val="20"/>
                <w14:textFill>
                  <w14:solidFill>
                    <w14:schemeClr w14:val="tx1"/>
                  </w14:solidFill>
                </w14:textFill>
              </w:rPr>
              <w:t>按</w:t>
            </w:r>
            <w:r>
              <w:rPr>
                <w:rFonts w:hint="eastAsia"/>
                <w:color w:val="000000" w:themeColor="text1"/>
                <w:sz w:val="20"/>
                <w:lang w:eastAsia="zh-CN"/>
                <w14:textFill>
                  <w14:solidFill>
                    <w14:schemeClr w14:val="tx1"/>
                  </w14:solidFill>
                </w14:textFill>
              </w:rPr>
              <w:t>第3章3.2.2</w:t>
            </w:r>
            <w:r>
              <w:rPr>
                <w:rFonts w:hint="eastAsia"/>
                <w:color w:val="000000" w:themeColor="text1"/>
                <w:sz w:val="20"/>
                <w14:textFill>
                  <w14:solidFill>
                    <w14:schemeClr w14:val="tx1"/>
                  </w14:solidFill>
                </w14:textFill>
              </w:rPr>
              <w:t>的内容及要求提供书面声明材料。】</w:t>
            </w:r>
          </w:p>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 xml:space="preserve">2. </w:t>
            </w:r>
            <w:r>
              <w:rPr>
                <w:rFonts w:hint="eastAsia"/>
                <w:color w:val="000000" w:themeColor="text1"/>
                <w:sz w:val="20"/>
                <w14:textFill>
                  <w14:solidFill>
                    <w14:schemeClr w14:val="tx1"/>
                  </w14:solidFill>
                </w14:textFill>
              </w:rPr>
              <w:t>资格审查小组根据</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信用中国</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和</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中国政府采购网</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网站的查询结果，在资格审查期间对投标人在参加政府采购活动前三年内，在经营活动中是否被列入失信被执行人、重大税收违法案件当事人名单、政府采购严重违法失信行为记录名单进行审查。【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未处于被行政部门禁止参与政府采购活动的期限内</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投标人未处于被行政部门禁止参与政府采购活动的期限内。【说明：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w:t>
            </w:r>
            <w:r>
              <w:rPr>
                <w:rFonts w:hint="eastAsia"/>
                <w:color w:val="000000" w:themeColor="text1"/>
                <w:sz w:val="20"/>
                <w:lang w:eastAsia="zh-CN"/>
                <w14:textFill>
                  <w14:solidFill>
                    <w14:schemeClr w14:val="tx1"/>
                  </w14:solidFill>
                </w14:textFill>
              </w:rPr>
              <w:t>第3章3.2.2</w:t>
            </w:r>
            <w:r>
              <w:rPr>
                <w:rFonts w:hint="eastAsia"/>
                <w:color w:val="000000" w:themeColor="text1"/>
                <w:sz w:val="20"/>
                <w14:textFill>
                  <w14:solidFill>
                    <w14:schemeClr w14:val="tx1"/>
                  </w14:solidFill>
                </w14:textFill>
              </w:rPr>
              <w:t>的内容及要求提供书面声明材料</w:t>
            </w:r>
            <w:r>
              <w:rPr>
                <w:rFonts w:hint="eastAsia" w:ascii="宋体" w:hAnsi="宋体"/>
                <w:color w:val="000000" w:themeColor="text1"/>
                <w:sz w:val="20"/>
                <w:szCs w:val="28"/>
                <w14:textFill>
                  <w14:solidFill>
                    <w14:schemeClr w14:val="tx1"/>
                  </w14:solidFill>
                </w14:textFill>
              </w:rPr>
              <w:t>；②供应商未处于被行政部门禁止参与政府采购活动的期限内。</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行贿犯罪记录</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在行贿犯罪信息查询期限内，投标人及其现任法定代表人、主要负责人没有行贿犯罪记录的书面声明材料。【说明：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w:t>
            </w:r>
            <w:r>
              <w:rPr>
                <w:rFonts w:hint="eastAsia"/>
                <w:color w:val="000000" w:themeColor="text1"/>
                <w:sz w:val="20"/>
                <w:lang w:eastAsia="zh-CN"/>
                <w14:textFill>
                  <w14:solidFill>
                    <w14:schemeClr w14:val="tx1"/>
                  </w14:solidFill>
                </w14:textFill>
              </w:rPr>
              <w:t>第3章3.2.2</w:t>
            </w:r>
            <w:r>
              <w:rPr>
                <w:rFonts w:hint="eastAsia"/>
                <w:color w:val="000000" w:themeColor="text1"/>
                <w:sz w:val="20"/>
                <w14:textFill>
                  <w14:solidFill>
                    <w14:schemeClr w14:val="tx1"/>
                  </w14:solidFill>
                </w14:textFill>
              </w:rPr>
              <w:t>的内容及要求提供书面声明材料，投标文件中不需提供中国裁判文书网（</w:t>
            </w:r>
            <w:r>
              <w:rPr>
                <w:color w:val="000000" w:themeColor="text1"/>
                <w:sz w:val="20"/>
                <w14:textFill>
                  <w14:solidFill>
                    <w14:schemeClr w14:val="tx1"/>
                  </w14:solidFill>
                </w14:textFill>
              </w:rPr>
              <w:t>https://wenshu.court.gov.cn</w:t>
            </w:r>
            <w:r>
              <w:rPr>
                <w:rFonts w:hint="eastAsia"/>
                <w:color w:val="000000" w:themeColor="text1"/>
                <w:sz w:val="20"/>
                <w14:textFill>
                  <w14:solidFill>
                    <w14:schemeClr w14:val="tx1"/>
                  </w14:solidFill>
                </w14:textFill>
              </w:rPr>
              <w:t>）查询结果的证明材料；</w:t>
            </w:r>
            <w:r>
              <w:rPr>
                <w:rFonts w:hint="eastAsia" w:ascii="宋体" w:hAnsi="宋体"/>
                <w:color w:val="000000" w:themeColor="text1"/>
                <w:sz w:val="20"/>
                <w:szCs w:val="28"/>
                <w14:textFill>
                  <w14:solidFill>
                    <w14:schemeClr w14:val="tx1"/>
                  </w14:solidFill>
                </w14:textFill>
              </w:rPr>
              <w:t>②在行贿犯罪信息查询期限内，供应商及其现任法定代表人、主要负责人没有行贿犯罪记录</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bottom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单位负责人为同一人或者存在直接控股、管理关系的不同供应商，不得参加同一项目的投标</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与投标人负责人为同一人或者存在直接控股、管理关系的相关供应商的书面声明材料。【说明：①按招标文件</w:t>
            </w:r>
            <w:r>
              <w:rPr>
                <w:rFonts w:hint="eastAsia"/>
                <w:color w:val="000000" w:themeColor="text1"/>
                <w:sz w:val="20"/>
                <w:lang w:eastAsia="zh-CN"/>
                <w14:textFill>
                  <w14:solidFill>
                    <w14:schemeClr w14:val="tx1"/>
                  </w14:solidFill>
                </w14:textFill>
              </w:rPr>
              <w:t>第3章3.2.2</w:t>
            </w:r>
            <w:r>
              <w:rPr>
                <w:rFonts w:hint="eastAsia"/>
                <w:color w:val="000000" w:themeColor="text1"/>
                <w:sz w:val="20"/>
                <w14:textFill>
                  <w14:solidFill>
                    <w14:schemeClr w14:val="tx1"/>
                  </w14:solidFill>
                </w14:textFill>
              </w:rPr>
              <w:t>的内容及要求提供书面声明材料；②参加投标的供应商中无与投标人的负责人为同一人或者存在直接控股、管理关系的供应商。】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3</w:t>
            </w:r>
          </w:p>
        </w:tc>
        <w:tc>
          <w:tcPr>
            <w:tcW w:w="700" w:type="dxa"/>
            <w:vMerge w:val="restart"/>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其他</w:t>
            </w: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具有履行合同所必须的设备和专业技术能力</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采购人对投标人履行合同所必须的设备和专业技术能力无其他特殊要求，投标人具有有效的营业执照或法人证书</w:t>
            </w:r>
            <w:r>
              <w:rPr>
                <w:rFonts w:hint="eastAsia" w:ascii="宋体" w:hAnsi="宋体"/>
                <w:color w:val="000000" w:themeColor="text1"/>
                <w:sz w:val="20"/>
                <w:szCs w:val="28"/>
                <w14:textFill>
                  <w14:solidFill>
                    <w14:schemeClr w14:val="tx1"/>
                  </w14:solidFill>
                </w14:textFill>
              </w:rPr>
              <w:t>即可，可不提供其他证明材料</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法律、行政法规规定的其他条件</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采购人对法律、行政法规规定的其他条件无其他特殊要求，投标人具有有效的营业执照或法人证书</w:t>
            </w:r>
            <w:r>
              <w:rPr>
                <w:rFonts w:hint="eastAsia" w:ascii="宋体" w:hAnsi="宋体"/>
                <w:color w:val="000000" w:themeColor="text1"/>
                <w:sz w:val="20"/>
                <w:szCs w:val="28"/>
                <w14:textFill>
                  <w14:solidFill>
                    <w14:schemeClr w14:val="tx1"/>
                  </w14:solidFill>
                </w14:textFill>
              </w:rPr>
              <w:t>即可，可不提供其他证明材料</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不属于其他国家相关法律法规规定的禁止参加投标的供应商</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、根据招标文件的要求不属于禁止参加投标或投标无效的供应商；</w:t>
            </w:r>
          </w:p>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2</w:t>
            </w:r>
            <w:r>
              <w:rPr>
                <w:rFonts w:hint="eastAsia"/>
                <w:color w:val="000000" w:themeColor="text1"/>
                <w:sz w:val="20"/>
                <w14:textFill>
                  <w14:solidFill>
                    <w14:schemeClr w14:val="tx1"/>
                  </w14:solidFill>
                </w14:textFill>
              </w:rPr>
              <w:t>、资格审查小组未发现或者未知晓投标人存在属于国家相关法律法规规定的禁止参加投标或投标无效的供应商。</w:t>
            </w:r>
          </w:p>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联合体投标</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非联合体投标。【说明：无须提供证明材料，上传空白页即可，不对本项上传的材料作资格审查】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资质要求</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投标保证金</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投标文件解密情况</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ascii="宋体" w:hAnsi="宋体"/>
                <w:color w:val="000000" w:themeColor="text1"/>
                <w:sz w:val="20"/>
                <w:szCs w:val="28"/>
                <w14:textFill>
                  <w14:solidFill>
                    <w14:schemeClr w14:val="tx1"/>
                  </w14:solidFill>
                </w14:textFill>
              </w:rPr>
              <w:t>除因断电、断网、系统故障或其他不可抗力等因素，导致系统无法使用外，投标文件已成功解密。</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投标文件签章</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sz w:val="20"/>
              </w:rPr>
              <w:t>投标文件加盖有投标人（法定名称）电子签章。【说明：无须提供证明材料，上传空白页即可，不对本项上传的材料作资格审查】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投标文件资格响应</w:t>
            </w:r>
            <w:r>
              <w:rPr>
                <w:color w:val="000000" w:themeColor="text1"/>
                <w:sz w:val="20"/>
                <w14:textFill>
                  <w14:solidFill>
                    <w14:schemeClr w14:val="tx1"/>
                  </w14:solidFill>
                </w14:textFill>
              </w:rPr>
              <w:t>文件</w:t>
            </w:r>
            <w:r>
              <w:rPr>
                <w:rFonts w:hint="eastAsia"/>
                <w:color w:val="000000" w:themeColor="text1"/>
                <w:sz w:val="20"/>
                <w14:textFill>
                  <w14:solidFill>
                    <w14:schemeClr w14:val="tx1"/>
                  </w14:solidFill>
                </w14:textFill>
              </w:rPr>
              <w:t>组成</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符合招标文件</w:t>
            </w:r>
            <w:r>
              <w:rPr>
                <w:color w:val="000000" w:themeColor="text1"/>
                <w:sz w:val="20"/>
                <w14:textFill>
                  <w14:solidFill>
                    <w14:schemeClr w14:val="tx1"/>
                  </w14:solidFill>
                </w14:textFill>
              </w:rPr>
              <w:t>“2.4.6</w:t>
            </w:r>
            <w:r>
              <w:rPr>
                <w:rFonts w:hint="eastAsia"/>
                <w:color w:val="000000" w:themeColor="text1"/>
                <w:sz w:val="20"/>
                <w14:textFill>
                  <w14:solidFill>
                    <w14:schemeClr w14:val="tx1"/>
                  </w14:solidFill>
                </w14:textFill>
              </w:rPr>
              <w:t>投标文件的组成</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规定要求。【说明：无须提供证明材料，上传空白页即可，不对本项上传的材料作资格审查】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000000" w:themeColor="text1"/>
                <w:sz w:val="20"/>
                <w14:textFill>
                  <w14:solidFill>
                    <w14:schemeClr w14:val="tx1"/>
                  </w14:solidFill>
                </w14:textFill>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投标文件资格响应文件的语言</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语言符合招标文件的要求。【说明：无须提供证明材料，上传空白页即可，不对本项上传的材料作资格审查】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4</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具有健全的财务会计制度的证明材料</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20</w:t>
            </w:r>
            <w:r>
              <w:rPr>
                <w:rFonts w:hint="eastAsia"/>
                <w:color w:val="000000" w:themeColor="text1"/>
                <w:sz w:val="20"/>
                <w14:textFill>
                  <w14:solidFill>
                    <w14:schemeClr w14:val="tx1"/>
                  </w14:solidFill>
                </w14:textFill>
              </w:rPr>
              <w:t>19或</w:t>
            </w:r>
            <w:r>
              <w:rPr>
                <w:color w:val="000000" w:themeColor="text1"/>
                <w:sz w:val="20"/>
                <w14:textFill>
                  <w14:solidFill>
                    <w14:schemeClr w14:val="tx1"/>
                  </w14:solidFill>
                </w14:textFill>
              </w:rPr>
              <w:t>20</w:t>
            </w:r>
            <w:r>
              <w:rPr>
                <w:rFonts w:hint="eastAsia"/>
                <w:color w:val="000000" w:themeColor="text1"/>
                <w:sz w:val="20"/>
                <w14:textFill>
                  <w14:solidFill>
                    <w14:schemeClr w14:val="tx1"/>
                  </w14:solidFill>
                </w14:textFill>
              </w:rPr>
              <w:t>20会计年度资产负债表复印件。【说明：投标人成立时间至投标截止时间止不足一年的，提供成立后任意时段的资产负债表复印件。】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5</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缴纳社会保障资金的证明材料</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投标人缴纳</w:t>
            </w:r>
            <w:r>
              <w:rPr>
                <w:color w:val="000000" w:themeColor="text1"/>
                <w:sz w:val="20"/>
                <w14:textFill>
                  <w14:solidFill>
                    <w14:schemeClr w14:val="tx1"/>
                  </w14:solidFill>
                </w14:textFill>
              </w:rPr>
              <w:t>20</w:t>
            </w:r>
            <w:r>
              <w:rPr>
                <w:rFonts w:hint="eastAsia"/>
                <w:color w:val="000000" w:themeColor="text1"/>
                <w:sz w:val="20"/>
                <w14:textFill>
                  <w14:solidFill>
                    <w14:schemeClr w14:val="tx1"/>
                  </w14:solidFill>
                </w14:textFill>
              </w:rPr>
              <w:t>20或</w:t>
            </w:r>
            <w:r>
              <w:rPr>
                <w:color w:val="000000" w:themeColor="text1"/>
                <w:sz w:val="20"/>
                <w14:textFill>
                  <w14:solidFill>
                    <w14:schemeClr w14:val="tx1"/>
                  </w14:solidFill>
                </w14:textFill>
              </w:rPr>
              <w:t>20</w:t>
            </w:r>
            <w:r>
              <w:rPr>
                <w:rFonts w:hint="eastAsia"/>
                <w:color w:val="000000" w:themeColor="text1"/>
                <w:sz w:val="20"/>
                <w14:textFill>
                  <w14:solidFill>
                    <w14:schemeClr w14:val="tx1"/>
                  </w14:solidFill>
                </w14:textFill>
              </w:rPr>
              <w:t>21年任意时段的社保的银行电子回单或行政部门出具的社保缴纳证明材料复印件。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color w:val="000000" w:themeColor="text1"/>
                <w:sz w:val="20"/>
                <w14:textFill>
                  <w14:solidFill>
                    <w14:schemeClr w14:val="tx1"/>
                  </w14:solidFill>
                </w14:textFill>
              </w:rPr>
              <w:t>6</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缴纳税收的证明材料</w:t>
            </w:r>
          </w:p>
        </w:tc>
        <w:tc>
          <w:tcPr>
            <w:tcW w:w="594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投标人缴纳</w:t>
            </w:r>
            <w:r>
              <w:rPr>
                <w:color w:val="000000" w:themeColor="text1"/>
                <w:sz w:val="20"/>
                <w14:textFill>
                  <w14:solidFill>
                    <w14:schemeClr w14:val="tx1"/>
                  </w14:solidFill>
                </w14:textFill>
              </w:rPr>
              <w:t>20</w:t>
            </w:r>
            <w:r>
              <w:rPr>
                <w:rFonts w:hint="eastAsia"/>
                <w:color w:val="000000" w:themeColor="text1"/>
                <w:sz w:val="20"/>
                <w14:textFill>
                  <w14:solidFill>
                    <w14:schemeClr w14:val="tx1"/>
                  </w14:solidFill>
                </w14:textFill>
              </w:rPr>
              <w:t>20或</w:t>
            </w:r>
            <w:r>
              <w:rPr>
                <w:color w:val="000000" w:themeColor="text1"/>
                <w:sz w:val="20"/>
                <w14:textFill>
                  <w14:solidFill>
                    <w14:schemeClr w14:val="tx1"/>
                  </w14:solidFill>
                </w14:textFill>
              </w:rPr>
              <w:t>20</w:t>
            </w:r>
            <w:r>
              <w:rPr>
                <w:rFonts w:hint="eastAsia"/>
                <w:color w:val="000000" w:themeColor="text1"/>
                <w:sz w:val="20"/>
                <w14:textFill>
                  <w14:solidFill>
                    <w14:schemeClr w14:val="tx1"/>
                  </w14:solidFill>
                </w14:textFill>
              </w:rPr>
              <w:t>21年任意时段的税收的银行电子回单或者行政部门出具的纳税证明或完税证明的复印件。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sz w:val="20"/>
              </w:rPr>
              <w:t>7</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spacing w:line="360" w:lineRule="auto"/>
              <w:rPr>
                <w:color w:val="000000" w:themeColor="text1"/>
                <w:sz w:val="20"/>
                <w14:textFill>
                  <w14:solidFill>
                    <w14:schemeClr w14:val="tx1"/>
                  </w14:solidFill>
                </w14:textFill>
              </w:rPr>
            </w:pPr>
            <w:r>
              <w:rPr>
                <w:rFonts w:hint="eastAsia" w:ascii="宋体" w:hAnsi="宋体"/>
                <w:sz w:val="20"/>
                <w:szCs w:val="28"/>
              </w:rPr>
              <w:t>本项目为专门面向中小企业采购项目，供应商提供的服务全部由符合政策要求的中小企业承接，监狱企业、残疾人福利性单位视同小型、微型企业</w:t>
            </w:r>
          </w:p>
        </w:tc>
        <w:tc>
          <w:tcPr>
            <w:tcW w:w="5940" w:type="dxa"/>
            <w:tcBorders>
              <w:top w:val="single" w:color="auto" w:sz="2" w:space="0"/>
              <w:left w:val="single" w:color="auto" w:sz="2" w:space="0"/>
              <w:bottom w:val="single" w:color="auto" w:sz="2" w:space="0"/>
              <w:right w:val="single" w:color="auto" w:sz="2" w:space="0"/>
            </w:tcBorders>
            <w:vAlign w:val="center"/>
          </w:tcPr>
          <w:p>
            <w:pPr>
              <w:spacing w:line="360" w:lineRule="auto"/>
              <w:rPr>
                <w:color w:val="000000" w:themeColor="text1"/>
                <w:sz w:val="20"/>
                <w14:textFill>
                  <w14:solidFill>
                    <w14:schemeClr w14:val="tx1"/>
                  </w14:solidFill>
                </w14:textFill>
              </w:rPr>
            </w:pPr>
            <w:r>
              <w:rPr>
                <w:rFonts w:hint="eastAsia" w:ascii="宋体" w:hAnsi="宋体"/>
                <w:sz w:val="20"/>
                <w:szCs w:val="28"/>
              </w:rPr>
              <w:t>中小企业声明函或残疾人福利性单位声明函或投标人属于监狱企业的证明文件复印件【说明：（1）投标人属于中小企业的应提供中小企业声明函，投标人属于残疾人福利性单位的应提供残疾人福利性单位声明函，投标人属于监狱企业的应提供省级以上监狱管理局、戒毒管理局（含新疆生产建设兵团）出具的投标人属于监狱企业的证明文件复印件；（2）投标人提供的服务全部由其所属行业的中型企业、小型企业或微型企业承接；（3）残疾人福利性单位、监狱企业视同为小型微型企业。】。</w:t>
            </w:r>
          </w:p>
        </w:tc>
      </w:tr>
    </w:tbl>
    <w:p>
      <w:pPr>
        <w:tabs>
          <w:tab w:val="left" w:pos="851"/>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二、“信用中国”和“中国政府采购网”网站查询结果，将以纸质截图或将截图保存至电子介质的形式留存。</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投标人的投标文件资格性审查时被判定为无效的，高新区采购中心将通知投标人（以电话方式）。投标人如对资格审查结论有异议的，应及时向高新区采购中心反馈意见。高新区采购中心将及时告知资格审查小组。（说明：无论投标人是否收到通知或提供反馈意见，均不影响资格审查和评标工作，且高新区采购中心对此将不承担任何的责任。投标人对资格审查结论有异议的，其反馈意见仅限于资格审查小组对资格审查结论的正确性进行复核，避免出现审查错误。）</w:t>
      </w:r>
    </w:p>
    <w:p>
      <w:pPr>
        <w:ind w:firstLine="565" w:firstLineChars="202"/>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四、通过资格性审查的供应商＜3名，采购失败。</w:t>
      </w:r>
    </w:p>
    <w:p>
      <w:pPr>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rPr>
          <w:color w:val="000000" w:themeColor="text1"/>
          <w14:textFill>
            <w14:solidFill>
              <w14:schemeClr w14:val="tx1"/>
            </w14:solidFill>
          </w14:textFill>
        </w:rPr>
      </w:pPr>
      <w:bookmarkStart w:id="269" w:name="_Toc29184"/>
      <w:bookmarkStart w:id="270" w:name="_Toc18121"/>
      <w:bookmarkStart w:id="271" w:name="_Toc12401"/>
      <w:bookmarkStart w:id="272" w:name="_Toc11596"/>
      <w:bookmarkStart w:id="273" w:name="_Toc16118"/>
      <w:r>
        <w:rPr>
          <w:rFonts w:hint="eastAsia"/>
          <w:color w:val="000000" w:themeColor="text1"/>
          <w14:textFill>
            <w14:solidFill>
              <w14:schemeClr w14:val="tx1"/>
            </w14:solidFill>
          </w14:textFill>
        </w:rPr>
        <w:br w:type="page"/>
      </w:r>
    </w:p>
    <w:p>
      <w:pPr>
        <w:pStyle w:val="4"/>
        <w:numPr>
          <w:ilvl w:val="0"/>
          <w:numId w:val="4"/>
        </w:numPr>
        <w:spacing w:before="0" w:after="0" w:line="36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评标办法</w:t>
      </w:r>
      <w:bookmarkEnd w:id="269"/>
      <w:bookmarkEnd w:id="270"/>
      <w:bookmarkEnd w:id="271"/>
      <w:bookmarkEnd w:id="272"/>
      <w:bookmarkEnd w:id="273"/>
      <w:bookmarkStart w:id="274" w:name="_Toc208849007"/>
      <w:bookmarkStart w:id="275" w:name="_Toc183682415"/>
      <w:bookmarkStart w:id="276" w:name="_Toc217446097"/>
      <w:bookmarkStart w:id="277" w:name="_Toc183582280"/>
    </w:p>
    <w:p>
      <w:pPr>
        <w:pStyle w:val="5"/>
        <w:numPr>
          <w:ilvl w:val="1"/>
          <w:numId w:val="4"/>
        </w:numPr>
        <w:spacing w:before="0" w:after="0" w:line="560" w:lineRule="exact"/>
        <w:ind w:left="2269" w:hanging="2269"/>
        <w:rPr>
          <w:color w:val="000000" w:themeColor="text1"/>
          <w14:textFill>
            <w14:solidFill>
              <w14:schemeClr w14:val="tx1"/>
            </w14:solidFill>
          </w14:textFill>
        </w:rPr>
      </w:pPr>
      <w:bookmarkStart w:id="278" w:name="_Toc13609"/>
      <w:bookmarkStart w:id="279" w:name="_Toc10788"/>
      <w:bookmarkStart w:id="280" w:name="_Toc315871642"/>
      <w:bookmarkStart w:id="281" w:name="_Toc12005"/>
      <w:bookmarkStart w:id="282" w:name="_Toc30790"/>
      <w:bookmarkStart w:id="283" w:name="_Toc15264"/>
      <w:bookmarkStart w:id="284" w:name="_Toc316292248"/>
      <w:r>
        <w:rPr>
          <w:rFonts w:hint="eastAsia"/>
          <w:color w:val="000000" w:themeColor="text1"/>
          <w14:textFill>
            <w14:solidFill>
              <w14:schemeClr w14:val="tx1"/>
            </w14:solidFill>
          </w14:textFill>
        </w:rPr>
        <w:t>总则</w:t>
      </w:r>
      <w:bookmarkEnd w:id="274"/>
      <w:bookmarkEnd w:id="275"/>
      <w:bookmarkEnd w:id="276"/>
      <w:bookmarkEnd w:id="277"/>
      <w:bookmarkEnd w:id="278"/>
      <w:bookmarkEnd w:id="279"/>
      <w:bookmarkEnd w:id="280"/>
      <w:bookmarkEnd w:id="281"/>
      <w:bookmarkEnd w:id="282"/>
      <w:bookmarkEnd w:id="283"/>
      <w:bookmarkEnd w:id="284"/>
    </w:p>
    <w:p>
      <w:pPr>
        <w:numPr>
          <w:ilvl w:val="0"/>
          <w:numId w:val="49"/>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根据《中华人民共和国政府采购法》、《中华人民共和国政府采购法实施条例》和《政府采购货物和服务招标投标管理办法》等法律规章，结合采购项目特点制定本评标办法。</w:t>
      </w:r>
    </w:p>
    <w:p>
      <w:pPr>
        <w:numPr>
          <w:ilvl w:val="0"/>
          <w:numId w:val="49"/>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评标工作由高新区采购中心负责组织，具体评标事务由采购人或高新区采购中心依法组建的评标委员会负责。评标委员会由采购人代表和评审专家组成。</w:t>
      </w:r>
    </w:p>
    <w:p>
      <w:pPr>
        <w:numPr>
          <w:ilvl w:val="0"/>
          <w:numId w:val="49"/>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评标工作应遵循公平、公正、科学及择优的原则，并以相同的评标程序和标准对待所有的投标人。</w:t>
      </w:r>
    </w:p>
    <w:p>
      <w:pPr>
        <w:numPr>
          <w:ilvl w:val="0"/>
          <w:numId w:val="49"/>
        </w:numPr>
        <w:tabs>
          <w:tab w:val="left" w:pos="1134"/>
        </w:tabs>
        <w:spacing w:after="200" w:line="560" w:lineRule="exact"/>
        <w:ind w:left="0" w:firstLine="565" w:firstLineChars="202"/>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评标委员会按照招标文件规定的评标程序、评标方法和标准进行独立评审，并独立履行下列职责：</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熟悉和理解招标文件；</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审查、评价投标文件是否符合招标文件的商务、技术等实质性要求；</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对投标文件进行比较和评价；</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根据需要要求采购人对招标文件作出解释；根据需要要求投标人对投标文件有关事项作出解释或者澄清；</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确定中标候选人名单，以及根据采购人委托直接确定中标人；</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起草评标报告并进行签署；</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向采购人、高新区采购中心或者财政、监察等有关部门报告或举报非法干预评标工作的行为；</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或者有关部门报告评标中发现的违法行为。</w:t>
      </w:r>
    </w:p>
    <w:p>
      <w:pPr>
        <w:numPr>
          <w:ilvl w:val="1"/>
          <w:numId w:val="50"/>
        </w:numPr>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法律、法规和规章规定的其他职责。</w:t>
      </w:r>
    </w:p>
    <w:p>
      <w:pPr>
        <w:numPr>
          <w:ilvl w:val="0"/>
          <w:numId w:val="49"/>
        </w:numPr>
        <w:tabs>
          <w:tab w:val="left" w:pos="1134"/>
        </w:tabs>
        <w:spacing w:after="200" w:line="560" w:lineRule="exact"/>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评标过程独立、保密。投标人非法干预评标过程的行为将导致其投标文件作为无效处理。</w:t>
      </w:r>
    </w:p>
    <w:p>
      <w:pPr>
        <w:numPr>
          <w:ilvl w:val="0"/>
          <w:numId w:val="49"/>
        </w:numPr>
        <w:tabs>
          <w:tab w:val="left" w:pos="1134"/>
        </w:tabs>
        <w:spacing w:after="200" w:line="560" w:lineRule="exact"/>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评标委员会决定投标文件的响应性依据投标文件本身的内容，而不寻求外部的证据，招标文件有明确约定的除外。</w:t>
      </w:r>
    </w:p>
    <w:p>
      <w:pPr>
        <w:tabs>
          <w:tab w:val="left" w:pos="1134"/>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七、评标委员会发现招标文件表述不明确或需要说明的事项，可提请采购人和高新区采购中心书面解释说明。</w:t>
      </w:r>
    </w:p>
    <w:p>
      <w:pPr>
        <w:pStyle w:val="5"/>
        <w:numPr>
          <w:ilvl w:val="1"/>
          <w:numId w:val="4"/>
        </w:numPr>
        <w:spacing w:before="0" w:after="0" w:line="560" w:lineRule="exact"/>
        <w:ind w:left="2269" w:hanging="2269"/>
        <w:rPr>
          <w:color w:val="000000" w:themeColor="text1"/>
          <w14:textFill>
            <w14:solidFill>
              <w14:schemeClr w14:val="tx1"/>
            </w14:solidFill>
          </w14:textFill>
        </w:rPr>
      </w:pPr>
      <w:bookmarkStart w:id="285" w:name="_Toc7423"/>
      <w:bookmarkStart w:id="286" w:name="_Toc28274"/>
      <w:bookmarkStart w:id="287" w:name="_Toc3818"/>
      <w:bookmarkStart w:id="288" w:name="_Toc22385"/>
      <w:bookmarkStart w:id="289" w:name="_Toc29481"/>
      <w:bookmarkStart w:id="290" w:name="_Toc217446098"/>
      <w:bookmarkStart w:id="291" w:name="_Toc316292250"/>
      <w:bookmarkStart w:id="292" w:name="_Toc315871644"/>
      <w:r>
        <w:rPr>
          <w:rFonts w:hint="eastAsia"/>
          <w:color w:val="000000" w:themeColor="text1"/>
          <w14:textFill>
            <w14:solidFill>
              <w14:schemeClr w14:val="tx1"/>
            </w14:solidFill>
          </w14:textFill>
        </w:rPr>
        <w:t>评标方法</w:t>
      </w:r>
      <w:bookmarkEnd w:id="285"/>
      <w:bookmarkEnd w:id="286"/>
      <w:bookmarkEnd w:id="287"/>
      <w:bookmarkEnd w:id="288"/>
      <w:bookmarkEnd w:id="289"/>
    </w:p>
    <w:p>
      <w:pPr>
        <w:spacing w:line="560" w:lineRule="exact"/>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  综合评分法。</w:t>
      </w:r>
    </w:p>
    <w:p>
      <w:pPr>
        <w:pStyle w:val="5"/>
        <w:numPr>
          <w:ilvl w:val="1"/>
          <w:numId w:val="4"/>
        </w:numPr>
        <w:spacing w:before="0" w:after="0" w:line="560" w:lineRule="exact"/>
        <w:ind w:left="2269" w:hanging="2269"/>
        <w:rPr>
          <w:color w:val="000000" w:themeColor="text1"/>
          <w14:textFill>
            <w14:solidFill>
              <w14:schemeClr w14:val="tx1"/>
            </w14:solidFill>
          </w14:textFill>
        </w:rPr>
      </w:pPr>
      <w:bookmarkStart w:id="293" w:name="_Toc30741"/>
      <w:bookmarkStart w:id="294" w:name="_Toc28055"/>
      <w:bookmarkStart w:id="295" w:name="_Toc3207"/>
      <w:bookmarkStart w:id="296" w:name="_Toc10678"/>
      <w:bookmarkStart w:id="297" w:name="_Toc6803"/>
      <w:r>
        <w:rPr>
          <w:rFonts w:hint="eastAsia"/>
          <w:color w:val="000000" w:themeColor="text1"/>
          <w14:textFill>
            <w14:solidFill>
              <w14:schemeClr w14:val="tx1"/>
            </w14:solidFill>
          </w14:textFill>
        </w:rPr>
        <w:t>评标程序</w:t>
      </w:r>
      <w:bookmarkEnd w:id="290"/>
      <w:bookmarkEnd w:id="291"/>
      <w:bookmarkEnd w:id="292"/>
      <w:bookmarkEnd w:id="293"/>
      <w:bookmarkEnd w:id="294"/>
      <w:bookmarkEnd w:id="295"/>
      <w:bookmarkEnd w:id="296"/>
      <w:bookmarkEnd w:id="297"/>
    </w:p>
    <w:p>
      <w:pPr>
        <w:pStyle w:val="6"/>
        <w:numPr>
          <w:ilvl w:val="2"/>
          <w:numId w:val="4"/>
        </w:numPr>
        <w:spacing w:after="200" w:line="560" w:lineRule="exact"/>
        <w:ind w:left="0" w:firstLine="0"/>
        <w:rPr>
          <w:color w:val="000000" w:themeColor="text1"/>
          <w14:textFill>
            <w14:solidFill>
              <w14:schemeClr w14:val="tx1"/>
            </w14:solidFill>
          </w14:textFill>
        </w:rPr>
      </w:pPr>
      <w:bookmarkStart w:id="298" w:name="_Toc316475650"/>
      <w:bookmarkEnd w:id="298"/>
      <w:bookmarkStart w:id="299" w:name="_Toc217446099"/>
      <w:r>
        <w:rPr>
          <w:rFonts w:hint="eastAsia"/>
          <w:color w:val="000000" w:themeColor="text1"/>
          <w14:textFill>
            <w14:solidFill>
              <w14:schemeClr w14:val="tx1"/>
            </w14:solidFill>
          </w14:textFill>
        </w:rPr>
        <w:t>符合性审查</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符合性审查标准见下表（按以下顺序审查）：</w:t>
      </w:r>
    </w:p>
    <w:tbl>
      <w:tblPr>
        <w:tblStyle w:val="45"/>
        <w:tblW w:w="5179" w:type="pct"/>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806"/>
        <w:gridCol w:w="6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序号</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b/>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符合性审查项</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rPr>
                <w:rFonts w:ascii="宋体" w:hAnsi="宋体"/>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1</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投标文件商务技术</w:t>
            </w:r>
            <w:r>
              <w:rPr>
                <w:rFonts w:ascii="宋体" w:hAnsi="宋体"/>
                <w:color w:val="000000" w:themeColor="text1"/>
                <w:sz w:val="24"/>
                <w:szCs w:val="28"/>
                <w14:textFill>
                  <w14:solidFill>
                    <w14:schemeClr w14:val="tx1"/>
                  </w14:solidFill>
                </w14:textFill>
              </w:rPr>
              <w:t>响应文件</w:t>
            </w:r>
            <w:r>
              <w:rPr>
                <w:rFonts w:hint="eastAsia" w:ascii="宋体" w:hAnsi="宋体"/>
                <w:color w:val="000000" w:themeColor="text1"/>
                <w:sz w:val="24"/>
                <w:szCs w:val="28"/>
                <w14:textFill>
                  <w14:solidFill>
                    <w14:schemeClr w14:val="tx1"/>
                  </w14:solidFill>
                </w14:textFill>
              </w:rPr>
              <w:t>及</w:t>
            </w:r>
            <w:r>
              <w:rPr>
                <w:rFonts w:ascii="宋体" w:hAnsi="宋体"/>
                <w:color w:val="000000" w:themeColor="text1"/>
                <w:sz w:val="24"/>
                <w:szCs w:val="28"/>
                <w14:textFill>
                  <w14:solidFill>
                    <w14:schemeClr w14:val="tx1"/>
                  </w14:solidFill>
                </w14:textFill>
              </w:rPr>
              <w:t>报价要求响应文件</w:t>
            </w:r>
            <w:r>
              <w:rPr>
                <w:rFonts w:hint="eastAsia" w:ascii="宋体" w:hAnsi="宋体"/>
                <w:color w:val="000000" w:themeColor="text1"/>
                <w:sz w:val="24"/>
                <w:szCs w:val="28"/>
                <w14:textFill>
                  <w14:solidFill>
                    <w14:schemeClr w14:val="tx1"/>
                  </w14:solidFill>
                </w14:textFill>
              </w:rPr>
              <w:t>组成</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符合招标文件“2.4.6投标文件的组成”规定要求。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 xml:space="preserve">2 </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投标文件签章投标文件加盖有投标人（法定名称）电子签章。</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均按招标文件要求签章。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3</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投标文件商务技术</w:t>
            </w:r>
            <w:r>
              <w:rPr>
                <w:rFonts w:ascii="宋体" w:hAnsi="宋体"/>
                <w:color w:val="000000" w:themeColor="text1"/>
                <w:sz w:val="24"/>
                <w:szCs w:val="28"/>
                <w14:textFill>
                  <w14:solidFill>
                    <w14:schemeClr w14:val="tx1"/>
                  </w14:solidFill>
                </w14:textFill>
              </w:rPr>
              <w:t>响应文件</w:t>
            </w:r>
            <w:r>
              <w:rPr>
                <w:rFonts w:hint="eastAsia" w:ascii="宋体" w:hAnsi="宋体"/>
                <w:color w:val="000000" w:themeColor="text1"/>
                <w:sz w:val="24"/>
                <w:szCs w:val="28"/>
                <w14:textFill>
                  <w14:solidFill>
                    <w14:schemeClr w14:val="tx1"/>
                  </w14:solidFill>
                </w14:textFill>
              </w:rPr>
              <w:t>的计量单位、语言、报价货币、投标有效期</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计量单位、语言、报价货币、投标有效期均符合招标文件的要求。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4</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报价</w:t>
            </w:r>
            <w:r>
              <w:rPr>
                <w:rFonts w:ascii="宋体" w:hAnsi="宋体"/>
                <w:color w:val="000000" w:themeColor="text1"/>
                <w:sz w:val="24"/>
                <w:szCs w:val="28"/>
                <w14:textFill>
                  <w14:solidFill>
                    <w14:schemeClr w14:val="tx1"/>
                  </w14:solidFill>
                </w14:textFill>
              </w:rPr>
              <w:t>要求响应文件</w:t>
            </w:r>
            <w:r>
              <w:rPr>
                <w:rFonts w:hint="eastAsia" w:ascii="宋体" w:hAnsi="宋体"/>
                <w:color w:val="000000" w:themeColor="text1"/>
                <w:sz w:val="24"/>
                <w:szCs w:val="28"/>
                <w14:textFill>
                  <w14:solidFill>
                    <w14:schemeClr w14:val="tx1"/>
                  </w14:solidFill>
                </w14:textFill>
              </w:rPr>
              <w:t>的</w:t>
            </w:r>
            <w:r>
              <w:rPr>
                <w:rFonts w:ascii="宋体" w:hAnsi="宋体"/>
                <w:color w:val="000000" w:themeColor="text1"/>
                <w:sz w:val="24"/>
                <w:szCs w:val="28"/>
                <w14:textFill>
                  <w14:solidFill>
                    <w14:schemeClr w14:val="tx1"/>
                  </w14:solidFill>
                </w14:textFill>
              </w:rPr>
              <w:t>计量单位、语言、报价货币</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计量单位、语言、报价货币均符合招标文件的要求。【说明：无须提供证明材料，上传空白页即可，不对本项上传的材料作符合性审查】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5</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投标报价</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开标记录、投标文件【注：（1）投标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hAnsi="宋体" w:cs="宋体"/>
                <w:color w:val="000000" w:themeColor="text1"/>
                <w:sz w:val="24"/>
                <w:szCs w:val="28"/>
                <w14:textFill>
                  <w14:solidFill>
                    <w14:schemeClr w14:val="tx1"/>
                  </w14:solidFill>
                </w14:textFill>
              </w:rPr>
              <w:t>②</w:t>
            </w:r>
            <w:r>
              <w:rPr>
                <w:rFonts w:hint="eastAsia" w:ascii="宋体" w:hAnsi="宋体"/>
                <w:color w:val="000000" w:themeColor="text1"/>
                <w:sz w:val="24"/>
                <w:szCs w:val="28"/>
                <w14:textFill>
                  <w14:solidFill>
                    <w14:schemeClr w14:val="tx1"/>
                  </w14:solidFill>
                </w14:textFill>
              </w:rPr>
              <w:t>单价金额小数点或者百分比有明显错位的，以总价为准，并修改单价；</w:t>
            </w:r>
            <w:r>
              <w:rPr>
                <w:rFonts w:hint="eastAsia" w:ascii="宋体" w:hAnsi="宋体" w:cs="宋体"/>
                <w:color w:val="000000" w:themeColor="text1"/>
                <w:sz w:val="24"/>
                <w:szCs w:val="28"/>
                <w14:textFill>
                  <w14:solidFill>
                    <w14:schemeClr w14:val="tx1"/>
                  </w14:solidFill>
                </w14:textFill>
              </w:rPr>
              <w:t>③</w:t>
            </w:r>
            <w:r>
              <w:rPr>
                <w:rFonts w:hint="eastAsia" w:ascii="宋体" w:hAnsi="宋体"/>
                <w:color w:val="000000" w:themeColor="text1"/>
                <w:sz w:val="24"/>
                <w:szCs w:val="28"/>
                <w14:textFill>
                  <w14:solidFill>
                    <w14:schemeClr w14:val="tx1"/>
                  </w14:solidFill>
                </w14:textFill>
              </w:rPr>
              <w:t>总价金额与按单价汇总金额不一致的，以单价金额计算结果为准；同时出现两种以上不一致的，按照前款规定的顺序修正。修正后的投标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w:t>
            </w:r>
            <w:r>
              <w:rPr>
                <w:rFonts w:ascii="宋体" w:hAnsi="宋体"/>
                <w:color w:val="000000" w:themeColor="text1"/>
                <w:sz w:val="24"/>
                <w:szCs w:val="28"/>
                <w14:textFill>
                  <w14:solidFill>
                    <w14:schemeClr w14:val="tx1"/>
                  </w14:solidFill>
                </w14:textFill>
              </w:rPr>
              <w:t>5）如因断电、断网、系统故障或其他不可抗力等因素，导致系统无法使用的，由投标人按评标委员会的要求进行澄清或者说明</w:t>
            </w:r>
            <w:r>
              <w:rPr>
                <w:rFonts w:hint="eastAsia" w:ascii="宋体" w:hAnsi="宋体"/>
                <w:color w:val="000000" w:themeColor="text1"/>
                <w:sz w:val="24"/>
                <w:szCs w:val="28"/>
                <w14:textFill>
                  <w14:solidFill>
                    <w14:schemeClr w14:val="tx1"/>
                  </w14:solidFill>
                </w14:textFill>
              </w:rPr>
              <w:t>。（6）无须提供证明材料，上传空白页即可，不对本项上传的材料作符合性审查。】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6</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第4章打★号的服务、商务和其他要求</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投标文件均实质性响应招标文件中加★号的服务、商务和其他要求。【说明：无须提供证明材料，上传空白页即可，不对本项上传的材料作符合性审查】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7</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进口产品</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招标文件中未载明“允许采购进口产品”的产品，投标产品为国产产品。【说明：无须提供证明材料，上传空白页即可，不对本项上传的材料作符合性审查】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8</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不属于禁止参加投标或投标无效的供应商</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（1）根据招标文件的要求不属于禁止参加投标或投标无效的供应商；</w:t>
            </w:r>
          </w:p>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（2）评标委员会未发现或者未知晓投标人存在属于国家相关法律法规规定的禁止参加投标或投标无效的供应商。</w:t>
            </w:r>
          </w:p>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9</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法定代表人身份证复印件或护照复印件</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ascii="宋体" w:hAnsi="宋体"/>
                <w:color w:val="000000" w:themeColor="text1"/>
                <w:sz w:val="24"/>
                <w:szCs w:val="28"/>
                <w14:textFill>
                  <w14:solidFill>
                    <w14:schemeClr w14:val="tx1"/>
                  </w14:solidFill>
                </w14:textFill>
              </w:rPr>
              <w:t>10</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除资格性审查要求的证明材料外，招标文件要求提供的其他证明材料</w:t>
            </w:r>
          </w:p>
        </w:tc>
        <w:tc>
          <w:tcPr>
            <w:tcW w:w="0" w:type="auto"/>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cs="仿宋_GB2312" w:asciiTheme="minorEastAsia" w:hAnsiTheme="minorEastAsia" w:eastAsiaTheme="minorEastAsia"/>
                <w:color w:val="000000" w:themeColor="text1"/>
                <w:sz w:val="24"/>
                <w:szCs w:val="24"/>
                <w14:textFill>
                  <w14:solidFill>
                    <w14:schemeClr w14:val="tx1"/>
                  </w14:solidFill>
                </w14:textFill>
              </w:rPr>
              <w:t>承诺函【说明：①按3.3.</w:t>
            </w:r>
            <w:r>
              <w:rPr>
                <w:rFonts w:hint="eastAsia" w:cs="仿宋_GB2312" w:asciiTheme="minorEastAsia" w:hAnsiTheme="minorEastAsia" w:eastAsiaTheme="minorEastAsia"/>
                <w:color w:val="000000" w:themeColor="text1"/>
                <w:sz w:val="24"/>
                <w:szCs w:val="24"/>
                <w:lang w:val="en-US" w:eastAsia="zh-CN"/>
                <w14:textFill>
                  <w14:solidFill>
                    <w14:schemeClr w14:val="tx1"/>
                  </w14:solidFill>
                </w14:textFill>
              </w:rPr>
              <w:t>5</w:t>
            </w:r>
            <w:r>
              <w:rPr>
                <w:rFonts w:hint="eastAsia" w:cs="仿宋_GB2312" w:asciiTheme="minorEastAsia" w:hAnsiTheme="minorEastAsia" w:eastAsiaTheme="minorEastAsia"/>
                <w:color w:val="000000" w:themeColor="text1"/>
                <w:sz w:val="24"/>
                <w:szCs w:val="24"/>
                <w14:textFill>
                  <w14:solidFill>
                    <w14:schemeClr w14:val="tx1"/>
                  </w14:solidFill>
                </w14:textFill>
              </w:rPr>
              <w:t>承诺函的格式及要求提供承诺函；②承诺的内容满足招标文件的要求。】。</w:t>
            </w:r>
          </w:p>
        </w:tc>
      </w:tr>
    </w:tbl>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人的投标文件符合性审查时被判定为无效投标文件的，高新区采购中心将通知投标人（以电话方式）。投标人如对评审结论有异议的，应及时向高新区采购中心反馈意见。高新区采购中心在评审结束前将收到的反馈意见及时告知评标委员会。（说明：无论投标人是否收到通知或提供反馈意见，均不影响评标委员会的评标工作，且高新区采购中心对此将不承担任何的责任。投标人对评审结论有异议的，其反馈意见仅限于评标委员会对评审结论的正确性进行复核，避免出现评审错误。）</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三、通过符合性审查的供应商＜3名，本项目采购失败。</w:t>
      </w:r>
    </w:p>
    <w:p>
      <w:pPr>
        <w:pStyle w:val="6"/>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解释、澄清有关问题</w:t>
      </w:r>
    </w:p>
    <w:p>
      <w:pPr>
        <w:numPr>
          <w:ilvl w:val="0"/>
          <w:numId w:val="51"/>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过程中，评标委员会认为招标文件有关事项表述不明确或需要说明的，可以提请高新区采购中心书面解释。高新区采购中心的解释不得改变招标文件的原义或者影响公平、公正，解释事项如果涉及投标人权益的以有利于投标人的原则进行解释。</w:t>
      </w:r>
    </w:p>
    <w:p>
      <w:pPr>
        <w:numPr>
          <w:ilvl w:val="0"/>
          <w:numId w:val="51"/>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51"/>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澄清应当不超出投标文件的范围、不实质性改变投标文件的内容、不影响投标人的公平竞争、不导致投标文件从不响应招标文件变为响应招标文件的条件。下列内容不得澄清：</w:t>
      </w:r>
    </w:p>
    <w:p>
      <w:pPr>
        <w:pStyle w:val="158"/>
        <w:numPr>
          <w:ilvl w:val="0"/>
          <w:numId w:val="52"/>
        </w:numPr>
        <w:tabs>
          <w:tab w:val="left" w:pos="126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投标人投标文件中不响应招标文件规定的技术参数指标和商务应答；</w:t>
      </w:r>
    </w:p>
    <w:p>
      <w:pPr>
        <w:pStyle w:val="158"/>
        <w:numPr>
          <w:ilvl w:val="0"/>
          <w:numId w:val="52"/>
        </w:numPr>
        <w:tabs>
          <w:tab w:val="left" w:pos="126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投标人投标文件中未提供的证明其是否符合招标文件资格性、符合性规定要求的相关材料。</w:t>
      </w:r>
    </w:p>
    <w:p>
      <w:pPr>
        <w:pStyle w:val="158"/>
        <w:numPr>
          <w:ilvl w:val="0"/>
          <w:numId w:val="52"/>
        </w:numPr>
        <w:tabs>
          <w:tab w:val="left" w:pos="126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投标人投标文件中的材料因印刷、影印等不清晰而难以辨认的。</w:t>
      </w:r>
    </w:p>
    <w:p>
      <w:pPr>
        <w:numPr>
          <w:ilvl w:val="0"/>
          <w:numId w:val="51"/>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投标文件报价出现下列情况的，不需要投标人澄清，按以下原则处理：</w:t>
      </w:r>
    </w:p>
    <w:p>
      <w:pPr>
        <w:pStyle w:val="158"/>
        <w:numPr>
          <w:ilvl w:val="0"/>
          <w:numId w:val="53"/>
        </w:numPr>
        <w:tabs>
          <w:tab w:val="left" w:pos="105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大写金额和小写金额不一致的，以大写金额为准，但大写金额出现文字错误，导致金额无法判断的除外；</w:t>
      </w:r>
    </w:p>
    <w:p>
      <w:pPr>
        <w:pStyle w:val="158"/>
        <w:numPr>
          <w:ilvl w:val="0"/>
          <w:numId w:val="53"/>
        </w:numPr>
        <w:tabs>
          <w:tab w:val="left" w:pos="105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单价金额小数点或者百分比有明显错位的，以总价为准，并修改单价；</w:t>
      </w:r>
    </w:p>
    <w:p>
      <w:pPr>
        <w:pStyle w:val="158"/>
        <w:numPr>
          <w:ilvl w:val="0"/>
          <w:numId w:val="53"/>
        </w:numPr>
        <w:tabs>
          <w:tab w:val="left" w:pos="1050"/>
        </w:tabs>
        <w:spacing w:after="200" w:line="560" w:lineRule="exact"/>
        <w:ind w:left="0" w:firstLine="525"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总价金额与按单价汇总金额不一致的，以单价金额计算结果为准。</w:t>
      </w:r>
    </w:p>
    <w:p>
      <w:pPr>
        <w:spacing w:line="560" w:lineRule="exact"/>
        <w:ind w:firstLine="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同时出现两种以上不一致的，按照前款规定的顺序修正。修正后的报价经投标人确认后产生约束力，投标人不确认的，其投标无效。</w:t>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五、对不同语言文本投标文件的解释发生异议的，以中文文本为准。</w:t>
      </w:r>
    </w:p>
    <w:p>
      <w:pPr>
        <w:tabs>
          <w:tab w:val="left" w:pos="720"/>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tabs>
          <w:tab w:val="left" w:pos="851"/>
        </w:tabs>
        <w:spacing w:line="560" w:lineRule="exact"/>
        <w:ind w:firstLine="551" w:firstLineChars="196"/>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评标委员会应当积极履行澄清、说明或者更正的职责，不得滥用权力。</w:t>
      </w:r>
    </w:p>
    <w:p>
      <w:pPr>
        <w:pStyle w:val="6"/>
        <w:numPr>
          <w:ilvl w:val="2"/>
          <w:numId w:val="4"/>
        </w:numPr>
        <w:spacing w:after="200" w:line="560" w:lineRule="exact"/>
        <w:ind w:left="851"/>
        <w:rPr>
          <w:color w:val="000000" w:themeColor="text1"/>
          <w14:textFill>
            <w14:solidFill>
              <w14:schemeClr w14:val="tx1"/>
            </w14:solidFill>
          </w14:textFill>
        </w:rPr>
      </w:pPr>
      <w:bookmarkStart w:id="300" w:name="_Toc315871650"/>
      <w:bookmarkEnd w:id="300"/>
      <w:bookmarkStart w:id="301" w:name="_Toc315871651"/>
      <w:bookmarkEnd w:id="301"/>
      <w:bookmarkStart w:id="302" w:name="_Toc315871652"/>
      <w:bookmarkEnd w:id="302"/>
      <w:bookmarkStart w:id="303" w:name="_Toc315871649"/>
      <w:bookmarkEnd w:id="303"/>
      <w:bookmarkStart w:id="304" w:name="_Toc315871647"/>
      <w:bookmarkStart w:id="305" w:name="_Toc316292253"/>
      <w:bookmarkStart w:id="306" w:name="_Toc316292255"/>
      <w:bookmarkStart w:id="307" w:name="_Toc315871653"/>
      <w:r>
        <w:rPr>
          <w:rFonts w:hint="eastAsia"/>
          <w:color w:val="000000" w:themeColor="text1"/>
          <w14:textFill>
            <w14:solidFill>
              <w14:schemeClr w14:val="tx1"/>
            </w14:solidFill>
          </w14:textFill>
        </w:rPr>
        <w:t>比较与评价</w:t>
      </w:r>
      <w:bookmarkEnd w:id="304"/>
      <w:bookmarkEnd w:id="305"/>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按招标文件中规定的评标细则及标准，对符合性检查合格的投标文件进行商务和服务评估，综合比较与评价。</w:t>
      </w:r>
    </w:p>
    <w:p>
      <w:pPr>
        <w:pStyle w:val="6"/>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复核</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评分汇总结束后，评标委员会应当进行复核，特别要对拟推荐为中标候选供应商的、报价最低的、投标文件被认定为无效的进行重点复核。</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评标结果汇总完成后，评标委员会拟出具评审报告前，</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应当组织2名以上的工作人员，在采购现场监督人员的监督之下，依据有关的法律制度和采购文件对评审结果进行复核，出具复核报告。</w:t>
      </w:r>
    </w:p>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评标结果汇总完成后，除下列情形外，任何人不得修改评标结果：</w:t>
      </w:r>
    </w:p>
    <w:p>
      <w:pPr>
        <w:pStyle w:val="86"/>
        <w:numPr>
          <w:ilvl w:val="0"/>
          <w:numId w:val="54"/>
        </w:numPr>
        <w:tabs>
          <w:tab w:val="left" w:pos="851"/>
          <w:tab w:val="left" w:pos="1276"/>
        </w:tabs>
        <w:spacing w:after="200" w:line="560" w:lineRule="exact"/>
        <w:ind w:left="0" w:firstLine="424"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分值汇总计算错误的；</w:t>
      </w:r>
    </w:p>
    <w:p>
      <w:pPr>
        <w:pStyle w:val="86"/>
        <w:numPr>
          <w:ilvl w:val="0"/>
          <w:numId w:val="54"/>
        </w:numPr>
        <w:tabs>
          <w:tab w:val="left" w:pos="851"/>
          <w:tab w:val="left" w:pos="1276"/>
        </w:tabs>
        <w:spacing w:after="200" w:line="560" w:lineRule="exact"/>
        <w:ind w:left="0" w:firstLine="424"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分项评分超出评分标准范围的；</w:t>
      </w:r>
    </w:p>
    <w:p>
      <w:pPr>
        <w:pStyle w:val="86"/>
        <w:numPr>
          <w:ilvl w:val="0"/>
          <w:numId w:val="54"/>
        </w:numPr>
        <w:tabs>
          <w:tab w:val="left" w:pos="851"/>
          <w:tab w:val="left" w:pos="1276"/>
          <w:tab w:val="left" w:pos="1418"/>
        </w:tabs>
        <w:spacing w:after="200" w:line="560" w:lineRule="exact"/>
        <w:ind w:left="0" w:firstLine="424"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评标委员会成员对客观评审因素评分不一致的；</w:t>
      </w:r>
    </w:p>
    <w:p>
      <w:pPr>
        <w:pStyle w:val="86"/>
        <w:numPr>
          <w:ilvl w:val="0"/>
          <w:numId w:val="54"/>
        </w:numPr>
        <w:tabs>
          <w:tab w:val="left" w:pos="851"/>
          <w:tab w:val="left" w:pos="1276"/>
        </w:tabs>
        <w:spacing w:after="200" w:line="560" w:lineRule="exact"/>
        <w:ind w:left="0" w:firstLine="426" w:firstLineChars="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经评标委员会认定评分畸高、畸低的。</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pStyle w:val="6"/>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确定中标候选人名单</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按投标人综合得分从高到低进行排序，确定1至3名中标候选人。综合得分相同的，按投标报价由低到高顺序排列，得分且投标报价相同的并列。</w:t>
      </w:r>
      <w:r>
        <w:rPr>
          <w:rFonts w:hint="eastAsia" w:ascii="Helvetica" w:hAnsi="Helvetica" w:cs="Helvetica"/>
          <w:color w:val="000000" w:themeColor="text1"/>
          <w:kern w:val="0"/>
          <w:sz w:val="28"/>
          <w:szCs w:val="28"/>
          <w14:textFill>
            <w14:solidFill>
              <w14:schemeClr w14:val="tx1"/>
            </w14:solidFill>
          </w14:textFill>
        </w:rPr>
        <w:t>投标文件满足招标文件全部实质性要求，且按照评审因素的量化指标评审得分最高的投标人为排名第一的中标候选人。</w:t>
      </w:r>
    </w:p>
    <w:p>
      <w:pPr>
        <w:pStyle w:val="6"/>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编写评标报告</w:t>
      </w:r>
      <w:bookmarkEnd w:id="306"/>
      <w:bookmarkEnd w:id="307"/>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评标报告是评标委员会根据全体评标成员签字的原始评标记录和评标结果编写的报告，其主要内容包括：</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招标公告刊登的媒体名称、开标日期和地点；</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投标人名单和评标委员会成员名单；</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评标方法和标准；</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开标记录和评标情况及说明，包括投标无效投标人名单及原因；</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评标结果，确定的中标候选人名单或者经采购人委托直接确定的中标人；</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其他需要说明的情况，包括评标过程中投标人根据评标委员会要求进行的澄清、说明或者补正，评标委员会成员的更换等； </w:t>
      </w:r>
    </w:p>
    <w:p>
      <w:pPr>
        <w:numPr>
          <w:ilvl w:val="0"/>
          <w:numId w:val="55"/>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报价最高的投标人为中标候选人的，评标委员会应当对其报价的合理性予以特别说明。</w:t>
      </w:r>
    </w:p>
    <w:p>
      <w:pPr>
        <w:tabs>
          <w:tab w:val="left" w:pos="1155"/>
        </w:tabs>
        <w:spacing w:line="560" w:lineRule="exact"/>
        <w:ind w:firstLine="523" w:firstLineChars="18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pStyle w:val="5"/>
        <w:numPr>
          <w:ilvl w:val="1"/>
          <w:numId w:val="4"/>
        </w:numPr>
        <w:spacing w:line="560" w:lineRule="exact"/>
        <w:ind w:left="2269" w:hanging="2269"/>
        <w:rPr>
          <w:color w:val="000000" w:themeColor="text1"/>
          <w14:textFill>
            <w14:solidFill>
              <w14:schemeClr w14:val="tx1"/>
            </w14:solidFill>
          </w14:textFill>
        </w:rPr>
      </w:pPr>
      <w:bookmarkStart w:id="308" w:name="_Toc27797"/>
      <w:bookmarkStart w:id="309" w:name="_Toc11482"/>
      <w:bookmarkStart w:id="310" w:name="_Toc479753445"/>
      <w:bookmarkStart w:id="311" w:name="_Toc18759"/>
      <w:bookmarkStart w:id="312" w:name="_Toc7609"/>
      <w:bookmarkStart w:id="313" w:name="_Toc30340"/>
      <w:bookmarkStart w:id="314" w:name="_Toc315871654"/>
      <w:bookmarkStart w:id="315" w:name="_Toc217446103"/>
      <w:bookmarkStart w:id="316" w:name="_Toc316292256"/>
      <w:r>
        <w:rPr>
          <w:rFonts w:hint="eastAsia"/>
          <w:color w:val="000000" w:themeColor="text1"/>
          <w14:textFill>
            <w14:solidFill>
              <w14:schemeClr w14:val="tx1"/>
            </w14:solidFill>
          </w14:textFill>
        </w:rPr>
        <w:t>评标争议处理规则</w:t>
      </w:r>
      <w:bookmarkEnd w:id="308"/>
      <w:bookmarkEnd w:id="309"/>
      <w:bookmarkEnd w:id="310"/>
      <w:bookmarkEnd w:id="311"/>
      <w:bookmarkEnd w:id="312"/>
      <w:bookmarkEnd w:id="313"/>
    </w:p>
    <w:p>
      <w:pPr>
        <w:tabs>
          <w:tab w:val="left" w:pos="1155"/>
        </w:tabs>
        <w:spacing w:line="560" w:lineRule="exact"/>
        <w:ind w:firstLine="523" w:firstLineChars="18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color w:val="000000" w:themeColor="text1"/>
          <w:sz w:val="28"/>
          <w:szCs w:val="28"/>
          <w14:textFill>
            <w14:solidFill>
              <w14:schemeClr w14:val="tx1"/>
            </w14:solidFill>
          </w14:textFill>
        </w:rPr>
        <w:t>持不同意见的评标委员会成员应当在评标报告上签署不同意见及理由，否则视为同意评标报告。</w:t>
      </w:r>
      <w:r>
        <w:rPr>
          <w:rFonts w:hint="eastAsia" w:ascii="宋体" w:hAnsi="宋体"/>
          <w:color w:val="000000" w:themeColor="text1"/>
          <w:sz w:val="28"/>
          <w:szCs w:val="28"/>
          <w14:textFill>
            <w14:solidFill>
              <w14:schemeClr w14:val="tx1"/>
            </w14:solidFill>
          </w14:textFill>
        </w:rPr>
        <w:t>持不同意见的评标委员会成员认为认定过程和结果不符合法律法规或者招标文件规定的，应当及时向采购人或</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书面反映。采购人或</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收到书面反映后，应当书面报告采购项目同级财政部门依法处理。</w:t>
      </w:r>
    </w:p>
    <w:p>
      <w:pPr>
        <w:pStyle w:val="5"/>
        <w:numPr>
          <w:ilvl w:val="1"/>
          <w:numId w:val="4"/>
        </w:numPr>
        <w:spacing w:before="0" w:after="0" w:line="560" w:lineRule="exact"/>
        <w:ind w:left="2269" w:hanging="2269"/>
        <w:rPr>
          <w:color w:val="000000" w:themeColor="text1"/>
          <w14:textFill>
            <w14:solidFill>
              <w14:schemeClr w14:val="tx1"/>
            </w14:solidFill>
          </w14:textFill>
        </w:rPr>
      </w:pPr>
      <w:bookmarkStart w:id="317" w:name="_Toc2818"/>
      <w:bookmarkStart w:id="318" w:name="_Toc25222"/>
      <w:bookmarkStart w:id="319" w:name="_Toc6600"/>
      <w:bookmarkStart w:id="320" w:name="_Toc23552"/>
      <w:bookmarkStart w:id="321" w:name="_Toc18642"/>
      <w:r>
        <w:rPr>
          <w:rFonts w:hint="eastAsia"/>
          <w:color w:val="000000" w:themeColor="text1"/>
          <w14:textFill>
            <w14:solidFill>
              <w14:schemeClr w14:val="tx1"/>
            </w14:solidFill>
          </w14:textFill>
        </w:rPr>
        <w:t>评标细则及标准</w:t>
      </w:r>
      <w:bookmarkEnd w:id="314"/>
      <w:bookmarkEnd w:id="315"/>
      <w:bookmarkEnd w:id="316"/>
      <w:bookmarkEnd w:id="317"/>
      <w:bookmarkEnd w:id="318"/>
      <w:bookmarkEnd w:id="319"/>
      <w:bookmarkEnd w:id="320"/>
      <w:bookmarkEnd w:id="321"/>
    </w:p>
    <w:p>
      <w:pPr>
        <w:numPr>
          <w:ilvl w:val="0"/>
          <w:numId w:val="56"/>
        </w:numPr>
        <w:tabs>
          <w:tab w:val="left" w:pos="1155"/>
        </w:tabs>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评标委员会只对通过初审的投标文件，根据招标文件的要求采用相同的评标程序、评分办法及标准进行评价和比较。</w:t>
      </w:r>
    </w:p>
    <w:p>
      <w:pPr>
        <w:numPr>
          <w:ilvl w:val="0"/>
          <w:numId w:val="56"/>
        </w:numPr>
        <w:tabs>
          <w:tab w:val="left" w:pos="1155"/>
        </w:tabs>
        <w:spacing w:after="200"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本次综合评分的因素是：价格、服务、商务等。</w:t>
      </w:r>
    </w:p>
    <w:p>
      <w:pPr>
        <w:numPr>
          <w:ilvl w:val="0"/>
          <w:numId w:val="56"/>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bookmarkStart w:id="322" w:name="_Toc310176995"/>
      <w:bookmarkStart w:id="323" w:name="_Toc217102344"/>
      <w:bookmarkStart w:id="324" w:name="_Toc218498587"/>
      <w:r>
        <w:rPr>
          <w:rFonts w:hint="eastAsia" w:ascii="宋体" w:hAnsi="宋体"/>
          <w:color w:val="000000" w:themeColor="text1"/>
          <w:sz w:val="28"/>
          <w:szCs w:val="28"/>
          <w14:textFill>
            <w14:solidFill>
              <w14:schemeClr w14:val="tx1"/>
            </w14:solidFill>
          </w14:textFill>
        </w:rPr>
        <w:t>评标委员会成员应依据招标文件规定的评分标准和方法独立打分。</w:t>
      </w:r>
    </w:p>
    <w:p>
      <w:pPr>
        <w:pStyle w:val="6"/>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评分办法</w:t>
      </w:r>
      <w:bookmarkEnd w:id="322"/>
      <w:bookmarkEnd w:id="323"/>
      <w:bookmarkEnd w:id="324"/>
    </w:p>
    <w:p>
      <w:pPr>
        <w:spacing w:line="560" w:lineRule="exact"/>
        <w:ind w:firstLine="630" w:firstLineChars="2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本次评标采用综合评分法，由评标委员会各成员独立对通过初审（资格检查和符合性检查）的投标人的投标文件进行评审和打分，    </w:t>
      </w:r>
    </w:p>
    <w:p>
      <w:pPr>
        <w:spacing w:line="560" w:lineRule="exact"/>
        <w:ind w:firstLine="630" w:firstLineChars="2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评标得分＝（A</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）/n</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n</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n</w:t>
      </w:r>
      <w:r>
        <w:rPr>
          <w:rFonts w:hint="eastAsia" w:ascii="宋体" w:hAnsi="宋体"/>
          <w:color w:val="000000" w:themeColor="text1"/>
          <w:sz w:val="28"/>
          <w:szCs w:val="28"/>
          <w:vertAlign w:val="subscript"/>
          <w14:textFill>
            <w14:solidFill>
              <w14:schemeClr w14:val="tx1"/>
            </w14:solidFill>
          </w14:textFill>
        </w:rPr>
        <w:t>3</w:t>
      </w:r>
    </w:p>
    <w:p>
      <w:pPr>
        <w:widowControl/>
        <w:spacing w:line="560" w:lineRule="exact"/>
        <w:ind w:firstLine="560" w:firstLineChars="200"/>
        <w:rPr>
          <w:rFonts w:hint="eastAsia"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分别为每个</w:t>
      </w:r>
      <w:r>
        <w:rPr>
          <w:rFonts w:hint="eastAsia" w:ascii="宋体" w:hAnsi="宋体" w:cs="宋体"/>
          <w:color w:val="000000" w:themeColor="text1"/>
          <w:kern w:val="0"/>
          <w:sz w:val="28"/>
          <w:szCs w:val="28"/>
          <w14:textFill>
            <w14:solidFill>
              <w14:schemeClr w14:val="tx1"/>
            </w14:solidFill>
          </w14:textFill>
        </w:rPr>
        <w:t>经济类</w:t>
      </w:r>
      <w:r>
        <w:rPr>
          <w:rFonts w:hint="eastAsia" w:ascii="宋体" w:hAnsi="宋体"/>
          <w:color w:val="000000" w:themeColor="text1"/>
          <w:sz w:val="28"/>
          <w:szCs w:val="28"/>
          <w14:textFill>
            <w14:solidFill>
              <w14:schemeClr w14:val="tx1"/>
            </w14:solidFill>
          </w14:textFill>
        </w:rPr>
        <w:t>评委的打分，n</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为</w:t>
      </w:r>
      <w:r>
        <w:rPr>
          <w:rFonts w:hint="eastAsia" w:ascii="宋体" w:hAnsi="宋体" w:cs="宋体"/>
          <w:color w:val="000000" w:themeColor="text1"/>
          <w:kern w:val="0"/>
          <w:sz w:val="28"/>
          <w:szCs w:val="28"/>
          <w14:textFill>
            <w14:solidFill>
              <w14:schemeClr w14:val="tx1"/>
            </w14:solidFill>
          </w14:textFill>
        </w:rPr>
        <w:t>经济类</w:t>
      </w:r>
      <w:r>
        <w:rPr>
          <w:rFonts w:hint="eastAsia" w:ascii="宋体" w:hAnsi="宋体"/>
          <w:color w:val="000000" w:themeColor="text1"/>
          <w:sz w:val="28"/>
          <w:szCs w:val="28"/>
          <w14:textFill>
            <w14:solidFill>
              <w14:schemeClr w14:val="tx1"/>
            </w14:solidFill>
          </w14:textFill>
        </w:rPr>
        <w:t>评委人数；B</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xml:space="preserve"> 分别为每个技术类评委（含采购人代表）的打分，n</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为</w:t>
      </w:r>
      <w:r>
        <w:rPr>
          <w:rFonts w:hint="eastAsia" w:ascii="宋体" w:hAnsi="宋体" w:cs="宋体"/>
          <w:color w:val="000000" w:themeColor="text1"/>
          <w:kern w:val="0"/>
          <w:sz w:val="28"/>
          <w:szCs w:val="28"/>
          <w14:textFill>
            <w14:solidFill>
              <w14:schemeClr w14:val="tx1"/>
            </w14:solidFill>
          </w14:textFill>
        </w:rPr>
        <w:t>技术类</w:t>
      </w:r>
      <w:r>
        <w:rPr>
          <w:rFonts w:hint="eastAsia" w:ascii="宋体" w:hAnsi="宋体"/>
          <w:color w:val="000000" w:themeColor="text1"/>
          <w:sz w:val="28"/>
          <w:szCs w:val="28"/>
          <w14:textFill>
            <w14:solidFill>
              <w14:schemeClr w14:val="tx1"/>
            </w14:solidFill>
          </w14:textFill>
        </w:rPr>
        <w:t>评委（含采购人代表）人数；C</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xml:space="preserve"> 分别为评审委员会每个成员的打分，n</w:t>
      </w:r>
      <w:r>
        <w:rPr>
          <w:rFonts w:hint="eastAsia" w:ascii="宋体" w:hAnsi="宋体"/>
          <w:color w:val="000000" w:themeColor="text1"/>
          <w:sz w:val="28"/>
          <w:szCs w:val="28"/>
          <w:vertAlign w:val="subscript"/>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为评委人数。</w:t>
      </w:r>
    </w:p>
    <w:p>
      <w:pPr>
        <w:pStyle w:val="6"/>
        <w:numPr>
          <w:ilvl w:val="2"/>
          <w:numId w:val="4"/>
        </w:numPr>
        <w:spacing w:after="200" w:line="560" w:lineRule="exact"/>
        <w:ind w:left="0" w:firstLine="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评分标准</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079"/>
        <w:gridCol w:w="5675"/>
        <w:gridCol w:w="1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2" w:space="0"/>
              <w:left w:val="single" w:color="auto" w:sz="2" w:space="0"/>
              <w:bottom w:val="single" w:color="auto" w:sz="2" w:space="0"/>
              <w:right w:val="single" w:color="auto" w:sz="2" w:space="0"/>
            </w:tcBorders>
            <w:vAlign w:val="center"/>
          </w:tcPr>
          <w:p>
            <w:pPr>
              <w:spacing w:after="200" w:line="276" w:lineRule="auto"/>
              <w:rPr>
                <w:b/>
                <w:sz w:val="22"/>
                <w:szCs w:val="21"/>
              </w:rPr>
            </w:pPr>
            <w:r>
              <w:rPr>
                <w:rFonts w:hint="eastAsia"/>
                <w:b/>
                <w:sz w:val="22"/>
                <w:szCs w:val="21"/>
              </w:rPr>
              <w:t>评委类别</w:t>
            </w:r>
          </w:p>
        </w:tc>
        <w:tc>
          <w:tcPr>
            <w:tcW w:w="633" w:type="pct"/>
            <w:tcBorders>
              <w:top w:val="single" w:color="auto" w:sz="2" w:space="0"/>
              <w:left w:val="single" w:color="auto" w:sz="2" w:space="0"/>
              <w:bottom w:val="single" w:color="auto" w:sz="2" w:space="0"/>
              <w:right w:val="single" w:color="auto" w:sz="2" w:space="0"/>
            </w:tcBorders>
            <w:vAlign w:val="center"/>
          </w:tcPr>
          <w:p>
            <w:pPr>
              <w:jc w:val="center"/>
              <w:rPr>
                <w:b/>
                <w:sz w:val="22"/>
                <w:szCs w:val="21"/>
              </w:rPr>
            </w:pPr>
            <w:r>
              <w:rPr>
                <w:rFonts w:hint="eastAsia"/>
                <w:b/>
                <w:sz w:val="22"/>
                <w:szCs w:val="21"/>
              </w:rPr>
              <w:t>评审</w:t>
            </w:r>
          </w:p>
          <w:p>
            <w:pPr>
              <w:spacing w:after="200" w:line="276" w:lineRule="auto"/>
              <w:jc w:val="center"/>
              <w:rPr>
                <w:b/>
                <w:sz w:val="22"/>
                <w:szCs w:val="21"/>
              </w:rPr>
            </w:pPr>
            <w:r>
              <w:rPr>
                <w:rFonts w:hint="eastAsia"/>
                <w:b/>
                <w:sz w:val="22"/>
                <w:szCs w:val="21"/>
              </w:rPr>
              <w:t>项目</w:t>
            </w:r>
          </w:p>
        </w:tc>
        <w:tc>
          <w:tcPr>
            <w:tcW w:w="3329" w:type="pct"/>
            <w:tcBorders>
              <w:top w:val="single" w:color="auto" w:sz="2" w:space="0"/>
              <w:left w:val="single" w:color="auto" w:sz="2" w:space="0"/>
              <w:bottom w:val="single" w:color="auto" w:sz="2" w:space="0"/>
              <w:right w:val="single" w:color="auto" w:sz="2" w:space="0"/>
            </w:tcBorders>
            <w:vAlign w:val="center"/>
          </w:tcPr>
          <w:p>
            <w:pPr>
              <w:spacing w:after="200" w:line="276" w:lineRule="auto"/>
              <w:jc w:val="center"/>
              <w:rPr>
                <w:b/>
                <w:sz w:val="22"/>
                <w:szCs w:val="21"/>
              </w:rPr>
            </w:pPr>
            <w:r>
              <w:rPr>
                <w:rFonts w:hint="eastAsia"/>
                <w:b/>
                <w:sz w:val="22"/>
                <w:szCs w:val="21"/>
              </w:rPr>
              <w:t>评分标准</w:t>
            </w:r>
          </w:p>
        </w:tc>
        <w:tc>
          <w:tcPr>
            <w:tcW w:w="641" w:type="pct"/>
            <w:tcBorders>
              <w:top w:val="single" w:color="auto" w:sz="2" w:space="0"/>
              <w:left w:val="single" w:color="auto" w:sz="2" w:space="0"/>
              <w:bottom w:val="single" w:color="auto" w:sz="2" w:space="0"/>
              <w:right w:val="single" w:color="auto" w:sz="2" w:space="0"/>
            </w:tcBorders>
            <w:vAlign w:val="center"/>
          </w:tcPr>
          <w:p>
            <w:pPr>
              <w:spacing w:after="200" w:line="276" w:lineRule="auto"/>
              <w:jc w:val="center"/>
              <w:rPr>
                <w:b/>
                <w:sz w:val="22"/>
                <w:szCs w:val="21"/>
              </w:rPr>
            </w:pPr>
            <w:r>
              <w:rPr>
                <w:rFonts w:hint="eastAsia"/>
                <w:b/>
                <w:sz w:val="22"/>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2" w:space="0"/>
              <w:left w:val="single" w:color="auto" w:sz="2" w:space="0"/>
              <w:bottom w:val="single" w:color="auto" w:sz="2"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评审委员会成员</w:t>
            </w:r>
          </w:p>
        </w:tc>
        <w:tc>
          <w:tcPr>
            <w:tcW w:w="633" w:type="pct"/>
            <w:tcBorders>
              <w:top w:val="single" w:color="auto" w:sz="2" w:space="0"/>
              <w:left w:val="single" w:color="auto" w:sz="2" w:space="0"/>
              <w:bottom w:val="single" w:color="auto" w:sz="2" w:space="0"/>
              <w:right w:val="single" w:color="auto" w:sz="2" w:space="0"/>
            </w:tcBorders>
            <w:vAlign w:val="center"/>
          </w:tcPr>
          <w:p>
            <w:pPr>
              <w:spacing w:after="200" w:line="276" w:lineRule="auto"/>
              <w:jc w:val="center"/>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投标报价得分</w:t>
            </w:r>
          </w:p>
        </w:tc>
        <w:tc>
          <w:tcPr>
            <w:tcW w:w="3329" w:type="pct"/>
            <w:tcBorders>
              <w:top w:val="single" w:color="auto" w:sz="2" w:space="0"/>
              <w:left w:val="single" w:color="auto" w:sz="2" w:space="0"/>
              <w:bottom w:val="single" w:color="auto" w:sz="2" w:space="0"/>
              <w:right w:val="single" w:color="auto" w:sz="2" w:space="0"/>
            </w:tcBorders>
            <w:vAlign w:val="center"/>
          </w:tcPr>
          <w:p>
            <w:pPr>
              <w:rPr>
                <w:rFonts w:asciiTheme="minorEastAsia" w:hAnsiTheme="minorEastAsia" w:eastAsiaTheme="minorEastAsia" w:cstheme="minorEastAsia"/>
                <w:color w:val="000000" w:themeColor="text1"/>
                <w:szCs w:val="21"/>
                <w14:textFill>
                  <w14:solidFill>
                    <w14:schemeClr w14:val="tx1"/>
                  </w14:solidFill>
                </w14:textFill>
              </w:rPr>
            </w:pPr>
            <w:r>
              <w:rPr>
                <w:rFonts w:hint="eastAsia" w:asciiTheme="minorEastAsia" w:hAnsiTheme="minorEastAsia" w:eastAsiaTheme="minorEastAsia" w:cstheme="minorEastAsia"/>
                <w:color w:val="000000" w:themeColor="text1"/>
                <w:szCs w:val="21"/>
                <w14:textFill>
                  <w14:solidFill>
                    <w14:schemeClr w14:val="tx1"/>
                  </w14:solidFill>
                </w14:textFill>
              </w:rPr>
              <w:t xml:space="preserve"> </w:t>
            </w:r>
          </w:p>
          <w:p>
            <w:pPr>
              <w:rPr>
                <w:rFonts w:asciiTheme="minorEastAsia" w:hAnsiTheme="minorEastAsia" w:eastAsiaTheme="minorEastAsia" w:cstheme="minorEastAsia"/>
                <w:color w:val="000000" w:themeColor="text1"/>
                <w:szCs w:val="21"/>
                <w14:textFill>
                  <w14:solidFill>
                    <w14:schemeClr w14:val="tx1"/>
                  </w14:solidFill>
                </w14:textFill>
              </w:rPr>
            </w:pPr>
            <w:r>
              <w:rPr>
                <w:rFonts w:hint="eastAsia" w:asciiTheme="minorEastAsia" w:hAnsiTheme="minorEastAsia" w:eastAsiaTheme="minorEastAsia" w:cstheme="minorEastAsia"/>
                <w:color w:val="000000" w:themeColor="text1"/>
                <w:szCs w:val="21"/>
                <w14:textFill>
                  <w14:solidFill>
                    <w14:schemeClr w14:val="tx1"/>
                  </w14:solidFill>
                </w14:textFill>
              </w:rPr>
              <w:t>1、经评标委员会评审，通过资格审查和符合性审查，且投标报价最低的投标人的投标报价作为评标基准价。</w:t>
            </w:r>
          </w:p>
          <w:p>
            <w:pPr>
              <w:spacing w:after="200" w:line="276" w:lineRule="auto"/>
              <w:rPr>
                <w:color w:val="000000" w:themeColor="text1"/>
                <w:szCs w:val="21"/>
                <w14:textFill>
                  <w14:solidFill>
                    <w14:schemeClr w14:val="tx1"/>
                  </w14:solidFill>
                </w14:textFill>
              </w:rPr>
            </w:pPr>
            <w:r>
              <w:rPr>
                <w:rFonts w:hint="eastAsia" w:asciiTheme="minorEastAsia" w:hAnsiTheme="minorEastAsia" w:eastAsiaTheme="minorEastAsia" w:cstheme="minorEastAsia"/>
                <w:color w:val="000000" w:themeColor="text1"/>
                <w:szCs w:val="21"/>
                <w14:textFill>
                  <w14:solidFill>
                    <w14:schemeClr w14:val="tx1"/>
                  </w14:solidFill>
                </w14:textFill>
              </w:rPr>
              <w:t>2、投标报价得分=(评标基准价／投标报价)×10。</w:t>
            </w:r>
          </w:p>
        </w:tc>
        <w:tc>
          <w:tcPr>
            <w:tcW w:w="641" w:type="pct"/>
            <w:tcBorders>
              <w:top w:val="single" w:color="auto" w:sz="2" w:space="0"/>
              <w:left w:val="single" w:color="auto" w:sz="2" w:space="0"/>
              <w:bottom w:val="single" w:color="auto" w:sz="2" w:space="0"/>
              <w:right w:val="single" w:color="auto" w:sz="2" w:space="0"/>
            </w:tcBorders>
            <w:vAlign w:val="center"/>
          </w:tcPr>
          <w:p>
            <w:pPr>
              <w:spacing w:after="200" w:line="276" w:lineRule="auto"/>
              <w:jc w:val="center"/>
              <w:rPr>
                <w:color w:val="000000" w:themeColor="text1"/>
                <w:sz w:val="20"/>
                <w14:textFill>
                  <w14:solidFill>
                    <w14:schemeClr w14:val="tx1"/>
                  </w14:solidFill>
                </w14:textFill>
              </w:rPr>
            </w:pPr>
            <w:r>
              <w:rPr>
                <w:rFonts w:hint="eastAsia" w:asciiTheme="minorEastAsia" w:hAnsiTheme="minorEastAsia" w:eastAsiaTheme="minorEastAsia" w:cstheme="minorEastAsia"/>
                <w:color w:val="000000" w:themeColor="text1"/>
                <w:szCs w:val="21"/>
                <w14:textFill>
                  <w14:solidFill>
                    <w14:schemeClr w14:val="tx1"/>
                  </w14:solidFill>
                </w14:textFill>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2" w:space="0"/>
              <w:left w:val="single" w:color="auto" w:sz="2" w:space="0"/>
              <w:bottom w:val="single" w:color="auto" w:sz="4"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评审委员会成员</w:t>
            </w:r>
          </w:p>
        </w:tc>
        <w:tc>
          <w:tcPr>
            <w:tcW w:w="633" w:type="pct"/>
            <w:tcBorders>
              <w:top w:val="single" w:color="auto" w:sz="2" w:space="0"/>
              <w:left w:val="single" w:color="auto" w:sz="2" w:space="0"/>
              <w:bottom w:val="single" w:color="auto" w:sz="2" w:space="0"/>
              <w:right w:val="single" w:color="auto" w:sz="2" w:space="0"/>
            </w:tcBorders>
            <w:vAlign w:val="center"/>
          </w:tcPr>
          <w:p>
            <w:pPr>
              <w:spacing w:after="200" w:line="400" w:lineRule="exact"/>
              <w:jc w:val="center"/>
              <w:rPr>
                <w:rFonts w:ascii="宋体" w:hAnsi="宋体"/>
                <w:b/>
                <w:bCs/>
                <w:color w:val="000000" w:themeColor="text1"/>
                <w:szCs w:val="21"/>
                <w14:textFill>
                  <w14:solidFill>
                    <w14:schemeClr w14:val="tx1"/>
                  </w14:solidFill>
                </w14:textFill>
              </w:rPr>
            </w:pPr>
            <w:r>
              <w:rPr>
                <w:rFonts w:hint="eastAsia" w:ascii="宋体" w:hAnsi="宋体"/>
                <w:b/>
                <w:bCs/>
                <w:color w:val="000000" w:themeColor="text1"/>
                <w:szCs w:val="21"/>
                <w14:textFill>
                  <w14:solidFill>
                    <w14:schemeClr w14:val="tx1"/>
                  </w14:solidFill>
                </w14:textFill>
              </w:rPr>
              <w:t>履约能力</w:t>
            </w:r>
          </w:p>
        </w:tc>
        <w:tc>
          <w:tcPr>
            <w:tcW w:w="3329" w:type="pct"/>
            <w:tcBorders>
              <w:top w:val="single" w:color="auto" w:sz="2" w:space="0"/>
              <w:left w:val="single" w:color="auto" w:sz="2" w:space="0"/>
              <w:bottom w:val="single" w:color="auto" w:sz="2" w:space="0"/>
              <w:right w:val="single" w:color="auto" w:sz="2" w:space="0"/>
            </w:tcBorders>
            <w:vAlign w:val="center"/>
          </w:tcPr>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1.投标人</w:t>
            </w:r>
            <w:r>
              <w:rPr>
                <w:rFonts w:hint="eastAsia" w:ascii="宋体" w:hAnsi="宋体" w:cs="宋体"/>
                <w:color w:val="000000" w:themeColor="text1"/>
                <w:szCs w:val="21"/>
                <w:lang w:val="en-US" w:eastAsia="zh-CN"/>
                <w14:textFill>
                  <w14:solidFill>
                    <w14:schemeClr w14:val="tx1"/>
                  </w14:solidFill>
                </w14:textFill>
              </w:rPr>
              <w:t>自</w:t>
            </w:r>
            <w:r>
              <w:rPr>
                <w:rFonts w:hint="eastAsia" w:ascii="宋体" w:hAnsi="宋体" w:cs="宋体"/>
                <w:color w:val="000000" w:themeColor="text1"/>
                <w:szCs w:val="21"/>
                <w14:textFill>
                  <w14:solidFill>
                    <w14:schemeClr w14:val="tx1"/>
                  </w14:solidFill>
                </w14:textFill>
              </w:rPr>
              <w:t>2018年1月1日（含1日）以后，每具有1个非住宅物业管理服务项目业绩</w:t>
            </w:r>
            <w:r>
              <w:rPr>
                <w:rFonts w:hint="eastAsia" w:cs="宋体" w:asciiTheme="minorEastAsia" w:hAnsiTheme="minorEastAsia" w:eastAsiaTheme="minorEastAsia"/>
                <w:bCs/>
                <w:sz w:val="22"/>
              </w:rPr>
              <w:t>（内容包含保洁、安全管理、水电维修、绿化管护或相同语意</w:t>
            </w:r>
            <w:r>
              <w:rPr>
                <w:rFonts w:cs="宋体" w:asciiTheme="minorEastAsia" w:hAnsiTheme="minorEastAsia" w:eastAsiaTheme="minorEastAsia"/>
                <w:bCs/>
                <w:sz w:val="22"/>
              </w:rPr>
              <w:t>内容</w:t>
            </w:r>
            <w:r>
              <w:rPr>
                <w:rFonts w:hint="eastAsia" w:cs="宋体" w:asciiTheme="minorEastAsia" w:hAnsiTheme="minorEastAsia" w:eastAsiaTheme="minorEastAsia"/>
                <w:bCs/>
                <w:sz w:val="22"/>
              </w:rPr>
              <w:t>）</w:t>
            </w:r>
            <w:r>
              <w:rPr>
                <w:rFonts w:hint="eastAsia" w:ascii="宋体" w:hAnsi="宋体" w:cs="宋体"/>
                <w:color w:val="000000" w:themeColor="text1"/>
                <w:szCs w:val="21"/>
                <w14:textFill>
                  <w14:solidFill>
                    <w14:schemeClr w14:val="tx1"/>
                  </w14:solidFill>
                </w14:textFill>
              </w:rPr>
              <w:t>的，得2分，最多得10分。</w:t>
            </w:r>
          </w:p>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说明：</w:t>
            </w:r>
            <w:r>
              <w:rPr>
                <w:rFonts w:hint="eastAsia" w:cs="宋体" w:asciiTheme="minorEastAsia" w:hAnsiTheme="minorEastAsia" w:eastAsiaTheme="minorEastAsia"/>
                <w:b/>
                <w:bCs/>
                <w:szCs w:val="21"/>
              </w:rPr>
              <w:t>（1）服务内容以合同上所描述的内容为准，提供合同复印件及合同资金支付凭证（如为分期付款的，至少提供1次支付凭证）；</w:t>
            </w:r>
            <w:r>
              <w:rPr>
                <w:rFonts w:hint="eastAsia" w:cs="宋体" w:asciiTheme="minorEastAsia" w:hAnsiTheme="minorEastAsia" w:eastAsiaTheme="minorEastAsia"/>
                <w:b/>
                <w:bCs/>
                <w:sz w:val="22"/>
              </w:rPr>
              <w:t>（2）同一业主的多个合同，按一个业绩计算；3、以合同签订时间为准。</w:t>
            </w:r>
          </w:p>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2.投标人具有有效的质量管理体系认证证书的得1分。</w:t>
            </w:r>
          </w:p>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3.投标人具有有效的环境管理体系认证证书的得1分。</w:t>
            </w:r>
          </w:p>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4.投标人具有有效的职业健康安全管理体系认证证书的得1分。</w:t>
            </w:r>
          </w:p>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说明：提供上述第2、3、4条证书复印件。</w:t>
            </w:r>
          </w:p>
          <w:p>
            <w:pPr>
              <w:spacing w:after="200"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5.投标人提供项目业主单位出具的综合评价书面证明：每提供 1个2018年以来业主单位出具的书面综合评价为满意、优秀或相同语义内容的证明得1分，最多得5分。（说明：1、提供评价项目合同复印件；2、提供业主单位出具的综合评价书面证明复印件；3、同一业主只计算一次加分。）</w:t>
            </w:r>
          </w:p>
        </w:tc>
        <w:tc>
          <w:tcPr>
            <w:tcW w:w="641" w:type="pct"/>
            <w:tcBorders>
              <w:top w:val="single" w:color="auto" w:sz="2" w:space="0"/>
              <w:left w:val="single" w:color="auto" w:sz="2" w:space="0"/>
              <w:bottom w:val="single" w:color="auto" w:sz="2" w:space="0"/>
              <w:right w:val="single" w:color="auto" w:sz="2" w:space="0"/>
            </w:tcBorders>
            <w:vAlign w:val="center"/>
          </w:tcPr>
          <w:p>
            <w:pPr>
              <w:spacing w:after="200"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18分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2" w:space="0"/>
              <w:bottom w:val="single" w:color="auto" w:sz="4"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评审委员会成员</w:t>
            </w:r>
          </w:p>
        </w:tc>
        <w:tc>
          <w:tcPr>
            <w:tcW w:w="633" w:type="pct"/>
            <w:tcBorders>
              <w:top w:val="single" w:color="auto" w:sz="2" w:space="0"/>
              <w:left w:val="single" w:color="auto" w:sz="2" w:space="0"/>
              <w:bottom w:val="single" w:color="auto" w:sz="2" w:space="0"/>
              <w:right w:val="single" w:color="auto" w:sz="2" w:space="0"/>
            </w:tcBorders>
            <w:vAlign w:val="center"/>
          </w:tcPr>
          <w:p>
            <w:pPr>
              <w:spacing w:after="200" w:line="400" w:lineRule="exact"/>
              <w:ind w:right="42" w:rightChars="20"/>
              <w:jc w:val="center"/>
              <w:rPr>
                <w:rFonts w:ascii="宋体" w:hAnsi="宋体"/>
                <w:b/>
                <w:bCs/>
                <w:color w:val="000000" w:themeColor="text1"/>
                <w:szCs w:val="21"/>
                <w14:textFill>
                  <w14:solidFill>
                    <w14:schemeClr w14:val="tx1"/>
                  </w14:solidFill>
                </w14:textFill>
              </w:rPr>
            </w:pPr>
            <w:r>
              <w:rPr>
                <w:rFonts w:hint="eastAsia" w:ascii="宋体" w:hAnsi="宋体"/>
                <w:b/>
                <w:bCs/>
                <w:color w:val="000000" w:themeColor="text1"/>
                <w:szCs w:val="21"/>
                <w14:textFill>
                  <w14:solidFill>
                    <w14:schemeClr w14:val="tx1"/>
                  </w14:solidFill>
                </w14:textFill>
              </w:rPr>
              <w:t>人员配置</w:t>
            </w:r>
          </w:p>
        </w:tc>
        <w:tc>
          <w:tcPr>
            <w:tcW w:w="3329" w:type="pct"/>
            <w:tcBorders>
              <w:top w:val="single" w:color="auto" w:sz="2" w:space="0"/>
              <w:left w:val="single" w:color="auto" w:sz="2" w:space="0"/>
              <w:bottom w:val="single" w:color="auto" w:sz="2" w:space="0"/>
              <w:right w:val="single" w:color="auto" w:sz="2" w:space="0"/>
            </w:tcBorders>
            <w:vAlign w:val="center"/>
          </w:tcPr>
          <w:p>
            <w:pPr>
              <w:spacing w:after="200" w:line="400" w:lineRule="exac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1、拟派本项目项目经理具有本科及以上学历得1分，具有中级及以上职称证书得2分，具有不少于五年物业管理相关工作经验得2分；本项最多得5分。</w:t>
            </w:r>
          </w:p>
          <w:p>
            <w:pPr>
              <w:spacing w:after="200" w:line="400" w:lineRule="exac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2、水电人员具有特种设备安全管理和作业人员证书的得2分，本项最多得2分。</w:t>
            </w:r>
          </w:p>
          <w:p>
            <w:pPr>
              <w:spacing w:after="200" w:line="400" w:lineRule="exact"/>
            </w:pPr>
            <w:r>
              <w:rPr>
                <w:rFonts w:hint="eastAsia" w:hAnsi="宋体"/>
                <w:color w:val="000000" w:themeColor="text1"/>
                <w:szCs w:val="21"/>
                <w14:textFill>
                  <w14:solidFill>
                    <w14:schemeClr w14:val="tx1"/>
                  </w14:solidFill>
                </w14:textFill>
              </w:rPr>
              <w:t>3、投标人拟为本项目保安人员中每具有1个持有效的建（构）筑物消防员证书或消防设施操作员证书得1分，最多得3分。</w:t>
            </w:r>
          </w:p>
          <w:p>
            <w:pPr>
              <w:spacing w:after="200" w:line="400" w:lineRule="exac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（说明：提供以上第1、2、3条有效证书复印件，物业管理相关工作经验需提供</w:t>
            </w:r>
            <w:r>
              <w:rPr>
                <w:rFonts w:hint="eastAsia" w:hAnsi="宋体"/>
                <w:color w:val="000000" w:themeColor="text1"/>
                <w:szCs w:val="21"/>
                <w:lang w:val="en-US" w:eastAsia="zh-CN"/>
                <w14:textFill>
                  <w14:solidFill>
                    <w14:schemeClr w14:val="tx1"/>
                  </w14:solidFill>
                </w14:textFill>
              </w:rPr>
              <w:t>相关</w:t>
            </w:r>
            <w:r>
              <w:rPr>
                <w:rFonts w:hint="eastAsia" w:hAnsi="宋体"/>
                <w:color w:val="000000" w:themeColor="text1"/>
                <w:szCs w:val="21"/>
                <w14:textFill>
                  <w14:solidFill>
                    <w14:schemeClr w14:val="tx1"/>
                  </w14:solidFill>
                </w14:textFill>
              </w:rPr>
              <w:t>证明材料复印件）</w:t>
            </w:r>
          </w:p>
        </w:tc>
        <w:tc>
          <w:tcPr>
            <w:tcW w:w="641" w:type="pct"/>
            <w:tcBorders>
              <w:top w:val="single" w:color="auto" w:sz="2" w:space="0"/>
              <w:left w:val="single" w:color="auto" w:sz="2" w:space="0"/>
              <w:bottom w:val="single" w:color="auto" w:sz="2" w:space="0"/>
              <w:right w:val="single" w:color="auto" w:sz="2" w:space="0"/>
            </w:tcBorders>
            <w:vAlign w:val="center"/>
          </w:tcPr>
          <w:p>
            <w:pPr>
              <w:spacing w:after="200" w:line="400" w:lineRule="exact"/>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tcBorders>
              <w:top w:val="single" w:color="auto" w:sz="4" w:space="0"/>
              <w:left w:val="single" w:color="auto" w:sz="2"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评审委员会成员</w:t>
            </w:r>
          </w:p>
        </w:tc>
        <w:tc>
          <w:tcPr>
            <w:tcW w:w="633" w:type="pct"/>
            <w:tcBorders>
              <w:top w:val="single" w:color="auto" w:sz="2" w:space="0"/>
              <w:left w:val="single" w:color="auto" w:sz="2" w:space="0"/>
              <w:right w:val="single" w:color="auto" w:sz="2" w:space="0"/>
            </w:tcBorders>
            <w:vAlign w:val="center"/>
          </w:tcPr>
          <w:p>
            <w:pPr>
              <w:spacing w:after="200" w:line="400" w:lineRule="exact"/>
              <w:ind w:right="42" w:rightChars="20"/>
              <w:jc w:val="center"/>
              <w:rPr>
                <w:rFonts w:ascii="宋体" w:hAnsi="宋体"/>
                <w:b/>
                <w:bCs/>
                <w:color w:val="000000" w:themeColor="text1"/>
                <w:szCs w:val="21"/>
                <w14:textFill>
                  <w14:solidFill>
                    <w14:schemeClr w14:val="tx1"/>
                  </w14:solidFill>
                </w14:textFill>
              </w:rPr>
            </w:pPr>
            <w:r>
              <w:rPr>
                <w:rFonts w:hint="eastAsia" w:ascii="宋体" w:hAnsi="宋体"/>
                <w:b/>
                <w:bCs/>
                <w:color w:val="000000" w:themeColor="text1"/>
                <w:szCs w:val="21"/>
                <w14:textFill>
                  <w14:solidFill>
                    <w14:schemeClr w14:val="tx1"/>
                  </w14:solidFill>
                </w14:textFill>
              </w:rPr>
              <w:t>政策响应</w:t>
            </w:r>
          </w:p>
        </w:tc>
        <w:tc>
          <w:tcPr>
            <w:tcW w:w="3329" w:type="pct"/>
            <w:tcBorders>
              <w:top w:val="single" w:color="auto" w:sz="2" w:space="0"/>
              <w:left w:val="single" w:color="auto" w:sz="2" w:space="0"/>
              <w:right w:val="single" w:color="auto" w:sz="2" w:space="0"/>
            </w:tcBorders>
            <w:vAlign w:val="center"/>
          </w:tcPr>
          <w:p>
            <w:pPr>
              <w:spacing w:after="200" w:line="400" w:lineRule="exact"/>
            </w:pPr>
            <w:r>
              <w:rPr>
                <w:rFonts w:hint="eastAsia"/>
              </w:rPr>
              <w:t>1.</w:t>
            </w:r>
            <w:r>
              <w:t>投标人注册地为少数民族或不发达地区的，得</w:t>
            </w:r>
            <w:r>
              <w:rPr>
                <w:rFonts w:hint="eastAsia"/>
              </w:rPr>
              <w:t xml:space="preserve"> 0.5</w:t>
            </w:r>
            <w:r>
              <w:t>分。【说明：投标人在投标文件中承诺。】</w:t>
            </w:r>
          </w:p>
          <w:p>
            <w:pPr>
              <w:spacing w:after="200" w:line="400" w:lineRule="exact"/>
              <w:rPr>
                <w:color w:val="000000" w:themeColor="text1"/>
                <w14:textFill>
                  <w14:solidFill>
                    <w14:schemeClr w14:val="tx1"/>
                  </w14:solidFill>
                </w14:textFill>
              </w:rPr>
            </w:pPr>
            <w:r>
              <w:rPr>
                <w:rFonts w:hint="eastAsia" w:ascii="Times New Roman" w:hAnsi="Times New Roman"/>
                <w:color w:val="000000"/>
                <w:szCs w:val="21"/>
                <w:shd w:val="clear" w:color="auto" w:fill="FFFFFF"/>
              </w:rPr>
              <w:t>2.</w:t>
            </w:r>
            <w:r>
              <w:rPr>
                <w:rFonts w:ascii="Times New Roman" w:hAnsi="Times New Roman"/>
                <w:color w:val="000000"/>
                <w:szCs w:val="21"/>
                <w:shd w:val="clear" w:color="auto" w:fill="FFFFFF"/>
              </w:rPr>
              <w:t>投标人注册地在</w:t>
            </w:r>
            <w:r>
              <w:rPr>
                <w:rFonts w:hint="eastAsia" w:ascii="Times New Roman" w:hAnsi="Times New Roman"/>
                <w:color w:val="000000"/>
                <w:szCs w:val="21"/>
                <w:shd w:val="clear" w:color="auto" w:fill="FFFFFF"/>
              </w:rPr>
              <w:t>原</w:t>
            </w:r>
            <w:r>
              <w:rPr>
                <w:rFonts w:ascii="Times New Roman" w:hAnsi="Times New Roman"/>
                <w:color w:val="000000"/>
                <w:szCs w:val="21"/>
                <w:shd w:val="clear" w:color="auto" w:fill="FFFFFF"/>
              </w:rPr>
              <w:t>832个</w:t>
            </w:r>
            <w:r>
              <w:rPr>
                <w:rFonts w:hint="eastAsia" w:ascii="Times New Roman" w:hAnsi="Times New Roman"/>
                <w:color w:val="000000"/>
                <w:szCs w:val="21"/>
                <w:shd w:val="clear" w:color="auto" w:fill="FFFFFF"/>
              </w:rPr>
              <w:t>脱贫</w:t>
            </w:r>
            <w:r>
              <w:rPr>
                <w:rFonts w:ascii="Times New Roman" w:hAnsi="Times New Roman"/>
                <w:color w:val="000000"/>
                <w:szCs w:val="21"/>
                <w:shd w:val="clear" w:color="auto" w:fill="FFFFFF"/>
              </w:rPr>
              <w:t>县域内，且投标人聘用原建档立卡贫困人员的,得</w:t>
            </w:r>
            <w:r>
              <w:rPr>
                <w:rFonts w:hint="eastAsia" w:ascii="Times New Roman" w:hAnsi="Times New Roman"/>
                <w:color w:val="000000"/>
                <w:szCs w:val="21"/>
                <w:shd w:val="clear" w:color="auto" w:fill="FFFFFF"/>
              </w:rPr>
              <w:t>0.5</w:t>
            </w:r>
            <w:r>
              <w:rPr>
                <w:rFonts w:ascii="Times New Roman" w:hAnsi="Times New Roman"/>
                <w:color w:val="000000"/>
                <w:szCs w:val="21"/>
                <w:shd w:val="clear" w:color="auto" w:fill="FFFFFF"/>
              </w:rPr>
              <w:t>分。</w:t>
            </w:r>
            <w:r>
              <w:rPr>
                <w:rFonts w:ascii="Times New Roman" w:hAnsi="Times New Roman"/>
                <w:b/>
                <w:bCs/>
                <w:color w:val="000000"/>
                <w:szCs w:val="21"/>
                <w:shd w:val="clear" w:color="auto" w:fill="FFFFFF"/>
              </w:rPr>
              <w:t>【说明：1、提供营业执照复印件，且注册地在</w:t>
            </w:r>
            <w:r>
              <w:rPr>
                <w:rFonts w:hint="eastAsia" w:ascii="Times New Roman" w:hAnsi="Times New Roman"/>
                <w:b/>
                <w:bCs/>
                <w:color w:val="000000"/>
                <w:szCs w:val="21"/>
                <w:shd w:val="clear" w:color="auto" w:fill="FFFFFF"/>
              </w:rPr>
              <w:t>原</w:t>
            </w:r>
            <w:r>
              <w:rPr>
                <w:rFonts w:ascii="Times New Roman" w:hAnsi="Times New Roman"/>
                <w:b/>
                <w:bCs/>
                <w:color w:val="000000"/>
                <w:szCs w:val="21"/>
                <w:shd w:val="clear" w:color="auto" w:fill="FFFFFF"/>
              </w:rPr>
              <w:t>832个</w:t>
            </w:r>
            <w:r>
              <w:rPr>
                <w:rFonts w:hint="eastAsia" w:ascii="Times New Roman" w:hAnsi="Times New Roman"/>
                <w:b/>
                <w:bCs/>
                <w:color w:val="000000"/>
                <w:szCs w:val="21"/>
                <w:shd w:val="clear" w:color="auto" w:fill="FFFFFF"/>
              </w:rPr>
              <w:t>脱贫</w:t>
            </w:r>
            <w:r>
              <w:rPr>
                <w:rFonts w:ascii="Times New Roman" w:hAnsi="Times New Roman"/>
                <w:b/>
                <w:bCs/>
                <w:color w:val="000000"/>
                <w:szCs w:val="21"/>
                <w:shd w:val="clear" w:color="auto" w:fill="FFFFFF"/>
              </w:rPr>
              <w:t>县域内；2、提供注册所在县扶贫部门出具的聘用原建档立卡贫困人员具体数量的证明材料复印件。】</w:t>
            </w:r>
          </w:p>
        </w:tc>
        <w:tc>
          <w:tcPr>
            <w:tcW w:w="641" w:type="pct"/>
            <w:tcBorders>
              <w:top w:val="single" w:color="auto" w:sz="2" w:space="0"/>
              <w:left w:val="single" w:color="auto" w:sz="2" w:space="0"/>
              <w:bottom w:val="single" w:color="auto" w:sz="2" w:space="0"/>
              <w:right w:val="single" w:color="auto" w:sz="2" w:space="0"/>
            </w:tcBorders>
            <w:vAlign w:val="center"/>
          </w:tcPr>
          <w:p>
            <w:pPr>
              <w:spacing w:after="200" w:line="400" w:lineRule="exact"/>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2" w:space="0"/>
              <w:bottom w:val="single" w:color="auto" w:sz="4"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2" w:space="0"/>
              <w:left w:val="single" w:color="auto" w:sz="2" w:space="0"/>
              <w:bottom w:val="single" w:color="auto" w:sz="2" w:space="0"/>
              <w:right w:val="single" w:color="auto" w:sz="2" w:space="0"/>
            </w:tcBorders>
            <w:vAlign w:val="center"/>
          </w:tcPr>
          <w:p>
            <w:pPr>
              <w:widowControl/>
              <w:tabs>
                <w:tab w:val="left" w:pos="0"/>
              </w:tabs>
              <w:spacing w:line="360" w:lineRule="exact"/>
              <w:jc w:val="center"/>
              <w:rPr>
                <w:rFonts w:ascii="宋体" w:hAnsi="宋体"/>
                <w:b/>
                <w:bCs/>
                <w:color w:val="000000" w:themeColor="text1"/>
                <w:szCs w:val="21"/>
                <w14:textFill>
                  <w14:solidFill>
                    <w14:schemeClr w14:val="tx1"/>
                  </w14:solidFill>
                </w14:textFill>
              </w:rPr>
            </w:pPr>
            <w:r>
              <w:rPr>
                <w:rFonts w:hint="eastAsia" w:ascii="宋体" w:hAnsi="宋体" w:cs="宋体"/>
                <w:szCs w:val="21"/>
              </w:rPr>
              <w:t>整体方案</w:t>
            </w:r>
          </w:p>
        </w:tc>
        <w:tc>
          <w:tcPr>
            <w:tcW w:w="3329" w:type="pct"/>
            <w:tcBorders>
              <w:top w:val="single" w:color="auto" w:sz="2" w:space="0"/>
              <w:left w:val="single" w:color="auto" w:sz="2" w:space="0"/>
              <w:bottom w:val="single" w:color="auto" w:sz="2" w:space="0"/>
              <w:right w:val="single" w:color="auto" w:sz="2" w:space="0"/>
            </w:tcBorders>
            <w:vAlign w:val="center"/>
          </w:tcPr>
          <w:p>
            <w:pPr>
              <w:spacing w:line="300" w:lineRule="exact"/>
            </w:pPr>
            <w:r>
              <w:rPr>
                <w:rFonts w:hint="eastAsia"/>
              </w:rPr>
              <w:t>投标人提供整体方案的，方案内容包含“整体设想策划”且符合采购需求的，得2分；包含“服务标准”且符合采购需求的，得2分；包含“服务机构设置”且符合采购需求的，得2分。</w:t>
            </w:r>
          </w:p>
          <w:p>
            <w:pPr>
              <w:pStyle w:val="5"/>
              <w:numPr>
                <w:ilvl w:val="1"/>
                <w:numId w:val="0"/>
              </w:numPr>
              <w:rPr>
                <w:rFonts w:ascii="Times New Roman" w:hAnsi="Times New Roman"/>
                <w:color w:val="000000" w:themeColor="text1"/>
                <w:kern w:val="0"/>
                <w:sz w:val="20"/>
                <w:szCs w:val="20"/>
                <w14:textFill>
                  <w14:solidFill>
                    <w14:schemeClr w14:val="tx1"/>
                  </w14:solidFill>
                </w14:textFill>
              </w:rPr>
            </w:pPr>
            <w:r>
              <w:rPr>
                <w:rFonts w:hint="eastAsia" w:ascii="Calibri" w:hAnsi="Calibri" w:cs="Times New Roman"/>
                <w:b w:val="0"/>
                <w:bCs w:val="0"/>
                <w:sz w:val="21"/>
                <w:szCs w:val="22"/>
              </w:rPr>
              <w:t>（说明：1、提供整体方案。2、本评分项不符合采购需求是指存在不适用项目实际情况、凭空编造、逻辑漏洞、原理错误情形。）</w:t>
            </w:r>
          </w:p>
        </w:tc>
        <w:tc>
          <w:tcPr>
            <w:tcW w:w="641" w:type="pct"/>
            <w:tcBorders>
              <w:top w:val="single" w:color="auto" w:sz="2" w:space="0"/>
              <w:left w:val="single" w:color="auto" w:sz="2" w:space="0"/>
              <w:bottom w:val="single" w:color="auto" w:sz="2" w:space="0"/>
              <w:right w:val="single" w:color="auto" w:sz="2" w:space="0"/>
            </w:tcBorders>
            <w:vAlign w:val="center"/>
          </w:tcPr>
          <w:p>
            <w:pPr>
              <w:tabs>
                <w:tab w:val="left" w:pos="0"/>
              </w:tabs>
              <w:snapToGrid w:val="0"/>
              <w:spacing w:line="360" w:lineRule="exact"/>
              <w:ind w:firstLine="28"/>
              <w:jc w:val="center"/>
              <w:textAlignment w:val="baseline"/>
              <w:rPr>
                <w:color w:val="000000" w:themeColor="text1"/>
                <w14:textFill>
                  <w14:solidFill>
                    <w14:schemeClr w14:val="tx1"/>
                  </w14:solidFill>
                </w14:textFill>
              </w:rPr>
            </w:pPr>
            <w:r>
              <w:rPr>
                <w:rFonts w:ascii="宋体" w:hAnsi="宋体"/>
                <w:szCs w:val="21"/>
              </w:rPr>
              <w:t>6</w:t>
            </w:r>
            <w:r>
              <w:rPr>
                <w:rFonts w:hint="eastAsia" w:ascii="宋体" w:hAnsi="宋体"/>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2" w:space="0"/>
              <w:bottom w:val="single" w:color="auto" w:sz="4"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2" w:space="0"/>
              <w:left w:val="single" w:color="auto" w:sz="2" w:space="0"/>
              <w:bottom w:val="single" w:color="auto" w:sz="4" w:space="0"/>
              <w:right w:val="single" w:color="auto" w:sz="2" w:space="0"/>
            </w:tcBorders>
            <w:vAlign w:val="center"/>
          </w:tcPr>
          <w:p>
            <w:pPr>
              <w:widowControl/>
              <w:tabs>
                <w:tab w:val="left" w:pos="0"/>
              </w:tabs>
              <w:spacing w:line="360" w:lineRule="exact"/>
              <w:jc w:val="center"/>
              <w:rPr>
                <w:rFonts w:ascii="宋体" w:hAnsi="宋体"/>
                <w:b/>
                <w:bCs/>
                <w:color w:val="000000" w:themeColor="text1"/>
                <w:szCs w:val="21"/>
                <w14:textFill>
                  <w14:solidFill>
                    <w14:schemeClr w14:val="tx1"/>
                  </w14:solidFill>
                </w14:textFill>
              </w:rPr>
            </w:pPr>
            <w:r>
              <w:rPr>
                <w:rFonts w:hint="eastAsia" w:ascii="宋体" w:hAnsi="宋体" w:cs="宋体"/>
                <w:szCs w:val="21"/>
              </w:rPr>
              <w:t>安全管理方案</w:t>
            </w:r>
          </w:p>
        </w:tc>
        <w:tc>
          <w:tcPr>
            <w:tcW w:w="3329" w:type="pct"/>
            <w:tcBorders>
              <w:top w:val="single" w:color="auto" w:sz="2" w:space="0"/>
              <w:left w:val="single" w:color="auto" w:sz="2" w:space="0"/>
              <w:bottom w:val="single" w:color="auto" w:sz="2" w:space="0"/>
              <w:right w:val="single" w:color="auto" w:sz="2" w:space="0"/>
            </w:tcBorders>
            <w:vAlign w:val="center"/>
          </w:tcPr>
          <w:p>
            <w:pPr>
              <w:spacing w:line="300" w:lineRule="exact"/>
            </w:pPr>
            <w:r>
              <w:rPr>
                <w:rFonts w:hint="eastAsia"/>
              </w:rPr>
              <w:t>投标人提供</w:t>
            </w:r>
            <w:r>
              <w:rPr>
                <w:rFonts w:hint="eastAsia" w:ascii="宋体" w:hAnsi="宋体" w:cs="宋体"/>
                <w:szCs w:val="21"/>
              </w:rPr>
              <w:t>安全管理方案</w:t>
            </w:r>
            <w:r>
              <w:rPr>
                <w:rFonts w:hint="eastAsia"/>
              </w:rPr>
              <w:t>的，方案内容包含“人员配置及岗位职责”且符合采购需求的，得3分；包含“工作制度”且符合采购需求的，得3分；包含“安全管理措施”且符合采购需求的，得3分。</w:t>
            </w:r>
          </w:p>
          <w:p>
            <w:pPr>
              <w:pStyle w:val="5"/>
              <w:numPr>
                <w:ilvl w:val="1"/>
                <w:numId w:val="0"/>
              </w:numPr>
              <w:rPr>
                <w:color w:val="000000" w:themeColor="text1"/>
                <w14:textFill>
                  <w14:solidFill>
                    <w14:schemeClr w14:val="tx1"/>
                  </w14:solidFill>
                </w14:textFill>
              </w:rPr>
            </w:pPr>
            <w:r>
              <w:rPr>
                <w:rFonts w:hint="eastAsia" w:ascii="Calibri" w:hAnsi="Calibri" w:cs="Times New Roman"/>
                <w:b w:val="0"/>
                <w:bCs w:val="0"/>
                <w:sz w:val="21"/>
                <w:szCs w:val="22"/>
              </w:rPr>
              <w:t>（说明：1、提供安全管理方案。2、本评分项不符合采购需求是指存在不适用项目实际情况、凭空编造、逻辑漏洞、原理错误情形。）</w:t>
            </w:r>
          </w:p>
        </w:tc>
        <w:tc>
          <w:tcPr>
            <w:tcW w:w="641" w:type="pct"/>
            <w:tcBorders>
              <w:top w:val="single" w:color="auto" w:sz="2" w:space="0"/>
              <w:left w:val="single" w:color="auto" w:sz="2" w:space="0"/>
              <w:bottom w:val="single" w:color="auto" w:sz="2" w:space="0"/>
              <w:right w:val="single" w:color="auto" w:sz="2" w:space="0"/>
            </w:tcBorders>
            <w:vAlign w:val="center"/>
          </w:tcPr>
          <w:p>
            <w:pPr>
              <w:tabs>
                <w:tab w:val="left" w:pos="0"/>
              </w:tabs>
              <w:snapToGrid w:val="0"/>
              <w:spacing w:line="360" w:lineRule="exact"/>
              <w:ind w:firstLine="28"/>
              <w:jc w:val="center"/>
              <w:textAlignment w:val="baseline"/>
              <w:rPr>
                <w:color w:val="000000" w:themeColor="text1"/>
                <w14:textFill>
                  <w14:solidFill>
                    <w14:schemeClr w14:val="tx1"/>
                  </w14:solidFill>
                </w14:textFill>
              </w:rPr>
            </w:pPr>
            <w:r>
              <w:rPr>
                <w:rFonts w:hint="eastAsia" w:ascii="宋体" w:hAnsi="宋体"/>
                <w:szCs w:val="21"/>
              </w:rPr>
              <w:t>9分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2" w:space="0"/>
              <w:bottom w:val="single" w:color="auto" w:sz="4" w:space="0"/>
              <w:right w:val="single" w:color="auto" w:sz="2" w:space="0"/>
            </w:tcBorders>
            <w:vAlign w:val="center"/>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4" w:space="0"/>
              <w:left w:val="single" w:color="auto" w:sz="2" w:space="0"/>
              <w:bottom w:val="single" w:color="auto" w:sz="4" w:space="0"/>
              <w:right w:val="single" w:color="auto" w:sz="2" w:space="0"/>
            </w:tcBorders>
            <w:vAlign w:val="center"/>
          </w:tcPr>
          <w:p>
            <w:pPr>
              <w:widowControl/>
              <w:tabs>
                <w:tab w:val="left" w:pos="0"/>
              </w:tabs>
              <w:spacing w:line="360" w:lineRule="exact"/>
              <w:jc w:val="center"/>
              <w:rPr>
                <w:rFonts w:ascii="宋体" w:hAnsi="宋体" w:cs="宋体"/>
                <w:b/>
                <w:bCs/>
                <w:color w:val="000000" w:themeColor="text1"/>
                <w:szCs w:val="21"/>
                <w14:textFill>
                  <w14:solidFill>
                    <w14:schemeClr w14:val="tx1"/>
                  </w14:solidFill>
                </w14:textFill>
              </w:rPr>
            </w:pPr>
            <w:r>
              <w:rPr>
                <w:rFonts w:hint="eastAsia" w:ascii="宋体" w:hAnsi="宋体" w:cs="宋体"/>
                <w:szCs w:val="21"/>
              </w:rPr>
              <w:t>环境保洁方案</w:t>
            </w:r>
          </w:p>
        </w:tc>
        <w:tc>
          <w:tcPr>
            <w:tcW w:w="3329" w:type="pct"/>
            <w:tcBorders>
              <w:top w:val="single" w:color="auto" w:sz="2" w:space="0"/>
              <w:left w:val="single" w:color="auto" w:sz="2" w:space="0"/>
              <w:bottom w:val="single" w:color="auto" w:sz="2" w:space="0"/>
              <w:right w:val="single" w:color="auto" w:sz="2" w:space="0"/>
            </w:tcBorders>
            <w:vAlign w:val="center"/>
          </w:tcPr>
          <w:p>
            <w:pPr>
              <w:spacing w:line="300" w:lineRule="exact"/>
            </w:pPr>
            <w:r>
              <w:rPr>
                <w:rFonts w:hint="eastAsia"/>
              </w:rPr>
              <w:t>投标人提供</w:t>
            </w:r>
            <w:r>
              <w:rPr>
                <w:rFonts w:hint="eastAsia" w:ascii="宋体" w:hAnsi="宋体" w:cs="宋体"/>
                <w:szCs w:val="21"/>
              </w:rPr>
              <w:t>环境保洁方案</w:t>
            </w:r>
            <w:r>
              <w:rPr>
                <w:rFonts w:hint="eastAsia"/>
              </w:rPr>
              <w:t>的，方案内容包含“人员配置及岗位职责”且符合采购需求的，得3分；包含“工作制度”且符合采购需求的，得3分；包含“环境保洁服务措施”且符合采购需求的，得3分。</w:t>
            </w:r>
          </w:p>
          <w:p>
            <w:pPr>
              <w:pStyle w:val="5"/>
              <w:numPr>
                <w:ilvl w:val="1"/>
                <w:numId w:val="0"/>
              </w:numPr>
              <w:rPr>
                <w:color w:val="000000" w:themeColor="text1"/>
                <w14:textFill>
                  <w14:solidFill>
                    <w14:schemeClr w14:val="tx1"/>
                  </w14:solidFill>
                </w14:textFill>
              </w:rPr>
            </w:pPr>
            <w:r>
              <w:rPr>
                <w:rFonts w:hint="eastAsia" w:ascii="Calibri" w:hAnsi="Calibri" w:cs="Times New Roman"/>
                <w:b w:val="0"/>
                <w:bCs w:val="0"/>
                <w:sz w:val="21"/>
                <w:szCs w:val="22"/>
              </w:rPr>
              <w:t>（说明：1、提供环境保洁方案。2、本评分项不符合采购需求是指存在不适用项目实际情况、凭空编造、逻辑漏洞、原理错误情形。）</w:t>
            </w:r>
          </w:p>
        </w:tc>
        <w:tc>
          <w:tcPr>
            <w:tcW w:w="641" w:type="pct"/>
            <w:tcBorders>
              <w:top w:val="single" w:color="auto" w:sz="2" w:space="0"/>
              <w:left w:val="single" w:color="auto" w:sz="2" w:space="0"/>
              <w:bottom w:val="single" w:color="auto" w:sz="2" w:space="0"/>
              <w:right w:val="single" w:color="auto" w:sz="2" w:space="0"/>
            </w:tcBorders>
            <w:vAlign w:val="center"/>
          </w:tcPr>
          <w:p>
            <w:pPr>
              <w:tabs>
                <w:tab w:val="left" w:pos="0"/>
              </w:tabs>
              <w:snapToGrid w:val="0"/>
              <w:spacing w:line="360" w:lineRule="exact"/>
              <w:ind w:firstLine="28"/>
              <w:jc w:val="center"/>
              <w:textAlignment w:val="baseline"/>
              <w:rPr>
                <w:color w:val="000000" w:themeColor="text1"/>
                <w14:textFill>
                  <w14:solidFill>
                    <w14:schemeClr w14:val="tx1"/>
                  </w14:solidFill>
                </w14:textFill>
              </w:rPr>
            </w:pPr>
            <w:r>
              <w:rPr>
                <w:rFonts w:hint="eastAsia" w:ascii="宋体" w:hAnsi="宋体"/>
                <w:szCs w:val="21"/>
              </w:rPr>
              <w:t>9分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4" w:space="0"/>
              <w:bottom w:val="single" w:color="auto" w:sz="4" w:space="0"/>
              <w:right w:val="single" w:color="auto" w:sz="4" w:space="0"/>
            </w:tcBorders>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4" w:space="0"/>
              <w:left w:val="single" w:color="auto" w:sz="4" w:space="0"/>
              <w:bottom w:val="single" w:color="auto" w:sz="4" w:space="0"/>
              <w:right w:val="single" w:color="auto" w:sz="4" w:space="0"/>
            </w:tcBorders>
            <w:vAlign w:val="center"/>
          </w:tcPr>
          <w:p>
            <w:pPr>
              <w:widowControl/>
              <w:tabs>
                <w:tab w:val="left" w:pos="0"/>
              </w:tabs>
              <w:spacing w:line="360" w:lineRule="exact"/>
              <w:jc w:val="center"/>
              <w:rPr>
                <w:rFonts w:hAnsi="宋体"/>
                <w:b/>
                <w:bCs/>
                <w:color w:val="000000" w:themeColor="text1"/>
                <w:szCs w:val="21"/>
                <w14:textFill>
                  <w14:solidFill>
                    <w14:schemeClr w14:val="tx1"/>
                  </w14:solidFill>
                </w14:textFill>
              </w:rPr>
            </w:pPr>
            <w:r>
              <w:rPr>
                <w:rFonts w:hint="eastAsia" w:ascii="宋体" w:hAnsi="宋体" w:cs="宋体"/>
                <w:szCs w:val="21"/>
              </w:rPr>
              <w:t>绿化维护方案</w:t>
            </w:r>
          </w:p>
        </w:tc>
        <w:tc>
          <w:tcPr>
            <w:tcW w:w="3329" w:type="pct"/>
            <w:tcBorders>
              <w:top w:val="single" w:color="auto" w:sz="4" w:space="0"/>
              <w:left w:val="single" w:color="auto" w:sz="4" w:space="0"/>
              <w:bottom w:val="single" w:color="auto" w:sz="4" w:space="0"/>
              <w:right w:val="single" w:color="auto" w:sz="4" w:space="0"/>
            </w:tcBorders>
            <w:vAlign w:val="center"/>
          </w:tcPr>
          <w:p>
            <w:pPr>
              <w:spacing w:line="300" w:lineRule="exact"/>
            </w:pPr>
            <w:r>
              <w:rPr>
                <w:rFonts w:hint="eastAsia"/>
              </w:rPr>
              <w:t>投标人提供</w:t>
            </w:r>
            <w:r>
              <w:rPr>
                <w:rFonts w:hint="eastAsia" w:ascii="宋体" w:hAnsi="宋体" w:cs="宋体"/>
                <w:szCs w:val="21"/>
              </w:rPr>
              <w:t>绿化维护方案</w:t>
            </w:r>
            <w:r>
              <w:rPr>
                <w:rFonts w:hint="eastAsia"/>
              </w:rPr>
              <w:t>的，方案内容包含“人员配置及岗位职责”且符合采购需求的，得3分；包含“工作制度”且符合采购需求的，得3分；包含“绿化维护措施”且符合采购需求的，得3分。</w:t>
            </w:r>
          </w:p>
          <w:p>
            <w:pPr>
              <w:pStyle w:val="5"/>
              <w:numPr>
                <w:ilvl w:val="1"/>
                <w:numId w:val="0"/>
              </w:numPr>
              <w:rPr>
                <w:color w:val="000000" w:themeColor="text1"/>
                <w:szCs w:val="21"/>
                <w14:textFill>
                  <w14:solidFill>
                    <w14:schemeClr w14:val="tx1"/>
                  </w14:solidFill>
                </w14:textFill>
              </w:rPr>
            </w:pPr>
            <w:r>
              <w:rPr>
                <w:rFonts w:hint="eastAsia" w:ascii="Calibri" w:hAnsi="Calibri" w:cs="Times New Roman"/>
                <w:b w:val="0"/>
                <w:bCs w:val="0"/>
                <w:sz w:val="21"/>
                <w:szCs w:val="22"/>
              </w:rPr>
              <w:t>（说明：1、提供绿化维护方案。2、本评分项不符合采购需求是指存在不适用项目实际情况、凭空编造、逻辑漏洞、原理错误情形。）</w:t>
            </w:r>
          </w:p>
        </w:tc>
        <w:tc>
          <w:tcPr>
            <w:tcW w:w="641" w:type="pct"/>
            <w:tcBorders>
              <w:top w:val="single" w:color="auto" w:sz="4" w:space="0"/>
              <w:left w:val="single" w:color="auto" w:sz="4" w:space="0"/>
              <w:bottom w:val="single" w:color="auto" w:sz="4" w:space="0"/>
              <w:right w:val="single" w:color="auto" w:sz="4" w:space="0"/>
            </w:tcBorders>
            <w:vAlign w:val="center"/>
          </w:tcPr>
          <w:p>
            <w:pPr>
              <w:tabs>
                <w:tab w:val="left" w:pos="0"/>
              </w:tabs>
              <w:snapToGrid w:val="0"/>
              <w:spacing w:line="360" w:lineRule="exact"/>
              <w:ind w:firstLine="28"/>
              <w:jc w:val="center"/>
              <w:textAlignment w:val="baseline"/>
              <w:rPr>
                <w:color w:val="000000" w:themeColor="text1"/>
                <w14:textFill>
                  <w14:solidFill>
                    <w14:schemeClr w14:val="tx1"/>
                  </w14:solidFill>
                </w14:textFill>
              </w:rPr>
            </w:pPr>
            <w:r>
              <w:rPr>
                <w:rFonts w:hint="eastAsia" w:ascii="宋体" w:hAnsi="宋体"/>
                <w:szCs w:val="21"/>
              </w:rPr>
              <w:t>9分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4" w:space="0"/>
              <w:bottom w:val="single" w:color="auto" w:sz="4" w:space="0"/>
              <w:right w:val="single" w:color="auto" w:sz="4" w:space="0"/>
            </w:tcBorders>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4" w:space="0"/>
              <w:left w:val="single" w:color="auto" w:sz="4" w:space="0"/>
              <w:bottom w:val="single" w:color="auto" w:sz="4" w:space="0"/>
              <w:right w:val="single" w:color="auto" w:sz="4" w:space="0"/>
            </w:tcBorders>
            <w:vAlign w:val="center"/>
          </w:tcPr>
          <w:p>
            <w:pPr>
              <w:widowControl/>
              <w:tabs>
                <w:tab w:val="left" w:pos="0"/>
              </w:tabs>
              <w:spacing w:line="360" w:lineRule="exact"/>
              <w:jc w:val="center"/>
              <w:rPr>
                <w:rFonts w:hAnsi="宋体"/>
                <w:b/>
                <w:bCs/>
                <w:color w:val="000000" w:themeColor="text1"/>
                <w:szCs w:val="21"/>
                <w14:textFill>
                  <w14:solidFill>
                    <w14:schemeClr w14:val="tx1"/>
                  </w14:solidFill>
                </w14:textFill>
              </w:rPr>
            </w:pPr>
            <w:r>
              <w:rPr>
                <w:rFonts w:hint="eastAsia" w:ascii="宋体" w:hAnsi="宋体" w:cs="宋体"/>
                <w:szCs w:val="21"/>
              </w:rPr>
              <w:t>水电维修服务方案</w:t>
            </w:r>
          </w:p>
        </w:tc>
        <w:tc>
          <w:tcPr>
            <w:tcW w:w="3329" w:type="pct"/>
            <w:tcBorders>
              <w:top w:val="single" w:color="auto" w:sz="4" w:space="0"/>
              <w:left w:val="single" w:color="auto" w:sz="4" w:space="0"/>
              <w:bottom w:val="single" w:color="auto" w:sz="4" w:space="0"/>
              <w:right w:val="single" w:color="auto" w:sz="4" w:space="0"/>
            </w:tcBorders>
            <w:vAlign w:val="center"/>
          </w:tcPr>
          <w:p>
            <w:pPr>
              <w:spacing w:line="300" w:lineRule="exact"/>
            </w:pPr>
            <w:r>
              <w:rPr>
                <w:rFonts w:hint="eastAsia"/>
              </w:rPr>
              <w:t>投标人提供</w:t>
            </w:r>
            <w:r>
              <w:rPr>
                <w:rFonts w:hint="eastAsia" w:ascii="宋体" w:hAnsi="宋体" w:cs="宋体"/>
                <w:szCs w:val="21"/>
              </w:rPr>
              <w:t>水电维修服务方案</w:t>
            </w:r>
            <w:r>
              <w:rPr>
                <w:rFonts w:hint="eastAsia"/>
              </w:rPr>
              <w:t>的，方案内容包含“人员配置及岗位职责”且符合采购需求的，得3分；包含“工作制度”且符合采购需求的，得3分；包含“水电服务措施”且符合采购需求的，得3分。</w:t>
            </w:r>
          </w:p>
          <w:p>
            <w:pPr>
              <w:pStyle w:val="5"/>
              <w:numPr>
                <w:ilvl w:val="1"/>
                <w:numId w:val="0"/>
              </w:numPr>
              <w:rPr>
                <w:color w:val="000000" w:themeColor="text1"/>
                <w14:textFill>
                  <w14:solidFill>
                    <w14:schemeClr w14:val="tx1"/>
                  </w14:solidFill>
                </w14:textFill>
              </w:rPr>
            </w:pPr>
            <w:r>
              <w:rPr>
                <w:rFonts w:hint="eastAsia" w:ascii="Calibri" w:hAnsi="Calibri" w:cs="Times New Roman"/>
                <w:b w:val="0"/>
                <w:bCs w:val="0"/>
                <w:sz w:val="21"/>
                <w:szCs w:val="22"/>
              </w:rPr>
              <w:t>（说明：1、提供水电维修服务方案。2、本评分项不符合采购需求是指存在不适用项目实际情况、凭空编造、逻辑漏洞、原理错误情形。）</w:t>
            </w:r>
          </w:p>
        </w:tc>
        <w:tc>
          <w:tcPr>
            <w:tcW w:w="641" w:type="pct"/>
            <w:tcBorders>
              <w:top w:val="single" w:color="auto" w:sz="4" w:space="0"/>
              <w:left w:val="single" w:color="auto" w:sz="4" w:space="0"/>
              <w:bottom w:val="single" w:color="auto" w:sz="4" w:space="0"/>
              <w:right w:val="single" w:color="auto" w:sz="4" w:space="0"/>
            </w:tcBorders>
            <w:vAlign w:val="center"/>
          </w:tcPr>
          <w:p>
            <w:pPr>
              <w:tabs>
                <w:tab w:val="left" w:pos="0"/>
              </w:tabs>
              <w:snapToGrid w:val="0"/>
              <w:spacing w:line="360" w:lineRule="exact"/>
              <w:ind w:firstLine="28"/>
              <w:jc w:val="center"/>
              <w:textAlignment w:val="baseline"/>
              <w:rPr>
                <w:color w:val="000000" w:themeColor="text1"/>
                <w14:textFill>
                  <w14:solidFill>
                    <w14:schemeClr w14:val="tx1"/>
                  </w14:solidFill>
                </w14:textFill>
              </w:rPr>
            </w:pPr>
            <w:r>
              <w:rPr>
                <w:rFonts w:hint="eastAsia" w:ascii="宋体" w:hAnsi="宋体"/>
                <w:szCs w:val="21"/>
              </w:rPr>
              <w:t>9分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4" w:space="0"/>
              <w:bottom w:val="single" w:color="auto" w:sz="4" w:space="0"/>
              <w:right w:val="single" w:color="auto" w:sz="4" w:space="0"/>
            </w:tcBorders>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4" w:space="0"/>
              <w:left w:val="single" w:color="auto" w:sz="4" w:space="0"/>
              <w:bottom w:val="single" w:color="auto" w:sz="4" w:space="0"/>
              <w:right w:val="single" w:color="auto" w:sz="4" w:space="0"/>
            </w:tcBorders>
            <w:vAlign w:val="center"/>
          </w:tcPr>
          <w:p>
            <w:pPr>
              <w:widowControl/>
              <w:tabs>
                <w:tab w:val="left" w:pos="0"/>
              </w:tabs>
              <w:spacing w:line="360" w:lineRule="exact"/>
              <w:jc w:val="center"/>
              <w:rPr>
                <w:rFonts w:ascii="宋体" w:hAnsi="宋体" w:cs="宋体"/>
                <w:szCs w:val="21"/>
              </w:rPr>
            </w:pPr>
            <w:r>
              <w:rPr>
                <w:rFonts w:hint="eastAsia" w:ascii="宋体" w:hAnsi="宋体" w:cs="宋体"/>
                <w:szCs w:val="21"/>
              </w:rPr>
              <w:t>文印及体育管理方案</w:t>
            </w:r>
          </w:p>
        </w:tc>
        <w:tc>
          <w:tcPr>
            <w:tcW w:w="3329" w:type="pct"/>
            <w:tcBorders>
              <w:top w:val="single" w:color="auto" w:sz="4" w:space="0"/>
              <w:left w:val="single" w:color="auto" w:sz="4" w:space="0"/>
              <w:bottom w:val="single" w:color="auto" w:sz="4" w:space="0"/>
              <w:right w:val="single" w:color="auto" w:sz="4" w:space="0"/>
            </w:tcBorders>
            <w:vAlign w:val="center"/>
          </w:tcPr>
          <w:p>
            <w:pPr>
              <w:spacing w:line="300" w:lineRule="exact"/>
            </w:pPr>
            <w:r>
              <w:rPr>
                <w:rFonts w:hint="eastAsia"/>
              </w:rPr>
              <w:t>投标人提供</w:t>
            </w:r>
            <w:r>
              <w:rPr>
                <w:rFonts w:hint="eastAsia" w:ascii="宋体" w:hAnsi="宋体" w:cs="宋体"/>
                <w:szCs w:val="21"/>
              </w:rPr>
              <w:t>文印及体育管理方案</w:t>
            </w:r>
            <w:r>
              <w:rPr>
                <w:rFonts w:hint="eastAsia"/>
              </w:rPr>
              <w:t>的，方案内容包含“人员配置及岗位职责”且符合采购需求的，得3分；包含“工作制度”且符合采购需求的，得3分；包含“文印及体育管理措施”且符合采购需求的，得3分。</w:t>
            </w:r>
          </w:p>
          <w:p>
            <w:pPr>
              <w:pStyle w:val="5"/>
              <w:numPr>
                <w:ilvl w:val="1"/>
                <w:numId w:val="0"/>
              </w:numPr>
            </w:pPr>
            <w:r>
              <w:rPr>
                <w:rFonts w:hint="eastAsia" w:ascii="Calibri" w:hAnsi="Calibri" w:cs="Times New Roman"/>
                <w:b w:val="0"/>
                <w:bCs w:val="0"/>
                <w:sz w:val="21"/>
                <w:szCs w:val="22"/>
              </w:rPr>
              <w:t>（说明：1、提供文印及体育管理方案。2、本评分项不符合采购需求是指存在不适用项目实际情况、凭空编造、逻辑漏洞、原理错误情形。）</w:t>
            </w:r>
          </w:p>
        </w:tc>
        <w:tc>
          <w:tcPr>
            <w:tcW w:w="641" w:type="pct"/>
            <w:tcBorders>
              <w:top w:val="single" w:color="auto" w:sz="4" w:space="0"/>
              <w:left w:val="single" w:color="auto" w:sz="4" w:space="0"/>
              <w:bottom w:val="single" w:color="auto" w:sz="4" w:space="0"/>
              <w:right w:val="single" w:color="auto" w:sz="4" w:space="0"/>
            </w:tcBorders>
            <w:vAlign w:val="center"/>
          </w:tcPr>
          <w:p>
            <w:pPr>
              <w:tabs>
                <w:tab w:val="left" w:pos="0"/>
              </w:tabs>
              <w:snapToGrid w:val="0"/>
              <w:spacing w:line="360" w:lineRule="exact"/>
              <w:ind w:firstLine="28"/>
              <w:jc w:val="center"/>
              <w:textAlignment w:val="baseline"/>
            </w:pPr>
            <w:r>
              <w:rPr>
                <w:rFonts w:hint="eastAsia" w:ascii="宋体" w:hAnsi="宋体"/>
                <w:szCs w:val="21"/>
              </w:rPr>
              <w:t>9分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4" w:space="0"/>
              <w:left w:val="single" w:color="auto" w:sz="4" w:space="0"/>
              <w:bottom w:val="single" w:color="auto" w:sz="4" w:space="0"/>
              <w:right w:val="single" w:color="auto" w:sz="4" w:space="0"/>
            </w:tcBorders>
          </w:tcPr>
          <w:p>
            <w:pPr>
              <w:spacing w:after="200" w:line="276" w:lineRule="auto"/>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技术类评委</w:t>
            </w:r>
          </w:p>
        </w:tc>
        <w:tc>
          <w:tcPr>
            <w:tcW w:w="633" w:type="pct"/>
            <w:tcBorders>
              <w:top w:val="single" w:color="auto" w:sz="4" w:space="0"/>
              <w:left w:val="single" w:color="auto" w:sz="4" w:space="0"/>
              <w:bottom w:val="single" w:color="auto" w:sz="4" w:space="0"/>
              <w:right w:val="single" w:color="auto" w:sz="4" w:space="0"/>
            </w:tcBorders>
            <w:vAlign w:val="center"/>
          </w:tcPr>
          <w:p>
            <w:pPr>
              <w:widowControl/>
              <w:tabs>
                <w:tab w:val="left" w:pos="0"/>
              </w:tabs>
              <w:spacing w:line="360" w:lineRule="exact"/>
              <w:jc w:val="center"/>
              <w:rPr>
                <w:rFonts w:ascii="宋体" w:hAnsi="宋体" w:cs="宋体"/>
                <w:szCs w:val="21"/>
              </w:rPr>
            </w:pPr>
            <w:r>
              <w:rPr>
                <w:rFonts w:hint="eastAsia" w:ascii="宋体" w:hAnsi="宋体" w:cs="宋体"/>
                <w:szCs w:val="21"/>
              </w:rPr>
              <w:t>应急处置方案</w:t>
            </w:r>
          </w:p>
        </w:tc>
        <w:tc>
          <w:tcPr>
            <w:tcW w:w="3329" w:type="pct"/>
            <w:tcBorders>
              <w:top w:val="single" w:color="auto" w:sz="4" w:space="0"/>
              <w:left w:val="single" w:color="auto" w:sz="4" w:space="0"/>
              <w:bottom w:val="single" w:color="auto" w:sz="4" w:space="0"/>
              <w:right w:val="single" w:color="auto" w:sz="4" w:space="0"/>
            </w:tcBorders>
            <w:vAlign w:val="center"/>
          </w:tcPr>
          <w:p>
            <w:pPr>
              <w:spacing w:line="300" w:lineRule="exact"/>
            </w:pPr>
            <w:r>
              <w:rPr>
                <w:rFonts w:hint="eastAsia"/>
              </w:rPr>
              <w:t>投标人提供</w:t>
            </w:r>
            <w:r>
              <w:rPr>
                <w:rFonts w:hint="eastAsia" w:ascii="宋体" w:hAnsi="宋体" w:cs="宋体"/>
                <w:szCs w:val="21"/>
              </w:rPr>
              <w:t>应急处置方案</w:t>
            </w:r>
            <w:r>
              <w:rPr>
                <w:rFonts w:hint="eastAsia"/>
              </w:rPr>
              <w:t>的，方案内容包含“消防应急处置”且符合采购需求的，得2分；包含“雨污管网堵塞应急处置”且符合采购需求的，得2分；包含“自然灾害应急处置”且符合采购需求的，得2分；包含“突发安全事件应急处置”且符合采购需求的，得2分；包含“突发疫情事件应急处置”且符合采购需求的，得2分。</w:t>
            </w:r>
          </w:p>
          <w:p>
            <w:pPr>
              <w:pStyle w:val="5"/>
              <w:numPr>
                <w:ilvl w:val="1"/>
                <w:numId w:val="0"/>
              </w:numPr>
            </w:pPr>
            <w:r>
              <w:rPr>
                <w:rFonts w:hint="eastAsia" w:ascii="Calibri" w:hAnsi="Calibri" w:cs="Times New Roman"/>
                <w:b w:val="0"/>
                <w:bCs w:val="0"/>
                <w:sz w:val="21"/>
                <w:szCs w:val="22"/>
              </w:rPr>
              <w:t>（说明：1、提供应急处置方案。2、本评分项不符合采购需求是指存在不适用项目实际情况、凭空编造、逻辑漏洞、原理错误情形。）</w:t>
            </w:r>
          </w:p>
        </w:tc>
        <w:tc>
          <w:tcPr>
            <w:tcW w:w="641" w:type="pct"/>
            <w:tcBorders>
              <w:top w:val="single" w:color="auto" w:sz="4" w:space="0"/>
              <w:left w:val="single" w:color="auto" w:sz="4" w:space="0"/>
              <w:bottom w:val="single" w:color="auto" w:sz="4" w:space="0"/>
              <w:right w:val="single" w:color="auto" w:sz="4" w:space="0"/>
            </w:tcBorders>
            <w:vAlign w:val="center"/>
          </w:tcPr>
          <w:p>
            <w:pPr>
              <w:tabs>
                <w:tab w:val="left" w:pos="0"/>
              </w:tabs>
              <w:snapToGrid w:val="0"/>
              <w:spacing w:line="360" w:lineRule="exact"/>
              <w:ind w:firstLine="28"/>
              <w:jc w:val="center"/>
              <w:textAlignment w:val="baseline"/>
            </w:pPr>
            <w:r>
              <w:rPr>
                <w:rFonts w:hint="eastAsia" w:ascii="宋体" w:hAnsi="宋体"/>
                <w:szCs w:val="21"/>
              </w:rPr>
              <w:t>10分</w:t>
            </w:r>
          </w:p>
        </w:tc>
      </w:tr>
    </w:tbl>
    <w:p>
      <w:pPr>
        <w:spacing w:line="56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说明：</w:t>
      </w:r>
    </w:p>
    <w:p>
      <w:pPr>
        <w:spacing w:line="56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1、评分的取值按四舍五入法，保留小数点后两位；</w:t>
      </w:r>
    </w:p>
    <w:p>
      <w:pPr>
        <w:spacing w:line="560" w:lineRule="exact"/>
        <w:ind w:firstLine="560" w:firstLineChars="200"/>
        <w:rPr>
          <w:rFonts w:hint="eastAsia"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2、评分标准中要求提供复印件的证明材料须清晰可辨。</w:t>
      </w:r>
    </w:p>
    <w:p>
      <w:pPr>
        <w:pStyle w:val="5"/>
        <w:numPr>
          <w:ilvl w:val="1"/>
          <w:numId w:val="4"/>
        </w:numPr>
        <w:spacing w:before="0" w:after="0" w:line="560" w:lineRule="exact"/>
        <w:ind w:left="2269" w:hanging="2127"/>
        <w:rPr>
          <w:color w:val="000000" w:themeColor="text1"/>
          <w14:textFill>
            <w14:solidFill>
              <w14:schemeClr w14:val="tx1"/>
            </w14:solidFill>
          </w14:textFill>
        </w:rPr>
      </w:pPr>
      <w:bookmarkStart w:id="325" w:name="_Toc320624275"/>
      <w:bookmarkEnd w:id="325"/>
      <w:bookmarkStart w:id="326" w:name="_Toc320624290"/>
      <w:bookmarkEnd w:id="326"/>
      <w:bookmarkStart w:id="327" w:name="_Toc320624240"/>
      <w:bookmarkEnd w:id="327"/>
      <w:bookmarkStart w:id="328" w:name="_Toc320624260"/>
      <w:bookmarkEnd w:id="328"/>
      <w:bookmarkStart w:id="329" w:name="_Toc315871657"/>
      <w:bookmarkEnd w:id="329"/>
      <w:bookmarkStart w:id="330" w:name="_Toc318206701"/>
      <w:bookmarkEnd w:id="330"/>
      <w:bookmarkStart w:id="331" w:name="_Toc320624265"/>
      <w:bookmarkEnd w:id="331"/>
      <w:bookmarkStart w:id="332" w:name="_Toc315871656"/>
      <w:bookmarkEnd w:id="332"/>
      <w:bookmarkStart w:id="333" w:name="_Toc320624285"/>
      <w:bookmarkEnd w:id="333"/>
      <w:bookmarkStart w:id="334" w:name="_Toc315871725"/>
      <w:bookmarkEnd w:id="334"/>
      <w:bookmarkStart w:id="335" w:name="_Toc320624295"/>
      <w:bookmarkEnd w:id="335"/>
      <w:bookmarkStart w:id="336" w:name="_Toc315871658"/>
      <w:bookmarkEnd w:id="336"/>
      <w:bookmarkStart w:id="337" w:name="_Toc320624280"/>
      <w:bookmarkEnd w:id="337"/>
      <w:bookmarkStart w:id="338" w:name="_Toc320624255"/>
      <w:bookmarkEnd w:id="338"/>
      <w:bookmarkStart w:id="339" w:name="_Toc316292258"/>
      <w:bookmarkStart w:id="340" w:name="_Toc18803"/>
      <w:bookmarkStart w:id="341" w:name="_Toc15076"/>
      <w:bookmarkStart w:id="342" w:name="_Toc23841"/>
      <w:bookmarkStart w:id="343" w:name="_Toc19565"/>
      <w:bookmarkStart w:id="344" w:name="_Toc31203"/>
      <w:bookmarkStart w:id="345" w:name="_Toc315871726"/>
      <w:bookmarkStart w:id="346" w:name="_Toc217446060"/>
      <w:r>
        <w:rPr>
          <w:rFonts w:hint="eastAsia"/>
          <w:color w:val="000000" w:themeColor="text1"/>
          <w14:textFill>
            <w14:solidFill>
              <w14:schemeClr w14:val="tx1"/>
            </w14:solidFill>
          </w14:textFill>
        </w:rPr>
        <w:t>废标</w:t>
      </w:r>
      <w:bookmarkEnd w:id="339"/>
      <w:bookmarkEnd w:id="340"/>
      <w:bookmarkEnd w:id="341"/>
      <w:bookmarkEnd w:id="342"/>
      <w:bookmarkEnd w:id="343"/>
      <w:bookmarkEnd w:id="344"/>
      <w:bookmarkEnd w:id="345"/>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本次政府采购活动中，出现下列情形之一的，予以废标：</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符合专业条件的投标人或者对招标文件作实质响应的投标人不足三家的；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出现影响采购公正的违法、违规行为的；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投标人的报价均超过了采购预算，采购人不能支付的；</w:t>
      </w:r>
    </w:p>
    <w:p>
      <w:pPr>
        <w:numPr>
          <w:ilvl w:val="0"/>
          <w:numId w:val="57"/>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因重大变故，采购任务取消的；</w:t>
      </w:r>
    </w:p>
    <w:p>
      <w:pPr>
        <w:numPr>
          <w:ilvl w:val="0"/>
          <w:numId w:val="57"/>
        </w:numPr>
        <w:tabs>
          <w:tab w:val="left" w:pos="1155"/>
        </w:tabs>
        <w:spacing w:after="200" w:line="560" w:lineRule="exact"/>
        <w:ind w:left="0" w:firstLine="525"/>
        <w:rPr>
          <w:rFonts w:hint="eastAsia" w:ascii="宋体" w:hAnsi="宋体" w:eastAsia="宋体" w:cs="宋体"/>
          <w:b/>
          <w:bCs/>
          <w:color w:val="000000" w:themeColor="text1"/>
          <w:kern w:val="2"/>
          <w:sz w:val="28"/>
          <w:szCs w:val="28"/>
          <w:lang w:val="en-US" w:eastAsia="zh-CN" w:bidi="ar-SA"/>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废标后，高新区采购中心将在“四川政府采购网”和“成都市公共资源交易服务中心”网站上公告。</w:t>
      </w:r>
      <w:bookmarkStart w:id="347" w:name="_Toc8992"/>
      <w:bookmarkStart w:id="348" w:name="_Toc3782"/>
      <w:bookmarkStart w:id="349" w:name="_Toc19880"/>
      <w:bookmarkStart w:id="350" w:name="_Toc316292259"/>
      <w:bookmarkStart w:id="351" w:name="_Toc315871727"/>
      <w:bookmarkStart w:id="352" w:name="_Toc14777"/>
      <w:bookmarkStart w:id="353" w:name="_Toc27932"/>
    </w:p>
    <w:p>
      <w:pPr>
        <w:pStyle w:val="5"/>
        <w:numPr>
          <w:ilvl w:val="1"/>
          <w:numId w:val="4"/>
        </w:numPr>
        <w:spacing w:before="0" w:after="0" w:line="560" w:lineRule="exact"/>
        <w:ind w:left="2269" w:hanging="2127"/>
        <w:rPr>
          <w:color w:val="000000" w:themeColor="text1"/>
          <w14:textFill>
            <w14:solidFill>
              <w14:schemeClr w14:val="tx1"/>
            </w14:solidFill>
          </w14:textFill>
        </w:rPr>
      </w:pPr>
      <w:r>
        <w:rPr>
          <w:rFonts w:hint="eastAsia"/>
          <w:color w:val="000000" w:themeColor="text1"/>
          <w14:textFill>
            <w14:solidFill>
              <w14:schemeClr w14:val="tx1"/>
            </w14:solidFill>
          </w14:textFill>
        </w:rPr>
        <w:t>定标</w:t>
      </w:r>
      <w:bookmarkEnd w:id="346"/>
      <w:bookmarkEnd w:id="347"/>
      <w:bookmarkEnd w:id="348"/>
      <w:bookmarkEnd w:id="349"/>
      <w:bookmarkEnd w:id="350"/>
      <w:bookmarkEnd w:id="351"/>
      <w:bookmarkEnd w:id="352"/>
      <w:bookmarkEnd w:id="353"/>
      <w:bookmarkStart w:id="354" w:name="_Toc217446061"/>
    </w:p>
    <w:p>
      <w:pPr>
        <w:pStyle w:val="6"/>
        <w:numPr>
          <w:ilvl w:val="2"/>
          <w:numId w:val="4"/>
        </w:numPr>
        <w:spacing w:after="200" w:line="560" w:lineRule="exact"/>
        <w:ind w:left="0" w:firstLine="0"/>
        <w:rPr>
          <w:color w:val="000000" w:themeColor="text1"/>
          <w14:textFill>
            <w14:solidFill>
              <w14:schemeClr w14:val="tx1"/>
            </w14:solidFill>
          </w14:textFill>
        </w:rPr>
      </w:pPr>
      <w:bookmarkStart w:id="355" w:name="_Toc315871728"/>
      <w:bookmarkStart w:id="356" w:name="_Toc316292260"/>
      <w:r>
        <w:rPr>
          <w:rFonts w:hint="eastAsia"/>
          <w:color w:val="000000" w:themeColor="text1"/>
          <w14:textFill>
            <w14:solidFill>
              <w14:schemeClr w14:val="tx1"/>
            </w14:solidFill>
          </w14:textFill>
        </w:rPr>
        <w:t>定标原则</w:t>
      </w:r>
      <w:bookmarkEnd w:id="354"/>
      <w:bookmarkEnd w:id="355"/>
      <w:bookmarkEnd w:id="356"/>
    </w:p>
    <w:p>
      <w:pPr>
        <w:spacing w:line="560" w:lineRule="exact"/>
        <w:ind w:firstLine="560" w:firstLineChars="200"/>
        <w:rPr>
          <w:rFonts w:ascii="宋体" w:hAnsi="宋体"/>
          <w:color w:val="000000" w:themeColor="text1"/>
          <w:sz w:val="28"/>
          <w:szCs w:val="28"/>
          <w14:textFill>
            <w14:solidFill>
              <w14:schemeClr w14:val="tx1"/>
            </w14:solidFill>
          </w14:textFill>
        </w:rPr>
      </w:pPr>
      <w:bookmarkStart w:id="357" w:name="_Toc217446062"/>
      <w:bookmarkStart w:id="358" w:name="_Toc316292261"/>
      <w:bookmarkStart w:id="359" w:name="_Toc315871729"/>
      <w:r>
        <w:rPr>
          <w:rFonts w:hint="eastAsia" w:ascii="宋体" w:hAnsi="宋体"/>
          <w:color w:val="000000" w:themeColor="text1"/>
          <w:sz w:val="28"/>
          <w:szCs w:val="28"/>
          <w14:textFill>
            <w14:solidFill>
              <w14:schemeClr w14:val="tx1"/>
            </w14:solidFill>
          </w14:textFill>
        </w:rPr>
        <w:t>本项目根据评标委员会确定的中标候选人名单，采购人按顺序确定1名中标人。中标候选供应商并列的，</w:t>
      </w:r>
      <w:r>
        <w:rPr>
          <w:rFonts w:hint="eastAsia" w:ascii="宋体"/>
          <w:color w:val="000000" w:themeColor="text1"/>
          <w:sz w:val="28"/>
          <w:szCs w:val="28"/>
          <w14:textFill>
            <w14:solidFill>
              <w14:schemeClr w14:val="tx1"/>
            </w14:solidFill>
          </w14:textFill>
        </w:rPr>
        <w:t>由采购人采取随机抽取的方式确定中标人</w:t>
      </w:r>
      <w:r>
        <w:rPr>
          <w:rFonts w:hint="eastAsia" w:ascii="宋体" w:hAnsi="宋体"/>
          <w:color w:val="000000" w:themeColor="text1"/>
          <w:sz w:val="28"/>
          <w:szCs w:val="28"/>
          <w14:textFill>
            <w14:solidFill>
              <w14:schemeClr w14:val="tx1"/>
            </w14:solidFill>
          </w14:textFill>
        </w:rPr>
        <w:t>。</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cs="Helvetica" w:asciiTheme="minorEastAsia" w:hAnsiTheme="minorEastAsia" w:eastAsiaTheme="minorEastAsia"/>
          <w:color w:val="000000" w:themeColor="text1"/>
          <w:kern w:val="0"/>
          <w:sz w:val="28"/>
          <w:szCs w:val="28"/>
          <w14:textFill>
            <w14:solidFill>
              <w14:schemeClr w14:val="tx1"/>
            </w14:solidFill>
          </w14:textFill>
        </w:rPr>
        <w:t>采购人在收到评标报告</w:t>
      </w:r>
      <w:r>
        <w:rPr>
          <w:rFonts w:hint="eastAsia" w:cs="宋体" w:asciiTheme="minorEastAsia" w:hAnsiTheme="minorEastAsia" w:eastAsiaTheme="minorEastAsia"/>
          <w:color w:val="000000" w:themeColor="text1"/>
          <w:kern w:val="0"/>
          <w:sz w:val="28"/>
          <w:szCs w:val="28"/>
          <w14:textFill>
            <w14:solidFill>
              <w14:schemeClr w14:val="tx1"/>
            </w14:solidFill>
          </w14:textFill>
        </w:rPr>
        <w:t>3</w:t>
      </w:r>
      <w:r>
        <w:rPr>
          <w:rFonts w:hint="eastAsia" w:cs="Helvetica" w:asciiTheme="minorEastAsia" w:hAnsiTheme="minorEastAsia" w:eastAsiaTheme="minorEastAsia"/>
          <w:color w:val="000000" w:themeColor="text1"/>
          <w:kern w:val="0"/>
          <w:sz w:val="28"/>
          <w:szCs w:val="28"/>
          <w14:textFill>
            <w14:solidFill>
              <w14:schemeClr w14:val="tx1"/>
            </w14:solidFill>
          </w14:textFill>
        </w:rPr>
        <w:t>个工作日内未按评标报告推荐的中标候选人顺序确定中标人，又不能说明合法理由的，视同按评标报告推荐的顺序确定排名第一的中标候选人为中标人。</w:t>
      </w:r>
    </w:p>
    <w:p>
      <w:pPr>
        <w:pStyle w:val="6"/>
        <w:numPr>
          <w:ilvl w:val="2"/>
          <w:numId w:val="4"/>
        </w:numPr>
        <w:spacing w:after="200" w:line="560" w:lineRule="exact"/>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定标程序</w:t>
      </w:r>
      <w:bookmarkEnd w:id="357"/>
      <w:bookmarkEnd w:id="358"/>
      <w:bookmarkEnd w:id="359"/>
    </w:p>
    <w:bookmarkEnd w:id="299"/>
    <w:p>
      <w:pPr>
        <w:spacing w:line="560" w:lineRule="exact"/>
        <w:ind w:firstLine="560" w:firstLineChars="200"/>
        <w:rPr>
          <w:rFonts w:ascii="宋体" w:hAnsi="宋体"/>
          <w:color w:val="000000" w:themeColor="text1"/>
          <w:kern w:val="0"/>
          <w:sz w:val="28"/>
          <w:szCs w:val="28"/>
          <w14:textFill>
            <w14:solidFill>
              <w14:schemeClr w14:val="tx1"/>
            </w14:solidFill>
          </w14:textFill>
        </w:rPr>
      </w:pPr>
      <w:bookmarkStart w:id="360" w:name="_Toc315871730"/>
      <w:bookmarkStart w:id="361" w:name="_Toc316292262"/>
      <w:r>
        <w:rPr>
          <w:rFonts w:hint="eastAsia" w:ascii="宋体" w:hAnsi="宋体"/>
          <w:color w:val="000000" w:themeColor="text1"/>
          <w:kern w:val="0"/>
          <w:sz w:val="28"/>
          <w:szCs w:val="28"/>
          <w14:textFill>
            <w14:solidFill>
              <w14:schemeClr w14:val="tx1"/>
            </w14:solidFill>
          </w14:textFill>
        </w:rPr>
        <w:t>一、评审委员会将评审情况写出书面报告。</w:t>
      </w:r>
    </w:p>
    <w:p>
      <w:pPr>
        <w:spacing w:line="560" w:lineRule="exact"/>
        <w:ind w:firstLine="560" w:firstLineChars="20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二、高新区采购中心在评审结束之日起2个工作日内将评审报告送采购人。</w:t>
      </w:r>
    </w:p>
    <w:p>
      <w:pPr>
        <w:pStyle w:val="19"/>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采购人在收到评审报告后3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pacing w:line="560" w:lineRule="exact"/>
        <w:ind w:firstLine="560" w:firstLineChars="200"/>
        <w:jc w:val="left"/>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四、根据采购人确定的中标（成交）人，高新区采购中心在“四川政府采购网”和“成都市公共资源交易服务中心”网站上发布中标（成交）公告，同时向中标（成交）人发出中标（成交）通知书。</w:t>
      </w:r>
    </w:p>
    <w:p>
      <w:pPr>
        <w:tabs>
          <w:tab w:val="left" w:pos="1155"/>
        </w:tabs>
        <w:spacing w:line="560" w:lineRule="exact"/>
        <w:ind w:firstLine="565" w:firstLineChars="202"/>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五、采购人、高新区采购中心不解释中标（成交）或未中标（成交）原因，不退回投标文件和其他投标资料。</w:t>
      </w:r>
    </w:p>
    <w:p>
      <w:pPr>
        <w:pStyle w:val="5"/>
        <w:numPr>
          <w:ilvl w:val="1"/>
          <w:numId w:val="4"/>
        </w:numPr>
        <w:spacing w:before="0" w:after="0" w:line="560" w:lineRule="exact"/>
        <w:ind w:left="2269" w:hanging="2269"/>
        <w:rPr>
          <w:color w:val="000000" w:themeColor="text1"/>
          <w14:textFill>
            <w14:solidFill>
              <w14:schemeClr w14:val="tx1"/>
            </w14:solidFill>
          </w14:textFill>
        </w:rPr>
      </w:pPr>
      <w:bookmarkStart w:id="362" w:name="_Toc6845"/>
      <w:bookmarkStart w:id="363" w:name="_Toc31963"/>
      <w:bookmarkStart w:id="364" w:name="_Toc24014"/>
      <w:bookmarkStart w:id="365" w:name="_Toc20789"/>
      <w:bookmarkStart w:id="366" w:name="_Toc1482"/>
      <w:r>
        <w:rPr>
          <w:rFonts w:hint="eastAsia"/>
          <w:color w:val="000000" w:themeColor="text1"/>
          <w14:textFill>
            <w14:solidFill>
              <w14:schemeClr w14:val="tx1"/>
            </w14:solidFill>
          </w14:textFill>
        </w:rPr>
        <w:t>评标专家在政府采购活动中承担以下义务</w:t>
      </w:r>
      <w:bookmarkEnd w:id="360"/>
      <w:bookmarkEnd w:id="361"/>
      <w:bookmarkEnd w:id="362"/>
      <w:bookmarkEnd w:id="363"/>
      <w:bookmarkEnd w:id="364"/>
      <w:bookmarkEnd w:id="365"/>
      <w:bookmarkEnd w:id="366"/>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遵纪守法，客观、公正、廉洁地履行职责。</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保守秘密。不得泄漏投标人的投标文件及知悉的商业秘密，不得向投标人透露评审情况。</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发现投标人在政府采购活动中有不正当竞争或恶意串通等违规行为，及时向政府采购评审工作的组织者或财政部门报告并加以制止。</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发现采购人、高新区采购中心及其工作人员在政府采购活动中有干预评审、发表倾向性和歧视性言论、受贿或者接受投标人的其他好处及其他违法违规行为，及时向财政部门报告。</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解答有关方面对政府采购评审工作中有关问题的询问，配合采购人或者高新区采购中心答复投标人的询问、质疑，配合财政部门的投诉处理工作等事宜。</w:t>
      </w:r>
    </w:p>
    <w:p>
      <w:pPr>
        <w:numPr>
          <w:ilvl w:val="0"/>
          <w:numId w:val="58"/>
        </w:numPr>
        <w:tabs>
          <w:tab w:val="left" w:pos="1155"/>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法律、法规和规章规定的其他义务。</w:t>
      </w:r>
    </w:p>
    <w:p>
      <w:pPr>
        <w:pStyle w:val="5"/>
        <w:numPr>
          <w:ilvl w:val="1"/>
          <w:numId w:val="4"/>
        </w:numPr>
        <w:spacing w:before="0" w:after="0" w:line="560" w:lineRule="exact"/>
        <w:ind w:left="2269" w:hanging="2269"/>
        <w:rPr>
          <w:color w:val="000000" w:themeColor="text1"/>
          <w14:textFill>
            <w14:solidFill>
              <w14:schemeClr w14:val="tx1"/>
            </w14:solidFill>
          </w14:textFill>
        </w:rPr>
      </w:pPr>
      <w:bookmarkStart w:id="367" w:name="_Toc9396"/>
      <w:bookmarkStart w:id="368" w:name="_Toc1103"/>
      <w:bookmarkStart w:id="369" w:name="_Toc31664"/>
      <w:bookmarkStart w:id="370" w:name="_Toc7637"/>
      <w:bookmarkStart w:id="371" w:name="_Toc3861"/>
      <w:r>
        <w:rPr>
          <w:rFonts w:hint="eastAsia"/>
          <w:color w:val="000000" w:themeColor="text1"/>
          <w14:textFill>
            <w14:solidFill>
              <w14:schemeClr w14:val="tx1"/>
            </w14:solidFill>
          </w14:textFill>
        </w:rPr>
        <w:t>评标委员会及其成员不得有下列行为：</w:t>
      </w:r>
      <w:bookmarkEnd w:id="367"/>
      <w:bookmarkEnd w:id="368"/>
      <w:bookmarkEnd w:id="369"/>
      <w:bookmarkEnd w:id="370"/>
      <w:bookmarkEnd w:id="371"/>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一、确定参与评标至评标结束前私自接触投标人；</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二、接受投标人提出的与投标文件不一致的澄清或者说明，除招标文件明确可以澄清的除外；</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三、违反评标纪律发表倾向性意见或者征询采购人的倾向性意见；</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四、对需要专业判断的主观评审因素协商评分；</w:t>
      </w:r>
    </w:p>
    <w:p>
      <w:pPr>
        <w:tabs>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五、在评标过程中擅离职守，影响评标程序正常进行的；</w:t>
      </w:r>
    </w:p>
    <w:p>
      <w:pPr>
        <w:tabs>
          <w:tab w:val="left" w:pos="1276"/>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六、记录、复制或者带走任何评标资料；</w:t>
      </w:r>
    </w:p>
    <w:p>
      <w:pPr>
        <w:tabs>
          <w:tab w:val="left" w:pos="993"/>
          <w:tab w:val="left" w:pos="1276"/>
          <w:tab w:val="left" w:pos="1418"/>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七、其他不遵守评标纪律的行为。</w:t>
      </w:r>
    </w:p>
    <w:p>
      <w:pPr>
        <w:tabs>
          <w:tab w:val="left" w:pos="1155"/>
        </w:tabs>
        <w:spacing w:line="560" w:lineRule="exact"/>
        <w:ind w:left="142" w:firstLine="565" w:firstLineChars="202"/>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评标委员会成员有前款第一至五项行为之一的，其评审意见无效，并不得获取评审劳务报酬和报销异地评审差旅费。</w:t>
      </w:r>
    </w:p>
    <w:p>
      <w:pPr>
        <w:pStyle w:val="5"/>
        <w:numPr>
          <w:ilvl w:val="1"/>
          <w:numId w:val="4"/>
        </w:numPr>
        <w:spacing w:before="0" w:after="0" w:line="560" w:lineRule="exact"/>
        <w:ind w:left="2269" w:hanging="2127"/>
        <w:rPr>
          <w:color w:val="000000" w:themeColor="text1"/>
          <w14:textFill>
            <w14:solidFill>
              <w14:schemeClr w14:val="tx1"/>
            </w14:solidFill>
          </w14:textFill>
        </w:rPr>
      </w:pPr>
      <w:bookmarkStart w:id="372" w:name="_Toc22920"/>
      <w:bookmarkStart w:id="373" w:name="_Toc494464930"/>
      <w:bookmarkStart w:id="374" w:name="_Toc6837"/>
      <w:bookmarkStart w:id="375" w:name="_Toc5931"/>
      <w:bookmarkStart w:id="376" w:name="_Toc16147"/>
      <w:bookmarkStart w:id="377" w:name="_Toc15267"/>
      <w:r>
        <w:rPr>
          <w:rFonts w:hint="eastAsia"/>
          <w:color w:val="000000" w:themeColor="text1"/>
          <w14:textFill>
            <w14:solidFill>
              <w14:schemeClr w14:val="tx1"/>
            </w14:solidFill>
          </w14:textFill>
        </w:rPr>
        <w:t>评审专家在政府采购活动中应当遵守以下工作纪律</w:t>
      </w:r>
      <w:bookmarkEnd w:id="372"/>
      <w:bookmarkEnd w:id="373"/>
      <w:bookmarkEnd w:id="374"/>
      <w:bookmarkEnd w:id="375"/>
      <w:bookmarkEnd w:id="376"/>
      <w:bookmarkEnd w:id="377"/>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遵行《政府采购法》第十二条和《政府采购法实施条例》第九条及政府采购相关法律法规关于回避的规定。</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应邀按时参加评审和咨询活动，遵守评标区管理规定。</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评标区之前应将所有的通信设备存入公资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，不得私自转托他人。</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不得参加与自己有利害关系的政府采购项目的评审活动。对与自己有利害关系的评审项目，如受到邀请，应主动提出回避。财政部门、采购人或</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也可要求该评审专家回避。</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评审过程中关闭通讯设备，不得与外界联系。因发生不可预见情况，确实需要与外界联系的，应告知评标区值守人员，使用评标区内由公资交易中心提供的通信设备，在监督人员监督之下办理。</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在评标过程中和评标结束后，不得记录、复制或带走任何评标资料，除因规定的义务外，不得向外界透露评标内容。</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服从评标现场</w:t>
      </w:r>
      <w:r>
        <w:rPr>
          <w:rFonts w:hint="eastAsia" w:cs="Arial"/>
          <w:color w:val="000000" w:themeColor="text1"/>
          <w:sz w:val="28"/>
          <w:szCs w:val="28"/>
          <w14:textFill>
            <w14:solidFill>
              <w14:schemeClr w14:val="tx1"/>
            </w14:solidFill>
          </w14:textFill>
        </w:rPr>
        <w:t>高新区采购中心</w:t>
      </w:r>
      <w:r>
        <w:rPr>
          <w:rFonts w:hint="eastAsia" w:ascii="宋体" w:hAnsi="宋体"/>
          <w:color w:val="000000" w:themeColor="text1"/>
          <w:sz w:val="28"/>
          <w:szCs w:val="28"/>
          <w14:textFill>
            <w14:solidFill>
              <w14:schemeClr w14:val="tx1"/>
            </w14:solidFill>
          </w14:textFill>
        </w:rPr>
        <w:t>的现场秩序管理，接受评标现场监督人员的合法监督。</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遵守有关廉洁自律规定，不得私下接触投标人，不得收受投标人及有关业务单位和个人的财物或好处，不得接受采购组织单位的请托。</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在咨询工作中，严格执行国家产业政策和产品标准，认真听取咨询方的合理要求，提出科学合理的、无倾向性和歧视性的咨询方案，并对所提出的意见和建议承担个人责任。</w:t>
      </w:r>
    </w:p>
    <w:p>
      <w:pPr>
        <w:numPr>
          <w:ilvl w:val="0"/>
          <w:numId w:val="59"/>
        </w:numPr>
        <w:tabs>
          <w:tab w:val="left" w:pos="1155"/>
        </w:tabs>
        <w:spacing w:after="200" w:line="56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有关部门（机构）制定的其他评审工作纪律。</w:t>
      </w:r>
      <w:bookmarkEnd w:id="0"/>
      <w:bookmarkEnd w:id="1"/>
      <w:bookmarkEnd w:id="2"/>
      <w:bookmarkEnd w:id="3"/>
      <w:bookmarkStart w:id="378" w:name="_Toc19415"/>
      <w:r>
        <w:rPr>
          <w:color w:val="000000" w:themeColor="text1"/>
          <w14:textFill>
            <w14:solidFill>
              <w14:schemeClr w14:val="tx1"/>
            </w14:solidFill>
          </w14:textFill>
        </w:rPr>
        <w:br w:type="page"/>
      </w:r>
    </w:p>
    <w:p>
      <w:pPr>
        <w:pStyle w:val="4"/>
        <w:numPr>
          <w:ilvl w:val="0"/>
          <w:numId w:val="4"/>
        </w:numPr>
        <w:spacing w:before="0" w:after="0" w:line="360" w:lineRule="auto"/>
        <w:rPr>
          <w:color w:val="000000" w:themeColor="text1"/>
          <w:sz w:val="24"/>
          <w14:textFill>
            <w14:solidFill>
              <w14:schemeClr w14:val="tx1"/>
            </w14:solidFill>
          </w14:textFill>
        </w:rPr>
      </w:pPr>
      <w:bookmarkStart w:id="379" w:name="_Toc27722"/>
      <w:bookmarkStart w:id="380" w:name="_Toc1640"/>
      <w:bookmarkStart w:id="381" w:name="_Toc20362"/>
      <w:bookmarkStart w:id="382" w:name="_Toc20535"/>
      <w:r>
        <w:rPr>
          <w:rFonts w:hint="eastAsia"/>
          <w:color w:val="000000" w:themeColor="text1"/>
          <w14:textFill>
            <w14:solidFill>
              <w14:schemeClr w14:val="tx1"/>
            </w14:solidFill>
          </w14:textFill>
        </w:rPr>
        <w:t>拟签订合同文本</w:t>
      </w:r>
      <w:bookmarkEnd w:id="378"/>
      <w:bookmarkEnd w:id="379"/>
      <w:bookmarkEnd w:id="380"/>
      <w:bookmarkEnd w:id="381"/>
      <w:bookmarkEnd w:id="382"/>
    </w:p>
    <w:p>
      <w:pPr>
        <w:spacing w:line="400" w:lineRule="exact"/>
        <w:jc w:val="center"/>
        <w:rPr>
          <w:b/>
          <w:color w:val="000000" w:themeColor="text1"/>
          <w:sz w:val="32"/>
          <w14:textFill>
            <w14:solidFill>
              <w14:schemeClr w14:val="tx1"/>
            </w14:solidFill>
          </w14:textFill>
        </w:rPr>
      </w:pPr>
      <w:bookmarkStart w:id="383" w:name="_Toc316475677"/>
      <w:bookmarkEnd w:id="383"/>
      <w:bookmarkStart w:id="384" w:name="_Toc316475671"/>
      <w:bookmarkEnd w:id="384"/>
      <w:bookmarkStart w:id="385" w:name="_Toc316475676"/>
      <w:bookmarkEnd w:id="385"/>
      <w:bookmarkStart w:id="386" w:name="_Toc316475668"/>
      <w:bookmarkEnd w:id="386"/>
      <w:bookmarkStart w:id="387" w:name="_Toc316475669"/>
      <w:bookmarkEnd w:id="387"/>
      <w:bookmarkStart w:id="388" w:name="_Toc316475761"/>
      <w:bookmarkEnd w:id="388"/>
      <w:bookmarkStart w:id="389" w:name="_Toc316475665"/>
      <w:bookmarkEnd w:id="389"/>
      <w:bookmarkStart w:id="390" w:name="_Toc316475754"/>
      <w:bookmarkEnd w:id="390"/>
      <w:bookmarkStart w:id="391" w:name="_Toc316475664"/>
      <w:bookmarkEnd w:id="391"/>
      <w:bookmarkStart w:id="392" w:name="_Toc316475667"/>
      <w:bookmarkEnd w:id="392"/>
      <w:bookmarkStart w:id="393" w:name="_Toc316475751"/>
      <w:bookmarkEnd w:id="393"/>
      <w:bookmarkStart w:id="394" w:name="_Toc316475760"/>
      <w:bookmarkEnd w:id="394"/>
      <w:bookmarkStart w:id="395" w:name="_Toc316475670"/>
      <w:bookmarkEnd w:id="395"/>
      <w:bookmarkStart w:id="396" w:name="_Toc316475674"/>
      <w:bookmarkEnd w:id="396"/>
      <w:bookmarkStart w:id="397" w:name="_Toc316475756"/>
      <w:bookmarkEnd w:id="397"/>
      <w:bookmarkStart w:id="398" w:name="_Toc316475763"/>
      <w:bookmarkEnd w:id="398"/>
      <w:bookmarkStart w:id="399" w:name="_Toc316475672"/>
      <w:bookmarkEnd w:id="399"/>
      <w:bookmarkStart w:id="400" w:name="_Toc316475753"/>
      <w:bookmarkEnd w:id="400"/>
      <w:bookmarkStart w:id="401" w:name="_Toc316475673"/>
      <w:bookmarkEnd w:id="401"/>
      <w:bookmarkStart w:id="402" w:name="_Toc316475759"/>
      <w:bookmarkEnd w:id="402"/>
      <w:bookmarkStart w:id="403" w:name="_Toc316475758"/>
      <w:bookmarkEnd w:id="403"/>
      <w:bookmarkStart w:id="404" w:name="_Toc316475762"/>
      <w:bookmarkEnd w:id="404"/>
      <w:bookmarkStart w:id="405" w:name="_Toc316475764"/>
      <w:bookmarkEnd w:id="405"/>
      <w:bookmarkStart w:id="406" w:name="_Toc316475757"/>
      <w:bookmarkEnd w:id="406"/>
      <w:bookmarkStart w:id="407" w:name="_Toc316475675"/>
      <w:bookmarkEnd w:id="407"/>
      <w:bookmarkStart w:id="408" w:name="_Toc316475755"/>
      <w:bookmarkEnd w:id="408"/>
      <w:bookmarkStart w:id="409" w:name="_Toc316475666"/>
      <w:bookmarkEnd w:id="409"/>
      <w:bookmarkStart w:id="410" w:name="_Toc316475752"/>
      <w:bookmarkEnd w:id="410"/>
      <w:bookmarkStart w:id="411" w:name="_Toc3546"/>
      <w:bookmarkStart w:id="412" w:name="_Toc11710"/>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政府采购合同编号：XXXX。</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签订地点：XXXX。</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签订时间：XXXX年XX月XX日。</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采购人（甲方）：成都市教育科学研究院附属学校</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统一社会信用代码：</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法定代表人：</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地址：                       联系电话：</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供应商（乙方）：</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统一社会信用代码：</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法定代表人：</w:t>
      </w:r>
    </w:p>
    <w:p>
      <w:pPr>
        <w:tabs>
          <w:tab w:val="left" w:pos="644"/>
        </w:tabs>
        <w:adjustRightInd w:val="0"/>
        <w:snapToGrid w:val="0"/>
        <w:spacing w:line="360" w:lineRule="auto"/>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地址：                       联系电话：</w:t>
      </w:r>
    </w:p>
    <w:p>
      <w:pPr>
        <w:tabs>
          <w:tab w:val="left" w:pos="644"/>
        </w:tabs>
        <w:adjustRightInd w:val="0"/>
        <w:snapToGrid w:val="0"/>
        <w:spacing w:line="360" w:lineRule="auto"/>
        <w:rPr>
          <w:rFonts w:asciiTheme="minorEastAsia" w:hAnsiTheme="minorEastAsia" w:eastAsiaTheme="minorEastAsia" w:cstheme="minorEastAsia"/>
          <w:sz w:val="32"/>
          <w:szCs w:val="32"/>
        </w:rPr>
      </w:pP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根据《中华人民共和国政府采购法》、《中华人民共和国民法典》及成都市教育科学研究院附属学校（成都市天府实验学校）物业管理服务采购项目（</w:t>
      </w:r>
      <w:r>
        <w:rPr>
          <w:rFonts w:hint="eastAsia" w:asciiTheme="minorEastAsia" w:hAnsiTheme="minorEastAsia" w:eastAsiaTheme="minorEastAsia" w:cstheme="minorEastAsia"/>
          <w:sz w:val="32"/>
          <w:szCs w:val="32"/>
          <w:lang w:eastAsia="zh-CN"/>
        </w:rPr>
        <w:t>成都高新技术产业开发区政采（2021）A0028号</w:t>
      </w:r>
      <w:r>
        <w:rPr>
          <w:rFonts w:hint="eastAsia" w:asciiTheme="minorEastAsia" w:hAnsiTheme="minorEastAsia" w:eastAsiaTheme="minorEastAsia" w:cstheme="minorEastAsia"/>
          <w:sz w:val="32"/>
          <w:szCs w:val="32"/>
        </w:rPr>
        <w:t>）的《招标文件》、乙方的《投标文件》及《中标通知书》，甲、乙双方严格按照投标文件签订本合同。详细技术说明及其他有关合同项目的特定信息由合同附件予以说明，合同附件及本项目的招标文件、投标文件、《中标通知书》等均为本合同不可分割的部分。双方同意共同遵守如下条款：</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一、项目基本情况</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成都市教育科学研究院附属学校（成都市天府实验学校），地址：天府四街1717号，占地总面积：66582.86㎡。小学规划用地面积23939.15㎡，规划总建筑面积27791.08㎡，初中规划用地面积42643.71㎡，规划总建筑面积38667.37㎡。小学部机动车位85辆。设计为45个班，由第一教学楼、第二教学楼、行政楼、风雨篮球馆、学生食堂及报告厅，地下室及大门2个。初中部设计为40个班，由教学及实验楼、图书馆、风雨操场及游泳池、食堂及科技艺术楼、音乐厅、地下室及大门、门卫室、钟楼。</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二、合同期限</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本项目服务期限三年，合同一年一签。采购人每月对中标人工作进行考核，如达不到要求则采购人有权适当扣减费用，一年合同到期后，经采购人考评合格后，中标人与采购人续签一年合同，最多续签到第三年。合同续签时，根据采购人实际需求，并遵照相关规定执行。</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三、服务内容及质量标准</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服务内容</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服务内容包括：1、安全管理；2、环境卫生保洁；3、水电维护及维修；4、绿化养护；5、文印服务；6、体育管理；7、应急事件处置。</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服务要求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一、服务总体要求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（一）人员要求：合同签订之日起一周内需保证人员配备齐全且能立即进场并到位执行工作。</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（二）考核办法：采购人相关部门次月5日前完成对物业服务效果考核。如考核不合格，扣减当月费用。合同期内累计三个月或连续两个月考核不合格，采购人有权单方面终止合同，并收取违约金与赔偿款。</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（三）其他要求：中标人派遣的服务人员在服务期限内，无论发生任何意外事件均由中标人承担所有的经济与法律责任，采购人不负任何经济与法律责任。</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（四）本次物业管理招标项目采用包干制。供应商人在编制投标报价时应注意，其人员工资标准不得低于成都市最低工资标准。</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（五）所有投标人招聘人员一经校方确认不得随意更换，如需更换需告知采购人取得同意后方可执行。</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（六）物业服务人员工资标准、劳保、福利等不得低于国家和工作所在地的最低工资及福利标准。</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（七）根据采购人工作需求，应按要求提供物业服务项目合同之外的特约服务和代办服务。</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（八）学生放假期间投标人根据工作量和学校后勤处的要求安排留守值班人员，保持采购人的物业管理正常运行，管理目标不变。</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九）投标人人员必须统一着装上岗，标志明显，衣着整洁，不披衣散扣，不穿拖鞋，言行文明。男性不留长发，不纹身，不赤裸上身，不穿膝盖以上的肥大短裤；女性不裸露后背及肚皮。安全护卫人员24小时在校值班。保洁人员应明确工作内容、工作时间和工作要点，制定出具体的工作标准、检查标准。</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十）按照采购人划定的工作范围、工作内容及管理目标成立相关机构，制定相应工作流程、工作制度、监督考核办法，合理安排人员，科学管理，严格要求，达标运行。服从采购人分管领导及职能部门的监督、管理。</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（十一）相关物资、设备、材料、生活条件提供:</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1.采购人提供物管办公室一间、物业库房一间。</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2.保安、保洁、绿化、维修等所需工具、器具及工作服由中标人提供。</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二、安全管理服务要求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投标人就采购人的治安、消防、交通及学生安全进行防范管理服务，协助和配合本地公安机关维护公共秩序。每天24小时提供安全服务，定期检查消防栓和灭火器，保证随时启用。上班期间维护门卫秩序，严禁车辆在学校大门外侧停放及小贩叫卖，保证校门外畅通。</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学生凭校服或者校牌入校。学生上课时段出校门，门卫必须验证有班主任签字认可的出门条。在校午餐的学生一律不能出校门，外校学生一律不准进入我校。如放学后及节假日未经相关教师签字批准，一律不准入校。</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 xml:space="preserve">(3)周末期间进出学校的人员（本校教职工除外）必须出示相关证明并登记。对向外开放的设施设备物业须派1名保安人员同学校值班教师、街道办工作人员一起值守，并在开放结束后清场。 </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上放学时段，所有保安人员需到岗参与门卫管理；岗亭须安排礼仪保安站岗服务，随时观察校门周围情况。家长接送学生一律原则上不进入学校大门，若有特殊情况须在放学高峰时段结束后，联系班主任，登记入校。夜间要有3位以上保安人员值班和巡逻。</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(5)学校门卫室应由投标人配置够用、实用的防护器械（胶棒，头盔，盾牌，防割手套，叉子等），以应急时之用。</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(6)门卫若遇紧急情况，必须立即报告采购人安全负责人，必要时拨打110或派出所电话报警。</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(7)每天根据实际情况分层分时开关楼层过道灯，白天课间休息时段，各楼层及公共区域的巡视和监管，夜间清校并巡逻，晚上专人值守监控报警系统。</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(8)负责收发采购人各处室、教职工、学生的信件、报纸、杂志、快递、包裹等。谢绝外来人员推销。遇外来客人按采购人规定放行，并将人数、单位等情况做好记录，引领客人到相关部门。对所登记个人信息严格保密。</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 xml:space="preserve">(9)值班人员每天做好校门口所属区域的清洁卫生，每周洗地一次，保持校门口地面、墙面干净，无污渍。值班室内物品、信件摆放整齐、干净，无灰尘、垃圾。 </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(10)仔细检查外来车辆、登记车牌号，严控噪音、车速。校内有车辆人为损坏、被盗，投标人将承担赔偿责任。采购人举行大型活动、考试以及家长会等期间，物管应安排专人管理引导校内外车辆的有序停放。采购人的物防、技防设备交由投标人负责，及时上报设备故障，由于物管人员失职造成的损坏由投标人及时维修。发生学校财物被盗事件，由投标人照价赔偿。</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三、环境卫生保洁服务要求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(1)校园公共区及楼道、梯步、围栏、门窗框台、公示指示标牌、走廊、架空层、厕所、体育馆、功能室、学术厅、会议室、功能室的清扫、拖地、清洗，绿化带无杂物、绿植修剪整齐。</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(2)校园道路、操场定期冲洗，操场和校园围墙扶栏每周清洁1次，体育馆每周清洁1次。</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定期对全校所有办公室、功能室的天棚、窗玻璃、风扇、灯管、多媒体设备等进行蛛网、灰尘的清除、清扫或擦洗，保持无灰尘无蜘蛛网。负责雨季前雨水、污水管道疏通，化粪池清掏，按采购人要求对未提到场所清洁，并完成其它临时性工作。</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(4)每天早上7:30前做好各区域、厕所等清扫、拖地和冲洗工作。每节课上课后做好各区域、厕所等保洁工作。建立完备的清洁岗位，在规定时间内始终保持有岗、有人、有服务。</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(5)清洁卫生质量标准：做到“四净”。即窗明几净；地面、楼面、墙面、台面干净；路灯、户外音箱标识标牌、画框干净；厕所冲洗干净。</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(6)垃圾桶内垃圾，每天早、中、晚三次清理。拖布、抹布分类实用，避免室内、过道和大厅等处有异味。定期进行卫生消杀灭菌工作。节约用水，爱护用具。服务态度好，不与师生争吵。上班时段不得大声喧哗。</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四、水电维护及维修服务要求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负责采购人的水电维修工作。水（含消防设备）、电（含配电设备）、地板及教室和办公室内的桌、椅、板凳、门窗、大小黑板，强、弱电门锁、墙砖的简单维修、安装等工作。所有维修材料费采购人实报实销。</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(2)保存好完整的维修档案资料（需随时给采购人提供完整的资料），做到项目齐全、管理完善。负责学生桌椅高度的调整。</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(3)值班人员做到每日巡视水、电、桌椅门锁等设施，发现故障和安全隐患应及时维修，随时进行质量跟踪，维修合格率100％。</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每天上下午巡查校园各一次，做好记录，自己能解决的维修工作应自行解决；需要请人来维修的，必须书面向后勤主任汇报，并配合外请人员的维修工作，接待外请维修人员，检查验收维修好的设备，向后勤主任汇报维修结果。</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对师生报修的有关装置、设备等，必须在接报修后当天到达现场处理。重大紧急情况发生时，不管是上班还是休息时间，必需立刻到达现场处理。对当时不能维修的问题要书面填写缺少的工具、材料和困难等原因，并向报修者反馈。</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(6)每学期开学前应对采购人水电消防设施设备、门窗、课桌椅等各种物品进行检查，发现缺损及时修理配置好，做好开学工作。平时做到勤检查、勤修理、文明修理，工完料清，不留隐患。</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(7)根据季节变化，提前作好空调、风扇的维护保养工作。做好维修材料储备，发觉缺料及时通知保管室备齐。按质、按时、按量完成采购人交办的其它临时任务。</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五、绿化养护要求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(1)负责校园绿化区的日常绿化维护，适时对花木、草坪进行修剪、施肥、防治病虫害、养护和浇水，清除绿化区杂草。</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(2)在维护原有绿化的基础上，对采购人提供的绿化租赁花卉进行摆放及维护，适时种植培育新的花草等。</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六、文印服务要求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文印员负责采购人所有的资料复印、打印工作，负责文印室复印机、速印机的维护和保管，完成领导交办的其它工作。</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七、体育管理服务要求</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(1)负责制定适合委托方体育器材管理的工作标准及管理条例；</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(2)负责建立体育器材保管、收发、赔偿等相关制度并按制度严格执行；</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(3)负责建立体育器材台账，定期梳理，及时向采购人相关部门提出体育器材采购计划，达到“满足、高效、节约”的目的。</w:t>
      </w:r>
    </w:p>
    <w:p>
      <w:pPr>
        <w:ind w:firstLine="646" w:firstLineChars="202"/>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八、应急事件处置</w:t>
      </w:r>
    </w:p>
    <w:p>
      <w:pPr>
        <w:ind w:firstLine="646" w:firstLineChars="202"/>
        <w:rPr>
          <w:rFonts w:ascii="宋体" w:hAnsi="宋体" w:cs="宋体"/>
          <w:sz w:val="28"/>
          <w:szCs w:val="28"/>
          <w:lang w:bidi="ar"/>
        </w:rPr>
      </w:pPr>
      <w:r>
        <w:rPr>
          <w:rFonts w:hint="eastAsia" w:asciiTheme="minorEastAsia" w:hAnsiTheme="minorEastAsia" w:eastAsiaTheme="minorEastAsia" w:cstheme="minorEastAsia"/>
          <w:sz w:val="32"/>
          <w:szCs w:val="32"/>
        </w:rPr>
        <w:t>根据项目实际情况，建立应急处置方案，及时处理突发事件。</w:t>
      </w:r>
    </w:p>
    <w:p>
      <w:pPr>
        <w:pStyle w:val="6"/>
        <w:numPr>
          <w:ilvl w:val="2"/>
          <w:numId w:val="0"/>
        </w:numPr>
        <w:spacing w:after="200" w:line="520" w:lineRule="exact"/>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项目服务人员配置</w:t>
      </w:r>
    </w:p>
    <w:p>
      <w:pPr>
        <w:pStyle w:val="41"/>
        <w:widowControl w:val="0"/>
        <w:numPr>
          <w:ilvl w:val="0"/>
          <w:numId w:val="60"/>
        </w:numPr>
        <w:spacing w:before="0" w:after="0" w:afterAutospacing="0" w:line="360" w:lineRule="auto"/>
        <w:jc w:val="both"/>
        <w:rPr>
          <w:rFonts w:cs="宋体"/>
          <w:color w:val="auto"/>
          <w:kern w:val="2"/>
          <w:sz w:val="28"/>
          <w:szCs w:val="28"/>
        </w:rPr>
      </w:pPr>
      <w:r>
        <w:rPr>
          <w:rFonts w:hint="eastAsia" w:cs="宋体"/>
          <w:color w:val="auto"/>
          <w:kern w:val="2"/>
          <w:sz w:val="28"/>
          <w:szCs w:val="28"/>
          <w:lang w:bidi="ar"/>
        </w:rPr>
        <w:t>投标人应当与本项目配置的员工建立合法劳动用工关系，并按照国家法律法规全员购置社保。中标人负责支付所派出全部工作人员工资、社保、残疾人基金、工会基金、住房公积金等费用及各项补助、节日福利等，人员工资标准不得低于本地的最低工资标准，采购人对此不承担任何的法律责任和义务，不得以人工工资价格上涨要求相关补助，采购人不额外向个人支付费用（应采购人实际工作需要，供应商要求提供的特约有偿服务或派员参加重大活动协助的除外）</w:t>
      </w:r>
    </w:p>
    <w:p>
      <w:pPr>
        <w:numPr>
          <w:ilvl w:val="0"/>
          <w:numId w:val="61"/>
        </w:numPr>
        <w:ind w:left="0" w:firstLine="560" w:firstLineChars="200"/>
        <w:rPr>
          <w:rFonts w:cs="宋体"/>
          <w:sz w:val="28"/>
          <w:szCs w:val="28"/>
        </w:rPr>
      </w:pPr>
      <w:r>
        <w:rPr>
          <w:rFonts w:hint="eastAsia" w:cs="宋体"/>
          <w:sz w:val="28"/>
          <w:szCs w:val="28"/>
          <w:lang w:bidi="ar"/>
        </w:rPr>
        <w:t>采购人不向供应商提供员工住宿（因工作需要采购人向供应商提供必要备勤室除外），供应商的现场服务人员的工作用餐可以在采购人的食堂用餐，但必须遵守采购人的就餐时间安排，</w:t>
      </w:r>
      <w:r>
        <w:rPr>
          <w:rFonts w:hint="eastAsia" w:ascii="宋体" w:hAnsi="宋体"/>
          <w:sz w:val="28"/>
          <w:szCs w:val="28"/>
        </w:rPr>
        <w:t>行课期间，采购人提供员工本人的工作餐。餐费由投标人按照采购人规定收费结算</w:t>
      </w:r>
      <w:r>
        <w:rPr>
          <w:rFonts w:hint="eastAsia" w:cs="宋体"/>
          <w:sz w:val="28"/>
          <w:szCs w:val="28"/>
          <w:lang w:bidi="ar"/>
        </w:rPr>
        <w:t>。供应商应确保现场服务的延续性，采购人出于现场服务延续性考虑需要留用的现场服务人员，供应商应当接收并承认员工的工龄。</w:t>
      </w:r>
    </w:p>
    <w:p>
      <w:pPr>
        <w:pStyle w:val="41"/>
        <w:widowControl w:val="0"/>
        <w:numPr>
          <w:ilvl w:val="0"/>
          <w:numId w:val="60"/>
        </w:numPr>
        <w:spacing w:before="0" w:after="0" w:afterAutospacing="0" w:line="360" w:lineRule="auto"/>
        <w:jc w:val="both"/>
        <w:rPr>
          <w:rFonts w:cs="宋体"/>
          <w:color w:val="auto"/>
          <w:kern w:val="2"/>
          <w:sz w:val="28"/>
          <w:szCs w:val="28"/>
        </w:rPr>
      </w:pPr>
      <w:r>
        <w:rPr>
          <w:rFonts w:hint="eastAsia" w:cs="宋体"/>
          <w:color w:val="auto"/>
          <w:kern w:val="2"/>
          <w:sz w:val="28"/>
          <w:szCs w:val="28"/>
          <w:lang w:bidi="ar"/>
        </w:rPr>
        <w:t>本项目物业服务人员最低配置人数要求：</w:t>
      </w:r>
    </w:p>
    <w:p>
      <w:pPr>
        <w:ind w:firstLine="420"/>
        <w:rPr>
          <w:rFonts w:ascii="宋体" w:hAnsi="宋体"/>
          <w:sz w:val="28"/>
          <w:szCs w:val="28"/>
        </w:rPr>
      </w:pPr>
      <w:r>
        <w:rPr>
          <w:rFonts w:hint="eastAsia" w:ascii="宋体" w:hAnsi="宋体"/>
          <w:sz w:val="28"/>
          <w:szCs w:val="28"/>
        </w:rPr>
        <w:t>采购人的物业服务人员应按照最低48人配置，具体配置标准：</w:t>
      </w:r>
    </w:p>
    <w:p>
      <w:pPr>
        <w:numPr>
          <w:ilvl w:val="0"/>
          <w:numId w:val="62"/>
        </w:numPr>
        <w:rPr>
          <w:rFonts w:ascii="宋体" w:hAnsi="宋体"/>
          <w:sz w:val="28"/>
          <w:szCs w:val="28"/>
        </w:rPr>
      </w:pPr>
      <w:r>
        <w:rPr>
          <w:rFonts w:hint="eastAsia" w:ascii="宋体" w:hAnsi="宋体"/>
          <w:sz w:val="28"/>
          <w:szCs w:val="28"/>
        </w:rPr>
        <w:t>项目经理1人（具有三年以上物业管理经验，由投标人推荐采购人审定）。</w:t>
      </w:r>
    </w:p>
    <w:p>
      <w:pPr>
        <w:numPr>
          <w:ilvl w:val="0"/>
          <w:numId w:val="62"/>
        </w:numPr>
        <w:rPr>
          <w:rFonts w:ascii="宋体" w:hAnsi="宋体"/>
          <w:sz w:val="28"/>
          <w:szCs w:val="28"/>
        </w:rPr>
      </w:pPr>
      <w:r>
        <w:rPr>
          <w:rFonts w:hint="eastAsia" w:ascii="宋体" w:hAnsi="宋体"/>
          <w:sz w:val="28"/>
          <w:szCs w:val="28"/>
        </w:rPr>
        <w:t>保安：18人（身高170cm以上，50岁以内，身体健康，形象较好，无不良记录，初中及以上学历）。</w:t>
      </w:r>
    </w:p>
    <w:p>
      <w:pPr>
        <w:numPr>
          <w:ilvl w:val="0"/>
          <w:numId w:val="62"/>
        </w:numPr>
        <w:rPr>
          <w:rFonts w:ascii="宋体" w:hAnsi="宋体"/>
          <w:sz w:val="28"/>
          <w:szCs w:val="28"/>
        </w:rPr>
      </w:pPr>
      <w:r>
        <w:rPr>
          <w:rFonts w:hint="eastAsia" w:ascii="宋体" w:hAnsi="宋体"/>
          <w:sz w:val="28"/>
          <w:szCs w:val="28"/>
        </w:rPr>
        <w:t>保洁员20人（50岁以内，身体健康）。</w:t>
      </w:r>
    </w:p>
    <w:p>
      <w:pPr>
        <w:numPr>
          <w:ilvl w:val="0"/>
          <w:numId w:val="62"/>
        </w:numPr>
        <w:rPr>
          <w:rFonts w:ascii="宋体" w:hAnsi="宋体"/>
          <w:sz w:val="28"/>
          <w:szCs w:val="28"/>
        </w:rPr>
      </w:pPr>
      <w:r>
        <w:rPr>
          <w:rFonts w:hint="eastAsia" w:ascii="宋体" w:hAnsi="宋体"/>
          <w:sz w:val="28"/>
          <w:szCs w:val="28"/>
        </w:rPr>
        <w:t>水电人员2人（持有电工类证书，从事本岗位工作3年以上，55岁以内。熟悉采购人日常维修工作，协助采购人施工整改监督。）</w:t>
      </w:r>
    </w:p>
    <w:p>
      <w:pPr>
        <w:numPr>
          <w:ilvl w:val="0"/>
          <w:numId w:val="62"/>
        </w:numPr>
        <w:rPr>
          <w:rFonts w:ascii="宋体" w:hAnsi="宋体"/>
          <w:sz w:val="28"/>
          <w:szCs w:val="28"/>
        </w:rPr>
      </w:pPr>
      <w:r>
        <w:rPr>
          <w:rFonts w:hint="eastAsia" w:ascii="宋体" w:hAnsi="宋体"/>
          <w:sz w:val="28"/>
          <w:szCs w:val="28"/>
        </w:rPr>
        <w:t>绿化工3人（50岁以内，具备相关从业经验。）</w:t>
      </w:r>
    </w:p>
    <w:p>
      <w:pPr>
        <w:numPr>
          <w:ilvl w:val="0"/>
          <w:numId w:val="62"/>
        </w:numPr>
        <w:rPr>
          <w:rFonts w:ascii="宋体" w:hAnsi="宋体"/>
          <w:sz w:val="28"/>
          <w:szCs w:val="28"/>
        </w:rPr>
      </w:pPr>
      <w:r>
        <w:rPr>
          <w:rFonts w:hint="eastAsia" w:ascii="宋体" w:hAnsi="宋体"/>
          <w:sz w:val="28"/>
          <w:szCs w:val="28"/>
        </w:rPr>
        <w:t>文印2人（年龄45岁以内，身高160cm，形象气质佳，需要采购人面试后，方可上岗。）</w:t>
      </w:r>
    </w:p>
    <w:p>
      <w:pPr>
        <w:numPr>
          <w:ilvl w:val="0"/>
          <w:numId w:val="62"/>
        </w:numPr>
        <w:rPr>
          <w:rFonts w:ascii="宋体" w:hAnsi="宋体"/>
          <w:sz w:val="28"/>
          <w:szCs w:val="28"/>
        </w:rPr>
      </w:pPr>
      <w:r>
        <w:rPr>
          <w:rFonts w:hint="eastAsia" w:ascii="宋体" w:hAnsi="宋体"/>
          <w:sz w:val="28"/>
          <w:szCs w:val="28"/>
        </w:rPr>
        <w:t>体育管理2人（要求男女不限，年龄45岁以内，身体健康。）</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四、第一年服务合同时间</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服务时间：从年 月 日 至年 月 日止。合同到期后自动终止，经甲方考核合格后续签下一年合同。</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五、服务费用及支付方式</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一、按月结算并支付，月度服务费月度考核完后支付服务费用。</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二、甲方在次月5日前完成对物业服务效果的考核，达到合同约定要求的，甲方每月收到发票后20日内支付上月费用，通过银行转账的形式支付上月度的物业管理服务费用。全年结算总额不超过本项目中标金额。考核良好全部支付当月费用，考核合格支付当月费用的95%，考核不合格支付当月费用的50%。</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三、乙方应当保证本合同尾部提供的账户信息真实有效，若因乙方提供信息错误导致甲方无法付款或无法按照约定的时间付款，甲方不承担任何法律责任；若因财政拨款等原因导致甲方无法在约定的时间内付款，不视为违约行为。</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四、乙方应于考核结束后且甲方付款前，根据考核结果向甲方开具合法等额有效的发票，否则甲方有权不予结算且不承担违约责任。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乙方指定收款银行账号信息如下：</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户  名：</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开户行：</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账  号：</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乙方保证上述账户信息的真实性、准确性，因账户信息错误导致乙方无法收款或迟延收款的，甲方不承担责任。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六、甲方的权利和义务</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 甲方有权对合同约定范围内乙方的服务行为进行监督和检查，拥有监管权。有权定期检查乙方提供服务的质量。对不符合合同约定的部分有权提出整改意见，并要求乙方限期整改。若经甲方要求仍不整改或整改仍达不到甲方要求的，甲方有权单方解除本合同并要求乙方承担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2、甲方不干涉乙方的日常管理，包括但不限于人员配置、管理机制等。</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3、甲方有权依据考评办法对乙方提供的服务进行定期考核。当考核结果未达到标准时，有权依据考评办法约定的数额扣除相应的服务费。</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4、根据本合同约定，按时向乙方支付服务费用。</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5、国家法律、法规所规定由甲方承担的其他责任。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七、乙方的权利和义务</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1、对本合同约定的委托服务范围内的项目享有管理权及服务义务。</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2、根据本合同的约定向甲方收取相关服务费。</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3、及时向甲方通告本项目服务范围内有关服务的重大事项，并及时配合甲方处理投诉。</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乙方应与物业相关工作人员建立劳动关系并签订劳动合同。并按劳动合同约定及时支付其员工工资，为其购买社会保险。因其指派的物业人员产生的任何争议由乙方自行处理，与甲方无关。乙方服务人员在本合同有效期间发生的疾病、意外等情况，与甲方无关。</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5、接受项目行业管理部门及政府有关部门的指导，接受甲方的监督。</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6、乙方及其工作人员应维护甲方形象，不得与家长产生纠纷，不得造谣影响甲方声誉，不得作出任何有损甲方形象的行为。</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7、乙方及其工作人员对因履行服务而知悉的甲方所有信息负有保密义务，未经甲方书面允许，不得向任何第三方泄露、透露。此保密约定一直有效，不因本合同的解除或终止而失效。</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8、国家法律、法规所规定由乙方承担的其他责任。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八、违约责任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1、甲乙双方必须遵守本合同并执行合同中的各项规定，保证本合同的正常履行。</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如因乙方工作人员在履行职务过程中的的疏忽、失职、过错等故意或者过失原因给甲方造成损失或侵害，包括但不限于甲方本身的财产损失、由此而导致的甲方对任何第三方的法律责任等，乙方对此均应承担全部的赔偿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3、因甲方原因逾期支付合同款的，除应及时付合同款外，应向乙方支付欠款总额万分之一/天的违约金；逾期付款超过30天的，乙方有权终止合同。</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4、甲方支付的违约金不足以弥补乙方损失的，还应按乙方损失尚未弥补的部分，支付赔偿金给乙方。</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5、签订合同后乙方不履行合同或不完全履行合同或单方面终止合同的，乙方承担违约责任。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6、乙方违约时应承担合同总金额20%违约金。给甲方造成的损失超过违约金的，乙方还应对超过部分予以赔偿，并依法承担相应的法律责任。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九、解决合同纠纷的方式</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1、在执行本合同中发生的或与本合同有关的争端，双方应通过友好协商解决，经协商在10天内不能达成协议时，应提交成都仲裁委员会仲裁。</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2、仲裁裁决应为最终决定，并对双方具有约束力。</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 xml:space="preserve">3、除另有裁决外，仲裁费应由败诉方负担。 </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4、在仲裁期间，除正在进行仲裁部分外，合同其他部分继续执行。</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十、合同生效及其他</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1、合同经双方法定代表人或授权委托代理人（提交授权委托书）签字并加盖单位公章后生效。</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2、合同执行中涉及采购资金和采购内容修改或补充的，须经政府采购监管部门审批，并签书面补充协议报政府采购监督管理部门备案，方可作为主合同不可分割的一部分。</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3、本合同一式份，自双方签章之日起起效。甲方份，乙方份，政府采购代理机构份，同级财政部门备案份，具有同等法律效力。</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十一、附件</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1、项目招标文件</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2、项目投标文件</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3、中标通知书</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4、其他</w:t>
      </w:r>
    </w:p>
    <w:p>
      <w:pPr>
        <w:tabs>
          <w:tab w:val="left" w:pos="644"/>
        </w:tabs>
        <w:adjustRightInd w:val="0"/>
        <w:snapToGrid w:val="0"/>
        <w:spacing w:line="360" w:lineRule="auto"/>
        <w:ind w:firstLine="640" w:firstLineChars="200"/>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5、《物业服务考核表》</w:t>
      </w:r>
    </w:p>
    <w:p>
      <w:pPr>
        <w:rPr>
          <w:rFonts w:asciiTheme="minorEastAsia" w:hAnsiTheme="minorEastAsia" w:eastAsiaTheme="minorEastAsia" w:cstheme="minorEastAsia"/>
          <w:color w:val="000000"/>
          <w:spacing w:val="-1"/>
          <w:sz w:val="24"/>
          <w:szCs w:val="24"/>
        </w:rPr>
      </w:pPr>
      <w:r>
        <w:rPr>
          <w:rFonts w:hint="eastAsia" w:asciiTheme="minorEastAsia" w:hAnsiTheme="minorEastAsia" w:eastAsiaTheme="minorEastAsia" w:cstheme="minorEastAsia"/>
          <w:color w:val="000000"/>
          <w:spacing w:val="-1"/>
          <w:sz w:val="24"/>
          <w:szCs w:val="24"/>
        </w:rPr>
        <w:br w:type="page"/>
      </w:r>
    </w:p>
    <w:p>
      <w:pPr>
        <w:pStyle w:val="214"/>
        <w:widowControl w:val="0"/>
        <w:autoSpaceDE w:val="0"/>
        <w:autoSpaceDN w:val="0"/>
        <w:spacing w:before="0" w:after="0" w:line="500" w:lineRule="exact"/>
        <w:ind w:firstLine="476" w:firstLineChars="200"/>
        <w:rPr>
          <w:rFonts w:asciiTheme="minorEastAsia" w:hAnsiTheme="minorEastAsia" w:eastAsiaTheme="minorEastAsia" w:cstheme="minorEastAsia"/>
          <w:color w:val="000000"/>
          <w:spacing w:val="-1"/>
          <w:sz w:val="24"/>
          <w:szCs w:val="24"/>
          <w:lang w:eastAsia="zh-CN"/>
        </w:rPr>
      </w:pPr>
      <w:r>
        <w:rPr>
          <w:rFonts w:hint="eastAsia" w:asciiTheme="minorEastAsia" w:hAnsiTheme="minorEastAsia" w:eastAsiaTheme="minorEastAsia" w:cstheme="minorEastAsia"/>
          <w:color w:val="000000"/>
          <w:spacing w:val="-1"/>
          <w:sz w:val="24"/>
          <w:szCs w:val="24"/>
          <w:lang w:eastAsia="zh-CN"/>
        </w:rPr>
        <w:t xml:space="preserve"> </w:t>
      </w:r>
    </w:p>
    <w:tbl>
      <w:tblPr>
        <w:tblStyle w:val="45"/>
        <w:tblW w:w="0" w:type="auto"/>
        <w:jc w:val="center"/>
        <w:tblLayout w:type="fixed"/>
        <w:tblCellMar>
          <w:top w:w="0" w:type="dxa"/>
          <w:left w:w="108" w:type="dxa"/>
          <w:bottom w:w="0" w:type="dxa"/>
          <w:right w:w="108" w:type="dxa"/>
        </w:tblCellMar>
      </w:tblPr>
      <w:tblGrid>
        <w:gridCol w:w="4981"/>
        <w:gridCol w:w="4981"/>
      </w:tblGrid>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甲方：   (盖章)</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乙方：   (盖章)</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法定代表人(授权代表)：</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法定代表人(授权代表)：</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地址：</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地址：</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开户银行：</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开户银行：</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账号：</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账号：</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 xml:space="preserve">电话： </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 xml:space="preserve">电话： </w:t>
            </w:r>
          </w:p>
        </w:tc>
      </w:tr>
      <w:tr>
        <w:tblPrEx>
          <w:tblCellMar>
            <w:top w:w="0" w:type="dxa"/>
            <w:left w:w="108" w:type="dxa"/>
            <w:bottom w:w="0" w:type="dxa"/>
            <w:right w:w="108" w:type="dxa"/>
          </w:tblCellMar>
        </w:tblPrEx>
        <w:trPr>
          <w:trHeight w:val="724"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传真：</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传真：</w:t>
            </w:r>
          </w:p>
        </w:tc>
      </w:tr>
      <w:tr>
        <w:tblPrEx>
          <w:tblCellMar>
            <w:top w:w="0" w:type="dxa"/>
            <w:left w:w="108" w:type="dxa"/>
            <w:bottom w:w="0" w:type="dxa"/>
            <w:right w:w="108" w:type="dxa"/>
          </w:tblCellMar>
        </w:tblPrEx>
        <w:trPr>
          <w:trHeight w:val="724" w:hRule="atLeast"/>
          <w:jc w:val="center"/>
        </w:trPr>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签约日期：XX年XX月XX日</w:t>
            </w:r>
          </w:p>
        </w:tc>
        <w:tc>
          <w:tcPr>
            <w:tcW w:w="4981" w:type="dxa"/>
            <w:tcBorders>
              <w:top w:val="nil"/>
              <w:left w:val="nil"/>
              <w:bottom w:val="nil"/>
              <w:right w:val="nil"/>
            </w:tcBorders>
            <w:vAlign w:val="center"/>
          </w:tcPr>
          <w:p>
            <w:pPr>
              <w:pStyle w:val="239"/>
              <w:ind w:firstLine="480"/>
              <w:rPr>
                <w:rFonts w:asciiTheme="minorEastAsia" w:hAnsiTheme="minorEastAsia" w:eastAsiaTheme="minorEastAsia" w:cstheme="minorEastAsia"/>
                <w:color w:val="000000"/>
              </w:rPr>
            </w:pPr>
            <w:r>
              <w:rPr>
                <w:rFonts w:hint="eastAsia" w:asciiTheme="minorEastAsia" w:hAnsiTheme="minorEastAsia" w:eastAsiaTheme="minorEastAsia" w:cstheme="minorEastAsia"/>
                <w:color w:val="000000"/>
              </w:rPr>
              <w:t>签约日期：XX年XX月XX日</w:t>
            </w:r>
          </w:p>
        </w:tc>
      </w:tr>
    </w:tbl>
    <w:p>
      <w:pPr>
        <w:pStyle w:val="19"/>
        <w:ind w:firstLine="565" w:firstLineChars="202"/>
        <w:rPr>
          <w:rFonts w:ascii="宋体" w:hAnsi="宋体"/>
          <w:color w:val="000000" w:themeColor="text1"/>
          <w:sz w:val="28"/>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p>
      <w:pPr>
        <w:pStyle w:val="19"/>
        <w:rPr>
          <w:color w:val="000000" w:themeColor="text1"/>
          <w14:textFill>
            <w14:solidFill>
              <w14:schemeClr w14:val="tx1"/>
            </w14:solidFill>
          </w14:textFill>
        </w:rPr>
      </w:pPr>
    </w:p>
    <w:bookmarkEnd w:id="411"/>
    <w:bookmarkEnd w:id="412"/>
    <w:p>
      <w:pPr>
        <w:spacing w:line="360" w:lineRule="auto"/>
        <w:rPr>
          <w:rFonts w:ascii="宋体" w:hAnsi="宋体" w:cs="宋体"/>
          <w:sz w:val="28"/>
          <w:szCs w:val="28"/>
        </w:rPr>
      </w:pPr>
      <w:r>
        <w:rPr>
          <w:rFonts w:hint="eastAsia" w:ascii="宋体" w:hAnsi="宋体" w:cs="宋体"/>
          <w:b/>
          <w:sz w:val="28"/>
          <w:szCs w:val="28"/>
        </w:rPr>
        <w:t>附件：</w:t>
      </w:r>
      <w:r>
        <w:rPr>
          <w:rFonts w:hint="eastAsia" w:ascii="宋体" w:hAnsi="宋体" w:cs="宋体"/>
          <w:sz w:val="28"/>
          <w:szCs w:val="28"/>
        </w:rPr>
        <w:drawing>
          <wp:inline distT="0" distB="0" distL="114300" distR="114300">
            <wp:extent cx="5617845" cy="7938770"/>
            <wp:effectExtent l="0" t="0" r="1905" b="50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6"/>
                    <a:stretch>
                      <a:fillRect/>
                    </a:stretch>
                  </pic:blipFill>
                  <pic:spPr>
                    <a:xfrm>
                      <a:off x="0" y="0"/>
                      <a:ext cx="5617845" cy="793877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34380" cy="8244840"/>
            <wp:effectExtent l="0" t="0" r="13970" b="381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7"/>
                    <a:stretch>
                      <a:fillRect/>
                    </a:stretch>
                  </pic:blipFill>
                  <pic:spPr>
                    <a:xfrm>
                      <a:off x="0" y="0"/>
                      <a:ext cx="5834380" cy="824484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43270" cy="8259445"/>
            <wp:effectExtent l="0" t="0" r="5080" b="825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8"/>
                    <a:stretch>
                      <a:fillRect/>
                    </a:stretch>
                  </pic:blipFill>
                  <pic:spPr>
                    <a:xfrm>
                      <a:off x="0" y="0"/>
                      <a:ext cx="5843270" cy="8259445"/>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797550" cy="8192770"/>
            <wp:effectExtent l="0" t="0" r="12700" b="1778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9"/>
                    <a:stretch>
                      <a:fillRect/>
                    </a:stretch>
                  </pic:blipFill>
                  <pic:spPr>
                    <a:xfrm>
                      <a:off x="0" y="0"/>
                      <a:ext cx="5797550" cy="819277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748655" cy="8125460"/>
            <wp:effectExtent l="0" t="0" r="4445" b="889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0"/>
                    <a:stretch>
                      <a:fillRect/>
                    </a:stretch>
                  </pic:blipFill>
                  <pic:spPr>
                    <a:xfrm>
                      <a:off x="0" y="0"/>
                      <a:ext cx="5748655" cy="812546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786755" cy="8185150"/>
            <wp:effectExtent l="0" t="0" r="4445" b="635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1"/>
                    <a:stretch>
                      <a:fillRect/>
                    </a:stretch>
                  </pic:blipFill>
                  <pic:spPr>
                    <a:xfrm>
                      <a:off x="0" y="0"/>
                      <a:ext cx="5786755" cy="818515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01360" cy="8199755"/>
            <wp:effectExtent l="0" t="0" r="8890" b="1079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2"/>
                    <a:stretch>
                      <a:fillRect/>
                    </a:stretch>
                  </pic:blipFill>
                  <pic:spPr>
                    <a:xfrm>
                      <a:off x="0" y="0"/>
                      <a:ext cx="5801360" cy="8199755"/>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69940" cy="8289290"/>
            <wp:effectExtent l="0" t="0" r="16510" b="1651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13"/>
                    <a:stretch>
                      <a:fillRect/>
                    </a:stretch>
                  </pic:blipFill>
                  <pic:spPr>
                    <a:xfrm>
                      <a:off x="0" y="0"/>
                      <a:ext cx="5869940" cy="828929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66130" cy="8289290"/>
            <wp:effectExtent l="0" t="0" r="1270" b="1651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14"/>
                    <a:stretch>
                      <a:fillRect/>
                    </a:stretch>
                  </pic:blipFill>
                  <pic:spPr>
                    <a:xfrm>
                      <a:off x="0" y="0"/>
                      <a:ext cx="5866130" cy="828929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08345" cy="8214995"/>
            <wp:effectExtent l="0" t="0" r="1905" b="1460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15"/>
                    <a:stretch>
                      <a:fillRect/>
                    </a:stretch>
                  </pic:blipFill>
                  <pic:spPr>
                    <a:xfrm>
                      <a:off x="0" y="0"/>
                      <a:ext cx="5808345" cy="8214995"/>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66130" cy="8289290"/>
            <wp:effectExtent l="0" t="0" r="1270" b="1651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16"/>
                    <a:stretch>
                      <a:fillRect/>
                    </a:stretch>
                  </pic:blipFill>
                  <pic:spPr>
                    <a:xfrm>
                      <a:off x="0" y="0"/>
                      <a:ext cx="5866130" cy="828929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59145" cy="8282305"/>
            <wp:effectExtent l="0" t="0" r="8255" b="444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17"/>
                    <a:stretch>
                      <a:fillRect/>
                    </a:stretch>
                  </pic:blipFill>
                  <pic:spPr>
                    <a:xfrm>
                      <a:off x="0" y="0"/>
                      <a:ext cx="5859145" cy="8282305"/>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55335" cy="8282305"/>
            <wp:effectExtent l="0" t="0" r="12065" b="444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18"/>
                    <a:stretch>
                      <a:fillRect/>
                    </a:stretch>
                  </pic:blipFill>
                  <pic:spPr>
                    <a:xfrm>
                      <a:off x="0" y="0"/>
                      <a:ext cx="5855335" cy="8282305"/>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66130" cy="8289290"/>
            <wp:effectExtent l="0" t="0" r="1270" b="16510"/>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19"/>
                    <a:stretch>
                      <a:fillRect/>
                    </a:stretch>
                  </pic:blipFill>
                  <pic:spPr>
                    <a:xfrm>
                      <a:off x="0" y="0"/>
                      <a:ext cx="5866130" cy="8289290"/>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50255" cy="8267065"/>
            <wp:effectExtent l="0" t="0" r="17145" b="635"/>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20"/>
                    <a:stretch>
                      <a:fillRect/>
                    </a:stretch>
                  </pic:blipFill>
                  <pic:spPr>
                    <a:xfrm>
                      <a:off x="0" y="0"/>
                      <a:ext cx="5850255" cy="8267065"/>
                    </a:xfrm>
                    <a:prstGeom prst="rect">
                      <a:avLst/>
                    </a:prstGeom>
                    <a:noFill/>
                    <a:ln>
                      <a:noFill/>
                    </a:ln>
                  </pic:spPr>
                </pic:pic>
              </a:graphicData>
            </a:graphic>
          </wp:inline>
        </w:drawing>
      </w:r>
    </w:p>
    <w:p>
      <w:pPr>
        <w:spacing w:line="360" w:lineRule="auto"/>
        <w:rPr>
          <w:rFonts w:ascii="宋体" w:hAnsi="宋体" w:cs="宋体"/>
          <w:sz w:val="28"/>
          <w:szCs w:val="28"/>
        </w:rPr>
      </w:pPr>
      <w:r>
        <w:rPr>
          <w:rFonts w:hint="eastAsia" w:ascii="宋体" w:hAnsi="宋体" w:cs="宋体"/>
          <w:sz w:val="28"/>
          <w:szCs w:val="28"/>
        </w:rPr>
        <w:drawing>
          <wp:inline distT="0" distB="0" distL="114300" distR="114300">
            <wp:extent cx="5934710" cy="8380730"/>
            <wp:effectExtent l="0" t="0" r="8890" b="127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21"/>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drawing>
          <wp:inline distT="0" distB="0" distL="114300" distR="114300">
            <wp:extent cx="5934710" cy="8380730"/>
            <wp:effectExtent l="0" t="0" r="8890" b="1270"/>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22"/>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drawing>
          <wp:inline distT="0" distB="0" distL="114300" distR="114300">
            <wp:extent cx="5934710" cy="8380730"/>
            <wp:effectExtent l="0" t="0" r="8890" b="127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23"/>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drawing>
          <wp:inline distT="0" distB="0" distL="114300" distR="114300">
            <wp:extent cx="5934710" cy="8380730"/>
            <wp:effectExtent l="0" t="0" r="8890" b="1270"/>
            <wp:docPr id="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9"/>
                    <pic:cNvPicPr>
                      <a:picLocks noChangeAspect="1"/>
                    </pic:cNvPicPr>
                  </pic:nvPicPr>
                  <pic:blipFill>
                    <a:blip r:embed="rId24"/>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drawing>
          <wp:inline distT="0" distB="0" distL="114300" distR="114300">
            <wp:extent cx="5934710" cy="8380730"/>
            <wp:effectExtent l="0" t="0" r="8890" b="1270"/>
            <wp:docPr id="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0"/>
                    <pic:cNvPicPr>
                      <a:picLocks noChangeAspect="1"/>
                    </pic:cNvPicPr>
                  </pic:nvPicPr>
                  <pic:blipFill>
                    <a:blip r:embed="rId25"/>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drawing>
          <wp:inline distT="0" distB="0" distL="114300" distR="114300">
            <wp:extent cx="5845810" cy="8255000"/>
            <wp:effectExtent l="0" t="0" r="2540" b="12700"/>
            <wp:docPr id="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1"/>
                    <pic:cNvPicPr>
                      <a:picLocks noChangeAspect="1"/>
                    </pic:cNvPicPr>
                  </pic:nvPicPr>
                  <pic:blipFill>
                    <a:blip r:embed="rId26"/>
                    <a:stretch>
                      <a:fillRect/>
                    </a:stretch>
                  </pic:blipFill>
                  <pic:spPr>
                    <a:xfrm>
                      <a:off x="0" y="0"/>
                      <a:ext cx="5845810" cy="825500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br w:type="page"/>
      </w:r>
      <w:r>
        <w:rPr>
          <w:rFonts w:hint="eastAsia" w:ascii="宋体" w:hAnsi="宋体" w:cs="宋体"/>
          <w:sz w:val="28"/>
          <w:szCs w:val="28"/>
        </w:rPr>
        <w:drawing>
          <wp:inline distT="0" distB="0" distL="114300" distR="114300">
            <wp:extent cx="4857750" cy="6553200"/>
            <wp:effectExtent l="0" t="0" r="0" b="0"/>
            <wp:docPr id="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2"/>
                    <pic:cNvPicPr>
                      <a:picLocks noChangeAspect="1"/>
                    </pic:cNvPicPr>
                  </pic:nvPicPr>
                  <pic:blipFill>
                    <a:blip r:embed="rId27"/>
                    <a:stretch>
                      <a:fillRect/>
                    </a:stretch>
                  </pic:blipFill>
                  <pic:spPr>
                    <a:xfrm>
                      <a:off x="0" y="0"/>
                      <a:ext cx="4857750" cy="6553200"/>
                    </a:xfrm>
                    <a:prstGeom prst="rect">
                      <a:avLst/>
                    </a:prstGeom>
                    <a:noFill/>
                    <a:ln>
                      <a:noFill/>
                    </a:ln>
                  </pic:spPr>
                </pic:pic>
              </a:graphicData>
            </a:graphic>
          </wp:inline>
        </w:drawing>
      </w:r>
    </w:p>
    <w:p>
      <w:pPr>
        <w:pStyle w:val="19"/>
        <w:spacing w:line="360" w:lineRule="auto"/>
        <w:rPr>
          <w:rFonts w:ascii="宋体" w:hAnsi="宋体" w:cs="宋体"/>
          <w:sz w:val="28"/>
          <w:szCs w:val="28"/>
        </w:rPr>
      </w:pPr>
      <w:r>
        <w:rPr>
          <w:rFonts w:hint="eastAsia" w:ascii="宋体" w:hAnsi="宋体" w:cs="宋体"/>
          <w:sz w:val="28"/>
          <w:szCs w:val="28"/>
        </w:rPr>
        <w:drawing>
          <wp:inline distT="0" distB="0" distL="114300" distR="114300">
            <wp:extent cx="4848225" cy="6534150"/>
            <wp:effectExtent l="0" t="0" r="9525" b="0"/>
            <wp:docPr id="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pic:cNvPicPr>
                      <a:picLocks noChangeAspect="1"/>
                    </pic:cNvPicPr>
                  </pic:nvPicPr>
                  <pic:blipFill>
                    <a:blip r:embed="rId28"/>
                    <a:stretch>
                      <a:fillRect/>
                    </a:stretch>
                  </pic:blipFill>
                  <pic:spPr>
                    <a:xfrm>
                      <a:off x="0" y="0"/>
                      <a:ext cx="4848225" cy="6534150"/>
                    </a:xfrm>
                    <a:prstGeom prst="rect">
                      <a:avLst/>
                    </a:prstGeom>
                    <a:noFill/>
                    <a:ln>
                      <a:noFill/>
                    </a:ln>
                  </pic:spPr>
                </pic:pic>
              </a:graphicData>
            </a:graphic>
          </wp:inline>
        </w:drawing>
      </w:r>
    </w:p>
    <w:p>
      <w:pPr>
        <w:pStyle w:val="19"/>
        <w:spacing w:line="360" w:lineRule="auto"/>
        <w:rPr>
          <w:rFonts w:ascii="宋体" w:hAnsi="宋体" w:cs="宋体"/>
          <w:sz w:val="28"/>
          <w:szCs w:val="28"/>
        </w:rPr>
      </w:pPr>
    </w:p>
    <w:p>
      <w:pPr>
        <w:pStyle w:val="19"/>
        <w:rPr>
          <w:color w:val="000000" w:themeColor="text1"/>
          <w14:textFill>
            <w14:solidFill>
              <w14:schemeClr w14:val="tx1"/>
            </w14:solidFill>
          </w14:textFill>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Times New (W1)">
    <w:altName w:val="Segoe Print"/>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rial (W1)">
    <w:altName w:val="Arial"/>
    <w:panose1 w:val="00000000000000000000"/>
    <w:charset w:val="00"/>
    <w:family w:val="swiss"/>
    <w:pitch w:val="default"/>
    <w:sig w:usb0="00000000" w:usb1="00000000" w:usb2="00000008" w:usb3="00000000" w:csb0="000001FF" w:csb1="00000000"/>
  </w:font>
  <w:font w:name="隶书">
    <w:panose1 w:val="02010509060101010101"/>
    <w:charset w:val="86"/>
    <w:family w:val="modern"/>
    <w:pitch w:val="default"/>
    <w:sig w:usb0="00000001" w:usb1="080E0000" w:usb2="00000000" w:usb3="00000000" w:csb0="00040000"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44</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44</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7F57CC"/>
    <w:multiLevelType w:val="singleLevel"/>
    <w:tmpl w:val="887F57CC"/>
    <w:lvl w:ilvl="0" w:tentative="0">
      <w:start w:val="1"/>
      <w:numFmt w:val="chineseCounting"/>
      <w:suff w:val="nothing"/>
      <w:lvlText w:val="（%1）"/>
      <w:lvlJc w:val="left"/>
      <w:pPr>
        <w:ind w:left="0" w:firstLine="420"/>
      </w:pPr>
      <w:rPr>
        <w:rFonts w:hint="eastAsia"/>
      </w:rPr>
    </w:lvl>
  </w:abstractNum>
  <w:abstractNum w:abstractNumId="1">
    <w:nsid w:val="9990A501"/>
    <w:multiLevelType w:val="singleLevel"/>
    <w:tmpl w:val="9990A501"/>
    <w:lvl w:ilvl="0" w:tentative="0">
      <w:start w:val="1"/>
      <w:numFmt w:val="chineseCounting"/>
      <w:suff w:val="nothing"/>
      <w:lvlText w:val="（%1）"/>
      <w:lvlJc w:val="left"/>
      <w:rPr>
        <w:rFonts w:hint="eastAsia"/>
      </w:rPr>
    </w:lvl>
  </w:abstractNum>
  <w:abstractNum w:abstractNumId="2">
    <w:nsid w:val="A0AD8266"/>
    <w:multiLevelType w:val="singleLevel"/>
    <w:tmpl w:val="A0AD8266"/>
    <w:lvl w:ilvl="0" w:tentative="0">
      <w:start w:val="1"/>
      <w:numFmt w:val="chineseCounting"/>
      <w:suff w:val="nothing"/>
      <w:lvlText w:val="%1、"/>
      <w:lvlJc w:val="left"/>
      <w:pPr>
        <w:ind w:left="0" w:firstLine="420"/>
      </w:pPr>
      <w:rPr>
        <w:rFonts w:hint="eastAsia"/>
      </w:rPr>
    </w:lvl>
  </w:abstractNum>
  <w:abstractNum w:abstractNumId="3">
    <w:nsid w:val="BFF26C4E"/>
    <w:multiLevelType w:val="singleLevel"/>
    <w:tmpl w:val="BFF26C4E"/>
    <w:lvl w:ilvl="0" w:tentative="0">
      <w:start w:val="1"/>
      <w:numFmt w:val="chineseCounting"/>
      <w:suff w:val="nothing"/>
      <w:lvlText w:val="（%1）"/>
      <w:lvlJc w:val="left"/>
      <w:pPr>
        <w:ind w:left="0" w:firstLine="420"/>
      </w:pPr>
      <w:rPr>
        <w:rFonts w:hint="eastAsia"/>
      </w:rPr>
    </w:lvl>
  </w:abstractNum>
  <w:abstractNum w:abstractNumId="4">
    <w:nsid w:val="D0C54EF4"/>
    <w:multiLevelType w:val="singleLevel"/>
    <w:tmpl w:val="D0C54EF4"/>
    <w:lvl w:ilvl="0" w:tentative="0">
      <w:start w:val="1"/>
      <w:numFmt w:val="chineseCounting"/>
      <w:suff w:val="nothing"/>
      <w:lvlText w:val="（%1）"/>
      <w:lvlJc w:val="left"/>
      <w:pPr>
        <w:ind w:left="0" w:firstLine="420"/>
      </w:pPr>
      <w:rPr>
        <w:rFonts w:hint="eastAsia"/>
      </w:rPr>
    </w:lvl>
  </w:abstractNum>
  <w:abstractNum w:abstractNumId="5">
    <w:nsid w:val="D0E36DE6"/>
    <w:multiLevelType w:val="singleLevel"/>
    <w:tmpl w:val="D0E36DE6"/>
    <w:lvl w:ilvl="0" w:tentative="0">
      <w:start w:val="1"/>
      <w:numFmt w:val="chineseCounting"/>
      <w:suff w:val="nothing"/>
      <w:lvlText w:val="（%1）"/>
      <w:lvlJc w:val="left"/>
      <w:pPr>
        <w:ind w:left="0" w:firstLine="420"/>
      </w:pPr>
      <w:rPr>
        <w:rFonts w:hint="eastAsia"/>
      </w:rPr>
    </w:lvl>
  </w:abstractNum>
  <w:abstractNum w:abstractNumId="6">
    <w:nsid w:val="FEDC7E55"/>
    <w:multiLevelType w:val="singleLevel"/>
    <w:tmpl w:val="FEDC7E55"/>
    <w:lvl w:ilvl="0" w:tentative="0">
      <w:start w:val="1"/>
      <w:numFmt w:val="chineseCounting"/>
      <w:suff w:val="nothing"/>
      <w:lvlText w:val="（%1）"/>
      <w:lvlJc w:val="left"/>
      <w:pPr>
        <w:ind w:left="0" w:firstLine="420"/>
      </w:pPr>
      <w:rPr>
        <w:rFonts w:hint="eastAsia"/>
      </w:rPr>
    </w:lvl>
  </w:abstractNum>
  <w:abstractNum w:abstractNumId="7">
    <w:nsid w:val="00000009"/>
    <w:multiLevelType w:val="multilevel"/>
    <w:tmpl w:val="00000009"/>
    <w:lvl w:ilvl="0" w:tentative="0">
      <w:start w:val="1"/>
      <w:numFmt w:val="chineseCountingThousand"/>
      <w:lvlText w:val="%1、"/>
      <w:lvlJc w:val="left"/>
      <w:pPr>
        <w:ind w:left="1271" w:hanging="420"/>
      </w:pPr>
    </w:lvl>
    <w:lvl w:ilvl="1" w:tentative="0">
      <w:start w:val="1"/>
      <w:numFmt w:val="japaneseCounting"/>
      <w:lvlText w:val="（%2）"/>
      <w:lvlJc w:val="left"/>
      <w:pPr>
        <w:ind w:left="1830" w:hanging="885"/>
      </w:pPr>
      <w:rPr>
        <w:lang w:val="en-US"/>
      </w:r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8">
    <w:nsid w:val="00000012"/>
    <w:multiLevelType w:val="multilevel"/>
    <w:tmpl w:val="00000012"/>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9">
    <w:nsid w:val="00000013"/>
    <w:multiLevelType w:val="multilevel"/>
    <w:tmpl w:val="00000013"/>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4"/>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12">
    <w:nsid w:val="00000018"/>
    <w:multiLevelType w:val="multilevel"/>
    <w:tmpl w:val="00000018"/>
    <w:lvl w:ilvl="0" w:tentative="0">
      <w:start w:val="1"/>
      <w:numFmt w:val="chineseCountingThousand"/>
      <w:lvlText w:val="%1、"/>
      <w:lvlJc w:val="left"/>
      <w:pPr>
        <w:ind w:left="966" w:hanging="420"/>
      </w:p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13">
    <w:nsid w:val="0000001F"/>
    <w:multiLevelType w:val="multilevel"/>
    <w:tmpl w:val="0000001F"/>
    <w:lvl w:ilvl="0" w:tentative="0">
      <w:start w:val="1"/>
      <w:numFmt w:val="chineseCountingThousand"/>
      <w:lvlText w:val="%1、"/>
      <w:lvlJc w:val="left"/>
      <w:pPr>
        <w:ind w:left="980" w:hanging="420"/>
      </w:pPr>
    </w:lvl>
    <w:lvl w:ilvl="1" w:tentative="0">
      <w:start w:val="1"/>
      <w:numFmt w:val="decimal"/>
      <w:lvlText w:val="（%2）"/>
      <w:lvlJc w:val="left"/>
      <w:pPr>
        <w:ind w:left="1700" w:hanging="7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00000021"/>
    <w:multiLevelType w:val="multilevel"/>
    <w:tmpl w:val="00000021"/>
    <w:lvl w:ilvl="0" w:tentative="0">
      <w:start w:val="1"/>
      <w:numFmt w:val="chineseCountingThousand"/>
      <w:lvlText w:val="(%1)"/>
      <w:lvlJc w:val="left"/>
      <w:pPr>
        <w:ind w:left="980" w:hanging="420"/>
      </w:pPr>
    </w:lvl>
    <w:lvl w:ilvl="1" w:tentative="0">
      <w:start w:val="1"/>
      <w:numFmt w:val="chineseCountingThousand"/>
      <w:lvlText w:val="(%2)"/>
      <w:lvlJc w:val="left"/>
      <w:pPr>
        <w:ind w:left="42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4" w:tentative="0">
      <w:start w:val="1"/>
      <w:numFmt w:val="decimal"/>
      <w:pStyle w:val="8"/>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9"/>
      <w:lvlText w:val="%1.%2.%3.%4.%5.%6."/>
      <w:lvlJc w:val="left"/>
      <w:pPr>
        <w:tabs>
          <w:tab w:val="left" w:pos="1702"/>
        </w:tabs>
        <w:ind w:left="1702" w:hanging="1134"/>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16">
    <w:nsid w:val="00000024"/>
    <w:multiLevelType w:val="multilevel"/>
    <w:tmpl w:val="00000024"/>
    <w:lvl w:ilvl="0" w:tentative="0">
      <w:start w:val="1"/>
      <w:numFmt w:val="decimal"/>
      <w:lvlText w:val="%1."/>
      <w:lvlJc w:val="left"/>
      <w:pPr>
        <w:ind w:left="958" w:hanging="420"/>
      </w:pPr>
    </w:lvl>
    <w:lvl w:ilvl="1" w:tentative="0">
      <w:start w:val="1"/>
      <w:numFmt w:val="chineseCountingThousand"/>
      <w:lvlText w:val="%2、"/>
      <w:lvlJc w:val="left"/>
      <w:pPr>
        <w:ind w:left="1413"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7">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00000029"/>
    <w:multiLevelType w:val="multilevel"/>
    <w:tmpl w:val="00000029"/>
    <w:lvl w:ilvl="0" w:tentative="0">
      <w:start w:val="1"/>
      <w:numFmt w:val="decimal"/>
      <w:lvlText w:val="%1."/>
      <w:lvlJc w:val="left"/>
      <w:pPr>
        <w:ind w:left="562"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2B"/>
    <w:multiLevelType w:val="multilevel"/>
    <w:tmpl w:val="0000002B"/>
    <w:lvl w:ilvl="0" w:tentative="0">
      <w:start w:val="1"/>
      <w:numFmt w:val="chineseCountingThousand"/>
      <w:lvlText w:val="%1、"/>
      <w:lvlJc w:val="left"/>
      <w:pPr>
        <w:ind w:left="988"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0">
    <w:nsid w:val="0000002E"/>
    <w:multiLevelType w:val="multilevel"/>
    <w:tmpl w:val="0000002E"/>
    <w:lvl w:ilvl="0" w:tentative="0">
      <w:start w:val="1"/>
      <w:numFmt w:val="decimal"/>
      <w:pStyle w:val="4"/>
      <w:lvlText w:val="第%1章"/>
      <w:lvlJc w:val="left"/>
      <w:pPr>
        <w:ind w:left="283" w:hanging="425"/>
      </w:pPr>
      <w:rPr>
        <w:rFonts w:hint="default" w:ascii="Times New Roman" w:hAnsi="Times New Roman" w:eastAsia="宋体" w:cs="Times New Roman"/>
        <w:b/>
        <w:i w:val="0"/>
        <w:sz w:val="32"/>
        <w:szCs w:val="32"/>
      </w:rPr>
    </w:lvl>
    <w:lvl w:ilvl="1" w:tentative="0">
      <w:start w:val="1"/>
      <w:numFmt w:val="decimal"/>
      <w:pStyle w:val="5"/>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6"/>
      <w:suff w:val="space"/>
      <w:lvlText w:val="%1.%2.%3"/>
      <w:lvlJc w:val="left"/>
      <w:pPr>
        <w:ind w:left="2268" w:hanging="567"/>
      </w:pPr>
      <w:rPr>
        <w:rFonts w:hint="default" w:ascii="Times New Roman" w:hAnsi="Times New Roman" w:eastAsia="宋体" w:cs="Times New Roman"/>
        <w:b/>
        <w:i w:val="0"/>
        <w:sz w:val="28"/>
      </w:rPr>
    </w:lvl>
    <w:lvl w:ilvl="3" w:tentative="0">
      <w:start w:val="1"/>
      <w:numFmt w:val="decimal"/>
      <w:pStyle w:val="7"/>
      <w:suff w:val="nothing"/>
      <w:lvlText w:val="%1.%2.%3.%4"/>
      <w:lvlJc w:val="left"/>
      <w:pPr>
        <w:ind w:left="708" w:hanging="708"/>
      </w:pPr>
      <w:rPr>
        <w:rFonts w:hint="default" w:ascii="Times New Roman" w:hAnsi="Times New Roman" w:eastAsia="宋体" w:cs="Times New Roman"/>
        <w:b/>
        <w:i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21">
    <w:nsid w:val="00000031"/>
    <w:multiLevelType w:val="multilevel"/>
    <w:tmpl w:val="00000031"/>
    <w:lvl w:ilvl="0" w:tentative="0">
      <w:start w:val="1"/>
      <w:numFmt w:val="chineseCountingThousand"/>
      <w:lvlText w:val="%1、"/>
      <w:lvlJc w:val="left"/>
      <w:pPr>
        <w:ind w:left="966"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2">
    <w:nsid w:val="0000003A"/>
    <w:multiLevelType w:val="multilevel"/>
    <w:tmpl w:val="0000003A"/>
    <w:lvl w:ilvl="0" w:tentative="0">
      <w:start w:val="1"/>
      <w:numFmt w:val="chineseCountingThousand"/>
      <w:lvlText w:val="%1、"/>
      <w:lvlJc w:val="left"/>
      <w:pPr>
        <w:ind w:left="1554" w:hanging="420"/>
      </w:p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23">
    <w:nsid w:val="0000003B"/>
    <w:multiLevelType w:val="multilevel"/>
    <w:tmpl w:val="0000003B"/>
    <w:lvl w:ilvl="0" w:tentative="0">
      <w:start w:val="1"/>
      <w:numFmt w:val="chineseCountingThousand"/>
      <w:lvlText w:val="%1、"/>
      <w:lvlJc w:val="left"/>
      <w:pPr>
        <w:ind w:left="720" w:hanging="720"/>
      </w:pPr>
      <w:rPr>
        <w:strike w:val="0"/>
        <w:dstrike w:val="0"/>
        <w:color w:val="000000"/>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0000003E"/>
    <w:multiLevelType w:val="multilevel"/>
    <w:tmpl w:val="0000003E"/>
    <w:lvl w:ilvl="0" w:tentative="0">
      <w:start w:val="1"/>
      <w:numFmt w:val="chineseCountingThousand"/>
      <w:suff w:val="nothing"/>
      <w:lvlText w:val="%1、"/>
      <w:lvlJc w:val="left"/>
      <w:pPr>
        <w:ind w:left="1272" w:hanging="420"/>
      </w:pPr>
      <w:rPr>
        <w:b/>
        <w:lang w:val="en-US"/>
      </w:rPr>
    </w:lvl>
    <w:lvl w:ilvl="1" w:tentative="0">
      <w:start w:val="1"/>
      <w:numFmt w:val="decimal"/>
      <w:lvlText w:val="%2、"/>
      <w:lvlJc w:val="left"/>
      <w:pPr>
        <w:ind w:left="1693" w:hanging="1125"/>
      </w:pPr>
    </w:lvl>
    <w:lvl w:ilvl="2" w:tentative="0">
      <w:start w:val="1"/>
      <w:numFmt w:val="lowerRoman"/>
      <w:lvlText w:val="%3."/>
      <w:lvlJc w:val="right"/>
      <w:pPr>
        <w:ind w:left="1971" w:hanging="420"/>
      </w:pPr>
    </w:lvl>
    <w:lvl w:ilvl="3" w:tentative="0">
      <w:start w:val="1"/>
      <w:numFmt w:val="decimal"/>
      <w:lvlText w:val="%4."/>
      <w:lvlJc w:val="left"/>
      <w:pPr>
        <w:ind w:left="2391" w:hanging="420"/>
      </w:pPr>
    </w:lvl>
    <w:lvl w:ilvl="4" w:tentative="0">
      <w:start w:val="1"/>
      <w:numFmt w:val="lowerLetter"/>
      <w:lvlText w:val="%5)"/>
      <w:lvlJc w:val="left"/>
      <w:pPr>
        <w:ind w:left="2811" w:hanging="420"/>
      </w:pPr>
    </w:lvl>
    <w:lvl w:ilvl="5" w:tentative="0">
      <w:start w:val="1"/>
      <w:numFmt w:val="lowerRoman"/>
      <w:lvlText w:val="%6."/>
      <w:lvlJc w:val="right"/>
      <w:pPr>
        <w:ind w:left="3231" w:hanging="420"/>
      </w:pPr>
    </w:lvl>
    <w:lvl w:ilvl="6" w:tentative="0">
      <w:start w:val="1"/>
      <w:numFmt w:val="decimal"/>
      <w:lvlText w:val="%7."/>
      <w:lvlJc w:val="left"/>
      <w:pPr>
        <w:ind w:left="3651" w:hanging="420"/>
      </w:pPr>
    </w:lvl>
    <w:lvl w:ilvl="7" w:tentative="0">
      <w:start w:val="1"/>
      <w:numFmt w:val="lowerLetter"/>
      <w:lvlText w:val="%8)"/>
      <w:lvlJc w:val="left"/>
      <w:pPr>
        <w:ind w:left="4071" w:hanging="420"/>
      </w:pPr>
    </w:lvl>
    <w:lvl w:ilvl="8" w:tentative="0">
      <w:start w:val="1"/>
      <w:numFmt w:val="lowerRoman"/>
      <w:lvlText w:val="%9."/>
      <w:lvlJc w:val="right"/>
      <w:pPr>
        <w:ind w:left="4491" w:hanging="420"/>
      </w:pPr>
    </w:lvl>
  </w:abstractNum>
  <w:abstractNum w:abstractNumId="25">
    <w:nsid w:val="00000041"/>
    <w:multiLevelType w:val="multilevel"/>
    <w:tmpl w:val="00000041"/>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00000043"/>
    <w:multiLevelType w:val="multilevel"/>
    <w:tmpl w:val="00000043"/>
    <w:lvl w:ilvl="0" w:tentative="0">
      <w:start w:val="1"/>
      <w:numFmt w:val="chineseCountingThousand"/>
      <w:lvlText w:val="%1、"/>
      <w:lvlJc w:val="left"/>
      <w:pPr>
        <w:ind w:left="1413" w:hanging="420"/>
      </w:pPr>
      <w:rPr>
        <w:sz w:val="28"/>
        <w:szCs w:val="28"/>
      </w:rPr>
    </w:lvl>
    <w:lvl w:ilvl="1" w:tentative="0">
      <w:start w:val="1"/>
      <w:numFmt w:val="decimal"/>
      <w:isLgl/>
      <w:lvlText w:val="%1.%2"/>
      <w:lvlJc w:val="left"/>
      <w:pPr>
        <w:ind w:left="1669" w:hanging="960"/>
      </w:pPr>
    </w:lvl>
    <w:lvl w:ilvl="2" w:tentative="0">
      <w:start w:val="1"/>
      <w:numFmt w:val="decimal"/>
      <w:isLgl/>
      <w:lvlText w:val="%1.%2.%3"/>
      <w:lvlJc w:val="left"/>
      <w:pPr>
        <w:ind w:left="1669" w:hanging="960"/>
      </w:pPr>
    </w:lvl>
    <w:lvl w:ilvl="3" w:tentative="0">
      <w:start w:val="1"/>
      <w:numFmt w:val="decimal"/>
      <w:isLgl/>
      <w:lvlText w:val="%1.%2.%3.%4"/>
      <w:lvlJc w:val="left"/>
      <w:pPr>
        <w:ind w:left="1789" w:hanging="1080"/>
      </w:pPr>
    </w:lvl>
    <w:lvl w:ilvl="4" w:tentative="0">
      <w:start w:val="1"/>
      <w:numFmt w:val="decimal"/>
      <w:isLgl/>
      <w:lvlText w:val="%1.%2.%3.%4.%5"/>
      <w:lvlJc w:val="left"/>
      <w:pPr>
        <w:ind w:left="1789" w:hanging="1080"/>
      </w:pPr>
    </w:lvl>
    <w:lvl w:ilvl="5" w:tentative="0">
      <w:start w:val="1"/>
      <w:numFmt w:val="decimal"/>
      <w:isLgl/>
      <w:lvlText w:val="%1.%2.%3.%4.%5.%6"/>
      <w:lvlJc w:val="left"/>
      <w:pPr>
        <w:ind w:left="2149" w:hanging="1440"/>
      </w:pPr>
    </w:lvl>
    <w:lvl w:ilvl="6" w:tentative="0">
      <w:start w:val="1"/>
      <w:numFmt w:val="decimal"/>
      <w:isLgl/>
      <w:lvlText w:val="%1.%2.%3.%4.%5.%6.%7"/>
      <w:lvlJc w:val="left"/>
      <w:pPr>
        <w:ind w:left="2509" w:hanging="1800"/>
      </w:pPr>
    </w:lvl>
    <w:lvl w:ilvl="7" w:tentative="0">
      <w:start w:val="1"/>
      <w:numFmt w:val="decimal"/>
      <w:isLgl/>
      <w:lvlText w:val="%1.%2.%3.%4.%5.%6.%7.%8"/>
      <w:lvlJc w:val="left"/>
      <w:pPr>
        <w:ind w:left="2509" w:hanging="1800"/>
      </w:pPr>
    </w:lvl>
    <w:lvl w:ilvl="8" w:tentative="0">
      <w:start w:val="1"/>
      <w:numFmt w:val="decimal"/>
      <w:isLgl/>
      <w:lvlText w:val="%1.%2.%3.%4.%5.%6.%7.%8.%9"/>
      <w:lvlJc w:val="left"/>
      <w:pPr>
        <w:ind w:left="2869" w:hanging="2160"/>
      </w:pPr>
    </w:lvl>
  </w:abstractNum>
  <w:abstractNum w:abstractNumId="27">
    <w:nsid w:val="06AF180E"/>
    <w:multiLevelType w:val="multilevel"/>
    <w:tmpl w:val="06AF180E"/>
    <w:lvl w:ilvl="0" w:tentative="0">
      <w:start w:val="1"/>
      <w:numFmt w:val="japaneseCounting"/>
      <w:lvlText w:val="（%1）"/>
      <w:lvlJc w:val="left"/>
      <w:pPr>
        <w:ind w:left="1421" w:hanging="855"/>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8">
    <w:nsid w:val="06C3165F"/>
    <w:multiLevelType w:val="multilevel"/>
    <w:tmpl w:val="06C3165F"/>
    <w:lvl w:ilvl="0" w:tentative="0">
      <w:start w:val="5"/>
      <w:numFmt w:val="japaneseCounting"/>
      <w:lvlText w:val="（%1）"/>
      <w:lvlJc w:val="left"/>
      <w:pPr>
        <w:ind w:left="1179" w:hanging="855"/>
      </w:pPr>
      <w:rPr>
        <w:rFonts w:cs="Helvetica"/>
        <w:color w:val="FF0000"/>
      </w:rPr>
    </w:lvl>
    <w:lvl w:ilvl="1" w:tentative="0">
      <w:start w:val="1"/>
      <w:numFmt w:val="chineseCountingThousand"/>
      <w:lvlText w:val="(%2)"/>
      <w:lvlJc w:val="left"/>
      <w:pPr>
        <w:ind w:left="1164" w:hanging="420"/>
      </w:pPr>
    </w:lvl>
    <w:lvl w:ilvl="2" w:tentative="0">
      <w:start w:val="2"/>
      <w:numFmt w:val="japaneseCounting"/>
      <w:lvlText w:val="（%3）"/>
      <w:lvlJc w:val="left"/>
      <w:pPr>
        <w:ind w:left="2019" w:hanging="855"/>
      </w:pPr>
      <w:rPr>
        <w:lang w:val="en-US"/>
      </w:rPr>
    </w:lvl>
    <w:lvl w:ilvl="3" w:tentative="0">
      <w:start w:val="3"/>
      <w:numFmt w:val="japaneseCounting"/>
      <w:lvlText w:val="%4、"/>
      <w:lvlJc w:val="left"/>
      <w:pPr>
        <w:ind w:left="2304" w:hanging="720"/>
      </w:pPr>
    </w:lvl>
    <w:lvl w:ilvl="4" w:tentative="0">
      <w:start w:val="1"/>
      <w:numFmt w:val="lowerLetter"/>
      <w:lvlText w:val="%5)"/>
      <w:lvlJc w:val="left"/>
      <w:pPr>
        <w:ind w:left="2424" w:hanging="420"/>
      </w:pPr>
    </w:lvl>
    <w:lvl w:ilvl="5" w:tentative="0">
      <w:start w:val="1"/>
      <w:numFmt w:val="lowerRoman"/>
      <w:lvlText w:val="%6."/>
      <w:lvlJc w:val="right"/>
      <w:pPr>
        <w:ind w:left="2844" w:hanging="420"/>
      </w:pPr>
    </w:lvl>
    <w:lvl w:ilvl="6" w:tentative="0">
      <w:start w:val="1"/>
      <w:numFmt w:val="decimal"/>
      <w:lvlText w:val="%7."/>
      <w:lvlJc w:val="left"/>
      <w:pPr>
        <w:ind w:left="3264" w:hanging="420"/>
      </w:pPr>
    </w:lvl>
    <w:lvl w:ilvl="7" w:tentative="0">
      <w:start w:val="1"/>
      <w:numFmt w:val="lowerLetter"/>
      <w:lvlText w:val="%8)"/>
      <w:lvlJc w:val="left"/>
      <w:pPr>
        <w:ind w:left="3684" w:hanging="420"/>
      </w:pPr>
    </w:lvl>
    <w:lvl w:ilvl="8" w:tentative="0">
      <w:start w:val="1"/>
      <w:numFmt w:val="lowerRoman"/>
      <w:lvlText w:val="%9."/>
      <w:lvlJc w:val="right"/>
      <w:pPr>
        <w:ind w:left="4104" w:hanging="420"/>
      </w:pPr>
    </w:lvl>
  </w:abstractNum>
  <w:abstractNum w:abstractNumId="29">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30">
    <w:nsid w:val="144C623B"/>
    <w:multiLevelType w:val="multilevel"/>
    <w:tmpl w:val="144C623B"/>
    <w:lvl w:ilvl="0" w:tentative="0">
      <w:start w:val="1"/>
      <w:numFmt w:val="chineseCountingThousand"/>
      <w:lvlText w:val="%1、"/>
      <w:lvlJc w:val="left"/>
      <w:pPr>
        <w:ind w:left="966" w:hanging="420"/>
      </w:pPr>
      <w:rPr>
        <w:b w:val="0"/>
        <w:sz w:val="28"/>
        <w:szCs w:val="28"/>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1">
    <w:nsid w:val="14C54448"/>
    <w:multiLevelType w:val="singleLevel"/>
    <w:tmpl w:val="14C54448"/>
    <w:lvl w:ilvl="0" w:tentative="0">
      <w:start w:val="1"/>
      <w:numFmt w:val="decimal"/>
      <w:lvlText w:val="%1."/>
      <w:lvlJc w:val="left"/>
      <w:pPr>
        <w:ind w:left="425" w:hanging="425"/>
      </w:pPr>
      <w:rPr>
        <w:rFonts w:hint="default"/>
      </w:rPr>
    </w:lvl>
  </w:abstractNum>
  <w:abstractNum w:abstractNumId="32">
    <w:nsid w:val="163F29DE"/>
    <w:multiLevelType w:val="multilevel"/>
    <w:tmpl w:val="163F29DE"/>
    <w:lvl w:ilvl="0" w:tentative="0">
      <w:start w:val="1"/>
      <w:numFmt w:val="chineseCountingThousand"/>
      <w:lvlText w:val="%1、"/>
      <w:lvlJc w:val="left"/>
      <w:pPr>
        <w:ind w:left="1413" w:hanging="420"/>
      </w:pPr>
      <w:rPr>
        <w:rFonts w:ascii="宋体" w:hAnsi="宋体" w:eastAsia="宋体"/>
        <w:sz w:val="28"/>
        <w:szCs w:val="28"/>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3">
    <w:nsid w:val="1A032D52"/>
    <w:multiLevelType w:val="multilevel"/>
    <w:tmpl w:val="1A032D52"/>
    <w:lvl w:ilvl="0" w:tentative="0">
      <w:start w:val="1"/>
      <w:numFmt w:val="chineseCountingThousand"/>
      <w:lvlText w:val="%1、"/>
      <w:lvlJc w:val="left"/>
      <w:pPr>
        <w:ind w:left="1413" w:hanging="420"/>
      </w:pPr>
    </w:lvl>
    <w:lvl w:ilvl="1" w:tentative="0">
      <w:start w:val="1"/>
      <w:numFmt w:val="lowerLetter"/>
      <w:lvlText w:val="%2)"/>
      <w:lvlJc w:val="left"/>
      <w:pPr>
        <w:tabs>
          <w:tab w:val="left" w:pos="847"/>
        </w:tabs>
        <w:ind w:left="847" w:hanging="420"/>
      </w:pPr>
    </w:lvl>
    <w:lvl w:ilvl="2" w:tentative="0">
      <w:start w:val="1"/>
      <w:numFmt w:val="lowerRoman"/>
      <w:lvlText w:val="%3."/>
      <w:lvlJc w:val="right"/>
      <w:pPr>
        <w:tabs>
          <w:tab w:val="left" w:pos="1267"/>
        </w:tabs>
        <w:ind w:left="1267" w:hanging="420"/>
      </w:pPr>
    </w:lvl>
    <w:lvl w:ilvl="3" w:tentative="0">
      <w:start w:val="1"/>
      <w:numFmt w:val="decimal"/>
      <w:lvlText w:val="%4."/>
      <w:lvlJc w:val="left"/>
      <w:pPr>
        <w:tabs>
          <w:tab w:val="left" w:pos="1687"/>
        </w:tabs>
        <w:ind w:left="1687" w:hanging="420"/>
      </w:pPr>
    </w:lvl>
    <w:lvl w:ilvl="4" w:tentative="0">
      <w:start w:val="1"/>
      <w:numFmt w:val="lowerLetter"/>
      <w:lvlText w:val="%5)"/>
      <w:lvlJc w:val="left"/>
      <w:pPr>
        <w:tabs>
          <w:tab w:val="left" w:pos="2107"/>
        </w:tabs>
        <w:ind w:left="2107" w:hanging="420"/>
      </w:pPr>
    </w:lvl>
    <w:lvl w:ilvl="5" w:tentative="0">
      <w:start w:val="1"/>
      <w:numFmt w:val="lowerRoman"/>
      <w:lvlText w:val="%6."/>
      <w:lvlJc w:val="right"/>
      <w:pPr>
        <w:tabs>
          <w:tab w:val="left" w:pos="2527"/>
        </w:tabs>
        <w:ind w:left="2527" w:hanging="420"/>
      </w:pPr>
    </w:lvl>
    <w:lvl w:ilvl="6" w:tentative="0">
      <w:start w:val="1"/>
      <w:numFmt w:val="decimal"/>
      <w:lvlText w:val="%7."/>
      <w:lvlJc w:val="left"/>
      <w:pPr>
        <w:tabs>
          <w:tab w:val="left" w:pos="2947"/>
        </w:tabs>
        <w:ind w:left="2947" w:hanging="420"/>
      </w:pPr>
    </w:lvl>
    <w:lvl w:ilvl="7" w:tentative="0">
      <w:start w:val="1"/>
      <w:numFmt w:val="lowerLetter"/>
      <w:lvlText w:val="%8)"/>
      <w:lvlJc w:val="left"/>
      <w:pPr>
        <w:tabs>
          <w:tab w:val="left" w:pos="3367"/>
        </w:tabs>
        <w:ind w:left="3367" w:hanging="420"/>
      </w:pPr>
    </w:lvl>
    <w:lvl w:ilvl="8" w:tentative="0">
      <w:start w:val="1"/>
      <w:numFmt w:val="lowerRoman"/>
      <w:lvlText w:val="%9."/>
      <w:lvlJc w:val="right"/>
      <w:pPr>
        <w:tabs>
          <w:tab w:val="left" w:pos="3787"/>
        </w:tabs>
        <w:ind w:left="3787" w:hanging="420"/>
      </w:pPr>
    </w:lvl>
  </w:abstractNum>
  <w:abstractNum w:abstractNumId="34">
    <w:nsid w:val="1F2A386E"/>
    <w:multiLevelType w:val="multilevel"/>
    <w:tmpl w:val="1F2A386E"/>
    <w:lvl w:ilvl="0" w:tentative="0">
      <w:start w:val="1"/>
      <w:numFmt w:val="chineseCountingThousand"/>
      <w:lvlText w:val="%1、"/>
      <w:lvlJc w:val="left"/>
      <w:pPr>
        <w:ind w:left="988"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35">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6">
    <w:nsid w:val="2F488129"/>
    <w:multiLevelType w:val="singleLevel"/>
    <w:tmpl w:val="2F488129"/>
    <w:lvl w:ilvl="0" w:tentative="0">
      <w:start w:val="1"/>
      <w:numFmt w:val="decimal"/>
      <w:lvlText w:val="%1."/>
      <w:lvlJc w:val="left"/>
      <w:pPr>
        <w:ind w:left="425" w:hanging="425"/>
      </w:pPr>
      <w:rPr>
        <w:rFonts w:hint="default"/>
      </w:rPr>
    </w:lvl>
  </w:abstractNum>
  <w:abstractNum w:abstractNumId="37">
    <w:nsid w:val="316418D8"/>
    <w:multiLevelType w:val="multilevel"/>
    <w:tmpl w:val="316418D8"/>
    <w:lvl w:ilvl="0" w:tentative="0">
      <w:start w:val="1"/>
      <w:numFmt w:val="chineseCountingThousand"/>
      <w:lvlText w:val="%1、"/>
      <w:lvlJc w:val="left"/>
      <w:pPr>
        <w:ind w:left="846"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8">
    <w:nsid w:val="32732520"/>
    <w:multiLevelType w:val="multilevel"/>
    <w:tmpl w:val="32732520"/>
    <w:lvl w:ilvl="0" w:tentative="0">
      <w:start w:val="1"/>
      <w:numFmt w:val="chineseCountingThousand"/>
      <w:lvlText w:val="(%1)"/>
      <w:lvlJc w:val="left"/>
      <w:pPr>
        <w:ind w:left="966"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3424055C"/>
    <w:multiLevelType w:val="multilevel"/>
    <w:tmpl w:val="3424055C"/>
    <w:lvl w:ilvl="0" w:tentative="0">
      <w:start w:val="1"/>
      <w:numFmt w:val="chineseCountingThousand"/>
      <w:lvlText w:val="%1、"/>
      <w:lvlJc w:val="left"/>
      <w:pPr>
        <w:ind w:left="1413" w:hanging="420"/>
      </w:pPr>
      <w:rPr>
        <w:rFonts w:ascii="宋体" w:hAnsi="宋体" w:eastAsia="宋体"/>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34D50379"/>
    <w:multiLevelType w:val="multilevel"/>
    <w:tmpl w:val="34D50379"/>
    <w:lvl w:ilvl="0" w:tentative="0">
      <w:start w:val="1"/>
      <w:numFmt w:val="decimal"/>
      <w:lvlText w:val="%1."/>
      <w:lvlJc w:val="left"/>
      <w:pPr>
        <w:ind w:left="840" w:hanging="420"/>
      </w:pPr>
    </w:lvl>
    <w:lvl w:ilvl="1" w:tentative="0">
      <w:start w:val="1"/>
      <w:numFmt w:val="decimal"/>
      <w:lvlText w:val="%2）"/>
      <w:lvlJc w:val="left"/>
      <w:pPr>
        <w:ind w:left="1560" w:hanging="720"/>
      </w:pPr>
      <w:rPr>
        <w:b w:val="0"/>
        <w:color w:val="000000"/>
      </w:rPr>
    </w:lvl>
    <w:lvl w:ilvl="2" w:tentative="0">
      <w:start w:val="1"/>
      <w:numFmt w:val="chineseCountingThousand"/>
      <w:lvlText w:val="%3、"/>
      <w:lvlJc w:val="left"/>
      <w:pPr>
        <w:ind w:left="60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1">
    <w:nsid w:val="36BC04DA"/>
    <w:multiLevelType w:val="multilevel"/>
    <w:tmpl w:val="36BC04DA"/>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2">
    <w:nsid w:val="48622524"/>
    <w:multiLevelType w:val="singleLevel"/>
    <w:tmpl w:val="48622524"/>
    <w:lvl w:ilvl="0" w:tentative="0">
      <w:start w:val="1"/>
      <w:numFmt w:val="chineseCounting"/>
      <w:suff w:val="nothing"/>
      <w:lvlText w:val="（%1）"/>
      <w:lvlJc w:val="left"/>
      <w:pPr>
        <w:ind w:left="0" w:firstLine="420"/>
      </w:pPr>
      <w:rPr>
        <w:rFonts w:hint="eastAsia"/>
      </w:rPr>
    </w:lvl>
  </w:abstractNum>
  <w:abstractNum w:abstractNumId="43">
    <w:nsid w:val="4C1635C4"/>
    <w:multiLevelType w:val="multilevel"/>
    <w:tmpl w:val="4C1635C4"/>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4">
    <w:nsid w:val="4CC31705"/>
    <w:multiLevelType w:val="multilevel"/>
    <w:tmpl w:val="4CC31705"/>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5">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6">
    <w:nsid w:val="51F311B1"/>
    <w:multiLevelType w:val="multilevel"/>
    <w:tmpl w:val="51F311B1"/>
    <w:lvl w:ilvl="0" w:tentative="0">
      <w:start w:val="1"/>
      <w:numFmt w:val="chineseCountingThousand"/>
      <w:lvlText w:val="%1、"/>
      <w:lvlJc w:val="left"/>
      <w:pPr>
        <w:ind w:left="96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47">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8">
    <w:nsid w:val="5ECA9383"/>
    <w:multiLevelType w:val="singleLevel"/>
    <w:tmpl w:val="5ECA9383"/>
    <w:lvl w:ilvl="0" w:tentative="0">
      <w:start w:val="1"/>
      <w:numFmt w:val="chineseCounting"/>
      <w:suff w:val="nothing"/>
      <w:lvlText w:val="（%1）"/>
      <w:lvlJc w:val="left"/>
      <w:pPr>
        <w:ind w:left="0" w:firstLine="420"/>
      </w:pPr>
      <w:rPr>
        <w:rFonts w:hint="eastAsia"/>
      </w:rPr>
    </w:lvl>
  </w:abstractNum>
  <w:abstractNum w:abstractNumId="49">
    <w:nsid w:val="60642B38"/>
    <w:multiLevelType w:val="multilevel"/>
    <w:tmpl w:val="60642B38"/>
    <w:lvl w:ilvl="0" w:tentative="0">
      <w:start w:val="1"/>
      <w:numFmt w:val="chineseCountingThousand"/>
      <w:lvlText w:val="%1、"/>
      <w:lvlJc w:val="left"/>
      <w:pPr>
        <w:ind w:left="840" w:hanging="420"/>
      </w:pPr>
      <w:rPr>
        <w:rFonts w:asciiTheme="minorEastAsia" w:hAnsiTheme="minorEastAsia" w:eastAsiaTheme="minorEastAsia"/>
        <w:b w:val="0"/>
        <w:sz w:val="28"/>
        <w:szCs w:val="28"/>
      </w:r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0">
    <w:nsid w:val="61FA781F"/>
    <w:multiLevelType w:val="multilevel"/>
    <w:tmpl w:val="61FA781F"/>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1">
    <w:nsid w:val="638064AA"/>
    <w:multiLevelType w:val="multilevel"/>
    <w:tmpl w:val="638064AA"/>
    <w:lvl w:ilvl="0" w:tentative="0">
      <w:start w:val="1"/>
      <w:numFmt w:val="japaneseCounting"/>
      <w:lvlText w:val="%1、"/>
      <w:lvlJc w:val="left"/>
      <w:pPr>
        <w:ind w:left="1998"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2">
    <w:nsid w:val="696CD6F0"/>
    <w:multiLevelType w:val="singleLevel"/>
    <w:tmpl w:val="696CD6F0"/>
    <w:lvl w:ilvl="0" w:tentative="0">
      <w:start w:val="1"/>
      <w:numFmt w:val="chineseCounting"/>
      <w:suff w:val="nothing"/>
      <w:lvlText w:val="%1、"/>
      <w:lvlJc w:val="left"/>
      <w:pPr>
        <w:ind w:left="0" w:firstLine="420"/>
      </w:pPr>
      <w:rPr>
        <w:rFonts w:hint="eastAsia"/>
      </w:rPr>
    </w:lvl>
  </w:abstractNum>
  <w:abstractNum w:abstractNumId="53">
    <w:nsid w:val="716F767A"/>
    <w:multiLevelType w:val="multilevel"/>
    <w:tmpl w:val="716F767A"/>
    <w:lvl w:ilvl="0" w:tentative="0">
      <w:start w:val="1"/>
      <w:numFmt w:val="chineseCountingThousand"/>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4">
    <w:nsid w:val="75656F13"/>
    <w:multiLevelType w:val="multilevel"/>
    <w:tmpl w:val="75656F13"/>
    <w:lvl w:ilvl="0" w:tentative="0">
      <w:start w:val="1"/>
      <w:numFmt w:val="chineseCountingThousand"/>
      <w:lvlText w:val="(%1)"/>
      <w:lvlJc w:val="left"/>
      <w:pPr>
        <w:tabs>
          <w:tab w:val="left" w:pos="846"/>
        </w:tabs>
        <w:ind w:left="84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5">
    <w:nsid w:val="77357686"/>
    <w:multiLevelType w:val="singleLevel"/>
    <w:tmpl w:val="77357686"/>
    <w:lvl w:ilvl="0" w:tentative="0">
      <w:start w:val="1"/>
      <w:numFmt w:val="decimal"/>
      <w:lvlText w:val="%1."/>
      <w:lvlJc w:val="left"/>
      <w:pPr>
        <w:ind w:left="425" w:hanging="425"/>
      </w:pPr>
      <w:rPr>
        <w:rFonts w:hint="default"/>
      </w:rPr>
    </w:lvl>
  </w:abstractNum>
  <w:abstractNum w:abstractNumId="56">
    <w:nsid w:val="789D00AF"/>
    <w:multiLevelType w:val="multilevel"/>
    <w:tmpl w:val="789D00AF"/>
    <w:lvl w:ilvl="0" w:tentative="0">
      <w:start w:val="1"/>
      <w:numFmt w:val="chineseCountingThousand"/>
      <w:lvlText w:val="(%1)"/>
      <w:lvlJc w:val="left"/>
      <w:pPr>
        <w:ind w:left="972" w:hanging="420"/>
      </w:pPr>
      <w:rPr>
        <w:b w:val="0"/>
      </w:rPr>
    </w:lvl>
    <w:lvl w:ilvl="1" w:tentative="0">
      <w:start w:val="1"/>
      <w:numFmt w:val="lowerLetter"/>
      <w:lvlText w:val="%2)"/>
      <w:lvlJc w:val="left"/>
      <w:pPr>
        <w:ind w:left="1392" w:hanging="420"/>
      </w:pPr>
    </w:lvl>
    <w:lvl w:ilvl="2" w:tentative="0">
      <w:start w:val="1"/>
      <w:numFmt w:val="lowerRoman"/>
      <w:lvlText w:val="%3."/>
      <w:lvlJc w:val="right"/>
      <w:pPr>
        <w:ind w:left="1812" w:hanging="420"/>
      </w:pPr>
    </w:lvl>
    <w:lvl w:ilvl="3" w:tentative="0">
      <w:start w:val="1"/>
      <w:numFmt w:val="decimal"/>
      <w:lvlText w:val="%4."/>
      <w:lvlJc w:val="left"/>
      <w:pPr>
        <w:ind w:left="2232" w:hanging="420"/>
      </w:pPr>
    </w:lvl>
    <w:lvl w:ilvl="4" w:tentative="0">
      <w:start w:val="1"/>
      <w:numFmt w:val="lowerLetter"/>
      <w:lvlText w:val="%5)"/>
      <w:lvlJc w:val="left"/>
      <w:pPr>
        <w:ind w:left="2652" w:hanging="420"/>
      </w:pPr>
    </w:lvl>
    <w:lvl w:ilvl="5" w:tentative="0">
      <w:start w:val="1"/>
      <w:numFmt w:val="lowerRoman"/>
      <w:lvlText w:val="%6."/>
      <w:lvlJc w:val="right"/>
      <w:pPr>
        <w:ind w:left="3072" w:hanging="420"/>
      </w:pPr>
    </w:lvl>
    <w:lvl w:ilvl="6" w:tentative="0">
      <w:start w:val="1"/>
      <w:numFmt w:val="decimal"/>
      <w:lvlText w:val="%7."/>
      <w:lvlJc w:val="left"/>
      <w:pPr>
        <w:ind w:left="3492" w:hanging="420"/>
      </w:pPr>
    </w:lvl>
    <w:lvl w:ilvl="7" w:tentative="0">
      <w:start w:val="1"/>
      <w:numFmt w:val="lowerLetter"/>
      <w:lvlText w:val="%8)"/>
      <w:lvlJc w:val="left"/>
      <w:pPr>
        <w:ind w:left="3912" w:hanging="420"/>
      </w:pPr>
    </w:lvl>
    <w:lvl w:ilvl="8" w:tentative="0">
      <w:start w:val="1"/>
      <w:numFmt w:val="lowerRoman"/>
      <w:lvlText w:val="%9."/>
      <w:lvlJc w:val="right"/>
      <w:pPr>
        <w:ind w:left="4332" w:hanging="420"/>
      </w:pPr>
    </w:lvl>
  </w:abstractNum>
  <w:abstractNum w:abstractNumId="57">
    <w:nsid w:val="78EBD23D"/>
    <w:multiLevelType w:val="singleLevel"/>
    <w:tmpl w:val="78EBD23D"/>
    <w:lvl w:ilvl="0" w:tentative="0">
      <w:start w:val="1"/>
      <w:numFmt w:val="chineseCounting"/>
      <w:suff w:val="nothing"/>
      <w:lvlText w:val="（%1）"/>
      <w:lvlJc w:val="left"/>
      <w:pPr>
        <w:ind w:left="0" w:firstLine="420"/>
      </w:pPr>
      <w:rPr>
        <w:rFonts w:hint="eastAsia"/>
      </w:rPr>
    </w:lvl>
  </w:abstractNum>
  <w:abstractNum w:abstractNumId="58">
    <w:nsid w:val="7A6FB97C"/>
    <w:multiLevelType w:val="singleLevel"/>
    <w:tmpl w:val="7A6FB97C"/>
    <w:lvl w:ilvl="0" w:tentative="0">
      <w:start w:val="1"/>
      <w:numFmt w:val="chineseCounting"/>
      <w:suff w:val="nothing"/>
      <w:lvlText w:val="（%1）"/>
      <w:lvlJc w:val="left"/>
      <w:rPr>
        <w:rFonts w:hint="eastAsia"/>
      </w:rPr>
    </w:lvl>
  </w:abstractNum>
  <w:abstractNum w:abstractNumId="59">
    <w:nsid w:val="7F511D7D"/>
    <w:multiLevelType w:val="multilevel"/>
    <w:tmpl w:val="7F511D7D"/>
    <w:lvl w:ilvl="0" w:tentative="0">
      <w:start w:val="1"/>
      <w:numFmt w:val="chineseCountingThousand"/>
      <w:lvlText w:val="%1、"/>
      <w:lvlJc w:val="left"/>
      <w:pPr>
        <w:ind w:left="988" w:hanging="420"/>
      </w:pPr>
      <w:rPr>
        <w:sz w:val="28"/>
        <w:szCs w:val="28"/>
      </w:rPr>
    </w:lvl>
    <w:lvl w:ilvl="1" w:tentative="0">
      <w:start w:val="1"/>
      <w:numFmt w:val="decimal"/>
      <w:isLgl/>
      <w:lvlText w:val="%1.%2"/>
      <w:lvlJc w:val="left"/>
      <w:pPr>
        <w:ind w:left="1528" w:hanging="960"/>
      </w:pPr>
    </w:lvl>
    <w:lvl w:ilvl="2" w:tentative="0">
      <w:start w:val="1"/>
      <w:numFmt w:val="decimal"/>
      <w:isLgl/>
      <w:lvlText w:val="%1.%2.%3"/>
      <w:lvlJc w:val="left"/>
      <w:pPr>
        <w:ind w:left="1528" w:hanging="960"/>
      </w:pPr>
    </w:lvl>
    <w:lvl w:ilvl="3" w:tentative="0">
      <w:start w:val="1"/>
      <w:numFmt w:val="decimal"/>
      <w:isLgl/>
      <w:lvlText w:val="%1.%2.%3.%4"/>
      <w:lvlJc w:val="left"/>
      <w:pPr>
        <w:ind w:left="1648" w:hanging="1080"/>
      </w:pPr>
    </w:lvl>
    <w:lvl w:ilvl="4" w:tentative="0">
      <w:start w:val="1"/>
      <w:numFmt w:val="decimal"/>
      <w:isLgl/>
      <w:lvlText w:val="%1.%2.%3.%4.%5"/>
      <w:lvlJc w:val="left"/>
      <w:pPr>
        <w:ind w:left="1648" w:hanging="1080"/>
      </w:pPr>
    </w:lvl>
    <w:lvl w:ilvl="5" w:tentative="0">
      <w:start w:val="1"/>
      <w:numFmt w:val="decimal"/>
      <w:isLgl/>
      <w:lvlText w:val="%1.%2.%3.%4.%5.%6"/>
      <w:lvlJc w:val="left"/>
      <w:pPr>
        <w:ind w:left="2008" w:hanging="1440"/>
      </w:pPr>
    </w:lvl>
    <w:lvl w:ilvl="6" w:tentative="0">
      <w:start w:val="1"/>
      <w:numFmt w:val="decimal"/>
      <w:isLgl/>
      <w:lvlText w:val="%1.%2.%3.%4.%5.%6.%7"/>
      <w:lvlJc w:val="left"/>
      <w:pPr>
        <w:ind w:left="2368" w:hanging="1800"/>
      </w:pPr>
    </w:lvl>
    <w:lvl w:ilvl="7" w:tentative="0">
      <w:start w:val="1"/>
      <w:numFmt w:val="decimal"/>
      <w:isLgl/>
      <w:lvlText w:val="%1.%2.%3.%4.%5.%6.%7.%8"/>
      <w:lvlJc w:val="left"/>
      <w:pPr>
        <w:ind w:left="2368" w:hanging="1800"/>
      </w:pPr>
    </w:lvl>
    <w:lvl w:ilvl="8" w:tentative="0">
      <w:start w:val="1"/>
      <w:numFmt w:val="decimal"/>
      <w:isLgl/>
      <w:lvlText w:val="%1.%2.%3.%4.%5.%6.%7.%8.%9"/>
      <w:lvlJc w:val="left"/>
      <w:pPr>
        <w:ind w:left="2728" w:hanging="2160"/>
      </w:pPr>
    </w:lvl>
  </w:abstractNum>
  <w:num w:numId="1">
    <w:abstractNumId w:val="20"/>
  </w:num>
  <w:num w:numId="2">
    <w:abstractNumId w:val="15"/>
  </w:num>
  <w:num w:numId="3">
    <w:abstractNumId w:val="11"/>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5"/>
    </w:lvlOverride>
    <w:lvlOverride w:ilvl="1">
      <w:startOverride w:val="1"/>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7"/>
  </w:num>
  <w:num w:numId="38">
    <w:abstractNumId w:val="58"/>
  </w:num>
  <w:num w:numId="39">
    <w:abstractNumId w:val="0"/>
  </w:num>
  <w:num w:numId="40">
    <w:abstractNumId w:val="4"/>
  </w:num>
  <w:num w:numId="41">
    <w:abstractNumId w:val="48"/>
  </w:num>
  <w:num w:numId="42">
    <w:abstractNumId w:val="6"/>
  </w:num>
  <w:num w:numId="43">
    <w:abstractNumId w:val="3"/>
  </w:num>
  <w:num w:numId="44">
    <w:abstractNumId w:val="5"/>
  </w:num>
  <w:num w:numId="45">
    <w:abstractNumId w:val="36"/>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
  </w:num>
  <w:num w:numId="48">
    <w:abstractNumId w:val="52"/>
  </w:num>
  <w:num w:numId="4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2"/>
  </w:num>
  <w:num w:numId="61">
    <w:abstractNumId w:val="55"/>
  </w:num>
  <w:num w:numId="6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0%e3%80%95235%e5%8f%b7/"/>
  </w:docVars>
  <w:rsids>
    <w:rsidRoot w:val="0092431B"/>
    <w:rsid w:val="00011E2C"/>
    <w:rsid w:val="00017C65"/>
    <w:rsid w:val="00031675"/>
    <w:rsid w:val="000440AA"/>
    <w:rsid w:val="00046547"/>
    <w:rsid w:val="00064008"/>
    <w:rsid w:val="00070D3F"/>
    <w:rsid w:val="00071BA9"/>
    <w:rsid w:val="00074CCC"/>
    <w:rsid w:val="00075E16"/>
    <w:rsid w:val="0008193D"/>
    <w:rsid w:val="00086C1B"/>
    <w:rsid w:val="000E01D4"/>
    <w:rsid w:val="000E4FBE"/>
    <w:rsid w:val="000F0BF5"/>
    <w:rsid w:val="000F5214"/>
    <w:rsid w:val="00123F07"/>
    <w:rsid w:val="00126227"/>
    <w:rsid w:val="00130037"/>
    <w:rsid w:val="00142C44"/>
    <w:rsid w:val="00147768"/>
    <w:rsid w:val="001500A4"/>
    <w:rsid w:val="0015151D"/>
    <w:rsid w:val="00152E57"/>
    <w:rsid w:val="00153915"/>
    <w:rsid w:val="00154057"/>
    <w:rsid w:val="00171DDA"/>
    <w:rsid w:val="00175DA2"/>
    <w:rsid w:val="001809BF"/>
    <w:rsid w:val="001922D3"/>
    <w:rsid w:val="001B34A4"/>
    <w:rsid w:val="001C2698"/>
    <w:rsid w:val="001C4FFA"/>
    <w:rsid w:val="001D392C"/>
    <w:rsid w:val="001D53CF"/>
    <w:rsid w:val="001E13EE"/>
    <w:rsid w:val="001E7B34"/>
    <w:rsid w:val="00214F93"/>
    <w:rsid w:val="00216FB4"/>
    <w:rsid w:val="002303BC"/>
    <w:rsid w:val="002304CC"/>
    <w:rsid w:val="00236C36"/>
    <w:rsid w:val="002441B7"/>
    <w:rsid w:val="0025011B"/>
    <w:rsid w:val="0025205A"/>
    <w:rsid w:val="00257EE4"/>
    <w:rsid w:val="0026015E"/>
    <w:rsid w:val="00266EFB"/>
    <w:rsid w:val="00285456"/>
    <w:rsid w:val="002933F7"/>
    <w:rsid w:val="002A5802"/>
    <w:rsid w:val="003074A8"/>
    <w:rsid w:val="00311CB3"/>
    <w:rsid w:val="003123B1"/>
    <w:rsid w:val="00327DC2"/>
    <w:rsid w:val="00337989"/>
    <w:rsid w:val="003443D3"/>
    <w:rsid w:val="00354C2E"/>
    <w:rsid w:val="00360954"/>
    <w:rsid w:val="00394287"/>
    <w:rsid w:val="003A0F3D"/>
    <w:rsid w:val="003A29C7"/>
    <w:rsid w:val="003C7989"/>
    <w:rsid w:val="003E7800"/>
    <w:rsid w:val="003F007F"/>
    <w:rsid w:val="003F3F72"/>
    <w:rsid w:val="00410F3C"/>
    <w:rsid w:val="0042015A"/>
    <w:rsid w:val="004215D4"/>
    <w:rsid w:val="0042187C"/>
    <w:rsid w:val="0045547F"/>
    <w:rsid w:val="004870EE"/>
    <w:rsid w:val="004A610A"/>
    <w:rsid w:val="004C1B1A"/>
    <w:rsid w:val="004C3093"/>
    <w:rsid w:val="004D49CB"/>
    <w:rsid w:val="004E1C00"/>
    <w:rsid w:val="004E603E"/>
    <w:rsid w:val="00500F25"/>
    <w:rsid w:val="00506303"/>
    <w:rsid w:val="00527A66"/>
    <w:rsid w:val="00545144"/>
    <w:rsid w:val="00546BE5"/>
    <w:rsid w:val="00563198"/>
    <w:rsid w:val="0057488F"/>
    <w:rsid w:val="00576261"/>
    <w:rsid w:val="005816DE"/>
    <w:rsid w:val="00592A25"/>
    <w:rsid w:val="005E4485"/>
    <w:rsid w:val="00606AFB"/>
    <w:rsid w:val="00610A61"/>
    <w:rsid w:val="006216DE"/>
    <w:rsid w:val="00634D91"/>
    <w:rsid w:val="006408B0"/>
    <w:rsid w:val="00652875"/>
    <w:rsid w:val="00652F59"/>
    <w:rsid w:val="006623DB"/>
    <w:rsid w:val="006B1930"/>
    <w:rsid w:val="006C2309"/>
    <w:rsid w:val="006C5F57"/>
    <w:rsid w:val="006D0D2A"/>
    <w:rsid w:val="0070048F"/>
    <w:rsid w:val="00702324"/>
    <w:rsid w:val="0073282C"/>
    <w:rsid w:val="00752731"/>
    <w:rsid w:val="00764541"/>
    <w:rsid w:val="007672B0"/>
    <w:rsid w:val="00794228"/>
    <w:rsid w:val="007C3748"/>
    <w:rsid w:val="007C4260"/>
    <w:rsid w:val="007D62B3"/>
    <w:rsid w:val="007E1B96"/>
    <w:rsid w:val="007F6DFD"/>
    <w:rsid w:val="007F704E"/>
    <w:rsid w:val="00804CED"/>
    <w:rsid w:val="0081056F"/>
    <w:rsid w:val="00824DA8"/>
    <w:rsid w:val="008253BA"/>
    <w:rsid w:val="00826151"/>
    <w:rsid w:val="00836475"/>
    <w:rsid w:val="008410FC"/>
    <w:rsid w:val="0086125A"/>
    <w:rsid w:val="00862CEA"/>
    <w:rsid w:val="00862D3A"/>
    <w:rsid w:val="00873952"/>
    <w:rsid w:val="00876051"/>
    <w:rsid w:val="008907C8"/>
    <w:rsid w:val="00891F19"/>
    <w:rsid w:val="008B08D8"/>
    <w:rsid w:val="008B6817"/>
    <w:rsid w:val="008E5E8F"/>
    <w:rsid w:val="0092431B"/>
    <w:rsid w:val="00930FCC"/>
    <w:rsid w:val="00941F87"/>
    <w:rsid w:val="00944068"/>
    <w:rsid w:val="00950315"/>
    <w:rsid w:val="00955F71"/>
    <w:rsid w:val="00963021"/>
    <w:rsid w:val="00966025"/>
    <w:rsid w:val="00970330"/>
    <w:rsid w:val="00976A7C"/>
    <w:rsid w:val="00990F0D"/>
    <w:rsid w:val="009A253C"/>
    <w:rsid w:val="009A6862"/>
    <w:rsid w:val="009E237A"/>
    <w:rsid w:val="009F1C1C"/>
    <w:rsid w:val="00A00871"/>
    <w:rsid w:val="00A03833"/>
    <w:rsid w:val="00A068BA"/>
    <w:rsid w:val="00A0732E"/>
    <w:rsid w:val="00A10608"/>
    <w:rsid w:val="00A254C7"/>
    <w:rsid w:val="00A36BBE"/>
    <w:rsid w:val="00A40DFC"/>
    <w:rsid w:val="00A41BDF"/>
    <w:rsid w:val="00A4727E"/>
    <w:rsid w:val="00A50DC5"/>
    <w:rsid w:val="00A5235E"/>
    <w:rsid w:val="00A531AE"/>
    <w:rsid w:val="00A7160C"/>
    <w:rsid w:val="00A739BA"/>
    <w:rsid w:val="00A85DB8"/>
    <w:rsid w:val="00A93C9B"/>
    <w:rsid w:val="00A94D0A"/>
    <w:rsid w:val="00AA1CCF"/>
    <w:rsid w:val="00AA3745"/>
    <w:rsid w:val="00AA62B4"/>
    <w:rsid w:val="00AB7617"/>
    <w:rsid w:val="00AC0E68"/>
    <w:rsid w:val="00AD025E"/>
    <w:rsid w:val="00AD5E60"/>
    <w:rsid w:val="00AF35A3"/>
    <w:rsid w:val="00AF3933"/>
    <w:rsid w:val="00B11843"/>
    <w:rsid w:val="00B2194B"/>
    <w:rsid w:val="00B2756C"/>
    <w:rsid w:val="00B34486"/>
    <w:rsid w:val="00B36D21"/>
    <w:rsid w:val="00B50CEA"/>
    <w:rsid w:val="00B547D5"/>
    <w:rsid w:val="00B61C32"/>
    <w:rsid w:val="00B64E3B"/>
    <w:rsid w:val="00B74664"/>
    <w:rsid w:val="00BC3199"/>
    <w:rsid w:val="00BC59BF"/>
    <w:rsid w:val="00BC6F56"/>
    <w:rsid w:val="00BD6746"/>
    <w:rsid w:val="00BE1211"/>
    <w:rsid w:val="00BF6991"/>
    <w:rsid w:val="00C16572"/>
    <w:rsid w:val="00C33A0C"/>
    <w:rsid w:val="00C5371B"/>
    <w:rsid w:val="00C54D07"/>
    <w:rsid w:val="00C56E01"/>
    <w:rsid w:val="00C62AD4"/>
    <w:rsid w:val="00C675B8"/>
    <w:rsid w:val="00C832DD"/>
    <w:rsid w:val="00CC4074"/>
    <w:rsid w:val="00CD0154"/>
    <w:rsid w:val="00CD0E71"/>
    <w:rsid w:val="00CF56C7"/>
    <w:rsid w:val="00D23C3B"/>
    <w:rsid w:val="00D245DB"/>
    <w:rsid w:val="00D50B2B"/>
    <w:rsid w:val="00D51C67"/>
    <w:rsid w:val="00D623BF"/>
    <w:rsid w:val="00D75130"/>
    <w:rsid w:val="00D8071E"/>
    <w:rsid w:val="00DA547E"/>
    <w:rsid w:val="00DB22F1"/>
    <w:rsid w:val="00DB3253"/>
    <w:rsid w:val="00DD16AF"/>
    <w:rsid w:val="00DD19A0"/>
    <w:rsid w:val="00DE7F5C"/>
    <w:rsid w:val="00DF3C6E"/>
    <w:rsid w:val="00DF6E7C"/>
    <w:rsid w:val="00E029F6"/>
    <w:rsid w:val="00E17E77"/>
    <w:rsid w:val="00E23EC4"/>
    <w:rsid w:val="00E42AA9"/>
    <w:rsid w:val="00E473C0"/>
    <w:rsid w:val="00E547E7"/>
    <w:rsid w:val="00E5519E"/>
    <w:rsid w:val="00E618FD"/>
    <w:rsid w:val="00E87C88"/>
    <w:rsid w:val="00E922B6"/>
    <w:rsid w:val="00E93BF2"/>
    <w:rsid w:val="00E951E2"/>
    <w:rsid w:val="00EA45D0"/>
    <w:rsid w:val="00EC2293"/>
    <w:rsid w:val="00ED6438"/>
    <w:rsid w:val="00F00D97"/>
    <w:rsid w:val="00F24CB6"/>
    <w:rsid w:val="00F26EBF"/>
    <w:rsid w:val="00F3310E"/>
    <w:rsid w:val="00F525FC"/>
    <w:rsid w:val="00F67D54"/>
    <w:rsid w:val="00F72EEB"/>
    <w:rsid w:val="00F765D9"/>
    <w:rsid w:val="00F8165B"/>
    <w:rsid w:val="00F939A1"/>
    <w:rsid w:val="00FA324E"/>
    <w:rsid w:val="00FB4F2E"/>
    <w:rsid w:val="00FD0C41"/>
    <w:rsid w:val="00FE04E4"/>
    <w:rsid w:val="00FE39D8"/>
    <w:rsid w:val="040E46C2"/>
    <w:rsid w:val="083C0846"/>
    <w:rsid w:val="0D6B19D2"/>
    <w:rsid w:val="18735C16"/>
    <w:rsid w:val="197C7D48"/>
    <w:rsid w:val="1C254D72"/>
    <w:rsid w:val="22530D42"/>
    <w:rsid w:val="250C286C"/>
    <w:rsid w:val="2617343F"/>
    <w:rsid w:val="263C2B65"/>
    <w:rsid w:val="291B1230"/>
    <w:rsid w:val="2A105A22"/>
    <w:rsid w:val="2C3442BA"/>
    <w:rsid w:val="2C68258F"/>
    <w:rsid w:val="32916744"/>
    <w:rsid w:val="34A44A58"/>
    <w:rsid w:val="34C354D9"/>
    <w:rsid w:val="373E1974"/>
    <w:rsid w:val="3C0F2CC8"/>
    <w:rsid w:val="40E373C9"/>
    <w:rsid w:val="410C2091"/>
    <w:rsid w:val="411074C5"/>
    <w:rsid w:val="48296547"/>
    <w:rsid w:val="48D97BBA"/>
    <w:rsid w:val="49E41526"/>
    <w:rsid w:val="4B214957"/>
    <w:rsid w:val="57A56F53"/>
    <w:rsid w:val="5B1C0697"/>
    <w:rsid w:val="626B5AAF"/>
    <w:rsid w:val="62F265CD"/>
    <w:rsid w:val="65565393"/>
    <w:rsid w:val="6A513CE5"/>
    <w:rsid w:val="6B623015"/>
    <w:rsid w:val="6EDA174C"/>
    <w:rsid w:val="71FA204A"/>
    <w:rsid w:val="73B8772A"/>
    <w:rsid w:val="73CD63AB"/>
    <w:rsid w:val="74105A38"/>
    <w:rsid w:val="76C917AE"/>
    <w:rsid w:val="7C820D97"/>
    <w:rsid w:val="7F5C54F3"/>
    <w:rsid w:val="BD8FE6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9" w:semiHidden="0" w:name="heading 2"/>
    <w:lsdException w:qFormat="1" w:uiPriority="99"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qFormat="1"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name="toc 3"/>
    <w:lsdException w:qFormat="1" w:uiPriority="0" w:name="toc 4"/>
    <w:lsdException w:qFormat="1" w:uiPriority="0" w:name="toc 5"/>
    <w:lsdException w:qFormat="1" w:uiPriority="0" w:name="toc 6"/>
    <w:lsdException w:qFormat="1" w:uiPriority="0" w:name="toc 7"/>
    <w:lsdException w:qFormat="1" w:uiPriority="0" w:name="toc 8"/>
    <w:lsdException w:qFormat="1" w:uiPriority="0" w:name="toc 9"/>
    <w:lsdException w:qFormat="1" w:uiPriority="0" w:semiHidden="0" w:name="Normal Indent"/>
    <w:lsdException w:qFormat="1" w:uiPriority="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qFormat="1" w:uiPriority="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semiHidden="0" w:name="Date"/>
    <w:lsdException w:qFormat="1" w:uiPriority="0" w:name="Body Text First Indent"/>
    <w:lsdException w:uiPriority="99" w:name="Body Text First Indent 2"/>
    <w:lsdException w:unhideWhenUsed="0" w:uiPriority="99" w:name="Note Heading"/>
    <w:lsdException w:qFormat="1" w:uiPriority="0" w:name="Body Text 2"/>
    <w:lsdException w:qFormat="1" w:uiPriority="0" w:name="Body Text 3"/>
    <w:lsdException w:qFormat="1" w:uiPriority="0" w:name="Body Text Indent 2"/>
    <w:lsdException w:qFormat="1" w:uiPriority="0" w:name="Body Text Indent 3"/>
    <w:lsdException w:qFormat="1" w:uiPriority="0"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semiHidden="0" w:name="Table Web 2"/>
    <w:lsdException w:uiPriority="99" w:semiHidden="0" w:name="Table Web 3"/>
    <w:lsdException w:qFormat="1" w:uiPriority="99" w:semiHidden="0" w:name="Balloon Text"/>
    <w:lsdException w:qFormat="1" w:unhideWhenUsed="0" w:uiPriority="0" w:semiHidden="0" w:name="Table Grid"/>
    <w:lsdException w:uiPriority="99"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link w:val="52"/>
    <w:qFormat/>
    <w:uiPriority w:val="99"/>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5">
    <w:name w:val="heading 2"/>
    <w:basedOn w:val="1"/>
    <w:next w:val="1"/>
    <w:link w:val="53"/>
    <w:unhideWhenUsed/>
    <w:qFormat/>
    <w:uiPriority w:val="99"/>
    <w:pPr>
      <w:keepNext/>
      <w:keepLines/>
      <w:numPr>
        <w:ilvl w:val="1"/>
        <w:numId w:val="1"/>
      </w:numPr>
      <w:spacing w:before="260" w:after="260" w:line="360" w:lineRule="auto"/>
      <w:jc w:val="left"/>
      <w:outlineLvl w:val="1"/>
    </w:pPr>
    <w:rPr>
      <w:rFonts w:ascii="宋体" w:hAnsi="宋体" w:cs="宋体"/>
      <w:b/>
      <w:bCs/>
      <w:sz w:val="28"/>
      <w:szCs w:val="28"/>
    </w:rPr>
  </w:style>
  <w:style w:type="paragraph" w:styleId="6">
    <w:name w:val="heading 3"/>
    <w:basedOn w:val="1"/>
    <w:next w:val="1"/>
    <w:link w:val="54"/>
    <w:unhideWhenUsed/>
    <w:qFormat/>
    <w:uiPriority w:val="99"/>
    <w:pPr>
      <w:keepNext/>
      <w:keepLines/>
      <w:numPr>
        <w:ilvl w:val="2"/>
        <w:numId w:val="1"/>
      </w:numPr>
      <w:spacing w:line="360" w:lineRule="auto"/>
      <w:outlineLvl w:val="2"/>
    </w:pPr>
    <w:rPr>
      <w:rFonts w:ascii="宋体" w:hAnsi="宋体" w:cs="宋体"/>
      <w:b/>
      <w:bCs/>
      <w:color w:val="000000"/>
      <w:kern w:val="0"/>
      <w:sz w:val="28"/>
      <w:szCs w:val="28"/>
    </w:rPr>
  </w:style>
  <w:style w:type="paragraph" w:styleId="7">
    <w:name w:val="heading 4"/>
    <w:basedOn w:val="1"/>
    <w:next w:val="1"/>
    <w:link w:val="55"/>
    <w:unhideWhenUsed/>
    <w:qFormat/>
    <w:uiPriority w:val="9"/>
    <w:pPr>
      <w:keepNext/>
      <w:keepLines/>
      <w:numPr>
        <w:ilvl w:val="3"/>
        <w:numId w:val="1"/>
      </w:numPr>
      <w:spacing w:before="120" w:after="120" w:line="360" w:lineRule="auto"/>
      <w:jc w:val="left"/>
      <w:outlineLvl w:val="3"/>
    </w:pPr>
    <w:rPr>
      <w:rFonts w:ascii="Arial" w:hAnsi="Arial"/>
      <w:b/>
      <w:bCs/>
      <w:kern w:val="0"/>
      <w:sz w:val="28"/>
      <w:szCs w:val="28"/>
    </w:rPr>
  </w:style>
  <w:style w:type="paragraph" w:styleId="8">
    <w:name w:val="heading 5"/>
    <w:basedOn w:val="1"/>
    <w:next w:val="1"/>
    <w:link w:val="56"/>
    <w:unhideWhenUsed/>
    <w:qFormat/>
    <w:uiPriority w:val="0"/>
    <w:pPr>
      <w:numPr>
        <w:ilvl w:val="4"/>
        <w:numId w:val="2"/>
      </w:numPr>
      <w:tabs>
        <w:tab w:val="left" w:pos="1134"/>
      </w:tabs>
      <w:spacing w:before="280" w:after="290" w:line="360" w:lineRule="auto"/>
      <w:outlineLvl w:val="4"/>
    </w:pPr>
    <w:rPr>
      <w:b/>
      <w:bCs/>
      <w:kern w:val="0"/>
      <w:sz w:val="28"/>
      <w:szCs w:val="28"/>
    </w:rPr>
  </w:style>
  <w:style w:type="paragraph" w:styleId="9">
    <w:name w:val="heading 6"/>
    <w:basedOn w:val="1"/>
    <w:next w:val="1"/>
    <w:link w:val="57"/>
    <w:unhideWhenUsed/>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10">
    <w:name w:val="heading 7"/>
    <w:basedOn w:val="1"/>
    <w:next w:val="1"/>
    <w:link w:val="58"/>
    <w:unhideWhenUsed/>
    <w:qFormat/>
    <w:uiPriority w:val="0"/>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1">
    <w:name w:val="heading 8"/>
    <w:basedOn w:val="1"/>
    <w:next w:val="1"/>
    <w:link w:val="59"/>
    <w:semiHidden/>
    <w:unhideWhenUsed/>
    <w:qFormat/>
    <w:uiPriority w:val="0"/>
    <w:pPr>
      <w:keepNext/>
      <w:keepLines/>
      <w:spacing w:before="240" w:after="64" w:line="314" w:lineRule="auto"/>
      <w:outlineLvl w:val="7"/>
    </w:pPr>
    <w:rPr>
      <w:rFonts w:ascii="Arial" w:hAnsi="Arial" w:eastAsia="黑体"/>
      <w:kern w:val="0"/>
      <w:sz w:val="24"/>
      <w:szCs w:val="24"/>
    </w:rPr>
  </w:style>
  <w:style w:type="paragraph" w:styleId="12">
    <w:name w:val="heading 9"/>
    <w:basedOn w:val="1"/>
    <w:next w:val="1"/>
    <w:link w:val="60"/>
    <w:semiHidden/>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customStyle="1" w:styleId="2">
    <w:name w:val="标题 5（有编号）（绿盟科技）"/>
    <w:basedOn w:val="1"/>
    <w:next w:val="3"/>
    <w:qFormat/>
    <w:uiPriority w:val="99"/>
    <w:pPr>
      <w:keepNext/>
      <w:keepLines/>
      <w:tabs>
        <w:tab w:val="left" w:pos="0"/>
      </w:tabs>
      <w:spacing w:before="280" w:after="156" w:line="376" w:lineRule="auto"/>
      <w:ind w:left="1958" w:hanging="420"/>
      <w:jc w:val="left"/>
      <w:outlineLvl w:val="4"/>
    </w:pPr>
    <w:rPr>
      <w:rFonts w:ascii="Arial" w:hAnsi="Arial" w:eastAsia="黑体"/>
      <w:b/>
      <w:sz w:val="24"/>
      <w:szCs w:val="28"/>
    </w:rPr>
  </w:style>
  <w:style w:type="paragraph" w:customStyle="1" w:styleId="3">
    <w:name w:val="正文（绿盟科技）"/>
    <w:qFormat/>
    <w:uiPriority w:val="99"/>
    <w:pPr>
      <w:spacing w:line="300" w:lineRule="auto"/>
    </w:pPr>
    <w:rPr>
      <w:rFonts w:ascii="Arial" w:hAnsi="Arial" w:eastAsia="宋体" w:cs="黑体"/>
      <w:sz w:val="21"/>
      <w:szCs w:val="21"/>
      <w:lang w:val="en-US" w:eastAsia="zh-CN" w:bidi="ar-SA"/>
    </w:rPr>
  </w:style>
  <w:style w:type="paragraph" w:styleId="13">
    <w:name w:val="toc 7"/>
    <w:basedOn w:val="1"/>
    <w:next w:val="1"/>
    <w:semiHidden/>
    <w:unhideWhenUsed/>
    <w:qFormat/>
    <w:uiPriority w:val="0"/>
    <w:pPr>
      <w:ind w:left="2520" w:leftChars="1200"/>
    </w:pPr>
    <w:rPr>
      <w:rFonts w:ascii="Times New Roman" w:hAnsi="Times New Roman"/>
      <w:szCs w:val="24"/>
    </w:rPr>
  </w:style>
  <w:style w:type="paragraph" w:styleId="14">
    <w:name w:val="Normal Indent"/>
    <w:basedOn w:val="1"/>
    <w:link w:val="65"/>
    <w:unhideWhenUsed/>
    <w:qFormat/>
    <w:uiPriority w:val="0"/>
    <w:pPr>
      <w:spacing w:after="180" w:line="307" w:lineRule="auto"/>
      <w:ind w:firstLine="420"/>
    </w:pPr>
    <w:rPr>
      <w:rFonts w:asciiTheme="minorHAnsi" w:hAnsiTheme="minorHAnsi" w:eastAsiaTheme="minorEastAsia" w:cstheme="minorBidi"/>
    </w:rPr>
  </w:style>
  <w:style w:type="paragraph" w:styleId="15">
    <w:name w:val="caption"/>
    <w:basedOn w:val="1"/>
    <w:next w:val="1"/>
    <w:semiHidden/>
    <w:unhideWhenUsed/>
    <w:qFormat/>
    <w:uiPriority w:val="0"/>
    <w:pPr>
      <w:spacing w:before="152" w:after="160" w:line="360" w:lineRule="auto"/>
    </w:pPr>
    <w:rPr>
      <w:rFonts w:ascii="Arial" w:hAnsi="Arial" w:eastAsia="黑体" w:cs="Arial"/>
      <w:sz w:val="20"/>
      <w:szCs w:val="20"/>
    </w:rPr>
  </w:style>
  <w:style w:type="paragraph" w:styleId="16">
    <w:name w:val="Document Map"/>
    <w:basedOn w:val="1"/>
    <w:link w:val="79"/>
    <w:unhideWhenUsed/>
    <w:qFormat/>
    <w:uiPriority w:val="99"/>
    <w:pPr>
      <w:shd w:val="clear" w:color="auto" w:fill="000080"/>
    </w:pPr>
    <w:rPr>
      <w:rFonts w:ascii="Times New Roman" w:hAnsi="Times New Roman"/>
      <w:kern w:val="0"/>
      <w:sz w:val="18"/>
      <w:szCs w:val="18"/>
    </w:rPr>
  </w:style>
  <w:style w:type="paragraph" w:styleId="17">
    <w:name w:val="annotation text"/>
    <w:basedOn w:val="1"/>
    <w:link w:val="198"/>
    <w:unhideWhenUsed/>
    <w:qFormat/>
    <w:uiPriority w:val="99"/>
    <w:pPr>
      <w:jc w:val="left"/>
    </w:pPr>
  </w:style>
  <w:style w:type="paragraph" w:styleId="18">
    <w:name w:val="Body Text 3"/>
    <w:basedOn w:val="1"/>
    <w:link w:val="76"/>
    <w:semiHidden/>
    <w:unhideWhenUsed/>
    <w:qFormat/>
    <w:uiPriority w:val="0"/>
    <w:pPr>
      <w:jc w:val="center"/>
    </w:pPr>
    <w:rPr>
      <w:rFonts w:ascii="Times New Roman" w:hAnsi="Times New Roman" w:eastAsia="黑体"/>
      <w:sz w:val="44"/>
      <w:szCs w:val="24"/>
    </w:rPr>
  </w:style>
  <w:style w:type="paragraph" w:styleId="19">
    <w:name w:val="Body Text"/>
    <w:basedOn w:val="1"/>
    <w:next w:val="1"/>
    <w:link w:val="185"/>
    <w:unhideWhenUsed/>
    <w:qFormat/>
    <w:uiPriority w:val="0"/>
    <w:pPr>
      <w:spacing w:after="120"/>
    </w:pPr>
    <w:rPr>
      <w:rFonts w:ascii="Times New Roman" w:hAnsi="Times New Roman"/>
      <w:kern w:val="0"/>
      <w:sz w:val="20"/>
      <w:szCs w:val="20"/>
    </w:rPr>
  </w:style>
  <w:style w:type="paragraph" w:styleId="20">
    <w:name w:val="Body Text Indent"/>
    <w:basedOn w:val="1"/>
    <w:link w:val="71"/>
    <w:semiHidden/>
    <w:unhideWhenUsed/>
    <w:qFormat/>
    <w:uiPriority w:val="0"/>
    <w:pPr>
      <w:spacing w:after="120"/>
      <w:ind w:left="420" w:leftChars="200"/>
    </w:pPr>
    <w:rPr>
      <w:rFonts w:ascii="Times New Roman" w:hAnsi="Times New Roman"/>
      <w:kern w:val="0"/>
      <w:sz w:val="20"/>
      <w:szCs w:val="24"/>
    </w:rPr>
  </w:style>
  <w:style w:type="paragraph" w:styleId="21">
    <w:name w:val="Block Text"/>
    <w:basedOn w:val="1"/>
    <w:semiHidden/>
    <w:unhideWhenUsed/>
    <w:qFormat/>
    <w:uiPriority w:val="0"/>
    <w:pPr>
      <w:ind w:left="-540" w:leftChars="-257" w:right="-334" w:rightChars="-159" w:firstLine="540" w:firstLineChars="180"/>
    </w:pPr>
    <w:rPr>
      <w:rFonts w:ascii="Times New Roman" w:hAnsi="Times New Roman"/>
      <w:sz w:val="30"/>
      <w:szCs w:val="24"/>
    </w:rPr>
  </w:style>
  <w:style w:type="paragraph" w:styleId="22">
    <w:name w:val="toc 5"/>
    <w:basedOn w:val="1"/>
    <w:next w:val="1"/>
    <w:semiHidden/>
    <w:unhideWhenUsed/>
    <w:qFormat/>
    <w:uiPriority w:val="0"/>
    <w:pPr>
      <w:ind w:left="1680" w:leftChars="800"/>
    </w:pPr>
    <w:rPr>
      <w:rFonts w:ascii="Times New Roman" w:hAnsi="Times New Roman"/>
      <w:sz w:val="18"/>
      <w:szCs w:val="18"/>
    </w:rPr>
  </w:style>
  <w:style w:type="paragraph" w:styleId="23">
    <w:name w:val="toc 3"/>
    <w:basedOn w:val="1"/>
    <w:next w:val="1"/>
    <w:semiHidden/>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4">
    <w:name w:val="Plain Text"/>
    <w:basedOn w:val="1"/>
    <w:link w:val="189"/>
    <w:unhideWhenUsed/>
    <w:qFormat/>
    <w:uiPriority w:val="99"/>
    <w:rPr>
      <w:rFonts w:ascii="宋体" w:hAnsi="Courier New"/>
      <w:kern w:val="0"/>
      <w:sz w:val="20"/>
      <w:szCs w:val="18"/>
    </w:rPr>
  </w:style>
  <w:style w:type="paragraph" w:styleId="25">
    <w:name w:val="toc 8"/>
    <w:basedOn w:val="1"/>
    <w:next w:val="1"/>
    <w:semiHidden/>
    <w:unhideWhenUsed/>
    <w:qFormat/>
    <w:uiPriority w:val="0"/>
    <w:pPr>
      <w:ind w:left="2940" w:leftChars="1400"/>
    </w:pPr>
    <w:rPr>
      <w:rFonts w:ascii="Times New Roman" w:hAnsi="Times New Roman"/>
      <w:szCs w:val="24"/>
    </w:rPr>
  </w:style>
  <w:style w:type="paragraph" w:styleId="26">
    <w:name w:val="Date"/>
    <w:basedOn w:val="1"/>
    <w:next w:val="1"/>
    <w:link w:val="73"/>
    <w:unhideWhenUsed/>
    <w:qFormat/>
    <w:uiPriority w:val="99"/>
    <w:pPr>
      <w:ind w:left="100" w:leftChars="2500"/>
    </w:pPr>
    <w:rPr>
      <w:rFonts w:ascii="Times New Roman" w:hAnsi="Times New Roman"/>
      <w:kern w:val="0"/>
      <w:sz w:val="24"/>
      <w:szCs w:val="24"/>
    </w:rPr>
  </w:style>
  <w:style w:type="paragraph" w:styleId="27">
    <w:name w:val="Body Text Indent 2"/>
    <w:basedOn w:val="1"/>
    <w:link w:val="77"/>
    <w:semiHidden/>
    <w:unhideWhenUsed/>
    <w:qFormat/>
    <w:uiPriority w:val="0"/>
    <w:pPr>
      <w:spacing w:after="120" w:line="480" w:lineRule="auto"/>
      <w:ind w:left="420" w:leftChars="200"/>
    </w:pPr>
    <w:rPr>
      <w:rFonts w:ascii="Times New Roman" w:hAnsi="Times New Roman"/>
      <w:kern w:val="0"/>
      <w:sz w:val="20"/>
      <w:szCs w:val="20"/>
    </w:rPr>
  </w:style>
  <w:style w:type="paragraph" w:styleId="28">
    <w:name w:val="Balloon Text"/>
    <w:basedOn w:val="1"/>
    <w:link w:val="82"/>
    <w:unhideWhenUsed/>
    <w:qFormat/>
    <w:uiPriority w:val="99"/>
    <w:rPr>
      <w:rFonts w:ascii="Times New Roman" w:hAnsi="Times New Roman"/>
      <w:kern w:val="0"/>
      <w:sz w:val="18"/>
      <w:szCs w:val="18"/>
    </w:rPr>
  </w:style>
  <w:style w:type="paragraph" w:styleId="29">
    <w:name w:val="footer"/>
    <w:basedOn w:val="1"/>
    <w:link w:val="69"/>
    <w:unhideWhenUsed/>
    <w:qFormat/>
    <w:uiPriority w:val="99"/>
    <w:pPr>
      <w:tabs>
        <w:tab w:val="center" w:pos="4153"/>
        <w:tab w:val="right" w:pos="8306"/>
      </w:tabs>
      <w:snapToGrid w:val="0"/>
      <w:jc w:val="left"/>
    </w:pPr>
    <w:rPr>
      <w:kern w:val="0"/>
      <w:sz w:val="18"/>
      <w:szCs w:val="18"/>
    </w:rPr>
  </w:style>
  <w:style w:type="paragraph" w:styleId="30">
    <w:name w:val="header"/>
    <w:basedOn w:val="1"/>
    <w:link w:val="68"/>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31">
    <w:name w:val="toc 1"/>
    <w:basedOn w:val="1"/>
    <w:next w:val="1"/>
    <w:unhideWhenUsed/>
    <w:qFormat/>
    <w:uiPriority w:val="39"/>
    <w:pPr>
      <w:tabs>
        <w:tab w:val="left" w:pos="709"/>
        <w:tab w:val="right" w:leader="dot" w:pos="8364"/>
      </w:tabs>
      <w:spacing w:before="120" w:after="120"/>
      <w:jc w:val="left"/>
    </w:pPr>
    <w:rPr>
      <w:rFonts w:ascii="华文中宋" w:hAnsi="华文中宋" w:eastAsia="华文中宋"/>
      <w:bCs/>
      <w:caps/>
      <w:sz w:val="20"/>
      <w:szCs w:val="20"/>
    </w:rPr>
  </w:style>
  <w:style w:type="paragraph" w:styleId="32">
    <w:name w:val="toc 4"/>
    <w:basedOn w:val="1"/>
    <w:next w:val="1"/>
    <w:semiHidden/>
    <w:unhideWhenUsed/>
    <w:qFormat/>
    <w:uiPriority w:val="0"/>
    <w:pPr>
      <w:ind w:left="1260" w:leftChars="600"/>
    </w:pPr>
    <w:rPr>
      <w:rFonts w:ascii="Times New Roman" w:hAnsi="Times New Roman"/>
      <w:sz w:val="18"/>
      <w:szCs w:val="18"/>
    </w:rPr>
  </w:style>
  <w:style w:type="paragraph" w:styleId="33">
    <w:name w:val="Subtitle"/>
    <w:basedOn w:val="1"/>
    <w:next w:val="1"/>
    <w:link w:val="72"/>
    <w:qFormat/>
    <w:uiPriority w:val="0"/>
    <w:pPr>
      <w:spacing w:before="240" w:after="60" w:line="312" w:lineRule="auto"/>
      <w:jc w:val="center"/>
      <w:outlineLvl w:val="1"/>
    </w:pPr>
    <w:rPr>
      <w:rFonts w:ascii="Cambria" w:hAnsi="Cambria"/>
      <w:b/>
      <w:bCs/>
      <w:kern w:val="28"/>
      <w:sz w:val="32"/>
      <w:szCs w:val="32"/>
    </w:rPr>
  </w:style>
  <w:style w:type="paragraph" w:styleId="34">
    <w:name w:val="footnote text"/>
    <w:basedOn w:val="1"/>
    <w:link w:val="66"/>
    <w:semiHidden/>
    <w:unhideWhenUsed/>
    <w:qFormat/>
    <w:uiPriority w:val="0"/>
    <w:pPr>
      <w:snapToGrid w:val="0"/>
      <w:jc w:val="left"/>
    </w:pPr>
    <w:rPr>
      <w:sz w:val="18"/>
      <w:szCs w:val="18"/>
    </w:rPr>
  </w:style>
  <w:style w:type="paragraph" w:styleId="35">
    <w:name w:val="toc 6"/>
    <w:basedOn w:val="1"/>
    <w:next w:val="1"/>
    <w:semiHidden/>
    <w:unhideWhenUsed/>
    <w:qFormat/>
    <w:uiPriority w:val="0"/>
    <w:pPr>
      <w:ind w:left="2100" w:leftChars="1000"/>
    </w:pPr>
    <w:rPr>
      <w:rFonts w:ascii="Times New Roman" w:hAnsi="Times New Roman"/>
      <w:szCs w:val="24"/>
    </w:rPr>
  </w:style>
  <w:style w:type="paragraph" w:styleId="36">
    <w:name w:val="Body Text Indent 3"/>
    <w:basedOn w:val="1"/>
    <w:link w:val="78"/>
    <w:semiHidden/>
    <w:unhideWhenUsed/>
    <w:qFormat/>
    <w:uiPriority w:val="0"/>
    <w:pPr>
      <w:spacing w:line="360" w:lineRule="auto"/>
      <w:ind w:left="153" w:leftChars="85" w:firstLine="560" w:firstLineChars="200"/>
    </w:pPr>
    <w:rPr>
      <w:rFonts w:ascii="宋体" w:hAnsi="宋体"/>
      <w:kern w:val="0"/>
      <w:sz w:val="28"/>
      <w:szCs w:val="28"/>
    </w:rPr>
  </w:style>
  <w:style w:type="paragraph" w:styleId="37">
    <w:name w:val="toc 2"/>
    <w:basedOn w:val="1"/>
    <w:next w:val="1"/>
    <w:unhideWhenUsed/>
    <w:qFormat/>
    <w:uiPriority w:val="39"/>
    <w:pPr>
      <w:tabs>
        <w:tab w:val="left" w:pos="620"/>
        <w:tab w:val="right" w:leader="dot" w:pos="8364"/>
      </w:tabs>
      <w:ind w:left="180"/>
      <w:jc w:val="left"/>
    </w:pPr>
    <w:rPr>
      <w:rFonts w:ascii="华文中宋" w:hAnsi="华文中宋" w:eastAsia="华文中宋"/>
      <w:smallCaps/>
      <w:sz w:val="20"/>
      <w:szCs w:val="20"/>
    </w:rPr>
  </w:style>
  <w:style w:type="paragraph" w:styleId="38">
    <w:name w:val="toc 9"/>
    <w:basedOn w:val="1"/>
    <w:next w:val="1"/>
    <w:semiHidden/>
    <w:unhideWhenUsed/>
    <w:qFormat/>
    <w:uiPriority w:val="0"/>
    <w:pPr>
      <w:ind w:left="3360" w:leftChars="1600"/>
    </w:pPr>
    <w:rPr>
      <w:rFonts w:ascii="Times New Roman" w:hAnsi="Times New Roman"/>
      <w:szCs w:val="24"/>
    </w:rPr>
  </w:style>
  <w:style w:type="paragraph" w:styleId="39">
    <w:name w:val="Body Text 2"/>
    <w:basedOn w:val="1"/>
    <w:link w:val="75"/>
    <w:semiHidden/>
    <w:unhideWhenUsed/>
    <w:qFormat/>
    <w:uiPriority w:val="0"/>
    <w:pPr>
      <w:spacing w:after="120" w:line="480" w:lineRule="auto"/>
    </w:pPr>
    <w:rPr>
      <w:rFonts w:ascii="Times New Roman" w:hAnsi="Times New Roman"/>
      <w:kern w:val="0"/>
      <w:sz w:val="18"/>
      <w:szCs w:val="18"/>
    </w:rPr>
  </w:style>
  <w:style w:type="paragraph" w:styleId="40">
    <w:name w:val="HTML Preformatted"/>
    <w:basedOn w:val="1"/>
    <w:link w:val="21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0" w:firstLineChars="200"/>
      <w:jc w:val="left"/>
    </w:pPr>
    <w:rPr>
      <w:rFonts w:ascii="Arial" w:hAnsi="Arial" w:cs="Arial"/>
      <w:kern w:val="0"/>
      <w:sz w:val="24"/>
      <w:szCs w:val="28"/>
    </w:rPr>
  </w:style>
  <w:style w:type="paragraph" w:styleId="41">
    <w:name w:val="Normal (Web)"/>
    <w:basedOn w:val="1"/>
    <w:unhideWhenUsed/>
    <w:qFormat/>
    <w:uiPriority w:val="99"/>
    <w:pPr>
      <w:widowControl/>
      <w:spacing w:before="100" w:beforeAutospacing="1" w:after="100" w:afterAutospacing="1"/>
      <w:jc w:val="left"/>
    </w:pPr>
    <w:rPr>
      <w:rFonts w:ascii="宋体" w:hAnsi="宋体"/>
      <w:color w:val="000000"/>
      <w:kern w:val="0"/>
      <w:sz w:val="24"/>
      <w:szCs w:val="24"/>
    </w:rPr>
  </w:style>
  <w:style w:type="paragraph" w:styleId="42">
    <w:name w:val="index 1"/>
    <w:basedOn w:val="1"/>
    <w:next w:val="1"/>
    <w:semiHidden/>
    <w:unhideWhenUsed/>
    <w:qFormat/>
    <w:uiPriority w:val="0"/>
    <w:pPr>
      <w:ind w:firstLine="560" w:firstLineChars="200"/>
    </w:pPr>
    <w:rPr>
      <w:rFonts w:ascii="宋体" w:hAnsi="宋体" w:cs="宋体"/>
      <w:sz w:val="28"/>
      <w:szCs w:val="28"/>
    </w:rPr>
  </w:style>
  <w:style w:type="paragraph" w:styleId="43">
    <w:name w:val="annotation subject"/>
    <w:basedOn w:val="17"/>
    <w:next w:val="17"/>
    <w:link w:val="81"/>
    <w:unhideWhenUsed/>
    <w:qFormat/>
    <w:uiPriority w:val="99"/>
    <w:rPr>
      <w:b/>
      <w:bCs/>
    </w:rPr>
  </w:style>
  <w:style w:type="paragraph" w:styleId="44">
    <w:name w:val="Body Text First Indent"/>
    <w:basedOn w:val="19"/>
    <w:link w:val="74"/>
    <w:semiHidden/>
    <w:unhideWhenUsed/>
    <w:qFormat/>
    <w:uiPriority w:val="0"/>
    <w:pPr>
      <w:ind w:firstLine="420" w:firstLineChars="100"/>
    </w:pPr>
    <w:rPr>
      <w:sz w:val="18"/>
      <w:szCs w:val="18"/>
    </w:rPr>
  </w:style>
  <w:style w:type="table" w:styleId="46">
    <w:name w:val="Table Grid"/>
    <w:basedOn w:val="4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FollowedHyperlink"/>
    <w:basedOn w:val="47"/>
    <w:semiHidden/>
    <w:unhideWhenUsed/>
    <w:qFormat/>
    <w:uiPriority w:val="99"/>
    <w:rPr>
      <w:color w:val="800080" w:themeColor="followedHyperlink"/>
      <w:u w:val="single"/>
      <w14:textFill>
        <w14:solidFill>
          <w14:schemeClr w14:val="folHlink"/>
        </w14:solidFill>
      </w14:textFill>
    </w:rPr>
  </w:style>
  <w:style w:type="character" w:styleId="49">
    <w:name w:val="Hyperlink"/>
    <w:unhideWhenUsed/>
    <w:qFormat/>
    <w:uiPriority w:val="99"/>
    <w:rPr>
      <w:color w:val="0000FF"/>
      <w:u w:val="single"/>
    </w:rPr>
  </w:style>
  <w:style w:type="character" w:styleId="50">
    <w:name w:val="annotation reference"/>
    <w:unhideWhenUsed/>
    <w:qFormat/>
    <w:uiPriority w:val="99"/>
    <w:rPr>
      <w:sz w:val="21"/>
      <w:szCs w:val="21"/>
    </w:rPr>
  </w:style>
  <w:style w:type="character" w:styleId="51">
    <w:name w:val="footnote reference"/>
    <w:semiHidden/>
    <w:unhideWhenUsed/>
    <w:qFormat/>
    <w:uiPriority w:val="0"/>
    <w:rPr>
      <w:vertAlign w:val="superscript"/>
    </w:rPr>
  </w:style>
  <w:style w:type="character" w:customStyle="1" w:styleId="52">
    <w:name w:val="标题 1 字符"/>
    <w:basedOn w:val="47"/>
    <w:link w:val="4"/>
    <w:qFormat/>
    <w:uiPriority w:val="99"/>
    <w:rPr>
      <w:rFonts w:ascii="宋体" w:hAnsi="宋体" w:eastAsia="宋体" w:cs="宋体"/>
      <w:b/>
      <w:bCs/>
      <w:spacing w:val="-20"/>
      <w:kern w:val="44"/>
      <w:sz w:val="32"/>
      <w:szCs w:val="32"/>
    </w:rPr>
  </w:style>
  <w:style w:type="character" w:customStyle="1" w:styleId="53">
    <w:name w:val="标题 2 字符"/>
    <w:basedOn w:val="47"/>
    <w:link w:val="5"/>
    <w:qFormat/>
    <w:uiPriority w:val="99"/>
    <w:rPr>
      <w:rFonts w:ascii="宋体" w:hAnsi="宋体" w:eastAsia="宋体" w:cs="宋体"/>
      <w:b/>
      <w:bCs/>
      <w:sz w:val="28"/>
      <w:szCs w:val="28"/>
    </w:rPr>
  </w:style>
  <w:style w:type="character" w:customStyle="1" w:styleId="54">
    <w:name w:val="标题 3 字符"/>
    <w:basedOn w:val="47"/>
    <w:link w:val="6"/>
    <w:qFormat/>
    <w:uiPriority w:val="99"/>
    <w:rPr>
      <w:rFonts w:ascii="宋体" w:hAnsi="宋体" w:eastAsia="宋体" w:cs="宋体"/>
      <w:b/>
      <w:bCs/>
      <w:color w:val="000000"/>
      <w:kern w:val="0"/>
      <w:sz w:val="28"/>
      <w:szCs w:val="28"/>
    </w:rPr>
  </w:style>
  <w:style w:type="character" w:customStyle="1" w:styleId="55">
    <w:name w:val="标题 4 字符"/>
    <w:basedOn w:val="47"/>
    <w:link w:val="7"/>
    <w:qFormat/>
    <w:uiPriority w:val="9"/>
    <w:rPr>
      <w:rFonts w:ascii="Arial" w:hAnsi="Arial" w:eastAsia="宋体" w:cs="Times New Roman"/>
      <w:b/>
      <w:bCs/>
      <w:kern w:val="0"/>
      <w:sz w:val="28"/>
      <w:szCs w:val="28"/>
    </w:rPr>
  </w:style>
  <w:style w:type="character" w:customStyle="1" w:styleId="56">
    <w:name w:val="标题 5 字符"/>
    <w:basedOn w:val="47"/>
    <w:link w:val="8"/>
    <w:qFormat/>
    <w:uiPriority w:val="0"/>
    <w:rPr>
      <w:rFonts w:ascii="Calibri" w:hAnsi="Calibri" w:eastAsia="宋体" w:cs="Times New Roman"/>
      <w:b/>
      <w:bCs/>
      <w:kern w:val="0"/>
      <w:sz w:val="28"/>
      <w:szCs w:val="28"/>
    </w:rPr>
  </w:style>
  <w:style w:type="character" w:customStyle="1" w:styleId="57">
    <w:name w:val="标题 6 字符"/>
    <w:basedOn w:val="47"/>
    <w:link w:val="9"/>
    <w:qFormat/>
    <w:uiPriority w:val="0"/>
    <w:rPr>
      <w:rFonts w:ascii="Arial" w:hAnsi="Arial" w:eastAsia="宋体" w:cs="Times New Roman"/>
      <w:b/>
      <w:bCs/>
      <w:kern w:val="0"/>
      <w:sz w:val="28"/>
      <w:szCs w:val="18"/>
    </w:rPr>
  </w:style>
  <w:style w:type="character" w:customStyle="1" w:styleId="58">
    <w:name w:val="标题 7 字符"/>
    <w:basedOn w:val="47"/>
    <w:link w:val="10"/>
    <w:qFormat/>
    <w:uiPriority w:val="0"/>
    <w:rPr>
      <w:rFonts w:ascii="Arial Narrow" w:hAnsi="Arial Narrow" w:eastAsia="宋体" w:cs="Times New Roman"/>
      <w:b/>
      <w:bCs/>
      <w:iCs/>
      <w:kern w:val="0"/>
      <w:sz w:val="20"/>
      <w:szCs w:val="24"/>
      <w:lang w:eastAsia="en-US"/>
    </w:rPr>
  </w:style>
  <w:style w:type="character" w:customStyle="1" w:styleId="59">
    <w:name w:val="标题 8 字符"/>
    <w:basedOn w:val="47"/>
    <w:link w:val="11"/>
    <w:semiHidden/>
    <w:qFormat/>
    <w:uiPriority w:val="0"/>
    <w:rPr>
      <w:rFonts w:ascii="Arial" w:hAnsi="Arial" w:eastAsia="黑体" w:cs="Times New Roman"/>
      <w:kern w:val="0"/>
      <w:sz w:val="24"/>
      <w:szCs w:val="24"/>
    </w:rPr>
  </w:style>
  <w:style w:type="character" w:customStyle="1" w:styleId="60">
    <w:name w:val="标题 9 字符"/>
    <w:basedOn w:val="47"/>
    <w:link w:val="12"/>
    <w:semiHidden/>
    <w:qFormat/>
    <w:uiPriority w:val="0"/>
    <w:rPr>
      <w:rFonts w:ascii="Arial" w:hAnsi="Arial" w:eastAsia="黑体" w:cs="Times New Roman"/>
      <w:kern w:val="0"/>
      <w:sz w:val="20"/>
      <w:szCs w:val="21"/>
    </w:rPr>
  </w:style>
  <w:style w:type="character" w:customStyle="1" w:styleId="61">
    <w:name w:val="标题 1 Char1"/>
    <w:qFormat/>
    <w:uiPriority w:val="0"/>
    <w:rPr>
      <w:b/>
      <w:bCs/>
      <w:kern w:val="44"/>
      <w:sz w:val="44"/>
      <w:szCs w:val="44"/>
    </w:rPr>
  </w:style>
  <w:style w:type="character" w:customStyle="1" w:styleId="62">
    <w:name w:val="标题 2 Char1"/>
    <w:basedOn w:val="47"/>
    <w:semiHidden/>
    <w:qFormat/>
    <w:uiPriority w:val="99"/>
    <w:rPr>
      <w:rFonts w:asciiTheme="majorHAnsi" w:hAnsiTheme="majorHAnsi" w:eastAsiaTheme="majorEastAsia" w:cstheme="majorBidi"/>
      <w:b/>
      <w:bCs/>
      <w:kern w:val="2"/>
      <w:sz w:val="32"/>
      <w:szCs w:val="32"/>
    </w:rPr>
  </w:style>
  <w:style w:type="character" w:customStyle="1" w:styleId="63">
    <w:name w:val="标题 3 Char1"/>
    <w:basedOn w:val="47"/>
    <w:semiHidden/>
    <w:qFormat/>
    <w:uiPriority w:val="99"/>
    <w:rPr>
      <w:rFonts w:ascii="Calibri" w:hAnsi="Calibri"/>
      <w:b/>
      <w:bCs/>
      <w:kern w:val="2"/>
      <w:sz w:val="32"/>
      <w:szCs w:val="32"/>
    </w:rPr>
  </w:style>
  <w:style w:type="character" w:customStyle="1" w:styleId="64">
    <w:name w:val="标题 4 Char1"/>
    <w:basedOn w:val="47"/>
    <w:semiHidden/>
    <w:qFormat/>
    <w:uiPriority w:val="9"/>
    <w:rPr>
      <w:rFonts w:asciiTheme="majorHAnsi" w:hAnsiTheme="majorHAnsi" w:eastAsiaTheme="majorEastAsia" w:cstheme="majorBidi"/>
      <w:b/>
      <w:bCs/>
      <w:kern w:val="2"/>
      <w:sz w:val="28"/>
      <w:szCs w:val="28"/>
    </w:rPr>
  </w:style>
  <w:style w:type="character" w:customStyle="1" w:styleId="65">
    <w:name w:val="正文缩进 字符"/>
    <w:link w:val="14"/>
    <w:qFormat/>
    <w:locked/>
    <w:uiPriority w:val="0"/>
  </w:style>
  <w:style w:type="character" w:customStyle="1" w:styleId="66">
    <w:name w:val="脚注文本 字符"/>
    <w:basedOn w:val="47"/>
    <w:link w:val="34"/>
    <w:semiHidden/>
    <w:qFormat/>
    <w:uiPriority w:val="0"/>
    <w:rPr>
      <w:rFonts w:ascii="Calibri" w:hAnsi="Calibri" w:eastAsia="宋体" w:cs="Times New Roman"/>
      <w:sz w:val="18"/>
      <w:szCs w:val="18"/>
    </w:rPr>
  </w:style>
  <w:style w:type="character" w:customStyle="1" w:styleId="67">
    <w:name w:val="批注文字 Char"/>
    <w:basedOn w:val="47"/>
    <w:qFormat/>
    <w:uiPriority w:val="99"/>
    <w:rPr>
      <w:rFonts w:ascii="Calibri" w:hAnsi="Calibri" w:eastAsia="宋体" w:cs="Times New Roman"/>
    </w:rPr>
  </w:style>
  <w:style w:type="character" w:customStyle="1" w:styleId="68">
    <w:name w:val="页眉 字符"/>
    <w:basedOn w:val="47"/>
    <w:link w:val="30"/>
    <w:qFormat/>
    <w:uiPriority w:val="99"/>
    <w:rPr>
      <w:rFonts w:ascii="Calibri" w:hAnsi="Calibri" w:eastAsia="宋体" w:cs="Times New Roman"/>
      <w:kern w:val="0"/>
      <w:sz w:val="18"/>
      <w:szCs w:val="18"/>
    </w:rPr>
  </w:style>
  <w:style w:type="character" w:customStyle="1" w:styleId="69">
    <w:name w:val="页脚 字符"/>
    <w:basedOn w:val="47"/>
    <w:link w:val="29"/>
    <w:qFormat/>
    <w:uiPriority w:val="99"/>
    <w:rPr>
      <w:rFonts w:ascii="Calibri" w:hAnsi="Calibri" w:eastAsia="宋体" w:cs="Times New Roman"/>
      <w:kern w:val="0"/>
      <w:sz w:val="18"/>
      <w:szCs w:val="18"/>
    </w:rPr>
  </w:style>
  <w:style w:type="character" w:customStyle="1" w:styleId="70">
    <w:name w:val="正文文本 Char"/>
    <w:basedOn w:val="47"/>
    <w:qFormat/>
    <w:uiPriority w:val="99"/>
    <w:rPr>
      <w:rFonts w:ascii="Calibri" w:hAnsi="Calibri" w:eastAsia="宋体" w:cs="Times New Roman"/>
    </w:rPr>
  </w:style>
  <w:style w:type="character" w:customStyle="1" w:styleId="71">
    <w:name w:val="正文文本缩进 字符"/>
    <w:basedOn w:val="47"/>
    <w:link w:val="20"/>
    <w:semiHidden/>
    <w:qFormat/>
    <w:uiPriority w:val="0"/>
    <w:rPr>
      <w:rFonts w:ascii="Times New Roman" w:hAnsi="Times New Roman" w:eastAsia="宋体" w:cs="Times New Roman"/>
      <w:kern w:val="0"/>
      <w:sz w:val="20"/>
      <w:szCs w:val="24"/>
    </w:rPr>
  </w:style>
  <w:style w:type="character" w:customStyle="1" w:styleId="72">
    <w:name w:val="副标题 字符"/>
    <w:basedOn w:val="47"/>
    <w:link w:val="33"/>
    <w:qFormat/>
    <w:uiPriority w:val="0"/>
    <w:rPr>
      <w:rFonts w:ascii="Cambria" w:hAnsi="Cambria" w:eastAsia="宋体" w:cs="Times New Roman"/>
      <w:b/>
      <w:bCs/>
      <w:kern w:val="28"/>
      <w:sz w:val="32"/>
      <w:szCs w:val="32"/>
    </w:rPr>
  </w:style>
  <w:style w:type="character" w:customStyle="1" w:styleId="73">
    <w:name w:val="日期 字符"/>
    <w:basedOn w:val="47"/>
    <w:link w:val="26"/>
    <w:qFormat/>
    <w:uiPriority w:val="99"/>
    <w:rPr>
      <w:rFonts w:ascii="Times New Roman" w:hAnsi="Times New Roman" w:eastAsia="宋体" w:cs="Times New Roman"/>
      <w:kern w:val="0"/>
      <w:sz w:val="24"/>
      <w:szCs w:val="24"/>
    </w:rPr>
  </w:style>
  <w:style w:type="character" w:customStyle="1" w:styleId="74">
    <w:name w:val="正文文本首行缩进 字符"/>
    <w:basedOn w:val="70"/>
    <w:link w:val="44"/>
    <w:semiHidden/>
    <w:qFormat/>
    <w:uiPriority w:val="0"/>
    <w:rPr>
      <w:rFonts w:ascii="Times New Roman" w:hAnsi="Times New Roman" w:eastAsia="宋体" w:cs="Times New Roman"/>
      <w:kern w:val="0"/>
      <w:sz w:val="18"/>
      <w:szCs w:val="18"/>
    </w:rPr>
  </w:style>
  <w:style w:type="character" w:customStyle="1" w:styleId="75">
    <w:name w:val="正文文本 2 字符"/>
    <w:basedOn w:val="47"/>
    <w:link w:val="39"/>
    <w:semiHidden/>
    <w:qFormat/>
    <w:uiPriority w:val="0"/>
    <w:rPr>
      <w:rFonts w:ascii="Times New Roman" w:hAnsi="Times New Roman" w:eastAsia="宋体" w:cs="Times New Roman"/>
      <w:kern w:val="0"/>
      <w:sz w:val="18"/>
      <w:szCs w:val="18"/>
    </w:rPr>
  </w:style>
  <w:style w:type="character" w:customStyle="1" w:styleId="76">
    <w:name w:val="正文文本 3 字符"/>
    <w:basedOn w:val="47"/>
    <w:link w:val="18"/>
    <w:semiHidden/>
    <w:qFormat/>
    <w:uiPriority w:val="0"/>
    <w:rPr>
      <w:rFonts w:ascii="Times New Roman" w:hAnsi="Times New Roman" w:eastAsia="黑体" w:cs="Times New Roman"/>
      <w:sz w:val="44"/>
      <w:szCs w:val="24"/>
    </w:rPr>
  </w:style>
  <w:style w:type="character" w:customStyle="1" w:styleId="77">
    <w:name w:val="正文文本缩进 2 字符"/>
    <w:basedOn w:val="47"/>
    <w:link w:val="27"/>
    <w:semiHidden/>
    <w:qFormat/>
    <w:uiPriority w:val="0"/>
    <w:rPr>
      <w:rFonts w:ascii="Times New Roman" w:hAnsi="Times New Roman" w:eastAsia="宋体" w:cs="Times New Roman"/>
      <w:kern w:val="0"/>
      <w:sz w:val="20"/>
      <w:szCs w:val="20"/>
    </w:rPr>
  </w:style>
  <w:style w:type="character" w:customStyle="1" w:styleId="78">
    <w:name w:val="正文文本缩进 3 字符"/>
    <w:basedOn w:val="47"/>
    <w:link w:val="36"/>
    <w:semiHidden/>
    <w:qFormat/>
    <w:uiPriority w:val="0"/>
    <w:rPr>
      <w:rFonts w:ascii="宋体" w:hAnsi="宋体" w:eastAsia="宋体" w:cs="Times New Roman"/>
      <w:kern w:val="0"/>
      <w:sz w:val="28"/>
      <w:szCs w:val="28"/>
    </w:rPr>
  </w:style>
  <w:style w:type="character" w:customStyle="1" w:styleId="79">
    <w:name w:val="文档结构图 字符"/>
    <w:basedOn w:val="47"/>
    <w:link w:val="16"/>
    <w:qFormat/>
    <w:uiPriority w:val="99"/>
    <w:rPr>
      <w:rFonts w:ascii="Times New Roman" w:hAnsi="Times New Roman" w:eastAsia="宋体" w:cs="Times New Roman"/>
      <w:kern w:val="0"/>
      <w:sz w:val="18"/>
      <w:szCs w:val="18"/>
      <w:shd w:val="clear" w:color="auto" w:fill="000080"/>
    </w:rPr>
  </w:style>
  <w:style w:type="character" w:customStyle="1" w:styleId="80">
    <w:name w:val="纯文本 Char"/>
    <w:basedOn w:val="47"/>
    <w:semiHidden/>
    <w:qFormat/>
    <w:uiPriority w:val="99"/>
    <w:rPr>
      <w:rFonts w:ascii="宋体" w:hAnsi="Courier New" w:eastAsia="宋体" w:cs="Courier New"/>
      <w:szCs w:val="21"/>
    </w:rPr>
  </w:style>
  <w:style w:type="character" w:customStyle="1" w:styleId="81">
    <w:name w:val="批注主题 字符"/>
    <w:basedOn w:val="67"/>
    <w:link w:val="43"/>
    <w:qFormat/>
    <w:uiPriority w:val="99"/>
    <w:rPr>
      <w:rFonts w:ascii="Calibri" w:hAnsi="Calibri" w:eastAsia="宋体" w:cs="Times New Roman"/>
      <w:b/>
      <w:bCs/>
    </w:rPr>
  </w:style>
  <w:style w:type="character" w:customStyle="1" w:styleId="82">
    <w:name w:val="批注框文本 字符"/>
    <w:basedOn w:val="47"/>
    <w:link w:val="28"/>
    <w:qFormat/>
    <w:uiPriority w:val="99"/>
    <w:rPr>
      <w:rFonts w:ascii="Times New Roman" w:hAnsi="Times New Roman" w:eastAsia="宋体" w:cs="Times New Roman"/>
      <w:kern w:val="0"/>
      <w:sz w:val="18"/>
      <w:szCs w:val="18"/>
    </w:rPr>
  </w:style>
  <w:style w:type="paragraph" w:styleId="83">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84">
    <w:name w:val="修订1"/>
    <w:semiHidden/>
    <w:qFormat/>
    <w:uiPriority w:val="99"/>
    <w:rPr>
      <w:rFonts w:ascii="Calibri" w:hAnsi="Calibri" w:eastAsia="宋体" w:cs="Times New Roman"/>
      <w:kern w:val="2"/>
      <w:sz w:val="21"/>
      <w:szCs w:val="22"/>
      <w:lang w:val="en-US" w:eastAsia="zh-CN" w:bidi="ar-SA"/>
    </w:rPr>
  </w:style>
  <w:style w:type="character" w:customStyle="1" w:styleId="85">
    <w:name w:val="列表段落 字符"/>
    <w:link w:val="86"/>
    <w:qFormat/>
    <w:locked/>
    <w:uiPriority w:val="0"/>
    <w:rPr>
      <w:rFonts w:ascii="Calibri" w:hAnsi="Calibri" w:cs="Calibri"/>
    </w:rPr>
  </w:style>
  <w:style w:type="paragraph" w:styleId="86">
    <w:name w:val="List Paragraph"/>
    <w:basedOn w:val="1"/>
    <w:link w:val="85"/>
    <w:qFormat/>
    <w:uiPriority w:val="0"/>
    <w:pPr>
      <w:ind w:firstLine="420" w:firstLineChars="200"/>
    </w:pPr>
    <w:rPr>
      <w:rFonts w:cs="Calibri" w:eastAsiaTheme="minorEastAsia"/>
    </w:rPr>
  </w:style>
  <w:style w:type="paragraph" w:customStyle="1" w:styleId="87">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88">
    <w:name w:val="MM Title"/>
    <w:basedOn w:val="1"/>
    <w:qFormat/>
    <w:uiPriority w:val="0"/>
    <w:pPr>
      <w:spacing w:before="240" w:after="60"/>
      <w:jc w:val="center"/>
      <w:outlineLvl w:val="0"/>
    </w:pPr>
    <w:rPr>
      <w:rFonts w:ascii="Arial" w:hAnsi="Arial" w:cs="Arial"/>
      <w:b/>
      <w:bCs/>
      <w:sz w:val="32"/>
      <w:szCs w:val="32"/>
    </w:rPr>
  </w:style>
  <w:style w:type="paragraph" w:customStyle="1" w:styleId="89">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90">
    <w:name w:val="gb_master正文"/>
    <w:basedOn w:val="1"/>
    <w:qFormat/>
    <w:uiPriority w:val="0"/>
    <w:pPr>
      <w:ind w:firstLine="200" w:firstLineChars="200"/>
    </w:pPr>
    <w:rPr>
      <w:rFonts w:ascii="Times New Roman" w:hAnsi="Times New Roman"/>
      <w:szCs w:val="24"/>
    </w:rPr>
  </w:style>
  <w:style w:type="paragraph" w:customStyle="1" w:styleId="91">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2">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93">
    <w:name w:val="Char2 Char Char Char"/>
    <w:basedOn w:val="1"/>
    <w:qFormat/>
    <w:uiPriority w:val="0"/>
    <w:rPr>
      <w:rFonts w:ascii="仿宋_GB2312" w:hAnsi="Times New Roman"/>
      <w:b/>
      <w:sz w:val="30"/>
      <w:szCs w:val="32"/>
    </w:rPr>
  </w:style>
  <w:style w:type="paragraph" w:customStyle="1" w:styleId="94">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hAnsi="宋体" w:cs="宋体"/>
      <w:color w:val="000000"/>
      <w:kern w:val="0"/>
      <w:szCs w:val="20"/>
    </w:rPr>
  </w:style>
  <w:style w:type="paragraph" w:customStyle="1" w:styleId="95">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6">
    <w:name w:val="默认段落字体 Para Char"/>
    <w:basedOn w:val="1"/>
    <w:qFormat/>
    <w:uiPriority w:val="0"/>
    <w:rPr>
      <w:rFonts w:ascii="Tahoma" w:hAnsi="Tahoma"/>
      <w:sz w:val="24"/>
      <w:szCs w:val="20"/>
    </w:rPr>
  </w:style>
  <w:style w:type="paragraph" w:customStyle="1" w:styleId="97">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8">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99">
    <w:name w:val="样式 正文缩进 + (中文) 仿宋_GB2312 小四 Char"/>
    <w:basedOn w:val="14"/>
    <w:qFormat/>
    <w:uiPriority w:val="0"/>
    <w:pPr>
      <w:spacing w:after="0" w:line="360" w:lineRule="auto"/>
      <w:ind w:firstLine="480" w:firstLineChars="200"/>
    </w:pPr>
    <w:rPr>
      <w:rFonts w:ascii="宋体" w:hAnsi="宋体"/>
      <w:sz w:val="24"/>
      <w:szCs w:val="24"/>
    </w:rPr>
  </w:style>
  <w:style w:type="paragraph" w:customStyle="1" w:styleId="100">
    <w:name w:val="表格文字"/>
    <w:basedOn w:val="1"/>
    <w:qFormat/>
    <w:uiPriority w:val="0"/>
    <w:pPr>
      <w:spacing w:beforeLines="25"/>
    </w:pPr>
    <w:rPr>
      <w:rFonts w:ascii="Times New (W1)" w:hAnsi="Times New (W1)"/>
      <w:spacing w:val="10"/>
      <w:szCs w:val="24"/>
    </w:rPr>
  </w:style>
  <w:style w:type="paragraph" w:customStyle="1" w:styleId="101">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102">
    <w:name w:val="默认段落字体 Para Char Char"/>
    <w:basedOn w:val="1"/>
    <w:qFormat/>
    <w:uiPriority w:val="0"/>
    <w:rPr>
      <w:rFonts w:ascii="Times New Roman" w:hAnsi="Times New Roman"/>
      <w:szCs w:val="24"/>
    </w:rPr>
  </w:style>
  <w:style w:type="paragraph" w:customStyle="1" w:styleId="103">
    <w:name w:val="MM Topic 6"/>
    <w:basedOn w:val="9"/>
    <w:qFormat/>
    <w:uiPriority w:val="0"/>
    <w:pPr>
      <w:tabs>
        <w:tab w:val="left" w:pos="3260"/>
        <w:tab w:val="clear" w:pos="1702"/>
      </w:tabs>
    </w:pPr>
    <w:rPr>
      <w:rFonts w:eastAsia="黑体"/>
    </w:rPr>
  </w:style>
  <w:style w:type="paragraph" w:customStyle="1" w:styleId="104">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5">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6">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7">
    <w:name w:val="标题 5 + 首行缩进:  2 字符"/>
    <w:basedOn w:val="8"/>
    <w:next w:val="20"/>
    <w:qFormat/>
    <w:uiPriority w:val="0"/>
    <w:pPr>
      <w:tabs>
        <w:tab w:val="left" w:pos="992"/>
        <w:tab w:val="clear" w:pos="1134"/>
      </w:tabs>
      <w:snapToGrid w:val="0"/>
      <w:spacing w:before="0" w:beforeLines="50" w:after="0" w:afterLines="50"/>
      <w:ind w:left="3570" w:firstLine="482" w:firstLineChars="200"/>
    </w:pPr>
    <w:rPr>
      <w:color w:val="000000"/>
      <w:szCs w:val="20"/>
    </w:rPr>
  </w:style>
  <w:style w:type="paragraph" w:customStyle="1" w:styleId="108">
    <w:name w:val="Char2 Char Char Char Char Char Char"/>
    <w:basedOn w:val="1"/>
    <w:qFormat/>
    <w:uiPriority w:val="0"/>
    <w:rPr>
      <w:rFonts w:ascii="仿宋_GB2312" w:hAnsi="Times New Roman"/>
      <w:b/>
      <w:sz w:val="30"/>
      <w:szCs w:val="32"/>
    </w:rPr>
  </w:style>
  <w:style w:type="paragraph" w:customStyle="1" w:styleId="109">
    <w:name w:val="MM Topic 2"/>
    <w:basedOn w:val="5"/>
    <w:qFormat/>
    <w:uiPriority w:val="0"/>
    <w:pPr>
      <w:numPr>
        <w:ilvl w:val="0"/>
        <w:numId w:val="0"/>
      </w:numPr>
      <w:tabs>
        <w:tab w:val="left" w:pos="992"/>
      </w:tabs>
    </w:pPr>
    <w:rPr>
      <w:rFonts w:cs="Times New Roman"/>
    </w:rPr>
  </w:style>
  <w:style w:type="paragraph" w:customStyle="1" w:styleId="110">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11">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12">
    <w:name w:val="MM Topic 8"/>
    <w:basedOn w:val="11"/>
    <w:qFormat/>
    <w:uiPriority w:val="0"/>
    <w:pPr>
      <w:tabs>
        <w:tab w:val="left" w:pos="4394"/>
      </w:tabs>
    </w:pPr>
  </w:style>
  <w:style w:type="paragraph" w:customStyle="1" w:styleId="113">
    <w:name w:val="Char1 Char Char Char Char Char Char"/>
    <w:basedOn w:val="1"/>
    <w:qFormat/>
    <w:uiPriority w:val="0"/>
    <w:rPr>
      <w:rFonts w:ascii="Tahoma" w:hAnsi="Tahoma"/>
      <w:sz w:val="24"/>
      <w:szCs w:val="20"/>
    </w:rPr>
  </w:style>
  <w:style w:type="paragraph" w:customStyle="1" w:styleId="114">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5">
    <w:name w:val="样式 小四2"/>
    <w:basedOn w:val="1"/>
    <w:qFormat/>
    <w:uiPriority w:val="0"/>
    <w:rPr>
      <w:rFonts w:ascii="宋体" w:hAnsi="宋体"/>
      <w:sz w:val="24"/>
      <w:szCs w:val="24"/>
    </w:rPr>
  </w:style>
  <w:style w:type="paragraph" w:customStyle="1" w:styleId="116">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7">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18">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19">
    <w:name w:val="文章正文"/>
    <w:basedOn w:val="1"/>
    <w:qFormat/>
    <w:uiPriority w:val="0"/>
    <w:pPr>
      <w:spacing w:line="360" w:lineRule="auto"/>
      <w:ind w:firstLine="420"/>
    </w:pPr>
    <w:rPr>
      <w:rFonts w:ascii="Times New Roman" w:hAnsi="Times New Roman"/>
      <w:sz w:val="24"/>
      <w:szCs w:val="24"/>
    </w:rPr>
  </w:style>
  <w:style w:type="paragraph" w:customStyle="1" w:styleId="120">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21">
    <w:name w:val="文章正文 Char Char1"/>
    <w:basedOn w:val="1"/>
    <w:qFormat/>
    <w:uiPriority w:val="0"/>
    <w:pPr>
      <w:spacing w:line="360" w:lineRule="auto"/>
      <w:ind w:firstLine="420"/>
    </w:pPr>
    <w:rPr>
      <w:rFonts w:ascii="Times New Roman" w:hAnsi="Times New Roman"/>
      <w:sz w:val="24"/>
      <w:szCs w:val="24"/>
    </w:rPr>
  </w:style>
  <w:style w:type="paragraph" w:customStyle="1" w:styleId="122">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23">
    <w:name w:val="样式"/>
    <w:link w:val="230"/>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24">
    <w:name w:val="图"/>
    <w:basedOn w:val="1"/>
    <w:qFormat/>
    <w:uiPriority w:val="0"/>
    <w:pPr>
      <w:widowControl/>
      <w:adjustRightInd w:val="0"/>
      <w:snapToGrid w:val="0"/>
      <w:jc w:val="center"/>
    </w:pPr>
    <w:rPr>
      <w:rFonts w:ascii="宋体" w:hAnsi="宋体"/>
      <w:bCs/>
      <w:szCs w:val="24"/>
    </w:rPr>
  </w:style>
  <w:style w:type="paragraph" w:customStyle="1" w:styleId="125">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6">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7">
    <w:name w:val="MM Topic 1"/>
    <w:basedOn w:val="4"/>
    <w:qFormat/>
    <w:uiPriority w:val="0"/>
    <w:pPr>
      <w:tabs>
        <w:tab w:val="left" w:pos="425"/>
      </w:tabs>
    </w:pPr>
    <w:rPr>
      <w:rFonts w:cs="Times New Roman"/>
      <w:sz w:val="44"/>
    </w:rPr>
  </w:style>
  <w:style w:type="paragraph" w:customStyle="1" w:styleId="128">
    <w:name w:val="正文格式"/>
    <w:basedOn w:val="1"/>
    <w:qFormat/>
    <w:uiPriority w:val="0"/>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129">
    <w:name w:val="样式 标题 5 + 倾斜"/>
    <w:basedOn w:val="8"/>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bCs w:val="0"/>
      <w:iCs/>
      <w:color w:val="000000"/>
    </w:rPr>
  </w:style>
  <w:style w:type="character" w:customStyle="1" w:styleId="130">
    <w:name w:val="彩色列表 - 强调文字颜色 1 Char"/>
    <w:link w:val="131"/>
    <w:qFormat/>
    <w:locked/>
    <w:uiPriority w:val="0"/>
    <w:rPr>
      <w:rFonts w:ascii="Calibri" w:hAnsi="Calibri" w:cs="Calibri"/>
    </w:rPr>
  </w:style>
  <w:style w:type="paragraph" w:customStyle="1" w:styleId="131">
    <w:name w:val="彩色列表 - 强调文字颜色 11"/>
    <w:basedOn w:val="1"/>
    <w:link w:val="130"/>
    <w:qFormat/>
    <w:uiPriority w:val="0"/>
    <w:pPr>
      <w:ind w:firstLine="420" w:firstLineChars="200"/>
    </w:pPr>
    <w:rPr>
      <w:rFonts w:cs="Calibri" w:eastAsiaTheme="minorEastAsia"/>
    </w:rPr>
  </w:style>
  <w:style w:type="paragraph" w:customStyle="1" w:styleId="132">
    <w:name w:val="我的正文"/>
    <w:basedOn w:val="1"/>
    <w:qFormat/>
    <w:uiPriority w:val="0"/>
    <w:pPr>
      <w:spacing w:line="360" w:lineRule="auto"/>
      <w:ind w:firstLine="420" w:firstLineChars="200"/>
    </w:pPr>
    <w:rPr>
      <w:rFonts w:ascii="宋体" w:hAnsi="宋体"/>
      <w:szCs w:val="24"/>
    </w:rPr>
  </w:style>
  <w:style w:type="paragraph" w:customStyle="1" w:styleId="133">
    <w:name w:val="MM Topic 7"/>
    <w:basedOn w:val="10"/>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34">
    <w:name w:val="标书（正文）"/>
    <w:basedOn w:val="1"/>
    <w:qFormat/>
    <w:uiPriority w:val="0"/>
    <w:pPr>
      <w:spacing w:line="360" w:lineRule="auto"/>
      <w:ind w:firstLine="560" w:firstLineChars="200"/>
    </w:pPr>
    <w:rPr>
      <w:rFonts w:ascii="宋体" w:hAnsi="宋体"/>
      <w:kern w:val="10"/>
      <w:sz w:val="28"/>
      <w:szCs w:val="28"/>
    </w:rPr>
  </w:style>
  <w:style w:type="paragraph" w:customStyle="1" w:styleId="135">
    <w:name w:val="样式 标题 3 + (西文) 仿宋_GB2312 (中文) 仿宋_GB2312 四号"/>
    <w:basedOn w:val="6"/>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6">
    <w:name w:val="论文正文"/>
    <w:basedOn w:val="1"/>
    <w:qFormat/>
    <w:uiPriority w:val="0"/>
    <w:pPr>
      <w:spacing w:line="360" w:lineRule="auto"/>
      <w:ind w:firstLine="700" w:firstLineChars="250"/>
    </w:pPr>
    <w:rPr>
      <w:rFonts w:ascii="宋体" w:hAnsi="宋体"/>
      <w:bCs/>
      <w:sz w:val="28"/>
      <w:szCs w:val="28"/>
    </w:rPr>
  </w:style>
  <w:style w:type="paragraph" w:customStyle="1" w:styleId="137">
    <w:name w:val="样式1"/>
    <w:basedOn w:val="1"/>
    <w:qFormat/>
    <w:uiPriority w:val="0"/>
    <w:rPr>
      <w:rFonts w:ascii="Times New Roman" w:hAnsi="Times New Roman" w:eastAsia="隶书"/>
      <w:i/>
      <w:dstrike/>
      <w:sz w:val="28"/>
      <w:szCs w:val="18"/>
    </w:rPr>
  </w:style>
  <w:style w:type="paragraph" w:customStyle="1" w:styleId="138">
    <w:name w:val="表格"/>
    <w:basedOn w:val="1"/>
    <w:qFormat/>
    <w:uiPriority w:val="0"/>
    <w:pPr>
      <w:spacing w:line="400" w:lineRule="exact"/>
    </w:pPr>
    <w:rPr>
      <w:rFonts w:ascii="Times New Roman" w:hAnsi="Times New Roman"/>
      <w:sz w:val="24"/>
      <w:szCs w:val="24"/>
    </w:rPr>
  </w:style>
  <w:style w:type="paragraph" w:customStyle="1" w:styleId="139">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40">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41">
    <w:name w:val="Char Char Char Char Char Char Char Char Char Char Char Char Char"/>
    <w:basedOn w:val="16"/>
    <w:qFormat/>
    <w:uiPriority w:val="0"/>
    <w:rPr>
      <w:rFonts w:ascii="Tahoma" w:hAnsi="Tahoma"/>
      <w:sz w:val="24"/>
      <w:szCs w:val="24"/>
    </w:rPr>
  </w:style>
  <w:style w:type="paragraph" w:customStyle="1" w:styleId="142">
    <w:name w:val="MM Topic 3"/>
    <w:basedOn w:val="6"/>
    <w:qFormat/>
    <w:uiPriority w:val="0"/>
    <w:pPr>
      <w:numPr>
        <w:ilvl w:val="0"/>
        <w:numId w:val="0"/>
      </w:numPr>
      <w:tabs>
        <w:tab w:val="left" w:pos="1418"/>
      </w:tabs>
    </w:pPr>
    <w:rPr>
      <w:rFonts w:cs="Times New Roman"/>
    </w:rPr>
  </w:style>
  <w:style w:type="paragraph" w:customStyle="1" w:styleId="143">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44">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45">
    <w:name w:val="Char Char Char Char"/>
    <w:basedOn w:val="1"/>
    <w:qFormat/>
    <w:uiPriority w:val="0"/>
    <w:rPr>
      <w:rFonts w:ascii="Tahoma" w:hAnsi="Tahoma"/>
      <w:sz w:val="24"/>
      <w:szCs w:val="20"/>
    </w:rPr>
  </w:style>
  <w:style w:type="paragraph" w:customStyle="1" w:styleId="146">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7">
    <w:name w:val="MM Topic 9"/>
    <w:basedOn w:val="12"/>
    <w:qFormat/>
    <w:uiPriority w:val="0"/>
    <w:pPr>
      <w:tabs>
        <w:tab w:val="left" w:pos="5102"/>
      </w:tabs>
    </w:pPr>
  </w:style>
  <w:style w:type="paragraph" w:customStyle="1" w:styleId="148">
    <w:name w:val="MM Topic 5"/>
    <w:basedOn w:val="8"/>
    <w:qFormat/>
    <w:uiPriority w:val="0"/>
    <w:pPr>
      <w:tabs>
        <w:tab w:val="left" w:pos="2551"/>
        <w:tab w:val="clear" w:pos="1134"/>
        <w:tab w:val="clear" w:pos="1560"/>
      </w:tabs>
      <w:ind w:left="0" w:firstLine="0"/>
    </w:pPr>
  </w:style>
  <w:style w:type="paragraph" w:customStyle="1" w:styleId="149">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50">
    <w:name w:val="MM Topic 4"/>
    <w:basedOn w:val="7"/>
    <w:qFormat/>
    <w:uiPriority w:val="0"/>
    <w:pPr>
      <w:tabs>
        <w:tab w:val="left" w:pos="1984"/>
      </w:tabs>
      <w:ind w:left="0" w:firstLine="0"/>
    </w:pPr>
  </w:style>
  <w:style w:type="paragraph" w:customStyle="1" w:styleId="151">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52">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53">
    <w:name w:val="样式 标题 2H2第一章 标题 2Heading 2 HiddenHeading 2 CCBSheading 2h2..."/>
    <w:basedOn w:val="5"/>
    <w:qFormat/>
    <w:uiPriority w:val="0"/>
    <w:pPr>
      <w:tabs>
        <w:tab w:val="left" w:pos="-2493"/>
      </w:tabs>
    </w:pPr>
    <w:rPr>
      <w:rFonts w:cs="Times New Roman"/>
      <w:szCs w:val="20"/>
    </w:rPr>
  </w:style>
  <w:style w:type="paragraph" w:customStyle="1" w:styleId="154">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55">
    <w:name w:val="列出段落2"/>
    <w:basedOn w:val="1"/>
    <w:qFormat/>
    <w:uiPriority w:val="0"/>
    <w:pPr>
      <w:ind w:firstLine="420" w:firstLineChars="200"/>
    </w:pPr>
  </w:style>
  <w:style w:type="paragraph" w:customStyle="1" w:styleId="156">
    <w:name w:val="列出段落4"/>
    <w:basedOn w:val="1"/>
    <w:qFormat/>
    <w:uiPriority w:val="0"/>
    <w:pPr>
      <w:ind w:firstLine="420" w:firstLineChars="200"/>
    </w:pPr>
    <w:rPr>
      <w:rFonts w:ascii="Times New Roman" w:hAnsi="Times New Roman"/>
      <w:szCs w:val="24"/>
    </w:rPr>
  </w:style>
  <w:style w:type="paragraph" w:customStyle="1" w:styleId="157">
    <w:name w:val="列出段落1"/>
    <w:basedOn w:val="1"/>
    <w:qFormat/>
    <w:uiPriority w:val="0"/>
    <w:pPr>
      <w:ind w:firstLine="420" w:firstLineChars="200"/>
    </w:pPr>
  </w:style>
  <w:style w:type="paragraph" w:customStyle="1" w:styleId="158">
    <w:name w:val="彩色列表 - 强调文字颜色 12"/>
    <w:basedOn w:val="1"/>
    <w:qFormat/>
    <w:uiPriority w:val="0"/>
    <w:pPr>
      <w:ind w:firstLine="420" w:firstLineChars="200"/>
    </w:pPr>
  </w:style>
  <w:style w:type="character" w:customStyle="1" w:styleId="159">
    <w:name w:val="Char Char8"/>
    <w:qFormat/>
    <w:uiPriority w:val="0"/>
    <w:rPr>
      <w:rFonts w:hint="eastAsia" w:ascii="宋体" w:hAnsi="宋体" w:eastAsia="宋体"/>
      <w:kern w:val="2"/>
      <w:sz w:val="28"/>
      <w:szCs w:val="28"/>
    </w:rPr>
  </w:style>
  <w:style w:type="character" w:customStyle="1" w:styleId="160">
    <w:name w:val="Char Char5"/>
    <w:qFormat/>
    <w:uiPriority w:val="0"/>
    <w:rPr>
      <w:kern w:val="2"/>
      <w:sz w:val="21"/>
      <w:szCs w:val="24"/>
    </w:rPr>
  </w:style>
  <w:style w:type="character" w:customStyle="1" w:styleId="161">
    <w:name w:val="列出段落 Char Char"/>
    <w:qFormat/>
    <w:uiPriority w:val="0"/>
    <w:rPr>
      <w:rFonts w:hint="default" w:ascii="Calibri" w:hAnsi="Calibri" w:cs="Calibri"/>
      <w:kern w:val="2"/>
      <w:sz w:val="21"/>
      <w:szCs w:val="22"/>
    </w:rPr>
  </w:style>
  <w:style w:type="character" w:customStyle="1" w:styleId="162">
    <w:name w:val="正文文本 Char Char"/>
    <w:qFormat/>
    <w:uiPriority w:val="0"/>
    <w:rPr>
      <w:kern w:val="2"/>
      <w:sz w:val="21"/>
      <w:szCs w:val="24"/>
    </w:rPr>
  </w:style>
  <w:style w:type="character" w:customStyle="1" w:styleId="163">
    <w:name w:val="Char Char11"/>
    <w:qFormat/>
    <w:uiPriority w:val="0"/>
    <w:rPr>
      <w:rFonts w:hint="default" w:ascii="Arial Narrow" w:hAnsi="Arial Narrow"/>
      <w:b/>
      <w:bCs/>
      <w:iCs/>
      <w:szCs w:val="24"/>
      <w:lang w:eastAsia="en-US"/>
    </w:rPr>
  </w:style>
  <w:style w:type="character" w:customStyle="1" w:styleId="164">
    <w:name w:val="标书（正文） Char Char"/>
    <w:qFormat/>
    <w:uiPriority w:val="0"/>
    <w:rPr>
      <w:rFonts w:hint="eastAsia" w:ascii="宋体" w:hAnsi="宋体" w:eastAsia="宋体"/>
      <w:b/>
      <w:kern w:val="10"/>
      <w:sz w:val="21"/>
      <w:szCs w:val="21"/>
      <w:lang w:val="en-US" w:eastAsia="zh-CN" w:bidi="ar-SA"/>
    </w:rPr>
  </w:style>
  <w:style w:type="character" w:customStyle="1" w:styleId="165">
    <w:name w:val="line2"/>
    <w:basedOn w:val="47"/>
    <w:qFormat/>
    <w:uiPriority w:val="0"/>
  </w:style>
  <w:style w:type="character" w:customStyle="1" w:styleId="166">
    <w:name w:val="Char Char10"/>
    <w:qFormat/>
    <w:uiPriority w:val="0"/>
    <w:rPr>
      <w:kern w:val="2"/>
      <w:sz w:val="24"/>
      <w:szCs w:val="24"/>
    </w:rPr>
  </w:style>
  <w:style w:type="character" w:customStyle="1" w:styleId="167">
    <w:name w:val="MM Topic 4 Char Char"/>
    <w:qFormat/>
    <w:uiPriority w:val="0"/>
    <w:rPr>
      <w:rFonts w:hint="default" w:ascii="Arial" w:hAnsi="Arial" w:cs="Arial"/>
      <w:b/>
      <w:bCs/>
      <w:kern w:val="2"/>
      <w:sz w:val="28"/>
      <w:szCs w:val="28"/>
    </w:rPr>
  </w:style>
  <w:style w:type="character" w:customStyle="1" w:styleId="168">
    <w:name w:val="标书正文:  0.74 厘米 Char Char"/>
    <w:qFormat/>
    <w:uiPriority w:val="0"/>
    <w:rPr>
      <w:kern w:val="2"/>
      <w:sz w:val="24"/>
    </w:rPr>
  </w:style>
  <w:style w:type="character" w:customStyle="1" w:styleId="169">
    <w:name w:val="访问过的超链接1"/>
    <w:qFormat/>
    <w:uiPriority w:val="99"/>
    <w:rPr>
      <w:color w:val="800080"/>
      <w:u w:val="single"/>
    </w:rPr>
  </w:style>
  <w:style w:type="character" w:customStyle="1" w:styleId="170">
    <w:name w:val="标题 3 Char Char Char"/>
    <w:qFormat/>
    <w:uiPriority w:val="0"/>
    <w:rPr>
      <w:rFonts w:hint="eastAsia" w:ascii="宋体" w:hAnsi="宋体" w:eastAsia="宋体"/>
      <w:b/>
      <w:kern w:val="2"/>
      <w:sz w:val="32"/>
      <w:lang w:val="en-US" w:eastAsia="zh-CN" w:bidi="ar-SA"/>
    </w:rPr>
  </w:style>
  <w:style w:type="character" w:customStyle="1" w:styleId="171">
    <w:name w:val="（符号）邀请函中一、"/>
    <w:qFormat/>
    <w:uiPriority w:val="0"/>
    <w:rPr>
      <w:rFonts w:hint="eastAsia" w:ascii="黑体" w:hAnsi="黑体" w:eastAsia="黑体"/>
      <w:b/>
      <w:bCs/>
      <w:sz w:val="24"/>
    </w:rPr>
  </w:style>
  <w:style w:type="character" w:customStyle="1" w:styleId="172">
    <w:name w:val="tt Char"/>
    <w:qFormat/>
    <w:uiPriority w:val="0"/>
    <w:rPr>
      <w:rFonts w:hint="default" w:ascii="Arial" w:hAnsi="Arial" w:eastAsia="黑体" w:cs="Arial"/>
      <w:kern w:val="2"/>
      <w:sz w:val="21"/>
      <w:szCs w:val="21"/>
    </w:rPr>
  </w:style>
  <w:style w:type="character" w:customStyle="1" w:styleId="173">
    <w:name w:val="Char Char9"/>
    <w:qFormat/>
    <w:uiPriority w:val="0"/>
    <w:rPr>
      <w:kern w:val="2"/>
      <w:sz w:val="18"/>
      <w:szCs w:val="18"/>
    </w:rPr>
  </w:style>
  <w:style w:type="character" w:customStyle="1" w:styleId="174">
    <w:name w:val="MM Topic 3 Char Char"/>
    <w:qFormat/>
    <w:uiPriority w:val="0"/>
    <w:rPr>
      <w:rFonts w:hint="eastAsia" w:ascii="宋体" w:hAnsi="宋体" w:eastAsia="宋体"/>
      <w:b/>
      <w:bCs/>
      <w:color w:val="000000"/>
      <w:kern w:val="2"/>
      <w:sz w:val="28"/>
      <w:szCs w:val="28"/>
    </w:rPr>
  </w:style>
  <w:style w:type="character" w:customStyle="1" w:styleId="175">
    <w:name w:val="样式 小四2 Char Char"/>
    <w:qFormat/>
    <w:uiPriority w:val="0"/>
    <w:rPr>
      <w:rFonts w:hint="eastAsia" w:ascii="宋体" w:hAnsi="宋体" w:eastAsia="宋体"/>
      <w:kern w:val="2"/>
      <w:sz w:val="24"/>
      <w:szCs w:val="24"/>
    </w:rPr>
  </w:style>
  <w:style w:type="character" w:customStyle="1" w:styleId="176">
    <w:name w:val="Char Char7"/>
    <w:qFormat/>
    <w:uiPriority w:val="0"/>
    <w:rPr>
      <w:kern w:val="2"/>
      <w:sz w:val="18"/>
      <w:szCs w:val="18"/>
    </w:rPr>
  </w:style>
  <w:style w:type="character" w:customStyle="1" w:styleId="177">
    <w:name w:val="Char Char3"/>
    <w:qFormat/>
    <w:uiPriority w:val="0"/>
    <w:rPr>
      <w:b/>
      <w:bCs/>
      <w:kern w:val="2"/>
      <w:sz w:val="18"/>
      <w:szCs w:val="18"/>
    </w:rPr>
  </w:style>
  <w:style w:type="character" w:customStyle="1" w:styleId="178">
    <w:name w:val="apple-style-span"/>
    <w:basedOn w:val="47"/>
    <w:qFormat/>
    <w:uiPriority w:val="0"/>
  </w:style>
  <w:style w:type="character" w:customStyle="1" w:styleId="179">
    <w:name w:val="Char Char4"/>
    <w:qFormat/>
    <w:uiPriority w:val="0"/>
    <w:rPr>
      <w:kern w:val="2"/>
      <w:sz w:val="18"/>
      <w:szCs w:val="18"/>
    </w:rPr>
  </w:style>
  <w:style w:type="character" w:customStyle="1" w:styleId="180">
    <w:name w:val="副标题 Char1"/>
    <w:qFormat/>
    <w:uiPriority w:val="11"/>
    <w:rPr>
      <w:rFonts w:hint="default" w:ascii="Cambria" w:hAnsi="Cambria" w:cs="Times New Roman"/>
      <w:b/>
      <w:bCs/>
      <w:kern w:val="28"/>
      <w:sz w:val="32"/>
      <w:szCs w:val="32"/>
    </w:rPr>
  </w:style>
  <w:style w:type="character" w:customStyle="1" w:styleId="181">
    <w:name w:val="small"/>
    <w:basedOn w:val="47"/>
    <w:qFormat/>
    <w:uiPriority w:val="0"/>
  </w:style>
  <w:style w:type="character" w:customStyle="1" w:styleId="182">
    <w:name w:val="Legal Level 1.1.1. Char"/>
    <w:qFormat/>
    <w:uiPriority w:val="0"/>
    <w:rPr>
      <w:rFonts w:hint="default" w:ascii="Arial" w:hAnsi="Arial" w:eastAsia="黑体" w:cs="Arial"/>
      <w:kern w:val="2"/>
      <w:sz w:val="24"/>
      <w:szCs w:val="24"/>
    </w:rPr>
  </w:style>
  <w:style w:type="character" w:customStyle="1" w:styleId="183">
    <w:name w:val="文章正文 Char Char"/>
    <w:qFormat/>
    <w:uiPriority w:val="0"/>
    <w:rPr>
      <w:rFonts w:hint="eastAsia" w:ascii="宋体" w:hAnsi="宋体" w:eastAsia="宋体"/>
      <w:kern w:val="2"/>
      <w:sz w:val="24"/>
      <w:szCs w:val="24"/>
      <w:lang w:val="en-US" w:eastAsia="zh-CN" w:bidi="ar-SA"/>
    </w:rPr>
  </w:style>
  <w:style w:type="character" w:customStyle="1" w:styleId="184">
    <w:name w:val="正文文本 Char1"/>
    <w:qFormat/>
    <w:uiPriority w:val="0"/>
    <w:rPr>
      <w:rFonts w:hint="default" w:ascii="Times New Roman" w:hAnsi="Times New Roman" w:eastAsia="宋体" w:cs="Times New Roman"/>
      <w:kern w:val="0"/>
      <w:sz w:val="18"/>
      <w:szCs w:val="18"/>
    </w:rPr>
  </w:style>
  <w:style w:type="character" w:customStyle="1" w:styleId="185">
    <w:name w:val="正文文本 字符"/>
    <w:basedOn w:val="47"/>
    <w:link w:val="19"/>
    <w:qFormat/>
    <w:locked/>
    <w:uiPriority w:val="0"/>
    <w:rPr>
      <w:rFonts w:ascii="Times New Roman" w:hAnsi="Times New Roman" w:eastAsia="宋体" w:cs="Times New Roman"/>
      <w:kern w:val="0"/>
      <w:sz w:val="20"/>
      <w:szCs w:val="20"/>
    </w:rPr>
  </w:style>
  <w:style w:type="character" w:customStyle="1" w:styleId="186">
    <w:name w:val="CD正文 Char Char"/>
    <w:qFormat/>
    <w:uiPriority w:val="0"/>
    <w:rPr>
      <w:rFonts w:hint="eastAsia" w:ascii="宋体" w:hAnsi="宋体" w:eastAsia="宋体"/>
      <w:kern w:val="2"/>
      <w:sz w:val="30"/>
      <w:szCs w:val="28"/>
      <w:lang w:val="en-US" w:eastAsia="zh-CN" w:bidi="ar-SA"/>
    </w:rPr>
  </w:style>
  <w:style w:type="character" w:customStyle="1" w:styleId="187">
    <w:name w:val="Char Char2"/>
    <w:qFormat/>
    <w:uiPriority w:val="0"/>
    <w:rPr>
      <w:kern w:val="2"/>
      <w:sz w:val="18"/>
      <w:szCs w:val="18"/>
    </w:rPr>
  </w:style>
  <w:style w:type="character" w:customStyle="1" w:styleId="188">
    <w:name w:val="表正文 Char1"/>
    <w:qFormat/>
    <w:uiPriority w:val="0"/>
    <w:rPr>
      <w:rFonts w:hint="eastAsia" w:ascii="宋体" w:hAnsi="宋体" w:eastAsia="宋体"/>
      <w:kern w:val="2"/>
      <w:sz w:val="21"/>
      <w:lang w:val="en-US" w:eastAsia="zh-CN" w:bidi="ar-SA"/>
    </w:rPr>
  </w:style>
  <w:style w:type="character" w:customStyle="1" w:styleId="189">
    <w:name w:val="纯文本 字符"/>
    <w:link w:val="24"/>
    <w:qFormat/>
    <w:locked/>
    <w:uiPriority w:val="99"/>
    <w:rPr>
      <w:rFonts w:ascii="宋体" w:hAnsi="Courier New" w:eastAsia="宋体" w:cs="Times New Roman"/>
      <w:kern w:val="0"/>
      <w:sz w:val="20"/>
      <w:szCs w:val="18"/>
    </w:rPr>
  </w:style>
  <w:style w:type="character" w:customStyle="1" w:styleId="190">
    <w:name w:val="Char Char Char"/>
    <w:qFormat/>
    <w:uiPriority w:val="0"/>
    <w:rPr>
      <w:rFonts w:hint="eastAsia" w:ascii="宋体" w:hAnsi="宋体" w:eastAsia="宋体"/>
      <w:kern w:val="2"/>
      <w:sz w:val="18"/>
      <w:szCs w:val="18"/>
      <w:lang w:val="en-US" w:eastAsia="zh-CN" w:bidi="ar-SA"/>
    </w:rPr>
  </w:style>
  <w:style w:type="character" w:customStyle="1" w:styleId="191">
    <w:name w:val="Char Char6"/>
    <w:qFormat/>
    <w:uiPriority w:val="0"/>
    <w:rPr>
      <w:kern w:val="2"/>
      <w:sz w:val="21"/>
      <w:szCs w:val="24"/>
    </w:rPr>
  </w:style>
  <w:style w:type="character" w:customStyle="1" w:styleId="192">
    <w:name w:val="正文文本缩进 2 Char1"/>
    <w:basedOn w:val="47"/>
    <w:semiHidden/>
    <w:qFormat/>
    <w:uiPriority w:val="99"/>
    <w:rPr>
      <w:rFonts w:hint="default" w:ascii="Calibri" w:hAnsi="Calibri" w:cs="Calibri"/>
      <w:kern w:val="2"/>
      <w:sz w:val="21"/>
      <w:szCs w:val="22"/>
    </w:rPr>
  </w:style>
  <w:style w:type="character" w:customStyle="1" w:styleId="193">
    <w:name w:val="正文文本缩进 Char1"/>
    <w:basedOn w:val="47"/>
    <w:semiHidden/>
    <w:qFormat/>
    <w:uiPriority w:val="99"/>
    <w:rPr>
      <w:rFonts w:hint="default" w:ascii="Calibri" w:hAnsi="Calibri" w:cs="Calibri"/>
      <w:kern w:val="2"/>
      <w:sz w:val="21"/>
      <w:szCs w:val="22"/>
    </w:rPr>
  </w:style>
  <w:style w:type="character" w:customStyle="1" w:styleId="194">
    <w:name w:val="页脚 Char1"/>
    <w:basedOn w:val="47"/>
    <w:semiHidden/>
    <w:qFormat/>
    <w:uiPriority w:val="99"/>
    <w:rPr>
      <w:rFonts w:hint="default" w:ascii="Calibri" w:hAnsi="Calibri" w:cs="Calibri"/>
      <w:kern w:val="2"/>
      <w:sz w:val="18"/>
      <w:szCs w:val="18"/>
    </w:rPr>
  </w:style>
  <w:style w:type="character" w:customStyle="1" w:styleId="195">
    <w:name w:val="正文文本 3 Char1"/>
    <w:basedOn w:val="47"/>
    <w:semiHidden/>
    <w:qFormat/>
    <w:uiPriority w:val="99"/>
    <w:rPr>
      <w:rFonts w:hint="default" w:ascii="Calibri" w:hAnsi="Calibri" w:cs="Calibri"/>
      <w:kern w:val="2"/>
      <w:sz w:val="16"/>
      <w:szCs w:val="16"/>
    </w:rPr>
  </w:style>
  <w:style w:type="character" w:customStyle="1" w:styleId="196">
    <w:name w:val="正文文本缩进 3 Char1"/>
    <w:basedOn w:val="47"/>
    <w:semiHidden/>
    <w:qFormat/>
    <w:uiPriority w:val="99"/>
    <w:rPr>
      <w:rFonts w:hint="default" w:ascii="Calibri" w:hAnsi="Calibri" w:cs="Calibri"/>
      <w:kern w:val="2"/>
      <w:sz w:val="16"/>
      <w:szCs w:val="16"/>
    </w:rPr>
  </w:style>
  <w:style w:type="character" w:customStyle="1" w:styleId="197">
    <w:name w:val="批注框文本 Char1"/>
    <w:basedOn w:val="47"/>
    <w:semiHidden/>
    <w:qFormat/>
    <w:uiPriority w:val="99"/>
    <w:rPr>
      <w:rFonts w:hint="default" w:ascii="Calibri" w:hAnsi="Calibri" w:cs="Calibri"/>
      <w:kern w:val="2"/>
      <w:sz w:val="18"/>
      <w:szCs w:val="18"/>
    </w:rPr>
  </w:style>
  <w:style w:type="character" w:customStyle="1" w:styleId="198">
    <w:name w:val="批注文字 字符"/>
    <w:basedOn w:val="47"/>
    <w:link w:val="17"/>
    <w:qFormat/>
    <w:locked/>
    <w:uiPriority w:val="99"/>
    <w:rPr>
      <w:rFonts w:ascii="Calibri" w:hAnsi="Calibri" w:eastAsia="宋体" w:cs="Times New Roman"/>
    </w:rPr>
  </w:style>
  <w:style w:type="character" w:customStyle="1" w:styleId="199">
    <w:name w:val="文档结构图 Char1"/>
    <w:basedOn w:val="47"/>
    <w:semiHidden/>
    <w:qFormat/>
    <w:uiPriority w:val="99"/>
    <w:rPr>
      <w:rFonts w:hint="eastAsia" w:ascii="宋体" w:hAnsi="Calibri" w:eastAsia="宋体"/>
      <w:kern w:val="2"/>
      <w:sz w:val="18"/>
      <w:szCs w:val="18"/>
    </w:rPr>
  </w:style>
  <w:style w:type="character" w:customStyle="1" w:styleId="200">
    <w:name w:val="页眉 Char1"/>
    <w:basedOn w:val="47"/>
    <w:semiHidden/>
    <w:qFormat/>
    <w:uiPriority w:val="99"/>
    <w:rPr>
      <w:rFonts w:hint="default" w:ascii="Calibri" w:hAnsi="Calibri" w:cs="Calibri"/>
      <w:kern w:val="2"/>
      <w:sz w:val="18"/>
      <w:szCs w:val="18"/>
    </w:rPr>
  </w:style>
  <w:style w:type="character" w:customStyle="1" w:styleId="201">
    <w:name w:val="日期 Char1"/>
    <w:basedOn w:val="47"/>
    <w:semiHidden/>
    <w:qFormat/>
    <w:uiPriority w:val="99"/>
    <w:rPr>
      <w:rFonts w:hint="default" w:ascii="Calibri" w:hAnsi="Calibri" w:cs="Calibri"/>
      <w:kern w:val="2"/>
      <w:sz w:val="21"/>
      <w:szCs w:val="22"/>
    </w:rPr>
  </w:style>
  <w:style w:type="character" w:customStyle="1" w:styleId="202">
    <w:name w:val="正文文本 Char3"/>
    <w:basedOn w:val="47"/>
    <w:semiHidden/>
    <w:qFormat/>
    <w:uiPriority w:val="99"/>
    <w:rPr>
      <w:rFonts w:hint="default" w:ascii="Calibri" w:hAnsi="Calibri" w:cs="Calibri"/>
      <w:kern w:val="2"/>
      <w:sz w:val="21"/>
      <w:szCs w:val="22"/>
    </w:rPr>
  </w:style>
  <w:style w:type="character" w:customStyle="1" w:styleId="203">
    <w:name w:val="纯文本 Char2"/>
    <w:basedOn w:val="47"/>
    <w:semiHidden/>
    <w:qFormat/>
    <w:uiPriority w:val="99"/>
    <w:rPr>
      <w:rFonts w:hint="eastAsia" w:ascii="宋体" w:hAnsi="Courier New" w:eastAsia="宋体" w:cs="Courier New"/>
      <w:kern w:val="2"/>
      <w:sz w:val="21"/>
      <w:szCs w:val="21"/>
    </w:rPr>
  </w:style>
  <w:style w:type="character" w:customStyle="1" w:styleId="204">
    <w:name w:val="正文首行缩进 Char1"/>
    <w:basedOn w:val="202"/>
    <w:semiHidden/>
    <w:qFormat/>
    <w:uiPriority w:val="99"/>
    <w:rPr>
      <w:rFonts w:hint="default" w:ascii="Calibri" w:hAnsi="Calibri" w:cs="Calibri"/>
      <w:kern w:val="2"/>
      <w:sz w:val="21"/>
      <w:szCs w:val="22"/>
    </w:rPr>
  </w:style>
  <w:style w:type="character" w:customStyle="1" w:styleId="205">
    <w:name w:val="正文文本 2 Char1"/>
    <w:basedOn w:val="47"/>
    <w:semiHidden/>
    <w:qFormat/>
    <w:uiPriority w:val="99"/>
    <w:rPr>
      <w:rFonts w:hint="default" w:ascii="Calibri" w:hAnsi="Calibri" w:cs="Calibri"/>
      <w:kern w:val="2"/>
      <w:sz w:val="21"/>
      <w:szCs w:val="22"/>
    </w:rPr>
  </w:style>
  <w:style w:type="character" w:customStyle="1" w:styleId="206">
    <w:name w:val="副标题 Char2"/>
    <w:basedOn w:val="47"/>
    <w:qFormat/>
    <w:uiPriority w:val="11"/>
    <w:rPr>
      <w:rFonts w:hint="default" w:asciiTheme="majorHAnsi" w:hAnsiTheme="majorHAnsi" w:cstheme="majorBidi"/>
      <w:b/>
      <w:bCs/>
      <w:kern w:val="28"/>
      <w:sz w:val="32"/>
      <w:szCs w:val="32"/>
    </w:rPr>
  </w:style>
  <w:style w:type="character" w:customStyle="1" w:styleId="207">
    <w:name w:val="正文缩进 Char"/>
    <w:qFormat/>
    <w:uiPriority w:val="0"/>
    <w:rPr>
      <w:kern w:val="2"/>
      <w:sz w:val="21"/>
    </w:rPr>
  </w:style>
  <w:style w:type="paragraph" w:customStyle="1" w:styleId="208">
    <w:name w:val="CD正文"/>
    <w:basedOn w:val="119"/>
    <w:qFormat/>
    <w:uiPriority w:val="0"/>
  </w:style>
  <w:style w:type="paragraph" w:customStyle="1" w:styleId="209">
    <w:name w:val="项目符号：一级"/>
    <w:basedOn w:val="128"/>
    <w:next w:val="128"/>
    <w:qFormat/>
    <w:uiPriority w:val="0"/>
  </w:style>
  <w:style w:type="paragraph" w:customStyle="1" w:styleId="210">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211">
    <w:name w:val="HTML 预设格式 字符"/>
    <w:basedOn w:val="47"/>
    <w:link w:val="40"/>
    <w:qFormat/>
    <w:uiPriority w:val="0"/>
    <w:rPr>
      <w:rFonts w:ascii="Arial" w:hAnsi="Arial" w:eastAsia="宋体" w:cs="Arial"/>
      <w:kern w:val="0"/>
      <w:sz w:val="24"/>
      <w:szCs w:val="28"/>
    </w:rPr>
  </w:style>
  <w:style w:type="paragraph" w:customStyle="1" w:styleId="212">
    <w:name w:val="修订111"/>
    <w:semiHidden/>
    <w:qFormat/>
    <w:uiPriority w:val="99"/>
    <w:pPr>
      <w:spacing w:after="200" w:line="276" w:lineRule="auto"/>
    </w:pPr>
    <w:rPr>
      <w:rFonts w:ascii="Calibri" w:hAnsi="Calibri" w:eastAsia="宋体" w:cs="Times New Roman"/>
      <w:kern w:val="2"/>
      <w:sz w:val="21"/>
      <w:szCs w:val="22"/>
      <w:lang w:val="en-US" w:eastAsia="zh-CN" w:bidi="ar-SA"/>
    </w:rPr>
  </w:style>
  <w:style w:type="paragraph" w:customStyle="1" w:styleId="213">
    <w:name w:val="1 Char2"/>
    <w:basedOn w:val="1"/>
    <w:semiHidden/>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214">
    <w:name w:val="Normal_59"/>
    <w:qFormat/>
    <w:uiPriority w:val="0"/>
    <w:pPr>
      <w:spacing w:before="120" w:after="240" w:line="276" w:lineRule="auto"/>
      <w:jc w:val="both"/>
    </w:pPr>
    <w:rPr>
      <w:rFonts w:ascii="Times New Roman" w:hAnsi="Times New Roman" w:eastAsia="Calibri" w:cs="Times New Roman"/>
      <w:sz w:val="22"/>
      <w:szCs w:val="22"/>
      <w:lang w:val="ru-RU" w:eastAsia="en-US" w:bidi="ar-SA"/>
    </w:rPr>
  </w:style>
  <w:style w:type="paragraph" w:customStyle="1" w:styleId="215">
    <w:name w:val="Char1 Char Char Char Char Char Char_0"/>
    <w:basedOn w:val="1"/>
    <w:qFormat/>
    <w:uiPriority w:val="0"/>
    <w:rPr>
      <w:rFonts w:ascii="Tahoma" w:hAnsi="Tahoma"/>
      <w:sz w:val="24"/>
      <w:szCs w:val="20"/>
    </w:rPr>
  </w:style>
  <w:style w:type="paragraph" w:customStyle="1" w:styleId="216">
    <w:name w:val="列出段落11"/>
    <w:basedOn w:val="1"/>
    <w:qFormat/>
    <w:uiPriority w:val="99"/>
    <w:pPr>
      <w:ind w:firstLine="420" w:firstLineChars="200"/>
    </w:pPr>
    <w:rPr>
      <w:rFonts w:ascii="Times New Roman" w:hAnsi="Times New Roman"/>
    </w:rPr>
  </w:style>
  <w:style w:type="paragraph" w:customStyle="1" w:styleId="217">
    <w:name w:val="样式 标题 2 + Times New Roman 四号 非加粗 段前: 5 磅 段后: 0 磅 行距: 固定值 20..."/>
    <w:basedOn w:val="5"/>
    <w:semiHidden/>
    <w:qFormat/>
    <w:uiPriority w:val="0"/>
    <w:pPr>
      <w:numPr>
        <w:ilvl w:val="0"/>
        <w:numId w:val="0"/>
      </w:numPr>
      <w:spacing w:before="100" w:line="400" w:lineRule="exact"/>
      <w:jc w:val="both"/>
    </w:pPr>
    <w:rPr>
      <w:rFonts w:ascii="Times New Roman" w:hAnsi="Times New Roman" w:eastAsia="黑体"/>
      <w:b w:val="0"/>
      <w:szCs w:val="32"/>
    </w:rPr>
  </w:style>
  <w:style w:type="paragraph" w:customStyle="1" w:styleId="218">
    <w:name w:val="列出段落111"/>
    <w:basedOn w:val="1"/>
    <w:semiHidden/>
    <w:qFormat/>
    <w:uiPriority w:val="99"/>
    <w:pPr>
      <w:ind w:firstLine="420" w:firstLineChars="200"/>
    </w:pPr>
    <w:rPr>
      <w:rFonts w:ascii="Times New Roman" w:hAnsi="Times New Roman"/>
    </w:rPr>
  </w:style>
  <w:style w:type="character" w:customStyle="1" w:styleId="219">
    <w:name w:val="正文文本 Char2"/>
    <w:basedOn w:val="47"/>
    <w:qFormat/>
    <w:locked/>
    <w:uiPriority w:val="99"/>
    <w:rPr>
      <w:rFonts w:hint="default" w:ascii="Times New Roman" w:hAnsi="Times New Roman" w:eastAsia="宋体" w:cs="Times New Roman"/>
      <w:kern w:val="0"/>
      <w:sz w:val="20"/>
      <w:szCs w:val="20"/>
    </w:rPr>
  </w:style>
  <w:style w:type="character" w:customStyle="1" w:styleId="220">
    <w:name w:val="p121"/>
    <w:qFormat/>
    <w:uiPriority w:val="0"/>
    <w:rPr>
      <w:sz w:val="24"/>
    </w:rPr>
  </w:style>
  <w:style w:type="character" w:customStyle="1" w:styleId="221">
    <w:name w:val="列出段落 Char1"/>
    <w:qFormat/>
    <w:locked/>
    <w:uiPriority w:val="0"/>
    <w:rPr>
      <w:rFonts w:hint="default" w:ascii="Calibri" w:hAnsi="Calibri" w:cs="Calibri"/>
    </w:rPr>
  </w:style>
  <w:style w:type="paragraph" w:customStyle="1" w:styleId="222">
    <w:name w:val="修订11"/>
    <w:qFormat/>
    <w:uiPriority w:val="99"/>
    <w:pPr>
      <w:spacing w:after="200" w:line="276" w:lineRule="auto"/>
    </w:pPr>
    <w:rPr>
      <w:rFonts w:ascii="Calibri" w:hAnsi="Calibri" w:eastAsia="宋体" w:cs="Times New Roman"/>
      <w:kern w:val="2"/>
      <w:sz w:val="21"/>
      <w:szCs w:val="22"/>
      <w:lang w:val="en-US" w:eastAsia="zh-CN" w:bidi="ar-SA"/>
    </w:rPr>
  </w:style>
  <w:style w:type="paragraph" w:customStyle="1" w:styleId="223">
    <w:name w:val="列表段落1"/>
    <w:basedOn w:val="1"/>
    <w:qFormat/>
    <w:uiPriority w:val="99"/>
    <w:pPr>
      <w:ind w:firstLine="420" w:firstLineChars="200"/>
    </w:pPr>
    <w:rPr>
      <w:rFonts w:ascii="宋体" w:hAnsi="宋体" w:cs="宋体"/>
      <w:sz w:val="28"/>
      <w:szCs w:val="28"/>
    </w:rPr>
  </w:style>
  <w:style w:type="character" w:customStyle="1" w:styleId="224">
    <w:name w:val="NormalCharacter"/>
    <w:qFormat/>
    <w:uiPriority w:val="0"/>
  </w:style>
  <w:style w:type="paragraph" w:customStyle="1" w:styleId="225">
    <w:name w:val="BodyText"/>
    <w:basedOn w:val="1"/>
    <w:qFormat/>
    <w:uiPriority w:val="0"/>
    <w:pPr>
      <w:widowControl/>
      <w:spacing w:after="120"/>
      <w:ind w:firstLine="560" w:firstLineChars="200"/>
      <w:textAlignment w:val="baseline"/>
    </w:pPr>
    <w:rPr>
      <w:rFonts w:ascii="宋体" w:hAnsi="宋体" w:cstheme="minorBidi"/>
      <w:sz w:val="28"/>
      <w:szCs w:val="28"/>
    </w:rPr>
  </w:style>
  <w:style w:type="character" w:customStyle="1" w:styleId="226">
    <w:name w:val="AnnotationReference"/>
    <w:qFormat/>
    <w:uiPriority w:val="0"/>
    <w:rPr>
      <w:sz w:val="21"/>
      <w:szCs w:val="21"/>
    </w:rPr>
  </w:style>
  <w:style w:type="paragraph" w:customStyle="1" w:styleId="227">
    <w:name w:val="179"/>
    <w:basedOn w:val="1"/>
    <w:qFormat/>
    <w:uiPriority w:val="0"/>
    <w:pPr>
      <w:widowControl/>
      <w:ind w:firstLine="420" w:firstLineChars="200"/>
      <w:textAlignment w:val="baseline"/>
    </w:pPr>
    <w:rPr>
      <w:rFonts w:ascii="宋体" w:hAnsi="宋体" w:cstheme="minorBidi"/>
      <w:sz w:val="28"/>
      <w:szCs w:val="28"/>
    </w:rPr>
  </w:style>
  <w:style w:type="paragraph" w:customStyle="1" w:styleId="228">
    <w:name w:val="Heading3"/>
    <w:basedOn w:val="1"/>
    <w:next w:val="1"/>
    <w:link w:val="229"/>
    <w:qFormat/>
    <w:uiPriority w:val="0"/>
    <w:pPr>
      <w:widowControl/>
      <w:spacing w:before="100" w:beforeAutospacing="1" w:after="100" w:afterAutospacing="1"/>
      <w:ind w:firstLine="560" w:firstLineChars="200"/>
      <w:jc w:val="left"/>
      <w:textAlignment w:val="baseline"/>
    </w:pPr>
    <w:rPr>
      <w:rFonts w:ascii="宋体" w:hAnsi="宋体" w:cs="宋体"/>
      <w:b/>
      <w:bCs/>
      <w:kern w:val="0"/>
      <w:sz w:val="27"/>
      <w:szCs w:val="27"/>
    </w:rPr>
  </w:style>
  <w:style w:type="character" w:customStyle="1" w:styleId="229">
    <w:name w:val="UserStyle_4"/>
    <w:link w:val="228"/>
    <w:qFormat/>
    <w:uiPriority w:val="0"/>
    <w:rPr>
      <w:rFonts w:ascii="宋体" w:hAnsi="宋体" w:eastAsia="宋体" w:cs="宋体"/>
      <w:b/>
      <w:bCs/>
      <w:kern w:val="0"/>
      <w:sz w:val="27"/>
      <w:szCs w:val="27"/>
    </w:rPr>
  </w:style>
  <w:style w:type="character" w:customStyle="1" w:styleId="230">
    <w:name w:val="样式 Char Char"/>
    <w:link w:val="123"/>
    <w:qFormat/>
    <w:locked/>
    <w:uiPriority w:val="0"/>
    <w:rPr>
      <w:rFonts w:ascii="宋体" w:hAnsi="宋体" w:eastAsia="宋体" w:cs="宋体"/>
      <w:kern w:val="0"/>
      <w:sz w:val="24"/>
      <w:szCs w:val="24"/>
    </w:rPr>
  </w:style>
  <w:style w:type="paragraph" w:customStyle="1" w:styleId="231">
    <w:name w:val="_Style 48"/>
    <w:basedOn w:val="1"/>
    <w:qFormat/>
    <w:uiPriority w:val="0"/>
    <w:pPr>
      <w:ind w:firstLine="420" w:firstLineChars="200"/>
    </w:pPr>
    <w:rPr>
      <w:rFonts w:ascii="宋体" w:hAnsi="宋体" w:cs="宋体"/>
      <w:sz w:val="28"/>
      <w:szCs w:val="28"/>
    </w:rPr>
  </w:style>
  <w:style w:type="character" w:customStyle="1" w:styleId="232">
    <w:name w:val="font61"/>
    <w:basedOn w:val="47"/>
    <w:qFormat/>
    <w:uiPriority w:val="0"/>
    <w:rPr>
      <w:rFonts w:hint="eastAsia" w:ascii="宋体" w:hAnsi="宋体" w:eastAsia="宋体" w:cs="宋体"/>
      <w:color w:val="000000"/>
      <w:sz w:val="18"/>
      <w:szCs w:val="18"/>
      <w:u w:val="none"/>
    </w:rPr>
  </w:style>
  <w:style w:type="character" w:customStyle="1" w:styleId="233">
    <w:name w:val="font91"/>
    <w:basedOn w:val="47"/>
    <w:qFormat/>
    <w:uiPriority w:val="0"/>
    <w:rPr>
      <w:rFonts w:hint="eastAsia" w:ascii="宋体" w:hAnsi="宋体" w:eastAsia="宋体" w:cs="宋体"/>
      <w:color w:val="000000"/>
      <w:sz w:val="18"/>
      <w:szCs w:val="18"/>
      <w:u w:val="none"/>
    </w:rPr>
  </w:style>
  <w:style w:type="character" w:customStyle="1" w:styleId="234">
    <w:name w:val="font41"/>
    <w:basedOn w:val="47"/>
    <w:qFormat/>
    <w:uiPriority w:val="0"/>
    <w:rPr>
      <w:rFonts w:hint="eastAsia" w:ascii="宋体" w:hAnsi="宋体" w:eastAsia="宋体" w:cs="宋体"/>
      <w:color w:val="000000"/>
      <w:sz w:val="21"/>
      <w:szCs w:val="21"/>
      <w:u w:val="none"/>
    </w:rPr>
  </w:style>
  <w:style w:type="character" w:customStyle="1" w:styleId="235">
    <w:name w:val="font31"/>
    <w:basedOn w:val="47"/>
    <w:qFormat/>
    <w:uiPriority w:val="0"/>
    <w:rPr>
      <w:rFonts w:hint="eastAsia" w:ascii="宋体" w:hAnsi="宋体" w:eastAsia="宋体" w:cs="宋体"/>
      <w:b/>
      <w:color w:val="000000"/>
      <w:sz w:val="18"/>
      <w:szCs w:val="18"/>
      <w:u w:val="none"/>
    </w:rPr>
  </w:style>
  <w:style w:type="character" w:customStyle="1" w:styleId="236">
    <w:name w:val="font101"/>
    <w:basedOn w:val="47"/>
    <w:qFormat/>
    <w:uiPriority w:val="0"/>
    <w:rPr>
      <w:rFonts w:hint="eastAsia" w:ascii="宋体" w:hAnsi="宋体" w:eastAsia="宋体" w:cs="宋体"/>
      <w:color w:val="FF0000"/>
      <w:sz w:val="18"/>
      <w:szCs w:val="18"/>
      <w:u w:val="none"/>
    </w:rPr>
  </w:style>
  <w:style w:type="character" w:customStyle="1" w:styleId="237">
    <w:name w:val="font51"/>
    <w:basedOn w:val="47"/>
    <w:qFormat/>
    <w:uiPriority w:val="0"/>
    <w:rPr>
      <w:rFonts w:ascii="Calibri" w:hAnsi="Calibri" w:cs="Calibri"/>
      <w:color w:val="000000"/>
      <w:sz w:val="21"/>
      <w:szCs w:val="21"/>
      <w:u w:val="none"/>
    </w:rPr>
  </w:style>
  <w:style w:type="paragraph" w:customStyle="1" w:styleId="238">
    <w:name w:val="Table Paragraph"/>
    <w:basedOn w:val="1"/>
    <w:qFormat/>
    <w:uiPriority w:val="1"/>
    <w:pPr>
      <w:ind w:firstLine="560" w:firstLineChars="200"/>
    </w:pPr>
    <w:rPr>
      <w:rFonts w:ascii="宋体" w:hAnsi="宋体" w:cs="宋体"/>
      <w:sz w:val="28"/>
      <w:szCs w:val="28"/>
      <w:lang w:val="zh-CN" w:bidi="zh-CN"/>
    </w:rPr>
  </w:style>
  <w:style w:type="paragraph" w:customStyle="1" w:styleId="239">
    <w:name w:val="01、普通正文"/>
    <w:basedOn w:val="1"/>
    <w:qFormat/>
    <w:uiPriority w:val="0"/>
    <w:pPr>
      <w:tabs>
        <w:tab w:val="left" w:pos="0"/>
      </w:tabs>
      <w:wordWrap w:val="0"/>
      <w:topLinePunct/>
      <w:spacing w:line="440" w:lineRule="exact"/>
      <w:ind w:firstLine="723" w:firstLineChars="200"/>
    </w:pPr>
    <w:rPr>
      <w:rFonts w:ascii="宋体" w:hAnsi="宋体"/>
      <w:snapToGrid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emf"/><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emf"/><Relationship Id="rId22" Type="http://schemas.openxmlformats.org/officeDocument/2006/relationships/image" Target="media/image17.emf"/><Relationship Id="rId21" Type="http://schemas.openxmlformats.org/officeDocument/2006/relationships/image" Target="media/image16.emf"/><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124</Pages>
  <Words>6989</Words>
  <Characters>39840</Characters>
  <Lines>332</Lines>
  <Paragraphs>93</Paragraphs>
  <TotalTime>9</TotalTime>
  <ScaleCrop>false</ScaleCrop>
  <LinksUpToDate>false</LinksUpToDate>
  <CharactersWithSpaces>46736</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2021-09-07T09:29:00Z</dcterms:created>
  <dc:creator>罗川</dc:creator>
  <cp:lastModifiedBy>Lenovo</cp:lastModifiedBy>
  <cp:lastPrinted>2021-09-01T07:52:00Z</cp:lastPrinted>
  <dcterms:modified xsi:type="dcterms:W3CDTF">2021-09-18T06:10:10Z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FACFE8FFB1384C5F95A4E7442893C525</vt:lpwstr>
  </property>
</Properties>
</file>