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华文中宋" w:hAnsi="华文中宋" w:eastAsia="华文中宋"/>
          <w:spacing w:val="20"/>
          <w:sz w:val="28"/>
          <w:szCs w:val="28"/>
        </w:rPr>
      </w:pPr>
    </w:p>
    <w:p>
      <w:pPr>
        <w:pStyle w:val="2"/>
        <w:spacing w:line="360" w:lineRule="auto"/>
        <w:rPr>
          <w:rFonts w:ascii="华文中宋" w:hAnsi="华文中宋" w:eastAsia="华文中宋"/>
        </w:rPr>
      </w:pPr>
    </w:p>
    <w:p>
      <w:pPr>
        <w:spacing w:line="360" w:lineRule="auto"/>
        <w:jc w:val="center"/>
        <w:rPr>
          <w:rFonts w:ascii="华文中宋" w:hAnsi="华文中宋" w:eastAsia="华文中宋"/>
          <w:spacing w:val="-20"/>
          <w:sz w:val="96"/>
          <w:szCs w:val="96"/>
        </w:rPr>
      </w:pPr>
      <w:r>
        <w:rPr>
          <w:rFonts w:hint="eastAsia" w:ascii="华文中宋" w:hAnsi="华文中宋" w:eastAsia="华文中宋"/>
          <w:spacing w:val="-20"/>
          <w:sz w:val="96"/>
          <w:szCs w:val="96"/>
        </w:rPr>
        <w:t>竞争性磋商文件</w:t>
      </w:r>
    </w:p>
    <w:p>
      <w:pPr>
        <w:spacing w:line="360" w:lineRule="auto"/>
        <w:ind w:left="2235" w:leftChars="223" w:hanging="1700" w:hangingChars="500"/>
        <w:rPr>
          <w:rFonts w:ascii="华文中宋" w:hAnsi="华文中宋" w:eastAsia="华文中宋"/>
          <w:spacing w:val="20"/>
          <w:sz w:val="30"/>
          <w:szCs w:val="30"/>
        </w:rPr>
      </w:pPr>
    </w:p>
    <w:p>
      <w:pPr>
        <w:spacing w:line="360" w:lineRule="auto"/>
        <w:ind w:left="2223" w:leftChars="237" w:hanging="1654" w:hangingChars="517"/>
        <w:rPr>
          <w:rFonts w:ascii="华文中宋" w:hAnsi="华文中宋" w:eastAsia="华文中宋"/>
          <w:sz w:val="32"/>
          <w:szCs w:val="32"/>
        </w:rPr>
      </w:pPr>
      <w:r>
        <w:rPr>
          <w:rFonts w:hint="eastAsia" w:ascii="华文中宋" w:hAnsi="华文中宋" w:eastAsia="华文中宋"/>
          <w:sz w:val="32"/>
          <w:szCs w:val="32"/>
        </w:rPr>
        <w:t>项目名称：成都市中和中学2021年提升修缮工程采购项目</w:t>
      </w:r>
    </w:p>
    <w:p>
      <w:pPr>
        <w:spacing w:line="360" w:lineRule="auto"/>
        <w:ind w:left="2223" w:leftChars="237" w:hanging="1654" w:hangingChars="517"/>
        <w:rPr>
          <w:rFonts w:ascii="华文中宋" w:hAnsi="华文中宋" w:eastAsia="华文中宋"/>
          <w:color w:val="auto"/>
          <w:sz w:val="32"/>
          <w:szCs w:val="32"/>
        </w:rPr>
      </w:pPr>
      <w:r>
        <w:rPr>
          <w:rFonts w:hint="eastAsia" w:ascii="华文中宋" w:hAnsi="华文中宋" w:eastAsia="华文中宋"/>
          <w:sz w:val="32"/>
          <w:szCs w:val="32"/>
        </w:rPr>
        <w:t xml:space="preserve">项目编号: </w:t>
      </w:r>
      <w:r>
        <w:rPr>
          <w:rFonts w:hint="eastAsia" w:ascii="华文中宋" w:hAnsi="华文中宋" w:eastAsia="华文中宋"/>
          <w:spacing w:val="-11"/>
          <w:sz w:val="32"/>
          <w:szCs w:val="32"/>
        </w:rPr>
        <w:t>成都高新技术产业开发区</w:t>
      </w:r>
      <w:r>
        <w:rPr>
          <w:rFonts w:hint="eastAsia" w:ascii="华文中宋" w:hAnsi="华文中宋" w:eastAsia="华文中宋"/>
          <w:color w:val="auto"/>
          <w:spacing w:val="-11"/>
          <w:sz w:val="32"/>
          <w:szCs w:val="32"/>
        </w:rPr>
        <w:t>政采</w:t>
      </w:r>
      <w:r>
        <w:rPr>
          <w:rFonts w:hint="eastAsia" w:ascii="华文中宋" w:hAnsi="华文中宋" w:eastAsia="华文中宋"/>
          <w:color w:val="auto"/>
          <w:spacing w:val="-11"/>
          <w:sz w:val="32"/>
          <w:szCs w:val="32"/>
          <w:lang w:eastAsia="zh-CN"/>
        </w:rPr>
        <w:t>（2021）A0054</w:t>
      </w:r>
      <w:r>
        <w:rPr>
          <w:rFonts w:hint="eastAsia" w:ascii="华文中宋" w:hAnsi="华文中宋" w:eastAsia="华文中宋"/>
          <w:color w:val="auto"/>
          <w:spacing w:val="-11"/>
          <w:sz w:val="32"/>
          <w:szCs w:val="32"/>
        </w:rPr>
        <w:t>号</w:t>
      </w:r>
    </w:p>
    <w:p>
      <w:pPr>
        <w:tabs>
          <w:tab w:val="left" w:pos="2552"/>
        </w:tabs>
        <w:spacing w:line="360" w:lineRule="auto"/>
        <w:ind w:firstLine="2392" w:firstLineChars="443"/>
        <w:rPr>
          <w:rFonts w:ascii="华文中宋" w:hAnsi="华文中宋" w:eastAsia="华文中宋"/>
          <w:spacing w:val="110"/>
          <w:sz w:val="32"/>
          <w:szCs w:val="32"/>
        </w:rPr>
      </w:pPr>
    </w:p>
    <w:p>
      <w:pPr>
        <w:spacing w:line="360" w:lineRule="auto"/>
        <w:jc w:val="center"/>
        <w:rPr>
          <w:rFonts w:ascii="华文中宋" w:hAnsi="华文中宋" w:eastAsia="华文中宋"/>
          <w:kern w:val="24"/>
          <w:sz w:val="32"/>
          <w:szCs w:val="32"/>
        </w:rPr>
      </w:pPr>
    </w:p>
    <w:p>
      <w:pPr>
        <w:spacing w:line="360" w:lineRule="auto"/>
        <w:jc w:val="center"/>
        <w:rPr>
          <w:rFonts w:ascii="华文中宋" w:hAnsi="华文中宋" w:eastAsia="华文中宋"/>
          <w:kern w:val="24"/>
          <w:sz w:val="32"/>
          <w:szCs w:val="32"/>
        </w:rPr>
      </w:pPr>
    </w:p>
    <w:p>
      <w:pPr>
        <w:spacing w:line="360" w:lineRule="auto"/>
        <w:jc w:val="center"/>
        <w:rPr>
          <w:rFonts w:ascii="华文中宋" w:hAnsi="华文中宋" w:eastAsia="华文中宋"/>
          <w:kern w:val="24"/>
          <w:sz w:val="32"/>
          <w:szCs w:val="32"/>
        </w:rPr>
      </w:pPr>
    </w:p>
    <w:p>
      <w:pPr>
        <w:spacing w:line="360" w:lineRule="auto"/>
        <w:jc w:val="center"/>
        <w:rPr>
          <w:rFonts w:ascii="华文中宋" w:hAnsi="华文中宋" w:eastAsia="华文中宋"/>
          <w:kern w:val="24"/>
          <w:sz w:val="32"/>
          <w:szCs w:val="32"/>
        </w:rPr>
      </w:pPr>
    </w:p>
    <w:p>
      <w:pPr>
        <w:spacing w:line="360" w:lineRule="auto"/>
        <w:jc w:val="center"/>
        <w:rPr>
          <w:rFonts w:ascii="华文中宋" w:hAnsi="华文中宋" w:eastAsia="华文中宋"/>
          <w:kern w:val="24"/>
          <w:sz w:val="32"/>
          <w:szCs w:val="32"/>
        </w:rPr>
      </w:pP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四川省成都市中和中学</w:t>
      </w: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成都高新区政府采购服务中心</w:t>
      </w: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共同编制</w:t>
      </w:r>
    </w:p>
    <w:p>
      <w:pPr>
        <w:tabs>
          <w:tab w:val="center" w:pos="4153"/>
          <w:tab w:val="right" w:pos="8306"/>
        </w:tabs>
        <w:spacing w:line="360" w:lineRule="auto"/>
        <w:jc w:val="center"/>
        <w:rPr>
          <w:rFonts w:ascii="华文中宋" w:hAnsi="华文中宋" w:eastAsia="华文中宋"/>
          <w:sz w:val="32"/>
          <w:szCs w:val="32"/>
        </w:rPr>
        <w:sectPr>
          <w:headerReference r:id="rId3" w:type="default"/>
          <w:footerReference r:id="rId4" w:type="even"/>
          <w:pgSz w:w="11906" w:h="16838"/>
          <w:pgMar w:top="1758" w:right="1588" w:bottom="1758" w:left="1588" w:header="851" w:footer="992" w:gutter="0"/>
          <w:cols w:space="720" w:num="1"/>
          <w:titlePg/>
          <w:docGrid w:linePitch="312" w:charSpace="0"/>
        </w:sectPr>
      </w:pPr>
      <w:r>
        <w:rPr>
          <w:rFonts w:hint="eastAsia" w:ascii="华文中宋" w:hAnsi="华文中宋" w:eastAsia="华文中宋"/>
          <w:sz w:val="32"/>
          <w:szCs w:val="32"/>
        </w:rPr>
        <w:t>二○二一年十一月</w:t>
      </w:r>
    </w:p>
    <w:p>
      <w:pPr>
        <w:tabs>
          <w:tab w:val="center" w:pos="4153"/>
          <w:tab w:val="right" w:pos="8306"/>
        </w:tabs>
        <w:spacing w:line="360" w:lineRule="auto"/>
        <w:jc w:val="center"/>
        <w:rPr>
          <w:rFonts w:ascii="宋体" w:hAnsi="宋体"/>
          <w:b/>
          <w:bCs/>
          <w:sz w:val="36"/>
          <w:szCs w:val="36"/>
        </w:rPr>
      </w:pPr>
      <w:r>
        <w:rPr>
          <w:rFonts w:hint="eastAsia" w:ascii="宋体" w:hAnsi="宋体"/>
          <w:b/>
          <w:bCs/>
          <w:sz w:val="36"/>
          <w:szCs w:val="36"/>
        </w:rPr>
        <w:t>目 录</w:t>
      </w:r>
    </w:p>
    <w:p>
      <w:pPr>
        <w:pStyle w:val="31"/>
        <w:tabs>
          <w:tab w:val="right" w:leader="dot" w:pos="8730"/>
          <w:tab w:val="clear" w:pos="840"/>
          <w:tab w:val="clear" w:pos="9204"/>
        </w:tabs>
        <w:spacing w:line="360" w:lineRule="exact"/>
      </w:pPr>
      <w:r>
        <w:rPr>
          <w:rFonts w:ascii="宋体" w:hAnsi="宋体"/>
          <w:b w:val="0"/>
          <w:color w:val="FF0000"/>
          <w:sz w:val="36"/>
          <w:szCs w:val="36"/>
        </w:rPr>
        <w:fldChar w:fldCharType="begin"/>
      </w:r>
      <w:r>
        <w:rPr>
          <w:rFonts w:hint="eastAsia" w:ascii="宋体" w:hAnsi="宋体"/>
          <w:color w:val="FF0000"/>
          <w:sz w:val="36"/>
          <w:szCs w:val="36"/>
        </w:rPr>
        <w:instrText xml:space="preserve">TOC \o "1-2" \h \z \u</w:instrText>
      </w:r>
      <w:r>
        <w:rPr>
          <w:rFonts w:ascii="宋体" w:hAnsi="宋体"/>
          <w:b w:val="0"/>
          <w:color w:val="FF0000"/>
          <w:sz w:val="36"/>
          <w:szCs w:val="36"/>
        </w:rPr>
        <w:fldChar w:fldCharType="separate"/>
      </w:r>
      <w:r>
        <w:fldChar w:fldCharType="begin"/>
      </w:r>
      <w:r>
        <w:instrText xml:space="preserve"> HYPERLINK \l "_Toc29370" </w:instrText>
      </w:r>
      <w:r>
        <w:fldChar w:fldCharType="separate"/>
      </w:r>
      <w:r>
        <w:rPr>
          <w:szCs w:val="32"/>
        </w:rPr>
        <w:t xml:space="preserve">第1章 </w:t>
      </w:r>
      <w:r>
        <w:rPr>
          <w:rFonts w:hint="eastAsia"/>
        </w:rPr>
        <w:t>竞争性磋商邀请</w:t>
      </w:r>
      <w:r>
        <w:tab/>
      </w:r>
      <w:r>
        <w:fldChar w:fldCharType="begin"/>
      </w:r>
      <w:r>
        <w:instrText xml:space="preserve"> PAGEREF _Toc29370 \h </w:instrText>
      </w:r>
      <w:r>
        <w:fldChar w:fldCharType="separate"/>
      </w:r>
      <w:r>
        <w:t>1</w:t>
      </w:r>
      <w:r>
        <w:fldChar w:fldCharType="end"/>
      </w:r>
      <w:r>
        <w:fldChar w:fldCharType="end"/>
      </w:r>
    </w:p>
    <w:p>
      <w:pPr>
        <w:pStyle w:val="31"/>
        <w:tabs>
          <w:tab w:val="right" w:leader="dot" w:pos="8730"/>
          <w:tab w:val="clear" w:pos="840"/>
          <w:tab w:val="clear" w:pos="9204"/>
        </w:tabs>
        <w:spacing w:line="360" w:lineRule="exact"/>
      </w:pPr>
      <w:r>
        <w:fldChar w:fldCharType="begin"/>
      </w:r>
      <w:r>
        <w:instrText xml:space="preserve"> HYPERLINK \l "_Toc28843" </w:instrText>
      </w:r>
      <w:r>
        <w:fldChar w:fldCharType="separate"/>
      </w:r>
      <w:r>
        <w:rPr>
          <w:szCs w:val="32"/>
        </w:rPr>
        <w:t xml:space="preserve">第2章 </w:t>
      </w:r>
      <w:r>
        <w:rPr>
          <w:rFonts w:hint="eastAsia"/>
        </w:rPr>
        <w:t>供应商须知</w:t>
      </w:r>
      <w:r>
        <w:tab/>
      </w:r>
      <w:r>
        <w:fldChar w:fldCharType="begin"/>
      </w:r>
      <w:r>
        <w:instrText xml:space="preserve"> PAGEREF _Toc28843 \h </w:instrText>
      </w:r>
      <w:r>
        <w:fldChar w:fldCharType="separate"/>
      </w:r>
      <w:r>
        <w:t>6</w:t>
      </w:r>
      <w:r>
        <w:fldChar w:fldCharType="end"/>
      </w:r>
      <w:r>
        <w:fldChar w:fldCharType="end"/>
      </w:r>
    </w:p>
    <w:p>
      <w:pPr>
        <w:pStyle w:val="38"/>
        <w:tabs>
          <w:tab w:val="right" w:leader="dot" w:pos="8730"/>
        </w:tabs>
        <w:spacing w:line="360" w:lineRule="exact"/>
      </w:pPr>
      <w:r>
        <w:fldChar w:fldCharType="begin"/>
      </w:r>
      <w:r>
        <w:instrText xml:space="preserve"> HYPERLINK \l "_Toc21721" </w:instrText>
      </w:r>
      <w:r>
        <w:fldChar w:fldCharType="separate"/>
      </w:r>
      <w:r>
        <w:rPr>
          <w:szCs w:val="28"/>
        </w:rPr>
        <w:t xml:space="preserve">2.1 </w:t>
      </w:r>
      <w:r>
        <w:rPr>
          <w:rFonts w:hint="eastAsia"/>
        </w:rPr>
        <w:t>供应商须知前附表</w:t>
      </w:r>
      <w:r>
        <w:tab/>
      </w:r>
      <w:r>
        <w:fldChar w:fldCharType="begin"/>
      </w:r>
      <w:r>
        <w:instrText xml:space="preserve"> PAGEREF _Toc21721 \h </w:instrText>
      </w:r>
      <w:r>
        <w:fldChar w:fldCharType="separate"/>
      </w:r>
      <w:r>
        <w:t>6</w:t>
      </w:r>
      <w:r>
        <w:fldChar w:fldCharType="end"/>
      </w:r>
      <w:r>
        <w:fldChar w:fldCharType="end"/>
      </w:r>
    </w:p>
    <w:p>
      <w:pPr>
        <w:pStyle w:val="38"/>
        <w:tabs>
          <w:tab w:val="right" w:leader="dot" w:pos="8730"/>
        </w:tabs>
        <w:spacing w:line="360" w:lineRule="exact"/>
      </w:pPr>
      <w:r>
        <w:fldChar w:fldCharType="begin"/>
      </w:r>
      <w:r>
        <w:instrText xml:space="preserve"> HYPERLINK \l "_Toc28414" </w:instrText>
      </w:r>
      <w:r>
        <w:fldChar w:fldCharType="separate"/>
      </w:r>
      <w:r>
        <w:rPr>
          <w:szCs w:val="28"/>
        </w:rPr>
        <w:t xml:space="preserve">2.2 </w:t>
      </w:r>
      <w:r>
        <w:rPr>
          <w:rFonts w:hint="eastAsia"/>
        </w:rPr>
        <w:t>总则</w:t>
      </w:r>
      <w:r>
        <w:tab/>
      </w:r>
      <w:r>
        <w:fldChar w:fldCharType="begin"/>
      </w:r>
      <w:r>
        <w:instrText xml:space="preserve"> PAGEREF _Toc28414 \h </w:instrText>
      </w:r>
      <w:r>
        <w:fldChar w:fldCharType="separate"/>
      </w:r>
      <w:r>
        <w:t>9</w:t>
      </w:r>
      <w:r>
        <w:fldChar w:fldCharType="end"/>
      </w:r>
      <w:r>
        <w:fldChar w:fldCharType="end"/>
      </w:r>
    </w:p>
    <w:p>
      <w:pPr>
        <w:pStyle w:val="38"/>
        <w:tabs>
          <w:tab w:val="right" w:leader="dot" w:pos="8730"/>
        </w:tabs>
        <w:spacing w:line="360" w:lineRule="exact"/>
      </w:pPr>
      <w:r>
        <w:fldChar w:fldCharType="begin"/>
      </w:r>
      <w:r>
        <w:instrText xml:space="preserve"> HYPERLINK \l "_Toc27251" </w:instrText>
      </w:r>
      <w:r>
        <w:fldChar w:fldCharType="separate"/>
      </w:r>
      <w:r>
        <w:rPr>
          <w:szCs w:val="28"/>
        </w:rPr>
        <w:t xml:space="preserve">2.3 </w:t>
      </w:r>
      <w:r>
        <w:rPr>
          <w:rFonts w:hint="eastAsia"/>
        </w:rPr>
        <w:t>磋商</w:t>
      </w:r>
      <w:r>
        <w:t>文件</w:t>
      </w:r>
      <w:r>
        <w:tab/>
      </w:r>
      <w:r>
        <w:fldChar w:fldCharType="begin"/>
      </w:r>
      <w:r>
        <w:instrText xml:space="preserve"> PAGEREF _Toc27251 \h </w:instrText>
      </w:r>
      <w:r>
        <w:fldChar w:fldCharType="separate"/>
      </w:r>
      <w:r>
        <w:t>12</w:t>
      </w:r>
      <w:r>
        <w:fldChar w:fldCharType="end"/>
      </w:r>
      <w:r>
        <w:fldChar w:fldCharType="end"/>
      </w:r>
    </w:p>
    <w:p>
      <w:pPr>
        <w:pStyle w:val="38"/>
        <w:tabs>
          <w:tab w:val="right" w:leader="dot" w:pos="8730"/>
        </w:tabs>
        <w:spacing w:line="360" w:lineRule="exact"/>
      </w:pPr>
      <w:r>
        <w:fldChar w:fldCharType="begin"/>
      </w:r>
      <w:r>
        <w:instrText xml:space="preserve"> HYPERLINK \l "_Toc151" </w:instrText>
      </w:r>
      <w:r>
        <w:fldChar w:fldCharType="separate"/>
      </w:r>
      <w:r>
        <w:rPr>
          <w:szCs w:val="28"/>
        </w:rPr>
        <w:t xml:space="preserve">2.4 </w:t>
      </w:r>
      <w:r>
        <w:rPr>
          <w:rFonts w:hint="eastAsia"/>
        </w:rPr>
        <w:t>施工响应文件</w:t>
      </w:r>
      <w:r>
        <w:tab/>
      </w:r>
      <w:r>
        <w:fldChar w:fldCharType="begin"/>
      </w:r>
      <w:r>
        <w:instrText xml:space="preserve"> PAGEREF _Toc151 \h </w:instrText>
      </w:r>
      <w:r>
        <w:fldChar w:fldCharType="separate"/>
      </w:r>
      <w:r>
        <w:t>13</w:t>
      </w:r>
      <w:r>
        <w:fldChar w:fldCharType="end"/>
      </w:r>
      <w:r>
        <w:fldChar w:fldCharType="end"/>
      </w:r>
    </w:p>
    <w:p>
      <w:pPr>
        <w:pStyle w:val="38"/>
        <w:tabs>
          <w:tab w:val="right" w:leader="dot" w:pos="8730"/>
        </w:tabs>
        <w:spacing w:line="360" w:lineRule="exact"/>
      </w:pPr>
      <w:r>
        <w:fldChar w:fldCharType="begin"/>
      </w:r>
      <w:r>
        <w:instrText xml:space="preserve"> HYPERLINK \l "_Toc12815" </w:instrText>
      </w:r>
      <w:r>
        <w:fldChar w:fldCharType="separate"/>
      </w:r>
      <w:r>
        <w:rPr>
          <w:szCs w:val="28"/>
        </w:rPr>
        <w:t xml:space="preserve">2.5 </w:t>
      </w:r>
      <w:r>
        <w:rPr>
          <w:rFonts w:hint="eastAsia"/>
        </w:rPr>
        <w:t>开标及开标程序</w:t>
      </w:r>
      <w:r>
        <w:tab/>
      </w:r>
      <w:r>
        <w:fldChar w:fldCharType="begin"/>
      </w:r>
      <w:r>
        <w:instrText xml:space="preserve"> PAGEREF _Toc12815 \h </w:instrText>
      </w:r>
      <w:r>
        <w:fldChar w:fldCharType="separate"/>
      </w:r>
      <w:r>
        <w:t>21</w:t>
      </w:r>
      <w:r>
        <w:fldChar w:fldCharType="end"/>
      </w:r>
      <w:r>
        <w:fldChar w:fldCharType="end"/>
      </w:r>
    </w:p>
    <w:p>
      <w:pPr>
        <w:pStyle w:val="38"/>
        <w:tabs>
          <w:tab w:val="right" w:leader="dot" w:pos="8730"/>
        </w:tabs>
        <w:spacing w:line="360" w:lineRule="exact"/>
      </w:pPr>
      <w:r>
        <w:fldChar w:fldCharType="begin"/>
      </w:r>
      <w:r>
        <w:instrText xml:space="preserve"> HYPERLINK \l "_Toc22960" </w:instrText>
      </w:r>
      <w:r>
        <w:fldChar w:fldCharType="separate"/>
      </w:r>
      <w:r>
        <w:rPr>
          <w:szCs w:val="28"/>
        </w:rPr>
        <w:t xml:space="preserve">2.6 </w:t>
      </w:r>
      <w:r>
        <w:rPr>
          <w:rFonts w:hint="eastAsia"/>
        </w:rPr>
        <w:t>资格</w:t>
      </w:r>
      <w:r>
        <w:t>审</w:t>
      </w:r>
      <w:r>
        <w:rPr>
          <w:rFonts w:hint="eastAsia"/>
        </w:rPr>
        <w:t>查</w:t>
      </w:r>
      <w:r>
        <w:t>和评审</w:t>
      </w:r>
      <w:r>
        <w:tab/>
      </w:r>
      <w:r>
        <w:fldChar w:fldCharType="begin"/>
      </w:r>
      <w:r>
        <w:instrText xml:space="preserve"> PAGEREF _Toc22960 \h </w:instrText>
      </w:r>
      <w:r>
        <w:fldChar w:fldCharType="separate"/>
      </w:r>
      <w:r>
        <w:t>23</w:t>
      </w:r>
      <w:r>
        <w:fldChar w:fldCharType="end"/>
      </w:r>
      <w:r>
        <w:fldChar w:fldCharType="end"/>
      </w:r>
    </w:p>
    <w:p>
      <w:pPr>
        <w:pStyle w:val="38"/>
        <w:tabs>
          <w:tab w:val="right" w:leader="dot" w:pos="8730"/>
        </w:tabs>
        <w:spacing w:line="360" w:lineRule="exact"/>
      </w:pPr>
      <w:r>
        <w:fldChar w:fldCharType="begin"/>
      </w:r>
      <w:r>
        <w:instrText xml:space="preserve"> HYPERLINK \l "_Toc10144" </w:instrText>
      </w:r>
      <w:r>
        <w:fldChar w:fldCharType="separate"/>
      </w:r>
      <w:r>
        <w:rPr>
          <w:szCs w:val="28"/>
        </w:rPr>
        <w:t xml:space="preserve">2.7 </w:t>
      </w:r>
      <w:r>
        <w:t>成交通知书</w:t>
      </w:r>
      <w:r>
        <w:tab/>
      </w:r>
      <w:r>
        <w:fldChar w:fldCharType="begin"/>
      </w:r>
      <w:r>
        <w:instrText xml:space="preserve"> PAGEREF _Toc10144 \h </w:instrText>
      </w:r>
      <w:r>
        <w:fldChar w:fldCharType="separate"/>
      </w:r>
      <w:r>
        <w:t>23</w:t>
      </w:r>
      <w:r>
        <w:fldChar w:fldCharType="end"/>
      </w:r>
      <w:r>
        <w:fldChar w:fldCharType="end"/>
      </w:r>
    </w:p>
    <w:p>
      <w:pPr>
        <w:pStyle w:val="38"/>
        <w:tabs>
          <w:tab w:val="right" w:leader="dot" w:pos="8730"/>
        </w:tabs>
        <w:spacing w:line="360" w:lineRule="exact"/>
      </w:pPr>
      <w:r>
        <w:fldChar w:fldCharType="begin"/>
      </w:r>
      <w:r>
        <w:instrText xml:space="preserve"> HYPERLINK \l "_Toc17541" </w:instrText>
      </w:r>
      <w:r>
        <w:fldChar w:fldCharType="separate"/>
      </w:r>
      <w:r>
        <w:rPr>
          <w:szCs w:val="28"/>
        </w:rPr>
        <w:t xml:space="preserve">2.8 </w:t>
      </w:r>
      <w:r>
        <w:rPr>
          <w:rFonts w:hint="eastAsia"/>
        </w:rPr>
        <w:t>签订及履行合同和验收</w:t>
      </w:r>
      <w:r>
        <w:tab/>
      </w:r>
      <w:r>
        <w:fldChar w:fldCharType="begin"/>
      </w:r>
      <w:r>
        <w:instrText xml:space="preserve"> PAGEREF _Toc17541 \h </w:instrText>
      </w:r>
      <w:r>
        <w:fldChar w:fldCharType="separate"/>
      </w:r>
      <w:r>
        <w:t>24</w:t>
      </w:r>
      <w:r>
        <w:fldChar w:fldCharType="end"/>
      </w:r>
      <w:r>
        <w:fldChar w:fldCharType="end"/>
      </w:r>
    </w:p>
    <w:p>
      <w:pPr>
        <w:pStyle w:val="38"/>
        <w:tabs>
          <w:tab w:val="right" w:leader="dot" w:pos="8730"/>
        </w:tabs>
        <w:spacing w:line="360" w:lineRule="exact"/>
      </w:pPr>
      <w:r>
        <w:fldChar w:fldCharType="begin"/>
      </w:r>
      <w:r>
        <w:instrText xml:space="preserve"> HYPERLINK \l "_Toc6694" </w:instrText>
      </w:r>
      <w:r>
        <w:fldChar w:fldCharType="separate"/>
      </w:r>
      <w:r>
        <w:rPr>
          <w:szCs w:val="28"/>
        </w:rPr>
        <w:t xml:space="preserve">2.9 </w:t>
      </w:r>
      <w:r>
        <w:rPr>
          <w:rFonts w:hint="eastAsia"/>
        </w:rPr>
        <w:t>竞争性磋商工作纪律及要求</w:t>
      </w:r>
      <w:r>
        <w:tab/>
      </w:r>
      <w:r>
        <w:fldChar w:fldCharType="begin"/>
      </w:r>
      <w:r>
        <w:instrText xml:space="preserve"> PAGEREF _Toc6694 \h </w:instrText>
      </w:r>
      <w:r>
        <w:fldChar w:fldCharType="separate"/>
      </w:r>
      <w:r>
        <w:t>26</w:t>
      </w:r>
      <w:r>
        <w:fldChar w:fldCharType="end"/>
      </w:r>
      <w:r>
        <w:fldChar w:fldCharType="end"/>
      </w:r>
    </w:p>
    <w:p>
      <w:pPr>
        <w:pStyle w:val="38"/>
        <w:tabs>
          <w:tab w:val="right" w:leader="dot" w:pos="8730"/>
        </w:tabs>
        <w:spacing w:line="360" w:lineRule="exact"/>
      </w:pPr>
      <w:r>
        <w:fldChar w:fldCharType="begin"/>
      </w:r>
      <w:r>
        <w:instrText xml:space="preserve"> HYPERLINK \l "_Toc4868" </w:instrText>
      </w:r>
      <w:r>
        <w:fldChar w:fldCharType="separate"/>
      </w:r>
      <w:r>
        <w:rPr>
          <w:szCs w:val="28"/>
        </w:rPr>
        <w:t xml:space="preserve">2.10 </w:t>
      </w:r>
      <w:r>
        <w:rPr>
          <w:rFonts w:hint="eastAsia"/>
        </w:rPr>
        <w:t>询问、质疑和投诉</w:t>
      </w:r>
      <w:r>
        <w:tab/>
      </w:r>
      <w:r>
        <w:fldChar w:fldCharType="begin"/>
      </w:r>
      <w:r>
        <w:instrText xml:space="preserve"> PAGEREF _Toc4868 \h </w:instrText>
      </w:r>
      <w:r>
        <w:fldChar w:fldCharType="separate"/>
      </w:r>
      <w:r>
        <w:t>28</w:t>
      </w:r>
      <w:r>
        <w:fldChar w:fldCharType="end"/>
      </w:r>
      <w:r>
        <w:fldChar w:fldCharType="end"/>
      </w:r>
    </w:p>
    <w:p>
      <w:pPr>
        <w:pStyle w:val="38"/>
        <w:tabs>
          <w:tab w:val="right" w:leader="dot" w:pos="8730"/>
        </w:tabs>
        <w:spacing w:line="360" w:lineRule="exact"/>
      </w:pPr>
      <w:r>
        <w:fldChar w:fldCharType="begin"/>
      </w:r>
      <w:r>
        <w:instrText xml:space="preserve"> HYPERLINK \l "_Toc32536" </w:instrText>
      </w:r>
      <w:r>
        <w:fldChar w:fldCharType="separate"/>
      </w:r>
      <w:r>
        <w:rPr>
          <w:szCs w:val="28"/>
        </w:rPr>
        <w:t xml:space="preserve">2.11 </w:t>
      </w:r>
      <w:r>
        <w:rPr>
          <w:rFonts w:hint="eastAsia"/>
        </w:rPr>
        <w:t>中小企业政府采购信用融资</w:t>
      </w:r>
      <w:r>
        <w:tab/>
      </w:r>
      <w:r>
        <w:fldChar w:fldCharType="begin"/>
      </w:r>
      <w:r>
        <w:instrText xml:space="preserve"> PAGEREF _Toc32536 \h </w:instrText>
      </w:r>
      <w:r>
        <w:fldChar w:fldCharType="separate"/>
      </w:r>
      <w:r>
        <w:t>29</w:t>
      </w:r>
      <w:r>
        <w:fldChar w:fldCharType="end"/>
      </w:r>
      <w:r>
        <w:fldChar w:fldCharType="end"/>
      </w:r>
    </w:p>
    <w:p>
      <w:pPr>
        <w:pStyle w:val="38"/>
        <w:tabs>
          <w:tab w:val="right" w:leader="dot" w:pos="8730"/>
        </w:tabs>
        <w:spacing w:line="360" w:lineRule="exact"/>
      </w:pPr>
      <w:r>
        <w:fldChar w:fldCharType="begin"/>
      </w:r>
      <w:r>
        <w:instrText xml:space="preserve"> HYPERLINK \l "_Toc11006" </w:instrText>
      </w:r>
      <w:r>
        <w:fldChar w:fldCharType="separate"/>
      </w:r>
      <w:r>
        <w:rPr>
          <w:szCs w:val="28"/>
        </w:rPr>
        <w:t xml:space="preserve">2.12 </w:t>
      </w:r>
      <w:r>
        <w:rPr>
          <w:rFonts w:hint="eastAsia"/>
        </w:rPr>
        <w:t>其他</w:t>
      </w:r>
      <w:r>
        <w:tab/>
      </w:r>
      <w:r>
        <w:fldChar w:fldCharType="begin"/>
      </w:r>
      <w:r>
        <w:instrText xml:space="preserve"> PAGEREF _Toc11006 \h </w:instrText>
      </w:r>
      <w:r>
        <w:fldChar w:fldCharType="separate"/>
      </w:r>
      <w:r>
        <w:t>30</w:t>
      </w:r>
      <w:r>
        <w:fldChar w:fldCharType="end"/>
      </w:r>
      <w:r>
        <w:fldChar w:fldCharType="end"/>
      </w:r>
    </w:p>
    <w:p>
      <w:pPr>
        <w:pStyle w:val="31"/>
        <w:tabs>
          <w:tab w:val="right" w:leader="dot" w:pos="8730"/>
          <w:tab w:val="clear" w:pos="840"/>
          <w:tab w:val="clear" w:pos="9204"/>
        </w:tabs>
        <w:spacing w:line="360" w:lineRule="exact"/>
      </w:pPr>
      <w:r>
        <w:fldChar w:fldCharType="begin"/>
      </w:r>
      <w:r>
        <w:instrText xml:space="preserve"> HYPERLINK \l "_Toc14934" </w:instrText>
      </w:r>
      <w:r>
        <w:fldChar w:fldCharType="separate"/>
      </w:r>
      <w:r>
        <w:rPr>
          <w:szCs w:val="32"/>
        </w:rPr>
        <w:t xml:space="preserve">第3章 </w:t>
      </w:r>
      <w:r>
        <w:rPr>
          <w:rFonts w:hint="eastAsia"/>
        </w:rPr>
        <w:t>施工响应文件格式</w:t>
      </w:r>
      <w:r>
        <w:tab/>
      </w:r>
      <w:r>
        <w:fldChar w:fldCharType="begin"/>
      </w:r>
      <w:r>
        <w:instrText xml:space="preserve"> PAGEREF _Toc14934 \h </w:instrText>
      </w:r>
      <w:r>
        <w:fldChar w:fldCharType="separate"/>
      </w:r>
      <w:r>
        <w:t>31</w:t>
      </w:r>
      <w:r>
        <w:fldChar w:fldCharType="end"/>
      </w:r>
      <w:r>
        <w:fldChar w:fldCharType="end"/>
      </w:r>
    </w:p>
    <w:p>
      <w:pPr>
        <w:pStyle w:val="38"/>
        <w:tabs>
          <w:tab w:val="right" w:leader="dot" w:pos="8730"/>
        </w:tabs>
        <w:spacing w:line="360" w:lineRule="exact"/>
      </w:pPr>
      <w:r>
        <w:fldChar w:fldCharType="begin"/>
      </w:r>
      <w:r>
        <w:instrText xml:space="preserve"> HYPERLINK \l "_Toc26850" </w:instrText>
      </w:r>
      <w:r>
        <w:fldChar w:fldCharType="separate"/>
      </w:r>
      <w:r>
        <w:rPr>
          <w:szCs w:val="28"/>
        </w:rPr>
        <w:t xml:space="preserve">3.1 </w:t>
      </w:r>
      <w:r>
        <w:rPr>
          <w:rFonts w:hint="eastAsia"/>
        </w:rPr>
        <w:t>施工响应文件格式</w:t>
      </w:r>
      <w:r>
        <w:tab/>
      </w:r>
      <w:r>
        <w:fldChar w:fldCharType="begin"/>
      </w:r>
      <w:r>
        <w:instrText xml:space="preserve"> PAGEREF _Toc26850 \h </w:instrText>
      </w:r>
      <w:r>
        <w:fldChar w:fldCharType="separate"/>
      </w:r>
      <w:r>
        <w:t>31</w:t>
      </w:r>
      <w:r>
        <w:fldChar w:fldCharType="end"/>
      </w:r>
      <w:r>
        <w:fldChar w:fldCharType="end"/>
      </w:r>
    </w:p>
    <w:p>
      <w:pPr>
        <w:pStyle w:val="31"/>
        <w:tabs>
          <w:tab w:val="right" w:leader="dot" w:pos="8730"/>
          <w:tab w:val="clear" w:pos="840"/>
          <w:tab w:val="clear" w:pos="9204"/>
        </w:tabs>
        <w:spacing w:line="360" w:lineRule="exact"/>
      </w:pPr>
      <w:r>
        <w:fldChar w:fldCharType="begin"/>
      </w:r>
      <w:r>
        <w:instrText xml:space="preserve"> HYPERLINK \l "_Toc18037" </w:instrText>
      </w:r>
      <w:r>
        <w:fldChar w:fldCharType="separate"/>
      </w:r>
      <w:r>
        <w:rPr>
          <w:szCs w:val="32"/>
        </w:rPr>
        <w:t xml:space="preserve">第4章 </w:t>
      </w:r>
      <w:r>
        <w:rPr>
          <w:rFonts w:hint="eastAsia"/>
        </w:rPr>
        <w:t>技术、服务、商务及其他要求</w:t>
      </w:r>
      <w:r>
        <w:tab/>
      </w:r>
      <w:r>
        <w:fldChar w:fldCharType="begin"/>
      </w:r>
      <w:r>
        <w:instrText xml:space="preserve"> PAGEREF _Toc18037 \h </w:instrText>
      </w:r>
      <w:r>
        <w:fldChar w:fldCharType="separate"/>
      </w:r>
      <w:r>
        <w:t>44</w:t>
      </w:r>
      <w:r>
        <w:fldChar w:fldCharType="end"/>
      </w:r>
      <w:r>
        <w:fldChar w:fldCharType="end"/>
      </w:r>
    </w:p>
    <w:p>
      <w:pPr>
        <w:pStyle w:val="38"/>
        <w:tabs>
          <w:tab w:val="right" w:leader="dot" w:pos="8730"/>
        </w:tabs>
        <w:spacing w:line="360" w:lineRule="exact"/>
      </w:pPr>
      <w:r>
        <w:fldChar w:fldCharType="begin"/>
      </w:r>
      <w:r>
        <w:instrText xml:space="preserve"> HYPERLINK \l "_Toc13638" </w:instrText>
      </w:r>
      <w:r>
        <w:fldChar w:fldCharType="separate"/>
      </w:r>
      <w:r>
        <w:rPr>
          <w:szCs w:val="28"/>
        </w:rPr>
        <w:t xml:space="preserve">4.1 </w:t>
      </w:r>
      <w:r>
        <w:rPr>
          <w:rFonts w:hint="eastAsia"/>
        </w:rPr>
        <w:t>技术、服务、合同</w:t>
      </w:r>
      <w:r>
        <w:t>条款</w:t>
      </w:r>
      <w:r>
        <w:rPr>
          <w:rFonts w:hint="eastAsia"/>
        </w:rPr>
        <w:t>要求</w:t>
      </w:r>
      <w:r>
        <w:tab/>
      </w:r>
      <w:r>
        <w:fldChar w:fldCharType="begin"/>
      </w:r>
      <w:r>
        <w:instrText xml:space="preserve"> PAGEREF _Toc13638 \h </w:instrText>
      </w:r>
      <w:r>
        <w:fldChar w:fldCharType="separate"/>
      </w:r>
      <w:r>
        <w:t>44</w:t>
      </w:r>
      <w:r>
        <w:fldChar w:fldCharType="end"/>
      </w:r>
      <w:r>
        <w:fldChar w:fldCharType="end"/>
      </w:r>
    </w:p>
    <w:p>
      <w:pPr>
        <w:pStyle w:val="38"/>
        <w:tabs>
          <w:tab w:val="right" w:leader="dot" w:pos="8730"/>
        </w:tabs>
        <w:spacing w:line="360" w:lineRule="exact"/>
      </w:pPr>
      <w:r>
        <w:fldChar w:fldCharType="begin"/>
      </w:r>
      <w:r>
        <w:instrText xml:space="preserve"> HYPERLINK \l "_Toc18595" </w:instrText>
      </w:r>
      <w:r>
        <w:fldChar w:fldCharType="separate"/>
      </w:r>
      <w:r>
        <w:rPr>
          <w:szCs w:val="28"/>
        </w:rPr>
        <w:t xml:space="preserve">4.2 </w:t>
      </w:r>
      <w:r>
        <w:rPr>
          <w:rFonts w:hint="eastAsia"/>
        </w:rPr>
        <w:t>★漏项工程处理</w:t>
      </w:r>
      <w:r>
        <w:tab/>
      </w:r>
      <w:r>
        <w:fldChar w:fldCharType="begin"/>
      </w:r>
      <w:r>
        <w:instrText xml:space="preserve"> PAGEREF _Toc18595 \h </w:instrText>
      </w:r>
      <w:r>
        <w:fldChar w:fldCharType="separate"/>
      </w:r>
      <w:r>
        <w:t>44</w:t>
      </w:r>
      <w:r>
        <w:fldChar w:fldCharType="end"/>
      </w:r>
      <w:r>
        <w:fldChar w:fldCharType="end"/>
      </w:r>
    </w:p>
    <w:p>
      <w:pPr>
        <w:pStyle w:val="38"/>
        <w:tabs>
          <w:tab w:val="right" w:leader="dot" w:pos="8730"/>
        </w:tabs>
        <w:spacing w:line="360" w:lineRule="exact"/>
      </w:pPr>
      <w:r>
        <w:fldChar w:fldCharType="begin"/>
      </w:r>
      <w:r>
        <w:instrText xml:space="preserve"> HYPERLINK \l "_Toc19407" </w:instrText>
      </w:r>
      <w:r>
        <w:fldChar w:fldCharType="separate"/>
      </w:r>
      <w:r>
        <w:rPr>
          <w:szCs w:val="28"/>
        </w:rPr>
        <w:t xml:space="preserve">4.3 </w:t>
      </w:r>
      <w:r>
        <w:rPr>
          <w:rFonts w:hint="eastAsia"/>
        </w:rPr>
        <w:t>★施工及验收要求</w:t>
      </w:r>
      <w:r>
        <w:tab/>
      </w:r>
      <w:r>
        <w:fldChar w:fldCharType="begin"/>
      </w:r>
      <w:r>
        <w:instrText xml:space="preserve"> PAGEREF _Toc19407 \h </w:instrText>
      </w:r>
      <w:r>
        <w:fldChar w:fldCharType="separate"/>
      </w:r>
      <w:r>
        <w:t>45</w:t>
      </w:r>
      <w:r>
        <w:fldChar w:fldCharType="end"/>
      </w:r>
      <w:r>
        <w:fldChar w:fldCharType="end"/>
      </w:r>
    </w:p>
    <w:p>
      <w:pPr>
        <w:pStyle w:val="38"/>
        <w:tabs>
          <w:tab w:val="right" w:leader="dot" w:pos="8730"/>
        </w:tabs>
        <w:spacing w:line="360" w:lineRule="exact"/>
      </w:pPr>
      <w:r>
        <w:fldChar w:fldCharType="begin"/>
      </w:r>
      <w:r>
        <w:instrText xml:space="preserve"> HYPERLINK \l "_Toc13429" </w:instrText>
      </w:r>
      <w:r>
        <w:fldChar w:fldCharType="separate"/>
      </w:r>
      <w:r>
        <w:rPr>
          <w:szCs w:val="28"/>
        </w:rPr>
        <w:t xml:space="preserve">4.4 </w:t>
      </w:r>
      <w:r>
        <w:rPr>
          <w:rFonts w:hint="eastAsia"/>
        </w:rPr>
        <w:t>针对本项目的其他技术服务要求</w:t>
      </w:r>
      <w:r>
        <w:tab/>
      </w:r>
      <w:r>
        <w:fldChar w:fldCharType="begin"/>
      </w:r>
      <w:r>
        <w:instrText xml:space="preserve"> PAGEREF _Toc13429 \h </w:instrText>
      </w:r>
      <w:r>
        <w:fldChar w:fldCharType="separate"/>
      </w:r>
      <w:r>
        <w:t>45</w:t>
      </w:r>
      <w:r>
        <w:fldChar w:fldCharType="end"/>
      </w:r>
      <w:r>
        <w:fldChar w:fldCharType="end"/>
      </w:r>
    </w:p>
    <w:p>
      <w:pPr>
        <w:pStyle w:val="38"/>
        <w:tabs>
          <w:tab w:val="right" w:leader="dot" w:pos="8730"/>
        </w:tabs>
        <w:spacing w:line="360" w:lineRule="exact"/>
      </w:pPr>
      <w:r>
        <w:fldChar w:fldCharType="begin"/>
      </w:r>
      <w:r>
        <w:instrText xml:space="preserve"> HYPERLINK \l "_Toc26161" </w:instrText>
      </w:r>
      <w:r>
        <w:fldChar w:fldCharType="separate"/>
      </w:r>
      <w:r>
        <w:rPr>
          <w:szCs w:val="28"/>
        </w:rPr>
        <w:t xml:space="preserve">4.5 </w:t>
      </w:r>
      <w:r>
        <w:rPr>
          <w:rFonts w:hint="eastAsia"/>
        </w:rPr>
        <w:t>★违约责任</w:t>
      </w:r>
      <w:r>
        <w:tab/>
      </w:r>
      <w:r>
        <w:fldChar w:fldCharType="begin"/>
      </w:r>
      <w:r>
        <w:instrText xml:space="preserve"> PAGEREF _Toc26161 \h </w:instrText>
      </w:r>
      <w:r>
        <w:fldChar w:fldCharType="separate"/>
      </w:r>
      <w:r>
        <w:t>47</w:t>
      </w:r>
      <w:r>
        <w:fldChar w:fldCharType="end"/>
      </w:r>
      <w:r>
        <w:fldChar w:fldCharType="end"/>
      </w:r>
    </w:p>
    <w:p>
      <w:pPr>
        <w:pStyle w:val="38"/>
        <w:tabs>
          <w:tab w:val="right" w:leader="dot" w:pos="8730"/>
        </w:tabs>
        <w:spacing w:line="360" w:lineRule="exact"/>
      </w:pPr>
      <w:r>
        <w:fldChar w:fldCharType="begin"/>
      </w:r>
      <w:r>
        <w:instrText xml:space="preserve"> HYPERLINK \l "_Toc1887" </w:instrText>
      </w:r>
      <w:r>
        <w:fldChar w:fldCharType="separate"/>
      </w:r>
      <w:r>
        <w:rPr>
          <w:szCs w:val="28"/>
        </w:rPr>
        <w:t xml:space="preserve">4.6 </w:t>
      </w:r>
      <w:r>
        <w:rPr>
          <w:rFonts w:hint="eastAsia"/>
        </w:rPr>
        <w:t>满足采购需求的最低要求</w:t>
      </w:r>
      <w:r>
        <w:tab/>
      </w:r>
      <w:r>
        <w:fldChar w:fldCharType="begin"/>
      </w:r>
      <w:r>
        <w:instrText xml:space="preserve"> PAGEREF _Toc1887 \h </w:instrText>
      </w:r>
      <w:r>
        <w:fldChar w:fldCharType="separate"/>
      </w:r>
      <w:r>
        <w:t>48</w:t>
      </w:r>
      <w:r>
        <w:fldChar w:fldCharType="end"/>
      </w:r>
      <w:r>
        <w:fldChar w:fldCharType="end"/>
      </w:r>
    </w:p>
    <w:p>
      <w:pPr>
        <w:pStyle w:val="31"/>
        <w:tabs>
          <w:tab w:val="right" w:leader="dot" w:pos="8730"/>
          <w:tab w:val="clear" w:pos="840"/>
          <w:tab w:val="clear" w:pos="9204"/>
        </w:tabs>
        <w:spacing w:line="360" w:lineRule="exact"/>
      </w:pPr>
      <w:r>
        <w:fldChar w:fldCharType="begin"/>
      </w:r>
      <w:r>
        <w:instrText xml:space="preserve"> HYPERLINK \l "_Toc21603" </w:instrText>
      </w:r>
      <w:r>
        <w:fldChar w:fldCharType="separate"/>
      </w:r>
      <w:r>
        <w:rPr>
          <w:szCs w:val="32"/>
        </w:rPr>
        <w:t xml:space="preserve">第5章 </w:t>
      </w:r>
      <w:r>
        <w:rPr>
          <w:rFonts w:hint="eastAsia"/>
        </w:rPr>
        <w:t>资格审查</w:t>
      </w:r>
      <w:r>
        <w:tab/>
      </w:r>
      <w:r>
        <w:fldChar w:fldCharType="begin"/>
      </w:r>
      <w:r>
        <w:instrText xml:space="preserve"> PAGEREF _Toc21603 \h </w:instrText>
      </w:r>
      <w:r>
        <w:fldChar w:fldCharType="separate"/>
      </w:r>
      <w:r>
        <w:t>49</w:t>
      </w:r>
      <w:r>
        <w:fldChar w:fldCharType="end"/>
      </w:r>
      <w:r>
        <w:fldChar w:fldCharType="end"/>
      </w:r>
    </w:p>
    <w:p>
      <w:pPr>
        <w:pStyle w:val="38"/>
        <w:tabs>
          <w:tab w:val="right" w:leader="dot" w:pos="8730"/>
        </w:tabs>
        <w:spacing w:line="360" w:lineRule="exact"/>
      </w:pPr>
      <w:r>
        <w:fldChar w:fldCharType="begin"/>
      </w:r>
      <w:r>
        <w:instrText xml:space="preserve"> HYPERLINK \l "_Toc8353" </w:instrText>
      </w:r>
      <w:r>
        <w:fldChar w:fldCharType="separate"/>
      </w:r>
      <w:r>
        <w:rPr>
          <w:szCs w:val="28"/>
        </w:rPr>
        <w:t xml:space="preserve">5.1 </w:t>
      </w:r>
      <w:r>
        <w:rPr>
          <w:rFonts w:hint="eastAsia"/>
        </w:rPr>
        <w:t>供应商资格审查的标准</w:t>
      </w:r>
      <w:r>
        <w:tab/>
      </w:r>
      <w:r>
        <w:fldChar w:fldCharType="begin"/>
      </w:r>
      <w:r>
        <w:instrText xml:space="preserve"> PAGEREF _Toc8353 \h </w:instrText>
      </w:r>
      <w:r>
        <w:fldChar w:fldCharType="separate"/>
      </w:r>
      <w:r>
        <w:t>49</w:t>
      </w:r>
      <w:r>
        <w:fldChar w:fldCharType="end"/>
      </w:r>
      <w:r>
        <w:fldChar w:fldCharType="end"/>
      </w:r>
    </w:p>
    <w:p>
      <w:pPr>
        <w:pStyle w:val="31"/>
        <w:tabs>
          <w:tab w:val="right" w:leader="dot" w:pos="8730"/>
          <w:tab w:val="clear" w:pos="840"/>
          <w:tab w:val="clear" w:pos="9204"/>
        </w:tabs>
        <w:spacing w:line="360" w:lineRule="exact"/>
      </w:pPr>
      <w:r>
        <w:fldChar w:fldCharType="begin"/>
      </w:r>
      <w:r>
        <w:instrText xml:space="preserve"> HYPERLINK \l "_Toc4920" </w:instrText>
      </w:r>
      <w:r>
        <w:fldChar w:fldCharType="separate"/>
      </w:r>
      <w:r>
        <w:rPr>
          <w:szCs w:val="32"/>
        </w:rPr>
        <w:t xml:space="preserve">第6章 </w:t>
      </w:r>
      <w:r>
        <w:rPr>
          <w:rFonts w:hint="eastAsia"/>
        </w:rPr>
        <w:t>磋商办法</w:t>
      </w:r>
      <w:r>
        <w:tab/>
      </w:r>
      <w:r>
        <w:fldChar w:fldCharType="begin"/>
      </w:r>
      <w:r>
        <w:instrText xml:space="preserve"> PAGEREF _Toc4920 \h </w:instrText>
      </w:r>
      <w:r>
        <w:fldChar w:fldCharType="separate"/>
      </w:r>
      <w:r>
        <w:t>50</w:t>
      </w:r>
      <w:r>
        <w:fldChar w:fldCharType="end"/>
      </w:r>
      <w:r>
        <w:fldChar w:fldCharType="end"/>
      </w:r>
    </w:p>
    <w:p>
      <w:pPr>
        <w:pStyle w:val="38"/>
        <w:tabs>
          <w:tab w:val="right" w:leader="dot" w:pos="8730"/>
        </w:tabs>
        <w:spacing w:line="360" w:lineRule="exact"/>
      </w:pPr>
      <w:r>
        <w:fldChar w:fldCharType="begin"/>
      </w:r>
      <w:r>
        <w:instrText xml:space="preserve"> HYPERLINK \l "_Toc8688" </w:instrText>
      </w:r>
      <w:r>
        <w:fldChar w:fldCharType="separate"/>
      </w:r>
      <w:r>
        <w:rPr>
          <w:szCs w:val="28"/>
        </w:rPr>
        <w:t xml:space="preserve">6.1 </w:t>
      </w:r>
      <w:r>
        <w:rPr>
          <w:rFonts w:hint="eastAsia"/>
        </w:rPr>
        <w:t>总则</w:t>
      </w:r>
      <w:r>
        <w:tab/>
      </w:r>
      <w:r>
        <w:fldChar w:fldCharType="begin"/>
      </w:r>
      <w:r>
        <w:instrText xml:space="preserve"> PAGEREF _Toc8688 \h </w:instrText>
      </w:r>
      <w:r>
        <w:fldChar w:fldCharType="separate"/>
      </w:r>
      <w:r>
        <w:t>50</w:t>
      </w:r>
      <w:r>
        <w:fldChar w:fldCharType="end"/>
      </w:r>
      <w:r>
        <w:fldChar w:fldCharType="end"/>
      </w:r>
    </w:p>
    <w:p>
      <w:pPr>
        <w:pStyle w:val="38"/>
        <w:tabs>
          <w:tab w:val="right" w:leader="dot" w:pos="8730"/>
        </w:tabs>
        <w:spacing w:line="360" w:lineRule="exact"/>
      </w:pPr>
      <w:r>
        <w:fldChar w:fldCharType="begin"/>
      </w:r>
      <w:r>
        <w:instrText xml:space="preserve"> HYPERLINK \l "_Toc15613" </w:instrText>
      </w:r>
      <w:r>
        <w:fldChar w:fldCharType="separate"/>
      </w:r>
      <w:r>
        <w:rPr>
          <w:szCs w:val="28"/>
        </w:rPr>
        <w:t xml:space="preserve">6.2 </w:t>
      </w:r>
      <w:r>
        <w:rPr>
          <w:rFonts w:hint="eastAsia"/>
        </w:rPr>
        <w:t>磋商程序</w:t>
      </w:r>
      <w:r>
        <w:tab/>
      </w:r>
      <w:r>
        <w:fldChar w:fldCharType="begin"/>
      </w:r>
      <w:r>
        <w:instrText xml:space="preserve"> PAGEREF _Toc15613 \h </w:instrText>
      </w:r>
      <w:r>
        <w:fldChar w:fldCharType="separate"/>
      </w:r>
      <w:r>
        <w:t>51</w:t>
      </w:r>
      <w:r>
        <w:fldChar w:fldCharType="end"/>
      </w:r>
      <w:r>
        <w:fldChar w:fldCharType="end"/>
      </w:r>
    </w:p>
    <w:p>
      <w:pPr>
        <w:pStyle w:val="38"/>
        <w:tabs>
          <w:tab w:val="right" w:leader="dot" w:pos="8730"/>
        </w:tabs>
        <w:spacing w:line="360" w:lineRule="exact"/>
      </w:pPr>
      <w:r>
        <w:fldChar w:fldCharType="begin"/>
      </w:r>
      <w:r>
        <w:instrText xml:space="preserve"> HYPERLINK \l "_Toc26156" </w:instrText>
      </w:r>
      <w:r>
        <w:fldChar w:fldCharType="separate"/>
      </w:r>
      <w:r>
        <w:t xml:space="preserve">6.2.1 </w:t>
      </w:r>
      <w:r>
        <w:rPr>
          <w:rFonts w:hint="eastAsia"/>
        </w:rPr>
        <w:t>递交施工响应文件</w:t>
      </w:r>
      <w:r>
        <w:tab/>
      </w:r>
      <w:r>
        <w:fldChar w:fldCharType="begin"/>
      </w:r>
      <w:r>
        <w:instrText xml:space="preserve"> PAGEREF _Toc26156 \h </w:instrText>
      </w:r>
      <w:r>
        <w:fldChar w:fldCharType="separate"/>
      </w:r>
      <w:r>
        <w:t>51</w:t>
      </w:r>
      <w:r>
        <w:fldChar w:fldCharType="end"/>
      </w:r>
      <w:r>
        <w:fldChar w:fldCharType="end"/>
      </w:r>
    </w:p>
    <w:p>
      <w:pPr>
        <w:pStyle w:val="38"/>
        <w:tabs>
          <w:tab w:val="right" w:leader="dot" w:pos="8730"/>
        </w:tabs>
        <w:spacing w:line="360" w:lineRule="exact"/>
      </w:pPr>
      <w:r>
        <w:fldChar w:fldCharType="begin"/>
      </w:r>
      <w:r>
        <w:instrText xml:space="preserve"> HYPERLINK \l "_Toc19404" </w:instrText>
      </w:r>
      <w:r>
        <w:fldChar w:fldCharType="separate"/>
      </w:r>
      <w:r>
        <w:t xml:space="preserve">6.2.2 </w:t>
      </w:r>
      <w:r>
        <w:rPr>
          <w:rFonts w:hint="eastAsia"/>
        </w:rPr>
        <w:t>确定邀请参加磋商的供应商数量</w:t>
      </w:r>
      <w:r>
        <w:tab/>
      </w:r>
      <w:r>
        <w:fldChar w:fldCharType="begin"/>
      </w:r>
      <w:r>
        <w:instrText xml:space="preserve"> PAGEREF _Toc19404 \h </w:instrText>
      </w:r>
      <w:r>
        <w:fldChar w:fldCharType="separate"/>
      </w:r>
      <w:r>
        <w:t>51</w:t>
      </w:r>
      <w:r>
        <w:fldChar w:fldCharType="end"/>
      </w:r>
      <w:r>
        <w:fldChar w:fldCharType="end"/>
      </w:r>
    </w:p>
    <w:p>
      <w:pPr>
        <w:pStyle w:val="38"/>
        <w:tabs>
          <w:tab w:val="right" w:leader="dot" w:pos="8730"/>
        </w:tabs>
        <w:spacing w:line="360" w:lineRule="exact"/>
      </w:pPr>
      <w:r>
        <w:fldChar w:fldCharType="begin"/>
      </w:r>
      <w:r>
        <w:instrText xml:space="preserve"> HYPERLINK \l "_Toc18131" </w:instrText>
      </w:r>
      <w:r>
        <w:fldChar w:fldCharType="separate"/>
      </w:r>
      <w:r>
        <w:t xml:space="preserve">6.2.3 </w:t>
      </w:r>
      <w:r>
        <w:rPr>
          <w:rFonts w:hint="eastAsia"/>
        </w:rPr>
        <w:t>成立磋商小组</w:t>
      </w:r>
      <w:r>
        <w:tab/>
      </w:r>
      <w:r>
        <w:fldChar w:fldCharType="begin"/>
      </w:r>
      <w:r>
        <w:instrText xml:space="preserve"> PAGEREF _Toc18131 \h </w:instrText>
      </w:r>
      <w:r>
        <w:fldChar w:fldCharType="separate"/>
      </w:r>
      <w:r>
        <w:t>51</w:t>
      </w:r>
      <w:r>
        <w:fldChar w:fldCharType="end"/>
      </w:r>
      <w:r>
        <w:fldChar w:fldCharType="end"/>
      </w:r>
    </w:p>
    <w:p>
      <w:pPr>
        <w:pStyle w:val="38"/>
        <w:tabs>
          <w:tab w:val="right" w:leader="dot" w:pos="8730"/>
        </w:tabs>
        <w:spacing w:line="360" w:lineRule="exact"/>
      </w:pPr>
      <w:r>
        <w:fldChar w:fldCharType="begin"/>
      </w:r>
      <w:r>
        <w:instrText xml:space="preserve"> HYPERLINK \l "_Toc9141" </w:instrText>
      </w:r>
      <w:r>
        <w:fldChar w:fldCharType="separate"/>
      </w:r>
      <w:r>
        <w:t xml:space="preserve">6.2.4 </w:t>
      </w:r>
      <w:r>
        <w:rPr>
          <w:rFonts w:hint="eastAsia"/>
        </w:rPr>
        <w:t>磋商</w:t>
      </w:r>
      <w:r>
        <w:tab/>
      </w:r>
      <w:r>
        <w:fldChar w:fldCharType="begin"/>
      </w:r>
      <w:r>
        <w:instrText xml:space="preserve"> PAGEREF _Toc9141 \h </w:instrText>
      </w:r>
      <w:r>
        <w:fldChar w:fldCharType="separate"/>
      </w:r>
      <w:r>
        <w:t>52</w:t>
      </w:r>
      <w:r>
        <w:fldChar w:fldCharType="end"/>
      </w:r>
      <w:r>
        <w:fldChar w:fldCharType="end"/>
      </w:r>
    </w:p>
    <w:p>
      <w:pPr>
        <w:pStyle w:val="38"/>
        <w:tabs>
          <w:tab w:val="right" w:leader="dot" w:pos="8730"/>
        </w:tabs>
        <w:spacing w:line="360" w:lineRule="exact"/>
      </w:pPr>
      <w:r>
        <w:fldChar w:fldCharType="begin"/>
      </w:r>
      <w:r>
        <w:instrText xml:space="preserve"> HYPERLINK \l "_Toc28189" </w:instrText>
      </w:r>
      <w:r>
        <w:fldChar w:fldCharType="separate"/>
      </w:r>
      <w:r>
        <w:t xml:space="preserve">6.2.5 </w:t>
      </w:r>
      <w:r>
        <w:rPr>
          <w:rFonts w:hint="eastAsia"/>
        </w:rPr>
        <w:t>符合性审查</w:t>
      </w:r>
      <w:r>
        <w:tab/>
      </w:r>
      <w:r>
        <w:fldChar w:fldCharType="begin"/>
      </w:r>
      <w:r>
        <w:instrText xml:space="preserve"> PAGEREF _Toc28189 \h </w:instrText>
      </w:r>
      <w:r>
        <w:fldChar w:fldCharType="separate"/>
      </w:r>
      <w:r>
        <w:t>53</w:t>
      </w:r>
      <w:r>
        <w:fldChar w:fldCharType="end"/>
      </w:r>
      <w:r>
        <w:fldChar w:fldCharType="end"/>
      </w:r>
    </w:p>
    <w:p>
      <w:pPr>
        <w:pStyle w:val="38"/>
        <w:tabs>
          <w:tab w:val="right" w:leader="dot" w:pos="8730"/>
        </w:tabs>
        <w:spacing w:line="360" w:lineRule="exact"/>
      </w:pPr>
      <w:r>
        <w:fldChar w:fldCharType="begin"/>
      </w:r>
      <w:r>
        <w:instrText xml:space="preserve"> HYPERLINK \l "_Toc19179" </w:instrText>
      </w:r>
      <w:r>
        <w:fldChar w:fldCharType="separate"/>
      </w:r>
      <w:r>
        <w:t xml:space="preserve">6.2.6 </w:t>
      </w:r>
      <w:r>
        <w:rPr>
          <w:rFonts w:hint="eastAsia"/>
        </w:rPr>
        <w:t>最后报价审查</w:t>
      </w:r>
      <w:r>
        <w:tab/>
      </w:r>
      <w:r>
        <w:fldChar w:fldCharType="begin"/>
      </w:r>
      <w:r>
        <w:instrText xml:space="preserve"> PAGEREF _Toc19179 \h </w:instrText>
      </w:r>
      <w:r>
        <w:fldChar w:fldCharType="separate"/>
      </w:r>
      <w:r>
        <w:t>57</w:t>
      </w:r>
      <w:r>
        <w:fldChar w:fldCharType="end"/>
      </w:r>
      <w:r>
        <w:fldChar w:fldCharType="end"/>
      </w:r>
    </w:p>
    <w:p>
      <w:pPr>
        <w:pStyle w:val="38"/>
        <w:tabs>
          <w:tab w:val="right" w:leader="dot" w:pos="8730"/>
        </w:tabs>
        <w:spacing w:line="360" w:lineRule="exact"/>
      </w:pPr>
      <w:r>
        <w:fldChar w:fldCharType="begin"/>
      </w:r>
      <w:r>
        <w:instrText xml:space="preserve"> HYPERLINK \l "_Toc8929" </w:instrText>
      </w:r>
      <w:r>
        <w:fldChar w:fldCharType="separate"/>
      </w:r>
      <w:r>
        <w:t xml:space="preserve">6.2.7 </w:t>
      </w:r>
      <w:r>
        <w:rPr>
          <w:rFonts w:hint="eastAsia"/>
        </w:rPr>
        <w:t>解释、澄清、说明的有关问题</w:t>
      </w:r>
      <w:r>
        <w:tab/>
      </w:r>
      <w:r>
        <w:fldChar w:fldCharType="begin"/>
      </w:r>
      <w:r>
        <w:instrText xml:space="preserve"> PAGEREF _Toc8929 \h </w:instrText>
      </w:r>
      <w:r>
        <w:fldChar w:fldCharType="separate"/>
      </w:r>
      <w:r>
        <w:t>58</w:t>
      </w:r>
      <w:r>
        <w:fldChar w:fldCharType="end"/>
      </w:r>
      <w:r>
        <w:fldChar w:fldCharType="end"/>
      </w:r>
    </w:p>
    <w:p>
      <w:pPr>
        <w:pStyle w:val="38"/>
        <w:tabs>
          <w:tab w:val="right" w:leader="dot" w:pos="8730"/>
        </w:tabs>
        <w:spacing w:line="360" w:lineRule="exact"/>
      </w:pPr>
      <w:r>
        <w:fldChar w:fldCharType="begin"/>
      </w:r>
      <w:r>
        <w:instrText xml:space="preserve"> HYPERLINK \l "_Toc10386" </w:instrText>
      </w:r>
      <w:r>
        <w:fldChar w:fldCharType="separate"/>
      </w:r>
      <w:r>
        <w:t xml:space="preserve">6.2.8 </w:t>
      </w:r>
      <w:r>
        <w:rPr>
          <w:rFonts w:hint="eastAsia"/>
        </w:rPr>
        <w:t>比较与评价</w:t>
      </w:r>
      <w:r>
        <w:tab/>
      </w:r>
      <w:r>
        <w:fldChar w:fldCharType="begin"/>
      </w:r>
      <w:r>
        <w:instrText xml:space="preserve"> PAGEREF _Toc10386 \h </w:instrText>
      </w:r>
      <w:r>
        <w:fldChar w:fldCharType="separate"/>
      </w:r>
      <w:r>
        <w:t>59</w:t>
      </w:r>
      <w:r>
        <w:fldChar w:fldCharType="end"/>
      </w:r>
      <w:r>
        <w:fldChar w:fldCharType="end"/>
      </w:r>
    </w:p>
    <w:p>
      <w:pPr>
        <w:pStyle w:val="38"/>
        <w:tabs>
          <w:tab w:val="right" w:leader="dot" w:pos="8730"/>
        </w:tabs>
        <w:spacing w:line="360" w:lineRule="exact"/>
      </w:pPr>
      <w:r>
        <w:fldChar w:fldCharType="begin"/>
      </w:r>
      <w:r>
        <w:instrText xml:space="preserve"> HYPERLINK \l "_Toc9393" </w:instrText>
      </w:r>
      <w:r>
        <w:fldChar w:fldCharType="separate"/>
      </w:r>
      <w:r>
        <w:t xml:space="preserve">6.2.9 </w:t>
      </w:r>
      <w:r>
        <w:rPr>
          <w:rFonts w:hint="eastAsia"/>
        </w:rPr>
        <w:t>磋商小组复核</w:t>
      </w:r>
      <w:r>
        <w:tab/>
      </w:r>
      <w:r>
        <w:fldChar w:fldCharType="begin"/>
      </w:r>
      <w:r>
        <w:instrText xml:space="preserve"> PAGEREF _Toc9393 \h </w:instrText>
      </w:r>
      <w:r>
        <w:fldChar w:fldCharType="separate"/>
      </w:r>
      <w:r>
        <w:t>59</w:t>
      </w:r>
      <w:r>
        <w:fldChar w:fldCharType="end"/>
      </w:r>
      <w:r>
        <w:fldChar w:fldCharType="end"/>
      </w:r>
    </w:p>
    <w:p>
      <w:pPr>
        <w:pStyle w:val="38"/>
        <w:tabs>
          <w:tab w:val="right" w:leader="dot" w:pos="8730"/>
        </w:tabs>
        <w:spacing w:line="360" w:lineRule="exact"/>
      </w:pPr>
      <w:r>
        <w:fldChar w:fldCharType="begin"/>
      </w:r>
      <w:r>
        <w:instrText xml:space="preserve"> HYPERLINK \l "_Toc9968" </w:instrText>
      </w:r>
      <w:r>
        <w:fldChar w:fldCharType="separate"/>
      </w:r>
      <w:r>
        <w:t xml:space="preserve">6.2.10 </w:t>
      </w:r>
      <w:r>
        <w:rPr>
          <w:rFonts w:hint="eastAsia"/>
        </w:rPr>
        <w:t>推荐成交候选供应商</w:t>
      </w:r>
      <w:r>
        <w:tab/>
      </w:r>
      <w:r>
        <w:fldChar w:fldCharType="begin"/>
      </w:r>
      <w:r>
        <w:instrText xml:space="preserve"> PAGEREF _Toc9968 \h </w:instrText>
      </w:r>
      <w:r>
        <w:fldChar w:fldCharType="separate"/>
      </w:r>
      <w:r>
        <w:t>60</w:t>
      </w:r>
      <w:r>
        <w:fldChar w:fldCharType="end"/>
      </w:r>
      <w:r>
        <w:fldChar w:fldCharType="end"/>
      </w:r>
    </w:p>
    <w:p>
      <w:pPr>
        <w:pStyle w:val="38"/>
        <w:tabs>
          <w:tab w:val="right" w:leader="dot" w:pos="8730"/>
        </w:tabs>
        <w:spacing w:line="360" w:lineRule="exact"/>
      </w:pPr>
      <w:r>
        <w:fldChar w:fldCharType="begin"/>
      </w:r>
      <w:r>
        <w:instrText xml:space="preserve"> HYPERLINK \l "_Toc8657" </w:instrText>
      </w:r>
      <w:r>
        <w:fldChar w:fldCharType="separate"/>
      </w:r>
      <w:r>
        <w:t xml:space="preserve">6.2.11 </w:t>
      </w:r>
      <w:r>
        <w:rPr>
          <w:rFonts w:hint="eastAsia"/>
        </w:rPr>
        <w:t>编写磋商报告</w:t>
      </w:r>
      <w:r>
        <w:tab/>
      </w:r>
      <w:r>
        <w:fldChar w:fldCharType="begin"/>
      </w:r>
      <w:r>
        <w:instrText xml:space="preserve"> PAGEREF _Toc8657 \h </w:instrText>
      </w:r>
      <w:r>
        <w:fldChar w:fldCharType="separate"/>
      </w:r>
      <w:r>
        <w:t>60</w:t>
      </w:r>
      <w:r>
        <w:fldChar w:fldCharType="end"/>
      </w:r>
      <w:r>
        <w:fldChar w:fldCharType="end"/>
      </w:r>
    </w:p>
    <w:p>
      <w:pPr>
        <w:pStyle w:val="38"/>
        <w:tabs>
          <w:tab w:val="right" w:leader="dot" w:pos="8730"/>
        </w:tabs>
        <w:spacing w:line="360" w:lineRule="exact"/>
      </w:pPr>
      <w:r>
        <w:fldChar w:fldCharType="begin"/>
      </w:r>
      <w:r>
        <w:instrText xml:space="preserve"> HYPERLINK \l "_Toc15358" </w:instrText>
      </w:r>
      <w:r>
        <w:fldChar w:fldCharType="separate"/>
      </w:r>
      <w:r>
        <w:t xml:space="preserve">6.2.12 </w:t>
      </w:r>
      <w:r>
        <w:rPr>
          <w:rFonts w:hint="eastAsia"/>
        </w:rPr>
        <w:t>争议处理规则</w:t>
      </w:r>
      <w:r>
        <w:tab/>
      </w:r>
      <w:r>
        <w:fldChar w:fldCharType="begin"/>
      </w:r>
      <w:r>
        <w:instrText xml:space="preserve"> PAGEREF _Toc15358 \h </w:instrText>
      </w:r>
      <w:r>
        <w:fldChar w:fldCharType="separate"/>
      </w:r>
      <w:r>
        <w:t>61</w:t>
      </w:r>
      <w:r>
        <w:fldChar w:fldCharType="end"/>
      </w:r>
      <w:r>
        <w:fldChar w:fldCharType="end"/>
      </w:r>
    </w:p>
    <w:p>
      <w:pPr>
        <w:pStyle w:val="38"/>
        <w:tabs>
          <w:tab w:val="right" w:leader="dot" w:pos="8730"/>
        </w:tabs>
        <w:spacing w:line="360" w:lineRule="exact"/>
      </w:pPr>
      <w:r>
        <w:fldChar w:fldCharType="begin"/>
      </w:r>
      <w:r>
        <w:instrText xml:space="preserve"> HYPERLINK \l "_Toc24058" </w:instrText>
      </w:r>
      <w:r>
        <w:fldChar w:fldCharType="separate"/>
      </w:r>
      <w:r>
        <w:t xml:space="preserve">6.2.13 </w:t>
      </w:r>
      <w:r>
        <w:rPr>
          <w:rFonts w:hint="eastAsia"/>
        </w:rPr>
        <w:t>供应商澄清、说明</w:t>
      </w:r>
      <w:r>
        <w:tab/>
      </w:r>
      <w:r>
        <w:fldChar w:fldCharType="begin"/>
      </w:r>
      <w:r>
        <w:instrText xml:space="preserve"> PAGEREF _Toc24058 \h </w:instrText>
      </w:r>
      <w:r>
        <w:fldChar w:fldCharType="separate"/>
      </w:r>
      <w:r>
        <w:t>61</w:t>
      </w:r>
      <w:r>
        <w:fldChar w:fldCharType="end"/>
      </w:r>
      <w:r>
        <w:fldChar w:fldCharType="end"/>
      </w:r>
    </w:p>
    <w:p>
      <w:pPr>
        <w:pStyle w:val="38"/>
        <w:tabs>
          <w:tab w:val="right" w:leader="dot" w:pos="8730"/>
        </w:tabs>
        <w:spacing w:line="360" w:lineRule="exact"/>
      </w:pPr>
      <w:r>
        <w:fldChar w:fldCharType="begin"/>
      </w:r>
      <w:r>
        <w:instrText xml:space="preserve"> HYPERLINK \l "_Toc13231" </w:instrText>
      </w:r>
      <w:r>
        <w:fldChar w:fldCharType="separate"/>
      </w:r>
      <w:r>
        <w:rPr>
          <w:szCs w:val="28"/>
        </w:rPr>
        <w:t xml:space="preserve">6.1 </w:t>
      </w:r>
      <w:r>
        <w:rPr>
          <w:rFonts w:hint="eastAsia"/>
        </w:rPr>
        <w:t>评审办法和标准</w:t>
      </w:r>
      <w:r>
        <w:tab/>
      </w:r>
      <w:r>
        <w:fldChar w:fldCharType="begin"/>
      </w:r>
      <w:r>
        <w:instrText xml:space="preserve"> PAGEREF _Toc13231 \h </w:instrText>
      </w:r>
      <w:r>
        <w:fldChar w:fldCharType="separate"/>
      </w:r>
      <w:r>
        <w:t>62</w:t>
      </w:r>
      <w:r>
        <w:fldChar w:fldCharType="end"/>
      </w:r>
      <w:r>
        <w:fldChar w:fldCharType="end"/>
      </w:r>
    </w:p>
    <w:p>
      <w:pPr>
        <w:pStyle w:val="38"/>
        <w:tabs>
          <w:tab w:val="right" w:leader="dot" w:pos="8730"/>
        </w:tabs>
        <w:spacing w:line="360" w:lineRule="exact"/>
      </w:pPr>
      <w:r>
        <w:fldChar w:fldCharType="begin"/>
      </w:r>
      <w:r>
        <w:instrText xml:space="preserve"> HYPERLINK \l "_Toc6143" </w:instrText>
      </w:r>
      <w:r>
        <w:fldChar w:fldCharType="separate"/>
      </w:r>
      <w:r>
        <w:rPr>
          <w:szCs w:val="28"/>
        </w:rPr>
        <w:t xml:space="preserve">6.2 </w:t>
      </w:r>
      <w:r>
        <w:rPr>
          <w:rFonts w:hint="eastAsia"/>
        </w:rPr>
        <w:t>采购失败情形</w:t>
      </w:r>
      <w:r>
        <w:tab/>
      </w:r>
      <w:r>
        <w:fldChar w:fldCharType="begin"/>
      </w:r>
      <w:r>
        <w:instrText xml:space="preserve"> PAGEREF _Toc6143 \h </w:instrText>
      </w:r>
      <w:r>
        <w:fldChar w:fldCharType="separate"/>
      </w:r>
      <w:r>
        <w:t>64</w:t>
      </w:r>
      <w:r>
        <w:fldChar w:fldCharType="end"/>
      </w:r>
      <w:r>
        <w:fldChar w:fldCharType="end"/>
      </w:r>
    </w:p>
    <w:p>
      <w:pPr>
        <w:pStyle w:val="38"/>
        <w:tabs>
          <w:tab w:val="right" w:leader="dot" w:pos="8730"/>
        </w:tabs>
        <w:spacing w:line="360" w:lineRule="exact"/>
      </w:pPr>
      <w:r>
        <w:fldChar w:fldCharType="begin"/>
      </w:r>
      <w:r>
        <w:instrText xml:space="preserve"> HYPERLINK \l "_Toc12662" </w:instrText>
      </w:r>
      <w:r>
        <w:fldChar w:fldCharType="separate"/>
      </w:r>
      <w:r>
        <w:rPr>
          <w:szCs w:val="28"/>
        </w:rPr>
        <w:t xml:space="preserve">6.3 </w:t>
      </w:r>
      <w:r>
        <w:rPr>
          <w:rFonts w:hint="eastAsia"/>
        </w:rPr>
        <w:t>确定成交供应商</w:t>
      </w:r>
      <w:r>
        <w:tab/>
      </w:r>
      <w:r>
        <w:fldChar w:fldCharType="begin"/>
      </w:r>
      <w:r>
        <w:instrText xml:space="preserve"> PAGEREF _Toc12662 \h </w:instrText>
      </w:r>
      <w:r>
        <w:fldChar w:fldCharType="separate"/>
      </w:r>
      <w:r>
        <w:t>65</w:t>
      </w:r>
      <w:r>
        <w:fldChar w:fldCharType="end"/>
      </w:r>
      <w:r>
        <w:fldChar w:fldCharType="end"/>
      </w:r>
    </w:p>
    <w:p>
      <w:pPr>
        <w:pStyle w:val="38"/>
        <w:tabs>
          <w:tab w:val="right" w:leader="dot" w:pos="8730"/>
        </w:tabs>
        <w:spacing w:line="360" w:lineRule="exact"/>
      </w:pPr>
      <w:r>
        <w:fldChar w:fldCharType="begin"/>
      </w:r>
      <w:r>
        <w:instrText xml:space="preserve"> HYPERLINK \l "_Toc28109" </w:instrText>
      </w:r>
      <w:r>
        <w:fldChar w:fldCharType="separate"/>
      </w:r>
      <w:r>
        <w:rPr>
          <w:szCs w:val="28"/>
        </w:rPr>
        <w:t xml:space="preserve">6.4 </w:t>
      </w:r>
      <w:r>
        <w:rPr>
          <w:rFonts w:hint="eastAsia"/>
        </w:rPr>
        <w:t>磋商小组成员义务</w:t>
      </w:r>
      <w:r>
        <w:tab/>
      </w:r>
      <w:r>
        <w:fldChar w:fldCharType="begin"/>
      </w:r>
      <w:r>
        <w:instrText xml:space="preserve"> PAGEREF _Toc28109 \h </w:instrText>
      </w:r>
      <w:r>
        <w:fldChar w:fldCharType="separate"/>
      </w:r>
      <w:r>
        <w:t>66</w:t>
      </w:r>
      <w:r>
        <w:fldChar w:fldCharType="end"/>
      </w:r>
      <w:r>
        <w:fldChar w:fldCharType="end"/>
      </w:r>
    </w:p>
    <w:p>
      <w:pPr>
        <w:pStyle w:val="38"/>
        <w:tabs>
          <w:tab w:val="right" w:leader="dot" w:pos="8730"/>
        </w:tabs>
        <w:spacing w:line="360" w:lineRule="exact"/>
      </w:pPr>
      <w:r>
        <w:fldChar w:fldCharType="begin"/>
      </w:r>
      <w:r>
        <w:instrText xml:space="preserve"> HYPERLINK \l "_Toc19137" </w:instrText>
      </w:r>
      <w:r>
        <w:fldChar w:fldCharType="separate"/>
      </w:r>
      <w:r>
        <w:rPr>
          <w:szCs w:val="28"/>
        </w:rPr>
        <w:t xml:space="preserve">6.5 </w:t>
      </w:r>
      <w:r>
        <w:rPr>
          <w:rFonts w:hint="eastAsia"/>
        </w:rPr>
        <w:t>磋商小组及其成员不得有下列行为</w:t>
      </w:r>
      <w:r>
        <w:tab/>
      </w:r>
      <w:r>
        <w:fldChar w:fldCharType="begin"/>
      </w:r>
      <w:r>
        <w:instrText xml:space="preserve"> PAGEREF _Toc19137 \h </w:instrText>
      </w:r>
      <w:r>
        <w:fldChar w:fldCharType="separate"/>
      </w:r>
      <w:r>
        <w:t>67</w:t>
      </w:r>
      <w:r>
        <w:fldChar w:fldCharType="end"/>
      </w:r>
      <w:r>
        <w:fldChar w:fldCharType="end"/>
      </w:r>
    </w:p>
    <w:p>
      <w:pPr>
        <w:pStyle w:val="38"/>
        <w:tabs>
          <w:tab w:val="right" w:leader="dot" w:pos="8730"/>
        </w:tabs>
        <w:spacing w:line="360" w:lineRule="exact"/>
      </w:pPr>
      <w:r>
        <w:fldChar w:fldCharType="begin"/>
      </w:r>
      <w:r>
        <w:instrText xml:space="preserve"> HYPERLINK \l "_Toc14699" </w:instrText>
      </w:r>
      <w:r>
        <w:fldChar w:fldCharType="separate"/>
      </w:r>
      <w:r>
        <w:rPr>
          <w:szCs w:val="28"/>
        </w:rPr>
        <w:t xml:space="preserve">6.6 </w:t>
      </w:r>
      <w:r>
        <w:rPr>
          <w:rFonts w:hint="eastAsia"/>
        </w:rPr>
        <w:t>磋商纪律</w:t>
      </w:r>
      <w:r>
        <w:tab/>
      </w:r>
      <w:r>
        <w:fldChar w:fldCharType="begin"/>
      </w:r>
      <w:r>
        <w:instrText xml:space="preserve"> PAGEREF _Toc14699 \h </w:instrText>
      </w:r>
      <w:r>
        <w:fldChar w:fldCharType="separate"/>
      </w:r>
      <w:r>
        <w:t>67</w:t>
      </w:r>
      <w:r>
        <w:fldChar w:fldCharType="end"/>
      </w:r>
      <w:r>
        <w:fldChar w:fldCharType="end"/>
      </w:r>
    </w:p>
    <w:p>
      <w:pPr>
        <w:pStyle w:val="31"/>
        <w:tabs>
          <w:tab w:val="right" w:leader="dot" w:pos="8730"/>
          <w:tab w:val="clear" w:pos="840"/>
          <w:tab w:val="clear" w:pos="9204"/>
        </w:tabs>
        <w:spacing w:line="360" w:lineRule="exact"/>
      </w:pPr>
      <w:r>
        <w:fldChar w:fldCharType="begin"/>
      </w:r>
      <w:r>
        <w:instrText xml:space="preserve"> HYPERLINK \l "_Toc27270" </w:instrText>
      </w:r>
      <w:r>
        <w:fldChar w:fldCharType="separate"/>
      </w:r>
      <w:r>
        <w:rPr>
          <w:szCs w:val="32"/>
        </w:rPr>
        <w:t xml:space="preserve">第7章 </w:t>
      </w:r>
      <w:r>
        <w:rPr>
          <w:rFonts w:hint="eastAsia"/>
        </w:rPr>
        <w:t>政府采购合同草案</w:t>
      </w:r>
      <w:r>
        <w:tab/>
      </w:r>
      <w:r>
        <w:fldChar w:fldCharType="begin"/>
      </w:r>
      <w:r>
        <w:instrText xml:space="preserve"> PAGEREF _Toc27270 \h </w:instrText>
      </w:r>
      <w:r>
        <w:fldChar w:fldCharType="separate"/>
      </w:r>
      <w:r>
        <w:t>70</w:t>
      </w:r>
      <w:r>
        <w:fldChar w:fldCharType="end"/>
      </w:r>
      <w:r>
        <w:fldChar w:fldCharType="end"/>
      </w:r>
    </w:p>
    <w:p>
      <w:pPr>
        <w:pStyle w:val="31"/>
        <w:tabs>
          <w:tab w:val="right" w:leader="dot" w:pos="8730"/>
          <w:tab w:val="clear" w:pos="840"/>
          <w:tab w:val="clear" w:pos="9204"/>
        </w:tabs>
        <w:spacing w:line="360" w:lineRule="exact"/>
      </w:pPr>
      <w:r>
        <w:fldChar w:fldCharType="begin"/>
      </w:r>
      <w:r>
        <w:instrText xml:space="preserve"> HYPERLINK \l "_Toc30427" </w:instrText>
      </w:r>
      <w:r>
        <w:fldChar w:fldCharType="separate"/>
      </w:r>
      <w:r>
        <w:rPr>
          <w:szCs w:val="32"/>
        </w:rPr>
        <w:t xml:space="preserve">第8章 </w:t>
      </w:r>
      <w:r>
        <w:rPr>
          <w:rFonts w:hint="eastAsia"/>
        </w:rPr>
        <w:t>工程量清单</w:t>
      </w:r>
      <w:r>
        <w:tab/>
      </w:r>
      <w:r>
        <w:fldChar w:fldCharType="begin"/>
      </w:r>
      <w:r>
        <w:instrText xml:space="preserve"> PAGEREF _Toc30427 \h </w:instrText>
      </w:r>
      <w:r>
        <w:fldChar w:fldCharType="separate"/>
      </w:r>
      <w:r>
        <w:t>74</w:t>
      </w:r>
      <w:r>
        <w:fldChar w:fldCharType="end"/>
      </w:r>
      <w:r>
        <w:fldChar w:fldCharType="end"/>
      </w:r>
    </w:p>
    <w:p>
      <w:pPr>
        <w:pStyle w:val="31"/>
        <w:spacing w:line="360" w:lineRule="exact"/>
        <w:rPr>
          <w:rFonts w:ascii="宋体" w:hAnsi="宋体"/>
          <w:b w:val="0"/>
          <w:bCs w:val="0"/>
          <w:sz w:val="36"/>
          <w:szCs w:val="36"/>
        </w:rPr>
        <w:sectPr>
          <w:footerReference r:id="rId6" w:type="first"/>
          <w:footerReference r:id="rId5" w:type="default"/>
          <w:pgSz w:w="11906" w:h="16838"/>
          <w:pgMar w:top="1758" w:right="1588" w:bottom="1758" w:left="1588" w:header="851" w:footer="992" w:gutter="0"/>
          <w:pgNumType w:start="1"/>
          <w:cols w:space="720" w:num="1"/>
          <w:docGrid w:linePitch="312" w:charSpace="0"/>
        </w:sectPr>
      </w:pPr>
      <w:r>
        <w:rPr>
          <w:rFonts w:ascii="宋体" w:hAnsi="宋体"/>
          <w:bCs w:val="0"/>
          <w:color w:val="FF0000"/>
          <w:szCs w:val="36"/>
        </w:rPr>
        <w:fldChar w:fldCharType="end"/>
      </w:r>
    </w:p>
    <w:p>
      <w:pPr>
        <w:pStyle w:val="3"/>
        <w:numPr>
          <w:ilvl w:val="0"/>
          <w:numId w:val="1"/>
        </w:numPr>
        <w:spacing w:before="0" w:after="0"/>
        <w:ind w:left="0" w:firstLine="0"/>
      </w:pPr>
      <w:bookmarkStart w:id="0" w:name="_Toc29370"/>
      <w:r>
        <w:rPr>
          <w:rFonts w:hint="eastAsia"/>
        </w:rPr>
        <w:t>竞争性磋商邀请</w:t>
      </w:r>
      <w:bookmarkEnd w:id="0"/>
    </w:p>
    <w:p>
      <w:pPr>
        <w:spacing w:line="360" w:lineRule="auto"/>
        <w:ind w:right="-24" w:rightChars="-10" w:firstLine="565" w:firstLineChars="201"/>
        <w:rPr>
          <w:rFonts w:ascii="宋体" w:hAnsi="宋体"/>
          <w:sz w:val="28"/>
          <w:szCs w:val="28"/>
        </w:rPr>
      </w:pPr>
      <w:r>
        <w:rPr>
          <w:rFonts w:hint="eastAsia" w:ascii="宋体" w:hAnsi="宋体"/>
          <w:b/>
          <w:sz w:val="28"/>
          <w:szCs w:val="28"/>
        </w:rPr>
        <w:t>成都高新区政府采购服务中心</w:t>
      </w:r>
      <w:r>
        <w:rPr>
          <w:rFonts w:hint="eastAsia" w:ascii="宋体" w:hAnsi="宋体"/>
          <w:sz w:val="28"/>
          <w:szCs w:val="28"/>
        </w:rPr>
        <w:t>(以下简称“高新区采购中心”)受</w:t>
      </w:r>
      <w:r>
        <w:rPr>
          <w:rFonts w:hint="eastAsia" w:ascii="宋体" w:hAnsi="宋体"/>
          <w:b/>
          <w:sz w:val="28"/>
          <w:szCs w:val="28"/>
        </w:rPr>
        <w:t>四川省成都市中和中学</w:t>
      </w:r>
      <w:r>
        <w:rPr>
          <w:rFonts w:hint="eastAsia" w:ascii="宋体" w:hAnsi="宋体"/>
          <w:sz w:val="28"/>
          <w:szCs w:val="28"/>
        </w:rPr>
        <w:t>委托,拟对</w:t>
      </w:r>
      <w:r>
        <w:rPr>
          <w:rFonts w:hint="eastAsia" w:ascii="宋体" w:hAnsi="宋体"/>
          <w:b/>
          <w:sz w:val="28"/>
          <w:szCs w:val="28"/>
        </w:rPr>
        <w:t>成都市中和中学2021年提升修缮工程采购项目</w:t>
      </w:r>
      <w:r>
        <w:rPr>
          <w:rFonts w:hint="eastAsia" w:ascii="宋体" w:hAnsi="宋体"/>
          <w:sz w:val="28"/>
          <w:szCs w:val="28"/>
        </w:rPr>
        <w:t>采用竞争性磋商采购方式进行采购，特邀请</w:t>
      </w:r>
      <w:r>
        <w:rPr>
          <w:rFonts w:hint="eastAsia" w:ascii="宋体" w:hAnsi="宋体"/>
          <w:sz w:val="28"/>
        </w:rPr>
        <w:t>通过四川省政府采购供应商库系统</w:t>
      </w:r>
      <w:r>
        <w:rPr>
          <w:rFonts w:ascii="宋体" w:hAnsi="宋体"/>
          <w:sz w:val="28"/>
        </w:rPr>
        <w:t>随机抽取</w:t>
      </w:r>
      <w:r>
        <w:rPr>
          <w:rFonts w:hint="eastAsia" w:ascii="宋体" w:hAnsi="宋体"/>
          <w:sz w:val="28"/>
        </w:rPr>
        <w:t>选中的</w:t>
      </w:r>
      <w:r>
        <w:rPr>
          <w:rFonts w:hint="eastAsia" w:ascii="宋体" w:hAnsi="宋体"/>
          <w:sz w:val="28"/>
          <w:szCs w:val="28"/>
        </w:rPr>
        <w:t>供应商参加本项目的竞争性磋商。</w:t>
      </w:r>
    </w:p>
    <w:p>
      <w:pPr>
        <w:numPr>
          <w:ilvl w:val="0"/>
          <w:numId w:val="2"/>
        </w:numPr>
        <w:spacing w:line="360" w:lineRule="auto"/>
        <w:ind w:left="1134" w:hanging="563"/>
        <w:jc w:val="both"/>
        <w:rPr>
          <w:rFonts w:ascii="宋体" w:hAnsi="宋体"/>
          <w:color w:val="auto"/>
          <w:sz w:val="28"/>
          <w:szCs w:val="28"/>
        </w:rPr>
      </w:pPr>
      <w:r>
        <w:rPr>
          <w:rFonts w:hint="eastAsia" w:ascii="宋体" w:hAnsi="宋体"/>
          <w:b/>
          <w:sz w:val="28"/>
          <w:szCs w:val="28"/>
        </w:rPr>
        <w:t>项目编号</w:t>
      </w:r>
      <w:r>
        <w:rPr>
          <w:rFonts w:hint="eastAsia" w:ascii="宋体" w:hAnsi="宋体"/>
          <w:sz w:val="28"/>
          <w:szCs w:val="28"/>
        </w:rPr>
        <w:t>：</w:t>
      </w:r>
      <w:r>
        <w:rPr>
          <w:rFonts w:hint="eastAsia" w:ascii="宋体" w:hAnsi="宋体"/>
          <w:b/>
          <w:sz w:val="28"/>
          <w:szCs w:val="28"/>
        </w:rPr>
        <w:t>成都高新技术产业开发区</w:t>
      </w:r>
      <w:r>
        <w:rPr>
          <w:rFonts w:hint="eastAsia" w:ascii="宋体" w:hAnsi="宋体"/>
          <w:b/>
          <w:color w:val="auto"/>
          <w:sz w:val="28"/>
          <w:szCs w:val="28"/>
        </w:rPr>
        <w:t>政采</w:t>
      </w:r>
      <w:r>
        <w:rPr>
          <w:rFonts w:hint="eastAsia" w:ascii="宋体" w:hAnsi="宋体"/>
          <w:b/>
          <w:color w:val="auto"/>
          <w:sz w:val="28"/>
          <w:szCs w:val="28"/>
          <w:lang w:eastAsia="zh-CN"/>
        </w:rPr>
        <w:t>（2021）A0054</w:t>
      </w:r>
      <w:r>
        <w:rPr>
          <w:rFonts w:hint="eastAsia" w:ascii="宋体" w:hAnsi="宋体"/>
          <w:b/>
          <w:color w:val="auto"/>
          <w:sz w:val="28"/>
          <w:szCs w:val="28"/>
        </w:rPr>
        <w:t>号</w:t>
      </w:r>
    </w:p>
    <w:p>
      <w:pPr>
        <w:spacing w:line="360" w:lineRule="auto"/>
        <w:ind w:firstLine="562" w:firstLineChars="200"/>
        <w:rPr>
          <w:rFonts w:ascii="宋体" w:hAnsi="宋体"/>
          <w:b/>
          <w:color w:val="auto"/>
          <w:sz w:val="28"/>
          <w:szCs w:val="28"/>
        </w:rPr>
      </w:pPr>
      <w:r>
        <w:rPr>
          <w:rFonts w:hint="eastAsia" w:ascii="宋体" w:hAnsi="宋体"/>
          <w:b/>
          <w:color w:val="auto"/>
          <w:sz w:val="28"/>
          <w:szCs w:val="28"/>
        </w:rPr>
        <w:t>（采购项目编号：</w:t>
      </w:r>
      <w:r>
        <w:rPr>
          <w:rFonts w:hint="eastAsia" w:ascii="宋体" w:hAnsi="宋体"/>
          <w:b/>
          <w:color w:val="auto"/>
          <w:sz w:val="28"/>
          <w:szCs w:val="28"/>
          <w:lang w:eastAsia="zh-CN"/>
        </w:rPr>
        <w:t>510188202100312</w:t>
      </w:r>
      <w:r>
        <w:rPr>
          <w:rFonts w:hint="eastAsia" w:ascii="宋体" w:hAnsi="宋体"/>
          <w:b/>
          <w:color w:val="auto"/>
          <w:sz w:val="28"/>
          <w:szCs w:val="28"/>
        </w:rPr>
        <w:t>）</w:t>
      </w:r>
    </w:p>
    <w:p>
      <w:pPr>
        <w:numPr>
          <w:ilvl w:val="0"/>
          <w:numId w:val="2"/>
        </w:numPr>
        <w:spacing w:line="360" w:lineRule="auto"/>
        <w:ind w:left="0" w:firstLine="567"/>
        <w:jc w:val="both"/>
        <w:rPr>
          <w:rFonts w:ascii="宋体" w:hAnsi="宋体"/>
          <w:sz w:val="28"/>
          <w:szCs w:val="28"/>
        </w:rPr>
      </w:pPr>
      <w:r>
        <w:rPr>
          <w:rFonts w:hint="eastAsia" w:ascii="宋体" w:hAnsi="宋体"/>
          <w:b/>
          <w:sz w:val="28"/>
          <w:szCs w:val="28"/>
        </w:rPr>
        <w:t>项目名称</w:t>
      </w:r>
      <w:r>
        <w:rPr>
          <w:rFonts w:hint="eastAsia" w:ascii="宋体" w:hAnsi="宋体"/>
          <w:sz w:val="28"/>
          <w:szCs w:val="28"/>
        </w:rPr>
        <w:t>：</w:t>
      </w:r>
      <w:r>
        <w:rPr>
          <w:rFonts w:hint="eastAsia" w:ascii="宋体" w:hAnsi="宋体"/>
          <w:b/>
          <w:sz w:val="28"/>
          <w:szCs w:val="28"/>
        </w:rPr>
        <w:t>成都市中和中学2021年提升修缮工程采购项目</w:t>
      </w:r>
    </w:p>
    <w:p>
      <w:pPr>
        <w:numPr>
          <w:ilvl w:val="0"/>
          <w:numId w:val="2"/>
        </w:numPr>
        <w:spacing w:line="360" w:lineRule="auto"/>
        <w:ind w:left="0" w:firstLine="567"/>
        <w:jc w:val="both"/>
        <w:rPr>
          <w:rFonts w:ascii="宋体" w:hAnsi="宋体"/>
          <w:b/>
          <w:sz w:val="28"/>
          <w:szCs w:val="28"/>
        </w:rPr>
      </w:pPr>
      <w:r>
        <w:rPr>
          <w:rFonts w:hint="eastAsia" w:ascii="宋体" w:hAnsi="宋体"/>
          <w:b/>
          <w:sz w:val="28"/>
          <w:szCs w:val="28"/>
        </w:rPr>
        <w:t>资金来源、预算金额及最高限价：</w:t>
      </w:r>
      <w:r>
        <w:rPr>
          <w:rFonts w:hint="eastAsia" w:ascii="宋体" w:hAnsi="宋体"/>
          <w:sz w:val="28"/>
          <w:szCs w:val="28"/>
        </w:rPr>
        <w:t>财政性资金，政府采购实施计划备案表号：（2021）1310号；预算品目：B0899其他建筑物、构筑物修缮；预算金额：168.8154万元；最高限价（控制价）：168.8154万元。采购标</w:t>
      </w:r>
      <w:r>
        <w:rPr>
          <w:rFonts w:ascii="宋体" w:hAnsi="宋体"/>
          <w:sz w:val="28"/>
          <w:szCs w:val="28"/>
        </w:rPr>
        <w:t>的</w:t>
      </w:r>
      <w:r>
        <w:rPr>
          <w:rFonts w:hint="eastAsia" w:ascii="宋体" w:hAnsi="宋体"/>
          <w:sz w:val="28"/>
          <w:szCs w:val="28"/>
        </w:rPr>
        <w:t>及所属行业</w:t>
      </w:r>
      <w:r>
        <w:rPr>
          <w:rFonts w:ascii="宋体" w:hAnsi="宋体"/>
          <w:sz w:val="28"/>
          <w:szCs w:val="28"/>
        </w:rPr>
        <w:t>：</w:t>
      </w:r>
      <w:r>
        <w:rPr>
          <w:rFonts w:hint="eastAsia" w:ascii="宋体" w:hAnsi="宋体"/>
          <w:b/>
          <w:sz w:val="28"/>
          <w:szCs w:val="28"/>
        </w:rPr>
        <w:t>成都市中和中学2021年提升修缮工程</w:t>
      </w:r>
      <w:r>
        <w:rPr>
          <w:rFonts w:hint="eastAsia" w:ascii="宋体" w:hAnsi="宋体"/>
          <w:sz w:val="28"/>
          <w:szCs w:val="28"/>
        </w:rPr>
        <w:t>，</w:t>
      </w:r>
      <w:r>
        <w:rPr>
          <w:rFonts w:ascii="宋体" w:hAnsi="宋体"/>
          <w:sz w:val="28"/>
          <w:szCs w:val="28"/>
        </w:rPr>
        <w:t>所属行业为</w:t>
      </w:r>
      <w:r>
        <w:rPr>
          <w:rFonts w:hint="eastAsia" w:ascii="宋体" w:hAnsi="宋体"/>
          <w:sz w:val="28"/>
          <w:szCs w:val="28"/>
        </w:rPr>
        <w:t>公共建筑装饰和装修。采购</w:t>
      </w:r>
      <w:r>
        <w:rPr>
          <w:rFonts w:hint="eastAsia" w:ascii="宋体" w:hAnsi="宋体"/>
          <w:b/>
          <w:bCs/>
          <w:sz w:val="28"/>
          <w:szCs w:val="28"/>
        </w:rPr>
        <w:t>成都市中和中学2021年提升修缮工程</w:t>
      </w:r>
      <w:r>
        <w:rPr>
          <w:rFonts w:hint="eastAsia" w:ascii="宋体" w:hAnsi="宋体"/>
          <w:sz w:val="28"/>
          <w:szCs w:val="28"/>
        </w:rPr>
        <w:t>采购项目供应商一名</w:t>
      </w:r>
      <w:r>
        <w:rPr>
          <w:rFonts w:hint="eastAsia"/>
          <w:sz w:val="28"/>
          <w:szCs w:val="28"/>
        </w:rPr>
        <w:t>。</w:t>
      </w:r>
    </w:p>
    <w:p>
      <w:pPr>
        <w:numPr>
          <w:ilvl w:val="0"/>
          <w:numId w:val="2"/>
        </w:numPr>
        <w:spacing w:line="360" w:lineRule="auto"/>
        <w:ind w:left="0" w:firstLine="567"/>
        <w:jc w:val="both"/>
        <w:rPr>
          <w:rFonts w:ascii="宋体" w:hAnsi="宋体"/>
          <w:b/>
          <w:sz w:val="28"/>
          <w:szCs w:val="28"/>
        </w:rPr>
      </w:pPr>
      <w:r>
        <w:rPr>
          <w:rFonts w:hint="eastAsia" w:ascii="宋体" w:hAnsi="宋体"/>
          <w:b/>
          <w:sz w:val="28"/>
          <w:szCs w:val="28"/>
        </w:rPr>
        <w:t>采购项目简介：</w:t>
      </w:r>
    </w:p>
    <w:p>
      <w:pPr>
        <w:numPr>
          <w:ilvl w:val="0"/>
          <w:numId w:val="3"/>
        </w:numPr>
        <w:spacing w:line="600" w:lineRule="exact"/>
        <w:ind w:left="0"/>
        <w:rPr>
          <w:rFonts w:ascii="宋体" w:hAnsi="宋体"/>
          <w:bCs/>
          <w:sz w:val="28"/>
          <w:szCs w:val="28"/>
        </w:rPr>
      </w:pPr>
      <w:r>
        <w:rPr>
          <w:rFonts w:hint="eastAsia" w:ascii="宋体" w:hAnsi="宋体"/>
          <w:bCs/>
          <w:sz w:val="28"/>
          <w:szCs w:val="28"/>
        </w:rPr>
        <w:t>工程内容:（1）高中部食堂一、二、三楼就餐区提升修缮。①顶面改造，采用1.0厚600*600铝扣板吊顶，面积约1600㎡。 ②食堂窗户改造，采用断桥铝合金材质，面积约500㎡。③食堂一、二楼内部墙面改造，采用300*600玻化瓷砖，面积约500㎡。 ④食堂灯具、排气扇、风扇等改造，包括电线、安装辅材等。（2）男女生公寓窗户改造约1400㎡，材质断桥。（最终建设规模以设计和造价为准）</w:t>
      </w:r>
    </w:p>
    <w:p>
      <w:pPr>
        <w:numPr>
          <w:ilvl w:val="0"/>
          <w:numId w:val="3"/>
        </w:numPr>
        <w:spacing w:line="600" w:lineRule="exact"/>
        <w:ind w:left="0"/>
        <w:rPr>
          <w:rFonts w:ascii="宋体" w:hAnsi="宋体"/>
          <w:b/>
          <w:sz w:val="28"/>
          <w:szCs w:val="28"/>
        </w:rPr>
      </w:pPr>
      <w:r>
        <w:rPr>
          <w:rFonts w:hint="eastAsia" w:ascii="宋体" w:hAnsi="宋体"/>
          <w:bCs/>
          <w:sz w:val="28"/>
          <w:szCs w:val="28"/>
        </w:rPr>
        <w:t>工程地址：四川省成都市中和中学高中部</w:t>
      </w:r>
    </w:p>
    <w:p>
      <w:pPr>
        <w:numPr>
          <w:ilvl w:val="0"/>
          <w:numId w:val="3"/>
        </w:numPr>
        <w:spacing w:line="600" w:lineRule="exact"/>
        <w:ind w:left="0"/>
        <w:rPr>
          <w:rFonts w:ascii="宋体" w:hAnsi="宋体"/>
          <w:bCs/>
          <w:sz w:val="28"/>
          <w:szCs w:val="28"/>
        </w:rPr>
      </w:pPr>
      <w:r>
        <w:rPr>
          <w:rFonts w:hint="eastAsia" w:ascii="宋体" w:hAnsi="宋体"/>
          <w:bCs/>
          <w:sz w:val="28"/>
          <w:szCs w:val="28"/>
        </w:rPr>
        <w:t>工期要求：6个月</w:t>
      </w:r>
    </w:p>
    <w:p>
      <w:pPr>
        <w:numPr>
          <w:ilvl w:val="0"/>
          <w:numId w:val="2"/>
        </w:numPr>
        <w:tabs>
          <w:tab w:val="left" w:pos="1134"/>
        </w:tabs>
        <w:spacing w:line="360" w:lineRule="auto"/>
        <w:ind w:left="0" w:firstLine="567"/>
        <w:jc w:val="both"/>
        <w:rPr>
          <w:rFonts w:ascii="宋体" w:hAnsi="宋体"/>
          <w:sz w:val="28"/>
          <w:szCs w:val="28"/>
        </w:rPr>
      </w:pPr>
      <w:r>
        <w:rPr>
          <w:rFonts w:hint="eastAsia" w:ascii="宋体" w:hAnsi="宋体"/>
          <w:b/>
          <w:sz w:val="28"/>
        </w:rPr>
        <w:t>定向采购情况：</w:t>
      </w:r>
      <w:r>
        <w:rPr>
          <w:rFonts w:hint="eastAsia" w:ascii="宋体" w:hAnsi="宋体"/>
          <w:sz w:val="28"/>
        </w:rPr>
        <w:t>本项目专门面向中小企业采购。</w:t>
      </w:r>
    </w:p>
    <w:p>
      <w:pPr>
        <w:numPr>
          <w:ilvl w:val="0"/>
          <w:numId w:val="2"/>
        </w:numPr>
        <w:tabs>
          <w:tab w:val="left" w:pos="5949"/>
        </w:tabs>
        <w:spacing w:line="360" w:lineRule="auto"/>
        <w:ind w:left="0" w:firstLine="567"/>
        <w:jc w:val="center"/>
        <w:rPr>
          <w:rFonts w:ascii="宋体" w:hAnsi="宋体"/>
          <w:sz w:val="28"/>
        </w:rPr>
      </w:pPr>
      <w:r>
        <w:rPr>
          <w:rFonts w:hint="eastAsia" w:ascii="宋体" w:hAnsi="宋体"/>
          <w:b/>
          <w:bCs/>
          <w:sz w:val="28"/>
          <w:szCs w:val="28"/>
        </w:rPr>
        <w:t>邀请供应商：</w:t>
      </w:r>
      <w:r>
        <w:rPr>
          <w:rFonts w:hint="eastAsia" w:ascii="宋体" w:hAnsi="宋体"/>
          <w:sz w:val="28"/>
        </w:rPr>
        <w:t>本项目已通过四川省政府采购供应商库系统随机抽取符合资格条件要求的供应商，邀请通过四川省政府采购供应商库系统</w:t>
      </w:r>
      <w:r>
        <w:rPr>
          <w:rFonts w:ascii="宋体" w:hAnsi="宋体"/>
          <w:sz w:val="28"/>
        </w:rPr>
        <w:t>随机抽取</w:t>
      </w:r>
      <w:r>
        <w:rPr>
          <w:rFonts w:hint="eastAsia" w:ascii="宋体" w:hAnsi="宋体"/>
          <w:sz w:val="28"/>
        </w:rPr>
        <w:t>选中的</w:t>
      </w:r>
      <w:r>
        <w:rPr>
          <w:rFonts w:hint="eastAsia" w:ascii="宋体" w:hAnsi="宋体"/>
          <w:b/>
          <w:sz w:val="28"/>
          <w:u w:val="single"/>
        </w:rPr>
        <w:t>7</w:t>
      </w:r>
      <w:r>
        <w:rPr>
          <w:rFonts w:hint="eastAsia" w:ascii="宋体" w:hAnsi="宋体"/>
          <w:sz w:val="28"/>
        </w:rPr>
        <w:t>家进入磋商环节</w:t>
      </w:r>
      <w:r>
        <w:rPr>
          <w:rFonts w:ascii="宋体" w:hAnsi="宋体"/>
          <w:sz w:val="28"/>
        </w:rPr>
        <w:t>的供应商参加本项目的竞争性磋</w:t>
      </w:r>
      <w:r>
        <w:rPr>
          <w:rFonts w:hint="eastAsia" w:ascii="宋体" w:hAnsi="宋体"/>
          <w:sz w:val="28"/>
          <w:lang w:val="en-US" w:eastAsia="zh-CN"/>
        </w:rPr>
        <w:t>商。</w:t>
      </w:r>
    </w:p>
    <w:p>
      <w:pPr>
        <w:tabs>
          <w:tab w:val="left" w:pos="5949"/>
        </w:tabs>
        <w:spacing w:line="360" w:lineRule="auto"/>
        <w:ind w:left="567"/>
        <w:jc w:val="both"/>
        <w:rPr>
          <w:rFonts w:ascii="宋体" w:hAnsi="宋体"/>
          <w:sz w:val="28"/>
        </w:rPr>
      </w:pPr>
      <w:r>
        <w:rPr>
          <w:rFonts w:hint="eastAsia" w:ascii="宋体" w:hAnsi="宋体"/>
          <w:sz w:val="28"/>
        </w:rPr>
        <w:t>本项目</w:t>
      </w:r>
      <w:r>
        <w:rPr>
          <w:rFonts w:hint="eastAsia" w:ascii="宋体" w:hAnsi="宋体"/>
          <w:b/>
          <w:sz w:val="28"/>
        </w:rPr>
        <w:t>不接受</w:t>
      </w:r>
      <w:r>
        <w:rPr>
          <w:rFonts w:hint="eastAsia" w:ascii="宋体" w:hAnsi="宋体"/>
          <w:sz w:val="28"/>
        </w:rPr>
        <w:t>被邀请的供应商以联合体形式参加磋商。</w:t>
      </w:r>
    </w:p>
    <w:p>
      <w:pPr>
        <w:numPr>
          <w:ilvl w:val="0"/>
          <w:numId w:val="2"/>
        </w:numPr>
        <w:spacing w:line="360" w:lineRule="auto"/>
        <w:ind w:left="0" w:firstLine="567"/>
        <w:jc w:val="both"/>
        <w:rPr>
          <w:rFonts w:ascii="宋体" w:hAnsi="宋体"/>
          <w:b/>
          <w:sz w:val="28"/>
          <w:szCs w:val="28"/>
        </w:rPr>
      </w:pPr>
      <w:r>
        <w:rPr>
          <w:rFonts w:hint="eastAsia" w:ascii="宋体" w:hAnsi="宋体"/>
          <w:b/>
          <w:sz w:val="28"/>
          <w:szCs w:val="28"/>
        </w:rPr>
        <w:t>供应商参加本次政府采购活动应具备的条件</w:t>
      </w:r>
    </w:p>
    <w:p>
      <w:pPr>
        <w:widowControl w:val="0"/>
        <w:numPr>
          <w:ilvl w:val="0"/>
          <w:numId w:val="4"/>
        </w:numPr>
        <w:tabs>
          <w:tab w:val="left" w:pos="0"/>
          <w:tab w:val="left" w:pos="851"/>
          <w:tab w:val="left" w:pos="960"/>
          <w:tab w:val="left" w:pos="1276"/>
          <w:tab w:val="left" w:pos="5949"/>
          <w:tab w:val="clear" w:pos="846"/>
        </w:tabs>
        <w:spacing w:line="360" w:lineRule="auto"/>
        <w:ind w:left="0" w:firstLine="567"/>
        <w:jc w:val="both"/>
        <w:rPr>
          <w:rFonts w:ascii="宋体" w:hAnsi="宋体"/>
          <w:sz w:val="28"/>
          <w:szCs w:val="28"/>
        </w:rPr>
      </w:pPr>
      <w:r>
        <w:rPr>
          <w:rFonts w:hint="eastAsia" w:ascii="宋体" w:hAnsi="宋体"/>
          <w:sz w:val="28"/>
          <w:szCs w:val="28"/>
        </w:rPr>
        <w:t>符合《政府采购法》第二十二条第一款规定的条件；</w:t>
      </w:r>
    </w:p>
    <w:p>
      <w:pPr>
        <w:widowControl w:val="0"/>
        <w:numPr>
          <w:ilvl w:val="0"/>
          <w:numId w:val="4"/>
        </w:numPr>
        <w:tabs>
          <w:tab w:val="left" w:pos="0"/>
          <w:tab w:val="left" w:pos="851"/>
          <w:tab w:val="left" w:pos="960"/>
          <w:tab w:val="left" w:pos="1276"/>
          <w:tab w:val="left" w:pos="5949"/>
          <w:tab w:val="clear" w:pos="846"/>
        </w:tabs>
        <w:spacing w:line="360" w:lineRule="auto"/>
        <w:ind w:left="0" w:firstLine="567"/>
        <w:jc w:val="both"/>
        <w:rPr>
          <w:rFonts w:ascii="宋体" w:hAnsi="宋体"/>
          <w:sz w:val="28"/>
          <w:szCs w:val="28"/>
        </w:rPr>
      </w:pPr>
      <w:r>
        <w:rPr>
          <w:rFonts w:hint="eastAsia" w:ascii="宋体" w:hAnsi="宋体"/>
          <w:sz w:val="28"/>
          <w:szCs w:val="28"/>
        </w:rPr>
        <w:t>本次政府采购活动不接受供应商以联合体的形式参加磋商</w:t>
      </w:r>
      <w:r>
        <w:rPr>
          <w:rFonts w:hint="eastAsia" w:ascii="宋体" w:hAnsi="宋体"/>
          <w:sz w:val="28"/>
          <w:szCs w:val="28"/>
          <w:lang w:eastAsia="zh-CN"/>
        </w:rPr>
        <w:t>；</w:t>
      </w:r>
    </w:p>
    <w:p>
      <w:pPr>
        <w:widowControl w:val="0"/>
        <w:numPr>
          <w:ilvl w:val="0"/>
          <w:numId w:val="4"/>
        </w:numPr>
        <w:tabs>
          <w:tab w:val="left" w:pos="0"/>
          <w:tab w:val="left" w:pos="851"/>
          <w:tab w:val="left" w:pos="960"/>
          <w:tab w:val="left" w:pos="1276"/>
          <w:tab w:val="left" w:pos="5949"/>
          <w:tab w:val="clear" w:pos="846"/>
        </w:tabs>
        <w:spacing w:line="360" w:lineRule="auto"/>
        <w:ind w:left="0" w:firstLine="567"/>
        <w:jc w:val="both"/>
        <w:rPr>
          <w:rFonts w:ascii="宋体" w:hAnsi="宋体"/>
          <w:sz w:val="28"/>
          <w:szCs w:val="28"/>
        </w:rPr>
      </w:pPr>
      <w:r>
        <w:rPr>
          <w:rFonts w:hint="eastAsia" w:ascii="宋体" w:hAnsi="宋体"/>
          <w:sz w:val="28"/>
          <w:szCs w:val="28"/>
        </w:rPr>
        <w:t>本项目特定资格条件：</w:t>
      </w:r>
    </w:p>
    <w:p>
      <w:pPr>
        <w:widowControl w:val="0"/>
        <w:numPr>
          <w:ilvl w:val="0"/>
          <w:numId w:val="0"/>
        </w:numPr>
        <w:tabs>
          <w:tab w:val="left" w:pos="0"/>
          <w:tab w:val="left" w:pos="851"/>
          <w:tab w:val="left" w:pos="960"/>
          <w:tab w:val="left" w:pos="1276"/>
          <w:tab w:val="left" w:pos="5949"/>
        </w:tabs>
        <w:spacing w:line="360" w:lineRule="auto"/>
        <w:ind w:left="567" w:leftChars="0"/>
        <w:jc w:val="both"/>
        <w:rPr>
          <w:rFonts w:hint="default" w:ascii="宋体" w:hAnsi="宋体" w:eastAsia="宋体"/>
          <w:sz w:val="28"/>
          <w:szCs w:val="28"/>
          <w:lang w:val="en-US" w:eastAsia="zh-CN"/>
        </w:rPr>
      </w:pPr>
      <w:r>
        <w:rPr>
          <w:rFonts w:hint="eastAsia" w:ascii="宋体" w:hAnsi="宋体"/>
          <w:sz w:val="28"/>
          <w:szCs w:val="28"/>
          <w:lang w:val="en-US" w:eastAsia="zh-CN"/>
        </w:rPr>
        <w:t>1.具备建设行政主管部门核发且在有效期内的建筑工程施工总承包叁级及以上资质；</w:t>
      </w:r>
    </w:p>
    <w:p>
      <w:pPr>
        <w:widowControl w:val="0"/>
        <w:numPr>
          <w:ilvl w:val="0"/>
          <w:numId w:val="0"/>
        </w:numPr>
        <w:tabs>
          <w:tab w:val="left" w:pos="0"/>
          <w:tab w:val="left" w:pos="851"/>
          <w:tab w:val="left" w:pos="960"/>
          <w:tab w:val="left" w:pos="1276"/>
          <w:tab w:val="left" w:pos="5949"/>
        </w:tabs>
        <w:spacing w:line="360" w:lineRule="auto"/>
        <w:ind w:left="567" w:leftChars="0"/>
        <w:jc w:val="both"/>
        <w:rPr>
          <w:rFonts w:ascii="宋体" w:hAnsi="宋体"/>
          <w:sz w:val="28"/>
          <w:szCs w:val="28"/>
        </w:rPr>
      </w:pPr>
      <w:r>
        <w:rPr>
          <w:rFonts w:hint="eastAsia" w:ascii="宋体" w:hAnsi="宋体"/>
          <w:sz w:val="28"/>
          <w:szCs w:val="28"/>
          <w:lang w:val="en-US" w:eastAsia="zh-CN"/>
        </w:rPr>
        <w:t>2.</w:t>
      </w:r>
      <w:r>
        <w:rPr>
          <w:rFonts w:hint="eastAsia" w:ascii="宋体" w:hAnsi="宋体"/>
          <w:sz w:val="28"/>
          <w:szCs w:val="28"/>
        </w:rPr>
        <w:t>具备有效的《安全生产许可证》。</w:t>
      </w:r>
    </w:p>
    <w:p>
      <w:pPr>
        <w:numPr>
          <w:ilvl w:val="0"/>
          <w:numId w:val="2"/>
        </w:numPr>
        <w:spacing w:line="360" w:lineRule="auto"/>
        <w:ind w:left="0" w:firstLine="567"/>
        <w:jc w:val="both"/>
        <w:rPr>
          <w:rFonts w:ascii="宋体" w:hAnsi="宋体"/>
          <w:b/>
          <w:sz w:val="28"/>
          <w:szCs w:val="28"/>
        </w:rPr>
      </w:pPr>
      <w:r>
        <w:rPr>
          <w:rFonts w:hint="eastAsia" w:ascii="宋体" w:hAnsi="宋体"/>
          <w:b/>
          <w:sz w:val="28"/>
          <w:szCs w:val="28"/>
        </w:rPr>
        <w:t>采购项目技术、服务、商务和报价要求</w:t>
      </w:r>
    </w:p>
    <w:p>
      <w:pPr>
        <w:numPr>
          <w:ilvl w:val="0"/>
          <w:numId w:val="5"/>
        </w:numPr>
        <w:tabs>
          <w:tab w:val="left" w:pos="851"/>
        </w:tabs>
        <w:spacing w:line="360" w:lineRule="auto"/>
        <w:rPr>
          <w:rFonts w:ascii="宋体" w:hAnsi="宋体"/>
          <w:sz w:val="28"/>
          <w:szCs w:val="28"/>
        </w:rPr>
      </w:pPr>
      <w:r>
        <w:rPr>
          <w:rFonts w:hint="eastAsia" w:ascii="宋体" w:hAnsi="宋体"/>
          <w:sz w:val="28"/>
          <w:szCs w:val="28"/>
        </w:rPr>
        <w:t>采购内容</w:t>
      </w:r>
    </w:p>
    <w:p>
      <w:pPr>
        <w:tabs>
          <w:tab w:val="left" w:pos="851"/>
        </w:tabs>
        <w:spacing w:line="360" w:lineRule="auto"/>
        <w:ind w:firstLine="560" w:firstLineChars="200"/>
        <w:rPr>
          <w:rFonts w:ascii="宋体" w:hAnsi="宋体"/>
          <w:sz w:val="28"/>
          <w:szCs w:val="28"/>
        </w:rPr>
      </w:pPr>
      <w:r>
        <w:rPr>
          <w:rFonts w:hint="eastAsia" w:ascii="宋体" w:hAnsi="宋体"/>
          <w:sz w:val="28"/>
          <w:szCs w:val="28"/>
        </w:rPr>
        <w:t>工程量清单所示范围及内容。具体采购内容见磋商文件 “第8章 工程量清单”。</w:t>
      </w:r>
    </w:p>
    <w:p>
      <w:pPr>
        <w:numPr>
          <w:ilvl w:val="0"/>
          <w:numId w:val="5"/>
        </w:numPr>
        <w:tabs>
          <w:tab w:val="left" w:pos="851"/>
        </w:tabs>
        <w:spacing w:line="360" w:lineRule="auto"/>
        <w:rPr>
          <w:rFonts w:ascii="宋体" w:hAnsi="宋体"/>
          <w:sz w:val="28"/>
          <w:szCs w:val="28"/>
        </w:rPr>
      </w:pPr>
      <w:r>
        <w:rPr>
          <w:rFonts w:hint="eastAsia" w:ascii="宋体" w:hAnsi="宋体"/>
          <w:sz w:val="28"/>
          <w:szCs w:val="28"/>
        </w:rPr>
        <w:t>技术、服务要求</w:t>
      </w:r>
    </w:p>
    <w:p>
      <w:pPr>
        <w:spacing w:line="360" w:lineRule="auto"/>
        <w:ind w:firstLine="560" w:firstLineChars="200"/>
        <w:rPr>
          <w:rFonts w:ascii="宋体" w:hAnsi="宋体"/>
          <w:sz w:val="28"/>
          <w:szCs w:val="28"/>
        </w:rPr>
      </w:pPr>
      <w:r>
        <w:rPr>
          <w:rFonts w:hint="eastAsia" w:ascii="宋体" w:hAnsi="宋体"/>
          <w:sz w:val="28"/>
          <w:szCs w:val="28"/>
        </w:rPr>
        <w:t>见磋商文件 “第4章 项目技术、服务、商务及其他要求”。</w:t>
      </w:r>
    </w:p>
    <w:p>
      <w:pPr>
        <w:numPr>
          <w:ilvl w:val="0"/>
          <w:numId w:val="5"/>
        </w:numPr>
        <w:tabs>
          <w:tab w:val="left" w:pos="851"/>
        </w:tabs>
        <w:spacing w:line="360" w:lineRule="auto"/>
        <w:rPr>
          <w:rFonts w:ascii="宋体" w:hAnsi="宋体"/>
          <w:sz w:val="28"/>
          <w:szCs w:val="28"/>
        </w:rPr>
      </w:pPr>
      <w:r>
        <w:rPr>
          <w:rFonts w:hint="eastAsia" w:ascii="宋体" w:hAnsi="宋体"/>
          <w:sz w:val="28"/>
          <w:szCs w:val="28"/>
        </w:rPr>
        <w:t>报价要求</w:t>
      </w:r>
    </w:p>
    <w:p>
      <w:pPr>
        <w:spacing w:line="360" w:lineRule="auto"/>
        <w:ind w:firstLine="562" w:firstLineChars="201"/>
        <w:rPr>
          <w:rFonts w:ascii="宋体" w:hAnsi="宋体"/>
          <w:sz w:val="28"/>
          <w:szCs w:val="28"/>
        </w:rPr>
      </w:pPr>
      <w:r>
        <w:rPr>
          <w:rFonts w:hint="eastAsia" w:ascii="宋体" w:hAnsi="宋体"/>
          <w:sz w:val="28"/>
          <w:szCs w:val="28"/>
        </w:rPr>
        <w:t>供应商按磋商文件要求进行报价。</w:t>
      </w:r>
    </w:p>
    <w:p>
      <w:pPr>
        <w:numPr>
          <w:ilvl w:val="0"/>
          <w:numId w:val="2"/>
        </w:numPr>
        <w:spacing w:line="360" w:lineRule="auto"/>
        <w:ind w:left="0" w:firstLine="567"/>
        <w:jc w:val="both"/>
        <w:rPr>
          <w:rFonts w:ascii="宋体" w:hAnsi="宋体"/>
          <w:sz w:val="28"/>
          <w:szCs w:val="28"/>
        </w:rPr>
      </w:pPr>
      <w:r>
        <w:rPr>
          <w:rFonts w:hint="eastAsia" w:ascii="宋体" w:hAnsi="宋体"/>
          <w:b/>
          <w:sz w:val="28"/>
          <w:szCs w:val="28"/>
        </w:rPr>
        <w:t>磋商文件获取时间</w:t>
      </w:r>
    </w:p>
    <w:p>
      <w:pPr>
        <w:spacing w:line="360" w:lineRule="auto"/>
        <w:ind w:firstLine="560" w:firstLineChars="200"/>
        <w:rPr>
          <w:rFonts w:ascii="宋体" w:hAnsi="宋体"/>
          <w:color w:val="auto"/>
          <w:sz w:val="28"/>
          <w:szCs w:val="28"/>
        </w:rPr>
      </w:pPr>
      <w:r>
        <w:rPr>
          <w:rFonts w:hint="eastAsia" w:ascii="宋体" w:hAnsi="宋体"/>
          <w:sz w:val="28"/>
          <w:szCs w:val="28"/>
        </w:rPr>
        <w:t>（一）磋</w:t>
      </w:r>
      <w:r>
        <w:rPr>
          <w:rFonts w:hint="eastAsia" w:ascii="宋体" w:hAnsi="宋体"/>
          <w:color w:val="auto"/>
          <w:sz w:val="28"/>
          <w:szCs w:val="28"/>
        </w:rPr>
        <w:t>商文件获取时间：202</w:t>
      </w:r>
      <w:r>
        <w:rPr>
          <w:rFonts w:hint="eastAsia" w:ascii="宋体" w:hAnsi="宋体"/>
          <w:color w:val="auto"/>
          <w:sz w:val="28"/>
          <w:szCs w:val="28"/>
          <w:lang w:val="en-US" w:eastAsia="zh-CN"/>
        </w:rPr>
        <w:t>1</w:t>
      </w:r>
      <w:r>
        <w:rPr>
          <w:rFonts w:hint="eastAsia" w:ascii="宋体" w:hAnsi="宋体"/>
          <w:color w:val="auto"/>
          <w:sz w:val="28"/>
          <w:szCs w:val="28"/>
        </w:rPr>
        <w:t>年</w:t>
      </w:r>
      <w:r>
        <w:rPr>
          <w:rFonts w:hint="eastAsia" w:ascii="宋体" w:hAnsi="宋体"/>
          <w:color w:val="auto"/>
          <w:sz w:val="28"/>
          <w:szCs w:val="28"/>
          <w:lang w:val="en-US" w:eastAsia="zh-CN"/>
        </w:rPr>
        <w:t>11</w:t>
      </w:r>
      <w:r>
        <w:rPr>
          <w:rFonts w:hint="eastAsia" w:ascii="宋体" w:hAnsi="宋体"/>
          <w:color w:val="auto"/>
          <w:sz w:val="28"/>
          <w:szCs w:val="28"/>
        </w:rPr>
        <w:t>月</w:t>
      </w:r>
      <w:r>
        <w:rPr>
          <w:rFonts w:hint="eastAsia" w:ascii="宋体" w:hAnsi="宋体"/>
          <w:color w:val="auto"/>
          <w:sz w:val="28"/>
          <w:szCs w:val="28"/>
          <w:lang w:val="en-US" w:eastAsia="zh-CN"/>
        </w:rPr>
        <w:t>9</w:t>
      </w:r>
      <w:r>
        <w:rPr>
          <w:rFonts w:hint="eastAsia" w:ascii="宋体" w:hAnsi="宋体"/>
          <w:color w:val="auto"/>
          <w:sz w:val="28"/>
          <w:szCs w:val="28"/>
        </w:rPr>
        <w:t>日至</w:t>
      </w:r>
      <w:r>
        <w:rPr>
          <w:rFonts w:hint="eastAsia" w:ascii="宋体" w:hAnsi="宋体"/>
          <w:color w:val="auto"/>
          <w:sz w:val="28"/>
          <w:szCs w:val="28"/>
          <w:lang w:val="en-US" w:eastAsia="zh-CN"/>
        </w:rPr>
        <w:t>11</w:t>
      </w:r>
      <w:r>
        <w:rPr>
          <w:rFonts w:hint="eastAsia" w:ascii="宋体" w:hAnsi="宋体"/>
          <w:color w:val="auto"/>
          <w:sz w:val="28"/>
          <w:szCs w:val="28"/>
        </w:rPr>
        <w:t>月</w:t>
      </w:r>
      <w:r>
        <w:rPr>
          <w:rFonts w:hint="eastAsia" w:ascii="宋体" w:hAnsi="宋体"/>
          <w:color w:val="auto"/>
          <w:sz w:val="28"/>
          <w:szCs w:val="28"/>
          <w:lang w:val="en-US" w:eastAsia="zh-CN"/>
        </w:rPr>
        <w:t>15</w:t>
      </w:r>
      <w:r>
        <w:rPr>
          <w:rFonts w:hint="eastAsia" w:ascii="宋体" w:hAnsi="宋体"/>
          <w:color w:val="auto"/>
          <w:sz w:val="28"/>
          <w:szCs w:val="28"/>
        </w:rPr>
        <w:t>日。</w:t>
      </w:r>
    </w:p>
    <w:p>
      <w:pPr>
        <w:spacing w:line="360" w:lineRule="auto"/>
        <w:ind w:firstLine="560" w:firstLineChars="200"/>
        <w:rPr>
          <w:rFonts w:ascii="宋体" w:hAnsi="宋体"/>
          <w:color w:val="auto"/>
          <w:sz w:val="28"/>
          <w:szCs w:val="28"/>
        </w:rPr>
      </w:pPr>
      <w:r>
        <w:rPr>
          <w:rFonts w:hint="eastAsia" w:ascii="宋体" w:hAnsi="宋体"/>
          <w:color w:val="auto"/>
          <w:sz w:val="28"/>
          <w:szCs w:val="28"/>
        </w:rPr>
        <w:t>（二）公告期限：202</w:t>
      </w:r>
      <w:r>
        <w:rPr>
          <w:rFonts w:hint="eastAsia" w:ascii="宋体" w:hAnsi="宋体"/>
          <w:color w:val="auto"/>
          <w:sz w:val="28"/>
          <w:szCs w:val="28"/>
          <w:lang w:val="en-US" w:eastAsia="zh-CN"/>
        </w:rPr>
        <w:t>1</w:t>
      </w:r>
      <w:r>
        <w:rPr>
          <w:rFonts w:hint="eastAsia" w:ascii="宋体" w:hAnsi="宋体"/>
          <w:color w:val="auto"/>
          <w:sz w:val="28"/>
          <w:szCs w:val="28"/>
        </w:rPr>
        <w:t>年</w:t>
      </w:r>
      <w:r>
        <w:rPr>
          <w:rFonts w:hint="eastAsia" w:ascii="宋体" w:hAnsi="宋体"/>
          <w:color w:val="auto"/>
          <w:sz w:val="28"/>
          <w:szCs w:val="28"/>
          <w:lang w:val="en-US" w:eastAsia="zh-CN"/>
        </w:rPr>
        <w:t>11</w:t>
      </w:r>
      <w:r>
        <w:rPr>
          <w:rFonts w:hint="eastAsia" w:ascii="宋体" w:hAnsi="宋体"/>
          <w:color w:val="auto"/>
          <w:sz w:val="28"/>
          <w:szCs w:val="28"/>
        </w:rPr>
        <w:t>月</w:t>
      </w:r>
      <w:r>
        <w:rPr>
          <w:rFonts w:hint="eastAsia" w:ascii="宋体" w:hAnsi="宋体"/>
          <w:color w:val="auto"/>
          <w:sz w:val="28"/>
          <w:szCs w:val="28"/>
          <w:lang w:val="en-US" w:eastAsia="zh-CN"/>
        </w:rPr>
        <w:t>9</w:t>
      </w:r>
      <w:r>
        <w:rPr>
          <w:rFonts w:hint="eastAsia" w:ascii="宋体" w:hAnsi="宋体"/>
          <w:color w:val="auto"/>
          <w:sz w:val="28"/>
          <w:szCs w:val="28"/>
        </w:rPr>
        <w:t>日至</w:t>
      </w:r>
      <w:r>
        <w:rPr>
          <w:rFonts w:hint="eastAsia" w:ascii="宋体" w:hAnsi="宋体"/>
          <w:color w:val="auto"/>
          <w:sz w:val="28"/>
          <w:szCs w:val="28"/>
          <w:lang w:val="en-US" w:eastAsia="zh-CN"/>
        </w:rPr>
        <w:t>11</w:t>
      </w:r>
      <w:r>
        <w:rPr>
          <w:rFonts w:hint="eastAsia" w:ascii="宋体" w:hAnsi="宋体"/>
          <w:color w:val="auto"/>
          <w:sz w:val="28"/>
          <w:szCs w:val="28"/>
        </w:rPr>
        <w:t>月</w:t>
      </w:r>
      <w:r>
        <w:rPr>
          <w:rFonts w:hint="eastAsia" w:ascii="宋体" w:hAnsi="宋体"/>
          <w:color w:val="auto"/>
          <w:sz w:val="28"/>
          <w:szCs w:val="28"/>
          <w:lang w:val="en-US" w:eastAsia="zh-CN"/>
        </w:rPr>
        <w:t>15</w:t>
      </w:r>
      <w:r>
        <w:rPr>
          <w:rFonts w:hint="eastAsia" w:ascii="宋体" w:hAnsi="宋体"/>
          <w:color w:val="auto"/>
          <w:sz w:val="28"/>
          <w:szCs w:val="28"/>
        </w:rPr>
        <w:t>日。</w:t>
      </w:r>
    </w:p>
    <w:p>
      <w:pPr>
        <w:numPr>
          <w:ilvl w:val="0"/>
          <w:numId w:val="2"/>
        </w:numPr>
        <w:spacing w:line="360" w:lineRule="auto"/>
        <w:ind w:left="0" w:firstLine="567"/>
        <w:jc w:val="both"/>
        <w:rPr>
          <w:rFonts w:ascii="宋体" w:hAnsi="宋体"/>
          <w:b/>
          <w:color w:val="auto"/>
          <w:sz w:val="28"/>
        </w:rPr>
      </w:pPr>
      <w:r>
        <w:rPr>
          <w:rFonts w:hint="eastAsia" w:ascii="宋体" w:hAnsi="宋体"/>
          <w:b/>
          <w:color w:val="auto"/>
          <w:sz w:val="28"/>
          <w:szCs w:val="28"/>
        </w:rPr>
        <w:t>磋商</w:t>
      </w:r>
      <w:r>
        <w:rPr>
          <w:rFonts w:hint="eastAsia" w:ascii="宋体" w:hAnsi="宋体"/>
          <w:b/>
          <w:color w:val="auto"/>
          <w:sz w:val="28"/>
        </w:rPr>
        <w:t>文件获取方式</w:t>
      </w:r>
    </w:p>
    <w:p>
      <w:pPr>
        <w:spacing w:line="360" w:lineRule="auto"/>
        <w:ind w:firstLine="560" w:firstLineChars="200"/>
        <w:jc w:val="both"/>
        <w:rPr>
          <w:rFonts w:ascii="宋体" w:hAnsi="宋体"/>
          <w:sz w:val="28"/>
          <w:szCs w:val="28"/>
        </w:rPr>
      </w:pPr>
      <w:r>
        <w:rPr>
          <w:rFonts w:hint="eastAsia" w:ascii="宋体" w:hAnsi="宋体"/>
          <w:sz w:val="28"/>
          <w:szCs w:val="28"/>
          <w:lang w:eastAsia="zh-CN"/>
        </w:rPr>
        <w:t>通过四川省政府采购供应商库系统随机抽取选中的供应商要参加磋商，应在“政府采购云平台（www.zcygov.cn）”获取采购文件。登录政府采购云平台(www.zcygov.cn)—我的工作台—项目采购—获取采购文件—申请获取采购文件</w:t>
      </w:r>
      <w:r>
        <w:rPr>
          <w:rFonts w:hint="eastAsia" w:ascii="宋体" w:hAnsi="宋体"/>
          <w:sz w:val="28"/>
          <w:szCs w:val="28"/>
        </w:rPr>
        <w:t>。</w:t>
      </w:r>
    </w:p>
    <w:p>
      <w:pPr>
        <w:spacing w:line="360" w:lineRule="auto"/>
        <w:ind w:firstLine="565" w:firstLineChars="202"/>
        <w:rPr>
          <w:rFonts w:ascii="宋体" w:hAnsi="宋体"/>
          <w:sz w:val="28"/>
          <w:szCs w:val="28"/>
        </w:rPr>
      </w:pPr>
      <w:r>
        <w:rPr>
          <w:rFonts w:hint="eastAsia" w:ascii="宋体" w:hAnsi="宋体"/>
          <w:sz w:val="28"/>
          <w:szCs w:val="28"/>
        </w:rPr>
        <w:t>提示：</w:t>
      </w:r>
    </w:p>
    <w:p>
      <w:pPr>
        <w:spacing w:line="360" w:lineRule="auto"/>
        <w:ind w:firstLine="565" w:firstLineChars="202"/>
        <w:rPr>
          <w:rFonts w:ascii="宋体" w:hAnsi="宋体"/>
          <w:sz w:val="28"/>
          <w:szCs w:val="28"/>
        </w:rPr>
      </w:pPr>
      <w:r>
        <w:rPr>
          <w:rFonts w:hint="eastAsia" w:ascii="宋体" w:hAnsi="宋体"/>
          <w:sz w:val="28"/>
          <w:szCs w:val="28"/>
        </w:rPr>
        <w:t>（1）本项目采购文件免费获取。</w:t>
      </w:r>
    </w:p>
    <w:p>
      <w:pPr>
        <w:spacing w:line="360" w:lineRule="auto"/>
        <w:ind w:firstLine="565" w:firstLineChars="202"/>
        <w:rPr>
          <w:rFonts w:ascii="宋体" w:hAnsi="宋体"/>
          <w:sz w:val="28"/>
          <w:szCs w:val="28"/>
        </w:rPr>
      </w:pPr>
      <w:r>
        <w:rPr>
          <w:rFonts w:hint="eastAsia" w:ascii="宋体" w:hAnsi="宋体"/>
          <w:sz w:val="28"/>
          <w:szCs w:val="28"/>
        </w:rPr>
        <w:t>（2）采购公告附件内的采购文件仅供阅览使用，供应商只有在政府采购云平台完成获取采购文件申请并下载了采购文件后才视作依法参与本项目。如未在政府采购云平台内完成相关流程，引起的施工响应文件无效责任自负。</w:t>
      </w:r>
    </w:p>
    <w:p>
      <w:pPr>
        <w:spacing w:line="360" w:lineRule="auto"/>
        <w:ind w:firstLine="565" w:firstLineChars="202"/>
        <w:rPr>
          <w:rFonts w:ascii="宋体" w:hAnsi="宋体"/>
          <w:sz w:val="28"/>
          <w:szCs w:val="28"/>
        </w:rPr>
      </w:pPr>
      <w:r>
        <w:rPr>
          <w:rFonts w:hint="eastAsia" w:ascii="宋体" w:hAnsi="宋体"/>
          <w:sz w:val="28"/>
          <w:szCs w:val="28"/>
        </w:rPr>
        <w:t>（</w:t>
      </w:r>
      <w:r>
        <w:rPr>
          <w:rFonts w:ascii="宋体" w:hAnsi="宋体"/>
          <w:sz w:val="28"/>
          <w:szCs w:val="28"/>
        </w:rPr>
        <w:t>3）首次登录</w:t>
      </w:r>
      <w:r>
        <w:rPr>
          <w:rFonts w:hint="eastAsia" w:ascii="宋体" w:hAnsi="宋体"/>
          <w:sz w:val="28"/>
          <w:szCs w:val="28"/>
        </w:rPr>
        <w:t>政府采购云平台</w:t>
      </w:r>
      <w:r>
        <w:rPr>
          <w:rFonts w:ascii="宋体" w:hAnsi="宋体"/>
          <w:sz w:val="28"/>
          <w:szCs w:val="28"/>
        </w:rPr>
        <w:t xml:space="preserve">(www.zcygov.cn)的新用户, </w:t>
      </w:r>
      <w:r>
        <w:rPr>
          <w:rFonts w:hint="eastAsia" w:ascii="宋体" w:hAnsi="宋体"/>
          <w:sz w:val="28"/>
          <w:szCs w:val="28"/>
        </w:rPr>
        <w:t>应先点击网页左上角切换至“成都市本级”，再点击“供应商入驻”，注册成功后即可登录。</w:t>
      </w:r>
    </w:p>
    <w:p>
      <w:pPr>
        <w:spacing w:line="360" w:lineRule="auto"/>
        <w:ind w:firstLine="565" w:firstLineChars="202"/>
        <w:rPr>
          <w:rFonts w:ascii="宋体" w:hAnsi="宋体"/>
          <w:sz w:val="28"/>
          <w:szCs w:val="28"/>
        </w:rPr>
      </w:pPr>
      <w:r>
        <w:rPr>
          <w:rFonts w:hint="eastAsia" w:ascii="宋体" w:hAnsi="宋体"/>
          <w:sz w:val="28"/>
          <w:szCs w:val="28"/>
        </w:rPr>
        <w:t>（4）本项目为电子采购项目，供应商参与本项目全过程中凡涉及系统操作请详见《成都市全流程电子化采购系统操作指南——供应商版》（操作指南请登陆政府采购云平台后，点击“前台大厅</w:t>
      </w:r>
      <w:r>
        <w:rPr>
          <w:rFonts w:ascii="宋体" w:hAnsi="宋体"/>
          <w:sz w:val="28"/>
          <w:szCs w:val="28"/>
        </w:rPr>
        <w:t>—</w:t>
      </w:r>
      <w:r>
        <w:rPr>
          <w:rFonts w:hint="eastAsia" w:ascii="宋体" w:hAnsi="宋体"/>
          <w:sz w:val="28"/>
          <w:szCs w:val="28"/>
        </w:rPr>
        <w:t>操作指南</w:t>
      </w:r>
      <w:r>
        <w:rPr>
          <w:rFonts w:ascii="宋体" w:hAnsi="宋体"/>
          <w:sz w:val="28"/>
          <w:szCs w:val="28"/>
        </w:rPr>
        <w:t>—</w:t>
      </w:r>
      <w:r>
        <w:rPr>
          <w:rFonts w:hint="eastAsia" w:ascii="宋体" w:hAnsi="宋体"/>
          <w:sz w:val="28"/>
          <w:szCs w:val="28"/>
        </w:rPr>
        <w:t>供应商”处下载查看）。</w:t>
      </w:r>
    </w:p>
    <w:p>
      <w:pPr>
        <w:spacing w:line="360" w:lineRule="auto"/>
        <w:ind w:firstLine="565" w:firstLineChars="202"/>
        <w:rPr>
          <w:rFonts w:ascii="宋体" w:hAnsi="宋体"/>
          <w:sz w:val="28"/>
          <w:szCs w:val="28"/>
        </w:rPr>
      </w:pPr>
      <w:r>
        <w:rPr>
          <w:rFonts w:hint="eastAsia" w:ascii="宋体" w:hAnsi="宋体"/>
          <w:sz w:val="28"/>
          <w:szCs w:val="28"/>
        </w:rPr>
        <w:t>（</w:t>
      </w:r>
      <w:r>
        <w:rPr>
          <w:rFonts w:ascii="宋体" w:hAnsi="宋体"/>
          <w:sz w:val="28"/>
          <w:szCs w:val="28"/>
        </w:rPr>
        <w:t>5</w:t>
      </w:r>
      <w:r>
        <w:rPr>
          <w:rFonts w:hint="eastAsia" w:ascii="宋体" w:hAnsi="宋体"/>
          <w:sz w:val="28"/>
          <w:szCs w:val="28"/>
        </w:rPr>
        <w:t>）非被</w:t>
      </w:r>
      <w:r>
        <w:rPr>
          <w:rFonts w:ascii="宋体" w:hAnsi="宋体"/>
          <w:sz w:val="28"/>
          <w:szCs w:val="28"/>
        </w:rPr>
        <w:t>邀请的供应商</w:t>
      </w:r>
      <w:r>
        <w:rPr>
          <w:rFonts w:hint="eastAsia" w:ascii="宋体" w:hAnsi="宋体"/>
          <w:sz w:val="28"/>
          <w:szCs w:val="28"/>
        </w:rPr>
        <w:t>不</w:t>
      </w:r>
      <w:r>
        <w:rPr>
          <w:rFonts w:ascii="宋体" w:hAnsi="宋体"/>
          <w:sz w:val="28"/>
          <w:szCs w:val="28"/>
        </w:rPr>
        <w:t>得提交施工响应文件</w:t>
      </w:r>
      <w:r>
        <w:rPr>
          <w:rFonts w:hint="eastAsia" w:ascii="宋体" w:hAnsi="宋体"/>
          <w:sz w:val="28"/>
          <w:szCs w:val="28"/>
        </w:rPr>
        <w:t>，否则</w:t>
      </w:r>
      <w:r>
        <w:rPr>
          <w:rFonts w:ascii="宋体" w:hAnsi="宋体"/>
          <w:sz w:val="28"/>
          <w:szCs w:val="28"/>
        </w:rPr>
        <w:t>可能承担提供虚假材料谋取中标</w:t>
      </w:r>
      <w:r>
        <w:rPr>
          <w:rFonts w:hint="eastAsia" w:ascii="宋体" w:hAnsi="宋体"/>
          <w:sz w:val="28"/>
          <w:szCs w:val="28"/>
        </w:rPr>
        <w:t>、成</w:t>
      </w:r>
      <w:r>
        <w:rPr>
          <w:rFonts w:ascii="宋体" w:hAnsi="宋体"/>
          <w:sz w:val="28"/>
          <w:szCs w:val="28"/>
        </w:rPr>
        <w:t>交的法律后果</w:t>
      </w:r>
      <w:r>
        <w:rPr>
          <w:rFonts w:hint="eastAsia" w:ascii="宋体" w:hAnsi="宋体"/>
          <w:sz w:val="28"/>
          <w:szCs w:val="28"/>
        </w:rPr>
        <w:t>。</w:t>
      </w:r>
    </w:p>
    <w:p>
      <w:pPr>
        <w:numPr>
          <w:ilvl w:val="0"/>
          <w:numId w:val="2"/>
        </w:numPr>
        <w:spacing w:line="360" w:lineRule="auto"/>
        <w:ind w:left="0" w:firstLine="567"/>
        <w:jc w:val="both"/>
        <w:rPr>
          <w:rFonts w:ascii="宋体" w:hAnsi="宋体"/>
          <w:sz w:val="28"/>
          <w:szCs w:val="28"/>
        </w:rPr>
      </w:pPr>
      <w:r>
        <w:rPr>
          <w:rFonts w:hint="eastAsia" w:ascii="宋体" w:hAnsi="宋体"/>
          <w:b/>
          <w:sz w:val="28"/>
          <w:szCs w:val="28"/>
        </w:rPr>
        <w:t>磋商文件获取地点</w:t>
      </w:r>
      <w:r>
        <w:rPr>
          <w:rFonts w:hint="eastAsia" w:ascii="宋体" w:hAnsi="宋体"/>
          <w:sz w:val="28"/>
          <w:szCs w:val="28"/>
        </w:rPr>
        <w:t>：登录政府采购云平台（</w:t>
      </w:r>
      <w:r>
        <w:rPr>
          <w:rFonts w:ascii="宋体" w:hAnsi="宋体"/>
          <w:sz w:val="28"/>
          <w:szCs w:val="28"/>
        </w:rPr>
        <w:t>www.zcygov.cn）获取</w:t>
      </w:r>
      <w:r>
        <w:rPr>
          <w:rFonts w:hint="eastAsia" w:ascii="宋体" w:hAnsi="宋体"/>
          <w:sz w:val="28"/>
        </w:rPr>
        <w:t>。</w:t>
      </w:r>
    </w:p>
    <w:p>
      <w:pPr>
        <w:numPr>
          <w:ilvl w:val="0"/>
          <w:numId w:val="2"/>
        </w:numPr>
        <w:spacing w:line="360" w:lineRule="auto"/>
        <w:ind w:left="0" w:firstLine="567"/>
        <w:jc w:val="both"/>
        <w:rPr>
          <w:rFonts w:ascii="宋体" w:hAnsi="宋体"/>
          <w:sz w:val="28"/>
          <w:szCs w:val="28"/>
        </w:rPr>
      </w:pPr>
      <w:r>
        <w:rPr>
          <w:rFonts w:hint="eastAsia" w:ascii="宋体" w:hAnsi="宋体"/>
          <w:b/>
          <w:sz w:val="28"/>
          <w:szCs w:val="28"/>
        </w:rPr>
        <w:t>施工响应文件递交截止时间及开启时间（北京时间）、地点、方式</w:t>
      </w:r>
    </w:p>
    <w:p>
      <w:pPr>
        <w:pStyle w:val="82"/>
        <w:numPr>
          <w:ilvl w:val="0"/>
          <w:numId w:val="6"/>
        </w:numPr>
        <w:tabs>
          <w:tab w:val="left" w:pos="1418"/>
        </w:tabs>
        <w:spacing w:line="360" w:lineRule="auto"/>
        <w:ind w:left="0" w:firstLine="567" w:firstLineChars="0"/>
        <w:jc w:val="both"/>
        <w:rPr>
          <w:rFonts w:ascii="宋体" w:hAnsi="宋体" w:eastAsia="宋体"/>
          <w:b/>
          <w:color w:val="auto"/>
          <w:sz w:val="28"/>
          <w:szCs w:val="28"/>
        </w:rPr>
      </w:pPr>
      <w:r>
        <w:rPr>
          <w:rFonts w:hint="eastAsia" w:ascii="宋体" w:hAnsi="宋体" w:eastAsia="宋体"/>
          <w:b/>
          <w:sz w:val="28"/>
          <w:szCs w:val="28"/>
        </w:rPr>
        <w:t>施工响应文</w:t>
      </w:r>
      <w:r>
        <w:rPr>
          <w:rFonts w:hint="eastAsia" w:ascii="宋体" w:hAnsi="宋体" w:eastAsia="宋体"/>
          <w:b/>
          <w:color w:val="auto"/>
          <w:sz w:val="28"/>
          <w:szCs w:val="28"/>
        </w:rPr>
        <w:t>件递交截止时间及开启时间：202</w:t>
      </w:r>
      <w:r>
        <w:rPr>
          <w:rFonts w:hint="eastAsia" w:ascii="宋体" w:hAnsi="宋体" w:eastAsia="宋体"/>
          <w:b/>
          <w:color w:val="auto"/>
          <w:sz w:val="28"/>
          <w:szCs w:val="28"/>
          <w:lang w:val="en-US" w:eastAsia="zh-CN"/>
        </w:rPr>
        <w:t>1</w:t>
      </w:r>
      <w:r>
        <w:rPr>
          <w:rFonts w:ascii="宋体" w:hAnsi="宋体" w:eastAsia="宋体"/>
          <w:b/>
          <w:color w:val="auto"/>
          <w:sz w:val="28"/>
          <w:szCs w:val="28"/>
        </w:rPr>
        <w:t>年</w:t>
      </w:r>
      <w:r>
        <w:rPr>
          <w:rFonts w:hint="eastAsia" w:ascii="宋体" w:hAnsi="宋体" w:eastAsia="宋体"/>
          <w:b/>
          <w:color w:val="auto"/>
          <w:sz w:val="28"/>
          <w:szCs w:val="28"/>
          <w:u w:val="single"/>
          <w:lang w:val="en-US" w:eastAsia="zh-CN"/>
        </w:rPr>
        <w:t>11</w:t>
      </w:r>
      <w:r>
        <w:rPr>
          <w:rFonts w:ascii="宋体" w:hAnsi="宋体" w:eastAsia="宋体"/>
          <w:b/>
          <w:color w:val="auto"/>
          <w:sz w:val="28"/>
          <w:szCs w:val="28"/>
        </w:rPr>
        <w:t>月</w:t>
      </w:r>
      <w:r>
        <w:rPr>
          <w:rFonts w:hint="eastAsia" w:ascii="宋体" w:hAnsi="宋体" w:eastAsia="宋体"/>
          <w:b/>
          <w:color w:val="auto"/>
          <w:sz w:val="28"/>
          <w:szCs w:val="28"/>
          <w:u w:val="single"/>
          <w:lang w:val="en-US" w:eastAsia="zh-CN"/>
        </w:rPr>
        <w:t>25</w:t>
      </w:r>
      <w:r>
        <w:rPr>
          <w:rFonts w:ascii="宋体" w:hAnsi="宋体" w:eastAsia="宋体"/>
          <w:b/>
          <w:color w:val="auto"/>
          <w:sz w:val="28"/>
          <w:szCs w:val="28"/>
        </w:rPr>
        <w:t>日</w:t>
      </w:r>
      <w:r>
        <w:rPr>
          <w:rFonts w:hint="eastAsia" w:ascii="宋体" w:hAnsi="宋体" w:eastAsia="宋体"/>
          <w:b/>
          <w:color w:val="auto"/>
          <w:sz w:val="28"/>
          <w:szCs w:val="28"/>
        </w:rPr>
        <w:t>上午9</w:t>
      </w:r>
      <w:r>
        <w:rPr>
          <w:rFonts w:ascii="宋体" w:hAnsi="宋体" w:eastAsia="宋体"/>
          <w:b/>
          <w:color w:val="auto"/>
          <w:sz w:val="28"/>
          <w:szCs w:val="28"/>
        </w:rPr>
        <w:t>:</w:t>
      </w:r>
      <w:r>
        <w:rPr>
          <w:rFonts w:hint="eastAsia" w:ascii="宋体" w:hAnsi="宋体" w:eastAsia="宋体"/>
          <w:b/>
          <w:color w:val="auto"/>
          <w:sz w:val="28"/>
          <w:szCs w:val="28"/>
        </w:rPr>
        <w:t>30。</w:t>
      </w:r>
    </w:p>
    <w:p>
      <w:pPr>
        <w:pStyle w:val="82"/>
        <w:numPr>
          <w:ilvl w:val="0"/>
          <w:numId w:val="6"/>
        </w:numPr>
        <w:tabs>
          <w:tab w:val="left" w:pos="1418"/>
        </w:tabs>
        <w:spacing w:line="360" w:lineRule="auto"/>
        <w:ind w:left="0" w:firstLine="567" w:firstLineChars="0"/>
        <w:jc w:val="both"/>
        <w:rPr>
          <w:rFonts w:ascii="宋体" w:hAnsi="宋体" w:eastAsia="宋体"/>
          <w:b/>
          <w:sz w:val="28"/>
          <w:szCs w:val="28"/>
        </w:rPr>
      </w:pPr>
      <w:r>
        <w:rPr>
          <w:rFonts w:hint="eastAsia" w:ascii="宋体" w:hAnsi="宋体" w:eastAsia="宋体"/>
          <w:b/>
          <w:sz w:val="28"/>
          <w:szCs w:val="28"/>
        </w:rPr>
        <w:t>响应文件递交方式、地点：响应文件递交截止时间前，供应商应将加密的施工响应文件递交至“政府采购云平台”对应项目（包件）。</w:t>
      </w:r>
    </w:p>
    <w:p>
      <w:pPr>
        <w:pStyle w:val="82"/>
        <w:tabs>
          <w:tab w:val="left" w:pos="1418"/>
        </w:tabs>
        <w:spacing w:line="360" w:lineRule="auto"/>
        <w:ind w:left="567" w:firstLine="0" w:firstLineChars="0"/>
        <w:jc w:val="both"/>
        <w:rPr>
          <w:rFonts w:ascii="宋体" w:hAnsi="宋体" w:eastAsia="宋体"/>
          <w:b/>
          <w:sz w:val="28"/>
          <w:szCs w:val="28"/>
        </w:rPr>
      </w:pPr>
      <w:r>
        <w:rPr>
          <w:rFonts w:hint="eastAsia" w:ascii="宋体" w:hAnsi="宋体"/>
          <w:sz w:val="28"/>
          <w:szCs w:val="28"/>
        </w:rPr>
        <w:t>本项目只接受供应商加密并递交至“政府采购云平台”的响应文件。</w:t>
      </w:r>
    </w:p>
    <w:p>
      <w:pPr>
        <w:numPr>
          <w:ilvl w:val="0"/>
          <w:numId w:val="2"/>
        </w:numPr>
        <w:spacing w:line="360" w:lineRule="auto"/>
        <w:ind w:left="0" w:firstLine="567"/>
        <w:jc w:val="both"/>
        <w:rPr>
          <w:rFonts w:ascii="宋体" w:hAnsi="宋体"/>
          <w:sz w:val="28"/>
          <w:szCs w:val="28"/>
        </w:rPr>
      </w:pPr>
      <w:r>
        <w:rPr>
          <w:rFonts w:hint="eastAsia" w:ascii="宋体" w:hAnsi="宋体"/>
          <w:b/>
          <w:sz w:val="28"/>
          <w:szCs w:val="28"/>
        </w:rPr>
        <w:t>磋商地点</w:t>
      </w:r>
    </w:p>
    <w:p>
      <w:pPr>
        <w:snapToGrid w:val="0"/>
        <w:spacing w:line="360" w:lineRule="auto"/>
        <w:ind w:firstLine="560" w:firstLineChars="200"/>
        <w:rPr>
          <w:rFonts w:ascii="宋体" w:hAnsi="宋体"/>
          <w:sz w:val="28"/>
          <w:szCs w:val="28"/>
        </w:rPr>
      </w:pPr>
      <w:r>
        <w:rPr>
          <w:rFonts w:hint="eastAsia" w:ascii="宋体" w:hAnsi="宋体"/>
          <w:sz w:val="28"/>
          <w:szCs w:val="28"/>
        </w:rPr>
        <w:t>本项目磋商为不见面开标。</w:t>
      </w:r>
    </w:p>
    <w:p>
      <w:pPr>
        <w:spacing w:line="360" w:lineRule="auto"/>
        <w:ind w:firstLine="582" w:firstLineChars="200"/>
        <w:rPr>
          <w:b/>
          <w:sz w:val="29"/>
          <w:szCs w:val="29"/>
        </w:rPr>
      </w:pPr>
      <w:r>
        <w:rPr>
          <w:rFonts w:hint="eastAsia"/>
          <w:b/>
          <w:sz w:val="29"/>
          <w:szCs w:val="29"/>
        </w:rPr>
        <w:t>磋商地点：政府采购云平台开标大厅。</w:t>
      </w:r>
    </w:p>
    <w:p>
      <w:pPr>
        <w:numPr>
          <w:ilvl w:val="0"/>
          <w:numId w:val="2"/>
        </w:numPr>
        <w:spacing w:line="360" w:lineRule="auto"/>
        <w:ind w:left="0" w:firstLine="567"/>
        <w:jc w:val="both"/>
        <w:rPr>
          <w:rFonts w:ascii="宋体" w:hAnsi="宋体"/>
          <w:b/>
          <w:sz w:val="28"/>
          <w:szCs w:val="28"/>
        </w:rPr>
      </w:pPr>
      <w:r>
        <w:rPr>
          <w:rFonts w:hint="eastAsia" w:ascii="宋体" w:hAnsi="宋体"/>
          <w:b/>
          <w:sz w:val="28"/>
          <w:szCs w:val="28"/>
        </w:rPr>
        <w:t>中小企业政府采购信用融资</w:t>
      </w:r>
    </w:p>
    <w:p>
      <w:pPr>
        <w:snapToGrid w:val="0"/>
        <w:spacing w:line="360" w:lineRule="auto"/>
        <w:ind w:firstLine="560" w:firstLineChars="200"/>
        <w:rPr>
          <w:rFonts w:ascii="宋体" w:hAnsi="宋体"/>
          <w:sz w:val="28"/>
          <w:szCs w:val="28"/>
        </w:rPr>
      </w:pPr>
      <w:r>
        <w:rPr>
          <w:rFonts w:hint="eastAsia" w:ascii="宋体" w:hAnsi="宋体" w:cs="宋体"/>
          <w:sz w:val="28"/>
          <w:szCs w:val="28"/>
        </w:rPr>
        <w:t>参加本次采购活动成交的中小企业无需提供财产抵押或第三方担保，凭借政府采购合同可向融资机构申请融资。具体内容详见磋商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p>
      <w:pPr>
        <w:numPr>
          <w:ilvl w:val="0"/>
          <w:numId w:val="2"/>
        </w:numPr>
        <w:spacing w:line="360" w:lineRule="auto"/>
        <w:ind w:left="0" w:firstLine="567"/>
        <w:jc w:val="both"/>
        <w:rPr>
          <w:rFonts w:ascii="宋体" w:hAnsi="宋体"/>
          <w:b/>
          <w:sz w:val="28"/>
          <w:szCs w:val="28"/>
        </w:rPr>
      </w:pPr>
      <w:r>
        <w:rPr>
          <w:rFonts w:hint="eastAsia" w:ascii="宋体" w:hAnsi="宋体"/>
          <w:b/>
          <w:sz w:val="28"/>
          <w:szCs w:val="28"/>
        </w:rPr>
        <w:t>联系人及联系电话</w:t>
      </w:r>
    </w:p>
    <w:p>
      <w:pPr>
        <w:spacing w:line="360" w:lineRule="auto"/>
        <w:ind w:firstLine="708" w:firstLineChars="252"/>
        <w:rPr>
          <w:rFonts w:ascii="宋体" w:hAnsi="宋体"/>
          <w:b/>
          <w:sz w:val="28"/>
          <w:szCs w:val="28"/>
        </w:rPr>
      </w:pPr>
      <w:r>
        <w:rPr>
          <w:rFonts w:hint="eastAsia" w:ascii="宋体" w:hAnsi="宋体"/>
          <w:b/>
          <w:sz w:val="28"/>
          <w:szCs w:val="28"/>
        </w:rPr>
        <w:t>采购人：四川省成都市中和中学</w:t>
      </w:r>
    </w:p>
    <w:p>
      <w:pPr>
        <w:spacing w:line="360" w:lineRule="auto"/>
        <w:ind w:firstLine="705" w:firstLineChars="252"/>
        <w:rPr>
          <w:rFonts w:ascii="宋体" w:hAnsi="宋体"/>
          <w:sz w:val="28"/>
          <w:szCs w:val="28"/>
        </w:rPr>
      </w:pPr>
      <w:r>
        <w:rPr>
          <w:rFonts w:hint="eastAsia" w:ascii="宋体" w:hAnsi="宋体"/>
          <w:sz w:val="28"/>
          <w:szCs w:val="28"/>
        </w:rPr>
        <w:t>地  址：四川省成都市高新区中和街道新中街100号</w:t>
      </w:r>
    </w:p>
    <w:p>
      <w:pPr>
        <w:spacing w:line="360" w:lineRule="auto"/>
        <w:ind w:firstLine="705" w:firstLineChars="252"/>
        <w:rPr>
          <w:rFonts w:ascii="宋体" w:hAnsi="宋体"/>
          <w:sz w:val="28"/>
          <w:szCs w:val="28"/>
        </w:rPr>
      </w:pPr>
      <w:r>
        <w:rPr>
          <w:rFonts w:hint="eastAsia" w:ascii="宋体" w:hAnsi="宋体"/>
          <w:sz w:val="28"/>
          <w:szCs w:val="28"/>
        </w:rPr>
        <w:t>邮编：610213</w:t>
      </w:r>
    </w:p>
    <w:p>
      <w:pPr>
        <w:spacing w:line="360" w:lineRule="auto"/>
        <w:ind w:firstLine="705" w:firstLineChars="252"/>
        <w:rPr>
          <w:rFonts w:ascii="宋体" w:hAnsi="宋体"/>
          <w:sz w:val="28"/>
          <w:szCs w:val="28"/>
        </w:rPr>
      </w:pPr>
      <w:r>
        <w:rPr>
          <w:rFonts w:hint="eastAsia" w:ascii="宋体" w:hAnsi="宋体"/>
          <w:sz w:val="28"/>
          <w:szCs w:val="28"/>
        </w:rPr>
        <w:t>联系人：徐勇</w:t>
      </w:r>
    </w:p>
    <w:p>
      <w:pPr>
        <w:spacing w:line="360" w:lineRule="auto"/>
        <w:ind w:firstLine="705" w:firstLineChars="252"/>
        <w:rPr>
          <w:rFonts w:ascii="宋体" w:hAnsi="宋体"/>
          <w:sz w:val="28"/>
          <w:szCs w:val="28"/>
        </w:rPr>
      </w:pPr>
      <w:r>
        <w:rPr>
          <w:rFonts w:hint="eastAsia" w:ascii="宋体" w:hAnsi="宋体"/>
          <w:sz w:val="28"/>
          <w:szCs w:val="28"/>
        </w:rPr>
        <w:t>联系电话：028-68214264</w:t>
      </w:r>
    </w:p>
    <w:p>
      <w:pPr>
        <w:spacing w:line="360" w:lineRule="auto"/>
        <w:ind w:firstLine="708" w:firstLineChars="252"/>
        <w:rPr>
          <w:rFonts w:ascii="宋体" w:hAnsi="宋体"/>
          <w:b/>
          <w:sz w:val="28"/>
          <w:szCs w:val="28"/>
        </w:rPr>
      </w:pPr>
      <w:r>
        <w:rPr>
          <w:rFonts w:hint="eastAsia" w:ascii="宋体" w:hAnsi="宋体"/>
          <w:b/>
          <w:sz w:val="28"/>
          <w:szCs w:val="28"/>
        </w:rPr>
        <w:t>成都高新区政府采购服务中心</w:t>
      </w:r>
    </w:p>
    <w:p>
      <w:pPr>
        <w:spacing w:line="360" w:lineRule="auto"/>
        <w:ind w:firstLine="705" w:firstLineChars="252"/>
        <w:rPr>
          <w:rFonts w:ascii="宋体" w:hAnsi="宋体"/>
          <w:sz w:val="28"/>
          <w:szCs w:val="28"/>
        </w:rPr>
      </w:pPr>
      <w:r>
        <w:rPr>
          <w:rFonts w:hint="eastAsia" w:ascii="宋体" w:hAnsi="宋体"/>
          <w:sz w:val="28"/>
          <w:szCs w:val="28"/>
        </w:rPr>
        <w:t>地  址：成都市天府大道北段18号A座高新区管委会11楼</w:t>
      </w:r>
    </w:p>
    <w:p>
      <w:pPr>
        <w:spacing w:line="360" w:lineRule="auto"/>
        <w:ind w:firstLine="705" w:firstLineChars="252"/>
        <w:rPr>
          <w:rFonts w:ascii="宋体" w:hAnsi="宋体"/>
          <w:sz w:val="28"/>
          <w:szCs w:val="28"/>
        </w:rPr>
      </w:pPr>
      <w:r>
        <w:rPr>
          <w:rFonts w:hint="eastAsia" w:ascii="宋体" w:hAnsi="宋体"/>
          <w:sz w:val="28"/>
          <w:szCs w:val="28"/>
        </w:rPr>
        <w:t>邮  编：610041</w:t>
      </w:r>
    </w:p>
    <w:p>
      <w:pPr>
        <w:spacing w:line="360" w:lineRule="auto"/>
        <w:ind w:firstLine="705" w:firstLineChars="252"/>
        <w:rPr>
          <w:rFonts w:ascii="宋体" w:hAnsi="宋体"/>
          <w:sz w:val="28"/>
          <w:szCs w:val="28"/>
        </w:rPr>
      </w:pPr>
      <w:r>
        <w:rPr>
          <w:rFonts w:hint="eastAsia" w:ascii="宋体" w:hAnsi="宋体"/>
          <w:sz w:val="28"/>
          <w:szCs w:val="28"/>
        </w:rPr>
        <w:t>联系人：陈莉玮</w:t>
      </w:r>
    </w:p>
    <w:p>
      <w:pPr>
        <w:spacing w:line="360" w:lineRule="auto"/>
        <w:ind w:firstLine="705" w:firstLineChars="252"/>
        <w:rPr>
          <w:rFonts w:ascii="宋体" w:hAnsi="宋体"/>
          <w:sz w:val="28"/>
          <w:szCs w:val="28"/>
        </w:rPr>
      </w:pPr>
      <w:r>
        <w:rPr>
          <w:rFonts w:hint="eastAsia" w:ascii="宋体" w:hAnsi="宋体"/>
          <w:sz w:val="28"/>
          <w:szCs w:val="28"/>
        </w:rPr>
        <w:t>联系电话：028-85177566</w:t>
      </w:r>
    </w:p>
    <w:p>
      <w:pPr>
        <w:spacing w:line="360" w:lineRule="auto"/>
        <w:ind w:firstLine="708" w:firstLineChars="252"/>
        <w:rPr>
          <w:rFonts w:ascii="宋体" w:hAnsi="宋体"/>
          <w:sz w:val="28"/>
          <w:szCs w:val="28"/>
        </w:rPr>
      </w:pPr>
      <w:r>
        <w:rPr>
          <w:rFonts w:hint="eastAsia" w:ascii="宋体" w:hAnsi="宋体"/>
          <w:b/>
          <w:sz w:val="28"/>
          <w:szCs w:val="28"/>
        </w:rPr>
        <w:t>技术支持电话：</w:t>
      </w:r>
      <w:r>
        <w:rPr>
          <w:rFonts w:ascii="宋体" w:hAnsi="宋体"/>
          <w:sz w:val="28"/>
          <w:szCs w:val="28"/>
        </w:rPr>
        <w:t>400-881-7190</w:t>
      </w:r>
    </w:p>
    <w:p>
      <w:pPr>
        <w:spacing w:line="360" w:lineRule="auto"/>
        <w:ind w:firstLine="708" w:firstLineChars="252"/>
        <w:rPr>
          <w:rFonts w:ascii="宋体" w:hAnsi="宋体"/>
          <w:b/>
          <w:sz w:val="28"/>
          <w:szCs w:val="28"/>
        </w:rPr>
      </w:pPr>
      <w:r>
        <w:rPr>
          <w:rFonts w:hint="eastAsia" w:ascii="宋体" w:hAnsi="宋体"/>
          <w:b/>
          <w:sz w:val="28"/>
          <w:szCs w:val="28"/>
        </w:rPr>
        <w:t>政府采购监督机构：成都高新区财政金融局</w:t>
      </w:r>
    </w:p>
    <w:p>
      <w:pPr>
        <w:spacing w:line="360" w:lineRule="auto"/>
        <w:ind w:firstLine="705" w:firstLineChars="252"/>
        <w:rPr>
          <w:rFonts w:ascii="宋体" w:hAnsi="宋体"/>
          <w:sz w:val="28"/>
          <w:szCs w:val="28"/>
        </w:rPr>
      </w:pPr>
      <w:r>
        <w:rPr>
          <w:rFonts w:hint="eastAsia" w:ascii="宋体" w:hAnsi="宋体"/>
          <w:sz w:val="28"/>
          <w:szCs w:val="28"/>
        </w:rPr>
        <w:t>地 址：成都市天府大道北段18号A座高新区管委会5楼</w:t>
      </w:r>
    </w:p>
    <w:p>
      <w:pPr>
        <w:spacing w:line="360" w:lineRule="auto"/>
        <w:ind w:firstLine="705" w:firstLineChars="252"/>
        <w:rPr>
          <w:rFonts w:ascii="宋体" w:hAnsi="宋体"/>
          <w:sz w:val="28"/>
          <w:szCs w:val="28"/>
        </w:rPr>
        <w:sectPr>
          <w:footerReference r:id="rId7" w:type="default"/>
          <w:pgSz w:w="11906" w:h="16838"/>
          <w:pgMar w:top="1758" w:right="1588" w:bottom="1758" w:left="1588" w:header="851" w:footer="992" w:gutter="0"/>
          <w:pgNumType w:start="1"/>
          <w:cols w:space="720" w:num="1"/>
          <w:docGrid w:linePitch="326" w:charSpace="0"/>
        </w:sectPr>
      </w:pPr>
      <w:r>
        <w:rPr>
          <w:rFonts w:hint="eastAsia" w:ascii="宋体" w:hAnsi="宋体"/>
          <w:sz w:val="28"/>
          <w:szCs w:val="28"/>
        </w:rPr>
        <w:t>联系电话：028-82829642 </w:t>
      </w:r>
    </w:p>
    <w:p>
      <w:pPr>
        <w:pStyle w:val="3"/>
        <w:numPr>
          <w:ilvl w:val="0"/>
          <w:numId w:val="1"/>
        </w:numPr>
        <w:spacing w:before="0" w:after="0"/>
        <w:ind w:left="0" w:firstLine="0"/>
      </w:pPr>
      <w:bookmarkStart w:id="1" w:name="_Toc28843"/>
      <w:bookmarkStart w:id="2" w:name="_Toc391885334"/>
      <w:bookmarkStart w:id="3" w:name="_Toc381263230"/>
      <w:bookmarkStart w:id="4" w:name="_Toc287623638"/>
      <w:r>
        <w:rPr>
          <w:rFonts w:hint="eastAsia"/>
        </w:rPr>
        <w:t>供应商须知</w:t>
      </w:r>
      <w:bookmarkEnd w:id="1"/>
      <w:bookmarkEnd w:id="2"/>
    </w:p>
    <w:p>
      <w:pPr>
        <w:pStyle w:val="4"/>
        <w:ind w:left="851" w:hanging="851"/>
      </w:pPr>
      <w:bookmarkStart w:id="5" w:name="_Toc21721"/>
      <w:r>
        <w:rPr>
          <w:rFonts w:hint="eastAsia"/>
        </w:rPr>
        <w:t>供应商须知前附表</w:t>
      </w:r>
      <w:bookmarkEnd w:id="5"/>
    </w:p>
    <w:tbl>
      <w:tblPr>
        <w:tblStyle w:val="45"/>
        <w:tblW w:w="8772"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0" w:type="dxa"/>
          <w:bottom w:w="0" w:type="dxa"/>
          <w:right w:w="0" w:type="dxa"/>
        </w:tblCellMar>
      </w:tblPr>
      <w:tblGrid>
        <w:gridCol w:w="768"/>
        <w:gridCol w:w="2443"/>
        <w:gridCol w:w="5561"/>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642" w:hRule="exact"/>
          <w:jc w:val="center"/>
        </w:trPr>
        <w:tc>
          <w:tcPr>
            <w:tcW w:w="768" w:type="dxa"/>
            <w:tcBorders>
              <w:tl2br w:val="nil"/>
              <w:tr2bl w:val="nil"/>
            </w:tcBorders>
            <w:vAlign w:val="center"/>
          </w:tcPr>
          <w:p>
            <w:pPr>
              <w:pStyle w:val="150"/>
              <w:spacing w:line="360" w:lineRule="auto"/>
              <w:ind w:left="38" w:hanging="38"/>
              <w:jc w:val="center"/>
              <w:rPr>
                <w:b/>
              </w:rPr>
            </w:pPr>
            <w:r>
              <w:rPr>
                <w:rFonts w:hint="eastAsia"/>
                <w:b/>
                <w:lang w:val="zh-CN"/>
              </w:rPr>
              <w:t>序号</w:t>
            </w:r>
          </w:p>
        </w:tc>
        <w:tc>
          <w:tcPr>
            <w:tcW w:w="2443" w:type="dxa"/>
            <w:tcBorders>
              <w:tl2br w:val="nil"/>
              <w:tr2bl w:val="nil"/>
            </w:tcBorders>
            <w:vAlign w:val="center"/>
          </w:tcPr>
          <w:p>
            <w:pPr>
              <w:pStyle w:val="150"/>
              <w:spacing w:line="360" w:lineRule="auto"/>
              <w:ind w:left="38" w:hanging="38"/>
              <w:jc w:val="center"/>
              <w:rPr>
                <w:b/>
                <w:lang w:val="zh-CN"/>
              </w:rPr>
            </w:pPr>
            <w:r>
              <w:rPr>
                <w:rFonts w:hint="eastAsia"/>
                <w:b/>
                <w:lang w:val="zh-CN"/>
              </w:rPr>
              <w:t>应知事项</w:t>
            </w:r>
          </w:p>
        </w:tc>
        <w:tc>
          <w:tcPr>
            <w:tcW w:w="5561" w:type="dxa"/>
            <w:tcBorders>
              <w:tl2br w:val="nil"/>
              <w:tr2bl w:val="nil"/>
            </w:tcBorders>
            <w:vAlign w:val="center"/>
          </w:tcPr>
          <w:p>
            <w:pPr>
              <w:pStyle w:val="150"/>
              <w:spacing w:line="360" w:lineRule="auto"/>
              <w:jc w:val="center"/>
              <w:rPr>
                <w:b/>
                <w:lang w:val="zh-CN"/>
              </w:rPr>
            </w:pPr>
            <w:r>
              <w:rPr>
                <w:rFonts w:hint="eastAsia"/>
                <w:b/>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606" w:hRule="exac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pStyle w:val="150"/>
              <w:spacing w:line="360" w:lineRule="auto"/>
              <w:ind w:right="-329" w:rightChars="-137"/>
            </w:pPr>
            <w:r>
              <w:rPr>
                <w:rFonts w:hint="eastAsia"/>
                <w:lang w:val="zh-CN"/>
              </w:rPr>
              <w:t>采购预算</w:t>
            </w:r>
            <w:r>
              <w:rPr>
                <w:rFonts w:hint="eastAsia" w:ascii="仿宋" w:hAnsi="仿宋" w:eastAsia="仿宋"/>
                <w:sz w:val="21"/>
                <w:szCs w:val="21"/>
                <w:lang w:val="zh-CN"/>
              </w:rPr>
              <w:t>（实质性要求）</w:t>
            </w:r>
          </w:p>
        </w:tc>
        <w:tc>
          <w:tcPr>
            <w:tcW w:w="5561" w:type="dxa"/>
            <w:tcBorders>
              <w:tl2br w:val="nil"/>
              <w:tr2bl w:val="nil"/>
            </w:tcBorders>
            <w:vAlign w:val="center"/>
          </w:tcPr>
          <w:p>
            <w:pPr>
              <w:pStyle w:val="150"/>
              <w:spacing w:line="360" w:lineRule="auto"/>
              <w:ind w:left="38" w:hanging="24"/>
              <w:rPr>
                <w:rFonts w:asciiTheme="minorEastAsia" w:hAnsiTheme="minorEastAsia"/>
                <w:b/>
              </w:rPr>
            </w:pPr>
            <w:r>
              <w:rPr>
                <w:rFonts w:hint="eastAsia" w:cs="Times New Roman" w:asciiTheme="minorEastAsia" w:hAnsiTheme="minorEastAsia" w:eastAsiaTheme="minorEastAsia"/>
                <w:b/>
                <w:kern w:val="2"/>
              </w:rPr>
              <w:t>人民币168.8154万元</w:t>
            </w:r>
            <w:r>
              <w:rPr>
                <w:rFonts w:hint="eastAsia"/>
                <w:b/>
                <w:kern w:val="2"/>
              </w:rP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861" w:hRule="exac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pStyle w:val="150"/>
              <w:spacing w:line="360" w:lineRule="auto"/>
              <w:rPr>
                <w:lang w:val="zh-CN"/>
              </w:rPr>
            </w:pPr>
            <w:r>
              <w:rPr>
                <w:rFonts w:hint="eastAsia"/>
                <w:lang w:val="zh-CN"/>
              </w:rPr>
              <w:t xml:space="preserve">最高限价（控制价）     </w:t>
            </w:r>
            <w:r>
              <w:rPr>
                <w:rFonts w:hint="eastAsia" w:ascii="仿宋" w:hAnsi="仿宋" w:eastAsia="仿宋"/>
                <w:sz w:val="21"/>
                <w:szCs w:val="21"/>
                <w:lang w:val="zh-CN"/>
              </w:rPr>
              <w:t>（实质性要求）</w:t>
            </w:r>
          </w:p>
        </w:tc>
        <w:tc>
          <w:tcPr>
            <w:tcW w:w="5561" w:type="dxa"/>
            <w:tcBorders>
              <w:tl2br w:val="nil"/>
              <w:tr2bl w:val="nil"/>
            </w:tcBorders>
            <w:vAlign w:val="center"/>
          </w:tcPr>
          <w:p>
            <w:pPr>
              <w:pStyle w:val="150"/>
              <w:spacing w:line="360" w:lineRule="auto"/>
              <w:ind w:left="38" w:hanging="24"/>
              <w:rPr>
                <w:b/>
                <w:lang w:val="zh-CN"/>
              </w:rPr>
            </w:pPr>
            <w:r>
              <w:rPr>
                <w:rFonts w:hint="eastAsia" w:cs="Times New Roman"/>
                <w:b/>
                <w:kern w:val="2"/>
              </w:rPr>
              <w:t>最高限价（控制价）：</w:t>
            </w:r>
            <w:r>
              <w:rPr>
                <w:rFonts w:hint="eastAsia" w:cs="Times New Roman" w:asciiTheme="minorEastAsia" w:hAnsiTheme="minorEastAsia" w:eastAsiaTheme="minorEastAsia"/>
                <w:b/>
                <w:kern w:val="2"/>
              </w:rPr>
              <w:t>168.8154万元</w:t>
            </w:r>
            <w:r>
              <w:rPr>
                <w:rFonts w:hint="eastAsia" w:cs="Times New Roman"/>
                <w:b/>
                <w:kern w:val="2"/>
              </w:rPr>
              <w:t>，供应商最后报价高于最高限价的则其施工响应文件将按无效响应文件处理。</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450" w:hRule="exac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pStyle w:val="150"/>
              <w:spacing w:line="360" w:lineRule="auto"/>
              <w:jc w:val="both"/>
              <w:rPr>
                <w:lang w:val="zh-CN"/>
              </w:rPr>
            </w:pPr>
            <w:r>
              <w:rPr>
                <w:rFonts w:hint="eastAsia"/>
                <w:lang w:val="zh-CN"/>
              </w:rPr>
              <w:t>采购方式</w:t>
            </w:r>
          </w:p>
        </w:tc>
        <w:tc>
          <w:tcPr>
            <w:tcW w:w="5561" w:type="dxa"/>
            <w:tcBorders>
              <w:tl2br w:val="nil"/>
              <w:tr2bl w:val="nil"/>
            </w:tcBorders>
            <w:vAlign w:val="center"/>
          </w:tcPr>
          <w:p>
            <w:pPr>
              <w:pStyle w:val="150"/>
              <w:spacing w:line="360" w:lineRule="auto"/>
              <w:jc w:val="both"/>
              <w:rPr>
                <w:lang w:val="zh-CN"/>
              </w:rPr>
            </w:pPr>
            <w:r>
              <w:rPr>
                <w:rFonts w:hint="eastAsia"/>
                <w:lang w:val="zh-CN"/>
              </w:rPr>
              <w:t>竞争性磋商。</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893" w:hRule="exac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pStyle w:val="150"/>
              <w:spacing w:line="360" w:lineRule="auto"/>
              <w:ind w:left="38"/>
              <w:rPr>
                <w:rFonts w:cs="Times New Roman"/>
                <w:lang w:val="zh-CN"/>
              </w:rPr>
            </w:pPr>
            <w:r>
              <w:rPr>
                <w:rFonts w:hint="eastAsia" w:cs="仿宋"/>
                <w:lang w:val="zh-CN"/>
              </w:rPr>
              <w:t>本国工程</w:t>
            </w:r>
            <w:r>
              <w:rPr>
                <w:rFonts w:hint="eastAsia" w:ascii="仿宋" w:hAnsi="仿宋" w:eastAsia="仿宋"/>
                <w:sz w:val="21"/>
                <w:szCs w:val="21"/>
                <w:lang w:val="zh-CN"/>
              </w:rPr>
              <w:t>（实质性要求）</w:t>
            </w:r>
          </w:p>
        </w:tc>
        <w:tc>
          <w:tcPr>
            <w:tcW w:w="5561" w:type="dxa"/>
            <w:tcBorders>
              <w:tl2br w:val="nil"/>
              <w:tr2bl w:val="nil"/>
            </w:tcBorders>
            <w:vAlign w:val="center"/>
          </w:tcPr>
          <w:p>
            <w:pPr>
              <w:pStyle w:val="150"/>
              <w:spacing w:line="360" w:lineRule="auto"/>
              <w:jc w:val="both"/>
              <w:rPr>
                <w:lang w:val="zh-CN"/>
              </w:rPr>
            </w:pPr>
            <w:r>
              <w:rPr>
                <w:rFonts w:hint="eastAsia" w:cs="仿宋"/>
              </w:rPr>
              <w:t>根据《中华人民共和国政府采购法》第十条的规定，本项目采购本国工程。</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14"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pStyle w:val="150"/>
              <w:spacing w:line="360" w:lineRule="auto"/>
              <w:jc w:val="both"/>
              <w:rPr>
                <w:lang w:val="zh-CN"/>
              </w:rPr>
            </w:pPr>
            <w:r>
              <w:rPr>
                <w:rFonts w:hint="eastAsia"/>
                <w:lang w:val="zh-CN"/>
              </w:rPr>
              <w:t>通过四川省政府采购供应商库系统随机抽取选中的供应商</w:t>
            </w:r>
            <w:r>
              <w:rPr>
                <w:lang w:val="zh-CN"/>
              </w:rPr>
              <w:t>在评审阶段资格发生变化</w:t>
            </w:r>
            <w:r>
              <w:rPr>
                <w:rFonts w:hint="eastAsia" w:ascii="仿宋" w:hAnsi="仿宋" w:eastAsia="仿宋"/>
                <w:sz w:val="21"/>
                <w:szCs w:val="21"/>
                <w:lang w:val="zh-CN"/>
              </w:rPr>
              <w:t>（实质性要求）</w:t>
            </w:r>
          </w:p>
        </w:tc>
        <w:tc>
          <w:tcPr>
            <w:tcW w:w="5561" w:type="dxa"/>
            <w:tcBorders>
              <w:tl2br w:val="nil"/>
              <w:tr2bl w:val="nil"/>
            </w:tcBorders>
            <w:vAlign w:val="center"/>
          </w:tcPr>
          <w:p>
            <w:pPr>
              <w:pStyle w:val="150"/>
              <w:spacing w:line="360" w:lineRule="auto"/>
              <w:jc w:val="both"/>
              <w:rPr>
                <w:lang w:val="zh-CN"/>
              </w:rPr>
            </w:pPr>
            <w:r>
              <w:rPr>
                <w:rFonts w:hint="eastAsia"/>
                <w:lang w:val="zh-CN"/>
              </w:rPr>
              <w:t>通过四川省政府采购供应商库系统随机抽取选中的供应商</w:t>
            </w:r>
            <w:r>
              <w:rPr>
                <w:lang w:val="zh-CN"/>
              </w:rPr>
              <w:t>在</w:t>
            </w:r>
            <w:r>
              <w:rPr>
                <w:rFonts w:hint="eastAsia"/>
                <w:lang w:val="zh-CN"/>
              </w:rPr>
              <w:t>提</w:t>
            </w:r>
            <w:r>
              <w:rPr>
                <w:lang w:val="zh-CN"/>
              </w:rPr>
              <w:t>交施工响应</w:t>
            </w:r>
            <w:r>
              <w:rPr>
                <w:rFonts w:hint="eastAsia"/>
                <w:lang w:val="zh-CN"/>
              </w:rPr>
              <w:t>文件</w:t>
            </w:r>
            <w:r>
              <w:rPr>
                <w:lang w:val="zh-CN"/>
              </w:rPr>
              <w:t>前</w:t>
            </w:r>
            <w:r>
              <w:rPr>
                <w:rFonts w:hint="eastAsia"/>
                <w:lang w:val="zh-CN"/>
              </w:rPr>
              <w:t>，如</w:t>
            </w:r>
            <w:r>
              <w:rPr>
                <w:lang w:val="zh-CN"/>
              </w:rPr>
              <w:t>自身资格</w:t>
            </w:r>
            <w:r>
              <w:rPr>
                <w:rFonts w:hint="eastAsia"/>
                <w:lang w:val="zh-CN"/>
              </w:rPr>
              <w:t>条件</w:t>
            </w:r>
            <w:r>
              <w:rPr>
                <w:lang w:val="zh-CN"/>
              </w:rPr>
              <w:t>发生变化，</w:t>
            </w:r>
            <w:r>
              <w:rPr>
                <w:rFonts w:hint="eastAsia"/>
                <w:lang w:val="zh-CN"/>
              </w:rPr>
              <w:t>不</w:t>
            </w:r>
            <w:r>
              <w:rPr>
                <w:lang w:val="zh-CN"/>
              </w:rPr>
              <w:t>再满足项目资格要求的</w:t>
            </w:r>
            <w:r>
              <w:rPr>
                <w:rFonts w:hint="eastAsia"/>
                <w:lang w:val="zh-CN"/>
              </w:rPr>
              <w:t>，则</w:t>
            </w:r>
            <w:r>
              <w:rPr>
                <w:lang w:val="zh-CN"/>
              </w:rPr>
              <w:t>不得提交施工响应文件</w:t>
            </w:r>
            <w:r>
              <w:rPr>
                <w:rFonts w:hint="eastAsia"/>
                <w:lang w:val="zh-CN"/>
              </w:rPr>
              <w:t>，否则可能</w:t>
            </w:r>
            <w:r>
              <w:rPr>
                <w:lang w:val="zh-CN"/>
              </w:rPr>
              <w:t>承担提供虚假材料谋取中标</w:t>
            </w:r>
            <w:r>
              <w:rPr>
                <w:rFonts w:hint="eastAsia"/>
                <w:lang w:val="zh-CN"/>
              </w:rPr>
              <w:t>、成</w:t>
            </w:r>
            <w:r>
              <w:rPr>
                <w:lang w:val="zh-CN"/>
              </w:rPr>
              <w:t>交的法律后果。</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14"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pStyle w:val="150"/>
              <w:spacing w:line="360" w:lineRule="auto"/>
              <w:jc w:val="both"/>
            </w:pPr>
            <w:r>
              <w:rPr>
                <w:rFonts w:hint="eastAsia"/>
              </w:rPr>
              <w:t>定向采购</w:t>
            </w:r>
          </w:p>
        </w:tc>
        <w:tc>
          <w:tcPr>
            <w:tcW w:w="5561" w:type="dxa"/>
            <w:tcBorders>
              <w:tl2br w:val="nil"/>
              <w:tr2bl w:val="nil"/>
            </w:tcBorders>
            <w:vAlign w:val="center"/>
          </w:tcPr>
          <w:p>
            <w:pPr>
              <w:adjustRightInd w:val="0"/>
              <w:spacing w:line="360" w:lineRule="auto"/>
              <w:ind w:right="36" w:rightChars="15"/>
              <w:rPr>
                <w:rFonts w:ascii="宋体" w:hAnsi="宋体" w:cs="仿宋"/>
              </w:rPr>
            </w:pPr>
            <w:r>
              <w:rPr>
                <w:rFonts w:hint="eastAsia" w:ascii="宋体" w:hAnsi="宋体" w:cs="仿宋"/>
              </w:rPr>
              <w:t>本项目专门面向中小企业采购。</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14"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pStyle w:val="150"/>
              <w:spacing w:line="360" w:lineRule="auto"/>
              <w:rPr>
                <w:lang w:val="zh-CN"/>
              </w:rPr>
            </w:pPr>
            <w:r>
              <w:rPr>
                <w:rFonts w:hint="eastAsia"/>
                <w:lang w:val="zh-CN"/>
              </w:rPr>
              <w:t>低于成本价不正当竞争预防措施</w:t>
            </w:r>
            <w:r>
              <w:rPr>
                <w:rFonts w:hint="eastAsia" w:ascii="仿宋" w:hAnsi="仿宋" w:eastAsia="仿宋"/>
                <w:sz w:val="21"/>
                <w:szCs w:val="21"/>
                <w:lang w:val="zh-CN"/>
              </w:rPr>
              <w:t>（实质性要求）</w:t>
            </w:r>
          </w:p>
        </w:tc>
        <w:tc>
          <w:tcPr>
            <w:tcW w:w="5561" w:type="dxa"/>
            <w:tcBorders>
              <w:tl2br w:val="nil"/>
              <w:tr2bl w:val="nil"/>
            </w:tcBorders>
            <w:vAlign w:val="center"/>
          </w:tcPr>
          <w:p>
            <w:pPr>
              <w:adjustRightInd w:val="0"/>
              <w:snapToGrid w:val="0"/>
              <w:spacing w:before="152" w:after="160" w:line="360" w:lineRule="auto"/>
              <w:ind w:firstLine="240" w:firstLineChars="100"/>
              <w:rPr>
                <w:rFonts w:ascii="宋体" w:hAnsi="宋体" w:cs="宋体"/>
              </w:rPr>
            </w:pPr>
            <w:r>
              <w:rPr>
                <w:rFonts w:ascii="宋体" w:hAnsi="宋体" w:cs="宋体"/>
              </w:rPr>
              <w:t>1．供应商报价低于</w:t>
            </w:r>
            <w:r>
              <w:rPr>
                <w:rFonts w:hint="eastAsia" w:ascii="宋体" w:hAnsi="宋体" w:cs="宋体"/>
              </w:rPr>
              <w:t>最高限价（控制价）</w:t>
            </w:r>
            <w:r>
              <w:rPr>
                <w:rFonts w:ascii="宋体" w:hAnsi="宋体" w:cs="宋体"/>
              </w:rPr>
              <w:t>85%或者低于其他有效供应商报价算术平均价90%，有可能影响工程质量或者不能诚信履约的，应当要求其在评审现场合理的时间内提供书面说明，必要时提交相关证明材料；供应商不能证明其报价合理性的，</w:t>
            </w:r>
            <w:r>
              <w:rPr>
                <w:rFonts w:hint="eastAsia" w:ascii="宋体" w:hAnsi="宋体" w:cs="宋体"/>
              </w:rPr>
              <w:t>磋商</w:t>
            </w:r>
            <w:r>
              <w:rPr>
                <w:rFonts w:ascii="宋体" w:hAnsi="宋体" w:cs="宋体"/>
              </w:rPr>
              <w:t>小组应当将其施工响应文件作为无效处理。供应商的书面说明材料应当按照国家财务会计制度的规定要求，逐项就供应商提供的工程及其有关</w:t>
            </w:r>
            <w:r>
              <w:rPr>
                <w:rFonts w:hint="eastAsia" w:ascii="宋体" w:hAnsi="宋体" w:cs="宋体"/>
              </w:rPr>
              <w:t>的货物、服务的主营业务成本、税金及附加、销售费用、管理费用、财务费用等成本构成事项详细陈述。</w:t>
            </w:r>
          </w:p>
          <w:p>
            <w:pPr>
              <w:adjustRightInd w:val="0"/>
              <w:snapToGrid w:val="0"/>
              <w:spacing w:before="152" w:after="160" w:line="360" w:lineRule="auto"/>
              <w:ind w:firstLine="240" w:firstLineChars="100"/>
              <w:rPr>
                <w:rFonts w:ascii="宋体" w:hAnsi="宋体" w:cs="宋体"/>
              </w:rPr>
            </w:pPr>
            <w:r>
              <w:rPr>
                <w:rFonts w:ascii="宋体" w:hAnsi="宋体" w:cs="宋体"/>
              </w:rPr>
              <w:t>2．供应商书面说明</w:t>
            </w:r>
            <w:r>
              <w:rPr>
                <w:rFonts w:hint="eastAsia" w:ascii="宋体" w:hAnsi="宋体" w:cs="宋体"/>
              </w:rPr>
              <w:t>应加盖供应商（法定名称）电子签章</w:t>
            </w:r>
            <w:r>
              <w:rPr>
                <w:rFonts w:ascii="宋体" w:hAnsi="宋体" w:cs="宋体"/>
              </w:rPr>
              <w:t>，否则无效。</w:t>
            </w:r>
          </w:p>
          <w:p>
            <w:pPr>
              <w:adjustRightInd w:val="0"/>
              <w:snapToGrid w:val="0"/>
              <w:spacing w:line="360" w:lineRule="auto"/>
              <w:ind w:firstLine="153" w:firstLineChars="64"/>
              <w:rPr>
                <w:rFonts w:ascii="宋体" w:hAnsi="宋体"/>
                <w:b/>
              </w:rPr>
            </w:pPr>
            <w:r>
              <w:rPr>
                <w:rFonts w:ascii="宋体" w:hAnsi="宋体"/>
              </w:rPr>
              <w:t>3．供应商提供书面说明后，</w:t>
            </w:r>
            <w:r>
              <w:rPr>
                <w:rFonts w:hint="eastAsia" w:ascii="宋体" w:hAnsi="宋体" w:cs="宋体"/>
              </w:rPr>
              <w:t>磋商</w:t>
            </w:r>
            <w:r>
              <w:rPr>
                <w:rFonts w:ascii="宋体" w:hAnsi="宋体"/>
              </w:rPr>
              <w:t>小组应当结合采购项目采购需求、专业实际情况、供应商财务状况报告、与其</w:t>
            </w:r>
            <w:r>
              <w:rPr>
                <w:rFonts w:hint="eastAsia" w:ascii="宋体" w:hAnsi="宋体"/>
              </w:rPr>
              <w:t>他供应商比较情况等就供应商书面说明进行审查评价。供应商拒绝或者变相拒绝提供有效书面说明或者书面说明不能证明其报价合理性的或未在规定时间内递交有效书面说明书的，</w:t>
            </w:r>
            <w:r>
              <w:rPr>
                <w:rFonts w:hint="eastAsia" w:ascii="宋体" w:hAnsi="宋体" w:cs="宋体"/>
              </w:rPr>
              <w:t>磋商</w:t>
            </w:r>
            <w:r>
              <w:rPr>
                <w:rFonts w:hint="eastAsia" w:ascii="宋体" w:hAnsi="宋体"/>
              </w:rPr>
              <w:t>小组应当将其施工响应文件作为无效处理。</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14"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pStyle w:val="150"/>
              <w:spacing w:line="360" w:lineRule="auto"/>
              <w:rPr>
                <w:lang w:val="zh-CN"/>
              </w:rPr>
            </w:pPr>
            <w:r>
              <w:rPr>
                <w:rFonts w:hint="eastAsia"/>
                <w:lang w:val="zh-CN"/>
              </w:rPr>
              <w:t>小微企业（监狱企业、残疾人福利性单位视同小微企业）价格扣除</w:t>
            </w:r>
          </w:p>
        </w:tc>
        <w:tc>
          <w:tcPr>
            <w:tcW w:w="5561" w:type="dxa"/>
            <w:tcBorders>
              <w:tl2br w:val="nil"/>
              <w:tr2bl w:val="nil"/>
            </w:tcBorders>
            <w:vAlign w:val="center"/>
          </w:tcPr>
          <w:p>
            <w:pPr>
              <w:adjustRightInd w:val="0"/>
              <w:snapToGrid w:val="0"/>
              <w:spacing w:line="360" w:lineRule="auto"/>
              <w:rPr>
                <w:rFonts w:ascii="宋体" w:hAnsi="宋体" w:cs="宋体"/>
              </w:rPr>
            </w:pPr>
            <w:r>
              <w:rPr>
                <w:rFonts w:hint="eastAsia" w:ascii="宋体" w:hAnsi="宋体" w:cs="宋体"/>
                <w:b/>
              </w:rPr>
              <w:t>本项目专门面向中小</w:t>
            </w:r>
            <w:r>
              <w:rPr>
                <w:rFonts w:ascii="宋体" w:hAnsi="宋体" w:cs="宋体"/>
                <w:b/>
              </w:rPr>
              <w:t>企业，不进行价格扣除</w:t>
            </w:r>
            <w:r>
              <w:rPr>
                <w:rFonts w:ascii="宋体" w:hAnsi="宋体" w:cs="宋体"/>
              </w:rP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759"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pStyle w:val="150"/>
              <w:spacing w:line="360" w:lineRule="auto"/>
              <w:jc w:val="both"/>
              <w:rPr>
                <w:lang w:val="zh-CN"/>
              </w:rPr>
            </w:pPr>
            <w:r>
              <w:rPr>
                <w:rFonts w:hint="eastAsia"/>
                <w:lang w:val="zh-CN"/>
              </w:rPr>
              <w:t>磋商保证金</w:t>
            </w:r>
          </w:p>
        </w:tc>
        <w:tc>
          <w:tcPr>
            <w:tcW w:w="5561" w:type="dxa"/>
            <w:tcBorders>
              <w:tl2br w:val="nil"/>
              <w:tr2bl w:val="nil"/>
            </w:tcBorders>
            <w:vAlign w:val="center"/>
          </w:tcPr>
          <w:p>
            <w:pPr>
              <w:spacing w:line="360" w:lineRule="auto"/>
              <w:rPr>
                <w:rFonts w:ascii="宋体" w:hAnsi="宋体"/>
              </w:rPr>
            </w:pPr>
            <w:r>
              <w:rPr>
                <w:rFonts w:hint="eastAsia" w:ascii="宋体" w:hAnsi="宋体"/>
                <w:b/>
              </w:rPr>
              <w:t>本项目不收取磋商保证金。</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830"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spacing w:line="360" w:lineRule="auto"/>
              <w:rPr>
                <w:rFonts w:ascii="宋体" w:hAnsi="宋体" w:cs="宋体"/>
                <w:lang w:val="zh-CN"/>
              </w:rPr>
            </w:pPr>
            <w:r>
              <w:rPr>
                <w:rFonts w:hint="eastAsia" w:ascii="宋体" w:hAnsi="宋体" w:cs="宋体"/>
                <w:lang w:val="zh-CN"/>
              </w:rPr>
              <w:t>履约保证金</w:t>
            </w:r>
            <w:r>
              <w:rPr>
                <w:rFonts w:hint="eastAsia" w:ascii="仿宋" w:hAnsi="仿宋" w:eastAsia="仿宋"/>
                <w:szCs w:val="21"/>
                <w:lang w:val="zh-CN"/>
              </w:rPr>
              <w:t>（实质性要求）</w:t>
            </w:r>
          </w:p>
        </w:tc>
        <w:tc>
          <w:tcPr>
            <w:tcW w:w="5561" w:type="dxa"/>
            <w:tcBorders>
              <w:tl2br w:val="nil"/>
              <w:tr2bl w:val="nil"/>
            </w:tcBorders>
            <w:vAlign w:val="center"/>
          </w:tcPr>
          <w:p>
            <w:pPr>
              <w:spacing w:line="360" w:lineRule="auto"/>
              <w:rPr>
                <w:rFonts w:ascii="宋体" w:hAnsi="宋体" w:cs="宋体"/>
                <w:b/>
                <w:lang w:val="zh-CN"/>
              </w:rPr>
            </w:pPr>
            <w:r>
              <w:rPr>
                <w:rFonts w:hint="eastAsia"/>
              </w:rPr>
              <w:t>详见2.8.4履约保证金。</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830"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施工响应文件的制作和签章、加密</w:t>
            </w:r>
            <w:r>
              <w:rPr>
                <w:rFonts w:hint="eastAsia" w:ascii="仿宋" w:hAnsi="仿宋" w:eastAsia="仿宋"/>
                <w:szCs w:val="21"/>
                <w:lang w:val="zh-CN"/>
              </w:rPr>
              <w:t>（实质性要求）</w:t>
            </w:r>
          </w:p>
        </w:tc>
        <w:tc>
          <w:tcPr>
            <w:tcW w:w="5561"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详见供应商须知2.4.11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830"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施工响应文件的递交</w:t>
            </w:r>
            <w:r>
              <w:rPr>
                <w:rFonts w:hint="eastAsia" w:ascii="仿宋" w:hAnsi="仿宋" w:eastAsia="仿宋"/>
                <w:szCs w:val="21"/>
                <w:lang w:val="zh-CN"/>
              </w:rPr>
              <w:t>（实质性要求）</w:t>
            </w:r>
          </w:p>
        </w:tc>
        <w:tc>
          <w:tcPr>
            <w:tcW w:w="5561"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详见供应商须知2.4.12</w:t>
            </w:r>
          </w:p>
          <w:p>
            <w:pPr>
              <w:tabs>
                <w:tab w:val="left" w:pos="7665"/>
              </w:tabs>
              <w:snapToGrid w:val="0"/>
              <w:spacing w:line="360" w:lineRule="auto"/>
              <w:rPr>
                <w:rFonts w:ascii="宋体" w:hAnsi="宋体"/>
              </w:rPr>
            </w:pPr>
            <w:r>
              <w:rPr>
                <w:rFonts w:hint="eastAsia" w:ascii="宋体" w:hAnsi="宋体"/>
              </w:rPr>
              <w:t>注：供应商使用</w:t>
            </w:r>
            <w:r>
              <w:rPr>
                <w:rFonts w:ascii="宋体" w:hAnsi="宋体"/>
              </w:rPr>
              <w:t>CA证书在</w:t>
            </w:r>
            <w:r>
              <w:rPr>
                <w:rFonts w:hint="eastAsia" w:ascii="宋体" w:hAnsi="宋体"/>
              </w:rPr>
              <w:t>递交施工</w:t>
            </w:r>
            <w:r>
              <w:rPr>
                <w:rFonts w:ascii="宋体" w:hAnsi="宋体"/>
              </w:rPr>
              <w:t>响应文件</w:t>
            </w:r>
            <w:r>
              <w:rPr>
                <w:rFonts w:hint="eastAsia" w:ascii="宋体" w:hAnsi="宋体"/>
              </w:rPr>
              <w:t>截止时间前，将施工响应文件上传至政府</w:t>
            </w:r>
            <w:r>
              <w:rPr>
                <w:rFonts w:ascii="宋体" w:hAnsi="宋体"/>
              </w:rPr>
              <w:t>采购</w:t>
            </w:r>
            <w:r>
              <w:rPr>
                <w:rFonts w:hint="eastAsia" w:ascii="宋体" w:hAnsi="宋体"/>
              </w:rPr>
              <w:t>云平台，上传前须对施工响应文件是否有电子签章等进行核对。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830"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施工响应文件的补充、修改和撤回</w:t>
            </w:r>
          </w:p>
        </w:tc>
        <w:tc>
          <w:tcPr>
            <w:tcW w:w="5561"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详见供应商须知2.4.13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264"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tabs>
                <w:tab w:val="left" w:pos="7665"/>
              </w:tabs>
              <w:snapToGrid w:val="0"/>
              <w:spacing w:line="360" w:lineRule="auto"/>
              <w:rPr>
                <w:rFonts w:ascii="宋体" w:hAnsi="宋体"/>
              </w:rPr>
            </w:pPr>
            <w:r>
              <w:rPr>
                <w:rFonts w:hint="eastAsia"/>
                <w:b/>
              </w:rPr>
              <w:t>开标及开标程序</w:t>
            </w:r>
          </w:p>
        </w:tc>
        <w:tc>
          <w:tcPr>
            <w:tcW w:w="5561" w:type="dxa"/>
            <w:tcBorders>
              <w:tl2br w:val="nil"/>
              <w:tr2bl w:val="nil"/>
            </w:tcBorders>
            <w:vAlign w:val="center"/>
          </w:tcPr>
          <w:p>
            <w:pPr>
              <w:snapToGrid w:val="0"/>
              <w:spacing w:line="360" w:lineRule="auto"/>
              <w:rPr>
                <w:rFonts w:ascii="宋体" w:hAnsi="宋体"/>
                <w:b/>
              </w:rPr>
            </w:pPr>
            <w:r>
              <w:rPr>
                <w:rFonts w:hint="eastAsia" w:ascii="宋体" w:hAnsi="宋体"/>
                <w:b/>
              </w:rPr>
              <w:t>详见供应商须知2.5。</w:t>
            </w:r>
          </w:p>
          <w:p>
            <w:pPr>
              <w:snapToGrid w:val="0"/>
              <w:spacing w:line="360" w:lineRule="auto"/>
              <w:rPr>
                <w:rFonts w:ascii="宋体" w:hAnsi="宋体"/>
                <w:b/>
              </w:rPr>
            </w:pPr>
            <w:r>
              <w:rPr>
                <w:rFonts w:hint="eastAsia" w:ascii="宋体" w:hAnsi="宋体"/>
                <w:b/>
              </w:rPr>
              <w:t>施工响应文件解密：开启解密后，供应商应在系统提示的解密开始时间后</w:t>
            </w:r>
            <w:r>
              <w:rPr>
                <w:rFonts w:ascii="宋体" w:hAnsi="宋体"/>
                <w:b/>
              </w:rPr>
              <w:t>60</w:t>
            </w:r>
            <w:r>
              <w:rPr>
                <w:rFonts w:hint="eastAsia" w:ascii="宋体" w:hAnsi="宋体"/>
                <w:b/>
              </w:rPr>
              <w:t>分钟内，使用对施工响应文件进行加密的CA证书在线完成对供应商递交至政府采购云平台的施工响应文件的解密。</w:t>
            </w:r>
          </w:p>
          <w:p>
            <w:pPr>
              <w:snapToGrid w:val="0"/>
              <w:spacing w:line="360" w:lineRule="auto"/>
              <w:rPr>
                <w:rFonts w:ascii="宋体" w:hAnsi="宋体"/>
                <w:b/>
              </w:rPr>
            </w:pPr>
            <w:r>
              <w:rPr>
                <w:rFonts w:hint="eastAsia" w:ascii="宋体" w:hAnsi="宋体"/>
                <w:b/>
              </w:rPr>
              <w:t>供应商电脑终端等硬件设备和软件系统配置：供应商电脑终端等硬件设备和软件系统配置应符合开标大厅供应商电脑终端配置要求并运行正常，供应商承担因未尽职责产生的不利后果。</w:t>
            </w:r>
          </w:p>
          <w:p>
            <w:pPr>
              <w:tabs>
                <w:tab w:val="left" w:pos="7665"/>
              </w:tabs>
              <w:snapToGrid w:val="0"/>
              <w:spacing w:line="360" w:lineRule="auto"/>
              <w:rPr>
                <w:rFonts w:ascii="宋体" w:hAnsi="宋体"/>
              </w:rPr>
            </w:pPr>
            <w:r>
              <w:rPr>
                <w:rFonts w:hint="eastAsia" w:ascii="宋体" w:hAnsi="宋体"/>
                <w:b/>
              </w:rPr>
              <w:t>开标、响应文件的解密详见《成都市全流程电子化采购系统操作指南——供应商版》。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425"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snapToGrid w:val="0"/>
              <w:spacing w:line="360" w:lineRule="auto"/>
              <w:rPr>
                <w:rFonts w:ascii="宋体" w:hAnsi="宋体"/>
              </w:rPr>
            </w:pPr>
            <w:r>
              <w:rPr>
                <w:rFonts w:hint="eastAsia" w:ascii="宋体" w:hAnsi="宋体"/>
              </w:rPr>
              <w:t>对磋商文件中供应商参加本次政府采购活动应当具备的条件、项目技术、服务、商务及其他要求，评分细则及标准的询问、质疑</w:t>
            </w:r>
          </w:p>
        </w:tc>
        <w:tc>
          <w:tcPr>
            <w:tcW w:w="5561"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向采购人提出，并由采购人按相关规定作出答复（详见供应商须知2.10）。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1557"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snapToGrid w:val="0"/>
              <w:spacing w:line="360" w:lineRule="auto"/>
              <w:rPr>
                <w:rFonts w:ascii="宋体" w:hAnsi="宋体"/>
              </w:rPr>
            </w:pPr>
            <w:r>
              <w:rPr>
                <w:rFonts w:hint="eastAsia" w:ascii="宋体" w:hAnsi="宋体"/>
              </w:rPr>
              <w:t>对磋商文件中的其他内容、采购过程及成交结果的询问、质疑</w:t>
            </w:r>
          </w:p>
        </w:tc>
        <w:tc>
          <w:tcPr>
            <w:tcW w:w="5561"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向高新区采购中心提出，并由高新区采购中心按相关规定作出答复（详见供应商须知2.10）。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830"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snapToGrid w:val="0"/>
              <w:spacing w:line="360" w:lineRule="auto"/>
              <w:ind w:right="240" w:rightChars="100"/>
              <w:rPr>
                <w:rFonts w:ascii="宋体" w:hAnsi="宋体"/>
              </w:rPr>
            </w:pPr>
            <w:r>
              <w:rPr>
                <w:rFonts w:hint="eastAsia" w:ascii="宋体" w:hAnsi="宋体"/>
              </w:rPr>
              <w:t>供应商投诉</w:t>
            </w:r>
          </w:p>
        </w:tc>
        <w:tc>
          <w:tcPr>
            <w:tcW w:w="5561" w:type="dxa"/>
            <w:tcBorders>
              <w:tl2br w:val="nil"/>
              <w:tr2bl w:val="nil"/>
            </w:tcBorders>
            <w:vAlign w:val="center"/>
          </w:tcPr>
          <w:p>
            <w:pPr>
              <w:pStyle w:val="150"/>
              <w:spacing w:line="360" w:lineRule="auto"/>
              <w:jc w:val="both"/>
              <w:rPr>
                <w:lang w:val="zh-CN"/>
              </w:rPr>
            </w:pPr>
            <w:r>
              <w:rPr>
                <w:rFonts w:hint="eastAsia"/>
                <w:lang w:val="zh-CN"/>
              </w:rPr>
              <w:t>投诉受理单位：本项目同级财政部门，即成都高新区财政金融局。</w:t>
            </w:r>
          </w:p>
          <w:p>
            <w:pPr>
              <w:pStyle w:val="150"/>
              <w:spacing w:line="360" w:lineRule="auto"/>
              <w:jc w:val="both"/>
              <w:rPr>
                <w:lang w:val="zh-CN"/>
              </w:rPr>
            </w:pPr>
            <w:r>
              <w:rPr>
                <w:rFonts w:hint="eastAsia"/>
                <w:lang w:val="zh-CN"/>
              </w:rPr>
              <w:t>联系电话：028-82829642。</w:t>
            </w:r>
          </w:p>
          <w:p>
            <w:pPr>
              <w:pStyle w:val="150"/>
              <w:spacing w:line="360" w:lineRule="auto"/>
              <w:jc w:val="both"/>
              <w:rPr>
                <w:lang w:val="zh-CN"/>
              </w:rPr>
            </w:pPr>
            <w:r>
              <w:rPr>
                <w:rFonts w:hint="eastAsia"/>
                <w:lang w:val="zh-CN"/>
              </w:rPr>
              <w:t>地址：成都市天府大道北段18号A座高新区管委会5楼</w:t>
            </w:r>
            <w:r>
              <w:rPr>
                <w:lang w:val="zh-CN"/>
              </w:rPr>
              <w:t>。</w:t>
            </w:r>
          </w:p>
          <w:p>
            <w:pPr>
              <w:tabs>
                <w:tab w:val="left" w:pos="7665"/>
              </w:tabs>
              <w:snapToGrid w:val="0"/>
              <w:spacing w:line="360" w:lineRule="auto"/>
              <w:rPr>
                <w:rFonts w:ascii="宋体" w:hAnsi="宋体"/>
              </w:rPr>
            </w:pPr>
            <w:r>
              <w:rPr>
                <w:rFonts w:hint="eastAsia"/>
                <w:lang w:val="zh-CN"/>
              </w:rPr>
              <w:t>邮编：</w:t>
            </w:r>
            <w:r>
              <w:rPr>
                <w:lang w:val="zh-CN"/>
              </w:rPr>
              <w:t>610041。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74" w:hRule="atLeast"/>
          <w:jc w:val="center"/>
        </w:trPr>
        <w:tc>
          <w:tcPr>
            <w:tcW w:w="768" w:type="dxa"/>
            <w:tcBorders>
              <w:tl2br w:val="nil"/>
              <w:tr2bl w:val="nil"/>
            </w:tcBorders>
            <w:vAlign w:val="center"/>
          </w:tcPr>
          <w:p>
            <w:pPr>
              <w:widowControl w:val="0"/>
              <w:numPr>
                <w:ilvl w:val="0"/>
                <w:numId w:val="7"/>
              </w:numPr>
              <w:snapToGrid w:val="0"/>
              <w:spacing w:line="360" w:lineRule="auto"/>
              <w:jc w:val="center"/>
              <w:rPr>
                <w:rFonts w:ascii="宋体" w:hAnsi="宋体"/>
              </w:rPr>
            </w:pPr>
          </w:p>
        </w:tc>
        <w:tc>
          <w:tcPr>
            <w:tcW w:w="2443"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施工响应文件有效期</w:t>
            </w:r>
          </w:p>
        </w:tc>
        <w:tc>
          <w:tcPr>
            <w:tcW w:w="5561"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cs="Helvetica"/>
              </w:rPr>
              <w:t>递交施工响应文件的截止之日起</w:t>
            </w:r>
            <w:r>
              <w:rPr>
                <w:rFonts w:ascii="宋体" w:hAnsi="宋体"/>
                <w:u w:val="single"/>
              </w:rPr>
              <w:t xml:space="preserve"> 120</w:t>
            </w:r>
            <w:r>
              <w:rPr>
                <w:rFonts w:hint="eastAsia" w:ascii="宋体" w:hAnsi="宋体"/>
              </w:rPr>
              <w:t>天。</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18" w:hRule="atLeast"/>
          <w:jc w:val="center"/>
        </w:trPr>
        <w:tc>
          <w:tcPr>
            <w:tcW w:w="768" w:type="dxa"/>
            <w:tcBorders>
              <w:tl2br w:val="nil"/>
              <w:tr2bl w:val="nil"/>
            </w:tcBorders>
            <w:vAlign w:val="center"/>
          </w:tcPr>
          <w:p>
            <w:pPr>
              <w:widowControl w:val="0"/>
              <w:numPr>
                <w:ilvl w:val="0"/>
                <w:numId w:val="7"/>
              </w:numPr>
              <w:snapToGrid w:val="0"/>
              <w:spacing w:line="360" w:lineRule="auto"/>
              <w:ind w:left="0" w:firstLine="0"/>
              <w:jc w:val="center"/>
              <w:rPr>
                <w:rFonts w:ascii="宋体" w:hAnsi="宋体"/>
              </w:rPr>
            </w:pPr>
          </w:p>
        </w:tc>
        <w:tc>
          <w:tcPr>
            <w:tcW w:w="2443" w:type="dxa"/>
            <w:tcBorders>
              <w:tl2br w:val="nil"/>
              <w:tr2bl w:val="nil"/>
            </w:tcBorders>
            <w:vAlign w:val="center"/>
          </w:tcPr>
          <w:p>
            <w:pPr>
              <w:snapToGrid w:val="0"/>
              <w:spacing w:line="360" w:lineRule="auto"/>
              <w:rPr>
                <w:rFonts w:ascii="宋体" w:hAnsi="宋体" w:cs="宋体"/>
                <w:lang w:val="zh-CN"/>
              </w:rPr>
            </w:pPr>
            <w:r>
              <w:rPr>
                <w:rFonts w:hint="eastAsia" w:ascii="宋体" w:hAnsi="宋体" w:cs="宋体"/>
                <w:lang w:val="zh-CN"/>
              </w:rPr>
              <w:t>评审情况公告</w:t>
            </w:r>
          </w:p>
        </w:tc>
        <w:tc>
          <w:tcPr>
            <w:tcW w:w="5561" w:type="dxa"/>
            <w:tcBorders>
              <w:tl2br w:val="nil"/>
              <w:tr2bl w:val="nil"/>
            </w:tcBorders>
            <w:vAlign w:val="center"/>
          </w:tcPr>
          <w:p>
            <w:pPr>
              <w:tabs>
                <w:tab w:val="left" w:pos="7665"/>
              </w:tabs>
              <w:spacing w:line="360" w:lineRule="auto"/>
              <w:rPr>
                <w:rFonts w:ascii="宋体" w:hAnsi="宋体" w:cs="宋体"/>
                <w:lang w:val="zh-CN"/>
              </w:rPr>
            </w:pPr>
            <w:r>
              <w:rPr>
                <w:rFonts w:hint="eastAsia" w:ascii="宋体" w:hAnsi="宋体"/>
              </w:rPr>
              <w:t>供应商库</w:t>
            </w:r>
            <w:r>
              <w:rPr>
                <w:rFonts w:ascii="宋体" w:hAnsi="宋体"/>
              </w:rPr>
              <w:t>随机</w:t>
            </w:r>
            <w:r>
              <w:rPr>
                <w:rFonts w:hint="eastAsia" w:ascii="宋体" w:hAnsi="宋体" w:cs="宋体"/>
                <w:lang w:val="zh-CN"/>
              </w:rPr>
              <w:t>抽取邀请</w:t>
            </w:r>
            <w:r>
              <w:rPr>
                <w:rFonts w:ascii="宋体" w:hAnsi="宋体" w:cs="宋体"/>
                <w:lang w:val="zh-CN"/>
              </w:rPr>
              <w:t>供应</w:t>
            </w:r>
            <w:r>
              <w:rPr>
                <w:rFonts w:hint="eastAsia" w:ascii="宋体" w:hAnsi="宋体" w:cs="宋体"/>
                <w:lang w:val="zh-CN"/>
              </w:rPr>
              <w:t>商</w:t>
            </w:r>
            <w:r>
              <w:rPr>
                <w:rFonts w:ascii="宋体" w:hAnsi="宋体" w:cs="宋体"/>
                <w:lang w:val="zh-CN"/>
              </w:rPr>
              <w:t>名单</w:t>
            </w:r>
            <w:r>
              <w:rPr>
                <w:rFonts w:hint="eastAsia" w:ascii="宋体" w:hAnsi="宋体" w:cs="宋体"/>
                <w:lang w:val="zh-CN"/>
              </w:rPr>
              <w:t>、施工响应文件符合性检查情况、采用综合评分法时的总得分和分项汇总得分情况、评审结果等将在“成都市公共资源交易服务中心网”、“四川政府采购网” 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18" w:hRule="atLeast"/>
          <w:jc w:val="center"/>
        </w:trPr>
        <w:tc>
          <w:tcPr>
            <w:tcW w:w="768" w:type="dxa"/>
            <w:tcBorders>
              <w:tl2br w:val="nil"/>
              <w:tr2bl w:val="nil"/>
            </w:tcBorders>
            <w:vAlign w:val="center"/>
          </w:tcPr>
          <w:p>
            <w:pPr>
              <w:widowControl w:val="0"/>
              <w:numPr>
                <w:ilvl w:val="0"/>
                <w:numId w:val="7"/>
              </w:numPr>
              <w:snapToGrid w:val="0"/>
              <w:spacing w:line="360" w:lineRule="auto"/>
              <w:ind w:left="0" w:firstLine="0"/>
              <w:jc w:val="center"/>
              <w:rPr>
                <w:rFonts w:ascii="宋体" w:hAnsi="宋体"/>
              </w:rPr>
            </w:pPr>
          </w:p>
        </w:tc>
        <w:tc>
          <w:tcPr>
            <w:tcW w:w="2443" w:type="dxa"/>
            <w:tcBorders>
              <w:tl2br w:val="nil"/>
              <w:tr2bl w:val="nil"/>
            </w:tcBorders>
            <w:vAlign w:val="center"/>
          </w:tcPr>
          <w:p>
            <w:pPr>
              <w:snapToGrid w:val="0"/>
              <w:spacing w:line="360" w:lineRule="auto"/>
              <w:rPr>
                <w:rFonts w:ascii="宋体" w:hAnsi="宋体"/>
              </w:rPr>
            </w:pPr>
            <w:r>
              <w:rPr>
                <w:rFonts w:hint="eastAsia" w:ascii="宋体" w:hAnsi="宋体" w:cs="宋体"/>
                <w:lang w:val="zh-CN"/>
              </w:rPr>
              <w:t>成交通知书领取</w:t>
            </w:r>
          </w:p>
        </w:tc>
        <w:tc>
          <w:tcPr>
            <w:tcW w:w="5561"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lang w:val="zh-CN"/>
              </w:rPr>
              <w:t>成交公告在四川政府采购网上公告后，成交供应商须携带介绍信自行前往高新区采购中心领取成交通知书。</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18" w:hRule="atLeast"/>
          <w:jc w:val="center"/>
        </w:trPr>
        <w:tc>
          <w:tcPr>
            <w:tcW w:w="768" w:type="dxa"/>
            <w:tcBorders>
              <w:tl2br w:val="nil"/>
              <w:tr2bl w:val="nil"/>
            </w:tcBorders>
            <w:vAlign w:val="center"/>
          </w:tcPr>
          <w:p>
            <w:pPr>
              <w:widowControl w:val="0"/>
              <w:numPr>
                <w:ilvl w:val="0"/>
                <w:numId w:val="7"/>
              </w:numPr>
              <w:snapToGrid w:val="0"/>
              <w:spacing w:line="360" w:lineRule="auto"/>
              <w:ind w:left="0" w:firstLine="0"/>
              <w:jc w:val="center"/>
              <w:rPr>
                <w:rFonts w:ascii="宋体" w:hAnsi="宋体"/>
              </w:rPr>
            </w:pPr>
          </w:p>
        </w:tc>
        <w:tc>
          <w:tcPr>
            <w:tcW w:w="2443" w:type="dxa"/>
            <w:tcBorders>
              <w:tl2br w:val="nil"/>
              <w:tr2bl w:val="nil"/>
            </w:tcBorders>
            <w:vAlign w:val="center"/>
          </w:tcPr>
          <w:p>
            <w:pPr>
              <w:snapToGrid w:val="0"/>
              <w:spacing w:line="360" w:lineRule="auto"/>
              <w:rPr>
                <w:rFonts w:ascii="宋体" w:hAnsi="宋体"/>
              </w:rPr>
            </w:pPr>
            <w:r>
              <w:rPr>
                <w:rFonts w:hint="eastAsia" w:ascii="宋体" w:hAnsi="宋体"/>
              </w:rPr>
              <w:t>合同签订地点</w:t>
            </w:r>
          </w:p>
        </w:tc>
        <w:tc>
          <w:tcPr>
            <w:tcW w:w="5561"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四川省成都市。</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808" w:hRule="atLeast"/>
          <w:jc w:val="center"/>
        </w:trPr>
        <w:tc>
          <w:tcPr>
            <w:tcW w:w="768" w:type="dxa"/>
            <w:tcBorders>
              <w:tl2br w:val="nil"/>
              <w:tr2bl w:val="nil"/>
            </w:tcBorders>
            <w:vAlign w:val="center"/>
          </w:tcPr>
          <w:p>
            <w:pPr>
              <w:widowControl w:val="0"/>
              <w:numPr>
                <w:ilvl w:val="0"/>
                <w:numId w:val="7"/>
              </w:numPr>
              <w:snapToGrid w:val="0"/>
              <w:spacing w:line="360" w:lineRule="auto"/>
              <w:ind w:left="0" w:firstLine="0"/>
              <w:jc w:val="center"/>
              <w:rPr>
                <w:rFonts w:ascii="宋体" w:hAnsi="宋体"/>
              </w:rPr>
            </w:pPr>
          </w:p>
        </w:tc>
        <w:tc>
          <w:tcPr>
            <w:tcW w:w="2443" w:type="dxa"/>
            <w:tcBorders>
              <w:tl2br w:val="nil"/>
              <w:tr2bl w:val="nil"/>
            </w:tcBorders>
            <w:vAlign w:val="center"/>
          </w:tcPr>
          <w:p>
            <w:pPr>
              <w:snapToGrid w:val="0"/>
              <w:spacing w:line="360" w:lineRule="auto"/>
              <w:ind w:right="240" w:rightChars="100"/>
              <w:rPr>
                <w:rFonts w:ascii="宋体" w:hAnsi="宋体"/>
              </w:rPr>
            </w:pPr>
            <w:r>
              <w:rPr>
                <w:rFonts w:hint="eastAsia" w:ascii="宋体" w:hAnsi="宋体"/>
              </w:rPr>
              <w:t>政府采购合同公告、备案</w:t>
            </w:r>
          </w:p>
        </w:tc>
        <w:tc>
          <w:tcPr>
            <w:tcW w:w="5561" w:type="dxa"/>
            <w:tcBorders>
              <w:tl2br w:val="nil"/>
              <w:tr2bl w:val="nil"/>
            </w:tcBorders>
            <w:vAlign w:val="center"/>
          </w:tcPr>
          <w:p>
            <w:pPr>
              <w:tabs>
                <w:tab w:val="left" w:pos="7665"/>
              </w:tabs>
              <w:snapToGrid w:val="0"/>
              <w:spacing w:line="360" w:lineRule="auto"/>
              <w:ind w:left="-5" w:leftChars="-2" w:right="210" w:firstLine="14" w:firstLineChars="6"/>
              <w:rPr>
                <w:rFonts w:ascii="宋体" w:hAnsi="宋体"/>
              </w:rPr>
            </w:pPr>
            <w:r>
              <w:rPr>
                <w:rFonts w:hint="eastAsia" w:ascii="宋体" w:hAnsi="宋体"/>
              </w:rPr>
              <w:t>政府采购合同签订之日起2个工作日内，采购人将在四川政府采购网公告政府采购合同；疫情防控期间，采购人原则</w:t>
            </w:r>
            <w:r>
              <w:rPr>
                <w:rFonts w:ascii="宋体" w:hAnsi="宋体"/>
              </w:rPr>
              <w:t>上在5个工作日内</w:t>
            </w:r>
            <w:r>
              <w:rPr>
                <w:rFonts w:hint="eastAsia" w:ascii="宋体" w:hAnsi="宋体"/>
              </w:rPr>
              <w:t>与</w:t>
            </w:r>
            <w:r>
              <w:rPr>
                <w:rFonts w:ascii="宋体" w:hAnsi="宋体"/>
              </w:rPr>
              <w:t>供应商签订政府采购合同</w:t>
            </w:r>
            <w:r>
              <w:rPr>
                <w:rFonts w:hint="eastAsia" w:ascii="宋体" w:hAnsi="宋体"/>
              </w:rPr>
              <w:t>及向本采购项目同级财政部门，即成都高新区财政金融局备案政府采购合同。</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416" w:hRule="atLeast"/>
          <w:jc w:val="center"/>
        </w:trPr>
        <w:tc>
          <w:tcPr>
            <w:tcW w:w="768" w:type="dxa"/>
            <w:tcBorders>
              <w:tl2br w:val="nil"/>
              <w:tr2bl w:val="nil"/>
            </w:tcBorders>
            <w:vAlign w:val="center"/>
          </w:tcPr>
          <w:p>
            <w:pPr>
              <w:widowControl w:val="0"/>
              <w:numPr>
                <w:ilvl w:val="0"/>
                <w:numId w:val="7"/>
              </w:numPr>
              <w:snapToGrid w:val="0"/>
              <w:spacing w:line="360" w:lineRule="auto"/>
              <w:ind w:left="0" w:firstLine="0"/>
              <w:jc w:val="center"/>
              <w:rPr>
                <w:rFonts w:ascii="宋体" w:hAnsi="宋体"/>
              </w:rPr>
            </w:pPr>
          </w:p>
        </w:tc>
        <w:tc>
          <w:tcPr>
            <w:tcW w:w="2443" w:type="dxa"/>
            <w:tcBorders>
              <w:tl2br w:val="nil"/>
              <w:tr2bl w:val="nil"/>
            </w:tcBorders>
            <w:vAlign w:val="center"/>
          </w:tcPr>
          <w:p>
            <w:pPr>
              <w:snapToGrid w:val="0"/>
              <w:spacing w:before="152" w:after="160" w:line="360" w:lineRule="auto"/>
              <w:rPr>
                <w:rFonts w:ascii="宋体" w:hAnsi="宋体"/>
                <w:b/>
              </w:rPr>
            </w:pPr>
            <w:r>
              <w:rPr>
                <w:rFonts w:hint="eastAsia" w:ascii="宋体" w:hAnsi="宋体"/>
              </w:rPr>
              <w:t>政采信用担保融资</w:t>
            </w:r>
          </w:p>
        </w:tc>
        <w:tc>
          <w:tcPr>
            <w:tcW w:w="5561" w:type="dxa"/>
            <w:tcBorders>
              <w:tl2br w:val="nil"/>
              <w:tr2bl w:val="nil"/>
            </w:tcBorders>
            <w:vAlign w:val="center"/>
          </w:tcPr>
          <w:p>
            <w:pPr>
              <w:tabs>
                <w:tab w:val="left" w:pos="7665"/>
              </w:tabs>
              <w:snapToGrid w:val="0"/>
              <w:spacing w:before="152" w:after="160" w:line="360" w:lineRule="auto"/>
              <w:rPr>
                <w:rFonts w:ascii="宋体" w:hAnsi="宋体"/>
              </w:rPr>
            </w:pPr>
            <w:r>
              <w:rPr>
                <w:rFonts w:hint="eastAsia" w:ascii="宋体" w:hAnsi="宋体"/>
              </w:rPr>
              <w:t>参加本次采购活动成交的中小企业无需提供财产抵押或第三方担保，凭借政府采购合同可向融资机构申请融资。具体内容详见磋商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1182" w:hRule="atLeast"/>
          <w:jc w:val="center"/>
        </w:trPr>
        <w:tc>
          <w:tcPr>
            <w:tcW w:w="768" w:type="dxa"/>
            <w:tcBorders>
              <w:tl2br w:val="nil"/>
              <w:tr2bl w:val="nil"/>
            </w:tcBorders>
            <w:vAlign w:val="center"/>
          </w:tcPr>
          <w:p>
            <w:pPr>
              <w:widowControl w:val="0"/>
              <w:numPr>
                <w:ilvl w:val="0"/>
                <w:numId w:val="7"/>
              </w:numPr>
              <w:snapToGrid w:val="0"/>
              <w:spacing w:line="360" w:lineRule="auto"/>
              <w:ind w:left="0" w:firstLine="0"/>
              <w:jc w:val="center"/>
              <w:rPr>
                <w:rFonts w:ascii="宋体" w:hAnsi="宋体"/>
              </w:rPr>
            </w:pPr>
          </w:p>
        </w:tc>
        <w:tc>
          <w:tcPr>
            <w:tcW w:w="2443" w:type="dxa"/>
            <w:tcBorders>
              <w:tl2br w:val="nil"/>
              <w:tr2bl w:val="nil"/>
            </w:tcBorders>
            <w:vAlign w:val="center"/>
          </w:tcPr>
          <w:p>
            <w:pPr>
              <w:snapToGrid w:val="0"/>
              <w:spacing w:line="360" w:lineRule="auto"/>
              <w:rPr>
                <w:rFonts w:ascii="宋体" w:hAnsi="宋体"/>
              </w:rPr>
            </w:pPr>
            <w:r>
              <w:rPr>
                <w:rFonts w:hint="eastAsia" w:ascii="宋体" w:hAnsi="宋体"/>
              </w:rPr>
              <w:t>进口产品（如采购内容中涉及货物采购的）</w:t>
            </w:r>
          </w:p>
        </w:tc>
        <w:tc>
          <w:tcPr>
            <w:tcW w:w="5561" w:type="dxa"/>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磋商文件中未载明“允许采购进口产品”的产品，拒绝进口产品的报价。磋商文件中载明“允许采购进口产品”的产品，允许国产产品参与竞争。</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212" w:hRule="atLeast"/>
          <w:jc w:val="center"/>
        </w:trPr>
        <w:tc>
          <w:tcPr>
            <w:tcW w:w="768" w:type="dxa"/>
            <w:tcBorders>
              <w:tl2br w:val="nil"/>
              <w:tr2bl w:val="nil"/>
            </w:tcBorders>
            <w:vAlign w:val="center"/>
          </w:tcPr>
          <w:p>
            <w:pPr>
              <w:widowControl w:val="0"/>
              <w:numPr>
                <w:ilvl w:val="0"/>
                <w:numId w:val="7"/>
              </w:numPr>
              <w:snapToGrid w:val="0"/>
              <w:spacing w:line="360" w:lineRule="auto"/>
              <w:ind w:left="0" w:firstLine="0"/>
              <w:jc w:val="center"/>
              <w:rPr>
                <w:rFonts w:ascii="宋体" w:hAnsi="宋体"/>
              </w:rPr>
            </w:pPr>
          </w:p>
        </w:tc>
        <w:tc>
          <w:tcPr>
            <w:tcW w:w="8004" w:type="dxa"/>
            <w:gridSpan w:val="2"/>
            <w:tcBorders>
              <w:tl2br w:val="nil"/>
              <w:tr2bl w:val="nil"/>
            </w:tcBorders>
            <w:vAlign w:val="center"/>
          </w:tcPr>
          <w:p>
            <w:pPr>
              <w:tabs>
                <w:tab w:val="left" w:pos="7665"/>
              </w:tabs>
              <w:snapToGrid w:val="0"/>
              <w:spacing w:line="360" w:lineRule="auto"/>
              <w:rPr>
                <w:rFonts w:ascii="宋体" w:hAnsi="宋体"/>
              </w:rPr>
            </w:pPr>
            <w:r>
              <w:rPr>
                <w:rFonts w:hint="eastAsia" w:ascii="宋体" w:hAnsi="宋体"/>
              </w:rPr>
              <w:t>采购人可以要求参加政府采购的供应商提供有关资质证明文件和业绩情况，并根据《中华人民共和国政府采购法》规定的供应商条件和采购项目对供应商的特定要求，对供应商的资格进行审查。</w:t>
            </w:r>
          </w:p>
        </w:tc>
      </w:tr>
    </w:tbl>
    <w:p>
      <w:pPr>
        <w:pStyle w:val="4"/>
      </w:pPr>
      <w:bookmarkStart w:id="6" w:name="_Toc494095619"/>
      <w:bookmarkEnd w:id="6"/>
      <w:bookmarkStart w:id="7" w:name="_Toc494356973"/>
      <w:bookmarkEnd w:id="7"/>
      <w:bookmarkStart w:id="8" w:name="_Toc28414"/>
      <w:r>
        <w:rPr>
          <w:rFonts w:hint="eastAsia"/>
        </w:rPr>
        <w:t>总则</w:t>
      </w:r>
      <w:bookmarkEnd w:id="8"/>
    </w:p>
    <w:p>
      <w:pPr>
        <w:pStyle w:val="5"/>
        <w:rPr>
          <w:color w:val="auto"/>
        </w:rPr>
      </w:pPr>
      <w:r>
        <w:rPr>
          <w:rFonts w:hint="eastAsia"/>
          <w:color w:val="auto"/>
        </w:rPr>
        <w:t>适用范围</w:t>
      </w:r>
      <w:bookmarkEnd w:id="3"/>
      <w:bookmarkEnd w:id="4"/>
    </w:p>
    <w:p>
      <w:pPr>
        <w:widowControl w:val="0"/>
        <w:numPr>
          <w:ilvl w:val="0"/>
          <w:numId w:val="8"/>
        </w:numPr>
        <w:tabs>
          <w:tab w:val="left" w:pos="1134"/>
          <w:tab w:val="clear" w:pos="420"/>
        </w:tabs>
        <w:spacing w:line="360" w:lineRule="auto"/>
        <w:ind w:left="0" w:firstLine="560" w:firstLineChars="200"/>
        <w:jc w:val="both"/>
        <w:rPr>
          <w:rFonts w:ascii="宋体" w:hAnsi="宋体"/>
          <w:sz w:val="28"/>
          <w:szCs w:val="28"/>
        </w:rPr>
      </w:pPr>
      <w:r>
        <w:rPr>
          <w:rFonts w:hint="eastAsia" w:ascii="宋体" w:hAnsi="宋体"/>
          <w:sz w:val="28"/>
          <w:szCs w:val="28"/>
        </w:rPr>
        <w:t>本磋商文件仅适用于本竞争性磋商邀请中所叙述项目的采购。</w:t>
      </w:r>
    </w:p>
    <w:p>
      <w:pPr>
        <w:widowControl w:val="0"/>
        <w:numPr>
          <w:ilvl w:val="0"/>
          <w:numId w:val="8"/>
        </w:numPr>
        <w:tabs>
          <w:tab w:val="left" w:pos="1134"/>
          <w:tab w:val="clear" w:pos="420"/>
        </w:tabs>
        <w:spacing w:line="360" w:lineRule="auto"/>
        <w:ind w:left="0" w:firstLine="560" w:firstLineChars="200"/>
        <w:jc w:val="both"/>
        <w:rPr>
          <w:rFonts w:ascii="宋体" w:hAnsi="宋体"/>
          <w:sz w:val="28"/>
          <w:szCs w:val="28"/>
        </w:rPr>
      </w:pPr>
      <w:r>
        <w:rPr>
          <w:rFonts w:hint="eastAsia" w:ascii="宋体" w:hAnsi="宋体"/>
          <w:sz w:val="28"/>
          <w:szCs w:val="28"/>
        </w:rPr>
        <w:t>本磋商文件的最终解释权由采购人或高新区采购中心享有。磋商文件中供应商参加本次政府采购活动应当具备的条件、技术、服务及其他要求、评分标准由采购人负责解释。除上述磋商文件内容，其他内容由高新区采购中心负责解释。</w:t>
      </w:r>
    </w:p>
    <w:p>
      <w:pPr>
        <w:pStyle w:val="5"/>
        <w:rPr>
          <w:color w:val="auto"/>
        </w:rPr>
      </w:pPr>
      <w:bookmarkStart w:id="9" w:name="_Toc287623639"/>
      <w:r>
        <w:rPr>
          <w:rFonts w:hint="eastAsia"/>
          <w:color w:val="auto"/>
        </w:rPr>
        <w:t>有关定义</w:t>
      </w:r>
      <w:bookmarkEnd w:id="9"/>
    </w:p>
    <w:p>
      <w:pPr>
        <w:widowControl w:val="0"/>
        <w:numPr>
          <w:ilvl w:val="0"/>
          <w:numId w:val="9"/>
        </w:numPr>
        <w:tabs>
          <w:tab w:val="left" w:pos="1134"/>
          <w:tab w:val="clear" w:pos="420"/>
        </w:tabs>
        <w:spacing w:line="360" w:lineRule="auto"/>
        <w:ind w:left="0" w:firstLine="565" w:firstLineChars="202"/>
        <w:jc w:val="both"/>
        <w:rPr>
          <w:rFonts w:ascii="宋体" w:hAnsi="宋体"/>
          <w:sz w:val="28"/>
          <w:szCs w:val="28"/>
        </w:rPr>
      </w:pPr>
      <w:r>
        <w:rPr>
          <w:rFonts w:hint="eastAsia" w:ascii="宋体" w:hAnsi="宋体"/>
          <w:sz w:val="28"/>
          <w:szCs w:val="28"/>
        </w:rPr>
        <w:t>“采购人”、“甲方”系指依法进行政府采购的高新区级机关、事业单位、团体组织。本次竞争性磋商项目的采购人是</w:t>
      </w:r>
      <w:r>
        <w:rPr>
          <w:rFonts w:hint="eastAsia" w:ascii="宋体" w:hAnsi="宋体"/>
          <w:b/>
          <w:sz w:val="28"/>
          <w:szCs w:val="28"/>
          <w:u w:val="single"/>
        </w:rPr>
        <w:t>四川省成都市中和中学</w:t>
      </w:r>
      <w:r>
        <w:rPr>
          <w:rFonts w:hint="eastAsia" w:ascii="宋体" w:hAnsi="宋体"/>
          <w:sz w:val="28"/>
          <w:szCs w:val="28"/>
        </w:rPr>
        <w:t>。</w:t>
      </w:r>
    </w:p>
    <w:p>
      <w:pPr>
        <w:widowControl w:val="0"/>
        <w:numPr>
          <w:ilvl w:val="0"/>
          <w:numId w:val="9"/>
        </w:numPr>
        <w:tabs>
          <w:tab w:val="left" w:pos="1200"/>
          <w:tab w:val="clear" w:pos="420"/>
        </w:tabs>
        <w:spacing w:line="360" w:lineRule="auto"/>
        <w:ind w:left="0" w:firstLine="599" w:firstLineChars="214"/>
        <w:jc w:val="both"/>
        <w:rPr>
          <w:rFonts w:ascii="宋体" w:hAnsi="宋体"/>
          <w:sz w:val="28"/>
          <w:szCs w:val="28"/>
        </w:rPr>
      </w:pPr>
      <w:r>
        <w:rPr>
          <w:rFonts w:hint="eastAsia" w:ascii="宋体" w:hAnsi="宋体"/>
          <w:sz w:val="28"/>
          <w:szCs w:val="28"/>
        </w:rPr>
        <w:t>“供应商”系指拟参加竞争性磋商和向采购人提供工程</w:t>
      </w:r>
      <w:r>
        <w:rPr>
          <w:rFonts w:ascii="宋体" w:hAnsi="宋体"/>
          <w:sz w:val="28"/>
          <w:szCs w:val="28"/>
        </w:rPr>
        <w:t>、</w:t>
      </w:r>
      <w:r>
        <w:rPr>
          <w:rFonts w:hint="eastAsia" w:ascii="宋体" w:hAnsi="宋体"/>
          <w:sz w:val="28"/>
          <w:szCs w:val="28"/>
        </w:rPr>
        <w:t>货物及服务的供应商。“乙方”系指本项目的成交供应商。</w:t>
      </w:r>
    </w:p>
    <w:p>
      <w:pPr>
        <w:widowControl w:val="0"/>
        <w:numPr>
          <w:ilvl w:val="0"/>
          <w:numId w:val="9"/>
        </w:numPr>
        <w:tabs>
          <w:tab w:val="left" w:pos="1200"/>
          <w:tab w:val="clear" w:pos="420"/>
        </w:tabs>
        <w:spacing w:line="360" w:lineRule="auto"/>
        <w:ind w:left="0" w:firstLine="599" w:firstLineChars="214"/>
        <w:jc w:val="both"/>
        <w:rPr>
          <w:rFonts w:ascii="宋体" w:hAnsi="宋体"/>
          <w:sz w:val="28"/>
          <w:szCs w:val="28"/>
        </w:rPr>
      </w:pPr>
      <w:r>
        <w:rPr>
          <w:rFonts w:ascii="宋体" w:hAnsi="宋体"/>
          <w:sz w:val="28"/>
          <w:szCs w:val="28"/>
        </w:rPr>
        <w:t>本</w:t>
      </w:r>
      <w:r>
        <w:rPr>
          <w:rFonts w:hint="eastAsia" w:ascii="宋体" w:hAnsi="宋体"/>
          <w:sz w:val="28"/>
          <w:szCs w:val="28"/>
        </w:rPr>
        <w:t>磋商</w:t>
      </w:r>
      <w:r>
        <w:rPr>
          <w:rFonts w:ascii="宋体" w:hAnsi="宋体"/>
          <w:sz w:val="28"/>
          <w:szCs w:val="28"/>
        </w:rPr>
        <w:t>文件各部分规定的期间以时、日、月、年计算。期间开始的时和日，不计算在期间内，而从次日开始计算。期间届满的最后一天是节假日的，以节假日后的第一日为期间届满的日期。</w:t>
      </w:r>
    </w:p>
    <w:p>
      <w:pPr>
        <w:widowControl w:val="0"/>
        <w:numPr>
          <w:ilvl w:val="0"/>
          <w:numId w:val="9"/>
        </w:numPr>
        <w:tabs>
          <w:tab w:val="left" w:pos="1200"/>
          <w:tab w:val="clear" w:pos="420"/>
        </w:tabs>
        <w:spacing w:line="360" w:lineRule="auto"/>
        <w:ind w:left="0" w:firstLine="599" w:firstLineChars="214"/>
        <w:jc w:val="both"/>
        <w:rPr>
          <w:rFonts w:ascii="宋体" w:hAnsi="宋体"/>
          <w:sz w:val="28"/>
          <w:szCs w:val="28"/>
        </w:rPr>
      </w:pPr>
      <w:r>
        <w:rPr>
          <w:rFonts w:hint="eastAsia" w:ascii="宋体" w:hAnsi="宋体"/>
          <w:sz w:val="28"/>
          <w:szCs w:val="28"/>
        </w:rPr>
        <w:t>磋商文件中所称的“以上”、“以下”、“内”、“以内”，包括本数；所称的“不足”，不包括本数。</w:t>
      </w:r>
    </w:p>
    <w:p>
      <w:pPr>
        <w:widowControl w:val="0"/>
        <w:numPr>
          <w:ilvl w:val="0"/>
          <w:numId w:val="9"/>
        </w:numPr>
        <w:tabs>
          <w:tab w:val="left" w:pos="1200"/>
          <w:tab w:val="clear" w:pos="420"/>
        </w:tabs>
        <w:spacing w:line="360" w:lineRule="auto"/>
        <w:ind w:left="0" w:firstLine="599" w:firstLineChars="214"/>
        <w:jc w:val="both"/>
        <w:rPr>
          <w:rFonts w:ascii="宋体" w:hAnsi="宋体"/>
          <w:sz w:val="28"/>
          <w:szCs w:val="28"/>
        </w:rPr>
      </w:pPr>
      <w:r>
        <w:rPr>
          <w:rFonts w:hint="eastAsia" w:ascii="宋体" w:hAnsi="宋体"/>
          <w:sz w:val="28"/>
          <w:szCs w:val="28"/>
        </w:rPr>
        <w:t>重大违法记录是指供应商因违法经营受到刑事处罚或者责令停产停业、吊销许可证或者执照、较大数额罚款等行政处罚。重大违法记录中的较大数额罚款的具体金额标准：若行业行政主管部门对较大数额罚款金额标准有明文规定的，以行业行政主管部门规定的较大数额罚款金额标准为准；若行业行政主管部门对较大数额罚款金额标准未明文规定的，以作出行政处罚机关当地的行政处罚罚款听证标准金额为准。</w:t>
      </w:r>
    </w:p>
    <w:p>
      <w:pPr>
        <w:widowControl w:val="0"/>
        <w:numPr>
          <w:ilvl w:val="0"/>
          <w:numId w:val="9"/>
        </w:numPr>
        <w:tabs>
          <w:tab w:val="left" w:pos="1200"/>
          <w:tab w:val="clear" w:pos="420"/>
        </w:tabs>
        <w:spacing w:line="360" w:lineRule="auto"/>
        <w:ind w:left="0" w:firstLine="599" w:firstLineChars="214"/>
        <w:jc w:val="both"/>
        <w:rPr>
          <w:rFonts w:ascii="宋体" w:hAnsi="宋体"/>
          <w:sz w:val="28"/>
          <w:szCs w:val="28"/>
        </w:rPr>
      </w:pPr>
      <w:r>
        <w:rPr>
          <w:rFonts w:hint="eastAsia" w:ascii="宋体" w:hAnsi="宋体"/>
          <w:sz w:val="28"/>
          <w:szCs w:val="28"/>
        </w:rPr>
        <w:t>不见面开标是指，高新区采购中心依托政府采购云平台组织磋商活动，供应商在线参与磋商的一种组织形式。</w:t>
      </w:r>
    </w:p>
    <w:p>
      <w:pPr>
        <w:pStyle w:val="5"/>
        <w:rPr>
          <w:color w:val="auto"/>
        </w:rPr>
      </w:pPr>
      <w:r>
        <w:rPr>
          <w:rFonts w:hint="eastAsia"/>
          <w:color w:val="auto"/>
        </w:rPr>
        <w:t>合格的供应商</w:t>
      </w:r>
      <w:r>
        <w:rPr>
          <w:rFonts w:hint="eastAsia" w:ascii="仿宋" w:hAnsi="仿宋" w:eastAsia="仿宋"/>
          <w:color w:val="auto"/>
          <w:szCs w:val="21"/>
          <w:lang w:val="zh-CN"/>
        </w:rPr>
        <w:t>（实质性要求）</w:t>
      </w:r>
    </w:p>
    <w:p>
      <w:pPr>
        <w:tabs>
          <w:tab w:val="left" w:pos="1134"/>
        </w:tabs>
        <w:spacing w:line="360" w:lineRule="auto"/>
        <w:ind w:firstLine="560" w:firstLineChars="200"/>
        <w:rPr>
          <w:rFonts w:ascii="宋体" w:hAnsi="宋体"/>
          <w:spacing w:val="-4"/>
          <w:sz w:val="28"/>
          <w:szCs w:val="28"/>
        </w:rPr>
      </w:pPr>
      <w:r>
        <w:rPr>
          <w:rFonts w:hint="eastAsia" w:ascii="宋体" w:hAnsi="宋体"/>
          <w:sz w:val="28"/>
          <w:szCs w:val="28"/>
        </w:rPr>
        <w:t>合格的供应商应具备以下条件：被邀请参加</w:t>
      </w:r>
      <w:r>
        <w:rPr>
          <w:rFonts w:ascii="宋体" w:hAnsi="宋体"/>
          <w:sz w:val="28"/>
          <w:szCs w:val="28"/>
        </w:rPr>
        <w:t>磋商的供应商</w:t>
      </w:r>
      <w:r>
        <w:rPr>
          <w:rFonts w:hint="eastAsia" w:ascii="宋体" w:hAnsi="宋体"/>
          <w:spacing w:val="-4"/>
          <w:sz w:val="28"/>
          <w:szCs w:val="28"/>
        </w:rPr>
        <w:t>。</w:t>
      </w:r>
    </w:p>
    <w:p>
      <w:pPr>
        <w:pStyle w:val="5"/>
        <w:rPr>
          <w:color w:val="auto"/>
        </w:rPr>
      </w:pPr>
      <w:bookmarkStart w:id="10" w:name="_Toc287623640"/>
      <w:bookmarkStart w:id="11" w:name="_Toc320698717"/>
      <w:r>
        <w:rPr>
          <w:rFonts w:hint="eastAsia"/>
          <w:color w:val="auto"/>
        </w:rPr>
        <w:t>参加竞争性磋商的费用</w:t>
      </w:r>
      <w:bookmarkEnd w:id="10"/>
      <w:r>
        <w:rPr>
          <w:rFonts w:hint="eastAsia" w:ascii="仿宋" w:hAnsi="仿宋" w:eastAsia="仿宋"/>
          <w:color w:val="auto"/>
          <w:szCs w:val="21"/>
          <w:lang w:val="zh-CN"/>
        </w:rPr>
        <w:t>（实质性要求）</w:t>
      </w:r>
    </w:p>
    <w:p>
      <w:pPr>
        <w:tabs>
          <w:tab w:val="left" w:pos="7665"/>
        </w:tabs>
        <w:spacing w:line="360" w:lineRule="auto"/>
        <w:ind w:firstLine="567"/>
        <w:rPr>
          <w:rFonts w:ascii="宋体" w:hAnsi="宋体"/>
          <w:sz w:val="28"/>
          <w:szCs w:val="28"/>
        </w:rPr>
      </w:pPr>
      <w:r>
        <w:rPr>
          <w:rFonts w:hint="eastAsia" w:ascii="宋体" w:hAnsi="宋体"/>
          <w:sz w:val="28"/>
          <w:szCs w:val="28"/>
        </w:rPr>
        <w:t>供应商应自行承担参加竞争性磋商采购活动的全部费用。</w:t>
      </w:r>
    </w:p>
    <w:p>
      <w:pPr>
        <w:pStyle w:val="5"/>
        <w:rPr>
          <w:color w:val="auto"/>
        </w:rPr>
      </w:pPr>
      <w:r>
        <w:rPr>
          <w:rFonts w:hint="eastAsia"/>
          <w:color w:val="auto"/>
        </w:rPr>
        <w:t>充分、公平竞争保障措施</w:t>
      </w:r>
      <w:r>
        <w:rPr>
          <w:rFonts w:hint="eastAsia" w:ascii="仿宋" w:hAnsi="仿宋" w:eastAsia="仿宋"/>
          <w:color w:val="auto"/>
          <w:szCs w:val="21"/>
          <w:lang w:val="zh-CN"/>
        </w:rPr>
        <w:t>（实质性要求）</w:t>
      </w:r>
    </w:p>
    <w:p>
      <w:pPr>
        <w:widowControl w:val="0"/>
        <w:numPr>
          <w:ilvl w:val="1"/>
          <w:numId w:val="10"/>
        </w:numPr>
        <w:tabs>
          <w:tab w:val="left" w:pos="1134"/>
        </w:tabs>
        <w:snapToGrid w:val="0"/>
        <w:spacing w:line="360" w:lineRule="auto"/>
        <w:ind w:left="0" w:firstLine="567"/>
        <w:jc w:val="both"/>
        <w:rPr>
          <w:rFonts w:ascii="宋体" w:hAnsi="宋体"/>
          <w:color w:val="auto"/>
          <w:sz w:val="28"/>
          <w:szCs w:val="28"/>
        </w:rPr>
      </w:pPr>
      <w:r>
        <w:rPr>
          <w:rFonts w:hint="eastAsia" w:ascii="宋体" w:hAnsi="宋体"/>
          <w:sz w:val="28"/>
          <w:szCs w:val="28"/>
        </w:rPr>
        <w:t>利害关系供应商处理。单位负责人为同一人或者存在直接控股、管理关系的不同供应</w:t>
      </w:r>
      <w:bookmarkStart w:id="178" w:name="_GoBack"/>
      <w:r>
        <w:rPr>
          <w:rFonts w:hint="eastAsia" w:ascii="宋体" w:hAnsi="宋体"/>
          <w:color w:val="auto"/>
          <w:sz w:val="28"/>
          <w:szCs w:val="28"/>
        </w:rPr>
        <w:t>商不得参加同一合同项下的政府采购活动。</w:t>
      </w:r>
    </w:p>
    <w:p>
      <w:pPr>
        <w:widowControl w:val="0"/>
        <w:numPr>
          <w:ilvl w:val="1"/>
          <w:numId w:val="10"/>
        </w:numPr>
        <w:tabs>
          <w:tab w:val="left" w:pos="1134"/>
        </w:tabs>
        <w:snapToGrid w:val="0"/>
        <w:spacing w:line="360" w:lineRule="auto"/>
        <w:ind w:left="0" w:firstLine="560" w:firstLineChars="200"/>
        <w:jc w:val="both"/>
        <w:rPr>
          <w:rFonts w:ascii="宋体" w:hAnsi="宋体"/>
          <w:color w:val="auto"/>
          <w:sz w:val="28"/>
          <w:szCs w:val="28"/>
        </w:rPr>
      </w:pPr>
      <w:r>
        <w:rPr>
          <w:rFonts w:hint="eastAsia" w:ascii="宋体" w:hAnsi="宋体"/>
          <w:color w:val="auto"/>
          <w:sz w:val="28"/>
          <w:szCs w:val="28"/>
        </w:rPr>
        <w:t>利害关系授权代表处理。两家以上的供应商不得在同一合同项下的采购项目中，委托同一个自然人、同一家庭的人员、同一单位的人员作为其授权</w:t>
      </w:r>
      <w:r>
        <w:rPr>
          <w:rFonts w:hint="eastAsia" w:ascii="宋体" w:hAnsi="宋体"/>
          <w:color w:val="auto"/>
          <w:sz w:val="28"/>
          <w:szCs w:val="28"/>
        </w:rPr>
        <w:t>代表，否则，其施工响应文件作为无效处理。</w:t>
      </w:r>
    </w:p>
    <w:p>
      <w:pPr>
        <w:widowControl w:val="0"/>
        <w:numPr>
          <w:ilvl w:val="1"/>
          <w:numId w:val="10"/>
        </w:numPr>
        <w:tabs>
          <w:tab w:val="left" w:pos="1134"/>
        </w:tabs>
        <w:snapToGrid w:val="0"/>
        <w:spacing w:line="360" w:lineRule="auto"/>
        <w:ind w:left="0" w:firstLine="560" w:firstLineChars="200"/>
        <w:jc w:val="both"/>
        <w:rPr>
          <w:rFonts w:ascii="宋体" w:hAnsi="宋体"/>
          <w:color w:val="FF0000"/>
          <w:sz w:val="28"/>
          <w:szCs w:val="28"/>
        </w:rPr>
      </w:pPr>
      <w:r>
        <w:rPr>
          <w:rFonts w:hint="eastAsia" w:ascii="宋体" w:hAnsi="宋体"/>
          <w:color w:val="auto"/>
          <w:sz w:val="28"/>
          <w:szCs w:val="28"/>
        </w:rPr>
        <w:t>前期参与供应商处理。为采购项目提供整体设计、规范编制或者项目管理、监理、检测等服务的供应商，不得再参加该采购项目的其他采购活动。供应商为采购人、采购代理机构在确定采购需求、编制采购文件过程中提供咨询论证，其</w:t>
      </w:r>
      <w:bookmarkEnd w:id="178"/>
      <w:r>
        <w:rPr>
          <w:rFonts w:hint="eastAsia" w:ascii="宋体" w:hAnsi="宋体"/>
          <w:sz w:val="28"/>
          <w:szCs w:val="28"/>
        </w:rPr>
        <w:t>提供的咨询论证意见成为采购文件中规定的供应商资格条件、技术服务商务要求、评审因素和标准、政府采购合同等实质性内容条款的，视同为采购项目提供规范编制。</w:t>
      </w:r>
      <w:r>
        <w:rPr>
          <w:rFonts w:hint="eastAsia" w:hAnsi="宋体"/>
          <w:b/>
          <w:sz w:val="28"/>
          <w:szCs w:val="28"/>
        </w:rPr>
        <w:t>（说明：四川省建筑设计研究院有限公司、成都新高建设经济技术咨询有限公司、四川建科工程建设管理有限公司为本项目提供整体设计、规范编制或者项目管理、监理、检测等服务。）</w:t>
      </w:r>
    </w:p>
    <w:p>
      <w:pPr>
        <w:widowControl w:val="0"/>
        <w:numPr>
          <w:ilvl w:val="1"/>
          <w:numId w:val="10"/>
        </w:numPr>
        <w:tabs>
          <w:tab w:val="left" w:pos="1134"/>
        </w:tabs>
        <w:snapToGrid w:val="0"/>
        <w:spacing w:line="360" w:lineRule="auto"/>
        <w:ind w:left="0" w:firstLine="565" w:firstLineChars="202"/>
        <w:jc w:val="both"/>
        <w:rPr>
          <w:rFonts w:ascii="宋体" w:hAnsi="宋体"/>
          <w:sz w:val="28"/>
          <w:szCs w:val="28"/>
        </w:rPr>
      </w:pPr>
      <w:r>
        <w:rPr>
          <w:rFonts w:hint="eastAsia" w:ascii="宋体" w:hAnsi="宋体"/>
          <w:sz w:val="28"/>
          <w:szCs w:val="28"/>
        </w:rPr>
        <w:t>同一母公司的两家以上的子公司只能组成联合体参加本项目同一合同项下的采购活动，不得以不同供应商身份同时参加本项目同一合同项下的采购活动。</w:t>
      </w:r>
    </w:p>
    <w:p>
      <w:pPr>
        <w:pStyle w:val="4"/>
      </w:pPr>
      <w:bookmarkStart w:id="12" w:name="_Toc27251"/>
      <w:r>
        <w:rPr>
          <w:rFonts w:hint="eastAsia"/>
        </w:rPr>
        <w:t>磋商</w:t>
      </w:r>
      <w:r>
        <w:t>文件</w:t>
      </w:r>
      <w:bookmarkEnd w:id="12"/>
    </w:p>
    <w:p>
      <w:pPr>
        <w:pStyle w:val="5"/>
        <w:rPr>
          <w:color w:val="auto"/>
        </w:rPr>
      </w:pPr>
      <w:r>
        <w:rPr>
          <w:rFonts w:hint="eastAsia"/>
          <w:color w:val="auto"/>
        </w:rPr>
        <w:t>磋商文件的构成</w:t>
      </w:r>
      <w:r>
        <w:rPr>
          <w:rFonts w:hint="eastAsia" w:ascii="仿宋" w:hAnsi="仿宋" w:eastAsia="仿宋"/>
          <w:color w:val="auto"/>
          <w:szCs w:val="21"/>
          <w:lang w:val="zh-CN"/>
        </w:rPr>
        <w:t>（实质性要求）</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竞争性磋商文件是供应商准备施工响应文件和参加磋商的依据，同时也是评审的重要依据。竞争性磋商文件用以阐明采购项目所需的资质、技术、服务及报价等要求、磋商程序、有关规定和注意事项以及合同草案条款等。本磋商文件包括以下内容：</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（一）竞争性磋商邀请；</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（二）供应商须知；</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（三）施工响应文件格式；</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（四）技术、服务、商务及其他要求；</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（五）资格审查；</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（六）磋商办法；</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（七）政府采购合同草案；</w:t>
      </w:r>
    </w:p>
    <w:p>
      <w:pPr>
        <w:pStyle w:val="2"/>
        <w:spacing w:line="360" w:lineRule="auto"/>
        <w:ind w:firstLine="560" w:firstLineChars="200"/>
        <w:rPr>
          <w:rFonts w:ascii="宋体" w:hAnsi="宋体"/>
          <w:sz w:val="28"/>
          <w:szCs w:val="28"/>
        </w:rPr>
      </w:pPr>
      <w:r>
        <w:rPr>
          <w:rFonts w:hint="eastAsia" w:ascii="宋体" w:hAnsi="宋体"/>
          <w:sz w:val="28"/>
          <w:szCs w:val="28"/>
        </w:rPr>
        <w:t>（八）</w:t>
      </w:r>
      <w:r>
        <w:rPr>
          <w:rFonts w:ascii="宋体" w:hAnsi="宋体"/>
          <w:sz w:val="28"/>
          <w:szCs w:val="28"/>
        </w:rPr>
        <w:t>工程量清单</w:t>
      </w:r>
      <w:r>
        <w:rPr>
          <w:rFonts w:hint="eastAsia" w:ascii="宋体" w:hAnsi="宋体"/>
          <w:sz w:val="28"/>
          <w:szCs w:val="28"/>
        </w:rPr>
        <w:t>。</w:t>
      </w:r>
    </w:p>
    <w:p>
      <w:pPr>
        <w:tabs>
          <w:tab w:val="left" w:pos="1134"/>
        </w:tabs>
        <w:spacing w:line="360" w:lineRule="auto"/>
        <w:ind w:firstLine="560" w:firstLineChars="200"/>
        <w:rPr>
          <w:rFonts w:ascii="宋体" w:hAnsi="宋体"/>
        </w:rPr>
      </w:pPr>
      <w:r>
        <w:rPr>
          <w:rFonts w:hint="eastAsia" w:ascii="宋体" w:hAnsi="宋体"/>
          <w:sz w:val="28"/>
          <w:szCs w:val="28"/>
        </w:rPr>
        <w:t>二、供应商应认真阅读和充分理解竞争性磋商文件中所有的事项、格式条款和规范要求。按照磋商文件的要求提供施工响应文件，并保证所提供的全部资料的真实性和有效性，一经发现有虚假行为的，将取消其参加磋商或成交资格，并承担相应的法律责任。供应商没有对竞争性磋商文件全面做出实质性响应所产生的风险由供应商承担。</w:t>
      </w:r>
      <w:bookmarkEnd w:id="11"/>
    </w:p>
    <w:p>
      <w:pPr>
        <w:pStyle w:val="5"/>
        <w:rPr>
          <w:color w:val="auto"/>
        </w:rPr>
      </w:pPr>
      <w:bookmarkStart w:id="13" w:name="_Toc183682348"/>
      <w:bookmarkStart w:id="14" w:name="_Toc183582211"/>
      <w:bookmarkStart w:id="15" w:name="_Toc217446040"/>
      <w:r>
        <w:rPr>
          <w:rFonts w:hint="eastAsia"/>
          <w:color w:val="auto"/>
        </w:rPr>
        <w:t>磋商文件的澄清</w:t>
      </w:r>
      <w:bookmarkEnd w:id="13"/>
      <w:bookmarkEnd w:id="14"/>
      <w:r>
        <w:rPr>
          <w:rFonts w:hint="eastAsia"/>
          <w:color w:val="auto"/>
        </w:rPr>
        <w:t>和修改</w:t>
      </w:r>
      <w:bookmarkEnd w:id="15"/>
    </w:p>
    <w:p>
      <w:pPr>
        <w:widowControl w:val="0"/>
        <w:numPr>
          <w:ilvl w:val="0"/>
          <w:numId w:val="11"/>
        </w:numPr>
        <w:tabs>
          <w:tab w:val="left" w:pos="1134"/>
        </w:tabs>
        <w:spacing w:line="360" w:lineRule="auto"/>
        <w:ind w:left="0" w:firstLine="567"/>
        <w:jc w:val="both"/>
        <w:rPr>
          <w:rFonts w:ascii="宋体" w:hAnsi="宋体"/>
          <w:sz w:val="28"/>
          <w:szCs w:val="28"/>
        </w:rPr>
      </w:pPr>
      <w:r>
        <w:rPr>
          <w:rFonts w:hint="eastAsia" w:ascii="宋体" w:hAnsi="宋体"/>
          <w:sz w:val="28"/>
          <w:szCs w:val="28"/>
        </w:rPr>
        <w:t>在递交施工响应文件截止时间前，采购人或者</w:t>
      </w:r>
      <w:r>
        <w:rPr>
          <w:rFonts w:hint="eastAsia" w:cs="Arial"/>
          <w:sz w:val="28"/>
          <w:szCs w:val="28"/>
        </w:rPr>
        <w:t>高新区采购中心</w:t>
      </w:r>
      <w:r>
        <w:rPr>
          <w:rFonts w:hint="eastAsia" w:ascii="宋体" w:hAnsi="宋体"/>
          <w:sz w:val="28"/>
          <w:szCs w:val="28"/>
        </w:rPr>
        <w:t>可以对已发出的磋商文件进行必要的澄清或者修改。</w:t>
      </w:r>
    </w:p>
    <w:p>
      <w:pPr>
        <w:widowControl w:val="0"/>
        <w:numPr>
          <w:ilvl w:val="0"/>
          <w:numId w:val="11"/>
        </w:numPr>
        <w:tabs>
          <w:tab w:val="left" w:pos="1134"/>
        </w:tabs>
        <w:spacing w:line="360" w:lineRule="auto"/>
        <w:ind w:left="0" w:firstLine="560"/>
        <w:jc w:val="both"/>
        <w:rPr>
          <w:rFonts w:ascii="宋体" w:hAnsi="宋体"/>
          <w:sz w:val="28"/>
          <w:szCs w:val="28"/>
        </w:rPr>
      </w:pPr>
      <w:r>
        <w:rPr>
          <w:rFonts w:hint="eastAsia" w:ascii="宋体" w:hAnsi="宋体"/>
          <w:sz w:val="28"/>
          <w:szCs w:val="28"/>
        </w:rPr>
        <w:t>澄清或者修改的内容，高新区采购中心将在“四川政府采购网”和“成都市公共资源交易服务中心”网站上发布澄清公告，同时通过政府采购云平台将澄清或者修改的内容告知所有潜在供应商（供应商通过账号或C</w:t>
      </w:r>
      <w:r>
        <w:rPr>
          <w:rFonts w:ascii="宋体" w:hAnsi="宋体"/>
          <w:sz w:val="28"/>
          <w:szCs w:val="28"/>
        </w:rPr>
        <w:t>A</w:t>
      </w:r>
      <w:r>
        <w:rPr>
          <w:rFonts w:hint="eastAsia" w:ascii="宋体" w:hAnsi="宋体"/>
          <w:sz w:val="28"/>
          <w:szCs w:val="28"/>
        </w:rPr>
        <w:t>证书登录云平台查看），该澄清或者修改的内容为磋商文件的组成部分。</w:t>
      </w:r>
    </w:p>
    <w:p>
      <w:pPr>
        <w:widowControl w:val="0"/>
        <w:numPr>
          <w:ilvl w:val="0"/>
          <w:numId w:val="11"/>
        </w:numPr>
        <w:tabs>
          <w:tab w:val="left" w:pos="1134"/>
        </w:tabs>
        <w:spacing w:line="360" w:lineRule="auto"/>
        <w:ind w:left="0" w:firstLine="560"/>
        <w:jc w:val="both"/>
        <w:rPr>
          <w:rFonts w:ascii="宋体" w:hAnsi="宋体"/>
          <w:sz w:val="28"/>
          <w:szCs w:val="28"/>
        </w:rPr>
      </w:pPr>
      <w:r>
        <w:rPr>
          <w:rFonts w:ascii="宋体" w:hAnsi="宋体"/>
          <w:sz w:val="28"/>
          <w:szCs w:val="28"/>
        </w:rPr>
        <w:t>澄清或者修改的内容可能影响施工响应文件编制的，</w:t>
      </w:r>
      <w:r>
        <w:rPr>
          <w:rFonts w:hint="eastAsia" w:ascii="宋体" w:hAnsi="宋体"/>
          <w:sz w:val="28"/>
          <w:szCs w:val="28"/>
        </w:rPr>
        <w:t>高新区采购中心</w:t>
      </w:r>
      <w:r>
        <w:rPr>
          <w:rFonts w:ascii="宋体" w:hAnsi="宋体"/>
          <w:sz w:val="28"/>
          <w:szCs w:val="28"/>
        </w:rPr>
        <w:t>应当在提交首次施工响应文件截止时间至少5日前，</w:t>
      </w:r>
      <w:r>
        <w:rPr>
          <w:rFonts w:hint="eastAsia" w:ascii="宋体" w:hAnsi="宋体"/>
          <w:sz w:val="28"/>
          <w:szCs w:val="28"/>
        </w:rPr>
        <w:t>通过政府采购云平台或</w:t>
      </w:r>
      <w:r>
        <w:rPr>
          <w:rFonts w:hint="eastAsia" w:ascii="宋体" w:hAnsi="宋体"/>
          <w:bCs/>
          <w:sz w:val="28"/>
          <w:szCs w:val="28"/>
        </w:rPr>
        <w:t>以电子邮件方式</w:t>
      </w:r>
      <w:r>
        <w:rPr>
          <w:rFonts w:hint="eastAsia" w:ascii="宋体" w:hAnsi="宋体"/>
          <w:sz w:val="28"/>
          <w:szCs w:val="28"/>
        </w:rPr>
        <w:t>通知所有获取采购文件的潜在供应商</w:t>
      </w:r>
      <w:r>
        <w:rPr>
          <w:rFonts w:ascii="宋体" w:hAnsi="宋体"/>
          <w:sz w:val="28"/>
          <w:szCs w:val="28"/>
        </w:rPr>
        <w:t>；不足5日的，</w:t>
      </w:r>
      <w:r>
        <w:rPr>
          <w:rFonts w:hint="eastAsia" w:ascii="宋体" w:hAnsi="宋体"/>
          <w:sz w:val="28"/>
          <w:szCs w:val="28"/>
        </w:rPr>
        <w:t>采购人或高新区采购中心</w:t>
      </w:r>
      <w:r>
        <w:rPr>
          <w:rFonts w:ascii="宋体" w:hAnsi="宋体"/>
          <w:sz w:val="28"/>
          <w:szCs w:val="28"/>
        </w:rPr>
        <w:t>应当顺延提交首次施工响应文件截止</w:t>
      </w:r>
      <w:r>
        <w:rPr>
          <w:rFonts w:hint="eastAsia" w:ascii="宋体" w:hAnsi="宋体"/>
          <w:sz w:val="28"/>
          <w:szCs w:val="28"/>
        </w:rPr>
        <w:t>时间</w:t>
      </w:r>
      <w:r>
        <w:rPr>
          <w:rFonts w:ascii="宋体" w:hAnsi="宋体"/>
          <w:sz w:val="28"/>
          <w:szCs w:val="28"/>
        </w:rPr>
        <w:t>。</w:t>
      </w:r>
    </w:p>
    <w:p>
      <w:pPr>
        <w:pStyle w:val="4"/>
      </w:pPr>
      <w:bookmarkStart w:id="16" w:name="_Toc320698720"/>
      <w:bookmarkStart w:id="17" w:name="_Toc151"/>
      <w:r>
        <w:rPr>
          <w:rFonts w:hint="eastAsia"/>
        </w:rPr>
        <w:t>施工响应文件</w:t>
      </w:r>
      <w:bookmarkEnd w:id="16"/>
      <w:bookmarkEnd w:id="17"/>
    </w:p>
    <w:p>
      <w:pPr>
        <w:pStyle w:val="5"/>
        <w:rPr>
          <w:color w:val="auto"/>
        </w:rPr>
      </w:pPr>
      <w:bookmarkStart w:id="18" w:name="_Toc320698721"/>
      <w:r>
        <w:rPr>
          <w:rFonts w:hint="eastAsia"/>
          <w:color w:val="auto"/>
        </w:rPr>
        <w:t>施工响应文件的语言</w:t>
      </w:r>
      <w:bookmarkEnd w:id="18"/>
      <w:r>
        <w:rPr>
          <w:rFonts w:hint="eastAsia" w:ascii="仿宋" w:hAnsi="仿宋" w:eastAsia="仿宋"/>
          <w:color w:val="auto"/>
          <w:szCs w:val="21"/>
          <w:lang w:val="zh-CN"/>
        </w:rPr>
        <w:t>（实质性要求）</w:t>
      </w:r>
    </w:p>
    <w:p>
      <w:pPr>
        <w:widowControl w:val="0"/>
        <w:numPr>
          <w:ilvl w:val="0"/>
          <w:numId w:val="12"/>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供应商提交的施工响应文件以及供应商与采购人或高新区采购中心就有关竞争性磋商采购活动的所有来往书面文件均须使用中文，施工响应文件中所附或引用的外文资料，应翻译成中文附在相关外文资料后面（说明：供应商的</w:t>
      </w:r>
      <w:r>
        <w:rPr>
          <w:rFonts w:hint="eastAsia" w:ascii="宋体" w:hAnsi="宋体"/>
          <w:sz w:val="28"/>
        </w:rPr>
        <w:t>法定代表人</w:t>
      </w:r>
      <w:r>
        <w:rPr>
          <w:rFonts w:hint="eastAsia" w:ascii="宋体" w:hAnsi="宋体"/>
          <w:sz w:val="28"/>
          <w:szCs w:val="28"/>
        </w:rPr>
        <w:t>为外籍人士的，则</w:t>
      </w:r>
      <w:r>
        <w:rPr>
          <w:rFonts w:hint="eastAsia" w:ascii="宋体" w:hAnsi="宋体"/>
          <w:sz w:val="28"/>
        </w:rPr>
        <w:t>法定代表人</w:t>
      </w:r>
      <w:r>
        <w:rPr>
          <w:rFonts w:hint="eastAsia" w:ascii="宋体" w:hAnsi="宋体"/>
          <w:sz w:val="28"/>
          <w:szCs w:val="28"/>
        </w:rPr>
        <w:t>的签字和护照除外）。</w:t>
      </w:r>
    </w:p>
    <w:p>
      <w:pPr>
        <w:widowControl w:val="0"/>
        <w:numPr>
          <w:ilvl w:val="0"/>
          <w:numId w:val="12"/>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对不同文字文本施工响应文件的解释发生异议的，以中文文本为准。若供应商施工响应文件中提供的外文资料未翻译成中文，则磋商小组可将其视为无效材料。</w:t>
      </w:r>
    </w:p>
    <w:p>
      <w:pPr>
        <w:pStyle w:val="5"/>
        <w:rPr>
          <w:color w:val="auto"/>
        </w:rPr>
      </w:pPr>
      <w:r>
        <w:rPr>
          <w:rFonts w:hint="eastAsia"/>
          <w:color w:val="auto"/>
        </w:rPr>
        <w:t>计量单位</w:t>
      </w:r>
      <w:r>
        <w:rPr>
          <w:rFonts w:hint="eastAsia" w:ascii="仿宋" w:hAnsi="仿宋" w:eastAsia="仿宋"/>
          <w:color w:val="auto"/>
          <w:szCs w:val="21"/>
          <w:lang w:val="zh-CN"/>
        </w:rPr>
        <w:t>（实质性要求）</w:t>
      </w:r>
    </w:p>
    <w:p>
      <w:pPr>
        <w:tabs>
          <w:tab w:val="left" w:pos="1200"/>
        </w:tabs>
        <w:spacing w:line="360" w:lineRule="auto"/>
        <w:ind w:firstLine="560" w:firstLineChars="200"/>
        <w:rPr>
          <w:rFonts w:ascii="宋体" w:hAnsi="宋体"/>
          <w:sz w:val="28"/>
          <w:szCs w:val="28"/>
        </w:rPr>
      </w:pPr>
      <w:r>
        <w:rPr>
          <w:rFonts w:hint="eastAsia" w:ascii="宋体" w:hAnsi="宋体"/>
          <w:sz w:val="28"/>
          <w:szCs w:val="28"/>
        </w:rPr>
        <w:t>除磋商文件中另有规定外，本次采购项目所有合同项下的响应均采用国家法定的计量单位。</w:t>
      </w:r>
    </w:p>
    <w:p>
      <w:pPr>
        <w:pStyle w:val="5"/>
        <w:rPr>
          <w:color w:val="auto"/>
        </w:rPr>
      </w:pPr>
      <w:bookmarkStart w:id="19" w:name="_Toc320698722"/>
      <w:r>
        <w:rPr>
          <w:rFonts w:hint="eastAsia"/>
          <w:color w:val="auto"/>
        </w:rPr>
        <w:t>报价货币及报价要求</w:t>
      </w:r>
      <w:bookmarkEnd w:id="19"/>
      <w:r>
        <w:rPr>
          <w:rFonts w:hint="eastAsia" w:ascii="仿宋" w:hAnsi="仿宋" w:eastAsia="仿宋"/>
          <w:color w:val="auto"/>
          <w:szCs w:val="21"/>
          <w:lang w:val="zh-CN"/>
        </w:rPr>
        <w:t>（实质性要求）</w:t>
      </w:r>
    </w:p>
    <w:p>
      <w:pPr>
        <w:widowControl w:val="0"/>
        <w:numPr>
          <w:ilvl w:val="0"/>
          <w:numId w:val="13"/>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供应商应认真核实本项目的工程量清单。工程量清单以电子版为准。</w:t>
      </w:r>
    </w:p>
    <w:p>
      <w:pPr>
        <w:widowControl w:val="0"/>
        <w:numPr>
          <w:ilvl w:val="0"/>
          <w:numId w:val="13"/>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报价一律以人民币币种报价。采购人不接受任何非人民币币种的报价。</w:t>
      </w:r>
    </w:p>
    <w:p>
      <w:pPr>
        <w:widowControl w:val="0"/>
        <w:numPr>
          <w:ilvl w:val="0"/>
          <w:numId w:val="13"/>
        </w:numPr>
        <w:tabs>
          <w:tab w:val="left" w:pos="1134"/>
        </w:tabs>
        <w:spacing w:line="360" w:lineRule="auto"/>
        <w:ind w:left="0" w:firstLine="560" w:firstLineChars="200"/>
        <w:jc w:val="both"/>
        <w:rPr>
          <w:rFonts w:ascii="宋体" w:hAnsi="宋体"/>
          <w:sz w:val="28"/>
          <w:szCs w:val="28"/>
        </w:rPr>
      </w:pPr>
      <w:bookmarkStart w:id="20" w:name="_Toc320698723"/>
      <w:r>
        <w:rPr>
          <w:rFonts w:hint="eastAsia" w:ascii="宋体" w:hAnsi="宋体"/>
          <w:sz w:val="28"/>
          <w:szCs w:val="28"/>
        </w:rPr>
        <w:t>供应商的报价是其响应本项目要求的全部工作内容的价格体现，包括供应商完成本项目所需的一切费用。</w:t>
      </w:r>
    </w:p>
    <w:p>
      <w:pPr>
        <w:widowControl w:val="0"/>
        <w:numPr>
          <w:ilvl w:val="0"/>
          <w:numId w:val="13"/>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本项目合同价格形式为固定单价合同。</w:t>
      </w:r>
    </w:p>
    <w:p>
      <w:pPr>
        <w:widowControl w:val="0"/>
        <w:numPr>
          <w:ilvl w:val="0"/>
          <w:numId w:val="13"/>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本项目采用工程量清单报价，为固定单价合同。</w:t>
      </w:r>
    </w:p>
    <w:p>
      <w:pPr>
        <w:widowControl w:val="0"/>
        <w:numPr>
          <w:ilvl w:val="0"/>
          <w:numId w:val="14"/>
        </w:numPr>
        <w:tabs>
          <w:tab w:val="left" w:pos="1134"/>
        </w:tabs>
        <w:spacing w:line="360" w:lineRule="auto"/>
        <w:ind w:left="0" w:firstLine="567"/>
        <w:jc w:val="both"/>
        <w:rPr>
          <w:rFonts w:ascii="宋体" w:hAnsi="宋体"/>
          <w:bCs/>
          <w:sz w:val="28"/>
          <w:szCs w:val="28"/>
        </w:rPr>
      </w:pPr>
      <w:r>
        <w:rPr>
          <w:rFonts w:hint="eastAsia" w:ascii="宋体" w:hAnsi="宋体"/>
          <w:b/>
          <w:bCs/>
          <w:sz w:val="28"/>
          <w:szCs w:val="28"/>
        </w:rPr>
        <w:t>已标价工程量清单的扉页（仅指投标总价扉页，下同）应由注册或登记在本单位的造价人员签字并盖执业印章（说明：提供造价人员签字并盖执业印章的已标价工程量清单的扉页的复印件，原件签订合同时向采购人提供）</w:t>
      </w:r>
      <w:r>
        <w:rPr>
          <w:rFonts w:hint="eastAsia" w:ascii="宋体" w:hAnsi="宋体"/>
          <w:bCs/>
          <w:sz w:val="28"/>
          <w:szCs w:val="28"/>
        </w:rPr>
        <w:t>。除此之外，造价人员无需在施工响应文件其他任何地方签字或盖执业印章。</w:t>
      </w:r>
      <w:r>
        <w:rPr>
          <w:rFonts w:hint="eastAsia" w:ascii="宋体" w:hAnsi="宋体"/>
          <w:b/>
          <w:bCs/>
          <w:sz w:val="28"/>
          <w:szCs w:val="28"/>
        </w:rPr>
        <w:t>供应商委托工程造价咨询企业编制已标价工程量清单的，应在施工响应文件中附工程造价咨询委托合同，由注册或登记在工程造价咨询企业的造价人员签字并盖执业印章</w:t>
      </w:r>
      <w:r>
        <w:rPr>
          <w:rFonts w:hint="eastAsia" w:ascii="宋体" w:hAnsi="宋体"/>
          <w:bCs/>
          <w:sz w:val="28"/>
          <w:szCs w:val="28"/>
        </w:rPr>
        <w:t>。</w:t>
      </w:r>
    </w:p>
    <w:p>
      <w:pPr>
        <w:widowControl w:val="0"/>
        <w:numPr>
          <w:ilvl w:val="0"/>
          <w:numId w:val="14"/>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供应</w:t>
      </w:r>
      <w:r>
        <w:rPr>
          <w:rFonts w:ascii="宋体" w:hAnsi="宋体"/>
          <w:bCs/>
          <w:sz w:val="28"/>
          <w:szCs w:val="28"/>
        </w:rPr>
        <w:t>商</w:t>
      </w:r>
      <w:r>
        <w:rPr>
          <w:rFonts w:hint="eastAsia" w:ascii="宋体" w:hAnsi="宋体"/>
          <w:bCs/>
          <w:sz w:val="28"/>
          <w:szCs w:val="28"/>
        </w:rPr>
        <w:t>最后报价超过政府采购预算或最高限价(控制价)（金额详见“供应商须知附表”）的, 其施工响应文件按无效处理。</w:t>
      </w:r>
    </w:p>
    <w:p>
      <w:pPr>
        <w:widowControl w:val="0"/>
        <w:numPr>
          <w:ilvl w:val="0"/>
          <w:numId w:val="14"/>
        </w:numPr>
        <w:tabs>
          <w:tab w:val="left" w:pos="1134"/>
        </w:tabs>
        <w:spacing w:line="360" w:lineRule="auto"/>
        <w:ind w:left="0" w:firstLine="567"/>
        <w:jc w:val="both"/>
        <w:rPr>
          <w:rFonts w:ascii="宋体" w:hAnsi="宋体"/>
          <w:b/>
          <w:bCs/>
          <w:sz w:val="28"/>
          <w:szCs w:val="28"/>
        </w:rPr>
      </w:pPr>
      <w:r>
        <w:rPr>
          <w:rFonts w:hint="eastAsia" w:ascii="宋体" w:hAnsi="宋体"/>
          <w:b/>
          <w:bCs/>
          <w:sz w:val="28"/>
          <w:szCs w:val="28"/>
        </w:rPr>
        <w:t>供应商在首次提交的施工响应文件中的报价（即首次报价）应按采购文件及工程量清单编制要求，列出报价的构成及明细，包括但不限于分部分项工程、措施项目、其他项目、规费及税金等。其中安全文明施工费、暂定金额、暂估价、规费及税金应按工程量清单（总说明）的要求计取。</w:t>
      </w:r>
    </w:p>
    <w:p>
      <w:pPr>
        <w:widowControl w:val="0"/>
        <w:numPr>
          <w:ilvl w:val="0"/>
          <w:numId w:val="14"/>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供应商对工程量清单中的分部分项工程量清单项目的单价未填报或填报为零的，视为单价遗漏。出现单价遗漏情况，视为其费用已分摊在工程量清单其他相关子目的单价（价格）之中。如成交，供应商应完成该项目，但该项目不得另行计价。</w:t>
      </w:r>
    </w:p>
    <w:p>
      <w:pPr>
        <w:widowControl w:val="0"/>
        <w:numPr>
          <w:ilvl w:val="0"/>
          <w:numId w:val="14"/>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供应商提交的已标价工程量清单应符合本项目工程量清单以及清单说明的要求。当供应商的已标价工程量清单有下列情形之一的，应按照无效施工响应文件处理。</w:t>
      </w:r>
    </w:p>
    <w:p>
      <w:pPr>
        <w:widowControl w:val="0"/>
        <w:numPr>
          <w:ilvl w:val="0"/>
          <w:numId w:val="15"/>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已标价工程量清单中的项目名称、项目特征描述（与采购文件工程量清单中的项目特征描述的实质性内容一致的除外）、计量单位、工程量与采购文件工程量清单不一致的；</w:t>
      </w:r>
    </w:p>
    <w:p>
      <w:pPr>
        <w:widowControl w:val="0"/>
        <w:numPr>
          <w:ilvl w:val="0"/>
          <w:numId w:val="15"/>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供应</w:t>
      </w:r>
      <w:r>
        <w:rPr>
          <w:rFonts w:ascii="宋体" w:hAnsi="宋体"/>
          <w:bCs/>
          <w:sz w:val="28"/>
          <w:szCs w:val="28"/>
        </w:rPr>
        <w:t>商</w:t>
      </w:r>
      <w:r>
        <w:rPr>
          <w:rFonts w:hint="eastAsia" w:ascii="宋体" w:hAnsi="宋体"/>
          <w:bCs/>
          <w:sz w:val="28"/>
          <w:szCs w:val="28"/>
        </w:rPr>
        <w:t>未按采购文件工程</w:t>
      </w:r>
      <w:r>
        <w:rPr>
          <w:rFonts w:ascii="宋体" w:hAnsi="宋体"/>
          <w:bCs/>
          <w:sz w:val="28"/>
          <w:szCs w:val="28"/>
        </w:rPr>
        <w:t>量</w:t>
      </w:r>
      <w:r>
        <w:rPr>
          <w:rFonts w:hint="eastAsia" w:ascii="宋体" w:hAnsi="宋体"/>
          <w:bCs/>
          <w:sz w:val="28"/>
          <w:szCs w:val="28"/>
        </w:rPr>
        <w:t>清单总</w:t>
      </w:r>
      <w:r>
        <w:rPr>
          <w:rFonts w:ascii="宋体" w:hAnsi="宋体"/>
          <w:bCs/>
          <w:sz w:val="28"/>
          <w:szCs w:val="28"/>
        </w:rPr>
        <w:t>说明</w:t>
      </w:r>
      <w:r>
        <w:rPr>
          <w:rFonts w:hint="eastAsia" w:ascii="宋体" w:hAnsi="宋体"/>
          <w:bCs/>
          <w:sz w:val="28"/>
          <w:szCs w:val="28"/>
        </w:rPr>
        <w:t>规定或其持有的《四川省施工企业工程规费计取标准》证书中的规费标准(采购文件工程量清单总说明无规定时)计取规费的；</w:t>
      </w:r>
    </w:p>
    <w:p>
      <w:pPr>
        <w:widowControl w:val="0"/>
        <w:numPr>
          <w:ilvl w:val="0"/>
          <w:numId w:val="15"/>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采购</w:t>
      </w:r>
      <w:r>
        <w:rPr>
          <w:rFonts w:ascii="宋体" w:hAnsi="宋体"/>
          <w:bCs/>
          <w:sz w:val="28"/>
          <w:szCs w:val="28"/>
        </w:rPr>
        <w:t>文件</w:t>
      </w:r>
      <w:r>
        <w:rPr>
          <w:rFonts w:hint="eastAsia" w:ascii="宋体" w:hAnsi="宋体"/>
          <w:bCs/>
          <w:sz w:val="28"/>
          <w:szCs w:val="28"/>
        </w:rPr>
        <w:t>明确了安全文明施工费金额或费率并要求按此金额或费率填报而供应商填报错误或未填报的；</w:t>
      </w:r>
    </w:p>
    <w:p>
      <w:pPr>
        <w:widowControl w:val="0"/>
        <w:numPr>
          <w:ilvl w:val="0"/>
          <w:numId w:val="15"/>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已标价工程量清单中暂列金额未按采购</w:t>
      </w:r>
      <w:r>
        <w:rPr>
          <w:rFonts w:ascii="宋体" w:hAnsi="宋体"/>
          <w:bCs/>
          <w:sz w:val="28"/>
          <w:szCs w:val="28"/>
        </w:rPr>
        <w:t>文件</w:t>
      </w:r>
      <w:r>
        <w:rPr>
          <w:rFonts w:hint="eastAsia" w:ascii="宋体" w:hAnsi="宋体"/>
          <w:bCs/>
          <w:sz w:val="28"/>
          <w:szCs w:val="28"/>
        </w:rPr>
        <w:t>工程量清单中列明的金额填报的；</w:t>
      </w:r>
    </w:p>
    <w:p>
      <w:pPr>
        <w:widowControl w:val="0"/>
        <w:numPr>
          <w:ilvl w:val="0"/>
          <w:numId w:val="15"/>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已标价工程量清单中材料、工程设备暂估价未按采购文件工程量清单中列出的单价计入综合单价的；</w:t>
      </w:r>
    </w:p>
    <w:p>
      <w:pPr>
        <w:widowControl w:val="0"/>
        <w:numPr>
          <w:ilvl w:val="0"/>
          <w:numId w:val="15"/>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已标价工程量清单中专业工程暂估价未按采购文件工程量清单中列明的金额填写的；</w:t>
      </w:r>
    </w:p>
    <w:p>
      <w:pPr>
        <w:widowControl w:val="0"/>
        <w:numPr>
          <w:ilvl w:val="0"/>
          <w:numId w:val="15"/>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已标价工程量清单中计日工未按采购文件工程量清单中列明的数量进行报价的；</w:t>
      </w:r>
    </w:p>
    <w:p>
      <w:pPr>
        <w:widowControl w:val="0"/>
        <w:numPr>
          <w:ilvl w:val="0"/>
          <w:numId w:val="15"/>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当已标价工程量清单中的任何单价、合价或总价，出现两个及以上金额的。</w:t>
      </w:r>
    </w:p>
    <w:p>
      <w:pPr>
        <w:widowControl w:val="0"/>
        <w:numPr>
          <w:ilvl w:val="0"/>
          <w:numId w:val="14"/>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若供应商的最后报价只有一个总价，且相对首次报价有调整（上调取“+”，下调取“-”</w:t>
      </w:r>
      <w:r>
        <w:rPr>
          <w:rFonts w:ascii="宋体" w:hAnsi="宋体"/>
          <w:bCs/>
          <w:sz w:val="28"/>
          <w:szCs w:val="28"/>
        </w:rPr>
        <w:t>）</w:t>
      </w:r>
      <w:r>
        <w:rPr>
          <w:rFonts w:hint="eastAsia" w:ascii="宋体" w:hAnsi="宋体"/>
          <w:bCs/>
          <w:sz w:val="28"/>
          <w:szCs w:val="28"/>
        </w:rPr>
        <w:t>，则该调整金额将会以百分比（A</w:t>
      </w:r>
      <w:r>
        <w:rPr>
          <w:rFonts w:ascii="宋体" w:hAnsi="宋体"/>
          <w:bCs/>
          <w:sz w:val="28"/>
          <w:szCs w:val="28"/>
        </w:rPr>
        <w:t>）</w:t>
      </w:r>
      <w:r>
        <w:rPr>
          <w:rFonts w:hint="eastAsia" w:ascii="宋体" w:hAnsi="宋体"/>
          <w:bCs/>
          <w:sz w:val="28"/>
          <w:szCs w:val="28"/>
        </w:rPr>
        <w:t>形式套用于首次报价中除暂列金额、专业暂估价以及包干费用以外的各项目单价，调整后的单价（B</w:t>
      </w:r>
      <w:r>
        <w:rPr>
          <w:rFonts w:ascii="宋体" w:hAnsi="宋体"/>
          <w:bCs/>
          <w:sz w:val="28"/>
          <w:szCs w:val="28"/>
        </w:rPr>
        <w:t>）</w:t>
      </w:r>
      <w:r>
        <w:rPr>
          <w:rFonts w:hint="eastAsia" w:ascii="宋体" w:hAnsi="宋体"/>
          <w:bCs/>
          <w:sz w:val="28"/>
          <w:szCs w:val="28"/>
        </w:rPr>
        <w:t>作为工程变更及竣工结算的依据。百分比（A</w:t>
      </w:r>
      <w:r>
        <w:rPr>
          <w:rFonts w:ascii="宋体" w:hAnsi="宋体"/>
          <w:bCs/>
          <w:sz w:val="28"/>
          <w:szCs w:val="28"/>
        </w:rPr>
        <w:t>）</w:t>
      </w:r>
      <w:r>
        <w:rPr>
          <w:rFonts w:hint="eastAsia" w:ascii="宋体" w:hAnsi="宋体"/>
          <w:bCs/>
          <w:sz w:val="28"/>
          <w:szCs w:val="28"/>
        </w:rPr>
        <w:t>计算如下（保留两位小数）：</w:t>
      </w:r>
    </w:p>
    <w:p>
      <w:pPr>
        <w:spacing w:line="360" w:lineRule="auto"/>
        <w:ind w:firstLine="546" w:firstLineChars="195"/>
        <w:jc w:val="both"/>
        <w:rPr>
          <w:rFonts w:ascii="宋体" w:hAnsi="宋体"/>
          <w:bCs/>
          <w:sz w:val="28"/>
          <w:szCs w:val="28"/>
        </w:rPr>
      </w:pPr>
      <w:r>
        <w:rPr>
          <w:rFonts w:hint="eastAsia" w:ascii="宋体" w:hAnsi="宋体"/>
          <w:bCs/>
          <w:sz w:val="28"/>
          <w:szCs w:val="28"/>
        </w:rPr>
        <w:t xml:space="preserve">             </w:t>
      </w:r>
      <w:r>
        <w:rPr>
          <w:rFonts w:hint="eastAsia" w:ascii="宋体" w:hAnsi="宋体"/>
          <w:bCs/>
          <w:sz w:val="28"/>
          <w:szCs w:val="28"/>
        </w:rPr>
        <w:tab/>
      </w:r>
      <w:r>
        <w:rPr>
          <w:rFonts w:hint="eastAsia" w:ascii="宋体" w:hAnsi="宋体"/>
          <w:bCs/>
          <w:sz w:val="28"/>
          <w:szCs w:val="28"/>
        </w:rPr>
        <w:tab/>
      </w:r>
      <w:r>
        <w:rPr>
          <w:rFonts w:hint="eastAsia" w:ascii="宋体" w:hAnsi="宋体"/>
          <w:bCs/>
          <w:sz w:val="28"/>
          <w:szCs w:val="28"/>
        </w:rPr>
        <w:t xml:space="preserve">       （</w:t>
      </w:r>
      <w:r>
        <w:rPr>
          <w:rFonts w:hint="eastAsia" w:ascii="宋体" w:hAnsi="宋体" w:cs="Cambria Math"/>
          <w:bCs/>
          <w:sz w:val="28"/>
          <w:szCs w:val="28"/>
        </w:rPr>
        <w:t>±</w:t>
      </w:r>
      <w:r>
        <w:rPr>
          <w:rFonts w:ascii="宋体" w:hAnsi="宋体"/>
          <w:bCs/>
          <w:sz w:val="28"/>
          <w:szCs w:val="28"/>
        </w:rPr>
        <w:t>）</w:t>
      </w:r>
      <w:r>
        <w:rPr>
          <w:rFonts w:hint="eastAsia" w:ascii="宋体" w:hAnsi="宋体"/>
          <w:bCs/>
          <w:sz w:val="28"/>
          <w:szCs w:val="28"/>
        </w:rPr>
        <w:t xml:space="preserve">调整金额                                                  </w:t>
      </w:r>
    </w:p>
    <w:p>
      <w:pPr>
        <w:spacing w:line="360" w:lineRule="auto"/>
        <w:jc w:val="both"/>
        <w:rPr>
          <w:rFonts w:ascii="宋体" w:hAnsi="宋体"/>
          <w:bCs/>
          <w:sz w:val="28"/>
          <w:szCs w:val="28"/>
        </w:rPr>
      </w:pPr>
      <w:r>
        <w:rPr>
          <w:rFonts w:hint="eastAsia" w:ascii="宋体" w:hAnsi="宋体"/>
          <w:bCs/>
          <w:sz w:val="28"/>
          <w:szCs w:val="28"/>
        </w:rPr>
        <w:t>百分比（A</w:t>
      </w:r>
      <w:r>
        <w:rPr>
          <w:rFonts w:ascii="宋体" w:hAnsi="宋体"/>
          <w:bCs/>
          <w:sz w:val="28"/>
          <w:szCs w:val="28"/>
        </w:rPr>
        <w:t>）</w:t>
      </w:r>
      <w:r>
        <w:rPr>
          <w:rFonts w:hint="eastAsia" w:ascii="宋体" w:hAnsi="宋体"/>
          <w:bCs/>
          <w:sz w:val="28"/>
          <w:szCs w:val="28"/>
        </w:rPr>
        <w:t xml:space="preserve">= </w:t>
      </w:r>
      <w:r>
        <w:rPr>
          <w:rFonts w:hint="eastAsia" w:ascii="宋体" w:hAnsi="宋体"/>
          <w:bCs/>
          <w:strike/>
          <w:sz w:val="28"/>
          <w:szCs w:val="28"/>
        </w:rPr>
        <w:t xml:space="preserve">                      </w:t>
      </w:r>
      <w:r>
        <w:rPr>
          <w:rFonts w:ascii="宋体" w:hAnsi="宋体"/>
          <w:bCs/>
          <w:strike/>
          <w:sz w:val="28"/>
          <w:szCs w:val="28"/>
        </w:rPr>
        <w:t xml:space="preserve"> </w:t>
      </w:r>
      <w:r>
        <w:rPr>
          <w:rFonts w:hint="eastAsia" w:ascii="宋体" w:hAnsi="宋体"/>
          <w:bCs/>
          <w:strike/>
          <w:sz w:val="28"/>
          <w:szCs w:val="28"/>
        </w:rPr>
        <w:t xml:space="preserve">      </w:t>
      </w:r>
      <w:r>
        <w:rPr>
          <w:rFonts w:ascii="宋体" w:hAnsi="宋体"/>
          <w:bCs/>
          <w:strike/>
          <w:sz w:val="28"/>
          <w:szCs w:val="28"/>
        </w:rPr>
        <w:t xml:space="preserve">    </w:t>
      </w:r>
      <w:r>
        <w:rPr>
          <w:rFonts w:hint="eastAsia" w:ascii="宋体" w:hAnsi="宋体"/>
          <w:bCs/>
          <w:strike/>
          <w:sz w:val="28"/>
          <w:szCs w:val="28"/>
        </w:rPr>
        <w:t xml:space="preserve">         </w:t>
      </w:r>
      <w:r>
        <w:rPr>
          <w:rFonts w:hint="eastAsia" w:ascii="宋体" w:hAnsi="宋体"/>
          <w:bCs/>
          <w:sz w:val="28"/>
          <w:szCs w:val="28"/>
        </w:rPr>
        <w:t>×100%</w:t>
      </w:r>
    </w:p>
    <w:p>
      <w:pPr>
        <w:spacing w:line="360" w:lineRule="auto"/>
        <w:ind w:firstLine="1540" w:firstLineChars="550"/>
        <w:jc w:val="both"/>
        <w:rPr>
          <w:rFonts w:ascii="宋体" w:hAnsi="宋体"/>
          <w:bCs/>
          <w:sz w:val="28"/>
          <w:szCs w:val="28"/>
        </w:rPr>
      </w:pPr>
      <w:r>
        <w:rPr>
          <w:rFonts w:hint="eastAsia" w:ascii="宋体" w:hAnsi="宋体"/>
          <w:bCs/>
          <w:sz w:val="28"/>
          <w:szCs w:val="28"/>
        </w:rPr>
        <w:t>修正后的首次报价-暂列金额-</w:t>
      </w:r>
      <w:r>
        <w:rPr>
          <w:rFonts w:ascii="宋体" w:hAnsi="宋体"/>
          <w:bCs/>
          <w:sz w:val="28"/>
          <w:szCs w:val="28"/>
        </w:rPr>
        <w:t>专业工程</w:t>
      </w:r>
      <w:r>
        <w:rPr>
          <w:rFonts w:hint="eastAsia" w:ascii="宋体" w:hAnsi="宋体"/>
          <w:bCs/>
          <w:sz w:val="28"/>
          <w:szCs w:val="28"/>
        </w:rPr>
        <w:t>暂估价-包干费用</w:t>
      </w:r>
    </w:p>
    <w:p>
      <w:pPr>
        <w:spacing w:line="360" w:lineRule="auto"/>
        <w:rPr>
          <w:rFonts w:ascii="宋体" w:hAnsi="宋体"/>
          <w:bCs/>
          <w:sz w:val="28"/>
          <w:szCs w:val="28"/>
        </w:rPr>
      </w:pPr>
      <w:r>
        <w:rPr>
          <w:rFonts w:hint="eastAsia" w:ascii="宋体" w:hAnsi="宋体"/>
          <w:bCs/>
          <w:sz w:val="28"/>
          <w:szCs w:val="28"/>
        </w:rPr>
        <w:t>调整</w:t>
      </w:r>
      <w:r>
        <w:rPr>
          <w:rFonts w:ascii="宋体" w:hAnsi="宋体"/>
          <w:bCs/>
          <w:sz w:val="28"/>
          <w:szCs w:val="28"/>
        </w:rPr>
        <w:t>后的单价</w:t>
      </w:r>
      <w:r>
        <w:rPr>
          <w:rFonts w:hint="eastAsia" w:ascii="宋体" w:hAnsi="宋体"/>
          <w:bCs/>
          <w:sz w:val="28"/>
          <w:szCs w:val="28"/>
        </w:rPr>
        <w:t>B</w:t>
      </w:r>
      <w:r>
        <w:rPr>
          <w:rFonts w:ascii="宋体" w:hAnsi="宋体"/>
          <w:bCs/>
          <w:sz w:val="28"/>
          <w:szCs w:val="28"/>
        </w:rPr>
        <w:t xml:space="preserve"> =</w:t>
      </w:r>
      <w:r>
        <w:rPr>
          <w:rFonts w:hint="eastAsia" w:ascii="宋体" w:hAnsi="宋体"/>
          <w:bCs/>
          <w:sz w:val="28"/>
          <w:szCs w:val="28"/>
        </w:rPr>
        <w:t>修正后的首次报价中</w:t>
      </w:r>
      <w:r>
        <w:rPr>
          <w:rFonts w:ascii="宋体" w:hAnsi="宋体"/>
          <w:bCs/>
          <w:sz w:val="28"/>
          <w:szCs w:val="28"/>
        </w:rPr>
        <w:t>的单价</w:t>
      </w:r>
      <w:r>
        <w:rPr>
          <w:rFonts w:hint="eastAsia" w:ascii="宋体" w:hAnsi="宋体"/>
          <w:bCs/>
          <w:sz w:val="28"/>
          <w:szCs w:val="28"/>
        </w:rPr>
        <w:t>×（</w:t>
      </w:r>
      <w:r>
        <w:rPr>
          <w:rFonts w:ascii="宋体" w:hAnsi="宋体"/>
          <w:bCs/>
          <w:sz w:val="28"/>
          <w:szCs w:val="28"/>
        </w:rPr>
        <w:t>1 + A</w:t>
      </w:r>
      <w:r>
        <w:rPr>
          <w:rFonts w:hint="eastAsia" w:ascii="宋体" w:hAnsi="宋体"/>
          <w:bCs/>
          <w:sz w:val="28"/>
          <w:szCs w:val="28"/>
        </w:rPr>
        <w:t>）</w:t>
      </w:r>
    </w:p>
    <w:p>
      <w:pPr>
        <w:pStyle w:val="5"/>
        <w:rPr>
          <w:color w:val="auto"/>
        </w:rPr>
      </w:pPr>
      <w:r>
        <w:rPr>
          <w:rFonts w:hint="eastAsia"/>
          <w:color w:val="auto"/>
        </w:rPr>
        <w:t>联合体</w:t>
      </w:r>
      <w:bookmarkEnd w:id="20"/>
      <w:r>
        <w:rPr>
          <w:rFonts w:hint="eastAsia" w:ascii="仿宋" w:hAnsi="仿宋" w:eastAsia="仿宋"/>
          <w:color w:val="auto"/>
          <w:szCs w:val="21"/>
          <w:lang w:val="zh-CN"/>
        </w:rPr>
        <w:t>（实质性要求）</w:t>
      </w:r>
    </w:p>
    <w:p>
      <w:pPr>
        <w:tabs>
          <w:tab w:val="left" w:pos="1200"/>
        </w:tabs>
        <w:spacing w:line="360" w:lineRule="auto"/>
        <w:ind w:firstLine="565" w:firstLineChars="202"/>
        <w:rPr>
          <w:rFonts w:ascii="宋体" w:hAnsi="宋体"/>
          <w:sz w:val="28"/>
          <w:szCs w:val="28"/>
        </w:rPr>
      </w:pPr>
      <w:r>
        <w:rPr>
          <w:rFonts w:hint="eastAsia" w:ascii="宋体" w:hAnsi="宋体"/>
          <w:sz w:val="28"/>
          <w:szCs w:val="28"/>
        </w:rPr>
        <w:t>本次政府采购活动</w:t>
      </w:r>
      <w:r>
        <w:rPr>
          <w:rFonts w:hint="eastAsia" w:ascii="宋体" w:hAnsi="宋体"/>
          <w:b/>
          <w:sz w:val="28"/>
          <w:szCs w:val="28"/>
        </w:rPr>
        <w:t>不接受</w:t>
      </w:r>
      <w:r>
        <w:rPr>
          <w:rFonts w:hint="eastAsia" w:ascii="宋体" w:hAnsi="宋体"/>
          <w:sz w:val="28"/>
          <w:szCs w:val="28"/>
        </w:rPr>
        <w:t>供应商以联合体的形式参加磋商。</w:t>
      </w:r>
    </w:p>
    <w:p>
      <w:pPr>
        <w:pStyle w:val="5"/>
        <w:ind w:left="0" w:firstLine="0"/>
        <w:rPr>
          <w:color w:val="auto"/>
        </w:rPr>
      </w:pPr>
      <w:bookmarkStart w:id="21" w:name="_Toc217446047"/>
      <w:r>
        <w:rPr>
          <w:rFonts w:hint="eastAsia"/>
          <w:color w:val="auto"/>
        </w:rPr>
        <w:t>知识产权</w:t>
      </w:r>
      <w:bookmarkEnd w:id="21"/>
      <w:r>
        <w:rPr>
          <w:rFonts w:hint="eastAsia" w:ascii="仿宋" w:hAnsi="仿宋" w:eastAsia="仿宋"/>
          <w:color w:val="auto"/>
          <w:szCs w:val="21"/>
          <w:lang w:val="zh-CN"/>
        </w:rPr>
        <w:t>（实质性要求）</w:t>
      </w:r>
    </w:p>
    <w:p>
      <w:pPr>
        <w:pStyle w:val="156"/>
        <w:widowControl w:val="0"/>
        <w:numPr>
          <w:ilvl w:val="0"/>
          <w:numId w:val="16"/>
        </w:numPr>
        <w:tabs>
          <w:tab w:val="left" w:pos="1134"/>
        </w:tabs>
        <w:spacing w:line="360" w:lineRule="auto"/>
        <w:ind w:left="0" w:firstLine="549" w:firstLineChars="0"/>
        <w:jc w:val="both"/>
        <w:rPr>
          <w:rFonts w:ascii="宋体" w:hAnsi="宋体"/>
          <w:sz w:val="28"/>
          <w:szCs w:val="28"/>
        </w:rPr>
      </w:pPr>
      <w:r>
        <w:rPr>
          <w:rFonts w:hint="eastAsia" w:ascii="宋体" w:hAnsi="宋体"/>
          <w:sz w:val="28"/>
          <w:szCs w:val="28"/>
        </w:rPr>
        <w:t>供应商应保证在本项目使用的任何产品和服务（包括部分使用）时，不会产生因第三方提出侵犯其专利权、商标权或其它知识产权而引起的法律和经济纠纷，如因专利权、商标权或其它知识产权而引起法律和经济纠纷，由供应商承担所有相关责任。</w:t>
      </w:r>
    </w:p>
    <w:p>
      <w:pPr>
        <w:pStyle w:val="156"/>
        <w:widowControl w:val="0"/>
        <w:numPr>
          <w:ilvl w:val="0"/>
          <w:numId w:val="16"/>
        </w:numPr>
        <w:tabs>
          <w:tab w:val="left" w:pos="1134"/>
        </w:tabs>
        <w:spacing w:line="360" w:lineRule="auto"/>
        <w:ind w:left="0" w:firstLine="549" w:firstLineChars="0"/>
        <w:jc w:val="both"/>
        <w:rPr>
          <w:rFonts w:ascii="宋体" w:hAnsi="宋体"/>
          <w:sz w:val="28"/>
          <w:szCs w:val="28"/>
        </w:rPr>
      </w:pPr>
      <w:r>
        <w:rPr>
          <w:rFonts w:hint="eastAsia" w:ascii="宋体" w:hAnsi="宋体"/>
          <w:sz w:val="28"/>
          <w:szCs w:val="28"/>
        </w:rPr>
        <w:t>非</w:t>
      </w:r>
      <w:r>
        <w:rPr>
          <w:rFonts w:ascii="宋体" w:hAnsi="宋体"/>
          <w:sz w:val="28"/>
          <w:szCs w:val="28"/>
        </w:rPr>
        <w:t>磋商文件特别规定，</w:t>
      </w:r>
      <w:r>
        <w:rPr>
          <w:rFonts w:hint="eastAsia" w:ascii="宋体" w:hAnsi="宋体"/>
          <w:sz w:val="28"/>
          <w:szCs w:val="28"/>
        </w:rPr>
        <w:t>采购人享有本项目实施过程中产生的知识成果及知识产权。</w:t>
      </w:r>
    </w:p>
    <w:p>
      <w:pPr>
        <w:pStyle w:val="156"/>
        <w:widowControl w:val="0"/>
        <w:numPr>
          <w:ilvl w:val="0"/>
          <w:numId w:val="16"/>
        </w:numPr>
        <w:tabs>
          <w:tab w:val="left" w:pos="1134"/>
        </w:tabs>
        <w:spacing w:line="360" w:lineRule="auto"/>
        <w:ind w:left="0" w:firstLine="549" w:firstLineChars="0"/>
        <w:jc w:val="both"/>
        <w:rPr>
          <w:rFonts w:ascii="宋体" w:hAnsi="宋体"/>
          <w:sz w:val="28"/>
          <w:szCs w:val="28"/>
        </w:rPr>
      </w:pPr>
      <w:r>
        <w:rPr>
          <w:rFonts w:hint="eastAsia" w:ascii="宋体" w:hAnsi="宋体"/>
          <w:sz w:val="28"/>
          <w:szCs w:val="28"/>
        </w:rPr>
        <w:t>供应商如拟在项目实施过程中采用自有知识成果，需在施工响应文件中声明，并提供相关知识产权证明文件。使用该知识成果后，供应商需提供开发接口和开发手册等技术文档，并承诺提供无限期技术支持，采购人享有永久使用权（含采购人委托第三方在该项目后续开发的使用权）。</w:t>
      </w:r>
    </w:p>
    <w:p>
      <w:pPr>
        <w:pStyle w:val="156"/>
        <w:widowControl w:val="0"/>
        <w:numPr>
          <w:ilvl w:val="0"/>
          <w:numId w:val="16"/>
        </w:numPr>
        <w:tabs>
          <w:tab w:val="left" w:pos="1134"/>
        </w:tabs>
        <w:spacing w:line="360" w:lineRule="auto"/>
        <w:ind w:left="0" w:firstLine="549" w:firstLineChars="0"/>
        <w:jc w:val="both"/>
        <w:rPr>
          <w:rFonts w:ascii="宋体" w:hAnsi="宋体"/>
          <w:sz w:val="28"/>
          <w:szCs w:val="28"/>
        </w:rPr>
      </w:pPr>
      <w:r>
        <w:rPr>
          <w:rFonts w:hint="eastAsia" w:ascii="宋体" w:hAnsi="宋体"/>
          <w:sz w:val="28"/>
          <w:szCs w:val="28"/>
        </w:rPr>
        <w:t>如采用供应商所不拥有的知识产权，则在报价中必须包括合法获取该知识产权的相关费用。</w:t>
      </w:r>
    </w:p>
    <w:p>
      <w:pPr>
        <w:pStyle w:val="5"/>
        <w:rPr>
          <w:color w:val="auto"/>
        </w:rPr>
      </w:pPr>
      <w:bookmarkStart w:id="22" w:name="_Toc320698724"/>
      <w:bookmarkStart w:id="23" w:name="_Toc320698725"/>
      <w:r>
        <w:rPr>
          <w:rFonts w:hint="eastAsia"/>
          <w:color w:val="auto"/>
        </w:rPr>
        <w:t>施工响应文件的</w:t>
      </w:r>
      <w:bookmarkEnd w:id="22"/>
      <w:r>
        <w:rPr>
          <w:rFonts w:hint="eastAsia"/>
          <w:color w:val="auto"/>
        </w:rPr>
        <w:t>组成</w:t>
      </w:r>
      <w:r>
        <w:rPr>
          <w:rFonts w:hint="eastAsia" w:ascii="仿宋" w:hAnsi="仿宋" w:eastAsia="仿宋"/>
          <w:color w:val="auto"/>
          <w:szCs w:val="21"/>
          <w:lang w:val="zh-CN"/>
        </w:rPr>
        <w:t>（实质性要求）</w:t>
      </w:r>
    </w:p>
    <w:p>
      <w:pPr>
        <w:pStyle w:val="156"/>
        <w:tabs>
          <w:tab w:val="left" w:pos="1200"/>
        </w:tabs>
        <w:spacing w:line="360" w:lineRule="auto"/>
        <w:ind w:firstLine="560"/>
      </w:pPr>
      <w:r>
        <w:rPr>
          <w:rFonts w:hint="eastAsia" w:ascii="宋体" w:hAnsi="宋体"/>
          <w:sz w:val="28"/>
          <w:szCs w:val="28"/>
        </w:rPr>
        <w:t>供应商应按照磋商文件的规定和要求编制施工响应文件。供应商编写的施工响应文件应包括下列部分：</w:t>
      </w:r>
    </w:p>
    <w:p>
      <w:pPr>
        <w:pStyle w:val="156"/>
        <w:widowControl w:val="0"/>
        <w:numPr>
          <w:ilvl w:val="0"/>
          <w:numId w:val="17"/>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资格</w:t>
      </w:r>
      <w:r>
        <w:rPr>
          <w:rFonts w:ascii="宋体" w:hAnsi="宋体"/>
          <w:sz w:val="28"/>
          <w:szCs w:val="28"/>
        </w:rPr>
        <w:t>响应文件</w:t>
      </w:r>
      <w:r>
        <w:rPr>
          <w:rFonts w:hint="eastAsia" w:ascii="宋体" w:hAnsi="宋体"/>
          <w:sz w:val="28"/>
          <w:szCs w:val="28"/>
        </w:rPr>
        <w:t>：用于采购</w:t>
      </w:r>
      <w:r>
        <w:rPr>
          <w:rFonts w:ascii="宋体" w:hAnsi="宋体"/>
          <w:sz w:val="28"/>
          <w:szCs w:val="28"/>
        </w:rPr>
        <w:t>人</w:t>
      </w:r>
      <w:r>
        <w:rPr>
          <w:rFonts w:hint="eastAsia" w:ascii="宋体" w:hAnsi="宋体"/>
          <w:sz w:val="28"/>
          <w:szCs w:val="28"/>
        </w:rPr>
        <w:t>审</w:t>
      </w:r>
      <w:r>
        <w:rPr>
          <w:rFonts w:ascii="宋体" w:hAnsi="宋体"/>
          <w:sz w:val="28"/>
          <w:szCs w:val="28"/>
        </w:rPr>
        <w:t>查供应</w:t>
      </w:r>
      <w:r>
        <w:rPr>
          <w:rFonts w:hint="eastAsia" w:ascii="宋体" w:hAnsi="宋体"/>
          <w:sz w:val="28"/>
          <w:szCs w:val="28"/>
        </w:rPr>
        <w:t>商</w:t>
      </w:r>
      <w:r>
        <w:rPr>
          <w:rFonts w:ascii="宋体" w:hAnsi="宋体"/>
          <w:sz w:val="28"/>
          <w:szCs w:val="28"/>
        </w:rPr>
        <w:t>是否属于</w:t>
      </w:r>
      <w:r>
        <w:rPr>
          <w:rFonts w:hint="eastAsia" w:ascii="宋体" w:hAnsi="宋体"/>
          <w:sz w:val="28"/>
          <w:szCs w:val="28"/>
        </w:rPr>
        <w:t>被邀请参加</w:t>
      </w:r>
      <w:r>
        <w:rPr>
          <w:rFonts w:ascii="宋体" w:hAnsi="宋体"/>
          <w:sz w:val="28"/>
          <w:szCs w:val="28"/>
        </w:rPr>
        <w:t>磋商的供应商</w:t>
      </w:r>
      <w:r>
        <w:rPr>
          <w:rFonts w:hint="eastAsia" w:ascii="宋体" w:hAnsi="宋体"/>
          <w:sz w:val="28"/>
          <w:szCs w:val="28"/>
        </w:rPr>
        <w:t>；</w:t>
      </w:r>
    </w:p>
    <w:p>
      <w:pPr>
        <w:pStyle w:val="156"/>
        <w:widowControl w:val="0"/>
        <w:numPr>
          <w:ilvl w:val="0"/>
          <w:numId w:val="17"/>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施工响应文件：用于供应商与磋商小组磋商；</w:t>
      </w:r>
    </w:p>
    <w:p>
      <w:pPr>
        <w:pStyle w:val="156"/>
        <w:widowControl w:val="0"/>
        <w:numPr>
          <w:ilvl w:val="0"/>
          <w:numId w:val="17"/>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最后报价文件（按磋商小组的要求提供最后报价）。</w:t>
      </w:r>
    </w:p>
    <w:bookmarkEnd w:id="23"/>
    <w:p>
      <w:pPr>
        <w:pStyle w:val="5"/>
        <w:numPr>
          <w:ilvl w:val="3"/>
          <w:numId w:val="1"/>
        </w:numPr>
        <w:ind w:left="1843" w:hanging="1843"/>
        <w:rPr>
          <w:color w:val="auto"/>
        </w:rPr>
      </w:pPr>
      <w:bookmarkStart w:id="24" w:name="_Toc320698726"/>
      <w:r>
        <w:rPr>
          <w:rFonts w:hint="eastAsia"/>
          <w:color w:val="auto"/>
        </w:rPr>
        <w:t>施工响应文件</w:t>
      </w:r>
      <w:bookmarkEnd w:id="24"/>
    </w:p>
    <w:p>
      <w:pPr>
        <w:pStyle w:val="5"/>
        <w:numPr>
          <w:ilvl w:val="4"/>
          <w:numId w:val="1"/>
        </w:numPr>
        <w:ind w:left="993" w:hanging="993"/>
        <w:rPr>
          <w:color w:val="auto"/>
        </w:rPr>
      </w:pPr>
      <w:r>
        <w:rPr>
          <w:rFonts w:hint="eastAsia"/>
          <w:color w:val="auto"/>
        </w:rPr>
        <w:t>资格响应文件</w:t>
      </w:r>
    </w:p>
    <w:p>
      <w:pPr>
        <w:spacing w:line="360" w:lineRule="auto"/>
        <w:ind w:right="-149" w:rightChars="-62" w:firstLine="660" w:firstLineChars="236"/>
        <w:rPr>
          <w:sz w:val="28"/>
          <w:szCs w:val="28"/>
        </w:rPr>
      </w:pPr>
      <w:r>
        <w:rPr>
          <w:rFonts w:hint="eastAsia"/>
          <w:sz w:val="28"/>
          <w:szCs w:val="28"/>
        </w:rPr>
        <w:t>供应</w:t>
      </w:r>
      <w:r>
        <w:rPr>
          <w:sz w:val="28"/>
          <w:szCs w:val="28"/>
        </w:rPr>
        <w:t>商在政</w:t>
      </w:r>
      <w:r>
        <w:rPr>
          <w:rFonts w:hint="eastAsia"/>
          <w:sz w:val="28"/>
          <w:szCs w:val="28"/>
        </w:rPr>
        <w:t>府</w:t>
      </w:r>
      <w:r>
        <w:rPr>
          <w:sz w:val="28"/>
          <w:szCs w:val="28"/>
        </w:rPr>
        <w:t>采</w:t>
      </w:r>
      <w:r>
        <w:rPr>
          <w:rFonts w:hint="eastAsia"/>
          <w:sz w:val="28"/>
          <w:szCs w:val="28"/>
        </w:rPr>
        <w:t>购云平</w:t>
      </w:r>
      <w:r>
        <w:rPr>
          <w:sz w:val="28"/>
          <w:szCs w:val="28"/>
        </w:rPr>
        <w:t>台上传</w:t>
      </w:r>
      <w:r>
        <w:rPr>
          <w:rFonts w:hint="eastAsia"/>
          <w:sz w:val="28"/>
          <w:szCs w:val="28"/>
          <w:lang w:val="zh-CN"/>
        </w:rPr>
        <w:t>四川省政府采购供应商库系统下</w:t>
      </w:r>
      <w:r>
        <w:rPr>
          <w:sz w:val="28"/>
          <w:szCs w:val="28"/>
          <w:lang w:val="zh-CN"/>
        </w:rPr>
        <w:t>载的邀请书或空白页</w:t>
      </w:r>
      <w:r>
        <w:rPr>
          <w:rFonts w:hint="eastAsia"/>
          <w:sz w:val="28"/>
          <w:szCs w:val="28"/>
          <w:lang w:val="zh-CN"/>
        </w:rPr>
        <w:t>。</w:t>
      </w:r>
    </w:p>
    <w:p>
      <w:pPr>
        <w:pStyle w:val="5"/>
        <w:numPr>
          <w:ilvl w:val="4"/>
          <w:numId w:val="1"/>
        </w:numPr>
        <w:ind w:left="993" w:hanging="993"/>
        <w:rPr>
          <w:color w:val="auto"/>
        </w:rPr>
      </w:pPr>
      <w:r>
        <w:rPr>
          <w:rFonts w:hint="eastAsia"/>
          <w:color w:val="auto"/>
        </w:rPr>
        <w:t>商务技术响应文件</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报价函；</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法定代表人身份证明书；</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承诺函（说明：供应商应按承诺函格式中要求的承诺内容进行承诺）；</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施工组织设计（说明：施工组织设计格式及内容自拟）；</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技术、服务、合同条款要求应答表（说明：供应商必须根据磋商文件要求据实逐条填写，不得虚假陈述，否则，其施工响应文件无效并按规定追究其相关责任）</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项目管理机构组成表（说明：供应商未提供项目管理机构组成表的，不影响供应商施工响应文件的有效性）；</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相关管理机构主要人员简历表（说明：供应商未提供相关机构主要人员简历表的，不影响供应商施工响应文件的有效性）。</w:t>
      </w:r>
    </w:p>
    <w:p>
      <w:pPr>
        <w:pStyle w:val="5"/>
        <w:numPr>
          <w:ilvl w:val="4"/>
          <w:numId w:val="1"/>
        </w:numPr>
        <w:ind w:left="993" w:hanging="993"/>
        <w:rPr>
          <w:color w:val="auto"/>
        </w:rPr>
      </w:pPr>
      <w:r>
        <w:rPr>
          <w:rFonts w:hint="eastAsia"/>
          <w:color w:val="auto"/>
        </w:rPr>
        <w:t>报价要求响应文件</w:t>
      </w:r>
    </w:p>
    <w:p>
      <w:pPr>
        <w:pStyle w:val="156"/>
        <w:widowControl w:val="0"/>
        <w:numPr>
          <w:ilvl w:val="0"/>
          <w:numId w:val="19"/>
        </w:numPr>
        <w:tabs>
          <w:tab w:val="left" w:pos="1276"/>
        </w:tabs>
        <w:spacing w:line="360" w:lineRule="auto"/>
        <w:ind w:left="0" w:firstLine="709" w:firstLineChars="0"/>
        <w:jc w:val="both"/>
        <w:rPr>
          <w:rFonts w:ascii="宋体" w:hAnsi="宋体"/>
          <w:sz w:val="28"/>
          <w:szCs w:val="28"/>
        </w:rPr>
      </w:pPr>
      <w:r>
        <w:rPr>
          <w:rFonts w:hint="eastAsia" w:ascii="宋体" w:hAnsi="宋体"/>
          <w:sz w:val="28"/>
          <w:szCs w:val="28"/>
        </w:rPr>
        <w:t>已标价工程量清单（说明：已标价工程量清单应符合磋商文件“第二章磋商须知”第2.4.3条关于报价货币及报价要求的相关要求以及工程量清单总说明的相关要求）。</w:t>
      </w:r>
    </w:p>
    <w:p>
      <w:pPr>
        <w:pStyle w:val="5"/>
        <w:numPr>
          <w:ilvl w:val="3"/>
          <w:numId w:val="1"/>
        </w:numPr>
        <w:ind w:left="1843" w:hanging="1843"/>
        <w:rPr>
          <w:color w:val="auto"/>
        </w:rPr>
      </w:pPr>
      <w:bookmarkStart w:id="25" w:name="_Toc320698727"/>
      <w:r>
        <w:rPr>
          <w:rFonts w:hint="eastAsia"/>
          <w:color w:val="auto"/>
        </w:rPr>
        <w:t>最后报价</w:t>
      </w:r>
    </w:p>
    <w:p>
      <w:pPr>
        <w:pStyle w:val="84"/>
        <w:ind w:firstLine="551"/>
        <w:rPr>
          <w:b/>
        </w:rPr>
      </w:pPr>
      <w:r>
        <w:rPr>
          <w:rFonts w:hint="eastAsia" w:ascii="宋体" w:hAnsi="宋体"/>
          <w:sz w:val="28"/>
        </w:rPr>
        <w:t>参加最后报价的供应商按磋商小组的要求在政府采购云平台中提供最后报价，报价应是包括磋商文件规定的全部相应内容的报价。</w:t>
      </w:r>
    </w:p>
    <w:p>
      <w:pPr>
        <w:pStyle w:val="5"/>
        <w:rPr>
          <w:color w:val="auto"/>
        </w:rPr>
      </w:pPr>
      <w:r>
        <w:rPr>
          <w:rFonts w:hint="eastAsia"/>
          <w:color w:val="auto"/>
        </w:rPr>
        <w:t>施工响应文件格式</w:t>
      </w:r>
    </w:p>
    <w:p>
      <w:pPr>
        <w:pStyle w:val="2"/>
        <w:tabs>
          <w:tab w:val="left" w:pos="1134"/>
        </w:tabs>
        <w:spacing w:after="0" w:line="360" w:lineRule="auto"/>
        <w:ind w:firstLine="565" w:firstLineChars="202"/>
        <w:rPr>
          <w:rFonts w:ascii="宋体" w:hAnsi="宋体"/>
          <w:bCs/>
          <w:sz w:val="28"/>
          <w:szCs w:val="28"/>
        </w:rPr>
      </w:pPr>
      <w:r>
        <w:rPr>
          <w:rFonts w:hint="eastAsia" w:ascii="宋体" w:hAnsi="宋体"/>
          <w:bCs/>
          <w:sz w:val="28"/>
          <w:szCs w:val="28"/>
        </w:rPr>
        <w:t>一、供应商应按照竞争性磋商文件第3章中提供的“施工响应文件格式”填写相关内容。</w:t>
      </w:r>
    </w:p>
    <w:p>
      <w:pPr>
        <w:pStyle w:val="2"/>
        <w:tabs>
          <w:tab w:val="left" w:pos="1134"/>
        </w:tabs>
        <w:spacing w:after="0" w:line="360" w:lineRule="auto"/>
        <w:ind w:firstLine="565" w:firstLineChars="202"/>
        <w:rPr>
          <w:rFonts w:ascii="宋体" w:hAnsi="宋体"/>
          <w:bCs/>
          <w:sz w:val="28"/>
          <w:szCs w:val="28"/>
        </w:rPr>
      </w:pPr>
      <w:r>
        <w:rPr>
          <w:rFonts w:hint="eastAsia" w:ascii="宋体" w:hAnsi="宋体"/>
          <w:bCs/>
          <w:sz w:val="28"/>
          <w:szCs w:val="28"/>
        </w:rPr>
        <w:t>二、对于没有格式要求的施工响应文件由供应商自行编写。</w:t>
      </w:r>
    </w:p>
    <w:p>
      <w:pPr>
        <w:pStyle w:val="5"/>
        <w:rPr>
          <w:color w:val="auto"/>
        </w:rPr>
      </w:pPr>
      <w:r>
        <w:rPr>
          <w:rFonts w:hint="eastAsia"/>
          <w:color w:val="auto"/>
        </w:rPr>
        <w:t>最后报价</w:t>
      </w:r>
    </w:p>
    <w:p>
      <w:pPr>
        <w:widowControl w:val="0"/>
        <w:numPr>
          <w:ilvl w:val="0"/>
          <w:numId w:val="20"/>
        </w:numPr>
        <w:tabs>
          <w:tab w:val="left" w:pos="1134"/>
        </w:tabs>
        <w:spacing w:line="360" w:lineRule="auto"/>
        <w:ind w:left="0" w:firstLine="560"/>
        <w:jc w:val="both"/>
        <w:rPr>
          <w:rFonts w:ascii="宋体" w:hAnsi="宋体"/>
          <w:sz w:val="28"/>
          <w:szCs w:val="28"/>
        </w:rPr>
      </w:pPr>
      <w:r>
        <w:rPr>
          <w:rFonts w:hint="eastAsia" w:ascii="宋体" w:hAnsi="宋体"/>
          <w:sz w:val="28"/>
          <w:szCs w:val="28"/>
        </w:rPr>
        <w:t>供应商的最后报价是供应商响应采购项目要求的价格体现，包括供应商完成本项目所需的一切费用。</w:t>
      </w:r>
    </w:p>
    <w:p>
      <w:pPr>
        <w:widowControl w:val="0"/>
        <w:numPr>
          <w:ilvl w:val="0"/>
          <w:numId w:val="20"/>
        </w:numPr>
        <w:tabs>
          <w:tab w:val="left" w:pos="1134"/>
        </w:tabs>
        <w:spacing w:line="360" w:lineRule="auto"/>
        <w:ind w:left="0" w:firstLine="560"/>
        <w:jc w:val="both"/>
        <w:rPr>
          <w:rFonts w:ascii="宋体" w:hAnsi="宋体"/>
          <w:sz w:val="28"/>
          <w:szCs w:val="28"/>
        </w:rPr>
      </w:pPr>
      <w:r>
        <w:rPr>
          <w:rFonts w:hint="eastAsia" w:ascii="宋体" w:hAnsi="宋体"/>
          <w:sz w:val="28"/>
          <w:szCs w:val="28"/>
        </w:rPr>
        <w:t>供应商的最后报价只允许有一个报价，任何有选择或可调整的报价将不予接受，并按无效响应处理。</w:t>
      </w:r>
    </w:p>
    <w:p>
      <w:pPr>
        <w:widowControl w:val="0"/>
        <w:numPr>
          <w:ilvl w:val="0"/>
          <w:numId w:val="20"/>
        </w:numPr>
        <w:tabs>
          <w:tab w:val="left" w:pos="1134"/>
        </w:tabs>
        <w:spacing w:line="360" w:lineRule="auto"/>
        <w:ind w:left="0" w:firstLine="560"/>
        <w:jc w:val="both"/>
        <w:rPr>
          <w:rFonts w:ascii="宋体" w:hAnsi="宋体"/>
          <w:sz w:val="28"/>
          <w:szCs w:val="28"/>
        </w:rPr>
      </w:pPr>
      <w:r>
        <w:rPr>
          <w:rFonts w:hint="eastAsia" w:ascii="宋体" w:hAnsi="宋体"/>
          <w:sz w:val="28"/>
          <w:szCs w:val="28"/>
        </w:rPr>
        <w:t>参加最后报价的供应商按磋商小组的要求提供最后报价。</w:t>
      </w:r>
    </w:p>
    <w:bookmarkEnd w:id="25"/>
    <w:p>
      <w:pPr>
        <w:pStyle w:val="5"/>
        <w:rPr>
          <w:color w:val="auto"/>
        </w:rPr>
      </w:pPr>
      <w:bookmarkStart w:id="26" w:name="_Toc320698728"/>
      <w:r>
        <w:rPr>
          <w:rFonts w:hint="eastAsia"/>
          <w:color w:val="auto"/>
        </w:rPr>
        <w:t>磋商保证金</w:t>
      </w:r>
    </w:p>
    <w:p>
      <w:pPr>
        <w:spacing w:line="360" w:lineRule="auto"/>
        <w:ind w:firstLine="560" w:firstLineChars="200"/>
        <w:rPr>
          <w:rFonts w:ascii="宋体" w:hAnsi="宋体"/>
          <w:sz w:val="28"/>
          <w:szCs w:val="28"/>
        </w:rPr>
      </w:pPr>
      <w:r>
        <w:rPr>
          <w:rFonts w:hint="eastAsia" w:ascii="宋体" w:hAnsi="宋体"/>
          <w:sz w:val="28"/>
          <w:szCs w:val="28"/>
        </w:rPr>
        <w:t>本项目不收取磋商保证金。</w:t>
      </w:r>
    </w:p>
    <w:p>
      <w:pPr>
        <w:pStyle w:val="5"/>
        <w:rPr>
          <w:color w:val="auto"/>
        </w:rPr>
      </w:pPr>
      <w:r>
        <w:rPr>
          <w:rFonts w:hint="eastAsia"/>
          <w:color w:val="auto"/>
        </w:rPr>
        <w:t>施工响应文件有效期</w:t>
      </w:r>
      <w:bookmarkEnd w:id="26"/>
    </w:p>
    <w:p>
      <w:pPr>
        <w:pStyle w:val="82"/>
        <w:numPr>
          <w:ilvl w:val="0"/>
          <w:numId w:val="21"/>
        </w:numPr>
        <w:tabs>
          <w:tab w:val="left" w:pos="1134"/>
        </w:tabs>
        <w:spacing w:line="360" w:lineRule="auto"/>
        <w:ind w:left="0" w:firstLine="566" w:firstLineChars="0"/>
        <w:rPr>
          <w:rFonts w:ascii="宋体" w:hAnsi="宋体" w:eastAsia="宋体"/>
          <w:sz w:val="28"/>
          <w:szCs w:val="28"/>
        </w:rPr>
      </w:pPr>
      <w:r>
        <w:rPr>
          <w:rFonts w:hint="eastAsia" w:ascii="仿宋" w:hAnsi="仿宋" w:eastAsia="仿宋"/>
          <w:szCs w:val="21"/>
          <w:lang w:val="zh-CN"/>
        </w:rPr>
        <w:t>（实质性要求）</w:t>
      </w:r>
      <w:r>
        <w:rPr>
          <w:rFonts w:hint="eastAsia" w:ascii="宋体" w:hAnsi="宋体" w:eastAsia="宋体"/>
          <w:sz w:val="28"/>
          <w:szCs w:val="28"/>
        </w:rPr>
        <w:t>施工响应文件有效期为递交施工响应文件截止之日起</w:t>
      </w:r>
      <w:r>
        <w:rPr>
          <w:rFonts w:hint="eastAsia" w:ascii="宋体" w:hAnsi="宋体" w:eastAsia="宋体"/>
          <w:sz w:val="28"/>
          <w:szCs w:val="28"/>
          <w:u w:val="single"/>
        </w:rPr>
        <w:t>120</w:t>
      </w:r>
      <w:r>
        <w:rPr>
          <w:rFonts w:hint="eastAsia" w:ascii="宋体" w:hAnsi="宋体" w:eastAsia="宋体"/>
          <w:sz w:val="28"/>
          <w:szCs w:val="28"/>
        </w:rPr>
        <w:t>天。施工响应文件有效期短于此规定期限的或不作响应的，其施工响应文件将按无效施工响应文件处理。</w:t>
      </w:r>
    </w:p>
    <w:p>
      <w:pPr>
        <w:pStyle w:val="82"/>
        <w:numPr>
          <w:ilvl w:val="0"/>
          <w:numId w:val="21"/>
        </w:numPr>
        <w:tabs>
          <w:tab w:val="left" w:pos="1134"/>
        </w:tabs>
        <w:spacing w:line="360" w:lineRule="auto"/>
        <w:ind w:left="0" w:firstLine="566" w:firstLineChars="0"/>
        <w:jc w:val="both"/>
        <w:rPr>
          <w:rFonts w:ascii="宋体" w:hAnsi="宋体" w:eastAsia="宋体"/>
          <w:sz w:val="28"/>
          <w:szCs w:val="28"/>
        </w:rPr>
      </w:pPr>
      <w:r>
        <w:rPr>
          <w:rFonts w:hint="eastAsia" w:ascii="宋体" w:hAnsi="宋体" w:eastAsia="宋体"/>
          <w:sz w:val="28"/>
          <w:szCs w:val="28"/>
        </w:rPr>
        <w:t>特殊情况下，采购人可于施工响应文件有效期满之前要求供应商同意延长有效期，要求与答复均应为书面形式。供应商可以拒绝上述要求，其磋商保证金不被没收。同意延长施工响应文件有效期的供应商不能修改其施工响应文件，关于磋商保证金的有关规定在延长的施工响应文件有效期内继续有效。</w:t>
      </w:r>
    </w:p>
    <w:p>
      <w:pPr>
        <w:pStyle w:val="5"/>
        <w:rPr>
          <w:color w:val="auto"/>
        </w:rPr>
      </w:pPr>
      <w:bookmarkStart w:id="27" w:name="_Toc320698729"/>
      <w:bookmarkStart w:id="28" w:name="_Toc320698730"/>
      <w:r>
        <w:rPr>
          <w:rFonts w:hint="eastAsia"/>
          <w:color w:val="auto"/>
        </w:rPr>
        <w:t>施工响应文件的签章和</w:t>
      </w:r>
      <w:r>
        <w:rPr>
          <w:color w:val="auto"/>
        </w:rPr>
        <w:t>加密</w:t>
      </w:r>
      <w:bookmarkEnd w:id="27"/>
    </w:p>
    <w:p>
      <w:pPr>
        <w:spacing w:line="360" w:lineRule="auto"/>
        <w:ind w:firstLine="560" w:firstLineChars="200"/>
        <w:rPr>
          <w:rFonts w:ascii="宋体" w:hAnsi="宋体"/>
          <w:sz w:val="28"/>
          <w:szCs w:val="28"/>
        </w:rPr>
      </w:pPr>
      <w:r>
        <w:rPr>
          <w:rFonts w:hint="eastAsia" w:ascii="宋体" w:hAnsi="宋体"/>
          <w:sz w:val="28"/>
          <w:szCs w:val="28"/>
        </w:rPr>
        <w:t>一、</w:t>
      </w:r>
      <w:r>
        <w:rPr>
          <w:rFonts w:hint="eastAsia" w:ascii="仿宋" w:hAnsi="仿宋" w:eastAsia="仿宋"/>
          <w:szCs w:val="21"/>
          <w:lang w:val="zh-CN"/>
        </w:rPr>
        <w:t>（实质性要求）</w:t>
      </w:r>
      <w:r>
        <w:rPr>
          <w:rFonts w:hint="eastAsia" w:ascii="宋体" w:hAnsi="宋体"/>
          <w:sz w:val="28"/>
          <w:szCs w:val="28"/>
        </w:rPr>
        <w:t>施工响应文件应根据磋商文件的要求进行制作。（说明：1、施工响应文件中要求提供复印件证明材料的，包含提供原件的影印件或复印件。2、要求提供复印件的证明材料须清晰可辨。）</w:t>
      </w:r>
    </w:p>
    <w:p>
      <w:pPr>
        <w:spacing w:line="360" w:lineRule="auto"/>
        <w:ind w:firstLine="560" w:firstLineChars="200"/>
        <w:rPr>
          <w:rFonts w:ascii="宋体" w:hAnsi="宋体"/>
          <w:sz w:val="28"/>
          <w:szCs w:val="28"/>
        </w:rPr>
      </w:pPr>
      <w:r>
        <w:rPr>
          <w:rFonts w:hint="eastAsia" w:ascii="宋体" w:hAnsi="宋体"/>
          <w:sz w:val="28"/>
          <w:szCs w:val="28"/>
        </w:rPr>
        <w:t>二、施工响应文件制作详情：</w:t>
      </w:r>
    </w:p>
    <w:p>
      <w:pPr>
        <w:spacing w:line="360" w:lineRule="auto"/>
        <w:ind w:firstLine="560" w:firstLineChars="200"/>
        <w:rPr>
          <w:rFonts w:ascii="宋体" w:hAnsi="宋体"/>
          <w:sz w:val="28"/>
          <w:szCs w:val="28"/>
        </w:rPr>
      </w:pPr>
      <w:r>
        <w:rPr>
          <w:rFonts w:hint="eastAsia" w:ascii="宋体" w:hAnsi="宋体"/>
          <w:sz w:val="28"/>
          <w:szCs w:val="28"/>
        </w:rPr>
        <w:t>1、本项目实行电子采购。</w:t>
      </w:r>
      <w:r>
        <w:rPr>
          <w:rFonts w:ascii="宋体" w:hAnsi="宋体"/>
          <w:sz w:val="28"/>
          <w:szCs w:val="28"/>
        </w:rPr>
        <w:t>供应商应先安装“政</w:t>
      </w:r>
      <w:r>
        <w:rPr>
          <w:rFonts w:hint="eastAsia" w:ascii="宋体" w:hAnsi="宋体"/>
          <w:sz w:val="28"/>
          <w:szCs w:val="28"/>
        </w:rPr>
        <w:t>采云投标客户端”（下载地址</w:t>
      </w:r>
      <w:r>
        <w:rPr>
          <w:rFonts w:ascii="宋体" w:hAnsi="宋体"/>
          <w:sz w:val="28"/>
          <w:szCs w:val="28"/>
        </w:rPr>
        <w:t>1：前往成都市公共资源交易服务中心门户网站</w:t>
      </w:r>
      <w:r>
        <w:rPr>
          <w:rFonts w:hint="eastAsia" w:ascii="宋体" w:hAnsi="宋体"/>
          <w:sz w:val="28"/>
          <w:szCs w:val="28"/>
        </w:rPr>
        <w:t>（</w:t>
      </w:r>
      <w:r>
        <w:rPr>
          <w:rFonts w:ascii="宋体" w:hAnsi="宋体"/>
          <w:sz w:val="28"/>
          <w:szCs w:val="28"/>
        </w:rPr>
        <w:t>https://www.cdggzy.com/）</w:t>
      </w:r>
      <w:r>
        <w:rPr>
          <w:rFonts w:hint="eastAsia" w:ascii="宋体" w:hAnsi="宋体"/>
          <w:sz w:val="28"/>
          <w:szCs w:val="28"/>
        </w:rPr>
        <w:t>—业务办理—下载专区—政府采购下载专区下载“政采云投标客户端”；下载地址</w:t>
      </w:r>
      <w:r>
        <w:rPr>
          <w:rFonts w:ascii="宋体" w:hAnsi="宋体"/>
          <w:sz w:val="28"/>
          <w:szCs w:val="28"/>
        </w:rPr>
        <w:t>2：https://customer.zcygov.cn/CA-driver-download?utm=web-ca-front.3ddc8fbb.0.0.3a16b7402a4511ec900b6349b129e0db</w:t>
      </w:r>
      <w:r>
        <w:rPr>
          <w:rFonts w:hint="eastAsia" w:ascii="宋体" w:hAnsi="宋体"/>
          <w:sz w:val="28"/>
          <w:szCs w:val="28"/>
        </w:rPr>
        <w:t>。供应商人应按响应文件要求，通过“政采云投标客户端”制作、加密并提交响应文件。</w:t>
      </w:r>
    </w:p>
    <w:p>
      <w:pPr>
        <w:spacing w:line="360" w:lineRule="auto"/>
        <w:ind w:firstLine="560" w:firstLineChars="200"/>
        <w:rPr>
          <w:rFonts w:ascii="宋体" w:hAnsi="宋体"/>
          <w:sz w:val="28"/>
          <w:szCs w:val="28"/>
        </w:rPr>
      </w:pPr>
      <w:r>
        <w:rPr>
          <w:rFonts w:hint="eastAsia" w:ascii="宋体" w:hAnsi="宋体"/>
          <w:sz w:val="28"/>
          <w:szCs w:val="28"/>
        </w:rPr>
        <w:t>2、</w:t>
      </w:r>
      <w:r>
        <w:rPr>
          <w:rFonts w:hint="eastAsia" w:ascii="仿宋" w:hAnsi="仿宋" w:eastAsia="仿宋"/>
          <w:szCs w:val="21"/>
          <w:lang w:val="zh-CN"/>
        </w:rPr>
        <w:t>（实质性要求）</w:t>
      </w:r>
      <w:r>
        <w:rPr>
          <w:rFonts w:hint="eastAsia" w:ascii="宋体" w:hAnsi="宋体"/>
          <w:b/>
          <w:sz w:val="28"/>
          <w:szCs w:val="28"/>
        </w:rPr>
        <w:t>施工响应文件应加盖供应商（法定名称）电子签章，不得使用供应商专用章（如经济合同章、投标专用章等）或下属单位印章代替</w:t>
      </w:r>
      <w:r>
        <w:rPr>
          <w:rFonts w:hint="eastAsia" w:ascii="宋体" w:hAnsi="宋体"/>
          <w:sz w:val="28"/>
          <w:szCs w:val="28"/>
        </w:rPr>
        <w:t>。</w:t>
      </w:r>
    </w:p>
    <w:p>
      <w:pPr>
        <w:spacing w:line="360" w:lineRule="auto"/>
        <w:ind w:firstLine="562" w:firstLineChars="200"/>
        <w:rPr>
          <w:rFonts w:ascii="宋体" w:hAnsi="宋体"/>
          <w:b/>
          <w:sz w:val="28"/>
          <w:szCs w:val="28"/>
        </w:rPr>
      </w:pPr>
      <w:r>
        <w:rPr>
          <w:rFonts w:ascii="宋体" w:hAnsi="宋体"/>
          <w:b/>
          <w:sz w:val="28"/>
          <w:szCs w:val="28"/>
        </w:rPr>
        <w:t>3、供应商应使用本企业CA数字证书对</w:t>
      </w:r>
      <w:r>
        <w:rPr>
          <w:rFonts w:hint="eastAsia" w:ascii="宋体" w:hAnsi="宋体"/>
          <w:b/>
          <w:sz w:val="28"/>
          <w:szCs w:val="28"/>
        </w:rPr>
        <w:t>响应文件进行加密。</w:t>
      </w:r>
    </w:p>
    <w:p>
      <w:pPr>
        <w:spacing w:line="360" w:lineRule="auto"/>
        <w:ind w:firstLine="560" w:firstLineChars="200"/>
        <w:rPr>
          <w:rFonts w:ascii="宋体" w:hAnsi="宋体"/>
          <w:sz w:val="28"/>
          <w:szCs w:val="28"/>
        </w:rPr>
      </w:pPr>
      <w:r>
        <w:rPr>
          <w:rFonts w:hint="eastAsia" w:ascii="宋体" w:hAnsi="宋体"/>
          <w:sz w:val="28"/>
          <w:szCs w:val="28"/>
        </w:rPr>
        <w:t>4、磋商文件有修改的，供应商须重新下载修改后的磋商文件（修改后的磋商文件在更正公告中下载），根据修改后的磋商文件制作、撤回修改，并递交施工响应文件。</w:t>
      </w:r>
    </w:p>
    <w:p>
      <w:pPr>
        <w:spacing w:line="360" w:lineRule="auto"/>
        <w:ind w:firstLine="560" w:firstLineChars="200"/>
        <w:rPr>
          <w:rFonts w:ascii="宋体" w:hAnsi="宋体"/>
          <w:sz w:val="28"/>
          <w:szCs w:val="28"/>
        </w:rPr>
      </w:pPr>
      <w:r>
        <w:rPr>
          <w:rFonts w:hint="eastAsia" w:ascii="宋体" w:hAnsi="宋体"/>
          <w:sz w:val="28"/>
          <w:szCs w:val="28"/>
        </w:rPr>
        <w:t>5、</w:t>
      </w:r>
      <w:r>
        <w:rPr>
          <w:rFonts w:ascii="宋体" w:hAnsi="宋体"/>
          <w:sz w:val="28"/>
          <w:szCs w:val="28"/>
        </w:rPr>
        <w:t xml:space="preserve">使用“政府采购云平台”（含政采云电子交易客户端）需要提前申领CA数字证书及电子签章，请自行前往四川CA、天威CA </w:t>
      </w:r>
      <w:r>
        <w:rPr>
          <w:rFonts w:hint="eastAsia" w:ascii="宋体" w:hAnsi="宋体"/>
          <w:sz w:val="28"/>
          <w:szCs w:val="28"/>
        </w:rPr>
        <w:t>、</w:t>
      </w:r>
      <w:r>
        <w:rPr>
          <w:rFonts w:ascii="宋体" w:hAnsi="宋体"/>
          <w:sz w:val="28"/>
          <w:szCs w:val="28"/>
        </w:rPr>
        <w:t>CFCA服务点办理</w:t>
      </w:r>
      <w:r>
        <w:rPr>
          <w:rFonts w:hint="eastAsia" w:ascii="宋体" w:hAnsi="宋体"/>
          <w:sz w:val="28"/>
          <w:szCs w:val="28"/>
        </w:rPr>
        <w:t>，供应商只需办理其中一家</w:t>
      </w:r>
      <w:r>
        <w:rPr>
          <w:rFonts w:ascii="宋体" w:hAnsi="宋体"/>
          <w:sz w:val="28"/>
          <w:szCs w:val="28"/>
        </w:rPr>
        <w:t>CA数字证书及签章（提示：办理时请说明参与成都市政府采购项目）。供应商应及时完成在“政府采购云平台”的CA账号绑定，确保顺利参与电子采购</w:t>
      </w:r>
      <w:r>
        <w:rPr>
          <w:rFonts w:hint="eastAsia" w:ascii="宋体" w:hAnsi="宋体"/>
          <w:sz w:val="28"/>
          <w:szCs w:val="28"/>
        </w:rPr>
        <w:t>。</w:t>
      </w:r>
    </w:p>
    <w:p>
      <w:pPr>
        <w:spacing w:line="360" w:lineRule="auto"/>
        <w:ind w:firstLine="560" w:firstLineChars="200"/>
        <w:rPr>
          <w:rFonts w:ascii="宋体" w:hAnsi="宋体"/>
          <w:sz w:val="28"/>
          <w:szCs w:val="28"/>
        </w:rPr>
      </w:pPr>
      <w:r>
        <w:rPr>
          <w:rFonts w:ascii="宋体" w:hAnsi="宋体"/>
          <w:sz w:val="28"/>
          <w:szCs w:val="28"/>
        </w:rPr>
        <w:t>6、政府采购云平台所支持的CA证书及签章：四川CA及金格签章，天威CA（金润版）及金润签章，CFCA及金格签章。</w:t>
      </w:r>
    </w:p>
    <w:p>
      <w:pPr>
        <w:spacing w:line="360" w:lineRule="auto"/>
        <w:ind w:firstLine="560" w:firstLineChars="200"/>
        <w:rPr>
          <w:rFonts w:ascii="宋体" w:hAnsi="宋体"/>
          <w:sz w:val="28"/>
          <w:szCs w:val="28"/>
        </w:rPr>
      </w:pPr>
      <w:r>
        <w:rPr>
          <w:rFonts w:ascii="宋体" w:hAnsi="宋体"/>
          <w:sz w:val="28"/>
          <w:szCs w:val="28"/>
        </w:rPr>
        <w:t>7、政府采购云平台技术支持：（1）钉钉群号：34165101（注：本群有3家CA办理人员加入）；如遇钉钉群满，请加钉钉群号：33782435（注：只</w:t>
      </w:r>
      <w:r>
        <w:rPr>
          <w:rFonts w:hint="eastAsia" w:ascii="宋体" w:hAnsi="宋体"/>
          <w:sz w:val="28"/>
          <w:szCs w:val="28"/>
        </w:rPr>
        <w:t>加其中一个即可）。（</w:t>
      </w:r>
      <w:r>
        <w:rPr>
          <w:rFonts w:ascii="宋体" w:hAnsi="宋体"/>
          <w:sz w:val="28"/>
          <w:szCs w:val="28"/>
        </w:rPr>
        <w:t>2）统一热线电话：4008817190</w:t>
      </w:r>
    </w:p>
    <w:p>
      <w:pPr>
        <w:spacing w:line="360" w:lineRule="auto"/>
        <w:ind w:firstLine="560" w:firstLineChars="200"/>
      </w:pPr>
      <w:r>
        <w:rPr>
          <w:rFonts w:ascii="宋体" w:hAnsi="宋体"/>
          <w:sz w:val="28"/>
          <w:szCs w:val="28"/>
        </w:rPr>
        <w:t>8、CA技术支持：四川CA：400-0281130；天威CA： 028-86694886、1592864708；CFCA：028-65785326、18033549468。</w:t>
      </w:r>
    </w:p>
    <w:bookmarkEnd w:id="28"/>
    <w:p>
      <w:pPr>
        <w:pStyle w:val="5"/>
        <w:rPr>
          <w:color w:val="auto"/>
        </w:rPr>
      </w:pPr>
      <w:bookmarkStart w:id="29" w:name="_Toc320698731"/>
      <w:r>
        <w:rPr>
          <w:rFonts w:hint="eastAsia"/>
          <w:color w:val="auto"/>
        </w:rPr>
        <w:t>施工响应文件的递交</w:t>
      </w:r>
      <w:bookmarkEnd w:id="29"/>
    </w:p>
    <w:p>
      <w:pPr>
        <w:widowControl w:val="0"/>
        <w:numPr>
          <w:ilvl w:val="0"/>
          <w:numId w:val="22"/>
        </w:numPr>
        <w:tabs>
          <w:tab w:val="left" w:pos="1134"/>
        </w:tabs>
        <w:spacing w:line="360" w:lineRule="auto"/>
        <w:ind w:left="0" w:firstLine="567"/>
        <w:jc w:val="both"/>
        <w:rPr>
          <w:rFonts w:ascii="宋体" w:hAnsi="宋体"/>
          <w:bCs/>
          <w:sz w:val="28"/>
          <w:szCs w:val="28"/>
        </w:rPr>
      </w:pPr>
      <w:r>
        <w:rPr>
          <w:rFonts w:hint="eastAsia" w:ascii="仿宋" w:hAnsi="仿宋" w:eastAsia="仿宋"/>
          <w:szCs w:val="21"/>
          <w:lang w:val="zh-CN"/>
        </w:rPr>
        <w:t>（实质性要求）</w:t>
      </w:r>
      <w:r>
        <w:rPr>
          <w:rFonts w:hint="eastAsia" w:ascii="宋体" w:hAnsi="宋体"/>
          <w:bCs/>
          <w:sz w:val="28"/>
          <w:szCs w:val="28"/>
        </w:rPr>
        <w:t>供应商应当在施工响应文件递交截止时间前，将生成的已加密的施工响应文件成功递交至“政府采购云平台”。</w:t>
      </w:r>
    </w:p>
    <w:p>
      <w:pPr>
        <w:widowControl w:val="0"/>
        <w:numPr>
          <w:ilvl w:val="0"/>
          <w:numId w:val="22"/>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因磋商文件的修改推迟施工相应文件递交截止日期的，供应商按高新区采购中心在“四川政府采购网”和“成都市公共资源交易服务中心”网站上发布的澄清公告中修改的时间递交施工响应文件，同时通过“政府采购云平台”将澄清或者修改的内容告知所有在系统中成功获取磋商文件的潜在供应商。</w:t>
      </w:r>
    </w:p>
    <w:p>
      <w:pPr>
        <w:widowControl w:val="0"/>
        <w:numPr>
          <w:ilvl w:val="0"/>
          <w:numId w:val="22"/>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供应商应充分考虑递交施工响应文件的不可预见因素，未在递交施工</w:t>
      </w:r>
      <w:r>
        <w:rPr>
          <w:rFonts w:ascii="宋体" w:hAnsi="宋体"/>
          <w:bCs/>
          <w:sz w:val="28"/>
          <w:szCs w:val="28"/>
        </w:rPr>
        <w:t>响应文件</w:t>
      </w:r>
      <w:r>
        <w:rPr>
          <w:rFonts w:hint="eastAsia" w:ascii="宋体" w:hAnsi="宋体"/>
          <w:bCs/>
          <w:sz w:val="28"/>
          <w:szCs w:val="28"/>
        </w:rPr>
        <w:t>截止时间前完成递交的，在递交施工</w:t>
      </w:r>
      <w:r>
        <w:rPr>
          <w:rFonts w:ascii="宋体" w:hAnsi="宋体"/>
          <w:bCs/>
          <w:sz w:val="28"/>
          <w:szCs w:val="28"/>
        </w:rPr>
        <w:t>响应文件</w:t>
      </w:r>
      <w:r>
        <w:rPr>
          <w:rFonts w:hint="eastAsia" w:ascii="宋体" w:hAnsi="宋体"/>
          <w:bCs/>
          <w:sz w:val="28"/>
          <w:szCs w:val="28"/>
        </w:rPr>
        <w:t>截止时间后将无法递交。</w:t>
      </w:r>
    </w:p>
    <w:p>
      <w:pPr>
        <w:pStyle w:val="5"/>
        <w:rPr>
          <w:color w:val="auto"/>
        </w:rPr>
      </w:pPr>
      <w:bookmarkStart w:id="30" w:name="_Toc446487098"/>
      <w:r>
        <w:rPr>
          <w:rFonts w:hint="eastAsia"/>
          <w:color w:val="auto"/>
        </w:rPr>
        <w:t>施工响应文件的补充、修改和撤回</w:t>
      </w:r>
      <w:bookmarkEnd w:id="30"/>
      <w:r>
        <w:rPr>
          <w:rFonts w:hint="eastAsia" w:ascii="仿宋" w:hAnsi="仿宋" w:eastAsia="仿宋"/>
          <w:color w:val="auto"/>
          <w:szCs w:val="21"/>
          <w:lang w:val="zh-CN"/>
        </w:rPr>
        <w:t>（实质性要求）</w:t>
      </w:r>
    </w:p>
    <w:p>
      <w:pPr>
        <w:widowControl w:val="0"/>
        <w:numPr>
          <w:ilvl w:val="0"/>
          <w:numId w:val="23"/>
        </w:numPr>
        <w:tabs>
          <w:tab w:val="left" w:pos="1134"/>
        </w:tabs>
        <w:spacing w:line="360" w:lineRule="auto"/>
        <w:ind w:left="0" w:firstLine="567"/>
        <w:jc w:val="both"/>
        <w:rPr>
          <w:rFonts w:ascii="宋体" w:hAnsi="宋体"/>
          <w:sz w:val="28"/>
          <w:szCs w:val="28"/>
        </w:rPr>
      </w:pPr>
      <w:bookmarkStart w:id="31" w:name="_Toc494356977"/>
      <w:bookmarkEnd w:id="31"/>
      <w:bookmarkStart w:id="32" w:name="_Toc494095623"/>
      <w:bookmarkEnd w:id="32"/>
      <w:r>
        <w:rPr>
          <w:rFonts w:hint="eastAsia" w:ascii="宋体" w:hAnsi="宋体"/>
          <w:sz w:val="28"/>
          <w:szCs w:val="28"/>
        </w:rPr>
        <w:t>在递交施工</w:t>
      </w:r>
      <w:r>
        <w:rPr>
          <w:rFonts w:ascii="宋体" w:hAnsi="宋体"/>
          <w:sz w:val="28"/>
          <w:szCs w:val="28"/>
        </w:rPr>
        <w:t>响应文件</w:t>
      </w:r>
      <w:r>
        <w:rPr>
          <w:rFonts w:hint="eastAsia" w:ascii="宋体" w:hAnsi="宋体"/>
          <w:sz w:val="28"/>
          <w:szCs w:val="28"/>
        </w:rPr>
        <w:t>截止时间之前，供应商可对已递交的施工响应文件进行补充、修改。补充或者修改施工响应文件的，应当先撤回已递交的施工响应文件，在“政采云投标客户端”补充、修改施工响应文件并签章、加密后重新递交。撤回施工响应文件进行补充、修改，在递交施工响应文件截止时间前未重新递交的，视为撤回施工响应文件。</w:t>
      </w:r>
    </w:p>
    <w:p>
      <w:pPr>
        <w:widowControl w:val="0"/>
        <w:numPr>
          <w:ilvl w:val="0"/>
          <w:numId w:val="23"/>
        </w:numPr>
        <w:tabs>
          <w:tab w:val="left" w:pos="1134"/>
        </w:tabs>
        <w:spacing w:line="360" w:lineRule="auto"/>
        <w:ind w:left="0" w:firstLine="567"/>
        <w:jc w:val="both"/>
        <w:rPr>
          <w:rFonts w:ascii="宋体" w:hAnsi="宋体"/>
          <w:sz w:val="28"/>
          <w:szCs w:val="28"/>
        </w:rPr>
      </w:pPr>
      <w:r>
        <w:rPr>
          <w:rFonts w:hint="eastAsia" w:ascii="宋体" w:hAnsi="宋体"/>
          <w:sz w:val="28"/>
          <w:szCs w:val="28"/>
        </w:rPr>
        <w:t>在递交施工响应文件截止时间之后，供应商不得对其递交的施工响应文件做任何补充、修改。</w:t>
      </w:r>
    </w:p>
    <w:p>
      <w:pPr>
        <w:widowControl w:val="0"/>
        <w:numPr>
          <w:ilvl w:val="0"/>
          <w:numId w:val="23"/>
        </w:numPr>
        <w:tabs>
          <w:tab w:val="left" w:pos="1134"/>
        </w:tabs>
        <w:spacing w:line="360" w:lineRule="auto"/>
        <w:ind w:left="0" w:firstLine="567"/>
        <w:jc w:val="both"/>
        <w:rPr>
          <w:rFonts w:ascii="宋体" w:hAnsi="宋体"/>
          <w:sz w:val="28"/>
          <w:szCs w:val="28"/>
        </w:rPr>
      </w:pPr>
      <w:r>
        <w:rPr>
          <w:rFonts w:hint="eastAsia" w:ascii="宋体" w:hAnsi="宋体"/>
          <w:sz w:val="28"/>
          <w:szCs w:val="28"/>
        </w:rPr>
        <w:t>在递交施工响应文件截止时间之前，供应商可对已递交的施工响应文件进行撤回。在递交施工响应文件截止时间之后，供应商不得撤回施工响应文件。</w:t>
      </w:r>
    </w:p>
    <w:p>
      <w:pPr>
        <w:pStyle w:val="5"/>
        <w:rPr>
          <w:color w:val="auto"/>
        </w:rPr>
      </w:pPr>
      <w:r>
        <w:rPr>
          <w:rFonts w:hint="eastAsia"/>
          <w:color w:val="auto"/>
        </w:rPr>
        <w:t>施工响应文件的解密</w:t>
      </w:r>
      <w:r>
        <w:rPr>
          <w:rFonts w:hint="eastAsia" w:ascii="仿宋" w:hAnsi="仿宋" w:eastAsia="仿宋"/>
          <w:color w:val="auto"/>
          <w:szCs w:val="21"/>
          <w:lang w:val="zh-CN"/>
        </w:rPr>
        <w:t>（实质性要求）</w:t>
      </w:r>
    </w:p>
    <w:p>
      <w:pPr>
        <w:tabs>
          <w:tab w:val="left" w:pos="1134"/>
        </w:tabs>
        <w:spacing w:before="120" w:line="360" w:lineRule="auto"/>
        <w:ind w:firstLine="565" w:firstLineChars="202"/>
        <w:rPr>
          <w:rFonts w:ascii="宋体" w:hAnsi="宋体"/>
          <w:bCs/>
          <w:sz w:val="28"/>
          <w:szCs w:val="28"/>
        </w:rPr>
      </w:pPr>
      <w:r>
        <w:rPr>
          <w:rFonts w:hint="eastAsia" w:ascii="宋体" w:hAnsi="宋体"/>
          <w:bCs/>
          <w:sz w:val="28"/>
          <w:szCs w:val="28"/>
        </w:rPr>
        <w:t>供应商</w:t>
      </w:r>
      <w:r>
        <w:rPr>
          <w:rFonts w:hint="eastAsia" w:ascii="宋体" w:hAnsi="宋体"/>
          <w:sz w:val="28"/>
          <w:szCs w:val="28"/>
        </w:rPr>
        <w:t>登录政府采购云平台，点击“项目采购—开标评标”模块，找到对应项目，进入“开标大厅”，等待高新区采购中心开启解密后，</w:t>
      </w:r>
      <w:r>
        <w:rPr>
          <w:rFonts w:hint="eastAsia" w:ascii="宋体" w:hAnsi="宋体" w:cs="宋体"/>
          <w:sz w:val="28"/>
          <w:szCs w:val="28"/>
        </w:rPr>
        <w:t>供应商应在60分钟内，使用加密该施工响应文件的CA数字证书在线完成施工响应文件的解密。</w:t>
      </w:r>
      <w:r>
        <w:rPr>
          <w:rFonts w:hint="eastAsia" w:ascii="宋体" w:hAnsi="宋体"/>
          <w:bCs/>
          <w:sz w:val="28"/>
          <w:szCs w:val="28"/>
        </w:rPr>
        <w:t>除因</w:t>
      </w:r>
      <w:r>
        <w:rPr>
          <w:rFonts w:hint="eastAsia" w:ascii="宋体" w:hAnsi="宋体"/>
          <w:sz w:val="28"/>
          <w:szCs w:val="28"/>
        </w:rPr>
        <w:t>高新区采购中心</w:t>
      </w:r>
      <w:r>
        <w:rPr>
          <w:rFonts w:hint="eastAsia" w:ascii="宋体" w:hAnsi="宋体"/>
          <w:bCs/>
          <w:sz w:val="28"/>
          <w:szCs w:val="28"/>
        </w:rPr>
        <w:t>断电、断网、系统故障或其他不可抗力等因素，导致系统无法使用外，供应商在规定的解密时间内，未成功解密的施工响应文件将视为无效响应文件。</w:t>
      </w:r>
    </w:p>
    <w:p>
      <w:pPr>
        <w:pStyle w:val="4"/>
        <w:tabs>
          <w:tab w:val="clear" w:pos="567"/>
        </w:tabs>
        <w:ind w:left="0" w:firstLine="0"/>
      </w:pPr>
      <w:bookmarkStart w:id="33" w:name="_Toc183682369"/>
      <w:bookmarkStart w:id="34" w:name="_Toc183582232"/>
      <w:bookmarkStart w:id="35" w:name="_Toc217446057"/>
      <w:bookmarkStart w:id="36" w:name="_Toc12815"/>
      <w:r>
        <w:rPr>
          <w:rFonts w:hint="eastAsia"/>
        </w:rPr>
        <w:t>开标</w:t>
      </w:r>
      <w:bookmarkEnd w:id="33"/>
      <w:bookmarkEnd w:id="34"/>
      <w:bookmarkEnd w:id="35"/>
      <w:r>
        <w:rPr>
          <w:rFonts w:hint="eastAsia"/>
        </w:rPr>
        <w:t>及开标程序</w:t>
      </w:r>
      <w:bookmarkEnd w:id="36"/>
    </w:p>
    <w:p>
      <w:pPr>
        <w:pStyle w:val="82"/>
        <w:widowControl w:val="0"/>
        <w:numPr>
          <w:ilvl w:val="0"/>
          <w:numId w:val="24"/>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递交施工响应文件的供应商不足3家的，不予开标。</w:t>
      </w:r>
    </w:p>
    <w:p>
      <w:pPr>
        <w:pStyle w:val="82"/>
        <w:widowControl w:val="0"/>
        <w:numPr>
          <w:ilvl w:val="0"/>
          <w:numId w:val="24"/>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开标准备工作。供应商需在开标当日、递交施工响应文件截止时间前登录“政府采购云平台”，通过“开标大厅”参与开标。登录政府采购云平台(www.zcygov.cn)—我的工作台—项目采购—开标评标—开标大厅[找到对应项目（包件）]。提示：供应商未按时登录不见面开标系统，错过开标解密时间的，由供应商自行承担不利后果。</w:t>
      </w:r>
    </w:p>
    <w:p>
      <w:pPr>
        <w:pStyle w:val="82"/>
        <w:widowControl w:val="0"/>
        <w:numPr>
          <w:ilvl w:val="0"/>
          <w:numId w:val="24"/>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解密施工响应文件。等待高新区采购中心开启解密后，供应商进行线上解密。除因高新区采购中心断电、断网、系统故障或其他不可抗力等因素，导致系统无法使用外，供应商在规定的解密时间内，未成功解密的施工响应文件将视为无效施工响应文件。</w:t>
      </w:r>
    </w:p>
    <w:p>
      <w:pPr>
        <w:pStyle w:val="82"/>
        <w:widowControl w:val="0"/>
        <w:numPr>
          <w:ilvl w:val="0"/>
          <w:numId w:val="24"/>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确认开标记录。解密时间截止或者所有供应商施工</w:t>
      </w:r>
      <w:r>
        <w:rPr>
          <w:rFonts w:ascii="宋体" w:hAnsi="宋体" w:eastAsia="宋体" w:cs="宋体"/>
          <w:b/>
          <w:sz w:val="28"/>
          <w:szCs w:val="28"/>
        </w:rPr>
        <w:t>响应文件</w:t>
      </w:r>
      <w:r>
        <w:rPr>
          <w:rFonts w:hint="eastAsia" w:ascii="宋体" w:hAnsi="宋体" w:eastAsia="宋体" w:cs="宋体"/>
          <w:b/>
          <w:sz w:val="28"/>
          <w:szCs w:val="28"/>
        </w:rPr>
        <w:t>均完成解密后（以发生在先的时间为准），由“政府采购云平台”系统展示供应商名称、施工相应文件解密情况等内容。供应商对开标记录（包含解密情况、其他情况等）在规定时间内确认，如未确认，视为认同开标记录。</w:t>
      </w:r>
    </w:p>
    <w:p>
      <w:pPr>
        <w:pStyle w:val="82"/>
        <w:widowControl w:val="0"/>
        <w:numPr>
          <w:ilvl w:val="0"/>
          <w:numId w:val="24"/>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供应商对开标过程和开标记录有疑义，以及认为采购人、高新区采购中心相关工作人员有需要回避的情形的，及时向工作人员提出询问或者回避申请。采购人、高新区采购中心对供应商提出的询问或者回避申请应当及时处理。</w:t>
      </w:r>
    </w:p>
    <w:p>
      <w:pPr>
        <w:pStyle w:val="82"/>
        <w:widowControl w:val="0"/>
        <w:numPr>
          <w:ilvl w:val="0"/>
          <w:numId w:val="24"/>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供应商电脑终端等硬件设备和软件系统配置：供应商电脑终端等硬件设备和软件系统配置应符合电子投标（含不见面开标大厅）供应商电脑终端配置要求并运行正常，供应商承担因未尽职责产生的不利后果。</w:t>
      </w:r>
    </w:p>
    <w:p>
      <w:pPr>
        <w:pStyle w:val="82"/>
        <w:widowControl w:val="0"/>
        <w:numPr>
          <w:ilvl w:val="0"/>
          <w:numId w:val="24"/>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政府采购云平台运行基本环境要求：电脑应安装并顺利运行</w:t>
      </w:r>
      <w:r>
        <w:rPr>
          <w:rFonts w:ascii="宋体" w:hAnsi="宋体" w:eastAsia="宋体" w:cs="宋体"/>
          <w:b/>
          <w:sz w:val="28"/>
          <w:szCs w:val="28"/>
        </w:rPr>
        <w:t>64位win7以上操作系统</w:t>
      </w:r>
      <w:r>
        <w:rPr>
          <w:rFonts w:hint="eastAsia" w:ascii="宋体" w:hAnsi="宋体" w:eastAsia="宋体" w:cs="宋体"/>
          <w:b/>
          <w:sz w:val="28"/>
          <w:szCs w:val="28"/>
        </w:rPr>
        <w:t>，安装并顺利运行</w:t>
      </w:r>
      <w:r>
        <w:rPr>
          <w:rFonts w:ascii="宋体" w:hAnsi="宋体" w:eastAsia="宋体" w:cs="宋体"/>
          <w:b/>
          <w:sz w:val="28"/>
          <w:szCs w:val="28"/>
        </w:rPr>
        <w:t>摄像头、耳麦等用于音视频</w:t>
      </w:r>
      <w:r>
        <w:rPr>
          <w:rFonts w:hint="eastAsia" w:ascii="宋体" w:hAnsi="宋体" w:eastAsia="宋体" w:cs="宋体"/>
          <w:b/>
          <w:sz w:val="28"/>
          <w:szCs w:val="28"/>
        </w:rPr>
        <w:t>交流的</w:t>
      </w:r>
      <w:r>
        <w:rPr>
          <w:rFonts w:ascii="宋体" w:hAnsi="宋体" w:eastAsia="宋体" w:cs="宋体"/>
          <w:b/>
          <w:sz w:val="28"/>
          <w:szCs w:val="28"/>
        </w:rPr>
        <w:t>设备；谷歌浏览器；正确的CA及签章驱动</w:t>
      </w:r>
      <w:r>
        <w:rPr>
          <w:rFonts w:hint="eastAsia" w:ascii="宋体" w:hAnsi="宋体" w:eastAsia="宋体" w:cs="宋体"/>
          <w:b/>
          <w:sz w:val="28"/>
          <w:szCs w:val="28"/>
        </w:rPr>
        <w:t>等</w:t>
      </w:r>
      <w:r>
        <w:rPr>
          <w:rFonts w:ascii="宋体" w:hAnsi="宋体" w:eastAsia="宋体" w:cs="宋体"/>
          <w:b/>
          <w:sz w:val="28"/>
          <w:szCs w:val="28"/>
        </w:rPr>
        <w:t>；能流畅访问互联网</w:t>
      </w:r>
      <w:r>
        <w:rPr>
          <w:rFonts w:hint="eastAsia" w:ascii="宋体" w:hAnsi="宋体" w:eastAsia="宋体" w:cs="宋体"/>
          <w:b/>
          <w:sz w:val="28"/>
          <w:szCs w:val="28"/>
        </w:rPr>
        <w:t>。</w:t>
      </w:r>
    </w:p>
    <w:p>
      <w:pPr>
        <w:pStyle w:val="82"/>
        <w:widowControl w:val="0"/>
        <w:numPr>
          <w:ilvl w:val="0"/>
          <w:numId w:val="24"/>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因高新区采购中心断电、断网、系统故障或其他不可抗力等因素导致不见面开标系统无法正常运行的，开标活动中止或延迟，待系统恢复正常后继续进行开标活动。</w:t>
      </w:r>
    </w:p>
    <w:p>
      <w:pPr>
        <w:pStyle w:val="82"/>
        <w:widowControl w:val="0"/>
        <w:numPr>
          <w:ilvl w:val="0"/>
          <w:numId w:val="24"/>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不见面开标过程中，各方主体均应遵守互联网有关规定，不得发表与交易活动无关的言论。</w:t>
      </w:r>
    </w:p>
    <w:p>
      <w:pPr>
        <w:pStyle w:val="4"/>
        <w:tabs>
          <w:tab w:val="clear" w:pos="567"/>
        </w:tabs>
        <w:ind w:left="0" w:firstLine="0"/>
      </w:pPr>
      <w:bookmarkStart w:id="37" w:name="_Toc80708816"/>
      <w:bookmarkStart w:id="38" w:name="_Toc22960"/>
      <w:r>
        <w:rPr>
          <w:rFonts w:hint="eastAsia"/>
        </w:rPr>
        <w:t>资格</w:t>
      </w:r>
      <w:r>
        <w:t>审</w:t>
      </w:r>
      <w:r>
        <w:rPr>
          <w:rFonts w:hint="eastAsia"/>
        </w:rPr>
        <w:t>查</w:t>
      </w:r>
      <w:r>
        <w:t>和评审</w:t>
      </w:r>
      <w:bookmarkEnd w:id="37"/>
      <w:bookmarkEnd w:id="38"/>
    </w:p>
    <w:p>
      <w:pPr>
        <w:widowControl w:val="0"/>
        <w:numPr>
          <w:ilvl w:val="0"/>
          <w:numId w:val="25"/>
        </w:numPr>
        <w:tabs>
          <w:tab w:val="left" w:pos="1134"/>
        </w:tabs>
        <w:spacing w:line="360" w:lineRule="auto"/>
        <w:ind w:left="0" w:firstLine="540"/>
        <w:jc w:val="both"/>
        <w:rPr>
          <w:rFonts w:ascii="宋体" w:hAnsi="宋体"/>
          <w:sz w:val="28"/>
          <w:szCs w:val="28"/>
        </w:rPr>
      </w:pPr>
      <w:r>
        <w:rPr>
          <w:rFonts w:hint="eastAsia" w:ascii="宋体" w:hAnsi="宋体"/>
          <w:sz w:val="28"/>
          <w:szCs w:val="28"/>
        </w:rPr>
        <w:t>本项目采用在四川省政府采购供应商库系统随机抽取的方式，邀请</w:t>
      </w:r>
      <w:r>
        <w:rPr>
          <w:rFonts w:ascii="宋体" w:hAnsi="宋体"/>
          <w:sz w:val="28"/>
          <w:szCs w:val="28"/>
        </w:rPr>
        <w:t>参加竞争性</w:t>
      </w:r>
      <w:r>
        <w:rPr>
          <w:rFonts w:hint="eastAsia" w:ascii="宋体" w:hAnsi="宋体"/>
          <w:sz w:val="28"/>
          <w:szCs w:val="28"/>
        </w:rPr>
        <w:t>磋商的</w:t>
      </w:r>
      <w:r>
        <w:rPr>
          <w:rFonts w:ascii="宋体" w:hAnsi="宋体"/>
          <w:sz w:val="28"/>
          <w:szCs w:val="28"/>
        </w:rPr>
        <w:t>供应</w:t>
      </w:r>
      <w:r>
        <w:rPr>
          <w:rFonts w:hint="eastAsia" w:ascii="宋体" w:hAnsi="宋体"/>
          <w:sz w:val="28"/>
          <w:szCs w:val="28"/>
        </w:rPr>
        <w:t>商，</w:t>
      </w:r>
      <w:r>
        <w:rPr>
          <w:rFonts w:hint="eastAsia" w:ascii="宋体" w:hAnsi="宋体"/>
          <w:sz w:val="28"/>
        </w:rPr>
        <w:t>不对供应商资格进行审查，仅对供应商是否属于</w:t>
      </w:r>
      <w:r>
        <w:rPr>
          <w:rFonts w:hint="eastAsia" w:ascii="宋体" w:hAnsi="宋体"/>
          <w:sz w:val="28"/>
          <w:szCs w:val="28"/>
        </w:rPr>
        <w:t>被邀请的供应商进行审查。非通过四川省政府采购供应商库系统随机抽取选中的供应商提</w:t>
      </w:r>
      <w:r>
        <w:rPr>
          <w:rFonts w:ascii="宋体" w:hAnsi="宋体"/>
          <w:sz w:val="28"/>
          <w:szCs w:val="28"/>
        </w:rPr>
        <w:t>交施工响应文件</w:t>
      </w:r>
      <w:r>
        <w:rPr>
          <w:rFonts w:hint="eastAsia" w:ascii="宋体" w:hAnsi="宋体"/>
          <w:sz w:val="28"/>
          <w:szCs w:val="28"/>
        </w:rPr>
        <w:t>的，采购</w:t>
      </w:r>
      <w:r>
        <w:rPr>
          <w:rFonts w:ascii="宋体" w:hAnsi="宋体"/>
          <w:sz w:val="28"/>
          <w:szCs w:val="28"/>
        </w:rPr>
        <w:t>人</w:t>
      </w:r>
      <w:r>
        <w:rPr>
          <w:rFonts w:hint="eastAsia" w:ascii="宋体" w:hAnsi="宋体"/>
          <w:sz w:val="28"/>
          <w:szCs w:val="28"/>
        </w:rPr>
        <w:t>在资格</w:t>
      </w:r>
      <w:r>
        <w:rPr>
          <w:rFonts w:ascii="宋体" w:hAnsi="宋体"/>
          <w:sz w:val="28"/>
          <w:szCs w:val="28"/>
        </w:rPr>
        <w:t>审</w:t>
      </w:r>
      <w:r>
        <w:rPr>
          <w:rFonts w:hint="eastAsia" w:ascii="宋体" w:hAnsi="宋体"/>
          <w:sz w:val="28"/>
          <w:szCs w:val="28"/>
        </w:rPr>
        <w:t>查环节</w:t>
      </w:r>
      <w:r>
        <w:rPr>
          <w:rFonts w:ascii="宋体" w:hAnsi="宋体"/>
          <w:sz w:val="28"/>
          <w:szCs w:val="28"/>
        </w:rPr>
        <w:t>不通过</w:t>
      </w:r>
      <w:r>
        <w:rPr>
          <w:rFonts w:hint="eastAsia" w:ascii="宋体" w:hAnsi="宋体"/>
          <w:sz w:val="28"/>
          <w:szCs w:val="28"/>
        </w:rPr>
        <w:t>，不</w:t>
      </w:r>
      <w:r>
        <w:rPr>
          <w:rFonts w:ascii="宋体" w:hAnsi="宋体"/>
          <w:sz w:val="28"/>
          <w:szCs w:val="28"/>
        </w:rPr>
        <w:t>允许</w:t>
      </w:r>
      <w:r>
        <w:rPr>
          <w:rFonts w:hint="eastAsia" w:ascii="宋体" w:hAnsi="宋体"/>
          <w:sz w:val="28"/>
          <w:szCs w:val="28"/>
        </w:rPr>
        <w:t>其</w:t>
      </w:r>
      <w:r>
        <w:rPr>
          <w:rFonts w:ascii="宋体" w:hAnsi="宋体"/>
          <w:sz w:val="28"/>
          <w:szCs w:val="28"/>
        </w:rPr>
        <w:t>参加该项目的</w:t>
      </w:r>
      <w:r>
        <w:rPr>
          <w:rFonts w:hint="eastAsia" w:ascii="宋体" w:hAnsi="宋体"/>
          <w:sz w:val="28"/>
          <w:szCs w:val="28"/>
        </w:rPr>
        <w:t>磋商。</w:t>
      </w:r>
    </w:p>
    <w:p>
      <w:pPr>
        <w:widowControl w:val="0"/>
        <w:numPr>
          <w:ilvl w:val="0"/>
          <w:numId w:val="25"/>
        </w:numPr>
        <w:tabs>
          <w:tab w:val="left" w:pos="1134"/>
        </w:tabs>
        <w:spacing w:line="360" w:lineRule="auto"/>
        <w:ind w:left="0" w:firstLine="567"/>
        <w:jc w:val="both"/>
        <w:rPr>
          <w:rFonts w:ascii="宋体" w:hAnsi="宋体"/>
          <w:sz w:val="28"/>
          <w:szCs w:val="28"/>
        </w:rPr>
      </w:pPr>
      <w:r>
        <w:rPr>
          <w:rFonts w:hint="eastAsia" w:ascii="宋体" w:hAnsi="宋体"/>
          <w:sz w:val="28"/>
          <w:szCs w:val="28"/>
        </w:rPr>
        <w:t>磋商小组的组建及其评审工作按照有关法律制度和本文件第五章的规定进行。</w:t>
      </w:r>
    </w:p>
    <w:p>
      <w:pPr>
        <w:pStyle w:val="4"/>
      </w:pPr>
      <w:bookmarkStart w:id="39" w:name="_Toc10144"/>
      <w:r>
        <w:t>成交通知书</w:t>
      </w:r>
      <w:bookmarkEnd w:id="39"/>
    </w:p>
    <w:p>
      <w:pPr>
        <w:pStyle w:val="82"/>
        <w:widowControl w:val="0"/>
        <w:numPr>
          <w:ilvl w:val="0"/>
          <w:numId w:val="26"/>
        </w:numPr>
        <w:tabs>
          <w:tab w:val="left" w:pos="1134"/>
        </w:tabs>
        <w:spacing w:after="200" w:line="360" w:lineRule="auto"/>
        <w:ind w:left="0" w:right="210" w:firstLine="560" w:firstLineChars="0"/>
        <w:jc w:val="both"/>
        <w:rPr>
          <w:rFonts w:ascii="宋体" w:hAnsi="宋体" w:eastAsia="宋体"/>
          <w:sz w:val="28"/>
          <w:szCs w:val="28"/>
        </w:rPr>
      </w:pPr>
      <w:r>
        <w:rPr>
          <w:rFonts w:hint="eastAsia" w:ascii="宋体" w:hAnsi="宋体" w:eastAsia="宋体"/>
          <w:sz w:val="28"/>
          <w:szCs w:val="28"/>
        </w:rPr>
        <w:t>成交通知书为采购人签订政府采购合同的依据，是合同的有效组成部分。如果出现政府采购法律法规、规章制度规定的成交无效情形的，将以公告形式宣布发出的成交通知书无效，成交通知书将自动失效，并依法重新确定成交供应商或者重新开展采购活动。</w:t>
      </w:r>
    </w:p>
    <w:p>
      <w:pPr>
        <w:pStyle w:val="82"/>
        <w:widowControl w:val="0"/>
        <w:numPr>
          <w:ilvl w:val="0"/>
          <w:numId w:val="26"/>
        </w:numPr>
        <w:tabs>
          <w:tab w:val="left" w:pos="1134"/>
        </w:tabs>
        <w:spacing w:after="200" w:line="360" w:lineRule="auto"/>
        <w:ind w:left="0" w:right="210" w:firstLine="560" w:firstLineChars="0"/>
        <w:jc w:val="both"/>
        <w:rPr>
          <w:rFonts w:ascii="宋体" w:hAnsi="宋体" w:eastAsia="宋体"/>
          <w:sz w:val="28"/>
          <w:szCs w:val="28"/>
        </w:rPr>
      </w:pPr>
      <w:r>
        <w:rPr>
          <w:rFonts w:hint="eastAsia" w:ascii="宋体" w:hAnsi="宋体" w:eastAsia="宋体"/>
          <w:sz w:val="28"/>
          <w:szCs w:val="28"/>
        </w:rPr>
        <w:t>成交通知书对采购人和成交供应商均具有法律效力。成交通知书发出后，采购人改变成交结果，或者成交供应商无正当理由放弃成交的，应当承担相应的法律责任。</w:t>
      </w:r>
    </w:p>
    <w:p>
      <w:pPr>
        <w:pStyle w:val="82"/>
        <w:widowControl w:val="0"/>
        <w:numPr>
          <w:ilvl w:val="0"/>
          <w:numId w:val="26"/>
        </w:numPr>
        <w:tabs>
          <w:tab w:val="left" w:pos="1134"/>
        </w:tabs>
        <w:spacing w:after="200" w:line="360" w:lineRule="auto"/>
        <w:ind w:left="0" w:right="210" w:firstLine="560" w:firstLineChars="0"/>
        <w:jc w:val="both"/>
        <w:rPr>
          <w:rFonts w:ascii="宋体" w:hAnsi="宋体" w:eastAsia="宋体"/>
          <w:sz w:val="28"/>
          <w:szCs w:val="28"/>
        </w:rPr>
      </w:pPr>
      <w:r>
        <w:rPr>
          <w:rFonts w:hint="eastAsia" w:ascii="宋体" w:hAnsi="宋体" w:eastAsia="宋体"/>
          <w:sz w:val="28"/>
          <w:szCs w:val="28"/>
        </w:rPr>
        <w:t>成交公告在四川政府采购网上公告后，成交供应商自行登录政府</w:t>
      </w:r>
      <w:r>
        <w:rPr>
          <w:rFonts w:ascii="宋体" w:hAnsi="宋体" w:eastAsia="宋体"/>
          <w:sz w:val="28"/>
          <w:szCs w:val="28"/>
        </w:rPr>
        <w:t>采购</w:t>
      </w:r>
      <w:r>
        <w:rPr>
          <w:rFonts w:hint="eastAsia" w:ascii="宋体" w:hAnsi="宋体" w:eastAsia="宋体"/>
          <w:sz w:val="28"/>
          <w:szCs w:val="28"/>
        </w:rPr>
        <w:t>云平台下载成交通知书。</w:t>
      </w:r>
    </w:p>
    <w:p>
      <w:pPr>
        <w:pStyle w:val="4"/>
      </w:pPr>
      <w:bookmarkStart w:id="40" w:name="_Toc17541"/>
      <w:bookmarkStart w:id="41" w:name="_Toc287623650"/>
      <w:r>
        <w:rPr>
          <w:rFonts w:hint="eastAsia"/>
        </w:rPr>
        <w:t>签订及履行合同和验收</w:t>
      </w:r>
      <w:bookmarkEnd w:id="40"/>
    </w:p>
    <w:p>
      <w:pPr>
        <w:pStyle w:val="5"/>
        <w:rPr>
          <w:color w:val="auto"/>
        </w:rPr>
      </w:pPr>
      <w:r>
        <w:rPr>
          <w:rFonts w:hint="eastAsia"/>
          <w:color w:val="auto"/>
        </w:rPr>
        <w:t>签订合同</w:t>
      </w:r>
      <w:bookmarkEnd w:id="41"/>
    </w:p>
    <w:p>
      <w:pPr>
        <w:widowControl w:val="0"/>
        <w:numPr>
          <w:ilvl w:val="0"/>
          <w:numId w:val="27"/>
        </w:numPr>
        <w:tabs>
          <w:tab w:val="left" w:pos="1134"/>
        </w:tabs>
        <w:spacing w:line="360" w:lineRule="auto"/>
        <w:ind w:left="0" w:firstLine="565" w:firstLineChars="202"/>
        <w:jc w:val="both"/>
        <w:rPr>
          <w:rFonts w:ascii="宋体" w:hAnsi="宋体"/>
          <w:sz w:val="28"/>
          <w:szCs w:val="28"/>
        </w:rPr>
      </w:pPr>
      <w:bookmarkStart w:id="42" w:name="_Toc217446069"/>
      <w:r>
        <w:rPr>
          <w:rFonts w:hint="eastAsia" w:ascii="宋体" w:hAnsi="宋体"/>
          <w:sz w:val="28"/>
          <w:szCs w:val="28"/>
        </w:rPr>
        <w:t>疫情防控期间，采购人原则</w:t>
      </w:r>
      <w:r>
        <w:rPr>
          <w:rFonts w:ascii="宋体" w:hAnsi="宋体"/>
          <w:sz w:val="28"/>
          <w:szCs w:val="28"/>
        </w:rPr>
        <w:t>上</w:t>
      </w:r>
      <w:r>
        <w:rPr>
          <w:rFonts w:hint="eastAsia" w:ascii="宋体" w:hAnsi="宋体"/>
          <w:sz w:val="28"/>
          <w:szCs w:val="28"/>
        </w:rPr>
        <w:t>在成交通知书发出之日起</w:t>
      </w:r>
      <w:r>
        <w:rPr>
          <w:rFonts w:ascii="宋体" w:hAnsi="宋体"/>
          <w:sz w:val="28"/>
          <w:szCs w:val="28"/>
        </w:rPr>
        <w:t>5</w:t>
      </w:r>
      <w:r>
        <w:rPr>
          <w:rFonts w:hint="eastAsia" w:ascii="宋体" w:hAnsi="宋体"/>
          <w:sz w:val="28"/>
          <w:szCs w:val="28"/>
        </w:rPr>
        <w:t>个</w:t>
      </w:r>
      <w:r>
        <w:rPr>
          <w:rFonts w:ascii="宋体" w:hAnsi="宋体"/>
          <w:sz w:val="28"/>
          <w:szCs w:val="28"/>
        </w:rPr>
        <w:t>工作日</w:t>
      </w:r>
      <w:r>
        <w:rPr>
          <w:rFonts w:hint="eastAsia" w:ascii="宋体" w:hAnsi="宋体"/>
          <w:sz w:val="28"/>
          <w:szCs w:val="28"/>
        </w:rPr>
        <w:t>内与成交供应商签订采购合同。因成交供应商的原因</w:t>
      </w:r>
      <w:r>
        <w:rPr>
          <w:rFonts w:ascii="宋体" w:hAnsi="宋体"/>
          <w:sz w:val="28"/>
          <w:szCs w:val="28"/>
        </w:rPr>
        <w:t>在</w:t>
      </w:r>
      <w:r>
        <w:rPr>
          <w:rFonts w:hint="eastAsia" w:ascii="宋体" w:hAnsi="宋体"/>
          <w:sz w:val="28"/>
          <w:szCs w:val="28"/>
        </w:rPr>
        <w:t>成交通知书发出之日起</w:t>
      </w:r>
      <w:r>
        <w:rPr>
          <w:rFonts w:ascii="宋体" w:hAnsi="宋体"/>
          <w:sz w:val="28"/>
          <w:szCs w:val="28"/>
        </w:rPr>
        <w:t>30日</w:t>
      </w:r>
      <w:r>
        <w:rPr>
          <w:rFonts w:hint="eastAsia" w:ascii="宋体" w:hAnsi="宋体"/>
          <w:sz w:val="28"/>
          <w:szCs w:val="28"/>
        </w:rPr>
        <w:t>内未与采购人签订采购合同或者成交供应商拒绝与采购人签订合同的，采购人可以按照评审报告推荐的中标候选人名单排序，确定下一候选人为成交供应商，也可以重新开展政府采购活动。</w:t>
      </w:r>
    </w:p>
    <w:p>
      <w:pPr>
        <w:widowControl w:val="0"/>
        <w:numPr>
          <w:ilvl w:val="0"/>
          <w:numId w:val="27"/>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采购人不得向</w:t>
      </w:r>
      <w:r>
        <w:rPr>
          <w:rFonts w:ascii="宋体" w:hAnsi="宋体"/>
          <w:sz w:val="28"/>
          <w:szCs w:val="28"/>
        </w:rPr>
        <w:t>成交</w:t>
      </w:r>
      <w:r>
        <w:rPr>
          <w:rFonts w:hint="eastAsia" w:ascii="宋体" w:hAnsi="宋体"/>
          <w:sz w:val="28"/>
          <w:szCs w:val="28"/>
        </w:rPr>
        <w:t>供应商提出任何不合理的要求作为签订合同的条件，不得与</w:t>
      </w:r>
      <w:r>
        <w:rPr>
          <w:rFonts w:ascii="宋体" w:hAnsi="宋体"/>
          <w:sz w:val="28"/>
          <w:szCs w:val="28"/>
        </w:rPr>
        <w:t>成交</w:t>
      </w:r>
      <w:r>
        <w:rPr>
          <w:rFonts w:hint="eastAsia" w:ascii="宋体" w:hAnsi="宋体"/>
          <w:sz w:val="28"/>
          <w:szCs w:val="28"/>
        </w:rPr>
        <w:t>供应商私下订立背离合同实质性内容的任何协议，所签订的合同不得对磋商文件和</w:t>
      </w:r>
      <w:r>
        <w:rPr>
          <w:rFonts w:ascii="宋体" w:hAnsi="宋体"/>
          <w:sz w:val="28"/>
          <w:szCs w:val="28"/>
        </w:rPr>
        <w:t>成交</w:t>
      </w:r>
      <w:r>
        <w:rPr>
          <w:rFonts w:hint="eastAsia" w:ascii="宋体" w:hAnsi="宋体"/>
          <w:sz w:val="28"/>
          <w:szCs w:val="28"/>
        </w:rPr>
        <w:t>供应商施工响应文件作实质性修改。</w:t>
      </w:r>
    </w:p>
    <w:p>
      <w:pPr>
        <w:widowControl w:val="0"/>
        <w:numPr>
          <w:ilvl w:val="0"/>
          <w:numId w:val="27"/>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磋商文件</w:t>
      </w:r>
      <w:r>
        <w:rPr>
          <w:rFonts w:ascii="宋体" w:hAnsi="宋体"/>
          <w:sz w:val="28"/>
          <w:szCs w:val="28"/>
        </w:rPr>
        <w:t>、</w:t>
      </w:r>
      <w:r>
        <w:rPr>
          <w:rFonts w:hint="eastAsia" w:ascii="宋体" w:hAnsi="宋体"/>
          <w:sz w:val="28"/>
          <w:szCs w:val="28"/>
        </w:rPr>
        <w:t>施工响应文件</w:t>
      </w:r>
      <w:r>
        <w:rPr>
          <w:rFonts w:ascii="宋体" w:hAnsi="宋体"/>
          <w:sz w:val="28"/>
          <w:szCs w:val="28"/>
        </w:rPr>
        <w:t>、</w:t>
      </w:r>
      <w:r>
        <w:rPr>
          <w:rFonts w:hint="eastAsia" w:ascii="宋体" w:hAnsi="宋体"/>
          <w:sz w:val="28"/>
          <w:szCs w:val="28"/>
        </w:rPr>
        <w:t>成交</w:t>
      </w:r>
      <w:r>
        <w:rPr>
          <w:rFonts w:ascii="宋体" w:hAnsi="宋体"/>
          <w:sz w:val="28"/>
          <w:szCs w:val="28"/>
        </w:rPr>
        <w:t>通知书</w:t>
      </w:r>
      <w:r>
        <w:rPr>
          <w:rFonts w:hint="eastAsia" w:ascii="宋体" w:hAnsi="宋体"/>
          <w:sz w:val="28"/>
          <w:szCs w:val="28"/>
        </w:rPr>
        <w:t>等一切与本项目评审结果有关且经责任主体确认的资料均为合同的有效组成部分。</w:t>
      </w:r>
    </w:p>
    <w:p>
      <w:pPr>
        <w:widowControl w:val="0"/>
        <w:numPr>
          <w:ilvl w:val="0"/>
          <w:numId w:val="27"/>
        </w:numPr>
        <w:tabs>
          <w:tab w:val="left" w:pos="1134"/>
        </w:tabs>
        <w:spacing w:line="360" w:lineRule="auto"/>
        <w:ind w:left="0" w:firstLine="565" w:firstLineChars="202"/>
        <w:jc w:val="both"/>
        <w:rPr>
          <w:rFonts w:ascii="宋体" w:hAnsi="宋体"/>
          <w:sz w:val="28"/>
          <w:szCs w:val="28"/>
        </w:rPr>
      </w:pPr>
      <w:r>
        <w:rPr>
          <w:rFonts w:ascii="宋体" w:hAnsi="宋体"/>
          <w:sz w:val="28"/>
          <w:szCs w:val="28"/>
        </w:rPr>
        <w:t>询问或者质疑事项可能影响成交结果的，采购人应当暂停签订合同，已经签订合同的，应当中止履行合同。</w:t>
      </w:r>
    </w:p>
    <w:p>
      <w:pPr>
        <w:pStyle w:val="5"/>
        <w:rPr>
          <w:color w:val="auto"/>
        </w:rPr>
      </w:pPr>
      <w:bookmarkStart w:id="43" w:name="_Toc217446066"/>
      <w:r>
        <w:rPr>
          <w:rFonts w:hint="eastAsia"/>
          <w:color w:val="auto"/>
        </w:rPr>
        <w:t>合同分包</w:t>
      </w:r>
      <w:bookmarkEnd w:id="43"/>
      <w:r>
        <w:rPr>
          <w:rFonts w:hint="eastAsia"/>
          <w:color w:val="auto"/>
        </w:rPr>
        <w:t>和转包</w:t>
      </w:r>
      <w:r>
        <w:rPr>
          <w:rFonts w:hint="eastAsia" w:ascii="仿宋_GB2312" w:eastAsia="仿宋_GB2312"/>
          <w:color w:val="auto"/>
        </w:rPr>
        <w:t>（实质性要求）</w:t>
      </w:r>
    </w:p>
    <w:p>
      <w:pPr>
        <w:widowControl w:val="0"/>
        <w:numPr>
          <w:ilvl w:val="0"/>
          <w:numId w:val="28"/>
        </w:numPr>
        <w:tabs>
          <w:tab w:val="left" w:pos="1134"/>
        </w:tabs>
        <w:spacing w:line="360" w:lineRule="auto"/>
        <w:ind w:left="0" w:firstLine="567"/>
        <w:jc w:val="both"/>
        <w:rPr>
          <w:rFonts w:ascii="宋体" w:hAnsi="宋体"/>
          <w:sz w:val="28"/>
          <w:szCs w:val="28"/>
        </w:rPr>
      </w:pPr>
      <w:r>
        <w:rPr>
          <w:rFonts w:hint="eastAsia" w:ascii="宋体" w:hAnsi="宋体"/>
          <w:sz w:val="28"/>
          <w:szCs w:val="28"/>
        </w:rPr>
        <w:t>合同分包</w:t>
      </w:r>
    </w:p>
    <w:p>
      <w:pPr>
        <w:spacing w:line="360" w:lineRule="auto"/>
        <w:ind w:firstLine="560" w:firstLineChars="200"/>
        <w:rPr>
          <w:rFonts w:ascii="宋体" w:hAnsi="宋体"/>
          <w:sz w:val="28"/>
          <w:szCs w:val="28"/>
        </w:rPr>
      </w:pPr>
      <w:r>
        <w:rPr>
          <w:rFonts w:hint="eastAsia" w:ascii="宋体" w:hAnsi="宋体"/>
          <w:sz w:val="28"/>
          <w:szCs w:val="28"/>
        </w:rPr>
        <w:t>本项目不允许分包。</w:t>
      </w:r>
    </w:p>
    <w:p>
      <w:pPr>
        <w:widowControl w:val="0"/>
        <w:numPr>
          <w:ilvl w:val="0"/>
          <w:numId w:val="28"/>
        </w:numPr>
        <w:tabs>
          <w:tab w:val="left" w:pos="1134"/>
        </w:tabs>
        <w:spacing w:line="360" w:lineRule="auto"/>
        <w:ind w:left="0" w:firstLine="567"/>
        <w:jc w:val="both"/>
        <w:rPr>
          <w:rFonts w:ascii="宋体" w:hAnsi="宋体"/>
          <w:sz w:val="28"/>
          <w:szCs w:val="28"/>
        </w:rPr>
      </w:pPr>
      <w:r>
        <w:rPr>
          <w:rFonts w:hint="eastAsia" w:ascii="宋体" w:hAnsi="宋体"/>
          <w:sz w:val="28"/>
          <w:szCs w:val="28"/>
        </w:rPr>
        <w:t>合同转包</w:t>
      </w:r>
    </w:p>
    <w:p>
      <w:pPr>
        <w:pStyle w:val="82"/>
        <w:widowControl w:val="0"/>
        <w:numPr>
          <w:ilvl w:val="0"/>
          <w:numId w:val="29"/>
        </w:numPr>
        <w:tabs>
          <w:tab w:val="left" w:pos="1134"/>
        </w:tabs>
        <w:spacing w:after="200" w:line="360" w:lineRule="auto"/>
        <w:ind w:left="0" w:firstLine="560" w:firstLineChars="0"/>
        <w:jc w:val="both"/>
        <w:rPr>
          <w:rFonts w:ascii="宋体" w:hAnsi="宋体" w:eastAsia="宋体"/>
          <w:bCs/>
          <w:sz w:val="28"/>
          <w:szCs w:val="28"/>
        </w:rPr>
      </w:pPr>
      <w:r>
        <w:rPr>
          <w:rFonts w:hint="eastAsia" w:ascii="宋体" w:hAnsi="宋体" w:eastAsia="宋体"/>
          <w:bCs/>
          <w:sz w:val="28"/>
          <w:szCs w:val="28"/>
        </w:rPr>
        <w:t>严禁成交供应商将本项目转包。本项目所称转包，是指</w:t>
      </w:r>
      <w:r>
        <w:rPr>
          <w:rFonts w:ascii="宋体" w:hAnsi="宋体" w:eastAsia="宋体"/>
          <w:bCs/>
          <w:sz w:val="28"/>
          <w:szCs w:val="28"/>
        </w:rPr>
        <w:t>将本项目转给他人或者将本项目全部肢解以后以分包的名义分别转给他人</w:t>
      </w:r>
      <w:r>
        <w:rPr>
          <w:rFonts w:hint="eastAsia" w:ascii="宋体" w:hAnsi="宋体" w:eastAsia="宋体"/>
          <w:bCs/>
          <w:sz w:val="28"/>
          <w:szCs w:val="28"/>
        </w:rPr>
        <w:t>的</w:t>
      </w:r>
      <w:r>
        <w:rPr>
          <w:rFonts w:ascii="宋体" w:hAnsi="宋体" w:eastAsia="宋体"/>
          <w:bCs/>
          <w:sz w:val="28"/>
          <w:szCs w:val="28"/>
        </w:rPr>
        <w:t>行为。</w:t>
      </w:r>
    </w:p>
    <w:p>
      <w:pPr>
        <w:pStyle w:val="82"/>
        <w:widowControl w:val="0"/>
        <w:numPr>
          <w:ilvl w:val="0"/>
          <w:numId w:val="29"/>
        </w:numPr>
        <w:tabs>
          <w:tab w:val="left" w:pos="1134"/>
        </w:tabs>
        <w:spacing w:after="200" w:line="360" w:lineRule="auto"/>
        <w:ind w:left="0" w:firstLine="560" w:firstLineChars="0"/>
        <w:jc w:val="both"/>
        <w:rPr>
          <w:rFonts w:ascii="宋体" w:hAnsi="宋体" w:eastAsia="宋体"/>
          <w:bCs/>
          <w:sz w:val="28"/>
          <w:szCs w:val="28"/>
        </w:rPr>
      </w:pPr>
      <w:r>
        <w:rPr>
          <w:rFonts w:hint="eastAsia" w:ascii="宋体" w:hAnsi="宋体" w:eastAsia="宋体"/>
          <w:bCs/>
          <w:sz w:val="28"/>
          <w:szCs w:val="28"/>
        </w:rPr>
        <w:t>成交供应商转包的，视同拒绝履行政府采购合同，将依法追究法律责任。</w:t>
      </w:r>
    </w:p>
    <w:p>
      <w:pPr>
        <w:pStyle w:val="5"/>
        <w:rPr>
          <w:color w:val="auto"/>
        </w:rPr>
      </w:pPr>
      <w:bookmarkStart w:id="44" w:name="_Toc217446067"/>
      <w:r>
        <w:rPr>
          <w:rFonts w:hint="eastAsia"/>
          <w:color w:val="auto"/>
        </w:rPr>
        <w:t>采购人增加合同标的的权</w:t>
      </w:r>
      <w:bookmarkEnd w:id="44"/>
      <w:r>
        <w:rPr>
          <w:rFonts w:hint="eastAsia"/>
          <w:color w:val="auto"/>
        </w:rPr>
        <w:t>利</w:t>
      </w:r>
    </w:p>
    <w:p>
      <w:pPr>
        <w:spacing w:line="360" w:lineRule="auto"/>
        <w:ind w:firstLine="567"/>
        <w:rPr>
          <w:rFonts w:ascii="宋体" w:hAnsi="宋体"/>
          <w:sz w:val="28"/>
          <w:szCs w:val="28"/>
        </w:rPr>
      </w:pPr>
      <w:r>
        <w:rPr>
          <w:rFonts w:hint="eastAsia" w:ascii="宋体" w:hAnsi="宋体"/>
          <w:sz w:val="28"/>
          <w:szCs w:val="28"/>
        </w:rPr>
        <w:t>采购合同履行过程中，采购人需要追加与合同标的相同的货物、工程或者服务的，在不改变合同其他条款的前提下，可以与成交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p>
    <w:p>
      <w:pPr>
        <w:pStyle w:val="5"/>
        <w:rPr>
          <w:color w:val="auto"/>
        </w:rPr>
      </w:pPr>
      <w:bookmarkStart w:id="45" w:name="_Toc217446068"/>
      <w:r>
        <w:rPr>
          <w:rFonts w:hint="eastAsia"/>
          <w:color w:val="auto"/>
        </w:rPr>
        <w:t>履约保证金</w:t>
      </w:r>
      <w:bookmarkEnd w:id="45"/>
      <w:r>
        <w:rPr>
          <w:rFonts w:hint="eastAsia" w:ascii="仿宋_GB2312" w:eastAsia="仿宋_GB2312"/>
          <w:color w:val="auto"/>
        </w:rPr>
        <w:t>（实质性要求）</w:t>
      </w:r>
    </w:p>
    <w:p>
      <w:pPr>
        <w:spacing w:line="360" w:lineRule="auto"/>
        <w:ind w:firstLine="495"/>
        <w:jc w:val="both"/>
        <w:rPr>
          <w:rFonts w:ascii="宋体" w:hAnsi="宋体"/>
          <w:sz w:val="28"/>
          <w:szCs w:val="28"/>
        </w:rPr>
      </w:pPr>
      <w:r>
        <w:rPr>
          <w:rFonts w:hint="eastAsia" w:ascii="宋体" w:hAnsi="宋体"/>
          <w:sz w:val="28"/>
          <w:szCs w:val="28"/>
        </w:rPr>
        <w:t>本项目不收取履约保证金。</w:t>
      </w:r>
    </w:p>
    <w:p>
      <w:pPr>
        <w:pStyle w:val="5"/>
        <w:rPr>
          <w:color w:val="auto"/>
        </w:rPr>
      </w:pPr>
      <w:r>
        <w:rPr>
          <w:color w:val="auto"/>
        </w:rPr>
        <w:t>合同公告</w:t>
      </w:r>
    </w:p>
    <w:p>
      <w:pPr>
        <w:spacing w:line="360" w:lineRule="auto"/>
        <w:ind w:firstLine="560" w:firstLineChars="200"/>
        <w:jc w:val="both"/>
        <w:rPr>
          <w:rFonts w:ascii="宋体" w:hAnsi="宋体"/>
          <w:sz w:val="28"/>
          <w:szCs w:val="28"/>
        </w:rPr>
      </w:pPr>
      <w:r>
        <w:rPr>
          <w:rFonts w:hint="eastAsia" w:ascii="宋体" w:hAnsi="宋体"/>
          <w:sz w:val="28"/>
          <w:szCs w:val="28"/>
        </w:rPr>
        <w:t>采购人应当自政府采购合同签订之日起</w:t>
      </w:r>
      <w:r>
        <w:rPr>
          <w:rFonts w:ascii="宋体" w:hAnsi="宋体"/>
          <w:sz w:val="28"/>
          <w:szCs w:val="28"/>
        </w:rPr>
        <w:t>2个工作日内，</w:t>
      </w:r>
      <w:r>
        <w:rPr>
          <w:rFonts w:hint="eastAsia" w:ascii="宋体" w:hAnsi="宋体"/>
          <w:sz w:val="28"/>
          <w:szCs w:val="28"/>
        </w:rPr>
        <w:t>将政府采购合同在四川政府采购网公告，但政府采购合同中涉及国家秘密、商业秘密的内容除外。</w:t>
      </w:r>
    </w:p>
    <w:p>
      <w:pPr>
        <w:pStyle w:val="5"/>
        <w:rPr>
          <w:color w:val="auto"/>
        </w:rPr>
      </w:pPr>
      <w:r>
        <w:rPr>
          <w:color w:val="auto"/>
        </w:rPr>
        <w:t>合同备案</w:t>
      </w:r>
    </w:p>
    <w:p>
      <w:pPr>
        <w:spacing w:line="360" w:lineRule="auto"/>
        <w:ind w:firstLine="560" w:firstLineChars="200"/>
        <w:rPr>
          <w:rFonts w:ascii="宋体" w:hAnsi="宋体"/>
          <w:sz w:val="28"/>
          <w:szCs w:val="28"/>
        </w:rPr>
      </w:pPr>
      <w:r>
        <w:rPr>
          <w:rFonts w:hint="eastAsia" w:ascii="宋体" w:hAnsi="宋体"/>
          <w:sz w:val="28"/>
          <w:szCs w:val="28"/>
        </w:rPr>
        <w:t>疫情防控期间，采购人原则</w:t>
      </w:r>
      <w:r>
        <w:rPr>
          <w:rFonts w:ascii="宋体" w:hAnsi="宋体"/>
          <w:sz w:val="28"/>
          <w:szCs w:val="28"/>
        </w:rPr>
        <w:t>上在5个工作日内</w:t>
      </w:r>
      <w:r>
        <w:rPr>
          <w:rFonts w:hint="eastAsia" w:ascii="宋体" w:hAnsi="宋体"/>
          <w:sz w:val="28"/>
          <w:szCs w:val="28"/>
        </w:rPr>
        <w:t>与供应商</w:t>
      </w:r>
      <w:r>
        <w:rPr>
          <w:rFonts w:ascii="宋体" w:hAnsi="宋体"/>
          <w:sz w:val="28"/>
          <w:szCs w:val="28"/>
        </w:rPr>
        <w:t>签订政府采购合同</w:t>
      </w:r>
      <w:r>
        <w:rPr>
          <w:rFonts w:hint="eastAsia" w:ascii="宋体" w:hAnsi="宋体"/>
          <w:sz w:val="28"/>
          <w:szCs w:val="28"/>
        </w:rPr>
        <w:t>及按成都高新区财政金融局的要求完成合同备案工作。</w:t>
      </w:r>
    </w:p>
    <w:bookmarkEnd w:id="42"/>
    <w:p>
      <w:pPr>
        <w:pStyle w:val="5"/>
        <w:rPr>
          <w:color w:val="auto"/>
        </w:rPr>
      </w:pPr>
      <w:bookmarkStart w:id="46" w:name="_Toc217446070"/>
      <w:r>
        <w:rPr>
          <w:rFonts w:hint="eastAsia" w:cs="宋体"/>
          <w:color w:val="auto"/>
        </w:rPr>
        <w:t>履行</w:t>
      </w:r>
      <w:r>
        <w:rPr>
          <w:rFonts w:hint="eastAsia"/>
          <w:color w:val="auto"/>
        </w:rPr>
        <w:t>合同</w:t>
      </w:r>
    </w:p>
    <w:p>
      <w:pPr>
        <w:widowControl w:val="0"/>
        <w:numPr>
          <w:ilvl w:val="0"/>
          <w:numId w:val="30"/>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合同一经签订，双方应严格履行合同规定的义务。</w:t>
      </w:r>
    </w:p>
    <w:p>
      <w:pPr>
        <w:widowControl w:val="0"/>
        <w:numPr>
          <w:ilvl w:val="0"/>
          <w:numId w:val="30"/>
        </w:numPr>
        <w:tabs>
          <w:tab w:val="left" w:pos="1134"/>
        </w:tabs>
        <w:spacing w:line="360" w:lineRule="auto"/>
        <w:ind w:left="0" w:firstLine="565" w:firstLineChars="202"/>
        <w:jc w:val="both"/>
      </w:pPr>
      <w:r>
        <w:rPr>
          <w:rFonts w:hint="eastAsia" w:ascii="宋体" w:hAnsi="宋体"/>
          <w:sz w:val="28"/>
          <w:szCs w:val="28"/>
        </w:rPr>
        <w:t>在合同履行过程中，如发生合同纠纷，合同双方应按照《中华人民</w:t>
      </w:r>
      <w:r>
        <w:rPr>
          <w:rFonts w:ascii="宋体" w:hAnsi="宋体"/>
          <w:sz w:val="28"/>
          <w:szCs w:val="28"/>
        </w:rPr>
        <w:t>共和国民法典</w:t>
      </w:r>
      <w:r>
        <w:rPr>
          <w:rFonts w:hint="eastAsia" w:ascii="宋体" w:hAnsi="宋体"/>
          <w:sz w:val="28"/>
          <w:szCs w:val="28"/>
        </w:rPr>
        <w:t>》及合同条款的有关规定进行处理。</w:t>
      </w:r>
    </w:p>
    <w:p>
      <w:pPr>
        <w:pStyle w:val="5"/>
        <w:rPr>
          <w:color w:val="auto"/>
        </w:rPr>
      </w:pPr>
      <w:r>
        <w:rPr>
          <w:rFonts w:hint="eastAsia"/>
          <w:color w:val="auto"/>
        </w:rPr>
        <w:t>验收</w:t>
      </w:r>
      <w:bookmarkEnd w:id="46"/>
    </w:p>
    <w:p>
      <w:pPr>
        <w:pStyle w:val="13"/>
        <w:ind w:firstLine="560"/>
        <w:rPr>
          <w:rFonts w:ascii="宋体" w:hAnsi="宋体" w:eastAsia="宋体"/>
          <w:sz w:val="28"/>
          <w:szCs w:val="28"/>
        </w:rPr>
      </w:pPr>
      <w:r>
        <w:rPr>
          <w:rFonts w:hint="eastAsia" w:ascii="宋体" w:hAnsi="宋体" w:eastAsia="宋体"/>
          <w:sz w:val="28"/>
          <w:szCs w:val="28"/>
        </w:rPr>
        <w:t>采购人严格按照国家相关法律法规的要求组织验收或考核。</w:t>
      </w:r>
    </w:p>
    <w:p>
      <w:pPr>
        <w:pStyle w:val="5"/>
        <w:rPr>
          <w:color w:val="auto"/>
        </w:rPr>
      </w:pPr>
      <w:r>
        <w:rPr>
          <w:rFonts w:hint="eastAsia"/>
          <w:color w:val="auto"/>
        </w:rPr>
        <w:t>资金支付</w:t>
      </w:r>
    </w:p>
    <w:p>
      <w:pPr>
        <w:pStyle w:val="27"/>
        <w:spacing w:line="360" w:lineRule="auto"/>
        <w:ind w:firstLine="565" w:firstLineChars="202"/>
        <w:rPr>
          <w:rFonts w:ascii="宋体" w:hAnsi="宋体"/>
          <w:sz w:val="28"/>
          <w:szCs w:val="28"/>
        </w:rPr>
      </w:pPr>
      <w:r>
        <w:rPr>
          <w:rFonts w:hint="eastAsia" w:ascii="宋体" w:hAnsi="宋体"/>
          <w:sz w:val="28"/>
          <w:szCs w:val="28"/>
        </w:rPr>
        <w:t>采购人按财政部门得有关规定及采购合同的约定进行支付。</w:t>
      </w:r>
    </w:p>
    <w:p>
      <w:pPr>
        <w:pStyle w:val="4"/>
      </w:pPr>
      <w:bookmarkStart w:id="47" w:name="_Toc6694"/>
      <w:r>
        <w:rPr>
          <w:rFonts w:hint="eastAsia"/>
        </w:rPr>
        <w:t>竞争性磋商工作纪律及要求</w:t>
      </w:r>
      <w:bookmarkEnd w:id="47"/>
    </w:p>
    <w:p>
      <w:pPr>
        <w:pStyle w:val="5"/>
        <w:ind w:left="0" w:firstLine="0"/>
        <w:rPr>
          <w:color w:val="auto"/>
        </w:rPr>
      </w:pPr>
      <w:bookmarkStart w:id="48" w:name="_Toc217446075"/>
      <w:r>
        <w:rPr>
          <w:rFonts w:hint="eastAsia"/>
          <w:color w:val="auto"/>
        </w:rPr>
        <w:t>供应商不得具有的情形</w:t>
      </w:r>
      <w:bookmarkEnd w:id="48"/>
    </w:p>
    <w:p>
      <w:pPr>
        <w:pStyle w:val="13"/>
        <w:ind w:firstLine="560"/>
        <w:rPr>
          <w:rFonts w:ascii="宋体" w:hAnsi="宋体" w:eastAsia="宋体"/>
          <w:sz w:val="28"/>
          <w:szCs w:val="28"/>
        </w:rPr>
      </w:pPr>
      <w:r>
        <w:rPr>
          <w:rFonts w:hint="eastAsia" w:ascii="宋体" w:hAnsi="宋体" w:eastAsia="宋体"/>
          <w:sz w:val="28"/>
          <w:szCs w:val="28"/>
        </w:rPr>
        <w:t>供应商参加磋商不得有下列情形：</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有下列情形之一的，视为供应商串通参加本次竞争性磋商采购活动：</w:t>
      </w:r>
    </w:p>
    <w:p>
      <w:pPr>
        <w:tabs>
          <w:tab w:val="left" w:pos="1134"/>
        </w:tabs>
        <w:spacing w:line="360" w:lineRule="auto"/>
        <w:ind w:left="538"/>
        <w:jc w:val="both"/>
        <w:rPr>
          <w:rFonts w:ascii="宋体" w:hAnsi="宋体"/>
          <w:sz w:val="28"/>
          <w:szCs w:val="28"/>
        </w:rPr>
      </w:pPr>
      <w:r>
        <w:rPr>
          <w:rFonts w:hint="eastAsia" w:ascii="宋体" w:hAnsi="宋体"/>
          <w:sz w:val="28"/>
          <w:szCs w:val="28"/>
        </w:rPr>
        <w:t>（一）不同供应商的施工响应文件由同一单位或者个人编制；</w:t>
      </w:r>
    </w:p>
    <w:p>
      <w:pPr>
        <w:tabs>
          <w:tab w:val="left" w:pos="1134"/>
        </w:tabs>
        <w:spacing w:line="360" w:lineRule="auto"/>
        <w:ind w:left="538"/>
        <w:jc w:val="both"/>
        <w:rPr>
          <w:rFonts w:ascii="宋体" w:hAnsi="宋体"/>
          <w:sz w:val="28"/>
          <w:szCs w:val="28"/>
        </w:rPr>
      </w:pPr>
      <w:r>
        <w:rPr>
          <w:rFonts w:hint="eastAsia" w:ascii="宋体" w:hAnsi="宋体"/>
          <w:sz w:val="28"/>
          <w:szCs w:val="28"/>
        </w:rPr>
        <w:t>（二）不同供应商委托同一单位或者个人办理磋商事宜；</w:t>
      </w:r>
    </w:p>
    <w:p>
      <w:pPr>
        <w:tabs>
          <w:tab w:val="left" w:pos="1134"/>
        </w:tabs>
        <w:spacing w:line="360" w:lineRule="auto"/>
        <w:ind w:firstLine="537" w:firstLineChars="192"/>
        <w:jc w:val="both"/>
        <w:rPr>
          <w:rFonts w:ascii="宋体" w:hAnsi="宋体"/>
          <w:sz w:val="28"/>
          <w:szCs w:val="28"/>
        </w:rPr>
      </w:pPr>
      <w:r>
        <w:rPr>
          <w:rFonts w:hint="eastAsia" w:ascii="宋体" w:hAnsi="宋体"/>
          <w:sz w:val="28"/>
          <w:szCs w:val="28"/>
        </w:rPr>
        <w:t>（三）不同供应商的施工响应文件载明的项目管理成员或者联系人员为同一人；</w:t>
      </w:r>
    </w:p>
    <w:p>
      <w:pPr>
        <w:tabs>
          <w:tab w:val="left" w:pos="1134"/>
        </w:tabs>
        <w:spacing w:line="360" w:lineRule="auto"/>
        <w:ind w:left="538"/>
        <w:jc w:val="both"/>
        <w:rPr>
          <w:rFonts w:ascii="宋体" w:hAnsi="宋体"/>
          <w:sz w:val="28"/>
          <w:szCs w:val="28"/>
        </w:rPr>
      </w:pPr>
      <w:r>
        <w:rPr>
          <w:rFonts w:hint="eastAsia" w:ascii="宋体" w:hAnsi="宋体"/>
          <w:sz w:val="28"/>
          <w:szCs w:val="28"/>
        </w:rPr>
        <w:t>（四）不同供应商的施工响应文件异常一致或者最后报价呈规律性差异；</w:t>
      </w:r>
    </w:p>
    <w:p>
      <w:pPr>
        <w:tabs>
          <w:tab w:val="left" w:pos="1134"/>
        </w:tabs>
        <w:spacing w:line="360" w:lineRule="auto"/>
        <w:ind w:left="538"/>
        <w:jc w:val="both"/>
        <w:rPr>
          <w:rFonts w:ascii="宋体" w:hAnsi="宋体"/>
          <w:sz w:val="28"/>
          <w:szCs w:val="28"/>
        </w:rPr>
      </w:pPr>
      <w:r>
        <w:rPr>
          <w:rFonts w:hint="eastAsia" w:ascii="宋体" w:hAnsi="宋体"/>
          <w:sz w:val="28"/>
          <w:szCs w:val="28"/>
        </w:rPr>
        <w:t>（五）不同供应商的施工响应文件相互混装；</w:t>
      </w:r>
    </w:p>
    <w:p>
      <w:pPr>
        <w:tabs>
          <w:tab w:val="left" w:pos="1134"/>
        </w:tabs>
        <w:spacing w:line="360" w:lineRule="auto"/>
        <w:ind w:left="538"/>
        <w:jc w:val="both"/>
        <w:rPr>
          <w:rFonts w:ascii="宋体" w:hAnsi="宋体"/>
          <w:sz w:val="28"/>
          <w:szCs w:val="28"/>
        </w:rPr>
      </w:pPr>
      <w:r>
        <w:rPr>
          <w:rFonts w:hint="eastAsia" w:ascii="宋体" w:hAnsi="宋体"/>
          <w:sz w:val="28"/>
          <w:szCs w:val="28"/>
        </w:rPr>
        <w:t>（六）不同供应商的磋商保证金从同一单位或者个人的账户转出；</w:t>
      </w:r>
      <w:r>
        <w:rPr>
          <w:rFonts w:ascii="宋体" w:hAnsi="宋体"/>
          <w:sz w:val="28"/>
          <w:szCs w:val="28"/>
        </w:rPr>
        <w:t xml:space="preserve"> </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提供虚假材料谋取成交；</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采取不正当手段诋毁、排挤其他供应商；</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与采购人或高新区采购中心、其他供应商恶意串通；</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向采购人或高新区采购中心、磋商小组成员行贿或者提供其他不正当利益；</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成交后无正当理由拒不与采购人签订政府采购合同；</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未按照采购文件确定的事项签订政府采购合同；</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将政府采购合同转包或者违规分包；</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提供假冒伪劣产品；</w:t>
      </w:r>
    </w:p>
    <w:p>
      <w:pPr>
        <w:widowControl w:val="0"/>
        <w:numPr>
          <w:ilvl w:val="1"/>
          <w:numId w:val="31"/>
        </w:numPr>
        <w:tabs>
          <w:tab w:val="left" w:pos="1134"/>
        </w:tabs>
        <w:spacing w:line="360" w:lineRule="auto"/>
        <w:ind w:left="0" w:firstLine="567"/>
        <w:jc w:val="both"/>
        <w:rPr>
          <w:rFonts w:ascii="宋体" w:hAnsi="宋体"/>
          <w:sz w:val="28"/>
          <w:szCs w:val="28"/>
        </w:rPr>
      </w:pPr>
      <w:r>
        <w:rPr>
          <w:rFonts w:hint="eastAsia" w:ascii="宋体" w:hAnsi="宋体"/>
          <w:sz w:val="28"/>
          <w:szCs w:val="28"/>
        </w:rPr>
        <w:t>擅自变更、中止或者终止政府采购合同；</w:t>
      </w:r>
    </w:p>
    <w:p>
      <w:pPr>
        <w:widowControl w:val="0"/>
        <w:numPr>
          <w:ilvl w:val="1"/>
          <w:numId w:val="31"/>
        </w:numPr>
        <w:tabs>
          <w:tab w:val="left" w:pos="1418"/>
        </w:tabs>
        <w:spacing w:line="360" w:lineRule="auto"/>
        <w:ind w:left="0" w:firstLine="567"/>
        <w:jc w:val="both"/>
        <w:rPr>
          <w:rFonts w:ascii="宋体" w:hAnsi="宋体"/>
          <w:sz w:val="28"/>
          <w:szCs w:val="28"/>
        </w:rPr>
      </w:pPr>
      <w:r>
        <w:rPr>
          <w:rFonts w:hint="eastAsia" w:ascii="宋体" w:hAnsi="宋体"/>
          <w:sz w:val="28"/>
          <w:szCs w:val="28"/>
        </w:rPr>
        <w:t>被列入失信被执行人、重大税收违法案件当事人名单、政府采购严重违法失信行为记录名单，参加政府采购活动前三年内，在经营活动中有重大违法记录；</w:t>
      </w:r>
    </w:p>
    <w:p>
      <w:pPr>
        <w:widowControl w:val="0"/>
        <w:numPr>
          <w:ilvl w:val="1"/>
          <w:numId w:val="31"/>
        </w:numPr>
        <w:tabs>
          <w:tab w:val="left" w:pos="1134"/>
          <w:tab w:val="left" w:pos="1418"/>
        </w:tabs>
        <w:spacing w:line="360" w:lineRule="auto"/>
        <w:ind w:left="0" w:firstLine="567"/>
        <w:jc w:val="both"/>
        <w:rPr>
          <w:rFonts w:ascii="宋体" w:hAnsi="宋体"/>
          <w:sz w:val="28"/>
          <w:szCs w:val="28"/>
        </w:rPr>
      </w:pPr>
      <w:r>
        <w:rPr>
          <w:rFonts w:hint="eastAsia" w:ascii="宋体" w:hAnsi="宋体"/>
          <w:sz w:val="28"/>
          <w:szCs w:val="28"/>
        </w:rPr>
        <w:t>在行贿犯罪信息查询期限内，根据中国裁判文书网（http://wenshu.court.gov.cn）查询结果供应商及其现任法定代表人、主要负责人有行贿犯罪记录；</w:t>
      </w:r>
    </w:p>
    <w:p>
      <w:pPr>
        <w:widowControl w:val="0"/>
        <w:numPr>
          <w:ilvl w:val="1"/>
          <w:numId w:val="31"/>
        </w:numPr>
        <w:tabs>
          <w:tab w:val="left" w:pos="1134"/>
          <w:tab w:val="left" w:pos="1418"/>
        </w:tabs>
        <w:spacing w:line="360" w:lineRule="auto"/>
        <w:ind w:left="0" w:firstLine="567"/>
        <w:jc w:val="both"/>
        <w:rPr>
          <w:rFonts w:ascii="宋体" w:hAnsi="宋体"/>
          <w:sz w:val="28"/>
          <w:szCs w:val="28"/>
        </w:rPr>
      </w:pPr>
      <w:r>
        <w:rPr>
          <w:rFonts w:hint="eastAsia" w:ascii="宋体" w:hAnsi="宋体"/>
          <w:sz w:val="28"/>
          <w:szCs w:val="28"/>
        </w:rPr>
        <w:t>处于被行政部门禁止参与政府采购活动的期限内；</w:t>
      </w:r>
    </w:p>
    <w:p>
      <w:pPr>
        <w:widowControl w:val="0"/>
        <w:numPr>
          <w:ilvl w:val="1"/>
          <w:numId w:val="31"/>
        </w:numPr>
        <w:tabs>
          <w:tab w:val="left" w:pos="1134"/>
          <w:tab w:val="left" w:pos="1418"/>
        </w:tabs>
        <w:spacing w:line="360" w:lineRule="auto"/>
        <w:ind w:left="0" w:firstLine="567"/>
        <w:jc w:val="both"/>
        <w:rPr>
          <w:rFonts w:ascii="宋体" w:hAnsi="宋体"/>
          <w:sz w:val="28"/>
          <w:szCs w:val="28"/>
        </w:rPr>
      </w:pPr>
      <w:r>
        <w:rPr>
          <w:rFonts w:hint="eastAsia" w:ascii="宋体" w:hAnsi="宋体"/>
          <w:sz w:val="28"/>
          <w:szCs w:val="28"/>
        </w:rPr>
        <w:t>拒绝有关部门的监督检查或者向监督检查部门提供虚假情况；</w:t>
      </w:r>
    </w:p>
    <w:p>
      <w:pPr>
        <w:widowControl w:val="0"/>
        <w:numPr>
          <w:ilvl w:val="1"/>
          <w:numId w:val="31"/>
        </w:numPr>
        <w:tabs>
          <w:tab w:val="left" w:pos="1134"/>
          <w:tab w:val="left" w:pos="1418"/>
        </w:tabs>
        <w:spacing w:line="360" w:lineRule="auto"/>
        <w:ind w:left="0" w:firstLine="567"/>
        <w:jc w:val="both"/>
        <w:rPr>
          <w:rFonts w:ascii="宋体" w:hAnsi="宋体"/>
          <w:sz w:val="28"/>
          <w:szCs w:val="28"/>
        </w:rPr>
      </w:pPr>
      <w:r>
        <w:rPr>
          <w:rFonts w:hint="eastAsia" w:ascii="宋体" w:hAnsi="宋体"/>
          <w:sz w:val="28"/>
          <w:szCs w:val="28"/>
        </w:rPr>
        <w:t>法律法规规定的其他情形。</w:t>
      </w:r>
    </w:p>
    <w:p>
      <w:pPr>
        <w:pStyle w:val="13"/>
        <w:ind w:firstLine="565" w:firstLineChars="202"/>
        <w:rPr>
          <w:rFonts w:ascii="宋体" w:hAnsi="宋体" w:eastAsia="宋体"/>
          <w:sz w:val="28"/>
          <w:szCs w:val="28"/>
        </w:rPr>
      </w:pPr>
      <w:r>
        <w:rPr>
          <w:rFonts w:hint="eastAsia" w:ascii="宋体" w:hAnsi="宋体" w:eastAsia="宋体"/>
          <w:sz w:val="28"/>
          <w:szCs w:val="28"/>
        </w:rPr>
        <w:t>供应商有上述情形的，按照规定追究法律责任，具备一至十四条情形之一的，同时将认定供应商施工响应文件无效或不确定其为成交供应商，或者取消成交资格或认定成交无效。</w:t>
      </w:r>
    </w:p>
    <w:p>
      <w:pPr>
        <w:pStyle w:val="5"/>
        <w:ind w:left="0" w:firstLine="0"/>
        <w:rPr>
          <w:color w:val="auto"/>
        </w:rPr>
      </w:pPr>
      <w:bookmarkStart w:id="49" w:name="_Toc314574786"/>
      <w:r>
        <w:rPr>
          <w:rFonts w:hint="eastAsia"/>
          <w:color w:val="auto"/>
        </w:rPr>
        <w:t>保密</w:t>
      </w:r>
      <w:bookmarkEnd w:id="49"/>
    </w:p>
    <w:p>
      <w:pPr>
        <w:pStyle w:val="13"/>
        <w:numPr>
          <w:ilvl w:val="0"/>
          <w:numId w:val="32"/>
        </w:numPr>
        <w:tabs>
          <w:tab w:val="left" w:pos="1134"/>
        </w:tabs>
        <w:ind w:left="0" w:firstLine="560" w:firstLineChars="0"/>
        <w:rPr>
          <w:rFonts w:ascii="宋体" w:hAnsi="宋体" w:eastAsia="宋体"/>
          <w:sz w:val="28"/>
          <w:szCs w:val="28"/>
        </w:rPr>
      </w:pPr>
      <w:r>
        <w:rPr>
          <w:rFonts w:hint="eastAsia" w:ascii="宋体" w:hAnsi="宋体" w:eastAsia="宋体"/>
          <w:sz w:val="28"/>
          <w:szCs w:val="28"/>
        </w:rPr>
        <w:t>不得透露有关潜在供应商的任何情况。</w:t>
      </w:r>
    </w:p>
    <w:p>
      <w:pPr>
        <w:pStyle w:val="13"/>
        <w:numPr>
          <w:ilvl w:val="0"/>
          <w:numId w:val="32"/>
        </w:numPr>
        <w:tabs>
          <w:tab w:val="left" w:pos="1134"/>
        </w:tabs>
        <w:ind w:left="0" w:firstLine="560" w:firstLineChars="0"/>
        <w:rPr>
          <w:rFonts w:ascii="宋体" w:hAnsi="宋体" w:eastAsia="宋体"/>
          <w:sz w:val="28"/>
          <w:szCs w:val="28"/>
        </w:rPr>
      </w:pPr>
      <w:r>
        <w:rPr>
          <w:rFonts w:hint="eastAsia" w:ascii="宋体" w:hAnsi="宋体" w:eastAsia="宋体"/>
          <w:sz w:val="28"/>
          <w:szCs w:val="28"/>
        </w:rPr>
        <w:t>有关施工响应文件的审查、澄清、评估和比较以及合同授予意向等情况都不得对外透露。</w:t>
      </w:r>
    </w:p>
    <w:p>
      <w:pPr>
        <w:pStyle w:val="5"/>
        <w:ind w:left="0" w:firstLine="0"/>
        <w:rPr>
          <w:color w:val="auto"/>
        </w:rPr>
      </w:pPr>
      <w:r>
        <w:rPr>
          <w:rFonts w:hint="eastAsia"/>
          <w:color w:val="auto"/>
        </w:rPr>
        <w:t>回避</w:t>
      </w:r>
    </w:p>
    <w:p>
      <w:pPr>
        <w:pStyle w:val="41"/>
        <w:spacing w:before="156" w:beforeAutospacing="0" w:after="156" w:afterAutospacing="0" w:line="360" w:lineRule="auto"/>
        <w:ind w:firstLine="565" w:firstLineChars="202"/>
        <w:jc w:val="both"/>
        <w:rPr>
          <w:rFonts w:cs="Helvetica"/>
          <w:sz w:val="28"/>
          <w:szCs w:val="28"/>
        </w:rPr>
      </w:pPr>
      <w:r>
        <w:rPr>
          <w:rFonts w:cs="Helvetica"/>
          <w:sz w:val="28"/>
          <w:szCs w:val="28"/>
        </w:rPr>
        <w:t>在政府采购活动中，采购人员</w:t>
      </w:r>
      <w:r>
        <w:rPr>
          <w:rFonts w:hint="eastAsia" w:cs="Helvetica"/>
          <w:sz w:val="28"/>
          <w:szCs w:val="28"/>
        </w:rPr>
        <w:t>（</w:t>
      </w:r>
      <w:r>
        <w:rPr>
          <w:sz w:val="28"/>
          <w:szCs w:val="28"/>
        </w:rPr>
        <w:t>在政府采购活动中需要依法回避的采购人员包括采购人内部负责采购项目的具体经办工作人员和直接分管采购项目的负责人，以及采购代理机构负责采购项目的具体经办工作人员和直接分管采购活动的负责人</w:t>
      </w:r>
      <w:r>
        <w:rPr>
          <w:rFonts w:hint="eastAsia" w:cs="Helvetica"/>
          <w:sz w:val="28"/>
          <w:szCs w:val="28"/>
        </w:rPr>
        <w:t>）</w:t>
      </w:r>
      <w:r>
        <w:rPr>
          <w:rFonts w:cs="Helvetica"/>
          <w:sz w:val="28"/>
          <w:szCs w:val="28"/>
        </w:rPr>
        <w:t>及相关人员与供应商有下列利害关系之一的，应当回避：</w:t>
      </w:r>
    </w:p>
    <w:p>
      <w:pPr>
        <w:pStyle w:val="41"/>
        <w:spacing w:before="156" w:beforeAutospacing="0" w:after="156" w:afterAutospacing="0" w:line="360" w:lineRule="auto"/>
        <w:ind w:firstLine="560" w:firstLineChars="200"/>
        <w:rPr>
          <w:rFonts w:cs="Helvetica"/>
          <w:sz w:val="28"/>
          <w:szCs w:val="28"/>
        </w:rPr>
      </w:pPr>
      <w:r>
        <w:rPr>
          <w:rFonts w:cs="Helvetica"/>
          <w:sz w:val="28"/>
          <w:szCs w:val="28"/>
        </w:rPr>
        <w:t>（一）参加采购活动前3年内与供应商存在劳动关系；</w:t>
      </w:r>
    </w:p>
    <w:p>
      <w:pPr>
        <w:pStyle w:val="41"/>
        <w:spacing w:before="156" w:beforeAutospacing="0" w:after="156" w:afterAutospacing="0" w:line="360" w:lineRule="auto"/>
        <w:rPr>
          <w:rFonts w:cs="Helvetica"/>
          <w:sz w:val="28"/>
          <w:szCs w:val="28"/>
        </w:rPr>
      </w:pPr>
      <w:r>
        <w:rPr>
          <w:rFonts w:cs="Helvetica"/>
          <w:sz w:val="28"/>
          <w:szCs w:val="28"/>
        </w:rPr>
        <w:t>　　（二）参加采购活动前3年内担任供应商的董事、监事；</w:t>
      </w:r>
    </w:p>
    <w:p>
      <w:pPr>
        <w:pStyle w:val="41"/>
        <w:spacing w:before="156" w:beforeAutospacing="0" w:after="156" w:afterAutospacing="0" w:line="360" w:lineRule="auto"/>
        <w:rPr>
          <w:rFonts w:cs="Helvetica"/>
          <w:sz w:val="28"/>
          <w:szCs w:val="28"/>
        </w:rPr>
      </w:pPr>
      <w:r>
        <w:rPr>
          <w:rFonts w:cs="Helvetica"/>
          <w:sz w:val="28"/>
          <w:szCs w:val="28"/>
        </w:rPr>
        <w:t>　　（三）参加采购活动前3年内是供应商的控股股东或者实际控制人；</w:t>
      </w:r>
    </w:p>
    <w:p>
      <w:pPr>
        <w:pStyle w:val="41"/>
        <w:spacing w:before="156" w:beforeAutospacing="0" w:after="156" w:afterAutospacing="0" w:line="360" w:lineRule="auto"/>
        <w:rPr>
          <w:rFonts w:cs="Helvetica"/>
          <w:sz w:val="28"/>
          <w:szCs w:val="28"/>
        </w:rPr>
      </w:pPr>
      <w:r>
        <w:rPr>
          <w:rFonts w:cs="Helvetica"/>
          <w:sz w:val="28"/>
          <w:szCs w:val="28"/>
        </w:rPr>
        <w:t>　　（四）与供应商的法定代表人或者负责人有夫妻、直系血亲、三代以内旁系血亲或者近姻亲关系；</w:t>
      </w:r>
    </w:p>
    <w:p>
      <w:pPr>
        <w:pStyle w:val="41"/>
        <w:spacing w:before="156" w:beforeAutospacing="0" w:after="156" w:afterAutospacing="0" w:line="360" w:lineRule="auto"/>
        <w:rPr>
          <w:rFonts w:cs="Helvetica"/>
          <w:sz w:val="28"/>
          <w:szCs w:val="28"/>
        </w:rPr>
      </w:pPr>
      <w:r>
        <w:rPr>
          <w:rFonts w:cs="Helvetica"/>
          <w:sz w:val="28"/>
          <w:szCs w:val="28"/>
        </w:rPr>
        <w:t>　　（五）与供应商有其他可能影响政府采购活动公平、公正进行的关系。</w:t>
      </w:r>
    </w:p>
    <w:p>
      <w:pPr>
        <w:spacing w:line="360" w:lineRule="auto"/>
        <w:ind w:firstLine="560" w:firstLineChars="200"/>
        <w:rPr>
          <w:rFonts w:cs="Helvetica"/>
          <w:sz w:val="28"/>
          <w:szCs w:val="28"/>
        </w:rPr>
      </w:pPr>
      <w:r>
        <w:rPr>
          <w:rFonts w:cs="Helvetica"/>
          <w:sz w:val="28"/>
          <w:szCs w:val="28"/>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pPr>
        <w:pStyle w:val="4"/>
      </w:pPr>
      <w:bookmarkStart w:id="50" w:name="_Toc405886181"/>
      <w:bookmarkStart w:id="51" w:name="_Toc4868"/>
      <w:r>
        <w:rPr>
          <w:rFonts w:hint="eastAsia"/>
        </w:rPr>
        <w:t>询问、质疑</w:t>
      </w:r>
      <w:bookmarkEnd w:id="50"/>
      <w:r>
        <w:rPr>
          <w:rFonts w:hint="eastAsia"/>
        </w:rPr>
        <w:t>和投诉</w:t>
      </w:r>
      <w:bookmarkEnd w:id="51"/>
    </w:p>
    <w:p>
      <w:pPr>
        <w:pStyle w:val="27"/>
        <w:numPr>
          <w:ilvl w:val="0"/>
          <w:numId w:val="33"/>
        </w:numPr>
        <w:tabs>
          <w:tab w:val="left" w:pos="1134"/>
        </w:tabs>
        <w:spacing w:line="360" w:lineRule="auto"/>
        <w:ind w:left="0" w:firstLine="567" w:firstLineChars="0"/>
        <w:rPr>
          <w:rFonts w:ascii="宋体" w:hAnsi="宋体" w:cs="宋体"/>
          <w:sz w:val="28"/>
          <w:szCs w:val="28"/>
        </w:rPr>
      </w:pPr>
      <w:r>
        <w:rPr>
          <w:rFonts w:hint="eastAsia" w:ascii="宋体" w:hAnsi="宋体" w:cs="宋体"/>
          <w:sz w:val="28"/>
          <w:szCs w:val="28"/>
        </w:rPr>
        <w:t>供应商认为磋商文件、磋商过程和成交结果使自己的合法权益受到损害的，可以依法进行质疑。</w:t>
      </w:r>
    </w:p>
    <w:p>
      <w:pPr>
        <w:pStyle w:val="82"/>
        <w:numPr>
          <w:ilvl w:val="0"/>
          <w:numId w:val="33"/>
        </w:numPr>
        <w:tabs>
          <w:tab w:val="left" w:pos="1134"/>
        </w:tabs>
        <w:spacing w:line="360" w:lineRule="auto"/>
        <w:ind w:left="0" w:firstLine="565" w:firstLineChars="202"/>
        <w:jc w:val="both"/>
        <w:rPr>
          <w:rFonts w:ascii="宋体" w:hAnsi="宋体" w:eastAsia="宋体"/>
          <w:sz w:val="28"/>
          <w:szCs w:val="28"/>
        </w:rPr>
      </w:pPr>
      <w:r>
        <w:rPr>
          <w:rFonts w:hint="eastAsia" w:ascii="宋体" w:hAnsi="宋体" w:eastAsia="宋体"/>
          <w:sz w:val="28"/>
          <w:szCs w:val="28"/>
        </w:rPr>
        <w:t>询问、质疑、投诉的接收和处理严格按照《中华人民共和国政府采购法》《中华人民共和国政府采购法实施条例》和《政府采购质疑和投诉办法》（财政部94号令）的规定办理。</w:t>
      </w:r>
    </w:p>
    <w:p>
      <w:pPr>
        <w:pStyle w:val="27"/>
        <w:numPr>
          <w:ilvl w:val="0"/>
          <w:numId w:val="33"/>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供应商询问、质疑的对象</w:t>
      </w:r>
    </w:p>
    <w:p>
      <w:pPr>
        <w:pStyle w:val="27"/>
        <w:numPr>
          <w:ilvl w:val="1"/>
          <w:numId w:val="34"/>
        </w:numPr>
        <w:tabs>
          <w:tab w:val="left" w:pos="1134"/>
        </w:tabs>
        <w:spacing w:after="120" w:line="360" w:lineRule="auto"/>
        <w:ind w:left="0" w:firstLine="567" w:firstLineChars="0"/>
        <w:rPr>
          <w:rFonts w:ascii="宋体" w:hAnsi="宋体"/>
          <w:sz w:val="28"/>
          <w:szCs w:val="28"/>
        </w:rPr>
      </w:pPr>
      <w:r>
        <w:rPr>
          <w:rFonts w:hint="eastAsia" w:ascii="宋体" w:hAnsi="宋体"/>
          <w:sz w:val="28"/>
          <w:szCs w:val="28"/>
        </w:rPr>
        <w:t>供应商对磋商文件中供应商参加本次政府采购活动应当具备的条件、项目技术、服务、商务及其他要求，评分细则及标准提出询问或质疑的，应向采购人提出；</w:t>
      </w:r>
    </w:p>
    <w:p>
      <w:pPr>
        <w:pStyle w:val="27"/>
        <w:numPr>
          <w:ilvl w:val="1"/>
          <w:numId w:val="34"/>
        </w:numPr>
        <w:tabs>
          <w:tab w:val="left" w:pos="1134"/>
        </w:tabs>
        <w:spacing w:after="120" w:line="360" w:lineRule="auto"/>
        <w:ind w:left="0" w:firstLine="567" w:firstLineChars="0"/>
        <w:rPr>
          <w:rFonts w:ascii="宋体" w:hAnsi="宋体"/>
          <w:sz w:val="28"/>
          <w:szCs w:val="28"/>
        </w:rPr>
      </w:pPr>
      <w:r>
        <w:rPr>
          <w:rFonts w:hint="eastAsia" w:ascii="宋体" w:hAnsi="宋体"/>
          <w:sz w:val="28"/>
          <w:szCs w:val="28"/>
        </w:rPr>
        <w:t>供应商对除上述磋商文件中的其他内容、采购过程及成交结果提出询问、质疑的，应向高新区采购中心提出。</w:t>
      </w:r>
    </w:p>
    <w:p>
      <w:pPr>
        <w:pStyle w:val="27"/>
        <w:numPr>
          <w:ilvl w:val="0"/>
          <w:numId w:val="33"/>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供应商提出的询问，应当明确询问事项，如以书面形式提出的，应由供应商签字并加盖公章。</w:t>
      </w:r>
    </w:p>
    <w:p>
      <w:pPr>
        <w:pStyle w:val="27"/>
        <w:numPr>
          <w:ilvl w:val="0"/>
          <w:numId w:val="33"/>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供应商应在法定质疑期内一次性提出针对同一采购程序环节的质疑。</w:t>
      </w:r>
    </w:p>
    <w:p>
      <w:pPr>
        <w:pStyle w:val="27"/>
        <w:numPr>
          <w:ilvl w:val="0"/>
          <w:numId w:val="33"/>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供应商提出质疑时应当准备的资料</w:t>
      </w:r>
    </w:p>
    <w:p>
      <w:pPr>
        <w:pStyle w:val="82"/>
        <w:widowControl w:val="0"/>
        <w:numPr>
          <w:ilvl w:val="1"/>
          <w:numId w:val="35"/>
        </w:numPr>
        <w:tabs>
          <w:tab w:val="left" w:pos="1134"/>
        </w:tabs>
        <w:spacing w:after="200" w:line="360" w:lineRule="auto"/>
        <w:ind w:left="0" w:firstLine="567" w:firstLineChars="0"/>
        <w:jc w:val="both"/>
        <w:rPr>
          <w:rFonts w:ascii="宋体" w:hAnsi="宋体" w:eastAsia="宋体"/>
          <w:sz w:val="28"/>
          <w:szCs w:val="28"/>
        </w:rPr>
      </w:pPr>
      <w:r>
        <w:rPr>
          <w:rFonts w:ascii="宋体" w:hAnsi="宋体" w:eastAsia="宋体"/>
          <w:sz w:val="28"/>
          <w:szCs w:val="28"/>
        </w:rPr>
        <w:t>质疑书</w:t>
      </w:r>
      <w:r>
        <w:rPr>
          <w:rFonts w:hint="eastAsia" w:ascii="宋体" w:hAnsi="宋体" w:eastAsia="宋体"/>
          <w:sz w:val="28"/>
          <w:szCs w:val="28"/>
        </w:rPr>
        <w:t>1</w:t>
      </w:r>
      <w:r>
        <w:rPr>
          <w:rFonts w:ascii="宋体" w:hAnsi="宋体" w:eastAsia="宋体"/>
          <w:sz w:val="28"/>
          <w:szCs w:val="28"/>
        </w:rPr>
        <w:t>份</w:t>
      </w:r>
      <w:r>
        <w:rPr>
          <w:rFonts w:hint="eastAsia" w:ascii="宋体" w:hAnsi="宋体" w:eastAsia="宋体"/>
          <w:sz w:val="28"/>
          <w:szCs w:val="28"/>
        </w:rPr>
        <w:t>、</w:t>
      </w:r>
      <w:r>
        <w:rPr>
          <w:rFonts w:hint="eastAsia" w:ascii="宋体" w:hAnsi="宋体"/>
          <w:sz w:val="28"/>
        </w:rPr>
        <w:t>四川省政府采购供应商库系统下</w:t>
      </w:r>
      <w:r>
        <w:rPr>
          <w:rFonts w:ascii="宋体" w:hAnsi="宋体"/>
          <w:sz w:val="28"/>
        </w:rPr>
        <w:t>载的邀请书</w:t>
      </w:r>
      <w:r>
        <w:rPr>
          <w:rFonts w:hint="eastAsia" w:ascii="宋体" w:hAnsi="宋体"/>
          <w:sz w:val="28"/>
        </w:rPr>
        <w:t>1份</w:t>
      </w:r>
      <w:r>
        <w:rPr>
          <w:rFonts w:hint="eastAsia" w:ascii="宋体" w:hAnsi="宋体" w:eastAsia="宋体"/>
          <w:sz w:val="28"/>
          <w:szCs w:val="28"/>
        </w:rPr>
        <w:t>（加盖公章）；</w:t>
      </w:r>
    </w:p>
    <w:p>
      <w:pPr>
        <w:pStyle w:val="82"/>
        <w:widowControl w:val="0"/>
        <w:numPr>
          <w:ilvl w:val="1"/>
          <w:numId w:val="35"/>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委托代理人办理质疑事宜的需提供：法定代表人授权委托书1份（加盖公章）；</w:t>
      </w:r>
    </w:p>
    <w:p>
      <w:pPr>
        <w:pStyle w:val="82"/>
        <w:widowControl w:val="0"/>
        <w:numPr>
          <w:ilvl w:val="1"/>
          <w:numId w:val="35"/>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营业执照或法人证书复印件1份；</w:t>
      </w:r>
    </w:p>
    <w:p>
      <w:pPr>
        <w:pStyle w:val="82"/>
        <w:widowControl w:val="0"/>
        <w:numPr>
          <w:ilvl w:val="1"/>
          <w:numId w:val="35"/>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法定代表人身份证复印件1份；</w:t>
      </w:r>
    </w:p>
    <w:p>
      <w:pPr>
        <w:pStyle w:val="82"/>
        <w:widowControl w:val="0"/>
        <w:numPr>
          <w:ilvl w:val="1"/>
          <w:numId w:val="35"/>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委托代理人身份证复印件1份（委托代理人办理质疑事宜的需提供）；</w:t>
      </w:r>
    </w:p>
    <w:p>
      <w:pPr>
        <w:pStyle w:val="82"/>
        <w:widowControl w:val="0"/>
        <w:numPr>
          <w:ilvl w:val="1"/>
          <w:numId w:val="35"/>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针对质疑事项必要的证明材料。</w:t>
      </w:r>
    </w:p>
    <w:p>
      <w:pPr>
        <w:pStyle w:val="27"/>
        <w:numPr>
          <w:ilvl w:val="0"/>
          <w:numId w:val="33"/>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供应商对采购人、集中代理机构的质疑答复不满意，或者采购人、集中代理机构未在规定期限内作出答复的，供应商可以在答复期满后15个工作日内向同级财政部门提起投诉。</w:t>
      </w:r>
    </w:p>
    <w:p>
      <w:pPr>
        <w:pStyle w:val="4"/>
      </w:pPr>
      <w:bookmarkStart w:id="52" w:name="_Toc376425021"/>
      <w:bookmarkEnd w:id="52"/>
      <w:bookmarkStart w:id="53" w:name="_Toc32536"/>
      <w:bookmarkStart w:id="54" w:name="_Toc3363724"/>
      <w:r>
        <w:rPr>
          <w:rFonts w:hint="eastAsia"/>
        </w:rPr>
        <w:t>中小企业政府采购信用融资</w:t>
      </w:r>
      <w:bookmarkEnd w:id="53"/>
      <w:bookmarkEnd w:id="54"/>
    </w:p>
    <w:p>
      <w:pPr>
        <w:pStyle w:val="27"/>
        <w:numPr>
          <w:ilvl w:val="0"/>
          <w:numId w:val="36"/>
        </w:numPr>
        <w:tabs>
          <w:tab w:val="left" w:pos="1134"/>
        </w:tabs>
        <w:spacing w:line="360" w:lineRule="auto"/>
        <w:ind w:left="0" w:firstLine="567" w:firstLineChars="0"/>
        <w:rPr>
          <w:rFonts w:ascii="宋体" w:hAnsi="宋体"/>
          <w:sz w:val="28"/>
          <w:szCs w:val="28"/>
        </w:rPr>
      </w:pPr>
      <w:r>
        <w:rPr>
          <w:rFonts w:hint="eastAsia" w:ascii="宋体" w:hAnsi="宋体"/>
          <w:sz w:val="28"/>
          <w:szCs w:val="28"/>
        </w:rPr>
        <w:t>参加本次采购活动成交的中小企业无需提供财产抵押或第三方担保，凭借政府采购合同可向融资机构申请融资。</w:t>
      </w:r>
    </w:p>
    <w:p>
      <w:pPr>
        <w:pStyle w:val="27"/>
        <w:numPr>
          <w:ilvl w:val="0"/>
          <w:numId w:val="36"/>
        </w:numPr>
        <w:tabs>
          <w:tab w:val="left" w:pos="1134"/>
        </w:tabs>
        <w:spacing w:line="360" w:lineRule="auto"/>
        <w:ind w:left="0" w:firstLine="567" w:firstLineChars="0"/>
        <w:rPr>
          <w:rFonts w:ascii="宋体" w:hAnsi="宋体"/>
          <w:sz w:val="28"/>
          <w:szCs w:val="28"/>
        </w:rPr>
      </w:pPr>
      <w:r>
        <w:rPr>
          <w:rFonts w:hint="eastAsia" w:ascii="宋体" w:hAnsi="宋体" w:cs="宋体"/>
          <w:sz w:val="28"/>
          <w:szCs w:val="28"/>
        </w:rPr>
        <w:t>《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p>
      <w:pPr>
        <w:pStyle w:val="4"/>
      </w:pPr>
      <w:bookmarkStart w:id="55" w:name="_Toc11006"/>
      <w:r>
        <w:rPr>
          <w:rFonts w:hint="eastAsia"/>
        </w:rPr>
        <w:t>其他</w:t>
      </w:r>
      <w:bookmarkEnd w:id="55"/>
    </w:p>
    <w:p>
      <w:pPr>
        <w:tabs>
          <w:tab w:val="left" w:pos="1134"/>
        </w:tabs>
        <w:spacing w:line="360" w:lineRule="auto"/>
        <w:ind w:firstLine="565" w:firstLineChars="202"/>
        <w:jc w:val="both"/>
        <w:rPr>
          <w:rFonts w:ascii="宋体" w:hAnsi="宋体"/>
          <w:sz w:val="28"/>
          <w:szCs w:val="28"/>
        </w:rPr>
      </w:pPr>
      <w:r>
        <w:rPr>
          <w:rFonts w:hint="eastAsia" w:ascii="仿宋" w:hAnsi="仿宋" w:eastAsia="仿宋"/>
          <w:sz w:val="28"/>
          <w:szCs w:val="21"/>
          <w:lang w:val="zh-CN"/>
        </w:rPr>
        <w:t>（实质性要求）</w:t>
      </w:r>
      <w:r>
        <w:rPr>
          <w:rFonts w:hint="eastAsia" w:ascii="宋体" w:hAnsi="宋体"/>
          <w:sz w:val="28"/>
          <w:szCs w:val="28"/>
        </w:rPr>
        <w:t>国家或行业主管部门对工程项目的技术标准、质量标准等有强制性规定的，必须符合其要求。</w:t>
      </w:r>
    </w:p>
    <w:p>
      <w:pPr>
        <w:pStyle w:val="2"/>
        <w:spacing w:line="360" w:lineRule="auto"/>
      </w:pPr>
    </w:p>
    <w:p>
      <w:pPr>
        <w:spacing w:line="360" w:lineRule="auto"/>
        <w:sectPr>
          <w:pgSz w:w="11906" w:h="16838"/>
          <w:pgMar w:top="1758" w:right="1588" w:bottom="1758" w:left="1588" w:header="851" w:footer="992" w:gutter="0"/>
          <w:cols w:space="720" w:num="1"/>
          <w:titlePg/>
          <w:docGrid w:linePitch="312" w:charSpace="0"/>
        </w:sectPr>
      </w:pPr>
    </w:p>
    <w:p>
      <w:pPr>
        <w:pStyle w:val="3"/>
        <w:numPr>
          <w:ilvl w:val="0"/>
          <w:numId w:val="1"/>
        </w:numPr>
        <w:spacing w:before="0" w:after="0"/>
        <w:ind w:left="0" w:firstLine="0"/>
      </w:pPr>
      <w:bookmarkStart w:id="56" w:name="_Toc14934"/>
      <w:r>
        <w:rPr>
          <w:rFonts w:hint="eastAsia"/>
        </w:rPr>
        <w:t>施工响应文件格式</w:t>
      </w:r>
      <w:bookmarkEnd w:id="56"/>
    </w:p>
    <w:p>
      <w:pPr>
        <w:pStyle w:val="4"/>
      </w:pPr>
      <w:bookmarkStart w:id="57" w:name="_Toc26850"/>
      <w:bookmarkStart w:id="58" w:name="_Toc448403805"/>
      <w:bookmarkStart w:id="59" w:name="_Toc320698765"/>
      <w:r>
        <w:rPr>
          <w:rFonts w:hint="eastAsia"/>
        </w:rPr>
        <w:t>施工响应文件格式</w:t>
      </w:r>
      <w:bookmarkEnd w:id="57"/>
    </w:p>
    <w:p>
      <w:pPr>
        <w:pStyle w:val="5"/>
        <w:tabs>
          <w:tab w:val="left" w:pos="709"/>
        </w:tabs>
        <w:ind w:left="1135" w:hanging="1135"/>
        <w:jc w:val="left"/>
        <w:rPr>
          <w:color w:val="auto"/>
        </w:rPr>
      </w:pPr>
      <w:r>
        <w:rPr>
          <w:rFonts w:hint="eastAsia"/>
          <w:color w:val="auto"/>
        </w:rPr>
        <w:t>施工响应文件封面格式</w:t>
      </w:r>
      <w:bookmarkEnd w:id="58"/>
    </w:p>
    <w:p>
      <w:pPr>
        <w:spacing w:line="360" w:lineRule="auto"/>
      </w:pPr>
    </w:p>
    <w:p>
      <w:pPr>
        <w:spacing w:line="360" w:lineRule="auto"/>
      </w:pPr>
    </w:p>
    <w:p>
      <w:pPr>
        <w:spacing w:line="360" w:lineRule="auto"/>
      </w:pPr>
    </w:p>
    <w:p>
      <w:pPr>
        <w:spacing w:line="360" w:lineRule="auto"/>
      </w:pPr>
    </w:p>
    <w:p>
      <w:pPr>
        <w:spacing w:line="360" w:lineRule="auto"/>
        <w:jc w:val="center"/>
        <w:rPr>
          <w:rFonts w:ascii="宋体" w:hAnsi="宋体"/>
          <w:spacing w:val="78"/>
          <w:sz w:val="96"/>
          <w:szCs w:val="120"/>
        </w:rPr>
      </w:pPr>
      <w:r>
        <w:rPr>
          <w:rFonts w:hint="eastAsia" w:ascii="宋体" w:hAnsi="宋体"/>
          <w:spacing w:val="78"/>
          <w:sz w:val="96"/>
          <w:szCs w:val="120"/>
        </w:rPr>
        <w:t>施工响应文件</w:t>
      </w:r>
    </w:p>
    <w:p>
      <w:pPr>
        <w:spacing w:line="360" w:lineRule="auto"/>
      </w:pPr>
    </w:p>
    <w:p>
      <w:pPr>
        <w:spacing w:line="360" w:lineRule="auto"/>
      </w:pPr>
    </w:p>
    <w:p>
      <w:pPr>
        <w:spacing w:line="360" w:lineRule="auto"/>
        <w:jc w:val="center"/>
        <w:rPr>
          <w:rFonts w:ascii="宋体" w:hAnsi="宋体"/>
          <w:bCs/>
          <w:sz w:val="36"/>
        </w:rPr>
      </w:pPr>
    </w:p>
    <w:p>
      <w:pPr>
        <w:spacing w:line="360" w:lineRule="auto"/>
        <w:jc w:val="center"/>
        <w:rPr>
          <w:rFonts w:ascii="宋体" w:hAnsi="宋体"/>
          <w:bCs/>
          <w:sz w:val="36"/>
        </w:rPr>
      </w:pPr>
    </w:p>
    <w:p>
      <w:pPr>
        <w:spacing w:line="360" w:lineRule="auto"/>
        <w:jc w:val="center"/>
        <w:rPr>
          <w:rFonts w:ascii="宋体" w:hAnsi="宋体"/>
          <w:bCs/>
          <w:sz w:val="36"/>
        </w:rPr>
      </w:pPr>
    </w:p>
    <w:p>
      <w:pPr>
        <w:spacing w:line="360" w:lineRule="auto"/>
        <w:ind w:left="1751" w:right="-58" w:rightChars="-24" w:hanging="1751" w:hangingChars="545"/>
        <w:rPr>
          <w:rFonts w:ascii="宋体" w:hAnsi="宋体"/>
          <w:b/>
          <w:bCs/>
          <w:color w:val="auto"/>
          <w:sz w:val="32"/>
          <w:szCs w:val="32"/>
        </w:rPr>
      </w:pPr>
      <w:r>
        <w:rPr>
          <w:rFonts w:hint="eastAsia" w:ascii="宋体" w:hAnsi="宋体"/>
          <w:b/>
          <w:bCs/>
          <w:sz w:val="32"/>
          <w:szCs w:val="32"/>
        </w:rPr>
        <w:t>项目名称：成都市中和中学2021年提升修缮工程采购项目</w:t>
      </w:r>
    </w:p>
    <w:p>
      <w:pPr>
        <w:spacing w:line="360" w:lineRule="auto"/>
        <w:rPr>
          <w:rFonts w:ascii="宋体" w:hAnsi="宋体"/>
          <w:b/>
          <w:color w:val="auto"/>
          <w:sz w:val="32"/>
          <w:szCs w:val="32"/>
          <w:u w:val="single"/>
        </w:rPr>
      </w:pPr>
      <w:r>
        <w:rPr>
          <w:rFonts w:hint="eastAsia" w:ascii="宋体" w:hAnsi="宋体"/>
          <w:b/>
          <w:bCs/>
          <w:color w:val="auto"/>
          <w:sz w:val="32"/>
          <w:szCs w:val="32"/>
        </w:rPr>
        <w:t>项目编号：成都高新技术产业开发区政采</w:t>
      </w:r>
      <w:r>
        <w:rPr>
          <w:rFonts w:hint="eastAsia" w:ascii="宋体" w:hAnsi="宋体"/>
          <w:b/>
          <w:bCs/>
          <w:color w:val="auto"/>
          <w:sz w:val="32"/>
          <w:szCs w:val="32"/>
          <w:lang w:eastAsia="zh-CN"/>
        </w:rPr>
        <w:t>（2021）A0054</w:t>
      </w:r>
      <w:r>
        <w:rPr>
          <w:rFonts w:hint="eastAsia" w:ascii="宋体" w:hAnsi="宋体"/>
          <w:b/>
          <w:bCs/>
          <w:color w:val="auto"/>
          <w:sz w:val="32"/>
          <w:szCs w:val="32"/>
        </w:rPr>
        <w:t>号</w:t>
      </w:r>
    </w:p>
    <w:p>
      <w:pPr>
        <w:spacing w:line="360" w:lineRule="auto"/>
        <w:rPr>
          <w:rFonts w:ascii="宋体" w:hAnsi="宋体"/>
          <w:b/>
          <w:bCs/>
          <w:sz w:val="32"/>
          <w:szCs w:val="32"/>
        </w:rPr>
      </w:pPr>
    </w:p>
    <w:p>
      <w:pPr>
        <w:spacing w:line="360" w:lineRule="auto"/>
        <w:rPr>
          <w:rFonts w:ascii="宋体" w:hAnsi="宋体"/>
          <w:b/>
          <w:bCs/>
          <w:sz w:val="32"/>
          <w:szCs w:val="32"/>
        </w:rPr>
      </w:pPr>
    </w:p>
    <w:p>
      <w:pPr>
        <w:spacing w:line="360" w:lineRule="auto"/>
        <w:ind w:firstLine="630" w:firstLineChars="196"/>
        <w:rPr>
          <w:rFonts w:ascii="宋体" w:hAnsi="宋体"/>
          <w:b/>
          <w:bCs/>
          <w:sz w:val="32"/>
          <w:szCs w:val="32"/>
        </w:rPr>
      </w:pPr>
      <w:r>
        <w:rPr>
          <w:rFonts w:hint="eastAsia" w:ascii="宋体" w:hAnsi="宋体"/>
          <w:b/>
          <w:bCs/>
          <w:sz w:val="32"/>
          <w:szCs w:val="32"/>
        </w:rPr>
        <w:t>供应商名称：XXXX</w:t>
      </w:r>
    </w:p>
    <w:p>
      <w:pPr>
        <w:spacing w:line="360" w:lineRule="auto"/>
        <w:ind w:firstLine="565" w:firstLineChars="176"/>
        <w:rPr>
          <w:rFonts w:ascii="宋体" w:hAnsi="宋体"/>
          <w:b/>
          <w:bCs/>
          <w:sz w:val="32"/>
          <w:szCs w:val="32"/>
        </w:rPr>
      </w:pPr>
      <w:r>
        <w:rPr>
          <w:rFonts w:hint="eastAsia" w:ascii="宋体" w:hAnsi="宋体"/>
          <w:b/>
          <w:bCs/>
          <w:sz w:val="32"/>
          <w:szCs w:val="32"/>
        </w:rPr>
        <w:t>日      期：202X年XX月XX日</w:t>
      </w:r>
    </w:p>
    <w:p>
      <w:pPr>
        <w:pStyle w:val="5"/>
        <w:tabs>
          <w:tab w:val="left" w:pos="709"/>
        </w:tabs>
        <w:ind w:left="1135" w:hanging="1135"/>
        <w:jc w:val="left"/>
        <w:rPr>
          <w:color w:val="auto"/>
        </w:rPr>
      </w:pPr>
      <w:r>
        <w:rPr>
          <w:rFonts w:hint="eastAsia"/>
          <w:color w:val="auto"/>
        </w:rPr>
        <w:t>资格</w:t>
      </w:r>
      <w:r>
        <w:rPr>
          <w:color w:val="auto"/>
        </w:rPr>
        <w:t>响应文件</w:t>
      </w:r>
    </w:p>
    <w:p>
      <w:pPr>
        <w:spacing w:line="360" w:lineRule="auto"/>
        <w:ind w:firstLine="492" w:firstLineChars="176"/>
        <w:rPr>
          <w:sz w:val="28"/>
          <w:szCs w:val="28"/>
          <w:lang w:val="zh-CN"/>
        </w:rPr>
      </w:pPr>
      <w:r>
        <w:rPr>
          <w:rFonts w:hint="eastAsia"/>
          <w:sz w:val="28"/>
          <w:szCs w:val="28"/>
        </w:rPr>
        <w:t>供应</w:t>
      </w:r>
      <w:r>
        <w:rPr>
          <w:sz w:val="28"/>
          <w:szCs w:val="28"/>
        </w:rPr>
        <w:t>商在政</w:t>
      </w:r>
      <w:r>
        <w:rPr>
          <w:rFonts w:hint="eastAsia"/>
          <w:sz w:val="28"/>
          <w:szCs w:val="28"/>
        </w:rPr>
        <w:t>府</w:t>
      </w:r>
      <w:r>
        <w:rPr>
          <w:sz w:val="28"/>
          <w:szCs w:val="28"/>
        </w:rPr>
        <w:t>采</w:t>
      </w:r>
      <w:r>
        <w:rPr>
          <w:rFonts w:hint="eastAsia"/>
          <w:sz w:val="28"/>
          <w:szCs w:val="28"/>
        </w:rPr>
        <w:t>购云平</w:t>
      </w:r>
      <w:r>
        <w:rPr>
          <w:sz w:val="28"/>
          <w:szCs w:val="28"/>
        </w:rPr>
        <w:t>台上传</w:t>
      </w:r>
      <w:r>
        <w:rPr>
          <w:rFonts w:hint="eastAsia"/>
          <w:sz w:val="28"/>
          <w:szCs w:val="28"/>
          <w:lang w:val="zh-CN"/>
        </w:rPr>
        <w:t>四川省政府采购供应商库系统下</w:t>
      </w:r>
      <w:r>
        <w:rPr>
          <w:sz w:val="28"/>
          <w:szCs w:val="28"/>
          <w:lang w:val="zh-CN"/>
        </w:rPr>
        <w:t>载的邀请书或空白页</w:t>
      </w:r>
      <w:r>
        <w:rPr>
          <w:rFonts w:hint="eastAsia"/>
          <w:sz w:val="28"/>
          <w:szCs w:val="28"/>
          <w:lang w:val="zh-CN"/>
        </w:rPr>
        <w:t>。</w:t>
      </w: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pStyle w:val="5"/>
        <w:tabs>
          <w:tab w:val="left" w:pos="709"/>
        </w:tabs>
        <w:ind w:left="1135" w:hanging="1135"/>
        <w:jc w:val="left"/>
        <w:rPr>
          <w:color w:val="auto"/>
        </w:rPr>
      </w:pPr>
      <w:r>
        <w:rPr>
          <w:rFonts w:hint="eastAsia"/>
          <w:color w:val="auto"/>
        </w:rPr>
        <w:t>商务技术响应文件</w:t>
      </w:r>
    </w:p>
    <w:p>
      <w:pPr>
        <w:pStyle w:val="5"/>
        <w:numPr>
          <w:ilvl w:val="3"/>
          <w:numId w:val="1"/>
        </w:numPr>
        <w:tabs>
          <w:tab w:val="left" w:pos="709"/>
        </w:tabs>
        <w:jc w:val="left"/>
        <w:rPr>
          <w:color w:val="auto"/>
        </w:rPr>
      </w:pPr>
      <w:r>
        <w:rPr>
          <w:rFonts w:hint="eastAsia"/>
          <w:color w:val="auto"/>
        </w:rPr>
        <w:t>报价函</w:t>
      </w:r>
    </w:p>
    <w:p>
      <w:pPr>
        <w:snapToGrid w:val="0"/>
        <w:spacing w:line="360" w:lineRule="auto"/>
        <w:rPr>
          <w:rFonts w:ascii="宋体" w:hAnsi="宋体"/>
          <w:b/>
          <w:sz w:val="28"/>
          <w:szCs w:val="28"/>
          <w:u w:val="single"/>
        </w:rPr>
      </w:pPr>
      <w:r>
        <w:rPr>
          <w:rFonts w:hint="eastAsia" w:ascii="宋体" w:hAnsi="宋体"/>
          <w:b/>
          <w:sz w:val="28"/>
          <w:szCs w:val="28"/>
        </w:rPr>
        <w:t>项</w:t>
      </w:r>
      <w:r>
        <w:rPr>
          <w:rFonts w:hint="eastAsia" w:ascii="宋体" w:hAnsi="宋体"/>
          <w:b/>
          <w:spacing w:val="-20"/>
          <w:sz w:val="28"/>
          <w:szCs w:val="28"/>
        </w:rPr>
        <w:t>目名称：</w:t>
      </w:r>
      <w:r>
        <w:rPr>
          <w:rFonts w:hint="eastAsia" w:ascii="宋体" w:hAnsi="宋体"/>
          <w:b/>
          <w:sz w:val="28"/>
          <w:szCs w:val="28"/>
          <w:u w:val="single"/>
        </w:rPr>
        <w:t>成都市中和中学2021年提升修缮工程采购项目</w:t>
      </w:r>
    </w:p>
    <w:p>
      <w:pPr>
        <w:snapToGrid w:val="0"/>
        <w:spacing w:line="360" w:lineRule="auto"/>
        <w:rPr>
          <w:rFonts w:ascii="宋体" w:hAnsi="宋体"/>
          <w:b/>
          <w:color w:val="auto"/>
          <w:sz w:val="28"/>
          <w:szCs w:val="28"/>
          <w:u w:val="single"/>
        </w:rPr>
      </w:pPr>
      <w:r>
        <w:rPr>
          <w:rFonts w:hint="eastAsia" w:ascii="宋体" w:hAnsi="宋体"/>
          <w:b/>
          <w:sz w:val="28"/>
          <w:szCs w:val="28"/>
        </w:rPr>
        <w:t>项目编号：</w:t>
      </w:r>
      <w:r>
        <w:rPr>
          <w:rFonts w:hint="eastAsia" w:ascii="宋体" w:hAnsi="宋体"/>
          <w:b/>
          <w:sz w:val="28"/>
          <w:szCs w:val="28"/>
          <w:u w:val="single"/>
        </w:rPr>
        <w:t>成都高新技术产业开</w:t>
      </w:r>
      <w:r>
        <w:rPr>
          <w:rFonts w:hint="eastAsia" w:ascii="宋体" w:hAnsi="宋体"/>
          <w:b/>
          <w:color w:val="auto"/>
          <w:sz w:val="28"/>
          <w:szCs w:val="28"/>
          <w:u w:val="single"/>
        </w:rPr>
        <w:t>发区政采</w:t>
      </w:r>
      <w:r>
        <w:rPr>
          <w:rFonts w:hint="eastAsia" w:ascii="宋体" w:hAnsi="宋体"/>
          <w:b/>
          <w:color w:val="auto"/>
          <w:sz w:val="28"/>
          <w:szCs w:val="28"/>
          <w:u w:val="single"/>
          <w:lang w:eastAsia="zh-CN"/>
        </w:rPr>
        <w:t>（2021）A0054</w:t>
      </w:r>
      <w:r>
        <w:rPr>
          <w:rFonts w:hint="eastAsia" w:ascii="宋体" w:hAnsi="宋体"/>
          <w:b/>
          <w:color w:val="auto"/>
          <w:sz w:val="28"/>
          <w:szCs w:val="28"/>
          <w:u w:val="single"/>
        </w:rPr>
        <w:t>号</w:t>
      </w:r>
    </w:p>
    <w:p>
      <w:pPr>
        <w:spacing w:line="360" w:lineRule="auto"/>
        <w:rPr>
          <w:rFonts w:ascii="宋体" w:hAnsi="宋体"/>
          <w:color w:val="auto"/>
          <w:spacing w:val="6"/>
          <w:sz w:val="28"/>
          <w:szCs w:val="28"/>
        </w:rPr>
      </w:pPr>
      <w:r>
        <w:rPr>
          <w:rFonts w:hint="eastAsia" w:ascii="宋体" w:hAnsi="宋体"/>
          <w:color w:val="auto"/>
          <w:spacing w:val="6"/>
          <w:sz w:val="28"/>
          <w:szCs w:val="28"/>
        </w:rPr>
        <w:t>成都高新区政府采购服务中心</w:t>
      </w:r>
      <w:r>
        <w:rPr>
          <w:rFonts w:ascii="宋体" w:hAnsi="宋体"/>
          <w:color w:val="auto"/>
          <w:spacing w:val="6"/>
          <w:sz w:val="28"/>
          <w:szCs w:val="28"/>
        </w:rPr>
        <w:t xml:space="preserve">: </w:t>
      </w:r>
    </w:p>
    <w:p>
      <w:pPr>
        <w:spacing w:line="360" w:lineRule="auto"/>
        <w:ind w:firstLine="560" w:firstLineChars="200"/>
        <w:jc w:val="both"/>
        <w:rPr>
          <w:rFonts w:ascii="宋体" w:hAnsi="宋体"/>
          <w:spacing w:val="6"/>
          <w:sz w:val="28"/>
          <w:szCs w:val="28"/>
        </w:rPr>
      </w:pPr>
      <w:r>
        <w:rPr>
          <w:rFonts w:hint="eastAsia" w:ascii="宋体" w:hAnsi="宋体"/>
          <w:bCs/>
          <w:color w:val="auto"/>
          <w:sz w:val="28"/>
          <w:szCs w:val="28"/>
        </w:rPr>
        <w:t>我方全面研究了</w:t>
      </w:r>
      <w:r>
        <w:rPr>
          <w:rFonts w:hint="eastAsia" w:ascii="宋体" w:hAnsi="宋体"/>
          <w:bCs/>
          <w:color w:val="auto"/>
          <w:sz w:val="28"/>
          <w:szCs w:val="28"/>
          <w:u w:val="single"/>
        </w:rPr>
        <w:t>“</w:t>
      </w:r>
      <w:r>
        <w:rPr>
          <w:rFonts w:hint="eastAsia" w:ascii="宋体" w:hAnsi="宋体"/>
          <w:b/>
          <w:color w:val="auto"/>
          <w:sz w:val="28"/>
          <w:szCs w:val="28"/>
          <w:u w:val="single"/>
        </w:rPr>
        <w:t>成都市中和中学2021年提升修缮工程采购项目</w:t>
      </w:r>
      <w:r>
        <w:rPr>
          <w:rFonts w:hint="eastAsia" w:ascii="宋体" w:hAnsi="宋体"/>
          <w:b/>
          <w:bCs/>
          <w:color w:val="auto"/>
          <w:sz w:val="28"/>
          <w:szCs w:val="28"/>
          <w:u w:val="single"/>
        </w:rPr>
        <w:t>”（项目编号：</w:t>
      </w:r>
      <w:r>
        <w:rPr>
          <w:rFonts w:hint="eastAsia" w:ascii="宋体" w:hAnsi="宋体"/>
          <w:b/>
          <w:color w:val="auto"/>
          <w:sz w:val="28"/>
          <w:szCs w:val="28"/>
          <w:u w:val="single"/>
        </w:rPr>
        <w:t>成都高新技术产业开发区政采</w:t>
      </w:r>
      <w:r>
        <w:rPr>
          <w:rFonts w:hint="eastAsia" w:ascii="宋体" w:hAnsi="宋体"/>
          <w:b/>
          <w:color w:val="auto"/>
          <w:sz w:val="28"/>
          <w:szCs w:val="28"/>
          <w:u w:val="single"/>
          <w:lang w:eastAsia="zh-CN"/>
        </w:rPr>
        <w:t>（2021）A0054</w:t>
      </w:r>
      <w:r>
        <w:rPr>
          <w:rFonts w:hint="eastAsia" w:ascii="宋体" w:hAnsi="宋体"/>
          <w:b/>
          <w:color w:val="auto"/>
          <w:sz w:val="28"/>
          <w:szCs w:val="28"/>
          <w:u w:val="single"/>
        </w:rPr>
        <w:t>号</w:t>
      </w:r>
      <w:r>
        <w:rPr>
          <w:rFonts w:hint="eastAsia" w:ascii="宋体" w:hAnsi="宋体"/>
          <w:b/>
          <w:bCs/>
          <w:color w:val="auto"/>
          <w:sz w:val="28"/>
          <w:szCs w:val="28"/>
          <w:u w:val="single"/>
        </w:rPr>
        <w:t>）</w:t>
      </w:r>
      <w:r>
        <w:rPr>
          <w:rFonts w:hint="eastAsia" w:ascii="宋体" w:hAnsi="宋体"/>
          <w:bCs/>
          <w:sz w:val="28"/>
          <w:szCs w:val="28"/>
        </w:rPr>
        <w:t>的磋商文件，决定参加贵单位组织的本项目的磋商。</w:t>
      </w:r>
    </w:p>
    <w:p>
      <w:pPr>
        <w:pStyle w:val="82"/>
        <w:numPr>
          <w:ilvl w:val="3"/>
          <w:numId w:val="37"/>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我方已知晓全部磋商文件的内容，包括修改文件（如有）以及全部相关资料和有关附件，并对上述文件均无异议，愿意按合同约定实施和完成承包工程，修补工程中的任何缺陷，工程质量达到规定要求标准。</w:t>
      </w:r>
    </w:p>
    <w:p>
      <w:pPr>
        <w:pStyle w:val="82"/>
        <w:numPr>
          <w:ilvl w:val="3"/>
          <w:numId w:val="37"/>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施工响应文件有效期为从递交施工响应文件截止之日起</w:t>
      </w:r>
      <w:r>
        <w:rPr>
          <w:rFonts w:ascii="宋体" w:hAnsi="宋体" w:eastAsia="宋体"/>
          <w:sz w:val="28"/>
          <w:szCs w:val="28"/>
        </w:rPr>
        <w:t>120天。</w:t>
      </w:r>
      <w:r>
        <w:rPr>
          <w:rFonts w:hint="eastAsia" w:ascii="宋体" w:hAnsi="宋体" w:eastAsia="宋体"/>
          <w:sz w:val="28"/>
          <w:szCs w:val="28"/>
        </w:rPr>
        <w:t>我方承诺在施工响应文件有效期天内不修改、撤销施工响应文件。</w:t>
      </w:r>
    </w:p>
    <w:p>
      <w:pPr>
        <w:pStyle w:val="82"/>
        <w:numPr>
          <w:ilvl w:val="3"/>
          <w:numId w:val="37"/>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我方愿意提供贵中心可能另外要求的，与本项目有关的文件资料，并保证我方已提供和将要提供的文件资料是真实、准确的，并对此承担一切法律后果。</w:t>
      </w:r>
    </w:p>
    <w:p>
      <w:pPr>
        <w:pStyle w:val="82"/>
        <w:numPr>
          <w:ilvl w:val="3"/>
          <w:numId w:val="37"/>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如我方成交：</w:t>
      </w:r>
    </w:p>
    <w:p>
      <w:pPr>
        <w:pStyle w:val="82"/>
        <w:numPr>
          <w:ilvl w:val="0"/>
          <w:numId w:val="38"/>
        </w:numPr>
        <w:spacing w:line="360" w:lineRule="auto"/>
        <w:ind w:left="0" w:firstLine="584" w:firstLineChars="0"/>
        <w:jc w:val="both"/>
        <w:rPr>
          <w:rFonts w:ascii="宋体" w:hAnsi="宋体" w:eastAsia="宋体"/>
          <w:spacing w:val="6"/>
          <w:sz w:val="28"/>
          <w:szCs w:val="28"/>
        </w:rPr>
      </w:pPr>
      <w:r>
        <w:rPr>
          <w:rFonts w:hint="eastAsia" w:ascii="宋体" w:hAnsi="宋体" w:eastAsia="宋体"/>
          <w:spacing w:val="6"/>
          <w:sz w:val="28"/>
          <w:szCs w:val="28"/>
        </w:rPr>
        <w:t>我方承诺在收到成交通知书后，在规定的期限内与采购人签订合同。</w:t>
      </w:r>
    </w:p>
    <w:p>
      <w:pPr>
        <w:pStyle w:val="82"/>
        <w:numPr>
          <w:ilvl w:val="0"/>
          <w:numId w:val="38"/>
        </w:numPr>
        <w:spacing w:line="360" w:lineRule="auto"/>
        <w:ind w:left="0" w:firstLine="584" w:firstLineChars="0"/>
        <w:jc w:val="both"/>
        <w:rPr>
          <w:rFonts w:ascii="宋体" w:hAnsi="宋体" w:eastAsia="宋体"/>
          <w:spacing w:val="6"/>
          <w:sz w:val="28"/>
          <w:szCs w:val="28"/>
        </w:rPr>
      </w:pPr>
      <w:r>
        <w:rPr>
          <w:rFonts w:hint="eastAsia" w:ascii="宋体" w:hAnsi="宋体" w:eastAsia="宋体"/>
          <w:spacing w:val="6"/>
          <w:sz w:val="28"/>
          <w:szCs w:val="28"/>
        </w:rPr>
        <w:t>我方将严格履行政府采购合同规定的责任和义务。</w:t>
      </w:r>
    </w:p>
    <w:p>
      <w:pPr>
        <w:pStyle w:val="82"/>
        <w:numPr>
          <w:ilvl w:val="0"/>
          <w:numId w:val="38"/>
        </w:numPr>
        <w:spacing w:line="360" w:lineRule="auto"/>
        <w:ind w:left="0" w:firstLine="584" w:firstLineChars="0"/>
        <w:jc w:val="both"/>
        <w:rPr>
          <w:rFonts w:ascii="宋体" w:hAnsi="宋体" w:eastAsia="宋体"/>
          <w:spacing w:val="6"/>
          <w:sz w:val="28"/>
          <w:szCs w:val="28"/>
        </w:rPr>
      </w:pPr>
      <w:r>
        <w:rPr>
          <w:rFonts w:hint="eastAsia" w:ascii="宋体" w:hAnsi="宋体" w:eastAsia="宋体"/>
          <w:spacing w:val="6"/>
          <w:sz w:val="28"/>
          <w:szCs w:val="28"/>
        </w:rPr>
        <w:t>我方愿意提供贵单位可能另外要求的，与</w:t>
      </w:r>
      <w:r>
        <w:rPr>
          <w:rFonts w:hint="eastAsia" w:ascii="宋体" w:hAnsi="宋体" w:eastAsia="宋体"/>
          <w:sz w:val="28"/>
          <w:szCs w:val="28"/>
        </w:rPr>
        <w:t>磋商</w:t>
      </w:r>
      <w:r>
        <w:rPr>
          <w:rFonts w:hint="eastAsia" w:ascii="宋体" w:hAnsi="宋体" w:eastAsia="宋体"/>
          <w:spacing w:val="6"/>
          <w:sz w:val="28"/>
          <w:szCs w:val="28"/>
        </w:rPr>
        <w:t>报价有关的文件资料，并保证我方已提供和将要提供的文件资料是真实、准确的。</w:t>
      </w:r>
    </w:p>
    <w:p>
      <w:pPr>
        <w:pStyle w:val="82"/>
        <w:numPr>
          <w:ilvl w:val="0"/>
          <w:numId w:val="38"/>
        </w:numPr>
        <w:spacing w:line="360" w:lineRule="auto"/>
        <w:ind w:left="0" w:firstLine="584" w:firstLineChars="0"/>
        <w:jc w:val="both"/>
        <w:rPr>
          <w:rFonts w:ascii="宋体" w:hAnsi="宋体" w:eastAsia="宋体"/>
          <w:spacing w:val="6"/>
          <w:sz w:val="28"/>
          <w:szCs w:val="28"/>
        </w:rPr>
      </w:pPr>
      <w:r>
        <w:rPr>
          <w:rFonts w:hint="eastAsia" w:ascii="宋体" w:hAnsi="宋体" w:eastAsia="宋体"/>
          <w:spacing w:val="6"/>
          <w:sz w:val="28"/>
          <w:szCs w:val="28"/>
        </w:rPr>
        <w:t>我方自愿按照</w:t>
      </w:r>
      <w:r>
        <w:rPr>
          <w:rFonts w:hint="eastAsia" w:ascii="宋体" w:hAnsi="宋体" w:eastAsia="宋体"/>
          <w:sz w:val="28"/>
          <w:szCs w:val="28"/>
        </w:rPr>
        <w:t>磋商</w:t>
      </w:r>
      <w:r>
        <w:rPr>
          <w:rFonts w:hint="eastAsia" w:ascii="宋体" w:hAnsi="宋体" w:eastAsia="宋体"/>
          <w:spacing w:val="6"/>
          <w:sz w:val="28"/>
          <w:szCs w:val="28"/>
        </w:rPr>
        <w:t>文件规定的各项要求完成工程建设项目，最后报价以在政府采购云平台提交为准，接受采购人按照政府采购合同约定金额支付采购资金。</w:t>
      </w:r>
    </w:p>
    <w:p>
      <w:pPr>
        <w:pStyle w:val="82"/>
        <w:numPr>
          <w:ilvl w:val="3"/>
          <w:numId w:val="37"/>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我单位联系方式：</w:t>
      </w:r>
    </w:p>
    <w:p>
      <w:pPr>
        <w:pStyle w:val="27"/>
        <w:snapToGrid w:val="0"/>
        <w:spacing w:line="360" w:lineRule="auto"/>
        <w:ind w:firstLine="565" w:firstLineChars="202"/>
        <w:rPr>
          <w:rFonts w:ascii="宋体" w:hAnsi="宋体"/>
          <w:sz w:val="28"/>
          <w:szCs w:val="28"/>
          <w:u w:val="single"/>
        </w:rPr>
      </w:pPr>
      <w:r>
        <w:rPr>
          <w:rFonts w:hint="eastAsia" w:ascii="宋体" w:hAnsi="宋体"/>
          <w:sz w:val="28"/>
          <w:szCs w:val="28"/>
        </w:rPr>
        <w:t>地址：</w:t>
      </w:r>
      <w:r>
        <w:rPr>
          <w:rFonts w:ascii="宋体" w:hAnsi="宋体"/>
          <w:sz w:val="28"/>
          <w:szCs w:val="28"/>
          <w:u w:val="single"/>
        </w:rPr>
        <w:t>XXXX</w:t>
      </w:r>
    </w:p>
    <w:p>
      <w:pPr>
        <w:pStyle w:val="27"/>
        <w:snapToGrid w:val="0"/>
        <w:spacing w:line="360" w:lineRule="auto"/>
        <w:ind w:firstLine="565" w:firstLineChars="202"/>
        <w:rPr>
          <w:rFonts w:ascii="宋体" w:hAnsi="宋体"/>
          <w:sz w:val="28"/>
          <w:szCs w:val="28"/>
          <w:u w:val="single"/>
        </w:rPr>
      </w:pPr>
      <w:r>
        <w:rPr>
          <w:rFonts w:hint="eastAsia" w:ascii="宋体" w:hAnsi="宋体"/>
          <w:sz w:val="28"/>
          <w:szCs w:val="28"/>
        </w:rPr>
        <w:t>传真：</w:t>
      </w:r>
      <w:r>
        <w:rPr>
          <w:rFonts w:ascii="宋体" w:hAnsi="宋体"/>
          <w:sz w:val="28"/>
          <w:szCs w:val="28"/>
          <w:u w:val="single"/>
        </w:rPr>
        <w:t>XXXX</w:t>
      </w:r>
    </w:p>
    <w:p>
      <w:pPr>
        <w:pStyle w:val="27"/>
        <w:snapToGrid w:val="0"/>
        <w:spacing w:line="360" w:lineRule="auto"/>
        <w:ind w:firstLine="565" w:firstLineChars="202"/>
        <w:rPr>
          <w:rFonts w:ascii="宋体" w:hAnsi="宋体"/>
          <w:sz w:val="28"/>
          <w:szCs w:val="28"/>
          <w:u w:val="single"/>
        </w:rPr>
      </w:pPr>
      <w:r>
        <w:rPr>
          <w:rFonts w:hint="eastAsia" w:ascii="宋体" w:hAnsi="宋体"/>
          <w:sz w:val="28"/>
          <w:szCs w:val="28"/>
        </w:rPr>
        <w:t>邮政编码：</w:t>
      </w:r>
      <w:r>
        <w:rPr>
          <w:rFonts w:ascii="宋体" w:hAnsi="宋体"/>
          <w:sz w:val="28"/>
          <w:szCs w:val="28"/>
          <w:u w:val="single"/>
        </w:rPr>
        <w:t>XXXX</w:t>
      </w:r>
    </w:p>
    <w:p>
      <w:pPr>
        <w:pStyle w:val="27"/>
        <w:snapToGrid w:val="0"/>
        <w:spacing w:line="360" w:lineRule="auto"/>
        <w:ind w:firstLine="565" w:firstLineChars="202"/>
        <w:rPr>
          <w:rFonts w:ascii="宋体" w:hAnsi="宋体"/>
          <w:bCs/>
          <w:sz w:val="28"/>
          <w:szCs w:val="28"/>
          <w:u w:val="single"/>
        </w:rPr>
      </w:pPr>
      <w:r>
        <w:rPr>
          <w:rFonts w:hint="eastAsia" w:ascii="宋体" w:hAnsi="宋体"/>
          <w:bCs/>
          <w:sz w:val="28"/>
          <w:szCs w:val="28"/>
        </w:rPr>
        <w:t>供应商名称：</w:t>
      </w:r>
      <w:r>
        <w:rPr>
          <w:rFonts w:ascii="宋体" w:hAnsi="宋体"/>
          <w:bCs/>
          <w:sz w:val="28"/>
          <w:szCs w:val="28"/>
          <w:u w:val="single"/>
        </w:rPr>
        <w:t>XXXXXXXXXX</w:t>
      </w:r>
    </w:p>
    <w:p>
      <w:pPr>
        <w:pStyle w:val="27"/>
        <w:snapToGrid w:val="0"/>
        <w:spacing w:line="360" w:lineRule="auto"/>
        <w:ind w:firstLine="565" w:firstLineChars="202"/>
        <w:rPr>
          <w:rFonts w:ascii="宋体" w:hAnsi="宋体"/>
          <w:sz w:val="28"/>
          <w:szCs w:val="28"/>
          <w:u w:val="single"/>
        </w:rPr>
      </w:pPr>
      <w:r>
        <w:rPr>
          <w:rFonts w:hint="eastAsia" w:ascii="宋体" w:hAnsi="宋体"/>
          <w:sz w:val="28"/>
          <w:szCs w:val="28"/>
        </w:rPr>
        <w:t>日期：</w:t>
      </w:r>
      <w:r>
        <w:rPr>
          <w:rFonts w:ascii="宋体" w:hAnsi="宋体"/>
          <w:sz w:val="28"/>
          <w:szCs w:val="28"/>
          <w:u w:val="single"/>
        </w:rPr>
        <w:t>XX</w:t>
      </w:r>
      <w:r>
        <w:rPr>
          <w:rFonts w:hint="eastAsia" w:ascii="宋体" w:hAnsi="宋体"/>
          <w:sz w:val="28"/>
          <w:szCs w:val="28"/>
        </w:rPr>
        <w:t>年</w:t>
      </w:r>
      <w:r>
        <w:rPr>
          <w:rFonts w:ascii="宋体" w:hAnsi="宋体"/>
          <w:sz w:val="28"/>
          <w:szCs w:val="28"/>
          <w:u w:val="single"/>
        </w:rPr>
        <w:t>XX</w:t>
      </w:r>
      <w:r>
        <w:rPr>
          <w:rFonts w:hint="eastAsia" w:ascii="宋体" w:hAnsi="宋体"/>
          <w:sz w:val="28"/>
          <w:szCs w:val="28"/>
        </w:rPr>
        <w:t>月</w:t>
      </w:r>
      <w:r>
        <w:rPr>
          <w:rFonts w:ascii="宋体" w:hAnsi="宋体"/>
          <w:sz w:val="28"/>
          <w:szCs w:val="28"/>
          <w:u w:val="single"/>
        </w:rPr>
        <w:t>XX</w:t>
      </w:r>
      <w:r>
        <w:rPr>
          <w:rFonts w:hint="eastAsia" w:ascii="宋体" w:hAnsi="宋体"/>
          <w:sz w:val="28"/>
          <w:szCs w:val="28"/>
        </w:rPr>
        <w:t>日</w:t>
      </w: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5"/>
        <w:numPr>
          <w:ilvl w:val="3"/>
          <w:numId w:val="1"/>
        </w:numPr>
        <w:tabs>
          <w:tab w:val="left" w:pos="709"/>
        </w:tabs>
        <w:jc w:val="left"/>
        <w:rPr>
          <w:color w:val="auto"/>
        </w:rPr>
      </w:pPr>
      <w:r>
        <w:rPr>
          <w:rFonts w:hint="eastAsia"/>
          <w:color w:val="auto"/>
        </w:rPr>
        <w:t>法定代表人身份证明书</w:t>
      </w:r>
    </w:p>
    <w:p>
      <w:pPr>
        <w:tabs>
          <w:tab w:val="left" w:pos="6300"/>
        </w:tabs>
        <w:spacing w:line="360" w:lineRule="auto"/>
        <w:ind w:firstLine="573"/>
        <w:rPr>
          <w:rFonts w:ascii="宋体" w:hAnsi="宋体"/>
          <w:sz w:val="28"/>
          <w:szCs w:val="28"/>
          <w:lang w:val="zh-CN"/>
        </w:rPr>
      </w:pPr>
      <w:r>
        <w:rPr>
          <w:rFonts w:hint="eastAsia" w:ascii="宋体" w:hAnsi="宋体"/>
          <w:sz w:val="28"/>
          <w:szCs w:val="28"/>
          <w:u w:val="single"/>
          <w:lang w:val="zh-CN"/>
        </w:rPr>
        <w:t xml:space="preserve">       （法定代表人姓名）       </w:t>
      </w:r>
      <w:r>
        <w:rPr>
          <w:rFonts w:hint="eastAsia" w:ascii="宋体" w:hAnsi="宋体"/>
          <w:sz w:val="28"/>
          <w:szCs w:val="28"/>
          <w:lang w:val="zh-CN"/>
        </w:rPr>
        <w:t>在</w:t>
      </w:r>
      <w:r>
        <w:rPr>
          <w:rFonts w:hint="eastAsia" w:ascii="宋体" w:hAnsi="宋体"/>
          <w:sz w:val="28"/>
          <w:szCs w:val="28"/>
          <w:u w:val="single"/>
          <w:lang w:val="zh-CN"/>
        </w:rPr>
        <w:t xml:space="preserve">       （供应商名称）       </w:t>
      </w:r>
      <w:r>
        <w:rPr>
          <w:rFonts w:hint="eastAsia" w:ascii="宋体" w:hAnsi="宋体"/>
          <w:sz w:val="28"/>
          <w:szCs w:val="28"/>
          <w:lang w:val="zh-CN"/>
        </w:rPr>
        <w:t>处任</w:t>
      </w:r>
      <w:r>
        <w:rPr>
          <w:rFonts w:hint="eastAsia" w:ascii="宋体" w:hAnsi="宋体"/>
          <w:sz w:val="28"/>
          <w:szCs w:val="28"/>
          <w:u w:val="single"/>
          <w:lang w:val="zh-CN"/>
        </w:rPr>
        <w:t xml:space="preserve">       （职务名称）       </w:t>
      </w:r>
      <w:r>
        <w:rPr>
          <w:rFonts w:hint="eastAsia" w:ascii="宋体" w:hAnsi="宋体"/>
          <w:sz w:val="28"/>
          <w:szCs w:val="28"/>
          <w:lang w:val="zh-CN"/>
        </w:rPr>
        <w:t>职务，是</w:t>
      </w:r>
      <w:r>
        <w:rPr>
          <w:rFonts w:hint="eastAsia" w:ascii="宋体" w:hAnsi="宋体"/>
          <w:sz w:val="28"/>
          <w:szCs w:val="28"/>
          <w:u w:val="single"/>
          <w:lang w:val="zh-CN"/>
        </w:rPr>
        <w:t xml:space="preserve">       （供应商名称）       </w:t>
      </w:r>
      <w:r>
        <w:rPr>
          <w:rFonts w:hint="eastAsia" w:ascii="宋体" w:hAnsi="宋体"/>
          <w:sz w:val="28"/>
          <w:szCs w:val="28"/>
          <w:lang w:val="zh-CN"/>
        </w:rPr>
        <w:t>的法定代表人。</w:t>
      </w:r>
    </w:p>
    <w:p>
      <w:pPr>
        <w:tabs>
          <w:tab w:val="left" w:pos="6300"/>
        </w:tabs>
        <w:spacing w:line="360" w:lineRule="auto"/>
        <w:ind w:firstLine="573"/>
        <w:rPr>
          <w:rFonts w:ascii="宋体" w:hAnsi="宋体"/>
          <w:sz w:val="28"/>
          <w:szCs w:val="28"/>
          <w:lang w:val="zh-CN"/>
        </w:rPr>
      </w:pPr>
      <w:r>
        <w:rPr>
          <w:rFonts w:hint="eastAsia" w:ascii="宋体" w:hAnsi="宋体"/>
          <w:sz w:val="28"/>
          <w:szCs w:val="28"/>
          <w:lang w:val="zh-CN"/>
        </w:rPr>
        <w:t>特此证明。</w:t>
      </w: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spacing w:line="360" w:lineRule="auto"/>
        <w:rPr>
          <w:rFonts w:ascii="宋体" w:hAnsi="宋体"/>
          <w:sz w:val="28"/>
          <w:szCs w:val="28"/>
          <w:lang w:val="zh-CN"/>
        </w:rPr>
      </w:pPr>
      <w:r>
        <w:rPr>
          <w:rFonts w:hint="eastAsia" w:ascii="宋体" w:hAnsi="宋体"/>
          <w:sz w:val="28"/>
          <w:szCs w:val="28"/>
          <w:lang w:val="zh-CN"/>
        </w:rPr>
        <w:t>供应商名称：</w:t>
      </w:r>
      <w:r>
        <w:rPr>
          <w:rFonts w:hint="eastAsia" w:ascii="宋体" w:hAnsi="宋体"/>
          <w:sz w:val="28"/>
          <w:szCs w:val="28"/>
          <w:u w:val="single"/>
          <w:lang w:val="zh-CN"/>
        </w:rPr>
        <w:t>XXXX</w:t>
      </w:r>
    </w:p>
    <w:p>
      <w:pPr>
        <w:spacing w:line="360" w:lineRule="auto"/>
        <w:ind w:right="560"/>
        <w:rPr>
          <w:rFonts w:ascii="宋体" w:hAnsi="宋体"/>
          <w:sz w:val="28"/>
          <w:szCs w:val="28"/>
        </w:rPr>
      </w:pPr>
      <w:r>
        <w:rPr>
          <w:rFonts w:hint="eastAsia" w:ascii="宋体" w:hAnsi="宋体"/>
          <w:sz w:val="28"/>
          <w:szCs w:val="28"/>
        </w:rPr>
        <w:t>日      期：</w:t>
      </w:r>
      <w:r>
        <w:rPr>
          <w:rFonts w:hint="eastAsia" w:ascii="宋体" w:hAnsi="宋体"/>
          <w:sz w:val="28"/>
          <w:szCs w:val="28"/>
          <w:u w:val="single"/>
          <w:lang w:val="zh-CN"/>
        </w:rPr>
        <w:t>XX</w:t>
      </w:r>
      <w:r>
        <w:rPr>
          <w:rFonts w:hint="eastAsia" w:ascii="宋体" w:hAnsi="宋体"/>
          <w:sz w:val="28"/>
          <w:szCs w:val="28"/>
        </w:rPr>
        <w:t>年</w:t>
      </w:r>
      <w:r>
        <w:rPr>
          <w:rFonts w:hint="eastAsia" w:ascii="宋体" w:hAnsi="宋体"/>
          <w:sz w:val="28"/>
          <w:szCs w:val="28"/>
          <w:u w:val="single"/>
          <w:lang w:val="zh-CN"/>
        </w:rPr>
        <w:t>XX</w:t>
      </w:r>
      <w:r>
        <w:rPr>
          <w:rFonts w:hint="eastAsia" w:ascii="宋体" w:hAnsi="宋体"/>
          <w:sz w:val="28"/>
          <w:szCs w:val="28"/>
        </w:rPr>
        <w:t>月</w:t>
      </w:r>
      <w:r>
        <w:rPr>
          <w:rFonts w:hint="eastAsia" w:ascii="宋体" w:hAnsi="宋体"/>
          <w:sz w:val="28"/>
          <w:szCs w:val="28"/>
          <w:u w:val="single"/>
          <w:lang w:val="zh-CN"/>
        </w:rPr>
        <w:t>XX</w:t>
      </w:r>
      <w:r>
        <w:rPr>
          <w:rFonts w:hint="eastAsia" w:ascii="宋体" w:hAnsi="宋体"/>
          <w:sz w:val="28"/>
          <w:szCs w:val="28"/>
        </w:rPr>
        <w:t>日</w:t>
      </w:r>
    </w:p>
    <w:p>
      <w:pPr>
        <w:spacing w:line="360" w:lineRule="auto"/>
        <w:rPr>
          <w:rFonts w:ascii="宋体" w:hAnsi="宋体"/>
          <w:sz w:val="28"/>
          <w:szCs w:val="28"/>
          <w:lang w:val="zh-CN"/>
        </w:rPr>
      </w:pPr>
    </w:p>
    <w:p>
      <w:pPr>
        <w:spacing w:line="360" w:lineRule="auto"/>
        <w:ind w:firstLine="568" w:firstLineChars="202"/>
        <w:rPr>
          <w:rFonts w:ascii="宋体" w:hAnsi="宋体"/>
          <w:b/>
          <w:sz w:val="28"/>
          <w:szCs w:val="28"/>
          <w:lang w:val="zh-CN"/>
        </w:rPr>
      </w:pPr>
      <w:r>
        <w:rPr>
          <w:rFonts w:hint="eastAsia" w:ascii="宋体" w:hAnsi="宋体"/>
          <w:b/>
          <w:sz w:val="28"/>
          <w:szCs w:val="28"/>
          <w:lang w:val="zh-CN"/>
        </w:rPr>
        <w:t>说明：上述证明文件在施工响应文件中附有法定代表人身份证复印件（</w:t>
      </w:r>
      <w:r>
        <w:rPr>
          <w:rFonts w:ascii="宋体" w:hAnsi="宋体"/>
          <w:b/>
          <w:sz w:val="28"/>
          <w:lang w:val="zh-CN"/>
        </w:rPr>
        <w:t>身份证</w:t>
      </w:r>
      <w:r>
        <w:rPr>
          <w:rFonts w:hint="eastAsia" w:ascii="宋体" w:hAnsi="宋体"/>
          <w:b/>
          <w:sz w:val="28"/>
          <w:lang w:val="zh-CN"/>
        </w:rPr>
        <w:t>两面均应复印</w:t>
      </w:r>
      <w:r>
        <w:rPr>
          <w:rFonts w:hint="eastAsia" w:ascii="宋体" w:hAnsi="宋体"/>
          <w:b/>
          <w:sz w:val="28"/>
          <w:szCs w:val="28"/>
          <w:lang w:val="zh-CN"/>
        </w:rPr>
        <w:t>）或护照复印件（供应商的法定代表人为外籍人士的，则提供护照复印件）时才能生效。</w:t>
      </w:r>
    </w:p>
    <w:p>
      <w:pPr>
        <w:pStyle w:val="2"/>
        <w:spacing w:line="360" w:lineRule="auto"/>
        <w:rPr>
          <w:lang w:val="zh-CN"/>
        </w:rPr>
      </w:pPr>
    </w:p>
    <w:p>
      <w:pPr>
        <w:spacing w:line="360" w:lineRule="auto"/>
        <w:rPr>
          <w:lang w:val="zh-CN"/>
        </w:rPr>
      </w:pPr>
    </w:p>
    <w:p>
      <w:pPr>
        <w:pStyle w:val="2"/>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pStyle w:val="5"/>
        <w:numPr>
          <w:ilvl w:val="3"/>
          <w:numId w:val="1"/>
        </w:numPr>
        <w:tabs>
          <w:tab w:val="left" w:pos="709"/>
        </w:tabs>
        <w:jc w:val="left"/>
        <w:rPr>
          <w:color w:val="auto"/>
        </w:rPr>
      </w:pPr>
      <w:r>
        <w:rPr>
          <w:rFonts w:hint="eastAsia"/>
          <w:color w:val="auto"/>
        </w:rPr>
        <w:t>承诺函</w:t>
      </w:r>
    </w:p>
    <w:p>
      <w:pPr>
        <w:snapToGrid w:val="0"/>
        <w:spacing w:line="360" w:lineRule="auto"/>
        <w:jc w:val="both"/>
        <w:rPr>
          <w:rFonts w:ascii="宋体" w:hAnsi="宋体"/>
          <w:b/>
          <w:spacing w:val="-20"/>
          <w:sz w:val="28"/>
          <w:szCs w:val="28"/>
        </w:rPr>
      </w:pPr>
      <w:r>
        <w:rPr>
          <w:rFonts w:hint="eastAsia" w:ascii="宋体" w:hAnsi="宋体"/>
          <w:b/>
          <w:spacing w:val="-20"/>
          <w:sz w:val="28"/>
          <w:szCs w:val="28"/>
        </w:rPr>
        <w:t>项目名称：</w:t>
      </w:r>
      <w:r>
        <w:rPr>
          <w:rFonts w:hint="eastAsia" w:ascii="宋体" w:hAnsi="宋体"/>
          <w:b/>
          <w:sz w:val="28"/>
          <w:szCs w:val="28"/>
          <w:u w:val="single"/>
        </w:rPr>
        <w:t>成都市中和中学2021年提升修缮工程采购项目</w:t>
      </w:r>
    </w:p>
    <w:p>
      <w:pPr>
        <w:snapToGrid w:val="0"/>
        <w:spacing w:line="360" w:lineRule="auto"/>
        <w:jc w:val="both"/>
        <w:rPr>
          <w:rFonts w:ascii="宋体" w:hAnsi="宋体"/>
          <w:b/>
          <w:color w:val="auto"/>
          <w:sz w:val="28"/>
          <w:szCs w:val="28"/>
          <w:u w:val="single"/>
        </w:rPr>
      </w:pPr>
      <w:r>
        <w:rPr>
          <w:rFonts w:hint="eastAsia" w:ascii="宋体" w:hAnsi="宋体"/>
          <w:b/>
          <w:sz w:val="28"/>
          <w:szCs w:val="28"/>
        </w:rPr>
        <w:t>项目编号：</w:t>
      </w:r>
      <w:r>
        <w:rPr>
          <w:rFonts w:hint="eastAsia" w:ascii="宋体" w:hAnsi="宋体"/>
          <w:b/>
          <w:sz w:val="28"/>
          <w:szCs w:val="28"/>
          <w:u w:val="single"/>
        </w:rPr>
        <w:t>成都高新技术产业开发区</w:t>
      </w:r>
      <w:r>
        <w:rPr>
          <w:rFonts w:hint="eastAsia" w:ascii="宋体" w:hAnsi="宋体"/>
          <w:b/>
          <w:color w:val="auto"/>
          <w:sz w:val="28"/>
          <w:szCs w:val="28"/>
          <w:u w:val="single"/>
        </w:rPr>
        <w:t>政采</w:t>
      </w:r>
      <w:r>
        <w:rPr>
          <w:rFonts w:hint="eastAsia" w:ascii="宋体" w:hAnsi="宋体"/>
          <w:b/>
          <w:color w:val="auto"/>
          <w:sz w:val="28"/>
          <w:szCs w:val="28"/>
          <w:u w:val="single"/>
          <w:lang w:eastAsia="zh-CN"/>
        </w:rPr>
        <w:t>（2021）A0054</w:t>
      </w:r>
      <w:r>
        <w:rPr>
          <w:rFonts w:hint="eastAsia" w:ascii="宋体" w:hAnsi="宋体"/>
          <w:b/>
          <w:color w:val="auto"/>
          <w:sz w:val="28"/>
          <w:szCs w:val="28"/>
          <w:u w:val="single"/>
        </w:rPr>
        <w:t>号</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为本项目提供的所有产品、辅材中</w:t>
      </w:r>
      <w:r>
        <w:rPr>
          <w:rFonts w:ascii="宋体" w:hAnsi="宋体" w:eastAsia="宋体" w:cs="仿宋"/>
          <w:sz w:val="28"/>
          <w:szCs w:val="28"/>
        </w:rPr>
        <w:t>属于《国家强制性产品认证目录》范围内产品的，均通过国家强制性产品认证并取得认证证书。</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为本项目提供的所有产品、辅材等符合现行的强制性国家相关标准、行业标准。</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为本项目提供的所有产品中属于节能产品政府采购品目清单中的政府强制采购产品的，均具有国家确定的认证机构出具的有效期内的节能产品认证证书。</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为本工程项目实施涉及的商品包装和快递包装，均符合财政部等三部门联合印发商品包装和快递包装政府采购需求标准（试行）（财办库[2020]123号）的要求。</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为本项目提供的工程、货物及服务均为本国工程、货物及服务。</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我方承诺严格按照工程量清单、工程量清单编制说明进行施工，工程施工满足当地建设行政主管部门对工程建设的有关规定，并按经批准的施工组织设计实施，并符合施工规范及验收标准的相关要求。</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在参加本次采购活动中，不存在与单位负责人为同一人或者存在直接控股、管理关系的其他供应商参与同一合同项下的政府采购活动的行为。</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为采购项目提供整体设计、规范编制或者项目管理、监理、检测等服务的供应商，不得再参加该采购项目的其他采购活动，我方承诺不属于此类禁止参加本项目的供应商。</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在参加本次采购活动中，不存在和其他供应商在同一合同项下的采购项目中，同时委托同一个自然人、同一家庭的人员、同一单位的人员作为代理人的行为。</w:t>
      </w:r>
    </w:p>
    <w:p>
      <w:pPr>
        <w:pStyle w:val="82"/>
        <w:numPr>
          <w:ilvl w:val="0"/>
          <w:numId w:val="39"/>
        </w:numPr>
        <w:tabs>
          <w:tab w:val="left" w:pos="1134"/>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施工响应文件中提供的任何资料和技术、服务、商务等响应承诺情况都是真实的、有效的、合法的。</w:t>
      </w:r>
    </w:p>
    <w:p>
      <w:pPr>
        <w:pStyle w:val="82"/>
        <w:numPr>
          <w:ilvl w:val="0"/>
          <w:numId w:val="39"/>
        </w:numPr>
        <w:tabs>
          <w:tab w:val="left" w:pos="1418"/>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如本项目磋商采购过程中需要提供样品，则我方提供的样品即为成交后将要提供的成交产品，我方对提供样品的性能和质量负责，因样品存在缺陷或者不符合磋商文件要求导致未能成交的，我方愿意承担相应不利后果。</w:t>
      </w:r>
    </w:p>
    <w:p>
      <w:pPr>
        <w:pStyle w:val="82"/>
        <w:numPr>
          <w:ilvl w:val="0"/>
          <w:numId w:val="39"/>
        </w:numPr>
        <w:tabs>
          <w:tab w:val="left" w:pos="1418"/>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国家或行业主管部门对工程项目的技术标准、质量标准和资格资质条件等有强制性规定的，我方承诺符合其要求。</w:t>
      </w:r>
    </w:p>
    <w:p>
      <w:pPr>
        <w:pStyle w:val="82"/>
        <w:numPr>
          <w:ilvl w:val="0"/>
          <w:numId w:val="39"/>
        </w:numPr>
        <w:tabs>
          <w:tab w:val="left" w:pos="1418"/>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参加本次采购活动，我方完全同意磋商文件第二章关于“磋商费用”、“合同分包”、“合同转包”、“履约保证金”等实质性要求，并承诺严格按照磋商文件要求履行。</w:t>
      </w:r>
    </w:p>
    <w:p>
      <w:pPr>
        <w:pStyle w:val="82"/>
        <w:numPr>
          <w:ilvl w:val="0"/>
          <w:numId w:val="39"/>
        </w:numPr>
        <w:tabs>
          <w:tab w:val="left" w:pos="1418"/>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我方保证在本项目使用的任何技术、产品和服务（包括部分使用）时，不会产生因第三方提出侵犯其专利权、商标权或其它知识产权而引起的法律和经济纠纷，如因专利权、商标权或其它知识产权而引起法律和经济纠纷，由我方承担所有相关责任。除非磋商文件特别规定，采购人享有本项目实施过程中产生的知识成果及知识产权。如我方在采购项目实施过程中采用自有或者第三方知识成果的，使用该知识成果后，我方承诺提供开发接口和开发手册等技术资料，并提供无限期支持，采购人享有使用权（含采购人委托第三方在该项目后续开发的使用权）。如我方在项目实施过程中采用非自有的知识产权，则在报价中已包括合法获取该知识产权的相关费用。</w:t>
      </w:r>
    </w:p>
    <w:p>
      <w:pPr>
        <w:pStyle w:val="82"/>
        <w:numPr>
          <w:ilvl w:val="0"/>
          <w:numId w:val="39"/>
        </w:numPr>
        <w:tabs>
          <w:tab w:val="left" w:pos="1418"/>
        </w:tabs>
        <w:spacing w:line="360" w:lineRule="auto"/>
        <w:ind w:left="0" w:firstLine="560" w:firstLineChars="0"/>
        <w:jc w:val="both"/>
        <w:rPr>
          <w:rFonts w:ascii="宋体" w:hAnsi="宋体" w:eastAsia="宋体" w:cs="仿宋"/>
          <w:sz w:val="28"/>
          <w:szCs w:val="28"/>
        </w:rPr>
      </w:pPr>
      <w:r>
        <w:rPr>
          <w:rFonts w:hint="eastAsia" w:ascii="宋体" w:hAnsi="宋体" w:eastAsia="宋体" w:cs="仿宋"/>
          <w:sz w:val="28"/>
          <w:szCs w:val="28"/>
        </w:rPr>
        <w:t>与我方存在直接控股关系的单位为：</w:t>
      </w:r>
      <w:r>
        <w:rPr>
          <w:rFonts w:hint="eastAsia" w:ascii="宋体" w:hAnsi="宋体" w:eastAsia="宋体" w:cs="仿宋"/>
          <w:b/>
          <w:sz w:val="28"/>
          <w:szCs w:val="28"/>
          <w:u w:val="single"/>
        </w:rPr>
        <w:t>　　</w:t>
      </w:r>
      <w:r>
        <w:rPr>
          <w:rFonts w:ascii="宋体" w:hAnsi="宋体" w:eastAsia="宋体" w:cs="仿宋"/>
          <w:b/>
          <w:sz w:val="28"/>
          <w:szCs w:val="28"/>
          <w:u w:val="single"/>
        </w:rPr>
        <w:t>XXXX</w:t>
      </w:r>
      <w:r>
        <w:rPr>
          <w:rFonts w:hint="eastAsia" w:ascii="宋体" w:hAnsi="宋体" w:eastAsia="宋体" w:cs="仿宋"/>
          <w:b/>
          <w:sz w:val="28"/>
          <w:szCs w:val="28"/>
          <w:u w:val="single"/>
        </w:rPr>
        <w:t>（说明：填写“无”或“（一）供应商名称１；（二）供应商名称２ ；（三）……”）　　</w:t>
      </w:r>
      <w:r>
        <w:rPr>
          <w:rFonts w:hint="eastAsia" w:ascii="宋体" w:hAnsi="宋体" w:eastAsia="宋体" w:cs="仿宋"/>
          <w:sz w:val="28"/>
          <w:szCs w:val="28"/>
        </w:rPr>
        <w:t>；存在管理关系单位为：</w:t>
      </w:r>
      <w:r>
        <w:rPr>
          <w:rFonts w:hint="eastAsia" w:ascii="宋体" w:hAnsi="宋体" w:eastAsia="宋体" w:cs="仿宋"/>
          <w:b/>
          <w:sz w:val="28"/>
          <w:szCs w:val="28"/>
          <w:u w:val="single"/>
        </w:rPr>
        <w:t>　　</w:t>
      </w:r>
      <w:r>
        <w:rPr>
          <w:rFonts w:ascii="宋体" w:hAnsi="宋体" w:eastAsia="宋体" w:cs="仿宋"/>
          <w:b/>
          <w:sz w:val="28"/>
          <w:szCs w:val="28"/>
          <w:u w:val="single"/>
        </w:rPr>
        <w:t>XXXX</w:t>
      </w:r>
      <w:r>
        <w:rPr>
          <w:rFonts w:hint="eastAsia" w:ascii="宋体" w:hAnsi="宋体" w:eastAsia="宋体" w:cs="仿宋"/>
          <w:b/>
          <w:sz w:val="28"/>
          <w:szCs w:val="28"/>
          <w:u w:val="single"/>
        </w:rPr>
        <w:t>（说明：填写“无”或“（一）供应商名称１；（二）供应商名称２ ；（三）……”）　　</w:t>
      </w:r>
      <w:r>
        <w:rPr>
          <w:rFonts w:hint="eastAsia" w:ascii="宋体" w:hAnsi="宋体" w:eastAsia="宋体" w:cs="仿宋"/>
          <w:sz w:val="28"/>
          <w:szCs w:val="28"/>
        </w:rPr>
        <w:t>。</w:t>
      </w:r>
    </w:p>
    <w:p>
      <w:pPr>
        <w:pStyle w:val="82"/>
        <w:numPr>
          <w:ilvl w:val="0"/>
          <w:numId w:val="39"/>
        </w:numPr>
        <w:tabs>
          <w:tab w:val="left" w:pos="1418"/>
        </w:tabs>
        <w:spacing w:line="360" w:lineRule="auto"/>
        <w:ind w:left="0" w:firstLine="560" w:firstLineChars="0"/>
        <w:jc w:val="both"/>
        <w:rPr>
          <w:rFonts w:ascii="宋体" w:hAnsi="宋体" w:eastAsia="宋体" w:cs="仿宋"/>
          <w:spacing w:val="-6"/>
          <w:sz w:val="28"/>
          <w:szCs w:val="28"/>
        </w:rPr>
      </w:pPr>
      <w:r>
        <w:rPr>
          <w:rFonts w:hint="eastAsia" w:ascii="宋体" w:hAnsi="宋体" w:eastAsia="宋体" w:cs="仿宋"/>
          <w:spacing w:val="-6"/>
          <w:sz w:val="28"/>
          <w:szCs w:val="28"/>
        </w:rPr>
        <w:t>本项目为室内装修改造，为减少对办公人员的工作影响，需在下班时间、周末节假日统一施工，施工需分批次进行。</w:t>
      </w:r>
    </w:p>
    <w:p>
      <w:pPr>
        <w:pStyle w:val="82"/>
        <w:numPr>
          <w:ilvl w:val="0"/>
          <w:numId w:val="39"/>
        </w:numPr>
        <w:tabs>
          <w:tab w:val="left" w:pos="1418"/>
        </w:tabs>
        <w:spacing w:line="360" w:lineRule="auto"/>
        <w:ind w:left="0" w:firstLine="561" w:firstLineChars="0"/>
        <w:jc w:val="both"/>
        <w:rPr>
          <w:rFonts w:ascii="宋体" w:hAnsi="宋体" w:eastAsia="宋体" w:cs="仿宋"/>
          <w:spacing w:val="-6"/>
          <w:sz w:val="28"/>
          <w:szCs w:val="28"/>
        </w:rPr>
      </w:pPr>
      <w:r>
        <w:rPr>
          <w:rFonts w:hint="eastAsia" w:ascii="宋体" w:hAnsi="宋体" w:eastAsia="宋体" w:cs="仿宋"/>
          <w:spacing w:val="-6"/>
          <w:sz w:val="28"/>
          <w:szCs w:val="28"/>
        </w:rPr>
        <w:t>我方承诺完全响应磋商文件4.2漏项工程处理、4.3施工及验收要求、4.4.3工程地址、4.5违约责任中的所有要求。</w:t>
      </w:r>
    </w:p>
    <w:p>
      <w:pPr>
        <w:pStyle w:val="82"/>
        <w:numPr>
          <w:ilvl w:val="0"/>
          <w:numId w:val="39"/>
        </w:numPr>
        <w:tabs>
          <w:tab w:val="left" w:pos="1418"/>
        </w:tabs>
        <w:spacing w:line="360" w:lineRule="auto"/>
        <w:ind w:left="0" w:firstLine="561" w:firstLineChars="0"/>
        <w:jc w:val="both"/>
        <w:rPr>
          <w:rFonts w:ascii="宋体" w:hAnsi="宋体" w:eastAsia="宋体" w:cs="仿宋"/>
          <w:spacing w:val="-6"/>
          <w:sz w:val="28"/>
          <w:szCs w:val="28"/>
        </w:rPr>
      </w:pPr>
      <w:r>
        <w:rPr>
          <w:rFonts w:hint="eastAsia" w:ascii="宋体" w:hAnsi="宋体"/>
          <w:bCs/>
          <w:sz w:val="28"/>
          <w:szCs w:val="28"/>
        </w:rPr>
        <w:t>我公司为本项目配备的项目经理为</w:t>
      </w:r>
      <w:r>
        <w:rPr>
          <w:rFonts w:hint="eastAsia" w:ascii="宋体" w:hAnsi="宋体"/>
          <w:b/>
          <w:spacing w:val="6"/>
          <w:sz w:val="28"/>
          <w:szCs w:val="28"/>
          <w:u w:val="single"/>
        </w:rPr>
        <w:t xml:space="preserve">  XXXXXX  </w:t>
      </w:r>
      <w:r>
        <w:rPr>
          <w:rFonts w:hint="eastAsia" w:ascii="宋体" w:hAnsi="宋体"/>
          <w:b/>
          <w:bCs/>
          <w:sz w:val="28"/>
          <w:szCs w:val="28"/>
          <w:u w:val="single"/>
        </w:rPr>
        <w:t>（项目经理姓名）</w:t>
      </w:r>
      <w:r>
        <w:rPr>
          <w:rFonts w:hint="eastAsia" w:ascii="宋体" w:hAnsi="宋体" w:eastAsia="宋体" w:cs="仿宋"/>
          <w:spacing w:val="-6"/>
          <w:sz w:val="28"/>
          <w:szCs w:val="28"/>
        </w:rPr>
        <w:t>。</w:t>
      </w:r>
    </w:p>
    <w:p>
      <w:pPr>
        <w:pStyle w:val="82"/>
        <w:numPr>
          <w:ilvl w:val="0"/>
          <w:numId w:val="39"/>
        </w:numPr>
        <w:tabs>
          <w:tab w:val="left" w:pos="1418"/>
        </w:tabs>
        <w:spacing w:line="360" w:lineRule="auto"/>
        <w:ind w:left="0" w:firstLine="560" w:firstLineChars="0"/>
        <w:jc w:val="both"/>
        <w:rPr>
          <w:rFonts w:ascii="宋体" w:hAnsi="宋体" w:eastAsia="宋体" w:cs="仿宋"/>
          <w:spacing w:val="-6"/>
          <w:sz w:val="28"/>
          <w:szCs w:val="28"/>
        </w:rPr>
      </w:pPr>
      <w:r>
        <w:rPr>
          <w:rFonts w:hint="eastAsia" w:ascii="宋体" w:hAnsi="宋体"/>
          <w:bCs/>
          <w:sz w:val="28"/>
          <w:szCs w:val="28"/>
        </w:rPr>
        <w:t>我公司为本项目配备的项目技术负责人为</w:t>
      </w:r>
      <w:r>
        <w:rPr>
          <w:rFonts w:hint="eastAsia" w:ascii="宋体" w:hAnsi="宋体"/>
          <w:b/>
          <w:bCs/>
          <w:sz w:val="28"/>
          <w:szCs w:val="28"/>
          <w:u w:val="single"/>
        </w:rPr>
        <w:t xml:space="preserve">  XXXXXX  （项目技术负责人姓名）</w:t>
      </w:r>
      <w:r>
        <w:rPr>
          <w:rFonts w:hint="eastAsia" w:ascii="宋体" w:hAnsi="宋体"/>
          <w:bCs/>
          <w:sz w:val="28"/>
          <w:szCs w:val="28"/>
        </w:rPr>
        <w:t>。</w:t>
      </w:r>
    </w:p>
    <w:p>
      <w:pPr>
        <w:spacing w:line="360" w:lineRule="auto"/>
        <w:ind w:firstLine="560" w:firstLineChars="200"/>
        <w:jc w:val="both"/>
        <w:rPr>
          <w:rFonts w:ascii="宋体" w:hAnsi="宋体"/>
          <w:sz w:val="28"/>
          <w:szCs w:val="28"/>
        </w:rPr>
      </w:pPr>
      <w:r>
        <w:rPr>
          <w:rFonts w:hint="eastAsia" w:ascii="宋体" w:hAnsi="宋体"/>
          <w:sz w:val="28"/>
          <w:szCs w:val="28"/>
        </w:rPr>
        <w:t>我方对上述承诺的内容事项真实性负责。如经查实上述承诺的内容事项存在虚假，我方愿意接受以提供虚假材料谋取成交的法律责任。</w:t>
      </w:r>
    </w:p>
    <w:p>
      <w:pPr>
        <w:snapToGrid w:val="0"/>
        <w:spacing w:line="360" w:lineRule="auto"/>
        <w:ind w:firstLine="560" w:firstLineChars="200"/>
        <w:jc w:val="both"/>
        <w:rPr>
          <w:i/>
        </w:rPr>
      </w:pPr>
      <w:r>
        <w:rPr>
          <w:rFonts w:hint="eastAsia" w:ascii="宋体" w:hAnsi="宋体"/>
          <w:sz w:val="28"/>
          <w:szCs w:val="28"/>
        </w:rPr>
        <w:t>特此承诺。</w:t>
      </w:r>
    </w:p>
    <w:p>
      <w:pPr>
        <w:snapToGrid w:val="0"/>
        <w:spacing w:line="360" w:lineRule="auto"/>
      </w:pPr>
    </w:p>
    <w:p>
      <w:pPr>
        <w:snapToGrid w:val="0"/>
        <w:spacing w:line="360" w:lineRule="auto"/>
        <w:ind w:firstLine="560" w:firstLineChars="200"/>
        <w:rPr>
          <w:rFonts w:ascii="宋体" w:hAnsi="宋体"/>
          <w:sz w:val="28"/>
          <w:szCs w:val="28"/>
        </w:rPr>
      </w:pPr>
      <w:r>
        <w:rPr>
          <w:rFonts w:hint="eastAsia" w:ascii="宋体" w:hAnsi="宋体"/>
          <w:sz w:val="28"/>
          <w:szCs w:val="28"/>
        </w:rPr>
        <w:t>供应商名称：</w:t>
      </w:r>
      <w:r>
        <w:rPr>
          <w:rFonts w:ascii="宋体" w:hAnsi="宋体"/>
          <w:sz w:val="28"/>
          <w:szCs w:val="28"/>
          <w:u w:val="single"/>
        </w:rPr>
        <w:t>XXXXXXXXX</w:t>
      </w:r>
    </w:p>
    <w:p>
      <w:pPr>
        <w:snapToGrid w:val="0"/>
        <w:spacing w:line="360" w:lineRule="auto"/>
        <w:ind w:firstLine="560" w:firstLineChars="200"/>
        <w:rPr>
          <w:rFonts w:ascii="宋体" w:hAnsi="宋体"/>
          <w:sz w:val="28"/>
        </w:rPr>
      </w:pPr>
      <w:r>
        <w:rPr>
          <w:rFonts w:ascii="宋体" w:hAnsi="宋体"/>
          <w:sz w:val="28"/>
        </w:rPr>
        <w:t>日期：</w:t>
      </w:r>
      <w:r>
        <w:rPr>
          <w:rFonts w:ascii="宋体" w:hAnsi="宋体"/>
          <w:sz w:val="28"/>
          <w:u w:val="single"/>
        </w:rPr>
        <w:t>XX</w:t>
      </w:r>
      <w:r>
        <w:rPr>
          <w:rFonts w:ascii="宋体" w:hAnsi="宋体"/>
          <w:sz w:val="28"/>
        </w:rPr>
        <w:t>年</w:t>
      </w:r>
      <w:r>
        <w:rPr>
          <w:rFonts w:ascii="宋体" w:hAnsi="宋体"/>
          <w:sz w:val="28"/>
          <w:u w:val="single"/>
        </w:rPr>
        <w:t>XX</w:t>
      </w:r>
      <w:r>
        <w:rPr>
          <w:rFonts w:ascii="宋体" w:hAnsi="宋体"/>
          <w:sz w:val="28"/>
        </w:rPr>
        <w:t>月</w:t>
      </w:r>
      <w:r>
        <w:rPr>
          <w:rFonts w:ascii="宋体" w:hAnsi="宋体"/>
          <w:sz w:val="28"/>
          <w:u w:val="single"/>
        </w:rPr>
        <w:t>XX</w:t>
      </w:r>
      <w:r>
        <w:rPr>
          <w:rFonts w:ascii="宋体" w:hAnsi="宋体"/>
          <w:sz w:val="28"/>
        </w:rPr>
        <w:t>日</w:t>
      </w:r>
    </w:p>
    <w:p>
      <w:pPr>
        <w:snapToGrid w:val="0"/>
        <w:spacing w:line="360" w:lineRule="auto"/>
        <w:ind w:firstLine="560" w:firstLineChars="200"/>
        <w:rPr>
          <w:rFonts w:ascii="宋体" w:hAnsi="宋体"/>
          <w:sz w:val="28"/>
        </w:rPr>
      </w:pPr>
    </w:p>
    <w:p>
      <w:pPr>
        <w:snapToGrid w:val="0"/>
        <w:spacing w:line="360" w:lineRule="auto"/>
        <w:ind w:firstLine="560" w:firstLineChars="200"/>
        <w:rPr>
          <w:rFonts w:ascii="宋体" w:hAnsi="宋体"/>
          <w:sz w:val="28"/>
        </w:rPr>
      </w:pPr>
    </w:p>
    <w:p>
      <w:r>
        <w:rPr>
          <w:rFonts w:hint="eastAsia"/>
        </w:rPr>
        <w:br w:type="page"/>
      </w:r>
    </w:p>
    <w:p>
      <w:pPr>
        <w:pStyle w:val="5"/>
        <w:numPr>
          <w:ilvl w:val="3"/>
          <w:numId w:val="1"/>
        </w:numPr>
        <w:tabs>
          <w:tab w:val="left" w:pos="709"/>
        </w:tabs>
        <w:jc w:val="left"/>
        <w:rPr>
          <w:color w:val="auto"/>
        </w:rPr>
      </w:pPr>
      <w:r>
        <w:rPr>
          <w:rFonts w:hint="eastAsia"/>
          <w:color w:val="auto"/>
        </w:rPr>
        <w:t>施工组织设计</w:t>
      </w:r>
    </w:p>
    <w:p>
      <w:pPr>
        <w:snapToGrid w:val="0"/>
        <w:spacing w:line="360" w:lineRule="auto"/>
        <w:ind w:firstLine="563"/>
        <w:rPr>
          <w:rFonts w:ascii="宋体" w:hAnsi="宋体"/>
          <w:spacing w:val="6"/>
          <w:sz w:val="28"/>
          <w:szCs w:val="28"/>
        </w:rPr>
      </w:pPr>
      <w:r>
        <w:rPr>
          <w:rFonts w:hint="eastAsia" w:ascii="宋体" w:hAnsi="宋体"/>
          <w:spacing w:val="6"/>
          <w:sz w:val="28"/>
          <w:szCs w:val="28"/>
        </w:rPr>
        <w:t>施工组织设计格式及内容自拟。</w:t>
      </w: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pStyle w:val="2"/>
        <w:spacing w:line="360" w:lineRule="auto"/>
      </w:pPr>
    </w:p>
    <w:p>
      <w:pPr>
        <w:pStyle w:val="2"/>
        <w:spacing w:line="360" w:lineRule="auto"/>
      </w:pPr>
    </w:p>
    <w:p>
      <w:pPr>
        <w:pStyle w:val="2"/>
        <w:spacing w:line="360" w:lineRule="auto"/>
      </w:pPr>
    </w:p>
    <w:p>
      <w:pPr>
        <w:pStyle w:val="2"/>
        <w:spacing w:line="360" w:lineRule="auto"/>
      </w:pPr>
    </w:p>
    <w:p>
      <w:pPr>
        <w:snapToGrid w:val="0"/>
        <w:spacing w:line="360" w:lineRule="auto"/>
        <w:ind w:firstLine="560" w:firstLineChars="200"/>
        <w:rPr>
          <w:rFonts w:ascii="宋体" w:hAnsi="宋体"/>
          <w:sz w:val="28"/>
          <w:szCs w:val="28"/>
        </w:rPr>
      </w:pPr>
      <w:r>
        <w:rPr>
          <w:rFonts w:hint="eastAsia" w:ascii="宋体" w:hAnsi="宋体"/>
          <w:sz w:val="28"/>
          <w:szCs w:val="28"/>
        </w:rPr>
        <w:t>供应商名称：</w:t>
      </w:r>
      <w:r>
        <w:rPr>
          <w:rFonts w:ascii="宋体" w:hAnsi="宋体"/>
          <w:sz w:val="28"/>
          <w:szCs w:val="28"/>
          <w:u w:val="single"/>
        </w:rPr>
        <w:t>XXXXXXXXX</w:t>
      </w:r>
    </w:p>
    <w:p>
      <w:pPr>
        <w:snapToGrid w:val="0"/>
        <w:spacing w:line="360" w:lineRule="auto"/>
        <w:ind w:firstLine="560" w:firstLineChars="200"/>
        <w:rPr>
          <w:rFonts w:ascii="宋体" w:hAnsi="宋体"/>
          <w:sz w:val="28"/>
        </w:rPr>
      </w:pPr>
      <w:r>
        <w:rPr>
          <w:rFonts w:ascii="宋体" w:hAnsi="宋体"/>
          <w:sz w:val="28"/>
        </w:rPr>
        <w:t>日期：</w:t>
      </w:r>
      <w:r>
        <w:rPr>
          <w:rFonts w:ascii="宋体" w:hAnsi="宋体"/>
          <w:sz w:val="28"/>
          <w:u w:val="single"/>
        </w:rPr>
        <w:t>XX</w:t>
      </w:r>
      <w:r>
        <w:rPr>
          <w:rFonts w:ascii="宋体" w:hAnsi="宋体"/>
          <w:sz w:val="28"/>
        </w:rPr>
        <w:t>年</w:t>
      </w:r>
      <w:r>
        <w:rPr>
          <w:rFonts w:ascii="宋体" w:hAnsi="宋体"/>
          <w:sz w:val="28"/>
          <w:u w:val="single"/>
        </w:rPr>
        <w:t>XX</w:t>
      </w:r>
      <w:r>
        <w:rPr>
          <w:rFonts w:ascii="宋体" w:hAnsi="宋体"/>
          <w:sz w:val="28"/>
        </w:rPr>
        <w:t>月</w:t>
      </w:r>
      <w:r>
        <w:rPr>
          <w:rFonts w:ascii="宋体" w:hAnsi="宋体"/>
          <w:sz w:val="28"/>
          <w:u w:val="single"/>
        </w:rPr>
        <w:t>XX</w:t>
      </w:r>
      <w:r>
        <w:rPr>
          <w:rFonts w:ascii="宋体" w:hAnsi="宋体"/>
          <w:sz w:val="28"/>
        </w:rPr>
        <w:t>日</w:t>
      </w:r>
    </w:p>
    <w:p>
      <w:pPr>
        <w:pStyle w:val="2"/>
        <w:spacing w:line="360" w:lineRule="auto"/>
      </w:pPr>
    </w:p>
    <w:p>
      <w:pPr>
        <w:pStyle w:val="5"/>
        <w:numPr>
          <w:ilvl w:val="3"/>
          <w:numId w:val="1"/>
        </w:numPr>
        <w:tabs>
          <w:tab w:val="left" w:pos="709"/>
        </w:tabs>
        <w:jc w:val="left"/>
        <w:rPr>
          <w:color w:val="auto"/>
        </w:rPr>
      </w:pPr>
      <w:r>
        <w:rPr>
          <w:rFonts w:hint="eastAsia"/>
          <w:color w:val="auto"/>
        </w:rPr>
        <w:t>技术、服务、合同条款要求应答表</w:t>
      </w:r>
    </w:p>
    <w:tbl>
      <w:tblPr>
        <w:tblStyle w:val="45"/>
        <w:tblW w:w="8876" w:type="dxa"/>
        <w:tblInd w:w="0" w:type="dxa"/>
        <w:tblLayout w:type="fixed"/>
        <w:tblCellMar>
          <w:top w:w="0" w:type="dxa"/>
          <w:left w:w="108" w:type="dxa"/>
          <w:bottom w:w="0" w:type="dxa"/>
          <w:right w:w="108" w:type="dxa"/>
        </w:tblCellMar>
      </w:tblPr>
      <w:tblGrid>
        <w:gridCol w:w="775"/>
        <w:gridCol w:w="1785"/>
        <w:gridCol w:w="5458"/>
        <w:gridCol w:w="858"/>
      </w:tblGrid>
      <w:tr>
        <w:tblPrEx>
          <w:tblCellMar>
            <w:top w:w="0" w:type="dxa"/>
            <w:left w:w="108" w:type="dxa"/>
            <w:bottom w:w="0" w:type="dxa"/>
            <w:right w:w="108" w:type="dxa"/>
          </w:tblCellMar>
        </w:tblPrEx>
        <w:trPr>
          <w:trHeight w:val="969" w:hRule="atLeast"/>
        </w:trPr>
        <w:tc>
          <w:tcPr>
            <w:tcW w:w="775"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序号</w:t>
            </w:r>
          </w:p>
        </w:tc>
        <w:tc>
          <w:tcPr>
            <w:tcW w:w="1785"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项 目</w:t>
            </w:r>
          </w:p>
        </w:tc>
        <w:tc>
          <w:tcPr>
            <w:tcW w:w="54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响应内容</w:t>
            </w:r>
          </w:p>
        </w:tc>
        <w:tc>
          <w:tcPr>
            <w:tcW w:w="8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备注</w:t>
            </w:r>
          </w:p>
        </w:tc>
      </w:tr>
      <w:tr>
        <w:tblPrEx>
          <w:tblCellMar>
            <w:top w:w="0" w:type="dxa"/>
            <w:left w:w="108" w:type="dxa"/>
            <w:bottom w:w="0" w:type="dxa"/>
            <w:right w:w="108" w:type="dxa"/>
          </w:tblCellMar>
        </w:tblPrEx>
        <w:trPr>
          <w:trHeight w:val="734" w:hRule="atLeast"/>
        </w:trPr>
        <w:tc>
          <w:tcPr>
            <w:tcW w:w="775"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1</w:t>
            </w:r>
          </w:p>
        </w:tc>
        <w:tc>
          <w:tcPr>
            <w:tcW w:w="1785"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工    期</w:t>
            </w:r>
          </w:p>
        </w:tc>
        <w:tc>
          <w:tcPr>
            <w:tcW w:w="5458"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 xml:space="preserve">6个月    </w:t>
            </w:r>
          </w:p>
        </w:tc>
        <w:tc>
          <w:tcPr>
            <w:tcW w:w="8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p>
        </w:tc>
      </w:tr>
      <w:tr>
        <w:tblPrEx>
          <w:tblCellMar>
            <w:top w:w="0" w:type="dxa"/>
            <w:left w:w="108" w:type="dxa"/>
            <w:bottom w:w="0" w:type="dxa"/>
            <w:right w:w="108" w:type="dxa"/>
          </w:tblCellMar>
        </w:tblPrEx>
        <w:trPr>
          <w:trHeight w:val="757" w:hRule="atLeast"/>
        </w:trPr>
        <w:tc>
          <w:tcPr>
            <w:tcW w:w="775"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2</w:t>
            </w:r>
          </w:p>
        </w:tc>
        <w:tc>
          <w:tcPr>
            <w:tcW w:w="1785"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缺陷责任期</w:t>
            </w:r>
          </w:p>
        </w:tc>
        <w:tc>
          <w:tcPr>
            <w:tcW w:w="5458"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 xml:space="preserve"> 24 个月</w:t>
            </w:r>
          </w:p>
        </w:tc>
        <w:tc>
          <w:tcPr>
            <w:tcW w:w="8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p>
        </w:tc>
      </w:tr>
      <w:tr>
        <w:tblPrEx>
          <w:tblCellMar>
            <w:top w:w="0" w:type="dxa"/>
            <w:left w:w="108" w:type="dxa"/>
            <w:bottom w:w="0" w:type="dxa"/>
            <w:right w:w="108" w:type="dxa"/>
          </w:tblCellMar>
        </w:tblPrEx>
        <w:trPr>
          <w:trHeight w:val="734" w:hRule="atLeast"/>
        </w:trPr>
        <w:tc>
          <w:tcPr>
            <w:tcW w:w="775"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3</w:t>
            </w:r>
          </w:p>
        </w:tc>
        <w:tc>
          <w:tcPr>
            <w:tcW w:w="1785"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分    包</w:t>
            </w:r>
          </w:p>
        </w:tc>
        <w:tc>
          <w:tcPr>
            <w:tcW w:w="5458"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不允许</w:t>
            </w:r>
          </w:p>
        </w:tc>
        <w:tc>
          <w:tcPr>
            <w:tcW w:w="8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p>
        </w:tc>
      </w:tr>
      <w:tr>
        <w:tblPrEx>
          <w:tblCellMar>
            <w:top w:w="0" w:type="dxa"/>
            <w:left w:w="108" w:type="dxa"/>
            <w:bottom w:w="0" w:type="dxa"/>
            <w:right w:w="108" w:type="dxa"/>
          </w:tblCellMar>
        </w:tblPrEx>
        <w:trPr>
          <w:trHeight w:val="620" w:hRule="atLeast"/>
        </w:trPr>
        <w:tc>
          <w:tcPr>
            <w:tcW w:w="775"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rPr>
              <w:t>4</w:t>
            </w:r>
          </w:p>
        </w:tc>
        <w:tc>
          <w:tcPr>
            <w:tcW w:w="1785"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价格调整</w:t>
            </w:r>
          </w:p>
        </w:tc>
        <w:tc>
          <w:tcPr>
            <w:tcW w:w="5458"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lang w:val="zh-CN"/>
              </w:rPr>
              <w:t>见合同条款</w:t>
            </w:r>
          </w:p>
        </w:tc>
        <w:tc>
          <w:tcPr>
            <w:tcW w:w="8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cs="MingLiU"/>
                <w:sz w:val="28"/>
                <w:szCs w:val="28"/>
              </w:rPr>
            </w:pPr>
          </w:p>
        </w:tc>
      </w:tr>
      <w:tr>
        <w:tblPrEx>
          <w:tblCellMar>
            <w:top w:w="0" w:type="dxa"/>
            <w:left w:w="108" w:type="dxa"/>
            <w:bottom w:w="0" w:type="dxa"/>
            <w:right w:w="108" w:type="dxa"/>
          </w:tblCellMar>
        </w:tblPrEx>
        <w:trPr>
          <w:trHeight w:val="661" w:hRule="atLeast"/>
        </w:trPr>
        <w:tc>
          <w:tcPr>
            <w:tcW w:w="775"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rPr>
              <w:t>5</w:t>
            </w:r>
          </w:p>
        </w:tc>
        <w:tc>
          <w:tcPr>
            <w:tcW w:w="1785"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履约保证金</w:t>
            </w:r>
          </w:p>
        </w:tc>
        <w:tc>
          <w:tcPr>
            <w:tcW w:w="5458"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本项目</w:t>
            </w:r>
            <w:r>
              <w:rPr>
                <w:rFonts w:hint="eastAsia" w:ascii="宋体" w:hAnsi="宋体" w:cs="宋体"/>
                <w:lang w:val="en-US" w:eastAsia="zh-CN"/>
              </w:rPr>
              <w:t>不收</w:t>
            </w:r>
            <w:r>
              <w:rPr>
                <w:rFonts w:hint="eastAsia" w:ascii="宋体" w:hAnsi="宋体" w:cs="宋体"/>
              </w:rPr>
              <w:t>取履约保证金。</w:t>
            </w:r>
          </w:p>
        </w:tc>
        <w:tc>
          <w:tcPr>
            <w:tcW w:w="8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cs="MingLiU"/>
                <w:sz w:val="28"/>
                <w:szCs w:val="28"/>
              </w:rPr>
            </w:pPr>
          </w:p>
        </w:tc>
      </w:tr>
      <w:tr>
        <w:tblPrEx>
          <w:tblCellMar>
            <w:top w:w="0" w:type="dxa"/>
            <w:left w:w="108" w:type="dxa"/>
            <w:bottom w:w="0" w:type="dxa"/>
            <w:right w:w="108" w:type="dxa"/>
          </w:tblCellMar>
        </w:tblPrEx>
        <w:trPr>
          <w:trHeight w:val="1670" w:hRule="atLeast"/>
        </w:trPr>
        <w:tc>
          <w:tcPr>
            <w:tcW w:w="775"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6</w:t>
            </w:r>
          </w:p>
        </w:tc>
        <w:tc>
          <w:tcPr>
            <w:tcW w:w="1785"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付款方式</w:t>
            </w:r>
          </w:p>
        </w:tc>
        <w:tc>
          <w:tcPr>
            <w:tcW w:w="5458" w:type="dxa"/>
            <w:tcBorders>
              <w:top w:val="single" w:color="auto" w:sz="4" w:space="0"/>
              <w:left w:val="nil"/>
              <w:bottom w:val="single" w:color="auto" w:sz="4" w:space="0"/>
              <w:right w:val="single" w:color="auto" w:sz="4" w:space="0"/>
            </w:tcBorders>
            <w:vAlign w:val="center"/>
          </w:tcPr>
          <w:p>
            <w:pPr>
              <w:spacing w:line="400" w:lineRule="exact"/>
              <w:rPr>
                <w:rFonts w:hint="eastAsia" w:ascii="宋体" w:hAnsi="宋体" w:eastAsia="宋体" w:cs="宋体"/>
                <w:lang w:eastAsia="zh-CN"/>
              </w:rPr>
            </w:pPr>
            <w:r>
              <w:rPr>
                <w:rFonts w:hint="eastAsia" w:ascii="宋体" w:hAnsi="宋体" w:cs="宋体"/>
              </w:rPr>
              <w:t>合同签订后支付合同金额的30%；在财政资金到位的前提下，工程竣工后可支付25%；验收合格后支付工程尾款；尾款需保留结算金额的3%作为质保金，质保期满后全额无息退还供应商</w:t>
            </w:r>
            <w:r>
              <w:rPr>
                <w:rFonts w:hint="eastAsia" w:ascii="宋体" w:hAnsi="宋体" w:cs="宋体"/>
                <w:lang w:eastAsia="zh-CN"/>
              </w:rPr>
              <w:t>。</w:t>
            </w:r>
          </w:p>
        </w:tc>
        <w:tc>
          <w:tcPr>
            <w:tcW w:w="8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p>
        </w:tc>
      </w:tr>
      <w:tr>
        <w:tblPrEx>
          <w:tblCellMar>
            <w:top w:w="0" w:type="dxa"/>
            <w:left w:w="108" w:type="dxa"/>
            <w:bottom w:w="0" w:type="dxa"/>
            <w:right w:w="108" w:type="dxa"/>
          </w:tblCellMar>
        </w:tblPrEx>
        <w:trPr>
          <w:trHeight w:val="603" w:hRule="atLeast"/>
        </w:trPr>
        <w:tc>
          <w:tcPr>
            <w:tcW w:w="775"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cs="仿宋"/>
              </w:rPr>
            </w:pPr>
            <w:r>
              <w:rPr>
                <w:rFonts w:hint="eastAsia" w:ascii="宋体" w:hAnsi="宋体" w:cs="仿宋"/>
              </w:rPr>
              <w:t>7</w:t>
            </w:r>
          </w:p>
        </w:tc>
        <w:tc>
          <w:tcPr>
            <w:tcW w:w="1785"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转包</w:t>
            </w:r>
          </w:p>
        </w:tc>
        <w:tc>
          <w:tcPr>
            <w:tcW w:w="5458" w:type="dxa"/>
            <w:tcBorders>
              <w:top w:val="single" w:color="auto" w:sz="4" w:space="0"/>
              <w:left w:val="nil"/>
              <w:bottom w:val="single" w:color="auto" w:sz="4" w:space="0"/>
              <w:right w:val="single" w:color="auto" w:sz="4" w:space="0"/>
            </w:tcBorders>
            <w:vAlign w:val="center"/>
          </w:tcPr>
          <w:p>
            <w:pPr>
              <w:spacing w:line="400" w:lineRule="exact"/>
              <w:jc w:val="center"/>
            </w:pPr>
            <w:r>
              <w:rPr>
                <w:rFonts w:hint="eastAsia"/>
              </w:rPr>
              <w:t>不允许</w:t>
            </w:r>
          </w:p>
        </w:tc>
        <w:tc>
          <w:tcPr>
            <w:tcW w:w="8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cs="仿宋"/>
              </w:rPr>
            </w:pPr>
          </w:p>
        </w:tc>
      </w:tr>
      <w:tr>
        <w:tblPrEx>
          <w:tblCellMar>
            <w:top w:w="0" w:type="dxa"/>
            <w:left w:w="108" w:type="dxa"/>
            <w:bottom w:w="0" w:type="dxa"/>
            <w:right w:w="108" w:type="dxa"/>
          </w:tblCellMar>
        </w:tblPrEx>
        <w:trPr>
          <w:trHeight w:val="640" w:hRule="atLeast"/>
        </w:trPr>
        <w:tc>
          <w:tcPr>
            <w:tcW w:w="775"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cs="仿宋"/>
              </w:rPr>
            </w:pPr>
            <w:r>
              <w:rPr>
                <w:rFonts w:hint="eastAsia" w:ascii="宋体" w:hAnsi="宋体" w:cs="仿宋"/>
              </w:rPr>
              <w:t>8</w:t>
            </w:r>
          </w:p>
        </w:tc>
        <w:tc>
          <w:tcPr>
            <w:tcW w:w="1785" w:type="dxa"/>
            <w:tcBorders>
              <w:top w:val="single" w:color="auto" w:sz="4" w:space="0"/>
              <w:left w:val="nil"/>
              <w:bottom w:val="single" w:color="auto" w:sz="4" w:space="0"/>
              <w:right w:val="single" w:color="auto" w:sz="4" w:space="0"/>
            </w:tcBorders>
            <w:vAlign w:val="center"/>
          </w:tcPr>
          <w:p>
            <w:pPr>
              <w:spacing w:line="400" w:lineRule="exact"/>
              <w:jc w:val="center"/>
            </w:pPr>
            <w:r>
              <w:rPr>
                <w:rFonts w:hint="eastAsia" w:ascii="宋体" w:hAnsi="宋体" w:cs="宋体"/>
              </w:rPr>
              <w:t>质量保修期</w:t>
            </w:r>
          </w:p>
        </w:tc>
        <w:tc>
          <w:tcPr>
            <w:tcW w:w="5458" w:type="dxa"/>
            <w:tcBorders>
              <w:top w:val="single" w:color="auto" w:sz="4" w:space="0"/>
              <w:left w:val="nil"/>
              <w:bottom w:val="single" w:color="auto" w:sz="4" w:space="0"/>
              <w:right w:val="single" w:color="auto" w:sz="4" w:space="0"/>
            </w:tcBorders>
            <w:vAlign w:val="center"/>
          </w:tcPr>
          <w:p>
            <w:pPr>
              <w:spacing w:line="400" w:lineRule="exact"/>
              <w:jc w:val="center"/>
            </w:pPr>
            <w:r>
              <w:rPr>
                <w:rFonts w:hint="eastAsia"/>
              </w:rPr>
              <w:t>2年</w:t>
            </w:r>
          </w:p>
        </w:tc>
        <w:tc>
          <w:tcPr>
            <w:tcW w:w="858"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cs="仿宋"/>
              </w:rPr>
            </w:pPr>
          </w:p>
        </w:tc>
      </w:tr>
    </w:tbl>
    <w:p>
      <w:pPr>
        <w:spacing w:before="120" w:beforeLines="50" w:line="360" w:lineRule="auto"/>
        <w:ind w:firstLine="584" w:firstLineChars="200"/>
        <w:rPr>
          <w:rFonts w:ascii="宋体" w:hAnsi="宋体"/>
          <w:spacing w:val="6"/>
          <w:sz w:val="28"/>
          <w:szCs w:val="28"/>
        </w:rPr>
      </w:pPr>
      <w:r>
        <w:rPr>
          <w:rFonts w:hint="eastAsia" w:ascii="宋体" w:hAnsi="宋体"/>
          <w:spacing w:val="6"/>
          <w:sz w:val="28"/>
          <w:szCs w:val="28"/>
        </w:rPr>
        <w:t>注：供应商必须根据磋商文件要求据实逐条填写，不得虚假陈述，否则，其施工响应文件无效并按规定追究其相关责任。</w:t>
      </w:r>
    </w:p>
    <w:p>
      <w:pPr>
        <w:snapToGrid w:val="0"/>
        <w:spacing w:line="360" w:lineRule="auto"/>
        <w:ind w:firstLine="584" w:firstLineChars="200"/>
        <w:rPr>
          <w:rFonts w:ascii="宋体" w:hAnsi="宋体"/>
          <w:spacing w:val="6"/>
          <w:sz w:val="28"/>
          <w:szCs w:val="28"/>
        </w:rPr>
      </w:pPr>
    </w:p>
    <w:p>
      <w:pPr>
        <w:pStyle w:val="2"/>
      </w:pP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供应商名称：</w:t>
      </w:r>
      <w:r>
        <w:rPr>
          <w:rFonts w:hint="eastAsia" w:ascii="宋体" w:hAnsi="宋体"/>
          <w:spacing w:val="6"/>
          <w:sz w:val="28"/>
          <w:szCs w:val="28"/>
          <w:u w:val="single"/>
        </w:rPr>
        <w:t>　</w:t>
      </w:r>
      <w:r>
        <w:rPr>
          <w:rFonts w:ascii="宋体" w:hAnsi="宋体"/>
          <w:spacing w:val="6"/>
          <w:sz w:val="28"/>
          <w:szCs w:val="28"/>
          <w:u w:val="single"/>
        </w:rPr>
        <w:t>XXX</w:t>
      </w:r>
      <w:r>
        <w:rPr>
          <w:rFonts w:hint="eastAsia" w:ascii="宋体" w:hAnsi="宋体"/>
          <w:spacing w:val="6"/>
          <w:sz w:val="28"/>
          <w:szCs w:val="28"/>
          <w:u w:val="single"/>
        </w:rPr>
        <w:t>　</w:t>
      </w: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日期：</w:t>
      </w:r>
      <w:r>
        <w:rPr>
          <w:rFonts w:ascii="宋体" w:hAnsi="宋体"/>
          <w:spacing w:val="6"/>
          <w:sz w:val="28"/>
          <w:szCs w:val="28"/>
          <w:u w:val="single"/>
        </w:rPr>
        <w:t>XXX</w:t>
      </w:r>
      <w:r>
        <w:rPr>
          <w:rFonts w:hint="eastAsia" w:ascii="宋体" w:hAnsi="宋体"/>
          <w:spacing w:val="6"/>
          <w:sz w:val="28"/>
          <w:szCs w:val="28"/>
        </w:rPr>
        <w:t>年</w:t>
      </w:r>
      <w:r>
        <w:rPr>
          <w:rFonts w:ascii="宋体" w:hAnsi="宋体"/>
          <w:spacing w:val="6"/>
          <w:sz w:val="28"/>
          <w:szCs w:val="28"/>
          <w:u w:val="single"/>
        </w:rPr>
        <w:t>XXX</w:t>
      </w:r>
      <w:r>
        <w:rPr>
          <w:rFonts w:hint="eastAsia" w:ascii="宋体" w:hAnsi="宋体"/>
          <w:spacing w:val="6"/>
          <w:sz w:val="28"/>
          <w:szCs w:val="28"/>
        </w:rPr>
        <w:t>月</w:t>
      </w:r>
      <w:r>
        <w:rPr>
          <w:rFonts w:ascii="宋体" w:hAnsi="宋体"/>
          <w:spacing w:val="6"/>
          <w:sz w:val="28"/>
          <w:szCs w:val="28"/>
          <w:u w:val="single"/>
        </w:rPr>
        <w:t>XXX</w:t>
      </w:r>
      <w:r>
        <w:rPr>
          <w:rFonts w:hint="eastAsia" w:ascii="宋体" w:hAnsi="宋体"/>
          <w:spacing w:val="6"/>
          <w:sz w:val="28"/>
          <w:szCs w:val="28"/>
        </w:rPr>
        <w:t>日</w:t>
      </w:r>
    </w:p>
    <w:p>
      <w:pPr>
        <w:snapToGrid w:val="0"/>
        <w:spacing w:line="360" w:lineRule="auto"/>
        <w:ind w:firstLine="584" w:firstLineChars="200"/>
        <w:rPr>
          <w:rFonts w:ascii="宋体" w:hAnsi="宋体"/>
          <w:spacing w:val="6"/>
          <w:sz w:val="28"/>
          <w:szCs w:val="28"/>
        </w:rPr>
      </w:pPr>
    </w:p>
    <w:p>
      <w:pPr>
        <w:snapToGrid w:val="0"/>
        <w:spacing w:line="360" w:lineRule="auto"/>
        <w:ind w:firstLine="584" w:firstLineChars="200"/>
        <w:rPr>
          <w:rFonts w:ascii="宋体" w:hAnsi="宋体"/>
          <w:spacing w:val="6"/>
          <w:sz w:val="28"/>
          <w:szCs w:val="28"/>
        </w:rPr>
      </w:pPr>
    </w:p>
    <w:p>
      <w:pPr>
        <w:rPr>
          <w:rFonts w:ascii="宋体" w:hAnsi="宋体"/>
          <w:b/>
          <w:bCs/>
          <w:kern w:val="2"/>
          <w:sz w:val="28"/>
          <w:szCs w:val="28"/>
        </w:rPr>
      </w:pPr>
      <w:r>
        <w:br w:type="page"/>
      </w:r>
    </w:p>
    <w:p>
      <w:pPr>
        <w:pStyle w:val="5"/>
        <w:numPr>
          <w:ilvl w:val="3"/>
          <w:numId w:val="1"/>
        </w:numPr>
        <w:tabs>
          <w:tab w:val="left" w:pos="709"/>
        </w:tabs>
        <w:jc w:val="left"/>
        <w:rPr>
          <w:color w:val="auto"/>
        </w:rPr>
      </w:pPr>
      <w:r>
        <w:rPr>
          <w:rFonts w:hint="eastAsia"/>
          <w:color w:val="auto"/>
        </w:rPr>
        <w:t>项目管理机构组成表</w:t>
      </w:r>
    </w:p>
    <w:tbl>
      <w:tblPr>
        <w:tblStyle w:val="45"/>
        <w:tblW w:w="8737" w:type="dxa"/>
        <w:jc w:val="center"/>
        <w:tblLayout w:type="fixed"/>
        <w:tblCellMar>
          <w:top w:w="0" w:type="dxa"/>
          <w:left w:w="0" w:type="dxa"/>
          <w:bottom w:w="0" w:type="dxa"/>
          <w:right w:w="0" w:type="dxa"/>
        </w:tblCellMar>
      </w:tblPr>
      <w:tblGrid>
        <w:gridCol w:w="799"/>
        <w:gridCol w:w="1706"/>
        <w:gridCol w:w="1201"/>
        <w:gridCol w:w="1190"/>
        <w:gridCol w:w="1215"/>
        <w:gridCol w:w="1058"/>
        <w:gridCol w:w="1568"/>
      </w:tblGrid>
      <w:tr>
        <w:tblPrEx>
          <w:tblCellMar>
            <w:top w:w="0" w:type="dxa"/>
            <w:left w:w="0" w:type="dxa"/>
            <w:bottom w:w="0" w:type="dxa"/>
            <w:right w:w="0" w:type="dxa"/>
          </w:tblCellMar>
        </w:tblPrEx>
        <w:trPr>
          <w:trHeight w:val="614" w:hRule="atLeast"/>
          <w:jc w:val="center"/>
        </w:trPr>
        <w:tc>
          <w:tcPr>
            <w:tcW w:w="799" w:type="dxa"/>
            <w:vMerge w:val="restart"/>
            <w:tcBorders>
              <w:top w:val="single" w:color="auto" w:sz="4" w:space="0"/>
              <w:left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序号</w:t>
            </w:r>
          </w:p>
        </w:tc>
        <w:tc>
          <w:tcPr>
            <w:tcW w:w="1706" w:type="dxa"/>
            <w:vMerge w:val="restart"/>
            <w:tcBorders>
              <w:top w:val="single" w:color="auto" w:sz="4" w:space="0"/>
              <w:left w:val="nil"/>
              <w:right w:val="single" w:color="auto" w:sz="4" w:space="0"/>
            </w:tcBorders>
            <w:vAlign w:val="center"/>
          </w:tcPr>
          <w:p>
            <w:pPr>
              <w:spacing w:line="360" w:lineRule="auto"/>
              <w:jc w:val="center"/>
              <w:rPr>
                <w:rFonts w:ascii="宋体" w:hAnsi="宋体"/>
              </w:rPr>
            </w:pPr>
            <w:r>
              <w:rPr>
                <w:rFonts w:hint="eastAsia" w:ascii="宋体" w:hAnsi="宋体" w:cs="仿宋"/>
              </w:rPr>
              <w:t>职务</w:t>
            </w:r>
          </w:p>
        </w:tc>
        <w:tc>
          <w:tcPr>
            <w:tcW w:w="1201" w:type="dxa"/>
            <w:vMerge w:val="restart"/>
            <w:tcBorders>
              <w:top w:val="single" w:color="auto" w:sz="4" w:space="0"/>
              <w:left w:val="nil"/>
              <w:right w:val="single" w:color="auto" w:sz="4" w:space="0"/>
            </w:tcBorders>
            <w:vAlign w:val="center"/>
          </w:tcPr>
          <w:p>
            <w:pPr>
              <w:spacing w:line="360" w:lineRule="auto"/>
              <w:jc w:val="center"/>
              <w:rPr>
                <w:rFonts w:ascii="宋体" w:hAnsi="宋体"/>
              </w:rPr>
            </w:pPr>
            <w:r>
              <w:rPr>
                <w:rFonts w:hint="eastAsia" w:ascii="宋体" w:hAnsi="宋体" w:cs="仿宋"/>
              </w:rPr>
              <w:t>姓名</w:t>
            </w:r>
          </w:p>
        </w:tc>
        <w:tc>
          <w:tcPr>
            <w:tcW w:w="2405" w:type="dxa"/>
            <w:gridSpan w:val="2"/>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执业或职业资格</w:t>
            </w:r>
          </w:p>
        </w:tc>
        <w:tc>
          <w:tcPr>
            <w:tcW w:w="2626" w:type="dxa"/>
            <w:gridSpan w:val="2"/>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职称</w:t>
            </w:r>
          </w:p>
        </w:tc>
      </w:tr>
      <w:tr>
        <w:tblPrEx>
          <w:tblCellMar>
            <w:top w:w="0" w:type="dxa"/>
            <w:left w:w="0" w:type="dxa"/>
            <w:bottom w:w="0" w:type="dxa"/>
            <w:right w:w="0" w:type="dxa"/>
          </w:tblCellMar>
        </w:tblPrEx>
        <w:trPr>
          <w:trHeight w:val="614" w:hRule="atLeast"/>
          <w:jc w:val="center"/>
        </w:trPr>
        <w:tc>
          <w:tcPr>
            <w:tcW w:w="799" w:type="dxa"/>
            <w:vMerge w:val="continue"/>
            <w:tcBorders>
              <w:left w:val="single" w:color="auto" w:sz="4" w:space="0"/>
              <w:bottom w:val="single" w:color="auto" w:sz="4" w:space="0"/>
              <w:right w:val="single" w:color="auto" w:sz="4" w:space="0"/>
            </w:tcBorders>
            <w:vAlign w:val="center"/>
          </w:tcPr>
          <w:p>
            <w:pPr>
              <w:spacing w:line="360" w:lineRule="auto"/>
              <w:jc w:val="center"/>
              <w:rPr>
                <w:rFonts w:ascii="宋体" w:hAnsi="宋体"/>
              </w:rPr>
            </w:pPr>
          </w:p>
        </w:tc>
        <w:tc>
          <w:tcPr>
            <w:tcW w:w="1706" w:type="dxa"/>
            <w:vMerge w:val="continue"/>
            <w:tcBorders>
              <w:left w:val="nil"/>
              <w:bottom w:val="single" w:color="auto" w:sz="4" w:space="0"/>
              <w:right w:val="single" w:color="auto" w:sz="4" w:space="0"/>
            </w:tcBorders>
            <w:vAlign w:val="center"/>
          </w:tcPr>
          <w:p>
            <w:pPr>
              <w:spacing w:line="360" w:lineRule="auto"/>
              <w:jc w:val="center"/>
              <w:rPr>
                <w:rFonts w:ascii="宋体" w:hAnsi="宋体"/>
              </w:rPr>
            </w:pPr>
          </w:p>
        </w:tc>
        <w:tc>
          <w:tcPr>
            <w:tcW w:w="1201" w:type="dxa"/>
            <w:vMerge w:val="continue"/>
            <w:tcBorders>
              <w:left w:val="nil"/>
              <w:bottom w:val="single" w:color="auto" w:sz="4" w:space="0"/>
              <w:right w:val="single" w:color="auto" w:sz="4" w:space="0"/>
            </w:tcBorders>
            <w:vAlign w:val="center"/>
          </w:tcPr>
          <w:p>
            <w:pPr>
              <w:spacing w:line="360" w:lineRule="auto"/>
              <w:jc w:val="center"/>
              <w:rPr>
                <w:rFonts w:ascii="宋体" w:hAnsi="宋体"/>
              </w:rPr>
            </w:pPr>
          </w:p>
        </w:tc>
        <w:tc>
          <w:tcPr>
            <w:tcW w:w="119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证书名称</w:t>
            </w:r>
          </w:p>
        </w:tc>
        <w:tc>
          <w:tcPr>
            <w:tcW w:w="121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证书编号</w:t>
            </w:r>
          </w:p>
        </w:tc>
        <w:tc>
          <w:tcPr>
            <w:tcW w:w="105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职称专业</w:t>
            </w:r>
          </w:p>
        </w:tc>
        <w:tc>
          <w:tcPr>
            <w:tcW w:w="156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级别</w:t>
            </w:r>
          </w:p>
        </w:tc>
      </w:tr>
      <w:tr>
        <w:tblPrEx>
          <w:tblCellMar>
            <w:top w:w="0" w:type="dxa"/>
            <w:left w:w="0" w:type="dxa"/>
            <w:bottom w:w="0" w:type="dxa"/>
            <w:right w:w="0" w:type="dxa"/>
          </w:tblCellMar>
        </w:tblPrEx>
        <w:trPr>
          <w:trHeight w:val="589"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1</w:t>
            </w:r>
          </w:p>
        </w:tc>
        <w:tc>
          <w:tcPr>
            <w:tcW w:w="170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项目经理</w:t>
            </w:r>
          </w:p>
        </w:tc>
        <w:tc>
          <w:tcPr>
            <w:tcW w:w="12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9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1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05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568"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2</w:t>
            </w:r>
          </w:p>
        </w:tc>
        <w:tc>
          <w:tcPr>
            <w:tcW w:w="170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项目技术负责人</w:t>
            </w:r>
          </w:p>
        </w:tc>
        <w:tc>
          <w:tcPr>
            <w:tcW w:w="12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9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1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05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568"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3</w:t>
            </w:r>
          </w:p>
        </w:tc>
        <w:tc>
          <w:tcPr>
            <w:tcW w:w="170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施工员</w:t>
            </w:r>
          </w:p>
        </w:tc>
        <w:tc>
          <w:tcPr>
            <w:tcW w:w="12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9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1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05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568"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4</w:t>
            </w:r>
          </w:p>
        </w:tc>
        <w:tc>
          <w:tcPr>
            <w:tcW w:w="170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质量员</w:t>
            </w:r>
          </w:p>
        </w:tc>
        <w:tc>
          <w:tcPr>
            <w:tcW w:w="12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9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1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05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568"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5</w:t>
            </w:r>
          </w:p>
        </w:tc>
        <w:tc>
          <w:tcPr>
            <w:tcW w:w="170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安全员</w:t>
            </w:r>
          </w:p>
        </w:tc>
        <w:tc>
          <w:tcPr>
            <w:tcW w:w="12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9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1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05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568"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w:t>
            </w:r>
          </w:p>
        </w:tc>
        <w:tc>
          <w:tcPr>
            <w:tcW w:w="170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w:t>
            </w:r>
          </w:p>
        </w:tc>
        <w:tc>
          <w:tcPr>
            <w:tcW w:w="12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9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1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05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568"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bl>
    <w:p>
      <w:pPr>
        <w:spacing w:line="360" w:lineRule="auto"/>
        <w:rPr>
          <w:rFonts w:ascii="宋体" w:hAnsi="宋体"/>
        </w:rPr>
      </w:pPr>
    </w:p>
    <w:p>
      <w:pPr>
        <w:spacing w:line="360" w:lineRule="auto"/>
        <w:rPr>
          <w:rFonts w:ascii="宋体" w:hAnsi="宋体"/>
        </w:rPr>
      </w:pPr>
    </w:p>
    <w:p>
      <w:pPr>
        <w:spacing w:line="360" w:lineRule="auto"/>
        <w:ind w:left="410" w:leftChars="171"/>
        <w:rPr>
          <w:rFonts w:ascii="宋体" w:hAnsi="宋体"/>
        </w:rPr>
      </w:pP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供应商名称：</w:t>
      </w:r>
      <w:r>
        <w:rPr>
          <w:rFonts w:hint="eastAsia" w:ascii="宋体" w:hAnsi="宋体"/>
          <w:spacing w:val="6"/>
          <w:sz w:val="28"/>
          <w:szCs w:val="28"/>
          <w:u w:val="single"/>
        </w:rPr>
        <w:t>　</w:t>
      </w:r>
      <w:r>
        <w:rPr>
          <w:rFonts w:ascii="宋体" w:hAnsi="宋体"/>
          <w:spacing w:val="6"/>
          <w:sz w:val="28"/>
          <w:szCs w:val="28"/>
          <w:u w:val="single"/>
        </w:rPr>
        <w:t>XXX</w:t>
      </w:r>
      <w:r>
        <w:rPr>
          <w:rFonts w:hint="eastAsia" w:ascii="宋体" w:hAnsi="宋体"/>
          <w:spacing w:val="6"/>
          <w:sz w:val="28"/>
          <w:szCs w:val="28"/>
          <w:u w:val="single"/>
        </w:rPr>
        <w:t>　</w:t>
      </w: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日期：</w:t>
      </w:r>
      <w:r>
        <w:rPr>
          <w:rFonts w:ascii="宋体" w:hAnsi="宋体"/>
          <w:spacing w:val="6"/>
          <w:sz w:val="28"/>
          <w:szCs w:val="28"/>
          <w:u w:val="single"/>
        </w:rPr>
        <w:t>XXX</w:t>
      </w:r>
      <w:r>
        <w:rPr>
          <w:rFonts w:hint="eastAsia" w:ascii="宋体" w:hAnsi="宋体"/>
          <w:spacing w:val="6"/>
          <w:sz w:val="28"/>
          <w:szCs w:val="28"/>
        </w:rPr>
        <w:t>年</w:t>
      </w:r>
      <w:r>
        <w:rPr>
          <w:rFonts w:ascii="宋体" w:hAnsi="宋体"/>
          <w:spacing w:val="6"/>
          <w:sz w:val="28"/>
          <w:szCs w:val="28"/>
          <w:u w:val="single"/>
        </w:rPr>
        <w:t>XXX</w:t>
      </w:r>
      <w:r>
        <w:rPr>
          <w:rFonts w:hint="eastAsia" w:ascii="宋体" w:hAnsi="宋体"/>
          <w:spacing w:val="6"/>
          <w:sz w:val="28"/>
          <w:szCs w:val="28"/>
        </w:rPr>
        <w:t>月</w:t>
      </w:r>
      <w:r>
        <w:rPr>
          <w:rFonts w:ascii="宋体" w:hAnsi="宋体"/>
          <w:spacing w:val="6"/>
          <w:sz w:val="28"/>
          <w:szCs w:val="28"/>
          <w:u w:val="single"/>
        </w:rPr>
        <w:t>XXX</w:t>
      </w:r>
      <w:r>
        <w:rPr>
          <w:rFonts w:hint="eastAsia" w:ascii="宋体" w:hAnsi="宋体"/>
          <w:spacing w:val="6"/>
          <w:sz w:val="28"/>
          <w:szCs w:val="28"/>
        </w:rPr>
        <w:t>日</w:t>
      </w:r>
    </w:p>
    <w:p>
      <w:pPr>
        <w:spacing w:line="360" w:lineRule="auto"/>
        <w:rPr>
          <w:rFonts w:ascii="宋体" w:hAnsi="宋体" w:cs="仿宋"/>
        </w:rPr>
      </w:pPr>
    </w:p>
    <w:p>
      <w:pPr>
        <w:spacing w:line="360" w:lineRule="auto"/>
        <w:rPr>
          <w:rFonts w:ascii="宋体" w:hAnsi="宋体" w:cs="仿宋"/>
        </w:rPr>
      </w:pPr>
      <w:r>
        <w:rPr>
          <w:rFonts w:hint="eastAsia" w:ascii="宋体" w:hAnsi="宋体" w:cs="仿宋"/>
          <w:b/>
        </w:rPr>
        <w:t>注：</w:t>
      </w:r>
      <w:r>
        <w:rPr>
          <w:rFonts w:hint="eastAsia" w:ascii="宋体" w:hAnsi="宋体" w:cs="仿宋"/>
        </w:rPr>
        <w:t>除项目负责人、项目技术负责人以外，若要求供应商提供相关人员的职业资格的，不得要求提供除现行《国家职业资格目录》以外的职业资格，不得以不合理条件对供应商实行差别待遇或者歧视性待遇。</w:t>
      </w: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pStyle w:val="5"/>
        <w:numPr>
          <w:ilvl w:val="3"/>
          <w:numId w:val="1"/>
        </w:numPr>
        <w:tabs>
          <w:tab w:val="left" w:pos="709"/>
        </w:tabs>
        <w:jc w:val="left"/>
        <w:rPr>
          <w:color w:val="auto"/>
        </w:rPr>
      </w:pPr>
      <w:r>
        <w:rPr>
          <w:rFonts w:hint="eastAsia"/>
          <w:color w:val="auto"/>
        </w:rPr>
        <w:t>相关管理机构主要人员简历表</w:t>
      </w:r>
    </w:p>
    <w:tbl>
      <w:tblPr>
        <w:tblStyle w:val="45"/>
        <w:tblW w:w="8747" w:type="dxa"/>
        <w:jc w:val="center"/>
        <w:tblLayout w:type="fixed"/>
        <w:tblCellMar>
          <w:top w:w="0" w:type="dxa"/>
          <w:left w:w="0" w:type="dxa"/>
          <w:bottom w:w="0" w:type="dxa"/>
          <w:right w:w="0" w:type="dxa"/>
        </w:tblCellMar>
      </w:tblPr>
      <w:tblGrid>
        <w:gridCol w:w="1480"/>
        <w:gridCol w:w="24"/>
        <w:gridCol w:w="1125"/>
        <w:gridCol w:w="1053"/>
        <w:gridCol w:w="1190"/>
        <w:gridCol w:w="1875"/>
        <w:gridCol w:w="2000"/>
      </w:tblGrid>
      <w:tr>
        <w:trPr>
          <w:trHeight w:val="463" w:hRule="atLeast"/>
          <w:jc w:val="center"/>
        </w:trPr>
        <w:tc>
          <w:tcPr>
            <w:tcW w:w="1480" w:type="dxa"/>
            <w:tcBorders>
              <w:top w:val="single" w:color="auto" w:sz="4" w:space="0"/>
              <w:left w:val="single" w:color="auto" w:sz="4" w:space="0"/>
              <w:bottom w:val="single" w:color="auto" w:sz="4" w:space="0"/>
              <w:right w:val="single" w:color="auto" w:sz="4" w:space="0"/>
            </w:tcBorders>
            <w:vAlign w:val="bottom"/>
          </w:tcPr>
          <w:p>
            <w:pPr>
              <w:spacing w:line="360" w:lineRule="auto"/>
              <w:jc w:val="center"/>
              <w:rPr>
                <w:rFonts w:ascii="宋体" w:hAnsi="宋体"/>
              </w:rPr>
            </w:pPr>
            <w:r>
              <w:rPr>
                <w:rFonts w:hint="eastAsia" w:ascii="宋体" w:hAnsi="宋体" w:cs="仿宋"/>
              </w:rPr>
              <w:t>姓名</w:t>
            </w:r>
          </w:p>
        </w:tc>
        <w:tc>
          <w:tcPr>
            <w:tcW w:w="1149" w:type="dxa"/>
            <w:gridSpan w:val="2"/>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p>
        </w:tc>
        <w:tc>
          <w:tcPr>
            <w:tcW w:w="1053" w:type="dxa"/>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r>
              <w:rPr>
                <w:rFonts w:hint="eastAsia" w:ascii="宋体" w:hAnsi="宋体" w:cs="仿宋"/>
              </w:rPr>
              <w:t>年龄</w:t>
            </w:r>
          </w:p>
        </w:tc>
        <w:tc>
          <w:tcPr>
            <w:tcW w:w="5065" w:type="dxa"/>
            <w:gridSpan w:val="3"/>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p>
        </w:tc>
      </w:tr>
      <w:tr>
        <w:tblPrEx>
          <w:tblCellMar>
            <w:top w:w="0" w:type="dxa"/>
            <w:left w:w="0" w:type="dxa"/>
            <w:bottom w:w="0" w:type="dxa"/>
            <w:right w:w="0" w:type="dxa"/>
          </w:tblCellMar>
        </w:tblPrEx>
        <w:trPr>
          <w:trHeight w:val="451" w:hRule="atLeast"/>
          <w:jc w:val="center"/>
        </w:trPr>
        <w:tc>
          <w:tcPr>
            <w:tcW w:w="1480" w:type="dxa"/>
            <w:tcBorders>
              <w:top w:val="single" w:color="auto" w:sz="4" w:space="0"/>
              <w:left w:val="single" w:color="auto" w:sz="4" w:space="0"/>
              <w:bottom w:val="single" w:color="auto" w:sz="4" w:space="0"/>
              <w:right w:val="single" w:color="auto" w:sz="4" w:space="0"/>
            </w:tcBorders>
            <w:vAlign w:val="bottom"/>
          </w:tcPr>
          <w:p>
            <w:pPr>
              <w:spacing w:line="360" w:lineRule="auto"/>
              <w:jc w:val="center"/>
              <w:rPr>
                <w:rFonts w:ascii="宋体" w:hAnsi="宋体"/>
              </w:rPr>
            </w:pPr>
            <w:r>
              <w:rPr>
                <w:rFonts w:hint="eastAsia" w:ascii="宋体" w:hAnsi="宋体" w:cs="仿宋"/>
              </w:rPr>
              <w:t>职称</w:t>
            </w:r>
          </w:p>
        </w:tc>
        <w:tc>
          <w:tcPr>
            <w:tcW w:w="1149" w:type="dxa"/>
            <w:gridSpan w:val="2"/>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p>
        </w:tc>
        <w:tc>
          <w:tcPr>
            <w:tcW w:w="1053" w:type="dxa"/>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r>
              <w:rPr>
                <w:rFonts w:hint="eastAsia" w:ascii="宋体" w:hAnsi="宋体" w:cs="仿宋"/>
              </w:rPr>
              <w:t>职务</w:t>
            </w:r>
          </w:p>
        </w:tc>
        <w:tc>
          <w:tcPr>
            <w:tcW w:w="1190" w:type="dxa"/>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p>
        </w:tc>
        <w:tc>
          <w:tcPr>
            <w:tcW w:w="1875" w:type="dxa"/>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r>
              <w:rPr>
                <w:rFonts w:hint="eastAsia" w:ascii="宋体" w:hAnsi="宋体" w:cs="仿宋"/>
              </w:rPr>
              <w:t>拟在本合同任职</w:t>
            </w:r>
          </w:p>
        </w:tc>
        <w:tc>
          <w:tcPr>
            <w:tcW w:w="2000" w:type="dxa"/>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p>
        </w:tc>
      </w:tr>
      <w:tr>
        <w:tblPrEx>
          <w:tblCellMar>
            <w:top w:w="0" w:type="dxa"/>
            <w:left w:w="0" w:type="dxa"/>
            <w:bottom w:w="0" w:type="dxa"/>
            <w:right w:w="0" w:type="dxa"/>
          </w:tblCellMar>
        </w:tblPrEx>
        <w:trPr>
          <w:trHeight w:val="613" w:hRule="atLeast"/>
          <w:jc w:val="center"/>
        </w:trPr>
        <w:tc>
          <w:tcPr>
            <w:tcW w:w="8747" w:type="dxa"/>
            <w:gridSpan w:val="7"/>
            <w:tcBorders>
              <w:top w:val="single" w:color="auto" w:sz="4" w:space="0"/>
              <w:left w:val="single" w:color="auto" w:sz="4" w:space="0"/>
              <w:bottom w:val="single" w:color="auto" w:sz="4" w:space="0"/>
              <w:right w:val="single" w:color="auto" w:sz="4" w:space="0"/>
            </w:tcBorders>
            <w:vAlign w:val="bottom"/>
          </w:tcPr>
          <w:p>
            <w:pPr>
              <w:spacing w:line="360" w:lineRule="auto"/>
              <w:ind w:firstLine="4800" w:firstLineChars="2000"/>
              <w:jc w:val="center"/>
              <w:rPr>
                <w:rFonts w:ascii="宋体" w:hAnsi="宋体"/>
              </w:rPr>
            </w:pPr>
            <w:r>
              <w:rPr>
                <w:rFonts w:hint="eastAsia" w:ascii="宋体" w:hAnsi="宋体" w:cs="仿宋"/>
              </w:rPr>
              <w:t>主要工作经历</w:t>
            </w:r>
          </w:p>
        </w:tc>
      </w:tr>
      <w:tr>
        <w:tblPrEx>
          <w:tblCellMar>
            <w:top w:w="0" w:type="dxa"/>
            <w:left w:w="0" w:type="dxa"/>
            <w:bottom w:w="0" w:type="dxa"/>
            <w:right w:w="0" w:type="dxa"/>
          </w:tblCellMar>
        </w:tblPrEx>
        <w:trPr>
          <w:trHeight w:val="613" w:hRule="atLeast"/>
          <w:jc w:val="center"/>
        </w:trPr>
        <w:tc>
          <w:tcPr>
            <w:tcW w:w="1504" w:type="dxa"/>
            <w:gridSpan w:val="2"/>
            <w:tcBorders>
              <w:top w:val="single" w:color="auto" w:sz="4" w:space="0"/>
              <w:left w:val="single" w:color="auto" w:sz="4" w:space="0"/>
              <w:bottom w:val="single" w:color="auto" w:sz="4" w:space="0"/>
              <w:right w:val="single" w:color="auto" w:sz="4" w:space="0"/>
            </w:tcBorders>
            <w:vAlign w:val="bottom"/>
          </w:tcPr>
          <w:p>
            <w:pPr>
              <w:spacing w:line="360" w:lineRule="auto"/>
              <w:jc w:val="center"/>
              <w:rPr>
                <w:rFonts w:ascii="宋体" w:hAnsi="宋体"/>
              </w:rPr>
            </w:pPr>
            <w:r>
              <w:rPr>
                <w:rFonts w:hint="eastAsia" w:ascii="宋体" w:hAnsi="宋体" w:cs="仿宋"/>
              </w:rPr>
              <w:t>时间</w:t>
            </w:r>
          </w:p>
        </w:tc>
        <w:tc>
          <w:tcPr>
            <w:tcW w:w="3368" w:type="dxa"/>
            <w:gridSpan w:val="3"/>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r>
              <w:rPr>
                <w:rFonts w:hint="eastAsia" w:ascii="宋体" w:hAnsi="宋体" w:cs="仿宋"/>
              </w:rPr>
              <w:t>项目名称</w:t>
            </w:r>
          </w:p>
        </w:tc>
        <w:tc>
          <w:tcPr>
            <w:tcW w:w="1875" w:type="dxa"/>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r>
              <w:rPr>
                <w:rFonts w:hint="eastAsia" w:ascii="宋体" w:hAnsi="宋体" w:cs="仿宋"/>
              </w:rPr>
              <w:t>担任职务</w:t>
            </w:r>
          </w:p>
        </w:tc>
        <w:tc>
          <w:tcPr>
            <w:tcW w:w="2000" w:type="dxa"/>
            <w:tcBorders>
              <w:top w:val="single" w:color="auto" w:sz="4" w:space="0"/>
              <w:left w:val="nil"/>
              <w:bottom w:val="single" w:color="auto" w:sz="4" w:space="0"/>
              <w:right w:val="single" w:color="auto" w:sz="4" w:space="0"/>
            </w:tcBorders>
            <w:vAlign w:val="bottom"/>
          </w:tcPr>
          <w:p>
            <w:pPr>
              <w:spacing w:line="360" w:lineRule="auto"/>
              <w:jc w:val="center"/>
              <w:rPr>
                <w:rFonts w:ascii="宋体" w:hAnsi="宋体"/>
              </w:rPr>
            </w:pPr>
            <w:r>
              <w:rPr>
                <w:rFonts w:hint="eastAsia" w:ascii="宋体" w:hAnsi="宋体" w:cs="仿宋"/>
              </w:rPr>
              <w:t>发包人</w:t>
            </w:r>
          </w:p>
        </w:tc>
      </w:tr>
      <w:tr>
        <w:tblPrEx>
          <w:tblCellMar>
            <w:top w:w="0" w:type="dxa"/>
            <w:left w:w="0" w:type="dxa"/>
            <w:bottom w:w="0" w:type="dxa"/>
            <w:right w:w="0" w:type="dxa"/>
          </w:tblCellMar>
        </w:tblPrEx>
        <w:trPr>
          <w:trHeight w:val="613" w:hRule="atLeast"/>
          <w:jc w:val="center"/>
        </w:trPr>
        <w:tc>
          <w:tcPr>
            <w:tcW w:w="1504"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p>
        </w:tc>
        <w:tc>
          <w:tcPr>
            <w:tcW w:w="3368"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87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200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r>
      <w:tr>
        <w:tblPrEx>
          <w:tblCellMar>
            <w:top w:w="0" w:type="dxa"/>
            <w:left w:w="0" w:type="dxa"/>
            <w:bottom w:w="0" w:type="dxa"/>
            <w:right w:w="0" w:type="dxa"/>
          </w:tblCellMar>
        </w:tblPrEx>
        <w:trPr>
          <w:trHeight w:val="613" w:hRule="atLeast"/>
          <w:jc w:val="center"/>
        </w:trPr>
        <w:tc>
          <w:tcPr>
            <w:tcW w:w="1504"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p>
        </w:tc>
        <w:tc>
          <w:tcPr>
            <w:tcW w:w="3368"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87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200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r>
      <w:tr>
        <w:tblPrEx>
          <w:tblCellMar>
            <w:top w:w="0" w:type="dxa"/>
            <w:left w:w="0" w:type="dxa"/>
            <w:bottom w:w="0" w:type="dxa"/>
            <w:right w:w="0" w:type="dxa"/>
          </w:tblCellMar>
        </w:tblPrEx>
        <w:trPr>
          <w:trHeight w:val="613" w:hRule="atLeast"/>
          <w:jc w:val="center"/>
        </w:trPr>
        <w:tc>
          <w:tcPr>
            <w:tcW w:w="1504"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p>
        </w:tc>
        <w:tc>
          <w:tcPr>
            <w:tcW w:w="3368"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87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200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r>
    </w:tbl>
    <w:p>
      <w:pPr>
        <w:spacing w:line="360" w:lineRule="auto"/>
        <w:ind w:left="120" w:hanging="120" w:hangingChars="50"/>
        <w:rPr>
          <w:rFonts w:ascii="宋体" w:hAnsi="宋体"/>
          <w:b/>
        </w:rPr>
      </w:pPr>
      <w:r>
        <w:rPr>
          <w:rFonts w:hint="eastAsia" w:ascii="宋体" w:hAnsi="宋体" w:cs="仿宋"/>
          <w:b/>
        </w:rPr>
        <w:t>注：</w:t>
      </w:r>
    </w:p>
    <w:p>
      <w:pPr>
        <w:spacing w:line="360" w:lineRule="auto"/>
        <w:ind w:left="120" w:hanging="120" w:hangingChars="50"/>
        <w:rPr>
          <w:rFonts w:ascii="宋体" w:hAnsi="宋体"/>
        </w:rPr>
      </w:pPr>
      <w:r>
        <w:rPr>
          <w:rFonts w:ascii="宋体" w:hAnsi="宋体" w:cs="仿宋"/>
        </w:rPr>
        <w:t>1</w:t>
      </w:r>
      <w:r>
        <w:rPr>
          <w:rFonts w:hint="eastAsia" w:ascii="宋体" w:hAnsi="宋体" w:cs="仿宋"/>
        </w:rPr>
        <w:t>、人员应附身份证复印件。</w:t>
      </w:r>
    </w:p>
    <w:p>
      <w:pPr>
        <w:spacing w:line="360" w:lineRule="auto"/>
        <w:ind w:left="120" w:hanging="120" w:hangingChars="50"/>
        <w:rPr>
          <w:rFonts w:ascii="宋体" w:hAnsi="宋体"/>
        </w:rPr>
      </w:pPr>
      <w:r>
        <w:rPr>
          <w:rFonts w:ascii="宋体" w:hAnsi="宋体" w:cs="仿宋"/>
        </w:rPr>
        <w:t>2</w:t>
      </w:r>
      <w:r>
        <w:rPr>
          <w:rFonts w:hint="eastAsia" w:ascii="宋体" w:hAnsi="宋体" w:cs="仿宋"/>
        </w:rPr>
        <w:t>、人员应附执业或职业资格证或上岗证或职称证复印件。</w:t>
      </w:r>
    </w:p>
    <w:p>
      <w:pPr>
        <w:spacing w:line="360" w:lineRule="auto"/>
        <w:rPr>
          <w:rFonts w:ascii="宋体" w:hAnsi="宋体"/>
        </w:rPr>
      </w:pPr>
    </w:p>
    <w:p>
      <w:pPr>
        <w:pStyle w:val="2"/>
        <w:spacing w:line="360" w:lineRule="auto"/>
        <w:rPr>
          <w:rFonts w:ascii="宋体" w:hAnsi="宋体"/>
        </w:rPr>
      </w:pPr>
    </w:p>
    <w:p>
      <w:pPr>
        <w:spacing w:line="360" w:lineRule="auto"/>
        <w:rPr>
          <w:rFonts w:ascii="宋体" w:hAnsi="宋体"/>
        </w:rPr>
      </w:pPr>
    </w:p>
    <w:p>
      <w:pPr>
        <w:pStyle w:val="2"/>
        <w:spacing w:line="360" w:lineRule="auto"/>
        <w:rPr>
          <w:rFonts w:ascii="宋体" w:hAnsi="宋体"/>
        </w:rPr>
      </w:pPr>
    </w:p>
    <w:p>
      <w:pPr>
        <w:spacing w:line="360" w:lineRule="auto"/>
        <w:rPr>
          <w:rFonts w:ascii="宋体" w:hAnsi="宋体"/>
        </w:rPr>
      </w:pPr>
    </w:p>
    <w:p>
      <w:pPr>
        <w:pStyle w:val="2"/>
        <w:spacing w:line="360" w:lineRule="auto"/>
        <w:rPr>
          <w:rFonts w:ascii="宋体" w:hAnsi="宋体"/>
        </w:rPr>
      </w:pPr>
    </w:p>
    <w:p>
      <w:pPr>
        <w:spacing w:line="360" w:lineRule="auto"/>
        <w:rPr>
          <w:rFonts w:ascii="宋体" w:hAnsi="宋体"/>
        </w:rPr>
      </w:pPr>
    </w:p>
    <w:p>
      <w:pPr>
        <w:pStyle w:val="2"/>
        <w:spacing w:line="360" w:lineRule="auto"/>
        <w:rPr>
          <w:rFonts w:ascii="宋体" w:hAnsi="宋体"/>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pStyle w:val="5"/>
        <w:tabs>
          <w:tab w:val="left" w:pos="709"/>
        </w:tabs>
        <w:ind w:left="1135" w:hanging="1135"/>
        <w:jc w:val="left"/>
        <w:rPr>
          <w:color w:val="auto"/>
        </w:rPr>
      </w:pPr>
      <w:r>
        <w:rPr>
          <w:rFonts w:hint="eastAsia"/>
          <w:color w:val="auto"/>
        </w:rPr>
        <w:t>报价要求响应文件</w:t>
      </w:r>
    </w:p>
    <w:p>
      <w:pPr>
        <w:pStyle w:val="5"/>
        <w:numPr>
          <w:ilvl w:val="3"/>
          <w:numId w:val="1"/>
        </w:numPr>
        <w:tabs>
          <w:tab w:val="left" w:pos="709"/>
        </w:tabs>
        <w:jc w:val="left"/>
        <w:rPr>
          <w:color w:val="auto"/>
        </w:rPr>
      </w:pPr>
      <w:r>
        <w:rPr>
          <w:rFonts w:hint="eastAsia"/>
          <w:color w:val="auto"/>
        </w:rPr>
        <w:t>已标价工程量清单</w:t>
      </w:r>
    </w:p>
    <w:p>
      <w:pPr>
        <w:snapToGrid w:val="0"/>
        <w:spacing w:line="360" w:lineRule="auto"/>
        <w:ind w:firstLine="584" w:firstLineChars="200"/>
        <w:rPr>
          <w:rFonts w:ascii="宋体" w:hAnsi="宋体"/>
          <w:spacing w:val="6"/>
          <w:sz w:val="28"/>
          <w:szCs w:val="28"/>
        </w:rPr>
      </w:pP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已标价工程量清单应符合磋商文件“第二章磋商须知”第2.4.3条报价货币及报价要求的相关要求以及工程量清单总说明的相关要求。</w:t>
      </w:r>
    </w:p>
    <w:p>
      <w:pPr>
        <w:pStyle w:val="2"/>
        <w:spacing w:line="360" w:lineRule="auto"/>
        <w:rPr>
          <w:rFonts w:ascii="宋体" w:hAnsi="宋体"/>
        </w:rPr>
      </w:pPr>
    </w:p>
    <w:p>
      <w:pPr>
        <w:spacing w:line="360" w:lineRule="auto"/>
        <w:rPr>
          <w:rFonts w:ascii="宋体" w:hAnsi="宋体"/>
        </w:rPr>
      </w:pPr>
    </w:p>
    <w:p>
      <w:pPr>
        <w:spacing w:line="360" w:lineRule="auto"/>
        <w:rPr>
          <w:rFonts w:ascii="宋体" w:hAnsi="宋体"/>
        </w:rPr>
      </w:pPr>
    </w:p>
    <w:bookmarkEnd w:id="59"/>
    <w:p>
      <w:r>
        <w:rPr>
          <w:rFonts w:hint="eastAsia"/>
        </w:rPr>
        <w:br w:type="page"/>
      </w:r>
    </w:p>
    <w:p>
      <w:pPr>
        <w:pStyle w:val="3"/>
        <w:numPr>
          <w:ilvl w:val="0"/>
          <w:numId w:val="1"/>
        </w:numPr>
        <w:spacing w:before="0" w:after="0"/>
        <w:ind w:left="0" w:firstLine="0"/>
      </w:pPr>
      <w:bookmarkStart w:id="60" w:name="_Toc18037"/>
      <w:r>
        <w:rPr>
          <w:rFonts w:hint="eastAsia"/>
        </w:rPr>
        <w:t>技术、服务、商务及其他要求</w:t>
      </w:r>
      <w:bookmarkEnd w:id="60"/>
    </w:p>
    <w:p>
      <w:pPr>
        <w:spacing w:line="360" w:lineRule="auto"/>
        <w:ind w:firstLine="562" w:firstLineChars="200"/>
        <w:rPr>
          <w:rFonts w:ascii="宋体" w:hAnsi="宋体"/>
          <w:b/>
          <w:sz w:val="28"/>
          <w:szCs w:val="28"/>
        </w:rPr>
      </w:pPr>
      <w:r>
        <w:rPr>
          <w:rFonts w:ascii="宋体" w:hAnsi="宋体"/>
          <w:b/>
          <w:sz w:val="28"/>
          <w:szCs w:val="28"/>
        </w:rPr>
        <w:t>本章采购需求中标注“</w:t>
      </w:r>
      <w:r>
        <w:rPr>
          <w:rFonts w:hint="eastAsia" w:ascii="宋体" w:hAnsi="宋体"/>
          <w:b/>
          <w:sz w:val="28"/>
          <w:szCs w:val="28"/>
        </w:rPr>
        <w:t>★</w:t>
      </w:r>
      <w:r>
        <w:rPr>
          <w:rFonts w:ascii="宋体" w:hAnsi="宋体"/>
          <w:b/>
          <w:sz w:val="28"/>
          <w:szCs w:val="28"/>
        </w:rPr>
        <w:t>”号的条款为本次采购项目的实质性要求，供应商</w:t>
      </w:r>
      <w:r>
        <w:rPr>
          <w:rFonts w:hint="eastAsia" w:ascii="宋体" w:hAnsi="宋体"/>
          <w:b/>
          <w:sz w:val="28"/>
          <w:szCs w:val="28"/>
        </w:rPr>
        <w:t>在磋商</w:t>
      </w:r>
      <w:r>
        <w:rPr>
          <w:rFonts w:ascii="宋体" w:hAnsi="宋体"/>
          <w:b/>
          <w:sz w:val="28"/>
          <w:szCs w:val="28"/>
        </w:rPr>
        <w:t>结束后应全部满足</w:t>
      </w:r>
      <w:r>
        <w:rPr>
          <w:rFonts w:hint="eastAsia" w:ascii="宋体" w:hAnsi="宋体"/>
          <w:b/>
          <w:sz w:val="28"/>
          <w:szCs w:val="28"/>
        </w:rPr>
        <w:t>。</w:t>
      </w:r>
    </w:p>
    <w:p>
      <w:pPr>
        <w:pStyle w:val="4"/>
        <w:tabs>
          <w:tab w:val="left" w:pos="576"/>
          <w:tab w:val="clear" w:pos="567"/>
        </w:tabs>
      </w:pPr>
      <w:bookmarkStart w:id="61" w:name="_Toc13638"/>
      <w:bookmarkStart w:id="62" w:name="_Toc496702872"/>
      <w:bookmarkStart w:id="63" w:name="_Toc321334066"/>
      <w:r>
        <w:rPr>
          <w:rFonts w:hint="eastAsia"/>
        </w:rPr>
        <w:t>技术、服务、合同</w:t>
      </w:r>
      <w:r>
        <w:t>条款</w:t>
      </w:r>
      <w:r>
        <w:rPr>
          <w:rFonts w:hint="eastAsia"/>
        </w:rPr>
        <w:t>要求</w:t>
      </w:r>
      <w:bookmarkEnd w:id="61"/>
    </w:p>
    <w:tbl>
      <w:tblPr>
        <w:tblStyle w:val="45"/>
        <w:tblW w:w="8935" w:type="dxa"/>
        <w:tblInd w:w="0" w:type="dxa"/>
        <w:tblLayout w:type="fixed"/>
        <w:tblCellMar>
          <w:top w:w="0" w:type="dxa"/>
          <w:left w:w="108" w:type="dxa"/>
          <w:bottom w:w="0" w:type="dxa"/>
          <w:right w:w="108" w:type="dxa"/>
        </w:tblCellMar>
      </w:tblPr>
      <w:tblGrid>
        <w:gridCol w:w="782"/>
        <w:gridCol w:w="1797"/>
        <w:gridCol w:w="5496"/>
        <w:gridCol w:w="860"/>
      </w:tblGrid>
      <w:tr>
        <w:tblPrEx>
          <w:tblCellMar>
            <w:top w:w="0" w:type="dxa"/>
            <w:left w:w="108" w:type="dxa"/>
            <w:bottom w:w="0" w:type="dxa"/>
            <w:right w:w="108" w:type="dxa"/>
          </w:tblCellMar>
        </w:tblPrEx>
        <w:trPr>
          <w:trHeight w:val="997" w:hRule="atLeast"/>
        </w:trPr>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序号</w:t>
            </w:r>
          </w:p>
        </w:tc>
        <w:tc>
          <w:tcPr>
            <w:tcW w:w="1797"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项目</w:t>
            </w:r>
          </w:p>
        </w:tc>
        <w:tc>
          <w:tcPr>
            <w:tcW w:w="5496"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响应内容</w:t>
            </w:r>
          </w:p>
        </w:tc>
        <w:tc>
          <w:tcPr>
            <w:tcW w:w="860"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备注</w:t>
            </w:r>
          </w:p>
        </w:tc>
      </w:tr>
      <w:tr>
        <w:tblPrEx>
          <w:tblCellMar>
            <w:top w:w="0" w:type="dxa"/>
            <w:left w:w="108" w:type="dxa"/>
            <w:bottom w:w="0" w:type="dxa"/>
            <w:right w:w="108" w:type="dxa"/>
          </w:tblCellMar>
        </w:tblPrEx>
        <w:trPr>
          <w:trHeight w:val="767" w:hRule="atLeast"/>
        </w:trPr>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1</w:t>
            </w:r>
          </w:p>
        </w:tc>
        <w:tc>
          <w:tcPr>
            <w:tcW w:w="1797"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工    期</w:t>
            </w:r>
          </w:p>
        </w:tc>
        <w:tc>
          <w:tcPr>
            <w:tcW w:w="5496"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 xml:space="preserve">6个月    </w:t>
            </w:r>
          </w:p>
        </w:tc>
        <w:tc>
          <w:tcPr>
            <w:tcW w:w="860"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p>
        </w:tc>
      </w:tr>
      <w:tr>
        <w:tblPrEx>
          <w:tblCellMar>
            <w:top w:w="0" w:type="dxa"/>
            <w:left w:w="108" w:type="dxa"/>
            <w:bottom w:w="0" w:type="dxa"/>
            <w:right w:w="108" w:type="dxa"/>
          </w:tblCellMar>
        </w:tblPrEx>
        <w:trPr>
          <w:trHeight w:val="828" w:hRule="atLeast"/>
        </w:trPr>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2</w:t>
            </w:r>
          </w:p>
        </w:tc>
        <w:tc>
          <w:tcPr>
            <w:tcW w:w="1797"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缺陷责任期</w:t>
            </w:r>
          </w:p>
        </w:tc>
        <w:tc>
          <w:tcPr>
            <w:tcW w:w="5496"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 xml:space="preserve"> 24 个月</w:t>
            </w:r>
          </w:p>
        </w:tc>
        <w:tc>
          <w:tcPr>
            <w:tcW w:w="860"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p>
        </w:tc>
      </w:tr>
      <w:tr>
        <w:tblPrEx>
          <w:tblCellMar>
            <w:top w:w="0" w:type="dxa"/>
            <w:left w:w="108" w:type="dxa"/>
            <w:bottom w:w="0" w:type="dxa"/>
            <w:right w:w="108" w:type="dxa"/>
          </w:tblCellMar>
        </w:tblPrEx>
        <w:trPr>
          <w:trHeight w:val="791" w:hRule="atLeast"/>
        </w:trPr>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3</w:t>
            </w:r>
          </w:p>
        </w:tc>
        <w:tc>
          <w:tcPr>
            <w:tcW w:w="1797"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分    包</w:t>
            </w:r>
          </w:p>
        </w:tc>
        <w:tc>
          <w:tcPr>
            <w:tcW w:w="5496"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不允许</w:t>
            </w:r>
          </w:p>
        </w:tc>
        <w:tc>
          <w:tcPr>
            <w:tcW w:w="860"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p>
        </w:tc>
      </w:tr>
      <w:tr>
        <w:tblPrEx>
          <w:tblCellMar>
            <w:top w:w="0" w:type="dxa"/>
            <w:left w:w="108" w:type="dxa"/>
            <w:bottom w:w="0" w:type="dxa"/>
            <w:right w:w="108" w:type="dxa"/>
          </w:tblCellMar>
        </w:tblPrEx>
        <w:trPr>
          <w:trHeight w:val="743" w:hRule="atLeast"/>
        </w:trPr>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rPr>
              <w:t>4</w:t>
            </w:r>
          </w:p>
        </w:tc>
        <w:tc>
          <w:tcPr>
            <w:tcW w:w="1797"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价格调整</w:t>
            </w:r>
          </w:p>
        </w:tc>
        <w:tc>
          <w:tcPr>
            <w:tcW w:w="5496"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lang w:val="zh-CN"/>
              </w:rPr>
              <w:t>见合同条款</w:t>
            </w:r>
          </w:p>
        </w:tc>
        <w:tc>
          <w:tcPr>
            <w:tcW w:w="860"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cs="MingLiU"/>
                <w:sz w:val="28"/>
                <w:szCs w:val="28"/>
              </w:rPr>
            </w:pPr>
          </w:p>
        </w:tc>
      </w:tr>
      <w:tr>
        <w:tblPrEx>
          <w:tblCellMar>
            <w:top w:w="0" w:type="dxa"/>
            <w:left w:w="108" w:type="dxa"/>
            <w:bottom w:w="0" w:type="dxa"/>
            <w:right w:w="108" w:type="dxa"/>
          </w:tblCellMar>
        </w:tblPrEx>
        <w:trPr>
          <w:trHeight w:val="680" w:hRule="atLeast"/>
        </w:trPr>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rPr>
              <w:t>5</w:t>
            </w:r>
          </w:p>
        </w:tc>
        <w:tc>
          <w:tcPr>
            <w:tcW w:w="1797"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履约保证金</w:t>
            </w:r>
          </w:p>
        </w:tc>
        <w:tc>
          <w:tcPr>
            <w:tcW w:w="5496"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本项目</w:t>
            </w:r>
            <w:r>
              <w:rPr>
                <w:rFonts w:hint="eastAsia" w:ascii="宋体" w:hAnsi="宋体" w:cs="宋体"/>
                <w:lang w:val="en-US" w:eastAsia="zh-CN"/>
              </w:rPr>
              <w:t>不收</w:t>
            </w:r>
            <w:r>
              <w:rPr>
                <w:rFonts w:hint="eastAsia" w:ascii="宋体" w:hAnsi="宋体" w:cs="宋体"/>
              </w:rPr>
              <w:t>取履约保证金。</w:t>
            </w:r>
          </w:p>
        </w:tc>
        <w:tc>
          <w:tcPr>
            <w:tcW w:w="860"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cs="MingLiU"/>
                <w:sz w:val="28"/>
                <w:szCs w:val="28"/>
              </w:rPr>
            </w:pPr>
          </w:p>
        </w:tc>
      </w:tr>
      <w:tr>
        <w:tblPrEx>
          <w:tblCellMar>
            <w:top w:w="0" w:type="dxa"/>
            <w:left w:w="108" w:type="dxa"/>
            <w:bottom w:w="0" w:type="dxa"/>
            <w:right w:w="108" w:type="dxa"/>
          </w:tblCellMar>
        </w:tblPrEx>
        <w:trPr>
          <w:trHeight w:val="1672" w:hRule="atLeast"/>
        </w:trPr>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rPr>
            </w:pPr>
            <w:r>
              <w:rPr>
                <w:rFonts w:hint="eastAsia" w:ascii="宋体" w:hAnsi="宋体" w:cs="仿宋"/>
              </w:rPr>
              <w:t>6</w:t>
            </w:r>
          </w:p>
        </w:tc>
        <w:tc>
          <w:tcPr>
            <w:tcW w:w="1797"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付款方式</w:t>
            </w:r>
          </w:p>
        </w:tc>
        <w:tc>
          <w:tcPr>
            <w:tcW w:w="5496" w:type="dxa"/>
            <w:tcBorders>
              <w:top w:val="single" w:color="auto" w:sz="4" w:space="0"/>
              <w:left w:val="nil"/>
              <w:bottom w:val="single" w:color="auto" w:sz="4" w:space="0"/>
              <w:right w:val="single" w:color="auto" w:sz="4" w:space="0"/>
            </w:tcBorders>
            <w:vAlign w:val="center"/>
          </w:tcPr>
          <w:p>
            <w:pPr>
              <w:spacing w:line="400" w:lineRule="exact"/>
              <w:rPr>
                <w:rFonts w:ascii="宋体" w:hAnsi="宋体" w:cs="宋体"/>
              </w:rPr>
            </w:pPr>
            <w:r>
              <w:rPr>
                <w:rFonts w:hint="eastAsia" w:ascii="宋体" w:hAnsi="宋体" w:cs="宋体"/>
              </w:rPr>
              <w:t>合同签订后支付合同金额的30%；在财政资金到位的前提下，工程竣工后可支付25%；验收合格后支付工程尾款；尾款需保留结算金额的3%作为质保金，质保期满后全额无息退还供应商。</w:t>
            </w:r>
          </w:p>
        </w:tc>
        <w:tc>
          <w:tcPr>
            <w:tcW w:w="860"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rPr>
            </w:pPr>
          </w:p>
        </w:tc>
      </w:tr>
      <w:tr>
        <w:tblPrEx>
          <w:tblCellMar>
            <w:top w:w="0" w:type="dxa"/>
            <w:left w:w="108" w:type="dxa"/>
            <w:bottom w:w="0" w:type="dxa"/>
            <w:right w:w="108" w:type="dxa"/>
          </w:tblCellMar>
        </w:tblPrEx>
        <w:trPr>
          <w:trHeight w:val="620" w:hRule="atLeast"/>
        </w:trPr>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cs="仿宋"/>
              </w:rPr>
            </w:pPr>
            <w:r>
              <w:rPr>
                <w:rFonts w:hint="eastAsia" w:ascii="宋体" w:hAnsi="宋体" w:cs="仿宋"/>
              </w:rPr>
              <w:t>7</w:t>
            </w:r>
          </w:p>
        </w:tc>
        <w:tc>
          <w:tcPr>
            <w:tcW w:w="1797"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转包</w:t>
            </w:r>
          </w:p>
        </w:tc>
        <w:tc>
          <w:tcPr>
            <w:tcW w:w="5496" w:type="dxa"/>
            <w:tcBorders>
              <w:top w:val="single" w:color="auto" w:sz="4" w:space="0"/>
              <w:left w:val="nil"/>
              <w:bottom w:val="single" w:color="auto" w:sz="4" w:space="0"/>
              <w:right w:val="single" w:color="auto" w:sz="4" w:space="0"/>
            </w:tcBorders>
            <w:vAlign w:val="center"/>
          </w:tcPr>
          <w:p>
            <w:pPr>
              <w:spacing w:line="400" w:lineRule="exact"/>
              <w:jc w:val="center"/>
            </w:pPr>
            <w:r>
              <w:rPr>
                <w:rFonts w:hint="eastAsia"/>
              </w:rPr>
              <w:t>不允许</w:t>
            </w:r>
          </w:p>
        </w:tc>
        <w:tc>
          <w:tcPr>
            <w:tcW w:w="860"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cs="仿宋"/>
              </w:rPr>
            </w:pPr>
          </w:p>
        </w:tc>
      </w:tr>
      <w:tr>
        <w:tblPrEx>
          <w:tblCellMar>
            <w:top w:w="0" w:type="dxa"/>
            <w:left w:w="108" w:type="dxa"/>
            <w:bottom w:w="0" w:type="dxa"/>
            <w:right w:w="108" w:type="dxa"/>
          </w:tblCellMar>
        </w:tblPrEx>
        <w:trPr>
          <w:trHeight w:val="659" w:hRule="atLeast"/>
        </w:trPr>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ind w:right="24" w:rightChars="10"/>
              <w:jc w:val="center"/>
              <w:rPr>
                <w:rFonts w:ascii="宋体" w:hAnsi="宋体" w:cs="仿宋"/>
              </w:rPr>
            </w:pPr>
            <w:r>
              <w:rPr>
                <w:rFonts w:hint="eastAsia" w:ascii="宋体" w:hAnsi="宋体" w:cs="仿宋"/>
              </w:rPr>
              <w:t>8</w:t>
            </w:r>
          </w:p>
        </w:tc>
        <w:tc>
          <w:tcPr>
            <w:tcW w:w="1797" w:type="dxa"/>
            <w:tcBorders>
              <w:top w:val="single" w:color="auto" w:sz="4" w:space="0"/>
              <w:left w:val="nil"/>
              <w:bottom w:val="single" w:color="auto" w:sz="4" w:space="0"/>
              <w:right w:val="single" w:color="auto" w:sz="4" w:space="0"/>
            </w:tcBorders>
            <w:vAlign w:val="center"/>
          </w:tcPr>
          <w:p>
            <w:pPr>
              <w:spacing w:line="400" w:lineRule="exact"/>
              <w:jc w:val="center"/>
            </w:pPr>
            <w:r>
              <w:rPr>
                <w:rFonts w:hint="eastAsia" w:ascii="宋体" w:hAnsi="宋体" w:cs="宋体"/>
              </w:rPr>
              <w:t>质量保修期</w:t>
            </w:r>
          </w:p>
        </w:tc>
        <w:tc>
          <w:tcPr>
            <w:tcW w:w="5496" w:type="dxa"/>
            <w:tcBorders>
              <w:top w:val="single" w:color="auto" w:sz="4" w:space="0"/>
              <w:left w:val="nil"/>
              <w:bottom w:val="single" w:color="auto" w:sz="4" w:space="0"/>
              <w:right w:val="single" w:color="auto" w:sz="4" w:space="0"/>
            </w:tcBorders>
            <w:vAlign w:val="center"/>
          </w:tcPr>
          <w:p>
            <w:pPr>
              <w:spacing w:line="400" w:lineRule="exact"/>
              <w:jc w:val="center"/>
            </w:pPr>
            <w:r>
              <w:rPr>
                <w:rFonts w:hint="eastAsia"/>
              </w:rPr>
              <w:t>2年</w:t>
            </w:r>
          </w:p>
        </w:tc>
        <w:tc>
          <w:tcPr>
            <w:tcW w:w="860" w:type="dxa"/>
            <w:tcBorders>
              <w:top w:val="single" w:color="auto" w:sz="4" w:space="0"/>
              <w:left w:val="nil"/>
              <w:bottom w:val="single" w:color="auto" w:sz="4" w:space="0"/>
              <w:right w:val="single" w:color="auto" w:sz="4" w:space="0"/>
            </w:tcBorders>
            <w:vAlign w:val="center"/>
          </w:tcPr>
          <w:p>
            <w:pPr>
              <w:spacing w:line="400" w:lineRule="exact"/>
              <w:ind w:right="24" w:rightChars="10"/>
              <w:jc w:val="center"/>
              <w:rPr>
                <w:rFonts w:ascii="宋体" w:hAnsi="宋体" w:cs="仿宋"/>
              </w:rPr>
            </w:pPr>
          </w:p>
        </w:tc>
      </w:tr>
    </w:tbl>
    <w:p/>
    <w:p>
      <w:pPr>
        <w:pStyle w:val="4"/>
        <w:tabs>
          <w:tab w:val="left" w:pos="576"/>
          <w:tab w:val="clear" w:pos="567"/>
        </w:tabs>
      </w:pPr>
      <w:bookmarkStart w:id="64" w:name="_Toc60658340"/>
      <w:bookmarkStart w:id="65" w:name="_Toc18595"/>
      <w:r>
        <w:rPr>
          <w:rFonts w:hint="eastAsia"/>
        </w:rPr>
        <w:t>★漏项工程处理</w:t>
      </w:r>
      <w:bookmarkEnd w:id="64"/>
      <w:bookmarkEnd w:id="65"/>
    </w:p>
    <w:p>
      <w:pPr>
        <w:tabs>
          <w:tab w:val="left" w:pos="1134"/>
        </w:tabs>
        <w:snapToGrid w:val="0"/>
        <w:spacing w:line="360" w:lineRule="auto"/>
        <w:ind w:firstLine="568" w:firstLineChars="202"/>
        <w:rPr>
          <w:rFonts w:ascii="宋体" w:hAnsi="宋体"/>
          <w:sz w:val="28"/>
          <w:szCs w:val="28"/>
        </w:rPr>
      </w:pPr>
      <w:r>
        <w:rPr>
          <w:rFonts w:hint="eastAsia" w:ascii="宋体" w:hAnsi="宋体"/>
          <w:b/>
          <w:sz w:val="28"/>
          <w:szCs w:val="28"/>
        </w:rPr>
        <w:t>施工过程中，发现工程量清单存在漏项工程的，该漏项工程作为本项目本章采购需求的组成部分，采购人和供应商可以按照《中华人民共和国政府采购法》的规定签订不超过成交金额百分之十的补充合同。（说明：供应商</w:t>
      </w:r>
      <w:r>
        <w:rPr>
          <w:rFonts w:ascii="宋体" w:hAnsi="宋体"/>
          <w:b/>
          <w:sz w:val="28"/>
          <w:szCs w:val="28"/>
        </w:rPr>
        <w:t>应按</w:t>
      </w:r>
      <w:r>
        <w:rPr>
          <w:rFonts w:hint="eastAsia" w:ascii="宋体" w:hAnsi="宋体"/>
          <w:b/>
          <w:sz w:val="28"/>
          <w:szCs w:val="28"/>
        </w:rPr>
        <w:t>磋商</w:t>
      </w:r>
      <w:r>
        <w:rPr>
          <w:rFonts w:ascii="宋体" w:hAnsi="宋体"/>
          <w:b/>
          <w:sz w:val="28"/>
          <w:szCs w:val="28"/>
        </w:rPr>
        <w:t>文件</w:t>
      </w:r>
      <w:r>
        <w:rPr>
          <w:b/>
          <w:sz w:val="28"/>
          <w:szCs w:val="28"/>
        </w:rPr>
        <w:t>3.1.</w:t>
      </w:r>
      <w:r>
        <w:rPr>
          <w:rFonts w:hint="eastAsia"/>
          <w:b/>
          <w:sz w:val="28"/>
          <w:szCs w:val="28"/>
        </w:rPr>
        <w:t>3</w:t>
      </w:r>
      <w:r>
        <w:rPr>
          <w:b/>
          <w:sz w:val="28"/>
          <w:szCs w:val="28"/>
        </w:rPr>
        <w:t>.3</w:t>
      </w:r>
      <w:r>
        <w:rPr>
          <w:rFonts w:ascii="宋体" w:hAnsi="宋体"/>
          <w:b/>
          <w:sz w:val="28"/>
          <w:szCs w:val="28"/>
        </w:rPr>
        <w:t>承诺函的格式及要求提供承诺函。</w:t>
      </w:r>
      <w:r>
        <w:rPr>
          <w:rFonts w:hint="eastAsia" w:ascii="宋体" w:hAnsi="宋体"/>
          <w:b/>
          <w:sz w:val="28"/>
          <w:szCs w:val="28"/>
        </w:rPr>
        <w:t>）</w:t>
      </w:r>
    </w:p>
    <w:p>
      <w:pPr>
        <w:pStyle w:val="4"/>
        <w:tabs>
          <w:tab w:val="left" w:pos="576"/>
          <w:tab w:val="clear" w:pos="567"/>
        </w:tabs>
      </w:pPr>
      <w:bookmarkStart w:id="66" w:name="_Toc19407"/>
      <w:bookmarkStart w:id="67" w:name="_Toc60658341"/>
      <w:r>
        <w:rPr>
          <w:rFonts w:hint="eastAsia"/>
        </w:rPr>
        <w:t>★施工及验收要求</w:t>
      </w:r>
      <w:bookmarkEnd w:id="66"/>
    </w:p>
    <w:p>
      <w:pPr>
        <w:tabs>
          <w:tab w:val="left" w:pos="1134"/>
        </w:tabs>
        <w:snapToGrid w:val="0"/>
        <w:spacing w:line="360" w:lineRule="auto"/>
        <w:ind w:firstLine="568" w:firstLineChars="202"/>
        <w:rPr>
          <w:rFonts w:ascii="宋体" w:hAnsi="宋体"/>
          <w:b/>
          <w:sz w:val="28"/>
          <w:szCs w:val="28"/>
        </w:rPr>
      </w:pPr>
      <w:r>
        <w:rPr>
          <w:rFonts w:hint="eastAsia" w:ascii="宋体" w:hAnsi="宋体"/>
          <w:b/>
          <w:sz w:val="28"/>
          <w:szCs w:val="28"/>
        </w:rPr>
        <w:t>供应商针对本项目的施工，</w:t>
      </w:r>
      <w:r>
        <w:rPr>
          <w:rFonts w:ascii="宋体" w:hAnsi="宋体"/>
          <w:b/>
          <w:sz w:val="28"/>
          <w:szCs w:val="28"/>
        </w:rPr>
        <w:t>必</w:t>
      </w:r>
      <w:r>
        <w:rPr>
          <w:rFonts w:hint="eastAsia" w:ascii="宋体" w:hAnsi="宋体"/>
          <w:b/>
          <w:sz w:val="28"/>
          <w:szCs w:val="28"/>
        </w:rPr>
        <w:t>须达到国家及行业现行技术规范标准，符合国家及行业验收合格标准。</w:t>
      </w:r>
      <w:bookmarkEnd w:id="67"/>
      <w:r>
        <w:rPr>
          <w:rFonts w:hint="eastAsia" w:ascii="宋体" w:hAnsi="宋体"/>
          <w:b/>
          <w:sz w:val="28"/>
          <w:szCs w:val="28"/>
        </w:rPr>
        <w:t>（说明：供应商</w:t>
      </w:r>
      <w:r>
        <w:rPr>
          <w:rFonts w:ascii="宋体" w:hAnsi="宋体"/>
          <w:b/>
          <w:sz w:val="28"/>
          <w:szCs w:val="28"/>
        </w:rPr>
        <w:t>应按</w:t>
      </w:r>
      <w:r>
        <w:rPr>
          <w:rFonts w:hint="eastAsia" w:ascii="宋体" w:hAnsi="宋体"/>
          <w:b/>
          <w:sz w:val="28"/>
          <w:szCs w:val="28"/>
        </w:rPr>
        <w:t>磋商</w:t>
      </w:r>
      <w:r>
        <w:rPr>
          <w:rFonts w:ascii="宋体" w:hAnsi="宋体"/>
          <w:b/>
          <w:sz w:val="28"/>
          <w:szCs w:val="28"/>
        </w:rPr>
        <w:t>文件</w:t>
      </w:r>
      <w:r>
        <w:rPr>
          <w:b/>
          <w:sz w:val="28"/>
          <w:szCs w:val="28"/>
        </w:rPr>
        <w:t>3.</w:t>
      </w:r>
      <w:r>
        <w:rPr>
          <w:rFonts w:hint="eastAsia"/>
          <w:b/>
          <w:sz w:val="28"/>
          <w:szCs w:val="28"/>
        </w:rPr>
        <w:t>1</w:t>
      </w:r>
      <w:r>
        <w:rPr>
          <w:b/>
          <w:sz w:val="28"/>
          <w:szCs w:val="28"/>
        </w:rPr>
        <w:t>.</w:t>
      </w:r>
      <w:r>
        <w:rPr>
          <w:rFonts w:hint="eastAsia"/>
          <w:b/>
          <w:sz w:val="28"/>
          <w:szCs w:val="28"/>
        </w:rPr>
        <w:t>3.3</w:t>
      </w:r>
      <w:r>
        <w:rPr>
          <w:rFonts w:ascii="宋体" w:hAnsi="宋体"/>
          <w:b/>
          <w:sz w:val="28"/>
          <w:szCs w:val="28"/>
        </w:rPr>
        <w:t>承诺函的格式及要求提供承诺函。</w:t>
      </w:r>
      <w:r>
        <w:rPr>
          <w:rFonts w:hint="eastAsia" w:ascii="宋体" w:hAnsi="宋体"/>
          <w:b/>
          <w:sz w:val="28"/>
          <w:szCs w:val="28"/>
        </w:rPr>
        <w:t>）</w:t>
      </w:r>
    </w:p>
    <w:p>
      <w:pPr>
        <w:pStyle w:val="4"/>
        <w:tabs>
          <w:tab w:val="left" w:pos="993"/>
          <w:tab w:val="clear" w:pos="426"/>
          <w:tab w:val="clear" w:pos="567"/>
        </w:tabs>
        <w:ind w:left="0" w:firstLine="0"/>
      </w:pPr>
      <w:bookmarkStart w:id="68" w:name="_Toc29598"/>
      <w:bookmarkStart w:id="69" w:name="_Toc60658342"/>
      <w:bookmarkStart w:id="70" w:name="_Toc13429"/>
      <w:r>
        <w:rPr>
          <w:rFonts w:hint="eastAsia"/>
        </w:rPr>
        <w:t>针对本项目的其他技术服务要求</w:t>
      </w:r>
      <w:bookmarkEnd w:id="68"/>
      <w:bookmarkEnd w:id="69"/>
      <w:bookmarkEnd w:id="70"/>
    </w:p>
    <w:p>
      <w:pPr>
        <w:pStyle w:val="5"/>
        <w:tabs>
          <w:tab w:val="left" w:pos="993"/>
        </w:tabs>
        <w:ind w:left="0" w:firstLine="0"/>
        <w:rPr>
          <w:color w:val="auto"/>
        </w:rPr>
      </w:pPr>
      <w:r>
        <w:rPr>
          <w:rFonts w:hint="eastAsia"/>
          <w:color w:val="auto"/>
        </w:rPr>
        <w:t>报价要求</w:t>
      </w:r>
    </w:p>
    <w:p>
      <w:pPr>
        <w:pStyle w:val="82"/>
        <w:tabs>
          <w:tab w:val="left" w:pos="1276"/>
        </w:tabs>
        <w:spacing w:after="200" w:line="360" w:lineRule="auto"/>
        <w:ind w:firstLine="560"/>
        <w:jc w:val="both"/>
        <w:rPr>
          <w:rFonts w:ascii="宋体" w:hAnsi="宋体" w:eastAsia="宋体" w:cs="仿宋"/>
          <w:sz w:val="28"/>
          <w:szCs w:val="28"/>
        </w:rPr>
      </w:pPr>
      <w:r>
        <w:rPr>
          <w:rFonts w:hint="eastAsia" w:ascii="宋体" w:hAnsi="宋体" w:eastAsia="宋体" w:cs="仿宋"/>
          <w:sz w:val="28"/>
          <w:szCs w:val="28"/>
        </w:rPr>
        <w:t>本项目采用工程量清单综合单价法报价，合同为固定单价合同。</w:t>
      </w:r>
    </w:p>
    <w:p>
      <w:pPr>
        <w:pStyle w:val="5"/>
        <w:tabs>
          <w:tab w:val="left" w:pos="993"/>
        </w:tabs>
        <w:ind w:left="0" w:firstLine="0"/>
        <w:rPr>
          <w:color w:val="auto"/>
        </w:rPr>
      </w:pPr>
      <w:r>
        <w:rPr>
          <w:rFonts w:hint="eastAsia"/>
          <w:color w:val="auto"/>
        </w:rPr>
        <w:t>现场踏勘</w:t>
      </w:r>
    </w:p>
    <w:p>
      <w:pPr>
        <w:pStyle w:val="82"/>
        <w:tabs>
          <w:tab w:val="left" w:pos="1276"/>
        </w:tabs>
        <w:spacing w:after="200" w:line="360" w:lineRule="auto"/>
        <w:ind w:firstLine="560"/>
        <w:jc w:val="both"/>
        <w:rPr>
          <w:rFonts w:ascii="宋体" w:hAnsi="宋体" w:eastAsia="宋体" w:cs="仿宋"/>
          <w:sz w:val="28"/>
          <w:szCs w:val="28"/>
        </w:rPr>
      </w:pPr>
      <w:r>
        <w:rPr>
          <w:rFonts w:hint="eastAsia" w:ascii="宋体" w:hAnsi="宋体" w:eastAsia="宋体" w:cs="仿宋"/>
          <w:sz w:val="28"/>
          <w:szCs w:val="28"/>
        </w:rPr>
        <w:t>由供应商自行前往。</w:t>
      </w:r>
    </w:p>
    <w:p>
      <w:pPr>
        <w:pStyle w:val="5"/>
        <w:tabs>
          <w:tab w:val="left" w:pos="993"/>
        </w:tabs>
        <w:ind w:left="0" w:firstLine="0"/>
        <w:rPr>
          <w:color w:val="auto"/>
        </w:rPr>
      </w:pPr>
      <w:r>
        <w:rPr>
          <w:rFonts w:hint="eastAsia"/>
          <w:color w:val="auto"/>
        </w:rPr>
        <w:t>★工程地址</w:t>
      </w:r>
    </w:p>
    <w:p>
      <w:pPr>
        <w:pStyle w:val="82"/>
        <w:tabs>
          <w:tab w:val="left" w:pos="1276"/>
        </w:tabs>
        <w:spacing w:after="200" w:line="360" w:lineRule="auto"/>
        <w:ind w:firstLine="562"/>
        <w:jc w:val="both"/>
        <w:rPr>
          <w:rFonts w:ascii="宋体" w:hAnsi="宋体" w:eastAsia="宋体" w:cs="仿宋"/>
          <w:sz w:val="28"/>
          <w:szCs w:val="28"/>
        </w:rPr>
      </w:pPr>
      <w:r>
        <w:rPr>
          <w:rFonts w:hint="eastAsia" w:ascii="宋体" w:hAnsi="宋体" w:eastAsia="宋体" w:cs="仿宋"/>
          <w:b/>
          <w:sz w:val="28"/>
          <w:szCs w:val="28"/>
        </w:rPr>
        <w:t>四川省成都市中和中学内（四川省成都市高新区中和街道新中街100号）。</w:t>
      </w:r>
      <w:r>
        <w:rPr>
          <w:rFonts w:hint="eastAsia" w:ascii="宋体" w:hAnsi="宋体" w:eastAsia="宋体"/>
          <w:b/>
          <w:sz w:val="28"/>
          <w:szCs w:val="28"/>
        </w:rPr>
        <w:t>（说明：供应商应按磋商文件</w:t>
      </w:r>
      <w:r>
        <w:rPr>
          <w:rFonts w:ascii="Times New Roman" w:hAnsi="Times New Roman" w:cs="Times New Roman"/>
          <w:b/>
          <w:sz w:val="28"/>
          <w:szCs w:val="28"/>
        </w:rPr>
        <w:t>3.1.</w:t>
      </w:r>
      <w:r>
        <w:rPr>
          <w:rFonts w:hint="eastAsia" w:ascii="Times New Roman" w:hAnsi="Times New Roman" w:cs="Times New Roman"/>
          <w:b/>
          <w:sz w:val="28"/>
          <w:szCs w:val="28"/>
        </w:rPr>
        <w:t>3</w:t>
      </w:r>
      <w:r>
        <w:rPr>
          <w:rFonts w:ascii="Times New Roman" w:hAnsi="Times New Roman" w:cs="Times New Roman"/>
          <w:b/>
          <w:sz w:val="28"/>
          <w:szCs w:val="28"/>
        </w:rPr>
        <w:t>.3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5"/>
        <w:tabs>
          <w:tab w:val="left" w:pos="709"/>
        </w:tabs>
        <w:ind w:left="709" w:hanging="709"/>
        <w:rPr>
          <w:color w:val="auto"/>
        </w:rPr>
      </w:pPr>
      <w:r>
        <w:rPr>
          <w:rFonts w:hint="eastAsia"/>
          <w:color w:val="auto"/>
        </w:rPr>
        <w:t>施工组织方案</w:t>
      </w:r>
    </w:p>
    <w:p>
      <w:pPr>
        <w:pStyle w:val="82"/>
        <w:tabs>
          <w:tab w:val="left" w:pos="1276"/>
        </w:tabs>
        <w:spacing w:after="200" w:line="360" w:lineRule="auto"/>
        <w:ind w:firstLine="560"/>
        <w:jc w:val="both"/>
        <w:rPr>
          <w:rFonts w:ascii="宋体" w:hAnsi="宋体" w:eastAsia="宋体" w:cs="仿宋"/>
          <w:sz w:val="28"/>
          <w:szCs w:val="28"/>
        </w:rPr>
      </w:pPr>
      <w:r>
        <w:rPr>
          <w:rFonts w:hint="eastAsia" w:ascii="宋体" w:hAnsi="宋体" w:eastAsia="宋体" w:cs="仿宋"/>
          <w:sz w:val="28"/>
          <w:szCs w:val="28"/>
        </w:rPr>
        <w:t>供应商提供的施工组织设计方案应包含①施工进度计划、②质量保证措施、③安全保证措施、④资源配置计划、⑤环保文明措施、⑥应急预案、⑦施工工艺内容。</w:t>
      </w:r>
    </w:p>
    <w:p>
      <w:pPr>
        <w:pStyle w:val="5"/>
        <w:tabs>
          <w:tab w:val="left" w:pos="709"/>
        </w:tabs>
        <w:ind w:left="709" w:hanging="709"/>
        <w:rPr>
          <w:color w:val="auto"/>
        </w:rPr>
      </w:pPr>
      <w:r>
        <w:rPr>
          <w:rFonts w:hint="eastAsia"/>
          <w:color w:val="auto"/>
        </w:rPr>
        <w:t>其他要求</w:t>
      </w:r>
    </w:p>
    <w:p>
      <w:pPr>
        <w:pStyle w:val="82"/>
        <w:numPr>
          <w:ilvl w:val="0"/>
          <w:numId w:val="40"/>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★供应商为本项目提供的所有产品、辅材中</w:t>
      </w:r>
      <w:r>
        <w:rPr>
          <w:rFonts w:ascii="宋体" w:hAnsi="宋体" w:eastAsia="宋体" w:cs="仿宋"/>
          <w:b/>
          <w:sz w:val="28"/>
          <w:szCs w:val="28"/>
        </w:rPr>
        <w:t>属于《国家强制性产品认证目录》范围内产品的，均通过国家强制性产品认证并取得认证证书。</w:t>
      </w:r>
      <w:r>
        <w:rPr>
          <w:rFonts w:hint="eastAsia" w:ascii="宋体" w:hAnsi="宋体" w:eastAsia="宋体"/>
          <w:b/>
          <w:sz w:val="28"/>
          <w:szCs w:val="28"/>
        </w:rPr>
        <w:t>（说明：供应商应按磋商文件</w:t>
      </w:r>
      <w:r>
        <w:rPr>
          <w:rFonts w:ascii="Times New Roman" w:hAnsi="Times New Roman" w:cs="Times New Roman"/>
          <w:b/>
          <w:sz w:val="28"/>
          <w:szCs w:val="28"/>
        </w:rPr>
        <w:t>3.1.</w:t>
      </w:r>
      <w:r>
        <w:rPr>
          <w:rFonts w:hint="eastAsia" w:ascii="Times New Roman" w:hAnsi="Times New Roman" w:cs="Times New Roman"/>
          <w:b/>
          <w:sz w:val="28"/>
          <w:szCs w:val="28"/>
        </w:rPr>
        <w:t>3</w:t>
      </w:r>
      <w:r>
        <w:rPr>
          <w:rFonts w:ascii="Times New Roman" w:hAnsi="Times New Roman" w:cs="Times New Roman"/>
          <w:b/>
          <w:sz w:val="28"/>
          <w:szCs w:val="28"/>
        </w:rPr>
        <w:t>.3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0"/>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★供应商为本项目提供的所有产品、辅材等符合现行的强制性国家相关标准、行业标准。</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0"/>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★供应商为本项目提供的所有产品中属于节能产品政府采购品目清单中的政府强制采购产品的，均具有国家确定的认证机构出具的有效期内的节能产品认证证书。</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0"/>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★供应商为本工程项目实施涉及的商品包装和快递包装，均符合财政部等三部门联合印发商品包装和快递包装政府采购需求标准（试行）（财办库[2020]123号）的要求。</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0"/>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★供应商为本项目提供的工程、货物及服务均为本国工程、货物及服务。</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0"/>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★施工要求：根据工程量清单、工程量清单编制说明进行施工。工程施工应满足当地建设行政主管部门对工程建设的有关规定，并按经批准的施工组织设计实施，并要符合施工规范及验收标准的相关要求。</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0"/>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★本项目为室内装修改造，为减少对办公人员的工作影响，需在下班时间、周末节假日统一施工，施工需分批次进行。（说明：供应商应按磋商文件3.1.3.3承诺函的格式及要求提供承诺函。）</w:t>
      </w:r>
    </w:p>
    <w:p>
      <w:pPr>
        <w:pStyle w:val="82"/>
        <w:numPr>
          <w:ilvl w:val="0"/>
          <w:numId w:val="40"/>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b/>
          <w:sz w:val="28"/>
          <w:szCs w:val="28"/>
        </w:rPr>
        <w:t>★</w:t>
      </w:r>
      <w:r>
        <w:rPr>
          <w:rFonts w:hint="eastAsia" w:ascii="宋体" w:hAnsi="宋体" w:eastAsia="宋体" w:cs="Times New Roman"/>
          <w:b/>
          <w:sz w:val="28"/>
          <w:szCs w:val="28"/>
        </w:rPr>
        <w:t>供应</w:t>
      </w:r>
      <w:r>
        <w:rPr>
          <w:rFonts w:ascii="宋体" w:hAnsi="宋体" w:eastAsia="宋体" w:cs="Times New Roman"/>
          <w:b/>
          <w:sz w:val="28"/>
          <w:szCs w:val="28"/>
        </w:rPr>
        <w:t>商</w:t>
      </w:r>
      <w:r>
        <w:rPr>
          <w:rFonts w:hint="eastAsia" w:ascii="宋体" w:hAnsi="宋体" w:eastAsia="宋体" w:cs="Times New Roman"/>
          <w:b/>
          <w:sz w:val="28"/>
          <w:szCs w:val="28"/>
        </w:rPr>
        <w:t>为本项目配备的项目经理</w:t>
      </w:r>
      <w:r>
        <w:rPr>
          <w:rFonts w:hint="eastAsia" w:ascii="宋体" w:hAnsi="宋体"/>
          <w:b/>
          <w:sz w:val="28"/>
          <w:szCs w:val="28"/>
        </w:rPr>
        <w:t>应</w:t>
      </w:r>
      <w:r>
        <w:rPr>
          <w:rFonts w:hint="eastAsia" w:ascii="宋体" w:hAnsi="宋体" w:eastAsia="宋体" w:cs="Times New Roman"/>
          <w:b/>
          <w:sz w:val="28"/>
          <w:szCs w:val="28"/>
        </w:rPr>
        <w:t>具有建筑工程专业二级及以上注册建造师证书，及有效的安全生产考核合格证书（B证）</w:t>
      </w:r>
      <w:r>
        <w:rPr>
          <w:rFonts w:hint="eastAsia" w:ascii="宋体" w:hAnsi="宋体"/>
          <w:b/>
          <w:sz w:val="28"/>
          <w:szCs w:val="28"/>
        </w:rPr>
        <w:t>。（</w:t>
      </w:r>
      <w:r>
        <w:rPr>
          <w:rFonts w:hint="eastAsia" w:ascii="宋体" w:hAnsi="宋体" w:eastAsia="宋体" w:cs="Times New Roman"/>
          <w:b/>
          <w:sz w:val="28"/>
          <w:szCs w:val="28"/>
        </w:rPr>
        <w:t>说明：（1）供应商应按磋商文件</w:t>
      </w:r>
      <w:r>
        <w:rPr>
          <w:rFonts w:ascii="Times New Roman" w:hAnsi="Times New Roman" w:eastAsia="宋体" w:cs="Times New Roman"/>
          <w:b/>
          <w:sz w:val="28"/>
          <w:szCs w:val="28"/>
        </w:rPr>
        <w:t>3.1.3.3</w:t>
      </w:r>
      <w:r>
        <w:rPr>
          <w:rFonts w:hint="eastAsia" w:ascii="宋体" w:hAnsi="宋体" w:eastAsia="宋体" w:cs="Times New Roman"/>
          <w:b/>
          <w:sz w:val="28"/>
          <w:szCs w:val="28"/>
        </w:rPr>
        <w:t>承诺函的</w:t>
      </w:r>
      <w:r>
        <w:rPr>
          <w:rFonts w:ascii="宋体" w:hAnsi="宋体" w:eastAsia="宋体" w:cs="Times New Roman"/>
          <w:b/>
          <w:sz w:val="28"/>
          <w:szCs w:val="28"/>
        </w:rPr>
        <w:t>格式及要求</w:t>
      </w:r>
      <w:r>
        <w:rPr>
          <w:rFonts w:hint="eastAsia" w:ascii="宋体" w:hAnsi="宋体" w:eastAsia="宋体" w:cs="Times New Roman"/>
          <w:b/>
          <w:sz w:val="28"/>
          <w:szCs w:val="28"/>
        </w:rPr>
        <w:t>提供承诺函；（2）供应</w:t>
      </w:r>
      <w:r>
        <w:rPr>
          <w:rFonts w:ascii="宋体" w:hAnsi="宋体" w:eastAsia="宋体" w:cs="Times New Roman"/>
          <w:b/>
          <w:sz w:val="28"/>
          <w:szCs w:val="28"/>
        </w:rPr>
        <w:t>商</w:t>
      </w:r>
      <w:r>
        <w:rPr>
          <w:rFonts w:hint="eastAsia" w:ascii="宋体" w:hAnsi="宋体" w:eastAsia="宋体" w:cs="Times New Roman"/>
          <w:b/>
          <w:sz w:val="28"/>
          <w:szCs w:val="28"/>
        </w:rPr>
        <w:t>施工</w:t>
      </w:r>
      <w:r>
        <w:rPr>
          <w:rFonts w:ascii="宋体" w:hAnsi="宋体" w:eastAsia="宋体" w:cs="Times New Roman"/>
          <w:b/>
          <w:sz w:val="28"/>
          <w:szCs w:val="28"/>
        </w:rPr>
        <w:t>响应文件</w:t>
      </w:r>
      <w:r>
        <w:rPr>
          <w:rFonts w:hint="eastAsia" w:ascii="宋体" w:hAnsi="宋体" w:eastAsia="宋体" w:cs="Times New Roman"/>
          <w:b/>
          <w:sz w:val="28"/>
          <w:szCs w:val="28"/>
        </w:rPr>
        <w:t>中</w:t>
      </w:r>
      <w:r>
        <w:rPr>
          <w:rFonts w:ascii="宋体" w:hAnsi="宋体" w:eastAsia="宋体" w:cs="Times New Roman"/>
          <w:b/>
          <w:sz w:val="28"/>
          <w:szCs w:val="28"/>
        </w:rPr>
        <w:t>应提供</w:t>
      </w:r>
      <w:r>
        <w:rPr>
          <w:rFonts w:hint="eastAsia" w:ascii="宋体" w:hAnsi="宋体" w:eastAsia="宋体" w:cs="Times New Roman"/>
          <w:b/>
          <w:sz w:val="28"/>
          <w:szCs w:val="28"/>
        </w:rPr>
        <w:t>项目</w:t>
      </w:r>
      <w:r>
        <w:rPr>
          <w:rFonts w:ascii="宋体" w:hAnsi="宋体" w:eastAsia="宋体" w:cs="Times New Roman"/>
          <w:b/>
          <w:sz w:val="28"/>
          <w:szCs w:val="28"/>
        </w:rPr>
        <w:t>经理的</w:t>
      </w:r>
      <w:r>
        <w:rPr>
          <w:rFonts w:hint="eastAsia" w:ascii="宋体" w:hAnsi="宋体" w:eastAsia="宋体" w:cs="Times New Roman"/>
          <w:b/>
          <w:sz w:val="28"/>
          <w:szCs w:val="28"/>
        </w:rPr>
        <w:t>注册建造师证书复印件和安全生产考核合格证书复印件。）</w:t>
      </w:r>
    </w:p>
    <w:p>
      <w:pPr>
        <w:pStyle w:val="82"/>
        <w:numPr>
          <w:ilvl w:val="0"/>
          <w:numId w:val="40"/>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b/>
          <w:sz w:val="28"/>
          <w:szCs w:val="28"/>
        </w:rPr>
        <w:t>★</w:t>
      </w:r>
      <w:r>
        <w:rPr>
          <w:rFonts w:hint="eastAsia" w:ascii="宋体" w:hAnsi="宋体" w:eastAsia="宋体" w:cs="Times New Roman"/>
          <w:b/>
          <w:sz w:val="28"/>
          <w:szCs w:val="28"/>
        </w:rPr>
        <w:t>供应商为本项目配备的项目技术负责人应具备建筑工程专业中级及以上职称</w:t>
      </w:r>
      <w:r>
        <w:rPr>
          <w:rFonts w:hint="eastAsia" w:ascii="宋体" w:hAnsi="宋体"/>
          <w:b/>
          <w:sz w:val="28"/>
          <w:szCs w:val="28"/>
        </w:rPr>
        <w:t>。（</w:t>
      </w:r>
      <w:r>
        <w:rPr>
          <w:rFonts w:hint="eastAsia" w:ascii="宋体" w:hAnsi="宋体" w:eastAsia="宋体" w:cs="Times New Roman"/>
          <w:b/>
          <w:sz w:val="28"/>
          <w:szCs w:val="28"/>
        </w:rPr>
        <w:t>说明：（1）供应商应按磋商文件</w:t>
      </w:r>
      <w:r>
        <w:rPr>
          <w:rFonts w:ascii="Times New Roman" w:hAnsi="Times New Roman" w:eastAsia="宋体" w:cs="Times New Roman"/>
          <w:b/>
          <w:sz w:val="28"/>
          <w:szCs w:val="28"/>
        </w:rPr>
        <w:t>3.1.3.3</w:t>
      </w:r>
      <w:r>
        <w:rPr>
          <w:rFonts w:hint="eastAsia" w:ascii="宋体" w:hAnsi="宋体" w:eastAsia="宋体" w:cs="Times New Roman"/>
          <w:b/>
          <w:sz w:val="28"/>
          <w:szCs w:val="28"/>
        </w:rPr>
        <w:t>承诺函的</w:t>
      </w:r>
      <w:r>
        <w:rPr>
          <w:rFonts w:ascii="宋体" w:hAnsi="宋体" w:eastAsia="宋体" w:cs="Times New Roman"/>
          <w:b/>
          <w:sz w:val="28"/>
          <w:szCs w:val="28"/>
        </w:rPr>
        <w:t>格式及要求</w:t>
      </w:r>
      <w:r>
        <w:rPr>
          <w:rFonts w:hint="eastAsia" w:ascii="宋体" w:hAnsi="宋体" w:eastAsia="宋体" w:cs="Times New Roman"/>
          <w:b/>
          <w:sz w:val="28"/>
          <w:szCs w:val="28"/>
        </w:rPr>
        <w:t>提供承诺函；（2）供应</w:t>
      </w:r>
      <w:r>
        <w:rPr>
          <w:rFonts w:ascii="宋体" w:hAnsi="宋体" w:eastAsia="宋体" w:cs="Times New Roman"/>
          <w:b/>
          <w:sz w:val="28"/>
          <w:szCs w:val="28"/>
        </w:rPr>
        <w:t>商</w:t>
      </w:r>
      <w:r>
        <w:rPr>
          <w:rFonts w:hint="eastAsia" w:ascii="宋体" w:hAnsi="宋体" w:eastAsia="宋体" w:cs="Times New Roman"/>
          <w:b/>
          <w:sz w:val="28"/>
          <w:szCs w:val="28"/>
        </w:rPr>
        <w:t>施工</w:t>
      </w:r>
      <w:r>
        <w:rPr>
          <w:rFonts w:ascii="宋体" w:hAnsi="宋体" w:eastAsia="宋体" w:cs="Times New Roman"/>
          <w:b/>
          <w:sz w:val="28"/>
          <w:szCs w:val="28"/>
        </w:rPr>
        <w:t>响应文件</w:t>
      </w:r>
      <w:r>
        <w:rPr>
          <w:rFonts w:hint="eastAsia" w:ascii="宋体" w:hAnsi="宋体" w:eastAsia="宋体" w:cs="Times New Roman"/>
          <w:b/>
          <w:sz w:val="28"/>
          <w:szCs w:val="28"/>
        </w:rPr>
        <w:t>中</w:t>
      </w:r>
      <w:r>
        <w:rPr>
          <w:rFonts w:ascii="宋体" w:hAnsi="宋体" w:eastAsia="宋体" w:cs="Times New Roman"/>
          <w:b/>
          <w:sz w:val="28"/>
          <w:szCs w:val="28"/>
        </w:rPr>
        <w:t>应提供</w:t>
      </w:r>
      <w:r>
        <w:rPr>
          <w:rFonts w:hint="eastAsia" w:ascii="宋体" w:hAnsi="宋体" w:eastAsia="宋体" w:cs="Times New Roman"/>
          <w:b/>
          <w:sz w:val="28"/>
          <w:szCs w:val="28"/>
        </w:rPr>
        <w:t>技术负责人的职称证复印件。）</w:t>
      </w:r>
    </w:p>
    <w:p>
      <w:pPr>
        <w:pStyle w:val="5"/>
        <w:tabs>
          <w:tab w:val="left" w:pos="709"/>
        </w:tabs>
        <w:ind w:left="709" w:hanging="709"/>
        <w:rPr>
          <w:color w:val="auto"/>
        </w:rPr>
      </w:pPr>
      <w:r>
        <w:rPr>
          <w:rFonts w:hint="eastAsia"/>
          <w:color w:val="auto"/>
        </w:rPr>
        <w:t>商务要求</w:t>
      </w:r>
    </w:p>
    <w:p>
      <w:pPr>
        <w:pStyle w:val="145"/>
        <w:autoSpaceDE/>
        <w:autoSpaceDN/>
        <w:adjustRightInd/>
        <w:spacing w:line="360" w:lineRule="auto"/>
        <w:ind w:firstLine="562" w:firstLineChars="200"/>
        <w:jc w:val="both"/>
        <w:rPr>
          <w:rFonts w:ascii="宋体" w:hAnsi="宋体" w:eastAsia="宋体" w:cs="宋体"/>
          <w:b/>
          <w:bCs/>
          <w:color w:val="auto"/>
          <w:sz w:val="28"/>
          <w:szCs w:val="28"/>
        </w:rPr>
      </w:pPr>
      <w:r>
        <w:rPr>
          <w:rFonts w:hint="eastAsia" w:ascii="宋体" w:hAnsi="宋体" w:eastAsia="宋体" w:cs="宋体"/>
          <w:b/>
          <w:bCs/>
          <w:color w:val="auto"/>
          <w:sz w:val="28"/>
          <w:szCs w:val="28"/>
        </w:rPr>
        <w:t>1.建设地点：成都市中和中学高中部校内。</w:t>
      </w:r>
    </w:p>
    <w:p>
      <w:pPr>
        <w:pStyle w:val="145"/>
        <w:autoSpaceDE/>
        <w:autoSpaceDN/>
        <w:adjustRightInd/>
        <w:spacing w:line="360" w:lineRule="auto"/>
        <w:ind w:firstLine="562" w:firstLineChars="200"/>
        <w:jc w:val="both"/>
        <w:rPr>
          <w:rFonts w:ascii="宋体" w:hAnsi="宋体" w:eastAsia="宋体" w:cs="宋体"/>
          <w:b/>
          <w:bCs/>
          <w:color w:val="auto"/>
          <w:sz w:val="28"/>
          <w:szCs w:val="28"/>
        </w:rPr>
      </w:pPr>
      <w:r>
        <w:rPr>
          <w:rFonts w:hint="eastAsia" w:ascii="宋体" w:hAnsi="宋体" w:eastAsia="宋体" w:cs="宋体"/>
          <w:b/>
          <w:bCs/>
          <w:color w:val="auto"/>
          <w:sz w:val="28"/>
          <w:szCs w:val="28"/>
        </w:rPr>
        <w:t>2.质量要求：</w:t>
      </w:r>
      <w:r>
        <w:rPr>
          <w:rFonts w:hint="eastAsia" w:ascii="宋体" w:hAnsi="宋体" w:eastAsia="宋体" w:cs="宋体"/>
          <w:b/>
          <w:bCs/>
          <w:color w:val="auto"/>
          <w:sz w:val="28"/>
          <w:szCs w:val="28"/>
          <w:lang w:val="zh-CN"/>
        </w:rPr>
        <w:t>达到国家及行业现行技术规范标准，符合国家及行业验收合格标准</w:t>
      </w:r>
      <w:r>
        <w:rPr>
          <w:rFonts w:hint="eastAsia" w:ascii="宋体" w:hAnsi="宋体" w:eastAsia="宋体" w:cs="宋体"/>
          <w:b/>
          <w:bCs/>
          <w:color w:val="auto"/>
          <w:sz w:val="28"/>
          <w:szCs w:val="28"/>
        </w:rPr>
        <w:t>。</w:t>
      </w:r>
    </w:p>
    <w:p>
      <w:pPr>
        <w:pStyle w:val="145"/>
        <w:autoSpaceDE/>
        <w:autoSpaceDN/>
        <w:adjustRightInd/>
        <w:spacing w:line="360" w:lineRule="auto"/>
        <w:ind w:firstLine="562" w:firstLineChars="200"/>
        <w:jc w:val="both"/>
        <w:rPr>
          <w:rFonts w:ascii="宋体" w:hAnsi="宋体" w:eastAsia="宋体" w:cs="宋体"/>
          <w:b/>
          <w:bCs/>
          <w:color w:val="auto"/>
          <w:sz w:val="28"/>
          <w:szCs w:val="28"/>
        </w:rPr>
      </w:pPr>
      <w:r>
        <w:rPr>
          <w:rFonts w:hint="eastAsia" w:ascii="宋体" w:hAnsi="宋体" w:eastAsia="宋体" w:cs="宋体"/>
          <w:b/>
          <w:bCs/>
          <w:sz w:val="28"/>
          <w:szCs w:val="28"/>
        </w:rPr>
        <w:t>3.付款方式：合同签订后支付合同金额的30%；在财政资金到位的前提下，工程竣工后可支付25%；验收合格后支付工程尾款；尾款需保留结算金额的3%作为质保金，质保期满后全额无息退还供应商</w:t>
      </w:r>
      <w:r>
        <w:rPr>
          <w:rFonts w:hint="eastAsia" w:ascii="宋体" w:hAnsi="宋体" w:eastAsia="宋体" w:cs="宋体"/>
          <w:b/>
          <w:bCs/>
          <w:color w:val="auto"/>
          <w:sz w:val="28"/>
          <w:szCs w:val="28"/>
        </w:rPr>
        <w:t>。</w:t>
      </w:r>
    </w:p>
    <w:p>
      <w:pPr>
        <w:pStyle w:val="145"/>
        <w:autoSpaceDE/>
        <w:autoSpaceDN/>
        <w:adjustRightInd/>
        <w:spacing w:line="360" w:lineRule="auto"/>
        <w:ind w:firstLine="562" w:firstLineChars="200"/>
        <w:jc w:val="both"/>
        <w:rPr>
          <w:rFonts w:ascii="宋体" w:hAnsi="宋体" w:eastAsia="宋体" w:cs="宋体"/>
          <w:b/>
          <w:bCs/>
          <w:color w:val="auto"/>
          <w:sz w:val="28"/>
          <w:szCs w:val="28"/>
        </w:rPr>
      </w:pPr>
      <w:r>
        <w:rPr>
          <w:rFonts w:hint="eastAsia" w:ascii="宋体" w:hAnsi="宋体" w:eastAsia="宋体" w:cs="宋体"/>
          <w:b/>
          <w:bCs/>
          <w:color w:val="auto"/>
          <w:sz w:val="28"/>
          <w:szCs w:val="28"/>
        </w:rPr>
        <w:t>4.安全要求：在运输、装卸，安装等过程中发生任何安全事故均由成交供应商负责。</w:t>
      </w:r>
    </w:p>
    <w:p>
      <w:pPr>
        <w:pStyle w:val="4"/>
        <w:tabs>
          <w:tab w:val="left" w:pos="993"/>
          <w:tab w:val="clear" w:pos="426"/>
          <w:tab w:val="clear" w:pos="567"/>
        </w:tabs>
        <w:ind w:left="0" w:firstLine="0"/>
      </w:pPr>
      <w:bookmarkStart w:id="71" w:name="_Toc26161"/>
      <w:r>
        <w:rPr>
          <w:rFonts w:hint="eastAsia"/>
        </w:rPr>
        <w:t>★违约责任</w:t>
      </w:r>
      <w:bookmarkEnd w:id="71"/>
    </w:p>
    <w:bookmarkEnd w:id="62"/>
    <w:bookmarkEnd w:id="63"/>
    <w:p>
      <w:pPr>
        <w:pStyle w:val="82"/>
        <w:numPr>
          <w:ilvl w:val="0"/>
          <w:numId w:val="41"/>
        </w:numPr>
        <w:tabs>
          <w:tab w:val="left" w:pos="1134"/>
        </w:tabs>
        <w:spacing w:line="360" w:lineRule="auto"/>
        <w:ind w:left="0" w:firstLine="562"/>
        <w:jc w:val="both"/>
        <w:rPr>
          <w:rFonts w:ascii="宋体" w:hAnsi="宋体" w:eastAsia="宋体" w:cs="仿宋"/>
          <w:b/>
          <w:sz w:val="28"/>
          <w:szCs w:val="28"/>
        </w:rPr>
      </w:pPr>
      <w:bookmarkStart w:id="72" w:name="_Toc437336142"/>
      <w:bookmarkStart w:id="73" w:name="_Toc386099131"/>
      <w:r>
        <w:rPr>
          <w:rFonts w:hint="eastAsia" w:ascii="宋体" w:hAnsi="宋体" w:eastAsia="宋体" w:cs="仿宋"/>
          <w:b/>
          <w:sz w:val="28"/>
          <w:szCs w:val="28"/>
        </w:rPr>
        <w:t>在合同执行过程中，出现合同中未列明的事项，双方另行协商解决。 </w:t>
      </w:r>
    </w:p>
    <w:p>
      <w:pPr>
        <w:pStyle w:val="82"/>
        <w:numPr>
          <w:ilvl w:val="0"/>
          <w:numId w:val="41"/>
        </w:numPr>
        <w:tabs>
          <w:tab w:val="left" w:pos="1134"/>
        </w:tabs>
        <w:spacing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乙方弄虚作假行为，责令整改直至达到要求，每发现一次从合同中扣除5000元；本项目发现3次及以上弄虚作假行为，甲方有权终止合同，由此造成的一切损失由乙方承担。</w:t>
      </w:r>
    </w:p>
    <w:p>
      <w:pPr>
        <w:pStyle w:val="82"/>
        <w:numPr>
          <w:ilvl w:val="0"/>
          <w:numId w:val="41"/>
        </w:numPr>
        <w:tabs>
          <w:tab w:val="left" w:pos="1134"/>
        </w:tabs>
        <w:spacing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承包人未按时发放民工工资导致民工劳资纠纷或上访事件的，由承包人承担违约责任，每发生一次，扣除违约金5000元/次（在工程款中扣除）。若在规定时间内承包人拒不整改完毕的，发包人有权直接支付民工工资，相应民工工资在承包人工程款中予以扣除。</w:t>
      </w:r>
    </w:p>
    <w:p>
      <w:pPr>
        <w:pStyle w:val="82"/>
        <w:numPr>
          <w:ilvl w:val="0"/>
          <w:numId w:val="41"/>
        </w:numPr>
        <w:tabs>
          <w:tab w:val="left" w:pos="1134"/>
        </w:tabs>
        <w:spacing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由于乙方原因导致延期开工、中途停工或工期顺延，每逾期一天赔偿合同金额千分之一。</w:t>
      </w:r>
    </w:p>
    <w:p>
      <w:pPr>
        <w:pStyle w:val="82"/>
        <w:numPr>
          <w:ilvl w:val="0"/>
          <w:numId w:val="41"/>
        </w:numPr>
        <w:tabs>
          <w:tab w:val="left" w:pos="1134"/>
        </w:tabs>
        <w:spacing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因一方原因，合同无法继续履行时，应通知对方，办理合同终止协议，并由责任方赔偿对方由此造成的经济损失。</w:t>
      </w:r>
    </w:p>
    <w:p>
      <w:pPr>
        <w:pStyle w:val="82"/>
        <w:numPr>
          <w:ilvl w:val="0"/>
          <w:numId w:val="41"/>
        </w:numPr>
        <w:tabs>
          <w:tab w:val="left" w:pos="1134"/>
        </w:tabs>
        <w:spacing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因采购人原因，项目终止的，由责任方赔偿对方由此造成的经济损失。</w:t>
      </w:r>
    </w:p>
    <w:p>
      <w:pPr>
        <w:spacing w:line="360" w:lineRule="auto"/>
        <w:ind w:firstLine="562" w:firstLineChars="200"/>
        <w:jc w:val="both"/>
      </w:pPr>
      <w:r>
        <w:rPr>
          <w:rFonts w:hint="eastAsia" w:ascii="宋体" w:hAnsi="宋体" w:cs="仿宋" w:eastAsiaTheme="minorEastAsia"/>
          <w:b/>
          <w:bCs/>
          <w:kern w:val="2"/>
          <w:sz w:val="28"/>
          <w:szCs w:val="28"/>
        </w:rPr>
        <w:t>（说明：供应商应按磋商文件3.1.3.3承诺函的格式及要求提供承诺函。）</w:t>
      </w:r>
    </w:p>
    <w:p>
      <w:pPr>
        <w:pStyle w:val="4"/>
        <w:tabs>
          <w:tab w:val="left" w:pos="993"/>
          <w:tab w:val="clear" w:pos="426"/>
          <w:tab w:val="clear" w:pos="567"/>
        </w:tabs>
        <w:ind w:left="0" w:firstLine="0"/>
      </w:pPr>
      <w:bookmarkStart w:id="74" w:name="_Toc1887"/>
      <w:bookmarkStart w:id="75" w:name="_Toc54948228"/>
      <w:r>
        <w:rPr>
          <w:rFonts w:hint="eastAsia"/>
        </w:rPr>
        <w:t>满足采购需求的最低要求</w:t>
      </w:r>
      <w:bookmarkEnd w:id="74"/>
      <w:bookmarkEnd w:id="75"/>
    </w:p>
    <w:bookmarkEnd w:id="72"/>
    <w:bookmarkEnd w:id="73"/>
    <w:p>
      <w:pPr>
        <w:spacing w:line="360" w:lineRule="auto"/>
        <w:ind w:firstLine="568" w:firstLineChars="202"/>
        <w:rPr>
          <w:rFonts w:ascii="宋体" w:hAnsi="宋体"/>
          <w:b/>
          <w:sz w:val="28"/>
          <w:szCs w:val="28"/>
        </w:rPr>
      </w:pPr>
      <w:r>
        <w:rPr>
          <w:rFonts w:hint="eastAsia" w:ascii="宋体" w:hAnsi="宋体"/>
          <w:b/>
          <w:sz w:val="28"/>
          <w:szCs w:val="28"/>
        </w:rPr>
        <w:t>技术、服务、商务及其他要求中加★号的要求为满足采购需求的最低要求。</w:t>
      </w:r>
    </w:p>
    <w:p>
      <w:pPr>
        <w:spacing w:line="360" w:lineRule="auto"/>
        <w:ind w:firstLine="562" w:firstLineChars="200"/>
        <w:jc w:val="both"/>
        <w:rPr>
          <w:rFonts w:ascii="宋体" w:hAnsi="宋体" w:cs="仿宋" w:eastAsiaTheme="minorEastAsia"/>
          <w:b/>
          <w:bCs/>
          <w:kern w:val="2"/>
          <w:sz w:val="28"/>
          <w:szCs w:val="28"/>
        </w:rPr>
      </w:pPr>
    </w:p>
    <w:p>
      <w:pPr>
        <w:spacing w:line="360" w:lineRule="auto"/>
        <w:ind w:firstLine="562" w:firstLineChars="200"/>
        <w:jc w:val="both"/>
        <w:rPr>
          <w:rFonts w:ascii="宋体" w:hAnsi="宋体" w:cs="仿宋" w:eastAsiaTheme="minorEastAsia"/>
          <w:b/>
          <w:bCs/>
          <w:kern w:val="2"/>
          <w:sz w:val="28"/>
          <w:szCs w:val="28"/>
        </w:rPr>
      </w:pPr>
    </w:p>
    <w:p>
      <w:pPr>
        <w:pStyle w:val="2"/>
        <w:rPr>
          <w:rFonts w:ascii="宋体" w:hAnsi="宋体" w:cs="仿宋" w:eastAsiaTheme="minorEastAsia"/>
          <w:b/>
          <w:bCs/>
          <w:kern w:val="2"/>
          <w:sz w:val="28"/>
          <w:szCs w:val="28"/>
        </w:rPr>
      </w:pPr>
    </w:p>
    <w:p>
      <w:pPr>
        <w:rPr>
          <w:rFonts w:ascii="宋体" w:hAnsi="宋体" w:cs="仿宋" w:eastAsiaTheme="minorEastAsia"/>
          <w:b/>
          <w:bCs/>
          <w:kern w:val="2"/>
          <w:sz w:val="28"/>
          <w:szCs w:val="28"/>
        </w:rPr>
      </w:pPr>
    </w:p>
    <w:p>
      <w:pPr>
        <w:pStyle w:val="2"/>
        <w:rPr>
          <w:rFonts w:ascii="宋体" w:hAnsi="宋体" w:cs="仿宋" w:eastAsiaTheme="minorEastAsia"/>
          <w:b/>
          <w:bCs/>
          <w:kern w:val="2"/>
          <w:sz w:val="28"/>
          <w:szCs w:val="28"/>
        </w:rPr>
      </w:pPr>
    </w:p>
    <w:p>
      <w:pPr>
        <w:rPr>
          <w:rFonts w:ascii="宋体" w:hAnsi="宋体" w:cs="仿宋" w:eastAsiaTheme="minorEastAsia"/>
          <w:b/>
          <w:bCs/>
          <w:kern w:val="2"/>
          <w:sz w:val="28"/>
          <w:szCs w:val="28"/>
        </w:rPr>
      </w:pPr>
    </w:p>
    <w:p>
      <w:pPr>
        <w:pStyle w:val="2"/>
        <w:rPr>
          <w:rFonts w:ascii="宋体" w:hAnsi="宋体" w:cs="仿宋" w:eastAsiaTheme="minorEastAsia"/>
          <w:b/>
          <w:bCs/>
          <w:kern w:val="2"/>
          <w:sz w:val="28"/>
          <w:szCs w:val="28"/>
        </w:rPr>
      </w:pPr>
    </w:p>
    <w:p/>
    <w:p>
      <w:pPr>
        <w:spacing w:line="360" w:lineRule="auto"/>
        <w:ind w:firstLine="562" w:firstLineChars="200"/>
        <w:jc w:val="both"/>
        <w:rPr>
          <w:rFonts w:ascii="宋体" w:hAnsi="宋体" w:cs="仿宋" w:eastAsiaTheme="minorEastAsia"/>
          <w:b/>
          <w:bCs/>
          <w:kern w:val="2"/>
          <w:sz w:val="28"/>
          <w:szCs w:val="28"/>
        </w:rPr>
      </w:pPr>
    </w:p>
    <w:p>
      <w:pPr>
        <w:pStyle w:val="3"/>
        <w:numPr>
          <w:ilvl w:val="0"/>
          <w:numId w:val="1"/>
        </w:numPr>
        <w:spacing w:before="0" w:after="0"/>
        <w:ind w:left="0" w:firstLine="0"/>
      </w:pPr>
      <w:bookmarkStart w:id="76" w:name="_Toc21603"/>
      <w:r>
        <w:rPr>
          <w:rFonts w:hint="eastAsia"/>
        </w:rPr>
        <w:t>资格审查</w:t>
      </w:r>
      <w:bookmarkEnd w:id="76"/>
    </w:p>
    <w:p>
      <w:pPr>
        <w:spacing w:line="360" w:lineRule="auto"/>
        <w:ind w:firstLine="560" w:firstLineChars="200"/>
        <w:jc w:val="both"/>
        <w:rPr>
          <w:rFonts w:ascii="宋体" w:hAnsi="宋体"/>
          <w:sz w:val="28"/>
          <w:szCs w:val="28"/>
        </w:rPr>
      </w:pPr>
      <w:r>
        <w:rPr>
          <w:rFonts w:hint="eastAsia" w:ascii="宋体" w:hAnsi="宋体"/>
          <w:sz w:val="28"/>
        </w:rPr>
        <w:t>本项目已通过四川省政府采购供应商库系统随机抽取符合资格条件要求的供应商，邀请通过四川省政府采购供应商库系统</w:t>
      </w:r>
      <w:r>
        <w:rPr>
          <w:rFonts w:ascii="宋体" w:hAnsi="宋体"/>
          <w:sz w:val="28"/>
        </w:rPr>
        <w:t>随机抽取</w:t>
      </w:r>
      <w:r>
        <w:rPr>
          <w:rFonts w:hint="eastAsia" w:ascii="宋体" w:hAnsi="宋体"/>
          <w:sz w:val="28"/>
        </w:rPr>
        <w:t>选中的</w:t>
      </w:r>
      <w:r>
        <w:rPr>
          <w:rFonts w:hint="eastAsia" w:ascii="宋体" w:hAnsi="宋体"/>
          <w:b/>
          <w:sz w:val="28"/>
          <w:u w:val="single"/>
        </w:rPr>
        <w:t>7</w:t>
      </w:r>
      <w:r>
        <w:rPr>
          <w:rFonts w:hint="eastAsia" w:ascii="宋体" w:hAnsi="宋体"/>
          <w:sz w:val="28"/>
        </w:rPr>
        <w:t>家进入磋商环节</w:t>
      </w:r>
      <w:r>
        <w:rPr>
          <w:rFonts w:ascii="宋体" w:hAnsi="宋体"/>
          <w:sz w:val="28"/>
        </w:rPr>
        <w:t>的供应商参加本项目的竞争性磋商</w:t>
      </w:r>
      <w:r>
        <w:rPr>
          <w:rFonts w:hint="eastAsia" w:ascii="宋体" w:hAnsi="宋体"/>
          <w:sz w:val="28"/>
        </w:rPr>
        <w:t>。不对供应商资格进行审查，仅对供应商是否属于</w:t>
      </w:r>
      <w:r>
        <w:rPr>
          <w:rFonts w:hint="eastAsia" w:ascii="宋体" w:hAnsi="宋体"/>
          <w:sz w:val="28"/>
          <w:szCs w:val="28"/>
        </w:rPr>
        <w:t>被邀请的供应商进行审查，若不是被邀请的供应商则审查不通过，不</w:t>
      </w:r>
      <w:r>
        <w:rPr>
          <w:rFonts w:ascii="宋体" w:hAnsi="宋体"/>
          <w:sz w:val="28"/>
          <w:szCs w:val="28"/>
        </w:rPr>
        <w:t>允许</w:t>
      </w:r>
      <w:r>
        <w:rPr>
          <w:rFonts w:hint="eastAsia" w:ascii="宋体" w:hAnsi="宋体"/>
          <w:sz w:val="28"/>
          <w:szCs w:val="28"/>
        </w:rPr>
        <w:t>其</w:t>
      </w:r>
      <w:r>
        <w:rPr>
          <w:rFonts w:ascii="宋体" w:hAnsi="宋体"/>
          <w:sz w:val="28"/>
          <w:szCs w:val="28"/>
        </w:rPr>
        <w:t>参加该项目的</w:t>
      </w:r>
      <w:r>
        <w:rPr>
          <w:rFonts w:hint="eastAsia" w:ascii="宋体" w:hAnsi="宋体"/>
          <w:sz w:val="28"/>
          <w:szCs w:val="28"/>
        </w:rPr>
        <w:t>磋商。</w:t>
      </w:r>
    </w:p>
    <w:p>
      <w:pPr>
        <w:pStyle w:val="4"/>
      </w:pPr>
      <w:bookmarkStart w:id="77" w:name="_Toc8353"/>
      <w:r>
        <w:rPr>
          <w:rFonts w:hint="eastAsia"/>
        </w:rPr>
        <w:t>供应商资格审查的标准</w:t>
      </w:r>
      <w:bookmarkEnd w:id="77"/>
    </w:p>
    <w:tbl>
      <w:tblPr>
        <w:tblStyle w:val="45"/>
        <w:tblW w:w="89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2440"/>
        <w:gridCol w:w="5149"/>
        <w:gridCol w:w="6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676" w:type="dxa"/>
            <w:vAlign w:val="center"/>
          </w:tcPr>
          <w:p>
            <w:pPr>
              <w:snapToGrid w:val="0"/>
              <w:spacing w:line="240" w:lineRule="atLeast"/>
              <w:jc w:val="center"/>
              <w:rPr>
                <w:rFonts w:ascii="宋体" w:hAnsi="宋体"/>
                <w:b/>
              </w:rPr>
            </w:pPr>
            <w:r>
              <w:rPr>
                <w:rFonts w:hint="eastAsia" w:ascii="宋体" w:hAnsi="宋体"/>
                <w:b/>
              </w:rPr>
              <w:t>序号</w:t>
            </w:r>
          </w:p>
        </w:tc>
        <w:tc>
          <w:tcPr>
            <w:tcW w:w="2440" w:type="dxa"/>
            <w:vAlign w:val="center"/>
          </w:tcPr>
          <w:p>
            <w:pPr>
              <w:snapToGrid w:val="0"/>
              <w:spacing w:line="240" w:lineRule="atLeast"/>
              <w:jc w:val="center"/>
              <w:rPr>
                <w:rFonts w:ascii="宋体" w:hAnsi="宋体"/>
                <w:b/>
              </w:rPr>
            </w:pPr>
            <w:r>
              <w:rPr>
                <w:rFonts w:hint="eastAsia" w:ascii="宋体" w:hAnsi="宋体"/>
                <w:b/>
              </w:rPr>
              <w:t>项     目</w:t>
            </w:r>
          </w:p>
        </w:tc>
        <w:tc>
          <w:tcPr>
            <w:tcW w:w="5149" w:type="dxa"/>
            <w:vAlign w:val="center"/>
          </w:tcPr>
          <w:p>
            <w:pPr>
              <w:snapToGrid w:val="0"/>
              <w:spacing w:line="240" w:lineRule="atLeast"/>
              <w:jc w:val="center"/>
              <w:rPr>
                <w:rFonts w:ascii="宋体" w:hAnsi="宋体"/>
                <w:b/>
              </w:rPr>
            </w:pPr>
            <w:r>
              <w:rPr>
                <w:rFonts w:hint="eastAsia" w:ascii="宋体" w:hAnsi="宋体"/>
                <w:b/>
              </w:rPr>
              <w:t>通过条件</w:t>
            </w:r>
          </w:p>
        </w:tc>
        <w:tc>
          <w:tcPr>
            <w:tcW w:w="677" w:type="dxa"/>
            <w:vAlign w:val="center"/>
          </w:tcPr>
          <w:p>
            <w:pPr>
              <w:snapToGrid w:val="0"/>
              <w:spacing w:line="240" w:lineRule="atLeast"/>
              <w:jc w:val="center"/>
              <w:rPr>
                <w:rFonts w:ascii="宋体" w:hAnsi="宋体"/>
                <w:b/>
              </w:rPr>
            </w:pPr>
            <w:r>
              <w:rPr>
                <w:rFonts w:hint="eastAsia" w:ascii="宋体" w:hAnsi="宋体"/>
                <w:b/>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676" w:type="dxa"/>
            <w:vAlign w:val="center"/>
          </w:tcPr>
          <w:p>
            <w:pPr>
              <w:pStyle w:val="82"/>
              <w:widowControl w:val="0"/>
              <w:numPr>
                <w:ilvl w:val="0"/>
                <w:numId w:val="42"/>
              </w:numPr>
              <w:tabs>
                <w:tab w:val="left" w:pos="275"/>
              </w:tabs>
              <w:snapToGrid w:val="0"/>
              <w:spacing w:after="200" w:line="240" w:lineRule="atLeast"/>
              <w:ind w:left="0" w:firstLine="0" w:firstLineChars="0"/>
              <w:jc w:val="center"/>
              <w:rPr>
                <w:rFonts w:ascii="宋体" w:hAnsi="宋体" w:eastAsia="宋体"/>
              </w:rPr>
            </w:pPr>
          </w:p>
        </w:tc>
        <w:tc>
          <w:tcPr>
            <w:tcW w:w="2440" w:type="dxa"/>
            <w:vAlign w:val="center"/>
          </w:tcPr>
          <w:p>
            <w:pPr>
              <w:spacing w:line="360" w:lineRule="auto"/>
              <w:jc w:val="center"/>
              <w:rPr>
                <w:rFonts w:ascii="宋体" w:hAnsi="宋体"/>
                <w:sz w:val="28"/>
                <w:szCs w:val="28"/>
              </w:rPr>
            </w:pPr>
            <w:r>
              <w:rPr>
                <w:rFonts w:hint="eastAsia" w:ascii="宋体" w:hAnsi="宋体"/>
                <w:sz w:val="28"/>
                <w:szCs w:val="28"/>
              </w:rPr>
              <w:t>是否属于被邀请的供应商</w:t>
            </w:r>
          </w:p>
        </w:tc>
        <w:tc>
          <w:tcPr>
            <w:tcW w:w="5149" w:type="dxa"/>
            <w:vAlign w:val="center"/>
          </w:tcPr>
          <w:p>
            <w:pPr>
              <w:spacing w:line="360" w:lineRule="auto"/>
              <w:ind w:firstLine="560" w:firstLineChars="200"/>
              <w:jc w:val="both"/>
              <w:rPr>
                <w:rFonts w:ascii="宋体" w:hAnsi="宋体"/>
                <w:sz w:val="28"/>
                <w:szCs w:val="28"/>
              </w:rPr>
            </w:pPr>
            <w:r>
              <w:rPr>
                <w:rFonts w:hint="eastAsia" w:ascii="宋体" w:hAnsi="宋体"/>
                <w:sz w:val="28"/>
                <w:szCs w:val="28"/>
              </w:rPr>
              <w:t>供应商是在四川省政府采购供应商库系统中随机抽取的供应商抽取名单中的供应商【说明：上传在四川省政府采购供应商库系统下载的邀请书或空白页，不对本项上传的材料作审查；由高新区采购中心在提交响应文件截止时间后向采购人提供在四川省政府采购供应商库系统中解密的供应商抽取名单。】。</w:t>
            </w:r>
          </w:p>
        </w:tc>
        <w:tc>
          <w:tcPr>
            <w:tcW w:w="677" w:type="dxa"/>
            <w:vAlign w:val="center"/>
          </w:tcPr>
          <w:p>
            <w:pPr>
              <w:snapToGrid w:val="0"/>
              <w:spacing w:line="240" w:lineRule="atLeast"/>
              <w:rPr>
                <w:rFonts w:ascii="宋体" w:hAnsi="宋体"/>
              </w:rPr>
            </w:pPr>
          </w:p>
        </w:tc>
      </w:tr>
    </w:tbl>
    <w:p>
      <w:pPr>
        <w:spacing w:line="360" w:lineRule="auto"/>
        <w:ind w:firstLine="599" w:firstLineChars="214"/>
        <w:rPr>
          <w:rFonts w:ascii="宋体" w:hAnsi="宋体"/>
          <w:sz w:val="28"/>
          <w:szCs w:val="28"/>
        </w:rPr>
      </w:pPr>
      <w:r>
        <w:rPr>
          <w:rFonts w:hint="eastAsia" w:ascii="宋体" w:hAnsi="宋体"/>
          <w:sz w:val="28"/>
          <w:szCs w:val="28"/>
        </w:rPr>
        <w:t>通过审查的供应商不足3家的，本次采购失败。</w:t>
      </w:r>
    </w:p>
    <w:p>
      <w:pPr>
        <w:spacing w:line="360" w:lineRule="auto"/>
        <w:ind w:firstLine="568" w:firstLineChars="202"/>
        <w:rPr>
          <w:rFonts w:ascii="宋体" w:hAnsi="宋体"/>
          <w:b/>
          <w:sz w:val="28"/>
          <w:szCs w:val="28"/>
        </w:rPr>
      </w:pPr>
    </w:p>
    <w:p>
      <w:pPr>
        <w:spacing w:line="360" w:lineRule="auto"/>
        <w:rPr>
          <w:rFonts w:ascii="宋体" w:hAnsi="宋体"/>
          <w:b/>
          <w:sz w:val="28"/>
          <w:szCs w:val="28"/>
        </w:rPr>
      </w:pPr>
    </w:p>
    <w:p>
      <w:bookmarkStart w:id="78" w:name="_Toc205604899"/>
      <w:bookmarkStart w:id="79" w:name="_Toc238273564"/>
      <w:bookmarkStart w:id="80" w:name="_Toc236285891"/>
      <w:bookmarkStart w:id="81" w:name="_Toc360696963"/>
      <w:r>
        <w:rPr>
          <w:rFonts w:hint="eastAsia"/>
        </w:rPr>
        <w:br w:type="page"/>
      </w:r>
    </w:p>
    <w:p>
      <w:pPr>
        <w:pStyle w:val="3"/>
        <w:numPr>
          <w:ilvl w:val="0"/>
          <w:numId w:val="1"/>
        </w:numPr>
        <w:spacing w:before="0" w:after="0"/>
        <w:ind w:left="0" w:firstLine="0"/>
      </w:pPr>
      <w:bookmarkStart w:id="82" w:name="_Toc4920"/>
      <w:r>
        <w:rPr>
          <w:rFonts w:hint="eastAsia"/>
        </w:rPr>
        <w:t>磋商办法</w:t>
      </w:r>
      <w:bookmarkEnd w:id="82"/>
    </w:p>
    <w:p>
      <w:pPr>
        <w:pStyle w:val="4"/>
        <w:tabs>
          <w:tab w:val="left" w:pos="993"/>
          <w:tab w:val="clear" w:pos="426"/>
          <w:tab w:val="clear" w:pos="567"/>
        </w:tabs>
        <w:ind w:left="0" w:firstLine="0"/>
      </w:pPr>
      <w:bookmarkStart w:id="83" w:name="_Toc8688"/>
      <w:r>
        <w:rPr>
          <w:rFonts w:hint="eastAsia"/>
        </w:rPr>
        <w:t>总则</w:t>
      </w:r>
      <w:bookmarkEnd w:id="83"/>
    </w:p>
    <w:p>
      <w:pPr>
        <w:widowControl w:val="0"/>
        <w:numPr>
          <w:ilvl w:val="0"/>
          <w:numId w:val="43"/>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根据《中华人民共和国政府采购法》、《中华人民共和国政府采购法实施条例》和《政府采购竞争性磋商采购方式管理暂行办法》等法律规章，结合采购项目特点制定本办法。</w:t>
      </w:r>
    </w:p>
    <w:p>
      <w:pPr>
        <w:widowControl w:val="0"/>
        <w:numPr>
          <w:ilvl w:val="0"/>
          <w:numId w:val="43"/>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磋商工作由高新区采购中心负责组织，具体评审事务由采购人和高新区采购中心依法组建的磋商小组负责。磋商小组由采购人代表和评审专家组成。</w:t>
      </w:r>
    </w:p>
    <w:p>
      <w:pPr>
        <w:widowControl w:val="0"/>
        <w:numPr>
          <w:ilvl w:val="0"/>
          <w:numId w:val="43"/>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磋商工作应遵循公平、公正、科学及择优的原则，并以相同的评审程序和标准对待所有的供应商。</w:t>
      </w:r>
    </w:p>
    <w:p>
      <w:pPr>
        <w:widowControl w:val="0"/>
        <w:numPr>
          <w:ilvl w:val="0"/>
          <w:numId w:val="43"/>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磋商小组按照磋商文件规定的磋商程序、评分方法和标准进行独立评审，并独立履行下列职责：</w:t>
      </w:r>
    </w:p>
    <w:p>
      <w:pPr>
        <w:widowControl w:val="0"/>
        <w:numPr>
          <w:ilvl w:val="1"/>
          <w:numId w:val="44"/>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熟悉和理解磋商文件，确定磋商文件内容是否违反国家有关强制性规定或者磋商文件存在歧义、重大缺陷，根据需要书面要求采购人、采购代理机构对磋商文件作出解释</w:t>
      </w:r>
      <w:r>
        <w:rPr>
          <w:rFonts w:ascii="宋体" w:hAnsi="宋体" w:cs="宋体"/>
          <w:sz w:val="28"/>
          <w:szCs w:val="28"/>
        </w:rPr>
        <w:t>；</w:t>
      </w:r>
    </w:p>
    <w:p>
      <w:pPr>
        <w:widowControl w:val="0"/>
        <w:numPr>
          <w:ilvl w:val="1"/>
          <w:numId w:val="44"/>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审查供应商的施工响应文件并作出公正评价；</w:t>
      </w:r>
    </w:p>
    <w:p>
      <w:pPr>
        <w:widowControl w:val="0"/>
        <w:numPr>
          <w:ilvl w:val="1"/>
          <w:numId w:val="44"/>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根据需要要求供应商对施工响应文件中含义不明确、同类问题表述不一致或者有明显文字和计算错误的内容等作出必要的澄清、说明或者更正；</w:t>
      </w:r>
    </w:p>
    <w:p>
      <w:pPr>
        <w:widowControl w:val="0"/>
        <w:numPr>
          <w:ilvl w:val="1"/>
          <w:numId w:val="44"/>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依法、客观、公平、公正开展供应商磋商和推荐成交候选供应商；</w:t>
      </w:r>
    </w:p>
    <w:p>
      <w:pPr>
        <w:widowControl w:val="0"/>
        <w:numPr>
          <w:ilvl w:val="1"/>
          <w:numId w:val="44"/>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编写评审报告；</w:t>
      </w:r>
    </w:p>
    <w:p>
      <w:pPr>
        <w:widowControl w:val="0"/>
        <w:numPr>
          <w:ilvl w:val="1"/>
          <w:numId w:val="44"/>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告知采购人、采购代理机构在评审过程中发现的供应商的违法违规行为；</w:t>
      </w:r>
    </w:p>
    <w:p>
      <w:pPr>
        <w:widowControl w:val="0"/>
        <w:numPr>
          <w:ilvl w:val="1"/>
          <w:numId w:val="44"/>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保守供应商的商业秘密；</w:t>
      </w:r>
    </w:p>
    <w:p>
      <w:pPr>
        <w:widowControl w:val="0"/>
        <w:numPr>
          <w:ilvl w:val="1"/>
          <w:numId w:val="44"/>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配合处理供应商质疑；</w:t>
      </w:r>
    </w:p>
    <w:p>
      <w:pPr>
        <w:widowControl w:val="0"/>
        <w:tabs>
          <w:tab w:val="left" w:pos="1134"/>
        </w:tabs>
        <w:spacing w:line="360" w:lineRule="auto"/>
        <w:ind w:left="567"/>
        <w:rPr>
          <w:rFonts w:ascii="宋体" w:hAnsi="宋体" w:cs="宋体"/>
          <w:sz w:val="28"/>
          <w:szCs w:val="28"/>
        </w:rPr>
      </w:pPr>
      <w:r>
        <w:rPr>
          <w:rFonts w:hint="eastAsia" w:ascii="宋体" w:hAnsi="宋体" w:cs="宋体"/>
          <w:sz w:val="28"/>
          <w:szCs w:val="28"/>
        </w:rPr>
        <w:t>配合处理供应商投诉；</w:t>
      </w:r>
    </w:p>
    <w:p>
      <w:pPr>
        <w:widowControl w:val="0"/>
        <w:numPr>
          <w:ilvl w:val="1"/>
          <w:numId w:val="44"/>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法律、法规和规章规定的其他职责；</w:t>
      </w:r>
    </w:p>
    <w:p>
      <w:pPr>
        <w:widowControl w:val="0"/>
        <w:numPr>
          <w:ilvl w:val="0"/>
          <w:numId w:val="43"/>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评审过程独立、保密。供应商非法干预评审过程的行为将导致其施工响应文件作为无效处理。</w:t>
      </w:r>
    </w:p>
    <w:p>
      <w:pPr>
        <w:widowControl w:val="0"/>
        <w:numPr>
          <w:ilvl w:val="0"/>
          <w:numId w:val="43"/>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磋商小组决定施工响应文件的响应性依据施工响应文件本身的内容，而不寻求外部的证据，磋商文件有明确约定的除外。</w:t>
      </w:r>
    </w:p>
    <w:p>
      <w:pPr>
        <w:pStyle w:val="4"/>
        <w:tabs>
          <w:tab w:val="left" w:pos="993"/>
          <w:tab w:val="clear" w:pos="426"/>
          <w:tab w:val="clear" w:pos="567"/>
        </w:tabs>
        <w:ind w:left="0" w:firstLine="0"/>
      </w:pPr>
      <w:bookmarkStart w:id="84" w:name="_Toc15613"/>
      <w:r>
        <w:rPr>
          <w:rFonts w:hint="eastAsia"/>
        </w:rPr>
        <w:t>磋商程序</w:t>
      </w:r>
      <w:bookmarkEnd w:id="84"/>
    </w:p>
    <w:p>
      <w:pPr>
        <w:spacing w:line="360" w:lineRule="auto"/>
        <w:ind w:firstLine="570"/>
        <w:rPr>
          <w:rFonts w:ascii="宋体" w:hAnsi="宋体"/>
          <w:sz w:val="28"/>
          <w:szCs w:val="28"/>
        </w:rPr>
      </w:pPr>
      <w:r>
        <w:rPr>
          <w:rFonts w:hint="eastAsia" w:ascii="宋体" w:hAnsi="宋体"/>
          <w:sz w:val="28"/>
          <w:szCs w:val="28"/>
        </w:rPr>
        <w:t>磋商会议在成都市公共资源交易服务中心“政府采购云平台”进行。磋商会议由高新区采购中心在线主持，供应商代表在线参加。</w:t>
      </w:r>
    </w:p>
    <w:p>
      <w:pPr>
        <w:spacing w:line="360" w:lineRule="auto"/>
        <w:ind w:firstLine="560" w:firstLineChars="200"/>
        <w:rPr>
          <w:rFonts w:ascii="宋体" w:hAnsi="宋体"/>
          <w:sz w:val="28"/>
          <w:szCs w:val="28"/>
        </w:rPr>
      </w:pPr>
      <w:r>
        <w:rPr>
          <w:rFonts w:hint="eastAsia" w:ascii="宋体" w:hAnsi="宋体"/>
          <w:sz w:val="28"/>
          <w:szCs w:val="28"/>
        </w:rPr>
        <w:t>磋商应由监督人员在线进行监督，且可根据具体情况邀请有关监督管理部门对采购活动进行现场监督。</w:t>
      </w:r>
    </w:p>
    <w:p>
      <w:pPr>
        <w:pStyle w:val="4"/>
        <w:numPr>
          <w:ilvl w:val="2"/>
          <w:numId w:val="1"/>
        </w:numPr>
        <w:tabs>
          <w:tab w:val="left" w:pos="993"/>
          <w:tab w:val="clear" w:pos="426"/>
          <w:tab w:val="clear" w:pos="567"/>
        </w:tabs>
      </w:pPr>
      <w:bookmarkStart w:id="85" w:name="_Toc63084321"/>
      <w:bookmarkStart w:id="86" w:name="_Toc320698736"/>
      <w:bookmarkStart w:id="87" w:name="_Toc26156"/>
      <w:bookmarkStart w:id="88" w:name="_Toc63437907"/>
      <w:r>
        <w:rPr>
          <w:rFonts w:hint="eastAsia"/>
        </w:rPr>
        <w:t>递交施工响应文件</w:t>
      </w:r>
      <w:bookmarkEnd w:id="85"/>
      <w:bookmarkEnd w:id="86"/>
      <w:bookmarkEnd w:id="87"/>
      <w:bookmarkEnd w:id="88"/>
    </w:p>
    <w:p>
      <w:pPr>
        <w:tabs>
          <w:tab w:val="left" w:pos="1134"/>
        </w:tabs>
        <w:spacing w:line="360" w:lineRule="auto"/>
        <w:ind w:firstLine="560" w:firstLineChars="200"/>
        <w:rPr>
          <w:rFonts w:ascii="宋体" w:hAnsi="宋体"/>
          <w:sz w:val="28"/>
          <w:szCs w:val="28"/>
        </w:rPr>
      </w:pPr>
      <w:r>
        <w:rPr>
          <w:rFonts w:hint="eastAsia" w:ascii="宋体" w:hAnsi="宋体"/>
          <w:sz w:val="28"/>
          <w:szCs w:val="28"/>
        </w:rPr>
        <w:t>供应商应按磋商文件要求在</w:t>
      </w:r>
      <w:r>
        <w:rPr>
          <w:rFonts w:ascii="宋体" w:hAnsi="宋体"/>
          <w:sz w:val="28"/>
          <w:szCs w:val="28"/>
        </w:rPr>
        <w:t>政府采购云平台</w:t>
      </w:r>
      <w:r>
        <w:rPr>
          <w:rFonts w:hint="eastAsia" w:ascii="宋体" w:hAnsi="宋体"/>
          <w:sz w:val="28"/>
          <w:szCs w:val="28"/>
        </w:rPr>
        <w:t>递交施工响应文件。递交施工响应文件截止时间结束后，递交施工响应文件的供应商不足3家的，本次竞争性磋商采购活动终止，发布终止竞争性磋商公告。</w:t>
      </w:r>
    </w:p>
    <w:p>
      <w:pPr>
        <w:pStyle w:val="4"/>
        <w:numPr>
          <w:ilvl w:val="2"/>
          <w:numId w:val="1"/>
        </w:numPr>
        <w:tabs>
          <w:tab w:val="left" w:pos="993"/>
          <w:tab w:val="clear" w:pos="426"/>
          <w:tab w:val="clear" w:pos="567"/>
        </w:tabs>
      </w:pPr>
      <w:bookmarkStart w:id="89" w:name="_Toc63437908"/>
      <w:bookmarkStart w:id="90" w:name="_Toc19404"/>
      <w:bookmarkStart w:id="91" w:name="_Toc63084322"/>
      <w:r>
        <w:rPr>
          <w:rFonts w:hint="eastAsia"/>
        </w:rPr>
        <w:t>确定邀请参加磋商的供应商数量</w:t>
      </w:r>
      <w:bookmarkEnd w:id="89"/>
      <w:bookmarkEnd w:id="90"/>
      <w:bookmarkEnd w:id="91"/>
    </w:p>
    <w:p>
      <w:pPr>
        <w:tabs>
          <w:tab w:val="left" w:pos="1134"/>
        </w:tabs>
        <w:spacing w:line="360" w:lineRule="auto"/>
        <w:ind w:firstLine="560" w:firstLineChars="200"/>
        <w:rPr>
          <w:rFonts w:ascii="宋体" w:hAnsi="宋体"/>
          <w:sz w:val="28"/>
          <w:szCs w:val="28"/>
        </w:rPr>
      </w:pPr>
      <w:r>
        <w:rPr>
          <w:rFonts w:hint="eastAsia" w:ascii="宋体" w:hAnsi="宋体"/>
          <w:sz w:val="28"/>
          <w:szCs w:val="28"/>
        </w:rPr>
        <w:t>邀请</w:t>
      </w:r>
      <w:r>
        <w:rPr>
          <w:rFonts w:hint="eastAsia" w:ascii="宋体" w:hAnsi="宋体"/>
          <w:sz w:val="28"/>
        </w:rPr>
        <w:t>已通过四川省政府采购供应商库系统随机抽取选中</w:t>
      </w:r>
      <w:r>
        <w:rPr>
          <w:rFonts w:hint="eastAsia" w:ascii="宋体" w:hAnsi="宋体"/>
          <w:sz w:val="28"/>
          <w:szCs w:val="28"/>
        </w:rPr>
        <w:t>的供应商参加本项目的竞争性磋商。</w:t>
      </w:r>
    </w:p>
    <w:p>
      <w:pPr>
        <w:pStyle w:val="4"/>
        <w:numPr>
          <w:ilvl w:val="2"/>
          <w:numId w:val="1"/>
        </w:numPr>
        <w:tabs>
          <w:tab w:val="left" w:pos="993"/>
          <w:tab w:val="clear" w:pos="426"/>
          <w:tab w:val="clear" w:pos="567"/>
        </w:tabs>
      </w:pPr>
      <w:bookmarkStart w:id="92" w:name="_Toc18131"/>
      <w:bookmarkStart w:id="93" w:name="_Toc63437909"/>
      <w:bookmarkStart w:id="94" w:name="_Toc287623646"/>
      <w:bookmarkStart w:id="95" w:name="_Toc63084323"/>
      <w:r>
        <w:rPr>
          <w:rFonts w:hint="eastAsia"/>
        </w:rPr>
        <w:t>成立磋商小组</w:t>
      </w:r>
      <w:bookmarkEnd w:id="92"/>
      <w:bookmarkEnd w:id="93"/>
      <w:bookmarkEnd w:id="94"/>
      <w:bookmarkEnd w:id="95"/>
    </w:p>
    <w:p>
      <w:pPr>
        <w:pStyle w:val="24"/>
        <w:spacing w:line="360" w:lineRule="auto"/>
        <w:ind w:firstLine="560" w:firstLineChars="200"/>
        <w:rPr>
          <w:rFonts w:hAnsi="宋体" w:eastAsia="宋体"/>
          <w:sz w:val="28"/>
          <w:szCs w:val="28"/>
        </w:rPr>
      </w:pPr>
      <w:r>
        <w:rPr>
          <w:rFonts w:hint="eastAsia" w:hAnsi="宋体" w:eastAsia="宋体"/>
          <w:sz w:val="28"/>
          <w:szCs w:val="28"/>
        </w:rPr>
        <w:t>磋商小组</w:t>
      </w:r>
      <w:r>
        <w:rPr>
          <w:rFonts w:hAnsi="宋体" w:eastAsia="宋体"/>
          <w:sz w:val="28"/>
          <w:szCs w:val="28"/>
        </w:rPr>
        <w:t>由采购人代表和</w:t>
      </w:r>
      <w:r>
        <w:rPr>
          <w:rFonts w:hint="eastAsia" w:hAnsi="宋体" w:eastAsia="宋体"/>
          <w:sz w:val="28"/>
          <w:szCs w:val="28"/>
        </w:rPr>
        <w:t>根据采购项目情况确定的技术或经济或法律等有关专家3人</w:t>
      </w:r>
      <w:r>
        <w:rPr>
          <w:rFonts w:hAnsi="宋体" w:eastAsia="宋体"/>
          <w:sz w:val="28"/>
          <w:szCs w:val="28"/>
        </w:rPr>
        <w:t>以上的单数组成</w:t>
      </w:r>
      <w:r>
        <w:rPr>
          <w:rFonts w:hint="eastAsia" w:hAnsi="宋体" w:eastAsia="宋体"/>
          <w:sz w:val="28"/>
          <w:szCs w:val="28"/>
        </w:rPr>
        <w:t>。磋商小组</w:t>
      </w:r>
      <w:r>
        <w:rPr>
          <w:rFonts w:hAnsi="宋体" w:eastAsia="宋体"/>
          <w:sz w:val="28"/>
          <w:szCs w:val="28"/>
        </w:rPr>
        <w:t>负责本项目的</w:t>
      </w:r>
      <w:r>
        <w:rPr>
          <w:rFonts w:hint="eastAsia" w:hAnsi="宋体" w:eastAsia="宋体"/>
          <w:sz w:val="28"/>
          <w:szCs w:val="28"/>
        </w:rPr>
        <w:t>磋商</w:t>
      </w:r>
      <w:r>
        <w:rPr>
          <w:rFonts w:hAnsi="宋体" w:eastAsia="宋体"/>
          <w:sz w:val="28"/>
          <w:szCs w:val="28"/>
        </w:rPr>
        <w:t>和评</w:t>
      </w:r>
      <w:r>
        <w:rPr>
          <w:rFonts w:hint="eastAsia" w:hAnsi="宋体" w:eastAsia="宋体"/>
          <w:sz w:val="28"/>
          <w:szCs w:val="28"/>
        </w:rPr>
        <w:t>审</w:t>
      </w:r>
      <w:r>
        <w:rPr>
          <w:rFonts w:hAnsi="宋体" w:eastAsia="宋体"/>
          <w:sz w:val="28"/>
          <w:szCs w:val="28"/>
        </w:rPr>
        <w:t>工作。</w:t>
      </w:r>
    </w:p>
    <w:p>
      <w:pPr>
        <w:pStyle w:val="4"/>
        <w:numPr>
          <w:ilvl w:val="2"/>
          <w:numId w:val="1"/>
        </w:numPr>
        <w:tabs>
          <w:tab w:val="left" w:pos="993"/>
          <w:tab w:val="clear" w:pos="426"/>
          <w:tab w:val="clear" w:pos="567"/>
        </w:tabs>
      </w:pPr>
      <w:bookmarkStart w:id="96" w:name="_Toc63437910"/>
      <w:bookmarkStart w:id="97" w:name="_Toc9141"/>
      <w:bookmarkStart w:id="98" w:name="_Toc63084324"/>
      <w:r>
        <w:rPr>
          <w:rFonts w:hint="eastAsia"/>
        </w:rPr>
        <w:t>磋商</w:t>
      </w:r>
      <w:bookmarkEnd w:id="96"/>
      <w:bookmarkEnd w:id="97"/>
      <w:bookmarkEnd w:id="98"/>
    </w:p>
    <w:p>
      <w:pPr>
        <w:widowControl w:val="0"/>
        <w:numPr>
          <w:ilvl w:val="1"/>
          <w:numId w:val="45"/>
        </w:numPr>
        <w:tabs>
          <w:tab w:val="left" w:pos="1134"/>
        </w:tabs>
        <w:spacing w:after="200" w:line="360" w:lineRule="auto"/>
        <w:ind w:left="0" w:firstLine="560" w:firstLineChars="200"/>
        <w:jc w:val="both"/>
        <w:rPr>
          <w:rFonts w:ascii="宋体" w:hAnsi="宋体"/>
          <w:sz w:val="28"/>
          <w:szCs w:val="28"/>
        </w:rPr>
      </w:pPr>
      <w:r>
        <w:rPr>
          <w:rFonts w:hint="eastAsia" w:ascii="宋体" w:hAnsi="宋体"/>
          <w:sz w:val="28"/>
          <w:szCs w:val="28"/>
        </w:rPr>
        <w:t>磋商小组按照磋商文件的规定与邀请参加磋商的供应商分别进行磋商，磋商顺序由磋商小组确定，磋商通过“政府采购云平台”在线进行。供应商应随时关注“政府采购云平台”站内信息或短信提醒，及时参与在线磋商。登录政府采购云平台(www.zcygov.cn)—我的工作台</w:t>
      </w:r>
      <w:r>
        <w:rPr>
          <w:rFonts w:ascii="宋体" w:hAnsi="宋体"/>
          <w:sz w:val="28"/>
          <w:szCs w:val="28"/>
        </w:rPr>
        <w:t>—项目采购—开标评标—进入开标大厅（找到对应项目）。磋商小组可通过“发起视频评审”“询标”功能，向供应商发起在线磋商邀请，供应商可使用“视频评审”“澄清”功能，与专家进行在线磋商、</w:t>
      </w:r>
      <w:r>
        <w:rPr>
          <w:rFonts w:hint="eastAsia" w:ascii="宋体" w:hAnsi="宋体"/>
          <w:sz w:val="28"/>
          <w:szCs w:val="28"/>
        </w:rPr>
        <w:t>递交磋商承诺函，承诺函应加盖供应商（法定名称）电子签章（评审结束之前，供应商应随时关注系统提示，及时通过</w:t>
      </w:r>
      <w:r>
        <w:rPr>
          <w:rFonts w:ascii="宋体" w:hAnsi="宋体"/>
          <w:sz w:val="28"/>
          <w:szCs w:val="28"/>
        </w:rPr>
        <w:t>“</w:t>
      </w:r>
      <w:r>
        <w:rPr>
          <w:rFonts w:hint="eastAsia" w:ascii="宋体" w:hAnsi="宋体"/>
          <w:sz w:val="28"/>
          <w:szCs w:val="28"/>
        </w:rPr>
        <w:t>政府采购云平台</w:t>
      </w:r>
      <w:r>
        <w:rPr>
          <w:rFonts w:ascii="宋体" w:hAnsi="宋体"/>
          <w:sz w:val="28"/>
          <w:szCs w:val="28"/>
        </w:rPr>
        <w:t>”</w:t>
      </w:r>
      <w:r>
        <w:rPr>
          <w:rFonts w:hint="eastAsia" w:ascii="宋体" w:hAnsi="宋体"/>
          <w:sz w:val="28"/>
          <w:szCs w:val="28"/>
        </w:rPr>
        <w:t>在线响应磋商小组发出的磋商邀请，签章并确认提交成功。逾时回复将不能提交，视为供应商自行放弃该轮磋商，其损失由供应商承担）</w:t>
      </w:r>
      <w:r>
        <w:rPr>
          <w:rFonts w:ascii="宋体" w:hAnsi="宋体"/>
          <w:sz w:val="28"/>
          <w:szCs w:val="28"/>
        </w:rPr>
        <w:t>。</w:t>
      </w:r>
    </w:p>
    <w:p>
      <w:pPr>
        <w:widowControl w:val="0"/>
        <w:numPr>
          <w:ilvl w:val="1"/>
          <w:numId w:val="45"/>
        </w:numPr>
        <w:tabs>
          <w:tab w:val="left" w:pos="1134"/>
        </w:tabs>
        <w:spacing w:after="200" w:line="360" w:lineRule="auto"/>
        <w:ind w:left="0" w:firstLine="560" w:firstLineChars="200"/>
        <w:jc w:val="both"/>
        <w:rPr>
          <w:rFonts w:ascii="宋体" w:hAnsi="宋体"/>
          <w:sz w:val="28"/>
          <w:szCs w:val="28"/>
        </w:rPr>
      </w:pPr>
      <w:r>
        <w:rPr>
          <w:rFonts w:hint="eastAsia" w:ascii="宋体" w:hAnsi="宋体"/>
          <w:sz w:val="28"/>
          <w:szCs w:val="28"/>
        </w:rPr>
        <w:t>磋商小组所有成员集中与单一供应商对技术、服务、合同条款等内容分别进行一轮或多轮的磋商。在磋商中，磋商的任何一方不得透露与磋商有关的其他供应商的技术资料、价格和其他信息。</w:t>
      </w:r>
    </w:p>
    <w:p>
      <w:pPr>
        <w:widowControl w:val="0"/>
        <w:numPr>
          <w:ilvl w:val="1"/>
          <w:numId w:val="45"/>
        </w:numPr>
        <w:tabs>
          <w:tab w:val="left" w:pos="1134"/>
        </w:tabs>
        <w:spacing w:after="200" w:line="360" w:lineRule="auto"/>
        <w:ind w:left="0" w:firstLine="560" w:firstLineChars="200"/>
        <w:jc w:val="both"/>
        <w:rPr>
          <w:rFonts w:ascii="宋体" w:hAnsi="宋体"/>
          <w:sz w:val="28"/>
          <w:szCs w:val="28"/>
        </w:rPr>
      </w:pPr>
      <w:r>
        <w:rPr>
          <w:rFonts w:hint="eastAsia" w:ascii="宋体" w:hAnsi="宋体"/>
          <w:sz w:val="28"/>
          <w:szCs w:val="28"/>
        </w:rPr>
        <w:t>磋商内容为第4章中“技术、服务、商务及其他要求”、第6章“合同草案条款”。其中第4章中加★号的条款为采购项目的</w:t>
      </w:r>
      <w:r>
        <w:rPr>
          <w:rFonts w:hint="eastAsia" w:ascii="宋体" w:hAnsi="宋体" w:cs="宋体"/>
          <w:sz w:val="28"/>
          <w:szCs w:val="28"/>
        </w:rPr>
        <w:t>最低要求</w:t>
      </w:r>
      <w:r>
        <w:rPr>
          <w:rFonts w:hint="eastAsia" w:ascii="宋体" w:hAnsi="宋体"/>
          <w:sz w:val="28"/>
          <w:szCs w:val="28"/>
        </w:rPr>
        <w:t>，为非磋商可以降低标准的内容。</w:t>
      </w:r>
    </w:p>
    <w:p>
      <w:pPr>
        <w:widowControl w:val="0"/>
        <w:numPr>
          <w:ilvl w:val="1"/>
          <w:numId w:val="45"/>
        </w:numPr>
        <w:tabs>
          <w:tab w:val="left" w:pos="1134"/>
        </w:tabs>
        <w:spacing w:after="200" w:line="360" w:lineRule="auto"/>
        <w:ind w:left="0" w:firstLine="560" w:firstLineChars="200"/>
        <w:jc w:val="both"/>
        <w:rPr>
          <w:rFonts w:ascii="宋体" w:hAnsi="宋体"/>
          <w:sz w:val="28"/>
          <w:szCs w:val="28"/>
        </w:rPr>
      </w:pPr>
      <w:r>
        <w:rPr>
          <w:rFonts w:hint="eastAsia" w:ascii="宋体" w:hAnsi="宋体"/>
          <w:sz w:val="28"/>
          <w:szCs w:val="28"/>
        </w:rPr>
        <w:t>磋商过程中，磋商小组获得采购人同意（由采购人代表签字确认）后，可以根据磋商文件和磋商情况实质性变动磋商文件中的第4章技术、服务、商务及其他要求、第6章合同草案条款，但不得变动磋商文件中的其他内容。对磋商文件作出的实质性变动是磋商文件的有效组成部分，磋商小组应通过“询标”功能，将变动情况通知所有参加磋商的供应商。磋商过程中，磋商小组可以根据磋商情况调整磋商轮次。</w:t>
      </w:r>
    </w:p>
    <w:p>
      <w:pPr>
        <w:widowControl w:val="0"/>
        <w:numPr>
          <w:ilvl w:val="1"/>
          <w:numId w:val="45"/>
        </w:numPr>
        <w:tabs>
          <w:tab w:val="left" w:pos="1134"/>
        </w:tabs>
        <w:spacing w:after="200" w:line="360" w:lineRule="auto"/>
        <w:ind w:left="0" w:firstLine="560" w:firstLineChars="200"/>
        <w:jc w:val="both"/>
        <w:rPr>
          <w:rFonts w:ascii="宋体" w:hAnsi="宋体"/>
          <w:sz w:val="28"/>
          <w:szCs w:val="28"/>
        </w:rPr>
      </w:pPr>
      <w:r>
        <w:rPr>
          <w:rFonts w:hint="eastAsia" w:ascii="宋体" w:hAnsi="宋体"/>
          <w:sz w:val="28"/>
          <w:szCs w:val="28"/>
        </w:rPr>
        <w:t>磋商过程中，供应商可以根据磋商情况变更其施工响应文件，并将变更内容通过“澄清”功能送磋商小组。变更内容作为施工响应文件的一部分。供应商书面材料应加盖供应商（法定名称）电子签章，否则无效。</w:t>
      </w:r>
    </w:p>
    <w:p>
      <w:pPr>
        <w:widowControl w:val="0"/>
        <w:numPr>
          <w:ilvl w:val="1"/>
          <w:numId w:val="45"/>
        </w:numPr>
        <w:tabs>
          <w:tab w:val="left" w:pos="1134"/>
        </w:tabs>
        <w:spacing w:after="200" w:line="360" w:lineRule="auto"/>
        <w:ind w:left="0" w:firstLine="560" w:firstLineChars="200"/>
        <w:jc w:val="both"/>
        <w:rPr>
          <w:rFonts w:ascii="宋体" w:hAnsi="宋体"/>
          <w:sz w:val="28"/>
          <w:szCs w:val="28"/>
        </w:rPr>
      </w:pPr>
      <w:r>
        <w:rPr>
          <w:rFonts w:hint="eastAsia" w:ascii="宋体" w:hAnsi="宋体"/>
          <w:sz w:val="28"/>
          <w:szCs w:val="28"/>
        </w:rPr>
        <w:t>磋商小组经过一轮或多轮磋商后，供应商的施工响应文件仍然不能满足磋商文件中采购项目的最低要求，或者磋商过程中，磋商小组发现或者知晓供应商存在违法、违纪行为的，磋商小组应当将该供应商淘汰，不允许其参加最后报价。</w:t>
      </w:r>
    </w:p>
    <w:p>
      <w:pPr>
        <w:pStyle w:val="4"/>
        <w:numPr>
          <w:ilvl w:val="2"/>
          <w:numId w:val="1"/>
        </w:numPr>
        <w:tabs>
          <w:tab w:val="left" w:pos="993"/>
          <w:tab w:val="clear" w:pos="426"/>
          <w:tab w:val="clear" w:pos="567"/>
        </w:tabs>
      </w:pPr>
      <w:bookmarkStart w:id="99" w:name="_Toc28189"/>
      <w:bookmarkStart w:id="100" w:name="_Toc63084325"/>
      <w:bookmarkStart w:id="101" w:name="_Toc63437911"/>
      <w:r>
        <w:rPr>
          <w:rFonts w:hint="eastAsia"/>
        </w:rPr>
        <w:t>符合性审查</w:t>
      </w:r>
      <w:bookmarkEnd w:id="99"/>
      <w:bookmarkEnd w:id="100"/>
      <w:bookmarkEnd w:id="101"/>
    </w:p>
    <w:p>
      <w:pPr>
        <w:pStyle w:val="24"/>
        <w:numPr>
          <w:ilvl w:val="0"/>
          <w:numId w:val="46"/>
        </w:numPr>
        <w:tabs>
          <w:tab w:val="left" w:pos="1134"/>
        </w:tabs>
        <w:autoSpaceDE/>
        <w:autoSpaceDN/>
        <w:adjustRightInd/>
        <w:snapToGrid w:val="0"/>
        <w:spacing w:line="360" w:lineRule="auto"/>
        <w:ind w:left="0" w:firstLine="560"/>
        <w:rPr>
          <w:rFonts w:hAnsi="宋体" w:eastAsia="宋体" w:cs="Times New Roman"/>
          <w:sz w:val="28"/>
          <w:szCs w:val="28"/>
        </w:rPr>
      </w:pPr>
      <w:r>
        <w:rPr>
          <w:rFonts w:hAnsi="宋体" w:eastAsia="宋体" w:cs="Times New Roman"/>
          <w:sz w:val="28"/>
          <w:szCs w:val="28"/>
        </w:rPr>
        <w:t>磋商过程中，磋商小组对</w:t>
      </w:r>
      <w:r>
        <w:rPr>
          <w:rFonts w:hint="eastAsia" w:hAnsi="宋体" w:eastAsia="宋体" w:cs="Times New Roman"/>
          <w:sz w:val="28"/>
          <w:szCs w:val="28"/>
        </w:rPr>
        <w:t>供应商递交的首次</w:t>
      </w:r>
      <w:r>
        <w:rPr>
          <w:rFonts w:hAnsi="宋体" w:eastAsia="宋体" w:cs="Times New Roman"/>
          <w:sz w:val="28"/>
          <w:szCs w:val="28"/>
        </w:rPr>
        <w:t>施工响应文件进行审查，审查中发现供应商</w:t>
      </w:r>
      <w:r>
        <w:rPr>
          <w:rFonts w:hint="eastAsia" w:hAnsi="宋体" w:eastAsia="宋体" w:cs="Times New Roman"/>
          <w:sz w:val="28"/>
          <w:szCs w:val="28"/>
        </w:rPr>
        <w:t>首次</w:t>
      </w:r>
      <w:r>
        <w:rPr>
          <w:rFonts w:hAnsi="宋体" w:eastAsia="宋体" w:cs="Times New Roman"/>
          <w:sz w:val="28"/>
          <w:szCs w:val="28"/>
        </w:rPr>
        <w:t>施工响应文件</w:t>
      </w:r>
      <w:r>
        <w:rPr>
          <w:rFonts w:hint="eastAsia" w:hAnsi="宋体" w:eastAsia="宋体" w:cs="Times New Roman"/>
          <w:sz w:val="28"/>
          <w:szCs w:val="28"/>
        </w:rPr>
        <w:t>有</w:t>
      </w:r>
      <w:r>
        <w:rPr>
          <w:rFonts w:hAnsi="宋体" w:eastAsia="宋体" w:cs="Times New Roman"/>
          <w:sz w:val="28"/>
          <w:szCs w:val="28"/>
        </w:rPr>
        <w:t>下列情况之一的，应按照无效施工响应文件处理：</w:t>
      </w:r>
    </w:p>
    <w:p>
      <w:pPr>
        <w:pStyle w:val="24"/>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Ansi="宋体" w:eastAsia="宋体" w:cs="Times New Roman"/>
          <w:sz w:val="28"/>
          <w:szCs w:val="28"/>
        </w:rPr>
        <w:t>施工响应文件的语言、报价货币</w:t>
      </w:r>
      <w:r>
        <w:rPr>
          <w:rFonts w:hint="eastAsia" w:hAnsi="宋体" w:eastAsia="宋体" w:cs="Times New Roman"/>
          <w:sz w:val="28"/>
          <w:szCs w:val="28"/>
        </w:rPr>
        <w:t>、</w:t>
      </w:r>
      <w:r>
        <w:rPr>
          <w:rFonts w:hAnsi="宋体" w:eastAsia="宋体" w:cs="Times New Roman"/>
          <w:sz w:val="28"/>
          <w:szCs w:val="28"/>
        </w:rPr>
        <w:t>知识产权</w:t>
      </w:r>
      <w:r>
        <w:rPr>
          <w:rFonts w:hint="eastAsia" w:hAnsi="宋体" w:eastAsia="宋体" w:cs="Times New Roman"/>
          <w:sz w:val="28"/>
          <w:szCs w:val="28"/>
        </w:rPr>
        <w:t>、施工响应文件有效期</w:t>
      </w:r>
      <w:r>
        <w:rPr>
          <w:rFonts w:hAnsi="宋体" w:eastAsia="宋体" w:cs="Times New Roman"/>
          <w:sz w:val="28"/>
          <w:szCs w:val="28"/>
        </w:rPr>
        <w:t>不符合采购文件的规定，影响磋商小组评判的；</w:t>
      </w:r>
    </w:p>
    <w:p>
      <w:pPr>
        <w:pStyle w:val="24"/>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施工响应文件中未附已标价工程量清单（已明确</w:t>
      </w:r>
      <w:r>
        <w:rPr>
          <w:rFonts w:hAnsi="宋体" w:eastAsia="宋体" w:cs="Times New Roman"/>
          <w:sz w:val="28"/>
          <w:szCs w:val="28"/>
        </w:rPr>
        <w:t>要求不需要</w:t>
      </w:r>
      <w:r>
        <w:rPr>
          <w:rFonts w:hint="eastAsia" w:hAnsi="宋体" w:eastAsia="宋体" w:cs="Times New Roman"/>
          <w:sz w:val="28"/>
          <w:szCs w:val="28"/>
        </w:rPr>
        <w:t>提供</w:t>
      </w:r>
      <w:r>
        <w:rPr>
          <w:rFonts w:hAnsi="宋体" w:eastAsia="宋体" w:cs="Times New Roman"/>
          <w:sz w:val="28"/>
          <w:szCs w:val="28"/>
        </w:rPr>
        <w:t>的除外）</w:t>
      </w:r>
      <w:r>
        <w:rPr>
          <w:rFonts w:hint="eastAsia" w:hAnsi="宋体" w:eastAsia="宋体" w:cs="Times New Roman"/>
          <w:sz w:val="28"/>
          <w:szCs w:val="28"/>
        </w:rPr>
        <w:t>。</w:t>
      </w:r>
    </w:p>
    <w:p>
      <w:pPr>
        <w:pStyle w:val="24"/>
        <w:numPr>
          <w:ilvl w:val="0"/>
          <w:numId w:val="46"/>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经最终磋商后，施工响应文件仍有下列情况之一的，应按照无效施工响应文件处理：</w:t>
      </w:r>
    </w:p>
    <w:p>
      <w:pPr>
        <w:pStyle w:val="24"/>
        <w:numPr>
          <w:ilvl w:val="0"/>
          <w:numId w:val="48"/>
        </w:numPr>
        <w:tabs>
          <w:tab w:val="left" w:pos="1134"/>
        </w:tabs>
        <w:autoSpaceDE/>
        <w:autoSpaceDN/>
        <w:adjustRightInd/>
        <w:snapToGrid w:val="0"/>
        <w:spacing w:line="360" w:lineRule="auto"/>
        <w:ind w:left="0" w:firstLine="567"/>
        <w:rPr>
          <w:rFonts w:hAnsi="宋体" w:eastAsia="宋体" w:cs="Times New Roman"/>
          <w:sz w:val="28"/>
          <w:szCs w:val="28"/>
        </w:rPr>
      </w:pPr>
      <w:r>
        <w:rPr>
          <w:rFonts w:hAnsi="宋体" w:eastAsia="宋体" w:cs="Times New Roman"/>
          <w:sz w:val="28"/>
          <w:szCs w:val="28"/>
        </w:rPr>
        <w:t>施工响应文件仍不能</w:t>
      </w:r>
      <w:r>
        <w:rPr>
          <w:rFonts w:hint="eastAsia" w:hAnsi="宋体" w:eastAsia="宋体" w:cs="Times New Roman"/>
          <w:sz w:val="28"/>
          <w:szCs w:val="28"/>
        </w:rPr>
        <w:t>实质性响应采购文件的实质性要求和仍</w:t>
      </w:r>
      <w:r>
        <w:rPr>
          <w:rFonts w:hAnsi="宋体" w:eastAsia="宋体" w:cs="Times New Roman"/>
          <w:sz w:val="28"/>
          <w:szCs w:val="28"/>
        </w:rPr>
        <w:t>不能完全</w:t>
      </w:r>
      <w:r>
        <w:rPr>
          <w:rFonts w:hint="eastAsia" w:hAnsi="宋体" w:eastAsia="宋体" w:cs="Times New Roman"/>
          <w:sz w:val="28"/>
          <w:szCs w:val="28"/>
        </w:rPr>
        <w:t>满足采购需求的最低要求</w:t>
      </w:r>
      <w:r>
        <w:rPr>
          <w:rFonts w:hAnsi="宋体" w:eastAsia="宋体" w:cs="Times New Roman"/>
          <w:sz w:val="28"/>
          <w:szCs w:val="28"/>
        </w:rPr>
        <w:t>的</w:t>
      </w:r>
      <w:r>
        <w:rPr>
          <w:rFonts w:hint="eastAsia" w:hAnsi="宋体" w:eastAsia="宋体" w:cs="Times New Roman"/>
          <w:sz w:val="28"/>
          <w:szCs w:val="28"/>
        </w:rPr>
        <w:t>；</w:t>
      </w:r>
    </w:p>
    <w:p>
      <w:pPr>
        <w:pStyle w:val="24"/>
        <w:numPr>
          <w:ilvl w:val="0"/>
          <w:numId w:val="48"/>
        </w:numPr>
        <w:tabs>
          <w:tab w:val="left" w:pos="1134"/>
        </w:tabs>
        <w:autoSpaceDE/>
        <w:autoSpaceDN/>
        <w:adjustRightInd/>
        <w:snapToGrid w:val="0"/>
        <w:spacing w:line="360" w:lineRule="auto"/>
        <w:ind w:left="0" w:firstLine="567"/>
        <w:rPr>
          <w:rFonts w:hAnsi="宋体" w:eastAsia="宋体" w:cs="Times New Roman"/>
          <w:sz w:val="28"/>
          <w:szCs w:val="28"/>
        </w:rPr>
      </w:pPr>
      <w:r>
        <w:rPr>
          <w:rFonts w:hint="eastAsia" w:hAnsi="宋体" w:eastAsia="宋体" w:cs="Times New Roman"/>
          <w:sz w:val="28"/>
          <w:szCs w:val="28"/>
        </w:rPr>
        <w:t>施工响应文件仍中有规定的其他无效响应情形的。</w:t>
      </w:r>
    </w:p>
    <w:p>
      <w:pPr>
        <w:pStyle w:val="24"/>
        <w:numPr>
          <w:ilvl w:val="0"/>
          <w:numId w:val="46"/>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供应商首次施工响应文件中的报价（已标价工程量清单）进行评审</w:t>
      </w:r>
    </w:p>
    <w:p>
      <w:pPr>
        <w:pStyle w:val="82"/>
        <w:widowControl w:val="0"/>
        <w:numPr>
          <w:ilvl w:val="0"/>
          <w:numId w:val="49"/>
        </w:numPr>
        <w:tabs>
          <w:tab w:val="left" w:pos="1134"/>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供应商已标价工程量清单出现磋商文件“供应商须知附表”中第7项规定情形之一的，应按照无效施工响应文件处理；</w:t>
      </w:r>
    </w:p>
    <w:p>
      <w:pPr>
        <w:pStyle w:val="82"/>
        <w:widowControl w:val="0"/>
        <w:numPr>
          <w:ilvl w:val="0"/>
          <w:numId w:val="49"/>
        </w:numPr>
        <w:tabs>
          <w:tab w:val="left" w:pos="1134"/>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磋商小组对供应商已标价工程量清单进行算术性复核，如果出现下列不一致的，按以下原则进行修正：</w:t>
      </w:r>
    </w:p>
    <w:p>
      <w:pPr>
        <w:pStyle w:val="24"/>
        <w:snapToGrid w:val="0"/>
        <w:spacing w:line="360" w:lineRule="auto"/>
        <w:ind w:firstLine="565" w:firstLineChars="202"/>
        <w:rPr>
          <w:rFonts w:hAnsi="宋体" w:eastAsia="宋体"/>
          <w:sz w:val="28"/>
          <w:szCs w:val="28"/>
          <w:lang w:val="zh-CN"/>
        </w:rPr>
      </w:pPr>
      <w:r>
        <w:rPr>
          <w:rFonts w:hint="eastAsia" w:hAnsi="宋体" w:eastAsia="宋体" w:cs="仿宋"/>
          <w:sz w:val="28"/>
          <w:szCs w:val="28"/>
          <w:lang w:val="zh-CN"/>
        </w:rPr>
        <w:t>总价金额与依据单价（或费率）计算出的结果不一致的，以单价（或费率）为准修正总价，但单价（或费率）小数点有明显错误的除外（包括但不限于工程量清单、单位工程汇总表、单项工程汇总表、投标报价汇总表）。</w:t>
      </w:r>
    </w:p>
    <w:p>
      <w:pPr>
        <w:pStyle w:val="24"/>
        <w:snapToGrid w:val="0"/>
        <w:spacing w:line="360" w:lineRule="auto"/>
        <w:ind w:firstLine="560" w:firstLineChars="200"/>
        <w:rPr>
          <w:rFonts w:hAnsi="宋体" w:eastAsia="宋体"/>
          <w:sz w:val="28"/>
          <w:szCs w:val="28"/>
          <w:lang w:val="zh-CN"/>
        </w:rPr>
      </w:pPr>
      <w:r>
        <w:rPr>
          <w:rFonts w:hint="eastAsia" w:hAnsi="宋体" w:eastAsia="宋体" w:cs="仿宋"/>
          <w:sz w:val="28"/>
          <w:szCs w:val="28"/>
          <w:lang w:val="zh-CN"/>
        </w:rPr>
        <w:t>修正后的报价经供应商确认后产生约束力，供应商不确认的，其施工响应文件作为无效处理。供应商需采取</w:t>
      </w:r>
      <w:r>
        <w:rPr>
          <w:rFonts w:hint="eastAsia" w:hAnsi="宋体"/>
          <w:sz w:val="28"/>
          <w:szCs w:val="28"/>
        </w:rPr>
        <w:t>加盖供应商（法定名称）电子签章</w:t>
      </w:r>
      <w:r>
        <w:rPr>
          <w:rFonts w:hint="eastAsia" w:hAnsi="宋体" w:eastAsia="宋体" w:cs="仿宋"/>
          <w:sz w:val="28"/>
          <w:szCs w:val="28"/>
          <w:lang w:val="zh-CN"/>
        </w:rPr>
        <w:t>）的方式对修正后的报价进行确认。</w:t>
      </w:r>
    </w:p>
    <w:p>
      <w:pPr>
        <w:pStyle w:val="24"/>
        <w:snapToGrid w:val="0"/>
        <w:spacing w:line="360" w:lineRule="auto"/>
        <w:ind w:firstLine="560" w:firstLineChars="200"/>
        <w:rPr>
          <w:rFonts w:hAnsi="宋体" w:eastAsia="宋体"/>
          <w:sz w:val="28"/>
          <w:szCs w:val="28"/>
          <w:lang w:val="zh-CN"/>
        </w:rPr>
      </w:pPr>
      <w:r>
        <w:rPr>
          <w:rFonts w:hint="eastAsia" w:hAnsi="宋体" w:eastAsia="宋体" w:cs="仿宋"/>
          <w:sz w:val="28"/>
          <w:szCs w:val="28"/>
          <w:lang w:val="zh-CN"/>
        </w:rPr>
        <w:t>不得未经澄清、说明或者更正，直接将供应商施工响应文件作为无效处理。</w:t>
      </w:r>
    </w:p>
    <w:p>
      <w:pPr>
        <w:pStyle w:val="82"/>
        <w:widowControl w:val="0"/>
        <w:numPr>
          <w:ilvl w:val="0"/>
          <w:numId w:val="49"/>
        </w:numPr>
        <w:tabs>
          <w:tab w:val="left" w:pos="1134"/>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磋商小组对供应商已标价工程量清单的项目单价进行评审，对明显不合理的单价（如明显偏高或偏低）项目</w:t>
      </w:r>
      <w:r>
        <w:rPr>
          <w:rFonts w:ascii="宋体" w:hAnsi="宋体" w:eastAsia="宋体"/>
          <w:sz w:val="28"/>
          <w:szCs w:val="28"/>
        </w:rPr>
        <w:t>,</w:t>
      </w:r>
      <w:r>
        <w:rPr>
          <w:rFonts w:hint="eastAsia" w:ascii="宋体" w:hAnsi="宋体" w:eastAsia="宋体"/>
          <w:sz w:val="28"/>
          <w:szCs w:val="28"/>
        </w:rPr>
        <w:t>应在评审报告中记录，提醒采购人在签订合同时注意，并在合同履行过程中加强风险防范。</w:t>
      </w:r>
    </w:p>
    <w:p>
      <w:pPr>
        <w:pStyle w:val="24"/>
        <w:numPr>
          <w:ilvl w:val="0"/>
          <w:numId w:val="46"/>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pStyle w:val="24"/>
        <w:numPr>
          <w:ilvl w:val="0"/>
          <w:numId w:val="46"/>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磋商小组要求供应商澄清、说明或者更正施工响应文件应当以书面形式作出。供应商的澄清、说明或者更正</w:t>
      </w:r>
      <w:r>
        <w:rPr>
          <w:rFonts w:hint="eastAsia" w:hAnsi="宋体"/>
          <w:sz w:val="28"/>
          <w:szCs w:val="28"/>
        </w:rPr>
        <w:t>应加盖供应商（法定名称）电子签章</w:t>
      </w:r>
      <w:r>
        <w:rPr>
          <w:rFonts w:hint="eastAsia" w:hAnsi="宋体" w:eastAsia="宋体" w:cs="Times New Roman"/>
          <w:sz w:val="28"/>
          <w:szCs w:val="28"/>
        </w:rPr>
        <w:t>。</w:t>
      </w:r>
    </w:p>
    <w:p>
      <w:pPr>
        <w:pStyle w:val="24"/>
        <w:numPr>
          <w:ilvl w:val="0"/>
          <w:numId w:val="46"/>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磋商小组应当积极履行澄清、说明或者更正的职责，不得滥用权力。</w:t>
      </w:r>
    </w:p>
    <w:p>
      <w:pPr>
        <w:pStyle w:val="24"/>
        <w:numPr>
          <w:ilvl w:val="0"/>
          <w:numId w:val="46"/>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磋商小组在符合性审查过程中，磋商小组成员对供应商是否符合规定存在争议的，应当以少数服从多数的原则处理，但不违背政府采购法和磋商文件规定。</w:t>
      </w:r>
    </w:p>
    <w:p>
      <w:pPr>
        <w:pStyle w:val="24"/>
        <w:numPr>
          <w:ilvl w:val="0"/>
          <w:numId w:val="46"/>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供应商符合性审查标准（按以下顺序审查）：</w:t>
      </w:r>
    </w:p>
    <w:tbl>
      <w:tblPr>
        <w:tblStyle w:val="45"/>
        <w:tblW w:w="9072"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1"/>
        <w:gridCol w:w="3544"/>
        <w:gridCol w:w="3827"/>
        <w:gridCol w:w="8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b/>
              </w:rPr>
              <w:t>序号</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b/>
              </w:rPr>
              <w:t>审查内容</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b/>
              </w:rPr>
              <w:t>通过条件</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b/>
              </w:rPr>
              <w:t>结论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6"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ascii="宋体" w:hAnsi="宋体"/>
              </w:rPr>
              <w:t>1</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rPr>
              <w:t>磋商</w:t>
            </w:r>
            <w:r>
              <w:t>保证金</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t>无</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2"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rPr>
              <w:t>2</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rPr>
              <w:t>施工响应文件</w:t>
            </w:r>
            <w:r>
              <w:t>解密情况</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ascii="宋体" w:hAnsi="宋体"/>
              </w:rPr>
              <w:t>除因断电、断网、系统故障或其他不可抗力等因素，导致系统无法使用外，</w:t>
            </w:r>
            <w:r>
              <w:rPr>
                <w:rFonts w:hint="eastAsia"/>
              </w:rPr>
              <w:t>施工响应文件</w:t>
            </w:r>
            <w:r>
              <w:rPr>
                <w:rFonts w:hint="eastAsia" w:ascii="宋体" w:hAnsi="宋体"/>
              </w:rPr>
              <w:t>已成功解密。</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8"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rPr>
              <w:t>3</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rPr>
              <w:t>施工响应文件</w:t>
            </w:r>
            <w:r>
              <w:t>签章</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rPr>
              <w:t>施工响应文件加盖有供应商（法定名称）电子签章</w:t>
            </w:r>
            <w:r>
              <w:t>。</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4</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施工响应文件的组成</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szCs w:val="28"/>
              </w:rPr>
            </w:pPr>
            <w:r>
              <w:rPr>
                <w:rFonts w:hint="eastAsia" w:ascii="宋体" w:hAnsi="宋体"/>
                <w:szCs w:val="28"/>
              </w:rPr>
              <w:t>符合磋商文件</w:t>
            </w:r>
            <w:r>
              <w:rPr>
                <w:rFonts w:ascii="宋体" w:hAnsi="宋体"/>
                <w:szCs w:val="28"/>
              </w:rPr>
              <w:t>2.4.6的要求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szCs w:val="2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5</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szCs w:val="28"/>
              </w:rPr>
              <w:t>法定代表人身份证复印件或护照复印件</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szCs w:val="28"/>
              </w:rPr>
              <w:t>身份证复印件或护照复印件【注：法定代表人身份证复印件（身份证两面均应复印，在有效期内）或护照复印件（法定代表人为外籍人士的，按此提供）。】。</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6</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施工响应文件有效期、计量单位、语言、报价货币、知识产权</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有效期、计量单位、语言、报价货币、知识产权满足磋商文件要求。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7</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施工响应文件对磋商文件规定的实质性要求和采购项目最低要求的响应情况</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符合磋商文件规定的实质性要求和采购项目最低要求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8</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已标价工程量清单</w:t>
            </w:r>
          </w:p>
        </w:tc>
        <w:tc>
          <w:tcPr>
            <w:tcW w:w="3827" w:type="dxa"/>
            <w:tcBorders>
              <w:top w:val="single" w:color="auto" w:sz="4" w:space="0"/>
              <w:left w:val="single" w:color="auto" w:sz="4" w:space="0"/>
              <w:bottom w:val="single" w:color="auto" w:sz="4" w:space="0"/>
              <w:right w:val="single" w:color="auto" w:sz="4" w:space="0"/>
            </w:tcBorders>
            <w:vAlign w:val="center"/>
          </w:tcPr>
          <w:p>
            <w:pPr>
              <w:pStyle w:val="82"/>
              <w:numPr>
                <w:ilvl w:val="0"/>
                <w:numId w:val="50"/>
              </w:numPr>
              <w:tabs>
                <w:tab w:val="left" w:pos="742"/>
              </w:tabs>
              <w:snapToGrid w:val="0"/>
              <w:spacing w:line="360" w:lineRule="auto"/>
              <w:ind w:left="33" w:hanging="33" w:firstLineChars="0"/>
              <w:rPr>
                <w:rFonts w:ascii="宋体" w:hAnsi="宋体" w:eastAsia="宋体"/>
              </w:rPr>
            </w:pPr>
            <w:r>
              <w:rPr>
                <w:rFonts w:hint="eastAsia" w:ascii="宋体" w:hAnsi="宋体" w:eastAsia="宋体"/>
              </w:rPr>
              <w:t>供应商提交的首次施工响应文件中已标价工程量清单未出现磋商文件“供应商须知附表”中第７项规定情形；</w:t>
            </w:r>
          </w:p>
          <w:p>
            <w:pPr>
              <w:pStyle w:val="82"/>
              <w:numPr>
                <w:ilvl w:val="0"/>
                <w:numId w:val="50"/>
              </w:numPr>
              <w:tabs>
                <w:tab w:val="left" w:pos="742"/>
              </w:tabs>
              <w:snapToGrid w:val="0"/>
              <w:spacing w:line="360" w:lineRule="auto"/>
              <w:ind w:left="33" w:hanging="33" w:firstLineChars="0"/>
              <w:rPr>
                <w:rFonts w:ascii="宋体" w:hAnsi="宋体" w:eastAsia="宋体"/>
              </w:rPr>
            </w:pPr>
            <w:r>
              <w:rPr>
                <w:rFonts w:hint="eastAsia" w:ascii="宋体" w:hAnsi="宋体" w:eastAsia="宋体"/>
              </w:rPr>
              <w:t>供应商提交的首次施工响应文件中供应商已标价工程量清单符合磋商文件2.4.3报价货币及报价要求。</w:t>
            </w:r>
          </w:p>
          <w:p>
            <w:pPr>
              <w:pStyle w:val="82"/>
              <w:numPr>
                <w:ilvl w:val="0"/>
                <w:numId w:val="50"/>
              </w:numPr>
              <w:tabs>
                <w:tab w:val="left" w:pos="742"/>
              </w:tabs>
              <w:snapToGrid w:val="0"/>
              <w:spacing w:line="360" w:lineRule="auto"/>
              <w:ind w:left="33" w:hanging="33" w:firstLineChars="0"/>
              <w:rPr>
                <w:rFonts w:ascii="宋体" w:hAnsi="宋体" w:eastAsia="宋体"/>
              </w:rPr>
            </w:pPr>
            <w:r>
              <w:rPr>
                <w:rFonts w:hint="eastAsia" w:ascii="宋体" w:hAnsi="宋体" w:eastAsia="宋体"/>
              </w:rPr>
              <w:t>磋商小组对供应商已标价工程量清单进行算术性复核时，如需进行修正的，供应商按磋商文件要求确认修正后的报价。</w:t>
            </w:r>
          </w:p>
          <w:p>
            <w:pPr>
              <w:pStyle w:val="82"/>
              <w:tabs>
                <w:tab w:val="left" w:pos="742"/>
              </w:tabs>
              <w:snapToGrid w:val="0"/>
              <w:spacing w:line="360" w:lineRule="auto"/>
              <w:ind w:left="33" w:firstLine="0" w:firstLineChars="0"/>
              <w:rPr>
                <w:rFonts w:ascii="宋体" w:hAnsi="宋体" w:eastAsia="宋体"/>
              </w:rPr>
            </w:pPr>
            <w:r>
              <w:rPr>
                <w:rFonts w:hint="eastAsia" w:ascii="宋体" w:hAnsi="宋体"/>
                <w:szCs w:val="28"/>
              </w:rPr>
              <w:t>【说明：上传已标价</w:t>
            </w:r>
            <w:r>
              <w:rPr>
                <w:rFonts w:ascii="宋体" w:hAnsi="宋体"/>
                <w:szCs w:val="28"/>
              </w:rPr>
              <w:t>的工程量清单</w:t>
            </w:r>
            <w:r>
              <w:rPr>
                <w:rFonts w:hint="eastAsia" w:ascii="宋体" w:hAnsi="宋体"/>
                <w:szCs w:val="28"/>
              </w:rPr>
              <w:t>】</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p>
        </w:tc>
      </w:tr>
    </w:tbl>
    <w:p>
      <w:pPr>
        <w:pStyle w:val="82"/>
        <w:widowControl w:val="0"/>
        <w:numPr>
          <w:ilvl w:val="0"/>
          <w:numId w:val="51"/>
        </w:numPr>
        <w:tabs>
          <w:tab w:val="left" w:pos="1134"/>
          <w:tab w:val="left" w:pos="1276"/>
          <w:tab w:val="left" w:pos="1418"/>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以上每一项结论均为“通过”的，则供应商的施工响应文件通过符合性审查，才能允许其参加最后报价；如有任意一项结论为“不通过”的，则供应商的施工响应文件按无效施工响应文件处理，不允许其参加最后报价。如果磋商小组认为供应商有任意一项不通过的，应在评审报告中载明不通过的具体原因。</w:t>
      </w:r>
    </w:p>
    <w:p>
      <w:pPr>
        <w:pStyle w:val="82"/>
        <w:widowControl w:val="0"/>
        <w:numPr>
          <w:ilvl w:val="0"/>
          <w:numId w:val="51"/>
        </w:numPr>
        <w:tabs>
          <w:tab w:val="left" w:pos="1134"/>
          <w:tab w:val="left" w:pos="1276"/>
          <w:tab w:val="left" w:pos="1418"/>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磋商小组符合性审查结束后，应当出具符合性审查报告，确定参加最后报价的供应商名单。高新区采购中心将通过和未通过符合性审查的供应商名单以及未通过符合性审查的原因</w:t>
      </w:r>
      <w:r>
        <w:rPr>
          <w:rFonts w:hint="eastAsia" w:ascii="宋体" w:hAnsi="宋体"/>
          <w:sz w:val="28"/>
          <w:szCs w:val="28"/>
        </w:rPr>
        <w:t>（以短信、站内信、电话、“政府采购云平台”等任一方式）</w:t>
      </w:r>
      <w:r>
        <w:rPr>
          <w:rFonts w:hint="eastAsia" w:ascii="宋体" w:hAnsi="宋体" w:eastAsia="宋体"/>
          <w:sz w:val="28"/>
          <w:szCs w:val="28"/>
        </w:rPr>
        <w:t>通知所有递交施工响应文件的供应商，并书面通知未通过符合性审查的供应商。</w:t>
      </w:r>
    </w:p>
    <w:p>
      <w:pPr>
        <w:pStyle w:val="82"/>
        <w:widowControl w:val="0"/>
        <w:numPr>
          <w:ilvl w:val="0"/>
          <w:numId w:val="51"/>
        </w:numPr>
        <w:tabs>
          <w:tab w:val="left" w:pos="851"/>
          <w:tab w:val="left" w:pos="993"/>
          <w:tab w:val="left" w:pos="1134"/>
          <w:tab w:val="left" w:pos="1276"/>
          <w:tab w:val="left" w:pos="1418"/>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通过符合性审查的供应商不足三家的，本次采购活动终止，并发布终止竞争性磋商公告。</w:t>
      </w:r>
    </w:p>
    <w:p>
      <w:pPr>
        <w:pStyle w:val="24"/>
        <w:tabs>
          <w:tab w:val="left" w:pos="1134"/>
        </w:tabs>
        <w:snapToGrid w:val="0"/>
        <w:spacing w:line="360" w:lineRule="auto"/>
        <w:ind w:firstLine="565" w:firstLineChars="201"/>
        <w:rPr>
          <w:rFonts w:hAnsi="宋体" w:eastAsia="宋体"/>
          <w:b/>
          <w:sz w:val="28"/>
          <w:szCs w:val="28"/>
        </w:rPr>
      </w:pPr>
      <w:r>
        <w:rPr>
          <w:rFonts w:hint="eastAsia" w:hAnsi="宋体" w:eastAsia="宋体"/>
          <w:b/>
          <w:sz w:val="28"/>
          <w:szCs w:val="28"/>
        </w:rPr>
        <w:t>特别说明：磋商文件中要求提供复印件的证明材料的，包含原件的影印件或复印件。</w:t>
      </w:r>
    </w:p>
    <w:p>
      <w:pPr>
        <w:pStyle w:val="4"/>
        <w:numPr>
          <w:ilvl w:val="2"/>
          <w:numId w:val="1"/>
        </w:numPr>
        <w:tabs>
          <w:tab w:val="left" w:pos="993"/>
          <w:tab w:val="clear" w:pos="426"/>
          <w:tab w:val="clear" w:pos="567"/>
        </w:tabs>
      </w:pPr>
      <w:bookmarkStart w:id="102" w:name="_Toc19179"/>
      <w:bookmarkStart w:id="103" w:name="_Toc63437912"/>
      <w:bookmarkStart w:id="104" w:name="_Toc63084326"/>
      <w:r>
        <w:rPr>
          <w:rFonts w:hint="eastAsia"/>
        </w:rPr>
        <w:t>最后报价审查</w:t>
      </w:r>
      <w:bookmarkEnd w:id="102"/>
      <w:bookmarkEnd w:id="103"/>
      <w:bookmarkEnd w:id="104"/>
    </w:p>
    <w:p>
      <w:pPr>
        <w:numPr>
          <w:ilvl w:val="0"/>
          <w:numId w:val="52"/>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磋商结束后，磋商小组应当要求所有实质性响应的供应商在规定时间内进行最后报价。磋商小组开启报价后，供应商应随时关注“政府采购云平台”站内信息或短信提醒，登录“政府采购云平台”，通过“开标大厅”进行报价。登录政府采购云平台(www.zcygov.cn)—我的工作台—项目采购—开标评标—开标大厅（找到对应项目）—报价，进行报价并签章后递交。报价时间截止后，系统统一公布报价。提示：供应商未按时登录不见面开标系统，未在报价截止时间内递交报价或未按要求进行报价的，视为供应商响应文件无效，由供应商自行承担不利后果。</w:t>
      </w:r>
    </w:p>
    <w:p>
      <w:pPr>
        <w:numPr>
          <w:ilvl w:val="0"/>
          <w:numId w:val="52"/>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已提交施工响应文件的供应商，在提交最后报价之前，可以根据磋商情况退出磋商，供应商的磋商保证金在成交结果公布后无息原路径退还。</w:t>
      </w:r>
    </w:p>
    <w:p>
      <w:pPr>
        <w:numPr>
          <w:ilvl w:val="0"/>
          <w:numId w:val="52"/>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供应商未按磋商小组要求在规定时间内提交最后报价的，视为其退出磋商。</w:t>
      </w:r>
    </w:p>
    <w:p>
      <w:pPr>
        <w:numPr>
          <w:ilvl w:val="0"/>
          <w:numId w:val="52"/>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最后报价一旦递交后，供应商不得以任何理由撤回。</w:t>
      </w:r>
    </w:p>
    <w:p>
      <w:pPr>
        <w:numPr>
          <w:ilvl w:val="0"/>
          <w:numId w:val="52"/>
        </w:numPr>
        <w:tabs>
          <w:tab w:val="left" w:pos="1134"/>
        </w:tabs>
        <w:snapToGrid w:val="0"/>
        <w:spacing w:after="200" w:line="360" w:lineRule="auto"/>
        <w:ind w:left="0" w:firstLine="560" w:firstLineChars="200"/>
        <w:rPr>
          <w:rFonts w:ascii="宋体" w:hAnsi="宋体"/>
          <w:sz w:val="28"/>
          <w:szCs w:val="28"/>
        </w:rPr>
      </w:pPr>
      <w:r>
        <w:rPr>
          <w:rFonts w:hint="eastAsia" w:ascii="宋体" w:hAnsi="宋体" w:cs="宋体"/>
          <w:sz w:val="28"/>
          <w:szCs w:val="28"/>
        </w:rPr>
        <w:t>供应商的最后报价由</w:t>
      </w:r>
      <w:r>
        <w:rPr>
          <w:rFonts w:hint="eastAsia" w:ascii="宋体" w:hAnsi="宋体"/>
          <w:sz w:val="28"/>
          <w:szCs w:val="28"/>
        </w:rPr>
        <w:t>磋商小组在“政府采购云平台”公布。</w:t>
      </w:r>
    </w:p>
    <w:p>
      <w:pPr>
        <w:numPr>
          <w:ilvl w:val="0"/>
          <w:numId w:val="52"/>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最后报价为有效报价应符合下列条件：</w:t>
      </w:r>
    </w:p>
    <w:p>
      <w:pPr>
        <w:numPr>
          <w:ilvl w:val="0"/>
          <w:numId w:val="53"/>
        </w:numPr>
        <w:tabs>
          <w:tab w:val="left" w:pos="-2127"/>
          <w:tab w:val="left" w:pos="1134"/>
        </w:tabs>
        <w:snapToGrid w:val="0"/>
        <w:spacing w:after="200" w:line="360" w:lineRule="auto"/>
        <w:ind w:left="0" w:firstLine="557"/>
        <w:jc w:val="both"/>
        <w:rPr>
          <w:rFonts w:ascii="宋体" w:hAnsi="宋体" w:cs="宋体"/>
          <w:sz w:val="28"/>
          <w:szCs w:val="28"/>
        </w:rPr>
      </w:pPr>
      <w:r>
        <w:rPr>
          <w:rFonts w:hint="eastAsia" w:ascii="宋体" w:hAnsi="宋体" w:cs="宋体"/>
          <w:sz w:val="28"/>
          <w:szCs w:val="28"/>
        </w:rPr>
        <w:t>供应商所提供的最后报价是在规定的时间内提交。</w:t>
      </w:r>
    </w:p>
    <w:p>
      <w:pPr>
        <w:numPr>
          <w:ilvl w:val="0"/>
          <w:numId w:val="53"/>
        </w:numPr>
        <w:tabs>
          <w:tab w:val="left" w:pos="-2127"/>
          <w:tab w:val="left" w:pos="1134"/>
        </w:tabs>
        <w:snapToGrid w:val="0"/>
        <w:spacing w:after="200" w:line="360" w:lineRule="auto"/>
        <w:ind w:left="0" w:firstLine="557"/>
        <w:jc w:val="both"/>
        <w:rPr>
          <w:rFonts w:ascii="宋体" w:hAnsi="宋体" w:cs="宋体"/>
          <w:sz w:val="28"/>
          <w:szCs w:val="28"/>
        </w:rPr>
      </w:pPr>
      <w:r>
        <w:rPr>
          <w:rFonts w:hint="eastAsia" w:ascii="宋体" w:hAnsi="宋体" w:cs="宋体"/>
          <w:sz w:val="28"/>
          <w:szCs w:val="28"/>
        </w:rPr>
        <w:t>供应商的最后报价应加盖供应商（法定名称）电子签章。</w:t>
      </w:r>
    </w:p>
    <w:p>
      <w:pPr>
        <w:numPr>
          <w:ilvl w:val="0"/>
          <w:numId w:val="53"/>
        </w:numPr>
        <w:tabs>
          <w:tab w:val="left" w:pos="-2127"/>
          <w:tab w:val="left" w:pos="1134"/>
        </w:tabs>
        <w:snapToGrid w:val="0"/>
        <w:spacing w:after="200" w:line="360" w:lineRule="auto"/>
        <w:ind w:left="0" w:firstLine="557"/>
        <w:jc w:val="both"/>
        <w:rPr>
          <w:rFonts w:ascii="宋体" w:hAnsi="宋体" w:cs="宋体"/>
          <w:sz w:val="28"/>
          <w:szCs w:val="28"/>
        </w:rPr>
      </w:pPr>
      <w:r>
        <w:rPr>
          <w:rFonts w:hint="eastAsia" w:ascii="宋体" w:hAnsi="宋体" w:cs="宋体"/>
          <w:sz w:val="28"/>
          <w:szCs w:val="28"/>
        </w:rPr>
        <w:t>供应商的最后报价符合磋商文件的要求。</w:t>
      </w:r>
    </w:p>
    <w:p>
      <w:pPr>
        <w:numPr>
          <w:ilvl w:val="0"/>
          <w:numId w:val="53"/>
        </w:numPr>
        <w:tabs>
          <w:tab w:val="left" w:pos="-2127"/>
          <w:tab w:val="left" w:pos="1134"/>
        </w:tabs>
        <w:snapToGrid w:val="0"/>
        <w:spacing w:after="200" w:line="360" w:lineRule="auto"/>
        <w:ind w:left="0" w:firstLine="557"/>
        <w:jc w:val="both"/>
        <w:rPr>
          <w:rFonts w:ascii="宋体" w:hAnsi="宋体" w:cs="宋体"/>
          <w:sz w:val="28"/>
          <w:szCs w:val="28"/>
        </w:rPr>
      </w:pPr>
      <w:r>
        <w:rPr>
          <w:rFonts w:hint="eastAsia" w:ascii="宋体" w:hAnsi="宋体" w:cs="宋体"/>
          <w:sz w:val="28"/>
          <w:szCs w:val="28"/>
        </w:rPr>
        <w:t>最后报价唯一，且不高于最高限价。</w:t>
      </w:r>
    </w:p>
    <w:p>
      <w:pPr>
        <w:numPr>
          <w:ilvl w:val="0"/>
          <w:numId w:val="52"/>
        </w:numPr>
        <w:tabs>
          <w:tab w:val="left" w:pos="-2127"/>
          <w:tab w:val="left" w:pos="1134"/>
        </w:tabs>
        <w:snapToGrid w:val="0"/>
        <w:spacing w:line="360" w:lineRule="auto"/>
        <w:ind w:left="0" w:firstLine="560" w:firstLineChars="200"/>
        <w:rPr>
          <w:rFonts w:ascii="宋体" w:hAnsi="宋体"/>
          <w:sz w:val="28"/>
          <w:szCs w:val="28"/>
        </w:rPr>
      </w:pPr>
      <w:r>
        <w:rPr>
          <w:rFonts w:hint="eastAsia" w:ascii="宋体" w:hAnsi="宋体" w:cs="宋体"/>
          <w:sz w:val="28"/>
          <w:szCs w:val="28"/>
        </w:rPr>
        <w:t>在未提高施工响应文件中承诺的工程实质</w:t>
      </w:r>
      <w:r>
        <w:rPr>
          <w:rFonts w:ascii="宋体" w:hAnsi="宋体" w:cs="宋体"/>
          <w:sz w:val="28"/>
          <w:szCs w:val="28"/>
        </w:rPr>
        <w:t>性要求</w:t>
      </w:r>
      <w:r>
        <w:rPr>
          <w:rFonts w:hint="eastAsia" w:ascii="宋体" w:hAnsi="宋体" w:cs="宋体"/>
          <w:sz w:val="28"/>
          <w:szCs w:val="28"/>
        </w:rPr>
        <w:t>的情况下，最后报价不得高于对该项目之前的报价（</w:t>
      </w:r>
      <w:r>
        <w:rPr>
          <w:rFonts w:hint="eastAsia" w:hAnsi="宋体"/>
          <w:sz w:val="28"/>
          <w:szCs w:val="28"/>
        </w:rPr>
        <w:t>首次施工响应文件中的报价以已标价工程量清单</w:t>
      </w:r>
      <w:r>
        <w:rPr>
          <w:rFonts w:hint="eastAsia" w:ascii="宋体" w:hAnsi="宋体" w:cs="宋体"/>
          <w:sz w:val="28"/>
          <w:szCs w:val="28"/>
        </w:rPr>
        <w:t>为准），否则，磋商小组应当对其施工响应文件按无效处理。磋商小组根据磋商文件中规定认</w:t>
      </w:r>
      <w:r>
        <w:rPr>
          <w:rFonts w:ascii="宋体" w:hAnsi="宋体" w:cs="宋体"/>
          <w:sz w:val="28"/>
          <w:szCs w:val="28"/>
        </w:rPr>
        <w:t>为</w:t>
      </w:r>
      <w:r>
        <w:rPr>
          <w:rFonts w:hint="eastAsia" w:ascii="宋体" w:hAnsi="宋体" w:cs="宋体"/>
          <w:sz w:val="28"/>
          <w:szCs w:val="28"/>
        </w:rPr>
        <w:t>供应商最后报价低于成本价，在磋商小组发出质询函后供应商未能提供合理的成本分析和价格构成的或对质函询的解释未被磋商小组采信的，应按照无效施工响应文件处理</w:t>
      </w:r>
      <w:r>
        <w:rPr>
          <w:rFonts w:ascii="宋体" w:hAnsi="宋体" w:cs="宋体"/>
          <w:sz w:val="28"/>
          <w:szCs w:val="28"/>
        </w:rPr>
        <w:t>。</w:t>
      </w:r>
    </w:p>
    <w:p>
      <w:pPr>
        <w:numPr>
          <w:ilvl w:val="0"/>
          <w:numId w:val="52"/>
        </w:numPr>
        <w:tabs>
          <w:tab w:val="left" w:pos="-2127"/>
          <w:tab w:val="left" w:pos="1134"/>
        </w:tabs>
        <w:snapToGrid w:val="0"/>
        <w:spacing w:line="360" w:lineRule="auto"/>
        <w:ind w:left="0" w:firstLine="560" w:firstLineChars="200"/>
        <w:rPr>
          <w:rFonts w:ascii="宋体" w:hAnsi="宋体"/>
          <w:sz w:val="28"/>
          <w:szCs w:val="28"/>
        </w:rPr>
      </w:pPr>
      <w:r>
        <w:rPr>
          <w:rFonts w:hint="eastAsia" w:ascii="宋体" w:hAnsi="宋体"/>
          <w:sz w:val="28"/>
          <w:szCs w:val="28"/>
        </w:rPr>
        <w:t>最后报价出现下列情况的，不需要供应商澄清，按以下原则处理：</w:t>
      </w:r>
    </w:p>
    <w:p>
      <w:pPr>
        <w:pStyle w:val="209"/>
        <w:numPr>
          <w:ilvl w:val="0"/>
          <w:numId w:val="54"/>
        </w:numPr>
        <w:tabs>
          <w:tab w:val="left" w:pos="1134"/>
          <w:tab w:val="clear" w:pos="846"/>
        </w:tabs>
        <w:snapToGrid w:val="0"/>
        <w:spacing w:line="360" w:lineRule="auto"/>
        <w:ind w:left="0" w:firstLine="567" w:firstLineChars="0"/>
        <w:rPr>
          <w:rFonts w:ascii="宋体" w:hAnsi="宋体" w:eastAsia="宋体"/>
          <w:sz w:val="28"/>
          <w:szCs w:val="28"/>
        </w:rPr>
      </w:pPr>
      <w:r>
        <w:rPr>
          <w:rFonts w:hint="eastAsia" w:ascii="宋体" w:hAnsi="宋体" w:eastAsia="宋体"/>
          <w:sz w:val="28"/>
          <w:szCs w:val="28"/>
        </w:rPr>
        <w:t>最后报价中的大写金额和小写金额不一致的，以大写金额为准，但大写金额出现文字错误，导致金额无法判断的除外；</w:t>
      </w:r>
    </w:p>
    <w:p>
      <w:pPr>
        <w:pStyle w:val="209"/>
        <w:numPr>
          <w:ilvl w:val="0"/>
          <w:numId w:val="54"/>
        </w:numPr>
        <w:tabs>
          <w:tab w:val="left" w:pos="1134"/>
          <w:tab w:val="clear" w:pos="846"/>
        </w:tabs>
        <w:snapToGrid w:val="0"/>
        <w:spacing w:line="360" w:lineRule="auto"/>
        <w:ind w:left="0" w:firstLine="525" w:firstLineChars="0"/>
        <w:rPr>
          <w:rFonts w:ascii="宋体" w:hAnsi="宋体" w:eastAsia="宋体"/>
          <w:sz w:val="28"/>
          <w:szCs w:val="28"/>
        </w:rPr>
      </w:pPr>
      <w:r>
        <w:rPr>
          <w:rFonts w:hint="eastAsia" w:ascii="宋体" w:hAnsi="宋体" w:eastAsia="宋体"/>
          <w:sz w:val="28"/>
          <w:szCs w:val="28"/>
        </w:rPr>
        <w:t>单价金额小数点或者百分比有明显错位的，应以总价为准，并修改单价；</w:t>
      </w:r>
    </w:p>
    <w:p>
      <w:pPr>
        <w:pStyle w:val="209"/>
        <w:numPr>
          <w:ilvl w:val="0"/>
          <w:numId w:val="54"/>
        </w:numPr>
        <w:tabs>
          <w:tab w:val="left" w:pos="1134"/>
          <w:tab w:val="clear" w:pos="846"/>
        </w:tabs>
        <w:snapToGrid w:val="0"/>
        <w:spacing w:line="360" w:lineRule="auto"/>
        <w:ind w:left="0" w:firstLine="525" w:firstLineChars="0"/>
        <w:rPr>
          <w:rFonts w:ascii="宋体" w:hAnsi="宋体" w:eastAsia="宋体"/>
          <w:sz w:val="28"/>
          <w:szCs w:val="28"/>
        </w:rPr>
      </w:pPr>
      <w:r>
        <w:rPr>
          <w:rFonts w:hint="eastAsia" w:ascii="宋体" w:hAnsi="宋体" w:eastAsia="宋体"/>
          <w:sz w:val="28"/>
          <w:szCs w:val="28"/>
        </w:rPr>
        <w:t>总价金额与按单价汇总金额不一致的，以单价汇总金额计算结果为准；</w:t>
      </w:r>
    </w:p>
    <w:p>
      <w:pPr>
        <w:snapToGrid w:val="0"/>
        <w:spacing w:line="360" w:lineRule="auto"/>
        <w:ind w:firstLine="560" w:firstLineChars="200"/>
      </w:pPr>
      <w:r>
        <w:rPr>
          <w:rFonts w:hint="eastAsia" w:cs="Arial"/>
          <w:sz w:val="28"/>
          <w:szCs w:val="28"/>
        </w:rPr>
        <w:t>同时出现两种以上不一致的，按照前款规定的顺序修正。修正后的</w:t>
      </w:r>
      <w:r>
        <w:rPr>
          <w:rFonts w:hint="eastAsia" w:ascii="宋体" w:hAnsi="宋体"/>
          <w:sz w:val="28"/>
          <w:szCs w:val="28"/>
        </w:rPr>
        <w:t>最后</w:t>
      </w:r>
      <w:r>
        <w:rPr>
          <w:rFonts w:hint="eastAsia" w:cs="Arial"/>
          <w:sz w:val="28"/>
          <w:szCs w:val="28"/>
        </w:rPr>
        <w:t>报价经加盖供应商（法定名称）电子签章后产生约束力，供应商不确认的，其</w:t>
      </w:r>
      <w:r>
        <w:rPr>
          <w:rFonts w:hint="eastAsia" w:ascii="宋体" w:hAnsi="宋体"/>
          <w:sz w:val="28"/>
          <w:szCs w:val="28"/>
        </w:rPr>
        <w:t>最后</w:t>
      </w:r>
      <w:r>
        <w:rPr>
          <w:rFonts w:hint="eastAsia" w:cs="Arial"/>
          <w:sz w:val="28"/>
          <w:szCs w:val="28"/>
        </w:rPr>
        <w:t>报价无效。</w:t>
      </w:r>
    </w:p>
    <w:p>
      <w:pPr>
        <w:snapToGrid w:val="0"/>
        <w:spacing w:line="360" w:lineRule="auto"/>
        <w:ind w:firstLine="560" w:firstLineChars="200"/>
        <w:rPr>
          <w:rFonts w:cs="Arial"/>
          <w:sz w:val="28"/>
          <w:szCs w:val="28"/>
        </w:rPr>
      </w:pPr>
      <w:r>
        <w:rPr>
          <w:rFonts w:hint="eastAsia" w:cs="Arial"/>
          <w:sz w:val="28"/>
          <w:szCs w:val="28"/>
        </w:rPr>
        <w:t>对不同语言文本施工响应文件的解释发生异议的，以中文文本为准。</w:t>
      </w:r>
    </w:p>
    <w:p>
      <w:pPr>
        <w:numPr>
          <w:ilvl w:val="0"/>
          <w:numId w:val="52"/>
        </w:numPr>
        <w:tabs>
          <w:tab w:val="left" w:pos="1134"/>
        </w:tabs>
        <w:snapToGrid w:val="0"/>
        <w:spacing w:line="360" w:lineRule="auto"/>
        <w:ind w:left="0" w:firstLine="560" w:firstLineChars="200"/>
        <w:rPr>
          <w:rFonts w:ascii="宋体" w:hAnsi="宋体"/>
          <w:sz w:val="28"/>
          <w:szCs w:val="28"/>
        </w:rPr>
      </w:pPr>
      <w:r>
        <w:rPr>
          <w:rFonts w:hint="eastAsia" w:ascii="宋体" w:hAnsi="宋体"/>
          <w:sz w:val="28"/>
          <w:szCs w:val="28"/>
        </w:rPr>
        <w:t>价格扣除</w:t>
      </w:r>
    </w:p>
    <w:p>
      <w:pPr>
        <w:pStyle w:val="209"/>
        <w:tabs>
          <w:tab w:val="left" w:pos="846"/>
          <w:tab w:val="left" w:pos="1276"/>
        </w:tabs>
        <w:snapToGrid w:val="0"/>
        <w:spacing w:line="360" w:lineRule="auto"/>
        <w:ind w:left="567" w:firstLine="0" w:firstLineChars="0"/>
        <w:rPr>
          <w:rFonts w:ascii="宋体" w:hAnsi="宋体" w:eastAsia="宋体"/>
          <w:sz w:val="28"/>
          <w:szCs w:val="28"/>
        </w:rPr>
      </w:pPr>
      <w:r>
        <w:rPr>
          <w:rFonts w:hint="eastAsia" w:ascii="宋体" w:hAnsi="宋体" w:eastAsia="宋体"/>
          <w:sz w:val="28"/>
          <w:szCs w:val="28"/>
        </w:rPr>
        <w:t>本项目专门面向中小</w:t>
      </w:r>
      <w:r>
        <w:rPr>
          <w:rFonts w:ascii="宋体" w:hAnsi="宋体" w:eastAsia="宋体"/>
          <w:sz w:val="28"/>
          <w:szCs w:val="28"/>
        </w:rPr>
        <w:t>企业，不进行价格扣除</w:t>
      </w:r>
      <w:r>
        <w:rPr>
          <w:rFonts w:hint="eastAsia" w:ascii="宋体" w:hAnsi="宋体" w:eastAsia="宋体"/>
          <w:sz w:val="28"/>
          <w:szCs w:val="28"/>
        </w:rPr>
        <w:t>。</w:t>
      </w:r>
    </w:p>
    <w:p>
      <w:pPr>
        <w:numPr>
          <w:ilvl w:val="0"/>
          <w:numId w:val="52"/>
        </w:numPr>
        <w:tabs>
          <w:tab w:val="left" w:pos="-2127"/>
          <w:tab w:val="left" w:pos="1134"/>
        </w:tabs>
        <w:snapToGrid w:val="0"/>
        <w:spacing w:line="360" w:lineRule="auto"/>
        <w:ind w:left="0" w:firstLine="560" w:firstLineChars="200"/>
        <w:rPr>
          <w:rFonts w:ascii="宋体" w:hAnsi="宋体"/>
          <w:sz w:val="28"/>
          <w:szCs w:val="28"/>
        </w:rPr>
      </w:pPr>
      <w:r>
        <w:rPr>
          <w:rFonts w:hint="eastAsia" w:ascii="宋体" w:hAnsi="宋体"/>
          <w:sz w:val="28"/>
          <w:szCs w:val="28"/>
        </w:rPr>
        <w:t>有效最后报价的供应商不足三家，采购失败。</w:t>
      </w:r>
    </w:p>
    <w:p>
      <w:pPr>
        <w:pStyle w:val="4"/>
        <w:numPr>
          <w:ilvl w:val="2"/>
          <w:numId w:val="1"/>
        </w:numPr>
        <w:tabs>
          <w:tab w:val="left" w:pos="993"/>
          <w:tab w:val="clear" w:pos="426"/>
          <w:tab w:val="clear" w:pos="567"/>
        </w:tabs>
      </w:pPr>
      <w:bookmarkStart w:id="105" w:name="_Toc8929"/>
      <w:bookmarkStart w:id="106" w:name="_Toc63437913"/>
      <w:bookmarkStart w:id="107" w:name="_Toc63084327"/>
      <w:r>
        <w:rPr>
          <w:rFonts w:hint="eastAsia"/>
        </w:rPr>
        <w:t>解释、澄清、说明的有关问题</w:t>
      </w:r>
      <w:bookmarkEnd w:id="105"/>
      <w:bookmarkEnd w:id="106"/>
      <w:bookmarkEnd w:id="107"/>
    </w:p>
    <w:p>
      <w:pPr>
        <w:widowControl w:val="0"/>
        <w:numPr>
          <w:ilvl w:val="0"/>
          <w:numId w:val="55"/>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评审过程中，磋商小组认为磋商文件有关事项表述不明确或需要说明的，可以提请高新区采购中心书面解释。高新区采购中心的解释不得改变磋商文件的原义或者影响公平、公正，解释事项如果涉及供应商权益的以有利于供应商的原则进行解释。</w:t>
      </w:r>
    </w:p>
    <w:p>
      <w:pPr>
        <w:widowControl w:val="0"/>
        <w:numPr>
          <w:ilvl w:val="0"/>
          <w:numId w:val="55"/>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tabs>
          <w:tab w:val="left" w:pos="851"/>
        </w:tabs>
        <w:spacing w:line="360" w:lineRule="auto"/>
        <w:ind w:firstLine="568" w:firstLineChars="202"/>
        <w:rPr>
          <w:rFonts w:ascii="宋体" w:hAnsi="宋体"/>
          <w:b/>
          <w:sz w:val="28"/>
          <w:szCs w:val="28"/>
        </w:rPr>
      </w:pPr>
      <w:r>
        <w:rPr>
          <w:rFonts w:hint="eastAsia" w:ascii="宋体" w:hAnsi="宋体"/>
          <w:b/>
          <w:sz w:val="28"/>
          <w:szCs w:val="28"/>
        </w:rPr>
        <w:t>三、</w:t>
      </w:r>
      <w:r>
        <w:rPr>
          <w:rFonts w:ascii="宋体" w:hAnsi="宋体"/>
          <w:b/>
          <w:sz w:val="28"/>
          <w:szCs w:val="28"/>
        </w:rPr>
        <w:t>评审结束之前，供应商应随时关注系统提示，及时通过“政府采购云平台”在线响应磋商小组发出的澄清、说明或补正要求，签章并确认提交成功。逾时回复将不能提交，视为供应商自行放弃澄清、说明或补正，其损失由供应商承担。</w:t>
      </w:r>
    </w:p>
    <w:p>
      <w:pPr>
        <w:tabs>
          <w:tab w:val="left" w:pos="851"/>
        </w:tabs>
        <w:spacing w:line="360" w:lineRule="auto"/>
        <w:ind w:firstLine="568" w:firstLineChars="202"/>
        <w:rPr>
          <w:rFonts w:ascii="宋体" w:hAnsi="宋体"/>
          <w:b/>
          <w:sz w:val="28"/>
          <w:szCs w:val="28"/>
        </w:rPr>
      </w:pPr>
      <w:r>
        <w:rPr>
          <w:rFonts w:hint="eastAsia" w:ascii="宋体" w:hAnsi="宋体"/>
          <w:b/>
          <w:sz w:val="28"/>
          <w:szCs w:val="28"/>
        </w:rPr>
        <w:t>磋商小组应当积极履行澄清、说明或者更正的职责，不得滥用权力。</w:t>
      </w:r>
    </w:p>
    <w:p>
      <w:pPr>
        <w:pStyle w:val="4"/>
        <w:numPr>
          <w:ilvl w:val="2"/>
          <w:numId w:val="1"/>
        </w:numPr>
        <w:tabs>
          <w:tab w:val="left" w:pos="993"/>
          <w:tab w:val="clear" w:pos="426"/>
          <w:tab w:val="clear" w:pos="567"/>
        </w:tabs>
      </w:pPr>
      <w:bookmarkStart w:id="108" w:name="_Toc63084328"/>
      <w:bookmarkStart w:id="109" w:name="_Toc63437914"/>
      <w:bookmarkStart w:id="110" w:name="_Toc10386"/>
      <w:r>
        <w:rPr>
          <w:rFonts w:hint="eastAsia"/>
        </w:rPr>
        <w:t>比较与评价</w:t>
      </w:r>
      <w:bookmarkEnd w:id="108"/>
      <w:bookmarkEnd w:id="109"/>
      <w:bookmarkEnd w:id="110"/>
    </w:p>
    <w:p>
      <w:pPr>
        <w:spacing w:line="360" w:lineRule="auto"/>
        <w:ind w:firstLine="560" w:firstLineChars="200"/>
        <w:rPr>
          <w:rFonts w:ascii="宋体" w:hAnsi="宋体"/>
          <w:sz w:val="28"/>
          <w:szCs w:val="28"/>
        </w:rPr>
      </w:pPr>
      <w:r>
        <w:rPr>
          <w:rFonts w:hint="eastAsia" w:ascii="宋体" w:hAnsi="宋体"/>
          <w:sz w:val="28"/>
          <w:szCs w:val="28"/>
        </w:rPr>
        <w:t>由磋商小组采用综合评分法对提交最后报价的供应商的施工响应文件和最后报价进行综合评分，具体要求详见本章综合评分部分。</w:t>
      </w:r>
    </w:p>
    <w:p>
      <w:pPr>
        <w:pStyle w:val="4"/>
        <w:numPr>
          <w:ilvl w:val="2"/>
          <w:numId w:val="1"/>
        </w:numPr>
        <w:tabs>
          <w:tab w:val="left" w:pos="993"/>
          <w:tab w:val="clear" w:pos="426"/>
          <w:tab w:val="clear" w:pos="567"/>
        </w:tabs>
      </w:pPr>
      <w:bookmarkStart w:id="111" w:name="_Toc63437915"/>
      <w:bookmarkStart w:id="112" w:name="_Toc9393"/>
      <w:bookmarkStart w:id="113" w:name="_Toc63084329"/>
      <w:r>
        <w:rPr>
          <w:rFonts w:hint="eastAsia"/>
        </w:rPr>
        <w:t>磋商小组复核</w:t>
      </w:r>
      <w:bookmarkEnd w:id="111"/>
      <w:bookmarkEnd w:id="112"/>
      <w:bookmarkEnd w:id="113"/>
    </w:p>
    <w:p>
      <w:pPr>
        <w:widowControl w:val="0"/>
        <w:numPr>
          <w:ilvl w:val="0"/>
          <w:numId w:val="56"/>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评审结束后，磋商小组应当进行复核，特别要对拟推荐为成交候选供应商的、报价最低的、施工响应文件被认定为无效的进行重点复核。</w:t>
      </w:r>
    </w:p>
    <w:p>
      <w:pPr>
        <w:widowControl w:val="0"/>
        <w:numPr>
          <w:ilvl w:val="0"/>
          <w:numId w:val="56"/>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评审结果汇总完成后，磋商小组拟出具评审报告前，高新区采购中心应当组织2名以上的工作人员，在采购现场监督人员的监督之下，依据有关的法律制度和采购文件对评审结果进行复核，出具复核报告。</w:t>
      </w:r>
    </w:p>
    <w:p>
      <w:pPr>
        <w:widowControl w:val="0"/>
        <w:numPr>
          <w:ilvl w:val="0"/>
          <w:numId w:val="56"/>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评审结果汇总完成后，除下列情形外，任何人不得修改评审结果：</w:t>
      </w:r>
    </w:p>
    <w:p>
      <w:pPr>
        <w:pStyle w:val="82"/>
        <w:numPr>
          <w:ilvl w:val="0"/>
          <w:numId w:val="57"/>
        </w:numPr>
        <w:tabs>
          <w:tab w:val="left" w:pos="1418"/>
        </w:tabs>
        <w:spacing w:after="200" w:line="360" w:lineRule="auto"/>
        <w:ind w:left="0" w:firstLine="480" w:firstLineChars="0"/>
        <w:rPr>
          <w:rFonts w:ascii="宋体" w:hAnsi="宋体" w:eastAsia="宋体"/>
          <w:sz w:val="28"/>
          <w:szCs w:val="28"/>
        </w:rPr>
      </w:pPr>
      <w:r>
        <w:rPr>
          <w:rFonts w:hint="eastAsia" w:ascii="宋体" w:hAnsi="宋体" w:eastAsia="宋体"/>
          <w:sz w:val="28"/>
          <w:szCs w:val="28"/>
        </w:rPr>
        <w:t>分值汇总计算错误的；</w:t>
      </w:r>
    </w:p>
    <w:p>
      <w:pPr>
        <w:pStyle w:val="82"/>
        <w:numPr>
          <w:ilvl w:val="0"/>
          <w:numId w:val="57"/>
        </w:numPr>
        <w:tabs>
          <w:tab w:val="left" w:pos="1418"/>
        </w:tabs>
        <w:spacing w:after="200" w:line="360" w:lineRule="auto"/>
        <w:ind w:left="0" w:firstLine="480" w:firstLineChars="0"/>
        <w:rPr>
          <w:rFonts w:ascii="宋体" w:hAnsi="宋体" w:eastAsia="宋体"/>
          <w:sz w:val="28"/>
          <w:szCs w:val="28"/>
        </w:rPr>
      </w:pPr>
      <w:r>
        <w:rPr>
          <w:rFonts w:hint="eastAsia" w:ascii="宋体" w:hAnsi="宋体" w:eastAsia="宋体"/>
          <w:sz w:val="28"/>
          <w:szCs w:val="28"/>
        </w:rPr>
        <w:t>分项评分超出评分标准范围的；</w:t>
      </w:r>
    </w:p>
    <w:p>
      <w:pPr>
        <w:pStyle w:val="82"/>
        <w:numPr>
          <w:ilvl w:val="0"/>
          <w:numId w:val="57"/>
        </w:numPr>
        <w:tabs>
          <w:tab w:val="left" w:pos="1418"/>
        </w:tabs>
        <w:spacing w:after="200" w:line="360" w:lineRule="auto"/>
        <w:ind w:left="0" w:firstLine="480" w:firstLineChars="0"/>
        <w:rPr>
          <w:rFonts w:ascii="宋体" w:hAnsi="宋体" w:eastAsia="宋体"/>
          <w:sz w:val="28"/>
          <w:szCs w:val="28"/>
        </w:rPr>
      </w:pPr>
      <w:r>
        <w:rPr>
          <w:rFonts w:hint="eastAsia" w:ascii="宋体" w:hAnsi="宋体" w:eastAsia="宋体"/>
          <w:sz w:val="28"/>
          <w:szCs w:val="28"/>
        </w:rPr>
        <w:t>磋商小组成员对客观评审因素评分不一致的；</w:t>
      </w:r>
    </w:p>
    <w:p>
      <w:pPr>
        <w:pStyle w:val="82"/>
        <w:numPr>
          <w:ilvl w:val="0"/>
          <w:numId w:val="57"/>
        </w:numPr>
        <w:tabs>
          <w:tab w:val="left" w:pos="1418"/>
        </w:tabs>
        <w:spacing w:after="200" w:line="360" w:lineRule="auto"/>
        <w:ind w:left="0" w:firstLine="480" w:firstLineChars="0"/>
        <w:rPr>
          <w:rFonts w:ascii="宋体" w:hAnsi="宋体" w:eastAsia="宋体"/>
          <w:sz w:val="28"/>
          <w:szCs w:val="28"/>
        </w:rPr>
      </w:pPr>
      <w:r>
        <w:rPr>
          <w:rFonts w:hint="eastAsia" w:ascii="宋体" w:hAnsi="宋体" w:eastAsia="宋体"/>
          <w:sz w:val="28"/>
          <w:szCs w:val="28"/>
        </w:rPr>
        <w:t>经磋商小组认定评分畸高、畸低的。</w:t>
      </w:r>
    </w:p>
    <w:p>
      <w:pPr>
        <w:tabs>
          <w:tab w:val="left" w:pos="851"/>
        </w:tabs>
        <w:spacing w:line="360" w:lineRule="auto"/>
        <w:ind w:firstLine="560" w:firstLineChars="200"/>
        <w:rPr>
          <w:rFonts w:ascii="宋体" w:hAnsi="宋体"/>
          <w:sz w:val="28"/>
          <w:szCs w:val="28"/>
        </w:rPr>
      </w:pPr>
      <w:r>
        <w:rPr>
          <w:rFonts w:hint="eastAsia" w:ascii="宋体" w:hAnsi="宋体"/>
          <w:sz w:val="28"/>
          <w:szCs w:val="28"/>
        </w:rPr>
        <w:t>评审报告签署前，经复核发现存在以上情形之一的，磋商小组应当当场修改评审结果，并在评审报告中记载；评审报告签署后，采购人或者集中机构发现存在以上情形之一的，应当组织磋商小组会进行重新评审，重新评审改变评审结果的，书面报告本级财政部门。</w:t>
      </w:r>
    </w:p>
    <w:p>
      <w:pPr>
        <w:spacing w:line="360" w:lineRule="auto"/>
        <w:ind w:firstLine="565" w:firstLineChars="202"/>
      </w:pPr>
      <w:r>
        <w:rPr>
          <w:rFonts w:hint="eastAsia" w:ascii="宋体" w:hAnsi="宋体"/>
          <w:sz w:val="28"/>
          <w:szCs w:val="28"/>
        </w:rPr>
        <w:t>采购人、采购代理机构发现磋商小组未按照磋商文件规定的评审标准进行评审的，应当重新开展采购活动，并同时书面报告本级财政部门。</w:t>
      </w:r>
    </w:p>
    <w:p>
      <w:pPr>
        <w:pStyle w:val="4"/>
        <w:numPr>
          <w:ilvl w:val="2"/>
          <w:numId w:val="1"/>
        </w:numPr>
        <w:tabs>
          <w:tab w:val="left" w:pos="993"/>
          <w:tab w:val="clear" w:pos="426"/>
          <w:tab w:val="clear" w:pos="567"/>
        </w:tabs>
      </w:pPr>
      <w:bookmarkStart w:id="114" w:name="_Toc63084330"/>
      <w:bookmarkStart w:id="115" w:name="_Toc63437916"/>
      <w:bookmarkStart w:id="116" w:name="_Toc9968"/>
      <w:r>
        <w:rPr>
          <w:rFonts w:hint="eastAsia"/>
        </w:rPr>
        <w:t>推荐成交候选供应商</w:t>
      </w:r>
      <w:bookmarkEnd w:id="114"/>
      <w:bookmarkEnd w:id="115"/>
      <w:bookmarkEnd w:id="116"/>
    </w:p>
    <w:p>
      <w:pPr>
        <w:spacing w:line="360" w:lineRule="auto"/>
        <w:ind w:firstLine="560" w:firstLineChars="200"/>
        <w:rPr>
          <w:rFonts w:ascii="宋体" w:hAnsi="宋体"/>
          <w:sz w:val="28"/>
          <w:szCs w:val="28"/>
        </w:rPr>
      </w:pPr>
      <w:r>
        <w:rPr>
          <w:rFonts w:hint="eastAsia" w:ascii="宋体" w:hAnsi="宋体"/>
          <w:sz w:val="28"/>
          <w:szCs w:val="28"/>
        </w:rPr>
        <w:t>磋商小组应当根据综合评分情况，按照评审得分由高到低顺序推荐</w:t>
      </w:r>
      <w:r>
        <w:rPr>
          <w:rFonts w:ascii="宋体" w:hAnsi="宋体"/>
          <w:sz w:val="28"/>
          <w:szCs w:val="28"/>
        </w:rPr>
        <w:t>3</w:t>
      </w:r>
      <w:r>
        <w:rPr>
          <w:rFonts w:hint="eastAsia" w:ascii="宋体" w:hAnsi="宋体"/>
          <w:sz w:val="28"/>
          <w:szCs w:val="28"/>
        </w:rPr>
        <w:t>家以上成交候选供应商，并编写磋商报告。评审得分相同的，按照最后报价由低到高的顺序推荐。评审得分且最后报价相同的，按照技术指标优劣（得分高低）顺序推荐。评审得分且最后报价且技术指标得分均相同的，成交候选供应商并列，由采购人随机抽签确定成交供应商。</w:t>
      </w:r>
    </w:p>
    <w:p>
      <w:pPr>
        <w:pStyle w:val="4"/>
        <w:numPr>
          <w:ilvl w:val="2"/>
          <w:numId w:val="1"/>
        </w:numPr>
        <w:tabs>
          <w:tab w:val="left" w:pos="993"/>
          <w:tab w:val="clear" w:pos="426"/>
          <w:tab w:val="clear" w:pos="567"/>
        </w:tabs>
      </w:pPr>
      <w:bookmarkStart w:id="117" w:name="_Toc63084331"/>
      <w:bookmarkStart w:id="118" w:name="_Toc8657"/>
      <w:bookmarkStart w:id="119" w:name="_Toc63437917"/>
      <w:r>
        <w:rPr>
          <w:rFonts w:hint="eastAsia"/>
        </w:rPr>
        <w:t>编写磋商报告</w:t>
      </w:r>
      <w:bookmarkEnd w:id="117"/>
      <w:bookmarkEnd w:id="118"/>
      <w:bookmarkEnd w:id="119"/>
    </w:p>
    <w:p>
      <w:pPr>
        <w:spacing w:line="360" w:lineRule="auto"/>
        <w:ind w:firstLine="560" w:firstLineChars="200"/>
        <w:rPr>
          <w:rFonts w:ascii="宋体" w:hAnsi="宋体"/>
          <w:sz w:val="28"/>
          <w:szCs w:val="28"/>
        </w:rPr>
      </w:pPr>
      <w:r>
        <w:rPr>
          <w:rFonts w:hint="eastAsia" w:ascii="宋体" w:hAnsi="宋体"/>
          <w:sz w:val="28"/>
          <w:szCs w:val="28"/>
        </w:rPr>
        <w:t>磋商小组推荐成交候选供应商后，应向采购代理机构出具磋商报告。磋商报告应当包括以下主要内容：</w:t>
      </w:r>
    </w:p>
    <w:p>
      <w:pPr>
        <w:spacing w:line="360" w:lineRule="auto"/>
        <w:ind w:firstLine="560" w:firstLineChars="200"/>
        <w:rPr>
          <w:rFonts w:ascii="宋体" w:hAnsi="宋体"/>
          <w:sz w:val="28"/>
          <w:szCs w:val="28"/>
        </w:rPr>
      </w:pPr>
      <w:r>
        <w:rPr>
          <w:rFonts w:hint="eastAsia" w:ascii="宋体" w:hAnsi="宋体"/>
          <w:sz w:val="28"/>
          <w:szCs w:val="28"/>
        </w:rPr>
        <w:t>（1）邀请供应商参加采购活动的具体方式和相关情况；</w:t>
      </w:r>
    </w:p>
    <w:p>
      <w:pPr>
        <w:spacing w:line="360" w:lineRule="auto"/>
        <w:ind w:firstLine="560" w:firstLineChars="200"/>
        <w:rPr>
          <w:rFonts w:ascii="宋体" w:hAnsi="宋体"/>
          <w:sz w:val="28"/>
          <w:szCs w:val="28"/>
        </w:rPr>
      </w:pPr>
      <w:r>
        <w:rPr>
          <w:rFonts w:hint="eastAsia" w:ascii="宋体" w:hAnsi="宋体"/>
          <w:sz w:val="28"/>
          <w:szCs w:val="28"/>
        </w:rPr>
        <w:t>（2）施工响应文件开启日期和地点；</w:t>
      </w:r>
    </w:p>
    <w:p>
      <w:pPr>
        <w:spacing w:line="360" w:lineRule="auto"/>
        <w:ind w:firstLine="560" w:firstLineChars="200"/>
        <w:rPr>
          <w:rFonts w:ascii="宋体" w:hAnsi="宋体"/>
          <w:sz w:val="28"/>
          <w:szCs w:val="28"/>
        </w:rPr>
      </w:pPr>
      <w:r>
        <w:rPr>
          <w:rFonts w:hint="eastAsia" w:ascii="宋体" w:hAnsi="宋体"/>
          <w:sz w:val="28"/>
          <w:szCs w:val="28"/>
        </w:rPr>
        <w:t>（3）获取磋商文件的供应商名单和磋商小组成员名单；</w:t>
      </w:r>
    </w:p>
    <w:p>
      <w:pPr>
        <w:spacing w:line="360" w:lineRule="auto"/>
        <w:ind w:firstLine="560" w:firstLineChars="200"/>
        <w:rPr>
          <w:rFonts w:ascii="宋体" w:hAnsi="宋体"/>
          <w:sz w:val="28"/>
          <w:szCs w:val="28"/>
        </w:rPr>
      </w:pPr>
      <w:r>
        <w:rPr>
          <w:rFonts w:hint="eastAsia" w:ascii="宋体" w:hAnsi="宋体"/>
          <w:sz w:val="28"/>
          <w:szCs w:val="28"/>
        </w:rPr>
        <w:t>（4）评审情况记录和说明，包括对供应商的施工响应文件审查情况、磋商情况、报价情况等；</w:t>
      </w:r>
    </w:p>
    <w:p>
      <w:pPr>
        <w:spacing w:line="360" w:lineRule="auto"/>
        <w:ind w:firstLine="560" w:firstLineChars="200"/>
        <w:rPr>
          <w:rFonts w:ascii="宋体" w:hAnsi="宋体"/>
          <w:sz w:val="28"/>
          <w:szCs w:val="28"/>
        </w:rPr>
      </w:pPr>
      <w:r>
        <w:rPr>
          <w:rFonts w:hint="eastAsia" w:ascii="宋体" w:hAnsi="宋体"/>
          <w:sz w:val="28"/>
          <w:szCs w:val="28"/>
        </w:rPr>
        <w:t>（5）提出的成交候选供应商的排序名单及理由。</w:t>
      </w:r>
    </w:p>
    <w:p>
      <w:pPr>
        <w:spacing w:line="360" w:lineRule="auto"/>
        <w:ind w:firstLine="560" w:firstLineChars="200"/>
        <w:rPr>
          <w:rFonts w:ascii="宋体" w:hAnsi="宋体"/>
          <w:sz w:val="28"/>
          <w:szCs w:val="28"/>
        </w:rPr>
      </w:pPr>
      <w:r>
        <w:rPr>
          <w:rFonts w:hint="eastAsia" w:ascii="宋体" w:hAnsi="宋体"/>
          <w:sz w:val="28"/>
          <w:szCs w:val="28"/>
        </w:rPr>
        <w:t>磋商报告应当由磋商小组全体人员签字认可。磋商小组成员对磋商报告有异议的，磋商小组按照少数服从多数的原则推荐成交候选供应商，采购程序继续进行。对磋商报告有异议的磋商小组成员，应当在报告上签署不同意见并说明理由，由磋商小组书面记录相关情况。磋商小组成员拒绝在报告上签字又不书面说明其不同意见和理由的，视为同意磋商报告。</w:t>
      </w:r>
    </w:p>
    <w:p>
      <w:pPr>
        <w:pStyle w:val="4"/>
        <w:numPr>
          <w:ilvl w:val="2"/>
          <w:numId w:val="1"/>
        </w:numPr>
        <w:tabs>
          <w:tab w:val="left" w:pos="993"/>
          <w:tab w:val="clear" w:pos="426"/>
          <w:tab w:val="clear" w:pos="567"/>
        </w:tabs>
      </w:pPr>
      <w:bookmarkStart w:id="120" w:name="_Toc15358"/>
      <w:bookmarkStart w:id="121" w:name="_Toc63437918"/>
      <w:bookmarkStart w:id="122" w:name="_Toc63084332"/>
      <w:bookmarkStart w:id="123" w:name="_Toc54948232"/>
      <w:r>
        <w:rPr>
          <w:rFonts w:hint="eastAsia"/>
        </w:rPr>
        <w:t>争议处理规则</w:t>
      </w:r>
      <w:bookmarkEnd w:id="120"/>
      <w:bookmarkEnd w:id="121"/>
      <w:bookmarkEnd w:id="122"/>
      <w:bookmarkEnd w:id="123"/>
    </w:p>
    <w:p>
      <w:pPr>
        <w:spacing w:line="360" w:lineRule="auto"/>
        <w:ind w:firstLine="560" w:firstLineChars="200"/>
        <w:rPr>
          <w:rFonts w:ascii="宋体" w:hAnsi="宋体"/>
          <w:sz w:val="28"/>
          <w:szCs w:val="28"/>
        </w:rPr>
      </w:pPr>
      <w:r>
        <w:rPr>
          <w:rFonts w:hint="eastAsia" w:ascii="宋体" w:hAnsi="宋体"/>
          <w:sz w:val="28"/>
          <w:szCs w:val="28"/>
        </w:rPr>
        <w:t>磋商小组在评审过程中，对于符合性审查、对供应商文件做无效施工响应文件处理及其他需要共同认定的事项存在争议的，应当以少数服从多数的原则做出结论，但不得违背法律法规和磋商文件规定。</w:t>
      </w:r>
      <w:r>
        <w:rPr>
          <w:rFonts w:hint="eastAsia" w:cs="Arial"/>
          <w:sz w:val="28"/>
          <w:szCs w:val="28"/>
        </w:rPr>
        <w:t>持不同意见的磋商小组成员应当在评审报告上签署不同意见及理由，否则视为同意评审报告。</w:t>
      </w:r>
      <w:r>
        <w:rPr>
          <w:rFonts w:hint="eastAsia" w:ascii="宋体" w:hAnsi="宋体"/>
          <w:sz w:val="28"/>
          <w:szCs w:val="28"/>
        </w:rPr>
        <w:t>持不同意见的磋商小组成员认为认定过程和结果不符合法律法规或者磋商文件规定的，应当及时向高新区采购中心书面反映。高新区采购中心收到书面反映后，应当书面报告采购项目同级财政部门依法处理。</w:t>
      </w:r>
    </w:p>
    <w:p>
      <w:pPr>
        <w:pStyle w:val="4"/>
        <w:numPr>
          <w:ilvl w:val="2"/>
          <w:numId w:val="1"/>
        </w:numPr>
        <w:tabs>
          <w:tab w:val="left" w:pos="993"/>
          <w:tab w:val="clear" w:pos="426"/>
          <w:tab w:val="clear" w:pos="567"/>
        </w:tabs>
      </w:pPr>
      <w:bookmarkStart w:id="124" w:name="_Toc24058"/>
      <w:bookmarkStart w:id="125" w:name="_Toc63437919"/>
      <w:bookmarkStart w:id="126" w:name="_Toc63084333"/>
      <w:r>
        <w:rPr>
          <w:rFonts w:hint="eastAsia"/>
        </w:rPr>
        <w:t>供应商澄清、说明</w:t>
      </w:r>
      <w:bookmarkEnd w:id="124"/>
      <w:bookmarkEnd w:id="125"/>
      <w:bookmarkEnd w:id="126"/>
    </w:p>
    <w:p>
      <w:pPr>
        <w:widowControl w:val="0"/>
        <w:numPr>
          <w:ilvl w:val="0"/>
          <w:numId w:val="58"/>
        </w:numPr>
        <w:tabs>
          <w:tab w:val="left" w:pos="1134"/>
        </w:tabs>
        <w:spacing w:after="200" w:line="360" w:lineRule="auto"/>
        <w:ind w:left="0" w:firstLine="565" w:firstLineChars="202"/>
        <w:jc w:val="both"/>
        <w:rPr>
          <w:rFonts w:ascii="宋体" w:hAnsi="宋体"/>
          <w:sz w:val="28"/>
          <w:szCs w:val="28"/>
        </w:rPr>
      </w:pPr>
      <w:r>
        <w:rPr>
          <w:rFonts w:hint="eastAsia" w:ascii="宋体" w:hAnsi="宋体"/>
          <w:sz w:val="28"/>
          <w:szCs w:val="28"/>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widowControl w:val="0"/>
        <w:numPr>
          <w:ilvl w:val="0"/>
          <w:numId w:val="58"/>
        </w:numPr>
        <w:tabs>
          <w:tab w:val="left" w:pos="1134"/>
        </w:tabs>
        <w:spacing w:after="200" w:line="360" w:lineRule="auto"/>
        <w:ind w:left="0" w:firstLine="565" w:firstLineChars="202"/>
        <w:jc w:val="both"/>
        <w:rPr>
          <w:rFonts w:ascii="宋体" w:hAnsi="宋体"/>
          <w:sz w:val="28"/>
          <w:szCs w:val="28"/>
        </w:rPr>
      </w:pPr>
      <w:r>
        <w:rPr>
          <w:rFonts w:hint="eastAsia" w:ascii="宋体" w:hAnsi="宋体"/>
          <w:sz w:val="28"/>
          <w:szCs w:val="28"/>
        </w:rPr>
        <w:t>磋商小组要求供应商澄清、说明或者更正施工响应文件应当以书面形式作出。供应商的澄清、说明或者更正应加盖供应商（法定名称）电子签章。</w:t>
      </w:r>
    </w:p>
    <w:p>
      <w:pPr>
        <w:pStyle w:val="4"/>
        <w:numPr>
          <w:ilvl w:val="1"/>
          <w:numId w:val="59"/>
        </w:numPr>
        <w:spacing w:after="200"/>
        <w:ind w:left="1985" w:hanging="1985"/>
      </w:pPr>
      <w:bookmarkStart w:id="127" w:name="_Toc13231"/>
      <w:bookmarkStart w:id="128" w:name="_Toc54948233"/>
      <w:bookmarkStart w:id="129" w:name="_Toc63437920"/>
      <w:r>
        <w:rPr>
          <w:rFonts w:hint="eastAsia"/>
        </w:rPr>
        <w:t>评审办法和标准</w:t>
      </w:r>
      <w:bookmarkEnd w:id="127"/>
      <w:bookmarkEnd w:id="128"/>
      <w:bookmarkEnd w:id="129"/>
    </w:p>
    <w:p>
      <w:pPr>
        <w:pStyle w:val="24"/>
        <w:snapToGrid w:val="0"/>
        <w:spacing w:line="360" w:lineRule="auto"/>
        <w:ind w:firstLine="565" w:firstLineChars="202"/>
        <w:rPr>
          <w:rFonts w:hAnsi="宋体" w:eastAsia="宋体"/>
          <w:sz w:val="28"/>
          <w:szCs w:val="28"/>
        </w:rPr>
      </w:pPr>
      <w:r>
        <w:rPr>
          <w:rFonts w:hint="eastAsia" w:hAnsi="宋体" w:eastAsia="宋体"/>
          <w:sz w:val="28"/>
          <w:szCs w:val="28"/>
        </w:rPr>
        <w:t>一、由磋商小组根据磋商文件的要求采用相同的评审程序、评分办法及标准对提交最后报价的供应商的施工响应文件和最后报价进行综合评分；</w:t>
      </w:r>
    </w:p>
    <w:p>
      <w:pPr>
        <w:tabs>
          <w:tab w:val="left" w:pos="1155"/>
        </w:tabs>
        <w:spacing w:line="360" w:lineRule="auto"/>
        <w:ind w:firstLine="560" w:firstLineChars="200"/>
        <w:rPr>
          <w:rFonts w:ascii="宋体" w:hAnsi="宋体"/>
          <w:sz w:val="28"/>
          <w:szCs w:val="28"/>
        </w:rPr>
      </w:pPr>
      <w:r>
        <w:rPr>
          <w:rFonts w:hint="eastAsia" w:ascii="宋体" w:hAnsi="宋体"/>
          <w:sz w:val="28"/>
          <w:szCs w:val="28"/>
        </w:rPr>
        <w:t>二、本次综合评分的因素是：价格、技术等；</w:t>
      </w:r>
    </w:p>
    <w:p>
      <w:pPr>
        <w:tabs>
          <w:tab w:val="left" w:pos="1155"/>
        </w:tabs>
        <w:spacing w:line="360" w:lineRule="auto"/>
        <w:ind w:firstLine="560" w:firstLineChars="200"/>
      </w:pPr>
      <w:r>
        <w:rPr>
          <w:rFonts w:hint="eastAsia" w:ascii="宋体" w:hAnsi="宋体"/>
          <w:sz w:val="28"/>
          <w:szCs w:val="28"/>
        </w:rPr>
        <w:t>三、评审时，磋商小组各成员应当独立对每个有效响应的文件进行评价、打分，各位评委得分的算术平均数为供应商的最终得分，然后汇总每个供应商每项评分因素的得分。</w:t>
      </w:r>
    </w:p>
    <w:p>
      <w:pPr>
        <w:pStyle w:val="5"/>
        <w:numPr>
          <w:ilvl w:val="2"/>
          <w:numId w:val="59"/>
        </w:numPr>
        <w:spacing w:after="200"/>
        <w:ind w:left="1135" w:hanging="1135"/>
        <w:rPr>
          <w:color w:val="auto"/>
        </w:rPr>
      </w:pPr>
      <w:r>
        <w:rPr>
          <w:rFonts w:hint="eastAsia"/>
          <w:color w:val="auto"/>
        </w:rPr>
        <w:t>评分办法</w:t>
      </w:r>
    </w:p>
    <w:p>
      <w:pPr>
        <w:pStyle w:val="24"/>
        <w:snapToGrid w:val="0"/>
        <w:spacing w:line="360" w:lineRule="auto"/>
        <w:ind w:firstLine="560" w:firstLineChars="200"/>
        <w:rPr>
          <w:rFonts w:hAnsi="宋体" w:eastAsia="宋体"/>
          <w:sz w:val="28"/>
          <w:szCs w:val="28"/>
        </w:rPr>
      </w:pPr>
      <w:r>
        <w:rPr>
          <w:rFonts w:hint="eastAsia" w:hAnsi="宋体" w:eastAsia="宋体"/>
          <w:sz w:val="28"/>
          <w:szCs w:val="28"/>
        </w:rPr>
        <w:t>本次评审采用综合评分法，由磋商小组采用综合评分法对提交最后报价的供应商的施工响应文件和最后报价进行综合评分。综合评分法，是指施工响应文件满足磋商文件全部实质性要求且按评审因素的量化指标评审得分最高的供应商为成交候选供应商的评审方法。</w:t>
      </w:r>
    </w:p>
    <w:p>
      <w:pPr>
        <w:spacing w:line="360" w:lineRule="auto"/>
        <w:ind w:firstLine="630" w:firstLineChars="225"/>
        <w:rPr>
          <w:rFonts w:ascii="宋体" w:hAnsi="宋体"/>
          <w:sz w:val="28"/>
          <w:szCs w:val="28"/>
        </w:rPr>
      </w:pPr>
      <w:r>
        <w:rPr>
          <w:rFonts w:hint="eastAsia" w:ascii="宋体" w:hAnsi="宋体"/>
          <w:sz w:val="28"/>
          <w:szCs w:val="28"/>
        </w:rPr>
        <w:t>评审得分＝（A</w:t>
      </w:r>
      <w:r>
        <w:rPr>
          <w:rFonts w:hint="eastAsia" w:ascii="宋体" w:hAnsi="宋体"/>
          <w:sz w:val="28"/>
          <w:szCs w:val="28"/>
          <w:vertAlign w:val="subscript"/>
        </w:rPr>
        <w:t>1</w:t>
      </w:r>
      <w:r>
        <w:rPr>
          <w:rFonts w:hint="eastAsia" w:ascii="宋体" w:hAnsi="宋体"/>
          <w:sz w:val="28"/>
          <w:szCs w:val="28"/>
        </w:rPr>
        <w:t>＋A</w:t>
      </w:r>
      <w:r>
        <w:rPr>
          <w:rFonts w:hint="eastAsia" w:ascii="宋体" w:hAnsi="宋体"/>
          <w:sz w:val="28"/>
          <w:szCs w:val="28"/>
          <w:vertAlign w:val="subscript"/>
        </w:rPr>
        <w:t>2</w:t>
      </w:r>
      <w:r>
        <w:rPr>
          <w:rFonts w:hint="eastAsia" w:ascii="宋体" w:hAnsi="宋体"/>
          <w:sz w:val="28"/>
          <w:szCs w:val="28"/>
        </w:rPr>
        <w:t>＋……＋A</w:t>
      </w:r>
      <w:r>
        <w:rPr>
          <w:rFonts w:hint="eastAsia" w:ascii="宋体" w:hAnsi="宋体"/>
          <w:sz w:val="28"/>
          <w:szCs w:val="28"/>
          <w:vertAlign w:val="subscript"/>
        </w:rPr>
        <w:t>n</w:t>
      </w:r>
      <w:r>
        <w:rPr>
          <w:rFonts w:hint="eastAsia" w:ascii="宋体" w:hAnsi="宋体"/>
          <w:sz w:val="28"/>
          <w:szCs w:val="28"/>
        </w:rPr>
        <w:t>）/n</w:t>
      </w:r>
      <w:r>
        <w:rPr>
          <w:rFonts w:hint="eastAsia" w:ascii="宋体" w:hAnsi="宋体"/>
          <w:sz w:val="28"/>
          <w:szCs w:val="28"/>
          <w:vertAlign w:val="subscript"/>
        </w:rPr>
        <w:t>1</w:t>
      </w:r>
      <w:r>
        <w:rPr>
          <w:rFonts w:hint="eastAsia" w:ascii="宋体" w:hAnsi="宋体"/>
          <w:sz w:val="28"/>
          <w:szCs w:val="28"/>
        </w:rPr>
        <w:t>+（B</w:t>
      </w:r>
      <w:r>
        <w:rPr>
          <w:rFonts w:hint="eastAsia" w:ascii="宋体" w:hAnsi="宋体"/>
          <w:sz w:val="28"/>
          <w:szCs w:val="28"/>
          <w:vertAlign w:val="subscript"/>
        </w:rPr>
        <w:t>1</w:t>
      </w:r>
      <w:r>
        <w:rPr>
          <w:rFonts w:hint="eastAsia" w:ascii="宋体" w:hAnsi="宋体"/>
          <w:sz w:val="28"/>
          <w:szCs w:val="28"/>
        </w:rPr>
        <w:t>＋B</w:t>
      </w:r>
      <w:r>
        <w:rPr>
          <w:rFonts w:hint="eastAsia" w:ascii="宋体" w:hAnsi="宋体"/>
          <w:sz w:val="28"/>
          <w:szCs w:val="28"/>
          <w:vertAlign w:val="subscript"/>
        </w:rPr>
        <w:t>2</w:t>
      </w:r>
      <w:r>
        <w:rPr>
          <w:rFonts w:hint="eastAsia" w:ascii="宋体" w:hAnsi="宋体"/>
          <w:sz w:val="28"/>
          <w:szCs w:val="28"/>
        </w:rPr>
        <w:t>＋……＋B</w:t>
      </w:r>
      <w:r>
        <w:rPr>
          <w:rFonts w:hint="eastAsia" w:ascii="宋体" w:hAnsi="宋体"/>
          <w:sz w:val="28"/>
          <w:szCs w:val="28"/>
          <w:vertAlign w:val="subscript"/>
        </w:rPr>
        <w:t>n</w:t>
      </w:r>
      <w:r>
        <w:rPr>
          <w:rFonts w:hint="eastAsia" w:ascii="宋体" w:hAnsi="宋体"/>
          <w:sz w:val="28"/>
          <w:szCs w:val="28"/>
        </w:rPr>
        <w:t>）/ n</w:t>
      </w:r>
      <w:r>
        <w:rPr>
          <w:rFonts w:hint="eastAsia" w:ascii="宋体" w:hAnsi="宋体"/>
          <w:sz w:val="28"/>
          <w:szCs w:val="28"/>
          <w:vertAlign w:val="subscript"/>
        </w:rPr>
        <w:t>2</w:t>
      </w:r>
    </w:p>
    <w:p>
      <w:pPr>
        <w:spacing w:line="360" w:lineRule="auto"/>
        <w:ind w:firstLine="560" w:firstLineChars="200"/>
        <w:rPr>
          <w:rFonts w:ascii="宋体" w:hAnsi="宋体" w:cs="宋体"/>
          <w:sz w:val="28"/>
          <w:szCs w:val="28"/>
        </w:rPr>
      </w:pPr>
      <w:r>
        <w:rPr>
          <w:rFonts w:hint="eastAsia" w:ascii="宋体" w:hAnsi="宋体"/>
          <w:sz w:val="28"/>
          <w:szCs w:val="28"/>
        </w:rPr>
        <w:t>A</w:t>
      </w:r>
      <w:r>
        <w:rPr>
          <w:rFonts w:hint="eastAsia" w:ascii="宋体" w:hAnsi="宋体"/>
          <w:sz w:val="28"/>
          <w:szCs w:val="28"/>
          <w:vertAlign w:val="subscript"/>
        </w:rPr>
        <w:t>1</w:t>
      </w:r>
      <w:r>
        <w:rPr>
          <w:rFonts w:hint="eastAsia" w:ascii="宋体" w:hAnsi="宋体"/>
          <w:sz w:val="28"/>
          <w:szCs w:val="28"/>
        </w:rPr>
        <w:t>、A</w:t>
      </w:r>
      <w:r>
        <w:rPr>
          <w:rFonts w:hint="eastAsia" w:ascii="宋体" w:hAnsi="宋体"/>
          <w:sz w:val="28"/>
          <w:szCs w:val="28"/>
          <w:vertAlign w:val="subscript"/>
        </w:rPr>
        <w:t>2</w:t>
      </w:r>
      <w:r>
        <w:rPr>
          <w:rFonts w:hint="eastAsia" w:ascii="宋体" w:hAnsi="宋体"/>
          <w:sz w:val="28"/>
          <w:szCs w:val="28"/>
        </w:rPr>
        <w:t>……A</w:t>
      </w:r>
      <w:r>
        <w:rPr>
          <w:rFonts w:hint="eastAsia" w:ascii="宋体" w:hAnsi="宋体"/>
          <w:sz w:val="28"/>
          <w:szCs w:val="28"/>
          <w:vertAlign w:val="subscript"/>
        </w:rPr>
        <w:t>n</w:t>
      </w:r>
      <w:r>
        <w:rPr>
          <w:rFonts w:hint="eastAsia" w:ascii="宋体" w:hAnsi="宋体"/>
          <w:sz w:val="28"/>
          <w:szCs w:val="28"/>
        </w:rPr>
        <w:t>分别为磋商小组每个成员的打分，n</w:t>
      </w:r>
      <w:r>
        <w:rPr>
          <w:rFonts w:hint="eastAsia" w:ascii="宋体" w:hAnsi="宋体"/>
          <w:sz w:val="28"/>
          <w:szCs w:val="28"/>
          <w:vertAlign w:val="subscript"/>
        </w:rPr>
        <w:t>1</w:t>
      </w:r>
      <w:r>
        <w:rPr>
          <w:rFonts w:hint="eastAsia" w:ascii="宋体" w:hAnsi="宋体"/>
          <w:sz w:val="28"/>
          <w:szCs w:val="28"/>
        </w:rPr>
        <w:t>为磋商小组人数；B</w:t>
      </w:r>
      <w:r>
        <w:rPr>
          <w:rFonts w:hint="eastAsia" w:ascii="宋体" w:hAnsi="宋体"/>
          <w:sz w:val="28"/>
          <w:szCs w:val="28"/>
          <w:vertAlign w:val="subscript"/>
        </w:rPr>
        <w:t>1</w:t>
      </w:r>
      <w:r>
        <w:rPr>
          <w:rFonts w:hint="eastAsia" w:ascii="宋体" w:hAnsi="宋体"/>
          <w:sz w:val="28"/>
          <w:szCs w:val="28"/>
        </w:rPr>
        <w:t>、B</w:t>
      </w:r>
      <w:r>
        <w:rPr>
          <w:rFonts w:hint="eastAsia" w:ascii="宋体" w:hAnsi="宋体"/>
          <w:sz w:val="28"/>
          <w:szCs w:val="28"/>
          <w:vertAlign w:val="subscript"/>
        </w:rPr>
        <w:t>2</w:t>
      </w:r>
      <w:r>
        <w:rPr>
          <w:rFonts w:hint="eastAsia" w:ascii="宋体" w:hAnsi="宋体"/>
          <w:sz w:val="28"/>
          <w:szCs w:val="28"/>
        </w:rPr>
        <w:t>＋……B</w:t>
      </w:r>
      <w:r>
        <w:rPr>
          <w:rFonts w:hint="eastAsia" w:ascii="宋体" w:hAnsi="宋体"/>
          <w:sz w:val="28"/>
          <w:szCs w:val="28"/>
          <w:vertAlign w:val="subscript"/>
        </w:rPr>
        <w:t>n</w:t>
      </w:r>
      <w:r>
        <w:rPr>
          <w:rFonts w:hint="eastAsia" w:ascii="宋体" w:hAnsi="宋体"/>
          <w:sz w:val="28"/>
          <w:szCs w:val="28"/>
        </w:rPr>
        <w:t xml:space="preserve"> 分别为每个技术类评委（含采购人代表）的打分，n</w:t>
      </w:r>
      <w:r>
        <w:rPr>
          <w:rFonts w:hint="eastAsia" w:ascii="宋体" w:hAnsi="宋体"/>
          <w:sz w:val="28"/>
          <w:szCs w:val="28"/>
          <w:vertAlign w:val="subscript"/>
        </w:rPr>
        <w:t>2</w:t>
      </w:r>
      <w:r>
        <w:rPr>
          <w:rFonts w:hint="eastAsia" w:ascii="宋体" w:hAnsi="宋体"/>
          <w:sz w:val="28"/>
          <w:szCs w:val="28"/>
        </w:rPr>
        <w:t>为</w:t>
      </w:r>
      <w:r>
        <w:rPr>
          <w:rFonts w:hint="eastAsia" w:ascii="宋体" w:hAnsi="宋体" w:cs="宋体"/>
          <w:sz w:val="28"/>
          <w:szCs w:val="28"/>
        </w:rPr>
        <w:t>技术类</w:t>
      </w:r>
      <w:r>
        <w:rPr>
          <w:rFonts w:hint="eastAsia" w:ascii="宋体" w:hAnsi="宋体"/>
          <w:sz w:val="28"/>
          <w:szCs w:val="28"/>
        </w:rPr>
        <w:t>评委（含采购人代表）人数。</w:t>
      </w:r>
    </w:p>
    <w:p>
      <w:pPr>
        <w:pStyle w:val="5"/>
        <w:numPr>
          <w:ilvl w:val="2"/>
          <w:numId w:val="59"/>
        </w:numPr>
        <w:spacing w:after="200"/>
        <w:ind w:left="1135" w:hanging="1135"/>
        <w:rPr>
          <w:color w:val="auto"/>
        </w:rPr>
      </w:pPr>
      <w:r>
        <w:rPr>
          <w:rFonts w:hint="eastAsia"/>
          <w:color w:val="auto"/>
        </w:rPr>
        <w:t>评分标准</w:t>
      </w:r>
    </w:p>
    <w:tbl>
      <w:tblPr>
        <w:tblStyle w:val="45"/>
        <w:tblW w:w="89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6"/>
        <w:gridCol w:w="1279"/>
        <w:gridCol w:w="6302"/>
        <w:gridCol w:w="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536"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序号</w:t>
            </w:r>
          </w:p>
        </w:tc>
        <w:tc>
          <w:tcPr>
            <w:tcW w:w="1279"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评分</w:t>
            </w:r>
          </w:p>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因素</w:t>
            </w:r>
          </w:p>
        </w:tc>
        <w:tc>
          <w:tcPr>
            <w:tcW w:w="6302"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评分标准</w:t>
            </w:r>
          </w:p>
        </w:tc>
        <w:tc>
          <w:tcPr>
            <w:tcW w:w="824" w:type="dxa"/>
            <w:vAlign w:val="center"/>
          </w:tcPr>
          <w:p>
            <w:pPr>
              <w:tabs>
                <w:tab w:val="left" w:pos="0"/>
              </w:tabs>
              <w:spacing w:line="440" w:lineRule="exact"/>
              <w:jc w:val="center"/>
              <w:rPr>
                <w:rFonts w:ascii="宋体" w:hAnsi="宋体" w:cs="宋体"/>
                <w:sz w:val="28"/>
                <w:szCs w:val="28"/>
              </w:rPr>
            </w:pPr>
            <w:r>
              <w:rPr>
                <w:rFonts w:hint="eastAsia" w:ascii="宋体" w:hAnsi="宋体" w:cs="宋体"/>
                <w:sz w:val="28"/>
                <w:szCs w:val="28"/>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536"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1</w:t>
            </w:r>
          </w:p>
        </w:tc>
        <w:tc>
          <w:tcPr>
            <w:tcW w:w="1279"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报价</w:t>
            </w:r>
          </w:p>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（30）</w:t>
            </w:r>
          </w:p>
        </w:tc>
        <w:tc>
          <w:tcPr>
            <w:tcW w:w="6302" w:type="dxa"/>
            <w:vAlign w:val="center"/>
          </w:tcPr>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满足磋商文件要求且最后报价最低的供应商的价格为磋商基准价，其价格分为满分。其他供应商的价格分统一按照下列公式计算：</w:t>
            </w:r>
          </w:p>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磋商报价得分=（磋商基准价/最后磋商报价）×30。</w:t>
            </w:r>
          </w:p>
        </w:tc>
        <w:tc>
          <w:tcPr>
            <w:tcW w:w="824" w:type="dxa"/>
            <w:vAlign w:val="center"/>
          </w:tcPr>
          <w:p>
            <w:pPr>
              <w:pStyle w:val="319"/>
              <w:ind w:firstLine="0" w:firstLineChars="0"/>
              <w:jc w:val="center"/>
              <w:rPr>
                <w:rFonts w:cs="宋体"/>
                <w:sz w:val="28"/>
                <w:szCs w:val="28"/>
              </w:rPr>
            </w:pPr>
            <w:r>
              <w:rPr>
                <w:rFonts w:hint="eastAsia" w:cs="宋体"/>
                <w:sz w:val="28"/>
                <w:szCs w:val="28"/>
              </w:rPr>
              <w:t>共同</w:t>
            </w:r>
          </w:p>
          <w:p>
            <w:pPr>
              <w:pStyle w:val="319"/>
              <w:ind w:firstLine="0" w:firstLineChars="0"/>
              <w:jc w:val="center"/>
              <w:rPr>
                <w:rFonts w:cs="宋体"/>
                <w:sz w:val="28"/>
                <w:szCs w:val="28"/>
              </w:rPr>
            </w:pPr>
            <w:r>
              <w:rPr>
                <w:rFonts w:hint="eastAsia" w:cs="宋体"/>
                <w:sz w:val="28"/>
                <w:szCs w:val="28"/>
              </w:rPr>
              <w:t>评分</w:t>
            </w:r>
          </w:p>
          <w:p>
            <w:pPr>
              <w:tabs>
                <w:tab w:val="left" w:pos="0"/>
              </w:tabs>
              <w:spacing w:line="440" w:lineRule="exact"/>
              <w:jc w:val="center"/>
              <w:rPr>
                <w:rFonts w:ascii="宋体" w:hAnsi="宋体" w:cs="宋体"/>
                <w:sz w:val="28"/>
                <w:szCs w:val="28"/>
              </w:rPr>
            </w:pPr>
            <w:r>
              <w:rPr>
                <w:rFonts w:hint="eastAsia" w:ascii="宋体" w:hAnsi="宋体" w:cs="宋体"/>
                <w:sz w:val="28"/>
                <w:szCs w:val="28"/>
              </w:rPr>
              <w:t>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3" w:hRule="atLeast"/>
          <w:jc w:val="center"/>
        </w:trPr>
        <w:tc>
          <w:tcPr>
            <w:tcW w:w="536"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2</w:t>
            </w:r>
          </w:p>
        </w:tc>
        <w:tc>
          <w:tcPr>
            <w:tcW w:w="1279"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业绩</w:t>
            </w:r>
          </w:p>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（8）</w:t>
            </w:r>
          </w:p>
        </w:tc>
        <w:tc>
          <w:tcPr>
            <w:tcW w:w="6302" w:type="dxa"/>
            <w:vAlign w:val="center"/>
          </w:tcPr>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供应商2017年1月1日（含1日）以来具有一个已完成类似项目业绩的得2分，在此基础上每增加1个加1分，最多得8分。（提供施工合同复印件和竣工验收报告复印件。）</w:t>
            </w:r>
          </w:p>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类似项目是指：建筑工程建设或基础设施排危项目。</w:t>
            </w:r>
          </w:p>
        </w:tc>
        <w:tc>
          <w:tcPr>
            <w:tcW w:w="824" w:type="dxa"/>
            <w:vAlign w:val="center"/>
          </w:tcPr>
          <w:p>
            <w:pPr>
              <w:pStyle w:val="319"/>
              <w:ind w:firstLine="0" w:firstLineChars="0"/>
              <w:jc w:val="center"/>
              <w:rPr>
                <w:rFonts w:cs="宋体"/>
                <w:sz w:val="28"/>
                <w:szCs w:val="28"/>
              </w:rPr>
            </w:pPr>
            <w:r>
              <w:rPr>
                <w:rFonts w:hint="eastAsia" w:cs="宋体"/>
                <w:sz w:val="28"/>
                <w:szCs w:val="28"/>
              </w:rPr>
              <w:t>共同</w:t>
            </w:r>
          </w:p>
          <w:p>
            <w:pPr>
              <w:pStyle w:val="319"/>
              <w:ind w:firstLine="0" w:firstLineChars="0"/>
              <w:jc w:val="center"/>
              <w:rPr>
                <w:rFonts w:cs="宋体"/>
                <w:sz w:val="28"/>
                <w:szCs w:val="28"/>
              </w:rPr>
            </w:pPr>
            <w:r>
              <w:rPr>
                <w:rFonts w:hint="eastAsia" w:cs="宋体"/>
                <w:sz w:val="28"/>
                <w:szCs w:val="28"/>
              </w:rPr>
              <w:t>评分</w:t>
            </w:r>
          </w:p>
          <w:p>
            <w:pPr>
              <w:tabs>
                <w:tab w:val="left" w:pos="0"/>
              </w:tabs>
              <w:spacing w:line="440" w:lineRule="exact"/>
              <w:jc w:val="center"/>
              <w:rPr>
                <w:rFonts w:ascii="宋体" w:hAnsi="宋体" w:cs="宋体"/>
                <w:sz w:val="28"/>
                <w:szCs w:val="28"/>
              </w:rPr>
            </w:pPr>
            <w:r>
              <w:rPr>
                <w:rFonts w:hint="eastAsia" w:ascii="宋体" w:hAnsi="宋体" w:cs="宋体"/>
                <w:sz w:val="28"/>
                <w:szCs w:val="28"/>
              </w:rPr>
              <w:t>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536" w:type="dxa"/>
            <w:vAlign w:val="center"/>
          </w:tcPr>
          <w:p>
            <w:pPr>
              <w:tabs>
                <w:tab w:val="left" w:pos="0"/>
              </w:tabs>
              <w:overflowPunct w:val="0"/>
              <w:autoSpaceDE w:val="0"/>
              <w:autoSpaceDN w:val="0"/>
              <w:spacing w:line="440" w:lineRule="exact"/>
              <w:ind w:firstLine="140" w:firstLineChars="50"/>
              <w:jc w:val="center"/>
              <w:textAlignment w:val="baseline"/>
              <w:rPr>
                <w:rFonts w:ascii="宋体" w:hAnsi="宋体" w:cs="宋体"/>
                <w:sz w:val="28"/>
                <w:szCs w:val="28"/>
              </w:rPr>
            </w:pPr>
            <w:r>
              <w:rPr>
                <w:rFonts w:hint="eastAsia" w:ascii="宋体" w:hAnsi="宋体" w:cs="宋体"/>
                <w:sz w:val="28"/>
                <w:szCs w:val="28"/>
              </w:rPr>
              <w:t>3</w:t>
            </w:r>
          </w:p>
        </w:tc>
        <w:tc>
          <w:tcPr>
            <w:tcW w:w="1279"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施工组织设计</w:t>
            </w:r>
          </w:p>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（56）</w:t>
            </w:r>
          </w:p>
        </w:tc>
        <w:tc>
          <w:tcPr>
            <w:tcW w:w="6302" w:type="dxa"/>
            <w:vAlign w:val="center"/>
          </w:tcPr>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供应商提供的施工组织设计方案包含①施工进度计划、②质量保证措施、③安全保证措施、④资源配置计划、⑤环保文明措施、⑥应急预案、⑦施工工艺。前述7项内容，每缺少一项内容扣8分，每有一处内容错误（内容错误指：项目名称、实施地点、涉及的规范、标准与本项目要求不一致；进度计划超期）或不足的扣4分，扣完为止。</w:t>
            </w:r>
          </w:p>
        </w:tc>
        <w:tc>
          <w:tcPr>
            <w:tcW w:w="824" w:type="dxa"/>
            <w:vAlign w:val="center"/>
          </w:tcPr>
          <w:p>
            <w:pPr>
              <w:tabs>
                <w:tab w:val="left" w:pos="0"/>
              </w:tabs>
              <w:spacing w:line="440" w:lineRule="exact"/>
              <w:jc w:val="center"/>
              <w:rPr>
                <w:rFonts w:ascii="宋体" w:hAnsi="宋体" w:cs="宋体"/>
                <w:sz w:val="28"/>
                <w:szCs w:val="28"/>
              </w:rPr>
            </w:pPr>
            <w:r>
              <w:rPr>
                <w:rFonts w:hint="eastAsia" w:ascii="宋体" w:hAnsi="宋体" w:cs="宋体"/>
                <w:sz w:val="28"/>
                <w:szCs w:val="28"/>
              </w:rPr>
              <w:t>技术评分因素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536"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4</w:t>
            </w:r>
          </w:p>
        </w:tc>
        <w:tc>
          <w:tcPr>
            <w:tcW w:w="1279" w:type="dxa"/>
            <w:vAlign w:val="center"/>
          </w:tcPr>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优先采购节能、环境标志、无线局域</w:t>
            </w:r>
          </w:p>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网产品</w:t>
            </w:r>
          </w:p>
          <w:p>
            <w:pPr>
              <w:tabs>
                <w:tab w:val="left" w:pos="0"/>
              </w:tabs>
              <w:overflowPunct w:val="0"/>
              <w:autoSpaceDE w:val="0"/>
              <w:autoSpaceDN w:val="0"/>
              <w:spacing w:line="440" w:lineRule="exact"/>
              <w:jc w:val="center"/>
              <w:textAlignment w:val="baseline"/>
              <w:rPr>
                <w:rFonts w:ascii="宋体" w:hAnsi="宋体" w:cs="宋体"/>
                <w:sz w:val="28"/>
                <w:szCs w:val="28"/>
              </w:rPr>
            </w:pPr>
            <w:r>
              <w:rPr>
                <w:rFonts w:hint="eastAsia" w:ascii="宋体" w:hAnsi="宋体" w:cs="宋体"/>
                <w:sz w:val="28"/>
                <w:szCs w:val="28"/>
              </w:rPr>
              <w:t>（6分）</w:t>
            </w:r>
          </w:p>
        </w:tc>
        <w:tc>
          <w:tcPr>
            <w:tcW w:w="6302" w:type="dxa"/>
            <w:vAlign w:val="center"/>
          </w:tcPr>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供应商所响应的产品中每有一项属于节能产品政府采购品目清单中优先采购范围的得1分；每有一项属于环境标志产品政府采购品目清单中优先采购范围的得1分；每有一项为无线局域网产品政府采购清单中的产品的得1分。本项共6分。</w:t>
            </w:r>
          </w:p>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说明：</w:t>
            </w:r>
          </w:p>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1、可重复计分；</w:t>
            </w:r>
          </w:p>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2、本项目采购的产品中属于节能产品或环境标志产品政府采购品目清单中强制采购范围的，不属于本项评分范围。</w:t>
            </w:r>
          </w:p>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3、供应商所响应的产品属于节能产品或环境标志产品政府采购品目清单中优先采购范围的，应当在响应文件中提供国家确定的认证机构的认证结果信息发布平台公布的该产品认证信息截图或者打印资料并加盖供应商</w:t>
            </w:r>
          </w:p>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公章（鲜章），否则不予给分。</w:t>
            </w:r>
          </w:p>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4、供应商所投产品属于优先采购范围内的无线局域网产品的，需提供《中国政府采购网》公布的无线局域网产品政府采购清单封面及对应页且在有效期内并加盖供应商单位公章（鲜章）。</w:t>
            </w:r>
          </w:p>
          <w:p>
            <w:pPr>
              <w:tabs>
                <w:tab w:val="left" w:pos="0"/>
              </w:tabs>
              <w:overflowPunct w:val="0"/>
              <w:autoSpaceDE w:val="0"/>
              <w:autoSpaceDN w:val="0"/>
              <w:spacing w:line="440" w:lineRule="exact"/>
              <w:textAlignment w:val="baseline"/>
              <w:rPr>
                <w:rFonts w:ascii="宋体" w:hAnsi="宋体" w:cs="宋体"/>
                <w:sz w:val="28"/>
                <w:szCs w:val="28"/>
              </w:rPr>
            </w:pPr>
            <w:r>
              <w:rPr>
                <w:rFonts w:hint="eastAsia" w:ascii="宋体" w:hAnsi="宋体" w:cs="宋体"/>
                <w:sz w:val="28"/>
                <w:szCs w:val="28"/>
              </w:rPr>
              <w:t>注：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且在有效期内的为准。</w:t>
            </w:r>
          </w:p>
        </w:tc>
        <w:tc>
          <w:tcPr>
            <w:tcW w:w="824" w:type="dxa"/>
            <w:vAlign w:val="center"/>
          </w:tcPr>
          <w:p>
            <w:pPr>
              <w:pStyle w:val="319"/>
              <w:ind w:firstLine="0" w:firstLineChars="0"/>
              <w:jc w:val="center"/>
              <w:rPr>
                <w:rFonts w:cs="宋体"/>
                <w:sz w:val="28"/>
                <w:szCs w:val="28"/>
              </w:rPr>
            </w:pPr>
            <w:r>
              <w:rPr>
                <w:rFonts w:hint="eastAsia" w:cs="宋体"/>
                <w:sz w:val="28"/>
                <w:szCs w:val="28"/>
              </w:rPr>
              <w:t>共同</w:t>
            </w:r>
          </w:p>
          <w:p>
            <w:pPr>
              <w:pStyle w:val="319"/>
              <w:ind w:firstLine="0" w:firstLineChars="0"/>
              <w:jc w:val="center"/>
              <w:rPr>
                <w:rFonts w:cs="宋体"/>
                <w:sz w:val="28"/>
                <w:szCs w:val="28"/>
              </w:rPr>
            </w:pPr>
            <w:r>
              <w:rPr>
                <w:rFonts w:hint="eastAsia" w:cs="宋体"/>
                <w:sz w:val="28"/>
                <w:szCs w:val="28"/>
              </w:rPr>
              <w:t>评分</w:t>
            </w:r>
          </w:p>
          <w:p>
            <w:pPr>
              <w:tabs>
                <w:tab w:val="left" w:pos="0"/>
              </w:tabs>
              <w:spacing w:line="440" w:lineRule="exact"/>
              <w:jc w:val="center"/>
              <w:rPr>
                <w:rFonts w:ascii="宋体" w:hAnsi="宋体" w:cs="宋体"/>
                <w:sz w:val="28"/>
                <w:szCs w:val="28"/>
              </w:rPr>
            </w:pPr>
            <w:r>
              <w:rPr>
                <w:rFonts w:hint="eastAsia" w:ascii="宋体" w:hAnsi="宋体" w:cs="宋体"/>
                <w:sz w:val="28"/>
                <w:szCs w:val="28"/>
              </w:rPr>
              <w:t>因素</w:t>
            </w:r>
          </w:p>
        </w:tc>
      </w:tr>
    </w:tbl>
    <w:p>
      <w:pPr>
        <w:spacing w:line="360" w:lineRule="auto"/>
        <w:ind w:firstLine="565" w:firstLineChars="202"/>
        <w:rPr>
          <w:rFonts w:ascii="宋体" w:hAnsi="宋体"/>
          <w:sz w:val="28"/>
        </w:rPr>
      </w:pPr>
      <w:r>
        <w:rPr>
          <w:rFonts w:hint="eastAsia" w:ascii="宋体" w:hAnsi="宋体"/>
          <w:sz w:val="28"/>
        </w:rPr>
        <w:t>说明：</w:t>
      </w:r>
    </w:p>
    <w:p>
      <w:pPr>
        <w:spacing w:line="360" w:lineRule="auto"/>
        <w:ind w:firstLine="565" w:firstLineChars="202"/>
        <w:rPr>
          <w:rFonts w:ascii="宋体" w:hAnsi="宋体"/>
          <w:sz w:val="28"/>
        </w:rPr>
      </w:pPr>
      <w:r>
        <w:rPr>
          <w:rFonts w:hint="eastAsia" w:ascii="宋体" w:hAnsi="宋体"/>
          <w:sz w:val="28"/>
        </w:rPr>
        <w:t>1、评分的取值按四舍五入法，保留小数点后两位；</w:t>
      </w:r>
    </w:p>
    <w:p>
      <w:pPr>
        <w:spacing w:line="360" w:lineRule="auto"/>
        <w:ind w:firstLine="565" w:firstLineChars="202"/>
        <w:rPr>
          <w:rFonts w:ascii="宋体" w:hAnsi="宋体"/>
          <w:sz w:val="28"/>
        </w:rPr>
      </w:pPr>
      <w:r>
        <w:rPr>
          <w:rFonts w:hint="eastAsia" w:ascii="宋体" w:hAnsi="宋体"/>
          <w:sz w:val="28"/>
        </w:rPr>
        <w:t>2、评分标准中要求提供复印件的证明材料须清晰可辨。</w:t>
      </w:r>
    </w:p>
    <w:p>
      <w:pPr>
        <w:pStyle w:val="4"/>
        <w:numPr>
          <w:ilvl w:val="1"/>
          <w:numId w:val="59"/>
        </w:numPr>
        <w:spacing w:after="200"/>
        <w:ind w:left="1985" w:hanging="1985"/>
      </w:pPr>
      <w:bookmarkStart w:id="130" w:name="_Toc494095668"/>
      <w:bookmarkEnd w:id="130"/>
      <w:bookmarkStart w:id="131" w:name="_Toc494357023"/>
      <w:bookmarkEnd w:id="131"/>
      <w:bookmarkStart w:id="132" w:name="_Toc494095682"/>
      <w:bookmarkEnd w:id="132"/>
      <w:bookmarkStart w:id="133" w:name="_Toc494095678"/>
      <w:bookmarkEnd w:id="133"/>
      <w:bookmarkStart w:id="134" w:name="_Toc494357033"/>
      <w:bookmarkEnd w:id="134"/>
      <w:bookmarkStart w:id="135" w:name="_Toc494357035"/>
      <w:bookmarkEnd w:id="135"/>
      <w:bookmarkStart w:id="136" w:name="_Toc494095672"/>
      <w:bookmarkEnd w:id="136"/>
      <w:bookmarkStart w:id="137" w:name="_Toc494095679"/>
      <w:bookmarkEnd w:id="137"/>
      <w:bookmarkStart w:id="138" w:name="_Toc494357026"/>
      <w:bookmarkEnd w:id="138"/>
      <w:bookmarkStart w:id="139" w:name="_Toc494095669"/>
      <w:bookmarkEnd w:id="139"/>
      <w:bookmarkStart w:id="140" w:name="_Toc494357031"/>
      <w:bookmarkEnd w:id="140"/>
      <w:bookmarkStart w:id="141" w:name="_Toc494357021"/>
      <w:bookmarkEnd w:id="141"/>
      <w:bookmarkStart w:id="142" w:name="_Toc494095680"/>
      <w:bookmarkEnd w:id="142"/>
      <w:bookmarkStart w:id="143" w:name="_Toc494357028"/>
      <w:bookmarkEnd w:id="143"/>
      <w:bookmarkStart w:id="144" w:name="_Toc494357027"/>
      <w:bookmarkEnd w:id="144"/>
      <w:bookmarkStart w:id="145" w:name="_Toc494357029"/>
      <w:bookmarkEnd w:id="145"/>
      <w:bookmarkStart w:id="146" w:name="_Toc494095674"/>
      <w:bookmarkEnd w:id="146"/>
      <w:bookmarkStart w:id="147" w:name="_Toc494357022"/>
      <w:bookmarkEnd w:id="147"/>
      <w:bookmarkStart w:id="148" w:name="_Toc494357032"/>
      <w:bookmarkEnd w:id="148"/>
      <w:bookmarkStart w:id="149" w:name="_Toc494095676"/>
      <w:bookmarkEnd w:id="149"/>
      <w:bookmarkStart w:id="150" w:name="_Toc494357030"/>
      <w:bookmarkEnd w:id="150"/>
      <w:bookmarkStart w:id="151" w:name="_Toc494095675"/>
      <w:bookmarkEnd w:id="151"/>
      <w:bookmarkStart w:id="152" w:name="_Toc494357034"/>
      <w:bookmarkEnd w:id="152"/>
      <w:bookmarkStart w:id="153" w:name="_Toc494095673"/>
      <w:bookmarkEnd w:id="153"/>
      <w:bookmarkStart w:id="154" w:name="_Toc494357024"/>
      <w:bookmarkEnd w:id="154"/>
      <w:bookmarkStart w:id="155" w:name="_Toc494095677"/>
      <w:bookmarkEnd w:id="155"/>
      <w:bookmarkStart w:id="156" w:name="_Toc494095681"/>
      <w:bookmarkEnd w:id="156"/>
      <w:bookmarkStart w:id="157" w:name="_Toc494095671"/>
      <w:bookmarkEnd w:id="157"/>
      <w:bookmarkStart w:id="158" w:name="_Toc494095670"/>
      <w:bookmarkEnd w:id="158"/>
      <w:bookmarkStart w:id="159" w:name="_Toc494357025"/>
      <w:bookmarkEnd w:id="159"/>
      <w:bookmarkStart w:id="160" w:name="_Toc6143"/>
      <w:bookmarkStart w:id="161" w:name="_Toc54948234"/>
      <w:r>
        <w:rPr>
          <w:rFonts w:hint="eastAsia"/>
        </w:rPr>
        <w:t>采购失败情形</w:t>
      </w:r>
      <w:bookmarkEnd w:id="160"/>
      <w:bookmarkEnd w:id="161"/>
    </w:p>
    <w:p>
      <w:pPr>
        <w:snapToGrid w:val="0"/>
        <w:spacing w:line="360" w:lineRule="auto"/>
        <w:ind w:firstLine="554" w:firstLineChars="198"/>
        <w:rPr>
          <w:rFonts w:ascii="宋体" w:hAnsi="宋体" w:cs="宋体"/>
          <w:sz w:val="28"/>
          <w:szCs w:val="28"/>
        </w:rPr>
      </w:pPr>
      <w:r>
        <w:rPr>
          <w:rFonts w:hint="eastAsia" w:ascii="宋体" w:hAnsi="宋体" w:cs="宋体"/>
          <w:sz w:val="28"/>
          <w:szCs w:val="28"/>
        </w:rPr>
        <w:t>有下列情形之一的，本项目采购失败：</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一、因情况变化，不再符合规定的竞争性磋商采购方式适用情形的；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二、出现影响采购公正的违法、违规行为的；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三、</w:t>
      </w:r>
      <w:r>
        <w:rPr>
          <w:rFonts w:hint="eastAsia" w:ascii="宋体" w:hAnsi="宋体"/>
          <w:sz w:val="28"/>
          <w:szCs w:val="28"/>
        </w:rPr>
        <w:t>递交施工响应文件的供应商不足三家的</w:t>
      </w:r>
      <w:r>
        <w:rPr>
          <w:rFonts w:hint="eastAsia" w:ascii="宋体" w:hAnsi="宋体" w:cs="宋体"/>
          <w:sz w:val="28"/>
          <w:szCs w:val="28"/>
        </w:rPr>
        <w:t>；</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四、通过资格性审查</w:t>
      </w:r>
      <w:r>
        <w:rPr>
          <w:rFonts w:hint="eastAsia" w:ascii="宋体" w:hAnsi="宋体"/>
          <w:sz w:val="28"/>
          <w:szCs w:val="28"/>
        </w:rPr>
        <w:t>的供应商</w:t>
      </w:r>
      <w:r>
        <w:rPr>
          <w:rFonts w:hint="eastAsia" w:ascii="宋体" w:hAnsi="宋体" w:cs="宋体"/>
          <w:sz w:val="28"/>
          <w:szCs w:val="28"/>
        </w:rPr>
        <w:t>不足三家的；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五、通过符合性审查</w:t>
      </w:r>
      <w:r>
        <w:rPr>
          <w:rFonts w:hint="eastAsia" w:ascii="宋体" w:hAnsi="宋体"/>
          <w:sz w:val="28"/>
          <w:szCs w:val="28"/>
        </w:rPr>
        <w:t>的供应商</w:t>
      </w:r>
      <w:r>
        <w:rPr>
          <w:rFonts w:hint="eastAsia" w:ascii="宋体" w:hAnsi="宋体" w:cs="宋体"/>
          <w:sz w:val="28"/>
          <w:szCs w:val="28"/>
        </w:rPr>
        <w:t>不足三家</w:t>
      </w:r>
      <w:r>
        <w:rPr>
          <w:rFonts w:hint="eastAsia" w:ascii="宋体" w:hAnsi="宋体"/>
          <w:sz w:val="28"/>
          <w:szCs w:val="28"/>
        </w:rPr>
        <w:t>的</w:t>
      </w:r>
      <w:r>
        <w:rPr>
          <w:rFonts w:hint="eastAsia" w:ascii="宋体" w:hAnsi="宋体" w:cs="宋体"/>
          <w:sz w:val="28"/>
          <w:szCs w:val="28"/>
        </w:rPr>
        <w:t>；</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六、提交最后报价的供应商不足三家的；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七、通过最后报价审查的供应商不足三家的。</w:t>
      </w:r>
    </w:p>
    <w:p>
      <w:pPr>
        <w:pStyle w:val="4"/>
        <w:numPr>
          <w:ilvl w:val="1"/>
          <w:numId w:val="59"/>
        </w:numPr>
        <w:spacing w:after="200"/>
        <w:ind w:left="1985" w:hanging="1985"/>
      </w:pPr>
      <w:bookmarkStart w:id="162" w:name="_Toc54948235"/>
      <w:bookmarkStart w:id="163" w:name="_Toc12662"/>
      <w:r>
        <w:rPr>
          <w:rFonts w:hint="eastAsia"/>
        </w:rPr>
        <w:t>确定成交供应商</w:t>
      </w:r>
      <w:bookmarkEnd w:id="162"/>
      <w:bookmarkEnd w:id="163"/>
    </w:p>
    <w:p>
      <w:pPr>
        <w:numPr>
          <w:ilvl w:val="0"/>
          <w:numId w:val="60"/>
        </w:numPr>
        <w:tabs>
          <w:tab w:val="left" w:pos="1134"/>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采购人根据磋商小组推荐的成交候选供应商名单，按顺序确定1名成交供应商。成交候选供应商并列的，采购人采取随机抽取的方式确定。</w:t>
      </w:r>
    </w:p>
    <w:p>
      <w:pPr>
        <w:numPr>
          <w:ilvl w:val="0"/>
          <w:numId w:val="60"/>
        </w:numPr>
        <w:tabs>
          <w:tab w:val="left" w:pos="1134"/>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评审结束后，高新区采购中心在评审结束之日起2个工作日内将评审报告及有关资料送交采购人确定1名成交供应商。</w:t>
      </w:r>
    </w:p>
    <w:p>
      <w:pPr>
        <w:numPr>
          <w:ilvl w:val="0"/>
          <w:numId w:val="60"/>
        </w:numPr>
        <w:tabs>
          <w:tab w:val="left" w:pos="1134"/>
        </w:tabs>
        <w:snapToGrid w:val="0"/>
        <w:spacing w:after="200" w:line="360" w:lineRule="auto"/>
        <w:ind w:left="0" w:firstLine="560" w:firstLineChars="200"/>
        <w:rPr>
          <w:rStyle w:val="327"/>
          <w:rFonts w:ascii="宋体" w:hAnsi="宋体" w:cs="宋体"/>
          <w:sz w:val="28"/>
          <w:szCs w:val="28"/>
        </w:rPr>
      </w:pPr>
      <w:r>
        <w:rPr>
          <w:rStyle w:val="327"/>
          <w:rFonts w:hint="eastAsia"/>
          <w:sz w:val="28"/>
          <w:szCs w:val="28"/>
          <w:shd w:val="clear" w:color="auto" w:fill="FFFFFF"/>
        </w:rPr>
        <w:t>采购人在收到评审报告后三个工作日内，按照评审报告中推荐的中标（成交）候选人顺序确定中标（成交）人。如果中标（成交）候选人及其现任法定代表人、主要负责人存在行贿犯罪记录，采购人将不确定其为中标（成交）人。</w:t>
      </w:r>
    </w:p>
    <w:p>
      <w:pPr>
        <w:tabs>
          <w:tab w:val="left" w:pos="1134"/>
        </w:tabs>
        <w:snapToGrid w:val="0"/>
        <w:spacing w:line="360" w:lineRule="auto"/>
        <w:ind w:firstLine="560" w:firstLineChars="200"/>
        <w:rPr>
          <w:rFonts w:ascii="宋体" w:hAnsi="宋体" w:cs="宋体"/>
          <w:sz w:val="28"/>
          <w:szCs w:val="28"/>
        </w:rPr>
      </w:pPr>
      <w:r>
        <w:rPr>
          <w:rFonts w:hint="eastAsia" w:ascii="宋体" w:hAnsi="宋体" w:cs="宋体"/>
          <w:sz w:val="28"/>
          <w:szCs w:val="28"/>
        </w:rPr>
        <w:t>根据四川省人民检察院、四川省财政厅《关于在政府采购活动中全面开展行贿犯罪档案查询的通知》（川检会</w:t>
      </w:r>
      <w:r>
        <w:rPr>
          <w:rFonts w:ascii="宋体" w:hAnsi="宋体" w:cs="宋体"/>
          <w:sz w:val="28"/>
          <w:szCs w:val="28"/>
        </w:rPr>
        <w:t>[2016]5号）以及成都市人民检察院</w:t>
      </w:r>
      <w:r>
        <w:rPr>
          <w:rFonts w:hint="eastAsia" w:ascii="宋体" w:hAnsi="宋体" w:cs="宋体"/>
          <w:sz w:val="28"/>
          <w:szCs w:val="28"/>
        </w:rPr>
        <w:t>《</w:t>
      </w:r>
      <w:r>
        <w:rPr>
          <w:rFonts w:ascii="宋体" w:hAnsi="宋体" w:cs="宋体"/>
          <w:sz w:val="28"/>
          <w:szCs w:val="28"/>
        </w:rPr>
        <w:t>关于停止行贿犯罪档案查询的公告</w:t>
      </w:r>
      <w:r>
        <w:rPr>
          <w:rFonts w:hint="eastAsia" w:ascii="宋体" w:hAnsi="宋体" w:cs="宋体"/>
          <w:sz w:val="28"/>
          <w:szCs w:val="28"/>
        </w:rPr>
        <w:t>》，</w:t>
      </w:r>
      <w:r>
        <w:rPr>
          <w:rStyle w:val="327"/>
          <w:rFonts w:hint="eastAsia"/>
          <w:sz w:val="28"/>
          <w:szCs w:val="28"/>
          <w:shd w:val="clear" w:color="auto" w:fill="FFFFFF"/>
        </w:rPr>
        <w:t>采购人在确认成交供应商前，应到中国裁判文书网（</w:t>
      </w:r>
      <w:r>
        <w:rPr>
          <w:rStyle w:val="327"/>
          <w:sz w:val="28"/>
          <w:szCs w:val="28"/>
          <w:shd w:val="clear" w:color="auto" w:fill="FFFFFF"/>
        </w:rPr>
        <w:t>https://wenshu.court.gov.cn</w:t>
      </w:r>
      <w:r>
        <w:rPr>
          <w:rStyle w:val="327"/>
          <w:rFonts w:hint="eastAsia"/>
          <w:sz w:val="28"/>
          <w:szCs w:val="28"/>
          <w:shd w:val="clear" w:color="auto" w:fill="FFFFFF"/>
        </w:rPr>
        <w:t>）查询成交候选供应商及其现任法定代表人、主要负责人是否存在行贿犯罪记录。</w:t>
      </w:r>
    </w:p>
    <w:p>
      <w:pPr>
        <w:numPr>
          <w:ilvl w:val="0"/>
          <w:numId w:val="60"/>
        </w:numPr>
        <w:tabs>
          <w:tab w:val="left" w:pos="1134"/>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采购人因客观情况不能在规定时间内确定成交供应商的，应当向各方当事人说明情况，并报同级财政部门备案。采购人无正当理由拒绝在规定时间内确定成交供应商的，成交候选供应商可以向同级财政部门申诉。采购人逾期未确定成交供应商且不提出异议的，视为确定评审报告提出的排序第一的供应商为成交供应商。</w:t>
      </w:r>
    </w:p>
    <w:p>
      <w:pPr>
        <w:numPr>
          <w:ilvl w:val="0"/>
          <w:numId w:val="60"/>
        </w:numPr>
        <w:tabs>
          <w:tab w:val="left" w:pos="1134"/>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采购人确定成交供应商过程中，发现成交候选供应商有下列情形之一的，应当不予确定其为成交供应商, 由后一位成交候选供应商接替，依次类推，或重新组织采购：</w:t>
      </w:r>
    </w:p>
    <w:p>
      <w:pPr>
        <w:numPr>
          <w:ilvl w:val="1"/>
          <w:numId w:val="61"/>
        </w:numPr>
        <w:tabs>
          <w:tab w:val="left" w:pos="851"/>
          <w:tab w:val="left" w:pos="1134"/>
          <w:tab w:val="left" w:pos="1276"/>
        </w:tabs>
        <w:snapToGrid w:val="0"/>
        <w:spacing w:after="200" w:line="360" w:lineRule="auto"/>
        <w:ind w:left="0" w:firstLine="560" w:firstLineChars="200"/>
        <w:rPr>
          <w:rFonts w:ascii="宋体" w:hAnsi="宋体" w:cs="宋体"/>
          <w:sz w:val="28"/>
          <w:szCs w:val="28"/>
        </w:rPr>
      </w:pPr>
      <w:bookmarkStart w:id="164" w:name="_Toc287623649"/>
      <w:r>
        <w:rPr>
          <w:rFonts w:hint="eastAsia" w:ascii="宋体" w:hAnsi="宋体" w:cs="宋体"/>
          <w:sz w:val="28"/>
          <w:szCs w:val="28"/>
        </w:rPr>
        <w:t>成交候选供应商存在违法、违纪行为的；</w:t>
      </w:r>
    </w:p>
    <w:p>
      <w:pPr>
        <w:numPr>
          <w:ilvl w:val="1"/>
          <w:numId w:val="61"/>
        </w:numPr>
        <w:tabs>
          <w:tab w:val="left" w:pos="851"/>
          <w:tab w:val="left" w:pos="1134"/>
          <w:tab w:val="left" w:pos="1276"/>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成交候选供应商因不可抗力、社会经济形势发生重大变化、破产、重组等原因确定无法履行政府采购合同的；</w:t>
      </w:r>
    </w:p>
    <w:p>
      <w:pPr>
        <w:snapToGrid w:val="0"/>
        <w:spacing w:line="360" w:lineRule="auto"/>
        <w:ind w:firstLine="560" w:firstLineChars="200"/>
        <w:rPr>
          <w:rFonts w:ascii="宋体" w:hAnsi="宋体" w:cs="宋体"/>
          <w:sz w:val="28"/>
          <w:szCs w:val="28"/>
        </w:rPr>
      </w:pPr>
      <w:r>
        <w:rPr>
          <w:rFonts w:hint="eastAsia" w:ascii="宋体" w:hAnsi="宋体" w:cs="宋体"/>
          <w:sz w:val="28"/>
          <w:szCs w:val="28"/>
        </w:rPr>
        <w:t>采购人不按要求确定候选供应商为成交供应商的，应提供相关证明材料并报财政部门备案。</w:t>
      </w:r>
    </w:p>
    <w:p>
      <w:pPr>
        <w:numPr>
          <w:ilvl w:val="0"/>
          <w:numId w:val="60"/>
        </w:numPr>
        <w:tabs>
          <w:tab w:val="left" w:pos="1155"/>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采购人、高新区采购中心不解释成交或未成交原因，不退回施工响应文件和其他磋商资料。</w:t>
      </w:r>
      <w:bookmarkEnd w:id="164"/>
    </w:p>
    <w:p>
      <w:pPr>
        <w:pStyle w:val="4"/>
        <w:numPr>
          <w:ilvl w:val="1"/>
          <w:numId w:val="59"/>
        </w:numPr>
        <w:spacing w:after="200"/>
        <w:ind w:left="1985" w:hanging="1985"/>
        <w:jc w:val="left"/>
      </w:pPr>
      <w:bookmarkStart w:id="165" w:name="_Toc28109"/>
      <w:bookmarkStart w:id="166" w:name="_Toc54948236"/>
      <w:r>
        <w:rPr>
          <w:rFonts w:hint="eastAsia"/>
        </w:rPr>
        <w:t>磋商小组成员义务</w:t>
      </w:r>
      <w:bookmarkEnd w:id="165"/>
      <w:bookmarkEnd w:id="166"/>
    </w:p>
    <w:p>
      <w:pPr>
        <w:snapToGrid w:val="0"/>
        <w:spacing w:line="360" w:lineRule="auto"/>
        <w:ind w:firstLine="560" w:firstLineChars="200"/>
        <w:rPr>
          <w:sz w:val="28"/>
          <w:szCs w:val="28"/>
        </w:rPr>
      </w:pPr>
      <w:r>
        <w:rPr>
          <w:rFonts w:hint="eastAsia"/>
          <w:sz w:val="28"/>
          <w:szCs w:val="28"/>
        </w:rPr>
        <w:t>磋商小组成员在政府采购活动中承担以下义务：</w:t>
      </w:r>
    </w:p>
    <w:p>
      <w:pPr>
        <w:widowControl w:val="0"/>
        <w:numPr>
          <w:ilvl w:val="0"/>
          <w:numId w:val="62"/>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遵纪守法，客观、公正、廉洁地履行职责。</w:t>
      </w:r>
    </w:p>
    <w:p>
      <w:pPr>
        <w:widowControl w:val="0"/>
        <w:numPr>
          <w:ilvl w:val="0"/>
          <w:numId w:val="62"/>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按照政府采购法律法规和磋商文件的规定要求对供应商的资格条件和供应商提供的服务价格、技术、服务等方面严格进行独立评审，提供科学合理、公平公正的评审意见，参与起草评审报告，并予签字确认。</w:t>
      </w:r>
    </w:p>
    <w:p>
      <w:pPr>
        <w:widowControl w:val="0"/>
        <w:numPr>
          <w:ilvl w:val="0"/>
          <w:numId w:val="62"/>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保守秘密。不得泄漏供应商的磋商文件及知悉的商业秘密，不得向供应商透露评审情况。</w:t>
      </w:r>
    </w:p>
    <w:p>
      <w:pPr>
        <w:widowControl w:val="0"/>
        <w:numPr>
          <w:ilvl w:val="0"/>
          <w:numId w:val="62"/>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发现供应商在政府采购活动中有不正当竞争或恶意串通等违规行为，及时向政府采购评审工作的组织者或财政部门报告并加以制止。</w:t>
      </w:r>
    </w:p>
    <w:p>
      <w:pPr>
        <w:widowControl w:val="0"/>
        <w:numPr>
          <w:ilvl w:val="0"/>
          <w:numId w:val="62"/>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发现采购人、高新区采购中心及其工作人员在政府采购活动中有干预评审、发表倾向性和歧视性言论、受贿或者接受供应商的其他好处及其他违法违规行为，及时向财政部门报告。</w:t>
      </w:r>
    </w:p>
    <w:p>
      <w:pPr>
        <w:widowControl w:val="0"/>
        <w:numPr>
          <w:ilvl w:val="0"/>
          <w:numId w:val="62"/>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解答有关方面对政府采购评审工作中有关问题的询问，配合采购人或者高新区采购中心答复供应商的询问、质疑，配合财政部门的投诉处理工作等事宜。</w:t>
      </w:r>
    </w:p>
    <w:p>
      <w:pPr>
        <w:widowControl w:val="0"/>
        <w:numPr>
          <w:ilvl w:val="0"/>
          <w:numId w:val="62"/>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法律、法规和规章规定的其他义务。</w:t>
      </w:r>
    </w:p>
    <w:p>
      <w:pPr>
        <w:pStyle w:val="4"/>
        <w:numPr>
          <w:ilvl w:val="1"/>
          <w:numId w:val="59"/>
        </w:numPr>
        <w:spacing w:after="200"/>
        <w:ind w:left="1985" w:hanging="1985"/>
        <w:jc w:val="left"/>
      </w:pPr>
      <w:bookmarkStart w:id="167" w:name="_Toc19137"/>
      <w:bookmarkStart w:id="168" w:name="_Toc54948237"/>
      <w:r>
        <w:rPr>
          <w:rFonts w:hint="eastAsia"/>
        </w:rPr>
        <w:t>磋商小组及其成员不得有下列行为</w:t>
      </w:r>
      <w:bookmarkEnd w:id="167"/>
      <w:bookmarkEnd w:id="168"/>
    </w:p>
    <w:p>
      <w:pPr>
        <w:widowControl w:val="0"/>
        <w:numPr>
          <w:ilvl w:val="0"/>
          <w:numId w:val="63"/>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确定参与磋商后，至递交施工响应文件截止时间前私自接触供应商；</w:t>
      </w:r>
    </w:p>
    <w:p>
      <w:pPr>
        <w:widowControl w:val="0"/>
        <w:numPr>
          <w:ilvl w:val="0"/>
          <w:numId w:val="63"/>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违反评审纪律发表倾向性意见或者征询采购人的倾向性意见；</w:t>
      </w:r>
    </w:p>
    <w:p>
      <w:pPr>
        <w:widowControl w:val="0"/>
        <w:numPr>
          <w:ilvl w:val="0"/>
          <w:numId w:val="63"/>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对需要专业判断的主观评审因素协商评分；</w:t>
      </w:r>
    </w:p>
    <w:p>
      <w:pPr>
        <w:widowControl w:val="0"/>
        <w:numPr>
          <w:ilvl w:val="0"/>
          <w:numId w:val="63"/>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在评审过程中擅离职守，影响磋商程序正常进行的；</w:t>
      </w:r>
    </w:p>
    <w:p>
      <w:pPr>
        <w:widowControl w:val="0"/>
        <w:numPr>
          <w:ilvl w:val="0"/>
          <w:numId w:val="63"/>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记录、复制或者带走任何评审资料；</w:t>
      </w:r>
    </w:p>
    <w:p>
      <w:pPr>
        <w:widowControl w:val="0"/>
        <w:numPr>
          <w:ilvl w:val="0"/>
          <w:numId w:val="63"/>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其他不遵守评审纪律的行为。</w:t>
      </w:r>
    </w:p>
    <w:p>
      <w:pPr>
        <w:spacing w:line="360" w:lineRule="auto"/>
        <w:ind w:firstLine="560" w:firstLineChars="200"/>
        <w:rPr>
          <w:sz w:val="28"/>
          <w:szCs w:val="28"/>
        </w:rPr>
      </w:pPr>
      <w:r>
        <w:rPr>
          <w:rFonts w:hint="eastAsia"/>
          <w:sz w:val="28"/>
          <w:szCs w:val="28"/>
        </w:rPr>
        <w:t>磋商有前款第一至四项行为之一的，其评审意见无效，并不得获取评审劳务报酬和报销异地评审差旅费。</w:t>
      </w:r>
    </w:p>
    <w:p>
      <w:pPr>
        <w:pStyle w:val="4"/>
        <w:numPr>
          <w:ilvl w:val="1"/>
          <w:numId w:val="59"/>
        </w:numPr>
        <w:spacing w:after="200"/>
        <w:ind w:left="1985" w:hanging="1985"/>
        <w:jc w:val="left"/>
      </w:pPr>
      <w:bookmarkStart w:id="169" w:name="_Toc54948238"/>
      <w:bookmarkStart w:id="170" w:name="_Toc14699"/>
      <w:r>
        <w:rPr>
          <w:rFonts w:hint="eastAsia"/>
        </w:rPr>
        <w:t>磋商纪律</w:t>
      </w:r>
      <w:bookmarkEnd w:id="169"/>
      <w:bookmarkEnd w:id="170"/>
    </w:p>
    <w:p>
      <w:pPr>
        <w:snapToGrid w:val="0"/>
        <w:spacing w:line="360" w:lineRule="auto"/>
        <w:ind w:firstLine="560" w:firstLineChars="200"/>
        <w:rPr>
          <w:sz w:val="28"/>
          <w:szCs w:val="28"/>
        </w:rPr>
      </w:pPr>
      <w:r>
        <w:rPr>
          <w:rFonts w:hint="eastAsia"/>
          <w:sz w:val="28"/>
          <w:szCs w:val="28"/>
        </w:rPr>
        <w:t>磋商小组成员在政府采购活动中应当遵守以下工作纪律：</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遵行《政府采购法》第十二条和《政府采购法实施条例》第九条及政府采购相关法律法规关于回避的规定。</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应邀按时参加评审和咨询活动，遵守评标区管理规定。</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进入评标区之前应将所有的通信设备存入高新区采购中心指定的存放处。评审专家不得以任何方式将通信设备带入评标区，否则将被取消其当次项目的评审资格。遇特殊情况不能出席或途中遇阻不能按时参加评审或咨询的，应及时告知财政部门或者采购人或者高新区采购中心，不得私自转托他人。</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不得参加与自己有利害关系的政府采购项目的评审活动。对与自己有利害关系的评审项目，如受到邀请，应主动提出回避。财政部门、采购人或高新区采购中心也可要求该评审专家回避。</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评审过程中关闭通讯设备，不得与外界联系。因发生不可预见情况，确实需要与外界联系的，应告知评标区值守人员，使用评标区内由高新区采购中心提供的通信设备，在监督人员监督之下办理。</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评审过程中，不得发表影响评审公正的倾向性、歧视性言论；不得征询或者接受采购人的倾向性意见；不得协商评分；不得以竞争性磋商文件没有规定的方法和标准作为评审的依据；不得违反规定的评审格式评分和撰写评审意见；不得拒绝对自己的评审意见签字确认。</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在磋商过程中和磋商结束后，不得记录、复制或带走任何评审资料，除因规定的义务外，不得向外界透露评审内容。</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服从评审现场高新区采购中心的现场秩序管理，接受评审现场监督人员的合法监督。</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遵守有关廉洁自律规定，不得私下接触供应商，不得收受供应商及有关业务单位和个人的财物或好处，不得接受采购组织单位的请托。</w:t>
      </w:r>
    </w:p>
    <w:p>
      <w:pPr>
        <w:widowControl w:val="0"/>
        <w:numPr>
          <w:ilvl w:val="0"/>
          <w:numId w:val="64"/>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在咨询工作中，严格执行国家产业政策和产品标准，认真听取咨询方的合理要求，提出科学合理的、无倾向性和歧视性的咨询方案，并对所提出的意见和建议承担个人责任。</w:t>
      </w:r>
    </w:p>
    <w:p>
      <w:pPr>
        <w:tabs>
          <w:tab w:val="left" w:pos="1155"/>
        </w:tabs>
        <w:spacing w:line="360" w:lineRule="auto"/>
        <w:ind w:firstLine="523" w:firstLineChars="187"/>
        <w:rPr>
          <w:rFonts w:ascii="宋体" w:hAnsi="宋体"/>
          <w:sz w:val="28"/>
          <w:szCs w:val="28"/>
        </w:rPr>
      </w:pPr>
      <w:r>
        <w:rPr>
          <w:rFonts w:hint="eastAsia" w:ascii="宋体" w:hAnsi="宋体"/>
          <w:sz w:val="28"/>
          <w:szCs w:val="28"/>
        </w:rPr>
        <w:t>十一、有关部门（机构）制定的其他评审工作纪律。</w:t>
      </w:r>
    </w:p>
    <w:p>
      <w:pPr>
        <w:pStyle w:val="2"/>
        <w:spacing w:line="360" w:lineRule="auto"/>
      </w:pPr>
    </w:p>
    <w:p>
      <w:bookmarkStart w:id="171" w:name="_Toc296346614"/>
      <w:bookmarkStart w:id="172" w:name="_Toc296503113"/>
      <w:bookmarkStart w:id="173" w:name="_Toc337558811"/>
      <w:r>
        <w:rPr>
          <w:rFonts w:hint="eastAsia"/>
        </w:rPr>
        <w:br w:type="page"/>
      </w:r>
    </w:p>
    <w:p>
      <w:pPr>
        <w:pStyle w:val="3"/>
        <w:numPr>
          <w:ilvl w:val="0"/>
          <w:numId w:val="1"/>
        </w:numPr>
        <w:spacing w:before="0" w:after="0"/>
        <w:ind w:left="0" w:firstLine="0"/>
      </w:pPr>
      <w:bookmarkStart w:id="174" w:name="_Toc27270"/>
      <w:r>
        <w:rPr>
          <w:rFonts w:hint="eastAsia"/>
        </w:rPr>
        <w:t>政府采购合同草案</w:t>
      </w:r>
      <w:bookmarkEnd w:id="174"/>
    </w:p>
    <w:p>
      <w:pPr>
        <w:pStyle w:val="2"/>
        <w:tabs>
          <w:tab w:val="left" w:pos="0"/>
        </w:tabs>
        <w:jc w:val="center"/>
        <w:rPr>
          <w:rFonts w:cs="宋体"/>
          <w:b/>
          <w:bCs/>
          <w:sz w:val="36"/>
          <w:szCs w:val="36"/>
        </w:rPr>
      </w:pPr>
      <w:r>
        <w:rPr>
          <w:rFonts w:hint="eastAsia" w:cs="宋体"/>
          <w:b/>
          <w:bCs/>
          <w:sz w:val="36"/>
          <w:szCs w:val="36"/>
        </w:rPr>
        <w:t>成都市中和中学2021年提升修缮工程合同</w:t>
      </w:r>
    </w:p>
    <w:p>
      <w:pPr>
        <w:tabs>
          <w:tab w:val="left" w:pos="0"/>
        </w:tabs>
        <w:spacing w:line="360" w:lineRule="auto"/>
        <w:jc w:val="center"/>
        <w:rPr>
          <w:rFonts w:cs="宋体"/>
          <w:b/>
          <w:bCs/>
          <w:sz w:val="36"/>
          <w:szCs w:val="36"/>
        </w:rPr>
      </w:pPr>
      <w:r>
        <w:rPr>
          <w:rFonts w:hint="eastAsia" w:cs="宋体"/>
          <w:b/>
          <w:bCs/>
          <w:sz w:val="36"/>
          <w:szCs w:val="36"/>
        </w:rPr>
        <w:t>（范本）</w:t>
      </w:r>
    </w:p>
    <w:p>
      <w:pPr>
        <w:tabs>
          <w:tab w:val="left" w:pos="0"/>
        </w:tabs>
        <w:spacing w:line="360" w:lineRule="auto"/>
        <w:rPr>
          <w:rFonts w:cs="宋体"/>
          <w:b/>
          <w:bCs/>
          <w:sz w:val="28"/>
          <w:szCs w:val="28"/>
        </w:rPr>
      </w:pPr>
    </w:p>
    <w:p>
      <w:pPr>
        <w:tabs>
          <w:tab w:val="left" w:pos="0"/>
        </w:tabs>
        <w:spacing w:line="360" w:lineRule="auto"/>
        <w:rPr>
          <w:rFonts w:cs="宋体"/>
          <w:b/>
          <w:bCs/>
          <w:u w:val="single"/>
        </w:rPr>
      </w:pPr>
      <w:r>
        <w:rPr>
          <w:rFonts w:hint="eastAsia" w:cs="宋体"/>
          <w:b/>
          <w:bCs/>
        </w:rPr>
        <w:t>发包人（全称）：（甲方）</w:t>
      </w:r>
      <w:r>
        <w:rPr>
          <w:rFonts w:hint="eastAsia" w:cs="宋体"/>
          <w:b/>
          <w:bCs/>
          <w:u w:val="single"/>
        </w:rPr>
        <w:t>四川省成都市中和中学</w:t>
      </w:r>
    </w:p>
    <w:p>
      <w:pPr>
        <w:tabs>
          <w:tab w:val="left" w:pos="0"/>
        </w:tabs>
        <w:spacing w:line="360" w:lineRule="auto"/>
        <w:rPr>
          <w:rFonts w:cs="宋体"/>
          <w:b/>
          <w:bCs/>
          <w:u w:val="single"/>
        </w:rPr>
      </w:pPr>
      <w:r>
        <w:rPr>
          <w:rFonts w:hint="eastAsia" w:cs="宋体"/>
          <w:b/>
          <w:bCs/>
        </w:rPr>
        <w:t>承包人（全称）：（乙方）</w:t>
      </w:r>
      <w:r>
        <w:rPr>
          <w:rFonts w:hint="eastAsia" w:cs="宋体"/>
          <w:b/>
          <w:bCs/>
          <w:u w:val="single"/>
        </w:rPr>
        <w:t xml:space="preserve">                                    </w:t>
      </w:r>
    </w:p>
    <w:p>
      <w:pPr>
        <w:tabs>
          <w:tab w:val="left" w:pos="0"/>
        </w:tabs>
        <w:spacing w:line="360" w:lineRule="auto"/>
        <w:rPr>
          <w:rFonts w:cs="宋体"/>
        </w:rPr>
      </w:pPr>
    </w:p>
    <w:p>
      <w:pPr>
        <w:tabs>
          <w:tab w:val="left" w:pos="0"/>
        </w:tabs>
        <w:spacing w:line="360" w:lineRule="auto"/>
        <w:rPr>
          <w:rFonts w:cs="宋体"/>
          <w:b/>
          <w:bCs/>
        </w:rPr>
      </w:pPr>
      <w:r>
        <w:rPr>
          <w:rFonts w:hint="eastAsia" w:cs="宋体"/>
          <w:b/>
          <w:bCs/>
        </w:rPr>
        <w:t>一、工程况</w:t>
      </w:r>
    </w:p>
    <w:p>
      <w:pPr>
        <w:tabs>
          <w:tab w:val="left" w:pos="0"/>
        </w:tabs>
        <w:spacing w:line="360" w:lineRule="auto"/>
        <w:ind w:firstLine="480" w:firstLineChars="200"/>
        <w:rPr>
          <w:rFonts w:cs="宋体"/>
          <w:u w:val="single"/>
        </w:rPr>
      </w:pPr>
      <w:r>
        <w:rPr>
          <w:rFonts w:hint="eastAsia" w:cs="宋体"/>
        </w:rPr>
        <w:t>1.工程名称：</w:t>
      </w:r>
      <w:r>
        <w:rPr>
          <w:rFonts w:hint="eastAsia" w:cs="宋体"/>
          <w:u w:val="single"/>
        </w:rPr>
        <w:t>成都市中和中学2021年提升修缮工程</w:t>
      </w:r>
    </w:p>
    <w:p>
      <w:pPr>
        <w:tabs>
          <w:tab w:val="left" w:pos="0"/>
        </w:tabs>
        <w:spacing w:line="360" w:lineRule="auto"/>
        <w:ind w:firstLine="480" w:firstLineChars="200"/>
        <w:rPr>
          <w:rFonts w:cs="宋体"/>
          <w:u w:val="single"/>
        </w:rPr>
      </w:pPr>
      <w:r>
        <w:rPr>
          <w:rFonts w:hint="eastAsia" w:cs="宋体"/>
        </w:rPr>
        <w:t>2.工程地点：</w:t>
      </w:r>
      <w:r>
        <w:rPr>
          <w:rFonts w:hint="eastAsia" w:cs="宋体"/>
          <w:u w:val="single"/>
        </w:rPr>
        <w:t>四川省成都市中和中学内（四川省成都市高新区中和街道新中街100号）</w:t>
      </w:r>
    </w:p>
    <w:p>
      <w:pPr>
        <w:tabs>
          <w:tab w:val="left" w:pos="0"/>
        </w:tabs>
        <w:spacing w:line="360" w:lineRule="auto"/>
        <w:ind w:firstLine="480" w:firstLineChars="200"/>
        <w:rPr>
          <w:rFonts w:cs="宋体"/>
          <w:u w:val="single"/>
        </w:rPr>
      </w:pPr>
      <w:r>
        <w:rPr>
          <w:rFonts w:hint="eastAsia" w:cs="宋体"/>
        </w:rPr>
        <w:t>3.项目编号：</w:t>
      </w:r>
      <w:r>
        <w:rPr>
          <w:rFonts w:hint="eastAsia" w:cs="宋体"/>
          <w:u w:val="single"/>
        </w:rPr>
        <w:t xml:space="preserve">                                                     </w:t>
      </w:r>
    </w:p>
    <w:p>
      <w:pPr>
        <w:tabs>
          <w:tab w:val="left" w:pos="0"/>
        </w:tabs>
        <w:spacing w:line="360" w:lineRule="auto"/>
        <w:ind w:firstLine="480" w:firstLineChars="200"/>
        <w:rPr>
          <w:rFonts w:cs="宋体"/>
          <w:u w:val="single"/>
        </w:rPr>
      </w:pPr>
      <w:r>
        <w:rPr>
          <w:rFonts w:hint="eastAsia" w:cs="宋体"/>
        </w:rPr>
        <w:t>4.工程内容：</w:t>
      </w:r>
      <w:r>
        <w:rPr>
          <w:rFonts w:hint="eastAsia" w:cs="宋体"/>
          <w:u w:val="single"/>
        </w:rPr>
        <w:t>（1）高中部食堂一、二、三楼就餐区提升修缮。①顶面改造，采用1.0厚600*600铝扣板吊顶，面积约1600㎡。 ②食堂窗户改造，采用断桥铝合金材质，面积约500㎡。③食堂一、二楼内部墙面改造，采用300*600玻化瓷砖，面积约500㎡。 ④食堂灯具、排气扇、风扇等改造，包括电线、安装辅材等。（2）男女生公寓窗户改造约1400㎡，材质断桥。（最终建设规模以设计和造价为准）</w:t>
      </w:r>
    </w:p>
    <w:p>
      <w:pPr>
        <w:tabs>
          <w:tab w:val="left" w:pos="0"/>
        </w:tabs>
        <w:spacing w:line="360" w:lineRule="auto"/>
        <w:ind w:firstLine="480" w:firstLineChars="200"/>
        <w:rPr>
          <w:rFonts w:cs="宋体"/>
          <w:u w:val="single"/>
        </w:rPr>
      </w:pPr>
      <w:r>
        <w:rPr>
          <w:rFonts w:hint="eastAsia" w:cs="宋体"/>
        </w:rPr>
        <w:t>5.工程承包范围：</w:t>
      </w:r>
      <w:r>
        <w:rPr>
          <w:rFonts w:hint="eastAsia" w:cs="宋体"/>
          <w:u w:val="single"/>
        </w:rPr>
        <w:t xml:space="preserve">                                                 </w:t>
      </w:r>
    </w:p>
    <w:p>
      <w:pPr>
        <w:tabs>
          <w:tab w:val="left" w:pos="0"/>
        </w:tabs>
        <w:spacing w:line="360" w:lineRule="auto"/>
        <w:rPr>
          <w:rFonts w:cs="宋体"/>
          <w:u w:val="single"/>
        </w:rPr>
      </w:pPr>
      <w:r>
        <w:rPr>
          <w:rFonts w:hint="eastAsia" w:cs="宋体"/>
          <w:u w:val="single"/>
        </w:rPr>
        <w:t xml:space="preserve">                                                                     </w:t>
      </w:r>
    </w:p>
    <w:p>
      <w:pPr>
        <w:tabs>
          <w:tab w:val="left" w:pos="0"/>
        </w:tabs>
        <w:spacing w:line="360" w:lineRule="auto"/>
        <w:rPr>
          <w:rFonts w:cs="宋体"/>
          <w:u w:val="single"/>
        </w:rPr>
      </w:pPr>
      <w:r>
        <w:rPr>
          <w:rFonts w:hint="eastAsia" w:cs="宋体"/>
          <w:u w:val="single"/>
        </w:rPr>
        <w:t xml:space="preserve">                                                                     </w:t>
      </w:r>
    </w:p>
    <w:p>
      <w:pPr>
        <w:tabs>
          <w:tab w:val="left" w:pos="0"/>
        </w:tabs>
        <w:spacing w:line="360" w:lineRule="auto"/>
        <w:rPr>
          <w:rFonts w:cs="宋体"/>
          <w:b/>
          <w:bCs/>
        </w:rPr>
      </w:pPr>
      <w:r>
        <w:rPr>
          <w:rFonts w:hint="eastAsia" w:cs="宋体"/>
          <w:b/>
          <w:bCs/>
        </w:rPr>
        <w:t>二、合同工期</w:t>
      </w:r>
    </w:p>
    <w:p>
      <w:pPr>
        <w:tabs>
          <w:tab w:val="left" w:pos="0"/>
        </w:tabs>
        <w:spacing w:line="360" w:lineRule="auto"/>
        <w:ind w:firstLine="480" w:firstLineChars="200"/>
        <w:rPr>
          <w:rFonts w:cs="宋体"/>
        </w:rPr>
      </w:pPr>
      <w:r>
        <w:rPr>
          <w:rFonts w:hint="eastAsia" w:cs="宋体"/>
        </w:rPr>
        <w:t>计划开工日期：</w:t>
      </w:r>
      <w:r>
        <w:rPr>
          <w:rFonts w:hint="eastAsia" w:cs="宋体"/>
          <w:u w:val="single"/>
        </w:rPr>
        <w:t xml:space="preserve">     </w:t>
      </w:r>
      <w:r>
        <w:rPr>
          <w:rFonts w:hint="eastAsia" w:cs="宋体"/>
        </w:rPr>
        <w:t>年</w:t>
      </w:r>
      <w:r>
        <w:rPr>
          <w:rFonts w:hint="eastAsia" w:cs="宋体"/>
          <w:u w:val="single"/>
        </w:rPr>
        <w:t xml:space="preserve">    </w:t>
      </w:r>
      <w:r>
        <w:rPr>
          <w:rFonts w:hint="eastAsia" w:cs="宋体"/>
        </w:rPr>
        <w:t>月</w:t>
      </w:r>
      <w:r>
        <w:rPr>
          <w:rFonts w:hint="eastAsia" w:cs="宋体"/>
          <w:u w:val="single"/>
        </w:rPr>
        <w:t xml:space="preserve">    </w:t>
      </w:r>
      <w:r>
        <w:rPr>
          <w:rFonts w:hint="eastAsia" w:cs="宋体"/>
        </w:rPr>
        <w:t>日。</w:t>
      </w:r>
    </w:p>
    <w:p>
      <w:pPr>
        <w:tabs>
          <w:tab w:val="left" w:pos="0"/>
        </w:tabs>
        <w:spacing w:line="360" w:lineRule="auto"/>
        <w:ind w:firstLine="480" w:firstLineChars="200"/>
        <w:rPr>
          <w:rFonts w:cs="宋体"/>
        </w:rPr>
      </w:pPr>
      <w:r>
        <w:rPr>
          <w:rFonts w:hint="eastAsia" w:cs="宋体"/>
        </w:rPr>
        <w:t>计划竣工日期：</w:t>
      </w:r>
      <w:r>
        <w:rPr>
          <w:rFonts w:hint="eastAsia" w:cs="宋体"/>
          <w:u w:val="single"/>
        </w:rPr>
        <w:t xml:space="preserve">     </w:t>
      </w:r>
      <w:r>
        <w:rPr>
          <w:rFonts w:hint="eastAsia" w:cs="宋体"/>
        </w:rPr>
        <w:t>年</w:t>
      </w:r>
      <w:r>
        <w:rPr>
          <w:rFonts w:hint="eastAsia" w:cs="宋体"/>
          <w:u w:val="single"/>
        </w:rPr>
        <w:t xml:space="preserve">    </w:t>
      </w:r>
      <w:r>
        <w:rPr>
          <w:rFonts w:hint="eastAsia" w:cs="宋体"/>
        </w:rPr>
        <w:t>月</w:t>
      </w:r>
      <w:r>
        <w:rPr>
          <w:rFonts w:hint="eastAsia" w:cs="宋体"/>
          <w:u w:val="single"/>
        </w:rPr>
        <w:t xml:space="preserve">    </w:t>
      </w:r>
      <w:r>
        <w:rPr>
          <w:rFonts w:hint="eastAsia" w:cs="宋体"/>
        </w:rPr>
        <w:t>日。</w:t>
      </w:r>
    </w:p>
    <w:p>
      <w:pPr>
        <w:tabs>
          <w:tab w:val="left" w:pos="0"/>
        </w:tabs>
        <w:spacing w:line="360" w:lineRule="auto"/>
        <w:ind w:firstLine="480" w:firstLineChars="200"/>
        <w:rPr>
          <w:rFonts w:cs="宋体"/>
        </w:rPr>
      </w:pPr>
      <w:r>
        <w:rPr>
          <w:rFonts w:hint="eastAsia" w:cs="宋体"/>
        </w:rPr>
        <w:t>工期总日历天数：</w:t>
      </w:r>
      <w:r>
        <w:rPr>
          <w:rFonts w:hint="eastAsia" w:cs="宋体"/>
          <w:u w:val="single"/>
        </w:rPr>
        <w:t xml:space="preserve">      </w:t>
      </w:r>
      <w:r>
        <w:rPr>
          <w:rFonts w:hint="eastAsia" w:cs="宋体"/>
        </w:rPr>
        <w:t>天。工期总日历天数与根据前述计划开竣工日期计算的天数不一致的，以工期总日历天数为准。</w:t>
      </w:r>
    </w:p>
    <w:p>
      <w:pPr>
        <w:tabs>
          <w:tab w:val="left" w:pos="0"/>
        </w:tabs>
        <w:spacing w:line="360" w:lineRule="auto"/>
        <w:rPr>
          <w:rFonts w:cs="宋体"/>
          <w:b/>
          <w:bCs/>
        </w:rPr>
      </w:pPr>
      <w:r>
        <w:rPr>
          <w:rFonts w:hint="eastAsia" w:cs="宋体"/>
          <w:b/>
          <w:bCs/>
        </w:rPr>
        <w:t>三、质量标准</w:t>
      </w:r>
    </w:p>
    <w:p>
      <w:pPr>
        <w:tabs>
          <w:tab w:val="left" w:pos="0"/>
        </w:tabs>
        <w:spacing w:line="360" w:lineRule="auto"/>
        <w:ind w:firstLine="480" w:firstLineChars="200"/>
        <w:rPr>
          <w:rFonts w:cs="宋体"/>
        </w:rPr>
      </w:pPr>
      <w:r>
        <w:rPr>
          <w:rFonts w:hint="eastAsia" w:cs="宋体"/>
        </w:rPr>
        <w:t>工程质量符合标准。</w:t>
      </w:r>
    </w:p>
    <w:p>
      <w:pPr>
        <w:tabs>
          <w:tab w:val="left" w:pos="0"/>
        </w:tabs>
        <w:spacing w:line="360" w:lineRule="auto"/>
        <w:rPr>
          <w:rFonts w:cs="宋体"/>
          <w:b/>
          <w:bCs/>
        </w:rPr>
      </w:pPr>
      <w:r>
        <w:rPr>
          <w:rFonts w:hint="eastAsia" w:cs="宋体"/>
          <w:b/>
          <w:bCs/>
        </w:rPr>
        <w:t>四、签约合同价与合同价格形式</w:t>
      </w:r>
    </w:p>
    <w:p>
      <w:pPr>
        <w:tabs>
          <w:tab w:val="left" w:pos="0"/>
        </w:tabs>
        <w:spacing w:line="360" w:lineRule="auto"/>
        <w:ind w:firstLine="480" w:firstLineChars="200"/>
        <w:rPr>
          <w:rFonts w:cs="宋体"/>
        </w:rPr>
      </w:pPr>
      <w:r>
        <w:rPr>
          <w:rFonts w:hint="eastAsia" w:cs="宋体"/>
        </w:rPr>
        <w:t>1.签约合同价为：人民币（大写）</w:t>
      </w:r>
      <w:r>
        <w:rPr>
          <w:rFonts w:hint="eastAsia" w:cs="宋体"/>
          <w:u w:val="single"/>
        </w:rPr>
        <w:t xml:space="preserve">                   </w:t>
      </w:r>
      <w:r>
        <w:rPr>
          <w:rFonts w:hint="eastAsia" w:cs="宋体"/>
        </w:rPr>
        <w:t>（¥</w:t>
      </w:r>
      <w:r>
        <w:rPr>
          <w:rFonts w:hint="eastAsia" w:cs="宋体"/>
          <w:u w:val="single"/>
        </w:rPr>
        <w:t xml:space="preserve">           </w:t>
      </w:r>
      <w:r>
        <w:rPr>
          <w:rFonts w:hint="eastAsia" w:cs="宋体"/>
        </w:rPr>
        <w:t>元）。</w:t>
      </w:r>
    </w:p>
    <w:p>
      <w:pPr>
        <w:tabs>
          <w:tab w:val="left" w:pos="0"/>
        </w:tabs>
        <w:spacing w:line="360" w:lineRule="auto"/>
        <w:ind w:firstLine="720" w:firstLineChars="300"/>
        <w:rPr>
          <w:rFonts w:cs="宋体"/>
        </w:rPr>
      </w:pPr>
      <w:r>
        <w:rPr>
          <w:rFonts w:hint="eastAsia" w:cs="宋体"/>
        </w:rPr>
        <w:t>其中：</w:t>
      </w:r>
    </w:p>
    <w:p>
      <w:pPr>
        <w:tabs>
          <w:tab w:val="left" w:pos="0"/>
        </w:tabs>
        <w:spacing w:line="360" w:lineRule="auto"/>
        <w:ind w:firstLine="480" w:firstLineChars="200"/>
        <w:rPr>
          <w:rFonts w:cs="宋体"/>
        </w:rPr>
      </w:pPr>
      <w:r>
        <w:rPr>
          <w:rFonts w:hint="eastAsia" w:cs="宋体"/>
        </w:rPr>
        <w:t>（1)安文明施工费：人民币（大写）</w:t>
      </w:r>
      <w:r>
        <w:rPr>
          <w:rFonts w:hint="eastAsia" w:cs="宋体"/>
          <w:u w:val="single"/>
        </w:rPr>
        <w:t xml:space="preserve">                 </w:t>
      </w:r>
      <w:r>
        <w:rPr>
          <w:rFonts w:hint="eastAsia" w:cs="宋体"/>
        </w:rPr>
        <w:t>（¥</w:t>
      </w:r>
      <w:r>
        <w:rPr>
          <w:rFonts w:hint="eastAsia" w:cs="宋体"/>
          <w:u w:val="single"/>
        </w:rPr>
        <w:t xml:space="preserve">         </w:t>
      </w:r>
      <w:r>
        <w:rPr>
          <w:rFonts w:hint="eastAsia" w:cs="宋体"/>
        </w:rPr>
        <w:t>元）。</w:t>
      </w:r>
    </w:p>
    <w:p>
      <w:pPr>
        <w:tabs>
          <w:tab w:val="left" w:pos="0"/>
        </w:tabs>
        <w:spacing w:line="360" w:lineRule="auto"/>
        <w:ind w:firstLine="480" w:firstLineChars="200"/>
        <w:rPr>
          <w:rFonts w:cs="宋体"/>
        </w:rPr>
      </w:pPr>
      <w:r>
        <w:rPr>
          <w:rFonts w:hint="eastAsia" w:cs="宋体"/>
        </w:rPr>
        <w:t>（2)材料和工程设备暂估价金额：（大写）</w:t>
      </w:r>
      <w:r>
        <w:rPr>
          <w:rFonts w:hint="eastAsia" w:cs="宋体"/>
          <w:u w:val="single"/>
        </w:rPr>
        <w:t xml:space="preserve">            </w:t>
      </w:r>
      <w:r>
        <w:rPr>
          <w:rFonts w:hint="eastAsia" w:cs="宋体"/>
        </w:rPr>
        <w:t>（¥</w:t>
      </w:r>
      <w:r>
        <w:rPr>
          <w:rFonts w:hint="eastAsia" w:cs="宋体"/>
          <w:u w:val="single"/>
        </w:rPr>
        <w:t xml:space="preserve">          </w:t>
      </w:r>
      <w:r>
        <w:rPr>
          <w:rFonts w:hint="eastAsia" w:cs="宋体"/>
        </w:rPr>
        <w:t>元）。</w:t>
      </w:r>
    </w:p>
    <w:p>
      <w:pPr>
        <w:tabs>
          <w:tab w:val="left" w:pos="0"/>
        </w:tabs>
        <w:spacing w:line="360" w:lineRule="auto"/>
        <w:ind w:firstLine="480" w:firstLineChars="200"/>
        <w:rPr>
          <w:rFonts w:cs="宋体"/>
        </w:rPr>
      </w:pPr>
      <w:r>
        <w:rPr>
          <w:rFonts w:hint="eastAsia" w:cs="宋体"/>
        </w:rPr>
        <w:t>（3)专业工程暂估价金额：（大写）</w:t>
      </w:r>
      <w:r>
        <w:rPr>
          <w:rFonts w:hint="eastAsia" w:cs="宋体"/>
          <w:u w:val="single"/>
        </w:rPr>
        <w:t xml:space="preserve">                 </w:t>
      </w:r>
      <w:r>
        <w:rPr>
          <w:rFonts w:hint="eastAsia" w:cs="宋体"/>
        </w:rPr>
        <w:t>（¥</w:t>
      </w:r>
      <w:r>
        <w:rPr>
          <w:rFonts w:hint="eastAsia" w:cs="宋体"/>
          <w:u w:val="single"/>
        </w:rPr>
        <w:t xml:space="preserve">           </w:t>
      </w:r>
      <w:r>
        <w:rPr>
          <w:rFonts w:hint="eastAsia" w:cs="宋体"/>
        </w:rPr>
        <w:t>元）。</w:t>
      </w:r>
    </w:p>
    <w:p>
      <w:pPr>
        <w:tabs>
          <w:tab w:val="left" w:pos="0"/>
        </w:tabs>
        <w:spacing w:line="360" w:lineRule="auto"/>
        <w:ind w:firstLine="480" w:firstLineChars="200"/>
        <w:rPr>
          <w:rFonts w:cs="宋体"/>
        </w:rPr>
      </w:pPr>
      <w:r>
        <w:rPr>
          <w:rFonts w:hint="eastAsia" w:cs="宋体"/>
        </w:rPr>
        <w:t>（4)暂列金额：（大写）</w:t>
      </w:r>
      <w:r>
        <w:rPr>
          <w:rFonts w:hint="eastAsia" w:cs="宋体"/>
          <w:u w:val="single"/>
        </w:rPr>
        <w:t xml:space="preserve">                    </w:t>
      </w:r>
      <w:r>
        <w:rPr>
          <w:rFonts w:hint="eastAsia" w:cs="宋体"/>
        </w:rPr>
        <w:t>（¥</w:t>
      </w:r>
      <w:r>
        <w:rPr>
          <w:rFonts w:hint="eastAsia" w:cs="宋体"/>
          <w:u w:val="single"/>
        </w:rPr>
        <w:t xml:space="preserve">               </w:t>
      </w:r>
      <w:r>
        <w:rPr>
          <w:rFonts w:hint="eastAsia" w:cs="宋体"/>
        </w:rPr>
        <w:t>元）。</w:t>
      </w:r>
    </w:p>
    <w:p>
      <w:pPr>
        <w:tabs>
          <w:tab w:val="left" w:pos="0"/>
        </w:tabs>
        <w:spacing w:line="360" w:lineRule="auto"/>
        <w:ind w:firstLine="480" w:firstLineChars="200"/>
        <w:rPr>
          <w:rFonts w:cs="宋体"/>
        </w:rPr>
      </w:pPr>
      <w:r>
        <w:rPr>
          <w:rFonts w:hint="eastAsia" w:cs="宋体"/>
        </w:rPr>
        <w:t>2.合同价格形式：</w:t>
      </w:r>
      <w:r>
        <w:rPr>
          <w:rFonts w:hint="eastAsia" w:cs="宋体"/>
          <w:u w:val="single"/>
        </w:rPr>
        <w:t xml:space="preserve">                                              </w:t>
      </w:r>
      <w:r>
        <w:rPr>
          <w:rFonts w:hint="eastAsia" w:cs="宋体"/>
        </w:rPr>
        <w:t>。</w:t>
      </w:r>
    </w:p>
    <w:p>
      <w:pPr>
        <w:tabs>
          <w:tab w:val="left" w:pos="0"/>
        </w:tabs>
        <w:spacing w:line="360" w:lineRule="auto"/>
        <w:rPr>
          <w:rFonts w:cs="宋体"/>
          <w:b/>
          <w:bCs/>
        </w:rPr>
      </w:pPr>
      <w:r>
        <w:rPr>
          <w:rFonts w:hint="eastAsia" w:cs="宋体"/>
          <w:b/>
          <w:bCs/>
        </w:rPr>
        <w:t>五、结算及付款方式：</w:t>
      </w:r>
    </w:p>
    <w:p>
      <w:pPr>
        <w:tabs>
          <w:tab w:val="left" w:pos="0"/>
        </w:tabs>
        <w:spacing w:line="360" w:lineRule="auto"/>
        <w:ind w:firstLine="480" w:firstLineChars="200"/>
      </w:pPr>
      <w:r>
        <w:rPr>
          <w:rFonts w:hint="eastAsia"/>
        </w:rPr>
        <w:t>合同签订后支付合同金额的30%；在财政资金到位的前提下，工程竣工后可支付25%；验收合格后支付工程尾款；尾款需保留结算金额的3%作为质保金，质保期满后全额无息退还供应商。</w:t>
      </w:r>
    </w:p>
    <w:p>
      <w:pPr>
        <w:tabs>
          <w:tab w:val="left" w:pos="0"/>
        </w:tabs>
        <w:spacing w:line="360" w:lineRule="auto"/>
        <w:rPr>
          <w:rFonts w:cs="宋体"/>
          <w:b/>
          <w:bCs/>
        </w:rPr>
      </w:pPr>
      <w:r>
        <w:rPr>
          <w:rFonts w:hint="eastAsia" w:cs="宋体"/>
          <w:b/>
          <w:bCs/>
        </w:rPr>
        <w:t>六、项目经理</w:t>
      </w:r>
    </w:p>
    <w:p>
      <w:pPr>
        <w:tabs>
          <w:tab w:val="left" w:pos="0"/>
        </w:tabs>
        <w:spacing w:line="360" w:lineRule="auto"/>
        <w:ind w:firstLine="480" w:firstLineChars="200"/>
        <w:rPr>
          <w:rFonts w:cs="宋体"/>
          <w:u w:val="single"/>
        </w:rPr>
      </w:pPr>
      <w:r>
        <w:rPr>
          <w:rFonts w:hint="eastAsia" w:cs="宋体"/>
        </w:rPr>
        <w:t>承包人项目理：</w:t>
      </w:r>
      <w:r>
        <w:rPr>
          <w:rFonts w:hint="eastAsia" w:cs="宋体"/>
          <w:u w:val="single"/>
        </w:rPr>
        <w:t xml:space="preserve">                               </w:t>
      </w:r>
    </w:p>
    <w:p>
      <w:pPr>
        <w:tabs>
          <w:tab w:val="left" w:pos="0"/>
        </w:tabs>
        <w:spacing w:line="360" w:lineRule="auto"/>
        <w:rPr>
          <w:rFonts w:cs="宋体"/>
          <w:b/>
          <w:bCs/>
        </w:rPr>
      </w:pPr>
      <w:r>
        <w:rPr>
          <w:rFonts w:hint="eastAsia" w:cs="宋体"/>
          <w:b/>
          <w:bCs/>
        </w:rPr>
        <w:t>七、合同文件构成</w:t>
      </w:r>
    </w:p>
    <w:p>
      <w:pPr>
        <w:tabs>
          <w:tab w:val="left" w:pos="0"/>
        </w:tabs>
        <w:spacing w:line="360" w:lineRule="auto"/>
        <w:ind w:firstLine="480" w:firstLineChars="200"/>
        <w:rPr>
          <w:rFonts w:cs="宋体"/>
        </w:rPr>
      </w:pPr>
      <w:r>
        <w:rPr>
          <w:rFonts w:hint="eastAsia" w:cs="宋体"/>
        </w:rPr>
        <w:t>本协议书与下列文一起构成合同文件：</w:t>
      </w:r>
    </w:p>
    <w:p>
      <w:pPr>
        <w:tabs>
          <w:tab w:val="left" w:pos="0"/>
        </w:tabs>
        <w:spacing w:line="360" w:lineRule="auto"/>
        <w:ind w:firstLine="480" w:firstLineChars="200"/>
        <w:rPr>
          <w:rFonts w:cs="宋体"/>
        </w:rPr>
      </w:pPr>
      <w:r>
        <w:rPr>
          <w:rFonts w:hint="eastAsia" w:cs="宋体"/>
        </w:rPr>
        <w:t>（1)中标（成交）通知书；</w:t>
      </w:r>
    </w:p>
    <w:p>
      <w:pPr>
        <w:tabs>
          <w:tab w:val="left" w:pos="0"/>
        </w:tabs>
        <w:spacing w:line="360" w:lineRule="auto"/>
        <w:ind w:firstLine="480" w:firstLineChars="200"/>
        <w:rPr>
          <w:rFonts w:cs="宋体"/>
        </w:rPr>
      </w:pPr>
      <w:r>
        <w:rPr>
          <w:rFonts w:hint="eastAsia" w:cs="宋体"/>
        </w:rPr>
        <w:t>（2)专用合同条款及其附件；</w:t>
      </w:r>
    </w:p>
    <w:p>
      <w:pPr>
        <w:tabs>
          <w:tab w:val="left" w:pos="0"/>
        </w:tabs>
        <w:spacing w:line="360" w:lineRule="auto"/>
        <w:ind w:firstLine="480" w:firstLineChars="200"/>
        <w:rPr>
          <w:rFonts w:cs="宋体"/>
        </w:rPr>
      </w:pPr>
      <w:r>
        <w:rPr>
          <w:rFonts w:hint="eastAsia" w:cs="宋体"/>
        </w:rPr>
        <w:t>（3)通用合同条款；</w:t>
      </w:r>
    </w:p>
    <w:p>
      <w:pPr>
        <w:tabs>
          <w:tab w:val="left" w:pos="0"/>
        </w:tabs>
        <w:spacing w:line="360" w:lineRule="auto"/>
        <w:ind w:firstLine="480" w:firstLineChars="200"/>
        <w:rPr>
          <w:rFonts w:cs="宋体"/>
        </w:rPr>
      </w:pPr>
      <w:r>
        <w:rPr>
          <w:rFonts w:hint="eastAsia" w:cs="宋体"/>
        </w:rPr>
        <w:t>（4)磋商文件；</w:t>
      </w:r>
    </w:p>
    <w:p>
      <w:pPr>
        <w:tabs>
          <w:tab w:val="left" w:pos="0"/>
        </w:tabs>
        <w:spacing w:line="360" w:lineRule="auto"/>
        <w:ind w:firstLine="480" w:firstLineChars="200"/>
        <w:rPr>
          <w:rFonts w:cs="宋体"/>
        </w:rPr>
      </w:pPr>
      <w:r>
        <w:rPr>
          <w:rFonts w:hint="eastAsia" w:cs="宋体"/>
        </w:rPr>
        <w:t>（5)响应文件；</w:t>
      </w:r>
    </w:p>
    <w:p>
      <w:pPr>
        <w:tabs>
          <w:tab w:val="left" w:pos="0"/>
        </w:tabs>
        <w:spacing w:line="360" w:lineRule="auto"/>
        <w:ind w:firstLine="480" w:firstLineChars="200"/>
        <w:rPr>
          <w:rFonts w:cs="宋体"/>
        </w:rPr>
      </w:pPr>
      <w:r>
        <w:rPr>
          <w:rFonts w:hint="eastAsia" w:cs="宋体"/>
        </w:rPr>
        <w:t>（6)评审报告；</w:t>
      </w:r>
    </w:p>
    <w:p>
      <w:pPr>
        <w:tabs>
          <w:tab w:val="left" w:pos="0"/>
        </w:tabs>
        <w:spacing w:line="360" w:lineRule="auto"/>
        <w:ind w:firstLine="480" w:firstLineChars="200"/>
        <w:rPr>
          <w:rFonts w:cs="宋体"/>
        </w:rPr>
      </w:pPr>
      <w:r>
        <w:rPr>
          <w:rFonts w:hint="eastAsia" w:cs="宋体"/>
        </w:rPr>
        <w:t>（7)技术标准和要求；</w:t>
      </w:r>
    </w:p>
    <w:p>
      <w:pPr>
        <w:tabs>
          <w:tab w:val="left" w:pos="0"/>
        </w:tabs>
        <w:spacing w:line="360" w:lineRule="auto"/>
        <w:ind w:firstLine="480" w:firstLineChars="200"/>
        <w:rPr>
          <w:rFonts w:cs="宋体"/>
        </w:rPr>
      </w:pPr>
      <w:r>
        <w:rPr>
          <w:rFonts w:hint="eastAsia" w:cs="宋体"/>
        </w:rPr>
        <w:t>（8)图纸；</w:t>
      </w:r>
    </w:p>
    <w:p>
      <w:pPr>
        <w:tabs>
          <w:tab w:val="left" w:pos="0"/>
        </w:tabs>
        <w:spacing w:line="360" w:lineRule="auto"/>
        <w:ind w:firstLine="480" w:firstLineChars="200"/>
        <w:rPr>
          <w:rFonts w:cs="宋体"/>
        </w:rPr>
      </w:pPr>
      <w:r>
        <w:rPr>
          <w:rFonts w:hint="eastAsia" w:cs="宋体"/>
        </w:rPr>
        <w:t>（9)已标价工程量清单或预算书；</w:t>
      </w:r>
    </w:p>
    <w:p>
      <w:pPr>
        <w:tabs>
          <w:tab w:val="left" w:pos="0"/>
        </w:tabs>
        <w:spacing w:line="360" w:lineRule="auto"/>
        <w:ind w:firstLine="480" w:firstLineChars="200"/>
        <w:rPr>
          <w:rFonts w:cs="宋体"/>
        </w:rPr>
      </w:pPr>
      <w:r>
        <w:rPr>
          <w:rFonts w:hint="eastAsia" w:cs="宋体"/>
        </w:rPr>
        <w:t>（10)其他合同文件。</w:t>
      </w:r>
    </w:p>
    <w:p>
      <w:pPr>
        <w:tabs>
          <w:tab w:val="left" w:pos="0"/>
        </w:tabs>
        <w:spacing w:line="360" w:lineRule="auto"/>
        <w:ind w:firstLine="480" w:firstLineChars="200"/>
        <w:rPr>
          <w:rFonts w:cs="宋体"/>
        </w:rPr>
      </w:pPr>
      <w:r>
        <w:rPr>
          <w:rFonts w:hint="eastAsia" w:cs="宋体"/>
        </w:rPr>
        <w:t>在合同订立和履行过程中形成的与合同有关的文件均构成合同文件组成部分。</w:t>
      </w:r>
    </w:p>
    <w:p>
      <w:pPr>
        <w:tabs>
          <w:tab w:val="left" w:pos="0"/>
        </w:tabs>
        <w:spacing w:line="360" w:lineRule="auto"/>
        <w:ind w:firstLine="480" w:firstLineChars="200"/>
        <w:rPr>
          <w:rFonts w:cs="宋体"/>
        </w:rPr>
      </w:pPr>
      <w:r>
        <w:rPr>
          <w:rFonts w:hint="eastAsia" w:cs="宋体"/>
        </w:rPr>
        <w:t>上述各项合同文件包括合同当事人就该项合同文件所作出的补充和修改，属于同一类内容的文件，应以最新签署的为准。专用合同条款及其附件须经合同当事人签字或盖章。</w:t>
      </w:r>
    </w:p>
    <w:p>
      <w:pPr>
        <w:tabs>
          <w:tab w:val="left" w:pos="0"/>
        </w:tabs>
        <w:spacing w:line="360" w:lineRule="auto"/>
        <w:rPr>
          <w:rFonts w:cs="宋体"/>
          <w:b/>
          <w:bCs/>
        </w:rPr>
      </w:pPr>
      <w:r>
        <w:rPr>
          <w:rFonts w:hint="eastAsia" w:cs="宋体"/>
          <w:b/>
          <w:bCs/>
        </w:rPr>
        <w:t>八、承诺</w:t>
      </w:r>
    </w:p>
    <w:p>
      <w:pPr>
        <w:tabs>
          <w:tab w:val="left" w:pos="0"/>
        </w:tabs>
        <w:spacing w:line="360" w:lineRule="auto"/>
        <w:ind w:firstLine="480" w:firstLineChars="200"/>
        <w:rPr>
          <w:rFonts w:cs="宋体"/>
        </w:rPr>
      </w:pPr>
      <w:r>
        <w:rPr>
          <w:rFonts w:hint="eastAsia" w:cs="宋体"/>
        </w:rPr>
        <w:t>1.发包人承诺按照法律规定履行项目审批手续、筹集工程建设资金并按照合同约定的期限和方式支付合同价款。</w:t>
      </w:r>
    </w:p>
    <w:p>
      <w:pPr>
        <w:tabs>
          <w:tab w:val="left" w:pos="0"/>
        </w:tabs>
        <w:spacing w:line="360" w:lineRule="auto"/>
        <w:ind w:firstLine="480" w:firstLineChars="200"/>
        <w:rPr>
          <w:rFonts w:cs="宋体"/>
        </w:rPr>
      </w:pPr>
      <w:r>
        <w:rPr>
          <w:rFonts w:hint="eastAsia" w:cs="宋体"/>
        </w:rPr>
        <w:t>2.承包人承诺按照法律规定及合同约定组织完成工程施工，确保工程质量和安全，不进行转包及违法分包，并在缺陷责任期及保修期内承担相应的工程维修责任。</w:t>
      </w:r>
    </w:p>
    <w:p>
      <w:pPr>
        <w:tabs>
          <w:tab w:val="left" w:pos="0"/>
        </w:tabs>
        <w:spacing w:line="360" w:lineRule="auto"/>
        <w:ind w:firstLine="480" w:firstLineChars="200"/>
        <w:rPr>
          <w:rFonts w:cs="宋体"/>
        </w:rPr>
      </w:pPr>
      <w:r>
        <w:rPr>
          <w:rFonts w:hint="eastAsia" w:cs="宋体"/>
        </w:rPr>
        <w:t>3.发包人和承包人通过招磋商形式签订合同的，双方理解并承诺不再就同一工程另行签订与合同实质性内容相背离的协议。</w:t>
      </w:r>
    </w:p>
    <w:p>
      <w:pPr>
        <w:tabs>
          <w:tab w:val="left" w:pos="0"/>
        </w:tabs>
        <w:spacing w:line="360" w:lineRule="auto"/>
        <w:rPr>
          <w:rFonts w:cs="宋体"/>
          <w:b/>
          <w:bCs/>
        </w:rPr>
      </w:pPr>
      <w:r>
        <w:rPr>
          <w:rFonts w:hint="eastAsia" w:cs="宋体"/>
          <w:b/>
          <w:bCs/>
        </w:rPr>
        <w:t>九、词语含义</w:t>
      </w:r>
    </w:p>
    <w:p>
      <w:pPr>
        <w:tabs>
          <w:tab w:val="left" w:pos="0"/>
        </w:tabs>
        <w:spacing w:line="360" w:lineRule="auto"/>
        <w:ind w:firstLine="480" w:firstLineChars="200"/>
        <w:rPr>
          <w:rFonts w:cs="宋体"/>
        </w:rPr>
      </w:pPr>
      <w:r>
        <w:rPr>
          <w:rFonts w:hint="eastAsia" w:cs="宋体"/>
        </w:rPr>
        <w:t>本合同中词语含义与第二部分通用合同条款中赋予的含义相同。</w:t>
      </w:r>
    </w:p>
    <w:p>
      <w:pPr>
        <w:tabs>
          <w:tab w:val="left" w:pos="0"/>
        </w:tabs>
        <w:spacing w:line="360" w:lineRule="auto"/>
        <w:rPr>
          <w:rFonts w:cs="宋体"/>
          <w:b/>
          <w:bCs/>
        </w:rPr>
      </w:pPr>
      <w:r>
        <w:rPr>
          <w:rFonts w:hint="eastAsia" w:cs="宋体"/>
          <w:b/>
          <w:bCs/>
        </w:rPr>
        <w:t>十、签订时间</w:t>
      </w:r>
    </w:p>
    <w:p>
      <w:pPr>
        <w:tabs>
          <w:tab w:val="left" w:pos="0"/>
        </w:tabs>
        <w:spacing w:line="360" w:lineRule="auto"/>
        <w:ind w:firstLine="480" w:firstLineChars="200"/>
        <w:rPr>
          <w:rFonts w:cs="宋体"/>
        </w:rPr>
      </w:pPr>
      <w:r>
        <w:rPr>
          <w:rFonts w:hint="eastAsia" w:cs="宋体"/>
        </w:rPr>
        <w:t>本合同于</w:t>
      </w:r>
      <w:r>
        <w:rPr>
          <w:rFonts w:hint="eastAsia" w:cs="宋体"/>
          <w:u w:val="single"/>
        </w:rPr>
        <w:t xml:space="preserve">        </w:t>
      </w:r>
      <w:r>
        <w:rPr>
          <w:rFonts w:hint="eastAsia" w:cs="宋体"/>
        </w:rPr>
        <w:t>年</w:t>
      </w:r>
      <w:r>
        <w:rPr>
          <w:rFonts w:hint="eastAsia" w:cs="宋体"/>
          <w:u w:val="single"/>
        </w:rPr>
        <w:t xml:space="preserve">       </w:t>
      </w:r>
      <w:r>
        <w:rPr>
          <w:rFonts w:hint="eastAsia" w:cs="宋体"/>
        </w:rPr>
        <w:t>月</w:t>
      </w:r>
      <w:r>
        <w:rPr>
          <w:rFonts w:hint="eastAsia" w:cs="宋体"/>
          <w:u w:val="single"/>
        </w:rPr>
        <w:t xml:space="preserve">      </w:t>
      </w:r>
      <w:r>
        <w:rPr>
          <w:rFonts w:hint="eastAsia" w:cs="宋体"/>
        </w:rPr>
        <w:t>日签订。</w:t>
      </w:r>
    </w:p>
    <w:p>
      <w:pPr>
        <w:tabs>
          <w:tab w:val="left" w:pos="0"/>
        </w:tabs>
        <w:spacing w:line="360" w:lineRule="auto"/>
        <w:rPr>
          <w:rFonts w:cs="宋体"/>
          <w:b/>
          <w:bCs/>
        </w:rPr>
      </w:pPr>
      <w:r>
        <w:rPr>
          <w:rFonts w:hint="eastAsia" w:cs="宋体"/>
          <w:b/>
          <w:bCs/>
        </w:rPr>
        <w:t>十一、签订地点</w:t>
      </w:r>
    </w:p>
    <w:p>
      <w:pPr>
        <w:tabs>
          <w:tab w:val="left" w:pos="0"/>
        </w:tabs>
        <w:spacing w:line="360" w:lineRule="auto"/>
        <w:ind w:firstLine="480" w:firstLineChars="200"/>
        <w:rPr>
          <w:rFonts w:cs="宋体"/>
        </w:rPr>
      </w:pPr>
      <w:r>
        <w:rPr>
          <w:rFonts w:hint="eastAsia" w:cs="宋体"/>
        </w:rPr>
        <w:t>本合同在</w:t>
      </w:r>
      <w:r>
        <w:rPr>
          <w:rFonts w:hint="eastAsia" w:cs="宋体"/>
          <w:u w:val="single"/>
        </w:rPr>
        <w:t xml:space="preserve">                                           </w:t>
      </w:r>
      <w:r>
        <w:rPr>
          <w:rFonts w:hint="eastAsia" w:cs="宋体"/>
        </w:rPr>
        <w:t>签订。</w:t>
      </w:r>
    </w:p>
    <w:p>
      <w:pPr>
        <w:tabs>
          <w:tab w:val="left" w:pos="0"/>
        </w:tabs>
        <w:spacing w:line="360" w:lineRule="auto"/>
        <w:rPr>
          <w:rFonts w:cs="宋体"/>
          <w:b/>
          <w:bCs/>
        </w:rPr>
      </w:pPr>
      <w:r>
        <w:rPr>
          <w:rFonts w:hint="eastAsia" w:cs="宋体"/>
          <w:b/>
          <w:bCs/>
        </w:rPr>
        <w:t>十二、补充协议</w:t>
      </w:r>
    </w:p>
    <w:p>
      <w:pPr>
        <w:tabs>
          <w:tab w:val="left" w:pos="0"/>
        </w:tabs>
        <w:spacing w:line="360" w:lineRule="auto"/>
        <w:ind w:firstLine="480" w:firstLineChars="200"/>
        <w:rPr>
          <w:rFonts w:cs="宋体"/>
        </w:rPr>
      </w:pPr>
      <w:r>
        <w:rPr>
          <w:rFonts w:hint="eastAsia" w:cs="宋体"/>
        </w:rPr>
        <w:t>合同未尽事宜，合同当事人另行签订补充协议，补充协议是合同的组成部分。</w:t>
      </w:r>
    </w:p>
    <w:p>
      <w:pPr>
        <w:tabs>
          <w:tab w:val="left" w:pos="0"/>
        </w:tabs>
        <w:spacing w:line="360" w:lineRule="auto"/>
        <w:rPr>
          <w:rFonts w:cs="宋体"/>
          <w:b/>
          <w:bCs/>
        </w:rPr>
      </w:pPr>
      <w:r>
        <w:rPr>
          <w:rFonts w:hint="eastAsia" w:cs="宋体"/>
          <w:b/>
          <w:bCs/>
        </w:rPr>
        <w:t>十三、合同生效</w:t>
      </w:r>
    </w:p>
    <w:p>
      <w:pPr>
        <w:tabs>
          <w:tab w:val="left" w:pos="0"/>
        </w:tabs>
        <w:spacing w:line="360" w:lineRule="auto"/>
        <w:ind w:firstLine="480" w:firstLineChars="200"/>
        <w:rPr>
          <w:rFonts w:cs="宋体"/>
        </w:rPr>
      </w:pPr>
      <w:r>
        <w:rPr>
          <w:rFonts w:hint="eastAsia" w:cs="宋体"/>
        </w:rPr>
        <w:t>本合同自</w:t>
      </w:r>
      <w:r>
        <w:rPr>
          <w:rFonts w:hint="eastAsia" w:cs="宋体"/>
          <w:u w:val="single"/>
        </w:rPr>
        <w:t xml:space="preserve">                           </w:t>
      </w:r>
      <w:r>
        <w:rPr>
          <w:rFonts w:hint="eastAsia" w:cs="宋体"/>
        </w:rPr>
        <w:t>生效。</w:t>
      </w:r>
    </w:p>
    <w:p>
      <w:pPr>
        <w:tabs>
          <w:tab w:val="left" w:pos="0"/>
        </w:tabs>
        <w:spacing w:line="360" w:lineRule="auto"/>
        <w:rPr>
          <w:rFonts w:cs="宋体"/>
          <w:b/>
          <w:bCs/>
        </w:rPr>
      </w:pPr>
      <w:r>
        <w:rPr>
          <w:rFonts w:hint="eastAsia" w:cs="宋体"/>
          <w:b/>
          <w:bCs/>
        </w:rPr>
        <w:t>十四、合同份数</w:t>
      </w:r>
    </w:p>
    <w:p>
      <w:pPr>
        <w:tabs>
          <w:tab w:val="left" w:pos="0"/>
        </w:tabs>
        <w:spacing w:line="360" w:lineRule="auto"/>
        <w:ind w:firstLine="480" w:firstLineChars="200"/>
        <w:rPr>
          <w:rFonts w:cs="宋体"/>
        </w:rPr>
      </w:pPr>
      <w:r>
        <w:rPr>
          <w:rFonts w:hint="eastAsia" w:cs="宋体"/>
        </w:rPr>
        <w:t>本合同一式</w:t>
      </w:r>
      <w:r>
        <w:rPr>
          <w:rFonts w:hint="eastAsia" w:cs="宋体"/>
          <w:u w:val="single"/>
        </w:rPr>
        <w:t xml:space="preserve">       </w:t>
      </w:r>
      <w:r>
        <w:rPr>
          <w:rFonts w:hint="eastAsia" w:cs="宋体"/>
        </w:rPr>
        <w:t>份，均具有同等法律效力，发包人执</w:t>
      </w:r>
      <w:r>
        <w:rPr>
          <w:rFonts w:hint="eastAsia" w:cs="宋体"/>
          <w:u w:val="single"/>
        </w:rPr>
        <w:t xml:space="preserve">    </w:t>
      </w:r>
      <w:r>
        <w:rPr>
          <w:rFonts w:hint="eastAsia" w:cs="宋体"/>
        </w:rPr>
        <w:t>份，承包人执</w:t>
      </w:r>
      <w:r>
        <w:rPr>
          <w:rFonts w:hint="eastAsia" w:cs="宋体"/>
          <w:u w:val="single"/>
        </w:rPr>
        <w:t xml:space="preserve">    </w:t>
      </w:r>
      <w:r>
        <w:rPr>
          <w:rFonts w:hint="eastAsia" w:cs="宋体"/>
        </w:rPr>
        <w:t>份。</w:t>
      </w:r>
    </w:p>
    <w:p>
      <w:pPr>
        <w:tabs>
          <w:tab w:val="left" w:pos="0"/>
        </w:tabs>
        <w:spacing w:line="360" w:lineRule="auto"/>
        <w:rPr>
          <w:rFonts w:cs="宋体"/>
        </w:rPr>
      </w:pPr>
    </w:p>
    <w:p>
      <w:pPr>
        <w:tabs>
          <w:tab w:val="left" w:pos="0"/>
        </w:tabs>
        <w:spacing w:line="360" w:lineRule="auto"/>
        <w:rPr>
          <w:rFonts w:cs="宋体"/>
        </w:rPr>
      </w:pPr>
    </w:p>
    <w:p>
      <w:pPr>
        <w:tabs>
          <w:tab w:val="left" w:pos="0"/>
        </w:tabs>
        <w:spacing w:line="360" w:lineRule="auto"/>
        <w:rPr>
          <w:rFonts w:cs="宋体"/>
        </w:rPr>
      </w:pPr>
      <w:r>
        <w:rPr>
          <w:rFonts w:hint="eastAsia" w:cs="宋体"/>
        </w:rPr>
        <w:t>发包人：（公章）                    承包人：（公章）</w:t>
      </w:r>
    </w:p>
    <w:p>
      <w:pPr>
        <w:tabs>
          <w:tab w:val="left" w:pos="0"/>
        </w:tabs>
        <w:spacing w:line="360" w:lineRule="auto"/>
        <w:rPr>
          <w:rFonts w:cs="宋体"/>
        </w:rPr>
      </w:pPr>
    </w:p>
    <w:p>
      <w:pPr>
        <w:tabs>
          <w:tab w:val="left" w:pos="0"/>
        </w:tabs>
        <w:spacing w:line="360" w:lineRule="auto"/>
        <w:rPr>
          <w:rFonts w:cs="宋体"/>
        </w:rPr>
      </w:pPr>
      <w:r>
        <w:rPr>
          <w:rFonts w:hint="eastAsia" w:cs="宋体"/>
        </w:rPr>
        <w:t>法定代表人或其委托代理人：          法定代表人或其委托代理人：</w:t>
      </w:r>
    </w:p>
    <w:p>
      <w:pPr>
        <w:tabs>
          <w:tab w:val="left" w:pos="0"/>
        </w:tabs>
        <w:spacing w:line="360" w:lineRule="auto"/>
        <w:rPr>
          <w:rFonts w:cs="宋体"/>
        </w:rPr>
      </w:pPr>
      <w:r>
        <w:rPr>
          <w:rFonts w:hint="eastAsia" w:cs="宋体"/>
        </w:rPr>
        <w:t>（签字）                            （签字）</w:t>
      </w:r>
    </w:p>
    <w:p>
      <w:pPr>
        <w:tabs>
          <w:tab w:val="left" w:pos="0"/>
        </w:tabs>
        <w:spacing w:line="360" w:lineRule="auto"/>
        <w:rPr>
          <w:rFonts w:cs="宋体"/>
        </w:rPr>
      </w:pPr>
    </w:p>
    <w:p>
      <w:pPr>
        <w:tabs>
          <w:tab w:val="left" w:pos="0"/>
        </w:tabs>
        <w:spacing w:line="360" w:lineRule="auto"/>
        <w:rPr>
          <w:rFonts w:cs="宋体"/>
        </w:rPr>
      </w:pPr>
      <w:r>
        <w:rPr>
          <w:rFonts w:hint="eastAsia" w:cs="宋体"/>
        </w:rPr>
        <w:t>地址：                              地址：</w:t>
      </w:r>
    </w:p>
    <w:p>
      <w:pPr>
        <w:tabs>
          <w:tab w:val="left" w:pos="0"/>
        </w:tabs>
        <w:spacing w:line="360" w:lineRule="auto"/>
        <w:rPr>
          <w:rFonts w:cs="宋体"/>
        </w:rPr>
      </w:pPr>
      <w:r>
        <w:rPr>
          <w:rFonts w:hint="eastAsia" w:cs="宋体"/>
        </w:rPr>
        <w:t>政编码：                            邮编码：</w:t>
      </w:r>
    </w:p>
    <w:p>
      <w:pPr>
        <w:tabs>
          <w:tab w:val="left" w:pos="0"/>
        </w:tabs>
        <w:spacing w:line="360" w:lineRule="auto"/>
        <w:rPr>
          <w:rFonts w:cs="宋体"/>
        </w:rPr>
      </w:pPr>
      <w:r>
        <w:rPr>
          <w:rFonts w:hint="eastAsia" w:cs="宋体"/>
        </w:rPr>
        <w:t>电话/传真：                         电话/传真：</w:t>
      </w:r>
    </w:p>
    <w:p>
      <w:pPr>
        <w:tabs>
          <w:tab w:val="left" w:pos="0"/>
        </w:tabs>
        <w:spacing w:line="360" w:lineRule="auto"/>
        <w:rPr>
          <w:rFonts w:cs="宋体"/>
        </w:rPr>
      </w:pPr>
      <w:r>
        <w:rPr>
          <w:rFonts w:hint="eastAsia" w:cs="宋体"/>
        </w:rPr>
        <w:t>电子信箱：                          电子信箱：</w:t>
      </w:r>
    </w:p>
    <w:p>
      <w:pPr>
        <w:tabs>
          <w:tab w:val="left" w:pos="0"/>
        </w:tabs>
        <w:spacing w:line="360" w:lineRule="auto"/>
        <w:rPr>
          <w:rFonts w:cs="宋体"/>
        </w:rPr>
      </w:pPr>
      <w:r>
        <w:rPr>
          <w:rFonts w:hint="eastAsia" w:cs="宋体"/>
        </w:rPr>
        <w:t>开户银行：                          开户银行：</w:t>
      </w:r>
    </w:p>
    <w:p>
      <w:pPr>
        <w:tabs>
          <w:tab w:val="left" w:pos="4080"/>
          <w:tab w:val="left" w:pos="4320"/>
        </w:tabs>
        <w:spacing w:line="360" w:lineRule="auto"/>
      </w:pPr>
      <w:r>
        <w:rPr>
          <w:rFonts w:hint="eastAsia" w:cs="宋体"/>
        </w:rPr>
        <w:t>账号：                              账号：</w:t>
      </w:r>
      <w:bookmarkEnd w:id="171"/>
      <w:bookmarkEnd w:id="172"/>
      <w:bookmarkEnd w:id="173"/>
      <w:bookmarkStart w:id="175" w:name="_Toc41037911"/>
      <w:bookmarkStart w:id="176" w:name="_Toc45897714"/>
      <w:r>
        <w:rPr>
          <w:rFonts w:hint="eastAsia"/>
        </w:rPr>
        <w:br w:type="page"/>
      </w:r>
    </w:p>
    <w:p>
      <w:pPr>
        <w:pStyle w:val="3"/>
        <w:numPr>
          <w:ilvl w:val="0"/>
          <w:numId w:val="1"/>
        </w:numPr>
        <w:spacing w:before="0" w:after="0"/>
        <w:ind w:left="0" w:firstLine="0"/>
      </w:pPr>
      <w:bookmarkStart w:id="177" w:name="_Toc30427"/>
      <w:r>
        <w:rPr>
          <w:rFonts w:hint="eastAsia"/>
        </w:rPr>
        <w:t>工程量清单</w:t>
      </w:r>
      <w:bookmarkEnd w:id="175"/>
      <w:bookmarkEnd w:id="176"/>
      <w:bookmarkEnd w:id="177"/>
    </w:p>
    <w:p>
      <w:pPr>
        <w:spacing w:line="360" w:lineRule="auto"/>
      </w:pPr>
    </w:p>
    <w:p>
      <w:pPr>
        <w:spacing w:line="360" w:lineRule="auto"/>
        <w:jc w:val="center"/>
        <w:rPr>
          <w:sz w:val="28"/>
          <w:szCs w:val="28"/>
        </w:rPr>
      </w:pPr>
      <w:r>
        <w:rPr>
          <w:rFonts w:hint="eastAsia" w:cs="宋体"/>
          <w:sz w:val="28"/>
          <w:szCs w:val="28"/>
        </w:rPr>
        <w:t>另册。</w:t>
      </w:r>
    </w:p>
    <w:p>
      <w:pPr>
        <w:spacing w:line="360" w:lineRule="auto"/>
        <w:rPr>
          <w:rFonts w:ascii="宋体" w:hAnsi="宋体"/>
          <w:sz w:val="28"/>
          <w:szCs w:val="28"/>
        </w:rPr>
      </w:pPr>
    </w:p>
    <w:p>
      <w:pPr>
        <w:spacing w:line="360" w:lineRule="auto"/>
        <w:rPr>
          <w:rFonts w:ascii="宋体" w:hAnsi="宋体"/>
          <w:sz w:val="28"/>
          <w:szCs w:val="28"/>
        </w:rPr>
      </w:pPr>
    </w:p>
    <w:p>
      <w:pPr>
        <w:pStyle w:val="2"/>
        <w:spacing w:line="360" w:lineRule="auto"/>
      </w:pPr>
    </w:p>
    <w:p>
      <w:pPr>
        <w:spacing w:line="360" w:lineRule="auto"/>
      </w:pPr>
    </w:p>
    <w:p>
      <w:pPr>
        <w:pStyle w:val="2"/>
        <w:spacing w:line="360" w:lineRule="auto"/>
      </w:pPr>
    </w:p>
    <w:p>
      <w:pPr>
        <w:pStyle w:val="2"/>
        <w:spacing w:line="360" w:lineRule="auto"/>
      </w:pPr>
    </w:p>
    <w:p>
      <w:r>
        <w:rPr>
          <w:rFonts w:hint="eastAsia"/>
        </w:rPr>
        <w:br w:type="page"/>
      </w:r>
    </w:p>
    <w:bookmarkEnd w:id="78"/>
    <w:bookmarkEnd w:id="79"/>
    <w:bookmarkEnd w:id="80"/>
    <w:bookmarkEnd w:id="81"/>
    <w:p>
      <w:pPr>
        <w:pStyle w:val="2"/>
        <w:rPr>
          <w:sz w:val="28"/>
          <w:szCs w:val="28"/>
        </w:rPr>
      </w:pPr>
      <w:r>
        <w:rPr>
          <w:rFonts w:hint="eastAsia"/>
          <w:sz w:val="28"/>
          <w:szCs w:val="28"/>
        </w:rPr>
        <w:t>附件</w:t>
      </w:r>
    </w:p>
    <w:p>
      <w:pPr>
        <w:rPr>
          <w:rFonts w:ascii="宋体" w:hAnsi="宋体" w:cs="宋体"/>
        </w:rPr>
      </w:pPr>
      <w:r>
        <w:rPr>
          <w:rFonts w:hint="eastAsia" w:ascii="宋体" w:hAnsi="宋体" w:cs="宋体"/>
        </w:rPr>
        <w:drawing>
          <wp:inline distT="0" distB="0" distL="114300" distR="114300">
            <wp:extent cx="5527040" cy="7809865"/>
            <wp:effectExtent l="0" t="0" r="16510" b="635"/>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13"/>
                    <a:stretch>
                      <a:fillRect/>
                    </a:stretch>
                  </pic:blipFill>
                  <pic:spPr>
                    <a:xfrm>
                      <a:off x="0" y="0"/>
                      <a:ext cx="5527040" cy="780986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15610" cy="7795260"/>
            <wp:effectExtent l="0" t="0" r="1270" b="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14"/>
                    <a:stretch>
                      <a:fillRect/>
                    </a:stretch>
                  </pic:blipFill>
                  <pic:spPr>
                    <a:xfrm>
                      <a:off x="0" y="0"/>
                      <a:ext cx="5515610" cy="7795260"/>
                    </a:xfrm>
                    <a:prstGeom prst="rect">
                      <a:avLst/>
                    </a:prstGeom>
                    <a:noFill/>
                    <a:ln>
                      <a:noFill/>
                    </a:ln>
                  </pic:spPr>
                </pic:pic>
              </a:graphicData>
            </a:graphic>
          </wp:inline>
        </w:drawing>
      </w:r>
    </w:p>
    <w:p>
      <w:pPr>
        <w:rPr>
          <w:rFonts w:ascii="宋体" w:hAnsi="宋体" w:cs="宋体"/>
        </w:rPr>
      </w:pPr>
    </w:p>
    <w:p>
      <w:pPr>
        <w:rPr>
          <w:rFonts w:ascii="宋体" w:hAnsi="宋体" w:cs="宋体"/>
        </w:rPr>
      </w:pPr>
    </w:p>
    <w:p>
      <w:pPr>
        <w:rPr>
          <w:rFonts w:ascii="宋体" w:hAnsi="宋体" w:cs="宋体"/>
        </w:rPr>
      </w:pPr>
      <w:r>
        <w:rPr>
          <w:rFonts w:hint="eastAsia" w:ascii="宋体" w:hAnsi="宋体" w:cs="宋体"/>
        </w:rPr>
        <w:drawing>
          <wp:inline distT="0" distB="0" distL="114300" distR="114300">
            <wp:extent cx="5506720" cy="7953375"/>
            <wp:effectExtent l="0" t="0" r="2540" b="190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15"/>
                    <a:stretch>
                      <a:fillRect/>
                    </a:stretch>
                  </pic:blipFill>
                  <pic:spPr>
                    <a:xfrm>
                      <a:off x="0" y="0"/>
                      <a:ext cx="5506720" cy="795337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29580" cy="7815580"/>
            <wp:effectExtent l="0" t="0" r="2540" b="254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16"/>
                    <a:stretch>
                      <a:fillRect/>
                    </a:stretch>
                  </pic:blipFill>
                  <pic:spPr>
                    <a:xfrm>
                      <a:off x="0" y="0"/>
                      <a:ext cx="5529580" cy="781558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44185" cy="7837805"/>
            <wp:effectExtent l="0" t="0" r="3175" b="3175"/>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17"/>
                    <a:stretch>
                      <a:fillRect/>
                    </a:stretch>
                  </pic:blipFill>
                  <pic:spPr>
                    <a:xfrm>
                      <a:off x="0" y="0"/>
                      <a:ext cx="5544185" cy="783780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36565" cy="7831455"/>
            <wp:effectExtent l="0" t="0" r="3175" b="1905"/>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18"/>
                    <a:stretch>
                      <a:fillRect/>
                    </a:stretch>
                  </pic:blipFill>
                  <pic:spPr>
                    <a:xfrm>
                      <a:off x="0" y="0"/>
                      <a:ext cx="5536565" cy="783145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26405" cy="7811770"/>
            <wp:effectExtent l="0" t="0" r="5715" b="635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19"/>
                    <a:stretch>
                      <a:fillRect/>
                    </a:stretch>
                  </pic:blipFill>
                  <pic:spPr>
                    <a:xfrm>
                      <a:off x="0" y="0"/>
                      <a:ext cx="5526405" cy="7811770"/>
                    </a:xfrm>
                    <a:prstGeom prst="rect">
                      <a:avLst/>
                    </a:prstGeom>
                    <a:noFill/>
                    <a:ln>
                      <a:noFill/>
                    </a:ln>
                  </pic:spPr>
                </pic:pic>
              </a:graphicData>
            </a:graphic>
          </wp:inline>
        </w:drawing>
      </w:r>
    </w:p>
    <w:p>
      <w:pPr>
        <w:pStyle w:val="63"/>
      </w:pPr>
    </w:p>
    <w:p>
      <w:pPr>
        <w:pStyle w:val="63"/>
      </w:pPr>
    </w:p>
    <w:p>
      <w:pPr>
        <w:pStyle w:val="63"/>
        <w:rPr>
          <w:sz w:val="28"/>
          <w:szCs w:val="28"/>
        </w:rPr>
      </w:pPr>
    </w:p>
    <w:p>
      <w:pPr>
        <w:rPr>
          <w:rFonts w:ascii="宋体" w:hAnsi="宋体" w:cs="宋体"/>
        </w:rPr>
      </w:pPr>
      <w:r>
        <w:rPr>
          <w:rFonts w:hint="eastAsia" w:ascii="宋体" w:hAnsi="宋体" w:cs="宋体"/>
        </w:rPr>
        <w:drawing>
          <wp:inline distT="0" distB="0" distL="114300" distR="114300">
            <wp:extent cx="5495925" cy="7880350"/>
            <wp:effectExtent l="0" t="0" r="5715" b="635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20"/>
                    <a:stretch>
                      <a:fillRect/>
                    </a:stretch>
                  </pic:blipFill>
                  <pic:spPr>
                    <a:xfrm>
                      <a:off x="0" y="0"/>
                      <a:ext cx="5495925" cy="788035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15610" cy="7794625"/>
            <wp:effectExtent l="0" t="0" r="1270" b="635"/>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21"/>
                    <a:stretch>
                      <a:fillRect/>
                    </a:stretch>
                  </pic:blipFill>
                  <pic:spPr>
                    <a:xfrm>
                      <a:off x="0" y="0"/>
                      <a:ext cx="5515610" cy="779462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42915" cy="7840345"/>
            <wp:effectExtent l="0" t="0" r="4445" b="63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22"/>
                    <a:stretch>
                      <a:fillRect/>
                    </a:stretch>
                  </pic:blipFill>
                  <pic:spPr>
                    <a:xfrm>
                      <a:off x="0" y="0"/>
                      <a:ext cx="5542915" cy="784034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08625" cy="7785100"/>
            <wp:effectExtent l="0" t="0" r="635" b="254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3"/>
                    <a:stretch>
                      <a:fillRect/>
                    </a:stretch>
                  </pic:blipFill>
                  <pic:spPr>
                    <a:xfrm>
                      <a:off x="0" y="0"/>
                      <a:ext cx="5508625" cy="778510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sz w:val="28"/>
          <w:szCs w:val="28"/>
        </w:rPr>
      </w:pPr>
    </w:p>
    <w:p>
      <w:pPr>
        <w:rPr>
          <w:rFonts w:ascii="宋体" w:hAnsi="宋体" w:cs="宋体"/>
        </w:rPr>
      </w:pPr>
      <w:r>
        <w:rPr>
          <w:rFonts w:hint="eastAsia" w:ascii="宋体" w:hAnsi="宋体" w:cs="宋体"/>
        </w:rPr>
        <w:drawing>
          <wp:inline distT="0" distB="0" distL="114300" distR="114300">
            <wp:extent cx="5507355" cy="7881620"/>
            <wp:effectExtent l="0" t="0" r="1905" b="508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24"/>
                    <a:stretch>
                      <a:fillRect/>
                    </a:stretch>
                  </pic:blipFill>
                  <pic:spPr>
                    <a:xfrm>
                      <a:off x="0" y="0"/>
                      <a:ext cx="5507355" cy="788162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41010" cy="7837805"/>
            <wp:effectExtent l="0" t="0" r="6350" b="3175"/>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25"/>
                    <a:stretch>
                      <a:fillRect/>
                    </a:stretch>
                  </pic:blipFill>
                  <pic:spPr>
                    <a:xfrm>
                      <a:off x="0" y="0"/>
                      <a:ext cx="5541010" cy="783780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27675" cy="7811770"/>
            <wp:effectExtent l="0" t="0" r="4445" b="6350"/>
            <wp:docPr id="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pic:cNvPicPr>
                      <a:picLocks noChangeAspect="1"/>
                    </pic:cNvPicPr>
                  </pic:nvPicPr>
                  <pic:blipFill>
                    <a:blip r:embed="rId26"/>
                    <a:stretch>
                      <a:fillRect/>
                    </a:stretch>
                  </pic:blipFill>
                  <pic:spPr>
                    <a:xfrm>
                      <a:off x="0" y="0"/>
                      <a:ext cx="5527675" cy="7811770"/>
                    </a:xfrm>
                    <a:prstGeom prst="rect">
                      <a:avLst/>
                    </a:prstGeom>
                    <a:noFill/>
                    <a:ln>
                      <a:noFill/>
                    </a:ln>
                  </pic:spPr>
                </pic:pic>
              </a:graphicData>
            </a:graphic>
          </wp:inline>
        </w:drawing>
      </w:r>
    </w:p>
    <w:p>
      <w:pPr>
        <w:rPr>
          <w:rFonts w:ascii="宋体" w:hAnsi="宋体" w:cs="宋体"/>
          <w:sz w:val="28"/>
          <w:szCs w:val="28"/>
        </w:rPr>
      </w:pPr>
    </w:p>
    <w:p>
      <w:pPr>
        <w:rPr>
          <w:rFonts w:ascii="宋体" w:hAnsi="宋体" w:cs="宋体"/>
          <w:sz w:val="28"/>
          <w:szCs w:val="28"/>
        </w:rPr>
      </w:pPr>
    </w:p>
    <w:p>
      <w:pPr>
        <w:rPr>
          <w:rFonts w:ascii="宋体" w:hAnsi="宋体" w:cs="宋体"/>
        </w:rPr>
      </w:pPr>
      <w:r>
        <w:rPr>
          <w:rFonts w:hint="eastAsia" w:ascii="宋体" w:hAnsi="宋体" w:cs="宋体"/>
        </w:rPr>
        <w:drawing>
          <wp:inline distT="0" distB="0" distL="114300" distR="114300">
            <wp:extent cx="5532120" cy="7818120"/>
            <wp:effectExtent l="0" t="0" r="0" b="0"/>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27"/>
                    <a:stretch>
                      <a:fillRect/>
                    </a:stretch>
                  </pic:blipFill>
                  <pic:spPr>
                    <a:xfrm>
                      <a:off x="0" y="0"/>
                      <a:ext cx="5532120" cy="7818120"/>
                    </a:xfrm>
                    <a:prstGeom prst="rect">
                      <a:avLst/>
                    </a:prstGeom>
                    <a:noFill/>
                    <a:ln>
                      <a:noFill/>
                    </a:ln>
                  </pic:spPr>
                </pic:pic>
              </a:graphicData>
            </a:graphic>
          </wp:inline>
        </w:drawing>
      </w:r>
    </w:p>
    <w:p>
      <w:pPr>
        <w:pStyle w:val="62"/>
        <w:spacing w:before="0" w:after="0" w:line="360" w:lineRule="auto"/>
        <w:ind w:left="1956"/>
        <w:rPr>
          <w:sz w:val="28"/>
        </w:rPr>
      </w:pPr>
    </w:p>
    <w:p>
      <w:pPr>
        <w:rPr>
          <w:rFonts w:ascii="宋体" w:hAnsi="宋体" w:cs="宋体"/>
        </w:rPr>
      </w:pPr>
      <w:r>
        <w:rPr>
          <w:rFonts w:hint="eastAsia" w:ascii="宋体" w:hAnsi="宋体" w:cs="宋体"/>
        </w:rPr>
        <w:drawing>
          <wp:inline distT="0" distB="0" distL="114300" distR="114300">
            <wp:extent cx="5516880" cy="7792085"/>
            <wp:effectExtent l="0" t="0" r="0" b="3175"/>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28"/>
                    <a:stretch>
                      <a:fillRect/>
                    </a:stretch>
                  </pic:blipFill>
                  <pic:spPr>
                    <a:xfrm>
                      <a:off x="0" y="0"/>
                      <a:ext cx="5516880" cy="7792085"/>
                    </a:xfrm>
                    <a:prstGeom prst="rect">
                      <a:avLst/>
                    </a:prstGeom>
                    <a:noFill/>
                    <a:ln>
                      <a:noFill/>
                    </a:ln>
                  </pic:spPr>
                </pic:pic>
              </a:graphicData>
            </a:graphic>
          </wp:inline>
        </w:drawing>
      </w:r>
    </w:p>
    <w:p>
      <w:pPr>
        <w:rPr>
          <w:rFonts w:ascii="宋体" w:hAnsi="宋体" w:cs="宋体"/>
        </w:rPr>
      </w:pPr>
    </w:p>
    <w:p>
      <w:pPr>
        <w:pStyle w:val="2"/>
        <w:rPr>
          <w:rFonts w:ascii="宋体" w:hAnsi="宋体" w:cs="宋体"/>
          <w:sz w:val="28"/>
          <w:szCs w:val="28"/>
        </w:rPr>
      </w:pPr>
    </w:p>
    <w:p>
      <w:pPr>
        <w:pStyle w:val="2"/>
        <w:rPr>
          <w:rFonts w:ascii="宋体" w:hAnsi="宋体" w:cs="宋体"/>
        </w:rPr>
      </w:pPr>
      <w:r>
        <w:rPr>
          <w:rFonts w:hint="eastAsia" w:ascii="宋体" w:hAnsi="宋体" w:cs="宋体"/>
        </w:rPr>
        <w:drawing>
          <wp:inline distT="0" distB="0" distL="114300" distR="114300">
            <wp:extent cx="5511800" cy="7783830"/>
            <wp:effectExtent l="0" t="0" r="5080" b="3810"/>
            <wp:docPr id="4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
                    <pic:cNvPicPr>
                      <a:picLocks noChangeAspect="1"/>
                    </pic:cNvPicPr>
                  </pic:nvPicPr>
                  <pic:blipFill>
                    <a:blip r:embed="rId29"/>
                    <a:stretch>
                      <a:fillRect/>
                    </a:stretch>
                  </pic:blipFill>
                  <pic:spPr>
                    <a:xfrm>
                      <a:off x="0" y="0"/>
                      <a:ext cx="5511800" cy="7783830"/>
                    </a:xfrm>
                    <a:prstGeom prst="rect">
                      <a:avLst/>
                    </a:prstGeom>
                    <a:noFill/>
                    <a:ln>
                      <a:noFill/>
                    </a:ln>
                  </pic:spPr>
                </pic:pic>
              </a:graphicData>
            </a:graphic>
          </wp:inline>
        </w:drawing>
      </w:r>
    </w:p>
    <w:p>
      <w:pPr>
        <w:pStyle w:val="2"/>
        <w:rPr>
          <w:rFonts w:ascii="宋体" w:hAnsi="宋体" w:cs="宋体"/>
        </w:rPr>
      </w:pPr>
    </w:p>
    <w:p>
      <w:pPr>
        <w:pStyle w:val="2"/>
        <w:rPr>
          <w:rFonts w:ascii="宋体" w:hAnsi="宋体" w:cs="宋体"/>
        </w:rPr>
      </w:pPr>
    </w:p>
    <w:p>
      <w:pPr>
        <w:pStyle w:val="2"/>
        <w:rPr>
          <w:rFonts w:ascii="宋体" w:hAnsi="宋体" w:cs="宋体"/>
        </w:rPr>
      </w:pPr>
      <w:r>
        <w:rPr>
          <w:rFonts w:hint="eastAsia" w:ascii="宋体" w:hAnsi="宋体" w:cs="宋体"/>
        </w:rPr>
        <w:drawing>
          <wp:inline distT="0" distB="0" distL="114300" distR="114300">
            <wp:extent cx="5521325" cy="7797165"/>
            <wp:effectExtent l="0" t="0" r="3175" b="5715"/>
            <wp:docPr id="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8"/>
                    <pic:cNvPicPr>
                      <a:picLocks noChangeAspect="1"/>
                    </pic:cNvPicPr>
                  </pic:nvPicPr>
                  <pic:blipFill>
                    <a:blip r:embed="rId30"/>
                    <a:stretch>
                      <a:fillRect/>
                    </a:stretch>
                  </pic:blipFill>
                  <pic:spPr>
                    <a:xfrm>
                      <a:off x="0" y="0"/>
                      <a:ext cx="5521325" cy="7797165"/>
                    </a:xfrm>
                    <a:prstGeom prst="rect">
                      <a:avLst/>
                    </a:prstGeom>
                    <a:noFill/>
                    <a:ln>
                      <a:noFill/>
                    </a:ln>
                  </pic:spPr>
                </pic:pic>
              </a:graphicData>
            </a:graphic>
          </wp:inline>
        </w:drawing>
      </w:r>
    </w:p>
    <w:p>
      <w:pPr>
        <w:pStyle w:val="2"/>
        <w:rPr>
          <w:rFonts w:ascii="宋体" w:hAnsi="宋体" w:cs="宋体"/>
        </w:rPr>
      </w:pPr>
    </w:p>
    <w:p>
      <w:pPr>
        <w:pStyle w:val="2"/>
        <w:rPr>
          <w:rFonts w:ascii="宋体" w:hAnsi="宋体" w:cs="宋体"/>
          <w:sz w:val="28"/>
          <w:szCs w:val="28"/>
        </w:rPr>
      </w:pPr>
    </w:p>
    <w:p>
      <w:pPr>
        <w:pStyle w:val="2"/>
        <w:rPr>
          <w:rFonts w:ascii="宋体" w:hAnsi="宋体" w:cs="宋体"/>
        </w:rPr>
      </w:pPr>
      <w:r>
        <w:rPr>
          <w:rFonts w:hint="eastAsia" w:ascii="宋体" w:hAnsi="宋体" w:cs="宋体"/>
        </w:rPr>
        <w:drawing>
          <wp:inline distT="0" distB="0" distL="114300" distR="114300">
            <wp:extent cx="5520690" cy="7795895"/>
            <wp:effectExtent l="0" t="0" r="3810" b="6985"/>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31"/>
                    <a:stretch>
                      <a:fillRect/>
                    </a:stretch>
                  </pic:blipFill>
                  <pic:spPr>
                    <a:xfrm>
                      <a:off x="0" y="0"/>
                      <a:ext cx="5520690" cy="7795895"/>
                    </a:xfrm>
                    <a:prstGeom prst="rect">
                      <a:avLst/>
                    </a:prstGeom>
                    <a:noFill/>
                    <a:ln>
                      <a:noFill/>
                    </a:ln>
                  </pic:spPr>
                </pic:pic>
              </a:graphicData>
            </a:graphic>
          </wp:inline>
        </w:drawing>
      </w:r>
    </w:p>
    <w:p>
      <w:pPr>
        <w:pStyle w:val="2"/>
        <w:rPr>
          <w:rFonts w:ascii="宋体" w:hAnsi="宋体" w:cs="宋体"/>
        </w:rPr>
      </w:pPr>
    </w:p>
    <w:p>
      <w:pPr>
        <w:pStyle w:val="2"/>
        <w:rPr>
          <w:rFonts w:ascii="宋体" w:hAnsi="宋体" w:cs="宋体"/>
          <w:sz w:val="28"/>
          <w:szCs w:val="28"/>
        </w:rPr>
      </w:pPr>
    </w:p>
    <w:p>
      <w:pPr>
        <w:pStyle w:val="2"/>
        <w:rPr>
          <w:rFonts w:ascii="宋体" w:hAnsi="宋体" w:cs="宋体"/>
        </w:rPr>
      </w:pPr>
      <w:r>
        <w:rPr>
          <w:rFonts w:hint="eastAsia" w:ascii="宋体" w:hAnsi="宋体" w:cs="宋体"/>
        </w:rPr>
        <w:drawing>
          <wp:inline distT="0" distB="0" distL="114300" distR="114300">
            <wp:extent cx="5538470" cy="7822565"/>
            <wp:effectExtent l="0" t="0" r="1270" b="3175"/>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32"/>
                    <a:stretch>
                      <a:fillRect/>
                    </a:stretch>
                  </pic:blipFill>
                  <pic:spPr>
                    <a:xfrm>
                      <a:off x="0" y="0"/>
                      <a:ext cx="5538470" cy="7822565"/>
                    </a:xfrm>
                    <a:prstGeom prst="rect">
                      <a:avLst/>
                    </a:prstGeom>
                    <a:noFill/>
                    <a:ln>
                      <a:noFill/>
                    </a:ln>
                  </pic:spPr>
                </pic:pic>
              </a:graphicData>
            </a:graphic>
          </wp:inline>
        </w:drawing>
      </w:r>
    </w:p>
    <w:p/>
    <w:p>
      <w:pPr>
        <w:pStyle w:val="2"/>
        <w:rPr>
          <w:rFonts w:ascii="宋体" w:hAnsi="宋体" w:cs="宋体"/>
        </w:rPr>
      </w:pPr>
    </w:p>
    <w:p>
      <w:pPr>
        <w:pStyle w:val="2"/>
        <w:rPr>
          <w:rFonts w:ascii="宋体" w:hAnsi="宋体" w:cs="宋体"/>
        </w:rPr>
      </w:pPr>
      <w:r>
        <w:rPr>
          <w:rFonts w:hint="eastAsia" w:ascii="宋体" w:hAnsi="宋体" w:cs="宋体"/>
        </w:rPr>
        <w:drawing>
          <wp:inline distT="0" distB="0" distL="114300" distR="114300">
            <wp:extent cx="5530850" cy="7810500"/>
            <wp:effectExtent l="0" t="0" r="1270" b="0"/>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33"/>
                    <a:stretch>
                      <a:fillRect/>
                    </a:stretch>
                  </pic:blipFill>
                  <pic:spPr>
                    <a:xfrm>
                      <a:off x="0" y="0"/>
                      <a:ext cx="5530850" cy="7810500"/>
                    </a:xfrm>
                    <a:prstGeom prst="rect">
                      <a:avLst/>
                    </a:prstGeom>
                    <a:noFill/>
                    <a:ln>
                      <a:noFill/>
                    </a:ln>
                  </pic:spPr>
                </pic:pic>
              </a:graphicData>
            </a:graphic>
          </wp:inline>
        </w:drawing>
      </w:r>
    </w:p>
    <w:p>
      <w:pPr>
        <w:pStyle w:val="2"/>
        <w:rPr>
          <w:rFonts w:ascii="宋体" w:hAnsi="宋体" w:cs="宋体"/>
        </w:rPr>
      </w:pPr>
    </w:p>
    <w:p>
      <w:pPr>
        <w:pStyle w:val="62"/>
        <w:spacing w:before="0" w:after="0" w:line="360" w:lineRule="auto"/>
        <w:ind w:left="0" w:firstLine="0"/>
        <w:jc w:val="both"/>
        <w:rPr>
          <w:sz w:val="28"/>
        </w:rPr>
      </w:pPr>
    </w:p>
    <w:p>
      <w:pPr>
        <w:pStyle w:val="2"/>
        <w:spacing w:after="0" w:line="360" w:lineRule="auto"/>
        <w:rPr>
          <w:rFonts w:ascii="宋体" w:hAnsi="宋体" w:cs="宋体"/>
          <w:sz w:val="28"/>
          <w:szCs w:val="28"/>
        </w:rPr>
      </w:pPr>
      <w:r>
        <w:rPr>
          <w:rFonts w:hint="eastAsia" w:ascii="宋体" w:hAnsi="宋体" w:cs="宋体"/>
          <w:sz w:val="28"/>
          <w:szCs w:val="28"/>
        </w:rPr>
        <w:drawing>
          <wp:inline distT="0" distB="0" distL="114300" distR="114300">
            <wp:extent cx="5497195" cy="7777480"/>
            <wp:effectExtent l="0" t="0" r="4445" b="2540"/>
            <wp:docPr id="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2"/>
                    <pic:cNvPicPr>
                      <a:picLocks noChangeAspect="1"/>
                    </pic:cNvPicPr>
                  </pic:nvPicPr>
                  <pic:blipFill>
                    <a:blip r:embed="rId34"/>
                    <a:stretch>
                      <a:fillRect/>
                    </a:stretch>
                  </pic:blipFill>
                  <pic:spPr>
                    <a:xfrm>
                      <a:off x="0" y="0"/>
                      <a:ext cx="5497195" cy="7777480"/>
                    </a:xfrm>
                    <a:prstGeom prst="rect">
                      <a:avLst/>
                    </a:prstGeom>
                    <a:noFill/>
                    <a:ln>
                      <a:noFill/>
                    </a:ln>
                  </pic:spPr>
                </pic:pic>
              </a:graphicData>
            </a:graphic>
          </wp:inline>
        </w:drawing>
      </w:r>
    </w:p>
    <w:p/>
    <w:p>
      <w:pPr>
        <w:pStyle w:val="62"/>
        <w:spacing w:before="0" w:after="0" w:line="360" w:lineRule="auto"/>
        <w:ind w:left="1956"/>
        <w:rPr>
          <w:sz w:val="28"/>
        </w:rPr>
      </w:pPr>
    </w:p>
    <w:p>
      <w:pPr>
        <w:pStyle w:val="63"/>
      </w:pPr>
    </w:p>
    <w:p>
      <w:pPr>
        <w:pStyle w:val="2"/>
        <w:spacing w:line="360" w:lineRule="auto"/>
        <w:rPr>
          <w:rFonts w:ascii="宋体" w:hAnsi="宋体" w:cs="宋体"/>
          <w:sz w:val="28"/>
          <w:szCs w:val="28"/>
        </w:rPr>
      </w:pPr>
      <w:r>
        <w:rPr>
          <w:rFonts w:hint="eastAsia" w:ascii="宋体" w:hAnsi="宋体" w:cs="宋体"/>
          <w:sz w:val="28"/>
          <w:szCs w:val="28"/>
        </w:rPr>
        <w:drawing>
          <wp:inline distT="0" distB="0" distL="114300" distR="114300">
            <wp:extent cx="5532120" cy="7456805"/>
            <wp:effectExtent l="0" t="0" r="0" b="3175"/>
            <wp:docPr id="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3"/>
                    <pic:cNvPicPr>
                      <a:picLocks noChangeAspect="1"/>
                    </pic:cNvPicPr>
                  </pic:nvPicPr>
                  <pic:blipFill>
                    <a:blip r:embed="rId35"/>
                    <a:stretch>
                      <a:fillRect/>
                    </a:stretch>
                  </pic:blipFill>
                  <pic:spPr>
                    <a:xfrm>
                      <a:off x="0" y="0"/>
                      <a:ext cx="5532120" cy="7456805"/>
                    </a:xfrm>
                    <a:prstGeom prst="rect">
                      <a:avLst/>
                    </a:prstGeom>
                    <a:noFill/>
                    <a:ln>
                      <a:noFill/>
                    </a:ln>
                  </pic:spPr>
                </pic:pic>
              </a:graphicData>
            </a:graphic>
          </wp:inline>
        </w:drawing>
      </w:r>
    </w:p>
    <w:p/>
    <w:p>
      <w:pPr>
        <w:pStyle w:val="2"/>
      </w:pPr>
      <w:r>
        <w:rPr>
          <w:sz w:val="28"/>
          <w:szCs w:val="28"/>
        </w:rPr>
        <w:drawing>
          <wp:anchor distT="0" distB="0" distL="114300" distR="114300" simplePos="0" relativeHeight="251659264" behindDoc="0" locked="0" layoutInCell="1" allowOverlap="1">
            <wp:simplePos x="0" y="0"/>
            <wp:positionH relativeFrom="column">
              <wp:posOffset>-57150</wp:posOffset>
            </wp:positionH>
            <wp:positionV relativeFrom="paragraph">
              <wp:posOffset>132080</wp:posOffset>
            </wp:positionV>
            <wp:extent cx="5267325" cy="7086600"/>
            <wp:effectExtent l="0" t="0" r="3175"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67325" cy="7086600"/>
                    </a:xfrm>
                    <a:prstGeom prst="rect">
                      <a:avLst/>
                    </a:prstGeom>
                    <a:noFill/>
                    <a:ln>
                      <a:noFill/>
                    </a:ln>
                  </pic:spPr>
                </pic:pic>
              </a:graphicData>
            </a:graphic>
          </wp:anchor>
        </w:drawing>
      </w:r>
    </w:p>
    <w:p>
      <w:pPr>
        <w:spacing w:line="360" w:lineRule="auto"/>
        <w:jc w:val="both"/>
        <w:rPr>
          <w:sz w:val="28"/>
          <w:szCs w:val="28"/>
        </w:rPr>
      </w:pPr>
    </w:p>
    <w:p>
      <w:pPr>
        <w:pStyle w:val="62"/>
        <w:spacing w:before="0" w:after="0" w:line="360" w:lineRule="auto"/>
        <w:ind w:left="0" w:firstLine="0"/>
        <w:jc w:val="both"/>
        <w:rPr>
          <w:sz w:val="28"/>
        </w:rPr>
      </w:pPr>
    </w:p>
    <w:p>
      <w:pPr>
        <w:pStyle w:val="63"/>
      </w:pPr>
    </w:p>
    <w:p>
      <w:pPr>
        <w:jc w:val="center"/>
      </w:pPr>
      <w:r>
        <w:drawing>
          <wp:inline distT="0" distB="0" distL="0" distR="0">
            <wp:extent cx="5542280" cy="6209030"/>
            <wp:effectExtent l="0" t="0" r="5080" b="1270"/>
            <wp:docPr id="23" name="图片 23" descr="C:\Users\Administrator\Documents\Tencent Files\289847133\Image\ImageEditor\20210421150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Documents\Tencent Files\289847133\Image\ImageEditor\2021042115061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542280" cy="6209030"/>
                    </a:xfrm>
                    <a:prstGeom prst="rect">
                      <a:avLst/>
                    </a:prstGeom>
                    <a:noFill/>
                    <a:ln>
                      <a:noFill/>
                    </a:ln>
                  </pic:spPr>
                </pic:pic>
              </a:graphicData>
            </a:graphic>
          </wp:inline>
        </w:drawing>
      </w:r>
    </w:p>
    <w:p/>
    <w:p>
      <w:pPr>
        <w:spacing w:line="360" w:lineRule="auto"/>
      </w:pPr>
    </w:p>
    <w:sectPr>
      <w:footerReference r:id="rId11" w:type="first"/>
      <w:headerReference r:id="rId8" w:type="default"/>
      <w:footerReference r:id="rId9" w:type="default"/>
      <w:footerReference r:id="rId10" w:type="even"/>
      <w:pgSz w:w="11906" w:h="16838"/>
      <w:pgMar w:top="1758" w:right="1588" w:bottom="1758" w:left="1588"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Narrow">
    <w:panose1 w:val="020B0606020202030204"/>
    <w:charset w:val="00"/>
    <w:family w:val="swiss"/>
    <w:pitch w:val="default"/>
    <w:sig w:usb0="00000287" w:usb1="00000800" w:usb2="00000000" w:usb3="00000000" w:csb0="2000009F" w:csb1="DFD7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2FF" w:usb1="400004FF" w:usb2="00000000" w:usb3="00000000" w:csb0="2000019F" w:csb1="00000000"/>
  </w:font>
  <w:font w:name="Consolas">
    <w:panose1 w:val="020B0609020204030204"/>
    <w:charset w:val="00"/>
    <w:family w:val="modern"/>
    <w:pitch w:val="default"/>
    <w:sig w:usb0="E10002FF" w:usb1="4000FCFF" w:usb2="00000009" w:usb3="00000000" w:csb0="6000019F" w:csb1="DFD70000"/>
  </w:font>
  <w:font w:name="ˎ̥">
    <w:altName w:val="Times New Roman"/>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10006FF" w:usb1="4000205B" w:usb2="00000010" w:usb3="00000000" w:csb0="2000019F" w:csb1="00000000"/>
  </w:font>
  <w:font w:name="楷体à.ā">
    <w:altName w:val="黑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Times New (W1)">
    <w:altName w:val="Segoe Print"/>
    <w:panose1 w:val="00000000000000000000"/>
    <w:charset w:val="00"/>
    <w:family w:val="roman"/>
    <w:pitch w:val="default"/>
    <w:sig w:usb0="00000000" w:usb1="00000000" w:usb2="00000008" w:usb3="00000000" w:csb0="000001FF" w:csb1="00000000"/>
  </w:font>
  <w:font w:name="方正仿宋">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隶书">
    <w:panose1 w:val="02010509060101010101"/>
    <w:charset w:val="86"/>
    <w:family w:val="modern"/>
    <w:pitch w:val="default"/>
    <w:sig w:usb0="00000001" w:usb1="080E0000" w:usb2="00000000" w:usb3="00000000" w:csb0="00040000" w:csb1="00000000"/>
  </w:font>
  <w:font w:name="Microsoft YaHei UI">
    <w:panose1 w:val="020B0503020204020204"/>
    <w:charset w:val="86"/>
    <w:family w:val="swiss"/>
    <w:pitch w:val="default"/>
    <w:sig w:usb0="80000287" w:usb1="28CF3C52" w:usb2="00000016" w:usb3="00000000" w:csb0="0004001F" w:csb1="00000000"/>
  </w:font>
  <w:font w:name="Arial (W1)">
    <w:altName w:val="Arial"/>
    <w:panose1 w:val="00000000000000000000"/>
    <w:charset w:val="00"/>
    <w:family w:val="auto"/>
    <w:pitch w:val="default"/>
    <w:sig w:usb0="00000000" w:usb1="00000000" w:usb2="00000008" w:usb3="00000000" w:csb0="000001FF"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华文中宋">
    <w:panose1 w:val="02010600040101010101"/>
    <w:charset w:val="86"/>
    <w:family w:val="auto"/>
    <w:pitch w:val="default"/>
    <w:sig w:usb0="00000287" w:usb1="080F0000" w:usb2="00000000" w:usb3="00000000" w:csb0="0004009F" w:csb1="DFD70000"/>
  </w:font>
  <w:font w:name="Helvetica">
    <w:altName w:val="Arial"/>
    <w:panose1 w:val="020B0604020202020204"/>
    <w:charset w:val="00"/>
    <w:family w:val="swiss"/>
    <w:pitch w:val="default"/>
    <w:sig w:usb0="00000000" w:usb1="00000000" w:usb2="00000000" w:usb3="00000000" w:csb0="00000001" w:csb1="00000000"/>
  </w:font>
  <w:font w:name="Cambria Math">
    <w:panose1 w:val="02040503050406030204"/>
    <w:charset w:val="00"/>
    <w:family w:val="roman"/>
    <w:pitch w:val="default"/>
    <w:sig w:usb0="E00002FF" w:usb1="420024FF" w:usb2="00000000" w:usb3="00000000" w:csb0="2000019F" w:csb1="00000000"/>
  </w:font>
  <w:font w:name="MingLiU">
    <w:panose1 w:val="02020509000000000000"/>
    <w:charset w:val="88"/>
    <w:family w:val="modern"/>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50"/>
      </w:rPr>
    </w:pPr>
    <w:r>
      <w:fldChar w:fldCharType="begin"/>
    </w:r>
    <w:r>
      <w:rPr>
        <w:rStyle w:val="50"/>
      </w:rPr>
      <w:instrText xml:space="preserve">PAGE  </w:instrText>
    </w:r>
    <w:r>
      <w:fldChar w:fldCharType="end"/>
    </w:r>
  </w:p>
  <w:p>
    <w:pPr>
      <w:pStyle w:val="2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50"/>
      </w:rPr>
    </w:pPr>
    <w:r>
      <w:fldChar w:fldCharType="begin"/>
    </w:r>
    <w:r>
      <w:rPr>
        <w:rStyle w:val="50"/>
      </w:rPr>
      <w:instrText xml:space="preserve">PAGE  </w:instrText>
    </w:r>
    <w:r>
      <w:fldChar w:fldCharType="separate"/>
    </w:r>
    <w:r>
      <w:rPr>
        <w:rStyle w:val="50"/>
      </w:rPr>
      <w:t>6</w:t>
    </w:r>
    <w:r>
      <w:fldChar w:fldCharType="end"/>
    </w:r>
  </w:p>
  <w:p>
    <w:pPr>
      <w:pStyle w:val="2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10399392"/>
    </w:sdtPr>
    <w:sdtContent>
      <w:p>
        <w:pPr>
          <w:pStyle w:val="29"/>
          <w:jc w:val="center"/>
        </w:pPr>
        <w:r>
          <w:fldChar w:fldCharType="begin"/>
        </w:r>
        <w:r>
          <w:instrText xml:space="preserve">PAGE   \* MERGEFORMAT</w:instrText>
        </w:r>
        <w:r>
          <w:fldChar w:fldCharType="separate"/>
        </w:r>
        <w:r>
          <w:rPr>
            <w:lang w:val="zh-CN"/>
          </w:rPr>
          <w:t>9</w:t>
        </w:r>
        <w:r>
          <w:fldChar w:fldCharType="end"/>
        </w:r>
      </w:p>
    </w:sdtContent>
  </w:sdt>
  <w:p>
    <w:pPr>
      <w:pStyle w:val="2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50"/>
      </w:rPr>
    </w:pPr>
    <w:r>
      <w:fldChar w:fldCharType="begin"/>
    </w:r>
    <w:r>
      <w:rPr>
        <w:rStyle w:val="50"/>
      </w:rPr>
      <w:instrText xml:space="preserve">PAGE  </w:instrText>
    </w:r>
    <w:r>
      <w:fldChar w:fldCharType="separate"/>
    </w:r>
    <w:r>
      <w:rPr>
        <w:rStyle w:val="50"/>
      </w:rPr>
      <w:t>6</w:t>
    </w:r>
    <w:r>
      <w:fldChar w:fldCharType="end"/>
    </w:r>
  </w:p>
  <w:p>
    <w:pPr>
      <w:pStyle w:val="2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50"/>
      </w:rPr>
    </w:pPr>
    <w:r>
      <w:fldChar w:fldCharType="begin"/>
    </w:r>
    <w:r>
      <w:rPr>
        <w:rStyle w:val="50"/>
      </w:rPr>
      <w:instrText xml:space="preserve">PAGE  </w:instrText>
    </w:r>
    <w:r>
      <w:fldChar w:fldCharType="separate"/>
    </w:r>
    <w:r>
      <w:rPr>
        <w:rStyle w:val="50"/>
      </w:rPr>
      <w:t>46</w:t>
    </w:r>
    <w:r>
      <w:fldChar w:fldCharType="end"/>
    </w:r>
  </w:p>
  <w:p>
    <w:pPr>
      <w:pStyle w:val="2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50"/>
      </w:rPr>
    </w:pPr>
    <w:r>
      <w:fldChar w:fldCharType="begin"/>
    </w:r>
    <w:r>
      <w:rPr>
        <w:rStyle w:val="50"/>
      </w:rPr>
      <w:instrText xml:space="preserve">PAGE  </w:instrText>
    </w:r>
    <w:r>
      <w:fldChar w:fldCharType="end"/>
    </w:r>
  </w:p>
  <w:p>
    <w:pPr>
      <w:pStyle w:val="2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fldChar w:fldCharType="begin"/>
    </w:r>
    <w:r>
      <w:instrText xml:space="preserve"> PAGE   \* MERGEFORMAT </w:instrText>
    </w:r>
    <w:r>
      <w:fldChar w:fldCharType="separate"/>
    </w:r>
    <w:r>
      <w:rPr>
        <w:lang w:val="zh-CN"/>
      </w:rPr>
      <w:t>7</w:t>
    </w:r>
    <w:r>
      <w:rPr>
        <w:lang w:val="zh-CN"/>
      </w:rPr>
      <w:fldChar w:fldCharType="end"/>
    </w:r>
  </w:p>
  <w:p>
    <w:pPr>
      <w:pStyle w:val="2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2"/>
    <w:multiLevelType w:val="multilevel"/>
    <w:tmpl w:val="00000012"/>
    <w:lvl w:ilvl="0" w:tentative="0">
      <w:start w:val="1"/>
      <w:numFmt w:val="chineseCountingThousand"/>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00000013"/>
    <w:multiLevelType w:val="multilevel"/>
    <w:tmpl w:val="00000013"/>
    <w:lvl w:ilvl="0" w:tentative="0">
      <w:start w:val="1"/>
      <w:numFmt w:val="chineseCountingThousand"/>
      <w:lvlText w:val="%1、"/>
      <w:lvlJc w:val="left"/>
      <w:pPr>
        <w:ind w:left="420" w:hanging="420"/>
      </w:pPr>
      <w:rPr>
        <w:sz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15"/>
    <w:multiLevelType w:val="multilevel"/>
    <w:tmpl w:val="00000015"/>
    <w:lvl w:ilvl="0" w:tentative="0">
      <w:start w:val="1"/>
      <w:numFmt w:val="chineseCountingThousand"/>
      <w:lvlText w:val="%1、"/>
      <w:lvlJc w:val="left"/>
      <w:pPr>
        <w:ind w:left="1271"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17"/>
    <w:multiLevelType w:val="multilevel"/>
    <w:tmpl w:val="00000017"/>
    <w:lvl w:ilvl="0" w:tentative="0">
      <w:start w:val="1"/>
      <w:numFmt w:val="chineseCountingThousand"/>
      <w:lvlText w:val="%1、"/>
      <w:lvlJc w:val="left"/>
      <w:pPr>
        <w:ind w:left="846"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
    <w:nsid w:val="00000024"/>
    <w:multiLevelType w:val="multilevel"/>
    <w:tmpl w:val="00000024"/>
    <w:lvl w:ilvl="0" w:tentative="0">
      <w:start w:val="1"/>
      <w:numFmt w:val="decimal"/>
      <w:lvlText w:val="%1."/>
      <w:lvlJc w:val="left"/>
      <w:pPr>
        <w:ind w:left="958" w:hanging="420"/>
      </w:pPr>
      <w:rPr>
        <w:rFonts w:hint="eastAsia"/>
      </w:rPr>
    </w:lvl>
    <w:lvl w:ilvl="1" w:tentative="0">
      <w:start w:val="1"/>
      <w:numFmt w:val="chineseCountingThousand"/>
      <w:lvlText w:val="%2、"/>
      <w:lvlJc w:val="left"/>
      <w:pPr>
        <w:ind w:left="420" w:hanging="420"/>
      </w:pPr>
      <w:rPr>
        <w:rFonts w:hint="eastAsia"/>
      </w:r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5">
    <w:nsid w:val="00000025"/>
    <w:multiLevelType w:val="multilevel"/>
    <w:tmpl w:val="00000025"/>
    <w:lvl w:ilvl="0" w:tentative="0">
      <w:start w:val="1"/>
      <w:numFmt w:val="chineseCountingThousand"/>
      <w:lvlText w:val="%1、"/>
      <w:lvlJc w:val="left"/>
      <w:pPr>
        <w:ind w:left="2689" w:hanging="420"/>
      </w:pPr>
      <w:rPr>
        <w:b w:val="0"/>
        <w:sz w:val="28"/>
        <w:szCs w:val="28"/>
      </w:rPr>
    </w:lvl>
    <w:lvl w:ilvl="1" w:tentative="0">
      <w:start w:val="1"/>
      <w:numFmt w:val="lowerLetter"/>
      <w:lvlText w:val="%2)"/>
      <w:lvlJc w:val="left"/>
      <w:pPr>
        <w:ind w:left="1563" w:hanging="420"/>
      </w:pPr>
    </w:lvl>
    <w:lvl w:ilvl="2" w:tentative="0">
      <w:start w:val="1"/>
      <w:numFmt w:val="lowerRoman"/>
      <w:lvlText w:val="%3."/>
      <w:lvlJc w:val="right"/>
      <w:pPr>
        <w:ind w:left="1983" w:hanging="420"/>
      </w:pPr>
    </w:lvl>
    <w:lvl w:ilvl="3" w:tentative="0">
      <w:start w:val="1"/>
      <w:numFmt w:val="decimal"/>
      <w:lvlText w:val="%4."/>
      <w:lvlJc w:val="left"/>
      <w:pPr>
        <w:ind w:left="2403" w:hanging="420"/>
      </w:pPr>
    </w:lvl>
    <w:lvl w:ilvl="4" w:tentative="0">
      <w:start w:val="1"/>
      <w:numFmt w:val="lowerLetter"/>
      <w:lvlText w:val="%5)"/>
      <w:lvlJc w:val="left"/>
      <w:pPr>
        <w:ind w:left="2823" w:hanging="420"/>
      </w:pPr>
    </w:lvl>
    <w:lvl w:ilvl="5" w:tentative="0">
      <w:start w:val="1"/>
      <w:numFmt w:val="lowerRoman"/>
      <w:lvlText w:val="%6."/>
      <w:lvlJc w:val="right"/>
      <w:pPr>
        <w:ind w:left="3243" w:hanging="420"/>
      </w:pPr>
    </w:lvl>
    <w:lvl w:ilvl="6" w:tentative="0">
      <w:start w:val="1"/>
      <w:numFmt w:val="decimal"/>
      <w:lvlText w:val="%7."/>
      <w:lvlJc w:val="left"/>
      <w:pPr>
        <w:ind w:left="3663" w:hanging="420"/>
      </w:pPr>
    </w:lvl>
    <w:lvl w:ilvl="7" w:tentative="0">
      <w:start w:val="1"/>
      <w:numFmt w:val="lowerLetter"/>
      <w:lvlText w:val="%8)"/>
      <w:lvlJc w:val="left"/>
      <w:pPr>
        <w:ind w:left="4083" w:hanging="420"/>
      </w:pPr>
    </w:lvl>
    <w:lvl w:ilvl="8" w:tentative="0">
      <w:start w:val="1"/>
      <w:numFmt w:val="lowerRoman"/>
      <w:lvlText w:val="%9."/>
      <w:lvlJc w:val="right"/>
      <w:pPr>
        <w:ind w:left="4503" w:hanging="420"/>
      </w:pPr>
    </w:lvl>
  </w:abstractNum>
  <w:abstractNum w:abstractNumId="6">
    <w:nsid w:val="00000029"/>
    <w:multiLevelType w:val="multilevel"/>
    <w:tmpl w:val="00000029"/>
    <w:lvl w:ilvl="0" w:tentative="0">
      <w:start w:val="1"/>
      <w:numFmt w:val="decimal"/>
      <w:lvlText w:val="%1."/>
      <w:lvlJc w:val="left"/>
      <w:pPr>
        <w:ind w:left="420" w:hanging="420"/>
      </w:pPr>
      <w:rPr>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000002E"/>
    <w:multiLevelType w:val="multilevel"/>
    <w:tmpl w:val="0000002E"/>
    <w:lvl w:ilvl="0" w:tentative="0">
      <w:start w:val="1"/>
      <w:numFmt w:val="decimal"/>
      <w:lvlText w:val="第%1章"/>
      <w:lvlJc w:val="left"/>
      <w:pPr>
        <w:ind w:left="283" w:hanging="425"/>
      </w:pPr>
      <w:rPr>
        <w:rFonts w:hint="default" w:ascii="Times New Roman" w:hAnsi="Times New Roman" w:eastAsia="宋体"/>
        <w:b/>
        <w:i w:val="0"/>
        <w:sz w:val="32"/>
        <w:szCs w:val="32"/>
      </w:rPr>
    </w:lvl>
    <w:lvl w:ilvl="1" w:tentative="0">
      <w:start w:val="1"/>
      <w:numFmt w:val="decimal"/>
      <w:pStyle w:val="4"/>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5"/>
      <w:suff w:val="space"/>
      <w:lvlText w:val="%1.%2.%3"/>
      <w:lvlJc w:val="left"/>
      <w:pPr>
        <w:ind w:left="567" w:hanging="567"/>
      </w:pPr>
      <w:rPr>
        <w:rFonts w:hint="default" w:ascii="Times New Roman" w:hAnsi="Times New Roman" w:eastAsia="宋体" w:cs="Times New Roman"/>
        <w:b/>
        <w:i w:val="0"/>
        <w:sz w:val="28"/>
      </w:rPr>
    </w:lvl>
    <w:lvl w:ilvl="3" w:tentative="0">
      <w:start w:val="1"/>
      <w:numFmt w:val="decimal"/>
      <w:suff w:val="nothing"/>
      <w:lvlText w:val="%1.%2.%3.%4"/>
      <w:lvlJc w:val="left"/>
      <w:pPr>
        <w:ind w:left="708" w:hanging="708"/>
      </w:pPr>
      <w:rPr>
        <w:rFonts w:hint="default" w:ascii="Times New Roman" w:hAnsi="Times New Roman" w:eastAsia="宋体" w:cs="Times New Roman"/>
        <w:b/>
        <w:i w:val="0"/>
        <w:strike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rPr>
        <w:rFonts w:hint="eastAsia"/>
      </w:rPr>
    </w:lvl>
    <w:lvl w:ilvl="6" w:tentative="0">
      <w:start w:val="1"/>
      <w:numFmt w:val="decimal"/>
      <w:lvlText w:val="%1.%2.%3.%4.%5.%6.%7"/>
      <w:lvlJc w:val="left"/>
      <w:pPr>
        <w:ind w:left="3685" w:hanging="1276"/>
      </w:pPr>
      <w:rPr>
        <w:rFonts w:hint="eastAsia"/>
      </w:rPr>
    </w:lvl>
    <w:lvl w:ilvl="7" w:tentative="0">
      <w:start w:val="1"/>
      <w:numFmt w:val="decimal"/>
      <w:lvlText w:val="%1.%2.%3.%4.%5.%6.%7.%8"/>
      <w:lvlJc w:val="left"/>
      <w:pPr>
        <w:ind w:left="4252" w:hanging="1418"/>
      </w:pPr>
      <w:rPr>
        <w:rFonts w:hint="eastAsia"/>
      </w:rPr>
    </w:lvl>
    <w:lvl w:ilvl="8" w:tentative="0">
      <w:start w:val="1"/>
      <w:numFmt w:val="decimal"/>
      <w:lvlText w:val="%1.%2.%3.%4.%5.%6.%7.%8.%9"/>
      <w:lvlJc w:val="left"/>
      <w:pPr>
        <w:ind w:left="4960" w:hanging="1700"/>
      </w:pPr>
      <w:rPr>
        <w:rFonts w:hint="eastAsia"/>
      </w:rPr>
    </w:lvl>
  </w:abstractNum>
  <w:abstractNum w:abstractNumId="8">
    <w:nsid w:val="00000031"/>
    <w:multiLevelType w:val="multilevel"/>
    <w:tmpl w:val="00000031"/>
    <w:lvl w:ilvl="0" w:tentative="0">
      <w:start w:val="1"/>
      <w:numFmt w:val="chineseCountingThousand"/>
      <w:lvlText w:val="%1、"/>
      <w:lvlJc w:val="left"/>
      <w:pPr>
        <w:ind w:left="3114" w:hanging="420"/>
      </w:pPr>
      <w:rPr>
        <w:rFonts w:hint="eastAsia"/>
        <w:sz w:val="28"/>
      </w:rPr>
    </w:lvl>
    <w:lvl w:ilvl="1" w:tentative="0">
      <w:start w:val="1"/>
      <w:numFmt w:val="lowerLetter"/>
      <w:lvlText w:val="%2)"/>
      <w:lvlJc w:val="left"/>
      <w:pPr>
        <w:ind w:left="3548" w:hanging="420"/>
      </w:pPr>
    </w:lvl>
    <w:lvl w:ilvl="2" w:tentative="0">
      <w:start w:val="1"/>
      <w:numFmt w:val="lowerRoman"/>
      <w:lvlText w:val="%3."/>
      <w:lvlJc w:val="right"/>
      <w:pPr>
        <w:ind w:left="3968" w:hanging="420"/>
      </w:pPr>
    </w:lvl>
    <w:lvl w:ilvl="3" w:tentative="0">
      <w:start w:val="1"/>
      <w:numFmt w:val="decimal"/>
      <w:lvlText w:val="%4."/>
      <w:lvlJc w:val="left"/>
      <w:pPr>
        <w:ind w:left="4388" w:hanging="420"/>
      </w:pPr>
    </w:lvl>
    <w:lvl w:ilvl="4" w:tentative="0">
      <w:start w:val="1"/>
      <w:numFmt w:val="lowerLetter"/>
      <w:lvlText w:val="%5)"/>
      <w:lvlJc w:val="left"/>
      <w:pPr>
        <w:ind w:left="4808" w:hanging="420"/>
      </w:pPr>
    </w:lvl>
    <w:lvl w:ilvl="5" w:tentative="0">
      <w:start w:val="1"/>
      <w:numFmt w:val="lowerRoman"/>
      <w:lvlText w:val="%6."/>
      <w:lvlJc w:val="right"/>
      <w:pPr>
        <w:ind w:left="5228" w:hanging="420"/>
      </w:pPr>
    </w:lvl>
    <w:lvl w:ilvl="6" w:tentative="0">
      <w:start w:val="1"/>
      <w:numFmt w:val="decimal"/>
      <w:lvlText w:val="%7."/>
      <w:lvlJc w:val="left"/>
      <w:pPr>
        <w:ind w:left="5648" w:hanging="420"/>
      </w:pPr>
    </w:lvl>
    <w:lvl w:ilvl="7" w:tentative="0">
      <w:start w:val="1"/>
      <w:numFmt w:val="lowerLetter"/>
      <w:lvlText w:val="%8)"/>
      <w:lvlJc w:val="left"/>
      <w:pPr>
        <w:ind w:left="6068" w:hanging="420"/>
      </w:pPr>
    </w:lvl>
    <w:lvl w:ilvl="8" w:tentative="0">
      <w:start w:val="1"/>
      <w:numFmt w:val="lowerRoman"/>
      <w:lvlText w:val="%9."/>
      <w:lvlJc w:val="right"/>
      <w:pPr>
        <w:ind w:left="6488" w:hanging="420"/>
      </w:pPr>
    </w:lvl>
  </w:abstractNum>
  <w:abstractNum w:abstractNumId="9">
    <w:nsid w:val="00000041"/>
    <w:multiLevelType w:val="multilevel"/>
    <w:tmpl w:val="00000041"/>
    <w:lvl w:ilvl="0" w:tentative="0">
      <w:start w:val="1"/>
      <w:numFmt w:val="chineseCountingThousand"/>
      <w:lvlText w:val="%1、"/>
      <w:lvlJc w:val="left"/>
      <w:pPr>
        <w:ind w:left="2122" w:hanging="420"/>
      </w:pPr>
      <w:rPr>
        <w:rFonts w:asciiTheme="minorEastAsia" w:hAnsiTheme="minorEastAsia" w:eastAsiaTheme="minorEastAsia"/>
        <w:sz w:val="28"/>
        <w:szCs w:val="28"/>
      </w:rPr>
    </w:lvl>
    <w:lvl w:ilvl="1" w:tentative="0">
      <w:start w:val="1"/>
      <w:numFmt w:val="chineseCountingThousand"/>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36E4BF1"/>
    <w:multiLevelType w:val="multilevel"/>
    <w:tmpl w:val="036E4BF1"/>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11">
    <w:nsid w:val="0AEA6369"/>
    <w:multiLevelType w:val="multilevel"/>
    <w:tmpl w:val="0AEA6369"/>
    <w:lvl w:ilvl="0" w:tentative="0">
      <w:start w:val="1"/>
      <w:numFmt w:val="chineseCountingThousand"/>
      <w:lvlText w:val="%1、"/>
      <w:lvlJc w:val="left"/>
      <w:pPr>
        <w:ind w:left="1060" w:hanging="420"/>
      </w:p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abstractNum w:abstractNumId="12">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13">
    <w:nsid w:val="0D983D29"/>
    <w:multiLevelType w:val="multilevel"/>
    <w:tmpl w:val="0D983D29"/>
    <w:lvl w:ilvl="0" w:tentative="0">
      <w:start w:val="1"/>
      <w:numFmt w:val="decimal"/>
      <w:suff w:val="nothing"/>
      <w:lvlText w:val="%1."/>
      <w:lvlJc w:val="left"/>
      <w:pPr>
        <w:ind w:left="1555" w:hanging="420"/>
      </w:pPr>
      <w:rPr>
        <w:rFonts w:hint="eastAsia"/>
        <w:sz w:val="28"/>
        <w:szCs w:val="28"/>
      </w:rPr>
    </w:lvl>
    <w:lvl w:ilvl="1" w:tentative="0">
      <w:start w:val="1"/>
      <w:numFmt w:val="chineseCountingThousand"/>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14">
    <w:nsid w:val="14F1104D"/>
    <w:multiLevelType w:val="multilevel"/>
    <w:tmpl w:val="14F1104D"/>
    <w:lvl w:ilvl="0" w:tentative="0">
      <w:start w:val="1"/>
      <w:numFmt w:val="chineseCountingThousand"/>
      <w:lvlText w:val="(%1)"/>
      <w:lvlJc w:val="left"/>
      <w:pPr>
        <w:ind w:left="1129" w:hanging="420"/>
      </w:pPr>
    </w:lvl>
    <w:lvl w:ilvl="1" w:tentative="0">
      <w:start w:val="1"/>
      <w:numFmt w:val="lowerLetter"/>
      <w:lvlText w:val="%2)"/>
      <w:lvlJc w:val="left"/>
      <w:pPr>
        <w:ind w:left="1549" w:hanging="420"/>
      </w:pPr>
    </w:lvl>
    <w:lvl w:ilvl="2" w:tentative="0">
      <w:start w:val="1"/>
      <w:numFmt w:val="lowerRoman"/>
      <w:lvlText w:val="%3."/>
      <w:lvlJc w:val="right"/>
      <w:pPr>
        <w:ind w:left="1969" w:hanging="420"/>
      </w:pPr>
    </w:lvl>
    <w:lvl w:ilvl="3" w:tentative="0">
      <w:start w:val="1"/>
      <w:numFmt w:val="decimal"/>
      <w:lvlText w:val="%4."/>
      <w:lvlJc w:val="left"/>
      <w:pPr>
        <w:ind w:left="2389" w:hanging="420"/>
      </w:pPr>
    </w:lvl>
    <w:lvl w:ilvl="4" w:tentative="0">
      <w:start w:val="1"/>
      <w:numFmt w:val="lowerLetter"/>
      <w:lvlText w:val="%5)"/>
      <w:lvlJc w:val="left"/>
      <w:pPr>
        <w:ind w:left="2809" w:hanging="420"/>
      </w:pPr>
    </w:lvl>
    <w:lvl w:ilvl="5" w:tentative="0">
      <w:start w:val="1"/>
      <w:numFmt w:val="lowerRoman"/>
      <w:lvlText w:val="%6."/>
      <w:lvlJc w:val="right"/>
      <w:pPr>
        <w:ind w:left="3229" w:hanging="420"/>
      </w:pPr>
    </w:lvl>
    <w:lvl w:ilvl="6" w:tentative="0">
      <w:start w:val="1"/>
      <w:numFmt w:val="decimal"/>
      <w:lvlText w:val="%7."/>
      <w:lvlJc w:val="left"/>
      <w:pPr>
        <w:ind w:left="3649" w:hanging="420"/>
      </w:pPr>
    </w:lvl>
    <w:lvl w:ilvl="7" w:tentative="0">
      <w:start w:val="1"/>
      <w:numFmt w:val="lowerLetter"/>
      <w:lvlText w:val="%8)"/>
      <w:lvlJc w:val="left"/>
      <w:pPr>
        <w:ind w:left="4069" w:hanging="420"/>
      </w:pPr>
    </w:lvl>
    <w:lvl w:ilvl="8" w:tentative="0">
      <w:start w:val="1"/>
      <w:numFmt w:val="lowerRoman"/>
      <w:lvlText w:val="%9."/>
      <w:lvlJc w:val="right"/>
      <w:pPr>
        <w:ind w:left="4489" w:hanging="420"/>
      </w:pPr>
    </w:lvl>
  </w:abstractNum>
  <w:abstractNum w:abstractNumId="15">
    <w:nsid w:val="17B830D0"/>
    <w:multiLevelType w:val="multilevel"/>
    <w:tmpl w:val="17B830D0"/>
    <w:lvl w:ilvl="0" w:tentative="0">
      <w:start w:val="1"/>
      <w:numFmt w:val="chineseCountingThousand"/>
      <w:lvlText w:val="%1、"/>
      <w:lvlJc w:val="left"/>
      <w:pPr>
        <w:ind w:left="958" w:hanging="420"/>
      </w:pPr>
    </w:lvl>
    <w:lvl w:ilvl="1" w:tentative="0">
      <w:start w:val="1"/>
      <w:numFmt w:val="lowerLetter"/>
      <w:lvlText w:val="%2)"/>
      <w:lvlJc w:val="left"/>
      <w:pPr>
        <w:ind w:left="1378"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6">
    <w:nsid w:val="19EB72CF"/>
    <w:multiLevelType w:val="multilevel"/>
    <w:tmpl w:val="19EB72CF"/>
    <w:lvl w:ilvl="0" w:tentative="0">
      <w:start w:val="1"/>
      <w:numFmt w:val="chineseCountingThousand"/>
      <w:lvlText w:val="%1、"/>
      <w:lvlJc w:val="left"/>
      <w:pPr>
        <w:ind w:left="846"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17">
    <w:nsid w:val="26567281"/>
    <w:multiLevelType w:val="multilevel"/>
    <w:tmpl w:val="26567281"/>
    <w:lvl w:ilvl="0" w:tentative="0">
      <w:start w:val="1"/>
      <w:numFmt w:val="decimal"/>
      <w:lvlText w:val="%1."/>
      <w:lvlJc w:val="left"/>
      <w:pPr>
        <w:ind w:left="958" w:hanging="420"/>
      </w:pPr>
    </w:lvl>
    <w:lvl w:ilvl="1" w:tentative="0">
      <w:start w:val="1"/>
      <w:numFmt w:val="chineseCountingThousand"/>
      <w:lvlText w:val="%2、"/>
      <w:lvlJc w:val="left"/>
      <w:pPr>
        <w:ind w:left="988" w:hanging="420"/>
      </w:pPr>
      <w:rPr>
        <w:rFonts w:hint="eastAsia"/>
        <w:lang w:val="en-US"/>
      </w:rPr>
    </w:lvl>
    <w:lvl w:ilvl="2" w:tentative="0">
      <w:start w:val="1"/>
      <w:numFmt w:val="decimal"/>
      <w:lvlText w:val="%3．"/>
      <w:lvlJc w:val="left"/>
      <w:pPr>
        <w:ind w:left="2098" w:hanging="720"/>
      </w:pPr>
    </w:lvl>
    <w:lvl w:ilvl="3" w:tentative="0">
      <w:start w:val="1"/>
      <w:numFmt w:val="decimal"/>
      <w:lvlText w:val="%4、"/>
      <w:lvlJc w:val="left"/>
      <w:pPr>
        <w:ind w:left="2158" w:hanging="360"/>
      </w:pPr>
      <w:rPr>
        <w:rFonts w:hint="default"/>
      </w:r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8">
    <w:nsid w:val="27297F69"/>
    <w:multiLevelType w:val="multilevel"/>
    <w:tmpl w:val="27297F69"/>
    <w:lvl w:ilvl="0" w:tentative="0">
      <w:start w:val="1"/>
      <w:numFmt w:val="chineseCountingThousand"/>
      <w:suff w:val="nothing"/>
      <w:lvlText w:val="%1、"/>
      <w:lvlJc w:val="left"/>
      <w:pPr>
        <w:ind w:left="1271" w:hanging="420"/>
      </w:pPr>
      <w:rPr>
        <w:rFonts w:hint="eastAsia"/>
        <w:b/>
        <w:lang w:val="en-US"/>
      </w:rPr>
    </w:lvl>
    <w:lvl w:ilvl="1" w:tentative="0">
      <w:start w:val="1"/>
      <w:numFmt w:val="lowerLetter"/>
      <w:lvlText w:val="%2)"/>
      <w:lvlJc w:val="left"/>
      <w:pPr>
        <w:ind w:left="1731" w:hanging="420"/>
      </w:pPr>
    </w:lvl>
    <w:lvl w:ilvl="2" w:tentative="0">
      <w:start w:val="1"/>
      <w:numFmt w:val="lowerRoman"/>
      <w:lvlText w:val="%3."/>
      <w:lvlJc w:val="right"/>
      <w:pPr>
        <w:ind w:left="2151" w:hanging="420"/>
      </w:pPr>
    </w:lvl>
    <w:lvl w:ilvl="3" w:tentative="0">
      <w:start w:val="1"/>
      <w:numFmt w:val="decimal"/>
      <w:lvlText w:val="%4."/>
      <w:lvlJc w:val="left"/>
      <w:pPr>
        <w:ind w:left="2571" w:hanging="420"/>
      </w:pPr>
    </w:lvl>
    <w:lvl w:ilvl="4" w:tentative="0">
      <w:start w:val="1"/>
      <w:numFmt w:val="lowerLetter"/>
      <w:lvlText w:val="%5)"/>
      <w:lvlJc w:val="left"/>
      <w:pPr>
        <w:ind w:left="2991" w:hanging="420"/>
      </w:pPr>
    </w:lvl>
    <w:lvl w:ilvl="5" w:tentative="0">
      <w:start w:val="1"/>
      <w:numFmt w:val="lowerRoman"/>
      <w:lvlText w:val="%6."/>
      <w:lvlJc w:val="right"/>
      <w:pPr>
        <w:ind w:left="3411" w:hanging="420"/>
      </w:pPr>
    </w:lvl>
    <w:lvl w:ilvl="6" w:tentative="0">
      <w:start w:val="1"/>
      <w:numFmt w:val="decimal"/>
      <w:lvlText w:val="%7."/>
      <w:lvlJc w:val="left"/>
      <w:pPr>
        <w:ind w:left="3831" w:hanging="420"/>
      </w:pPr>
    </w:lvl>
    <w:lvl w:ilvl="7" w:tentative="0">
      <w:start w:val="1"/>
      <w:numFmt w:val="lowerLetter"/>
      <w:lvlText w:val="%8)"/>
      <w:lvlJc w:val="left"/>
      <w:pPr>
        <w:ind w:left="4251" w:hanging="420"/>
      </w:pPr>
    </w:lvl>
    <w:lvl w:ilvl="8" w:tentative="0">
      <w:start w:val="1"/>
      <w:numFmt w:val="lowerRoman"/>
      <w:lvlText w:val="%9."/>
      <w:lvlJc w:val="right"/>
      <w:pPr>
        <w:ind w:left="4671" w:hanging="420"/>
      </w:pPr>
    </w:lvl>
  </w:abstractNum>
  <w:abstractNum w:abstractNumId="19">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20">
    <w:nsid w:val="28D371C0"/>
    <w:multiLevelType w:val="multilevel"/>
    <w:tmpl w:val="28D371C0"/>
    <w:lvl w:ilvl="0" w:tentative="0">
      <w:start w:val="1"/>
      <w:numFmt w:val="decimalFullWidth"/>
      <w:lvlText w:val="（%1）"/>
      <w:lvlJc w:val="left"/>
      <w:pPr>
        <w:ind w:left="420" w:hanging="420"/>
      </w:pPr>
      <w:rPr>
        <w:rFonts w:hint="default" w:ascii="宋体" w:hAnsi="宋体" w:eastAsia="宋体" w:cs="Times New Roman"/>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2B713F49"/>
    <w:multiLevelType w:val="multilevel"/>
    <w:tmpl w:val="2B713F49"/>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2">
    <w:nsid w:val="2BC84537"/>
    <w:multiLevelType w:val="multilevel"/>
    <w:tmpl w:val="2BC84537"/>
    <w:lvl w:ilvl="0" w:tentative="0">
      <w:start w:val="1"/>
      <w:numFmt w:val="japaneseCounting"/>
      <w:lvlText w:val="%1、"/>
      <w:lvlJc w:val="left"/>
      <w:pPr>
        <w:ind w:left="1856" w:hanging="1005"/>
      </w:pPr>
      <w:rPr>
        <w:color w:val="auto"/>
        <w:sz w:val="28"/>
        <w:szCs w:val="28"/>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3">
    <w:nsid w:val="2E0076D2"/>
    <w:multiLevelType w:val="multilevel"/>
    <w:tmpl w:val="2E0076D2"/>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4">
    <w:nsid w:val="2F0764D5"/>
    <w:multiLevelType w:val="multilevel"/>
    <w:tmpl w:val="2F0764D5"/>
    <w:lvl w:ilvl="0" w:tentative="0">
      <w:start w:val="1"/>
      <w:numFmt w:val="chineseCountingThousand"/>
      <w:lvlText w:val="%1、"/>
      <w:lvlJc w:val="left"/>
      <w:pPr>
        <w:ind w:left="1060" w:hanging="420"/>
      </w:p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abstractNum w:abstractNumId="25">
    <w:nsid w:val="316418D8"/>
    <w:multiLevelType w:val="multilevel"/>
    <w:tmpl w:val="316418D8"/>
    <w:lvl w:ilvl="0" w:tentative="0">
      <w:start w:val="1"/>
      <w:numFmt w:val="chineseCountingThousand"/>
      <w:lvlText w:val="%1、"/>
      <w:lvlJc w:val="left"/>
      <w:pPr>
        <w:ind w:left="969"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6">
    <w:nsid w:val="326451AA"/>
    <w:multiLevelType w:val="multilevel"/>
    <w:tmpl w:val="326451AA"/>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7">
    <w:nsid w:val="3424055C"/>
    <w:multiLevelType w:val="multilevel"/>
    <w:tmpl w:val="3424055C"/>
    <w:lvl w:ilvl="0" w:tentative="0">
      <w:start w:val="1"/>
      <w:numFmt w:val="japaneseCounting"/>
      <w:lvlText w:val="%1、"/>
      <w:lvlJc w:val="left"/>
      <w:pPr>
        <w:ind w:left="988" w:hanging="420"/>
      </w:pPr>
      <w:rPr>
        <w:rFonts w:ascii="宋体" w:hAnsi="宋体" w:eastAsia="宋体" w:cs="Times New Roman"/>
        <w:sz w:val="28"/>
        <w:szCs w:val="28"/>
      </w:rPr>
    </w:lvl>
    <w:lvl w:ilvl="1" w:tentative="0">
      <w:start w:val="1"/>
      <w:numFmt w:val="lowerLetter"/>
      <w:lvlText w:val="%2)"/>
      <w:lvlJc w:val="left"/>
      <w:pPr>
        <w:ind w:left="415" w:hanging="420"/>
      </w:pPr>
    </w:lvl>
    <w:lvl w:ilvl="2" w:tentative="0">
      <w:start w:val="1"/>
      <w:numFmt w:val="lowerRoman"/>
      <w:lvlText w:val="%3."/>
      <w:lvlJc w:val="right"/>
      <w:pPr>
        <w:ind w:left="835" w:hanging="420"/>
      </w:pPr>
    </w:lvl>
    <w:lvl w:ilvl="3" w:tentative="0">
      <w:start w:val="1"/>
      <w:numFmt w:val="decimal"/>
      <w:lvlText w:val="%4."/>
      <w:lvlJc w:val="left"/>
      <w:pPr>
        <w:ind w:left="1255" w:hanging="420"/>
      </w:pPr>
    </w:lvl>
    <w:lvl w:ilvl="4" w:tentative="0">
      <w:start w:val="1"/>
      <w:numFmt w:val="lowerLetter"/>
      <w:lvlText w:val="%5)"/>
      <w:lvlJc w:val="left"/>
      <w:pPr>
        <w:ind w:left="1675" w:hanging="420"/>
      </w:pPr>
    </w:lvl>
    <w:lvl w:ilvl="5" w:tentative="0">
      <w:start w:val="1"/>
      <w:numFmt w:val="lowerRoman"/>
      <w:lvlText w:val="%6."/>
      <w:lvlJc w:val="right"/>
      <w:pPr>
        <w:ind w:left="2095" w:hanging="420"/>
      </w:pPr>
    </w:lvl>
    <w:lvl w:ilvl="6" w:tentative="0">
      <w:start w:val="1"/>
      <w:numFmt w:val="decimal"/>
      <w:lvlText w:val="%7."/>
      <w:lvlJc w:val="left"/>
      <w:pPr>
        <w:ind w:left="2515" w:hanging="420"/>
      </w:pPr>
    </w:lvl>
    <w:lvl w:ilvl="7" w:tentative="0">
      <w:start w:val="1"/>
      <w:numFmt w:val="lowerLetter"/>
      <w:lvlText w:val="%8)"/>
      <w:lvlJc w:val="left"/>
      <w:pPr>
        <w:ind w:left="2935" w:hanging="420"/>
      </w:pPr>
    </w:lvl>
    <w:lvl w:ilvl="8" w:tentative="0">
      <w:start w:val="1"/>
      <w:numFmt w:val="lowerRoman"/>
      <w:lvlText w:val="%9."/>
      <w:lvlJc w:val="right"/>
      <w:pPr>
        <w:ind w:left="3355" w:hanging="420"/>
      </w:pPr>
    </w:lvl>
  </w:abstractNum>
  <w:abstractNum w:abstractNumId="28">
    <w:nsid w:val="343F0848"/>
    <w:multiLevelType w:val="multilevel"/>
    <w:tmpl w:val="343F0848"/>
    <w:lvl w:ilvl="0" w:tentative="0">
      <w:start w:val="1"/>
      <w:numFmt w:val="decimalFullWidth"/>
      <w:lvlText w:val="（%1）"/>
      <w:lvlJc w:val="left"/>
      <w:pPr>
        <w:ind w:left="720" w:hanging="720"/>
      </w:pPr>
      <w:rPr>
        <w:rFonts w:hint="default" w:ascii="宋体" w:hAnsi="宋体" w:eastAsia="宋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385C6F59"/>
    <w:multiLevelType w:val="multilevel"/>
    <w:tmpl w:val="385C6F59"/>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0">
    <w:nsid w:val="3907789F"/>
    <w:multiLevelType w:val="multilevel"/>
    <w:tmpl w:val="3907789F"/>
    <w:lvl w:ilvl="0" w:tentative="0">
      <w:start w:val="1"/>
      <w:numFmt w:val="chineseCountingThousand"/>
      <w:lvlText w:val="%1、"/>
      <w:lvlJc w:val="left"/>
      <w:pPr>
        <w:tabs>
          <w:tab w:val="left" w:pos="420"/>
        </w:tabs>
        <w:ind w:left="420" w:hanging="420"/>
      </w:pPr>
    </w:lvl>
    <w:lvl w:ilvl="1" w:tentative="0">
      <w:start w:val="3"/>
      <w:numFmt w:val="decimal"/>
      <w:lvlText w:val="%2）"/>
      <w:lvlJc w:val="left"/>
      <w:pPr>
        <w:tabs>
          <w:tab w:val="left" w:pos="1140"/>
        </w:tabs>
        <w:ind w:left="1140" w:hanging="72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1">
    <w:nsid w:val="394E3612"/>
    <w:multiLevelType w:val="multilevel"/>
    <w:tmpl w:val="394E3612"/>
    <w:lvl w:ilvl="0" w:tentative="0">
      <w:start w:val="1"/>
      <w:numFmt w:val="chineseCountingThousand"/>
      <w:lvlText w:val="%1、"/>
      <w:lvlJc w:val="left"/>
      <w:pPr>
        <w:ind w:left="1555" w:hanging="420"/>
      </w:pPr>
      <w:rPr>
        <w:rFonts w:hint="eastAsia"/>
        <w:color w:val="auto"/>
        <w:sz w:val="28"/>
        <w:szCs w:val="28"/>
        <w:lang w:val="en-US"/>
      </w:rPr>
    </w:lvl>
    <w:lvl w:ilvl="1" w:tentative="0">
      <w:start w:val="1"/>
      <w:numFmt w:val="decimal"/>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32">
    <w:nsid w:val="3A7F4B0B"/>
    <w:multiLevelType w:val="multilevel"/>
    <w:tmpl w:val="3A7F4B0B"/>
    <w:lvl w:ilvl="0" w:tentative="0">
      <w:start w:val="1"/>
      <w:numFmt w:val="chineseCountingThousand"/>
      <w:lvlText w:val="%1、"/>
      <w:lvlJc w:val="left"/>
      <w:pPr>
        <w:ind w:left="960" w:hanging="420"/>
      </w:pPr>
      <w:rPr>
        <w:color w:val="auto"/>
      </w:rPr>
    </w:lvl>
    <w:lvl w:ilvl="1" w:tentative="0">
      <w:start w:val="1"/>
      <w:numFmt w:val="lowerLetter"/>
      <w:lvlText w:val="%2)"/>
      <w:lvlJc w:val="left"/>
      <w:pPr>
        <w:ind w:left="1500" w:hanging="420"/>
      </w:pPr>
    </w:lvl>
    <w:lvl w:ilvl="2" w:tentative="0">
      <w:start w:val="1"/>
      <w:numFmt w:val="lowerRoman"/>
      <w:lvlText w:val="%3."/>
      <w:lvlJc w:val="right"/>
      <w:pPr>
        <w:ind w:left="1920" w:hanging="420"/>
      </w:pPr>
    </w:lvl>
    <w:lvl w:ilvl="3" w:tentative="0">
      <w:start w:val="1"/>
      <w:numFmt w:val="decimal"/>
      <w:lvlText w:val="%4."/>
      <w:lvlJc w:val="left"/>
      <w:pPr>
        <w:ind w:left="2340" w:hanging="420"/>
      </w:pPr>
    </w:lvl>
    <w:lvl w:ilvl="4" w:tentative="0">
      <w:start w:val="1"/>
      <w:numFmt w:val="lowerLetter"/>
      <w:lvlText w:val="%5)"/>
      <w:lvlJc w:val="left"/>
      <w:pPr>
        <w:ind w:left="2760" w:hanging="420"/>
      </w:pPr>
    </w:lvl>
    <w:lvl w:ilvl="5" w:tentative="0">
      <w:start w:val="1"/>
      <w:numFmt w:val="lowerRoman"/>
      <w:lvlText w:val="%6."/>
      <w:lvlJc w:val="right"/>
      <w:pPr>
        <w:ind w:left="3180" w:hanging="420"/>
      </w:pPr>
    </w:lvl>
    <w:lvl w:ilvl="6" w:tentative="0">
      <w:start w:val="1"/>
      <w:numFmt w:val="decimal"/>
      <w:lvlText w:val="%7."/>
      <w:lvlJc w:val="left"/>
      <w:pPr>
        <w:ind w:left="3600" w:hanging="420"/>
      </w:pPr>
    </w:lvl>
    <w:lvl w:ilvl="7" w:tentative="0">
      <w:start w:val="1"/>
      <w:numFmt w:val="lowerLetter"/>
      <w:lvlText w:val="%8)"/>
      <w:lvlJc w:val="left"/>
      <w:pPr>
        <w:ind w:left="4020" w:hanging="420"/>
      </w:pPr>
    </w:lvl>
    <w:lvl w:ilvl="8" w:tentative="0">
      <w:start w:val="1"/>
      <w:numFmt w:val="lowerRoman"/>
      <w:lvlText w:val="%9."/>
      <w:lvlJc w:val="right"/>
      <w:pPr>
        <w:ind w:left="4440" w:hanging="420"/>
      </w:pPr>
    </w:lvl>
  </w:abstractNum>
  <w:abstractNum w:abstractNumId="33">
    <w:nsid w:val="3CB76D8E"/>
    <w:multiLevelType w:val="multilevel"/>
    <w:tmpl w:val="3CB76D8E"/>
    <w:lvl w:ilvl="0" w:tentative="0">
      <w:start w:val="1"/>
      <w:numFmt w:val="chineseCountingThousand"/>
      <w:lvlText w:val="%1、"/>
      <w:lvlJc w:val="left"/>
      <w:pPr>
        <w:ind w:left="3256" w:hanging="420"/>
      </w:pPr>
    </w:lvl>
    <w:lvl w:ilvl="1" w:tentative="0">
      <w:start w:val="1"/>
      <w:numFmt w:val="lowerLetter"/>
      <w:lvlText w:val="%2)"/>
      <w:lvlJc w:val="left"/>
      <w:pPr>
        <w:ind w:left="2825" w:hanging="420"/>
      </w:pPr>
    </w:lvl>
    <w:lvl w:ilvl="2" w:tentative="0">
      <w:start w:val="1"/>
      <w:numFmt w:val="lowerRoman"/>
      <w:lvlText w:val="%3."/>
      <w:lvlJc w:val="right"/>
      <w:pPr>
        <w:ind w:left="3245" w:hanging="420"/>
      </w:pPr>
    </w:lvl>
    <w:lvl w:ilvl="3" w:tentative="0">
      <w:start w:val="1"/>
      <w:numFmt w:val="decimal"/>
      <w:lvlText w:val="%4."/>
      <w:lvlJc w:val="left"/>
      <w:pPr>
        <w:ind w:left="3665" w:hanging="420"/>
      </w:pPr>
    </w:lvl>
    <w:lvl w:ilvl="4" w:tentative="0">
      <w:start w:val="1"/>
      <w:numFmt w:val="lowerLetter"/>
      <w:lvlText w:val="%5)"/>
      <w:lvlJc w:val="left"/>
      <w:pPr>
        <w:ind w:left="4085" w:hanging="420"/>
      </w:pPr>
    </w:lvl>
    <w:lvl w:ilvl="5" w:tentative="0">
      <w:start w:val="1"/>
      <w:numFmt w:val="lowerRoman"/>
      <w:lvlText w:val="%6."/>
      <w:lvlJc w:val="right"/>
      <w:pPr>
        <w:ind w:left="4505" w:hanging="420"/>
      </w:pPr>
    </w:lvl>
    <w:lvl w:ilvl="6" w:tentative="0">
      <w:start w:val="1"/>
      <w:numFmt w:val="decimal"/>
      <w:lvlText w:val="%7."/>
      <w:lvlJc w:val="left"/>
      <w:pPr>
        <w:ind w:left="4925" w:hanging="420"/>
      </w:pPr>
    </w:lvl>
    <w:lvl w:ilvl="7" w:tentative="0">
      <w:start w:val="1"/>
      <w:numFmt w:val="lowerLetter"/>
      <w:lvlText w:val="%8)"/>
      <w:lvlJc w:val="left"/>
      <w:pPr>
        <w:ind w:left="5345" w:hanging="420"/>
      </w:pPr>
    </w:lvl>
    <w:lvl w:ilvl="8" w:tentative="0">
      <w:start w:val="1"/>
      <w:numFmt w:val="lowerRoman"/>
      <w:lvlText w:val="%9."/>
      <w:lvlJc w:val="right"/>
      <w:pPr>
        <w:ind w:left="5765" w:hanging="420"/>
      </w:pPr>
    </w:lvl>
  </w:abstractNum>
  <w:abstractNum w:abstractNumId="34">
    <w:nsid w:val="3D5536CE"/>
    <w:multiLevelType w:val="multilevel"/>
    <w:tmpl w:val="3D5536CE"/>
    <w:lvl w:ilvl="0" w:tentative="0">
      <w:start w:val="1"/>
      <w:numFmt w:val="chineseCountingThousand"/>
      <w:lvlText w:val="(%1)"/>
      <w:lvlJc w:val="left"/>
      <w:pPr>
        <w:ind w:left="980" w:hanging="420"/>
      </w:pPr>
      <w:rPr>
        <w:color w:val="auto"/>
      </w:rPr>
    </w:lvl>
    <w:lvl w:ilvl="1" w:tentative="0">
      <w:start w:val="1"/>
      <w:numFmt w:val="japaneseCounting"/>
      <w:lvlText w:val="（%2）"/>
      <w:lvlJc w:val="left"/>
      <w:pPr>
        <w:ind w:left="2252" w:hanging="1272"/>
      </w:pPr>
      <w:rPr>
        <w:rFonts w:hint="default"/>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5">
    <w:nsid w:val="3FA321C4"/>
    <w:multiLevelType w:val="multilevel"/>
    <w:tmpl w:val="3FA321C4"/>
    <w:lvl w:ilvl="0" w:tentative="0">
      <w:start w:val="1"/>
      <w:numFmt w:val="chineseCountingThousand"/>
      <w:lvlText w:val="%1、"/>
      <w:lvlJc w:val="left"/>
      <w:pPr>
        <w:ind w:left="2831" w:hanging="420"/>
      </w:p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36">
    <w:nsid w:val="443D2B39"/>
    <w:multiLevelType w:val="multilevel"/>
    <w:tmpl w:val="443D2B39"/>
    <w:lvl w:ilvl="0" w:tentative="0">
      <w:start w:val="1"/>
      <w:numFmt w:val="chineseCountingThousand"/>
      <w:lvlText w:val="%1、"/>
      <w:lvlJc w:val="left"/>
      <w:pPr>
        <w:ind w:left="1980" w:hanging="420"/>
      </w:pPr>
      <w:rPr>
        <w:rFonts w:hint="eastAsia" w:ascii="宋体" w:hAnsi="宋体" w:eastAsia="宋体"/>
        <w:i w:val="0"/>
        <w:sz w:val="28"/>
        <w:szCs w:val="28"/>
      </w:rPr>
    </w:lvl>
    <w:lvl w:ilvl="1" w:tentative="0">
      <w:start w:val="1"/>
      <w:numFmt w:val="lowerLetter"/>
      <w:lvlText w:val="%2)"/>
      <w:lvlJc w:val="left"/>
      <w:pPr>
        <w:ind w:left="1474" w:hanging="420"/>
      </w:p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37">
    <w:nsid w:val="45B731EA"/>
    <w:multiLevelType w:val="multilevel"/>
    <w:tmpl w:val="45B731EA"/>
    <w:lvl w:ilvl="0" w:tentative="0">
      <w:start w:val="1"/>
      <w:numFmt w:val="chineseCountingThousand"/>
      <w:lvlText w:val="%1、"/>
      <w:lvlJc w:val="left"/>
      <w:pPr>
        <w:ind w:left="1004" w:hanging="420"/>
      </w:pPr>
    </w:lvl>
    <w:lvl w:ilvl="1" w:tentative="0">
      <w:start w:val="1"/>
      <w:numFmt w:val="lowerLetter"/>
      <w:lvlText w:val="%2)"/>
      <w:lvlJc w:val="left"/>
      <w:pPr>
        <w:ind w:left="1424" w:hanging="420"/>
      </w:pPr>
    </w:lvl>
    <w:lvl w:ilvl="2" w:tentative="0">
      <w:start w:val="1"/>
      <w:numFmt w:val="lowerRoman"/>
      <w:lvlText w:val="%3."/>
      <w:lvlJc w:val="right"/>
      <w:pPr>
        <w:ind w:left="1844" w:hanging="420"/>
      </w:pPr>
    </w:lvl>
    <w:lvl w:ilvl="3" w:tentative="0">
      <w:start w:val="1"/>
      <w:numFmt w:val="chineseCountingThousand"/>
      <w:lvlText w:val="%4、"/>
      <w:lvlJc w:val="left"/>
      <w:pPr>
        <w:ind w:left="2264" w:hanging="420"/>
      </w:pPr>
    </w:lvl>
    <w:lvl w:ilvl="4" w:tentative="0">
      <w:start w:val="1"/>
      <w:numFmt w:val="lowerLetter"/>
      <w:lvlText w:val="%5)"/>
      <w:lvlJc w:val="left"/>
      <w:pPr>
        <w:ind w:left="2684" w:hanging="420"/>
      </w:pPr>
    </w:lvl>
    <w:lvl w:ilvl="5" w:tentative="0">
      <w:start w:val="1"/>
      <w:numFmt w:val="lowerRoman"/>
      <w:lvlText w:val="%6."/>
      <w:lvlJc w:val="right"/>
      <w:pPr>
        <w:ind w:left="3104" w:hanging="420"/>
      </w:pPr>
    </w:lvl>
    <w:lvl w:ilvl="6" w:tentative="0">
      <w:start w:val="1"/>
      <w:numFmt w:val="decimal"/>
      <w:lvlText w:val="%7."/>
      <w:lvlJc w:val="left"/>
      <w:pPr>
        <w:ind w:left="3524" w:hanging="420"/>
      </w:pPr>
    </w:lvl>
    <w:lvl w:ilvl="7" w:tentative="0">
      <w:start w:val="1"/>
      <w:numFmt w:val="lowerLetter"/>
      <w:lvlText w:val="%8)"/>
      <w:lvlJc w:val="left"/>
      <w:pPr>
        <w:ind w:left="3944" w:hanging="420"/>
      </w:pPr>
    </w:lvl>
    <w:lvl w:ilvl="8" w:tentative="0">
      <w:start w:val="1"/>
      <w:numFmt w:val="lowerRoman"/>
      <w:lvlText w:val="%9."/>
      <w:lvlJc w:val="right"/>
      <w:pPr>
        <w:ind w:left="4364" w:hanging="420"/>
      </w:pPr>
    </w:lvl>
  </w:abstractNum>
  <w:abstractNum w:abstractNumId="38">
    <w:nsid w:val="484A0618"/>
    <w:multiLevelType w:val="multilevel"/>
    <w:tmpl w:val="484A0618"/>
    <w:lvl w:ilvl="0" w:tentative="0">
      <w:start w:val="1"/>
      <w:numFmt w:val="chineseCountingThousand"/>
      <w:lvlText w:val="(%1)"/>
      <w:lvlJc w:val="left"/>
      <w:pPr>
        <w:ind w:left="840" w:hanging="420"/>
      </w:pPr>
    </w:lvl>
    <w:lvl w:ilvl="1" w:tentative="0">
      <w:start w:val="1"/>
      <w:numFmt w:val="chineseCountingThousand"/>
      <w:lvlText w:val="(%2)"/>
      <w:lvlJc w:val="left"/>
      <w:pPr>
        <w:ind w:left="1260" w:hanging="420"/>
      </w:pPr>
      <w:rPr>
        <w:color w:val="auto"/>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9">
    <w:nsid w:val="49560EA5"/>
    <w:multiLevelType w:val="singleLevel"/>
    <w:tmpl w:val="49560EA5"/>
    <w:lvl w:ilvl="0" w:tentative="0">
      <w:start w:val="1"/>
      <w:numFmt w:val="chineseCounting"/>
      <w:suff w:val="nothing"/>
      <w:lvlText w:val="（%1）"/>
      <w:lvlJc w:val="left"/>
      <w:pPr>
        <w:ind w:left="60" w:firstLine="420"/>
      </w:pPr>
      <w:rPr>
        <w:rFonts w:hint="eastAsia"/>
      </w:rPr>
    </w:lvl>
  </w:abstractNum>
  <w:abstractNum w:abstractNumId="40">
    <w:nsid w:val="4A222CFF"/>
    <w:multiLevelType w:val="multilevel"/>
    <w:tmpl w:val="4A222CFF"/>
    <w:lvl w:ilvl="0" w:tentative="0">
      <w:start w:val="1"/>
      <w:numFmt w:val="chineseCountingThousand"/>
      <w:lvlText w:val="%1、"/>
      <w:lvlJc w:val="left"/>
      <w:pPr>
        <w:ind w:left="980" w:hanging="420"/>
      </w:pPr>
      <w:rPr>
        <w:rFonts w:ascii="宋体" w:hAnsi="宋体" w:eastAsia="宋体"/>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1">
    <w:nsid w:val="4CC31705"/>
    <w:multiLevelType w:val="multilevel"/>
    <w:tmpl w:val="4CC31705"/>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2">
    <w:nsid w:val="4D3C4E8D"/>
    <w:multiLevelType w:val="multilevel"/>
    <w:tmpl w:val="4D3C4E8D"/>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abstractNum w:abstractNumId="43">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4">
    <w:nsid w:val="54B8504E"/>
    <w:multiLevelType w:val="multilevel"/>
    <w:tmpl w:val="54B8504E"/>
    <w:lvl w:ilvl="0" w:tentative="0">
      <w:start w:val="1"/>
      <w:numFmt w:val="japaneseCounting"/>
      <w:lvlText w:val="（%1）"/>
      <w:lvlJc w:val="left"/>
      <w:pPr>
        <w:ind w:left="1404" w:hanging="855"/>
      </w:pPr>
      <w:rPr>
        <w:rFonts w:hint="default"/>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45">
    <w:nsid w:val="56C33A13"/>
    <w:multiLevelType w:val="multilevel"/>
    <w:tmpl w:val="56C33A13"/>
    <w:lvl w:ilvl="0" w:tentative="0">
      <w:start w:val="1"/>
      <w:numFmt w:val="chineseCountingThousand"/>
      <w:lvlText w:val="(%1)"/>
      <w:lvlJc w:val="left"/>
      <w:pPr>
        <w:ind w:left="420" w:hanging="420"/>
      </w:pPr>
      <w:rPr>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588F3FBC"/>
    <w:multiLevelType w:val="multilevel"/>
    <w:tmpl w:val="588F3FBC"/>
    <w:lvl w:ilvl="0" w:tentative="0">
      <w:start w:val="1"/>
      <w:numFmt w:val="chineseCountingThousand"/>
      <w:lvlText w:val="%1、"/>
      <w:lvlJc w:val="left"/>
      <w:pPr>
        <w:ind w:left="2831" w:hanging="420"/>
      </w:pPr>
      <w:rPr>
        <w:color w:val="auto"/>
      </w:r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47">
    <w:nsid w:val="58E76E2A"/>
    <w:multiLevelType w:val="multilevel"/>
    <w:tmpl w:val="58E76E2A"/>
    <w:lvl w:ilvl="0" w:tentative="0">
      <w:start w:val="1"/>
      <w:numFmt w:val="decimal"/>
      <w:lvlText w:val="%1."/>
      <w:lvlJc w:val="left"/>
      <w:pPr>
        <w:ind w:left="980" w:hanging="420"/>
      </w:pPr>
      <w:rPr>
        <w:rFonts w:hint="eastAsia"/>
      </w:rPr>
    </w:lvl>
    <w:lvl w:ilvl="1" w:tentative="0">
      <w:start w:val="1"/>
      <w:numFmt w:val="chineseCountingThousand"/>
      <w:lvlText w:val="%2、"/>
      <w:lvlJc w:val="left"/>
      <w:pPr>
        <w:ind w:left="1413" w:hanging="42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502" w:hanging="360"/>
      </w:pPr>
      <w:rPr>
        <w:rFonts w:hint="default"/>
      </w:r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8">
    <w:nsid w:val="5A792747"/>
    <w:multiLevelType w:val="multilevel"/>
    <w:tmpl w:val="5A792747"/>
    <w:lvl w:ilvl="0" w:tentative="0">
      <w:start w:val="1"/>
      <w:numFmt w:val="chineseCountingThousand"/>
      <w:lvlText w:val="(%1)"/>
      <w:lvlJc w:val="left"/>
      <w:pPr>
        <w:ind w:left="928" w:hanging="360"/>
      </w:pPr>
      <w:rPr>
        <w:rFonts w:hint="default"/>
      </w:r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49">
    <w:nsid w:val="5C1C6488"/>
    <w:multiLevelType w:val="multilevel"/>
    <w:tmpl w:val="5C1C6488"/>
    <w:lvl w:ilvl="0" w:tentative="0">
      <w:start w:val="1"/>
      <w:numFmt w:val="chineseCountingThousand"/>
      <w:lvlText w:val="(%1)"/>
      <w:lvlJc w:val="left"/>
      <w:pPr>
        <w:ind w:left="986" w:hanging="420"/>
      </w:pPr>
    </w:lvl>
    <w:lvl w:ilvl="1" w:tentative="0">
      <w:start w:val="1"/>
      <w:numFmt w:val="chineseCountingThousand"/>
      <w:lvlText w:val="(%2)"/>
      <w:lvlJc w:val="left"/>
      <w:pPr>
        <w:ind w:left="2547" w:hanging="420"/>
      </w:pPr>
      <w:rPr>
        <w:rFonts w:ascii="宋体" w:hAnsi="宋体" w:eastAsia="宋体"/>
        <w:color w:val="auto"/>
      </w:rPr>
    </w:lvl>
    <w:lvl w:ilvl="2" w:tentative="0">
      <w:start w:val="1"/>
      <w:numFmt w:val="decimalEnclosedFullstop"/>
      <w:lvlText w:val="%3"/>
      <w:lvlJc w:val="left"/>
      <w:pPr>
        <w:ind w:left="1766" w:hanging="360"/>
      </w:pPr>
      <w:rPr>
        <w:rFonts w:hint="default"/>
      </w:r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0">
    <w:nsid w:val="5F143CBF"/>
    <w:multiLevelType w:val="multilevel"/>
    <w:tmpl w:val="5F143CBF"/>
    <w:lvl w:ilvl="0" w:tentative="0">
      <w:start w:val="1"/>
      <w:numFmt w:val="chineseCountingThousand"/>
      <w:lvlText w:val="(%1)"/>
      <w:lvlJc w:val="left"/>
      <w:pPr>
        <w:ind w:left="1004" w:hanging="420"/>
      </w:pPr>
    </w:lvl>
    <w:lvl w:ilvl="1" w:tentative="0">
      <w:start w:val="1"/>
      <w:numFmt w:val="lowerLetter"/>
      <w:lvlText w:val="%2)"/>
      <w:lvlJc w:val="left"/>
      <w:pPr>
        <w:ind w:left="1424" w:hanging="420"/>
      </w:pPr>
    </w:lvl>
    <w:lvl w:ilvl="2" w:tentative="0">
      <w:start w:val="1"/>
      <w:numFmt w:val="japaneseCounting"/>
      <w:lvlText w:val="%3、"/>
      <w:lvlJc w:val="left"/>
      <w:pPr>
        <w:ind w:left="2432" w:hanging="1008"/>
      </w:pPr>
      <w:rPr>
        <w:rFonts w:hint="default"/>
      </w:rPr>
    </w:lvl>
    <w:lvl w:ilvl="3" w:tentative="0">
      <w:start w:val="1"/>
      <w:numFmt w:val="decimal"/>
      <w:lvlText w:val="%4）"/>
      <w:lvlJc w:val="left"/>
      <w:pPr>
        <w:ind w:left="2564" w:hanging="720"/>
      </w:pPr>
      <w:rPr>
        <w:rFonts w:hint="default"/>
      </w:rPr>
    </w:lvl>
    <w:lvl w:ilvl="4" w:tentative="0">
      <w:start w:val="1"/>
      <w:numFmt w:val="lowerLetter"/>
      <w:lvlText w:val="%5)"/>
      <w:lvlJc w:val="left"/>
      <w:pPr>
        <w:ind w:left="2684" w:hanging="420"/>
      </w:pPr>
    </w:lvl>
    <w:lvl w:ilvl="5" w:tentative="0">
      <w:start w:val="1"/>
      <w:numFmt w:val="lowerRoman"/>
      <w:lvlText w:val="%6."/>
      <w:lvlJc w:val="right"/>
      <w:pPr>
        <w:ind w:left="3104" w:hanging="420"/>
      </w:pPr>
    </w:lvl>
    <w:lvl w:ilvl="6" w:tentative="0">
      <w:start w:val="1"/>
      <w:numFmt w:val="decimal"/>
      <w:lvlText w:val="%7."/>
      <w:lvlJc w:val="left"/>
      <w:pPr>
        <w:ind w:left="3524" w:hanging="420"/>
      </w:pPr>
    </w:lvl>
    <w:lvl w:ilvl="7" w:tentative="0">
      <w:start w:val="1"/>
      <w:numFmt w:val="lowerLetter"/>
      <w:lvlText w:val="%8)"/>
      <w:lvlJc w:val="left"/>
      <w:pPr>
        <w:ind w:left="3944" w:hanging="420"/>
      </w:pPr>
    </w:lvl>
    <w:lvl w:ilvl="8" w:tentative="0">
      <w:start w:val="1"/>
      <w:numFmt w:val="lowerRoman"/>
      <w:lvlText w:val="%9."/>
      <w:lvlJc w:val="right"/>
      <w:pPr>
        <w:ind w:left="4364" w:hanging="420"/>
      </w:pPr>
    </w:lvl>
  </w:abstractNum>
  <w:abstractNum w:abstractNumId="51">
    <w:nsid w:val="5F191BD6"/>
    <w:multiLevelType w:val="multilevel"/>
    <w:tmpl w:val="5F191BD6"/>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52">
    <w:nsid w:val="5F644052"/>
    <w:multiLevelType w:val="multilevel"/>
    <w:tmpl w:val="5F644052"/>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3">
    <w:nsid w:val="60642B38"/>
    <w:multiLevelType w:val="multilevel"/>
    <w:tmpl w:val="60642B38"/>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4">
    <w:nsid w:val="61780E46"/>
    <w:multiLevelType w:val="multilevel"/>
    <w:tmpl w:val="61780E46"/>
    <w:lvl w:ilvl="0" w:tentative="0">
      <w:start w:val="1"/>
      <w:numFmt w:val="japaneseCounting"/>
      <w:lvlText w:val="%1、"/>
      <w:lvlJc w:val="left"/>
      <w:pPr>
        <w:ind w:left="2000" w:hanging="720"/>
      </w:pPr>
      <w:rPr>
        <w:rFonts w:hint="default"/>
      </w:rPr>
    </w:lvl>
    <w:lvl w:ilvl="1" w:tentative="0">
      <w:start w:val="1"/>
      <w:numFmt w:val="lowerLetter"/>
      <w:lvlText w:val="%2)"/>
      <w:lvlJc w:val="left"/>
      <w:pPr>
        <w:ind w:left="2120" w:hanging="420"/>
      </w:pPr>
    </w:lvl>
    <w:lvl w:ilvl="2" w:tentative="0">
      <w:start w:val="1"/>
      <w:numFmt w:val="japaneseCounting"/>
      <w:lvlText w:val="（%3）"/>
      <w:lvlJc w:val="left"/>
      <w:pPr>
        <w:ind w:left="2975" w:hanging="855"/>
      </w:pPr>
      <w:rPr>
        <w:rFonts w:hint="default"/>
      </w:rPr>
    </w:lvl>
    <w:lvl w:ilvl="3" w:tentative="0">
      <w:start w:val="1"/>
      <w:numFmt w:val="decimal"/>
      <w:lvlText w:val="%4."/>
      <w:lvlJc w:val="left"/>
      <w:pPr>
        <w:ind w:left="2960" w:hanging="420"/>
      </w:pPr>
    </w:lvl>
    <w:lvl w:ilvl="4" w:tentative="0">
      <w:start w:val="1"/>
      <w:numFmt w:val="lowerLetter"/>
      <w:lvlText w:val="%5)"/>
      <w:lvlJc w:val="left"/>
      <w:pPr>
        <w:ind w:left="3380" w:hanging="420"/>
      </w:pPr>
    </w:lvl>
    <w:lvl w:ilvl="5" w:tentative="0">
      <w:start w:val="1"/>
      <w:numFmt w:val="lowerRoman"/>
      <w:lvlText w:val="%6."/>
      <w:lvlJc w:val="right"/>
      <w:pPr>
        <w:ind w:left="3800" w:hanging="420"/>
      </w:pPr>
    </w:lvl>
    <w:lvl w:ilvl="6" w:tentative="0">
      <w:start w:val="1"/>
      <w:numFmt w:val="decimal"/>
      <w:lvlText w:val="%7."/>
      <w:lvlJc w:val="left"/>
      <w:pPr>
        <w:ind w:left="4220" w:hanging="420"/>
      </w:pPr>
    </w:lvl>
    <w:lvl w:ilvl="7" w:tentative="0">
      <w:start w:val="1"/>
      <w:numFmt w:val="lowerLetter"/>
      <w:lvlText w:val="%8)"/>
      <w:lvlJc w:val="left"/>
      <w:pPr>
        <w:ind w:left="4640" w:hanging="420"/>
      </w:pPr>
    </w:lvl>
    <w:lvl w:ilvl="8" w:tentative="0">
      <w:start w:val="1"/>
      <w:numFmt w:val="lowerRoman"/>
      <w:lvlText w:val="%9."/>
      <w:lvlJc w:val="right"/>
      <w:pPr>
        <w:ind w:left="5060" w:hanging="420"/>
      </w:pPr>
    </w:lvl>
  </w:abstractNum>
  <w:abstractNum w:abstractNumId="55">
    <w:nsid w:val="61C76959"/>
    <w:multiLevelType w:val="multilevel"/>
    <w:tmpl w:val="61C76959"/>
    <w:lvl w:ilvl="0" w:tentative="0">
      <w:start w:val="1"/>
      <w:numFmt w:val="chineseCountingThousand"/>
      <w:lvlText w:val="%1、"/>
      <w:lvlJc w:val="left"/>
      <w:pPr>
        <w:ind w:left="988" w:hanging="420"/>
      </w:pPr>
      <w:rPr>
        <w:color w:val="auto"/>
        <w:lang w:val="en-US"/>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6">
    <w:nsid w:val="638064AA"/>
    <w:multiLevelType w:val="multilevel"/>
    <w:tmpl w:val="638064AA"/>
    <w:lvl w:ilvl="0" w:tentative="0">
      <w:start w:val="1"/>
      <w:numFmt w:val="japaneseCounting"/>
      <w:lvlText w:val="%1、"/>
      <w:lvlJc w:val="left"/>
      <w:pPr>
        <w:ind w:left="1856"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7">
    <w:nsid w:val="63993E75"/>
    <w:multiLevelType w:val="multilevel"/>
    <w:tmpl w:val="63993E75"/>
    <w:lvl w:ilvl="0" w:tentative="0">
      <w:start w:val="1"/>
      <w:numFmt w:val="japaneseCounting"/>
      <w:lvlText w:val="（%1）"/>
      <w:lvlJc w:val="left"/>
      <w:pPr>
        <w:ind w:left="1415" w:hanging="855"/>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8">
    <w:nsid w:val="69842B3E"/>
    <w:multiLevelType w:val="multilevel"/>
    <w:tmpl w:val="69842B3E"/>
    <w:lvl w:ilvl="0" w:tentative="0">
      <w:start w:val="1"/>
      <w:numFmt w:val="decimal"/>
      <w:lvlText w:val="%1."/>
      <w:lvlJc w:val="left"/>
      <w:pPr>
        <w:ind w:left="420" w:hanging="420"/>
      </w:pPr>
      <w:rPr>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9">
    <w:nsid w:val="74C1646E"/>
    <w:multiLevelType w:val="multilevel"/>
    <w:tmpl w:val="74C1646E"/>
    <w:lvl w:ilvl="0" w:tentative="0">
      <w:start w:val="1"/>
      <w:numFmt w:val="chineseCountingThousand"/>
      <w:lvlText w:val="%1、"/>
      <w:lvlJc w:val="left"/>
      <w:pPr>
        <w:ind w:left="986" w:hanging="420"/>
      </w:pPr>
      <w:rPr>
        <w:color w:val="auto"/>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60">
    <w:nsid w:val="76475011"/>
    <w:multiLevelType w:val="multilevel"/>
    <w:tmpl w:val="76475011"/>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6532"/>
        </w:tabs>
        <w:ind w:left="6532" w:hanging="420"/>
      </w:pPr>
    </w:lvl>
    <w:lvl w:ilvl="2" w:tentative="0">
      <w:start w:val="1"/>
      <w:numFmt w:val="lowerRoman"/>
      <w:lvlText w:val="%3."/>
      <w:lvlJc w:val="right"/>
      <w:pPr>
        <w:tabs>
          <w:tab w:val="left" w:pos="6952"/>
        </w:tabs>
        <w:ind w:left="6952" w:hanging="420"/>
      </w:pPr>
    </w:lvl>
    <w:lvl w:ilvl="3" w:tentative="0">
      <w:start w:val="1"/>
      <w:numFmt w:val="decimal"/>
      <w:lvlText w:val="%4."/>
      <w:lvlJc w:val="left"/>
      <w:pPr>
        <w:tabs>
          <w:tab w:val="left" w:pos="7372"/>
        </w:tabs>
        <w:ind w:left="7372" w:hanging="420"/>
      </w:pPr>
    </w:lvl>
    <w:lvl w:ilvl="4" w:tentative="0">
      <w:start w:val="1"/>
      <w:numFmt w:val="lowerLetter"/>
      <w:lvlText w:val="%5)"/>
      <w:lvlJc w:val="left"/>
      <w:pPr>
        <w:tabs>
          <w:tab w:val="left" w:pos="7792"/>
        </w:tabs>
        <w:ind w:left="7792" w:hanging="420"/>
      </w:pPr>
    </w:lvl>
    <w:lvl w:ilvl="5" w:tentative="0">
      <w:start w:val="1"/>
      <w:numFmt w:val="lowerRoman"/>
      <w:lvlText w:val="%6."/>
      <w:lvlJc w:val="right"/>
      <w:pPr>
        <w:tabs>
          <w:tab w:val="left" w:pos="8212"/>
        </w:tabs>
        <w:ind w:left="8212" w:hanging="420"/>
      </w:pPr>
    </w:lvl>
    <w:lvl w:ilvl="6" w:tentative="0">
      <w:start w:val="1"/>
      <w:numFmt w:val="decimal"/>
      <w:lvlText w:val="%7."/>
      <w:lvlJc w:val="left"/>
      <w:pPr>
        <w:tabs>
          <w:tab w:val="left" w:pos="8632"/>
        </w:tabs>
        <w:ind w:left="8632" w:hanging="420"/>
      </w:pPr>
    </w:lvl>
    <w:lvl w:ilvl="7" w:tentative="0">
      <w:start w:val="1"/>
      <w:numFmt w:val="lowerLetter"/>
      <w:lvlText w:val="%8)"/>
      <w:lvlJc w:val="left"/>
      <w:pPr>
        <w:tabs>
          <w:tab w:val="left" w:pos="9052"/>
        </w:tabs>
        <w:ind w:left="9052" w:hanging="420"/>
      </w:pPr>
    </w:lvl>
    <w:lvl w:ilvl="8" w:tentative="0">
      <w:start w:val="1"/>
      <w:numFmt w:val="lowerRoman"/>
      <w:lvlText w:val="%9."/>
      <w:lvlJc w:val="right"/>
      <w:pPr>
        <w:tabs>
          <w:tab w:val="left" w:pos="9472"/>
        </w:tabs>
        <w:ind w:left="9472" w:hanging="420"/>
      </w:pPr>
    </w:lvl>
  </w:abstractNum>
  <w:abstractNum w:abstractNumId="61">
    <w:nsid w:val="77D85A8A"/>
    <w:multiLevelType w:val="multilevel"/>
    <w:tmpl w:val="77D85A8A"/>
    <w:lvl w:ilvl="0" w:tentative="0">
      <w:start w:val="1"/>
      <w:numFmt w:val="chineseCountingThousand"/>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2">
    <w:nsid w:val="7B652295"/>
    <w:multiLevelType w:val="multilevel"/>
    <w:tmpl w:val="7B652295"/>
    <w:lvl w:ilvl="0" w:tentative="0">
      <w:start w:val="1"/>
      <w:numFmt w:val="chineseCountingThousand"/>
      <w:lvlText w:val="(%1)"/>
      <w:lvlJc w:val="left"/>
      <w:pPr>
        <w:ind w:left="988" w:hanging="420"/>
      </w:pPr>
    </w:lvl>
    <w:lvl w:ilvl="1" w:tentative="0">
      <w:start w:val="1"/>
      <w:numFmt w:val="lowerLetter"/>
      <w:lvlText w:val="%2)"/>
      <w:lvlJc w:val="left"/>
      <w:pPr>
        <w:ind w:left="1397" w:hanging="420"/>
      </w:pPr>
    </w:lvl>
    <w:lvl w:ilvl="2" w:tentative="0">
      <w:start w:val="1"/>
      <w:numFmt w:val="lowerRoman"/>
      <w:lvlText w:val="%3."/>
      <w:lvlJc w:val="right"/>
      <w:pPr>
        <w:ind w:left="1817" w:hanging="420"/>
      </w:pPr>
    </w:lvl>
    <w:lvl w:ilvl="3" w:tentative="0">
      <w:start w:val="1"/>
      <w:numFmt w:val="decimal"/>
      <w:lvlText w:val="%4."/>
      <w:lvlJc w:val="left"/>
      <w:pPr>
        <w:ind w:left="2237" w:hanging="420"/>
      </w:pPr>
    </w:lvl>
    <w:lvl w:ilvl="4" w:tentative="0">
      <w:start w:val="1"/>
      <w:numFmt w:val="lowerLetter"/>
      <w:lvlText w:val="%5)"/>
      <w:lvlJc w:val="left"/>
      <w:pPr>
        <w:ind w:left="2657" w:hanging="420"/>
      </w:pPr>
    </w:lvl>
    <w:lvl w:ilvl="5" w:tentative="0">
      <w:start w:val="1"/>
      <w:numFmt w:val="lowerRoman"/>
      <w:lvlText w:val="%6."/>
      <w:lvlJc w:val="right"/>
      <w:pPr>
        <w:ind w:left="3077" w:hanging="420"/>
      </w:pPr>
    </w:lvl>
    <w:lvl w:ilvl="6" w:tentative="0">
      <w:start w:val="1"/>
      <w:numFmt w:val="decimal"/>
      <w:lvlText w:val="%7."/>
      <w:lvlJc w:val="left"/>
      <w:pPr>
        <w:ind w:left="3497" w:hanging="420"/>
      </w:pPr>
    </w:lvl>
    <w:lvl w:ilvl="7" w:tentative="0">
      <w:start w:val="1"/>
      <w:numFmt w:val="lowerLetter"/>
      <w:lvlText w:val="%8)"/>
      <w:lvlJc w:val="left"/>
      <w:pPr>
        <w:ind w:left="3917" w:hanging="420"/>
      </w:pPr>
    </w:lvl>
    <w:lvl w:ilvl="8" w:tentative="0">
      <w:start w:val="1"/>
      <w:numFmt w:val="lowerRoman"/>
      <w:lvlText w:val="%9."/>
      <w:lvlJc w:val="right"/>
      <w:pPr>
        <w:ind w:left="4337" w:hanging="420"/>
      </w:pPr>
    </w:lvl>
  </w:abstractNum>
  <w:num w:numId="1">
    <w:abstractNumId w:val="7"/>
  </w:num>
  <w:num w:numId="2">
    <w:abstractNumId w:val="18"/>
  </w:num>
  <w:num w:numId="3">
    <w:abstractNumId w:val="39"/>
  </w:num>
  <w:num w:numId="4">
    <w:abstractNumId w:val="60"/>
  </w:num>
  <w:num w:numId="5">
    <w:abstractNumId w:val="48"/>
  </w:num>
  <w:num w:numId="6">
    <w:abstractNumId w:val="44"/>
  </w:num>
  <w:num w:numId="7">
    <w:abstractNumId w:val="6"/>
  </w:num>
  <w:num w:numId="8">
    <w:abstractNumId w:val="30"/>
  </w:num>
  <w:num w:numId="9">
    <w:abstractNumId w:val="61"/>
  </w:num>
  <w:num w:numId="10">
    <w:abstractNumId w:val="47"/>
  </w:num>
  <w:num w:numId="11">
    <w:abstractNumId w:val="3"/>
  </w:num>
  <w:num w:numId="12">
    <w:abstractNumId w:val="15"/>
  </w:num>
  <w:num w:numId="13">
    <w:abstractNumId w:val="16"/>
  </w:num>
  <w:num w:numId="14">
    <w:abstractNumId w:val="45"/>
  </w:num>
  <w:num w:numId="15">
    <w:abstractNumId w:val="20"/>
  </w:num>
  <w:num w:numId="16">
    <w:abstractNumId w:val="25"/>
  </w:num>
  <w:num w:numId="17">
    <w:abstractNumId w:val="51"/>
  </w:num>
  <w:num w:numId="18">
    <w:abstractNumId w:val="26"/>
  </w:num>
  <w:num w:numId="19">
    <w:abstractNumId w:val="29"/>
  </w:num>
  <w:num w:numId="20">
    <w:abstractNumId w:val="8"/>
  </w:num>
  <w:num w:numId="21">
    <w:abstractNumId w:val="59"/>
  </w:num>
  <w:num w:numId="22">
    <w:abstractNumId w:val="5"/>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
  </w:num>
  <w:num w:numId="26">
    <w:abstractNumId w:val="40"/>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3"/>
  </w:num>
  <w:num w:numId="29">
    <w:abstractNumId w:val="34"/>
  </w:num>
  <w:num w:numId="30">
    <w:abstractNumId w:val="1"/>
  </w:num>
  <w:num w:numId="31">
    <w:abstractNumId w:val="4"/>
  </w:num>
  <w:num w:numId="32">
    <w:abstractNumId w:val="0"/>
  </w:num>
  <w:num w:numId="33">
    <w:abstractNumId w:val="56"/>
  </w:num>
  <w:num w:numId="34">
    <w:abstractNumId w:val="38"/>
  </w:num>
  <w:num w:numId="35">
    <w:abstractNumId w:val="49"/>
  </w:num>
  <w:num w:numId="36">
    <w:abstractNumId w:val="22"/>
  </w:num>
  <w:num w:numId="37">
    <w:abstractNumId w:val="37"/>
  </w:num>
  <w:num w:numId="38">
    <w:abstractNumId w:val="50"/>
  </w:num>
  <w:num w:numId="39">
    <w:abstractNumId w:val="55"/>
  </w:num>
  <w:num w:numId="40">
    <w:abstractNumId w:val="11"/>
  </w:num>
  <w:num w:numId="41">
    <w:abstractNumId w:val="24"/>
  </w:num>
  <w:num w:numId="42">
    <w:abstractNumId w:val="58"/>
  </w:num>
  <w:num w:numId="43">
    <w:abstractNumId w:val="9"/>
  </w:num>
  <w:num w:numId="44">
    <w:abstractNumId w:val="43"/>
  </w:num>
  <w:num w:numId="4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3"/>
  </w:num>
  <w:num w:numId="47">
    <w:abstractNumId w:val="21"/>
  </w:num>
  <w:num w:numId="48">
    <w:abstractNumId w:val="52"/>
  </w:num>
  <w:num w:numId="49">
    <w:abstractNumId w:val="14"/>
  </w:num>
  <w:num w:numId="50">
    <w:abstractNumId w:val="28"/>
  </w:num>
  <w:num w:numId="51">
    <w:abstractNumId w:val="54"/>
  </w:num>
  <w:num w:numId="52">
    <w:abstractNumId w:val="36"/>
  </w:num>
  <w:num w:numId="5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2"/>
  </w:num>
  <w:num w:numId="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5"/>
  </w:num>
  <w:num w:numId="5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6"/>
  </w:num>
  <w:num w:numId="5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1"/>
  </w:num>
  <w:num w:numId="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GWebUrl" w:val="https://portal.cdggzy.com/iWebOffice2015/OfficeHandler.ashx?directory=/CgProject/BidFile/File/%e6%88%90%e9%83%bd%e5%b8%82%e6%94%bf%e9%87%87%e6%8b%9b%e3%80%942021%e3%80%95006%e5%8f%b7/"/>
  </w:docVars>
  <w:rsids>
    <w:rsidRoot w:val="001C66BE"/>
    <w:rsid w:val="000019DA"/>
    <w:rsid w:val="000022BB"/>
    <w:rsid w:val="0000767E"/>
    <w:rsid w:val="00007684"/>
    <w:rsid w:val="00025699"/>
    <w:rsid w:val="00034EC0"/>
    <w:rsid w:val="00046971"/>
    <w:rsid w:val="00053BE1"/>
    <w:rsid w:val="00055B3A"/>
    <w:rsid w:val="00056612"/>
    <w:rsid w:val="00066B54"/>
    <w:rsid w:val="00071A51"/>
    <w:rsid w:val="00071EA0"/>
    <w:rsid w:val="000800EF"/>
    <w:rsid w:val="00085F23"/>
    <w:rsid w:val="00090BA6"/>
    <w:rsid w:val="000A1B7B"/>
    <w:rsid w:val="000A7E12"/>
    <w:rsid w:val="000B2FA4"/>
    <w:rsid w:val="000C098D"/>
    <w:rsid w:val="000C109E"/>
    <w:rsid w:val="000C4C74"/>
    <w:rsid w:val="000C4F0B"/>
    <w:rsid w:val="000C5490"/>
    <w:rsid w:val="000C6CE2"/>
    <w:rsid w:val="000D0E21"/>
    <w:rsid w:val="000D2C45"/>
    <w:rsid w:val="000E136F"/>
    <w:rsid w:val="000E2658"/>
    <w:rsid w:val="000E5EF5"/>
    <w:rsid w:val="000E65EA"/>
    <w:rsid w:val="000F347B"/>
    <w:rsid w:val="000F47F1"/>
    <w:rsid w:val="000F4809"/>
    <w:rsid w:val="000F6B7C"/>
    <w:rsid w:val="00101299"/>
    <w:rsid w:val="00107C01"/>
    <w:rsid w:val="00113869"/>
    <w:rsid w:val="00114B69"/>
    <w:rsid w:val="0012057D"/>
    <w:rsid w:val="00134123"/>
    <w:rsid w:val="00134A3E"/>
    <w:rsid w:val="00134EA6"/>
    <w:rsid w:val="00134EB4"/>
    <w:rsid w:val="00136A42"/>
    <w:rsid w:val="00136CDC"/>
    <w:rsid w:val="00136D53"/>
    <w:rsid w:val="00137AEC"/>
    <w:rsid w:val="001415FC"/>
    <w:rsid w:val="001471CE"/>
    <w:rsid w:val="00154EA1"/>
    <w:rsid w:val="00161B92"/>
    <w:rsid w:val="0016702F"/>
    <w:rsid w:val="00176414"/>
    <w:rsid w:val="00197B45"/>
    <w:rsid w:val="001A07E3"/>
    <w:rsid w:val="001A5CF8"/>
    <w:rsid w:val="001A65FB"/>
    <w:rsid w:val="001B0153"/>
    <w:rsid w:val="001B66B8"/>
    <w:rsid w:val="001C3613"/>
    <w:rsid w:val="001C66BE"/>
    <w:rsid w:val="001D09EC"/>
    <w:rsid w:val="001D1EAF"/>
    <w:rsid w:val="001D5A8E"/>
    <w:rsid w:val="001E5314"/>
    <w:rsid w:val="001F2DA3"/>
    <w:rsid w:val="001F3279"/>
    <w:rsid w:val="001F50D7"/>
    <w:rsid w:val="00201223"/>
    <w:rsid w:val="00205055"/>
    <w:rsid w:val="00205775"/>
    <w:rsid w:val="00205A63"/>
    <w:rsid w:val="00205B99"/>
    <w:rsid w:val="0020601F"/>
    <w:rsid w:val="002119F5"/>
    <w:rsid w:val="00211D04"/>
    <w:rsid w:val="00213210"/>
    <w:rsid w:val="00217368"/>
    <w:rsid w:val="00217780"/>
    <w:rsid w:val="00217BEE"/>
    <w:rsid w:val="00230BA2"/>
    <w:rsid w:val="0023228E"/>
    <w:rsid w:val="0023687E"/>
    <w:rsid w:val="00240986"/>
    <w:rsid w:val="00254A88"/>
    <w:rsid w:val="00254BAF"/>
    <w:rsid w:val="002619C0"/>
    <w:rsid w:val="00262C45"/>
    <w:rsid w:val="00275EDA"/>
    <w:rsid w:val="0028699C"/>
    <w:rsid w:val="002876B6"/>
    <w:rsid w:val="00290F4B"/>
    <w:rsid w:val="00294A2C"/>
    <w:rsid w:val="002A3AD3"/>
    <w:rsid w:val="002A3E52"/>
    <w:rsid w:val="002A6117"/>
    <w:rsid w:val="002A7864"/>
    <w:rsid w:val="002B081B"/>
    <w:rsid w:val="002B7A7F"/>
    <w:rsid w:val="002C1B00"/>
    <w:rsid w:val="002D05AE"/>
    <w:rsid w:val="002D0BE8"/>
    <w:rsid w:val="002D0C65"/>
    <w:rsid w:val="002D0E39"/>
    <w:rsid w:val="002D160A"/>
    <w:rsid w:val="002D3A36"/>
    <w:rsid w:val="002D4BA6"/>
    <w:rsid w:val="002D4F56"/>
    <w:rsid w:val="002D5D02"/>
    <w:rsid w:val="002D5D94"/>
    <w:rsid w:val="002E2515"/>
    <w:rsid w:val="002E56D2"/>
    <w:rsid w:val="002E70CC"/>
    <w:rsid w:val="002F1611"/>
    <w:rsid w:val="00301730"/>
    <w:rsid w:val="00301FA6"/>
    <w:rsid w:val="00303817"/>
    <w:rsid w:val="003048C3"/>
    <w:rsid w:val="00304ABF"/>
    <w:rsid w:val="003065F4"/>
    <w:rsid w:val="0031657A"/>
    <w:rsid w:val="00323BDE"/>
    <w:rsid w:val="00332390"/>
    <w:rsid w:val="0033501B"/>
    <w:rsid w:val="00341313"/>
    <w:rsid w:val="00346E6B"/>
    <w:rsid w:val="00357DAE"/>
    <w:rsid w:val="00365C5B"/>
    <w:rsid w:val="00366676"/>
    <w:rsid w:val="003671F3"/>
    <w:rsid w:val="00371061"/>
    <w:rsid w:val="00380C28"/>
    <w:rsid w:val="00381425"/>
    <w:rsid w:val="00382C45"/>
    <w:rsid w:val="00391D98"/>
    <w:rsid w:val="00394685"/>
    <w:rsid w:val="003A1D98"/>
    <w:rsid w:val="003A549F"/>
    <w:rsid w:val="003B62AC"/>
    <w:rsid w:val="003B70F6"/>
    <w:rsid w:val="003C0D99"/>
    <w:rsid w:val="003C0FAF"/>
    <w:rsid w:val="003C1B31"/>
    <w:rsid w:val="003C5F39"/>
    <w:rsid w:val="003C7FD1"/>
    <w:rsid w:val="003D0FAC"/>
    <w:rsid w:val="003D119B"/>
    <w:rsid w:val="003D4E92"/>
    <w:rsid w:val="003D590F"/>
    <w:rsid w:val="003D697E"/>
    <w:rsid w:val="003D6C19"/>
    <w:rsid w:val="003D798F"/>
    <w:rsid w:val="003E4D8E"/>
    <w:rsid w:val="003E537C"/>
    <w:rsid w:val="003F057E"/>
    <w:rsid w:val="003F338F"/>
    <w:rsid w:val="003F5E9E"/>
    <w:rsid w:val="00401EB7"/>
    <w:rsid w:val="0040670A"/>
    <w:rsid w:val="00410907"/>
    <w:rsid w:val="00411A82"/>
    <w:rsid w:val="00414537"/>
    <w:rsid w:val="00417FA5"/>
    <w:rsid w:val="004212EA"/>
    <w:rsid w:val="00421788"/>
    <w:rsid w:val="00423109"/>
    <w:rsid w:val="00442F8B"/>
    <w:rsid w:val="00453C58"/>
    <w:rsid w:val="0045562D"/>
    <w:rsid w:val="004643EC"/>
    <w:rsid w:val="0047395B"/>
    <w:rsid w:val="00474110"/>
    <w:rsid w:val="0047522A"/>
    <w:rsid w:val="00475776"/>
    <w:rsid w:val="004815C0"/>
    <w:rsid w:val="00481AC6"/>
    <w:rsid w:val="004910FE"/>
    <w:rsid w:val="0049458B"/>
    <w:rsid w:val="00495E22"/>
    <w:rsid w:val="00495E4F"/>
    <w:rsid w:val="00497260"/>
    <w:rsid w:val="00497D4E"/>
    <w:rsid w:val="004A3393"/>
    <w:rsid w:val="004B053A"/>
    <w:rsid w:val="004B4C27"/>
    <w:rsid w:val="004B77FE"/>
    <w:rsid w:val="004C5C1A"/>
    <w:rsid w:val="004D090E"/>
    <w:rsid w:val="004D27CB"/>
    <w:rsid w:val="004D4FA8"/>
    <w:rsid w:val="004D56B9"/>
    <w:rsid w:val="004E3F3B"/>
    <w:rsid w:val="004E5D52"/>
    <w:rsid w:val="004E7011"/>
    <w:rsid w:val="004F2A68"/>
    <w:rsid w:val="004F508C"/>
    <w:rsid w:val="004F7C85"/>
    <w:rsid w:val="00503F33"/>
    <w:rsid w:val="00504CF8"/>
    <w:rsid w:val="00521E54"/>
    <w:rsid w:val="0052300D"/>
    <w:rsid w:val="005273C7"/>
    <w:rsid w:val="00534A7E"/>
    <w:rsid w:val="00537B68"/>
    <w:rsid w:val="00537DD5"/>
    <w:rsid w:val="0054488D"/>
    <w:rsid w:val="00545DE6"/>
    <w:rsid w:val="00546204"/>
    <w:rsid w:val="00546E95"/>
    <w:rsid w:val="00550B07"/>
    <w:rsid w:val="00555026"/>
    <w:rsid w:val="00555A8F"/>
    <w:rsid w:val="00560B49"/>
    <w:rsid w:val="00565422"/>
    <w:rsid w:val="00566E57"/>
    <w:rsid w:val="0056716E"/>
    <w:rsid w:val="00567673"/>
    <w:rsid w:val="00575455"/>
    <w:rsid w:val="00576299"/>
    <w:rsid w:val="005776F1"/>
    <w:rsid w:val="005805CF"/>
    <w:rsid w:val="005814A1"/>
    <w:rsid w:val="0058350B"/>
    <w:rsid w:val="00583E53"/>
    <w:rsid w:val="005846B9"/>
    <w:rsid w:val="00585356"/>
    <w:rsid w:val="00585B51"/>
    <w:rsid w:val="00591843"/>
    <w:rsid w:val="0059195A"/>
    <w:rsid w:val="00591E76"/>
    <w:rsid w:val="00595ED9"/>
    <w:rsid w:val="0059694B"/>
    <w:rsid w:val="00597090"/>
    <w:rsid w:val="005A1F2F"/>
    <w:rsid w:val="005A2E2E"/>
    <w:rsid w:val="005A366E"/>
    <w:rsid w:val="005A3991"/>
    <w:rsid w:val="005A427B"/>
    <w:rsid w:val="005A53A8"/>
    <w:rsid w:val="005A5DEF"/>
    <w:rsid w:val="005A79A0"/>
    <w:rsid w:val="005A7EE8"/>
    <w:rsid w:val="005B313D"/>
    <w:rsid w:val="005B4FD3"/>
    <w:rsid w:val="005B75CD"/>
    <w:rsid w:val="005C155A"/>
    <w:rsid w:val="005D0008"/>
    <w:rsid w:val="005D0E78"/>
    <w:rsid w:val="005D2AB0"/>
    <w:rsid w:val="005D456E"/>
    <w:rsid w:val="005E1BD1"/>
    <w:rsid w:val="005E4349"/>
    <w:rsid w:val="005F091A"/>
    <w:rsid w:val="005F320F"/>
    <w:rsid w:val="005F7373"/>
    <w:rsid w:val="00611880"/>
    <w:rsid w:val="00611BF3"/>
    <w:rsid w:val="006126A5"/>
    <w:rsid w:val="00621EC4"/>
    <w:rsid w:val="00623A36"/>
    <w:rsid w:val="006268CA"/>
    <w:rsid w:val="00626D18"/>
    <w:rsid w:val="00635038"/>
    <w:rsid w:val="00641E39"/>
    <w:rsid w:val="00641F64"/>
    <w:rsid w:val="0064376A"/>
    <w:rsid w:val="00644C1C"/>
    <w:rsid w:val="006455C8"/>
    <w:rsid w:val="0064602A"/>
    <w:rsid w:val="00651C40"/>
    <w:rsid w:val="00652883"/>
    <w:rsid w:val="00655504"/>
    <w:rsid w:val="00661190"/>
    <w:rsid w:val="006616C4"/>
    <w:rsid w:val="0066449E"/>
    <w:rsid w:val="00667360"/>
    <w:rsid w:val="00670CDC"/>
    <w:rsid w:val="006735C7"/>
    <w:rsid w:val="00675857"/>
    <w:rsid w:val="00675A16"/>
    <w:rsid w:val="00676040"/>
    <w:rsid w:val="0067728F"/>
    <w:rsid w:val="0068283D"/>
    <w:rsid w:val="00690303"/>
    <w:rsid w:val="00690CE4"/>
    <w:rsid w:val="00691E70"/>
    <w:rsid w:val="00694460"/>
    <w:rsid w:val="00695F41"/>
    <w:rsid w:val="00697D95"/>
    <w:rsid w:val="00697DD0"/>
    <w:rsid w:val="006A2EF7"/>
    <w:rsid w:val="006A4A3D"/>
    <w:rsid w:val="006A53F1"/>
    <w:rsid w:val="006A598A"/>
    <w:rsid w:val="006B3207"/>
    <w:rsid w:val="006B5942"/>
    <w:rsid w:val="006C657C"/>
    <w:rsid w:val="006C7A23"/>
    <w:rsid w:val="006D2430"/>
    <w:rsid w:val="006D4720"/>
    <w:rsid w:val="006D5E99"/>
    <w:rsid w:val="006E29A3"/>
    <w:rsid w:val="006E32BE"/>
    <w:rsid w:val="006F61CA"/>
    <w:rsid w:val="006F7859"/>
    <w:rsid w:val="00703283"/>
    <w:rsid w:val="007045FF"/>
    <w:rsid w:val="00707778"/>
    <w:rsid w:val="0070788C"/>
    <w:rsid w:val="00712E32"/>
    <w:rsid w:val="00712E3B"/>
    <w:rsid w:val="007206B5"/>
    <w:rsid w:val="00725BF7"/>
    <w:rsid w:val="00727809"/>
    <w:rsid w:val="007345C1"/>
    <w:rsid w:val="0074180E"/>
    <w:rsid w:val="00742DB9"/>
    <w:rsid w:val="00750F62"/>
    <w:rsid w:val="0075399D"/>
    <w:rsid w:val="00760F65"/>
    <w:rsid w:val="007627EB"/>
    <w:rsid w:val="007673D8"/>
    <w:rsid w:val="00767686"/>
    <w:rsid w:val="0077444D"/>
    <w:rsid w:val="00776F9C"/>
    <w:rsid w:val="00780349"/>
    <w:rsid w:val="00784DF1"/>
    <w:rsid w:val="007854F4"/>
    <w:rsid w:val="007859E0"/>
    <w:rsid w:val="00787A86"/>
    <w:rsid w:val="00792C77"/>
    <w:rsid w:val="00795310"/>
    <w:rsid w:val="007A2142"/>
    <w:rsid w:val="007A4252"/>
    <w:rsid w:val="007B16B7"/>
    <w:rsid w:val="007B2356"/>
    <w:rsid w:val="007B7306"/>
    <w:rsid w:val="007C09FD"/>
    <w:rsid w:val="007C386B"/>
    <w:rsid w:val="007C73FF"/>
    <w:rsid w:val="007D0B3F"/>
    <w:rsid w:val="007D38CA"/>
    <w:rsid w:val="007D6A85"/>
    <w:rsid w:val="007E089A"/>
    <w:rsid w:val="007E26AB"/>
    <w:rsid w:val="007E274F"/>
    <w:rsid w:val="007E3874"/>
    <w:rsid w:val="007F37B9"/>
    <w:rsid w:val="007F7424"/>
    <w:rsid w:val="0080639A"/>
    <w:rsid w:val="008072A5"/>
    <w:rsid w:val="00813FAD"/>
    <w:rsid w:val="00822D38"/>
    <w:rsid w:val="00822FA3"/>
    <w:rsid w:val="00831410"/>
    <w:rsid w:val="00831F9F"/>
    <w:rsid w:val="00842113"/>
    <w:rsid w:val="00842CA5"/>
    <w:rsid w:val="00843344"/>
    <w:rsid w:val="00843959"/>
    <w:rsid w:val="0084686D"/>
    <w:rsid w:val="00846F1B"/>
    <w:rsid w:val="00853161"/>
    <w:rsid w:val="008535E1"/>
    <w:rsid w:val="008559EC"/>
    <w:rsid w:val="00860CB2"/>
    <w:rsid w:val="00862422"/>
    <w:rsid w:val="008634E0"/>
    <w:rsid w:val="008711CA"/>
    <w:rsid w:val="00871E3A"/>
    <w:rsid w:val="00872BD0"/>
    <w:rsid w:val="00873156"/>
    <w:rsid w:val="00875780"/>
    <w:rsid w:val="00875944"/>
    <w:rsid w:val="00884980"/>
    <w:rsid w:val="0088523A"/>
    <w:rsid w:val="00886019"/>
    <w:rsid w:val="008864F0"/>
    <w:rsid w:val="008953C7"/>
    <w:rsid w:val="00897E5C"/>
    <w:rsid w:val="008A65FB"/>
    <w:rsid w:val="008B032E"/>
    <w:rsid w:val="008B1901"/>
    <w:rsid w:val="008B3C1E"/>
    <w:rsid w:val="008B472D"/>
    <w:rsid w:val="008C2D86"/>
    <w:rsid w:val="008C4752"/>
    <w:rsid w:val="008C76D8"/>
    <w:rsid w:val="008D0473"/>
    <w:rsid w:val="008F116E"/>
    <w:rsid w:val="008F1BF2"/>
    <w:rsid w:val="008F1D08"/>
    <w:rsid w:val="008F4AC8"/>
    <w:rsid w:val="008F5BA2"/>
    <w:rsid w:val="009019A5"/>
    <w:rsid w:val="00902A31"/>
    <w:rsid w:val="009062E0"/>
    <w:rsid w:val="009066D6"/>
    <w:rsid w:val="009074B8"/>
    <w:rsid w:val="00907CB4"/>
    <w:rsid w:val="0091013A"/>
    <w:rsid w:val="00914550"/>
    <w:rsid w:val="009202F2"/>
    <w:rsid w:val="0092448C"/>
    <w:rsid w:val="00924EB7"/>
    <w:rsid w:val="00925D30"/>
    <w:rsid w:val="0093203B"/>
    <w:rsid w:val="00937D60"/>
    <w:rsid w:val="00944FBC"/>
    <w:rsid w:val="0094651F"/>
    <w:rsid w:val="00946DC1"/>
    <w:rsid w:val="00950019"/>
    <w:rsid w:val="009507FF"/>
    <w:rsid w:val="0095106D"/>
    <w:rsid w:val="009518E4"/>
    <w:rsid w:val="00955896"/>
    <w:rsid w:val="00957CBF"/>
    <w:rsid w:val="009623F1"/>
    <w:rsid w:val="00975307"/>
    <w:rsid w:val="00976621"/>
    <w:rsid w:val="00981D11"/>
    <w:rsid w:val="00984181"/>
    <w:rsid w:val="009869AA"/>
    <w:rsid w:val="00991FBB"/>
    <w:rsid w:val="00995736"/>
    <w:rsid w:val="00996066"/>
    <w:rsid w:val="009A0BAD"/>
    <w:rsid w:val="009A271B"/>
    <w:rsid w:val="009A5EE7"/>
    <w:rsid w:val="009B2BA5"/>
    <w:rsid w:val="009B2E13"/>
    <w:rsid w:val="009B34A9"/>
    <w:rsid w:val="009B3900"/>
    <w:rsid w:val="009B533B"/>
    <w:rsid w:val="009B7A77"/>
    <w:rsid w:val="009C2923"/>
    <w:rsid w:val="009D2075"/>
    <w:rsid w:val="009E1CA2"/>
    <w:rsid w:val="009E768D"/>
    <w:rsid w:val="009F0A01"/>
    <w:rsid w:val="00A0310D"/>
    <w:rsid w:val="00A035DE"/>
    <w:rsid w:val="00A03693"/>
    <w:rsid w:val="00A07DB6"/>
    <w:rsid w:val="00A126F3"/>
    <w:rsid w:val="00A14154"/>
    <w:rsid w:val="00A17E83"/>
    <w:rsid w:val="00A3219A"/>
    <w:rsid w:val="00A33CE8"/>
    <w:rsid w:val="00A3552C"/>
    <w:rsid w:val="00A42B5C"/>
    <w:rsid w:val="00A43F50"/>
    <w:rsid w:val="00A44299"/>
    <w:rsid w:val="00A53461"/>
    <w:rsid w:val="00A56C6D"/>
    <w:rsid w:val="00A6039D"/>
    <w:rsid w:val="00A6106E"/>
    <w:rsid w:val="00A628B7"/>
    <w:rsid w:val="00A717D0"/>
    <w:rsid w:val="00A7403C"/>
    <w:rsid w:val="00A75143"/>
    <w:rsid w:val="00A75522"/>
    <w:rsid w:val="00A768B6"/>
    <w:rsid w:val="00A805D9"/>
    <w:rsid w:val="00A8065B"/>
    <w:rsid w:val="00A80AFA"/>
    <w:rsid w:val="00A87443"/>
    <w:rsid w:val="00A9038C"/>
    <w:rsid w:val="00AB023F"/>
    <w:rsid w:val="00AB2F81"/>
    <w:rsid w:val="00AB6DFB"/>
    <w:rsid w:val="00AC1469"/>
    <w:rsid w:val="00AC24EF"/>
    <w:rsid w:val="00AC3606"/>
    <w:rsid w:val="00AC370B"/>
    <w:rsid w:val="00AC75BE"/>
    <w:rsid w:val="00AD3DBF"/>
    <w:rsid w:val="00AD7E57"/>
    <w:rsid w:val="00AE1BE7"/>
    <w:rsid w:val="00AF3B32"/>
    <w:rsid w:val="00AF4205"/>
    <w:rsid w:val="00AF7369"/>
    <w:rsid w:val="00AF7B4C"/>
    <w:rsid w:val="00B0172A"/>
    <w:rsid w:val="00B02584"/>
    <w:rsid w:val="00B02C97"/>
    <w:rsid w:val="00B05C68"/>
    <w:rsid w:val="00B061FB"/>
    <w:rsid w:val="00B06C14"/>
    <w:rsid w:val="00B12062"/>
    <w:rsid w:val="00B13431"/>
    <w:rsid w:val="00B13607"/>
    <w:rsid w:val="00B21BEA"/>
    <w:rsid w:val="00B25250"/>
    <w:rsid w:val="00B2569B"/>
    <w:rsid w:val="00B3100F"/>
    <w:rsid w:val="00B3469F"/>
    <w:rsid w:val="00B35130"/>
    <w:rsid w:val="00B410CE"/>
    <w:rsid w:val="00B416E1"/>
    <w:rsid w:val="00B4323E"/>
    <w:rsid w:val="00B454B1"/>
    <w:rsid w:val="00B455F2"/>
    <w:rsid w:val="00B57B42"/>
    <w:rsid w:val="00B62AE6"/>
    <w:rsid w:val="00B74AEA"/>
    <w:rsid w:val="00B762C3"/>
    <w:rsid w:val="00B779A2"/>
    <w:rsid w:val="00B8493B"/>
    <w:rsid w:val="00B865A5"/>
    <w:rsid w:val="00B87861"/>
    <w:rsid w:val="00B900D0"/>
    <w:rsid w:val="00B9216B"/>
    <w:rsid w:val="00B94AD3"/>
    <w:rsid w:val="00BA0A95"/>
    <w:rsid w:val="00BA67BE"/>
    <w:rsid w:val="00BB28E3"/>
    <w:rsid w:val="00BB4AB3"/>
    <w:rsid w:val="00BC1D3C"/>
    <w:rsid w:val="00BC4D73"/>
    <w:rsid w:val="00BC6F31"/>
    <w:rsid w:val="00BC74F9"/>
    <w:rsid w:val="00BD5242"/>
    <w:rsid w:val="00BD5289"/>
    <w:rsid w:val="00BD7BE4"/>
    <w:rsid w:val="00BE036F"/>
    <w:rsid w:val="00BF0BEE"/>
    <w:rsid w:val="00C0014D"/>
    <w:rsid w:val="00C00D3B"/>
    <w:rsid w:val="00C02291"/>
    <w:rsid w:val="00C03D13"/>
    <w:rsid w:val="00C04BF3"/>
    <w:rsid w:val="00C121B5"/>
    <w:rsid w:val="00C149AD"/>
    <w:rsid w:val="00C166A8"/>
    <w:rsid w:val="00C16790"/>
    <w:rsid w:val="00C20C43"/>
    <w:rsid w:val="00C22BD9"/>
    <w:rsid w:val="00C22EF9"/>
    <w:rsid w:val="00C25001"/>
    <w:rsid w:val="00C263D0"/>
    <w:rsid w:val="00C32AB1"/>
    <w:rsid w:val="00C352B9"/>
    <w:rsid w:val="00C43F8E"/>
    <w:rsid w:val="00C4466C"/>
    <w:rsid w:val="00C45A89"/>
    <w:rsid w:val="00C516E6"/>
    <w:rsid w:val="00C52705"/>
    <w:rsid w:val="00C640CF"/>
    <w:rsid w:val="00C706E4"/>
    <w:rsid w:val="00C70EB9"/>
    <w:rsid w:val="00C7524F"/>
    <w:rsid w:val="00C76D6E"/>
    <w:rsid w:val="00C803A5"/>
    <w:rsid w:val="00C8144A"/>
    <w:rsid w:val="00C82D84"/>
    <w:rsid w:val="00C860BA"/>
    <w:rsid w:val="00C861EB"/>
    <w:rsid w:val="00C86D71"/>
    <w:rsid w:val="00C9048A"/>
    <w:rsid w:val="00C91C5E"/>
    <w:rsid w:val="00C92F1D"/>
    <w:rsid w:val="00C95D55"/>
    <w:rsid w:val="00CA0302"/>
    <w:rsid w:val="00CA26A2"/>
    <w:rsid w:val="00CA2D3A"/>
    <w:rsid w:val="00CC19AB"/>
    <w:rsid w:val="00CC29FE"/>
    <w:rsid w:val="00CD2A58"/>
    <w:rsid w:val="00CE3850"/>
    <w:rsid w:val="00CE3E95"/>
    <w:rsid w:val="00CE6ED6"/>
    <w:rsid w:val="00CF1154"/>
    <w:rsid w:val="00CF5080"/>
    <w:rsid w:val="00D00193"/>
    <w:rsid w:val="00D017BE"/>
    <w:rsid w:val="00D01870"/>
    <w:rsid w:val="00D01EC3"/>
    <w:rsid w:val="00D02130"/>
    <w:rsid w:val="00D06D17"/>
    <w:rsid w:val="00D0732A"/>
    <w:rsid w:val="00D21D44"/>
    <w:rsid w:val="00D24FDC"/>
    <w:rsid w:val="00D25009"/>
    <w:rsid w:val="00D26799"/>
    <w:rsid w:val="00D359DF"/>
    <w:rsid w:val="00D367AB"/>
    <w:rsid w:val="00D36E90"/>
    <w:rsid w:val="00D37B77"/>
    <w:rsid w:val="00D42E55"/>
    <w:rsid w:val="00D42F56"/>
    <w:rsid w:val="00D444F7"/>
    <w:rsid w:val="00D473A0"/>
    <w:rsid w:val="00D47970"/>
    <w:rsid w:val="00D47C21"/>
    <w:rsid w:val="00D528ED"/>
    <w:rsid w:val="00D53384"/>
    <w:rsid w:val="00D600AA"/>
    <w:rsid w:val="00D70D78"/>
    <w:rsid w:val="00D70F38"/>
    <w:rsid w:val="00D72C15"/>
    <w:rsid w:val="00D739FF"/>
    <w:rsid w:val="00D755F2"/>
    <w:rsid w:val="00D76AC4"/>
    <w:rsid w:val="00D81364"/>
    <w:rsid w:val="00D81A05"/>
    <w:rsid w:val="00D82186"/>
    <w:rsid w:val="00D82586"/>
    <w:rsid w:val="00D85982"/>
    <w:rsid w:val="00D87513"/>
    <w:rsid w:val="00D91CCD"/>
    <w:rsid w:val="00D92948"/>
    <w:rsid w:val="00D941B6"/>
    <w:rsid w:val="00D96BA2"/>
    <w:rsid w:val="00D97C82"/>
    <w:rsid w:val="00DA16DE"/>
    <w:rsid w:val="00DA3C93"/>
    <w:rsid w:val="00DB256D"/>
    <w:rsid w:val="00DB2AC4"/>
    <w:rsid w:val="00DB3BD1"/>
    <w:rsid w:val="00DB407A"/>
    <w:rsid w:val="00DB6B28"/>
    <w:rsid w:val="00DB74A8"/>
    <w:rsid w:val="00DC0F33"/>
    <w:rsid w:val="00DC6B3E"/>
    <w:rsid w:val="00DD022E"/>
    <w:rsid w:val="00DD341F"/>
    <w:rsid w:val="00DD7F60"/>
    <w:rsid w:val="00DE2BE2"/>
    <w:rsid w:val="00DE3E62"/>
    <w:rsid w:val="00DE66E7"/>
    <w:rsid w:val="00DF14CE"/>
    <w:rsid w:val="00DF196B"/>
    <w:rsid w:val="00DF19B2"/>
    <w:rsid w:val="00DF5AA7"/>
    <w:rsid w:val="00DF6235"/>
    <w:rsid w:val="00DF6953"/>
    <w:rsid w:val="00E0061E"/>
    <w:rsid w:val="00E009DB"/>
    <w:rsid w:val="00E07A58"/>
    <w:rsid w:val="00E11159"/>
    <w:rsid w:val="00E116F3"/>
    <w:rsid w:val="00E126B4"/>
    <w:rsid w:val="00E13591"/>
    <w:rsid w:val="00E17809"/>
    <w:rsid w:val="00E20888"/>
    <w:rsid w:val="00E30F70"/>
    <w:rsid w:val="00E313EE"/>
    <w:rsid w:val="00E34D35"/>
    <w:rsid w:val="00E35181"/>
    <w:rsid w:val="00E35572"/>
    <w:rsid w:val="00E41B9A"/>
    <w:rsid w:val="00E52268"/>
    <w:rsid w:val="00E52F2D"/>
    <w:rsid w:val="00E566ED"/>
    <w:rsid w:val="00E61631"/>
    <w:rsid w:val="00E8081F"/>
    <w:rsid w:val="00E861E3"/>
    <w:rsid w:val="00E8636D"/>
    <w:rsid w:val="00E8719A"/>
    <w:rsid w:val="00E92E02"/>
    <w:rsid w:val="00E93215"/>
    <w:rsid w:val="00E93579"/>
    <w:rsid w:val="00E94E24"/>
    <w:rsid w:val="00E95001"/>
    <w:rsid w:val="00E952BF"/>
    <w:rsid w:val="00E9532F"/>
    <w:rsid w:val="00EB1C8B"/>
    <w:rsid w:val="00EB2414"/>
    <w:rsid w:val="00EB3F1F"/>
    <w:rsid w:val="00EB7EF3"/>
    <w:rsid w:val="00EC09A2"/>
    <w:rsid w:val="00EC0B9D"/>
    <w:rsid w:val="00EC3B8F"/>
    <w:rsid w:val="00EC51CF"/>
    <w:rsid w:val="00ED180C"/>
    <w:rsid w:val="00ED500E"/>
    <w:rsid w:val="00EE333F"/>
    <w:rsid w:val="00EE4AB3"/>
    <w:rsid w:val="00EE5EDE"/>
    <w:rsid w:val="00EF419C"/>
    <w:rsid w:val="00EF4571"/>
    <w:rsid w:val="00EF620E"/>
    <w:rsid w:val="00F020A9"/>
    <w:rsid w:val="00F02826"/>
    <w:rsid w:val="00F146AE"/>
    <w:rsid w:val="00F1524D"/>
    <w:rsid w:val="00F16B48"/>
    <w:rsid w:val="00F16B98"/>
    <w:rsid w:val="00F201D2"/>
    <w:rsid w:val="00F226DD"/>
    <w:rsid w:val="00F24470"/>
    <w:rsid w:val="00F24ACD"/>
    <w:rsid w:val="00F26194"/>
    <w:rsid w:val="00F315D5"/>
    <w:rsid w:val="00F334EB"/>
    <w:rsid w:val="00F33DE8"/>
    <w:rsid w:val="00F442D2"/>
    <w:rsid w:val="00F45823"/>
    <w:rsid w:val="00F565B8"/>
    <w:rsid w:val="00F6443A"/>
    <w:rsid w:val="00F66AC3"/>
    <w:rsid w:val="00F67D58"/>
    <w:rsid w:val="00F732F7"/>
    <w:rsid w:val="00F73616"/>
    <w:rsid w:val="00F75066"/>
    <w:rsid w:val="00F76C83"/>
    <w:rsid w:val="00F810D4"/>
    <w:rsid w:val="00F816DD"/>
    <w:rsid w:val="00F84C01"/>
    <w:rsid w:val="00F87D78"/>
    <w:rsid w:val="00F90909"/>
    <w:rsid w:val="00F9261F"/>
    <w:rsid w:val="00F929B7"/>
    <w:rsid w:val="00F95BD1"/>
    <w:rsid w:val="00FA120F"/>
    <w:rsid w:val="00FA3594"/>
    <w:rsid w:val="00FA5644"/>
    <w:rsid w:val="00FA56AE"/>
    <w:rsid w:val="00FA61E6"/>
    <w:rsid w:val="00FA6371"/>
    <w:rsid w:val="00FA6988"/>
    <w:rsid w:val="00FB3E63"/>
    <w:rsid w:val="00FB5009"/>
    <w:rsid w:val="00FB501F"/>
    <w:rsid w:val="00FB54A0"/>
    <w:rsid w:val="00FB6CC6"/>
    <w:rsid w:val="00FC0EE4"/>
    <w:rsid w:val="00FC489B"/>
    <w:rsid w:val="00FC524D"/>
    <w:rsid w:val="00FC7F65"/>
    <w:rsid w:val="00FD2E0C"/>
    <w:rsid w:val="00FD4483"/>
    <w:rsid w:val="00FD4682"/>
    <w:rsid w:val="00FD5A80"/>
    <w:rsid w:val="00FE5EBE"/>
    <w:rsid w:val="00FE64E1"/>
    <w:rsid w:val="00FE6585"/>
    <w:rsid w:val="00FF43F7"/>
    <w:rsid w:val="00FF5F08"/>
    <w:rsid w:val="047138E1"/>
    <w:rsid w:val="064059D9"/>
    <w:rsid w:val="08017151"/>
    <w:rsid w:val="082174B5"/>
    <w:rsid w:val="0ACC58AF"/>
    <w:rsid w:val="0AF06661"/>
    <w:rsid w:val="0E6671EA"/>
    <w:rsid w:val="0EF16799"/>
    <w:rsid w:val="0FD33862"/>
    <w:rsid w:val="1129106E"/>
    <w:rsid w:val="11D5650B"/>
    <w:rsid w:val="12AB215B"/>
    <w:rsid w:val="12FF7F03"/>
    <w:rsid w:val="180826A7"/>
    <w:rsid w:val="18352626"/>
    <w:rsid w:val="18D62BCF"/>
    <w:rsid w:val="192B55AB"/>
    <w:rsid w:val="1C730CF9"/>
    <w:rsid w:val="21785EF8"/>
    <w:rsid w:val="22E97EC4"/>
    <w:rsid w:val="22F050B8"/>
    <w:rsid w:val="25A67289"/>
    <w:rsid w:val="26DD1A3C"/>
    <w:rsid w:val="276E22D4"/>
    <w:rsid w:val="29423C92"/>
    <w:rsid w:val="2CE8102D"/>
    <w:rsid w:val="2DF01A54"/>
    <w:rsid w:val="2E031642"/>
    <w:rsid w:val="2E6C74C3"/>
    <w:rsid w:val="30B82135"/>
    <w:rsid w:val="33970829"/>
    <w:rsid w:val="33DB369B"/>
    <w:rsid w:val="34CD6918"/>
    <w:rsid w:val="361478D5"/>
    <w:rsid w:val="362F706C"/>
    <w:rsid w:val="3699643B"/>
    <w:rsid w:val="39353FEF"/>
    <w:rsid w:val="3B0D12EA"/>
    <w:rsid w:val="3DC07A6F"/>
    <w:rsid w:val="3E2B531F"/>
    <w:rsid w:val="3EAC634A"/>
    <w:rsid w:val="407A4282"/>
    <w:rsid w:val="42BE6BF8"/>
    <w:rsid w:val="43A71711"/>
    <w:rsid w:val="441B1D69"/>
    <w:rsid w:val="44F96ACC"/>
    <w:rsid w:val="4666694B"/>
    <w:rsid w:val="482159AC"/>
    <w:rsid w:val="48583704"/>
    <w:rsid w:val="4AB028A0"/>
    <w:rsid w:val="4F293E91"/>
    <w:rsid w:val="4F950D83"/>
    <w:rsid w:val="508D4791"/>
    <w:rsid w:val="51A354D2"/>
    <w:rsid w:val="546A2D9B"/>
    <w:rsid w:val="552E5BB9"/>
    <w:rsid w:val="564C26CD"/>
    <w:rsid w:val="580C1077"/>
    <w:rsid w:val="5A782E80"/>
    <w:rsid w:val="5AA57DD0"/>
    <w:rsid w:val="5B420D3D"/>
    <w:rsid w:val="5C0439A0"/>
    <w:rsid w:val="5D5E07C8"/>
    <w:rsid w:val="5D6A7F70"/>
    <w:rsid w:val="5E062041"/>
    <w:rsid w:val="5E410A2D"/>
    <w:rsid w:val="60EF01E8"/>
    <w:rsid w:val="65BE339C"/>
    <w:rsid w:val="67651158"/>
    <w:rsid w:val="67972686"/>
    <w:rsid w:val="67B21E30"/>
    <w:rsid w:val="67E55EDD"/>
    <w:rsid w:val="69C354D4"/>
    <w:rsid w:val="6A234C68"/>
    <w:rsid w:val="6B161683"/>
    <w:rsid w:val="6B7C7FF2"/>
    <w:rsid w:val="6D2060BA"/>
    <w:rsid w:val="6DB72E0F"/>
    <w:rsid w:val="6FD36699"/>
    <w:rsid w:val="713F6F89"/>
    <w:rsid w:val="715B4635"/>
    <w:rsid w:val="724F2E40"/>
    <w:rsid w:val="72AC03E6"/>
    <w:rsid w:val="73C21284"/>
    <w:rsid w:val="76CA0264"/>
    <w:rsid w:val="7C2E796E"/>
    <w:rsid w:val="7CD2466D"/>
    <w:rsid w:val="7D2F07A3"/>
    <w:rsid w:val="7EC75886"/>
    <w:rsid w:val="7F624C81"/>
    <w:rsid w:val="FDEBB1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99" w:name="index 1"/>
    <w:lsdException w:uiPriority="99" w:name="index 2"/>
    <w:lsdException w:uiPriority="99" w:name="index 3"/>
    <w:lsdException w:qFormat="1" w:unhideWhenUsed="0" w:uiPriority="99" w:semiHidden="0" w:name="index 4"/>
    <w:lsdException w:uiPriority="99" w:name="index 5"/>
    <w:lsdException w:uiPriority="99" w:name="index 6"/>
    <w:lsdException w:qFormat="1"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qFormat="1"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99" w:semiHidden="0" w:name="caption"/>
    <w:lsdException w:uiPriority="99" w:name="table of figures"/>
    <w:lsdException w:uiPriority="99" w:name="envelope address"/>
    <w:lsdException w:uiPriority="99" w:name="envelope return"/>
    <w:lsdException w:qFormat="1" w:uiPriority="0" w:semiHidden="0" w:name="footnote reference"/>
    <w:lsdException w:qFormat="1" w:unhideWhenUsed="0" w:uiPriority="99"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qFormat="1" w:unhideWhenUsed="0" w:uiPriority="0" w:semiHidden="0" w:name="Salutation"/>
    <w:lsdException w:qFormat="1" w:unhideWhenUsed="0" w:uiPriority="99"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99" w:semiHidden="0" w:name="Body Text Indent 3"/>
    <w:lsdException w:qFormat="1" w:unhideWhenUsed="0" w:uiPriority="0" w:semiHidden="0" w:name="Block Text"/>
    <w:lsdException w:qFormat="1" w:unhideWhenUsed="0" w:uiPriority="99" w:semiHidden="0" w:name="Hyperlink"/>
    <w:lsdException w:qFormat="1" w:uiPriority="0" w:semiHidden="0" w:name="FollowedHyperlink"/>
    <w:lsdException w:qFormat="1" w:unhideWhenUsed="0" w:uiPriority="99" w:semiHidden="0" w:name="Strong"/>
    <w:lsdException w:qFormat="1" w:unhideWhenUsed="0" w:uiPriority="99" w:semiHidden="0" w:name="Emphasis"/>
    <w:lsdException w:qFormat="1" w:uiPriority="99" w:semiHidden="0"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uiPriority="99" w:name="HTML Preformatted"/>
    <w:lsdException w:qFormat="1" w:uiPriority="99" w:semiHidden="0" w:name="HTML Sample"/>
    <w:lsdException w:uiPriority="99" w:name="HTML Typewriter"/>
    <w:lsdException w:qFormat="1" w:uiPriority="99" w:semiHidden="0"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9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99" w:semiHidden="0" w:name="Quote"/>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Times New Roman" w:hAnsi="Times New Roman" w:eastAsia="宋体" w:cs="Times New Roman"/>
      <w:sz w:val="24"/>
      <w:szCs w:val="24"/>
      <w:lang w:val="en-US" w:eastAsia="zh-CN" w:bidi="ar-SA"/>
    </w:rPr>
  </w:style>
  <w:style w:type="paragraph" w:styleId="3">
    <w:name w:val="heading 1"/>
    <w:basedOn w:val="1"/>
    <w:next w:val="1"/>
    <w:link w:val="64"/>
    <w:qFormat/>
    <w:uiPriority w:val="99"/>
    <w:pPr>
      <w:keepNext/>
      <w:keepLines/>
      <w:spacing w:before="340" w:after="330" w:line="360" w:lineRule="auto"/>
      <w:jc w:val="center"/>
      <w:outlineLvl w:val="0"/>
    </w:pPr>
    <w:rPr>
      <w:rFonts w:ascii="宋体" w:hAnsi="宋体"/>
      <w:b/>
      <w:bCs/>
      <w:kern w:val="44"/>
      <w:sz w:val="32"/>
      <w:szCs w:val="32"/>
    </w:rPr>
  </w:style>
  <w:style w:type="paragraph" w:styleId="4">
    <w:name w:val="heading 2"/>
    <w:basedOn w:val="1"/>
    <w:next w:val="1"/>
    <w:link w:val="65"/>
    <w:qFormat/>
    <w:uiPriority w:val="99"/>
    <w:pPr>
      <w:keepNext/>
      <w:keepLines/>
      <w:widowControl w:val="0"/>
      <w:numPr>
        <w:ilvl w:val="1"/>
        <w:numId w:val="1"/>
      </w:numPr>
      <w:tabs>
        <w:tab w:val="left" w:pos="426"/>
        <w:tab w:val="left" w:pos="567"/>
      </w:tabs>
      <w:spacing w:line="360" w:lineRule="auto"/>
      <w:jc w:val="both"/>
      <w:outlineLvl w:val="1"/>
    </w:pPr>
    <w:rPr>
      <w:rFonts w:ascii="宋体" w:hAnsi="宋体"/>
      <w:b/>
      <w:bCs/>
      <w:iCs/>
      <w:sz w:val="28"/>
      <w:szCs w:val="28"/>
    </w:rPr>
  </w:style>
  <w:style w:type="paragraph" w:styleId="5">
    <w:name w:val="heading 3"/>
    <w:basedOn w:val="1"/>
    <w:next w:val="1"/>
    <w:link w:val="66"/>
    <w:qFormat/>
    <w:uiPriority w:val="99"/>
    <w:pPr>
      <w:keepNext/>
      <w:keepLines/>
      <w:widowControl w:val="0"/>
      <w:numPr>
        <w:ilvl w:val="2"/>
        <w:numId w:val="1"/>
      </w:numPr>
      <w:spacing w:line="360" w:lineRule="auto"/>
      <w:jc w:val="both"/>
      <w:outlineLvl w:val="2"/>
    </w:pPr>
    <w:rPr>
      <w:rFonts w:ascii="宋体" w:hAnsi="宋体"/>
      <w:b/>
      <w:bCs/>
      <w:color w:val="000000"/>
      <w:kern w:val="2"/>
      <w:sz w:val="28"/>
      <w:szCs w:val="28"/>
    </w:rPr>
  </w:style>
  <w:style w:type="paragraph" w:styleId="6">
    <w:name w:val="heading 4"/>
    <w:basedOn w:val="1"/>
    <w:next w:val="1"/>
    <w:link w:val="67"/>
    <w:qFormat/>
    <w:uiPriority w:val="99"/>
    <w:pPr>
      <w:keepNext/>
      <w:keepLines/>
      <w:widowControl w:val="0"/>
      <w:tabs>
        <w:tab w:val="left" w:pos="851"/>
      </w:tabs>
      <w:spacing w:before="120" w:after="120" w:line="360" w:lineRule="auto"/>
      <w:ind w:left="-2" w:leftChars="-1" w:firstLine="1"/>
      <w:outlineLvl w:val="3"/>
    </w:pPr>
    <w:rPr>
      <w:rFonts w:ascii="宋体" w:hAnsi="宋体"/>
      <w:b/>
      <w:bCs/>
      <w:sz w:val="28"/>
      <w:szCs w:val="28"/>
    </w:rPr>
  </w:style>
  <w:style w:type="paragraph" w:styleId="7">
    <w:name w:val="heading 5"/>
    <w:basedOn w:val="1"/>
    <w:next w:val="1"/>
    <w:link w:val="68"/>
    <w:qFormat/>
    <w:uiPriority w:val="99"/>
    <w:pPr>
      <w:keepNext/>
      <w:keepLines/>
      <w:widowControl w:val="0"/>
      <w:tabs>
        <w:tab w:val="left" w:pos="709"/>
      </w:tabs>
      <w:autoSpaceDE w:val="0"/>
      <w:autoSpaceDN w:val="0"/>
      <w:adjustRightInd w:val="0"/>
      <w:spacing w:before="280" w:after="290" w:line="376" w:lineRule="auto"/>
      <w:jc w:val="both"/>
      <w:outlineLvl w:val="4"/>
    </w:pPr>
    <w:rPr>
      <w:b/>
      <w:bCs/>
      <w:sz w:val="28"/>
      <w:szCs w:val="28"/>
    </w:rPr>
  </w:style>
  <w:style w:type="paragraph" w:styleId="8">
    <w:name w:val="heading 6"/>
    <w:basedOn w:val="1"/>
    <w:next w:val="1"/>
    <w:link w:val="69"/>
    <w:qFormat/>
    <w:uiPriority w:val="99"/>
    <w:pPr>
      <w:keepNext/>
      <w:keepLines/>
      <w:widowControl w:val="0"/>
      <w:tabs>
        <w:tab w:val="left" w:pos="1134"/>
      </w:tabs>
      <w:spacing w:before="240" w:after="64" w:line="320" w:lineRule="auto"/>
      <w:ind w:left="1134" w:hanging="1134"/>
      <w:jc w:val="both"/>
      <w:outlineLvl w:val="5"/>
    </w:pPr>
    <w:rPr>
      <w:rFonts w:ascii="Arial" w:hAnsi="Arial" w:eastAsia="黑体"/>
      <w:b/>
      <w:bCs/>
      <w:kern w:val="2"/>
    </w:rPr>
  </w:style>
  <w:style w:type="paragraph" w:styleId="9">
    <w:name w:val="heading 7"/>
    <w:basedOn w:val="1"/>
    <w:next w:val="1"/>
    <w:link w:val="70"/>
    <w:qFormat/>
    <w:uiPriority w:val="99"/>
    <w:pPr>
      <w:keepNext/>
      <w:tabs>
        <w:tab w:val="left" w:pos="3600"/>
      </w:tabs>
      <w:spacing w:after="120"/>
      <w:outlineLvl w:val="6"/>
    </w:pPr>
    <w:rPr>
      <w:rFonts w:ascii="Arial Narrow" w:hAnsi="Arial Narrow"/>
      <w:b/>
      <w:sz w:val="20"/>
      <w:szCs w:val="20"/>
      <w:lang w:eastAsia="en-US"/>
    </w:rPr>
  </w:style>
  <w:style w:type="paragraph" w:styleId="10">
    <w:name w:val="heading 8"/>
    <w:basedOn w:val="1"/>
    <w:next w:val="1"/>
    <w:link w:val="71"/>
    <w:qFormat/>
    <w:uiPriority w:val="99"/>
    <w:pPr>
      <w:keepNext/>
      <w:keepLines/>
      <w:widowControl w:val="0"/>
      <w:spacing w:before="240" w:after="64" w:line="317" w:lineRule="auto"/>
      <w:jc w:val="both"/>
      <w:outlineLvl w:val="7"/>
    </w:pPr>
    <w:rPr>
      <w:rFonts w:ascii="Arial" w:hAnsi="Arial" w:eastAsia="黑体"/>
      <w:kern w:val="2"/>
      <w:szCs w:val="20"/>
    </w:rPr>
  </w:style>
  <w:style w:type="paragraph" w:styleId="11">
    <w:name w:val="heading 9"/>
    <w:basedOn w:val="1"/>
    <w:next w:val="1"/>
    <w:link w:val="72"/>
    <w:qFormat/>
    <w:uiPriority w:val="99"/>
    <w:pPr>
      <w:keepNext/>
      <w:keepLines/>
      <w:widowControl w:val="0"/>
      <w:spacing w:before="240" w:after="64" w:line="317" w:lineRule="auto"/>
      <w:jc w:val="both"/>
      <w:outlineLvl w:val="8"/>
    </w:pPr>
    <w:rPr>
      <w:rFonts w:ascii="Arial" w:hAnsi="Arial" w:eastAsia="黑体"/>
      <w:kern w:val="2"/>
      <w:sz w:val="21"/>
      <w:szCs w:val="20"/>
    </w:rPr>
  </w:style>
  <w:style w:type="character" w:default="1" w:styleId="48">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100"/>
    <w:qFormat/>
    <w:uiPriority w:val="99"/>
    <w:pPr>
      <w:spacing w:after="120"/>
    </w:pPr>
    <w:rPr>
      <w:rFonts w:asciiTheme="minorHAnsi" w:hAnsiTheme="minorHAnsi" w:eastAsiaTheme="minorEastAsia" w:cstheme="minorBidi"/>
      <w:kern w:val="2"/>
    </w:rPr>
  </w:style>
  <w:style w:type="paragraph" w:styleId="12">
    <w:name w:val="toc 7"/>
    <w:basedOn w:val="1"/>
    <w:next w:val="1"/>
    <w:qFormat/>
    <w:uiPriority w:val="99"/>
    <w:pPr>
      <w:widowControl w:val="0"/>
      <w:ind w:left="1080"/>
    </w:pPr>
    <w:rPr>
      <w:kern w:val="2"/>
      <w:sz w:val="18"/>
      <w:szCs w:val="20"/>
    </w:rPr>
  </w:style>
  <w:style w:type="paragraph" w:styleId="13">
    <w:name w:val="Normal Indent"/>
    <w:basedOn w:val="1"/>
    <w:link w:val="98"/>
    <w:qFormat/>
    <w:uiPriority w:val="99"/>
    <w:pPr>
      <w:widowControl w:val="0"/>
      <w:spacing w:line="360" w:lineRule="auto"/>
      <w:ind w:firstLine="420" w:firstLineChars="200"/>
      <w:jc w:val="both"/>
    </w:pPr>
    <w:rPr>
      <w:rFonts w:asciiTheme="minorHAnsi" w:hAnsiTheme="minorHAnsi" w:eastAsiaTheme="minorEastAsia" w:cstheme="minorBidi"/>
      <w:kern w:val="2"/>
      <w:sz w:val="21"/>
    </w:rPr>
  </w:style>
  <w:style w:type="paragraph" w:styleId="14">
    <w:name w:val="caption"/>
    <w:basedOn w:val="1"/>
    <w:next w:val="1"/>
    <w:qFormat/>
    <w:uiPriority w:val="99"/>
    <w:pPr>
      <w:widowControl w:val="0"/>
      <w:spacing w:before="152" w:after="160" w:line="360" w:lineRule="auto"/>
      <w:jc w:val="both"/>
    </w:pPr>
    <w:rPr>
      <w:rFonts w:ascii="Arial" w:hAnsi="Arial" w:eastAsia="黑体"/>
      <w:kern w:val="2"/>
      <w:sz w:val="20"/>
      <w:szCs w:val="20"/>
    </w:rPr>
  </w:style>
  <w:style w:type="paragraph" w:styleId="15">
    <w:name w:val="Document Map"/>
    <w:basedOn w:val="1"/>
    <w:link w:val="91"/>
    <w:unhideWhenUsed/>
    <w:qFormat/>
    <w:uiPriority w:val="99"/>
    <w:rPr>
      <w:rFonts w:ascii="宋体" w:hAnsiTheme="minorHAnsi" w:eastAsiaTheme="minorEastAsia" w:cstheme="minorBidi"/>
      <w:kern w:val="2"/>
      <w:sz w:val="18"/>
      <w:szCs w:val="18"/>
    </w:rPr>
  </w:style>
  <w:style w:type="paragraph" w:styleId="16">
    <w:name w:val="annotation text"/>
    <w:basedOn w:val="1"/>
    <w:link w:val="75"/>
    <w:qFormat/>
    <w:uiPriority w:val="99"/>
    <w:pPr>
      <w:widowControl w:val="0"/>
    </w:pPr>
    <w:rPr>
      <w:rFonts w:asciiTheme="minorHAnsi" w:hAnsiTheme="minorHAnsi" w:eastAsiaTheme="minorEastAsia" w:cstheme="minorBidi"/>
      <w:kern w:val="2"/>
      <w:sz w:val="18"/>
      <w:szCs w:val="22"/>
    </w:rPr>
  </w:style>
  <w:style w:type="paragraph" w:styleId="17">
    <w:name w:val="Salutation"/>
    <w:basedOn w:val="1"/>
    <w:next w:val="1"/>
    <w:link w:val="99"/>
    <w:qFormat/>
    <w:uiPriority w:val="0"/>
    <w:pPr>
      <w:widowControl w:val="0"/>
      <w:jc w:val="both"/>
    </w:pPr>
    <w:rPr>
      <w:rFonts w:eastAsia="黑体" w:asciiTheme="minorHAnsi" w:hAnsiTheme="minorHAnsi" w:cstheme="minorBidi"/>
      <w:kern w:val="2"/>
      <w:szCs w:val="22"/>
    </w:rPr>
  </w:style>
  <w:style w:type="paragraph" w:styleId="18">
    <w:name w:val="Body Text 3"/>
    <w:basedOn w:val="1"/>
    <w:link w:val="108"/>
    <w:qFormat/>
    <w:uiPriority w:val="0"/>
    <w:pPr>
      <w:spacing w:after="120"/>
    </w:pPr>
    <w:rPr>
      <w:rFonts w:asciiTheme="minorHAnsi" w:hAnsiTheme="minorHAnsi" w:eastAsiaTheme="minorEastAsia" w:cstheme="minorBidi"/>
      <w:kern w:val="2"/>
      <w:sz w:val="16"/>
      <w:szCs w:val="16"/>
    </w:rPr>
  </w:style>
  <w:style w:type="paragraph" w:styleId="19">
    <w:name w:val="Body Text Indent"/>
    <w:basedOn w:val="1"/>
    <w:link w:val="96"/>
    <w:qFormat/>
    <w:uiPriority w:val="99"/>
    <w:pPr>
      <w:widowControl w:val="0"/>
      <w:autoSpaceDE w:val="0"/>
      <w:autoSpaceDN w:val="0"/>
      <w:adjustRightInd w:val="0"/>
      <w:spacing w:line="360" w:lineRule="auto"/>
      <w:ind w:firstLine="540" w:firstLineChars="180"/>
      <w:jc w:val="both"/>
    </w:pPr>
    <w:rPr>
      <w:rFonts w:ascii="宋体" w:hAnsiTheme="minorHAnsi" w:eastAsiaTheme="minorEastAsia" w:cstheme="minorBidi"/>
      <w:kern w:val="2"/>
      <w:sz w:val="30"/>
    </w:rPr>
  </w:style>
  <w:style w:type="paragraph" w:styleId="20">
    <w:name w:val="Block Text"/>
    <w:basedOn w:val="1"/>
    <w:qFormat/>
    <w:uiPriority w:val="0"/>
    <w:pPr>
      <w:widowControl w:val="0"/>
      <w:ind w:left="-540" w:leftChars="-257" w:right="-334" w:rightChars="-159" w:firstLine="540" w:firstLineChars="180"/>
      <w:jc w:val="both"/>
    </w:pPr>
    <w:rPr>
      <w:kern w:val="2"/>
      <w:sz w:val="30"/>
    </w:rPr>
  </w:style>
  <w:style w:type="paragraph" w:styleId="21">
    <w:name w:val="index 4"/>
    <w:basedOn w:val="1"/>
    <w:next w:val="1"/>
    <w:qFormat/>
    <w:uiPriority w:val="99"/>
    <w:pPr>
      <w:widowControl w:val="0"/>
      <w:ind w:left="600" w:leftChars="600"/>
      <w:jc w:val="both"/>
    </w:pPr>
    <w:rPr>
      <w:kern w:val="2"/>
      <w:sz w:val="21"/>
    </w:rPr>
  </w:style>
  <w:style w:type="paragraph" w:styleId="22">
    <w:name w:val="toc 5"/>
    <w:basedOn w:val="1"/>
    <w:next w:val="1"/>
    <w:qFormat/>
    <w:uiPriority w:val="99"/>
    <w:pPr>
      <w:widowControl w:val="0"/>
      <w:ind w:left="720"/>
    </w:pPr>
    <w:rPr>
      <w:kern w:val="2"/>
      <w:sz w:val="18"/>
      <w:szCs w:val="20"/>
    </w:rPr>
  </w:style>
  <w:style w:type="paragraph" w:styleId="23">
    <w:name w:val="toc 3"/>
    <w:basedOn w:val="1"/>
    <w:next w:val="1"/>
    <w:qFormat/>
    <w:uiPriority w:val="99"/>
    <w:pPr>
      <w:widowControl w:val="0"/>
      <w:ind w:left="360"/>
    </w:pPr>
    <w:rPr>
      <w:i/>
      <w:kern w:val="2"/>
      <w:sz w:val="20"/>
      <w:szCs w:val="20"/>
    </w:rPr>
  </w:style>
  <w:style w:type="paragraph" w:styleId="24">
    <w:name w:val="Plain Text"/>
    <w:basedOn w:val="1"/>
    <w:link w:val="111"/>
    <w:qFormat/>
    <w:uiPriority w:val="99"/>
    <w:pPr>
      <w:widowControl w:val="0"/>
      <w:autoSpaceDE w:val="0"/>
      <w:autoSpaceDN w:val="0"/>
      <w:adjustRightInd w:val="0"/>
      <w:jc w:val="both"/>
    </w:pPr>
    <w:rPr>
      <w:rFonts w:ascii="宋体" w:hAnsi="Tms Rmn" w:cs="宋体" w:eastAsiaTheme="minorEastAsia"/>
      <w:kern w:val="2"/>
      <w:sz w:val="21"/>
      <w:szCs w:val="21"/>
    </w:rPr>
  </w:style>
  <w:style w:type="paragraph" w:styleId="25">
    <w:name w:val="toc 8"/>
    <w:basedOn w:val="1"/>
    <w:next w:val="1"/>
    <w:qFormat/>
    <w:uiPriority w:val="99"/>
    <w:pPr>
      <w:widowControl w:val="0"/>
      <w:ind w:left="1260"/>
    </w:pPr>
    <w:rPr>
      <w:kern w:val="2"/>
      <w:sz w:val="18"/>
      <w:szCs w:val="20"/>
    </w:rPr>
  </w:style>
  <w:style w:type="paragraph" w:styleId="26">
    <w:name w:val="Date"/>
    <w:basedOn w:val="1"/>
    <w:next w:val="1"/>
    <w:link w:val="92"/>
    <w:qFormat/>
    <w:uiPriority w:val="99"/>
    <w:pPr>
      <w:ind w:left="100" w:leftChars="2500"/>
    </w:pPr>
    <w:rPr>
      <w:rFonts w:asciiTheme="minorHAnsi" w:hAnsiTheme="minorHAnsi" w:eastAsiaTheme="minorEastAsia" w:cstheme="minorBidi"/>
      <w:kern w:val="2"/>
    </w:rPr>
  </w:style>
  <w:style w:type="paragraph" w:styleId="27">
    <w:name w:val="Body Text Indent 2"/>
    <w:basedOn w:val="1"/>
    <w:link w:val="107"/>
    <w:qFormat/>
    <w:uiPriority w:val="99"/>
    <w:pPr>
      <w:widowControl w:val="0"/>
      <w:ind w:firstLine="540" w:firstLineChars="257"/>
      <w:jc w:val="both"/>
    </w:pPr>
    <w:rPr>
      <w:rFonts w:asciiTheme="minorHAnsi" w:hAnsiTheme="minorHAnsi" w:eastAsiaTheme="minorEastAsia" w:cstheme="minorBidi"/>
      <w:kern w:val="2"/>
      <w:sz w:val="21"/>
    </w:rPr>
  </w:style>
  <w:style w:type="paragraph" w:styleId="28">
    <w:name w:val="Balloon Text"/>
    <w:basedOn w:val="1"/>
    <w:link w:val="102"/>
    <w:qFormat/>
    <w:uiPriority w:val="99"/>
    <w:rPr>
      <w:rFonts w:asciiTheme="minorHAnsi" w:hAnsiTheme="minorHAnsi" w:eastAsiaTheme="minorEastAsia" w:cstheme="minorBidi"/>
      <w:kern w:val="2"/>
      <w:sz w:val="18"/>
      <w:szCs w:val="18"/>
    </w:rPr>
  </w:style>
  <w:style w:type="paragraph" w:styleId="29">
    <w:name w:val="footer"/>
    <w:basedOn w:val="1"/>
    <w:link w:val="89"/>
    <w:qFormat/>
    <w:uiPriority w:val="99"/>
    <w:pPr>
      <w:tabs>
        <w:tab w:val="center" w:pos="4153"/>
        <w:tab w:val="right" w:pos="8306"/>
      </w:tabs>
      <w:snapToGrid w:val="0"/>
    </w:pPr>
    <w:rPr>
      <w:rFonts w:asciiTheme="minorHAnsi" w:hAnsiTheme="minorHAnsi" w:eastAsiaTheme="minorEastAsia" w:cstheme="minorBidi"/>
      <w:kern w:val="2"/>
      <w:sz w:val="18"/>
      <w:szCs w:val="18"/>
    </w:rPr>
  </w:style>
  <w:style w:type="paragraph" w:styleId="30">
    <w:name w:val="header"/>
    <w:basedOn w:val="1"/>
    <w:link w:val="106"/>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31">
    <w:name w:val="toc 1"/>
    <w:basedOn w:val="1"/>
    <w:next w:val="1"/>
    <w:qFormat/>
    <w:uiPriority w:val="39"/>
    <w:pPr>
      <w:tabs>
        <w:tab w:val="left" w:pos="840"/>
        <w:tab w:val="right" w:leader="dot" w:pos="9204"/>
      </w:tabs>
      <w:spacing w:before="120" w:after="120"/>
    </w:pPr>
    <w:rPr>
      <w:b/>
      <w:bCs/>
      <w:caps/>
      <w:szCs w:val="20"/>
    </w:rPr>
  </w:style>
  <w:style w:type="paragraph" w:styleId="32">
    <w:name w:val="toc 4"/>
    <w:basedOn w:val="1"/>
    <w:next w:val="1"/>
    <w:qFormat/>
    <w:uiPriority w:val="99"/>
    <w:pPr>
      <w:widowControl w:val="0"/>
      <w:ind w:left="540"/>
    </w:pPr>
    <w:rPr>
      <w:kern w:val="2"/>
      <w:sz w:val="18"/>
      <w:szCs w:val="20"/>
    </w:rPr>
  </w:style>
  <w:style w:type="paragraph" w:styleId="33">
    <w:name w:val="Subtitle"/>
    <w:basedOn w:val="1"/>
    <w:next w:val="1"/>
    <w:link w:val="251"/>
    <w:qFormat/>
    <w:uiPriority w:val="99"/>
    <w:pPr>
      <w:widowControl w:val="0"/>
      <w:spacing w:before="240" w:after="60" w:line="312" w:lineRule="auto"/>
      <w:jc w:val="center"/>
      <w:outlineLvl w:val="1"/>
    </w:pPr>
    <w:rPr>
      <w:rFonts w:ascii="Cambria" w:hAnsi="Cambria" w:eastAsiaTheme="minorEastAsia" w:cstheme="minorBidi"/>
      <w:b/>
      <w:bCs/>
      <w:kern w:val="28"/>
      <w:sz w:val="32"/>
      <w:szCs w:val="32"/>
    </w:rPr>
  </w:style>
  <w:style w:type="paragraph" w:styleId="34">
    <w:name w:val="footnote text"/>
    <w:basedOn w:val="1"/>
    <w:link w:val="213"/>
    <w:unhideWhenUsed/>
    <w:qFormat/>
    <w:uiPriority w:val="0"/>
    <w:pPr>
      <w:widowControl w:val="0"/>
      <w:snapToGrid w:val="0"/>
    </w:pPr>
    <w:rPr>
      <w:rFonts w:ascii="Calibri" w:hAnsi="Calibri" w:eastAsiaTheme="minorEastAsia" w:cstheme="minorBidi"/>
      <w:kern w:val="2"/>
      <w:sz w:val="18"/>
      <w:szCs w:val="18"/>
    </w:rPr>
  </w:style>
  <w:style w:type="paragraph" w:styleId="35">
    <w:name w:val="toc 6"/>
    <w:basedOn w:val="1"/>
    <w:next w:val="1"/>
    <w:qFormat/>
    <w:uiPriority w:val="99"/>
    <w:pPr>
      <w:ind w:left="1200"/>
    </w:pPr>
    <w:rPr>
      <w:sz w:val="18"/>
      <w:szCs w:val="18"/>
    </w:rPr>
  </w:style>
  <w:style w:type="paragraph" w:styleId="36">
    <w:name w:val="Body Text Indent 3"/>
    <w:basedOn w:val="1"/>
    <w:link w:val="95"/>
    <w:qFormat/>
    <w:uiPriority w:val="99"/>
    <w:pPr>
      <w:widowControl w:val="0"/>
      <w:spacing w:after="120"/>
      <w:ind w:left="420" w:leftChars="200"/>
      <w:jc w:val="both"/>
    </w:pPr>
    <w:rPr>
      <w:rFonts w:asciiTheme="minorHAnsi" w:hAnsiTheme="minorHAnsi" w:eastAsiaTheme="minorEastAsia" w:cstheme="minorBidi"/>
      <w:kern w:val="2"/>
      <w:sz w:val="16"/>
      <w:szCs w:val="16"/>
    </w:rPr>
  </w:style>
  <w:style w:type="paragraph" w:styleId="37">
    <w:name w:val="index 7"/>
    <w:basedOn w:val="1"/>
    <w:next w:val="1"/>
    <w:semiHidden/>
    <w:unhideWhenUsed/>
    <w:qFormat/>
    <w:uiPriority w:val="99"/>
    <w:pPr>
      <w:widowControl w:val="0"/>
      <w:ind w:left="1200" w:leftChars="1200"/>
      <w:jc w:val="both"/>
    </w:pPr>
    <w:rPr>
      <w:kern w:val="2"/>
      <w:sz w:val="21"/>
      <w:szCs w:val="20"/>
    </w:rPr>
  </w:style>
  <w:style w:type="paragraph" w:styleId="38">
    <w:name w:val="toc 2"/>
    <w:basedOn w:val="1"/>
    <w:next w:val="1"/>
    <w:qFormat/>
    <w:uiPriority w:val="39"/>
    <w:pPr>
      <w:ind w:left="240"/>
    </w:pPr>
    <w:rPr>
      <w:smallCaps/>
      <w:szCs w:val="20"/>
    </w:rPr>
  </w:style>
  <w:style w:type="paragraph" w:styleId="39">
    <w:name w:val="toc 9"/>
    <w:basedOn w:val="1"/>
    <w:next w:val="1"/>
    <w:qFormat/>
    <w:uiPriority w:val="99"/>
    <w:pPr>
      <w:widowControl w:val="0"/>
      <w:ind w:left="1440"/>
    </w:pPr>
    <w:rPr>
      <w:kern w:val="2"/>
      <w:sz w:val="18"/>
      <w:szCs w:val="20"/>
    </w:rPr>
  </w:style>
  <w:style w:type="paragraph" w:styleId="40">
    <w:name w:val="Body Text 2"/>
    <w:basedOn w:val="1"/>
    <w:link w:val="85"/>
    <w:qFormat/>
    <w:uiPriority w:val="0"/>
    <w:pPr>
      <w:widowControl w:val="0"/>
      <w:autoSpaceDE w:val="0"/>
      <w:autoSpaceDN w:val="0"/>
      <w:adjustRightInd w:val="0"/>
      <w:spacing w:after="120" w:line="480" w:lineRule="auto"/>
      <w:jc w:val="both"/>
    </w:pPr>
    <w:rPr>
      <w:rFonts w:asciiTheme="minorHAnsi" w:hAnsiTheme="minorHAnsi" w:eastAsiaTheme="minorEastAsia" w:cstheme="minorBidi"/>
      <w:kern w:val="2"/>
      <w:sz w:val="21"/>
      <w:szCs w:val="21"/>
    </w:rPr>
  </w:style>
  <w:style w:type="paragraph" w:styleId="41">
    <w:name w:val="Normal (Web)"/>
    <w:basedOn w:val="1"/>
    <w:qFormat/>
    <w:uiPriority w:val="99"/>
    <w:pPr>
      <w:spacing w:before="100" w:beforeAutospacing="1" w:after="100" w:afterAutospacing="1"/>
    </w:pPr>
    <w:rPr>
      <w:rFonts w:ascii="宋体" w:hAnsi="宋体"/>
    </w:rPr>
  </w:style>
  <w:style w:type="paragraph" w:styleId="42">
    <w:name w:val="Title"/>
    <w:basedOn w:val="1"/>
    <w:next w:val="1"/>
    <w:link w:val="110"/>
    <w:qFormat/>
    <w:uiPriority w:val="99"/>
    <w:pPr>
      <w:widowControl w:val="0"/>
      <w:spacing w:before="240" w:after="60"/>
      <w:jc w:val="center"/>
      <w:outlineLvl w:val="0"/>
    </w:pPr>
    <w:rPr>
      <w:rFonts w:ascii="Cambria" w:hAnsi="Cambria" w:eastAsiaTheme="minorEastAsia" w:cstheme="minorBidi"/>
      <w:b/>
      <w:bCs/>
      <w:kern w:val="2"/>
      <w:sz w:val="32"/>
      <w:szCs w:val="32"/>
    </w:rPr>
  </w:style>
  <w:style w:type="paragraph" w:styleId="43">
    <w:name w:val="annotation subject"/>
    <w:basedOn w:val="16"/>
    <w:next w:val="16"/>
    <w:link w:val="73"/>
    <w:qFormat/>
    <w:uiPriority w:val="99"/>
    <w:rPr>
      <w:b/>
    </w:rPr>
  </w:style>
  <w:style w:type="paragraph" w:styleId="44">
    <w:name w:val="Body Text First Indent"/>
    <w:basedOn w:val="2"/>
    <w:link w:val="97"/>
    <w:qFormat/>
    <w:uiPriority w:val="0"/>
    <w:pPr>
      <w:widowControl w:val="0"/>
      <w:ind w:firstLine="420" w:firstLineChars="100"/>
      <w:jc w:val="both"/>
    </w:pPr>
    <w:rPr>
      <w:rFonts w:ascii="宋体" w:hAnsi="宋体"/>
      <w:sz w:val="21"/>
    </w:rPr>
  </w:style>
  <w:style w:type="table" w:styleId="46">
    <w:name w:val="Table Grid"/>
    <w:basedOn w:val="45"/>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7">
    <w:name w:val="Table Elegant"/>
    <w:basedOn w:val="45"/>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character" w:styleId="49">
    <w:name w:val="Strong"/>
    <w:qFormat/>
    <w:uiPriority w:val="99"/>
    <w:rPr>
      <w:b/>
    </w:rPr>
  </w:style>
  <w:style w:type="character" w:styleId="50">
    <w:name w:val="page number"/>
    <w:basedOn w:val="48"/>
    <w:qFormat/>
    <w:uiPriority w:val="99"/>
  </w:style>
  <w:style w:type="character" w:styleId="51">
    <w:name w:val="FollowedHyperlink"/>
    <w:unhideWhenUsed/>
    <w:qFormat/>
    <w:uiPriority w:val="0"/>
    <w:rPr>
      <w:color w:val="800080"/>
      <w:u w:val="single"/>
    </w:rPr>
  </w:style>
  <w:style w:type="character" w:styleId="52">
    <w:name w:val="Emphasis"/>
    <w:qFormat/>
    <w:uiPriority w:val="99"/>
    <w:rPr>
      <w:i/>
      <w:iCs/>
    </w:rPr>
  </w:style>
  <w:style w:type="character" w:styleId="53">
    <w:name w:val="HTML Definition"/>
    <w:unhideWhenUsed/>
    <w:qFormat/>
    <w:uiPriority w:val="99"/>
    <w:rPr>
      <w:b/>
      <w:i/>
      <w:color w:val="FFFFFF"/>
      <w:sz w:val="15"/>
      <w:szCs w:val="15"/>
      <w:shd w:val="clear" w:color="auto" w:fill="777777"/>
      <w:vertAlign w:val="baseline"/>
    </w:rPr>
  </w:style>
  <w:style w:type="character" w:styleId="54">
    <w:name w:val="HTML Variable"/>
    <w:basedOn w:val="48"/>
    <w:unhideWhenUsed/>
    <w:qFormat/>
    <w:uiPriority w:val="99"/>
  </w:style>
  <w:style w:type="character" w:styleId="55">
    <w:name w:val="Hyperlink"/>
    <w:qFormat/>
    <w:uiPriority w:val="99"/>
    <w:rPr>
      <w:color w:val="0000FF"/>
      <w:u w:val="single"/>
    </w:rPr>
  </w:style>
  <w:style w:type="character" w:styleId="56">
    <w:name w:val="HTML Code"/>
    <w:unhideWhenUsed/>
    <w:qFormat/>
    <w:uiPriority w:val="99"/>
    <w:rPr>
      <w:rFonts w:hint="default" w:ascii="Consolas" w:hAnsi="Consolas" w:eastAsia="Consolas" w:cs="Consolas"/>
      <w:color w:val="C7254E"/>
      <w:sz w:val="21"/>
      <w:szCs w:val="21"/>
      <w:shd w:val="clear" w:color="auto" w:fill="F9F2F4"/>
    </w:rPr>
  </w:style>
  <w:style w:type="character" w:styleId="57">
    <w:name w:val="annotation reference"/>
    <w:qFormat/>
    <w:uiPriority w:val="99"/>
    <w:rPr>
      <w:sz w:val="21"/>
    </w:rPr>
  </w:style>
  <w:style w:type="character" w:styleId="58">
    <w:name w:val="HTML Cite"/>
    <w:basedOn w:val="48"/>
    <w:unhideWhenUsed/>
    <w:qFormat/>
    <w:uiPriority w:val="99"/>
  </w:style>
  <w:style w:type="character" w:styleId="59">
    <w:name w:val="footnote reference"/>
    <w:unhideWhenUsed/>
    <w:qFormat/>
    <w:uiPriority w:val="0"/>
    <w:rPr>
      <w:vertAlign w:val="superscript"/>
    </w:rPr>
  </w:style>
  <w:style w:type="character" w:styleId="60">
    <w:name w:val="HTML Keyboard"/>
    <w:unhideWhenUsed/>
    <w:qFormat/>
    <w:uiPriority w:val="99"/>
    <w:rPr>
      <w:rFonts w:hint="default" w:ascii="Consolas" w:hAnsi="Consolas" w:eastAsia="Consolas" w:cs="Consolas"/>
      <w:color w:val="FFFFFF"/>
      <w:sz w:val="21"/>
      <w:szCs w:val="21"/>
      <w:shd w:val="clear" w:color="auto" w:fill="333333"/>
    </w:rPr>
  </w:style>
  <w:style w:type="character" w:styleId="61">
    <w:name w:val="HTML Sample"/>
    <w:unhideWhenUsed/>
    <w:qFormat/>
    <w:uiPriority w:val="99"/>
    <w:rPr>
      <w:rFonts w:ascii="Consolas" w:hAnsi="Consolas" w:eastAsia="Consolas" w:cs="Consolas"/>
      <w:sz w:val="21"/>
      <w:szCs w:val="21"/>
    </w:rPr>
  </w:style>
  <w:style w:type="paragraph" w:customStyle="1" w:styleId="62">
    <w:name w:val="标题 5（有编号）（绿盟科技）"/>
    <w:basedOn w:val="1"/>
    <w:next w:val="63"/>
    <w:qFormat/>
    <w:uiPriority w:val="99"/>
    <w:pPr>
      <w:keepNext/>
      <w:keepLines/>
      <w:tabs>
        <w:tab w:val="left" w:pos="0"/>
      </w:tabs>
      <w:spacing w:before="280" w:after="156" w:line="376" w:lineRule="auto"/>
      <w:ind w:left="1958" w:hanging="420"/>
      <w:outlineLvl w:val="4"/>
    </w:pPr>
    <w:rPr>
      <w:rFonts w:ascii="Arial" w:hAnsi="Arial" w:eastAsia="黑体"/>
      <w:b/>
      <w:szCs w:val="28"/>
    </w:rPr>
  </w:style>
  <w:style w:type="paragraph" w:customStyle="1" w:styleId="63">
    <w:name w:val="正文（绿盟科技）"/>
    <w:qFormat/>
    <w:uiPriority w:val="99"/>
    <w:pPr>
      <w:spacing w:line="300" w:lineRule="auto"/>
    </w:pPr>
    <w:rPr>
      <w:rFonts w:ascii="Arial" w:hAnsi="Arial" w:eastAsia="宋体" w:cs="黑体"/>
      <w:sz w:val="21"/>
      <w:szCs w:val="21"/>
      <w:lang w:val="en-US" w:eastAsia="zh-CN" w:bidi="ar-SA"/>
    </w:rPr>
  </w:style>
  <w:style w:type="character" w:customStyle="1" w:styleId="64">
    <w:name w:val="标题 1 字符"/>
    <w:basedOn w:val="48"/>
    <w:link w:val="3"/>
    <w:qFormat/>
    <w:uiPriority w:val="99"/>
    <w:rPr>
      <w:rFonts w:ascii="宋体" w:hAnsi="宋体" w:eastAsia="宋体" w:cs="Times New Roman"/>
      <w:b/>
      <w:bCs/>
      <w:kern w:val="44"/>
      <w:sz w:val="32"/>
      <w:szCs w:val="32"/>
    </w:rPr>
  </w:style>
  <w:style w:type="character" w:customStyle="1" w:styleId="65">
    <w:name w:val="标题 2 字符"/>
    <w:basedOn w:val="48"/>
    <w:link w:val="4"/>
    <w:qFormat/>
    <w:uiPriority w:val="99"/>
    <w:rPr>
      <w:rFonts w:ascii="宋体" w:hAnsi="宋体" w:eastAsia="宋体" w:cs="Times New Roman"/>
      <w:b/>
      <w:bCs/>
      <w:iCs/>
      <w:sz w:val="28"/>
      <w:szCs w:val="28"/>
    </w:rPr>
  </w:style>
  <w:style w:type="character" w:customStyle="1" w:styleId="66">
    <w:name w:val="标题 3 字符"/>
    <w:basedOn w:val="48"/>
    <w:link w:val="5"/>
    <w:qFormat/>
    <w:uiPriority w:val="99"/>
    <w:rPr>
      <w:rFonts w:ascii="宋体" w:hAnsi="宋体" w:eastAsia="宋体" w:cs="Times New Roman"/>
      <w:b/>
      <w:bCs/>
      <w:color w:val="000000"/>
      <w:kern w:val="2"/>
      <w:sz w:val="28"/>
      <w:szCs w:val="28"/>
    </w:rPr>
  </w:style>
  <w:style w:type="character" w:customStyle="1" w:styleId="67">
    <w:name w:val="标题 4 字符"/>
    <w:basedOn w:val="48"/>
    <w:link w:val="6"/>
    <w:qFormat/>
    <w:uiPriority w:val="99"/>
    <w:rPr>
      <w:rFonts w:ascii="宋体" w:hAnsi="宋体" w:eastAsia="宋体" w:cs="Times New Roman"/>
      <w:b/>
      <w:bCs/>
      <w:kern w:val="0"/>
      <w:sz w:val="28"/>
      <w:szCs w:val="28"/>
    </w:rPr>
  </w:style>
  <w:style w:type="character" w:customStyle="1" w:styleId="68">
    <w:name w:val="标题 5 字符"/>
    <w:basedOn w:val="48"/>
    <w:link w:val="7"/>
    <w:qFormat/>
    <w:uiPriority w:val="99"/>
    <w:rPr>
      <w:rFonts w:ascii="Times New Roman" w:hAnsi="Times New Roman" w:eastAsia="宋体" w:cs="Times New Roman"/>
      <w:b/>
      <w:bCs/>
      <w:kern w:val="0"/>
      <w:sz w:val="28"/>
      <w:szCs w:val="28"/>
    </w:rPr>
  </w:style>
  <w:style w:type="character" w:customStyle="1" w:styleId="69">
    <w:name w:val="标题 6 字符"/>
    <w:basedOn w:val="48"/>
    <w:link w:val="8"/>
    <w:qFormat/>
    <w:uiPriority w:val="99"/>
    <w:rPr>
      <w:rFonts w:ascii="Arial" w:hAnsi="Arial" w:eastAsia="黑体" w:cs="Times New Roman"/>
      <w:b/>
      <w:bCs/>
      <w:sz w:val="24"/>
      <w:szCs w:val="24"/>
    </w:rPr>
  </w:style>
  <w:style w:type="character" w:customStyle="1" w:styleId="70">
    <w:name w:val="标题 7 字符"/>
    <w:basedOn w:val="48"/>
    <w:link w:val="9"/>
    <w:qFormat/>
    <w:uiPriority w:val="99"/>
    <w:rPr>
      <w:rFonts w:ascii="Arial Narrow" w:hAnsi="Arial Narrow" w:eastAsia="宋体" w:cs="Times New Roman"/>
      <w:b/>
      <w:kern w:val="0"/>
      <w:sz w:val="20"/>
      <w:szCs w:val="20"/>
      <w:lang w:eastAsia="en-US"/>
    </w:rPr>
  </w:style>
  <w:style w:type="character" w:customStyle="1" w:styleId="71">
    <w:name w:val="标题 8 字符"/>
    <w:basedOn w:val="48"/>
    <w:link w:val="10"/>
    <w:qFormat/>
    <w:uiPriority w:val="99"/>
    <w:rPr>
      <w:rFonts w:ascii="Arial" w:hAnsi="Arial" w:eastAsia="黑体" w:cs="Times New Roman"/>
      <w:sz w:val="24"/>
      <w:szCs w:val="20"/>
    </w:rPr>
  </w:style>
  <w:style w:type="character" w:customStyle="1" w:styleId="72">
    <w:name w:val="标题 9 字符"/>
    <w:basedOn w:val="48"/>
    <w:link w:val="11"/>
    <w:qFormat/>
    <w:uiPriority w:val="99"/>
    <w:rPr>
      <w:rFonts w:ascii="Arial" w:hAnsi="Arial" w:eastAsia="黑体" w:cs="Times New Roman"/>
      <w:szCs w:val="20"/>
    </w:rPr>
  </w:style>
  <w:style w:type="character" w:customStyle="1" w:styleId="73">
    <w:name w:val="批注主题 字符"/>
    <w:link w:val="43"/>
    <w:qFormat/>
    <w:uiPriority w:val="99"/>
    <w:rPr>
      <w:b/>
      <w:sz w:val="18"/>
    </w:rPr>
  </w:style>
  <w:style w:type="character" w:customStyle="1" w:styleId="74">
    <w:name w:val="访问过的超链接1"/>
    <w:qFormat/>
    <w:uiPriority w:val="0"/>
    <w:rPr>
      <w:color w:val="800080"/>
      <w:u w:val="single"/>
    </w:rPr>
  </w:style>
  <w:style w:type="character" w:customStyle="1" w:styleId="75">
    <w:name w:val="批注文字 字符"/>
    <w:link w:val="16"/>
    <w:qFormat/>
    <w:uiPriority w:val="99"/>
    <w:rPr>
      <w:sz w:val="18"/>
    </w:rPr>
  </w:style>
  <w:style w:type="character" w:customStyle="1" w:styleId="76">
    <w:name w:val="fontblank12"/>
    <w:basedOn w:val="48"/>
    <w:qFormat/>
    <w:uiPriority w:val="0"/>
  </w:style>
  <w:style w:type="character" w:customStyle="1" w:styleId="77">
    <w:name w:val="标书（正文） Char"/>
    <w:link w:val="78"/>
    <w:qFormat/>
    <w:uiPriority w:val="0"/>
    <w:rPr>
      <w:rFonts w:ascii="宋体" w:hAnsi="宋体"/>
      <w:b/>
      <w:kern w:val="10"/>
    </w:rPr>
  </w:style>
  <w:style w:type="paragraph" w:customStyle="1" w:styleId="78">
    <w:name w:val="标书（正文）"/>
    <w:basedOn w:val="1"/>
    <w:link w:val="77"/>
    <w:qFormat/>
    <w:uiPriority w:val="0"/>
    <w:pPr>
      <w:widowControl w:val="0"/>
      <w:spacing w:line="360" w:lineRule="auto"/>
      <w:ind w:firstLine="560" w:firstLineChars="200"/>
      <w:jc w:val="both"/>
    </w:pPr>
    <w:rPr>
      <w:rFonts w:ascii="宋体" w:hAnsi="宋体" w:eastAsiaTheme="minorEastAsia" w:cstheme="minorBidi"/>
      <w:b/>
      <w:kern w:val="10"/>
      <w:sz w:val="21"/>
      <w:szCs w:val="22"/>
    </w:rPr>
  </w:style>
  <w:style w:type="character" w:customStyle="1" w:styleId="79">
    <w:name w:val="Char Char4"/>
    <w:qFormat/>
    <w:uiPriority w:val="0"/>
    <w:rPr>
      <w:rFonts w:ascii="宋体" w:hAnsi="Courier New" w:eastAsia="宋体"/>
      <w:kern w:val="2"/>
      <w:sz w:val="21"/>
      <w:lang w:val="en-US" w:eastAsia="zh-CN"/>
    </w:rPr>
  </w:style>
  <w:style w:type="character" w:customStyle="1" w:styleId="80">
    <w:name w:val="textnormchn1"/>
    <w:basedOn w:val="48"/>
    <w:qFormat/>
    <w:uiPriority w:val="0"/>
  </w:style>
  <w:style w:type="character" w:customStyle="1" w:styleId="81">
    <w:name w:val="列表段落 字符"/>
    <w:link w:val="82"/>
    <w:qFormat/>
    <w:uiPriority w:val="0"/>
    <w:rPr>
      <w:sz w:val="24"/>
      <w:szCs w:val="24"/>
    </w:rPr>
  </w:style>
  <w:style w:type="paragraph" w:styleId="82">
    <w:name w:val="List Paragraph"/>
    <w:basedOn w:val="1"/>
    <w:link w:val="81"/>
    <w:qFormat/>
    <w:uiPriority w:val="0"/>
    <w:pPr>
      <w:ind w:firstLine="420" w:firstLineChars="200"/>
    </w:pPr>
    <w:rPr>
      <w:rFonts w:asciiTheme="minorHAnsi" w:hAnsiTheme="minorHAnsi" w:eastAsiaTheme="minorEastAsia" w:cstheme="minorBidi"/>
      <w:kern w:val="2"/>
    </w:rPr>
  </w:style>
  <w:style w:type="character" w:customStyle="1" w:styleId="83">
    <w:name w:val="CD正文 Char"/>
    <w:link w:val="84"/>
    <w:qFormat/>
    <w:uiPriority w:val="0"/>
    <w:rPr>
      <w:sz w:val="30"/>
      <w:szCs w:val="28"/>
    </w:rPr>
  </w:style>
  <w:style w:type="paragraph" w:customStyle="1" w:styleId="84">
    <w:name w:val="CD正文"/>
    <w:basedOn w:val="1"/>
    <w:link w:val="83"/>
    <w:qFormat/>
    <w:uiPriority w:val="99"/>
    <w:pPr>
      <w:widowControl w:val="0"/>
      <w:spacing w:line="360" w:lineRule="auto"/>
      <w:ind w:firstLine="493"/>
      <w:jc w:val="both"/>
    </w:pPr>
    <w:rPr>
      <w:rFonts w:asciiTheme="minorHAnsi" w:hAnsiTheme="minorHAnsi" w:eastAsiaTheme="minorEastAsia" w:cstheme="minorBidi"/>
      <w:kern w:val="2"/>
      <w:sz w:val="30"/>
      <w:szCs w:val="28"/>
    </w:rPr>
  </w:style>
  <w:style w:type="character" w:customStyle="1" w:styleId="85">
    <w:name w:val="正文文本 2 字符"/>
    <w:link w:val="40"/>
    <w:qFormat/>
    <w:uiPriority w:val="0"/>
    <w:rPr>
      <w:szCs w:val="21"/>
    </w:rPr>
  </w:style>
  <w:style w:type="character" w:customStyle="1" w:styleId="86">
    <w:name w:val="（符号）三标题1.1 Char Char"/>
    <w:link w:val="87"/>
    <w:qFormat/>
    <w:uiPriority w:val="0"/>
    <w:rPr>
      <w:rFonts w:ascii="宋体" w:hAnsi="宋体"/>
      <w:sz w:val="24"/>
      <w:szCs w:val="24"/>
    </w:rPr>
  </w:style>
  <w:style w:type="paragraph" w:customStyle="1" w:styleId="87">
    <w:name w:val="（符号）三标题1.1"/>
    <w:basedOn w:val="1"/>
    <w:link w:val="86"/>
    <w:qFormat/>
    <w:uiPriority w:val="0"/>
    <w:pPr>
      <w:widowControl w:val="0"/>
      <w:tabs>
        <w:tab w:val="left" w:pos="700"/>
        <w:tab w:val="left" w:pos="840"/>
      </w:tabs>
      <w:spacing w:line="500" w:lineRule="exact"/>
      <w:ind w:left="431" w:hanging="431"/>
      <w:jc w:val="both"/>
    </w:pPr>
    <w:rPr>
      <w:rFonts w:ascii="宋体" w:hAnsi="宋体" w:eastAsiaTheme="minorEastAsia" w:cstheme="minorBidi"/>
      <w:kern w:val="2"/>
    </w:rPr>
  </w:style>
  <w:style w:type="character" w:customStyle="1" w:styleId="88">
    <w:name w:val="grame"/>
    <w:basedOn w:val="48"/>
    <w:qFormat/>
    <w:uiPriority w:val="0"/>
  </w:style>
  <w:style w:type="character" w:customStyle="1" w:styleId="89">
    <w:name w:val="页脚 字符2"/>
    <w:link w:val="29"/>
    <w:qFormat/>
    <w:uiPriority w:val="99"/>
    <w:rPr>
      <w:sz w:val="18"/>
      <w:szCs w:val="18"/>
    </w:rPr>
  </w:style>
  <w:style w:type="character" w:customStyle="1" w:styleId="90">
    <w:name w:val="keyword"/>
    <w:basedOn w:val="48"/>
    <w:qFormat/>
    <w:uiPriority w:val="0"/>
  </w:style>
  <w:style w:type="character" w:customStyle="1" w:styleId="91">
    <w:name w:val="文档结构图 字符"/>
    <w:link w:val="15"/>
    <w:qFormat/>
    <w:uiPriority w:val="99"/>
    <w:rPr>
      <w:rFonts w:ascii="宋体"/>
      <w:sz w:val="18"/>
      <w:szCs w:val="18"/>
    </w:rPr>
  </w:style>
  <w:style w:type="character" w:customStyle="1" w:styleId="92">
    <w:name w:val="日期 字符"/>
    <w:link w:val="26"/>
    <w:qFormat/>
    <w:uiPriority w:val="99"/>
    <w:rPr>
      <w:sz w:val="24"/>
      <w:szCs w:val="24"/>
    </w:rPr>
  </w:style>
  <w:style w:type="character" w:customStyle="1" w:styleId="93">
    <w:name w:val="文章正文 Char"/>
    <w:link w:val="94"/>
    <w:qFormat/>
    <w:uiPriority w:val="0"/>
    <w:rPr>
      <w:sz w:val="24"/>
      <w:szCs w:val="24"/>
    </w:rPr>
  </w:style>
  <w:style w:type="paragraph" w:customStyle="1" w:styleId="94">
    <w:name w:val="文章正文"/>
    <w:basedOn w:val="1"/>
    <w:link w:val="93"/>
    <w:qFormat/>
    <w:uiPriority w:val="0"/>
    <w:pPr>
      <w:widowControl w:val="0"/>
      <w:spacing w:line="360" w:lineRule="auto"/>
      <w:ind w:firstLine="420"/>
      <w:jc w:val="both"/>
    </w:pPr>
    <w:rPr>
      <w:rFonts w:asciiTheme="minorHAnsi" w:hAnsiTheme="minorHAnsi" w:eastAsiaTheme="minorEastAsia" w:cstheme="minorBidi"/>
      <w:kern w:val="2"/>
    </w:rPr>
  </w:style>
  <w:style w:type="character" w:customStyle="1" w:styleId="95">
    <w:name w:val="正文文本缩进 3 字符"/>
    <w:link w:val="36"/>
    <w:qFormat/>
    <w:uiPriority w:val="99"/>
    <w:rPr>
      <w:sz w:val="16"/>
      <w:szCs w:val="16"/>
    </w:rPr>
  </w:style>
  <w:style w:type="character" w:customStyle="1" w:styleId="96">
    <w:name w:val="正文文本缩进 字符"/>
    <w:link w:val="19"/>
    <w:qFormat/>
    <w:uiPriority w:val="99"/>
    <w:rPr>
      <w:rFonts w:ascii="宋体"/>
      <w:sz w:val="30"/>
      <w:szCs w:val="24"/>
    </w:rPr>
  </w:style>
  <w:style w:type="character" w:customStyle="1" w:styleId="97">
    <w:name w:val="正文文本首行缩进 字符"/>
    <w:link w:val="44"/>
    <w:qFormat/>
    <w:uiPriority w:val="0"/>
    <w:rPr>
      <w:rFonts w:ascii="宋体" w:hAnsi="宋体"/>
      <w:szCs w:val="24"/>
    </w:rPr>
  </w:style>
  <w:style w:type="character" w:customStyle="1" w:styleId="98">
    <w:name w:val="正文缩进 字符"/>
    <w:link w:val="13"/>
    <w:qFormat/>
    <w:uiPriority w:val="99"/>
    <w:rPr>
      <w:szCs w:val="24"/>
    </w:rPr>
  </w:style>
  <w:style w:type="character" w:customStyle="1" w:styleId="99">
    <w:name w:val="称呼 字符"/>
    <w:link w:val="17"/>
    <w:qFormat/>
    <w:uiPriority w:val="0"/>
    <w:rPr>
      <w:rFonts w:eastAsia="黑体"/>
      <w:sz w:val="24"/>
    </w:rPr>
  </w:style>
  <w:style w:type="character" w:customStyle="1" w:styleId="100">
    <w:name w:val="正文文本 字符"/>
    <w:link w:val="2"/>
    <w:qFormat/>
    <w:uiPriority w:val="0"/>
    <w:rPr>
      <w:sz w:val="24"/>
      <w:szCs w:val="24"/>
    </w:rPr>
  </w:style>
  <w:style w:type="character" w:customStyle="1" w:styleId="101">
    <w:name w:val="Char Char40"/>
    <w:qFormat/>
    <w:uiPriority w:val="0"/>
    <w:rPr>
      <w:kern w:val="2"/>
      <w:sz w:val="24"/>
      <w:szCs w:val="24"/>
    </w:rPr>
  </w:style>
  <w:style w:type="character" w:customStyle="1" w:styleId="102">
    <w:name w:val="批注框文本 字符"/>
    <w:link w:val="28"/>
    <w:qFormat/>
    <w:uiPriority w:val="99"/>
    <w:rPr>
      <w:sz w:val="18"/>
      <w:szCs w:val="18"/>
    </w:rPr>
  </w:style>
  <w:style w:type="character" w:customStyle="1" w:styleId="103">
    <w:name w:val="WW8Num9z0"/>
    <w:qFormat/>
    <w:uiPriority w:val="0"/>
    <w:rPr>
      <w:rFonts w:ascii="Wingdings" w:hAnsi="Wingdings"/>
    </w:rPr>
  </w:style>
  <w:style w:type="character" w:customStyle="1" w:styleId="104">
    <w:name w:val="magic-list1"/>
    <w:qFormat/>
    <w:uiPriority w:val="0"/>
    <w:rPr>
      <w:rFonts w:hint="default" w:ascii="ˎ̥" w:hAnsi="ˎ̥"/>
      <w:color w:val="000000"/>
      <w:sz w:val="20"/>
      <w:u w:val="none"/>
    </w:rPr>
  </w:style>
  <w:style w:type="character" w:customStyle="1" w:styleId="105">
    <w:name w:val="small"/>
    <w:basedOn w:val="48"/>
    <w:qFormat/>
    <w:uiPriority w:val="0"/>
  </w:style>
  <w:style w:type="character" w:customStyle="1" w:styleId="106">
    <w:name w:val="页眉 字符2"/>
    <w:link w:val="30"/>
    <w:qFormat/>
    <w:uiPriority w:val="99"/>
    <w:rPr>
      <w:sz w:val="18"/>
      <w:szCs w:val="18"/>
    </w:rPr>
  </w:style>
  <w:style w:type="character" w:customStyle="1" w:styleId="107">
    <w:name w:val="正文文本缩进 2 字符"/>
    <w:link w:val="27"/>
    <w:qFormat/>
    <w:uiPriority w:val="99"/>
    <w:rPr>
      <w:szCs w:val="24"/>
    </w:rPr>
  </w:style>
  <w:style w:type="character" w:customStyle="1" w:styleId="108">
    <w:name w:val="正文文本 3 字符"/>
    <w:link w:val="18"/>
    <w:qFormat/>
    <w:uiPriority w:val="0"/>
    <w:rPr>
      <w:sz w:val="16"/>
      <w:szCs w:val="16"/>
    </w:rPr>
  </w:style>
  <w:style w:type="character" w:customStyle="1" w:styleId="109">
    <w:name w:val="纯文本 Char1"/>
    <w:unhideWhenUsed/>
    <w:qFormat/>
    <w:uiPriority w:val="99"/>
    <w:rPr>
      <w:rFonts w:hint="eastAsia" w:ascii="宋体" w:hAnsi="Tms Rmn" w:eastAsia="宋体"/>
      <w:sz w:val="21"/>
      <w:lang w:val="en-US" w:eastAsia="zh-CN"/>
    </w:rPr>
  </w:style>
  <w:style w:type="character" w:customStyle="1" w:styleId="110">
    <w:name w:val="标题 字符"/>
    <w:link w:val="42"/>
    <w:qFormat/>
    <w:uiPriority w:val="99"/>
    <w:rPr>
      <w:rFonts w:ascii="Cambria" w:hAnsi="Cambria"/>
      <w:b/>
      <w:bCs/>
      <w:sz w:val="32"/>
      <w:szCs w:val="32"/>
    </w:rPr>
  </w:style>
  <w:style w:type="character" w:customStyle="1" w:styleId="111">
    <w:name w:val="纯文本 字符"/>
    <w:link w:val="24"/>
    <w:qFormat/>
    <w:uiPriority w:val="99"/>
    <w:rPr>
      <w:rFonts w:ascii="宋体" w:hAnsi="Tms Rmn" w:cs="宋体"/>
      <w:szCs w:val="21"/>
    </w:rPr>
  </w:style>
  <w:style w:type="character" w:customStyle="1" w:styleId="112">
    <w:name w:val="H4 Char"/>
    <w:qFormat/>
    <w:uiPriority w:val="0"/>
    <w:rPr>
      <w:rFonts w:ascii="Arial" w:hAnsi="Arial" w:eastAsia="宋体"/>
      <w:b/>
      <w:kern w:val="2"/>
      <w:sz w:val="28"/>
      <w:lang w:val="en-US" w:eastAsia="zh-CN"/>
    </w:rPr>
  </w:style>
  <w:style w:type="character" w:customStyle="1" w:styleId="113">
    <w:name w:val="正文缩进 Char1"/>
    <w:qFormat/>
    <w:uiPriority w:val="99"/>
    <w:rPr>
      <w:kern w:val="2"/>
      <w:sz w:val="21"/>
      <w:szCs w:val="24"/>
    </w:rPr>
  </w:style>
  <w:style w:type="paragraph" w:customStyle="1" w:styleId="114">
    <w:name w:val="MM Topic 9"/>
    <w:basedOn w:val="11"/>
    <w:qFormat/>
    <w:uiPriority w:val="0"/>
    <w:pPr>
      <w:tabs>
        <w:tab w:val="left" w:pos="5102"/>
      </w:tabs>
    </w:pPr>
  </w:style>
  <w:style w:type="paragraph" w:customStyle="1" w:styleId="115">
    <w:name w:val="默认段落字体 Para Char Char Char Char Char Char Char Char Char Char Char Char Char Char Char Char"/>
    <w:basedOn w:val="15"/>
    <w:qFormat/>
    <w:uiPriority w:val="0"/>
    <w:pPr>
      <w:widowControl w:val="0"/>
      <w:shd w:val="clear" w:color="auto" w:fill="000080"/>
      <w:adjustRightInd w:val="0"/>
      <w:spacing w:line="436" w:lineRule="exact"/>
      <w:ind w:left="357"/>
      <w:outlineLvl w:val="3"/>
    </w:pPr>
    <w:rPr>
      <w:rFonts w:ascii="Tahoma" w:hAnsi="Tahoma"/>
      <w:b/>
      <w:sz w:val="24"/>
      <w:szCs w:val="24"/>
    </w:rPr>
  </w:style>
  <w:style w:type="paragraph" w:customStyle="1" w:styleId="116">
    <w:name w:val="强调2"/>
    <w:basedOn w:val="117"/>
    <w:qFormat/>
    <w:uiPriority w:val="0"/>
    <w:pPr>
      <w:tabs>
        <w:tab w:val="left" w:pos="360"/>
        <w:tab w:val="left" w:pos="1918"/>
      </w:tabs>
      <w:ind w:left="1918" w:hanging="420"/>
    </w:pPr>
  </w:style>
  <w:style w:type="paragraph" w:customStyle="1" w:styleId="117">
    <w:name w:val="强调1"/>
    <w:basedOn w:val="1"/>
    <w:qFormat/>
    <w:uiPriority w:val="0"/>
    <w:pPr>
      <w:widowControl w:val="0"/>
      <w:spacing w:line="360" w:lineRule="auto"/>
      <w:ind w:left="900"/>
      <w:jc w:val="both"/>
    </w:pPr>
    <w:rPr>
      <w:rFonts w:ascii="楷体_GB2312" w:hAnsi="仿宋" w:eastAsia="楷体_GB2312"/>
      <w:kern w:val="2"/>
      <w:sz w:val="28"/>
      <w:szCs w:val="28"/>
    </w:rPr>
  </w:style>
  <w:style w:type="paragraph" w:customStyle="1" w:styleId="118">
    <w:name w:val="Char Char Char Char"/>
    <w:basedOn w:val="1"/>
    <w:next w:val="1"/>
    <w:qFormat/>
    <w:uiPriority w:val="99"/>
    <w:pPr>
      <w:widowControl w:val="0"/>
      <w:spacing w:line="240" w:lineRule="atLeast"/>
      <w:ind w:left="420" w:firstLine="420"/>
    </w:pPr>
    <w:rPr>
      <w:sz w:val="21"/>
      <w:szCs w:val="21"/>
    </w:rPr>
  </w:style>
  <w:style w:type="paragraph" w:customStyle="1" w:styleId="119">
    <w:name w:val="Style Style4 + First line:  2 ch Before:  0.5 line After:  0.5 li..."/>
    <w:basedOn w:val="1"/>
    <w:qFormat/>
    <w:uiPriority w:val="0"/>
    <w:pPr>
      <w:widowControl w:val="0"/>
      <w:spacing w:beforeLines="50" w:afterLines="50" w:line="276" w:lineRule="auto"/>
      <w:ind w:firstLine="480" w:firstLineChars="200"/>
      <w:jc w:val="both"/>
    </w:pPr>
    <w:rPr>
      <w:rFonts w:ascii="Arial" w:hAnsi="Arial"/>
      <w:kern w:val="2"/>
      <w:szCs w:val="20"/>
    </w:rPr>
  </w:style>
  <w:style w:type="paragraph" w:customStyle="1" w:styleId="120">
    <w:name w:val="Char Char Char Char Char Char Char"/>
    <w:basedOn w:val="1"/>
    <w:qFormat/>
    <w:uiPriority w:val="99"/>
    <w:pPr>
      <w:snapToGrid w:val="0"/>
      <w:spacing w:line="240" w:lineRule="exact"/>
    </w:pPr>
    <w:rPr>
      <w:rFonts w:ascii="Verdana" w:hAnsi="Verdana"/>
      <w:sz w:val="20"/>
      <w:szCs w:val="20"/>
      <w:lang w:eastAsia="en-US"/>
    </w:rPr>
  </w:style>
  <w:style w:type="paragraph" w:customStyle="1" w:styleId="121">
    <w:name w:val="默认段落字体 Para Char Char Char Char"/>
    <w:basedOn w:val="1"/>
    <w:qFormat/>
    <w:uiPriority w:val="0"/>
    <w:pPr>
      <w:widowControl w:val="0"/>
      <w:jc w:val="both"/>
    </w:pPr>
    <w:rPr>
      <w:kern w:val="2"/>
      <w:sz w:val="21"/>
    </w:rPr>
  </w:style>
  <w:style w:type="character" w:customStyle="1" w:styleId="122">
    <w:name w:val="纯文本 Char2"/>
    <w:basedOn w:val="48"/>
    <w:qFormat/>
    <w:uiPriority w:val="0"/>
    <w:rPr>
      <w:rFonts w:ascii="宋体" w:hAnsi="Courier New" w:eastAsia="宋体" w:cs="Courier New"/>
      <w:kern w:val="0"/>
      <w:szCs w:val="21"/>
    </w:rPr>
  </w:style>
  <w:style w:type="paragraph" w:customStyle="1" w:styleId="123">
    <w:name w:val="WW-正文（首行缩进两字）"/>
    <w:basedOn w:val="1"/>
    <w:qFormat/>
    <w:uiPriority w:val="0"/>
    <w:pPr>
      <w:widowControl w:val="0"/>
      <w:autoSpaceDE w:val="0"/>
      <w:autoSpaceDN w:val="0"/>
      <w:adjustRightInd w:val="0"/>
      <w:ind w:firstLine="420"/>
      <w:jc w:val="both"/>
    </w:pPr>
    <w:rPr>
      <w:sz w:val="21"/>
      <w:szCs w:val="21"/>
    </w:rPr>
  </w:style>
  <w:style w:type="character" w:customStyle="1" w:styleId="124">
    <w:name w:val="页眉 Char1"/>
    <w:basedOn w:val="48"/>
    <w:semiHidden/>
    <w:qFormat/>
    <w:uiPriority w:val="99"/>
    <w:rPr>
      <w:rFonts w:ascii="Times New Roman" w:hAnsi="Times New Roman" w:eastAsia="宋体" w:cs="Times New Roman"/>
      <w:kern w:val="0"/>
      <w:sz w:val="18"/>
      <w:szCs w:val="18"/>
    </w:rPr>
  </w:style>
  <w:style w:type="character" w:customStyle="1" w:styleId="125">
    <w:name w:val="正文文本 Char1"/>
    <w:basedOn w:val="48"/>
    <w:qFormat/>
    <w:uiPriority w:val="99"/>
    <w:rPr>
      <w:rFonts w:ascii="Times New Roman" w:hAnsi="Times New Roman" w:eastAsia="宋体" w:cs="Times New Roman"/>
      <w:kern w:val="0"/>
      <w:sz w:val="24"/>
      <w:szCs w:val="24"/>
    </w:rPr>
  </w:style>
  <w:style w:type="character" w:customStyle="1" w:styleId="126">
    <w:name w:val="批注框文本 Char1"/>
    <w:basedOn w:val="48"/>
    <w:qFormat/>
    <w:uiPriority w:val="99"/>
    <w:rPr>
      <w:rFonts w:ascii="Times New Roman" w:hAnsi="Times New Roman" w:eastAsia="宋体" w:cs="Times New Roman"/>
      <w:kern w:val="0"/>
      <w:sz w:val="18"/>
      <w:szCs w:val="18"/>
    </w:rPr>
  </w:style>
  <w:style w:type="character" w:customStyle="1" w:styleId="127">
    <w:name w:val="称呼 Char1"/>
    <w:basedOn w:val="48"/>
    <w:semiHidden/>
    <w:qFormat/>
    <w:uiPriority w:val="99"/>
    <w:rPr>
      <w:rFonts w:ascii="Times New Roman" w:hAnsi="Times New Roman" w:eastAsia="宋体" w:cs="Times New Roman"/>
      <w:kern w:val="0"/>
      <w:sz w:val="24"/>
      <w:szCs w:val="24"/>
    </w:rPr>
  </w:style>
  <w:style w:type="character" w:customStyle="1" w:styleId="128">
    <w:name w:val="批注文字 Char1"/>
    <w:basedOn w:val="48"/>
    <w:semiHidden/>
    <w:qFormat/>
    <w:uiPriority w:val="99"/>
    <w:rPr>
      <w:rFonts w:ascii="Times New Roman" w:hAnsi="Times New Roman" w:eastAsia="宋体" w:cs="Times New Roman"/>
      <w:kern w:val="0"/>
      <w:sz w:val="24"/>
      <w:szCs w:val="24"/>
    </w:rPr>
  </w:style>
  <w:style w:type="paragraph" w:customStyle="1" w:styleId="129">
    <w:name w:val="MM Topic 3"/>
    <w:basedOn w:val="5"/>
    <w:qFormat/>
    <w:uiPriority w:val="0"/>
    <w:pPr>
      <w:numPr>
        <w:ilvl w:val="0"/>
        <w:numId w:val="0"/>
      </w:numPr>
      <w:tabs>
        <w:tab w:val="left" w:pos="1418"/>
      </w:tabs>
    </w:pPr>
    <w:rPr>
      <w:rFonts w:ascii="Times New Roman" w:hAnsi="Times New Roman"/>
      <w:bCs w:val="0"/>
      <w:szCs w:val="20"/>
    </w:rPr>
  </w:style>
  <w:style w:type="character" w:customStyle="1" w:styleId="130">
    <w:name w:val="正文文本缩进 Char1"/>
    <w:basedOn w:val="48"/>
    <w:qFormat/>
    <w:uiPriority w:val="99"/>
    <w:rPr>
      <w:rFonts w:ascii="Times New Roman" w:hAnsi="Times New Roman" w:eastAsia="宋体" w:cs="Times New Roman"/>
      <w:kern w:val="0"/>
      <w:sz w:val="24"/>
      <w:szCs w:val="24"/>
    </w:rPr>
  </w:style>
  <w:style w:type="character" w:customStyle="1" w:styleId="131">
    <w:name w:val="页脚 Char1"/>
    <w:basedOn w:val="48"/>
    <w:qFormat/>
    <w:uiPriority w:val="99"/>
    <w:rPr>
      <w:rFonts w:ascii="Times New Roman" w:hAnsi="Times New Roman" w:eastAsia="宋体" w:cs="Times New Roman"/>
      <w:kern w:val="0"/>
      <w:sz w:val="18"/>
      <w:szCs w:val="18"/>
    </w:rPr>
  </w:style>
  <w:style w:type="character" w:customStyle="1" w:styleId="132">
    <w:name w:val="正文文本 3 Char1"/>
    <w:basedOn w:val="48"/>
    <w:qFormat/>
    <w:uiPriority w:val="0"/>
    <w:rPr>
      <w:rFonts w:ascii="Times New Roman" w:hAnsi="Times New Roman" w:eastAsia="宋体" w:cs="Times New Roman"/>
      <w:kern w:val="0"/>
      <w:sz w:val="16"/>
      <w:szCs w:val="16"/>
    </w:rPr>
  </w:style>
  <w:style w:type="character" w:customStyle="1" w:styleId="133">
    <w:name w:val="批注主题 Char1"/>
    <w:basedOn w:val="128"/>
    <w:qFormat/>
    <w:uiPriority w:val="99"/>
    <w:rPr>
      <w:rFonts w:ascii="Times New Roman" w:hAnsi="Times New Roman" w:eastAsia="宋体" w:cs="Times New Roman"/>
      <w:b/>
      <w:bCs/>
      <w:kern w:val="0"/>
      <w:sz w:val="24"/>
      <w:szCs w:val="24"/>
    </w:rPr>
  </w:style>
  <w:style w:type="character" w:customStyle="1" w:styleId="134">
    <w:name w:val="正文首行缩进 Char1"/>
    <w:basedOn w:val="125"/>
    <w:qFormat/>
    <w:uiPriority w:val="0"/>
    <w:rPr>
      <w:rFonts w:ascii="Times New Roman" w:hAnsi="Times New Roman" w:eastAsia="宋体" w:cs="Times New Roman"/>
      <w:kern w:val="0"/>
      <w:sz w:val="24"/>
      <w:szCs w:val="24"/>
    </w:rPr>
  </w:style>
  <w:style w:type="character" w:customStyle="1" w:styleId="135">
    <w:name w:val="文档结构图 Char1"/>
    <w:basedOn w:val="48"/>
    <w:qFormat/>
    <w:uiPriority w:val="99"/>
    <w:rPr>
      <w:rFonts w:ascii="宋体" w:hAnsi="Times New Roman" w:eastAsia="宋体" w:cs="Times New Roman"/>
      <w:kern w:val="0"/>
      <w:sz w:val="18"/>
      <w:szCs w:val="18"/>
    </w:rPr>
  </w:style>
  <w:style w:type="paragraph" w:customStyle="1" w:styleId="136">
    <w:name w:val="标准正文"/>
    <w:basedOn w:val="1"/>
    <w:qFormat/>
    <w:uiPriority w:val="0"/>
    <w:pPr>
      <w:widowControl w:val="0"/>
      <w:adjustRightInd w:val="0"/>
      <w:spacing w:before="120" w:line="400" w:lineRule="atLeast"/>
      <w:ind w:firstLine="576"/>
      <w:textAlignment w:val="baseline"/>
    </w:pPr>
    <w:rPr>
      <w:rFonts w:eastAsia="楷体_GB2312"/>
      <w:sz w:val="28"/>
      <w:szCs w:val="20"/>
    </w:rPr>
  </w:style>
  <w:style w:type="paragraph" w:customStyle="1" w:styleId="137">
    <w:name w:val="样式 标题 2proj2proj21proj22proj23proj24proj25proj26proj27p...1"/>
    <w:basedOn w:val="4"/>
    <w:qFormat/>
    <w:uiPriority w:val="0"/>
    <w:pPr>
      <w:keepNext w:val="0"/>
      <w:keepLines w:val="0"/>
      <w:numPr>
        <w:ilvl w:val="0"/>
        <w:numId w:val="0"/>
      </w:numPr>
      <w:adjustRightInd w:val="0"/>
      <w:spacing w:line="360" w:lineRule="exact"/>
      <w:jc w:val="center"/>
      <w:textAlignment w:val="baseline"/>
      <w:outlineLvl w:val="9"/>
    </w:pPr>
    <w:rPr>
      <w:rFonts w:ascii="Times New Roman" w:hAnsi="Times New Roman"/>
      <w:b w:val="0"/>
      <w:bCs w:val="0"/>
      <w:iCs w:val="0"/>
      <w:kern w:val="2"/>
      <w:sz w:val="24"/>
      <w:szCs w:val="20"/>
    </w:rPr>
  </w:style>
  <w:style w:type="paragraph" w:customStyle="1" w:styleId="138">
    <w:name w:val="MM Topic 4"/>
    <w:basedOn w:val="6"/>
    <w:qFormat/>
    <w:uiPriority w:val="0"/>
    <w:pPr>
      <w:tabs>
        <w:tab w:val="left" w:pos="1984"/>
      </w:tabs>
      <w:spacing w:before="280" w:after="290" w:line="372" w:lineRule="auto"/>
      <w:ind w:left="0" w:leftChars="0" w:firstLine="0"/>
      <w:jc w:val="both"/>
    </w:pPr>
    <w:rPr>
      <w:bCs w:val="0"/>
      <w:kern w:val="2"/>
      <w:szCs w:val="20"/>
    </w:rPr>
  </w:style>
  <w:style w:type="character" w:customStyle="1" w:styleId="139">
    <w:name w:val="日期 Char1"/>
    <w:basedOn w:val="48"/>
    <w:qFormat/>
    <w:uiPriority w:val="99"/>
    <w:rPr>
      <w:rFonts w:ascii="Times New Roman" w:hAnsi="Times New Roman" w:eastAsia="宋体" w:cs="Times New Roman"/>
      <w:kern w:val="0"/>
      <w:sz w:val="24"/>
      <w:szCs w:val="24"/>
    </w:rPr>
  </w:style>
  <w:style w:type="character" w:customStyle="1" w:styleId="140">
    <w:name w:val="正文文本缩进 2 Char1"/>
    <w:basedOn w:val="48"/>
    <w:semiHidden/>
    <w:qFormat/>
    <w:uiPriority w:val="0"/>
    <w:rPr>
      <w:rFonts w:ascii="Times New Roman" w:hAnsi="Times New Roman" w:eastAsia="宋体" w:cs="Times New Roman"/>
      <w:kern w:val="0"/>
      <w:sz w:val="24"/>
      <w:szCs w:val="24"/>
    </w:rPr>
  </w:style>
  <w:style w:type="paragraph" w:customStyle="1" w:styleId="141">
    <w:name w:val="MM Topic 6"/>
    <w:basedOn w:val="8"/>
    <w:qFormat/>
    <w:uiPriority w:val="0"/>
    <w:pPr>
      <w:tabs>
        <w:tab w:val="left" w:pos="3260"/>
      </w:tabs>
      <w:spacing w:line="317" w:lineRule="auto"/>
      <w:ind w:left="0" w:firstLine="0"/>
    </w:pPr>
    <w:rPr>
      <w:bCs w:val="0"/>
      <w:sz w:val="28"/>
      <w:szCs w:val="20"/>
    </w:rPr>
  </w:style>
  <w:style w:type="character" w:customStyle="1" w:styleId="142">
    <w:name w:val="正文文本缩进 3 Char1"/>
    <w:basedOn w:val="48"/>
    <w:qFormat/>
    <w:uiPriority w:val="0"/>
    <w:rPr>
      <w:rFonts w:ascii="Times New Roman" w:hAnsi="Times New Roman" w:eastAsia="宋体" w:cs="Times New Roman"/>
      <w:kern w:val="0"/>
      <w:sz w:val="16"/>
      <w:szCs w:val="16"/>
    </w:rPr>
  </w:style>
  <w:style w:type="character" w:customStyle="1" w:styleId="143">
    <w:name w:val="正文文本 2 Char1"/>
    <w:basedOn w:val="48"/>
    <w:qFormat/>
    <w:uiPriority w:val="0"/>
    <w:rPr>
      <w:rFonts w:ascii="Times New Roman" w:hAnsi="Times New Roman" w:eastAsia="宋体" w:cs="Times New Roman"/>
      <w:kern w:val="0"/>
      <w:sz w:val="24"/>
      <w:szCs w:val="24"/>
    </w:rPr>
  </w:style>
  <w:style w:type="character" w:customStyle="1" w:styleId="144">
    <w:name w:val="标题 Char1"/>
    <w:basedOn w:val="48"/>
    <w:qFormat/>
    <w:uiPriority w:val="99"/>
    <w:rPr>
      <w:rFonts w:eastAsia="宋体" w:asciiTheme="majorHAnsi" w:hAnsiTheme="majorHAnsi" w:cstheme="majorBidi"/>
      <w:b/>
      <w:bCs/>
      <w:kern w:val="0"/>
      <w:sz w:val="32"/>
      <w:szCs w:val="32"/>
    </w:rPr>
  </w:style>
  <w:style w:type="paragraph" w:customStyle="1" w:styleId="145">
    <w:name w:val="Default"/>
    <w:qFormat/>
    <w:uiPriority w:val="0"/>
    <w:pPr>
      <w:widowControl w:val="0"/>
      <w:autoSpaceDE w:val="0"/>
      <w:autoSpaceDN w:val="0"/>
      <w:adjustRightInd w:val="0"/>
    </w:pPr>
    <w:rPr>
      <w:rFonts w:ascii="楷体à.ā" w:hAnsi="Times New Roman" w:eastAsia="楷体à.ā" w:cs="Times New Roman"/>
      <w:color w:val="000000"/>
      <w:sz w:val="24"/>
      <w:lang w:val="en-US" w:eastAsia="zh-CN" w:bidi="ar-SA"/>
    </w:rPr>
  </w:style>
  <w:style w:type="paragraph" w:customStyle="1" w:styleId="146">
    <w:name w:val="标题样式"/>
    <w:basedOn w:val="1"/>
    <w:qFormat/>
    <w:uiPriority w:val="0"/>
    <w:pPr>
      <w:widowControl w:val="0"/>
      <w:tabs>
        <w:tab w:val="left" w:pos="420"/>
      </w:tabs>
      <w:spacing w:line="360" w:lineRule="auto"/>
      <w:jc w:val="both"/>
    </w:pPr>
    <w:rPr>
      <w:rFonts w:ascii="宋体" w:hAnsi="宋体"/>
      <w:kern w:val="2"/>
      <w:szCs w:val="20"/>
    </w:rPr>
  </w:style>
  <w:style w:type="paragraph" w:customStyle="1" w:styleId="147">
    <w:name w:val="Char Char Char Char Char Char Char Char Char"/>
    <w:basedOn w:val="1"/>
    <w:qFormat/>
    <w:uiPriority w:val="0"/>
    <w:pPr>
      <w:spacing w:after="160" w:line="240" w:lineRule="exact"/>
    </w:pPr>
    <w:rPr>
      <w:rFonts w:ascii="Verdana" w:hAnsi="Verdana" w:eastAsia="仿宋_GB2312"/>
      <w:szCs w:val="20"/>
      <w:lang w:eastAsia="en-US"/>
    </w:rPr>
  </w:style>
  <w:style w:type="paragraph" w:customStyle="1" w:styleId="148">
    <w:name w:val="标题 5 + 首行缩进:  2 字符"/>
    <w:basedOn w:val="7"/>
    <w:next w:val="19"/>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149">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50">
    <w:name w:val="样式"/>
    <w:link w:val="376"/>
    <w:qFormat/>
    <w:uiPriority w:val="99"/>
    <w:pPr>
      <w:widowControl w:val="0"/>
      <w:autoSpaceDE w:val="0"/>
      <w:autoSpaceDN w:val="0"/>
      <w:adjustRightInd w:val="0"/>
    </w:pPr>
    <w:rPr>
      <w:rFonts w:ascii="宋体" w:hAnsi="宋体" w:eastAsia="宋体" w:cs="宋体"/>
      <w:sz w:val="24"/>
      <w:szCs w:val="24"/>
      <w:lang w:val="en-US" w:eastAsia="zh-CN" w:bidi="ar-SA"/>
    </w:rPr>
  </w:style>
  <w:style w:type="paragraph" w:customStyle="1" w:styleId="151">
    <w:name w:val="Char11"/>
    <w:basedOn w:val="1"/>
    <w:next w:val="1"/>
    <w:qFormat/>
    <w:uiPriority w:val="0"/>
    <w:pPr>
      <w:widowControl w:val="0"/>
      <w:spacing w:line="240" w:lineRule="atLeast"/>
      <w:ind w:left="420" w:firstLine="420"/>
    </w:pPr>
    <w:rPr>
      <w:sz w:val="21"/>
      <w:szCs w:val="21"/>
    </w:rPr>
  </w:style>
  <w:style w:type="paragraph" w:customStyle="1" w:styleId="152">
    <w:name w:val="MM Topic 5"/>
    <w:basedOn w:val="7"/>
    <w:qFormat/>
    <w:uiPriority w:val="0"/>
    <w:pPr>
      <w:tabs>
        <w:tab w:val="left" w:pos="2551"/>
      </w:tabs>
      <w:autoSpaceDE/>
      <w:autoSpaceDN/>
      <w:adjustRightInd/>
      <w:spacing w:line="372" w:lineRule="auto"/>
    </w:pPr>
    <w:rPr>
      <w:bCs w:val="0"/>
      <w:kern w:val="2"/>
      <w:szCs w:val="20"/>
    </w:rPr>
  </w:style>
  <w:style w:type="paragraph" w:customStyle="1" w:styleId="153">
    <w:name w:val="默认段落字体 Para Char Char Char Char Char Char Char"/>
    <w:basedOn w:val="1"/>
    <w:qFormat/>
    <w:uiPriority w:val="0"/>
    <w:pPr>
      <w:widowControl w:val="0"/>
      <w:jc w:val="both"/>
    </w:pPr>
    <w:rPr>
      <w:rFonts w:ascii="Tahoma" w:hAnsi="Tahoma"/>
      <w:kern w:val="2"/>
      <w:szCs w:val="20"/>
    </w:rPr>
  </w:style>
  <w:style w:type="paragraph" w:customStyle="1" w:styleId="154">
    <w:name w:val="Item List"/>
    <w:qFormat/>
    <w:uiPriority w:val="0"/>
    <w:pPr>
      <w:widowControl w:val="0"/>
      <w:adjustRightInd w:val="0"/>
      <w:spacing w:line="360" w:lineRule="auto"/>
      <w:jc w:val="both"/>
      <w:textAlignment w:val="baseline"/>
    </w:pPr>
    <w:rPr>
      <w:rFonts w:ascii="Times New Roman" w:hAnsi="Times New Roman" w:eastAsia="宋体" w:cs="Times New Roman"/>
      <w:kern w:val="2"/>
      <w:sz w:val="24"/>
      <w:lang w:val="en-US" w:eastAsia="zh-CN" w:bidi="ar-SA"/>
    </w:rPr>
  </w:style>
  <w:style w:type="paragraph" w:customStyle="1" w:styleId="155">
    <w:name w:val="样式2"/>
    <w:basedOn w:val="1"/>
    <w:qFormat/>
    <w:uiPriority w:val="99"/>
    <w:pPr>
      <w:widowControl w:val="0"/>
      <w:adjustRightInd w:val="0"/>
      <w:spacing w:line="410" w:lineRule="atLeast"/>
      <w:jc w:val="both"/>
      <w:textAlignment w:val="baseline"/>
    </w:pPr>
    <w:rPr>
      <w:szCs w:val="20"/>
    </w:rPr>
  </w:style>
  <w:style w:type="paragraph" w:customStyle="1" w:styleId="156">
    <w:name w:val="列出段落1"/>
    <w:basedOn w:val="1"/>
    <w:qFormat/>
    <w:uiPriority w:val="34"/>
    <w:pPr>
      <w:ind w:firstLine="420" w:firstLineChars="200"/>
    </w:pPr>
    <w:rPr>
      <w:lang w:val="zh-CN"/>
    </w:rPr>
  </w:style>
  <w:style w:type="paragraph" w:customStyle="1" w:styleId="157">
    <w:name w:val="p4"/>
    <w:basedOn w:val="1"/>
    <w:qFormat/>
    <w:uiPriority w:val="0"/>
    <w:pPr>
      <w:spacing w:before="100" w:beforeAutospacing="1" w:after="100" w:afterAutospacing="1" w:line="360" w:lineRule="auto"/>
      <w:ind w:firstLine="360"/>
    </w:pPr>
    <w:rPr>
      <w:rFonts w:ascii="宋体" w:hAnsi="宋体"/>
    </w:rPr>
  </w:style>
  <w:style w:type="paragraph" w:customStyle="1" w:styleId="158">
    <w:name w:val="样式 首行缩进:  2 字符"/>
    <w:basedOn w:val="1"/>
    <w:link w:val="379"/>
    <w:qFormat/>
    <w:uiPriority w:val="99"/>
    <w:pPr>
      <w:widowControl w:val="0"/>
      <w:ind w:firstLine="420" w:firstLineChars="200"/>
      <w:jc w:val="both"/>
    </w:pPr>
    <w:rPr>
      <w:rFonts w:cs="宋体"/>
      <w:kern w:val="2"/>
      <w:sz w:val="21"/>
      <w:szCs w:val="20"/>
    </w:rPr>
  </w:style>
  <w:style w:type="paragraph" w:customStyle="1" w:styleId="159">
    <w:name w:val="默认段落字体 Para Char Char"/>
    <w:basedOn w:val="1"/>
    <w:qFormat/>
    <w:uiPriority w:val="0"/>
    <w:pPr>
      <w:widowControl w:val="0"/>
      <w:jc w:val="both"/>
    </w:pPr>
    <w:rPr>
      <w:kern w:val="2"/>
      <w:sz w:val="21"/>
      <w:szCs w:val="20"/>
    </w:rPr>
  </w:style>
  <w:style w:type="paragraph" w:customStyle="1" w:styleId="160">
    <w:name w:val="Char1 Char Char Char"/>
    <w:basedOn w:val="1"/>
    <w:next w:val="1"/>
    <w:qFormat/>
    <w:uiPriority w:val="99"/>
    <w:pPr>
      <w:widowControl w:val="0"/>
      <w:spacing w:line="240" w:lineRule="atLeast"/>
      <w:ind w:left="420" w:firstLine="420"/>
    </w:pPr>
    <w:rPr>
      <w:sz w:val="21"/>
      <w:szCs w:val="20"/>
    </w:rPr>
  </w:style>
  <w:style w:type="paragraph" w:customStyle="1" w:styleId="161">
    <w:name w:val="表格题注"/>
    <w:next w:val="1"/>
    <w:qFormat/>
    <w:uiPriority w:val="0"/>
    <w:pPr>
      <w:keepLines/>
      <w:tabs>
        <w:tab w:val="left" w:pos="1559"/>
      </w:tabs>
      <w:spacing w:beforeLines="100"/>
      <w:ind w:left="1559" w:hanging="1559"/>
      <w:jc w:val="center"/>
    </w:pPr>
    <w:rPr>
      <w:rFonts w:ascii="Arial" w:hAnsi="Arial" w:eastAsia="宋体" w:cs="Times New Roman"/>
      <w:sz w:val="18"/>
      <w:lang w:val="en-US" w:eastAsia="zh-CN" w:bidi="ar-SA"/>
    </w:rPr>
  </w:style>
  <w:style w:type="paragraph" w:customStyle="1" w:styleId="162">
    <w:name w:val="1 Char"/>
    <w:basedOn w:val="1"/>
    <w:qFormat/>
    <w:uiPriority w:val="0"/>
    <w:pPr>
      <w:spacing w:after="160" w:line="240" w:lineRule="exact"/>
    </w:pPr>
    <w:rPr>
      <w:rFonts w:ascii="Tahoma" w:hAnsi="Tahoma" w:eastAsia="Times New Roman"/>
      <w:lang w:eastAsia="en-US"/>
    </w:rPr>
  </w:style>
  <w:style w:type="paragraph" w:customStyle="1" w:styleId="163">
    <w:name w:val="MM Topic 8"/>
    <w:basedOn w:val="10"/>
    <w:qFormat/>
    <w:uiPriority w:val="0"/>
    <w:pPr>
      <w:tabs>
        <w:tab w:val="left" w:pos="4394"/>
      </w:tabs>
    </w:pPr>
  </w:style>
  <w:style w:type="paragraph" w:customStyle="1" w:styleId="164">
    <w:name w:val="MM Topic 7"/>
    <w:basedOn w:val="9"/>
    <w:qFormat/>
    <w:uiPriority w:val="0"/>
    <w:pPr>
      <w:keepLines/>
      <w:widowControl w:val="0"/>
      <w:tabs>
        <w:tab w:val="left" w:pos="3827"/>
        <w:tab w:val="clear" w:pos="3600"/>
      </w:tabs>
      <w:spacing w:before="240" w:after="64" w:line="317" w:lineRule="auto"/>
      <w:jc w:val="both"/>
    </w:pPr>
    <w:rPr>
      <w:rFonts w:ascii="Times New Roman" w:hAnsi="Times New Roman"/>
      <w:kern w:val="2"/>
      <w:sz w:val="24"/>
      <w:lang w:eastAsia="zh-CN"/>
    </w:rPr>
  </w:style>
  <w:style w:type="paragraph" w:customStyle="1" w:styleId="165">
    <w:name w:val="正文1"/>
    <w:qFormat/>
    <w:uiPriority w:val="99"/>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166">
    <w:name w:val="条目正文"/>
    <w:basedOn w:val="1"/>
    <w:qFormat/>
    <w:uiPriority w:val="0"/>
    <w:pPr>
      <w:widowControl w:val="0"/>
      <w:tabs>
        <w:tab w:val="left" w:pos="425"/>
        <w:tab w:val="left" w:pos="1050"/>
      </w:tabs>
      <w:spacing w:after="120" w:line="360" w:lineRule="auto"/>
      <w:ind w:left="1050" w:hanging="450"/>
      <w:jc w:val="both"/>
    </w:pPr>
    <w:rPr>
      <w:rFonts w:ascii="宋体" w:hAnsi="Arial" w:cs="Arial"/>
      <w:szCs w:val="20"/>
    </w:rPr>
  </w:style>
  <w:style w:type="paragraph" w:customStyle="1" w:styleId="167">
    <w:name w:val="论文正文"/>
    <w:basedOn w:val="1"/>
    <w:qFormat/>
    <w:uiPriority w:val="0"/>
    <w:pPr>
      <w:widowControl w:val="0"/>
      <w:spacing w:line="300" w:lineRule="auto"/>
      <w:ind w:firstLine="200" w:firstLineChars="200"/>
      <w:jc w:val="both"/>
    </w:pPr>
    <w:rPr>
      <w:kern w:val="2"/>
    </w:rPr>
  </w:style>
  <w:style w:type="paragraph" w:customStyle="1" w:styleId="168">
    <w:name w:val="表格文字"/>
    <w:basedOn w:val="1"/>
    <w:qFormat/>
    <w:uiPriority w:val="0"/>
    <w:pPr>
      <w:widowControl w:val="0"/>
      <w:spacing w:beforeLines="25" w:afterLines="25"/>
      <w:jc w:val="both"/>
    </w:pPr>
    <w:rPr>
      <w:rFonts w:ascii="Times New (W1)" w:hAnsi="Times New (W1)"/>
      <w:spacing w:val="10"/>
      <w:kern w:val="2"/>
      <w:sz w:val="21"/>
      <w:szCs w:val="20"/>
    </w:rPr>
  </w:style>
  <w:style w:type="paragraph" w:customStyle="1" w:styleId="169">
    <w:name w:val="正文序号 3"/>
    <w:basedOn w:val="1"/>
    <w:qFormat/>
    <w:uiPriority w:val="0"/>
    <w:pPr>
      <w:widowControl w:val="0"/>
      <w:tabs>
        <w:tab w:val="left" w:pos="1259"/>
      </w:tabs>
      <w:spacing w:before="60"/>
      <w:ind w:left="431" w:hanging="431"/>
      <w:jc w:val="both"/>
    </w:pPr>
    <w:rPr>
      <w:kern w:val="2"/>
      <w:sz w:val="21"/>
      <w:szCs w:val="20"/>
    </w:rPr>
  </w:style>
  <w:style w:type="paragraph" w:customStyle="1" w:styleId="170">
    <w:name w:val="默认段落字体 Para Char Char Char1 Char"/>
    <w:basedOn w:val="1"/>
    <w:next w:val="1"/>
    <w:qFormat/>
    <w:uiPriority w:val="0"/>
    <w:pPr>
      <w:widowControl w:val="0"/>
      <w:spacing w:line="240" w:lineRule="atLeast"/>
      <w:ind w:left="420" w:firstLine="420"/>
    </w:pPr>
    <w:rPr>
      <w:sz w:val="21"/>
      <w:szCs w:val="21"/>
    </w:rPr>
  </w:style>
  <w:style w:type="paragraph" w:customStyle="1" w:styleId="171">
    <w:name w:val="正文段落"/>
    <w:basedOn w:val="1"/>
    <w:qFormat/>
    <w:uiPriority w:val="0"/>
    <w:pPr>
      <w:widowControl w:val="0"/>
      <w:spacing w:line="300" w:lineRule="auto"/>
      <w:ind w:firstLine="510"/>
      <w:jc w:val="both"/>
    </w:pPr>
    <w:rPr>
      <w:kern w:val="2"/>
      <w:szCs w:val="20"/>
    </w:rPr>
  </w:style>
  <w:style w:type="paragraph" w:customStyle="1" w:styleId="172">
    <w:name w:val="正文序号 2"/>
    <w:basedOn w:val="1"/>
    <w:qFormat/>
    <w:uiPriority w:val="0"/>
    <w:pPr>
      <w:widowControl w:val="0"/>
      <w:tabs>
        <w:tab w:val="left" w:pos="1049"/>
      </w:tabs>
      <w:spacing w:before="60"/>
      <w:ind w:left="431" w:hanging="431"/>
      <w:jc w:val="both"/>
    </w:pPr>
    <w:rPr>
      <w:kern w:val="2"/>
      <w:sz w:val="21"/>
      <w:szCs w:val="20"/>
    </w:rPr>
  </w:style>
  <w:style w:type="paragraph" w:customStyle="1" w:styleId="173">
    <w:name w:val="Char1 Char Char Char Char Char Char"/>
    <w:basedOn w:val="1"/>
    <w:qFormat/>
    <w:uiPriority w:val="0"/>
    <w:pPr>
      <w:widowControl w:val="0"/>
      <w:jc w:val="both"/>
    </w:pPr>
    <w:rPr>
      <w:rFonts w:ascii="Tahoma" w:hAnsi="Tahoma"/>
      <w:kern w:val="2"/>
      <w:szCs w:val="20"/>
    </w:rPr>
  </w:style>
  <w:style w:type="paragraph" w:customStyle="1" w:styleId="174">
    <w:name w:val="文章正文 Char Char1"/>
    <w:basedOn w:val="1"/>
    <w:qFormat/>
    <w:uiPriority w:val="0"/>
    <w:pPr>
      <w:widowControl w:val="0"/>
      <w:spacing w:line="360" w:lineRule="auto"/>
      <w:ind w:firstLine="420"/>
      <w:jc w:val="both"/>
    </w:pPr>
    <w:rPr>
      <w:kern w:val="2"/>
      <w:szCs w:val="20"/>
    </w:rPr>
  </w:style>
  <w:style w:type="paragraph" w:customStyle="1" w:styleId="175">
    <w:name w:val="Char"/>
    <w:basedOn w:val="1"/>
    <w:next w:val="1"/>
    <w:qFormat/>
    <w:uiPriority w:val="99"/>
    <w:pPr>
      <w:widowControl w:val="0"/>
      <w:spacing w:line="240" w:lineRule="atLeast"/>
      <w:ind w:left="420" w:firstLine="420"/>
    </w:pPr>
    <w:rPr>
      <w:sz w:val="21"/>
      <w:szCs w:val="21"/>
    </w:rPr>
  </w:style>
  <w:style w:type="paragraph" w:customStyle="1" w:styleId="176">
    <w:name w:val="样式 标题 1 + 宋体 居中 段前: 17 磅 段后: 16.5 磅"/>
    <w:basedOn w:val="3"/>
    <w:qFormat/>
    <w:uiPriority w:val="0"/>
    <w:pPr>
      <w:pageBreakBefore/>
      <w:tabs>
        <w:tab w:val="left" w:pos="840"/>
      </w:tabs>
      <w:ind w:left="840" w:hanging="420"/>
    </w:pPr>
    <w:rPr>
      <w:rFonts w:cs="宋体"/>
      <w:szCs w:val="20"/>
    </w:rPr>
  </w:style>
  <w:style w:type="paragraph" w:customStyle="1" w:styleId="177">
    <w:name w:val="文章正文 Char Char1 Char"/>
    <w:basedOn w:val="1"/>
    <w:qFormat/>
    <w:uiPriority w:val="0"/>
    <w:pPr>
      <w:widowControl w:val="0"/>
      <w:spacing w:line="360" w:lineRule="auto"/>
      <w:ind w:firstLine="420"/>
      <w:jc w:val="both"/>
    </w:pPr>
    <w:rPr>
      <w:kern w:val="2"/>
    </w:rPr>
  </w:style>
  <w:style w:type="paragraph" w:customStyle="1" w:styleId="178">
    <w:name w:val="正文 首行缩进:  2 字符 Char Char"/>
    <w:basedOn w:val="1"/>
    <w:qFormat/>
    <w:uiPriority w:val="0"/>
    <w:pPr>
      <w:widowControl w:val="0"/>
      <w:spacing w:line="360" w:lineRule="auto"/>
      <w:ind w:firstLine="480"/>
      <w:jc w:val="both"/>
    </w:pPr>
    <w:rPr>
      <w:kern w:val="2"/>
      <w:szCs w:val="20"/>
    </w:rPr>
  </w:style>
  <w:style w:type="paragraph" w:customStyle="1" w:styleId="179">
    <w:name w:val="xl26"/>
    <w:basedOn w:val="1"/>
    <w:qFormat/>
    <w:uiPriority w:val="0"/>
    <w:pPr>
      <w:pBdr>
        <w:top w:val="single" w:color="auto" w:sz="4" w:space="0"/>
        <w:left w:val="single" w:color="auto" w:sz="4" w:space="0"/>
        <w:right w:val="single" w:color="auto" w:sz="4" w:space="0"/>
      </w:pBdr>
      <w:spacing w:before="100" w:beforeAutospacing="1" w:after="100" w:afterAutospacing="1"/>
    </w:pPr>
    <w:rPr>
      <w:rFonts w:ascii="宋体" w:hAnsi="宋体"/>
      <w:sz w:val="22"/>
      <w:szCs w:val="22"/>
    </w:rPr>
  </w:style>
  <w:style w:type="paragraph" w:customStyle="1" w:styleId="180">
    <w:name w:val="标题 2 + 楷体_GB2312"/>
    <w:basedOn w:val="1"/>
    <w:qFormat/>
    <w:uiPriority w:val="0"/>
  </w:style>
  <w:style w:type="paragraph" w:customStyle="1" w:styleId="181">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82">
    <w:name w:val="p0"/>
    <w:basedOn w:val="1"/>
    <w:qFormat/>
    <w:uiPriority w:val="99"/>
    <w:pPr>
      <w:jc w:val="both"/>
    </w:pPr>
    <w:rPr>
      <w:sz w:val="21"/>
      <w:szCs w:val="20"/>
    </w:rPr>
  </w:style>
  <w:style w:type="paragraph" w:customStyle="1" w:styleId="183">
    <w:name w:val="gb_master正文"/>
    <w:basedOn w:val="1"/>
    <w:qFormat/>
    <w:uiPriority w:val="0"/>
    <w:pPr>
      <w:widowControl w:val="0"/>
      <w:ind w:firstLine="200" w:firstLineChars="200"/>
      <w:jc w:val="both"/>
    </w:pPr>
    <w:rPr>
      <w:kern w:val="2"/>
      <w:sz w:val="21"/>
    </w:rPr>
  </w:style>
  <w:style w:type="paragraph" w:customStyle="1" w:styleId="184">
    <w:name w:val="Char1"/>
    <w:basedOn w:val="1"/>
    <w:next w:val="1"/>
    <w:qFormat/>
    <w:uiPriority w:val="99"/>
    <w:pPr>
      <w:widowControl w:val="0"/>
      <w:spacing w:line="240" w:lineRule="atLeast"/>
      <w:ind w:left="420" w:firstLine="420"/>
    </w:pPr>
    <w:rPr>
      <w:sz w:val="21"/>
      <w:szCs w:val="21"/>
    </w:rPr>
  </w:style>
  <w:style w:type="paragraph" w:customStyle="1" w:styleId="185">
    <w:name w:val="Char Char1 Char Char Char Char Char Char Char Char Char Char Char Char Char Char"/>
    <w:basedOn w:val="1"/>
    <w:qFormat/>
    <w:uiPriority w:val="0"/>
    <w:pPr>
      <w:spacing w:after="160" w:line="240" w:lineRule="exact"/>
    </w:pPr>
    <w:rPr>
      <w:rFonts w:ascii="Verdana" w:hAnsi="Verdana"/>
      <w:sz w:val="20"/>
      <w:szCs w:val="20"/>
      <w:lang w:eastAsia="en-US"/>
    </w:rPr>
  </w:style>
  <w:style w:type="paragraph" w:customStyle="1" w:styleId="186">
    <w:name w:val="样式 仿宋_GB2312 小四 左侧:  0.63 厘米"/>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187">
    <w:name w:val="正文格式"/>
    <w:basedOn w:val="1"/>
    <w:qFormat/>
    <w:uiPriority w:val="0"/>
    <w:pPr>
      <w:adjustRightInd w:val="0"/>
      <w:snapToGrid w:val="0"/>
      <w:spacing w:beforeLines="25" w:line="360" w:lineRule="auto"/>
      <w:ind w:firstLine="480" w:firstLineChars="200"/>
      <w:jc w:val="both"/>
      <w:textAlignment w:val="baseline"/>
    </w:pPr>
    <w:rPr>
      <w:rFonts w:ascii="宋体" w:hAnsi="宋体"/>
      <w:color w:val="000000"/>
      <w:szCs w:val="20"/>
    </w:rPr>
  </w:style>
  <w:style w:type="paragraph" w:customStyle="1" w:styleId="188">
    <w:name w:val="MM Topic 1"/>
    <w:basedOn w:val="3"/>
    <w:qFormat/>
    <w:uiPriority w:val="0"/>
    <w:pPr>
      <w:widowControl w:val="0"/>
      <w:tabs>
        <w:tab w:val="left" w:pos="425"/>
      </w:tabs>
      <w:spacing w:line="576" w:lineRule="auto"/>
    </w:pPr>
    <w:rPr>
      <w:rFonts w:ascii="Times New Roman" w:hAnsi="Times New Roman"/>
      <w:bCs w:val="0"/>
      <w:sz w:val="44"/>
      <w:szCs w:val="20"/>
    </w:rPr>
  </w:style>
  <w:style w:type="paragraph" w:customStyle="1" w:styleId="189">
    <w:name w:val="样式 正文缩进 + (中文) 仿宋_GB2312 小四 Char"/>
    <w:basedOn w:val="13"/>
    <w:qFormat/>
    <w:uiPriority w:val="0"/>
    <w:pPr>
      <w:ind w:firstLine="480"/>
    </w:pPr>
    <w:rPr>
      <w:rFonts w:ascii="宋体" w:hAnsi="宋体"/>
      <w:sz w:val="24"/>
      <w:szCs w:val="20"/>
    </w:rPr>
  </w:style>
  <w:style w:type="paragraph" w:customStyle="1" w:styleId="190">
    <w:name w:val="样式 右侧:  1 字符1"/>
    <w:basedOn w:val="1"/>
    <w:qFormat/>
    <w:uiPriority w:val="0"/>
    <w:pPr>
      <w:widowControl w:val="0"/>
      <w:ind w:left="240" w:leftChars="100" w:right="100" w:rightChars="100"/>
      <w:jc w:val="both"/>
    </w:pPr>
    <w:rPr>
      <w:rFonts w:eastAsia="仿宋_GB2312"/>
      <w:kern w:val="2"/>
      <w:sz w:val="28"/>
      <w:szCs w:val="20"/>
    </w:rPr>
  </w:style>
  <w:style w:type="paragraph" w:customStyle="1" w:styleId="191">
    <w:name w:val="Char2 Char Char Char Char Char Char"/>
    <w:basedOn w:val="1"/>
    <w:qFormat/>
    <w:uiPriority w:val="0"/>
    <w:pPr>
      <w:widowControl w:val="0"/>
      <w:jc w:val="both"/>
    </w:pPr>
    <w:rPr>
      <w:rFonts w:ascii="仿宋_GB2312"/>
      <w:b/>
      <w:kern w:val="2"/>
      <w:sz w:val="30"/>
      <w:szCs w:val="20"/>
    </w:rPr>
  </w:style>
  <w:style w:type="paragraph" w:customStyle="1" w:styleId="192">
    <w:name w:val="项目符号：一级"/>
    <w:basedOn w:val="187"/>
    <w:next w:val="187"/>
    <w:qFormat/>
    <w:uiPriority w:val="0"/>
    <w:pPr>
      <w:tabs>
        <w:tab w:val="left" w:pos="700"/>
      </w:tabs>
      <w:spacing w:beforeLines="0"/>
      <w:ind w:left="630" w:hanging="290" w:firstLineChars="0"/>
    </w:pPr>
  </w:style>
  <w:style w:type="paragraph" w:customStyle="1" w:styleId="193">
    <w:name w:val="正文序号 4"/>
    <w:basedOn w:val="1"/>
    <w:qFormat/>
    <w:uiPriority w:val="0"/>
    <w:pPr>
      <w:widowControl w:val="0"/>
      <w:tabs>
        <w:tab w:val="left" w:pos="1469"/>
      </w:tabs>
      <w:spacing w:before="60"/>
      <w:ind w:left="431" w:hanging="431"/>
      <w:jc w:val="both"/>
    </w:pPr>
    <w:rPr>
      <w:kern w:val="2"/>
      <w:sz w:val="21"/>
      <w:szCs w:val="20"/>
    </w:rPr>
  </w:style>
  <w:style w:type="paragraph" w:customStyle="1" w:styleId="194">
    <w:name w:val="插图题注"/>
    <w:next w:val="1"/>
    <w:qFormat/>
    <w:uiPriority w:val="0"/>
    <w:pPr>
      <w:tabs>
        <w:tab w:val="left" w:pos="1418"/>
      </w:tabs>
      <w:spacing w:afterLines="100"/>
      <w:ind w:left="1418" w:hanging="1418"/>
      <w:jc w:val="center"/>
    </w:pPr>
    <w:rPr>
      <w:rFonts w:ascii="Arial" w:hAnsi="Arial" w:eastAsia="宋体" w:cs="Times New Roman"/>
      <w:sz w:val="18"/>
      <w:lang w:val="en-US" w:eastAsia="zh-CN" w:bidi="ar-SA"/>
    </w:rPr>
  </w:style>
  <w:style w:type="paragraph" w:customStyle="1" w:styleId="195">
    <w:name w:val="正文首行缩进两字符"/>
    <w:basedOn w:val="1"/>
    <w:qFormat/>
    <w:uiPriority w:val="99"/>
    <w:pPr>
      <w:widowControl w:val="0"/>
      <w:spacing w:line="360" w:lineRule="auto"/>
      <w:ind w:firstLine="200" w:firstLineChars="200"/>
      <w:jc w:val="both"/>
    </w:pPr>
    <w:rPr>
      <w:kern w:val="2"/>
      <w:sz w:val="21"/>
      <w:szCs w:val="20"/>
    </w:rPr>
  </w:style>
  <w:style w:type="paragraph" w:customStyle="1" w:styleId="196">
    <w:name w:val="Style8"/>
    <w:basedOn w:val="1"/>
    <w:qFormat/>
    <w:uiPriority w:val="0"/>
    <w:pPr>
      <w:widowControl w:val="0"/>
      <w:tabs>
        <w:tab w:val="left" w:pos="1304"/>
      </w:tabs>
      <w:spacing w:beforeLines="50" w:afterLines="50" w:line="276" w:lineRule="auto"/>
      <w:ind w:left="1304" w:hanging="397"/>
      <w:jc w:val="both"/>
    </w:pPr>
    <w:rPr>
      <w:rFonts w:ascii="Arial" w:hAnsi="Arial"/>
      <w:kern w:val="2"/>
      <w:szCs w:val="20"/>
    </w:rPr>
  </w:style>
  <w:style w:type="paragraph" w:customStyle="1" w:styleId="197">
    <w:name w:val="Char Char Char Char Char Char Char Char Char Char Char Char Char"/>
    <w:basedOn w:val="15"/>
    <w:qFormat/>
    <w:uiPriority w:val="99"/>
    <w:pPr>
      <w:widowControl w:val="0"/>
      <w:shd w:val="clear" w:color="auto" w:fill="000080"/>
      <w:jc w:val="both"/>
    </w:pPr>
    <w:rPr>
      <w:rFonts w:ascii="Tahoma" w:hAnsi="Tahoma"/>
      <w:sz w:val="24"/>
      <w:szCs w:val="20"/>
    </w:rPr>
  </w:style>
  <w:style w:type="paragraph" w:customStyle="1" w:styleId="198">
    <w:name w:val="大纲正文"/>
    <w:basedOn w:val="1"/>
    <w:qFormat/>
    <w:uiPriority w:val="0"/>
    <w:pPr>
      <w:widowControl w:val="0"/>
      <w:spacing w:line="360" w:lineRule="auto"/>
      <w:ind w:firstLine="480" w:firstLineChars="200"/>
      <w:jc w:val="both"/>
    </w:pPr>
    <w:rPr>
      <w:kern w:val="2"/>
      <w:szCs w:val="20"/>
    </w:rPr>
  </w:style>
  <w:style w:type="paragraph" w:customStyle="1" w:styleId="199">
    <w:name w:val="正文序号 1"/>
    <w:basedOn w:val="1"/>
    <w:qFormat/>
    <w:uiPriority w:val="0"/>
    <w:pPr>
      <w:widowControl w:val="0"/>
      <w:tabs>
        <w:tab w:val="left" w:pos="839"/>
      </w:tabs>
      <w:spacing w:before="60"/>
      <w:ind w:left="431" w:hanging="431"/>
      <w:jc w:val="both"/>
    </w:pPr>
    <w:rPr>
      <w:kern w:val="2"/>
      <w:sz w:val="21"/>
      <w:szCs w:val="20"/>
    </w:rPr>
  </w:style>
  <w:style w:type="paragraph" w:customStyle="1" w:styleId="200">
    <w:name w:val="Char2"/>
    <w:basedOn w:val="1"/>
    <w:next w:val="1"/>
    <w:qFormat/>
    <w:uiPriority w:val="99"/>
    <w:pPr>
      <w:widowControl w:val="0"/>
      <w:spacing w:line="240" w:lineRule="atLeast"/>
      <w:ind w:left="420" w:firstLine="420"/>
    </w:pPr>
    <w:rPr>
      <w:kern w:val="2"/>
      <w:szCs w:val="20"/>
    </w:rPr>
  </w:style>
  <w:style w:type="paragraph" w:customStyle="1" w:styleId="201">
    <w:name w:val="MM Title"/>
    <w:basedOn w:val="1"/>
    <w:qFormat/>
    <w:uiPriority w:val="0"/>
    <w:pPr>
      <w:widowControl w:val="0"/>
      <w:spacing w:before="240" w:after="60"/>
      <w:jc w:val="center"/>
      <w:outlineLvl w:val="0"/>
    </w:pPr>
    <w:rPr>
      <w:rFonts w:ascii="Arial" w:hAnsi="Arial"/>
      <w:b/>
      <w:kern w:val="2"/>
      <w:sz w:val="32"/>
      <w:szCs w:val="20"/>
    </w:rPr>
  </w:style>
  <w:style w:type="paragraph" w:customStyle="1" w:styleId="202">
    <w:name w:val="Char2 Char Char Char"/>
    <w:basedOn w:val="1"/>
    <w:qFormat/>
    <w:uiPriority w:val="0"/>
    <w:pPr>
      <w:widowControl w:val="0"/>
      <w:jc w:val="both"/>
    </w:pPr>
    <w:rPr>
      <w:rFonts w:ascii="仿宋_GB2312"/>
      <w:b/>
      <w:kern w:val="2"/>
      <w:sz w:val="30"/>
      <w:szCs w:val="20"/>
    </w:rPr>
  </w:style>
  <w:style w:type="paragraph" w:customStyle="1" w:styleId="203">
    <w:name w:val="MM Topic 2"/>
    <w:basedOn w:val="4"/>
    <w:qFormat/>
    <w:uiPriority w:val="0"/>
    <w:pPr>
      <w:numPr>
        <w:ilvl w:val="0"/>
        <w:numId w:val="0"/>
      </w:numPr>
      <w:tabs>
        <w:tab w:val="left" w:pos="992"/>
      </w:tabs>
    </w:pPr>
    <w:rPr>
      <w:rFonts w:ascii="Arial"/>
      <w:bCs w:val="0"/>
      <w:iCs w:val="0"/>
      <w:color w:val="000000"/>
      <w:kern w:val="2"/>
      <w:szCs w:val="20"/>
    </w:rPr>
  </w:style>
  <w:style w:type="paragraph" w:customStyle="1" w:styleId="204">
    <w:name w:val="Char Char1"/>
    <w:basedOn w:val="1"/>
    <w:next w:val="1"/>
    <w:qFormat/>
    <w:uiPriority w:val="0"/>
    <w:pPr>
      <w:widowControl w:val="0"/>
      <w:spacing w:line="240" w:lineRule="atLeast"/>
      <w:ind w:left="420" w:firstLine="420"/>
    </w:pPr>
    <w:rPr>
      <w:rFonts w:ascii="楷体_GB2312" w:hAnsi="宋体" w:eastAsia="楷体_GB2312"/>
      <w:color w:val="000000"/>
      <w:sz w:val="28"/>
      <w:szCs w:val="20"/>
    </w:rPr>
  </w:style>
  <w:style w:type="paragraph" w:customStyle="1" w:styleId="205">
    <w:name w:val="我的正文"/>
    <w:basedOn w:val="1"/>
    <w:qFormat/>
    <w:uiPriority w:val="0"/>
    <w:pPr>
      <w:widowControl w:val="0"/>
      <w:spacing w:line="360" w:lineRule="auto"/>
      <w:ind w:firstLine="420" w:firstLineChars="200"/>
      <w:jc w:val="both"/>
    </w:pPr>
    <w:rPr>
      <w:rFonts w:ascii="宋体" w:hAnsi="宋体"/>
      <w:kern w:val="2"/>
      <w:sz w:val="21"/>
      <w:szCs w:val="20"/>
    </w:rPr>
  </w:style>
  <w:style w:type="paragraph" w:customStyle="1" w:styleId="206">
    <w:name w:val="列出段落2"/>
    <w:basedOn w:val="1"/>
    <w:qFormat/>
    <w:uiPriority w:val="34"/>
    <w:pPr>
      <w:widowControl w:val="0"/>
      <w:ind w:firstLine="420" w:firstLineChars="200"/>
      <w:jc w:val="both"/>
    </w:pPr>
    <w:rPr>
      <w:rFonts w:eastAsia="方正仿宋"/>
      <w:kern w:val="2"/>
      <w:sz w:val="32"/>
    </w:rPr>
  </w:style>
  <w:style w:type="paragraph" w:customStyle="1" w:styleId="207">
    <w:name w:val="文字"/>
    <w:basedOn w:val="1"/>
    <w:qFormat/>
    <w:uiPriority w:val="0"/>
    <w:pPr>
      <w:widowControl w:val="0"/>
      <w:tabs>
        <w:tab w:val="left" w:pos="8520"/>
      </w:tabs>
      <w:spacing w:line="312" w:lineRule="auto"/>
      <w:ind w:right="-210" w:firstLine="556"/>
      <w:jc w:val="both"/>
    </w:pPr>
    <w:rPr>
      <w:rFonts w:ascii="楷体_GB2312" w:eastAsia="楷体_GB2312"/>
      <w:kern w:val="2"/>
      <w:sz w:val="28"/>
      <w:szCs w:val="20"/>
    </w:rPr>
  </w:style>
  <w:style w:type="character" w:customStyle="1" w:styleId="208">
    <w:name w:val="彩色列表 - 强调文字颜色 1 Char"/>
    <w:link w:val="209"/>
    <w:qFormat/>
    <w:uiPriority w:val="0"/>
    <w:rPr>
      <w:rFonts w:ascii="Calibri" w:hAnsi="Calibri"/>
    </w:rPr>
  </w:style>
  <w:style w:type="paragraph" w:customStyle="1" w:styleId="209">
    <w:name w:val="彩色列表 - 强调文字颜色 11"/>
    <w:basedOn w:val="1"/>
    <w:link w:val="208"/>
    <w:qFormat/>
    <w:uiPriority w:val="0"/>
    <w:pPr>
      <w:widowControl w:val="0"/>
      <w:ind w:firstLine="420" w:firstLineChars="200"/>
      <w:jc w:val="both"/>
    </w:pPr>
    <w:rPr>
      <w:rFonts w:ascii="Calibri" w:hAnsi="Calibri" w:eastAsiaTheme="minorEastAsia" w:cstheme="minorBidi"/>
      <w:kern w:val="2"/>
      <w:sz w:val="21"/>
      <w:szCs w:val="22"/>
    </w:rPr>
  </w:style>
  <w:style w:type="paragraph" w:customStyle="1" w:styleId="210">
    <w:name w:val="修订1"/>
    <w:hidden/>
    <w:unhideWhenUsed/>
    <w:qFormat/>
    <w:uiPriority w:val="0"/>
    <w:rPr>
      <w:rFonts w:ascii="Times New Roman" w:hAnsi="Times New Roman" w:eastAsia="宋体" w:cs="Times New Roman"/>
      <w:sz w:val="24"/>
      <w:szCs w:val="24"/>
      <w:lang w:val="en-US" w:eastAsia="zh-CN" w:bidi="ar-SA"/>
    </w:rPr>
  </w:style>
  <w:style w:type="paragraph" w:customStyle="1" w:styleId="211">
    <w:name w:val="彩色列表 - 强调文字颜色 12"/>
    <w:basedOn w:val="1"/>
    <w:qFormat/>
    <w:uiPriority w:val="0"/>
    <w:pPr>
      <w:widowControl w:val="0"/>
      <w:ind w:firstLine="420" w:firstLineChars="200"/>
      <w:jc w:val="both"/>
    </w:pPr>
    <w:rPr>
      <w:rFonts w:ascii="Calibri" w:hAnsi="Calibri"/>
      <w:kern w:val="2"/>
      <w:sz w:val="21"/>
      <w:szCs w:val="22"/>
    </w:rPr>
  </w:style>
  <w:style w:type="character" w:customStyle="1" w:styleId="212">
    <w:name w:val="Char Char2"/>
    <w:qFormat/>
    <w:uiPriority w:val="0"/>
    <w:rPr>
      <w:kern w:val="2"/>
      <w:sz w:val="18"/>
      <w:szCs w:val="18"/>
    </w:rPr>
  </w:style>
  <w:style w:type="character" w:customStyle="1" w:styleId="213">
    <w:name w:val="脚注文本 字符"/>
    <w:link w:val="34"/>
    <w:qFormat/>
    <w:uiPriority w:val="0"/>
    <w:rPr>
      <w:rFonts w:ascii="Calibri" w:hAnsi="Calibri"/>
      <w:sz w:val="18"/>
      <w:szCs w:val="18"/>
    </w:rPr>
  </w:style>
  <w:style w:type="character" w:customStyle="1" w:styleId="214">
    <w:name w:val="文章正文 Char Char"/>
    <w:qFormat/>
    <w:uiPriority w:val="0"/>
    <w:rPr>
      <w:rFonts w:hint="eastAsia" w:ascii="宋体" w:hAnsi="宋体" w:eastAsia="宋体"/>
      <w:kern w:val="2"/>
      <w:sz w:val="24"/>
      <w:szCs w:val="24"/>
      <w:lang w:val="en-US" w:eastAsia="zh-CN" w:bidi="ar-SA"/>
    </w:rPr>
  </w:style>
  <w:style w:type="character" w:customStyle="1" w:styleId="215">
    <w:name w:val="Char Char5"/>
    <w:qFormat/>
    <w:uiPriority w:val="0"/>
    <w:rPr>
      <w:kern w:val="2"/>
      <w:sz w:val="21"/>
      <w:szCs w:val="24"/>
    </w:rPr>
  </w:style>
  <w:style w:type="character" w:customStyle="1" w:styleId="216">
    <w:name w:val="CD正文 Char Char"/>
    <w:qFormat/>
    <w:uiPriority w:val="0"/>
    <w:rPr>
      <w:rFonts w:hint="eastAsia" w:ascii="宋体" w:hAnsi="宋体" w:eastAsia="宋体"/>
      <w:kern w:val="2"/>
      <w:sz w:val="30"/>
      <w:szCs w:val="28"/>
      <w:lang w:val="en-US" w:eastAsia="zh-CN" w:bidi="ar-SA"/>
    </w:rPr>
  </w:style>
  <w:style w:type="character" w:customStyle="1" w:styleId="217">
    <w:name w:val="表正文 Char1"/>
    <w:qFormat/>
    <w:uiPriority w:val="0"/>
    <w:rPr>
      <w:rFonts w:hint="eastAsia" w:ascii="宋体" w:hAnsi="宋体" w:eastAsia="宋体"/>
      <w:kern w:val="2"/>
      <w:sz w:val="21"/>
      <w:lang w:val="en-US" w:eastAsia="zh-CN" w:bidi="ar-SA"/>
    </w:rPr>
  </w:style>
  <w:style w:type="character" w:customStyle="1" w:styleId="218">
    <w:name w:val="列出段落 Char Char"/>
    <w:qFormat/>
    <w:uiPriority w:val="0"/>
    <w:rPr>
      <w:rFonts w:hint="default" w:ascii="Calibri" w:hAnsi="Calibri" w:cs="Calibri"/>
      <w:kern w:val="2"/>
      <w:sz w:val="21"/>
      <w:szCs w:val="22"/>
    </w:rPr>
  </w:style>
  <w:style w:type="character" w:customStyle="1" w:styleId="219">
    <w:name w:val="font11"/>
    <w:qFormat/>
    <w:uiPriority w:val="0"/>
    <w:rPr>
      <w:rFonts w:hint="eastAsia" w:ascii="宋体" w:hAnsi="宋体" w:eastAsia="宋体" w:cs="宋体"/>
      <w:b/>
      <w:color w:val="000000"/>
      <w:sz w:val="22"/>
      <w:szCs w:val="22"/>
      <w:u w:val="none"/>
    </w:rPr>
  </w:style>
  <w:style w:type="character" w:customStyle="1" w:styleId="220">
    <w:name w:val="Char Char9"/>
    <w:qFormat/>
    <w:uiPriority w:val="99"/>
    <w:rPr>
      <w:kern w:val="2"/>
      <w:sz w:val="18"/>
      <w:szCs w:val="18"/>
    </w:rPr>
  </w:style>
  <w:style w:type="character" w:customStyle="1" w:styleId="221">
    <w:name w:val="Legal Level 1.1.1. Char"/>
    <w:qFormat/>
    <w:uiPriority w:val="0"/>
    <w:rPr>
      <w:rFonts w:hint="default" w:ascii="Arial" w:hAnsi="Arial" w:eastAsia="黑体" w:cs="Arial"/>
      <w:kern w:val="2"/>
      <w:sz w:val="24"/>
      <w:szCs w:val="24"/>
    </w:rPr>
  </w:style>
  <w:style w:type="character" w:customStyle="1" w:styleId="222">
    <w:name w:val="font01"/>
    <w:qFormat/>
    <w:uiPriority w:val="0"/>
    <w:rPr>
      <w:rFonts w:hint="eastAsia" w:ascii="宋体" w:hAnsi="宋体" w:eastAsia="宋体" w:cs="宋体"/>
      <w:color w:val="000000"/>
      <w:sz w:val="22"/>
      <w:szCs w:val="22"/>
      <w:u w:val="none"/>
    </w:rPr>
  </w:style>
  <w:style w:type="character" w:customStyle="1" w:styleId="223">
    <w:name w:val="Char Char3"/>
    <w:qFormat/>
    <w:uiPriority w:val="99"/>
    <w:rPr>
      <w:b/>
      <w:bCs/>
      <w:kern w:val="2"/>
      <w:sz w:val="18"/>
      <w:szCs w:val="18"/>
    </w:rPr>
  </w:style>
  <w:style w:type="character" w:customStyle="1" w:styleId="224">
    <w:name w:val="MM Topic 3 Char Char"/>
    <w:qFormat/>
    <w:uiPriority w:val="0"/>
    <w:rPr>
      <w:rFonts w:hint="eastAsia" w:ascii="宋体" w:hAnsi="宋体" w:eastAsia="宋体"/>
      <w:b/>
      <w:bCs/>
      <w:color w:val="000000"/>
      <w:kern w:val="2"/>
      <w:sz w:val="28"/>
      <w:szCs w:val="28"/>
    </w:rPr>
  </w:style>
  <w:style w:type="character" w:customStyle="1" w:styleId="225">
    <w:name w:val="标题 3 Char Char Char"/>
    <w:qFormat/>
    <w:uiPriority w:val="0"/>
    <w:rPr>
      <w:rFonts w:hint="eastAsia" w:ascii="宋体" w:hAnsi="宋体" w:eastAsia="宋体"/>
      <w:b/>
      <w:kern w:val="2"/>
      <w:sz w:val="32"/>
      <w:lang w:val="en-US" w:eastAsia="zh-CN" w:bidi="ar-SA"/>
    </w:rPr>
  </w:style>
  <w:style w:type="character" w:customStyle="1" w:styleId="226">
    <w:name w:val="line2"/>
    <w:basedOn w:val="48"/>
    <w:qFormat/>
    <w:uiPriority w:val="0"/>
  </w:style>
  <w:style w:type="character" w:customStyle="1" w:styleId="227">
    <w:name w:val="正文文本 Char"/>
    <w:qFormat/>
    <w:uiPriority w:val="99"/>
    <w:rPr>
      <w:rFonts w:ascii="Calibri" w:hAnsi="Calibri" w:eastAsia="宋体" w:cs="Times New Roman"/>
    </w:rPr>
  </w:style>
  <w:style w:type="character" w:customStyle="1" w:styleId="228">
    <w:name w:val="apple-converted-space"/>
    <w:basedOn w:val="48"/>
    <w:qFormat/>
    <w:uiPriority w:val="0"/>
  </w:style>
  <w:style w:type="character" w:customStyle="1" w:styleId="229">
    <w:name w:val="样式 小四2 Char Char"/>
    <w:qFormat/>
    <w:uiPriority w:val="0"/>
    <w:rPr>
      <w:rFonts w:hint="eastAsia" w:ascii="宋体" w:hAnsi="宋体" w:eastAsia="宋体"/>
      <w:kern w:val="2"/>
      <w:sz w:val="24"/>
      <w:szCs w:val="24"/>
    </w:rPr>
  </w:style>
  <w:style w:type="character" w:customStyle="1" w:styleId="230">
    <w:name w:val="apple-style-span"/>
    <w:basedOn w:val="48"/>
    <w:qFormat/>
    <w:uiPriority w:val="0"/>
  </w:style>
  <w:style w:type="character" w:customStyle="1" w:styleId="231">
    <w:name w:val="tt Char"/>
    <w:qFormat/>
    <w:uiPriority w:val="0"/>
    <w:rPr>
      <w:rFonts w:hint="default" w:ascii="Arial" w:hAnsi="Arial" w:eastAsia="黑体" w:cs="Arial"/>
      <w:kern w:val="2"/>
      <w:sz w:val="21"/>
      <w:szCs w:val="21"/>
    </w:rPr>
  </w:style>
  <w:style w:type="character" w:customStyle="1" w:styleId="232">
    <w:name w:val="副标题 Char2"/>
    <w:qFormat/>
    <w:uiPriority w:val="0"/>
    <w:rPr>
      <w:rFonts w:ascii="Cambria" w:hAnsi="Cambria" w:eastAsia="宋体" w:cs="Times New Roman"/>
      <w:b/>
      <w:bCs/>
      <w:kern w:val="28"/>
      <w:sz w:val="32"/>
      <w:szCs w:val="32"/>
    </w:rPr>
  </w:style>
  <w:style w:type="character" w:customStyle="1" w:styleId="233">
    <w:name w:val="标书正文:  0.74 厘米 Char Char"/>
    <w:qFormat/>
    <w:uiPriority w:val="0"/>
    <w:rPr>
      <w:kern w:val="2"/>
      <w:sz w:val="24"/>
    </w:rPr>
  </w:style>
  <w:style w:type="character" w:customStyle="1" w:styleId="234">
    <w:name w:val="批注文字 Char2"/>
    <w:qFormat/>
    <w:uiPriority w:val="0"/>
    <w:rPr>
      <w:rFonts w:hint="eastAsia" w:ascii="宋体" w:hAnsi="宋体" w:eastAsia="宋体"/>
      <w:sz w:val="18"/>
      <w:szCs w:val="18"/>
    </w:rPr>
  </w:style>
  <w:style w:type="character" w:customStyle="1" w:styleId="235">
    <w:name w:val="img"/>
    <w:basedOn w:val="48"/>
    <w:qFormat/>
    <w:uiPriority w:val="0"/>
  </w:style>
  <w:style w:type="character" w:customStyle="1" w:styleId="236">
    <w:name w:val="批注文字 Char"/>
    <w:qFormat/>
    <w:uiPriority w:val="99"/>
    <w:rPr>
      <w:rFonts w:ascii="Times New Roman" w:hAnsi="Times New Roman" w:eastAsia="宋体" w:cs="Times New Roman"/>
      <w:kern w:val="0"/>
      <w:sz w:val="18"/>
      <w:szCs w:val="18"/>
    </w:rPr>
  </w:style>
  <w:style w:type="character" w:customStyle="1" w:styleId="237">
    <w:name w:val="Char Char Char"/>
    <w:qFormat/>
    <w:uiPriority w:val="99"/>
    <w:rPr>
      <w:rFonts w:hint="eastAsia" w:ascii="宋体" w:hAnsi="宋体" w:eastAsia="宋体"/>
      <w:kern w:val="2"/>
      <w:sz w:val="18"/>
      <w:szCs w:val="18"/>
      <w:lang w:val="en-US" w:eastAsia="zh-CN" w:bidi="ar-SA"/>
    </w:rPr>
  </w:style>
  <w:style w:type="character" w:customStyle="1" w:styleId="238">
    <w:name w:val="正文文本 Char Char"/>
    <w:qFormat/>
    <w:uiPriority w:val="0"/>
    <w:rPr>
      <w:kern w:val="2"/>
      <w:sz w:val="21"/>
      <w:szCs w:val="24"/>
    </w:rPr>
  </w:style>
  <w:style w:type="character" w:customStyle="1" w:styleId="239">
    <w:name w:val="Char Char10"/>
    <w:qFormat/>
    <w:uiPriority w:val="0"/>
    <w:rPr>
      <w:kern w:val="2"/>
      <w:sz w:val="24"/>
      <w:szCs w:val="24"/>
    </w:rPr>
  </w:style>
  <w:style w:type="character" w:customStyle="1" w:styleId="240">
    <w:name w:val="0-CD Char"/>
    <w:link w:val="241"/>
    <w:qFormat/>
    <w:locked/>
    <w:uiPriority w:val="0"/>
    <w:rPr>
      <w:rFonts w:ascii="宋体" w:hAnsi="宋体"/>
      <w:sz w:val="28"/>
      <w:szCs w:val="24"/>
    </w:rPr>
  </w:style>
  <w:style w:type="paragraph" w:customStyle="1" w:styleId="241">
    <w:name w:val="0-CD"/>
    <w:basedOn w:val="1"/>
    <w:link w:val="240"/>
    <w:qFormat/>
    <w:uiPriority w:val="0"/>
    <w:pPr>
      <w:widowControl w:val="0"/>
      <w:spacing w:line="360" w:lineRule="auto"/>
      <w:ind w:firstLine="708" w:firstLineChars="253"/>
    </w:pPr>
    <w:rPr>
      <w:rFonts w:ascii="宋体" w:hAnsi="宋体" w:eastAsiaTheme="minorEastAsia" w:cstheme="minorBidi"/>
      <w:kern w:val="2"/>
      <w:sz w:val="28"/>
    </w:rPr>
  </w:style>
  <w:style w:type="character" w:customStyle="1" w:styleId="242">
    <w:name w:val="Char Char8"/>
    <w:qFormat/>
    <w:uiPriority w:val="0"/>
    <w:rPr>
      <w:rFonts w:hint="eastAsia" w:ascii="宋体" w:hAnsi="宋体" w:eastAsia="宋体"/>
      <w:kern w:val="2"/>
      <w:sz w:val="28"/>
      <w:szCs w:val="28"/>
    </w:rPr>
  </w:style>
  <w:style w:type="character" w:customStyle="1" w:styleId="243">
    <w:name w:val="正文缩进 Char"/>
    <w:qFormat/>
    <w:uiPriority w:val="99"/>
    <w:rPr>
      <w:kern w:val="2"/>
      <w:sz w:val="21"/>
      <w:lang w:val="zh-CN" w:eastAsia="zh-CN"/>
    </w:rPr>
  </w:style>
  <w:style w:type="character" w:customStyle="1" w:styleId="244">
    <w:name w:val="正文文本 Char2"/>
    <w:qFormat/>
    <w:locked/>
    <w:uiPriority w:val="99"/>
    <w:rPr>
      <w:rFonts w:ascii="Calibri" w:hAnsi="Calibri" w:eastAsia="宋体" w:cs="Times New Roman"/>
    </w:rPr>
  </w:style>
  <w:style w:type="character" w:customStyle="1" w:styleId="245">
    <w:name w:val="Char Char7"/>
    <w:qFormat/>
    <w:uiPriority w:val="0"/>
    <w:rPr>
      <w:kern w:val="2"/>
      <w:sz w:val="18"/>
      <w:szCs w:val="18"/>
    </w:rPr>
  </w:style>
  <w:style w:type="character" w:customStyle="1" w:styleId="246">
    <w:name w:val="纯文本 Char"/>
    <w:qFormat/>
    <w:uiPriority w:val="99"/>
    <w:rPr>
      <w:rFonts w:ascii="宋体" w:hAnsi="Courier New" w:eastAsia="宋体" w:cs="Courier New"/>
      <w:szCs w:val="21"/>
    </w:rPr>
  </w:style>
  <w:style w:type="character" w:customStyle="1" w:styleId="247">
    <w:name w:val="Char Char6"/>
    <w:qFormat/>
    <w:uiPriority w:val="0"/>
    <w:rPr>
      <w:kern w:val="2"/>
      <w:sz w:val="21"/>
      <w:szCs w:val="24"/>
    </w:rPr>
  </w:style>
  <w:style w:type="character" w:customStyle="1" w:styleId="248">
    <w:name w:val="副标题 Char1"/>
    <w:qFormat/>
    <w:uiPriority w:val="99"/>
    <w:rPr>
      <w:rFonts w:hint="default" w:ascii="Cambria" w:hAnsi="Cambria" w:cs="Times New Roman"/>
      <w:b/>
      <w:bCs/>
      <w:kern w:val="28"/>
      <w:sz w:val="32"/>
      <w:szCs w:val="32"/>
    </w:rPr>
  </w:style>
  <w:style w:type="character" w:customStyle="1" w:styleId="249">
    <w:name w:val="标题 1 Char1"/>
    <w:qFormat/>
    <w:uiPriority w:val="0"/>
    <w:rPr>
      <w:b/>
      <w:bCs/>
      <w:kern w:val="44"/>
      <w:sz w:val="44"/>
      <w:szCs w:val="44"/>
    </w:rPr>
  </w:style>
  <w:style w:type="character" w:customStyle="1" w:styleId="250">
    <w:name w:val="（符号）邀请函中一、"/>
    <w:qFormat/>
    <w:uiPriority w:val="99"/>
    <w:rPr>
      <w:rFonts w:hint="eastAsia" w:ascii="黑体" w:hAnsi="黑体" w:eastAsia="黑体"/>
      <w:b/>
      <w:bCs/>
      <w:sz w:val="24"/>
    </w:rPr>
  </w:style>
  <w:style w:type="character" w:customStyle="1" w:styleId="251">
    <w:name w:val="副标题 字符"/>
    <w:link w:val="33"/>
    <w:qFormat/>
    <w:uiPriority w:val="99"/>
    <w:rPr>
      <w:rFonts w:ascii="Cambria" w:hAnsi="Cambria"/>
      <w:b/>
      <w:bCs/>
      <w:kern w:val="28"/>
      <w:sz w:val="32"/>
      <w:szCs w:val="32"/>
    </w:rPr>
  </w:style>
  <w:style w:type="character" w:customStyle="1" w:styleId="252">
    <w:name w:val="标书（正文） Char Char"/>
    <w:qFormat/>
    <w:uiPriority w:val="0"/>
    <w:rPr>
      <w:rFonts w:hint="eastAsia" w:ascii="宋体" w:hAnsi="宋体" w:eastAsia="宋体"/>
      <w:b/>
      <w:kern w:val="10"/>
      <w:sz w:val="21"/>
      <w:szCs w:val="21"/>
      <w:lang w:val="en-US" w:eastAsia="zh-CN" w:bidi="ar-SA"/>
    </w:rPr>
  </w:style>
  <w:style w:type="character" w:customStyle="1" w:styleId="253">
    <w:name w:val="MM Topic 4 Char Char"/>
    <w:qFormat/>
    <w:uiPriority w:val="0"/>
    <w:rPr>
      <w:rFonts w:hint="default" w:ascii="Arial" w:hAnsi="Arial" w:cs="Arial"/>
      <w:b/>
      <w:bCs/>
      <w:kern w:val="2"/>
      <w:sz w:val="28"/>
      <w:szCs w:val="28"/>
    </w:rPr>
  </w:style>
  <w:style w:type="character" w:customStyle="1" w:styleId="254">
    <w:name w:val="列出段落 Char1"/>
    <w:qFormat/>
    <w:uiPriority w:val="34"/>
    <w:rPr>
      <w:rFonts w:hint="default" w:ascii="Calibri" w:hAnsi="Calibri"/>
      <w:kern w:val="2"/>
      <w:sz w:val="21"/>
      <w:szCs w:val="22"/>
    </w:rPr>
  </w:style>
  <w:style w:type="character" w:customStyle="1" w:styleId="255">
    <w:name w:val="Char Char11"/>
    <w:qFormat/>
    <w:uiPriority w:val="0"/>
    <w:rPr>
      <w:rFonts w:hint="default" w:ascii="Arial Narrow" w:hAnsi="Arial Narrow"/>
      <w:b/>
      <w:bCs/>
      <w:iCs/>
      <w:szCs w:val="24"/>
      <w:lang w:eastAsia="en-US"/>
    </w:rPr>
  </w:style>
  <w:style w:type="character" w:customStyle="1" w:styleId="256">
    <w:name w:val="脚注文本 Char1"/>
    <w:qFormat/>
    <w:uiPriority w:val="0"/>
    <w:rPr>
      <w:rFonts w:ascii="Calibri" w:hAnsi="Calibri" w:eastAsia="宋体" w:cs="Times New Roman"/>
      <w:sz w:val="18"/>
      <w:szCs w:val="18"/>
    </w:rPr>
  </w:style>
  <w:style w:type="paragraph" w:customStyle="1" w:styleId="257">
    <w:name w:val="样式1"/>
    <w:basedOn w:val="1"/>
    <w:qFormat/>
    <w:uiPriority w:val="99"/>
    <w:pPr>
      <w:widowControl w:val="0"/>
      <w:jc w:val="both"/>
    </w:pPr>
    <w:rPr>
      <w:rFonts w:eastAsia="隶书"/>
      <w:i/>
      <w:dstrike/>
      <w:kern w:val="2"/>
      <w:sz w:val="28"/>
      <w:szCs w:val="18"/>
    </w:rPr>
  </w:style>
  <w:style w:type="paragraph" w:customStyle="1" w:styleId="258">
    <w:name w:val="列出段落3"/>
    <w:basedOn w:val="1"/>
    <w:qFormat/>
    <w:uiPriority w:val="0"/>
    <w:pPr>
      <w:ind w:firstLine="420" w:firstLineChars="200"/>
    </w:pPr>
  </w:style>
  <w:style w:type="paragraph" w:customStyle="1" w:styleId="259">
    <w:name w:val="15、“一、”二级标题"/>
    <w:basedOn w:val="1"/>
    <w:qFormat/>
    <w:uiPriority w:val="0"/>
    <w:pPr>
      <w:widowControl w:val="0"/>
      <w:tabs>
        <w:tab w:val="left" w:pos="0"/>
        <w:tab w:val="left" w:pos="760"/>
      </w:tabs>
      <w:wordWrap w:val="0"/>
      <w:topLinePunct/>
      <w:ind w:left="1264" w:firstLine="803" w:firstLineChars="200"/>
      <w:jc w:val="both"/>
      <w:outlineLvl w:val="1"/>
    </w:pPr>
    <w:rPr>
      <w:rFonts w:ascii="宋体" w:hAnsi="宋体"/>
      <w:b/>
      <w:kern w:val="2"/>
      <w:sz w:val="21"/>
      <w:szCs w:val="22"/>
    </w:rPr>
  </w:style>
  <w:style w:type="character" w:customStyle="1" w:styleId="260">
    <w:name w:val="副标题 字符1"/>
    <w:basedOn w:val="48"/>
    <w:qFormat/>
    <w:uiPriority w:val="11"/>
    <w:rPr>
      <w:b/>
      <w:bCs/>
      <w:kern w:val="28"/>
      <w:sz w:val="32"/>
      <w:szCs w:val="32"/>
    </w:rPr>
  </w:style>
  <w:style w:type="paragraph" w:customStyle="1" w:styleId="261">
    <w:name w:val="列项——（一级）"/>
    <w:qFormat/>
    <w:uiPriority w:val="0"/>
    <w:pPr>
      <w:widowControl w:val="0"/>
      <w:ind w:left="3540" w:hanging="420"/>
      <w:jc w:val="both"/>
    </w:pPr>
    <w:rPr>
      <w:rFonts w:ascii="宋体" w:hAnsi="Times New Roman" w:eastAsia="宋体" w:cs="Times New Roman"/>
      <w:sz w:val="21"/>
      <w:lang w:val="en-US" w:eastAsia="zh-CN" w:bidi="ar-SA"/>
    </w:rPr>
  </w:style>
  <w:style w:type="character" w:customStyle="1" w:styleId="262">
    <w:name w:val="正文文本缩进 2 字符1"/>
    <w:basedOn w:val="48"/>
    <w:semiHidden/>
    <w:qFormat/>
    <w:uiPriority w:val="99"/>
    <w:rPr>
      <w:rFonts w:ascii="Calibri" w:hAnsi="Calibri" w:eastAsia="宋体" w:cs="Times New Roman"/>
    </w:rPr>
  </w:style>
  <w:style w:type="paragraph" w:customStyle="1" w:styleId="263">
    <w:name w:val="6、“1.”表格内一级标题"/>
    <w:basedOn w:val="1"/>
    <w:qFormat/>
    <w:uiPriority w:val="0"/>
    <w:pPr>
      <w:widowControl w:val="0"/>
      <w:tabs>
        <w:tab w:val="left" w:pos="845"/>
        <w:tab w:val="left" w:pos="2630"/>
      </w:tabs>
      <w:wordWrap w:val="0"/>
      <w:topLinePunct/>
      <w:spacing w:line="360" w:lineRule="exact"/>
      <w:ind w:left="48" w:leftChars="20" w:hanging="425"/>
      <w:jc w:val="both"/>
    </w:pPr>
    <w:rPr>
      <w:snapToGrid w:val="0"/>
      <w:kern w:val="2"/>
      <w:sz w:val="21"/>
      <w:szCs w:val="22"/>
    </w:rPr>
  </w:style>
  <w:style w:type="paragraph" w:customStyle="1" w:styleId="264">
    <w:name w:val="2、“(一)”正文二级标题"/>
    <w:basedOn w:val="1"/>
    <w:qFormat/>
    <w:uiPriority w:val="0"/>
    <w:pPr>
      <w:widowControl w:val="0"/>
      <w:tabs>
        <w:tab w:val="left" w:pos="0"/>
        <w:tab w:val="left" w:pos="704"/>
      </w:tabs>
      <w:wordWrap w:val="0"/>
      <w:topLinePunct/>
      <w:ind w:left="704" w:firstLine="803"/>
      <w:jc w:val="both"/>
    </w:pPr>
    <w:rPr>
      <w:kern w:val="2"/>
      <w:sz w:val="21"/>
      <w:szCs w:val="22"/>
    </w:rPr>
  </w:style>
  <w:style w:type="character" w:customStyle="1" w:styleId="265">
    <w:name w:val="正文文本缩进 3 字符1"/>
    <w:basedOn w:val="48"/>
    <w:semiHidden/>
    <w:qFormat/>
    <w:uiPriority w:val="99"/>
    <w:rPr>
      <w:rFonts w:ascii="Calibri" w:hAnsi="Calibri" w:eastAsia="宋体" w:cs="Times New Roman"/>
      <w:sz w:val="16"/>
      <w:szCs w:val="16"/>
    </w:rPr>
  </w:style>
  <w:style w:type="character" w:customStyle="1" w:styleId="266">
    <w:name w:val="批注文字 字符1"/>
    <w:basedOn w:val="48"/>
    <w:semiHidden/>
    <w:qFormat/>
    <w:uiPriority w:val="99"/>
    <w:rPr>
      <w:rFonts w:ascii="Calibri" w:hAnsi="Calibri" w:eastAsia="宋体" w:cs="Times New Roman"/>
    </w:rPr>
  </w:style>
  <w:style w:type="character" w:customStyle="1" w:styleId="267">
    <w:name w:val="正文文本 2 字符1"/>
    <w:basedOn w:val="48"/>
    <w:semiHidden/>
    <w:qFormat/>
    <w:uiPriority w:val="99"/>
    <w:rPr>
      <w:rFonts w:ascii="Calibri" w:hAnsi="Calibri" w:eastAsia="宋体" w:cs="Times New Roman"/>
    </w:rPr>
  </w:style>
  <w:style w:type="character" w:customStyle="1" w:styleId="268">
    <w:name w:val="正文文本缩进 字符1"/>
    <w:basedOn w:val="48"/>
    <w:semiHidden/>
    <w:qFormat/>
    <w:uiPriority w:val="99"/>
    <w:rPr>
      <w:rFonts w:ascii="Calibri" w:hAnsi="Calibri" w:eastAsia="宋体" w:cs="Times New Roman"/>
    </w:rPr>
  </w:style>
  <w:style w:type="character" w:customStyle="1" w:styleId="269">
    <w:name w:val="批注框文本 字符1"/>
    <w:basedOn w:val="48"/>
    <w:semiHidden/>
    <w:qFormat/>
    <w:uiPriority w:val="99"/>
    <w:rPr>
      <w:rFonts w:ascii="Calibri" w:hAnsi="Calibri" w:eastAsia="宋体" w:cs="Times New Roman"/>
      <w:sz w:val="18"/>
      <w:szCs w:val="18"/>
    </w:rPr>
  </w:style>
  <w:style w:type="paragraph" w:customStyle="1" w:styleId="270">
    <w:name w:val="无间隔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71">
    <w:name w:val="修订11"/>
    <w:qFormat/>
    <w:uiPriority w:val="99"/>
    <w:rPr>
      <w:rFonts w:ascii="Times New Roman" w:hAnsi="Times New Roman" w:eastAsia="宋体" w:cs="Times New Roman"/>
      <w:kern w:val="2"/>
      <w:sz w:val="21"/>
      <w:szCs w:val="22"/>
      <w:lang w:val="en-US" w:eastAsia="zh-CN" w:bidi="ar-SA"/>
    </w:rPr>
  </w:style>
  <w:style w:type="character" w:customStyle="1" w:styleId="272">
    <w:name w:val="脚注文本 字符1"/>
    <w:basedOn w:val="48"/>
    <w:semiHidden/>
    <w:qFormat/>
    <w:uiPriority w:val="99"/>
    <w:rPr>
      <w:rFonts w:ascii="Times New Roman" w:hAnsi="Times New Roman" w:eastAsia="宋体" w:cs="Times New Roman"/>
      <w:kern w:val="0"/>
      <w:sz w:val="18"/>
      <w:szCs w:val="18"/>
    </w:rPr>
  </w:style>
  <w:style w:type="paragraph" w:customStyle="1" w:styleId="273">
    <w:name w:val="标题2-1"/>
    <w:basedOn w:val="1"/>
    <w:qFormat/>
    <w:uiPriority w:val="0"/>
    <w:pPr>
      <w:widowControl w:val="0"/>
      <w:tabs>
        <w:tab w:val="left" w:pos="0"/>
      </w:tabs>
      <w:autoSpaceDE w:val="0"/>
      <w:autoSpaceDN w:val="0"/>
      <w:adjustRightInd w:val="0"/>
      <w:spacing w:beforeLines="50"/>
      <w:outlineLvl w:val="1"/>
    </w:pPr>
    <w:rPr>
      <w:rFonts w:ascii="Arial" w:hAnsi="宋体" w:cs="Arial"/>
      <w:b/>
      <w:bCs/>
      <w:color w:val="292929"/>
      <w:sz w:val="28"/>
      <w:szCs w:val="28"/>
    </w:rPr>
  </w:style>
  <w:style w:type="character" w:customStyle="1" w:styleId="274">
    <w:name w:val="正文文本 字符1"/>
    <w:basedOn w:val="48"/>
    <w:semiHidden/>
    <w:qFormat/>
    <w:uiPriority w:val="99"/>
    <w:rPr>
      <w:rFonts w:ascii="Calibri" w:hAnsi="Calibri" w:eastAsia="宋体" w:cs="Times New Roman"/>
    </w:rPr>
  </w:style>
  <w:style w:type="paragraph" w:customStyle="1" w:styleId="275">
    <w:name w:val="列出段落5"/>
    <w:basedOn w:val="1"/>
    <w:unhideWhenUsed/>
    <w:qFormat/>
    <w:uiPriority w:val="99"/>
    <w:pPr>
      <w:widowControl w:val="0"/>
      <w:ind w:firstLine="420" w:firstLineChars="200"/>
      <w:jc w:val="both"/>
    </w:pPr>
    <w:rPr>
      <w:kern w:val="2"/>
      <w:sz w:val="21"/>
    </w:rPr>
  </w:style>
  <w:style w:type="character" w:customStyle="1" w:styleId="276">
    <w:name w:val="批注主题 字符1"/>
    <w:basedOn w:val="266"/>
    <w:semiHidden/>
    <w:qFormat/>
    <w:uiPriority w:val="99"/>
    <w:rPr>
      <w:rFonts w:ascii="Calibri" w:hAnsi="Calibri" w:eastAsia="宋体" w:cs="Times New Roman"/>
      <w:b/>
      <w:bCs/>
    </w:rPr>
  </w:style>
  <w:style w:type="paragraph" w:customStyle="1" w:styleId="277">
    <w:name w:val="Normal_59"/>
    <w:qFormat/>
    <w:uiPriority w:val="0"/>
    <w:pPr>
      <w:spacing w:before="120" w:after="240"/>
      <w:jc w:val="both"/>
    </w:pPr>
    <w:rPr>
      <w:rFonts w:ascii="Times New Roman" w:hAnsi="Times New Roman" w:eastAsia="Calibri" w:cs="Times New Roman"/>
      <w:sz w:val="22"/>
      <w:szCs w:val="22"/>
      <w:lang w:val="ru-RU" w:eastAsia="en-US" w:bidi="ar-SA"/>
    </w:rPr>
  </w:style>
  <w:style w:type="character" w:customStyle="1" w:styleId="278">
    <w:name w:val="日期 字符1"/>
    <w:basedOn w:val="48"/>
    <w:semiHidden/>
    <w:qFormat/>
    <w:uiPriority w:val="99"/>
    <w:rPr>
      <w:rFonts w:ascii="Calibri" w:hAnsi="Calibri" w:eastAsia="宋体" w:cs="Times New Roman"/>
    </w:rPr>
  </w:style>
  <w:style w:type="character" w:customStyle="1" w:styleId="279">
    <w:name w:val="正文文本 3 字符1"/>
    <w:basedOn w:val="48"/>
    <w:semiHidden/>
    <w:qFormat/>
    <w:uiPriority w:val="99"/>
    <w:rPr>
      <w:rFonts w:ascii="Calibri" w:hAnsi="Calibri" w:eastAsia="宋体" w:cs="Times New Roman"/>
      <w:sz w:val="16"/>
      <w:szCs w:val="16"/>
    </w:rPr>
  </w:style>
  <w:style w:type="character" w:customStyle="1" w:styleId="280">
    <w:name w:val="文档结构图 字符1"/>
    <w:basedOn w:val="48"/>
    <w:semiHidden/>
    <w:qFormat/>
    <w:uiPriority w:val="99"/>
    <w:rPr>
      <w:rFonts w:ascii="Microsoft YaHei UI" w:hAnsi="Calibri" w:eastAsia="Microsoft YaHei UI" w:cs="Times New Roman"/>
      <w:sz w:val="18"/>
      <w:szCs w:val="18"/>
    </w:rPr>
  </w:style>
  <w:style w:type="paragraph" w:customStyle="1" w:styleId="281">
    <w:name w:val="02、首行缩进2字符正文"/>
    <w:basedOn w:val="1"/>
    <w:qFormat/>
    <w:uiPriority w:val="0"/>
    <w:pPr>
      <w:widowControl w:val="0"/>
      <w:tabs>
        <w:tab w:val="left" w:pos="0"/>
      </w:tabs>
      <w:wordWrap w:val="0"/>
      <w:topLinePunct/>
      <w:ind w:firstLine="480" w:firstLineChars="200"/>
      <w:jc w:val="both"/>
    </w:pPr>
    <w:rPr>
      <w:rFonts w:ascii="宋体" w:hAnsi="宋体"/>
      <w:kern w:val="2"/>
      <w:sz w:val="21"/>
      <w:szCs w:val="22"/>
    </w:rPr>
  </w:style>
  <w:style w:type="paragraph" w:customStyle="1" w:styleId="282">
    <w:name w:val="标书正文:  0.74 厘米"/>
    <w:basedOn w:val="1"/>
    <w:qFormat/>
    <w:uiPriority w:val="0"/>
    <w:pPr>
      <w:widowControl w:val="0"/>
      <w:snapToGrid w:val="0"/>
      <w:spacing w:line="360" w:lineRule="auto"/>
      <w:ind w:firstLine="420"/>
      <w:jc w:val="both"/>
    </w:pPr>
    <w:rPr>
      <w:kern w:val="2"/>
      <w:szCs w:val="18"/>
    </w:rPr>
  </w:style>
  <w:style w:type="paragraph" w:customStyle="1" w:styleId="283">
    <w:name w:val="(符号)五标题1.1.1"/>
    <w:basedOn w:val="1"/>
    <w:qFormat/>
    <w:uiPriority w:val="0"/>
    <w:pPr>
      <w:widowControl w:val="0"/>
      <w:tabs>
        <w:tab w:val="left" w:pos="1000"/>
        <w:tab w:val="left" w:pos="1260"/>
      </w:tabs>
      <w:spacing w:line="500" w:lineRule="exact"/>
      <w:ind w:left="1260" w:hanging="420"/>
      <w:jc w:val="both"/>
    </w:pPr>
    <w:rPr>
      <w:rFonts w:ascii="宋体" w:hAnsi="宋体" w:cs="宋体"/>
      <w:color w:val="000000"/>
      <w:kern w:val="2"/>
      <w:szCs w:val="20"/>
    </w:rPr>
  </w:style>
  <w:style w:type="character" w:customStyle="1" w:styleId="284">
    <w:name w:val="页脚 字符1"/>
    <w:basedOn w:val="48"/>
    <w:semiHidden/>
    <w:qFormat/>
    <w:uiPriority w:val="99"/>
    <w:rPr>
      <w:rFonts w:ascii="Calibri" w:hAnsi="Calibri" w:eastAsia="宋体" w:cs="Times New Roman"/>
      <w:sz w:val="18"/>
      <w:szCs w:val="18"/>
    </w:rPr>
  </w:style>
  <w:style w:type="paragraph" w:customStyle="1" w:styleId="285">
    <w:name w:val="图"/>
    <w:basedOn w:val="1"/>
    <w:qFormat/>
    <w:uiPriority w:val="0"/>
    <w:pPr>
      <w:adjustRightInd w:val="0"/>
      <w:snapToGrid w:val="0"/>
      <w:jc w:val="center"/>
    </w:pPr>
    <w:rPr>
      <w:rFonts w:ascii="宋体" w:hAnsi="宋体"/>
      <w:bCs/>
      <w:kern w:val="2"/>
      <w:sz w:val="21"/>
    </w:rPr>
  </w:style>
  <w:style w:type="character" w:customStyle="1" w:styleId="286">
    <w:name w:val="纯文本 字符1"/>
    <w:basedOn w:val="48"/>
    <w:semiHidden/>
    <w:qFormat/>
    <w:uiPriority w:val="99"/>
    <w:rPr>
      <w:rFonts w:hAnsi="Courier New" w:cs="Courier New" w:asciiTheme="minorEastAsia"/>
    </w:rPr>
  </w:style>
  <w:style w:type="paragraph" w:customStyle="1" w:styleId="287">
    <w:name w:val="无间隔1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88">
    <w:name w:val="TOC 标题1"/>
    <w:basedOn w:val="3"/>
    <w:next w:val="1"/>
    <w:qFormat/>
    <w:uiPriority w:val="0"/>
    <w:pPr>
      <w:spacing w:before="480" w:after="0" w:line="276" w:lineRule="auto"/>
      <w:jc w:val="left"/>
      <w:outlineLvl w:val="9"/>
    </w:pPr>
    <w:rPr>
      <w:rFonts w:ascii="Cambria" w:hAnsi="Cambria"/>
      <w:color w:val="365F91"/>
      <w:kern w:val="0"/>
      <w:sz w:val="28"/>
      <w:szCs w:val="28"/>
    </w:rPr>
  </w:style>
  <w:style w:type="paragraph" w:customStyle="1" w:styleId="289">
    <w:name w:val="3、“1.”正文三级标题"/>
    <w:basedOn w:val="1"/>
    <w:qFormat/>
    <w:uiPriority w:val="0"/>
    <w:pPr>
      <w:widowControl w:val="0"/>
      <w:tabs>
        <w:tab w:val="left" w:pos="0"/>
        <w:tab w:val="left" w:pos="1124"/>
      </w:tabs>
      <w:wordWrap w:val="0"/>
      <w:topLinePunct/>
      <w:ind w:left="1124" w:firstLine="803"/>
      <w:jc w:val="both"/>
    </w:pPr>
    <w:rPr>
      <w:snapToGrid w:val="0"/>
      <w:kern w:val="2"/>
      <w:sz w:val="21"/>
      <w:szCs w:val="22"/>
    </w:rPr>
  </w:style>
  <w:style w:type="paragraph" w:customStyle="1" w:styleId="290">
    <w:name w:val="zw1"/>
    <w:basedOn w:val="1"/>
    <w:qFormat/>
    <w:uiPriority w:val="0"/>
    <w:pPr>
      <w:spacing w:line="360" w:lineRule="auto"/>
      <w:ind w:firstLine="480" w:firstLineChars="200"/>
      <w:jc w:val="both"/>
    </w:pPr>
    <w:rPr>
      <w:szCs w:val="20"/>
    </w:rPr>
  </w:style>
  <w:style w:type="character" w:customStyle="1" w:styleId="291">
    <w:name w:val="页眉 字符1"/>
    <w:basedOn w:val="48"/>
    <w:semiHidden/>
    <w:qFormat/>
    <w:uiPriority w:val="99"/>
    <w:rPr>
      <w:rFonts w:ascii="Calibri" w:hAnsi="Calibri" w:eastAsia="宋体" w:cs="Times New Roman"/>
      <w:sz w:val="18"/>
      <w:szCs w:val="18"/>
    </w:rPr>
  </w:style>
  <w:style w:type="character" w:customStyle="1" w:styleId="292">
    <w:name w:val="正文文本首行缩进 字符1"/>
    <w:basedOn w:val="274"/>
    <w:semiHidden/>
    <w:qFormat/>
    <w:uiPriority w:val="99"/>
    <w:rPr>
      <w:rFonts w:ascii="Calibri" w:hAnsi="Calibri" w:eastAsia="宋体" w:cs="Times New Roman"/>
    </w:rPr>
  </w:style>
  <w:style w:type="paragraph" w:customStyle="1" w:styleId="293">
    <w:name w:val="_Style 3"/>
    <w:basedOn w:val="1"/>
    <w:qFormat/>
    <w:uiPriority w:val="34"/>
    <w:pPr>
      <w:ind w:firstLine="420" w:firstLineChars="200"/>
    </w:pPr>
  </w:style>
  <w:style w:type="paragraph" w:customStyle="1" w:styleId="294">
    <w:name w:val="1、“一、”一级标题"/>
    <w:basedOn w:val="1"/>
    <w:qFormat/>
    <w:uiPriority w:val="0"/>
    <w:pPr>
      <w:widowControl w:val="0"/>
      <w:tabs>
        <w:tab w:val="left" w:pos="0"/>
      </w:tabs>
      <w:ind w:left="972" w:hanging="420"/>
      <w:jc w:val="both"/>
      <w:outlineLvl w:val="0"/>
    </w:pPr>
    <w:rPr>
      <w:b/>
      <w:kern w:val="2"/>
      <w:sz w:val="21"/>
      <w:szCs w:val="22"/>
    </w:rPr>
  </w:style>
  <w:style w:type="paragraph" w:customStyle="1" w:styleId="295">
    <w:name w:val="样式 宋体 小四 行距: 1.5 倍行距"/>
    <w:basedOn w:val="1"/>
    <w:qFormat/>
    <w:uiPriority w:val="0"/>
    <w:pPr>
      <w:widowControl w:val="0"/>
      <w:tabs>
        <w:tab w:val="left" w:pos="5190"/>
      </w:tabs>
      <w:spacing w:before="100" w:beforeAutospacing="1" w:after="100" w:afterAutospacing="1" w:line="288" w:lineRule="auto"/>
      <w:ind w:firstLine="480"/>
      <w:jc w:val="both"/>
    </w:pPr>
    <w:rPr>
      <w:rFonts w:ascii="宋体" w:hAnsi="宋体"/>
      <w:bCs/>
      <w:kern w:val="2"/>
    </w:rPr>
  </w:style>
  <w:style w:type="paragraph" w:customStyle="1" w:styleId="296">
    <w:name w:val="样式 样式 样式 标题 2 + 宋体 五号 非加粗 黑色 + 段前: 6 磅 段后: 0 磅 行距: 单倍行距 + 段前: 12..."/>
    <w:basedOn w:val="1"/>
    <w:qFormat/>
    <w:uiPriority w:val="0"/>
    <w:pPr>
      <w:keepNext/>
      <w:keepLines/>
      <w:widowControl w:val="0"/>
      <w:tabs>
        <w:tab w:val="left" w:pos="1124"/>
      </w:tabs>
      <w:adjustRightInd w:val="0"/>
      <w:spacing w:before="240"/>
      <w:ind w:left="1266" w:hanging="420"/>
      <w:outlineLvl w:val="1"/>
    </w:pPr>
    <w:rPr>
      <w:rFonts w:ascii="宋体" w:hAnsi="宋体" w:cs="宋体"/>
      <w:color w:val="000000"/>
      <w:sz w:val="21"/>
      <w:szCs w:val="20"/>
    </w:rPr>
  </w:style>
  <w:style w:type="paragraph" w:customStyle="1" w:styleId="297">
    <w:name w:val="Char1 Char Char Char Char Char Char_0"/>
    <w:basedOn w:val="1"/>
    <w:qFormat/>
    <w:uiPriority w:val="0"/>
    <w:pPr>
      <w:widowControl w:val="0"/>
      <w:jc w:val="both"/>
    </w:pPr>
    <w:rPr>
      <w:rFonts w:ascii="Tahoma" w:hAnsi="Tahoma"/>
      <w:kern w:val="2"/>
      <w:szCs w:val="20"/>
    </w:rPr>
  </w:style>
  <w:style w:type="paragraph" w:customStyle="1" w:styleId="298">
    <w:name w:val="RFI Heading 3rd Level"/>
    <w:basedOn w:val="1"/>
    <w:qFormat/>
    <w:uiPriority w:val="0"/>
    <w:pPr>
      <w:tabs>
        <w:tab w:val="left" w:pos="720"/>
      </w:tabs>
      <w:ind w:left="720" w:hanging="720"/>
    </w:pPr>
    <w:rPr>
      <w:rFonts w:ascii="Arial (W1)" w:hAnsi="Arial (W1)"/>
      <w:color w:val="000000"/>
      <w:lang w:val="en-GB" w:eastAsia="en-US"/>
    </w:rPr>
  </w:style>
  <w:style w:type="paragraph" w:styleId="299">
    <w:name w:val="No Spacing"/>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300">
    <w:name w:val="彩色底纹 - 强调文字颜色 11"/>
    <w:qFormat/>
    <w:uiPriority w:val="0"/>
    <w:rPr>
      <w:rFonts w:ascii="Times New Roman" w:hAnsi="Times New Roman" w:eastAsia="宋体" w:cs="Times New Roman"/>
      <w:kern w:val="2"/>
      <w:sz w:val="21"/>
      <w:szCs w:val="22"/>
      <w:lang w:val="en-US" w:eastAsia="zh-CN" w:bidi="ar-SA"/>
    </w:rPr>
  </w:style>
  <w:style w:type="paragraph" w:customStyle="1" w:styleId="301">
    <w:name w:val="Char1 Char Char Char Char Char Char1"/>
    <w:basedOn w:val="1"/>
    <w:qFormat/>
    <w:uiPriority w:val="0"/>
    <w:pPr>
      <w:widowControl w:val="0"/>
      <w:jc w:val="both"/>
    </w:pPr>
    <w:rPr>
      <w:rFonts w:ascii="Tahoma" w:hAnsi="Tahoma"/>
      <w:kern w:val="2"/>
      <w:szCs w:val="20"/>
    </w:rPr>
  </w:style>
  <w:style w:type="paragraph" w:customStyle="1" w:styleId="302">
    <w:name w:val="默认段落字体 Para Char"/>
    <w:basedOn w:val="1"/>
    <w:qFormat/>
    <w:uiPriority w:val="0"/>
    <w:pPr>
      <w:widowControl w:val="0"/>
      <w:jc w:val="both"/>
    </w:pPr>
    <w:rPr>
      <w:rFonts w:ascii="Tahoma" w:hAnsi="Tahoma"/>
      <w:kern w:val="2"/>
      <w:szCs w:val="20"/>
    </w:rPr>
  </w:style>
  <w:style w:type="paragraph" w:customStyle="1" w:styleId="303">
    <w:name w:val="样式 标题 2H2第一章 标题 2Heading 2 HiddenHeading 2 CCBSheading 2h2..."/>
    <w:basedOn w:val="4"/>
    <w:qFormat/>
    <w:uiPriority w:val="0"/>
    <w:pPr>
      <w:numPr>
        <w:ilvl w:val="0"/>
        <w:numId w:val="0"/>
      </w:numPr>
      <w:tabs>
        <w:tab w:val="left" w:pos="-2493"/>
        <w:tab w:val="clear" w:pos="426"/>
        <w:tab w:val="clear" w:pos="567"/>
      </w:tabs>
      <w:spacing w:before="260" w:after="260"/>
      <w:ind w:left="567" w:hanging="567"/>
      <w:jc w:val="left"/>
    </w:pPr>
    <w:rPr>
      <w:iCs w:val="0"/>
      <w:szCs w:val="20"/>
    </w:rPr>
  </w:style>
  <w:style w:type="paragraph" w:customStyle="1" w:styleId="304">
    <w:name w:val="列出段落11"/>
    <w:basedOn w:val="1"/>
    <w:qFormat/>
    <w:uiPriority w:val="99"/>
    <w:pPr>
      <w:widowControl w:val="0"/>
      <w:ind w:firstLine="420" w:firstLineChars="200"/>
      <w:jc w:val="both"/>
    </w:pPr>
    <w:rPr>
      <w:kern w:val="2"/>
      <w:sz w:val="21"/>
      <w:szCs w:val="22"/>
    </w:rPr>
  </w:style>
  <w:style w:type="paragraph" w:customStyle="1" w:styleId="305">
    <w:name w:val="修订2"/>
    <w:unhideWhenUsed/>
    <w:qFormat/>
    <w:uiPriority w:val="99"/>
    <w:rPr>
      <w:rFonts w:ascii="Times New Roman" w:hAnsi="Times New Roman" w:eastAsia="宋体" w:cs="Times New Roman"/>
      <w:kern w:val="2"/>
      <w:sz w:val="21"/>
      <w:szCs w:val="24"/>
      <w:lang w:val="en-US" w:eastAsia="zh-CN" w:bidi="ar-SA"/>
    </w:rPr>
  </w:style>
  <w:style w:type="paragraph" w:customStyle="1" w:styleId="306">
    <w:name w:val="样式 标题 3 + (西文) 仿宋_GB2312 (中文) 仿宋_GB2312 四号"/>
    <w:basedOn w:val="5"/>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olor w:val="auto"/>
      <w:kern w:val="0"/>
    </w:rPr>
  </w:style>
  <w:style w:type="paragraph" w:customStyle="1" w:styleId="307">
    <w:name w:val="样式 小四2"/>
    <w:basedOn w:val="1"/>
    <w:qFormat/>
    <w:uiPriority w:val="0"/>
    <w:pPr>
      <w:widowControl w:val="0"/>
      <w:jc w:val="both"/>
    </w:pPr>
    <w:rPr>
      <w:rFonts w:ascii="宋体" w:hAnsi="宋体"/>
      <w:kern w:val="2"/>
    </w:rPr>
  </w:style>
  <w:style w:type="paragraph" w:customStyle="1" w:styleId="308">
    <w:name w:val="0、正文"/>
    <w:basedOn w:val="1"/>
    <w:qFormat/>
    <w:uiPriority w:val="0"/>
    <w:pPr>
      <w:widowControl w:val="0"/>
      <w:tabs>
        <w:tab w:val="left" w:pos="0"/>
      </w:tabs>
      <w:wordWrap w:val="0"/>
      <w:topLinePunct/>
      <w:jc w:val="both"/>
    </w:pPr>
    <w:rPr>
      <w:snapToGrid w:val="0"/>
      <w:kern w:val="2"/>
      <w:sz w:val="21"/>
      <w:szCs w:val="22"/>
    </w:rPr>
  </w:style>
  <w:style w:type="paragraph" w:customStyle="1" w:styleId="309">
    <w:name w:val="样式 小四 首行缩进:  0.74 厘米"/>
    <w:basedOn w:val="1"/>
    <w:qFormat/>
    <w:uiPriority w:val="0"/>
    <w:pPr>
      <w:widowControl w:val="0"/>
      <w:spacing w:before="100" w:beforeAutospacing="1" w:after="100" w:afterAutospacing="1" w:line="300" w:lineRule="auto"/>
      <w:ind w:firstLine="420" w:firstLineChars="175"/>
      <w:jc w:val="both"/>
    </w:pPr>
    <w:rPr>
      <w:rFonts w:ascii="宋体" w:hAnsi="宋体"/>
      <w:kern w:val="2"/>
    </w:rPr>
  </w:style>
  <w:style w:type="paragraph" w:customStyle="1" w:styleId="310">
    <w:name w:val="正文2"/>
    <w:qFormat/>
    <w:uiPriority w:val="0"/>
    <w:pPr>
      <w:widowControl w:val="0"/>
      <w:adjustRightInd w:val="0"/>
      <w:spacing w:line="312" w:lineRule="atLeast"/>
      <w:jc w:val="both"/>
      <w:textAlignment w:val="baseline"/>
    </w:pPr>
    <w:rPr>
      <w:rFonts w:ascii="宋体" w:hAnsi="Times New Roman" w:eastAsia="宋体" w:cs="Times New Roman"/>
      <w:sz w:val="34"/>
      <w:szCs w:val="22"/>
      <w:lang w:val="en-US" w:eastAsia="zh-CN" w:bidi="ar-SA"/>
    </w:rPr>
  </w:style>
  <w:style w:type="paragraph" w:customStyle="1" w:styleId="311">
    <w:name w:val="样式 行距: 1.5 倍行距 左  3.42 字符"/>
    <w:basedOn w:val="1"/>
    <w:qFormat/>
    <w:uiPriority w:val="0"/>
    <w:pPr>
      <w:widowControl w:val="0"/>
      <w:spacing w:line="360" w:lineRule="auto"/>
      <w:ind w:left="200" w:leftChars="200" w:firstLine="200" w:firstLineChars="200"/>
      <w:jc w:val="both"/>
    </w:pPr>
    <w:rPr>
      <w:rFonts w:cs="宋体"/>
      <w:kern w:val="2"/>
      <w:sz w:val="21"/>
      <w:szCs w:val="20"/>
    </w:rPr>
  </w:style>
  <w:style w:type="paragraph" w:customStyle="1" w:styleId="312">
    <w:name w:val="表格"/>
    <w:basedOn w:val="1"/>
    <w:qFormat/>
    <w:uiPriority w:val="99"/>
    <w:pPr>
      <w:widowControl w:val="0"/>
      <w:spacing w:line="400" w:lineRule="exact"/>
      <w:jc w:val="both"/>
    </w:pPr>
    <w:rPr>
      <w:kern w:val="2"/>
    </w:rPr>
  </w:style>
  <w:style w:type="paragraph" w:customStyle="1" w:styleId="313">
    <w:name w:val="00、封面正文(与其他内容无关的格式)"/>
    <w:basedOn w:val="1"/>
    <w:qFormat/>
    <w:uiPriority w:val="0"/>
    <w:pPr>
      <w:widowControl w:val="0"/>
      <w:tabs>
        <w:tab w:val="left" w:pos="0"/>
      </w:tabs>
      <w:jc w:val="both"/>
    </w:pPr>
    <w:rPr>
      <w:rFonts w:ascii="宋体" w:hAnsi="宋体"/>
      <w:kern w:val="2"/>
      <w:sz w:val="21"/>
      <w:szCs w:val="22"/>
    </w:rPr>
  </w:style>
  <w:style w:type="paragraph" w:customStyle="1" w:styleId="314">
    <w:name w:val="9、表格内正文"/>
    <w:basedOn w:val="1"/>
    <w:qFormat/>
    <w:uiPriority w:val="0"/>
    <w:pPr>
      <w:widowControl w:val="0"/>
      <w:tabs>
        <w:tab w:val="left" w:pos="0"/>
      </w:tabs>
      <w:wordWrap w:val="0"/>
      <w:topLinePunct/>
      <w:spacing w:line="360" w:lineRule="exact"/>
      <w:jc w:val="both"/>
    </w:pPr>
    <w:rPr>
      <w:snapToGrid w:val="0"/>
      <w:kern w:val="2"/>
      <w:sz w:val="21"/>
      <w:szCs w:val="22"/>
    </w:rPr>
  </w:style>
  <w:style w:type="paragraph" w:customStyle="1" w:styleId="315">
    <w:name w:val="样式 标题 5 + 倾斜"/>
    <w:basedOn w:val="7"/>
    <w:qFormat/>
    <w:uiPriority w:val="0"/>
    <w:pPr>
      <w:keepNext w:val="0"/>
      <w:keepLines w:val="0"/>
      <w:widowControl/>
      <w:tabs>
        <w:tab w:val="left" w:pos="992"/>
        <w:tab w:val="left" w:pos="1560"/>
        <w:tab w:val="clear" w:pos="709"/>
      </w:tabs>
      <w:overflowPunct w:val="0"/>
      <w:snapToGrid w:val="0"/>
      <w:spacing w:before="100" w:beforeAutospacing="1" w:after="100" w:afterAutospacing="1" w:line="288" w:lineRule="auto"/>
      <w:jc w:val="left"/>
    </w:pPr>
    <w:rPr>
      <w:rFonts w:ascii="Arial" w:hAnsi="Arial"/>
      <w:bCs w:val="0"/>
      <w:iCs/>
      <w:color w:val="000000"/>
    </w:rPr>
  </w:style>
  <w:style w:type="paragraph" w:customStyle="1" w:styleId="316">
    <w:name w:val="列出段落4"/>
    <w:basedOn w:val="1"/>
    <w:qFormat/>
    <w:uiPriority w:val="0"/>
    <w:pPr>
      <w:widowControl w:val="0"/>
      <w:spacing w:after="200" w:line="276" w:lineRule="auto"/>
      <w:ind w:firstLine="420" w:firstLineChars="200"/>
      <w:jc w:val="both"/>
    </w:pPr>
    <w:rPr>
      <w:kern w:val="2"/>
      <w:sz w:val="21"/>
    </w:rPr>
  </w:style>
  <w:style w:type="paragraph" w:customStyle="1" w:styleId="317">
    <w:name w:val="4、“1.1”正文四级标题"/>
    <w:basedOn w:val="1"/>
    <w:qFormat/>
    <w:uiPriority w:val="0"/>
    <w:pPr>
      <w:widowControl w:val="0"/>
      <w:tabs>
        <w:tab w:val="left" w:pos="0"/>
        <w:tab w:val="left" w:pos="1544"/>
      </w:tabs>
      <w:ind w:left="1544" w:firstLine="803"/>
      <w:jc w:val="both"/>
    </w:pPr>
    <w:rPr>
      <w:kern w:val="2"/>
      <w:sz w:val="21"/>
      <w:szCs w:val="22"/>
    </w:rPr>
  </w:style>
  <w:style w:type="paragraph" w:customStyle="1" w:styleId="318">
    <w:name w:val="正文-缩进"/>
    <w:basedOn w:val="1"/>
    <w:qFormat/>
    <w:uiPriority w:val="0"/>
    <w:pPr>
      <w:widowControl w:val="0"/>
      <w:spacing w:after="200" w:line="480" w:lineRule="auto"/>
      <w:ind w:firstLine="200" w:firstLineChars="200"/>
      <w:jc w:val="both"/>
    </w:pPr>
    <w:rPr>
      <w:rFonts w:ascii="宋体" w:hAnsi="宋体"/>
      <w:kern w:val="2"/>
      <w:sz w:val="21"/>
      <w:szCs w:val="22"/>
    </w:rPr>
  </w:style>
  <w:style w:type="paragraph" w:customStyle="1" w:styleId="319">
    <w:name w:val="01、普通正文"/>
    <w:basedOn w:val="1"/>
    <w:qFormat/>
    <w:uiPriority w:val="0"/>
    <w:pPr>
      <w:widowControl w:val="0"/>
      <w:tabs>
        <w:tab w:val="left" w:pos="0"/>
      </w:tabs>
      <w:wordWrap w:val="0"/>
      <w:topLinePunct/>
      <w:spacing w:line="440" w:lineRule="exact"/>
      <w:ind w:firstLine="723" w:firstLineChars="200"/>
      <w:jc w:val="both"/>
    </w:pPr>
    <w:rPr>
      <w:rFonts w:ascii="宋体" w:hAnsi="宋体"/>
      <w:snapToGrid w:val="0"/>
      <w:kern w:val="2"/>
      <w:szCs w:val="22"/>
    </w:rPr>
  </w:style>
  <w:style w:type="paragraph" w:customStyle="1" w:styleId="320">
    <w:name w:val="05、“(一)”正文三级标题"/>
    <w:basedOn w:val="1"/>
    <w:qFormat/>
    <w:uiPriority w:val="0"/>
    <w:pPr>
      <w:widowControl w:val="0"/>
      <w:tabs>
        <w:tab w:val="left" w:pos="0"/>
      </w:tabs>
      <w:wordWrap w:val="0"/>
      <w:topLinePunct/>
      <w:ind w:left="1693" w:firstLine="803" w:firstLineChars="200"/>
      <w:jc w:val="both"/>
    </w:pPr>
    <w:rPr>
      <w:rFonts w:ascii="宋体" w:hAnsi="宋体"/>
      <w:kern w:val="2"/>
      <w:sz w:val="21"/>
      <w:szCs w:val="22"/>
    </w:rPr>
  </w:style>
  <w:style w:type="paragraph" w:customStyle="1" w:styleId="321">
    <w:name w:val="列表段落1"/>
    <w:basedOn w:val="1"/>
    <w:qFormat/>
    <w:uiPriority w:val="34"/>
    <w:pPr>
      <w:widowControl w:val="0"/>
      <w:tabs>
        <w:tab w:val="left" w:pos="0"/>
      </w:tabs>
      <w:ind w:firstLine="420"/>
      <w:jc w:val="both"/>
    </w:pPr>
    <w:rPr>
      <w:kern w:val="2"/>
      <w:sz w:val="21"/>
      <w:szCs w:val="22"/>
    </w:rPr>
  </w:style>
  <w:style w:type="table" w:customStyle="1" w:styleId="322">
    <w:name w:val="网格型1"/>
    <w:basedOn w:val="4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23">
    <w:name w:val="标题 5 + 首行缩进:"/>
    <w:basedOn w:val="7"/>
    <w:next w:val="19"/>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324">
    <w:name w:val="样式 首行缩进:"/>
    <w:basedOn w:val="1"/>
    <w:qFormat/>
    <w:uiPriority w:val="0"/>
    <w:pPr>
      <w:widowControl w:val="0"/>
      <w:ind w:firstLine="420" w:firstLineChars="200"/>
      <w:jc w:val="both"/>
    </w:pPr>
    <w:rPr>
      <w:rFonts w:cs="宋体"/>
      <w:kern w:val="2"/>
      <w:sz w:val="21"/>
      <w:szCs w:val="20"/>
    </w:rPr>
  </w:style>
  <w:style w:type="paragraph" w:customStyle="1" w:styleId="325">
    <w:name w:val="样式 仿宋_GB2312 小四 左侧:  0.63"/>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326">
    <w:name w:val="彩色列表 - 强调文字颜色"/>
    <w:basedOn w:val="1"/>
    <w:qFormat/>
    <w:uiPriority w:val="99"/>
    <w:pPr>
      <w:widowControl w:val="0"/>
      <w:ind w:firstLine="420" w:firstLineChars="200"/>
      <w:jc w:val="both"/>
    </w:pPr>
    <w:rPr>
      <w:rFonts w:ascii="Calibri" w:hAnsi="Calibri"/>
      <w:kern w:val="2"/>
      <w:sz w:val="21"/>
      <w:szCs w:val="22"/>
    </w:rPr>
  </w:style>
  <w:style w:type="character" w:customStyle="1" w:styleId="327">
    <w:name w:val="qowt-font2"/>
    <w:basedOn w:val="48"/>
    <w:qFormat/>
    <w:uiPriority w:val="0"/>
  </w:style>
  <w:style w:type="paragraph" w:customStyle="1" w:styleId="328">
    <w:name w:val="Plain Text1"/>
    <w:basedOn w:val="1"/>
    <w:qFormat/>
    <w:uiPriority w:val="99"/>
    <w:pPr>
      <w:widowControl w:val="0"/>
      <w:adjustRightInd w:val="0"/>
      <w:textAlignment w:val="baseline"/>
    </w:pPr>
    <w:rPr>
      <w:rFonts w:ascii="宋体" w:hAnsi="Courier New"/>
      <w:kern w:val="2"/>
      <w:szCs w:val="20"/>
    </w:rPr>
  </w:style>
  <w:style w:type="paragraph" w:customStyle="1" w:styleId="329">
    <w:name w:val="GW-正文"/>
    <w:basedOn w:val="1"/>
    <w:link w:val="330"/>
    <w:qFormat/>
    <w:uiPriority w:val="99"/>
    <w:pPr>
      <w:widowControl w:val="0"/>
      <w:spacing w:line="360" w:lineRule="auto"/>
      <w:ind w:firstLine="200" w:firstLineChars="200"/>
      <w:jc w:val="both"/>
    </w:pPr>
    <w:rPr>
      <w:rFonts w:eastAsia="仿宋_GB2312"/>
      <w:kern w:val="2"/>
    </w:rPr>
  </w:style>
  <w:style w:type="character" w:customStyle="1" w:styleId="330">
    <w:name w:val="GW-正文 Char"/>
    <w:link w:val="329"/>
    <w:qFormat/>
    <w:uiPriority w:val="99"/>
    <w:rPr>
      <w:rFonts w:ascii="Times New Roman" w:hAnsi="Times New Roman" w:eastAsia="仿宋_GB2312" w:cs="Times New Roman"/>
      <w:sz w:val="24"/>
      <w:szCs w:val="24"/>
    </w:rPr>
  </w:style>
  <w:style w:type="paragraph" w:customStyle="1" w:styleId="331">
    <w:name w:val="Char Char Char Char Char Char Char Char Char Char Char Char Char Char1 Char Char Char Char"/>
    <w:basedOn w:val="1"/>
    <w:qFormat/>
    <w:uiPriority w:val="99"/>
    <w:pPr>
      <w:widowControl w:val="0"/>
      <w:jc w:val="both"/>
    </w:pPr>
    <w:rPr>
      <w:kern w:val="2"/>
      <w:sz w:val="21"/>
      <w:szCs w:val="21"/>
    </w:rPr>
  </w:style>
  <w:style w:type="character" w:customStyle="1" w:styleId="332">
    <w:name w:val="font31"/>
    <w:basedOn w:val="48"/>
    <w:qFormat/>
    <w:uiPriority w:val="99"/>
    <w:rPr>
      <w:rFonts w:hint="eastAsia" w:ascii="宋体" w:hAnsi="宋体" w:eastAsia="宋体" w:cs="宋体"/>
      <w:color w:val="000000"/>
      <w:sz w:val="21"/>
      <w:szCs w:val="21"/>
      <w:u w:val="none"/>
    </w:rPr>
  </w:style>
  <w:style w:type="character" w:customStyle="1" w:styleId="333">
    <w:name w:val="无间距字符"/>
    <w:link w:val="334"/>
    <w:qFormat/>
    <w:uiPriority w:val="99"/>
    <w:rPr>
      <w:rFonts w:ascii="Calibri" w:hAnsi="Calibri"/>
      <w:sz w:val="22"/>
    </w:rPr>
  </w:style>
  <w:style w:type="paragraph" w:customStyle="1" w:styleId="334">
    <w:name w:val="无间距"/>
    <w:link w:val="333"/>
    <w:qFormat/>
    <w:uiPriority w:val="99"/>
    <w:rPr>
      <w:rFonts w:ascii="Calibri" w:hAnsi="Calibri" w:eastAsiaTheme="minorEastAsia" w:cstheme="minorBidi"/>
      <w:kern w:val="2"/>
      <w:sz w:val="22"/>
      <w:szCs w:val="22"/>
      <w:lang w:val="en-US" w:eastAsia="zh-CN" w:bidi="ar-SA"/>
    </w:rPr>
  </w:style>
  <w:style w:type="character" w:customStyle="1" w:styleId="335">
    <w:name w:val="tdrownotice1"/>
    <w:qFormat/>
    <w:uiPriority w:val="99"/>
    <w:rPr>
      <w:sz w:val="22"/>
    </w:rPr>
  </w:style>
  <w:style w:type="paragraph" w:customStyle="1" w:styleId="336">
    <w:name w:val="样式 标题 2 + Times New Roman 四号 非加粗 段前: 5 磅 段后: 0 磅 行距: 固定值 20..."/>
    <w:basedOn w:val="4"/>
    <w:qFormat/>
    <w:uiPriority w:val="99"/>
    <w:pPr>
      <w:numPr>
        <w:ilvl w:val="0"/>
        <w:numId w:val="0"/>
      </w:numPr>
      <w:tabs>
        <w:tab w:val="clear" w:pos="426"/>
        <w:tab w:val="clear" w:pos="567"/>
      </w:tabs>
      <w:spacing w:before="100" w:line="400" w:lineRule="exact"/>
    </w:pPr>
    <w:rPr>
      <w:rFonts w:ascii="Times New Roman" w:hAnsi="Times New Roman" w:eastAsia="黑体"/>
      <w:b w:val="0"/>
      <w:bCs w:val="0"/>
      <w:iCs w:val="0"/>
      <w:kern w:val="2"/>
      <w:szCs w:val="20"/>
    </w:rPr>
  </w:style>
  <w:style w:type="paragraph" w:customStyle="1" w:styleId="337">
    <w:name w:val="样式 首行缩进:  2 字符1"/>
    <w:basedOn w:val="1"/>
    <w:qFormat/>
    <w:uiPriority w:val="99"/>
    <w:pPr>
      <w:widowControl w:val="0"/>
      <w:spacing w:line="400" w:lineRule="exact"/>
      <w:ind w:firstLine="200" w:firstLineChars="200"/>
      <w:jc w:val="both"/>
    </w:pPr>
    <w:rPr>
      <w:kern w:val="2"/>
      <w:szCs w:val="20"/>
    </w:rPr>
  </w:style>
  <w:style w:type="paragraph" w:customStyle="1" w:styleId="338">
    <w:name w:val="bf.1"/>
    <w:basedOn w:val="13"/>
    <w:qFormat/>
    <w:uiPriority w:val="99"/>
    <w:pPr>
      <w:autoSpaceDE w:val="0"/>
      <w:autoSpaceDN w:val="0"/>
      <w:adjustRightInd w:val="0"/>
      <w:spacing w:before="50" w:after="100" w:line="500" w:lineRule="exact"/>
      <w:ind w:firstLine="0" w:firstLineChars="0"/>
    </w:pPr>
    <w:rPr>
      <w:rFonts w:ascii="仿宋_GB2312" w:hAnsi="宋体" w:eastAsia="仿宋_GB2312" w:cs="Times New Roman"/>
      <w:color w:val="000000"/>
      <w:sz w:val="24"/>
      <w:szCs w:val="20"/>
    </w:rPr>
  </w:style>
  <w:style w:type="paragraph" w:customStyle="1" w:styleId="339">
    <w:name w:val="第一章"/>
    <w:basedOn w:val="1"/>
    <w:next w:val="1"/>
    <w:qFormat/>
    <w:uiPriority w:val="99"/>
    <w:pPr>
      <w:widowControl w:val="0"/>
      <w:tabs>
        <w:tab w:val="left" w:pos="0"/>
      </w:tabs>
      <w:spacing w:line="360" w:lineRule="auto"/>
      <w:ind w:hanging="500" w:hangingChars="500"/>
      <w:jc w:val="both"/>
    </w:pPr>
    <w:rPr>
      <w:rFonts w:eastAsia="黑体"/>
      <w:kern w:val="2"/>
      <w:sz w:val="44"/>
      <w:szCs w:val="20"/>
    </w:rPr>
  </w:style>
  <w:style w:type="paragraph" w:customStyle="1" w:styleId="340">
    <w:name w:val="blockquote"/>
    <w:basedOn w:val="1"/>
    <w:qFormat/>
    <w:uiPriority w:val="99"/>
    <w:pPr>
      <w:spacing w:before="100" w:beforeAutospacing="1" w:after="100" w:afterAutospacing="1"/>
      <w:jc w:val="both"/>
    </w:pPr>
    <w:rPr>
      <w:rFonts w:ascii="宋体" w:hAnsi="宋体"/>
      <w:szCs w:val="20"/>
    </w:rPr>
  </w:style>
  <w:style w:type="paragraph" w:customStyle="1" w:styleId="341">
    <w:name w:val="Char Char1 Char"/>
    <w:basedOn w:val="1"/>
    <w:qFormat/>
    <w:uiPriority w:val="99"/>
    <w:pPr>
      <w:widowControl w:val="0"/>
      <w:jc w:val="both"/>
    </w:pPr>
    <w:rPr>
      <w:kern w:val="2"/>
      <w:sz w:val="21"/>
      <w:szCs w:val="20"/>
    </w:rPr>
  </w:style>
  <w:style w:type="paragraph" w:customStyle="1" w:styleId="342">
    <w:name w:val="Blockquote"/>
    <w:basedOn w:val="1"/>
    <w:qFormat/>
    <w:uiPriority w:val="99"/>
    <w:pPr>
      <w:widowControl w:val="0"/>
      <w:autoSpaceDE w:val="0"/>
      <w:autoSpaceDN w:val="0"/>
      <w:adjustRightInd w:val="0"/>
      <w:spacing w:before="100" w:after="100"/>
      <w:ind w:left="360"/>
      <w:jc w:val="both"/>
    </w:pPr>
    <w:rPr>
      <w:szCs w:val="20"/>
    </w:rPr>
  </w:style>
  <w:style w:type="character" w:customStyle="1" w:styleId="343">
    <w:name w:val="明显引用 字符"/>
    <w:link w:val="344"/>
    <w:qFormat/>
    <w:uiPriority w:val="99"/>
    <w:rPr>
      <w:b/>
      <w:bCs/>
      <w:i/>
      <w:iCs/>
      <w:color w:val="4F81BD"/>
    </w:rPr>
  </w:style>
  <w:style w:type="paragraph" w:styleId="344">
    <w:name w:val="Intense Quote"/>
    <w:basedOn w:val="1"/>
    <w:next w:val="1"/>
    <w:link w:val="343"/>
    <w:qFormat/>
    <w:uiPriority w:val="99"/>
    <w:pPr>
      <w:widowControl w:val="0"/>
      <w:pBdr>
        <w:bottom w:val="single" w:color="4F81BD" w:sz="4" w:space="4"/>
      </w:pBdr>
      <w:spacing w:before="200" w:after="280"/>
      <w:ind w:left="936" w:right="936"/>
      <w:jc w:val="both"/>
    </w:pPr>
    <w:rPr>
      <w:rFonts w:asciiTheme="minorHAnsi" w:hAnsiTheme="minorHAnsi" w:eastAsiaTheme="minorEastAsia" w:cstheme="minorBidi"/>
      <w:b/>
      <w:bCs/>
      <w:i/>
      <w:iCs/>
      <w:color w:val="4F81BD"/>
      <w:kern w:val="2"/>
      <w:sz w:val="21"/>
      <w:szCs w:val="22"/>
    </w:rPr>
  </w:style>
  <w:style w:type="character" w:customStyle="1" w:styleId="345">
    <w:name w:val="不明显强调1"/>
    <w:qFormat/>
    <w:uiPriority w:val="0"/>
    <w:rPr>
      <w:i/>
      <w:iCs/>
      <w:color w:val="808080"/>
    </w:rPr>
  </w:style>
  <w:style w:type="character" w:customStyle="1" w:styleId="346">
    <w:name w:val="标题4 Char Char"/>
    <w:qFormat/>
    <w:uiPriority w:val="99"/>
    <w:rPr>
      <w:rFonts w:ascii="Arial" w:hAnsi="Arial"/>
      <w:b/>
      <w:bCs/>
      <w:sz w:val="24"/>
      <w:szCs w:val="32"/>
    </w:rPr>
  </w:style>
  <w:style w:type="character" w:customStyle="1" w:styleId="347">
    <w:name w:val="标题5 Char Char"/>
    <w:link w:val="348"/>
    <w:qFormat/>
    <w:uiPriority w:val="99"/>
    <w:rPr>
      <w:rFonts w:ascii="Arial" w:hAnsi="Arial"/>
      <w:b/>
      <w:bCs/>
      <w:sz w:val="24"/>
      <w:szCs w:val="32"/>
    </w:rPr>
  </w:style>
  <w:style w:type="paragraph" w:customStyle="1" w:styleId="348">
    <w:name w:val="标题5"/>
    <w:basedOn w:val="5"/>
    <w:link w:val="347"/>
    <w:qFormat/>
    <w:uiPriority w:val="99"/>
    <w:pPr>
      <w:numPr>
        <w:ilvl w:val="0"/>
        <w:numId w:val="0"/>
      </w:numPr>
      <w:spacing w:before="260" w:after="260" w:line="413" w:lineRule="auto"/>
    </w:pPr>
    <w:rPr>
      <w:rFonts w:ascii="Arial" w:hAnsi="Arial" w:eastAsiaTheme="minorEastAsia" w:cstheme="minorBidi"/>
      <w:color w:val="auto"/>
      <w:sz w:val="24"/>
      <w:szCs w:val="32"/>
    </w:rPr>
  </w:style>
  <w:style w:type="character" w:customStyle="1" w:styleId="349">
    <w:name w:val="明显参考1"/>
    <w:qFormat/>
    <w:uiPriority w:val="0"/>
    <w:rPr>
      <w:b/>
      <w:bCs/>
      <w:smallCaps/>
      <w:color w:val="C0504D"/>
      <w:spacing w:val="5"/>
      <w:u w:val="single"/>
    </w:rPr>
  </w:style>
  <w:style w:type="character" w:customStyle="1" w:styleId="350">
    <w:name w:val="书籍标题1"/>
    <w:qFormat/>
    <w:uiPriority w:val="0"/>
    <w:rPr>
      <w:b/>
      <w:bCs/>
      <w:smallCaps/>
      <w:spacing w:val="5"/>
    </w:rPr>
  </w:style>
  <w:style w:type="character" w:customStyle="1" w:styleId="351">
    <w:name w:val="引用 字符"/>
    <w:link w:val="352"/>
    <w:qFormat/>
    <w:uiPriority w:val="99"/>
    <w:rPr>
      <w:i/>
      <w:iCs/>
      <w:color w:val="000000"/>
    </w:rPr>
  </w:style>
  <w:style w:type="paragraph" w:styleId="352">
    <w:name w:val="Quote"/>
    <w:basedOn w:val="1"/>
    <w:next w:val="1"/>
    <w:link w:val="351"/>
    <w:qFormat/>
    <w:uiPriority w:val="99"/>
    <w:pPr>
      <w:widowControl w:val="0"/>
      <w:jc w:val="both"/>
    </w:pPr>
    <w:rPr>
      <w:rFonts w:asciiTheme="minorHAnsi" w:hAnsiTheme="minorHAnsi" w:eastAsiaTheme="minorEastAsia" w:cstheme="minorBidi"/>
      <w:i/>
      <w:iCs/>
      <w:color w:val="000000"/>
      <w:kern w:val="2"/>
      <w:sz w:val="21"/>
      <w:szCs w:val="22"/>
    </w:rPr>
  </w:style>
  <w:style w:type="character" w:customStyle="1" w:styleId="353">
    <w:name w:val="明显强调1"/>
    <w:qFormat/>
    <w:uiPriority w:val="0"/>
    <w:rPr>
      <w:b/>
      <w:bCs/>
      <w:i/>
      <w:iCs/>
      <w:color w:val="4F81BD"/>
    </w:rPr>
  </w:style>
  <w:style w:type="character" w:customStyle="1" w:styleId="354">
    <w:name w:val="textcontents"/>
    <w:qFormat/>
    <w:uiPriority w:val="99"/>
    <w:rPr>
      <w:rFonts w:cs="Times New Roman"/>
    </w:rPr>
  </w:style>
  <w:style w:type="character" w:customStyle="1" w:styleId="355">
    <w:name w:val="不明显参考1"/>
    <w:qFormat/>
    <w:uiPriority w:val="0"/>
    <w:rPr>
      <w:smallCaps/>
      <w:color w:val="C0504D"/>
      <w:u w:val="single"/>
    </w:rPr>
  </w:style>
  <w:style w:type="character" w:customStyle="1" w:styleId="356">
    <w:name w:val="批注文字 Char Char"/>
    <w:qFormat/>
    <w:uiPriority w:val="99"/>
    <w:rPr>
      <w:rFonts w:ascii="宋体" w:hAnsi="Times New Roman" w:eastAsia="宋体" w:cs="Times New Roman"/>
      <w:sz w:val="28"/>
      <w:szCs w:val="20"/>
    </w:rPr>
  </w:style>
  <w:style w:type="character" w:customStyle="1" w:styleId="357">
    <w:name w:val="批注框文本 Char2"/>
    <w:semiHidden/>
    <w:qFormat/>
    <w:uiPriority w:val="99"/>
    <w:rPr>
      <w:kern w:val="2"/>
      <w:sz w:val="18"/>
      <w:szCs w:val="18"/>
    </w:rPr>
  </w:style>
  <w:style w:type="character" w:customStyle="1" w:styleId="358">
    <w:name w:val="批注主题 Char2"/>
    <w:semiHidden/>
    <w:qFormat/>
    <w:uiPriority w:val="99"/>
    <w:rPr>
      <w:b/>
      <w:bCs/>
      <w:kern w:val="2"/>
      <w:sz w:val="21"/>
      <w:szCs w:val="22"/>
    </w:rPr>
  </w:style>
  <w:style w:type="character" w:customStyle="1" w:styleId="359">
    <w:name w:val="文档结构图 Char2"/>
    <w:semiHidden/>
    <w:qFormat/>
    <w:uiPriority w:val="99"/>
    <w:rPr>
      <w:rFonts w:ascii="宋体"/>
      <w:kern w:val="2"/>
      <w:sz w:val="18"/>
      <w:szCs w:val="18"/>
    </w:rPr>
  </w:style>
  <w:style w:type="character" w:customStyle="1" w:styleId="360">
    <w:name w:val="日期 Char2"/>
    <w:semiHidden/>
    <w:qFormat/>
    <w:uiPriority w:val="99"/>
    <w:rPr>
      <w:kern w:val="2"/>
      <w:sz w:val="21"/>
      <w:szCs w:val="22"/>
    </w:rPr>
  </w:style>
  <w:style w:type="paragraph" w:customStyle="1" w:styleId="361">
    <w:name w:val="TOC 标题2"/>
    <w:basedOn w:val="3"/>
    <w:next w:val="1"/>
    <w:qFormat/>
    <w:uiPriority w:val="0"/>
    <w:pPr>
      <w:widowControl w:val="0"/>
      <w:spacing w:line="576" w:lineRule="auto"/>
      <w:jc w:val="both"/>
      <w:outlineLvl w:val="9"/>
    </w:pPr>
    <w:rPr>
      <w:rFonts w:ascii="Calibri" w:hAnsi="Calibri"/>
      <w:sz w:val="44"/>
      <w:szCs w:val="44"/>
    </w:rPr>
  </w:style>
  <w:style w:type="character" w:customStyle="1" w:styleId="362">
    <w:name w:val="明显引用 字符1"/>
    <w:basedOn w:val="48"/>
    <w:qFormat/>
    <w:uiPriority w:val="30"/>
    <w:rPr>
      <w:rFonts w:ascii="Times New Roman" w:hAnsi="Times New Roman" w:eastAsia="宋体" w:cs="Times New Roman"/>
      <w:i/>
      <w:iCs/>
      <w:color w:val="4F81BD" w:themeColor="accent1"/>
      <w:kern w:val="0"/>
      <w:sz w:val="24"/>
      <w:szCs w:val="24"/>
      <w14:textFill>
        <w14:solidFill>
          <w14:schemeClr w14:val="accent1"/>
        </w14:solidFill>
      </w14:textFill>
    </w:rPr>
  </w:style>
  <w:style w:type="character" w:customStyle="1" w:styleId="363">
    <w:name w:val="明显引用 Char1"/>
    <w:basedOn w:val="48"/>
    <w:qFormat/>
    <w:uiPriority w:val="99"/>
    <w:rPr>
      <w:rFonts w:ascii="Times New Roman" w:hAnsi="Times New Roman" w:eastAsia="宋体" w:cs="Times New Roman"/>
      <w:b/>
      <w:bCs/>
      <w:i/>
      <w:iCs/>
      <w:color w:val="4F81BD" w:themeColor="accent1"/>
      <w:kern w:val="2"/>
      <w:sz w:val="21"/>
      <w:szCs w:val="24"/>
      <w14:textFill>
        <w14:solidFill>
          <w14:schemeClr w14:val="accent1"/>
        </w14:solidFill>
      </w14:textFill>
    </w:rPr>
  </w:style>
  <w:style w:type="paragraph" w:customStyle="1" w:styleId="364">
    <w:name w:val="样式 标题 3 + (中文) 黑体 小四 非加粗 段前: 7.8 磅 段后: 0 磅 行距: 固定值 20 磅"/>
    <w:basedOn w:val="5"/>
    <w:qFormat/>
    <w:uiPriority w:val="99"/>
    <w:pPr>
      <w:numPr>
        <w:ilvl w:val="0"/>
        <w:numId w:val="0"/>
      </w:numPr>
      <w:spacing w:line="400" w:lineRule="exact"/>
    </w:pPr>
    <w:rPr>
      <w:rFonts w:ascii="Times New Roman" w:hAnsi="Times New Roman" w:eastAsia="黑体" w:cs="宋体"/>
      <w:b w:val="0"/>
      <w:bCs w:val="0"/>
      <w:color w:val="auto"/>
      <w:sz w:val="24"/>
      <w:szCs w:val="20"/>
    </w:rPr>
  </w:style>
  <w:style w:type="paragraph" w:customStyle="1" w:styleId="365">
    <w:name w:val="空半行"/>
    <w:basedOn w:val="1"/>
    <w:qFormat/>
    <w:uiPriority w:val="99"/>
    <w:pPr>
      <w:widowControl w:val="0"/>
      <w:adjustRightInd w:val="0"/>
      <w:spacing w:line="120" w:lineRule="exact"/>
      <w:jc w:val="both"/>
      <w:textAlignment w:val="baseline"/>
    </w:pPr>
    <w:rPr>
      <w:rFonts w:eastAsia="仿宋_GB2312"/>
      <w:color w:val="FFFFFF"/>
      <w:sz w:val="30"/>
      <w:szCs w:val="20"/>
    </w:rPr>
  </w:style>
  <w:style w:type="character" w:customStyle="1" w:styleId="366">
    <w:name w:val="引用 字符1"/>
    <w:basedOn w:val="48"/>
    <w:qFormat/>
    <w:uiPriority w:val="29"/>
    <w:rPr>
      <w:rFonts w:ascii="Times New Roman" w:hAnsi="Times New Roman" w:eastAsia="宋体" w:cs="Times New Roman"/>
      <w:i/>
      <w:iCs/>
      <w:color w:val="404040" w:themeColor="text1" w:themeTint="BF"/>
      <w:kern w:val="0"/>
      <w:sz w:val="24"/>
      <w:szCs w:val="24"/>
      <w14:textFill>
        <w14:solidFill>
          <w14:schemeClr w14:val="tx1">
            <w14:lumMod w14:val="75000"/>
            <w14:lumOff w14:val="25000"/>
          </w14:schemeClr>
        </w14:solidFill>
      </w14:textFill>
    </w:rPr>
  </w:style>
  <w:style w:type="character" w:customStyle="1" w:styleId="367">
    <w:name w:val="引用 Char1"/>
    <w:basedOn w:val="48"/>
    <w:qFormat/>
    <w:uiPriority w:val="99"/>
    <w:rPr>
      <w:rFonts w:ascii="Times New Roman" w:hAnsi="Times New Roman" w:eastAsia="宋体" w:cs="Times New Roman"/>
      <w:i/>
      <w:iCs/>
      <w:color w:val="000000" w:themeColor="text1"/>
      <w:kern w:val="2"/>
      <w:sz w:val="21"/>
      <w:szCs w:val="24"/>
      <w14:textFill>
        <w14:solidFill>
          <w14:schemeClr w14:val="tx1"/>
        </w14:solidFill>
      </w14:textFill>
    </w:rPr>
  </w:style>
  <w:style w:type="paragraph" w:customStyle="1" w:styleId="368">
    <w:name w:val="flNote"/>
    <w:basedOn w:val="1"/>
    <w:qFormat/>
    <w:uiPriority w:val="99"/>
    <w:pPr>
      <w:widowControl w:val="0"/>
      <w:adjustRightInd w:val="0"/>
      <w:spacing w:before="320" w:after="160" w:line="360" w:lineRule="atLeast"/>
      <w:jc w:val="center"/>
      <w:textAlignment w:val="baseline"/>
    </w:pPr>
    <w:rPr>
      <w:rFonts w:ascii="Arial" w:eastAsia="黑体"/>
      <w:sz w:val="30"/>
      <w:szCs w:val="20"/>
    </w:rPr>
  </w:style>
  <w:style w:type="character" w:customStyle="1" w:styleId="369">
    <w:name w:val="Title Char"/>
    <w:qFormat/>
    <w:locked/>
    <w:uiPriority w:val="99"/>
    <w:rPr>
      <w:rFonts w:ascii="Cambria" w:hAnsi="Cambria" w:cs="Cambria"/>
      <w:b/>
      <w:bCs/>
      <w:kern w:val="2"/>
      <w:sz w:val="32"/>
      <w:szCs w:val="32"/>
    </w:rPr>
  </w:style>
  <w:style w:type="paragraph" w:customStyle="1" w:styleId="370">
    <w:name w:val="纯文本1"/>
    <w:basedOn w:val="1"/>
    <w:qFormat/>
    <w:uiPriority w:val="0"/>
    <w:pPr>
      <w:widowControl w:val="0"/>
      <w:spacing w:line="480" w:lineRule="exact"/>
      <w:ind w:firstLine="200" w:firstLineChars="200"/>
    </w:pPr>
    <w:rPr>
      <w:rFonts w:ascii="宋体" w:hAnsi="宋体" w:eastAsia="等线" w:cs="Arial"/>
      <w:color w:val="000000"/>
      <w:kern w:val="2"/>
    </w:rPr>
  </w:style>
  <w:style w:type="character" w:customStyle="1" w:styleId="371">
    <w:name w:val="不明显强调11"/>
    <w:qFormat/>
    <w:uiPriority w:val="0"/>
    <w:rPr>
      <w:i/>
      <w:iCs/>
      <w:color w:val="808080"/>
    </w:rPr>
  </w:style>
  <w:style w:type="character" w:customStyle="1" w:styleId="372">
    <w:name w:val="明显参考11"/>
    <w:qFormat/>
    <w:uiPriority w:val="0"/>
    <w:rPr>
      <w:b/>
      <w:bCs/>
      <w:smallCaps/>
      <w:color w:val="C0504D"/>
      <w:spacing w:val="5"/>
      <w:u w:val="single"/>
    </w:rPr>
  </w:style>
  <w:style w:type="character" w:customStyle="1" w:styleId="373">
    <w:name w:val="书籍标题11"/>
    <w:qFormat/>
    <w:uiPriority w:val="0"/>
    <w:rPr>
      <w:b/>
      <w:bCs/>
      <w:smallCaps/>
      <w:spacing w:val="5"/>
    </w:rPr>
  </w:style>
  <w:style w:type="character" w:customStyle="1" w:styleId="374">
    <w:name w:val="明显强调11"/>
    <w:qFormat/>
    <w:uiPriority w:val="0"/>
    <w:rPr>
      <w:b/>
      <w:bCs/>
      <w:i/>
      <w:iCs/>
      <w:color w:val="4F81BD"/>
    </w:rPr>
  </w:style>
  <w:style w:type="character" w:customStyle="1" w:styleId="375">
    <w:name w:val="不明显参考11"/>
    <w:qFormat/>
    <w:uiPriority w:val="0"/>
    <w:rPr>
      <w:smallCaps/>
      <w:color w:val="C0504D"/>
      <w:u w:val="single"/>
    </w:rPr>
  </w:style>
  <w:style w:type="character" w:customStyle="1" w:styleId="376">
    <w:name w:val="样式 Char Char"/>
    <w:link w:val="150"/>
    <w:qFormat/>
    <w:locked/>
    <w:uiPriority w:val="99"/>
    <w:rPr>
      <w:rFonts w:ascii="宋体" w:hAnsi="宋体" w:eastAsia="宋体" w:cs="宋体"/>
      <w:kern w:val="0"/>
      <w:sz w:val="24"/>
      <w:szCs w:val="24"/>
    </w:rPr>
  </w:style>
  <w:style w:type="character" w:customStyle="1" w:styleId="377">
    <w:name w:val="称呼 字符1"/>
    <w:basedOn w:val="48"/>
    <w:semiHidden/>
    <w:qFormat/>
    <w:uiPriority w:val="99"/>
  </w:style>
  <w:style w:type="character" w:customStyle="1" w:styleId="378">
    <w:name w:val="标题 字符1"/>
    <w:basedOn w:val="48"/>
    <w:qFormat/>
    <w:uiPriority w:val="10"/>
    <w:rPr>
      <w:rFonts w:asciiTheme="majorHAnsi" w:hAnsiTheme="majorHAnsi" w:eastAsiaTheme="majorEastAsia" w:cstheme="majorBidi"/>
      <w:b/>
      <w:bCs/>
      <w:sz w:val="32"/>
      <w:szCs w:val="32"/>
    </w:rPr>
  </w:style>
  <w:style w:type="character" w:customStyle="1" w:styleId="379">
    <w:name w:val="样式 首行缩进:  2 字符 Char"/>
    <w:link w:val="158"/>
    <w:qFormat/>
    <w:uiPriority w:val="99"/>
    <w:rPr>
      <w:rFonts w:ascii="Times New Roman" w:hAnsi="Times New Roman" w:eastAsia="宋体" w:cs="宋体"/>
      <w:szCs w:val="20"/>
    </w:rPr>
  </w:style>
  <w:style w:type="character" w:customStyle="1" w:styleId="380">
    <w:name w:val="Subtitle Char"/>
    <w:basedOn w:val="48"/>
    <w:qFormat/>
    <w:locked/>
    <w:uiPriority w:val="99"/>
    <w:rPr>
      <w:rFonts w:ascii="Cambria" w:hAnsi="Cambria" w:cs="Cambria"/>
      <w:b/>
      <w:bCs/>
      <w:kern w:val="28"/>
      <w:sz w:val="32"/>
      <w:szCs w:val="32"/>
    </w:rPr>
  </w:style>
  <w:style w:type="character" w:customStyle="1" w:styleId="381">
    <w:name w:val="Intense Quote Char"/>
    <w:qFormat/>
    <w:locked/>
    <w:uiPriority w:val="99"/>
    <w:rPr>
      <w:b/>
      <w:bCs/>
      <w:i/>
      <w:iCs/>
      <w:color w:val="4F81BD"/>
      <w:kern w:val="2"/>
      <w:sz w:val="22"/>
      <w:szCs w:val="22"/>
    </w:rPr>
  </w:style>
  <w:style w:type="character" w:customStyle="1" w:styleId="382">
    <w:name w:val="Subtle Emphasis1"/>
    <w:basedOn w:val="48"/>
    <w:qFormat/>
    <w:uiPriority w:val="99"/>
    <w:rPr>
      <w:i/>
      <w:iCs/>
      <w:color w:val="808080"/>
    </w:rPr>
  </w:style>
  <w:style w:type="character" w:customStyle="1" w:styleId="383">
    <w:name w:val="Intense Reference1"/>
    <w:basedOn w:val="48"/>
    <w:qFormat/>
    <w:uiPriority w:val="99"/>
    <w:rPr>
      <w:b/>
      <w:bCs/>
      <w:smallCaps/>
      <w:color w:val="auto"/>
      <w:spacing w:val="5"/>
      <w:u w:val="single"/>
    </w:rPr>
  </w:style>
  <w:style w:type="character" w:customStyle="1" w:styleId="384">
    <w:name w:val="Book Title1"/>
    <w:basedOn w:val="48"/>
    <w:qFormat/>
    <w:uiPriority w:val="99"/>
    <w:rPr>
      <w:b/>
      <w:bCs/>
      <w:smallCaps/>
      <w:spacing w:val="5"/>
    </w:rPr>
  </w:style>
  <w:style w:type="character" w:customStyle="1" w:styleId="385">
    <w:name w:val="Quote Char"/>
    <w:qFormat/>
    <w:locked/>
    <w:uiPriority w:val="99"/>
    <w:rPr>
      <w:i/>
      <w:iCs/>
      <w:color w:val="000000"/>
      <w:kern w:val="2"/>
      <w:sz w:val="22"/>
      <w:szCs w:val="22"/>
    </w:rPr>
  </w:style>
  <w:style w:type="character" w:customStyle="1" w:styleId="386">
    <w:name w:val="Intense Emphasis1"/>
    <w:basedOn w:val="48"/>
    <w:qFormat/>
    <w:uiPriority w:val="99"/>
    <w:rPr>
      <w:b/>
      <w:bCs/>
      <w:i/>
      <w:iCs/>
      <w:color w:val="4F81BD"/>
    </w:rPr>
  </w:style>
  <w:style w:type="character" w:customStyle="1" w:styleId="387">
    <w:name w:val="Subtle Reference1"/>
    <w:basedOn w:val="48"/>
    <w:qFormat/>
    <w:uiPriority w:val="99"/>
    <w:rPr>
      <w:smallCaps/>
      <w:color w:val="auto"/>
      <w:u w:val="single"/>
    </w:rPr>
  </w:style>
  <w:style w:type="paragraph" w:customStyle="1" w:styleId="388">
    <w:name w:val="Revision1"/>
    <w:qFormat/>
    <w:uiPriority w:val="99"/>
    <w:rPr>
      <w:rFonts w:ascii="Times New Roman" w:hAnsi="Times New Roman" w:eastAsia="宋体" w:cs="Times New Roman"/>
      <w:kern w:val="2"/>
      <w:sz w:val="21"/>
      <w:szCs w:val="21"/>
      <w:lang w:val="en-US" w:eastAsia="zh-CN" w:bidi="ar-SA"/>
    </w:rPr>
  </w:style>
  <w:style w:type="paragraph" w:customStyle="1" w:styleId="389">
    <w:name w:val="TOC Heading1"/>
    <w:basedOn w:val="3"/>
    <w:next w:val="1"/>
    <w:qFormat/>
    <w:uiPriority w:val="99"/>
    <w:pPr>
      <w:widowControl w:val="0"/>
      <w:spacing w:line="576" w:lineRule="auto"/>
      <w:jc w:val="both"/>
      <w:outlineLvl w:val="9"/>
    </w:pPr>
    <w:rPr>
      <w:rFonts w:ascii="Calibri" w:hAnsi="Calibri" w:cs="Calibri"/>
      <w:sz w:val="44"/>
      <w:szCs w:val="44"/>
    </w:rPr>
  </w:style>
  <w:style w:type="paragraph" w:customStyle="1" w:styleId="390">
    <w:name w:val="TOC 标题21"/>
    <w:basedOn w:val="3"/>
    <w:next w:val="1"/>
    <w:qFormat/>
    <w:uiPriority w:val="0"/>
    <w:pPr>
      <w:widowControl w:val="0"/>
      <w:spacing w:line="576" w:lineRule="auto"/>
      <w:jc w:val="both"/>
      <w:outlineLvl w:val="9"/>
    </w:pPr>
    <w:rPr>
      <w:rFonts w:ascii="Calibri" w:hAnsi="Calibri"/>
      <w:sz w:val="44"/>
      <w:szCs w:val="44"/>
    </w:rPr>
  </w:style>
  <w:style w:type="character" w:customStyle="1" w:styleId="391">
    <w:name w:val="Heading 2 Char"/>
    <w:semiHidden/>
    <w:qFormat/>
    <w:locked/>
    <w:uiPriority w:val="99"/>
    <w:rPr>
      <w:rFonts w:ascii="Cambria" w:hAnsi="Cambria" w:eastAsia="宋体" w:cs="Cambria"/>
      <w:b/>
      <w:bCs/>
      <w:sz w:val="32"/>
      <w:szCs w:val="32"/>
    </w:rPr>
  </w:style>
  <w:style w:type="paragraph" w:customStyle="1" w:styleId="392">
    <w:name w:val="_Style 1"/>
    <w:basedOn w:val="1"/>
    <w:qFormat/>
    <w:uiPriority w:val="0"/>
    <w:pPr>
      <w:widowControl w:val="0"/>
      <w:ind w:firstLine="420" w:firstLineChars="200"/>
      <w:jc w:val="both"/>
    </w:pPr>
    <w:rPr>
      <w:rFonts w:ascii="Calibri" w:hAnsi="Calibri"/>
      <w:kern w:val="2"/>
      <w:sz w:val="21"/>
      <w:szCs w:val="22"/>
    </w:rPr>
  </w:style>
  <w:style w:type="character" w:customStyle="1" w:styleId="393">
    <w:name w:val="页眉 字符"/>
    <w:qFormat/>
    <w:uiPriority w:val="0"/>
    <w:rPr>
      <w:kern w:val="2"/>
      <w:sz w:val="18"/>
      <w:szCs w:val="18"/>
    </w:rPr>
  </w:style>
  <w:style w:type="character" w:customStyle="1" w:styleId="394">
    <w:name w:val="页脚 字符"/>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0" Type="http://schemas.openxmlformats.org/officeDocument/2006/relationships/fontTable" Target="fontTable.xml"/><Relationship Id="rId4" Type="http://schemas.openxmlformats.org/officeDocument/2006/relationships/footer" Target="footer1.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emf"/><Relationship Id="rId32" Type="http://schemas.openxmlformats.org/officeDocument/2006/relationships/image" Target="media/image20.emf"/><Relationship Id="rId31" Type="http://schemas.openxmlformats.org/officeDocument/2006/relationships/image" Target="media/image19.emf"/><Relationship Id="rId30" Type="http://schemas.openxmlformats.org/officeDocument/2006/relationships/image" Target="media/image18.emf"/><Relationship Id="rId3" Type="http://schemas.openxmlformats.org/officeDocument/2006/relationships/header" Target="header1.xml"/><Relationship Id="rId29" Type="http://schemas.openxmlformats.org/officeDocument/2006/relationships/image" Target="media/image17.emf"/><Relationship Id="rId28" Type="http://schemas.openxmlformats.org/officeDocument/2006/relationships/image" Target="media/image16.emf"/><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103</Pages>
  <Words>5717</Words>
  <Characters>32589</Characters>
  <Lines>271</Lines>
  <Paragraphs>76</Paragraphs>
  <TotalTime>155</TotalTime>
  <ScaleCrop>false</ScaleCrop>
  <LinksUpToDate>false</LinksUpToDate>
  <CharactersWithSpaces>38230</CharactersWithSpaces>
  <Application>WPS Office_11.1.0.11045_F1E327BC-269C-435d-A152-05C5408002CA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2021-09-18T11:32:00Z</dcterms:created>
  <dc:creator>罗川</dc:creator>
  <cp:lastModifiedBy>Administrator</cp:lastModifiedBy>
  <cp:lastPrinted>2021-09-24T17:21:00Z</cp:lastPrinted>
  <dcterms:modified xsi:type="dcterms:W3CDTF">2021-11-08T02:25:35Z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0030B8C0C3514915A283387AFA463E85</vt:lpwstr>
  </property>
</Properties>
</file>